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3254" w:rsidP="00173254" w:rsidRDefault="00A016C6" w14:paraId="38758613" w14:textId="477BE04C">
      <w:pPr>
        <w:tabs>
          <w:tab w:val="center" w:pos="4680"/>
          <w:tab w:val="right" w:pos="9360"/>
        </w:tabs>
        <w:spacing w:line="240" w:lineRule="auto"/>
        <w:ind w:firstLine="0"/>
      </w:pPr>
      <w:r>
        <w:t>ALJ</w:t>
      </w:r>
      <w:r w:rsidR="00173254">
        <w:t>/</w:t>
      </w:r>
      <w:r>
        <w:t>ZZ1</w:t>
      </w:r>
      <w:r w:rsidR="00173254">
        <w:t>/</w:t>
      </w:r>
      <w:r>
        <w:t>vj4</w:t>
      </w:r>
      <w:r w:rsidR="00173254">
        <w:tab/>
      </w:r>
      <w:r w:rsidR="00173254">
        <w:tab/>
      </w:r>
      <w:r w:rsidR="00F54862">
        <w:rPr>
          <w:b/>
        </w:rPr>
        <w:t>Date of Issuance 7/23/2026</w:t>
      </w:r>
    </w:p>
    <w:p w:rsidRPr="00EE4315" w:rsidR="00DA7B5D" w:rsidP="00632207" w:rsidRDefault="00DA7B5D" w14:paraId="0FCA52AD" w14:textId="0DB0A5B3">
      <w:pPr>
        <w:spacing w:line="240" w:lineRule="auto"/>
        <w:jc w:val="right"/>
        <w:rPr>
          <w:b/>
        </w:rPr>
      </w:pPr>
    </w:p>
    <w:p w:rsidR="00DA7B5D" w:rsidP="008F0116" w:rsidRDefault="00DA7B5D" w14:paraId="5FD271F7" w14:textId="77777777">
      <w:pPr>
        <w:ind w:firstLine="0"/>
      </w:pPr>
    </w:p>
    <w:p w:rsidRPr="00EE3060" w:rsidR="00DA7B5D" w:rsidP="0098655A" w:rsidRDefault="00DA7B5D" w14:paraId="276AF6A3" w14:textId="569FCEA8">
      <w:pPr>
        <w:ind w:left="1080" w:hanging="1080"/>
      </w:pPr>
      <w:r>
        <w:t xml:space="preserve">Decision </w:t>
      </w:r>
      <w:r w:rsidR="00825919">
        <w:t>26-07-</w:t>
      </w:r>
      <w:proofErr w:type="gramStart"/>
      <w:r w:rsidR="00825919">
        <w:t>045  July</w:t>
      </w:r>
      <w:proofErr w:type="gramEnd"/>
      <w:r w:rsidR="00825919">
        <w:t xml:space="preserve"> 16, 2026</w:t>
      </w:r>
    </w:p>
    <w:p w:rsidR="00DA7B5D" w:rsidP="00BB0243" w:rsidRDefault="00DA7B5D" w14:paraId="4D847FE4" w14:textId="77777777">
      <w:pPr>
        <w:spacing w:line="240" w:lineRule="auto"/>
        <w:jc w:val="center"/>
        <w:rPr>
          <w:u w:val="single"/>
        </w:rPr>
      </w:pPr>
    </w:p>
    <w:p w:rsidR="00DA7B5D" w:rsidP="00BB0243" w:rsidRDefault="00DA7B5D" w14:paraId="6F2B1BE7"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63DA5118"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7007D342" w14:textId="77777777">
        <w:trPr>
          <w:jc w:val="center"/>
        </w:trPr>
        <w:tc>
          <w:tcPr>
            <w:tcW w:w="5040" w:type="dxa"/>
            <w:tcBorders>
              <w:top w:val="nil"/>
              <w:left w:val="nil"/>
              <w:bottom w:val="single" w:color="auto" w:sz="4" w:space="0"/>
              <w:right w:val="single" w:color="auto" w:sz="4" w:space="0"/>
            </w:tcBorders>
          </w:tcPr>
          <w:p w:rsidRPr="00DA7B5D" w:rsidR="00DA7B5D" w:rsidP="00955753" w:rsidRDefault="00955753" w14:paraId="49660060" w14:textId="34461CD8">
            <w:pPr>
              <w:spacing w:line="240" w:lineRule="auto"/>
              <w:ind w:firstLine="0"/>
              <w:rPr>
                <w:rFonts w:cs="Arial"/>
                <w:szCs w:val="26"/>
              </w:rPr>
            </w:pPr>
            <w:r w:rsidRPr="00955753">
              <w:rPr>
                <w:rFonts w:cs="Arial"/>
                <w:szCs w:val="26"/>
              </w:rPr>
              <w:t>Application of Enhanced Communications Network, Inc. d/b/a Asian American Association Telecom Services for Registration as a Telephone Corporation pursuant to Public Utilities Code Section 1013</w:t>
            </w:r>
            <w:r w:rsidRPr="00DA7B5D" w:rsidR="00DA7B5D">
              <w:rPr>
                <w:rFonts w:cs="Arial"/>
                <w:szCs w:val="26"/>
              </w:rPr>
              <w:br/>
            </w:r>
          </w:p>
        </w:tc>
        <w:tc>
          <w:tcPr>
            <w:tcW w:w="5040" w:type="dxa"/>
            <w:tcBorders>
              <w:top w:val="nil"/>
              <w:left w:val="single" w:color="auto" w:sz="4" w:space="0"/>
              <w:bottom w:val="nil"/>
              <w:right w:val="nil"/>
            </w:tcBorders>
            <w:vAlign w:val="center"/>
          </w:tcPr>
          <w:p w:rsidRPr="00DA7B5D" w:rsidR="00DA7B5D" w:rsidP="00412C83" w:rsidRDefault="00955753" w14:paraId="692949F9" w14:textId="00CD5733">
            <w:pPr>
              <w:spacing w:line="240" w:lineRule="auto"/>
              <w:ind w:firstLine="0"/>
              <w:jc w:val="center"/>
              <w:rPr>
                <w:rFonts w:cs="Arial"/>
                <w:szCs w:val="26"/>
              </w:rPr>
            </w:pPr>
            <w:r>
              <w:rPr>
                <w:rFonts w:cs="Arial"/>
                <w:szCs w:val="26"/>
              </w:rPr>
              <w:t xml:space="preserve">Application </w:t>
            </w:r>
            <w:r w:rsidR="004E2A4E">
              <w:rPr>
                <w:rFonts w:cs="Arial"/>
                <w:szCs w:val="26"/>
              </w:rPr>
              <w:t>25-05-018</w:t>
            </w:r>
          </w:p>
        </w:tc>
      </w:tr>
    </w:tbl>
    <w:p w:rsidR="00DA7B5D" w:rsidP="008F0116" w:rsidRDefault="00DA7B5D" w14:paraId="77408A34" w14:textId="77777777">
      <w:pPr>
        <w:spacing w:line="240" w:lineRule="auto"/>
        <w:ind w:firstLine="0"/>
        <w:rPr>
          <w:rFonts w:ascii="Arial" w:hAnsi="Arial" w:cs="Arial"/>
          <w:sz w:val="24"/>
          <w:szCs w:val="24"/>
        </w:rPr>
      </w:pPr>
    </w:p>
    <w:p w:rsidR="00DA7B5D" w:rsidP="008F0116" w:rsidRDefault="00DA7B5D" w14:paraId="0202D738" w14:textId="77777777">
      <w:pPr>
        <w:spacing w:line="240" w:lineRule="auto"/>
        <w:ind w:firstLine="0"/>
        <w:rPr>
          <w:rFonts w:ascii="Arial" w:hAnsi="Arial" w:cs="Arial"/>
          <w:sz w:val="24"/>
          <w:szCs w:val="24"/>
        </w:rPr>
      </w:pPr>
    </w:p>
    <w:p w:rsidRPr="003347A0" w:rsidR="00092A69" w:rsidP="003020A4" w:rsidRDefault="00654E12" w14:paraId="4207293B" w14:textId="77BB88E4">
      <w:pPr>
        <w:pStyle w:val="TOCHeading"/>
      </w:pPr>
      <w:r w:rsidRPr="00092A69">
        <w:rPr>
          <w:rFonts w:eastAsia="Times New Roman" w:cs="Arial"/>
          <w:szCs w:val="20"/>
        </w:rPr>
        <w:t xml:space="preserve">DECISION </w:t>
      </w:r>
      <w:r w:rsidRPr="002E0757">
        <w:rPr>
          <w:rFonts w:eastAsia="Times New Roman" w:cs="Arial"/>
          <w:color w:val="000000" w:themeColor="text1"/>
          <w:szCs w:val="20"/>
        </w:rPr>
        <w:t xml:space="preserve">GRANTING </w:t>
      </w:r>
      <w:r w:rsidRPr="002E0757" w:rsidR="006B1FC3">
        <w:rPr>
          <w:rFonts w:eastAsia="Times New Roman" w:cs="Arial"/>
          <w:color w:val="000000" w:themeColor="text1"/>
          <w:szCs w:val="20"/>
        </w:rPr>
        <w:t>ENHANCED COMMUNICATIONS NETWORK, INC.</w:t>
      </w:r>
      <w:r w:rsidRPr="002E0757" w:rsidR="000722FF">
        <w:rPr>
          <w:rFonts w:eastAsia="Times New Roman" w:cs="Arial"/>
          <w:color w:val="000000" w:themeColor="text1"/>
          <w:szCs w:val="20"/>
        </w:rPr>
        <w:t xml:space="preserve"> D/B/A ASIAN AMERICAN ASSOCIATION TELECOM SERVICES</w:t>
      </w:r>
      <w:r w:rsidRPr="002E0757">
        <w:rPr>
          <w:rFonts w:eastAsia="Times New Roman" w:cs="Arial"/>
          <w:color w:val="000000" w:themeColor="text1"/>
          <w:szCs w:val="20"/>
        </w:rPr>
        <w:t xml:space="preserve"> A CERTIFICATE OF PUBLIC CONVENIENCE AND NECESSITY TO </w:t>
      </w:r>
      <w:r w:rsidR="000C4C2C">
        <w:rPr>
          <w:rFonts w:eastAsia="Times New Roman" w:cs="Arial"/>
          <w:color w:val="000000" w:themeColor="text1"/>
          <w:szCs w:val="20"/>
        </w:rPr>
        <w:br/>
      </w:r>
      <w:r w:rsidRPr="003204A5">
        <w:rPr>
          <w:rFonts w:eastAsia="Times New Roman" w:cs="Arial"/>
          <w:color w:val="000000" w:themeColor="text1"/>
          <w:szCs w:val="20"/>
        </w:rPr>
        <w:t xml:space="preserve">PROVIDE FIXED INTERCONNECTED VOICE OVER </w:t>
      </w:r>
      <w:r w:rsidRPr="003204A5" w:rsidR="000C4C2C">
        <w:rPr>
          <w:rFonts w:eastAsia="Times New Roman" w:cs="Arial"/>
          <w:color w:val="000000" w:themeColor="text1"/>
          <w:szCs w:val="20"/>
        </w:rPr>
        <w:br/>
      </w:r>
      <w:r w:rsidRPr="003204A5">
        <w:rPr>
          <w:rFonts w:eastAsia="Times New Roman" w:cs="Arial"/>
          <w:color w:val="000000" w:themeColor="text1"/>
          <w:szCs w:val="20"/>
        </w:rPr>
        <w:t>INTERNET PROTOCOL SERVICES</w:t>
      </w:r>
    </w:p>
    <w:p w:rsidR="00092A69" w:rsidP="00092A69" w:rsidRDefault="00092A69" w14:paraId="27C58485" w14:textId="77777777"/>
    <w:p w:rsidRPr="00092A69" w:rsidR="00092A69" w:rsidP="00710EBA" w:rsidRDefault="00092A69" w14:paraId="5F79A2C1" w14:textId="61A93915">
      <w:pPr>
        <w:sectPr w:rsidRPr="00092A69" w:rsidR="00092A69" w:rsidSect="00D44DB6">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rsidRPr="001E2A62" w:rsidR="00D50119" w:rsidP="005F7ECE" w:rsidRDefault="005F7ECE" w14:paraId="6576F3A4" w14:textId="1932D303">
      <w:pPr>
        <w:pStyle w:val="Main"/>
        <w:tabs>
          <w:tab w:val="center" w:pos="4680"/>
          <w:tab w:val="left" w:pos="7212"/>
        </w:tabs>
        <w:jc w:val="left"/>
        <w:rPr>
          <w:rFonts w:ascii="Book Antiqua" w:hAnsi="Book Antiqua"/>
        </w:rPr>
      </w:pPr>
      <w:r>
        <w:rPr>
          <w:rFonts w:ascii="Book Antiqua" w:hAnsi="Book Antiqua"/>
        </w:rPr>
        <w:lastRenderedPageBreak/>
        <w:tab/>
      </w:r>
      <w:r w:rsidRPr="001E2A62" w:rsidR="00D50119">
        <w:rPr>
          <w:rFonts w:ascii="Book Antiqua" w:hAnsi="Book Antiqua"/>
        </w:rPr>
        <w:t>TABLE OF CONTENTS</w:t>
      </w:r>
      <w:r>
        <w:rPr>
          <w:rFonts w:ascii="Book Antiqua" w:hAnsi="Book Antiqua"/>
        </w:rPr>
        <w:tab/>
      </w:r>
    </w:p>
    <w:p w:rsidRPr="00D50119" w:rsidR="00D50119" w:rsidP="007E0FEE" w:rsidRDefault="00D50119" w14:paraId="1F6DD144" w14:textId="77777777">
      <w:pPr>
        <w:tabs>
          <w:tab w:val="right" w:pos="9360"/>
        </w:tabs>
        <w:ind w:firstLine="0"/>
      </w:pPr>
      <w:r w:rsidRPr="00D50119">
        <w:rPr>
          <w:b/>
        </w:rPr>
        <w:t>Title</w:t>
      </w:r>
      <w:r>
        <w:tab/>
      </w:r>
      <w:r w:rsidRPr="00D50119">
        <w:rPr>
          <w:b/>
        </w:rPr>
        <w:t>Page</w:t>
      </w:r>
    </w:p>
    <w:sdt>
      <w:sdtPr>
        <w:id w:val="1571608378"/>
        <w:docPartObj>
          <w:docPartGallery w:val="Table of Contents"/>
          <w:docPartUnique/>
        </w:docPartObj>
      </w:sdtPr>
      <w:sdtContent>
        <w:p w:rsidR="00B4234D" w:rsidRDefault="00CC2F1C" w14:paraId="7D3C9559" w14:textId="2F5491EB">
          <w:pPr>
            <w:pStyle w:val="TOC1"/>
            <w:tabs>
              <w:tab w:val="right" w:leader="dot" w:pos="9350"/>
            </w:tabs>
            <w:rPr>
              <w:rFonts w:asciiTheme="minorHAnsi" w:hAnsiTheme="minorHAnsi" w:cstheme="minorBidi"/>
              <w:noProof/>
              <w:kern w:val="2"/>
              <w:sz w:val="24"/>
              <w:szCs w:val="24"/>
              <w14:ligatures w14:val="standardContextual"/>
            </w:rPr>
          </w:pPr>
          <w:r w:rsidRPr="005F7ECE">
            <w:fldChar w:fldCharType="begin"/>
          </w:r>
          <w:r w:rsidRPr="005F7ECE" w:rsidR="008C7413">
            <w:instrText>TOC \o "1-6" \z \u \h</w:instrText>
          </w:r>
          <w:r w:rsidRPr="005F7ECE">
            <w:fldChar w:fldCharType="separate"/>
          </w:r>
          <w:hyperlink w:history="1" w:anchor="_Toc232146033">
            <w:r w:rsidRPr="002D2F92" w:rsidR="00B4234D">
              <w:rPr>
                <w:rStyle w:val="Hyperlink"/>
                <w:noProof/>
              </w:rPr>
              <w:t xml:space="preserve">DECISION GRANTING ENHANCED COMMUNICATIONS NETWORK, INC. </w:t>
            </w:r>
            <w:r w:rsidRPr="002D2F92" w:rsidR="00B4234D">
              <w:rPr>
                <w:rStyle w:val="Hyperlink"/>
                <w:rFonts w:eastAsia="Times New Roman"/>
                <w:noProof/>
              </w:rPr>
              <w:t>D/B/A ASIAN AMERICAN ASSOCIATION TELECOM SERVICES</w:t>
            </w:r>
            <w:r w:rsidRPr="002D2F92" w:rsidR="00B4234D">
              <w:rPr>
                <w:rStyle w:val="Hyperlink"/>
                <w:noProof/>
              </w:rPr>
              <w:t xml:space="preserve"> A CERTIFICATE OF PUBLIC CONVENIENCE AND NECESSITY TO PROVIDE FIXED INTERCONNECTED VOICE OVER INTERNET PROTOCOL SERVICES</w:t>
            </w:r>
            <w:r w:rsidR="00B4234D">
              <w:rPr>
                <w:noProof/>
                <w:webHidden/>
              </w:rPr>
              <w:tab/>
            </w:r>
            <w:r w:rsidR="00B4234D">
              <w:rPr>
                <w:noProof/>
                <w:webHidden/>
              </w:rPr>
              <w:fldChar w:fldCharType="begin"/>
            </w:r>
            <w:r w:rsidR="00B4234D">
              <w:rPr>
                <w:noProof/>
                <w:webHidden/>
              </w:rPr>
              <w:instrText xml:space="preserve"> PAGEREF _Toc232146033 \h </w:instrText>
            </w:r>
            <w:r w:rsidR="00B4234D">
              <w:rPr>
                <w:noProof/>
                <w:webHidden/>
              </w:rPr>
            </w:r>
            <w:r w:rsidR="00B4234D">
              <w:rPr>
                <w:noProof/>
                <w:webHidden/>
              </w:rPr>
              <w:fldChar w:fldCharType="separate"/>
            </w:r>
            <w:r w:rsidR="00CD6001">
              <w:rPr>
                <w:noProof/>
                <w:webHidden/>
              </w:rPr>
              <w:t>2</w:t>
            </w:r>
            <w:r w:rsidR="00B4234D">
              <w:rPr>
                <w:noProof/>
                <w:webHidden/>
              </w:rPr>
              <w:fldChar w:fldCharType="end"/>
            </w:r>
          </w:hyperlink>
        </w:p>
        <w:p w:rsidR="00B4234D" w:rsidRDefault="00B4234D" w14:paraId="183A7AFC" w14:textId="14240F40">
          <w:pPr>
            <w:pStyle w:val="TOC1"/>
            <w:tabs>
              <w:tab w:val="right" w:leader="dot" w:pos="9350"/>
            </w:tabs>
            <w:rPr>
              <w:rFonts w:asciiTheme="minorHAnsi" w:hAnsiTheme="minorHAnsi" w:cstheme="minorBidi"/>
              <w:noProof/>
              <w:kern w:val="2"/>
              <w:sz w:val="24"/>
              <w:szCs w:val="24"/>
              <w14:ligatures w14:val="standardContextual"/>
            </w:rPr>
          </w:pPr>
          <w:hyperlink w:history="1" w:anchor="_Toc232146034">
            <w:r w:rsidRPr="002D2F92">
              <w:rPr>
                <w:rStyle w:val="Hyperlink"/>
                <w:noProof/>
              </w:rPr>
              <w:t>Summary</w:t>
            </w:r>
            <w:r>
              <w:rPr>
                <w:noProof/>
                <w:webHidden/>
              </w:rPr>
              <w:tab/>
            </w:r>
            <w:r>
              <w:rPr>
                <w:noProof/>
                <w:webHidden/>
              </w:rPr>
              <w:fldChar w:fldCharType="begin"/>
            </w:r>
            <w:r>
              <w:rPr>
                <w:noProof/>
                <w:webHidden/>
              </w:rPr>
              <w:instrText xml:space="preserve"> PAGEREF _Toc232146034 \h </w:instrText>
            </w:r>
            <w:r>
              <w:rPr>
                <w:noProof/>
                <w:webHidden/>
              </w:rPr>
            </w:r>
            <w:r>
              <w:rPr>
                <w:noProof/>
                <w:webHidden/>
              </w:rPr>
              <w:fldChar w:fldCharType="separate"/>
            </w:r>
            <w:r w:rsidR="00CD6001">
              <w:rPr>
                <w:noProof/>
                <w:webHidden/>
              </w:rPr>
              <w:t>2</w:t>
            </w:r>
            <w:r>
              <w:rPr>
                <w:noProof/>
                <w:webHidden/>
              </w:rPr>
              <w:fldChar w:fldCharType="end"/>
            </w:r>
          </w:hyperlink>
        </w:p>
        <w:p w:rsidR="00B4234D" w:rsidRDefault="00B4234D" w14:paraId="168CCE92" w14:textId="6166DCD4">
          <w:pPr>
            <w:pStyle w:val="TOC1"/>
            <w:tabs>
              <w:tab w:val="right" w:leader="dot" w:pos="9350"/>
            </w:tabs>
            <w:rPr>
              <w:rFonts w:asciiTheme="minorHAnsi" w:hAnsiTheme="minorHAnsi" w:cstheme="minorBidi"/>
              <w:noProof/>
              <w:kern w:val="2"/>
              <w:sz w:val="24"/>
              <w:szCs w:val="24"/>
              <w14:ligatures w14:val="standardContextual"/>
            </w:rPr>
          </w:pPr>
          <w:hyperlink w:history="1" w:anchor="_Toc232146035">
            <w:r w:rsidRPr="002D2F92">
              <w:rPr>
                <w:rStyle w:val="Hyperlink"/>
                <w:bCs/>
                <w:noProof/>
              </w:rPr>
              <w:t>1.</w:t>
            </w:r>
            <w:r>
              <w:rPr>
                <w:rFonts w:asciiTheme="minorHAnsi" w:hAnsiTheme="minorHAnsi" w:cstheme="minorBidi"/>
                <w:noProof/>
                <w:kern w:val="2"/>
                <w:sz w:val="24"/>
                <w:szCs w:val="24"/>
                <w14:ligatures w14:val="standardContextual"/>
              </w:rPr>
              <w:tab/>
            </w:r>
            <w:r w:rsidRPr="002D2F92">
              <w:rPr>
                <w:rStyle w:val="Hyperlink"/>
                <w:noProof/>
              </w:rPr>
              <w:t>Background</w:t>
            </w:r>
            <w:r>
              <w:rPr>
                <w:noProof/>
                <w:webHidden/>
              </w:rPr>
              <w:tab/>
            </w:r>
            <w:r>
              <w:rPr>
                <w:noProof/>
                <w:webHidden/>
              </w:rPr>
              <w:fldChar w:fldCharType="begin"/>
            </w:r>
            <w:r>
              <w:rPr>
                <w:noProof/>
                <w:webHidden/>
              </w:rPr>
              <w:instrText xml:space="preserve"> PAGEREF _Toc232146035 \h </w:instrText>
            </w:r>
            <w:r>
              <w:rPr>
                <w:noProof/>
                <w:webHidden/>
              </w:rPr>
            </w:r>
            <w:r>
              <w:rPr>
                <w:noProof/>
                <w:webHidden/>
              </w:rPr>
              <w:fldChar w:fldCharType="separate"/>
            </w:r>
            <w:r w:rsidR="00CD6001">
              <w:rPr>
                <w:noProof/>
                <w:webHidden/>
              </w:rPr>
              <w:t>2</w:t>
            </w:r>
            <w:r>
              <w:rPr>
                <w:noProof/>
                <w:webHidden/>
              </w:rPr>
              <w:fldChar w:fldCharType="end"/>
            </w:r>
          </w:hyperlink>
        </w:p>
        <w:p w:rsidR="00B4234D" w:rsidRDefault="00B4234D" w14:paraId="32DD7348" w14:textId="28CEFC2E">
          <w:pPr>
            <w:pStyle w:val="TOC1"/>
            <w:tabs>
              <w:tab w:val="right" w:leader="dot" w:pos="9350"/>
            </w:tabs>
            <w:rPr>
              <w:rFonts w:asciiTheme="minorHAnsi" w:hAnsiTheme="minorHAnsi" w:cstheme="minorBidi"/>
              <w:noProof/>
              <w:kern w:val="2"/>
              <w:sz w:val="24"/>
              <w:szCs w:val="24"/>
              <w14:ligatures w14:val="standardContextual"/>
            </w:rPr>
          </w:pPr>
          <w:hyperlink w:history="1" w:anchor="_Toc232146036">
            <w:r w:rsidRPr="002D2F92">
              <w:rPr>
                <w:rStyle w:val="Hyperlink"/>
                <w:bCs/>
                <w:noProof/>
              </w:rPr>
              <w:t>2.</w:t>
            </w:r>
            <w:r>
              <w:rPr>
                <w:rFonts w:asciiTheme="minorHAnsi" w:hAnsiTheme="minorHAnsi" w:cstheme="minorBidi"/>
                <w:noProof/>
                <w:kern w:val="2"/>
                <w:sz w:val="24"/>
                <w:szCs w:val="24"/>
                <w14:ligatures w14:val="standardContextual"/>
              </w:rPr>
              <w:tab/>
            </w:r>
            <w:r w:rsidRPr="002D2F92">
              <w:rPr>
                <w:rStyle w:val="Hyperlink"/>
                <w:noProof/>
              </w:rPr>
              <w:t>Submission Date</w:t>
            </w:r>
            <w:r>
              <w:rPr>
                <w:noProof/>
                <w:webHidden/>
              </w:rPr>
              <w:tab/>
            </w:r>
            <w:r>
              <w:rPr>
                <w:noProof/>
                <w:webHidden/>
              </w:rPr>
              <w:fldChar w:fldCharType="begin"/>
            </w:r>
            <w:r>
              <w:rPr>
                <w:noProof/>
                <w:webHidden/>
              </w:rPr>
              <w:instrText xml:space="preserve"> PAGEREF _Toc232146036 \h </w:instrText>
            </w:r>
            <w:r>
              <w:rPr>
                <w:noProof/>
                <w:webHidden/>
              </w:rPr>
            </w:r>
            <w:r>
              <w:rPr>
                <w:noProof/>
                <w:webHidden/>
              </w:rPr>
              <w:fldChar w:fldCharType="separate"/>
            </w:r>
            <w:r w:rsidR="00CD6001">
              <w:rPr>
                <w:noProof/>
                <w:webHidden/>
              </w:rPr>
              <w:t>5</w:t>
            </w:r>
            <w:r>
              <w:rPr>
                <w:noProof/>
                <w:webHidden/>
              </w:rPr>
              <w:fldChar w:fldCharType="end"/>
            </w:r>
          </w:hyperlink>
        </w:p>
        <w:p w:rsidR="00B4234D" w:rsidRDefault="00B4234D" w14:paraId="749C6C7E" w14:textId="3B03F812">
          <w:pPr>
            <w:pStyle w:val="TOC1"/>
            <w:tabs>
              <w:tab w:val="right" w:leader="dot" w:pos="9350"/>
            </w:tabs>
            <w:rPr>
              <w:rFonts w:asciiTheme="minorHAnsi" w:hAnsiTheme="minorHAnsi" w:cstheme="minorBidi"/>
              <w:noProof/>
              <w:kern w:val="2"/>
              <w:sz w:val="24"/>
              <w:szCs w:val="24"/>
              <w14:ligatures w14:val="standardContextual"/>
            </w:rPr>
          </w:pPr>
          <w:hyperlink w:history="1" w:anchor="_Toc232146037">
            <w:r w:rsidRPr="002D2F92">
              <w:rPr>
                <w:rStyle w:val="Hyperlink"/>
                <w:bCs/>
                <w:noProof/>
              </w:rPr>
              <w:t>3.</w:t>
            </w:r>
            <w:r>
              <w:rPr>
                <w:rFonts w:asciiTheme="minorHAnsi" w:hAnsiTheme="minorHAnsi" w:cstheme="minorBidi"/>
                <w:noProof/>
                <w:kern w:val="2"/>
                <w:sz w:val="24"/>
                <w:szCs w:val="24"/>
                <w14:ligatures w14:val="standardContextual"/>
              </w:rPr>
              <w:tab/>
            </w:r>
            <w:r w:rsidRPr="002D2F92">
              <w:rPr>
                <w:rStyle w:val="Hyperlink"/>
                <w:noProof/>
              </w:rPr>
              <w:t>Issues Before the Commission</w:t>
            </w:r>
            <w:r>
              <w:rPr>
                <w:noProof/>
                <w:webHidden/>
              </w:rPr>
              <w:tab/>
            </w:r>
            <w:r>
              <w:rPr>
                <w:noProof/>
                <w:webHidden/>
              </w:rPr>
              <w:fldChar w:fldCharType="begin"/>
            </w:r>
            <w:r>
              <w:rPr>
                <w:noProof/>
                <w:webHidden/>
              </w:rPr>
              <w:instrText xml:space="preserve"> PAGEREF _Toc232146037 \h </w:instrText>
            </w:r>
            <w:r>
              <w:rPr>
                <w:noProof/>
                <w:webHidden/>
              </w:rPr>
            </w:r>
            <w:r>
              <w:rPr>
                <w:noProof/>
                <w:webHidden/>
              </w:rPr>
              <w:fldChar w:fldCharType="separate"/>
            </w:r>
            <w:r w:rsidR="00CD6001">
              <w:rPr>
                <w:noProof/>
                <w:webHidden/>
              </w:rPr>
              <w:t>5</w:t>
            </w:r>
            <w:r>
              <w:rPr>
                <w:noProof/>
                <w:webHidden/>
              </w:rPr>
              <w:fldChar w:fldCharType="end"/>
            </w:r>
          </w:hyperlink>
        </w:p>
        <w:p w:rsidR="00B4234D" w:rsidRDefault="00B4234D" w14:paraId="2FFB07B9" w14:textId="0BEFA135">
          <w:pPr>
            <w:pStyle w:val="TOC1"/>
            <w:tabs>
              <w:tab w:val="right" w:leader="dot" w:pos="9350"/>
            </w:tabs>
            <w:rPr>
              <w:rFonts w:asciiTheme="minorHAnsi" w:hAnsiTheme="minorHAnsi" w:cstheme="minorBidi"/>
              <w:noProof/>
              <w:kern w:val="2"/>
              <w:sz w:val="24"/>
              <w:szCs w:val="24"/>
              <w14:ligatures w14:val="standardContextual"/>
            </w:rPr>
          </w:pPr>
          <w:hyperlink w:history="1" w:anchor="_Toc232146038">
            <w:r w:rsidRPr="002D2F92">
              <w:rPr>
                <w:rStyle w:val="Hyperlink"/>
                <w:bCs/>
                <w:noProof/>
              </w:rPr>
              <w:t>4.</w:t>
            </w:r>
            <w:r>
              <w:rPr>
                <w:rFonts w:asciiTheme="minorHAnsi" w:hAnsiTheme="minorHAnsi" w:cstheme="minorBidi"/>
                <w:noProof/>
                <w:kern w:val="2"/>
                <w:sz w:val="24"/>
                <w:szCs w:val="24"/>
                <w14:ligatures w14:val="standardContextual"/>
              </w:rPr>
              <w:tab/>
            </w:r>
            <w:r w:rsidRPr="002D2F92">
              <w:rPr>
                <w:rStyle w:val="Hyperlink"/>
                <w:noProof/>
              </w:rPr>
              <w:t>Jurisdiction</w:t>
            </w:r>
            <w:r>
              <w:rPr>
                <w:noProof/>
                <w:webHidden/>
              </w:rPr>
              <w:tab/>
            </w:r>
            <w:r>
              <w:rPr>
                <w:noProof/>
                <w:webHidden/>
              </w:rPr>
              <w:fldChar w:fldCharType="begin"/>
            </w:r>
            <w:r>
              <w:rPr>
                <w:noProof/>
                <w:webHidden/>
              </w:rPr>
              <w:instrText xml:space="preserve"> PAGEREF _Toc232146038 \h </w:instrText>
            </w:r>
            <w:r>
              <w:rPr>
                <w:noProof/>
                <w:webHidden/>
              </w:rPr>
            </w:r>
            <w:r>
              <w:rPr>
                <w:noProof/>
                <w:webHidden/>
              </w:rPr>
              <w:fldChar w:fldCharType="separate"/>
            </w:r>
            <w:r w:rsidR="00CD6001">
              <w:rPr>
                <w:noProof/>
                <w:webHidden/>
              </w:rPr>
              <w:t>5</w:t>
            </w:r>
            <w:r>
              <w:rPr>
                <w:noProof/>
                <w:webHidden/>
              </w:rPr>
              <w:fldChar w:fldCharType="end"/>
            </w:r>
          </w:hyperlink>
        </w:p>
        <w:p w:rsidR="00B4234D" w:rsidRDefault="00B4234D" w14:paraId="4C64180D" w14:textId="67B86EFC">
          <w:pPr>
            <w:pStyle w:val="TOC1"/>
            <w:tabs>
              <w:tab w:val="right" w:leader="dot" w:pos="9350"/>
            </w:tabs>
            <w:rPr>
              <w:rFonts w:asciiTheme="minorHAnsi" w:hAnsiTheme="minorHAnsi" w:cstheme="minorBidi"/>
              <w:noProof/>
              <w:kern w:val="2"/>
              <w:sz w:val="24"/>
              <w:szCs w:val="24"/>
              <w14:ligatures w14:val="standardContextual"/>
            </w:rPr>
          </w:pPr>
          <w:hyperlink w:history="1" w:anchor="_Toc232146039">
            <w:r w:rsidRPr="002D2F92">
              <w:rPr>
                <w:rStyle w:val="Hyperlink"/>
                <w:rFonts w:cs="Arial"/>
                <w:bCs/>
                <w:noProof/>
              </w:rPr>
              <w:t>5.</w:t>
            </w:r>
            <w:r>
              <w:rPr>
                <w:rFonts w:asciiTheme="minorHAnsi" w:hAnsiTheme="minorHAnsi" w:cstheme="minorBidi"/>
                <w:noProof/>
                <w:kern w:val="2"/>
                <w:sz w:val="24"/>
                <w:szCs w:val="24"/>
                <w14:ligatures w14:val="standardContextual"/>
              </w:rPr>
              <w:tab/>
            </w:r>
            <w:r w:rsidRPr="002D2F92">
              <w:rPr>
                <w:rStyle w:val="Hyperlink"/>
                <w:rFonts w:cs="Arial"/>
                <w:noProof/>
              </w:rPr>
              <w:t>Proposed Construction and California Environmental Quality Act (CEQA) Compliance</w:t>
            </w:r>
            <w:r>
              <w:rPr>
                <w:noProof/>
                <w:webHidden/>
              </w:rPr>
              <w:tab/>
            </w:r>
            <w:r>
              <w:rPr>
                <w:noProof/>
                <w:webHidden/>
              </w:rPr>
              <w:fldChar w:fldCharType="begin"/>
            </w:r>
            <w:r>
              <w:rPr>
                <w:noProof/>
                <w:webHidden/>
              </w:rPr>
              <w:instrText xml:space="preserve"> PAGEREF _Toc232146039 \h </w:instrText>
            </w:r>
            <w:r>
              <w:rPr>
                <w:noProof/>
                <w:webHidden/>
              </w:rPr>
            </w:r>
            <w:r>
              <w:rPr>
                <w:noProof/>
                <w:webHidden/>
              </w:rPr>
              <w:fldChar w:fldCharType="separate"/>
            </w:r>
            <w:r w:rsidR="00CD6001">
              <w:rPr>
                <w:noProof/>
                <w:webHidden/>
              </w:rPr>
              <w:t>7</w:t>
            </w:r>
            <w:r>
              <w:rPr>
                <w:noProof/>
                <w:webHidden/>
              </w:rPr>
              <w:fldChar w:fldCharType="end"/>
            </w:r>
          </w:hyperlink>
        </w:p>
        <w:p w:rsidR="00B4234D" w:rsidRDefault="00B4234D" w14:paraId="36FB8E61" w14:textId="300129E4">
          <w:pPr>
            <w:pStyle w:val="TOC1"/>
            <w:tabs>
              <w:tab w:val="right" w:leader="dot" w:pos="9350"/>
            </w:tabs>
            <w:rPr>
              <w:rFonts w:asciiTheme="minorHAnsi" w:hAnsiTheme="minorHAnsi" w:cstheme="minorBidi"/>
              <w:noProof/>
              <w:kern w:val="2"/>
              <w:sz w:val="24"/>
              <w:szCs w:val="24"/>
              <w14:ligatures w14:val="standardContextual"/>
            </w:rPr>
          </w:pPr>
          <w:hyperlink w:history="1" w:anchor="_Toc232146040">
            <w:r w:rsidRPr="002D2F92">
              <w:rPr>
                <w:rStyle w:val="Hyperlink"/>
                <w:rFonts w:eastAsiaTheme="minorHAnsi"/>
                <w:bCs/>
                <w:noProof/>
              </w:rPr>
              <w:t>6.</w:t>
            </w:r>
            <w:r>
              <w:rPr>
                <w:rFonts w:asciiTheme="minorHAnsi" w:hAnsiTheme="minorHAnsi" w:cstheme="minorBidi"/>
                <w:noProof/>
                <w:kern w:val="2"/>
                <w:sz w:val="24"/>
                <w:szCs w:val="24"/>
                <w14:ligatures w14:val="standardContextual"/>
              </w:rPr>
              <w:tab/>
            </w:r>
            <w:r w:rsidRPr="002D2F92">
              <w:rPr>
                <w:rStyle w:val="Hyperlink"/>
                <w:noProof/>
              </w:rPr>
              <w:t>Financial Qualifications</w:t>
            </w:r>
            <w:r>
              <w:rPr>
                <w:noProof/>
                <w:webHidden/>
              </w:rPr>
              <w:tab/>
            </w:r>
            <w:r>
              <w:rPr>
                <w:noProof/>
                <w:webHidden/>
              </w:rPr>
              <w:fldChar w:fldCharType="begin"/>
            </w:r>
            <w:r>
              <w:rPr>
                <w:noProof/>
                <w:webHidden/>
              </w:rPr>
              <w:instrText xml:space="preserve"> PAGEREF _Toc232146040 \h </w:instrText>
            </w:r>
            <w:r>
              <w:rPr>
                <w:noProof/>
                <w:webHidden/>
              </w:rPr>
            </w:r>
            <w:r>
              <w:rPr>
                <w:noProof/>
                <w:webHidden/>
              </w:rPr>
              <w:fldChar w:fldCharType="separate"/>
            </w:r>
            <w:r w:rsidR="00CD6001">
              <w:rPr>
                <w:noProof/>
                <w:webHidden/>
              </w:rPr>
              <w:t>7</w:t>
            </w:r>
            <w:r>
              <w:rPr>
                <w:noProof/>
                <w:webHidden/>
              </w:rPr>
              <w:fldChar w:fldCharType="end"/>
            </w:r>
          </w:hyperlink>
        </w:p>
        <w:p w:rsidR="00B4234D" w:rsidRDefault="00B4234D" w14:paraId="6B91E90A" w14:textId="19B62EA6">
          <w:pPr>
            <w:pStyle w:val="TOC1"/>
            <w:tabs>
              <w:tab w:val="right" w:leader="dot" w:pos="9350"/>
            </w:tabs>
            <w:rPr>
              <w:rFonts w:asciiTheme="minorHAnsi" w:hAnsiTheme="minorHAnsi" w:cstheme="minorBidi"/>
              <w:noProof/>
              <w:kern w:val="2"/>
              <w:sz w:val="24"/>
              <w:szCs w:val="24"/>
              <w14:ligatures w14:val="standardContextual"/>
            </w:rPr>
          </w:pPr>
          <w:hyperlink w:history="1" w:anchor="_Toc232146041">
            <w:r w:rsidRPr="002D2F92">
              <w:rPr>
                <w:rStyle w:val="Hyperlink"/>
                <w:bCs/>
                <w:noProof/>
              </w:rPr>
              <w:t>7.</w:t>
            </w:r>
            <w:r>
              <w:rPr>
                <w:rFonts w:asciiTheme="minorHAnsi" w:hAnsiTheme="minorHAnsi" w:cstheme="minorBidi"/>
                <w:noProof/>
                <w:kern w:val="2"/>
                <w:sz w:val="24"/>
                <w:szCs w:val="24"/>
                <w14:ligatures w14:val="standardContextual"/>
              </w:rPr>
              <w:tab/>
            </w:r>
            <w:r w:rsidRPr="002D2F92">
              <w:rPr>
                <w:rStyle w:val="Hyperlink"/>
                <w:noProof/>
              </w:rPr>
              <w:t>Technical Qualifications</w:t>
            </w:r>
            <w:r>
              <w:rPr>
                <w:noProof/>
                <w:webHidden/>
              </w:rPr>
              <w:tab/>
            </w:r>
            <w:r>
              <w:rPr>
                <w:noProof/>
                <w:webHidden/>
              </w:rPr>
              <w:fldChar w:fldCharType="begin"/>
            </w:r>
            <w:r>
              <w:rPr>
                <w:noProof/>
                <w:webHidden/>
              </w:rPr>
              <w:instrText xml:space="preserve"> PAGEREF _Toc232146041 \h </w:instrText>
            </w:r>
            <w:r>
              <w:rPr>
                <w:noProof/>
                <w:webHidden/>
              </w:rPr>
            </w:r>
            <w:r>
              <w:rPr>
                <w:noProof/>
                <w:webHidden/>
              </w:rPr>
              <w:fldChar w:fldCharType="separate"/>
            </w:r>
            <w:r w:rsidR="00CD6001">
              <w:rPr>
                <w:noProof/>
                <w:webHidden/>
              </w:rPr>
              <w:t>9</w:t>
            </w:r>
            <w:r>
              <w:rPr>
                <w:noProof/>
                <w:webHidden/>
              </w:rPr>
              <w:fldChar w:fldCharType="end"/>
            </w:r>
          </w:hyperlink>
        </w:p>
        <w:p w:rsidR="00B4234D" w:rsidRDefault="00B4234D" w14:paraId="57A6219D" w14:textId="0EE820B8">
          <w:pPr>
            <w:pStyle w:val="TOC1"/>
            <w:tabs>
              <w:tab w:val="right" w:leader="dot" w:pos="9350"/>
            </w:tabs>
            <w:rPr>
              <w:rFonts w:asciiTheme="minorHAnsi" w:hAnsiTheme="minorHAnsi" w:cstheme="minorBidi"/>
              <w:noProof/>
              <w:kern w:val="2"/>
              <w:sz w:val="24"/>
              <w:szCs w:val="24"/>
              <w14:ligatures w14:val="standardContextual"/>
            </w:rPr>
          </w:pPr>
          <w:hyperlink w:history="1" w:anchor="_Toc232146042">
            <w:r w:rsidRPr="002D2F92">
              <w:rPr>
                <w:rStyle w:val="Hyperlink"/>
                <w:bCs/>
                <w:noProof/>
              </w:rPr>
              <w:t>8.</w:t>
            </w:r>
            <w:r>
              <w:rPr>
                <w:rFonts w:asciiTheme="minorHAnsi" w:hAnsiTheme="minorHAnsi" w:cstheme="minorBidi"/>
                <w:noProof/>
                <w:kern w:val="2"/>
                <w:sz w:val="24"/>
                <w:szCs w:val="24"/>
                <w14:ligatures w14:val="standardContextual"/>
              </w:rPr>
              <w:tab/>
            </w:r>
            <w:r w:rsidRPr="002D2F92">
              <w:rPr>
                <w:rStyle w:val="Hyperlink"/>
                <w:noProof/>
              </w:rPr>
              <w:t>C</w:t>
            </w:r>
            <w:r w:rsidRPr="002D2F92">
              <w:rPr>
                <w:rStyle w:val="Hyperlink"/>
                <w:rFonts w:cs="Arial"/>
                <w:noProof/>
              </w:rPr>
              <w:t>ertification Requirements</w:t>
            </w:r>
            <w:r>
              <w:rPr>
                <w:noProof/>
                <w:webHidden/>
              </w:rPr>
              <w:tab/>
            </w:r>
            <w:r>
              <w:rPr>
                <w:noProof/>
                <w:webHidden/>
              </w:rPr>
              <w:fldChar w:fldCharType="begin"/>
            </w:r>
            <w:r>
              <w:rPr>
                <w:noProof/>
                <w:webHidden/>
              </w:rPr>
              <w:instrText xml:space="preserve"> PAGEREF _Toc232146042 \h </w:instrText>
            </w:r>
            <w:r>
              <w:rPr>
                <w:noProof/>
                <w:webHidden/>
              </w:rPr>
            </w:r>
            <w:r>
              <w:rPr>
                <w:noProof/>
                <w:webHidden/>
              </w:rPr>
              <w:fldChar w:fldCharType="separate"/>
            </w:r>
            <w:r w:rsidR="00CD6001">
              <w:rPr>
                <w:noProof/>
                <w:webHidden/>
              </w:rPr>
              <w:t>9</w:t>
            </w:r>
            <w:r>
              <w:rPr>
                <w:noProof/>
                <w:webHidden/>
              </w:rPr>
              <w:fldChar w:fldCharType="end"/>
            </w:r>
          </w:hyperlink>
        </w:p>
        <w:p w:rsidR="00B4234D" w:rsidRDefault="00B4234D" w14:paraId="1B645CFA" w14:textId="6625334A">
          <w:pPr>
            <w:pStyle w:val="TOC1"/>
            <w:tabs>
              <w:tab w:val="right" w:leader="dot" w:pos="9350"/>
            </w:tabs>
            <w:rPr>
              <w:rFonts w:asciiTheme="minorHAnsi" w:hAnsiTheme="minorHAnsi" w:cstheme="minorBidi"/>
              <w:noProof/>
              <w:kern w:val="2"/>
              <w:sz w:val="24"/>
              <w:szCs w:val="24"/>
              <w14:ligatures w14:val="standardContextual"/>
            </w:rPr>
          </w:pPr>
          <w:hyperlink w:history="1" w:anchor="_Toc232146043">
            <w:r w:rsidRPr="002D2F92">
              <w:rPr>
                <w:rStyle w:val="Hyperlink"/>
                <w:bCs/>
                <w:noProof/>
              </w:rPr>
              <w:t>9.</w:t>
            </w:r>
            <w:r>
              <w:rPr>
                <w:rFonts w:asciiTheme="minorHAnsi" w:hAnsiTheme="minorHAnsi" w:cstheme="minorBidi"/>
                <w:noProof/>
                <w:kern w:val="2"/>
                <w:sz w:val="24"/>
                <w:szCs w:val="24"/>
                <w14:ligatures w14:val="standardContextual"/>
              </w:rPr>
              <w:tab/>
            </w:r>
            <w:r w:rsidRPr="002D2F92">
              <w:rPr>
                <w:rStyle w:val="Hyperlink"/>
                <w:noProof/>
              </w:rPr>
              <w:t>Granting of DVF Utility Type</w:t>
            </w:r>
            <w:r>
              <w:rPr>
                <w:noProof/>
                <w:webHidden/>
              </w:rPr>
              <w:tab/>
            </w:r>
            <w:r>
              <w:rPr>
                <w:noProof/>
                <w:webHidden/>
              </w:rPr>
              <w:fldChar w:fldCharType="begin"/>
            </w:r>
            <w:r>
              <w:rPr>
                <w:noProof/>
                <w:webHidden/>
              </w:rPr>
              <w:instrText xml:space="preserve"> PAGEREF _Toc232146043 \h </w:instrText>
            </w:r>
            <w:r>
              <w:rPr>
                <w:noProof/>
                <w:webHidden/>
              </w:rPr>
            </w:r>
            <w:r>
              <w:rPr>
                <w:noProof/>
                <w:webHidden/>
              </w:rPr>
              <w:fldChar w:fldCharType="separate"/>
            </w:r>
            <w:r w:rsidR="00CD6001">
              <w:rPr>
                <w:noProof/>
                <w:webHidden/>
              </w:rPr>
              <w:t>11</w:t>
            </w:r>
            <w:r>
              <w:rPr>
                <w:noProof/>
                <w:webHidden/>
              </w:rPr>
              <w:fldChar w:fldCharType="end"/>
            </w:r>
          </w:hyperlink>
        </w:p>
        <w:p w:rsidR="00B4234D" w:rsidRDefault="00B4234D" w14:paraId="744FAD99" w14:textId="383CBB89">
          <w:pPr>
            <w:pStyle w:val="TOC1"/>
            <w:tabs>
              <w:tab w:val="right" w:leader="dot" w:pos="9350"/>
            </w:tabs>
            <w:rPr>
              <w:rFonts w:asciiTheme="minorHAnsi" w:hAnsiTheme="minorHAnsi" w:cstheme="minorBidi"/>
              <w:noProof/>
              <w:kern w:val="2"/>
              <w:sz w:val="24"/>
              <w:szCs w:val="24"/>
              <w14:ligatures w14:val="standardContextual"/>
            </w:rPr>
          </w:pPr>
          <w:hyperlink w:history="1" w:anchor="_Toc232146044">
            <w:r w:rsidRPr="002D2F92">
              <w:rPr>
                <w:rStyle w:val="Hyperlink"/>
                <w:bCs/>
                <w:noProof/>
              </w:rPr>
              <w:t>10.</w:t>
            </w:r>
            <w:r>
              <w:rPr>
                <w:rFonts w:asciiTheme="minorHAnsi" w:hAnsiTheme="minorHAnsi" w:cstheme="minorBidi"/>
                <w:noProof/>
                <w:kern w:val="2"/>
                <w:sz w:val="24"/>
                <w:szCs w:val="24"/>
                <w14:ligatures w14:val="standardContextual"/>
              </w:rPr>
              <w:tab/>
            </w:r>
            <w:r w:rsidRPr="002D2F92">
              <w:rPr>
                <w:rStyle w:val="Hyperlink"/>
                <w:noProof/>
              </w:rPr>
              <w:t>Tariffs</w:t>
            </w:r>
            <w:r>
              <w:rPr>
                <w:noProof/>
                <w:webHidden/>
              </w:rPr>
              <w:tab/>
            </w:r>
            <w:r>
              <w:rPr>
                <w:noProof/>
                <w:webHidden/>
              </w:rPr>
              <w:fldChar w:fldCharType="begin"/>
            </w:r>
            <w:r>
              <w:rPr>
                <w:noProof/>
                <w:webHidden/>
              </w:rPr>
              <w:instrText xml:space="preserve"> PAGEREF _Toc232146044 \h </w:instrText>
            </w:r>
            <w:r>
              <w:rPr>
                <w:noProof/>
                <w:webHidden/>
              </w:rPr>
            </w:r>
            <w:r>
              <w:rPr>
                <w:noProof/>
                <w:webHidden/>
              </w:rPr>
              <w:fldChar w:fldCharType="separate"/>
            </w:r>
            <w:r w:rsidR="00CD6001">
              <w:rPr>
                <w:noProof/>
                <w:webHidden/>
              </w:rPr>
              <w:t>12</w:t>
            </w:r>
            <w:r>
              <w:rPr>
                <w:noProof/>
                <w:webHidden/>
              </w:rPr>
              <w:fldChar w:fldCharType="end"/>
            </w:r>
          </w:hyperlink>
        </w:p>
        <w:p w:rsidR="00B4234D" w:rsidRDefault="00B4234D" w14:paraId="2FC3AB10" w14:textId="69ED2A6F">
          <w:pPr>
            <w:pStyle w:val="TOC1"/>
            <w:tabs>
              <w:tab w:val="right" w:leader="dot" w:pos="9350"/>
            </w:tabs>
            <w:rPr>
              <w:rFonts w:asciiTheme="minorHAnsi" w:hAnsiTheme="minorHAnsi" w:cstheme="minorBidi"/>
              <w:noProof/>
              <w:kern w:val="2"/>
              <w:sz w:val="24"/>
              <w:szCs w:val="24"/>
              <w14:ligatures w14:val="standardContextual"/>
            </w:rPr>
          </w:pPr>
          <w:hyperlink w:history="1" w:anchor="_Toc232146045">
            <w:r w:rsidRPr="002D2F92">
              <w:rPr>
                <w:rStyle w:val="Hyperlink"/>
                <w:rFonts w:cs="Arial"/>
                <w:bCs/>
                <w:noProof/>
              </w:rPr>
              <w:t>11.</w:t>
            </w:r>
            <w:r>
              <w:rPr>
                <w:rFonts w:asciiTheme="minorHAnsi" w:hAnsiTheme="minorHAnsi" w:cstheme="minorBidi"/>
                <w:noProof/>
                <w:kern w:val="2"/>
                <w:sz w:val="24"/>
                <w:szCs w:val="24"/>
                <w14:ligatures w14:val="standardContextual"/>
              </w:rPr>
              <w:tab/>
            </w:r>
            <w:r w:rsidRPr="002D2F92">
              <w:rPr>
                <w:rStyle w:val="Hyperlink"/>
                <w:rFonts w:cs="Arial"/>
                <w:noProof/>
              </w:rPr>
              <w:t>Safety Considerations</w:t>
            </w:r>
            <w:r>
              <w:rPr>
                <w:noProof/>
                <w:webHidden/>
              </w:rPr>
              <w:tab/>
            </w:r>
            <w:r>
              <w:rPr>
                <w:noProof/>
                <w:webHidden/>
              </w:rPr>
              <w:fldChar w:fldCharType="begin"/>
            </w:r>
            <w:r>
              <w:rPr>
                <w:noProof/>
                <w:webHidden/>
              </w:rPr>
              <w:instrText xml:space="preserve"> PAGEREF _Toc232146045 \h </w:instrText>
            </w:r>
            <w:r>
              <w:rPr>
                <w:noProof/>
                <w:webHidden/>
              </w:rPr>
            </w:r>
            <w:r>
              <w:rPr>
                <w:noProof/>
                <w:webHidden/>
              </w:rPr>
              <w:fldChar w:fldCharType="separate"/>
            </w:r>
            <w:r w:rsidR="00CD6001">
              <w:rPr>
                <w:noProof/>
                <w:webHidden/>
              </w:rPr>
              <w:t>13</w:t>
            </w:r>
            <w:r>
              <w:rPr>
                <w:noProof/>
                <w:webHidden/>
              </w:rPr>
              <w:fldChar w:fldCharType="end"/>
            </w:r>
          </w:hyperlink>
        </w:p>
        <w:p w:rsidR="00B4234D" w:rsidRDefault="00B4234D" w14:paraId="00864E9F" w14:textId="70128FC9">
          <w:pPr>
            <w:pStyle w:val="TOC1"/>
            <w:tabs>
              <w:tab w:val="right" w:leader="dot" w:pos="9350"/>
            </w:tabs>
            <w:rPr>
              <w:rFonts w:asciiTheme="minorHAnsi" w:hAnsiTheme="minorHAnsi" w:cstheme="minorBidi"/>
              <w:noProof/>
              <w:kern w:val="2"/>
              <w:sz w:val="24"/>
              <w:szCs w:val="24"/>
              <w14:ligatures w14:val="standardContextual"/>
            </w:rPr>
          </w:pPr>
          <w:hyperlink w:history="1" w:anchor="_Toc232146046">
            <w:r w:rsidRPr="002D2F92">
              <w:rPr>
                <w:rStyle w:val="Hyperlink"/>
                <w:bCs/>
                <w:noProof/>
              </w:rPr>
              <w:t>12.</w:t>
            </w:r>
            <w:r>
              <w:rPr>
                <w:rFonts w:asciiTheme="minorHAnsi" w:hAnsiTheme="minorHAnsi" w:cstheme="minorBidi"/>
                <w:noProof/>
                <w:kern w:val="2"/>
                <w:sz w:val="24"/>
                <w:szCs w:val="24"/>
                <w14:ligatures w14:val="standardContextual"/>
              </w:rPr>
              <w:tab/>
            </w:r>
            <w:r w:rsidRPr="002D2F92">
              <w:rPr>
                <w:rStyle w:val="Hyperlink"/>
                <w:noProof/>
              </w:rPr>
              <w:t>Conclusion</w:t>
            </w:r>
            <w:r>
              <w:rPr>
                <w:noProof/>
                <w:webHidden/>
              </w:rPr>
              <w:tab/>
            </w:r>
            <w:r>
              <w:rPr>
                <w:noProof/>
                <w:webHidden/>
              </w:rPr>
              <w:fldChar w:fldCharType="begin"/>
            </w:r>
            <w:r>
              <w:rPr>
                <w:noProof/>
                <w:webHidden/>
              </w:rPr>
              <w:instrText xml:space="preserve"> PAGEREF _Toc232146046 \h </w:instrText>
            </w:r>
            <w:r>
              <w:rPr>
                <w:noProof/>
                <w:webHidden/>
              </w:rPr>
            </w:r>
            <w:r>
              <w:rPr>
                <w:noProof/>
                <w:webHidden/>
              </w:rPr>
              <w:fldChar w:fldCharType="separate"/>
            </w:r>
            <w:r w:rsidR="00CD6001">
              <w:rPr>
                <w:noProof/>
                <w:webHidden/>
              </w:rPr>
              <w:t>14</w:t>
            </w:r>
            <w:r>
              <w:rPr>
                <w:noProof/>
                <w:webHidden/>
              </w:rPr>
              <w:fldChar w:fldCharType="end"/>
            </w:r>
          </w:hyperlink>
        </w:p>
        <w:p w:rsidR="00B4234D" w:rsidRDefault="00B4234D" w14:paraId="3B82DA04" w14:textId="44032081">
          <w:pPr>
            <w:pStyle w:val="TOC1"/>
            <w:tabs>
              <w:tab w:val="right" w:leader="dot" w:pos="9350"/>
            </w:tabs>
            <w:rPr>
              <w:rFonts w:asciiTheme="minorHAnsi" w:hAnsiTheme="minorHAnsi" w:cstheme="minorBidi"/>
              <w:noProof/>
              <w:kern w:val="2"/>
              <w:sz w:val="24"/>
              <w:szCs w:val="24"/>
              <w14:ligatures w14:val="standardContextual"/>
            </w:rPr>
          </w:pPr>
          <w:hyperlink w:history="1" w:anchor="_Toc232146047">
            <w:r w:rsidRPr="002D2F92">
              <w:rPr>
                <w:rStyle w:val="Hyperlink"/>
                <w:bCs/>
                <w:noProof/>
              </w:rPr>
              <w:t>13.</w:t>
            </w:r>
            <w:r>
              <w:rPr>
                <w:rFonts w:asciiTheme="minorHAnsi" w:hAnsiTheme="minorHAnsi" w:cstheme="minorBidi"/>
                <w:noProof/>
                <w:kern w:val="2"/>
                <w:sz w:val="24"/>
                <w:szCs w:val="24"/>
                <w14:ligatures w14:val="standardContextual"/>
              </w:rPr>
              <w:tab/>
            </w:r>
            <w:r w:rsidRPr="002D2F92">
              <w:rPr>
                <w:rStyle w:val="Hyperlink"/>
                <w:noProof/>
              </w:rPr>
              <w:t>Additional Requirements for Applicants Following Commission’s Grant of CPCN</w:t>
            </w:r>
            <w:r>
              <w:rPr>
                <w:noProof/>
                <w:webHidden/>
              </w:rPr>
              <w:tab/>
            </w:r>
            <w:r>
              <w:rPr>
                <w:noProof/>
                <w:webHidden/>
              </w:rPr>
              <w:fldChar w:fldCharType="begin"/>
            </w:r>
            <w:r>
              <w:rPr>
                <w:noProof/>
                <w:webHidden/>
              </w:rPr>
              <w:instrText xml:space="preserve"> PAGEREF _Toc232146047 \h </w:instrText>
            </w:r>
            <w:r>
              <w:rPr>
                <w:noProof/>
                <w:webHidden/>
              </w:rPr>
            </w:r>
            <w:r>
              <w:rPr>
                <w:noProof/>
                <w:webHidden/>
              </w:rPr>
              <w:fldChar w:fldCharType="separate"/>
            </w:r>
            <w:r w:rsidR="00CD6001">
              <w:rPr>
                <w:noProof/>
                <w:webHidden/>
              </w:rPr>
              <w:t>15</w:t>
            </w:r>
            <w:r>
              <w:rPr>
                <w:noProof/>
                <w:webHidden/>
              </w:rPr>
              <w:fldChar w:fldCharType="end"/>
            </w:r>
          </w:hyperlink>
        </w:p>
        <w:p w:rsidR="00B4234D" w:rsidRDefault="00B4234D" w14:paraId="25F2A465" w14:textId="5310F1EE">
          <w:pPr>
            <w:pStyle w:val="TOC1"/>
            <w:tabs>
              <w:tab w:val="right" w:leader="dot" w:pos="9350"/>
            </w:tabs>
            <w:rPr>
              <w:rFonts w:asciiTheme="minorHAnsi" w:hAnsiTheme="minorHAnsi" w:cstheme="minorBidi"/>
              <w:noProof/>
              <w:kern w:val="2"/>
              <w:sz w:val="24"/>
              <w:szCs w:val="24"/>
              <w14:ligatures w14:val="standardContextual"/>
            </w:rPr>
          </w:pPr>
          <w:hyperlink w:history="1" w:anchor="_Toc232146048">
            <w:r w:rsidRPr="002D2F92">
              <w:rPr>
                <w:rStyle w:val="Hyperlink"/>
                <w:bCs/>
                <w:noProof/>
              </w:rPr>
              <w:t>14.</w:t>
            </w:r>
            <w:r>
              <w:rPr>
                <w:rFonts w:asciiTheme="minorHAnsi" w:hAnsiTheme="minorHAnsi" w:cstheme="minorBidi"/>
                <w:noProof/>
                <w:kern w:val="2"/>
                <w:sz w:val="24"/>
                <w:szCs w:val="24"/>
                <w14:ligatures w14:val="standardContextual"/>
              </w:rPr>
              <w:tab/>
            </w:r>
            <w:r w:rsidRPr="002D2F92">
              <w:rPr>
                <w:rStyle w:val="Hyperlink"/>
                <w:noProof/>
              </w:rPr>
              <w:t>Confidential Treatment of Documents and Other Procedural Matters</w:t>
            </w:r>
            <w:r>
              <w:rPr>
                <w:noProof/>
                <w:webHidden/>
              </w:rPr>
              <w:tab/>
            </w:r>
            <w:r>
              <w:rPr>
                <w:noProof/>
                <w:webHidden/>
              </w:rPr>
              <w:fldChar w:fldCharType="begin"/>
            </w:r>
            <w:r>
              <w:rPr>
                <w:noProof/>
                <w:webHidden/>
              </w:rPr>
              <w:instrText xml:space="preserve"> PAGEREF _Toc232146048 \h </w:instrText>
            </w:r>
            <w:r>
              <w:rPr>
                <w:noProof/>
                <w:webHidden/>
              </w:rPr>
            </w:r>
            <w:r>
              <w:rPr>
                <w:noProof/>
                <w:webHidden/>
              </w:rPr>
              <w:fldChar w:fldCharType="separate"/>
            </w:r>
            <w:r w:rsidR="00CD6001">
              <w:rPr>
                <w:noProof/>
                <w:webHidden/>
              </w:rPr>
              <w:t>16</w:t>
            </w:r>
            <w:r>
              <w:rPr>
                <w:noProof/>
                <w:webHidden/>
              </w:rPr>
              <w:fldChar w:fldCharType="end"/>
            </w:r>
          </w:hyperlink>
        </w:p>
        <w:p w:rsidR="00B4234D" w:rsidRDefault="00B4234D" w14:paraId="68998CEF" w14:textId="3AF48CD7">
          <w:pPr>
            <w:pStyle w:val="TOC1"/>
            <w:tabs>
              <w:tab w:val="right" w:leader="dot" w:pos="9350"/>
            </w:tabs>
            <w:rPr>
              <w:rFonts w:asciiTheme="minorHAnsi" w:hAnsiTheme="minorHAnsi" w:cstheme="minorBidi"/>
              <w:noProof/>
              <w:kern w:val="2"/>
              <w:sz w:val="24"/>
              <w:szCs w:val="24"/>
              <w14:ligatures w14:val="standardContextual"/>
            </w:rPr>
          </w:pPr>
          <w:hyperlink w:history="1" w:anchor="_Toc232146049">
            <w:r w:rsidRPr="002D2F92">
              <w:rPr>
                <w:rStyle w:val="Hyperlink"/>
                <w:bCs/>
                <w:noProof/>
              </w:rPr>
              <w:t>15.</w:t>
            </w:r>
            <w:r>
              <w:rPr>
                <w:rFonts w:asciiTheme="minorHAnsi" w:hAnsiTheme="minorHAnsi" w:cstheme="minorBidi"/>
                <w:noProof/>
                <w:kern w:val="2"/>
                <w:sz w:val="24"/>
                <w:szCs w:val="24"/>
                <w14:ligatures w14:val="standardContextual"/>
              </w:rPr>
              <w:tab/>
            </w:r>
            <w:r w:rsidRPr="002D2F92">
              <w:rPr>
                <w:rStyle w:val="Hyperlink"/>
                <w:noProof/>
              </w:rPr>
              <w:t>Summary of Public Comments</w:t>
            </w:r>
            <w:r>
              <w:rPr>
                <w:noProof/>
                <w:webHidden/>
              </w:rPr>
              <w:tab/>
            </w:r>
            <w:r>
              <w:rPr>
                <w:noProof/>
                <w:webHidden/>
              </w:rPr>
              <w:fldChar w:fldCharType="begin"/>
            </w:r>
            <w:r>
              <w:rPr>
                <w:noProof/>
                <w:webHidden/>
              </w:rPr>
              <w:instrText xml:space="preserve"> PAGEREF _Toc232146049 \h </w:instrText>
            </w:r>
            <w:r>
              <w:rPr>
                <w:noProof/>
                <w:webHidden/>
              </w:rPr>
            </w:r>
            <w:r>
              <w:rPr>
                <w:noProof/>
                <w:webHidden/>
              </w:rPr>
              <w:fldChar w:fldCharType="separate"/>
            </w:r>
            <w:r w:rsidR="00CD6001">
              <w:rPr>
                <w:noProof/>
                <w:webHidden/>
              </w:rPr>
              <w:t>17</w:t>
            </w:r>
            <w:r>
              <w:rPr>
                <w:noProof/>
                <w:webHidden/>
              </w:rPr>
              <w:fldChar w:fldCharType="end"/>
            </w:r>
          </w:hyperlink>
        </w:p>
        <w:p w:rsidR="00B4234D" w:rsidRDefault="00B4234D" w14:paraId="65C08949" w14:textId="73D615B2">
          <w:pPr>
            <w:pStyle w:val="TOC1"/>
            <w:tabs>
              <w:tab w:val="right" w:leader="dot" w:pos="9350"/>
            </w:tabs>
            <w:rPr>
              <w:rFonts w:asciiTheme="minorHAnsi" w:hAnsiTheme="minorHAnsi" w:cstheme="minorBidi"/>
              <w:noProof/>
              <w:kern w:val="2"/>
              <w:sz w:val="24"/>
              <w:szCs w:val="24"/>
              <w14:ligatures w14:val="standardContextual"/>
            </w:rPr>
          </w:pPr>
          <w:hyperlink w:history="1" w:anchor="_Toc232146050">
            <w:r w:rsidRPr="002D2F92">
              <w:rPr>
                <w:rStyle w:val="Hyperlink"/>
                <w:bCs/>
                <w:noProof/>
              </w:rPr>
              <w:t>16.</w:t>
            </w:r>
            <w:r>
              <w:rPr>
                <w:rFonts w:asciiTheme="minorHAnsi" w:hAnsiTheme="minorHAnsi" w:cstheme="minorBidi"/>
                <w:noProof/>
                <w:kern w:val="2"/>
                <w:sz w:val="24"/>
                <w:szCs w:val="24"/>
                <w14:ligatures w14:val="standardContextual"/>
              </w:rPr>
              <w:tab/>
            </w:r>
            <w:r w:rsidRPr="002D2F92">
              <w:rPr>
                <w:rStyle w:val="Hyperlink"/>
                <w:noProof/>
              </w:rPr>
              <w:t>Comments on Draft Decision</w:t>
            </w:r>
            <w:r>
              <w:rPr>
                <w:noProof/>
                <w:webHidden/>
              </w:rPr>
              <w:tab/>
            </w:r>
            <w:r>
              <w:rPr>
                <w:noProof/>
                <w:webHidden/>
              </w:rPr>
              <w:fldChar w:fldCharType="begin"/>
            </w:r>
            <w:r>
              <w:rPr>
                <w:noProof/>
                <w:webHidden/>
              </w:rPr>
              <w:instrText xml:space="preserve"> PAGEREF _Toc232146050 \h </w:instrText>
            </w:r>
            <w:r>
              <w:rPr>
                <w:noProof/>
                <w:webHidden/>
              </w:rPr>
            </w:r>
            <w:r>
              <w:rPr>
                <w:noProof/>
                <w:webHidden/>
              </w:rPr>
              <w:fldChar w:fldCharType="separate"/>
            </w:r>
            <w:r w:rsidR="00CD6001">
              <w:rPr>
                <w:noProof/>
                <w:webHidden/>
              </w:rPr>
              <w:t>17</w:t>
            </w:r>
            <w:r>
              <w:rPr>
                <w:noProof/>
                <w:webHidden/>
              </w:rPr>
              <w:fldChar w:fldCharType="end"/>
            </w:r>
          </w:hyperlink>
        </w:p>
        <w:p w:rsidR="00B4234D" w:rsidRDefault="00B4234D" w14:paraId="265F94E8" w14:textId="071EB654">
          <w:pPr>
            <w:pStyle w:val="TOC1"/>
            <w:tabs>
              <w:tab w:val="right" w:leader="dot" w:pos="9350"/>
            </w:tabs>
            <w:rPr>
              <w:rFonts w:asciiTheme="minorHAnsi" w:hAnsiTheme="minorHAnsi" w:cstheme="minorBidi"/>
              <w:noProof/>
              <w:kern w:val="2"/>
              <w:sz w:val="24"/>
              <w:szCs w:val="24"/>
              <w14:ligatures w14:val="standardContextual"/>
            </w:rPr>
          </w:pPr>
          <w:hyperlink w:history="1" w:anchor="_Toc232146051">
            <w:r w:rsidRPr="002D2F92">
              <w:rPr>
                <w:rStyle w:val="Hyperlink"/>
                <w:bCs/>
                <w:noProof/>
              </w:rPr>
              <w:t>17.</w:t>
            </w:r>
            <w:r>
              <w:rPr>
                <w:rFonts w:asciiTheme="minorHAnsi" w:hAnsiTheme="minorHAnsi" w:cstheme="minorBidi"/>
                <w:noProof/>
                <w:kern w:val="2"/>
                <w:sz w:val="24"/>
                <w:szCs w:val="24"/>
                <w14:ligatures w14:val="standardContextual"/>
              </w:rPr>
              <w:tab/>
            </w:r>
            <w:r w:rsidRPr="002D2F92">
              <w:rPr>
                <w:rStyle w:val="Hyperlink"/>
                <w:noProof/>
              </w:rPr>
              <w:t>Assignment of Proceeding</w:t>
            </w:r>
            <w:r>
              <w:rPr>
                <w:noProof/>
                <w:webHidden/>
              </w:rPr>
              <w:tab/>
            </w:r>
            <w:r>
              <w:rPr>
                <w:noProof/>
                <w:webHidden/>
              </w:rPr>
              <w:fldChar w:fldCharType="begin"/>
            </w:r>
            <w:r>
              <w:rPr>
                <w:noProof/>
                <w:webHidden/>
              </w:rPr>
              <w:instrText xml:space="preserve"> PAGEREF _Toc232146051 \h </w:instrText>
            </w:r>
            <w:r>
              <w:rPr>
                <w:noProof/>
                <w:webHidden/>
              </w:rPr>
            </w:r>
            <w:r>
              <w:rPr>
                <w:noProof/>
                <w:webHidden/>
              </w:rPr>
              <w:fldChar w:fldCharType="separate"/>
            </w:r>
            <w:r w:rsidR="00CD6001">
              <w:rPr>
                <w:noProof/>
                <w:webHidden/>
              </w:rPr>
              <w:t>17</w:t>
            </w:r>
            <w:r>
              <w:rPr>
                <w:noProof/>
                <w:webHidden/>
              </w:rPr>
              <w:fldChar w:fldCharType="end"/>
            </w:r>
          </w:hyperlink>
        </w:p>
        <w:p w:rsidR="00B4234D" w:rsidRDefault="00B4234D" w14:paraId="3BE04486" w14:textId="41F849D7">
          <w:pPr>
            <w:pStyle w:val="TOC1"/>
            <w:tabs>
              <w:tab w:val="right" w:leader="dot" w:pos="9350"/>
            </w:tabs>
            <w:rPr>
              <w:rFonts w:asciiTheme="minorHAnsi" w:hAnsiTheme="minorHAnsi" w:cstheme="minorBidi"/>
              <w:noProof/>
              <w:kern w:val="2"/>
              <w:sz w:val="24"/>
              <w:szCs w:val="24"/>
              <w14:ligatures w14:val="standardContextual"/>
            </w:rPr>
          </w:pPr>
          <w:hyperlink w:history="1" w:anchor="_Toc232146052">
            <w:r w:rsidRPr="002D2F92">
              <w:rPr>
                <w:rStyle w:val="Hyperlink"/>
                <w:noProof/>
              </w:rPr>
              <w:t>Findings of Fact</w:t>
            </w:r>
            <w:r>
              <w:rPr>
                <w:noProof/>
                <w:webHidden/>
              </w:rPr>
              <w:tab/>
            </w:r>
            <w:r>
              <w:rPr>
                <w:noProof/>
                <w:webHidden/>
              </w:rPr>
              <w:fldChar w:fldCharType="begin"/>
            </w:r>
            <w:r>
              <w:rPr>
                <w:noProof/>
                <w:webHidden/>
              </w:rPr>
              <w:instrText xml:space="preserve"> PAGEREF _Toc232146052 \h </w:instrText>
            </w:r>
            <w:r>
              <w:rPr>
                <w:noProof/>
                <w:webHidden/>
              </w:rPr>
            </w:r>
            <w:r>
              <w:rPr>
                <w:noProof/>
                <w:webHidden/>
              </w:rPr>
              <w:fldChar w:fldCharType="separate"/>
            </w:r>
            <w:r w:rsidR="00CD6001">
              <w:rPr>
                <w:noProof/>
                <w:webHidden/>
              </w:rPr>
              <w:t>17</w:t>
            </w:r>
            <w:r>
              <w:rPr>
                <w:noProof/>
                <w:webHidden/>
              </w:rPr>
              <w:fldChar w:fldCharType="end"/>
            </w:r>
          </w:hyperlink>
        </w:p>
        <w:p w:rsidR="00B4234D" w:rsidRDefault="00B4234D" w14:paraId="25B1A405" w14:textId="3E48386E">
          <w:pPr>
            <w:pStyle w:val="TOC1"/>
            <w:tabs>
              <w:tab w:val="right" w:leader="dot" w:pos="9350"/>
            </w:tabs>
            <w:rPr>
              <w:rFonts w:asciiTheme="minorHAnsi" w:hAnsiTheme="minorHAnsi" w:cstheme="minorBidi"/>
              <w:noProof/>
              <w:kern w:val="2"/>
              <w:sz w:val="24"/>
              <w:szCs w:val="24"/>
              <w14:ligatures w14:val="standardContextual"/>
            </w:rPr>
          </w:pPr>
          <w:hyperlink w:history="1" w:anchor="_Toc232146053">
            <w:r w:rsidRPr="002D2F92">
              <w:rPr>
                <w:rStyle w:val="Hyperlink"/>
                <w:noProof/>
              </w:rPr>
              <w:t>Conclusions of Law</w:t>
            </w:r>
            <w:r>
              <w:rPr>
                <w:noProof/>
                <w:webHidden/>
              </w:rPr>
              <w:tab/>
            </w:r>
            <w:r>
              <w:rPr>
                <w:noProof/>
                <w:webHidden/>
              </w:rPr>
              <w:fldChar w:fldCharType="begin"/>
            </w:r>
            <w:r>
              <w:rPr>
                <w:noProof/>
                <w:webHidden/>
              </w:rPr>
              <w:instrText xml:space="preserve"> PAGEREF _Toc232146053 \h </w:instrText>
            </w:r>
            <w:r>
              <w:rPr>
                <w:noProof/>
                <w:webHidden/>
              </w:rPr>
            </w:r>
            <w:r>
              <w:rPr>
                <w:noProof/>
                <w:webHidden/>
              </w:rPr>
              <w:fldChar w:fldCharType="separate"/>
            </w:r>
            <w:r w:rsidR="00CD6001">
              <w:rPr>
                <w:noProof/>
                <w:webHidden/>
              </w:rPr>
              <w:t>20</w:t>
            </w:r>
            <w:r>
              <w:rPr>
                <w:noProof/>
                <w:webHidden/>
              </w:rPr>
              <w:fldChar w:fldCharType="end"/>
            </w:r>
          </w:hyperlink>
        </w:p>
        <w:p w:rsidR="00B4234D" w:rsidRDefault="00B4234D" w14:paraId="2AEE1767" w14:textId="4C3608E8">
          <w:pPr>
            <w:pStyle w:val="TOC1"/>
            <w:tabs>
              <w:tab w:val="right" w:leader="dot" w:pos="9350"/>
            </w:tabs>
            <w:rPr>
              <w:rFonts w:asciiTheme="minorHAnsi" w:hAnsiTheme="minorHAnsi" w:cstheme="minorBidi"/>
              <w:noProof/>
              <w:kern w:val="2"/>
              <w:sz w:val="24"/>
              <w:szCs w:val="24"/>
              <w14:ligatures w14:val="standardContextual"/>
            </w:rPr>
          </w:pPr>
          <w:hyperlink w:history="1" w:anchor="_Toc232146054">
            <w:r w:rsidRPr="002D2F92">
              <w:rPr>
                <w:rStyle w:val="Hyperlink"/>
                <w:noProof/>
              </w:rPr>
              <w:t>ORDER</w:t>
            </w:r>
            <w:r>
              <w:rPr>
                <w:noProof/>
                <w:webHidden/>
              </w:rPr>
              <w:tab/>
            </w:r>
            <w:r>
              <w:rPr>
                <w:noProof/>
                <w:webHidden/>
              </w:rPr>
              <w:fldChar w:fldCharType="begin"/>
            </w:r>
            <w:r>
              <w:rPr>
                <w:noProof/>
                <w:webHidden/>
              </w:rPr>
              <w:instrText xml:space="preserve"> PAGEREF _Toc232146054 \h </w:instrText>
            </w:r>
            <w:r>
              <w:rPr>
                <w:noProof/>
                <w:webHidden/>
              </w:rPr>
            </w:r>
            <w:r>
              <w:rPr>
                <w:noProof/>
                <w:webHidden/>
              </w:rPr>
              <w:fldChar w:fldCharType="separate"/>
            </w:r>
            <w:r w:rsidR="00CD6001">
              <w:rPr>
                <w:noProof/>
                <w:webHidden/>
              </w:rPr>
              <w:t>22</w:t>
            </w:r>
            <w:r>
              <w:rPr>
                <w:noProof/>
                <w:webHidden/>
              </w:rPr>
              <w:fldChar w:fldCharType="end"/>
            </w:r>
          </w:hyperlink>
        </w:p>
        <w:p w:rsidR="00CC2F1C" w:rsidP="47B733BA" w:rsidRDefault="00CC2F1C" w14:paraId="35FB150D" w14:textId="0B049E1E">
          <w:pPr>
            <w:pStyle w:val="TOC1"/>
            <w:tabs>
              <w:tab w:val="right" w:leader="dot" w:pos="9345"/>
            </w:tabs>
            <w:rPr>
              <w:rStyle w:val="Hyperlink"/>
              <w:noProof/>
              <w:kern w:val="2"/>
              <w14:ligatures w14:val="standardContextual"/>
            </w:rPr>
          </w:pPr>
          <w:r w:rsidRPr="005F7ECE">
            <w:fldChar w:fldCharType="end"/>
          </w:r>
        </w:p>
      </w:sdtContent>
    </w:sdt>
    <w:p w:rsidRPr="0098655A" w:rsidR="0098655A" w:rsidP="002F0B42" w:rsidRDefault="002F0B42" w14:paraId="0A1385A8" w14:textId="77777777">
      <w:pPr>
        <w:spacing w:line="240" w:lineRule="auto"/>
        <w:ind w:firstLine="0"/>
        <w:rPr>
          <w:rFonts w:cs="Arial"/>
          <w:szCs w:val="26"/>
        </w:rPr>
      </w:pPr>
      <w:r>
        <w:rPr>
          <w:rFonts w:cs="Arial"/>
          <w:b/>
          <w:szCs w:val="26"/>
        </w:rPr>
        <w:t>Attachment</w:t>
      </w:r>
      <w:r w:rsidRPr="0098655A" w:rsidR="0098655A">
        <w:rPr>
          <w:rFonts w:cs="Arial"/>
          <w:b/>
          <w:szCs w:val="26"/>
        </w:rPr>
        <w:t xml:space="preserve"> A</w:t>
      </w:r>
      <w:r w:rsidRPr="0098655A" w:rsidR="0098655A">
        <w:rPr>
          <w:rFonts w:cs="Arial"/>
          <w:szCs w:val="26"/>
        </w:rPr>
        <w:t xml:space="preserve"> –</w:t>
      </w:r>
      <w:r w:rsidR="00E23CBB">
        <w:rPr>
          <w:rFonts w:cs="Arial"/>
          <w:szCs w:val="26"/>
        </w:rPr>
        <w:t xml:space="preserve"> </w:t>
      </w:r>
      <w:r w:rsidRPr="002F0B42">
        <w:rPr>
          <w:rFonts w:cs="Arial"/>
          <w:szCs w:val="26"/>
        </w:rPr>
        <w:t>Tariff Deficiencies</w:t>
      </w:r>
      <w:r w:rsidRPr="002F0B42" w:rsidDel="002F0B42">
        <w:rPr>
          <w:rFonts w:cs="Arial"/>
          <w:szCs w:val="26"/>
        </w:rPr>
        <w:t xml:space="preserve"> </w:t>
      </w:r>
    </w:p>
    <w:p w:rsidRPr="0098655A" w:rsidR="0098655A" w:rsidP="002F0B42" w:rsidRDefault="0098655A" w14:paraId="29FB35B4" w14:textId="77777777">
      <w:pPr>
        <w:spacing w:line="240" w:lineRule="auto"/>
        <w:ind w:firstLine="0"/>
        <w:rPr>
          <w:rFonts w:cs="Arial"/>
          <w:szCs w:val="26"/>
        </w:rPr>
      </w:pPr>
      <w:r w:rsidRPr="0098655A">
        <w:rPr>
          <w:rFonts w:cs="Arial"/>
          <w:b/>
          <w:szCs w:val="26"/>
        </w:rPr>
        <w:t>A</w:t>
      </w:r>
      <w:r w:rsidR="002F0B42">
        <w:rPr>
          <w:rFonts w:cs="Arial"/>
          <w:b/>
          <w:szCs w:val="26"/>
        </w:rPr>
        <w:t>ttachment</w:t>
      </w:r>
      <w:r w:rsidRPr="0098655A">
        <w:rPr>
          <w:rFonts w:cs="Arial"/>
          <w:b/>
          <w:szCs w:val="26"/>
        </w:rPr>
        <w:t xml:space="preserve"> B</w:t>
      </w:r>
      <w:r w:rsidRPr="0098655A">
        <w:rPr>
          <w:rFonts w:cs="Arial"/>
          <w:szCs w:val="26"/>
        </w:rPr>
        <w:t xml:space="preserve"> – </w:t>
      </w:r>
      <w:r w:rsidRPr="002F0B42" w:rsidR="002F0B42">
        <w:rPr>
          <w:rFonts w:cs="Arial"/>
          <w:szCs w:val="26"/>
        </w:rPr>
        <w:t>Requirements Applicable to Competitive Local Exchange Carriers and Interexchange Carriers</w:t>
      </w:r>
      <w:r w:rsidRPr="002F0B42" w:rsidDel="002F0B42" w:rsidR="002F0B42">
        <w:rPr>
          <w:rFonts w:cs="Arial"/>
          <w:szCs w:val="26"/>
        </w:rPr>
        <w:t xml:space="preserve"> </w:t>
      </w:r>
    </w:p>
    <w:p w:rsidR="00F76650" w:rsidP="002F0B42" w:rsidRDefault="0098655A" w14:paraId="254812A8" w14:textId="77777777">
      <w:pPr>
        <w:spacing w:line="240" w:lineRule="auto"/>
        <w:ind w:firstLine="0"/>
        <w:rPr>
          <w:rFonts w:cs="Arial"/>
          <w:szCs w:val="26"/>
        </w:rPr>
      </w:pPr>
      <w:r w:rsidRPr="0098655A">
        <w:rPr>
          <w:rFonts w:cs="Arial"/>
          <w:b/>
          <w:szCs w:val="26"/>
        </w:rPr>
        <w:t>A</w:t>
      </w:r>
      <w:r w:rsidR="002F0B42">
        <w:rPr>
          <w:rFonts w:cs="Arial"/>
          <w:b/>
          <w:szCs w:val="26"/>
        </w:rPr>
        <w:t>ttachment</w:t>
      </w:r>
      <w:r w:rsidRPr="0098655A">
        <w:rPr>
          <w:rFonts w:cs="Arial"/>
          <w:b/>
          <w:szCs w:val="26"/>
        </w:rPr>
        <w:t xml:space="preserve"> C</w:t>
      </w:r>
      <w:r w:rsidRPr="0098655A">
        <w:rPr>
          <w:rFonts w:cs="Arial"/>
          <w:szCs w:val="26"/>
        </w:rPr>
        <w:t xml:space="preserve"> – </w:t>
      </w:r>
      <w:r w:rsidRPr="002F0B42" w:rsidR="002F0B42">
        <w:rPr>
          <w:rFonts w:cs="Arial"/>
          <w:szCs w:val="26"/>
        </w:rPr>
        <w:t>Annual Report</w:t>
      </w:r>
      <w:r w:rsidRPr="002F0B42" w:rsidDel="002F0B42" w:rsidR="002F0B42">
        <w:rPr>
          <w:rFonts w:cs="Arial"/>
          <w:szCs w:val="26"/>
        </w:rPr>
        <w:t xml:space="preserve"> </w:t>
      </w:r>
    </w:p>
    <w:p w:rsidRPr="00D44DB6" w:rsidR="00D44DB6" w:rsidP="002F0B42" w:rsidRDefault="002F0B42" w14:paraId="59008FD2" w14:textId="77777777">
      <w:pPr>
        <w:spacing w:line="240" w:lineRule="auto"/>
        <w:ind w:firstLine="0"/>
        <w:rPr>
          <w:rFonts w:cs="Arial"/>
          <w:i/>
          <w:szCs w:val="26"/>
        </w:rPr>
        <w:sectPr w:rsidRPr="00D44DB6" w:rsidR="00D44DB6" w:rsidSect="00D44DB6">
          <w:headerReference w:type="default" r:id="rId15"/>
          <w:footerReference w:type="default" r:id="rId16"/>
          <w:pgSz w:w="12240" w:h="15840"/>
          <w:pgMar w:top="1728" w:right="1440" w:bottom="1440" w:left="1440" w:header="720" w:footer="720" w:gutter="0"/>
          <w:pgNumType w:fmt="lowerRoman" w:start="1"/>
          <w:cols w:space="720"/>
          <w:docGrid w:linePitch="360"/>
        </w:sectPr>
      </w:pPr>
      <w:r w:rsidRPr="002F0B42">
        <w:rPr>
          <w:rFonts w:cs="Arial"/>
          <w:b/>
          <w:szCs w:val="26"/>
        </w:rPr>
        <w:t xml:space="preserve">Attachment </w:t>
      </w:r>
      <w:r>
        <w:rPr>
          <w:rFonts w:cs="Arial"/>
          <w:b/>
          <w:szCs w:val="26"/>
        </w:rPr>
        <w:t>D</w:t>
      </w:r>
      <w:r w:rsidRPr="002F0B42">
        <w:rPr>
          <w:rFonts w:cs="Arial"/>
          <w:szCs w:val="26"/>
        </w:rPr>
        <w:t xml:space="preserve"> – </w:t>
      </w:r>
      <w:r>
        <w:rPr>
          <w:rFonts w:cs="Arial"/>
          <w:szCs w:val="26"/>
        </w:rPr>
        <w:t>Calendar Year Affiliate Transaction Report</w:t>
      </w:r>
      <w:r w:rsidRPr="002F0B42" w:rsidDel="002F0B42">
        <w:rPr>
          <w:rFonts w:cs="Arial"/>
          <w:szCs w:val="26"/>
        </w:rPr>
        <w:t xml:space="preserve"> </w:t>
      </w:r>
    </w:p>
    <w:p w:rsidRPr="002E0757" w:rsidR="006F2150" w:rsidP="00170FDB" w:rsidRDefault="001505C6" w14:paraId="06A2142F" w14:textId="7258EFC2">
      <w:pPr>
        <w:pStyle w:val="Dummy"/>
        <w:jc w:val="center"/>
        <w:rPr>
          <w:color w:val="000000" w:themeColor="text1"/>
        </w:rPr>
      </w:pPr>
      <w:bookmarkStart w:name="_Toc232146033" w:id="0"/>
      <w:bookmarkStart w:name="_Toc8123714" w:id="1"/>
      <w:r w:rsidRPr="002E0757">
        <w:rPr>
          <w:color w:val="000000" w:themeColor="text1"/>
        </w:rPr>
        <w:lastRenderedPageBreak/>
        <w:t>DECISION GRANTING ENHANCED COMMUNICATIONS NETWORK, INC.</w:t>
      </w:r>
      <w:r w:rsidRPr="002E0757" w:rsidR="000722FF">
        <w:rPr>
          <w:color w:val="000000" w:themeColor="text1"/>
        </w:rPr>
        <w:t xml:space="preserve"> </w:t>
      </w:r>
      <w:r w:rsidRPr="002E0757" w:rsidR="000722FF">
        <w:rPr>
          <w:rFonts w:eastAsia="Times New Roman"/>
          <w:color w:val="000000" w:themeColor="text1"/>
          <w:szCs w:val="20"/>
        </w:rPr>
        <w:t>D/B/A ASIAN AMERICAN ASSOCIATION TELECOM SERVICES</w:t>
      </w:r>
      <w:r w:rsidRPr="002E0757">
        <w:rPr>
          <w:color w:val="000000" w:themeColor="text1"/>
        </w:rPr>
        <w:t xml:space="preserve"> A CERTIFICATE OF PUBLIC CONVENIENCE AND NECESSITY TO </w:t>
      </w:r>
      <w:r w:rsidR="000C4C2C">
        <w:rPr>
          <w:color w:val="000000" w:themeColor="text1"/>
        </w:rPr>
        <w:br/>
      </w:r>
      <w:r w:rsidRPr="003204A5">
        <w:rPr>
          <w:color w:val="000000" w:themeColor="text1"/>
        </w:rPr>
        <w:t xml:space="preserve">PROVIDE FIXED INTERCONNECTED VOICE OVER </w:t>
      </w:r>
      <w:r w:rsidRPr="003204A5" w:rsidR="000C4C2C">
        <w:rPr>
          <w:color w:val="000000" w:themeColor="text1"/>
        </w:rPr>
        <w:br/>
      </w:r>
      <w:r w:rsidRPr="003204A5">
        <w:rPr>
          <w:color w:val="000000" w:themeColor="text1"/>
        </w:rPr>
        <w:t>INTERNET PROTOCOL SERVICES</w:t>
      </w:r>
      <w:bookmarkEnd w:id="0"/>
    </w:p>
    <w:p w:rsidRPr="002E0757" w:rsidR="005A148C" w:rsidP="005A148C" w:rsidRDefault="005A148C" w14:paraId="059A4E7F" w14:textId="79E2A35D">
      <w:pPr>
        <w:pStyle w:val="Dummy"/>
        <w:rPr>
          <w:color w:val="000000" w:themeColor="text1"/>
        </w:rPr>
      </w:pPr>
      <w:bookmarkStart w:name="_Toc232146034" w:id="2"/>
      <w:r w:rsidRPr="002E0757">
        <w:rPr>
          <w:color w:val="000000" w:themeColor="text1"/>
        </w:rPr>
        <w:t>Summary</w:t>
      </w:r>
      <w:bookmarkEnd w:id="1"/>
      <w:bookmarkEnd w:id="2"/>
    </w:p>
    <w:p w:rsidRPr="002E0757" w:rsidR="0073353F" w:rsidP="008A0233" w:rsidRDefault="001912E8" w14:paraId="0BC2247F" w14:textId="5E229C87">
      <w:pPr>
        <w:pStyle w:val="Standard"/>
        <w:rPr>
          <w:color w:val="000000" w:themeColor="text1"/>
        </w:rPr>
      </w:pPr>
      <w:r w:rsidRPr="002E0757">
        <w:rPr>
          <w:color w:val="000000" w:themeColor="text1"/>
        </w:rPr>
        <w:t xml:space="preserve">Pursuant to Public Utilities Code </w:t>
      </w:r>
      <w:r w:rsidRPr="002E0757">
        <w:rPr>
          <w:rFonts w:cs="Arial"/>
          <w:color w:val="000000" w:themeColor="text1"/>
        </w:rPr>
        <w:t>Section </w:t>
      </w:r>
      <w:r w:rsidRPr="002E0757">
        <w:rPr>
          <w:color w:val="000000" w:themeColor="text1"/>
        </w:rPr>
        <w:t xml:space="preserve">1001, the Commission grants </w:t>
      </w:r>
      <w:r w:rsidRPr="002E0757" w:rsidR="008A0233">
        <w:rPr>
          <w:color w:val="000000" w:themeColor="text1"/>
        </w:rPr>
        <w:t>Enhanced Communications Network, Inc. d/b/a Asian American Association Telecom Services (</w:t>
      </w:r>
      <w:r w:rsidR="00DD7555">
        <w:rPr>
          <w:color w:val="000000" w:themeColor="text1"/>
        </w:rPr>
        <w:t>Applicant</w:t>
      </w:r>
      <w:r w:rsidRPr="002E0757" w:rsidR="008A0233">
        <w:rPr>
          <w:color w:val="000000" w:themeColor="text1"/>
        </w:rPr>
        <w:t>)</w:t>
      </w:r>
      <w:r w:rsidRPr="002E0757" w:rsidDel="00972917" w:rsidR="002E5945">
        <w:rPr>
          <w:color w:val="000000" w:themeColor="text1"/>
        </w:rPr>
        <w:t xml:space="preserve"> </w:t>
      </w:r>
      <w:r w:rsidRPr="002E0757">
        <w:rPr>
          <w:color w:val="000000" w:themeColor="text1"/>
        </w:rPr>
        <w:t>a Certificate of Public Convenience and Necessity to provide non-facilities-based</w:t>
      </w:r>
      <w:r w:rsidRPr="002E0757">
        <w:rPr>
          <w:b/>
          <w:bCs/>
          <w:color w:val="000000" w:themeColor="text1"/>
        </w:rPr>
        <w:t xml:space="preserve"> </w:t>
      </w:r>
      <w:r w:rsidRPr="002E0757">
        <w:rPr>
          <w:color w:val="000000" w:themeColor="text1"/>
        </w:rPr>
        <w:t>fixed</w:t>
      </w:r>
      <w:r w:rsidRPr="002E0757">
        <w:rPr>
          <w:b/>
          <w:bCs/>
          <w:color w:val="000000" w:themeColor="text1"/>
        </w:rPr>
        <w:t xml:space="preserve"> </w:t>
      </w:r>
      <w:r w:rsidRPr="002E0757">
        <w:rPr>
          <w:color w:val="000000" w:themeColor="text1"/>
        </w:rPr>
        <w:t>interconnected Voice over Internet Protocol services</w:t>
      </w:r>
      <w:r w:rsidRPr="002E0757">
        <w:rPr>
          <w:b/>
          <w:bCs/>
          <w:color w:val="000000" w:themeColor="text1"/>
        </w:rPr>
        <w:t xml:space="preserve"> </w:t>
      </w:r>
      <w:r w:rsidRPr="002E0757">
        <w:rPr>
          <w:color w:val="000000" w:themeColor="text1"/>
        </w:rPr>
        <w:t xml:space="preserve">subject to the terms and conditions set forth in the </w:t>
      </w:r>
      <w:r w:rsidR="0058454D">
        <w:rPr>
          <w:color w:val="000000" w:themeColor="text1"/>
        </w:rPr>
        <w:t>O</w:t>
      </w:r>
      <w:r w:rsidRPr="002E0757">
        <w:rPr>
          <w:color w:val="000000" w:themeColor="text1"/>
        </w:rPr>
        <w:t>rdering</w:t>
      </w:r>
      <w:r w:rsidR="0058454D">
        <w:rPr>
          <w:color w:val="000000" w:themeColor="text1"/>
        </w:rPr>
        <w:t xml:space="preserve"> </w:t>
      </w:r>
      <w:r w:rsidRPr="002E0757">
        <w:rPr>
          <w:color w:val="000000" w:themeColor="text1"/>
        </w:rPr>
        <w:t>Paragraphs.</w:t>
      </w:r>
      <w:r w:rsidRPr="002E0757">
        <w:rPr>
          <w:rStyle w:val="FootnoteReference"/>
          <w:color w:val="000000" w:themeColor="text1"/>
          <w:szCs w:val="26"/>
        </w:rPr>
        <w:footnoteReference w:id="2"/>
      </w:r>
    </w:p>
    <w:p w:rsidR="00092A69" w:rsidP="006E6574" w:rsidRDefault="00092A69" w14:paraId="31FEE51E" w14:textId="56F23098">
      <w:pPr>
        <w:pStyle w:val="Standard"/>
      </w:pPr>
      <w:r w:rsidRPr="00092A69">
        <w:rPr>
          <w:rFonts w:eastAsia="Times New Roman" w:cs="Times New Roman"/>
          <w:szCs w:val="26"/>
        </w:rPr>
        <w:t xml:space="preserve">Application </w:t>
      </w:r>
      <w:r w:rsidR="004E2A4E">
        <w:rPr>
          <w:rFonts w:eastAsia="Times New Roman" w:cs="Times New Roman"/>
          <w:szCs w:val="26"/>
        </w:rPr>
        <w:t>25</w:t>
      </w:r>
      <w:r w:rsidRPr="00092A69">
        <w:rPr>
          <w:rFonts w:eastAsia="Times New Roman" w:cs="Times New Roman"/>
          <w:szCs w:val="26"/>
        </w:rPr>
        <w:t>-</w:t>
      </w:r>
      <w:r w:rsidR="004E2A4E">
        <w:rPr>
          <w:rFonts w:eastAsia="Times New Roman" w:cs="Times New Roman"/>
          <w:szCs w:val="26"/>
        </w:rPr>
        <w:t>05</w:t>
      </w:r>
      <w:r w:rsidRPr="00092A69">
        <w:rPr>
          <w:rFonts w:eastAsia="Times New Roman" w:cs="Times New Roman"/>
          <w:szCs w:val="26"/>
        </w:rPr>
        <w:t>-</w:t>
      </w:r>
      <w:r w:rsidR="004E2A4E">
        <w:rPr>
          <w:rFonts w:eastAsia="Times New Roman" w:cs="Times New Roman"/>
          <w:szCs w:val="26"/>
        </w:rPr>
        <w:t>018</w:t>
      </w:r>
      <w:r w:rsidRPr="00092A69">
        <w:rPr>
          <w:rFonts w:eastAsia="Times New Roman" w:cs="Times New Roman"/>
          <w:szCs w:val="26"/>
        </w:rPr>
        <w:t xml:space="preserve"> is closed.</w:t>
      </w:r>
    </w:p>
    <w:p w:rsidR="00092A69" w:rsidP="00710EBA" w:rsidRDefault="00362C67" w14:paraId="1AA88698" w14:textId="77777777">
      <w:pPr>
        <w:pStyle w:val="Heading1"/>
      </w:pPr>
      <w:bookmarkStart w:name="_Toc222922046" w:id="3"/>
      <w:bookmarkStart w:name="_Toc222923627" w:id="4"/>
      <w:bookmarkStart w:name="_Toc222926633" w:id="5"/>
      <w:bookmarkStart w:name="_Toc222928854" w:id="6"/>
      <w:bookmarkStart w:name="_Toc232146035" w:id="7"/>
      <w:bookmarkEnd w:id="3"/>
      <w:bookmarkEnd w:id="4"/>
      <w:bookmarkEnd w:id="5"/>
      <w:bookmarkEnd w:id="6"/>
      <w:r>
        <w:t>Background</w:t>
      </w:r>
      <w:bookmarkEnd w:id="7"/>
    </w:p>
    <w:p w:rsidR="00FE46CA" w:rsidP="00C0477E" w:rsidRDefault="00F50B4B" w14:paraId="14F45BAF" w14:textId="70B33532">
      <w:pPr>
        <w:pStyle w:val="standard0"/>
        <w:rPr>
          <w:rFonts w:ascii="Book Antiqua" w:hAnsi="Book Antiqua"/>
          <w:color w:val="000000" w:themeColor="text1"/>
        </w:rPr>
      </w:pPr>
      <w:r w:rsidRPr="002E0757">
        <w:rPr>
          <w:rFonts w:ascii="Book Antiqua" w:hAnsi="Book Antiqua"/>
          <w:color w:val="000000" w:themeColor="text1"/>
        </w:rPr>
        <w:t>Enhanced Communications Network, Inc. d/b/a Asian American Association Telecom Services (</w:t>
      </w:r>
      <w:r>
        <w:rPr>
          <w:rFonts w:ascii="Book Antiqua" w:hAnsi="Book Antiqua"/>
          <w:color w:val="000000" w:themeColor="text1"/>
        </w:rPr>
        <w:t>Applicant</w:t>
      </w:r>
      <w:r w:rsidRPr="002E0757">
        <w:rPr>
          <w:rFonts w:ascii="Book Antiqua" w:hAnsi="Book Antiqua"/>
          <w:color w:val="000000" w:themeColor="text1"/>
        </w:rPr>
        <w:t>)</w:t>
      </w:r>
      <w:r>
        <w:rPr>
          <w:rFonts w:ascii="Book Antiqua" w:hAnsi="Book Antiqua"/>
          <w:color w:val="000000" w:themeColor="text1"/>
        </w:rPr>
        <w:t xml:space="preserve"> is </w:t>
      </w:r>
      <w:r w:rsidRPr="002E0757">
        <w:rPr>
          <w:rFonts w:ascii="Book Antiqua" w:hAnsi="Book Antiqua"/>
          <w:color w:val="000000" w:themeColor="text1"/>
        </w:rPr>
        <w:t>a California corporation</w:t>
      </w:r>
      <w:r>
        <w:rPr>
          <w:rFonts w:ascii="Book Antiqua" w:hAnsi="Book Antiqua"/>
          <w:color w:val="000000" w:themeColor="text1"/>
        </w:rPr>
        <w:t xml:space="preserve"> authorized to do business in California.  </w:t>
      </w:r>
      <w:r w:rsidR="00684784">
        <w:rPr>
          <w:rFonts w:ascii="Book Antiqua" w:hAnsi="Book Antiqua"/>
          <w:color w:val="000000" w:themeColor="text1"/>
        </w:rPr>
        <w:t xml:space="preserve">Previously, the Commission granted </w:t>
      </w:r>
      <w:r>
        <w:rPr>
          <w:rFonts w:ascii="Book Antiqua" w:hAnsi="Book Antiqua"/>
          <w:color w:val="000000" w:themeColor="text1"/>
        </w:rPr>
        <w:t>Applican</w:t>
      </w:r>
      <w:r w:rsidR="00684784">
        <w:rPr>
          <w:rFonts w:ascii="Book Antiqua" w:hAnsi="Book Antiqua"/>
          <w:color w:val="000000" w:themeColor="text1"/>
        </w:rPr>
        <w:t xml:space="preserve">t </w:t>
      </w:r>
      <w:r>
        <w:rPr>
          <w:rFonts w:ascii="Book Antiqua" w:hAnsi="Book Antiqua"/>
          <w:color w:val="000000" w:themeColor="text1"/>
        </w:rPr>
        <w:t xml:space="preserve">authority to operate in California.  </w:t>
      </w:r>
      <w:r w:rsidR="00D43201">
        <w:rPr>
          <w:rFonts w:ascii="Book Antiqua" w:hAnsi="Book Antiqua"/>
          <w:color w:val="000000" w:themeColor="text1"/>
        </w:rPr>
        <w:t xml:space="preserve">In 2002, the Commission granted </w:t>
      </w:r>
      <w:r>
        <w:rPr>
          <w:rFonts w:ascii="Book Antiqua" w:hAnsi="Book Antiqua"/>
          <w:color w:val="000000" w:themeColor="text1"/>
        </w:rPr>
        <w:t xml:space="preserve">Applicant </w:t>
      </w:r>
      <w:r w:rsidRPr="004768C6" w:rsidR="00D43201">
        <w:rPr>
          <w:rFonts w:ascii="Book Antiqua" w:hAnsi="Book Antiqua"/>
        </w:rPr>
        <w:t xml:space="preserve">a </w:t>
      </w:r>
      <w:r w:rsidRPr="007F6E2E" w:rsidR="00D43201">
        <w:rPr>
          <w:rFonts w:ascii="Book Antiqua" w:hAnsi="Book Antiqua"/>
        </w:rPr>
        <w:t xml:space="preserve">certificate of public convenience and necessity </w:t>
      </w:r>
      <w:r w:rsidR="00D43201">
        <w:rPr>
          <w:rFonts w:ascii="Book Antiqua" w:hAnsi="Book Antiqua"/>
        </w:rPr>
        <w:t>(</w:t>
      </w:r>
      <w:r w:rsidRPr="004768C6" w:rsidR="00D43201">
        <w:rPr>
          <w:rFonts w:ascii="Book Antiqua" w:hAnsi="Book Antiqua"/>
        </w:rPr>
        <w:t>CPCN</w:t>
      </w:r>
      <w:r w:rsidR="00D43201">
        <w:rPr>
          <w:rFonts w:ascii="Book Antiqua" w:hAnsi="Book Antiqua"/>
        </w:rPr>
        <w:t>) to provide inter- and intra- local access and transport area service in California as a nondominant interexchange carri</w:t>
      </w:r>
      <w:r>
        <w:rPr>
          <w:rFonts w:ascii="Book Antiqua" w:hAnsi="Book Antiqua"/>
        </w:rPr>
        <w:t>e</w:t>
      </w:r>
      <w:r w:rsidR="00D43201">
        <w:rPr>
          <w:rFonts w:ascii="Book Antiqua" w:hAnsi="Book Antiqua"/>
        </w:rPr>
        <w:t>r</w:t>
      </w:r>
      <w:r>
        <w:rPr>
          <w:rFonts w:ascii="Book Antiqua" w:hAnsi="Book Antiqua"/>
        </w:rPr>
        <w:t xml:space="preserve"> (NDIEC)</w:t>
      </w:r>
      <w:r w:rsidR="00D43201">
        <w:rPr>
          <w:rFonts w:ascii="Book Antiqua" w:hAnsi="Book Antiqua"/>
          <w:color w:val="000000" w:themeColor="text1"/>
        </w:rPr>
        <w:t>.</w:t>
      </w:r>
      <w:r w:rsidR="00D43201">
        <w:rPr>
          <w:rStyle w:val="FootnoteReference"/>
          <w:rFonts w:ascii="Book Antiqua" w:hAnsi="Book Antiqua"/>
          <w:color w:val="000000" w:themeColor="text1"/>
        </w:rPr>
        <w:footnoteReference w:id="3"/>
      </w:r>
      <w:r w:rsidR="00D43201">
        <w:rPr>
          <w:rFonts w:ascii="Book Antiqua" w:hAnsi="Book Antiqua"/>
          <w:color w:val="000000" w:themeColor="text1"/>
        </w:rPr>
        <w:t xml:space="preserve">  </w:t>
      </w:r>
      <w:r w:rsidR="00527615">
        <w:rPr>
          <w:rFonts w:ascii="Book Antiqua" w:hAnsi="Book Antiqua"/>
          <w:color w:val="000000" w:themeColor="text1"/>
        </w:rPr>
        <w:t xml:space="preserve">The Commission assigned Applicant the </w:t>
      </w:r>
      <w:r w:rsidR="00527615">
        <w:rPr>
          <w:rFonts w:ascii="Book Antiqua" w:hAnsi="Book Antiqua"/>
          <w:color w:val="000000" w:themeColor="text1"/>
        </w:rPr>
        <w:lastRenderedPageBreak/>
        <w:t>corporate identification number of U6558C.</w:t>
      </w:r>
      <w:r w:rsidR="00527615">
        <w:rPr>
          <w:rStyle w:val="FootnoteReference"/>
          <w:rFonts w:ascii="Book Antiqua" w:hAnsi="Book Antiqua"/>
          <w:color w:val="000000" w:themeColor="text1"/>
        </w:rPr>
        <w:footnoteReference w:id="4"/>
      </w:r>
      <w:r w:rsidR="00527615">
        <w:rPr>
          <w:rFonts w:ascii="Book Antiqua" w:hAnsi="Book Antiqua"/>
          <w:color w:val="000000" w:themeColor="text1"/>
        </w:rPr>
        <w:t xml:space="preserve">  </w:t>
      </w:r>
      <w:r w:rsidR="001767B3">
        <w:rPr>
          <w:rFonts w:ascii="Book Antiqua" w:hAnsi="Book Antiqua"/>
          <w:color w:val="000000" w:themeColor="text1"/>
        </w:rPr>
        <w:t xml:space="preserve">At the time, Applicant had authority to operate as a switchless reseller of </w:t>
      </w:r>
      <w:r w:rsidR="0031463C">
        <w:rPr>
          <w:rFonts w:ascii="Book Antiqua" w:hAnsi="Book Antiqua"/>
          <w:color w:val="000000" w:themeColor="text1"/>
        </w:rPr>
        <w:t>i</w:t>
      </w:r>
      <w:r w:rsidR="001767B3">
        <w:rPr>
          <w:rFonts w:ascii="Book Antiqua" w:hAnsi="Book Antiqua"/>
          <w:color w:val="000000" w:themeColor="text1"/>
        </w:rPr>
        <w:t>nterexchange services.</w:t>
      </w:r>
      <w:r w:rsidR="001767B3">
        <w:rPr>
          <w:rStyle w:val="FootnoteReference"/>
          <w:rFonts w:ascii="Book Antiqua" w:hAnsi="Book Antiqua"/>
          <w:color w:val="000000" w:themeColor="text1"/>
        </w:rPr>
        <w:footnoteReference w:id="5"/>
      </w:r>
      <w:r w:rsidR="001767B3">
        <w:rPr>
          <w:rFonts w:ascii="Book Antiqua" w:hAnsi="Book Antiqua"/>
          <w:color w:val="000000" w:themeColor="text1"/>
        </w:rPr>
        <w:t xml:space="preserve">  </w:t>
      </w:r>
    </w:p>
    <w:p w:rsidR="00F50B4B" w:rsidP="00C0477E" w:rsidRDefault="00F50B4B" w14:paraId="1DFCD545" w14:textId="70DBC899">
      <w:pPr>
        <w:pStyle w:val="standard0"/>
        <w:rPr>
          <w:rFonts w:ascii="Book Antiqua" w:hAnsi="Book Antiqua"/>
          <w:color w:val="000000" w:themeColor="text1"/>
        </w:rPr>
      </w:pPr>
      <w:r>
        <w:rPr>
          <w:rFonts w:ascii="Book Antiqua" w:hAnsi="Book Antiqua"/>
          <w:color w:val="000000" w:themeColor="text1"/>
        </w:rPr>
        <w:t>In 2003, the Commission granted Applicant authority</w:t>
      </w:r>
      <w:r w:rsidR="0058454D">
        <w:rPr>
          <w:rFonts w:ascii="Book Antiqua" w:hAnsi="Book Antiqua"/>
          <w:color w:val="000000" w:themeColor="text1"/>
        </w:rPr>
        <w:t xml:space="preserve"> to provide</w:t>
      </w:r>
      <w:r>
        <w:rPr>
          <w:rFonts w:ascii="Book Antiqua" w:hAnsi="Book Antiqua"/>
          <w:color w:val="000000" w:themeColor="text1"/>
        </w:rPr>
        <w:t xml:space="preserve"> </w:t>
      </w:r>
      <w:r w:rsidRPr="00F50B4B">
        <w:rPr>
          <w:rFonts w:ascii="Book Antiqua" w:hAnsi="Book Antiqua"/>
          <w:color w:val="000000" w:themeColor="text1"/>
        </w:rPr>
        <w:t xml:space="preserve">limited facilities-based and resold interexchange services </w:t>
      </w:r>
      <w:r>
        <w:rPr>
          <w:rFonts w:ascii="Book Antiqua" w:hAnsi="Book Antiqua"/>
          <w:color w:val="000000" w:themeColor="text1"/>
        </w:rPr>
        <w:t>in</w:t>
      </w:r>
      <w:r w:rsidRPr="00F50B4B">
        <w:rPr>
          <w:rFonts w:ascii="Book Antiqua" w:hAnsi="Book Antiqua"/>
          <w:color w:val="000000" w:themeColor="text1"/>
        </w:rPr>
        <w:t xml:space="preserve"> California as </w:t>
      </w:r>
      <w:r w:rsidR="0058454D">
        <w:rPr>
          <w:rFonts w:ascii="Book Antiqua" w:hAnsi="Book Antiqua"/>
          <w:color w:val="000000" w:themeColor="text1"/>
        </w:rPr>
        <w:t xml:space="preserve">an </w:t>
      </w:r>
      <w:r w:rsidRPr="00F50B4B">
        <w:rPr>
          <w:rFonts w:ascii="Book Antiqua" w:hAnsi="Book Antiqua"/>
          <w:color w:val="000000" w:themeColor="text1"/>
        </w:rPr>
        <w:t xml:space="preserve">NDIEC, and limited facilities-based and resold local exchange services as a competitive local carrier throughout </w:t>
      </w:r>
      <w:r>
        <w:rPr>
          <w:rFonts w:ascii="Book Antiqua" w:hAnsi="Book Antiqua"/>
          <w:color w:val="000000" w:themeColor="text1"/>
        </w:rPr>
        <w:t>s</w:t>
      </w:r>
      <w:r w:rsidRPr="00F50B4B">
        <w:rPr>
          <w:rFonts w:ascii="Book Antiqua" w:hAnsi="Book Antiqua"/>
          <w:color w:val="000000" w:themeColor="text1"/>
        </w:rPr>
        <w:t>ervice territories of Pacific Bell Telephone Company (</w:t>
      </w:r>
      <w:r w:rsidR="0058454D">
        <w:rPr>
          <w:rFonts w:ascii="Book Antiqua" w:hAnsi="Book Antiqua"/>
          <w:color w:val="000000" w:themeColor="text1"/>
        </w:rPr>
        <w:t>AT&amp;T</w:t>
      </w:r>
      <w:r w:rsidRPr="00F50B4B">
        <w:rPr>
          <w:rFonts w:ascii="Book Antiqua" w:hAnsi="Book Antiqua"/>
          <w:color w:val="000000" w:themeColor="text1"/>
        </w:rPr>
        <w:t>), Verizon California Inc. (Verizon), Roseville Telephone Company (RTC), and Citizens Telecommunications Company of California, Inc.</w:t>
      </w:r>
      <w:r w:rsidR="001767B3">
        <w:rPr>
          <w:rStyle w:val="FootnoteReference"/>
          <w:rFonts w:ascii="Book Antiqua" w:hAnsi="Book Antiqua"/>
          <w:color w:val="000000" w:themeColor="text1"/>
        </w:rPr>
        <w:footnoteReference w:id="6"/>
      </w:r>
      <w:r w:rsidR="00FE46CA">
        <w:rPr>
          <w:rFonts w:ascii="Book Antiqua" w:hAnsi="Book Antiqua"/>
          <w:color w:val="000000" w:themeColor="text1"/>
        </w:rPr>
        <w:t xml:space="preserve">  At the time, Applicant had authority to provide limited facilities-based and resold local exchange and interexchange telecommunications services.</w:t>
      </w:r>
      <w:r w:rsidR="00FE46CA">
        <w:rPr>
          <w:rStyle w:val="FootnoteReference"/>
          <w:rFonts w:ascii="Book Antiqua" w:hAnsi="Book Antiqua"/>
          <w:color w:val="000000" w:themeColor="text1"/>
        </w:rPr>
        <w:footnoteReference w:id="7"/>
      </w:r>
    </w:p>
    <w:p w:rsidR="00201DCD" w:rsidP="00684784" w:rsidRDefault="00201DCD" w14:paraId="244AB27B" w14:textId="718BB330">
      <w:pPr>
        <w:pStyle w:val="standard0"/>
      </w:pPr>
      <w:r>
        <w:rPr>
          <w:rFonts w:ascii="Book Antiqua" w:hAnsi="Book Antiqua"/>
          <w:color w:val="000000" w:themeColor="text1"/>
          <w:szCs w:val="26"/>
        </w:rPr>
        <w:t>Applicant no longer provides</w:t>
      </w:r>
      <w:r w:rsidRPr="002E0757">
        <w:rPr>
          <w:rFonts w:ascii="Book Antiqua" w:hAnsi="Book Antiqua"/>
          <w:color w:val="000000" w:themeColor="text1"/>
          <w:szCs w:val="26"/>
        </w:rPr>
        <w:t xml:space="preserve"> legacy circuit-switched services and no longer utilizes traditional </w:t>
      </w:r>
      <w:r w:rsidRPr="002E0757" w:rsidR="00D168B8">
        <w:rPr>
          <w:rFonts w:ascii="Book Antiqua" w:hAnsi="Book Antiqua"/>
          <w:color w:val="000000" w:themeColor="text1"/>
          <w:szCs w:val="26"/>
        </w:rPr>
        <w:t>incumbent local exchange carriers</w:t>
      </w:r>
      <w:r w:rsidR="00D168B8">
        <w:rPr>
          <w:rFonts w:ascii="Book Antiqua" w:hAnsi="Book Antiqua"/>
          <w:color w:val="000000" w:themeColor="text1"/>
          <w:szCs w:val="26"/>
        </w:rPr>
        <w:t xml:space="preserve"> (</w:t>
      </w:r>
      <w:r w:rsidRPr="002E0757">
        <w:rPr>
          <w:rFonts w:ascii="Book Antiqua" w:hAnsi="Book Antiqua"/>
          <w:color w:val="000000" w:themeColor="text1"/>
          <w:szCs w:val="26"/>
        </w:rPr>
        <w:t>ILEC</w:t>
      </w:r>
      <w:r w:rsidR="00D168B8">
        <w:rPr>
          <w:rFonts w:ascii="Book Antiqua" w:hAnsi="Book Antiqua"/>
          <w:color w:val="000000" w:themeColor="text1"/>
          <w:szCs w:val="26"/>
        </w:rPr>
        <w:t>)</w:t>
      </w:r>
      <w:r w:rsidRPr="002E0757">
        <w:rPr>
          <w:rFonts w:ascii="Book Antiqua" w:hAnsi="Book Antiqua"/>
          <w:color w:val="000000" w:themeColor="text1"/>
          <w:szCs w:val="26"/>
        </w:rPr>
        <w:t xml:space="preserve"> interconnection trunks for switched access.</w:t>
      </w:r>
      <w:r w:rsidRPr="002E0757">
        <w:rPr>
          <w:rStyle w:val="FootnoteReference"/>
          <w:rFonts w:ascii="Book Antiqua" w:hAnsi="Book Antiqua"/>
          <w:color w:val="000000" w:themeColor="text1"/>
          <w:szCs w:val="26"/>
        </w:rPr>
        <w:footnoteReference w:id="8"/>
      </w:r>
      <w:r w:rsidRPr="002E0757">
        <w:rPr>
          <w:rFonts w:ascii="Book Antiqua" w:hAnsi="Book Antiqua"/>
          <w:color w:val="000000" w:themeColor="text1"/>
          <w:szCs w:val="26"/>
        </w:rPr>
        <w:t xml:space="preserve"> </w:t>
      </w:r>
      <w:r>
        <w:rPr>
          <w:rFonts w:ascii="Book Antiqua" w:hAnsi="Book Antiqua"/>
          <w:color w:val="000000" w:themeColor="text1"/>
          <w:szCs w:val="26"/>
        </w:rPr>
        <w:t xml:space="preserve"> </w:t>
      </w:r>
      <w:r>
        <w:rPr>
          <w:color w:val="000000" w:themeColor="text1"/>
        </w:rPr>
        <w:t>A</w:t>
      </w:r>
      <w:r w:rsidR="0058454D">
        <w:rPr>
          <w:color w:val="000000" w:themeColor="text1"/>
        </w:rPr>
        <w:t>ccordingly, A</w:t>
      </w:r>
      <w:r>
        <w:rPr>
          <w:color w:val="000000" w:themeColor="text1"/>
        </w:rPr>
        <w:t>pplicant</w:t>
      </w:r>
      <w:r w:rsidRPr="002E0757">
        <w:rPr>
          <w:color w:val="000000" w:themeColor="text1"/>
        </w:rPr>
        <w:t xml:space="preserve"> </w:t>
      </w:r>
      <w:r>
        <w:t xml:space="preserve">fully transitioned customers from traditional Plain Old Telephone Service (POTS) to </w:t>
      </w:r>
      <w:r w:rsidRPr="002E0757">
        <w:rPr>
          <w:rFonts w:ascii="Book Antiqua" w:hAnsi="Book Antiqua"/>
          <w:color w:val="000000" w:themeColor="text1"/>
          <w:szCs w:val="26"/>
        </w:rPr>
        <w:t>Voice over Internet Protocol (</w:t>
      </w:r>
      <w:r>
        <w:t xml:space="preserve">VoIP).  </w:t>
      </w:r>
      <w:proofErr w:type="gramStart"/>
      <w:r>
        <w:t>Applicant</w:t>
      </w:r>
      <w:proofErr w:type="gramEnd"/>
      <w:r>
        <w:t xml:space="preserve"> completed </w:t>
      </w:r>
      <w:r w:rsidR="0058454D">
        <w:t xml:space="preserve">the </w:t>
      </w:r>
      <w:r>
        <w:t>transition to</w:t>
      </w:r>
      <w:r w:rsidRPr="00201DCD">
        <w:rPr>
          <w:rFonts w:ascii="Book Antiqua" w:hAnsi="Book Antiqua"/>
          <w:color w:val="000000" w:themeColor="text1"/>
          <w:szCs w:val="26"/>
        </w:rPr>
        <w:t xml:space="preserve"> </w:t>
      </w:r>
      <w:r w:rsidRPr="002E0757">
        <w:rPr>
          <w:rFonts w:ascii="Book Antiqua" w:hAnsi="Book Antiqua"/>
          <w:color w:val="000000" w:themeColor="text1"/>
          <w:szCs w:val="26"/>
        </w:rPr>
        <w:t>fixed interconnected</w:t>
      </w:r>
      <w:r>
        <w:rPr>
          <w:rFonts w:ascii="Book Antiqua" w:hAnsi="Book Antiqua"/>
          <w:color w:val="000000" w:themeColor="text1"/>
          <w:szCs w:val="26"/>
        </w:rPr>
        <w:t xml:space="preserve"> </w:t>
      </w:r>
      <w:r w:rsidRPr="002E0757">
        <w:rPr>
          <w:rFonts w:ascii="Book Antiqua" w:hAnsi="Book Antiqua"/>
          <w:color w:val="000000" w:themeColor="text1"/>
          <w:szCs w:val="26"/>
        </w:rPr>
        <w:t>VoIP services</w:t>
      </w:r>
      <w:r>
        <w:t xml:space="preserve"> in 2023.</w:t>
      </w:r>
      <w:r>
        <w:rPr>
          <w:rStyle w:val="FootnoteReference"/>
        </w:rPr>
        <w:footnoteReference w:id="9"/>
      </w:r>
      <w:r w:rsidR="00BF361E">
        <w:t xml:space="preserve"> </w:t>
      </w:r>
    </w:p>
    <w:p w:rsidRPr="004768C6" w:rsidR="001912E8" w:rsidP="000C4C2C" w:rsidRDefault="001912E8" w14:paraId="0F4EDBDD" w14:textId="1D577508">
      <w:pPr>
        <w:pStyle w:val="Standard"/>
        <w:rPr>
          <w:color w:val="0000FF"/>
        </w:rPr>
      </w:pPr>
      <w:r w:rsidRPr="002E0757">
        <w:t xml:space="preserve">On </w:t>
      </w:r>
      <w:r w:rsidRPr="002E0757" w:rsidR="004D39B9">
        <w:t xml:space="preserve">May </w:t>
      </w:r>
      <w:r w:rsidRPr="002E0757" w:rsidR="00C0477E">
        <w:t>30, 2025</w:t>
      </w:r>
      <w:r w:rsidRPr="002E0757">
        <w:t xml:space="preserve">, </w:t>
      </w:r>
      <w:r w:rsidR="00D43201">
        <w:t>Applicant</w:t>
      </w:r>
      <w:r w:rsidRPr="002E0757">
        <w:rPr>
          <w:b/>
          <w:bCs/>
        </w:rPr>
        <w:t xml:space="preserve"> </w:t>
      </w:r>
      <w:r w:rsidRPr="002E0757">
        <w:t xml:space="preserve">filed </w:t>
      </w:r>
      <w:r w:rsidR="00684784">
        <w:t>this instant</w:t>
      </w:r>
      <w:r w:rsidRPr="004768C6">
        <w:t xml:space="preserve"> application </w:t>
      </w:r>
      <w:r w:rsidR="00F50B4B">
        <w:t xml:space="preserve">for </w:t>
      </w:r>
      <w:r w:rsidR="0058454D">
        <w:t xml:space="preserve">a </w:t>
      </w:r>
      <w:r w:rsidRPr="004768C6">
        <w:t>CPCN</w:t>
      </w:r>
      <w:r>
        <w:rPr>
          <w:color w:val="0000FF"/>
        </w:rPr>
        <w:t xml:space="preserve">.  </w:t>
      </w:r>
      <w:proofErr w:type="gramStart"/>
      <w:r w:rsidR="00DD7555">
        <w:t>Applicant</w:t>
      </w:r>
      <w:r w:rsidRPr="002E0757">
        <w:t xml:space="preserve"> proposes</w:t>
      </w:r>
      <w:proofErr w:type="gramEnd"/>
      <w:r w:rsidRPr="002E0757">
        <w:t xml:space="preserve"> to provide the fixed interconnected VoIP</w:t>
      </w:r>
      <w:r w:rsidR="00201DCD">
        <w:t xml:space="preserve"> </w:t>
      </w:r>
      <w:r w:rsidRPr="002E0757">
        <w:t xml:space="preserve">services to business </w:t>
      </w:r>
      <w:r w:rsidRPr="002E0757" w:rsidR="004E1692">
        <w:t xml:space="preserve">and </w:t>
      </w:r>
      <w:r w:rsidRPr="002E0757">
        <w:t xml:space="preserve">residential customers </w:t>
      </w:r>
      <w:r w:rsidRPr="002E0757" w:rsidR="009D5DB0">
        <w:t xml:space="preserve">within the service territories of uniform regulatory </w:t>
      </w:r>
      <w:r w:rsidRPr="002E0757" w:rsidR="009D5DB0">
        <w:lastRenderedPageBreak/>
        <w:t>framework incumbent local exchange</w:t>
      </w:r>
      <w:r w:rsidRPr="002E0757" w:rsidR="00967CDE">
        <w:t xml:space="preserve"> </w:t>
      </w:r>
      <w:r w:rsidRPr="002E0757" w:rsidR="008B45F1">
        <w:t>carriers</w:t>
      </w:r>
      <w:r w:rsidR="00B863AA">
        <w:t xml:space="preserve"> (ILEC)</w:t>
      </w:r>
      <w:r w:rsidRPr="002E0757" w:rsidR="00081379">
        <w:t>.</w:t>
      </w:r>
      <w:r w:rsidRPr="002E0757" w:rsidR="00BC297C">
        <w:t xml:space="preserve"> </w:t>
      </w:r>
      <w:r w:rsidR="00201DCD">
        <w:t xml:space="preserve"> </w:t>
      </w:r>
      <w:r w:rsidRPr="002E0757" w:rsidR="00BC297C">
        <w:t>The services</w:t>
      </w:r>
      <w:r w:rsidRPr="002E0757" w:rsidR="00967CDE">
        <w:t xml:space="preserve"> </w:t>
      </w:r>
      <w:r w:rsidRPr="002E0757" w:rsidR="00BC297C">
        <w:t>include voice calling via internet protocol over broadband connections, E-911 capability, and number</w:t>
      </w:r>
      <w:r w:rsidRPr="002E0757" w:rsidR="00967CDE">
        <w:t xml:space="preserve"> </w:t>
      </w:r>
      <w:r w:rsidRPr="002E0757" w:rsidR="00BC297C">
        <w:t>portability.</w:t>
      </w:r>
      <w:r w:rsidR="00DD7555">
        <w:t xml:space="preserve">  </w:t>
      </w:r>
    </w:p>
    <w:p w:rsidR="00201DCD" w:rsidP="000C4C2C" w:rsidRDefault="00201DCD" w14:paraId="065EE2D1" w14:textId="2B28C5F2">
      <w:pPr>
        <w:pStyle w:val="Standard"/>
        <w:rPr>
          <w:bCs/>
          <w:color w:val="000000" w:themeColor="text1"/>
        </w:rPr>
      </w:pPr>
      <w:r>
        <w:t>Since 2023, Applicant provided VoIP without Commission authority.</w:t>
      </w:r>
    </w:p>
    <w:p w:rsidRPr="004768C6" w:rsidR="001912E8" w:rsidP="000C4C2C" w:rsidRDefault="00DD7555" w14:paraId="5F556BC6" w14:textId="5B97061A">
      <w:pPr>
        <w:pStyle w:val="Standard"/>
      </w:pPr>
      <w:r>
        <w:rPr>
          <w:bCs/>
          <w:color w:val="000000" w:themeColor="text1"/>
        </w:rPr>
        <w:t>Applicant</w:t>
      </w:r>
      <w:r w:rsidRPr="002E0757" w:rsidR="001912E8">
        <w:rPr>
          <w:bCs/>
          <w:color w:val="000000" w:themeColor="text1"/>
        </w:rPr>
        <w:t>’s p</w:t>
      </w:r>
      <w:r w:rsidRPr="00240D71" w:rsidR="001912E8">
        <w:rPr>
          <w:bCs/>
        </w:rPr>
        <w:t>rincipal</w:t>
      </w:r>
      <w:r w:rsidRPr="004768C6" w:rsidR="001912E8">
        <w:t xml:space="preserve"> place of business is located at </w:t>
      </w:r>
      <w:r w:rsidRPr="001631BE" w:rsidR="001631BE">
        <w:t>1031 South Glendora Ave</w:t>
      </w:r>
      <w:r w:rsidR="009B7657">
        <w:t>,</w:t>
      </w:r>
      <w:r w:rsidRPr="001631BE" w:rsidR="001631BE">
        <w:t xml:space="preserve"> West Covina, CA 91790</w:t>
      </w:r>
      <w:r w:rsidRPr="004768C6" w:rsidR="001912E8">
        <w:t>.</w:t>
      </w:r>
    </w:p>
    <w:p w:rsidR="003A180F" w:rsidP="000C4C2C" w:rsidRDefault="00C110E6" w14:paraId="656DC16D" w14:textId="5AD9AB9C">
      <w:pPr>
        <w:pStyle w:val="Standard"/>
      </w:pPr>
      <w:r>
        <w:t xml:space="preserve">On December 1, 2025, the </w:t>
      </w:r>
      <w:r w:rsidR="009B7657">
        <w:t>Chief Administrative Law Judge filed notice of the application’</w:t>
      </w:r>
      <w:r w:rsidR="00FD7DD4">
        <w:t>s</w:t>
      </w:r>
      <w:r w:rsidR="009B7657">
        <w:t xml:space="preserve"> reassignment </w:t>
      </w:r>
      <w:r w:rsidR="000C4C2C">
        <w:t xml:space="preserve">from the simplified registration process </w:t>
      </w:r>
      <w:r w:rsidRPr="00F30F7F" w:rsidR="000C4C2C">
        <w:t>of Pub. Util.</w:t>
      </w:r>
      <w:r w:rsidR="000C4C2C">
        <w:t xml:space="preserve"> Code Section 1013</w:t>
      </w:r>
      <w:r w:rsidR="009B7657">
        <w:t xml:space="preserve"> to </w:t>
      </w:r>
      <w:r w:rsidR="00D168B8">
        <w:t>the process pursuant to pursuant to Pub. Util. Code Section 1001.  The Section 1001 process considers</w:t>
      </w:r>
      <w:r w:rsidR="009B7657">
        <w:t xml:space="preserve"> whether to grant a </w:t>
      </w:r>
      <w:r>
        <w:t>CPCN to provide telecommunications services</w:t>
      </w:r>
      <w:r w:rsidR="009B7657">
        <w:t>.</w:t>
      </w:r>
      <w:r>
        <w:t xml:space="preserve"> </w:t>
      </w:r>
      <w:r w:rsidR="009B7657">
        <w:t xml:space="preserve"> The notice</w:t>
      </w:r>
      <w:r>
        <w:t xml:space="preserve"> directed the </w:t>
      </w:r>
      <w:r w:rsidR="00DD7555">
        <w:t>Applicant</w:t>
      </w:r>
      <w:r>
        <w:t xml:space="preserve"> to pay the required </w:t>
      </w:r>
      <w:r w:rsidR="00D168B8">
        <w:t xml:space="preserve">CPCN </w:t>
      </w:r>
      <w:r>
        <w:t>fee.</w:t>
      </w:r>
      <w:r>
        <w:rPr>
          <w:rStyle w:val="FootnoteReference"/>
        </w:rPr>
        <w:footnoteReference w:id="10"/>
      </w:r>
      <w:r>
        <w:t xml:space="preserve">  </w:t>
      </w:r>
    </w:p>
    <w:p w:rsidR="00C110E6" w:rsidP="00C110E6" w:rsidRDefault="00C110E6" w14:paraId="23E4C39A" w14:textId="1B83EDCB">
      <w:pPr>
        <w:pStyle w:val="Standard"/>
      </w:pPr>
      <w:r>
        <w:t xml:space="preserve">On December 5, 2025, the </w:t>
      </w:r>
      <w:r w:rsidR="00201DCD">
        <w:t>Applicant</w:t>
      </w:r>
      <w:r>
        <w:t xml:space="preserve"> confirmed their interest in obtaining a CPCN by filing the required application fee.  N</w:t>
      </w:r>
      <w:r w:rsidR="009B7657">
        <w:t xml:space="preserve">o parties have filed any protests or </w:t>
      </w:r>
      <w:r>
        <w:t>response</w:t>
      </w:r>
      <w:r w:rsidR="009B7657">
        <w:t>s</w:t>
      </w:r>
      <w:r>
        <w:t xml:space="preserve"> to the </w:t>
      </w:r>
      <w:r w:rsidR="009B7657">
        <w:t>a</w:t>
      </w:r>
      <w:r>
        <w:t>pplication.</w:t>
      </w:r>
    </w:p>
    <w:p w:rsidR="006C38C8" w:rsidP="00C110E6" w:rsidRDefault="00C110E6" w14:paraId="688DA6C4" w14:textId="468A58AB">
      <w:pPr>
        <w:pStyle w:val="Standard"/>
      </w:pPr>
      <w:r>
        <w:t xml:space="preserve">On January 12, 2026, the assigned Administrative Law Judge (ALJ) issued the ruling requesting additional information and setting the prehearing conference (PHC).  </w:t>
      </w:r>
      <w:r w:rsidR="002D5A40">
        <w:t>Applicant</w:t>
      </w:r>
      <w:r>
        <w:t>’s responses were accepted as filed on January 23, 2026.</w:t>
      </w:r>
    </w:p>
    <w:p w:rsidR="00C110E6" w:rsidP="00C110E6" w:rsidRDefault="00C110E6" w14:paraId="1A30A026" w14:textId="73C53E6C">
      <w:pPr>
        <w:pStyle w:val="Standard"/>
      </w:pPr>
      <w:r>
        <w:t>On February 13, 2026, the ALJ held the PHC to address the issues of law and fact, determine the need for hearing, and set the schedule for resolving the matter.</w:t>
      </w:r>
    </w:p>
    <w:p w:rsidR="00AB4E33" w:rsidP="00AB4E33" w:rsidRDefault="00135C04" w14:paraId="06FEE31E" w14:textId="52EBD40D">
      <w:pPr>
        <w:pStyle w:val="Standard"/>
      </w:pPr>
      <w:r>
        <w:t xml:space="preserve">On February 25, 2026, </w:t>
      </w:r>
      <w:r w:rsidR="002D5A40">
        <w:t>Applicant</w:t>
      </w:r>
      <w:r w:rsidR="00962630">
        <w:t xml:space="preserve"> </w:t>
      </w:r>
      <w:r w:rsidR="00C66D13">
        <w:t xml:space="preserve">made </w:t>
      </w:r>
      <w:r w:rsidR="00051B81">
        <w:t xml:space="preserve">a Compliance Filing </w:t>
      </w:r>
      <w:r w:rsidR="00C07B19">
        <w:t xml:space="preserve">pursuant to ALJ’s Ruling </w:t>
      </w:r>
      <w:proofErr w:type="gramStart"/>
      <w:r w:rsidR="00C07B19">
        <w:t>at</w:t>
      </w:r>
      <w:proofErr w:type="gramEnd"/>
      <w:r w:rsidR="00C07B19">
        <w:t xml:space="preserve"> </w:t>
      </w:r>
      <w:proofErr w:type="gramStart"/>
      <w:r w:rsidR="00C911F6">
        <w:t xml:space="preserve">the </w:t>
      </w:r>
      <w:r w:rsidR="00AB4E33">
        <w:t>February</w:t>
      </w:r>
      <w:proofErr w:type="gramEnd"/>
      <w:r w:rsidR="00AB4E33">
        <w:t xml:space="preserve"> 13, </w:t>
      </w:r>
      <w:proofErr w:type="gramStart"/>
      <w:r w:rsidR="00AB4E33">
        <w:t>2026</w:t>
      </w:r>
      <w:proofErr w:type="gramEnd"/>
      <w:r w:rsidR="00AB4E33">
        <w:t xml:space="preserve"> PHC.</w:t>
      </w:r>
    </w:p>
    <w:p w:rsidR="00EE3060" w:rsidP="00F672D5" w:rsidRDefault="00135C04" w14:paraId="6B147780" w14:textId="7D363C7A">
      <w:pPr>
        <w:pStyle w:val="Standard"/>
      </w:pPr>
      <w:r w:rsidRPr="00135C04">
        <w:lastRenderedPageBreak/>
        <w:t xml:space="preserve">On </w:t>
      </w:r>
      <w:r>
        <w:t xml:space="preserve">March </w:t>
      </w:r>
      <w:r w:rsidR="00FA40DB">
        <w:t>4</w:t>
      </w:r>
      <w:r w:rsidRPr="00135C04">
        <w:t>, 2026, the assigned Commissioner issued the Scoping Memo and Ruling</w:t>
      </w:r>
      <w:r>
        <w:t>.</w:t>
      </w:r>
    </w:p>
    <w:p w:rsidR="00683B2C" w:rsidP="00710EBA" w:rsidRDefault="00683B2C" w14:paraId="0B394AE9" w14:textId="77777777">
      <w:pPr>
        <w:pStyle w:val="Heading1"/>
      </w:pPr>
      <w:bookmarkStart w:name="_Toc232146036" w:id="8"/>
      <w:r>
        <w:t>Submission Date</w:t>
      </w:r>
      <w:bookmarkEnd w:id="8"/>
    </w:p>
    <w:p w:rsidR="00683B2C" w:rsidP="00D140B9" w:rsidRDefault="001912E8" w14:paraId="2FFB8537" w14:textId="768B9CEC">
      <w:pPr>
        <w:pStyle w:val="Standard"/>
      </w:pPr>
      <w:r w:rsidRPr="001912E8">
        <w:rPr>
          <w:rFonts w:eastAsia="PMingLiU" w:cs="Arial"/>
          <w:szCs w:val="26"/>
        </w:rPr>
        <w:t>This matter was submitted on</w:t>
      </w:r>
      <w:r w:rsidR="00E31DC0">
        <w:rPr>
          <w:rFonts w:eastAsia="PMingLiU" w:cs="Arial"/>
          <w:szCs w:val="26"/>
        </w:rPr>
        <w:t xml:space="preserve"> March 4, </w:t>
      </w:r>
      <w:proofErr w:type="gramStart"/>
      <w:r w:rsidR="00E31DC0">
        <w:rPr>
          <w:rFonts w:eastAsia="PMingLiU" w:cs="Arial"/>
          <w:szCs w:val="26"/>
        </w:rPr>
        <w:t>2026</w:t>
      </w:r>
      <w:proofErr w:type="gramEnd"/>
      <w:r w:rsidR="00E31DC0">
        <w:rPr>
          <w:rFonts w:eastAsia="PMingLiU" w:cs="Arial"/>
          <w:szCs w:val="26"/>
        </w:rPr>
        <w:t xml:space="preserve"> </w:t>
      </w:r>
      <w:r w:rsidRPr="001912E8">
        <w:rPr>
          <w:rFonts w:eastAsia="PMingLiU" w:cs="Arial"/>
          <w:szCs w:val="26"/>
        </w:rPr>
        <w:t>upon</w:t>
      </w:r>
      <w:r w:rsidRPr="001912E8">
        <w:rPr>
          <w:rFonts w:ascii="Palatino" w:hAnsi="Palatino" w:eastAsia="Times New Roman" w:cs="Times New Roman"/>
          <w:szCs w:val="20"/>
        </w:rPr>
        <w:t xml:space="preserve"> </w:t>
      </w:r>
      <w:r w:rsidRPr="00D140B9" w:rsidR="00D140B9">
        <w:rPr>
          <w:rFonts w:ascii="Palatino" w:hAnsi="Palatino" w:eastAsia="Times New Roman" w:cs="Times New Roman"/>
          <w:szCs w:val="20"/>
        </w:rPr>
        <w:t xml:space="preserve">review of responses to questions regarding the </w:t>
      </w:r>
      <w:r w:rsidR="009B7657">
        <w:rPr>
          <w:rFonts w:ascii="Palatino" w:hAnsi="Palatino" w:eastAsia="Times New Roman" w:cs="Times New Roman"/>
          <w:szCs w:val="20"/>
        </w:rPr>
        <w:t>a</w:t>
      </w:r>
      <w:r w:rsidRPr="00D140B9" w:rsidR="00D140B9">
        <w:rPr>
          <w:rFonts w:ascii="Palatino" w:hAnsi="Palatino" w:eastAsia="Times New Roman" w:cs="Times New Roman"/>
          <w:szCs w:val="20"/>
        </w:rPr>
        <w:t>pplication</w:t>
      </w:r>
      <w:r w:rsidR="00E31DC0">
        <w:rPr>
          <w:rFonts w:ascii="Palatino" w:hAnsi="Palatino" w:eastAsia="Times New Roman" w:cs="Times New Roman"/>
          <w:szCs w:val="20"/>
        </w:rPr>
        <w:t>,</w:t>
      </w:r>
      <w:r w:rsidRPr="00D140B9" w:rsidR="00D140B9">
        <w:rPr>
          <w:rFonts w:ascii="Palatino" w:hAnsi="Palatino" w:eastAsia="Times New Roman" w:cs="Times New Roman"/>
          <w:szCs w:val="20"/>
        </w:rPr>
        <w:t xml:space="preserve"> a determination that no further information or evidence is needed to evaluate the issues in this proceeding</w:t>
      </w:r>
      <w:r w:rsidR="00E31DC0">
        <w:rPr>
          <w:rFonts w:ascii="Palatino" w:hAnsi="Palatino" w:eastAsia="Times New Roman" w:cs="Times New Roman"/>
          <w:szCs w:val="20"/>
        </w:rPr>
        <w:t>, and issuance of the Assigned Commissioner’s Scoping Memo and Ruling</w:t>
      </w:r>
      <w:r w:rsidRPr="00092A69" w:rsidR="00092A69">
        <w:t>.</w:t>
      </w:r>
    </w:p>
    <w:p w:rsidR="00362C67" w:rsidP="00710EBA" w:rsidRDefault="00092A69" w14:paraId="5F326E23" w14:textId="77777777">
      <w:pPr>
        <w:pStyle w:val="Heading1"/>
      </w:pPr>
      <w:bookmarkStart w:name="_Toc232146037" w:id="9"/>
      <w:bookmarkStart w:name="_Toc8123718" w:id="10"/>
      <w:r w:rsidRPr="00092A69">
        <w:t>Issues Before the Commission</w:t>
      </w:r>
      <w:bookmarkEnd w:id="9"/>
    </w:p>
    <w:p w:rsidRPr="0068757E" w:rsidR="001912E8" w:rsidP="001912E8" w:rsidRDefault="001912E8" w14:paraId="2CB828C8" w14:textId="5086BCCC">
      <w:pPr>
        <w:pStyle w:val="standard0"/>
        <w:rPr>
          <w:rFonts w:ascii="Book Antiqua" w:hAnsi="Book Antiqua"/>
          <w:color w:val="000000" w:themeColor="text1"/>
        </w:rPr>
      </w:pPr>
      <w:r w:rsidRPr="0068757E">
        <w:rPr>
          <w:rFonts w:ascii="Book Antiqua" w:hAnsi="Book Antiqua"/>
          <w:color w:val="000000" w:themeColor="text1"/>
        </w:rPr>
        <w:t xml:space="preserve">The issue in this proceeding </w:t>
      </w:r>
      <w:r w:rsidR="002C3A18">
        <w:rPr>
          <w:rFonts w:ascii="Book Antiqua" w:hAnsi="Book Antiqua"/>
          <w:color w:val="000000" w:themeColor="text1"/>
        </w:rPr>
        <w:t>is</w:t>
      </w:r>
      <w:r w:rsidRPr="0068757E">
        <w:rPr>
          <w:rFonts w:ascii="Book Antiqua" w:hAnsi="Book Antiqua"/>
          <w:color w:val="000000" w:themeColor="text1"/>
        </w:rPr>
        <w:t xml:space="preserve"> as follows:</w:t>
      </w:r>
    </w:p>
    <w:p w:rsidRPr="00A75305" w:rsidR="00362C67" w:rsidP="0003738F" w:rsidRDefault="00CB4475" w14:paraId="300141FF" w14:textId="7ACFEBA6">
      <w:pPr>
        <w:pStyle w:val="ListNum"/>
        <w:ind w:right="1440"/>
      </w:pPr>
      <w:r w:rsidRPr="00A75305">
        <w:t xml:space="preserve">Whether </w:t>
      </w:r>
      <w:r w:rsidRPr="00A75305" w:rsidR="002D5A40">
        <w:t>Applicant</w:t>
      </w:r>
      <w:r w:rsidRPr="00A75305">
        <w:t xml:space="preserve"> meets all Commission requirements, including financial, technical, and California Environmental Quality Act requirements for a CPCN</w:t>
      </w:r>
      <w:r w:rsidRPr="00A75305" w:rsidR="001912E8">
        <w:rPr>
          <w:i/>
          <w:iCs/>
          <w:color w:val="0000FF"/>
        </w:rPr>
        <w:t>.</w:t>
      </w:r>
    </w:p>
    <w:p w:rsidR="005A148C" w:rsidP="00F73FE5" w:rsidRDefault="00F73FE5" w14:paraId="3B4D9619" w14:textId="44BDB8CE">
      <w:pPr>
        <w:pStyle w:val="Heading1"/>
      </w:pPr>
      <w:bookmarkStart w:name="_Toc232146038" w:id="11"/>
      <w:r>
        <w:t>Jurisdiction</w:t>
      </w:r>
      <w:bookmarkEnd w:id="10"/>
      <w:bookmarkEnd w:id="11"/>
    </w:p>
    <w:p w:rsidRPr="006A2B22" w:rsidR="00092A69" w:rsidP="00092A69" w:rsidRDefault="00092A69" w14:paraId="2A841B58" w14:textId="47882124">
      <w:pPr>
        <w:pStyle w:val="standard0"/>
        <w:rPr>
          <w:color w:val="000000"/>
          <w:szCs w:val="26"/>
          <w:shd w:val="clear" w:color="auto" w:fill="FFFFFF"/>
        </w:rPr>
      </w:pPr>
      <w:r w:rsidRPr="00145411">
        <w:rPr>
          <w:rFonts w:ascii="Book Antiqua" w:hAnsi="Book Antiqua"/>
          <w:szCs w:val="26"/>
        </w:rPr>
        <w:t>The Commission has broad jurisdiction over “public utilities</w:t>
      </w:r>
      <w:r>
        <w:rPr>
          <w:rFonts w:ascii="Book Antiqua" w:hAnsi="Book Antiqua"/>
          <w:szCs w:val="26"/>
        </w:rPr>
        <w:t>,</w:t>
      </w:r>
      <w:r w:rsidRPr="00145411">
        <w:rPr>
          <w:rFonts w:ascii="Book Antiqua" w:hAnsi="Book Antiqua"/>
          <w:szCs w:val="26"/>
        </w:rPr>
        <w:t>”</w:t>
      </w:r>
      <w:r>
        <w:rPr>
          <w:rFonts w:ascii="Book Antiqua" w:hAnsi="Book Antiqua"/>
          <w:szCs w:val="26"/>
        </w:rPr>
        <w:t xml:space="preserve"> as defined in Pub. Util. Code Section 216.</w:t>
      </w:r>
      <w:r w:rsidRPr="00145411">
        <w:rPr>
          <w:rStyle w:val="FootnoteReference"/>
          <w:rFonts w:ascii="Book Antiqua" w:hAnsi="Book Antiqua" w:eastAsiaTheme="majorEastAsia"/>
          <w:szCs w:val="26"/>
        </w:rPr>
        <w:footnoteReference w:id="11"/>
      </w:r>
      <w:r w:rsidRPr="00145411">
        <w:rPr>
          <w:rFonts w:ascii="Book Antiqua" w:hAnsi="Book Antiqua"/>
          <w:szCs w:val="26"/>
        </w:rPr>
        <w:t xml:space="preserve">  </w:t>
      </w:r>
      <w:r w:rsidRPr="00477A18">
        <w:rPr>
          <w:rFonts w:ascii="Book Antiqua" w:hAnsi="Book Antiqua"/>
          <w:szCs w:val="26"/>
        </w:rPr>
        <w:t xml:space="preserve">California’s </w:t>
      </w:r>
      <w:r>
        <w:rPr>
          <w:rFonts w:ascii="Book Antiqua" w:hAnsi="Book Antiqua"/>
          <w:szCs w:val="26"/>
        </w:rPr>
        <w:t>C</w:t>
      </w:r>
      <w:r w:rsidRPr="00477A18">
        <w:rPr>
          <w:rFonts w:ascii="Book Antiqua" w:hAnsi="Book Antiqua"/>
          <w:szCs w:val="26"/>
        </w:rPr>
        <w:t>onstitution extends the Commission’s jurisdiction to companies engaged in “the transmission of telephone and telegraph messages,” which includes both public utility services and facilities</w:t>
      </w:r>
      <w:r>
        <w:rPr>
          <w:rFonts w:ascii="Book Antiqua" w:hAnsi="Book Antiqua"/>
          <w:szCs w:val="26"/>
        </w:rPr>
        <w:t>.</w:t>
      </w:r>
      <w:r w:rsidRPr="00477A18">
        <w:rPr>
          <w:rStyle w:val="FootnoteReference"/>
          <w:rFonts w:ascii="Book Antiqua" w:hAnsi="Book Antiqua" w:eastAsiaTheme="majorEastAsia"/>
          <w:szCs w:val="26"/>
        </w:rPr>
        <w:footnoteReference w:id="12"/>
      </w:r>
      <w:r w:rsidRPr="00477A18">
        <w:rPr>
          <w:rFonts w:ascii="Book Antiqua" w:hAnsi="Book Antiqua"/>
          <w:szCs w:val="26"/>
        </w:rPr>
        <w:t xml:space="preserve"> </w:t>
      </w:r>
      <w:r>
        <w:rPr>
          <w:rFonts w:ascii="Book Antiqua" w:hAnsi="Book Antiqua"/>
          <w:szCs w:val="26"/>
        </w:rPr>
        <w:t xml:space="preserve"> </w:t>
      </w:r>
      <w:r>
        <w:rPr>
          <w:rFonts w:ascii="Book Antiqua" w:hAnsi="Book Antiqua"/>
        </w:rPr>
        <w:t>The Commission classifies entities providing two-way voice communications service for compensation within California as “telephone corporations,”</w:t>
      </w:r>
      <w:r>
        <w:rPr>
          <w:rStyle w:val="FootnoteReference"/>
          <w:rFonts w:ascii="Book Antiqua" w:hAnsi="Book Antiqua" w:eastAsiaTheme="majorEastAsia"/>
        </w:rPr>
        <w:footnoteReference w:id="13"/>
      </w:r>
      <w:r>
        <w:rPr>
          <w:rFonts w:ascii="Book Antiqua" w:hAnsi="Book Antiqua"/>
        </w:rPr>
        <w:t xml:space="preserve"> and regulates them as public utilities.</w:t>
      </w:r>
      <w:r>
        <w:rPr>
          <w:rStyle w:val="FootnoteReference"/>
          <w:rFonts w:ascii="Book Antiqua" w:hAnsi="Book Antiqua" w:eastAsiaTheme="majorEastAsia"/>
          <w:szCs w:val="26"/>
        </w:rPr>
        <w:footnoteReference w:id="14"/>
      </w:r>
      <w:r>
        <w:rPr>
          <w:rFonts w:ascii="Book Antiqua" w:hAnsi="Book Antiqua"/>
        </w:rPr>
        <w:t xml:space="preserve"> </w:t>
      </w:r>
    </w:p>
    <w:p w:rsidR="005939A5" w:rsidP="00092A69" w:rsidRDefault="00092A69" w14:paraId="2919C5C7" w14:textId="77777777">
      <w:pPr>
        <w:pStyle w:val="Standard"/>
      </w:pPr>
      <w:r w:rsidRPr="00477A18">
        <w:rPr>
          <w:szCs w:val="26"/>
        </w:rPr>
        <w:t>As part of its regulatory authority</w:t>
      </w:r>
      <w:r>
        <w:rPr>
          <w:szCs w:val="26"/>
        </w:rPr>
        <w:t xml:space="preserve"> over “telephone corporations</w:t>
      </w:r>
      <w:r w:rsidRPr="00477A18">
        <w:rPr>
          <w:szCs w:val="26"/>
        </w:rPr>
        <w:t>,</w:t>
      </w:r>
      <w:r>
        <w:rPr>
          <w:szCs w:val="26"/>
        </w:rPr>
        <w:t>”</w:t>
      </w:r>
      <w:r w:rsidRPr="00477A18">
        <w:rPr>
          <w:szCs w:val="26"/>
        </w:rPr>
        <w:t xml:space="preserve"> the Commission authorizes certificates of public convenience and</w:t>
      </w:r>
      <w:r>
        <w:t xml:space="preserve"> necessity to </w:t>
      </w:r>
      <w:r>
        <w:lastRenderedPageBreak/>
        <w:t>“telephone corporations” seeking to construct a “line, plant, or system, or any extension thereof” in California.</w:t>
      </w:r>
      <w:r>
        <w:rPr>
          <w:rStyle w:val="FootnoteReference"/>
        </w:rPr>
        <w:footnoteReference w:id="15"/>
      </w:r>
      <w:r>
        <w:t xml:space="preserve">  Pub. Util. Code Section 233 defines a “telephone line” to include “all conduits, ducts, poles, wires, cables, instruments, and appliances, and other real estate, fixtures, and personal property owned or controlled, operated, or managed in connection with or to facilitate communication by telephone, whether such communication is had with or without the use of transmission wires.”  </w:t>
      </w:r>
      <w:r w:rsidRPr="00510C3D">
        <w:t>This includes services delivered over any technology, including</w:t>
      </w:r>
      <w:r>
        <w:t>,</w:t>
      </w:r>
      <w:r w:rsidRPr="00510C3D">
        <w:t xml:space="preserve"> but not limited to, traditional copper lines, coaxial cable, fiber optic cable, and mobile or fixed wireless radios</w:t>
      </w:r>
      <w:r w:rsidR="005939A5">
        <w:t>.</w:t>
      </w:r>
    </w:p>
    <w:p w:rsidR="002C11FE" w:rsidP="00362C67" w:rsidRDefault="00362C67" w14:paraId="53DE4764" w14:textId="77777777">
      <w:pPr>
        <w:pStyle w:val="standard0"/>
        <w:rPr>
          <w:rStyle w:val="normaltextrun"/>
          <w:rFonts w:ascii="Book Antiqua" w:hAnsi="Book Antiqua"/>
          <w:color w:val="000000"/>
          <w:shd w:val="clear" w:color="auto" w:fill="FFFFFF"/>
        </w:rPr>
      </w:pPr>
      <w:bookmarkStart w:name="_Hlk180076350" w:id="12"/>
      <w:bookmarkStart w:name="_Hlk183522120" w:id="13"/>
      <w:r w:rsidRPr="4372617A">
        <w:rPr>
          <w:rStyle w:val="normaltextrun"/>
          <w:rFonts w:ascii="Book Antiqua" w:hAnsi="Book Antiqua"/>
          <w:color w:val="000000"/>
          <w:shd w:val="clear" w:color="auto" w:fill="FFFFFF"/>
        </w:rPr>
        <w:t xml:space="preserve">Providers of voice services, including </w:t>
      </w:r>
      <w:r>
        <w:rPr>
          <w:rStyle w:val="normaltextrun"/>
          <w:rFonts w:ascii="Book Antiqua" w:hAnsi="Book Antiqua"/>
          <w:color w:val="000000"/>
          <w:shd w:val="clear" w:color="auto" w:fill="FFFFFF"/>
        </w:rPr>
        <w:t xml:space="preserve">local exchange carriers, interexchange carriers, </w:t>
      </w:r>
      <w:r w:rsidRPr="4372617A">
        <w:rPr>
          <w:rStyle w:val="normaltextrun"/>
          <w:rFonts w:ascii="Book Antiqua" w:hAnsi="Book Antiqua"/>
          <w:color w:val="000000"/>
          <w:shd w:val="clear" w:color="auto" w:fill="FFFFFF"/>
        </w:rPr>
        <w:t>and interconnected VoIP service</w:t>
      </w:r>
      <w:r>
        <w:rPr>
          <w:rStyle w:val="normaltextrun"/>
          <w:rFonts w:ascii="Book Antiqua" w:hAnsi="Book Antiqua"/>
          <w:color w:val="000000"/>
          <w:shd w:val="clear" w:color="auto" w:fill="FFFFFF"/>
        </w:rPr>
        <w:t xml:space="preserve"> providers</w:t>
      </w:r>
      <w:r w:rsidRPr="4372617A">
        <w:rPr>
          <w:rStyle w:val="normaltextrun"/>
          <w:rFonts w:ascii="Book Antiqua" w:hAnsi="Book Antiqua"/>
          <w:color w:val="000000"/>
          <w:shd w:val="clear" w:color="auto" w:fill="FFFFFF"/>
        </w:rPr>
        <w:t>, are telephone corporations subject to the Commission’s jurisdiction.</w:t>
      </w:r>
      <w:r w:rsidRPr="4372617A">
        <w:rPr>
          <w:rStyle w:val="FootnoteReference"/>
          <w:rFonts w:ascii="Book Antiqua" w:hAnsi="Book Antiqua" w:eastAsiaTheme="majorEastAsia"/>
          <w:color w:val="000000"/>
          <w:shd w:val="clear" w:color="auto" w:fill="FFFFFF"/>
        </w:rPr>
        <w:footnoteReference w:id="16"/>
      </w:r>
      <w:r w:rsidRPr="4372617A">
        <w:rPr>
          <w:rStyle w:val="normaltextrun"/>
          <w:rFonts w:ascii="Book Antiqua" w:hAnsi="Book Antiqua"/>
          <w:color w:val="000000"/>
          <w:shd w:val="clear" w:color="auto" w:fill="FFFFFF"/>
        </w:rPr>
        <w:t xml:space="preserve"> </w:t>
      </w:r>
      <w:r>
        <w:rPr>
          <w:rStyle w:val="normaltextrun"/>
          <w:rFonts w:ascii="Book Antiqua" w:hAnsi="Book Antiqua"/>
          <w:color w:val="000000"/>
          <w:shd w:val="clear" w:color="auto" w:fill="FFFFFF"/>
        </w:rPr>
        <w:t xml:space="preserve"> </w:t>
      </w:r>
      <w:r w:rsidRPr="4372617A">
        <w:rPr>
          <w:rStyle w:val="normaltextrun"/>
          <w:rFonts w:ascii="Book Antiqua" w:hAnsi="Book Antiqua"/>
          <w:color w:val="000000"/>
          <w:shd w:val="clear" w:color="auto" w:fill="FFFFFF"/>
        </w:rPr>
        <w:t xml:space="preserve">Providers of </w:t>
      </w:r>
      <w:r>
        <w:rPr>
          <w:rStyle w:val="normaltextrun"/>
          <w:rFonts w:ascii="Book Antiqua" w:hAnsi="Book Antiqua"/>
          <w:color w:val="000000"/>
          <w:shd w:val="clear" w:color="auto" w:fill="FFFFFF"/>
        </w:rPr>
        <w:t>local exchange, interexchange,</w:t>
      </w:r>
      <w:r w:rsidRPr="4372617A">
        <w:rPr>
          <w:rStyle w:val="normaltextrun"/>
          <w:rFonts w:ascii="Book Antiqua" w:hAnsi="Book Antiqua"/>
          <w:color w:val="000000"/>
          <w:shd w:val="clear" w:color="auto" w:fill="FFFFFF"/>
        </w:rPr>
        <w:t xml:space="preserve"> and fixed interconnected VoIP </w:t>
      </w:r>
      <w:r>
        <w:rPr>
          <w:rStyle w:val="normaltextrun"/>
          <w:rFonts w:ascii="Book Antiqua" w:hAnsi="Book Antiqua"/>
          <w:color w:val="000000"/>
          <w:shd w:val="clear" w:color="auto" w:fill="FFFFFF"/>
        </w:rPr>
        <w:t xml:space="preserve">services </w:t>
      </w:r>
      <w:r w:rsidRPr="4372617A">
        <w:rPr>
          <w:rStyle w:val="normaltextrun"/>
          <w:rFonts w:ascii="Book Antiqua" w:hAnsi="Book Antiqua"/>
          <w:color w:val="000000"/>
          <w:shd w:val="clear" w:color="auto" w:fill="FFFFFF"/>
        </w:rPr>
        <w:t xml:space="preserve">must obtain a CPCN or 1013 registration license to operate in California. </w:t>
      </w:r>
      <w:r>
        <w:rPr>
          <w:rStyle w:val="normaltextrun"/>
          <w:rFonts w:ascii="Book Antiqua" w:hAnsi="Book Antiqua"/>
          <w:color w:val="000000"/>
          <w:shd w:val="clear" w:color="auto" w:fill="FFFFFF"/>
        </w:rPr>
        <w:t xml:space="preserve"> </w:t>
      </w:r>
      <w:r w:rsidRPr="4372617A">
        <w:rPr>
          <w:rStyle w:val="normaltextrun"/>
          <w:rFonts w:ascii="Book Antiqua" w:hAnsi="Book Antiqua"/>
          <w:color w:val="000000"/>
          <w:shd w:val="clear" w:color="auto" w:fill="FFFFFF"/>
        </w:rPr>
        <w:t>Providers of only nomadic interconnected VoIP are subject to the Commission’s jurisdiction for rules of general applicability and preempted from licensing requirements that act as barriers to market entry</w:t>
      </w:r>
      <w:r>
        <w:rPr>
          <w:rStyle w:val="normaltextrun"/>
          <w:rFonts w:ascii="Book Antiqua" w:hAnsi="Book Antiqua"/>
          <w:color w:val="000000"/>
          <w:shd w:val="clear" w:color="auto" w:fill="FFFFFF"/>
        </w:rPr>
        <w:t>.</w:t>
      </w:r>
      <w:r w:rsidRPr="4372617A">
        <w:rPr>
          <w:rStyle w:val="normaltextrun"/>
          <w:rFonts w:ascii="Book Antiqua" w:hAnsi="Book Antiqua"/>
          <w:color w:val="000000"/>
          <w:shd w:val="clear" w:color="auto" w:fill="FFFFFF"/>
        </w:rPr>
        <w:t xml:space="preserve"> </w:t>
      </w:r>
      <w:r>
        <w:rPr>
          <w:rStyle w:val="normaltextrun"/>
          <w:rFonts w:ascii="Book Antiqua" w:hAnsi="Book Antiqua"/>
          <w:color w:val="000000"/>
          <w:shd w:val="clear" w:color="auto" w:fill="FFFFFF"/>
        </w:rPr>
        <w:t xml:space="preserve"> T</w:t>
      </w:r>
      <w:r w:rsidRPr="4372617A">
        <w:rPr>
          <w:rStyle w:val="normaltextrun"/>
          <w:rFonts w:ascii="Book Antiqua" w:hAnsi="Book Antiqua"/>
          <w:color w:val="000000"/>
          <w:shd w:val="clear" w:color="auto" w:fill="FFFFFF"/>
        </w:rPr>
        <w:t xml:space="preserve">hese providers must obtain </w:t>
      </w:r>
      <w:proofErr w:type="gramStart"/>
      <w:r w:rsidRPr="4372617A">
        <w:rPr>
          <w:rStyle w:val="normaltextrun"/>
          <w:rFonts w:ascii="Book Antiqua" w:hAnsi="Book Antiqua"/>
          <w:color w:val="000000"/>
          <w:shd w:val="clear" w:color="auto" w:fill="FFFFFF"/>
        </w:rPr>
        <w:t>a nomadic</w:t>
      </w:r>
      <w:proofErr w:type="gramEnd"/>
      <w:r w:rsidRPr="4372617A">
        <w:rPr>
          <w:rStyle w:val="normaltextrun"/>
          <w:rFonts w:ascii="Book Antiqua" w:hAnsi="Book Antiqua"/>
          <w:color w:val="000000"/>
          <w:shd w:val="clear" w:color="auto" w:fill="FFFFFF"/>
        </w:rPr>
        <w:t xml:space="preserve"> registration to operate in California.</w:t>
      </w:r>
      <w:r w:rsidRPr="4372617A">
        <w:rPr>
          <w:rStyle w:val="FootnoteReference"/>
          <w:rFonts w:ascii="Book Antiqua" w:hAnsi="Book Antiqua" w:eastAsiaTheme="majorEastAsia"/>
          <w:color w:val="000000"/>
          <w:shd w:val="clear" w:color="auto" w:fill="FFFFFF"/>
        </w:rPr>
        <w:footnoteReference w:id="17"/>
      </w:r>
      <w:bookmarkEnd w:id="12"/>
      <w:r w:rsidR="002C11FE">
        <w:rPr>
          <w:rStyle w:val="normaltextrun"/>
          <w:rFonts w:ascii="Book Antiqua" w:hAnsi="Book Antiqua"/>
          <w:color w:val="000000"/>
          <w:shd w:val="clear" w:color="auto" w:fill="FFFFFF"/>
        </w:rPr>
        <w:t xml:space="preserve">  </w:t>
      </w:r>
    </w:p>
    <w:p w:rsidRPr="004C633E" w:rsidR="00362C67" w:rsidP="00362C67" w:rsidRDefault="006D02BF" w14:paraId="5CC52FB8" w14:textId="4C6C4D73">
      <w:pPr>
        <w:pStyle w:val="standard0"/>
        <w:rPr>
          <w:rFonts w:ascii="Book Antiqua" w:hAnsi="Book Antiqua"/>
        </w:rPr>
      </w:pPr>
      <w:r>
        <w:rPr>
          <w:rStyle w:val="normaltextrun"/>
          <w:rFonts w:ascii="Book Antiqua" w:hAnsi="Book Antiqua"/>
          <w:color w:val="000000"/>
          <w:shd w:val="clear" w:color="auto" w:fill="FFFFFF"/>
        </w:rPr>
        <w:t xml:space="preserve">As discussed above, </w:t>
      </w:r>
      <w:r w:rsidRPr="002C11FE" w:rsidR="002C11FE">
        <w:rPr>
          <w:rStyle w:val="normaltextrun"/>
          <w:rFonts w:ascii="Book Antiqua" w:hAnsi="Book Antiqua"/>
          <w:color w:val="000000"/>
          <w:shd w:val="clear" w:color="auto" w:fill="FFFFFF"/>
        </w:rPr>
        <w:t xml:space="preserve">Applicant proposes to provide fixed interconnected VoIP services to business and residential customers within the service territories of uniform regulatory framework incumbent local exchange network. </w:t>
      </w:r>
      <w:r w:rsidR="00567B9A">
        <w:rPr>
          <w:rStyle w:val="normaltextrun"/>
          <w:rFonts w:ascii="Book Antiqua" w:hAnsi="Book Antiqua"/>
          <w:color w:val="000000"/>
          <w:shd w:val="clear" w:color="auto" w:fill="FFFFFF"/>
        </w:rPr>
        <w:t xml:space="preserve"> </w:t>
      </w:r>
      <w:r w:rsidRPr="002C11FE" w:rsidR="002C11FE">
        <w:rPr>
          <w:rStyle w:val="normaltextrun"/>
          <w:rFonts w:ascii="Book Antiqua" w:hAnsi="Book Antiqua"/>
          <w:color w:val="000000"/>
          <w:shd w:val="clear" w:color="auto" w:fill="FFFFFF"/>
        </w:rPr>
        <w:t xml:space="preserve">The services include voice calling via internet protocol over broadband connections, </w:t>
      </w:r>
      <w:r w:rsidRPr="002C11FE" w:rsidR="002C11FE">
        <w:rPr>
          <w:rStyle w:val="normaltextrun"/>
          <w:rFonts w:ascii="Book Antiqua" w:hAnsi="Book Antiqua"/>
          <w:color w:val="000000"/>
          <w:shd w:val="clear" w:color="auto" w:fill="FFFFFF"/>
        </w:rPr>
        <w:lastRenderedPageBreak/>
        <w:t xml:space="preserve">E-911 capability, and number portability.  </w:t>
      </w:r>
      <w:proofErr w:type="gramStart"/>
      <w:r w:rsidRPr="002C11FE" w:rsidR="002C11FE">
        <w:rPr>
          <w:rStyle w:val="normaltextrun"/>
          <w:rFonts w:ascii="Book Antiqua" w:hAnsi="Book Antiqua"/>
          <w:color w:val="000000"/>
          <w:shd w:val="clear" w:color="auto" w:fill="FFFFFF"/>
        </w:rPr>
        <w:t>Applicant is</w:t>
      </w:r>
      <w:proofErr w:type="gramEnd"/>
      <w:r w:rsidRPr="002C11FE" w:rsidR="002C11FE">
        <w:rPr>
          <w:rStyle w:val="normaltextrun"/>
          <w:rFonts w:ascii="Book Antiqua" w:hAnsi="Book Antiqua"/>
          <w:color w:val="000000"/>
          <w:shd w:val="clear" w:color="auto" w:fill="FFFFFF"/>
        </w:rPr>
        <w:t xml:space="preserve"> a telephone corporation and </w:t>
      </w:r>
      <w:proofErr w:type="gramStart"/>
      <w:r w:rsidRPr="002C11FE" w:rsidR="002C11FE">
        <w:rPr>
          <w:rStyle w:val="normaltextrun"/>
          <w:rFonts w:ascii="Book Antiqua" w:hAnsi="Book Antiqua"/>
          <w:color w:val="000000"/>
          <w:shd w:val="clear" w:color="auto" w:fill="FFFFFF"/>
        </w:rPr>
        <w:t>a public</w:t>
      </w:r>
      <w:proofErr w:type="gramEnd"/>
      <w:r w:rsidRPr="002C11FE" w:rsidR="002C11FE">
        <w:rPr>
          <w:rStyle w:val="normaltextrun"/>
          <w:rFonts w:ascii="Book Antiqua" w:hAnsi="Book Antiqua"/>
          <w:color w:val="000000"/>
          <w:shd w:val="clear" w:color="auto" w:fill="FFFFFF"/>
        </w:rPr>
        <w:t xml:space="preserve"> utility subject to the Commission’s jurisdiction.</w:t>
      </w:r>
    </w:p>
    <w:p w:rsidRPr="00710EBA" w:rsidR="005939A5" w:rsidP="00710EBA" w:rsidRDefault="00362C67" w14:paraId="7BBD4E7A" w14:textId="77777777">
      <w:pPr>
        <w:pStyle w:val="Heading1"/>
        <w:keepNext w:val="0"/>
        <w:keepLines w:val="0"/>
        <w:tabs>
          <w:tab w:val="num" w:pos="1710"/>
        </w:tabs>
        <w:rPr>
          <w:rFonts w:cs="Arial"/>
        </w:rPr>
      </w:pPr>
      <w:bookmarkStart w:name="_Toc225398655" w:id="14"/>
      <w:bookmarkStart w:name="_Toc335049171" w:id="15"/>
      <w:bookmarkStart w:name="_Toc8123720" w:id="16"/>
      <w:bookmarkStart w:name="_Toc232146039" w:id="17"/>
      <w:bookmarkEnd w:id="13"/>
      <w:bookmarkEnd w:id="14"/>
      <w:r>
        <w:rPr>
          <w:rFonts w:cs="Arial"/>
        </w:rPr>
        <w:t xml:space="preserve">Proposed Construction and </w:t>
      </w:r>
      <w:r w:rsidRPr="003E48C0">
        <w:rPr>
          <w:rFonts w:cs="Arial"/>
        </w:rPr>
        <w:t>California Environmental Quality Act (CEQA)</w:t>
      </w:r>
      <w:bookmarkEnd w:id="15"/>
      <w:r>
        <w:rPr>
          <w:rFonts w:cs="Arial"/>
        </w:rPr>
        <w:t xml:space="preserve"> Compliance</w:t>
      </w:r>
      <w:bookmarkEnd w:id="16"/>
      <w:bookmarkEnd w:id="17"/>
    </w:p>
    <w:p w:rsidR="00362C67" w:rsidP="00362C67" w:rsidRDefault="00362C67" w14:paraId="362FAECF" w14:textId="61F8DC40">
      <w:pPr>
        <w:pStyle w:val="standard0"/>
        <w:rPr>
          <w:rFonts w:ascii="Book Antiqua" w:hAnsi="Book Antiqua"/>
        </w:rPr>
      </w:pPr>
      <w:bookmarkStart w:name="_Hlk183522172" w:id="18"/>
      <w:r>
        <w:rPr>
          <w:rFonts w:ascii="Book Antiqua" w:hAnsi="Book Antiqua"/>
        </w:rPr>
        <w:t xml:space="preserve">Applicant </w:t>
      </w:r>
      <w:r w:rsidR="00035ADF">
        <w:rPr>
          <w:rFonts w:ascii="Book Antiqua" w:hAnsi="Book Antiqua"/>
          <w:color w:val="000000" w:themeColor="text1"/>
        </w:rPr>
        <w:t xml:space="preserve">seeks authorization to provide </w:t>
      </w:r>
      <w:r w:rsidRPr="002E0757">
        <w:rPr>
          <w:rFonts w:ascii="Book Antiqua" w:hAnsi="Book Antiqua"/>
          <w:color w:val="000000" w:themeColor="text1"/>
        </w:rPr>
        <w:t>non-</w:t>
      </w:r>
      <w:proofErr w:type="gramStart"/>
      <w:r w:rsidRPr="002E0757">
        <w:rPr>
          <w:rFonts w:ascii="Book Antiqua" w:hAnsi="Book Antiqua"/>
          <w:color w:val="000000" w:themeColor="text1"/>
        </w:rPr>
        <w:t>facilities</w:t>
      </w:r>
      <w:proofErr w:type="gramEnd"/>
      <w:r w:rsidRPr="002E0757">
        <w:rPr>
          <w:rFonts w:ascii="Book Antiqua" w:hAnsi="Book Antiqua"/>
          <w:color w:val="000000" w:themeColor="text1"/>
        </w:rPr>
        <w:t xml:space="preserve">-based service. </w:t>
      </w:r>
      <w:bookmarkEnd w:id="18"/>
      <w:r w:rsidRPr="002E0757">
        <w:rPr>
          <w:rFonts w:ascii="Book Antiqua" w:hAnsi="Book Antiqua"/>
          <w:color w:val="000000" w:themeColor="text1"/>
        </w:rPr>
        <w:t xml:space="preserve"> Pursuant </w:t>
      </w:r>
      <w:r w:rsidRPr="002E0757">
        <w:rPr>
          <w:rFonts w:ascii="Book Antiqua" w:hAnsi="Book Antiqua"/>
          <w:color w:val="000000" w:themeColor="text1"/>
          <w:szCs w:val="26"/>
        </w:rPr>
        <w:t xml:space="preserve">to </w:t>
      </w:r>
      <w:r w:rsidRPr="002E0757">
        <w:rPr>
          <w:rFonts w:ascii="Book Antiqua" w:hAnsi="Book Antiqua"/>
          <w:color w:val="000000" w:themeColor="text1"/>
        </w:rPr>
        <w:t>CEQA and the Commission’s Rules of Practice and Procedure (Rule) 2.4, the Commission acts as the designated lead agency to consider the environmental consequences of projects subject to the Commission’s approval.</w:t>
      </w:r>
      <w:r w:rsidRPr="00055361" w:rsidR="00E34BFB">
        <w:rPr>
          <w:rStyle w:val="FootnoteReferencebyTim"/>
          <w:rFonts w:ascii="Book Antiqua" w:hAnsi="Book Antiqua"/>
          <w:color w:val="000000" w:themeColor="text1"/>
          <w:sz w:val="26"/>
          <w:szCs w:val="26"/>
        </w:rPr>
        <w:footnoteReference w:id="18"/>
      </w:r>
      <w:r w:rsidRPr="002E0757">
        <w:rPr>
          <w:rFonts w:ascii="Book Antiqua" w:hAnsi="Book Antiqua"/>
          <w:color w:val="000000" w:themeColor="text1"/>
        </w:rPr>
        <w:t xml:space="preserve">  As the lead agency, the Commission must identify any potential environmental </w:t>
      </w:r>
      <w:proofErr w:type="gramStart"/>
      <w:r w:rsidRPr="002E0757">
        <w:rPr>
          <w:rFonts w:ascii="Book Antiqua" w:hAnsi="Book Antiqua"/>
          <w:color w:val="000000" w:themeColor="text1"/>
        </w:rPr>
        <w:t>impacts, and</w:t>
      </w:r>
      <w:proofErr w:type="gramEnd"/>
      <w:r w:rsidRPr="002E0757">
        <w:rPr>
          <w:rFonts w:ascii="Book Antiqua" w:hAnsi="Book Antiqua"/>
          <w:color w:val="000000" w:themeColor="text1"/>
        </w:rPr>
        <w:t xml:space="preserve"> reduce and avoid them to the extent feasible.  Because</w:t>
      </w:r>
      <w:r w:rsidR="007A1DE4">
        <w:rPr>
          <w:rFonts w:ascii="Book Antiqua" w:hAnsi="Book Antiqua"/>
          <w:color w:val="000000" w:themeColor="text1"/>
        </w:rPr>
        <w:t xml:space="preserve"> Applicant</w:t>
      </w:r>
      <w:r w:rsidRPr="002E0757">
        <w:rPr>
          <w:rFonts w:ascii="Book Antiqua" w:hAnsi="Book Antiqua"/>
          <w:color w:val="000000" w:themeColor="text1"/>
        </w:rPr>
        <w:t xml:space="preserve"> does not intend to construct any facilities</w:t>
      </w:r>
      <w:r w:rsidR="007A1DE4">
        <w:rPr>
          <w:rFonts w:ascii="Book Antiqua" w:hAnsi="Book Antiqua"/>
          <w:color w:val="000000" w:themeColor="text1"/>
        </w:rPr>
        <w:t xml:space="preserve">, </w:t>
      </w:r>
      <w:r w:rsidRPr="002E0757">
        <w:rPr>
          <w:rFonts w:ascii="Book Antiqua" w:hAnsi="Book Antiqua"/>
          <w:color w:val="000000" w:themeColor="text1"/>
        </w:rPr>
        <w:t>there is no possibility that granting this application will have an adverse impact upon the environment.</w:t>
      </w:r>
      <w:r w:rsidRPr="002E0757">
        <w:rPr>
          <w:rStyle w:val="FootnoteReference"/>
          <w:rFonts w:ascii="Book Antiqua" w:hAnsi="Book Antiqua" w:eastAsiaTheme="majorEastAsia"/>
          <w:color w:val="000000" w:themeColor="text1"/>
        </w:rPr>
        <w:footnoteReference w:id="19"/>
      </w:r>
      <w:r w:rsidRPr="002E0757">
        <w:rPr>
          <w:rFonts w:ascii="Book Antiqua" w:hAnsi="Book Antiqua"/>
          <w:color w:val="000000" w:themeColor="text1"/>
        </w:rPr>
        <w:t xml:space="preserve">  </w:t>
      </w:r>
      <w:r w:rsidR="006D02BF">
        <w:rPr>
          <w:rFonts w:ascii="Book Antiqua" w:hAnsi="Book Antiqua"/>
          <w:color w:val="000000" w:themeColor="text1"/>
        </w:rPr>
        <w:t>If Applicant decides to expand its activities and</w:t>
      </w:r>
      <w:r w:rsidRPr="002E0757">
        <w:rPr>
          <w:rFonts w:ascii="Book Antiqua" w:hAnsi="Book Antiqua"/>
          <w:color w:val="000000" w:themeColor="text1"/>
        </w:rPr>
        <w:t xml:space="preserve"> construct facilities, </w:t>
      </w:r>
      <w:r w:rsidR="006D02BF">
        <w:rPr>
          <w:rFonts w:ascii="Book Antiqua" w:hAnsi="Book Antiqua"/>
          <w:color w:val="000000" w:themeColor="text1"/>
        </w:rPr>
        <w:t xml:space="preserve">before any construction, </w:t>
      </w:r>
      <w:r w:rsidR="007A1DE4">
        <w:rPr>
          <w:rFonts w:ascii="Book Antiqua" w:hAnsi="Book Antiqua"/>
          <w:color w:val="000000" w:themeColor="text1"/>
        </w:rPr>
        <w:t xml:space="preserve">Applicant </w:t>
      </w:r>
      <w:r w:rsidRPr="002E0757">
        <w:rPr>
          <w:rFonts w:ascii="Book Antiqua" w:hAnsi="Book Antiqua"/>
          <w:color w:val="000000" w:themeColor="text1"/>
        </w:rPr>
        <w:t xml:space="preserve">must </w:t>
      </w:r>
      <w:r w:rsidRPr="004768C6">
        <w:rPr>
          <w:rFonts w:ascii="Book Antiqua" w:hAnsi="Book Antiqua"/>
        </w:rPr>
        <w:t>file for additional authority and submit to any necessary CEQA review.</w:t>
      </w:r>
      <w:r w:rsidR="00593636">
        <w:rPr>
          <w:rFonts w:ascii="Book Antiqua" w:hAnsi="Book Antiqua"/>
        </w:rPr>
        <w:t xml:space="preserve">  </w:t>
      </w:r>
    </w:p>
    <w:p w:rsidRPr="005F0984" w:rsidR="00362C67" w:rsidP="002E0757" w:rsidRDefault="00F939B8" w14:paraId="02163349" w14:textId="6AA6F549">
      <w:pPr>
        <w:pStyle w:val="Heading1"/>
        <w:rPr>
          <w:rStyle w:val="PageNumber"/>
          <w:rFonts w:ascii="Book Antiqua" w:hAnsi="Book Antiqua" w:eastAsiaTheme="minorHAnsi" w:cstheme="minorBidi"/>
          <w:szCs w:val="26"/>
        </w:rPr>
      </w:pPr>
      <w:bookmarkStart w:name="_Toc232146040" w:id="19"/>
      <w:r w:rsidRPr="002E0757">
        <w:t>Financial Qualifications</w:t>
      </w:r>
      <w:bookmarkEnd w:id="19"/>
    </w:p>
    <w:p w:rsidR="00376A59" w:rsidP="00376A59" w:rsidRDefault="00362C67" w14:paraId="28BA31D1" w14:textId="487CCAC2">
      <w:pPr>
        <w:pStyle w:val="standard0"/>
        <w:rPr>
          <w:rFonts w:ascii="Book Antiqua" w:hAnsi="Book Antiqua"/>
        </w:rPr>
      </w:pPr>
      <w:r w:rsidRPr="4372617A">
        <w:rPr>
          <w:rStyle w:val="PageNumber"/>
          <w:rFonts w:ascii="Book Antiqua" w:hAnsi="Book Antiqua"/>
        </w:rPr>
        <w:t xml:space="preserve">To </w:t>
      </w:r>
      <w:r>
        <w:rPr>
          <w:rStyle w:val="PageNumber"/>
          <w:rFonts w:ascii="Book Antiqua" w:hAnsi="Book Antiqua"/>
        </w:rPr>
        <w:t xml:space="preserve">receive </w:t>
      </w:r>
      <w:r w:rsidRPr="4372617A">
        <w:rPr>
          <w:rStyle w:val="PageNumber"/>
          <w:rFonts w:ascii="Book Antiqua" w:hAnsi="Book Antiqua"/>
        </w:rPr>
        <w:t>a CPCN</w:t>
      </w:r>
      <w:r w:rsidRPr="4372617A">
        <w:rPr>
          <w:rFonts w:ascii="Book Antiqua" w:hAnsi="Book Antiqua"/>
        </w:rPr>
        <w:t xml:space="preserve"> for </w:t>
      </w:r>
      <w:r w:rsidRPr="002E0757">
        <w:rPr>
          <w:rFonts w:ascii="Book Antiqua" w:hAnsi="Book Antiqua"/>
          <w:color w:val="000000" w:themeColor="text1"/>
        </w:rPr>
        <w:t xml:space="preserve">authority to non-facilities-based services, an applicant with profitable interstate operations may demonstrate that it </w:t>
      </w:r>
      <w:r w:rsidRPr="4372617A">
        <w:rPr>
          <w:rFonts w:ascii="Book Antiqua" w:hAnsi="Book Antiqua"/>
        </w:rPr>
        <w:t xml:space="preserve">has a minimum </w:t>
      </w:r>
      <w:r w:rsidRPr="002E0757">
        <w:rPr>
          <w:rFonts w:ascii="Book Antiqua" w:hAnsi="Book Antiqua"/>
          <w:color w:val="000000" w:themeColor="text1"/>
        </w:rPr>
        <w:t xml:space="preserve">of $25,000 </w:t>
      </w:r>
      <w:r w:rsidRPr="4372617A">
        <w:rPr>
          <w:rFonts w:ascii="Book Antiqua" w:hAnsi="Book Antiqua"/>
        </w:rPr>
        <w:t>cash or cash equivalent, reasonably liquid and readily available to meet the firm’s start</w:t>
      </w:r>
      <w:r w:rsidRPr="00154CA2">
        <w:rPr>
          <w:rFonts w:ascii="Book Antiqua" w:hAnsi="Book Antiqua"/>
          <w:szCs w:val="26"/>
        </w:rPr>
        <w:noBreakHyphen/>
      </w:r>
      <w:r w:rsidRPr="4372617A">
        <w:rPr>
          <w:rFonts w:ascii="Book Antiqua" w:hAnsi="Book Antiqua"/>
        </w:rPr>
        <w:t>up expenses.</w:t>
      </w:r>
      <w:r w:rsidRPr="00154CA2">
        <w:rPr>
          <w:rStyle w:val="FootnoteReference"/>
          <w:rFonts w:ascii="Book Antiqua" w:hAnsi="Book Antiqua" w:eastAsiaTheme="majorEastAsia"/>
          <w:szCs w:val="26"/>
        </w:rPr>
        <w:footnoteReference w:id="20"/>
      </w:r>
      <w:r w:rsidRPr="4372617A">
        <w:rPr>
          <w:rFonts w:ascii="Book Antiqua" w:hAnsi="Book Antiqua"/>
        </w:rPr>
        <w:t xml:space="preserve"> </w:t>
      </w:r>
    </w:p>
    <w:p w:rsidRPr="00154CA2" w:rsidR="00362C67" w:rsidP="0069046D" w:rsidRDefault="00362C67" w14:paraId="0A15DE8C" w14:textId="140FD309">
      <w:pPr>
        <w:pStyle w:val="standard0"/>
        <w:rPr>
          <w:rFonts w:ascii="Book Antiqua" w:hAnsi="Book Antiqua"/>
        </w:rPr>
      </w:pPr>
      <w:r w:rsidRPr="4372617A">
        <w:rPr>
          <w:rFonts w:ascii="Book Antiqua" w:hAnsi="Book Antiqua"/>
        </w:rPr>
        <w:lastRenderedPageBreak/>
        <w:t xml:space="preserve">In </w:t>
      </w:r>
      <w:r w:rsidR="008548CD">
        <w:rPr>
          <w:rFonts w:ascii="Book Antiqua" w:hAnsi="Book Antiqua"/>
        </w:rPr>
        <w:t>Appendix I of the</w:t>
      </w:r>
      <w:r w:rsidRPr="4372617A">
        <w:rPr>
          <w:rFonts w:ascii="Book Antiqua" w:hAnsi="Book Antiqua"/>
        </w:rPr>
        <w:t xml:space="preserve"> </w:t>
      </w:r>
      <w:r w:rsidRPr="002E0757">
        <w:rPr>
          <w:rFonts w:ascii="Book Antiqua" w:hAnsi="Book Antiqua"/>
          <w:color w:val="000000" w:themeColor="text1"/>
        </w:rPr>
        <w:t>application</w:t>
      </w:r>
      <w:r w:rsidR="00535FF0">
        <w:rPr>
          <w:rStyle w:val="FootnoteReference"/>
          <w:rFonts w:ascii="Book Antiqua" w:hAnsi="Book Antiqua"/>
          <w:color w:val="000000" w:themeColor="text1"/>
        </w:rPr>
        <w:footnoteReference w:id="21"/>
      </w:r>
      <w:r w:rsidR="008548CD">
        <w:rPr>
          <w:rFonts w:ascii="Book Antiqua" w:hAnsi="Book Antiqua"/>
          <w:color w:val="000000" w:themeColor="text1"/>
        </w:rPr>
        <w:t xml:space="preserve"> and Appendix E of Applicant’s Response to ALJ’s Inquiry dated January 23, 2026</w:t>
      </w:r>
      <w:r w:rsidRPr="002E0757">
        <w:rPr>
          <w:rFonts w:ascii="Book Antiqua" w:hAnsi="Book Antiqua"/>
          <w:color w:val="000000" w:themeColor="text1"/>
        </w:rPr>
        <w:t>,</w:t>
      </w:r>
      <w:r w:rsidR="00535FF0">
        <w:rPr>
          <w:rStyle w:val="FootnoteReference"/>
          <w:rFonts w:ascii="Book Antiqua" w:hAnsi="Book Antiqua"/>
          <w:color w:val="000000" w:themeColor="text1"/>
        </w:rPr>
        <w:footnoteReference w:id="22"/>
      </w:r>
      <w:r w:rsidRPr="002E0757">
        <w:rPr>
          <w:rFonts w:ascii="Book Antiqua" w:hAnsi="Book Antiqua"/>
          <w:color w:val="000000" w:themeColor="text1"/>
        </w:rPr>
        <w:t xml:space="preserve"> </w:t>
      </w:r>
      <w:r w:rsidR="007A1DE4">
        <w:rPr>
          <w:rFonts w:ascii="Book Antiqua" w:hAnsi="Book Antiqua"/>
          <w:color w:val="000000" w:themeColor="text1"/>
        </w:rPr>
        <w:t>Applicant</w:t>
      </w:r>
      <w:r w:rsidRPr="002E0757">
        <w:rPr>
          <w:rFonts w:ascii="Book Antiqua" w:hAnsi="Book Antiqua"/>
          <w:color w:val="000000" w:themeColor="text1"/>
        </w:rPr>
        <w:t xml:space="preserve"> show</w:t>
      </w:r>
      <w:r w:rsidR="008548CD">
        <w:rPr>
          <w:rFonts w:ascii="Book Antiqua" w:hAnsi="Book Antiqua"/>
          <w:color w:val="000000" w:themeColor="text1"/>
        </w:rPr>
        <w:t>ed</w:t>
      </w:r>
      <w:r w:rsidRPr="002E0757">
        <w:rPr>
          <w:rFonts w:ascii="Book Antiqua" w:hAnsi="Book Antiqua"/>
          <w:color w:val="000000" w:themeColor="text1"/>
        </w:rPr>
        <w:t xml:space="preserve"> it had at least $25,000 that is reasonably liquid and available</w:t>
      </w:r>
      <w:r w:rsidR="008548CD">
        <w:rPr>
          <w:rFonts w:ascii="Book Antiqua" w:hAnsi="Book Antiqua"/>
          <w:color w:val="000000" w:themeColor="text1"/>
        </w:rPr>
        <w:t xml:space="preserve"> by providing </w:t>
      </w:r>
      <w:r w:rsidR="004C4EA3">
        <w:rPr>
          <w:rFonts w:ascii="Book Antiqua" w:hAnsi="Book Antiqua"/>
          <w:color w:val="000000" w:themeColor="text1"/>
        </w:rPr>
        <w:t>the “Enhanced Communications Network Inc., B</w:t>
      </w:r>
      <w:r w:rsidR="008548CD">
        <w:rPr>
          <w:rFonts w:ascii="Book Antiqua" w:hAnsi="Book Antiqua"/>
          <w:color w:val="000000" w:themeColor="text1"/>
        </w:rPr>
        <w:t xml:space="preserve">alance </w:t>
      </w:r>
      <w:r w:rsidR="004C4EA3">
        <w:rPr>
          <w:rFonts w:ascii="Book Antiqua" w:hAnsi="Book Antiqua"/>
          <w:color w:val="000000" w:themeColor="text1"/>
        </w:rPr>
        <w:t>S</w:t>
      </w:r>
      <w:r w:rsidR="008548CD">
        <w:rPr>
          <w:rFonts w:ascii="Book Antiqua" w:hAnsi="Book Antiqua"/>
          <w:color w:val="000000" w:themeColor="text1"/>
        </w:rPr>
        <w:t>heet</w:t>
      </w:r>
      <w:r w:rsidR="004C4EA3">
        <w:rPr>
          <w:rFonts w:ascii="Book Antiqua" w:hAnsi="Book Antiqua"/>
          <w:color w:val="000000" w:themeColor="text1"/>
        </w:rPr>
        <w:t xml:space="preserve"> (PUC Presentation Format)</w:t>
      </w:r>
      <w:r w:rsidR="008548CD">
        <w:rPr>
          <w:rFonts w:ascii="Book Antiqua" w:hAnsi="Book Antiqua"/>
          <w:color w:val="000000" w:themeColor="text1"/>
        </w:rPr>
        <w:t>,</w:t>
      </w:r>
      <w:r w:rsidR="004C4EA3">
        <w:rPr>
          <w:rFonts w:ascii="Book Antiqua" w:hAnsi="Book Antiqua"/>
          <w:color w:val="000000" w:themeColor="text1"/>
        </w:rPr>
        <w:t>”</w:t>
      </w:r>
      <w:r w:rsidR="008548CD">
        <w:rPr>
          <w:rFonts w:ascii="Book Antiqua" w:hAnsi="Book Antiqua"/>
          <w:color w:val="000000" w:themeColor="text1"/>
        </w:rPr>
        <w:t xml:space="preserve"> </w:t>
      </w:r>
      <w:r w:rsidR="004C4EA3">
        <w:rPr>
          <w:rFonts w:ascii="Book Antiqua" w:hAnsi="Book Antiqua"/>
          <w:color w:val="000000" w:themeColor="text1"/>
        </w:rPr>
        <w:t>“Enhanced Communications Network Inc. I</w:t>
      </w:r>
      <w:r w:rsidR="008548CD">
        <w:rPr>
          <w:rFonts w:ascii="Book Antiqua" w:hAnsi="Book Antiqua"/>
          <w:color w:val="000000" w:themeColor="text1"/>
        </w:rPr>
        <w:t xml:space="preserve">ncome </w:t>
      </w:r>
      <w:r w:rsidR="004C4EA3">
        <w:rPr>
          <w:rFonts w:ascii="Book Antiqua" w:hAnsi="Book Antiqua"/>
          <w:color w:val="000000" w:themeColor="text1"/>
        </w:rPr>
        <w:t>S</w:t>
      </w:r>
      <w:r w:rsidR="008548CD">
        <w:rPr>
          <w:rFonts w:ascii="Book Antiqua" w:hAnsi="Book Antiqua"/>
          <w:color w:val="000000" w:themeColor="text1"/>
        </w:rPr>
        <w:t>tatement,</w:t>
      </w:r>
      <w:r w:rsidR="004C4EA3">
        <w:rPr>
          <w:rFonts w:ascii="Book Antiqua" w:hAnsi="Book Antiqua"/>
          <w:color w:val="000000" w:themeColor="text1"/>
        </w:rPr>
        <w:t>”</w:t>
      </w:r>
      <w:r w:rsidR="008548CD">
        <w:rPr>
          <w:rFonts w:ascii="Book Antiqua" w:hAnsi="Book Antiqua"/>
          <w:color w:val="000000" w:themeColor="text1"/>
        </w:rPr>
        <w:t xml:space="preserve"> </w:t>
      </w:r>
      <w:r w:rsidR="00BA0CDF">
        <w:rPr>
          <w:rFonts w:ascii="Book Antiqua" w:hAnsi="Book Antiqua"/>
          <w:color w:val="000000" w:themeColor="text1"/>
        </w:rPr>
        <w:t xml:space="preserve">and </w:t>
      </w:r>
      <w:r w:rsidR="00A03F50">
        <w:rPr>
          <w:rFonts w:ascii="Book Antiqua" w:hAnsi="Book Antiqua"/>
          <w:color w:val="000000" w:themeColor="text1"/>
        </w:rPr>
        <w:t>JP Morgan Chase B</w:t>
      </w:r>
      <w:r w:rsidR="008548CD">
        <w:rPr>
          <w:rFonts w:ascii="Book Antiqua" w:hAnsi="Book Antiqua"/>
          <w:color w:val="000000" w:themeColor="text1"/>
        </w:rPr>
        <w:t>ank statement</w:t>
      </w:r>
      <w:r w:rsidRPr="002E0757">
        <w:rPr>
          <w:rFonts w:ascii="Book Antiqua" w:hAnsi="Book Antiqua"/>
          <w:color w:val="000000" w:themeColor="text1"/>
        </w:rPr>
        <w:t xml:space="preserve">. </w:t>
      </w:r>
      <w:r w:rsidR="00D333A6">
        <w:rPr>
          <w:rFonts w:ascii="Book Antiqua" w:hAnsi="Book Antiqua"/>
          <w:color w:val="000000" w:themeColor="text1"/>
        </w:rPr>
        <w:t xml:space="preserve"> </w:t>
      </w:r>
      <w:r w:rsidRPr="002E0757">
        <w:rPr>
          <w:rFonts w:ascii="Book Antiqua" w:hAnsi="Book Antiqua"/>
          <w:color w:val="000000" w:themeColor="text1"/>
        </w:rPr>
        <w:t xml:space="preserve">The documentation demonstrates that </w:t>
      </w:r>
      <w:r w:rsidR="007A1DE4">
        <w:rPr>
          <w:rFonts w:ascii="Book Antiqua" w:hAnsi="Book Antiqua"/>
          <w:color w:val="000000" w:themeColor="text1"/>
        </w:rPr>
        <w:t>Applicant</w:t>
      </w:r>
      <w:r w:rsidRPr="002E0757" w:rsidR="00EE5F2E">
        <w:rPr>
          <w:rFonts w:ascii="Book Antiqua" w:hAnsi="Book Antiqua"/>
          <w:color w:val="000000" w:themeColor="text1"/>
        </w:rPr>
        <w:t xml:space="preserve"> </w:t>
      </w:r>
      <w:r w:rsidRPr="002E0757">
        <w:rPr>
          <w:rFonts w:ascii="Book Antiqua" w:hAnsi="Book Antiqua"/>
          <w:color w:val="000000" w:themeColor="text1"/>
        </w:rPr>
        <w:t>has sufficient funds to meet its start</w:t>
      </w:r>
      <w:r w:rsidRPr="002E0757">
        <w:rPr>
          <w:rFonts w:ascii="Book Antiqua" w:hAnsi="Book Antiqua"/>
          <w:color w:val="000000" w:themeColor="text1"/>
          <w:szCs w:val="26"/>
        </w:rPr>
        <w:noBreakHyphen/>
      </w:r>
      <w:r w:rsidRPr="002E0757">
        <w:rPr>
          <w:rFonts w:ascii="Book Antiqua" w:hAnsi="Book Antiqua"/>
          <w:color w:val="000000" w:themeColor="text1"/>
        </w:rPr>
        <w:t>up expenses and fulfill</w:t>
      </w:r>
      <w:r w:rsidR="00E34BFB">
        <w:rPr>
          <w:rFonts w:ascii="Book Antiqua" w:hAnsi="Book Antiqua"/>
          <w:color w:val="000000" w:themeColor="text1"/>
        </w:rPr>
        <w:t>s</w:t>
      </w:r>
      <w:r w:rsidRPr="002E0757">
        <w:rPr>
          <w:rFonts w:ascii="Book Antiqua" w:hAnsi="Book Antiqua"/>
          <w:color w:val="000000" w:themeColor="text1"/>
        </w:rPr>
        <w:t xml:space="preserve"> this requirement.  The Commission will verify and review the </w:t>
      </w:r>
      <w:r w:rsidR="007A1DE4">
        <w:rPr>
          <w:rFonts w:ascii="Book Antiqua" w:hAnsi="Book Antiqua"/>
          <w:color w:val="000000" w:themeColor="text1"/>
        </w:rPr>
        <w:t>Applicant</w:t>
      </w:r>
      <w:r w:rsidRPr="002E0757">
        <w:rPr>
          <w:rFonts w:ascii="Book Antiqua" w:hAnsi="Book Antiqua"/>
          <w:color w:val="000000" w:themeColor="text1"/>
        </w:rPr>
        <w:t xml:space="preserve">’s financial documentation for one year to ensure that such funds are available.  Accordingly, </w:t>
      </w:r>
      <w:r w:rsidR="007A1DE4">
        <w:rPr>
          <w:rFonts w:ascii="Book Antiqua" w:hAnsi="Book Antiqua"/>
          <w:color w:val="000000" w:themeColor="text1"/>
        </w:rPr>
        <w:t>Applicant</w:t>
      </w:r>
      <w:r w:rsidRPr="002E0757">
        <w:rPr>
          <w:rFonts w:ascii="Book Antiqua" w:hAnsi="Book Antiqua"/>
          <w:color w:val="000000" w:themeColor="text1"/>
        </w:rPr>
        <w:t xml:space="preserve"> must demonstrate that it maintained at least $25,000 that was reasonably liquid and available for its first year of operations by providing the Commission’s Communications Division with a confidential copy of its updated financial documentation at both six and 12 months </w:t>
      </w:r>
      <w:r w:rsidRPr="4372617A">
        <w:rPr>
          <w:rFonts w:ascii="Book Antiqua" w:hAnsi="Book Antiqua"/>
        </w:rPr>
        <w:t xml:space="preserve">from the issuance date of this decision by email to </w:t>
      </w:r>
      <w:hyperlink w:history="1" r:id="rId17">
        <w:r w:rsidRPr="4372617A">
          <w:rPr>
            <w:rStyle w:val="Hyperlink"/>
            <w:rFonts w:ascii="Book Antiqua" w:hAnsi="Book Antiqua"/>
          </w:rPr>
          <w:t>cdcompliance@cpuc.ca.gov</w:t>
        </w:r>
      </w:hyperlink>
      <w:r w:rsidRPr="4372617A">
        <w:rPr>
          <w:rFonts w:ascii="Book Antiqua" w:hAnsi="Book Antiqua"/>
        </w:rPr>
        <w:t>.</w:t>
      </w:r>
      <w:r w:rsidRPr="4372617A">
        <w:rPr>
          <w:rFonts w:ascii="Book Antiqua" w:hAnsi="Book Antiqua"/>
          <w:color w:val="0000FF"/>
        </w:rPr>
        <w:t xml:space="preserve"> </w:t>
      </w:r>
    </w:p>
    <w:p w:rsidR="00362C67" w:rsidP="00362C67" w:rsidRDefault="00362C67" w14:paraId="04074D25" w14:textId="16145A41">
      <w:pPr>
        <w:pStyle w:val="standard0"/>
        <w:rPr>
          <w:rFonts w:ascii="Book Antiqua" w:hAnsi="Book Antiqua"/>
        </w:rPr>
      </w:pPr>
      <w:r w:rsidRPr="4372617A">
        <w:rPr>
          <w:rFonts w:ascii="Book Antiqua" w:hAnsi="Book Antiqua"/>
        </w:rPr>
        <w:t>In addition to demonstrating financial fitness,</w:t>
      </w:r>
      <w:r w:rsidR="00B863AA">
        <w:rPr>
          <w:rFonts w:ascii="Book Antiqua" w:hAnsi="Book Antiqua"/>
        </w:rPr>
        <w:t xml:space="preserve"> Applicant</w:t>
      </w:r>
      <w:r w:rsidRPr="4372617A">
        <w:rPr>
          <w:rFonts w:ascii="Book Antiqua" w:hAnsi="Book Antiqua"/>
          <w:b/>
          <w:bCs/>
          <w:color w:val="0000FF"/>
        </w:rPr>
        <w:t xml:space="preserve"> </w:t>
      </w:r>
      <w:r w:rsidRPr="4372617A">
        <w:rPr>
          <w:rFonts w:ascii="Book Antiqua" w:hAnsi="Book Antiqua"/>
        </w:rPr>
        <w:t xml:space="preserve">must also demonstrate </w:t>
      </w:r>
      <w:r>
        <w:rPr>
          <w:rFonts w:ascii="Book Antiqua" w:hAnsi="Book Antiqua"/>
        </w:rPr>
        <w:t xml:space="preserve">that </w:t>
      </w:r>
      <w:r w:rsidRPr="4372617A">
        <w:rPr>
          <w:rFonts w:ascii="Book Antiqua" w:hAnsi="Book Antiqua"/>
        </w:rPr>
        <w:t>it has</w:t>
      </w:r>
      <w:r>
        <w:rPr>
          <w:rFonts w:ascii="Book Antiqua" w:hAnsi="Book Antiqua"/>
        </w:rPr>
        <w:t xml:space="preserve"> an additional</w:t>
      </w:r>
      <w:r w:rsidRPr="4372617A">
        <w:rPr>
          <w:rFonts w:ascii="Book Antiqua" w:hAnsi="Book Antiqua"/>
        </w:rPr>
        <w:t xml:space="preserve"> </w:t>
      </w:r>
      <w:bookmarkStart w:name="_Hlk146873886" w:id="20"/>
      <w:r w:rsidRPr="4372617A">
        <w:rPr>
          <w:rFonts w:ascii="Book Antiqua" w:hAnsi="Book Antiqua"/>
        </w:rPr>
        <w:t>$25,000 available for deposits</w:t>
      </w:r>
      <w:r>
        <w:rPr>
          <w:rFonts w:ascii="Book Antiqua" w:hAnsi="Book Antiqua"/>
        </w:rPr>
        <w:t xml:space="preserve"> to interconnect with local exchange carriers</w:t>
      </w:r>
      <w:bookmarkEnd w:id="20"/>
      <w:r w:rsidRPr="002E0757">
        <w:rPr>
          <w:rFonts w:ascii="Book Antiqua" w:hAnsi="Book Antiqua"/>
          <w:color w:val="000000" w:themeColor="text1"/>
        </w:rPr>
        <w:t xml:space="preserve">.  </w:t>
      </w:r>
      <w:proofErr w:type="gramStart"/>
      <w:r w:rsidR="007A1DE4">
        <w:rPr>
          <w:rFonts w:ascii="Book Antiqua" w:hAnsi="Book Antiqua"/>
          <w:color w:val="000000" w:themeColor="text1"/>
        </w:rPr>
        <w:t>Applicant</w:t>
      </w:r>
      <w:proofErr w:type="gramEnd"/>
      <w:r w:rsidRPr="002E0757">
        <w:rPr>
          <w:rFonts w:ascii="Book Antiqua" w:hAnsi="Book Antiqua"/>
          <w:b/>
          <w:bCs/>
          <w:color w:val="000000" w:themeColor="text1"/>
        </w:rPr>
        <w:t xml:space="preserve"> </w:t>
      </w:r>
      <w:r w:rsidRPr="002E0757">
        <w:rPr>
          <w:rFonts w:ascii="Book Antiqua" w:hAnsi="Book Antiqua"/>
          <w:color w:val="000000" w:themeColor="text1"/>
        </w:rPr>
        <w:t xml:space="preserve">met this requirement by providing documentation of </w:t>
      </w:r>
      <w:proofErr w:type="gramStart"/>
      <w:r w:rsidRPr="002E0757">
        <w:rPr>
          <w:rFonts w:ascii="Book Antiqua" w:hAnsi="Book Antiqua"/>
          <w:color w:val="000000" w:themeColor="text1"/>
        </w:rPr>
        <w:t>its</w:t>
      </w:r>
      <w:proofErr w:type="gramEnd"/>
      <w:r w:rsidRPr="002E0757">
        <w:rPr>
          <w:rFonts w:ascii="Book Antiqua" w:hAnsi="Book Antiqua"/>
          <w:color w:val="000000" w:themeColor="text1"/>
        </w:rPr>
        <w:t xml:space="preserve"> ability to pay deposits in</w:t>
      </w:r>
      <w:r w:rsidRPr="002E0757" w:rsidR="007A296A">
        <w:rPr>
          <w:rFonts w:ascii="Book Antiqua" w:hAnsi="Book Antiqua"/>
          <w:color w:val="000000" w:themeColor="text1"/>
        </w:rPr>
        <w:t xml:space="preserve"> Appendix I of </w:t>
      </w:r>
      <w:r w:rsidR="007A1DE4">
        <w:rPr>
          <w:rFonts w:ascii="Book Antiqua" w:hAnsi="Book Antiqua"/>
          <w:color w:val="000000" w:themeColor="text1"/>
        </w:rPr>
        <w:t>Applicant</w:t>
      </w:r>
      <w:r w:rsidRPr="002E0757" w:rsidR="007A296A">
        <w:rPr>
          <w:rFonts w:ascii="Book Antiqua" w:hAnsi="Book Antiqua"/>
          <w:color w:val="000000" w:themeColor="text1"/>
        </w:rPr>
        <w:t>’s Application and</w:t>
      </w:r>
      <w:r w:rsidRPr="002E0757">
        <w:rPr>
          <w:rFonts w:ascii="Book Antiqua" w:hAnsi="Book Antiqua"/>
          <w:color w:val="000000" w:themeColor="text1"/>
        </w:rPr>
        <w:t xml:space="preserve"> </w:t>
      </w:r>
      <w:r w:rsidRPr="002E0757" w:rsidR="00BC2DFA">
        <w:rPr>
          <w:rFonts w:ascii="Book Antiqua" w:hAnsi="Book Antiqua"/>
          <w:color w:val="000000" w:themeColor="text1"/>
        </w:rPr>
        <w:t>Appen</w:t>
      </w:r>
      <w:r w:rsidRPr="002E0757" w:rsidR="009E6E6C">
        <w:rPr>
          <w:rFonts w:ascii="Book Antiqua" w:hAnsi="Book Antiqua"/>
          <w:color w:val="000000" w:themeColor="text1"/>
        </w:rPr>
        <w:t xml:space="preserve">dix </w:t>
      </w:r>
      <w:r w:rsidRPr="002E0757" w:rsidR="004F2F6A">
        <w:rPr>
          <w:rFonts w:ascii="Book Antiqua" w:hAnsi="Book Antiqua"/>
          <w:color w:val="000000" w:themeColor="text1"/>
        </w:rPr>
        <w:t>E</w:t>
      </w:r>
      <w:r w:rsidRPr="002E0757" w:rsidR="009E6E6C">
        <w:rPr>
          <w:rFonts w:ascii="Book Antiqua" w:hAnsi="Book Antiqua"/>
          <w:color w:val="000000" w:themeColor="text1"/>
        </w:rPr>
        <w:t xml:space="preserve"> of </w:t>
      </w:r>
      <w:r w:rsidR="007A1DE4">
        <w:rPr>
          <w:rFonts w:ascii="Book Antiqua" w:hAnsi="Book Antiqua"/>
          <w:color w:val="000000" w:themeColor="text1"/>
        </w:rPr>
        <w:t>Applicant</w:t>
      </w:r>
      <w:r w:rsidRPr="002E0757" w:rsidR="009E6E6C">
        <w:rPr>
          <w:rFonts w:ascii="Book Antiqua" w:hAnsi="Book Antiqua"/>
          <w:color w:val="000000" w:themeColor="text1"/>
        </w:rPr>
        <w:t>’s</w:t>
      </w:r>
      <w:r w:rsidRPr="002E0757" w:rsidR="007949F4">
        <w:rPr>
          <w:rFonts w:ascii="Book Antiqua" w:hAnsi="Book Antiqua"/>
          <w:color w:val="000000" w:themeColor="text1"/>
        </w:rPr>
        <w:t xml:space="preserve"> Response to</w:t>
      </w:r>
      <w:r w:rsidRPr="002E0757" w:rsidR="009E7DC7">
        <w:rPr>
          <w:rFonts w:ascii="Book Antiqua" w:hAnsi="Book Antiqua"/>
          <w:color w:val="000000" w:themeColor="text1"/>
        </w:rPr>
        <w:t xml:space="preserve"> ALJ’s Inquiry dated January 23, 2026</w:t>
      </w:r>
      <w:r w:rsidR="009E7DC7">
        <w:rPr>
          <w:rFonts w:ascii="Book Antiqua" w:hAnsi="Book Antiqua"/>
        </w:rPr>
        <w:t>.</w:t>
      </w:r>
    </w:p>
    <w:p w:rsidRPr="00362C67" w:rsidR="00362C67" w:rsidP="00710EBA" w:rsidRDefault="00362C67" w14:paraId="289B8CE5" w14:textId="29500620">
      <w:pPr>
        <w:pStyle w:val="Standard"/>
      </w:pPr>
      <w:r w:rsidRPr="4372617A">
        <w:rPr>
          <w:rStyle w:val="PageNumber"/>
        </w:rPr>
        <w:lastRenderedPageBreak/>
        <w:t xml:space="preserve">To </w:t>
      </w:r>
      <w:r>
        <w:rPr>
          <w:rStyle w:val="PageNumber"/>
        </w:rPr>
        <w:t>receive</w:t>
      </w:r>
      <w:r w:rsidRPr="4372617A">
        <w:rPr>
          <w:rStyle w:val="PageNumber"/>
        </w:rPr>
        <w:t xml:space="preserve"> a CPCN</w:t>
      </w:r>
      <w:r w:rsidRPr="4372617A">
        <w:t xml:space="preserve"> for authority to provide </w:t>
      </w:r>
      <w:r w:rsidRPr="00BC5147">
        <w:t xml:space="preserve">non-facilities-based services, </w:t>
      </w:r>
      <w:r w:rsidRPr="4372617A">
        <w:t xml:space="preserve">an applicant with existing profitable interstate operations may meet the minimum financial requirement by submitting an audited balance sheet for the recent fiscal year, an unaudited balance sheet for the previous quarter, and a bank statement as of the month prior to the date of filing or a third-party undertaking to provide the required amounts on behalf of </w:t>
      </w:r>
      <w:r w:rsidRPr="002E0757">
        <w:rPr>
          <w:color w:val="000000" w:themeColor="text1"/>
        </w:rPr>
        <w:t>the applicant.</w:t>
      </w:r>
      <w:r w:rsidRPr="002E0757">
        <w:rPr>
          <w:rStyle w:val="FootnoteReference"/>
          <w:color w:val="000000" w:themeColor="text1"/>
        </w:rPr>
        <w:footnoteReference w:id="23"/>
      </w:r>
      <w:r w:rsidRPr="002E0757">
        <w:rPr>
          <w:color w:val="000000" w:themeColor="text1"/>
        </w:rPr>
        <w:t xml:space="preserve"> </w:t>
      </w:r>
      <w:r w:rsidR="007A1DE4">
        <w:rPr>
          <w:color w:val="000000" w:themeColor="text1"/>
        </w:rPr>
        <w:t>Applicant</w:t>
      </w:r>
      <w:r w:rsidRPr="002E0757">
        <w:rPr>
          <w:color w:val="000000" w:themeColor="text1"/>
        </w:rPr>
        <w:t xml:space="preserve"> provided the aforementioned documentation, and, therefore, demonstrated it has sufficient funds to meet its start</w:t>
      </w:r>
      <w:r w:rsidRPr="002E0757">
        <w:rPr>
          <w:color w:val="000000" w:themeColor="text1"/>
          <w:szCs w:val="26"/>
        </w:rPr>
        <w:noBreakHyphen/>
      </w:r>
      <w:r w:rsidRPr="002E0757">
        <w:rPr>
          <w:color w:val="000000" w:themeColor="text1"/>
        </w:rPr>
        <w:t xml:space="preserve">up expenses and fulfill this requirement. </w:t>
      </w:r>
      <w:r w:rsidR="00E05456">
        <w:rPr>
          <w:color w:val="000000" w:themeColor="text1"/>
        </w:rPr>
        <w:t xml:space="preserve"> </w:t>
      </w:r>
      <w:r w:rsidRPr="002E0757">
        <w:rPr>
          <w:color w:val="000000" w:themeColor="text1"/>
        </w:rPr>
        <w:t xml:space="preserve">The Commission will verify and review the </w:t>
      </w:r>
      <w:r w:rsidR="007A1DE4">
        <w:rPr>
          <w:color w:val="000000" w:themeColor="text1"/>
        </w:rPr>
        <w:t>Applicant</w:t>
      </w:r>
      <w:r w:rsidRPr="002E0757">
        <w:rPr>
          <w:color w:val="000000" w:themeColor="text1"/>
        </w:rPr>
        <w:t xml:space="preserve">’s financial documentation </w:t>
      </w:r>
      <w:r w:rsidRPr="4372617A">
        <w:t>for one year to ensure that such funds are available</w:t>
      </w:r>
      <w:r w:rsidR="008845EF">
        <w:t>.</w:t>
      </w:r>
    </w:p>
    <w:p w:rsidR="00603238" w:rsidP="00376A59" w:rsidRDefault="00376A59" w14:paraId="7278FDD0" w14:textId="77777777">
      <w:pPr>
        <w:pStyle w:val="Heading1"/>
      </w:pPr>
      <w:bookmarkStart w:name="_Toc222922053" w:id="21"/>
      <w:bookmarkStart w:name="_Toc222923634" w:id="22"/>
      <w:bookmarkStart w:name="_Toc222926640" w:id="23"/>
      <w:bookmarkStart w:name="_Toc222928861" w:id="24"/>
      <w:bookmarkStart w:name="_Toc222922054" w:id="25"/>
      <w:bookmarkStart w:name="_Toc222923635" w:id="26"/>
      <w:bookmarkStart w:name="_Toc222926641" w:id="27"/>
      <w:bookmarkStart w:name="_Toc222928862" w:id="28"/>
      <w:bookmarkStart w:name="_Toc222922055" w:id="29"/>
      <w:bookmarkStart w:name="_Toc222923636" w:id="30"/>
      <w:bookmarkStart w:name="_Toc222926642" w:id="31"/>
      <w:bookmarkStart w:name="_Toc222928863" w:id="32"/>
      <w:bookmarkStart w:name="_Toc222922056" w:id="33"/>
      <w:bookmarkStart w:name="_Toc222923637" w:id="34"/>
      <w:bookmarkStart w:name="_Toc222926643" w:id="35"/>
      <w:bookmarkStart w:name="_Toc222928864" w:id="36"/>
      <w:bookmarkStart w:name="_Toc222922057" w:id="37"/>
      <w:bookmarkStart w:name="_Toc222923638" w:id="38"/>
      <w:bookmarkStart w:name="_Toc222926644" w:id="39"/>
      <w:bookmarkStart w:name="_Toc222928865" w:id="40"/>
      <w:bookmarkStart w:name="_Toc222922058" w:id="41"/>
      <w:bookmarkStart w:name="_Toc222923639" w:id="42"/>
      <w:bookmarkStart w:name="_Toc222926645" w:id="43"/>
      <w:bookmarkStart w:name="_Toc222928866" w:id="44"/>
      <w:bookmarkStart w:name="_Toc222922059" w:id="45"/>
      <w:bookmarkStart w:name="_Toc222923640" w:id="46"/>
      <w:bookmarkStart w:name="_Toc222926646" w:id="47"/>
      <w:bookmarkStart w:name="_Toc222928867" w:id="48"/>
      <w:bookmarkStart w:name="_Toc222922060" w:id="49"/>
      <w:bookmarkStart w:name="_Toc222923641" w:id="50"/>
      <w:bookmarkStart w:name="_Toc222926647" w:id="51"/>
      <w:bookmarkStart w:name="_Toc222928868" w:id="52"/>
      <w:bookmarkStart w:name="_Toc222922061" w:id="53"/>
      <w:bookmarkStart w:name="_Toc222923642" w:id="54"/>
      <w:bookmarkStart w:name="_Toc222926648" w:id="55"/>
      <w:bookmarkStart w:name="_Toc222928869" w:id="56"/>
      <w:bookmarkStart w:name="_Toc222922062" w:id="57"/>
      <w:bookmarkStart w:name="_Toc222923643" w:id="58"/>
      <w:bookmarkStart w:name="_Toc222926649" w:id="59"/>
      <w:bookmarkStart w:name="_Toc222928870" w:id="60"/>
      <w:bookmarkStart w:name="_Toc222922063" w:id="61"/>
      <w:bookmarkStart w:name="_Toc222923644" w:id="62"/>
      <w:bookmarkStart w:name="_Toc222926650" w:id="63"/>
      <w:bookmarkStart w:name="_Toc222928871" w:id="64"/>
      <w:bookmarkStart w:name="_Toc222922064" w:id="65"/>
      <w:bookmarkStart w:name="_Toc222923645" w:id="66"/>
      <w:bookmarkStart w:name="_Toc222926651" w:id="67"/>
      <w:bookmarkStart w:name="_Toc222928872" w:id="68"/>
      <w:bookmarkStart w:name="_Toc232146041" w:id="69"/>
      <w:bookmarkStart w:name="_Toc8123721" w:id="7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t>T</w:t>
      </w:r>
      <w:r w:rsidRPr="00710EBA" w:rsidR="00710EBA">
        <w:t>echnical Qualifications</w:t>
      </w:r>
      <w:bookmarkEnd w:id="69"/>
    </w:p>
    <w:p w:rsidRPr="00603238" w:rsidR="00603238" w:rsidP="00603238" w:rsidRDefault="008845EF" w14:paraId="26ADFF7D" w14:textId="5B2238E3">
      <w:pPr>
        <w:pStyle w:val="Standard"/>
      </w:pPr>
      <w:r w:rsidRPr="008845EF">
        <w:rPr>
          <w:rFonts w:eastAsia="Times New Roman" w:cs="Times New Roman"/>
          <w:szCs w:val="20"/>
        </w:rPr>
        <w:t xml:space="preserve">To receive a CPCN for authority to </w:t>
      </w:r>
      <w:r w:rsidRPr="002E0757">
        <w:rPr>
          <w:rFonts w:eastAsia="Times New Roman" w:cs="Times New Roman"/>
          <w:color w:val="000000" w:themeColor="text1"/>
          <w:szCs w:val="20"/>
        </w:rPr>
        <w:t>provide fixed interconnected VoIP, an applicant must make a reasonable showing of managerial and technical expertise in telecommunications or a related business.</w:t>
      </w:r>
      <w:r w:rsidRPr="002E0757">
        <w:rPr>
          <w:rFonts w:eastAsia="Times New Roman" w:cs="Times New Roman"/>
          <w:color w:val="000000" w:themeColor="text1"/>
          <w:szCs w:val="26"/>
          <w:vertAlign w:val="superscript"/>
        </w:rPr>
        <w:footnoteReference w:id="24"/>
      </w:r>
      <w:r w:rsidRPr="002E0757">
        <w:rPr>
          <w:rFonts w:eastAsia="Times New Roman" w:cs="Times New Roman"/>
          <w:color w:val="000000" w:themeColor="text1"/>
          <w:szCs w:val="20"/>
        </w:rPr>
        <w:t xml:space="preserve">  </w:t>
      </w:r>
      <w:r w:rsidR="007A1DE4">
        <w:rPr>
          <w:rFonts w:eastAsia="Times New Roman" w:cs="Times New Roman"/>
          <w:color w:val="000000" w:themeColor="text1"/>
          <w:szCs w:val="20"/>
        </w:rPr>
        <w:t>Applicant</w:t>
      </w:r>
      <w:r w:rsidRPr="002E0757">
        <w:rPr>
          <w:rFonts w:eastAsia="Times New Roman" w:cs="Times New Roman"/>
          <w:color w:val="000000" w:themeColor="text1"/>
          <w:szCs w:val="20"/>
        </w:rPr>
        <w:t xml:space="preserve"> supplied biographical information on its management in </w:t>
      </w:r>
      <w:r w:rsidRPr="002E0757" w:rsidR="00684772">
        <w:rPr>
          <w:rFonts w:eastAsia="Times New Roman" w:cs="Times New Roman"/>
          <w:color w:val="000000" w:themeColor="text1"/>
          <w:szCs w:val="20"/>
        </w:rPr>
        <w:t xml:space="preserve">Appendix </w:t>
      </w:r>
      <w:r w:rsidRPr="002E0757" w:rsidR="009A60C5">
        <w:rPr>
          <w:rFonts w:eastAsia="Times New Roman" w:cs="Times New Roman"/>
          <w:color w:val="000000" w:themeColor="text1"/>
          <w:szCs w:val="20"/>
        </w:rPr>
        <w:t xml:space="preserve">D of </w:t>
      </w:r>
      <w:r w:rsidR="002D5A40">
        <w:rPr>
          <w:rFonts w:eastAsia="Times New Roman" w:cs="Times New Roman"/>
          <w:color w:val="000000" w:themeColor="text1"/>
          <w:szCs w:val="20"/>
        </w:rPr>
        <w:t>Applicant</w:t>
      </w:r>
      <w:r w:rsidRPr="002E0757" w:rsidR="009A60C5">
        <w:rPr>
          <w:rFonts w:eastAsia="Times New Roman" w:cs="Times New Roman"/>
          <w:color w:val="000000" w:themeColor="text1"/>
          <w:szCs w:val="20"/>
        </w:rPr>
        <w:t xml:space="preserve">’s Response to ALJ’s Inquiry </w:t>
      </w:r>
      <w:r w:rsidRPr="002E0757" w:rsidR="00D45917">
        <w:rPr>
          <w:rFonts w:eastAsia="Times New Roman" w:cs="Times New Roman"/>
          <w:color w:val="000000" w:themeColor="text1"/>
          <w:szCs w:val="20"/>
        </w:rPr>
        <w:t xml:space="preserve">dated January 23, </w:t>
      </w:r>
      <w:proofErr w:type="gramStart"/>
      <w:r w:rsidRPr="002E0757" w:rsidR="00D45917">
        <w:rPr>
          <w:rFonts w:eastAsia="Times New Roman" w:cs="Times New Roman"/>
          <w:color w:val="000000" w:themeColor="text1"/>
          <w:szCs w:val="20"/>
        </w:rPr>
        <w:t>2026</w:t>
      </w:r>
      <w:proofErr w:type="gramEnd"/>
      <w:r w:rsidRPr="002E0757" w:rsidR="00D45917">
        <w:rPr>
          <w:rFonts w:eastAsia="Times New Roman" w:cs="Times New Roman"/>
          <w:i/>
          <w:iCs/>
          <w:color w:val="000000" w:themeColor="text1"/>
          <w:szCs w:val="20"/>
        </w:rPr>
        <w:t xml:space="preserve"> </w:t>
      </w:r>
      <w:r w:rsidRPr="002E0757">
        <w:rPr>
          <w:rFonts w:eastAsia="Times New Roman" w:cs="Times New Roman"/>
          <w:color w:val="000000" w:themeColor="text1"/>
          <w:szCs w:val="20"/>
        </w:rPr>
        <w:t xml:space="preserve">to its application.  </w:t>
      </w:r>
      <w:r w:rsidRPr="008845EF">
        <w:rPr>
          <w:rFonts w:eastAsia="Times New Roman" w:cs="Times New Roman"/>
          <w:szCs w:val="20"/>
        </w:rPr>
        <w:t>The information provided</w:t>
      </w:r>
      <w:r>
        <w:rPr>
          <w:rFonts w:eastAsia="Times New Roman" w:cs="Times New Roman"/>
          <w:szCs w:val="20"/>
        </w:rPr>
        <w:t xml:space="preserve"> </w:t>
      </w:r>
      <w:r w:rsidRPr="008845EF">
        <w:rPr>
          <w:rFonts w:eastAsia="Times New Roman" w:cs="Times New Roman"/>
          <w:szCs w:val="20"/>
        </w:rPr>
        <w:t>demonstrates that</w:t>
      </w:r>
      <w:r w:rsidR="00D45917">
        <w:rPr>
          <w:rFonts w:eastAsia="Times New Roman" w:cs="Times New Roman"/>
          <w:szCs w:val="20"/>
        </w:rPr>
        <w:t xml:space="preserve"> </w:t>
      </w:r>
      <w:r w:rsidR="007A1DE4">
        <w:rPr>
          <w:rFonts w:eastAsia="Times New Roman" w:cs="Times New Roman"/>
          <w:szCs w:val="20"/>
        </w:rPr>
        <w:t>Applicant</w:t>
      </w:r>
      <w:r w:rsidR="006B4953">
        <w:rPr>
          <w:rFonts w:eastAsia="Times New Roman" w:cs="Times New Roman"/>
          <w:szCs w:val="20"/>
        </w:rPr>
        <w:t xml:space="preserve"> </w:t>
      </w:r>
      <w:r w:rsidRPr="008845EF">
        <w:rPr>
          <w:rFonts w:eastAsia="Times New Roman" w:cs="Times New Roman"/>
          <w:szCs w:val="20"/>
        </w:rPr>
        <w:t>as sufficient expertise and training to operate as a telecommunications provider</w:t>
      </w:r>
      <w:r w:rsidR="00603238">
        <w:t>.</w:t>
      </w:r>
    </w:p>
    <w:p w:rsidR="00FA1B4F" w:rsidP="00FA1B4F" w:rsidRDefault="008845EF" w14:paraId="7C2F19AD" w14:textId="77777777">
      <w:pPr>
        <w:pStyle w:val="Heading1"/>
      </w:pPr>
      <w:bookmarkStart w:name="_Toc232146042" w:id="71"/>
      <w:bookmarkEnd w:id="70"/>
      <w:r>
        <w:t>C</w:t>
      </w:r>
      <w:r w:rsidR="00710EBA">
        <w:rPr>
          <w:rFonts w:cs="Arial"/>
        </w:rPr>
        <w:t>ertification Requirements</w:t>
      </w:r>
      <w:bookmarkEnd w:id="71"/>
      <w:r w:rsidRPr="00425E29" w:rsidR="00710EBA">
        <w:rPr>
          <w:rFonts w:cs="Arial"/>
        </w:rPr>
        <w:t xml:space="preserve"> </w:t>
      </w:r>
    </w:p>
    <w:p w:rsidRPr="002E0757" w:rsidR="008845EF" w:rsidP="008845EF" w:rsidRDefault="008845EF" w14:paraId="35F8F5B0" w14:textId="5CF4C957">
      <w:pPr>
        <w:autoSpaceDE w:val="0"/>
        <w:autoSpaceDN w:val="0"/>
        <w:adjustRightInd w:val="0"/>
        <w:rPr>
          <w:b/>
          <w:color w:val="000000" w:themeColor="text1"/>
          <w:szCs w:val="26"/>
        </w:rPr>
      </w:pPr>
      <w:r w:rsidRPr="00425E29">
        <w:rPr>
          <w:szCs w:val="26"/>
        </w:rPr>
        <w:t xml:space="preserve">In its </w:t>
      </w:r>
      <w:r w:rsidR="009E4807">
        <w:rPr>
          <w:szCs w:val="26"/>
        </w:rPr>
        <w:t xml:space="preserve">May 30, </w:t>
      </w:r>
      <w:proofErr w:type="gramStart"/>
      <w:r w:rsidR="009E4807">
        <w:rPr>
          <w:szCs w:val="26"/>
        </w:rPr>
        <w:t>2025</w:t>
      </w:r>
      <w:proofErr w:type="gramEnd"/>
      <w:r w:rsidR="009E4807">
        <w:rPr>
          <w:szCs w:val="26"/>
        </w:rPr>
        <w:t xml:space="preserve"> </w:t>
      </w:r>
      <w:r w:rsidRPr="002E0757">
        <w:rPr>
          <w:color w:val="000000" w:themeColor="text1"/>
          <w:szCs w:val="26"/>
        </w:rPr>
        <w:t>application</w:t>
      </w:r>
      <w:r w:rsidR="009E4807">
        <w:rPr>
          <w:color w:val="000000" w:themeColor="text1"/>
          <w:szCs w:val="26"/>
        </w:rPr>
        <w:t xml:space="preserve"> and the January 22, </w:t>
      </w:r>
      <w:proofErr w:type="gramStart"/>
      <w:r w:rsidR="009E4807">
        <w:rPr>
          <w:color w:val="000000" w:themeColor="text1"/>
          <w:szCs w:val="26"/>
        </w:rPr>
        <w:t>2026</w:t>
      </w:r>
      <w:proofErr w:type="gramEnd"/>
      <w:r w:rsidR="009E4807">
        <w:rPr>
          <w:color w:val="000000" w:themeColor="text1"/>
          <w:szCs w:val="26"/>
        </w:rPr>
        <w:t xml:space="preserve"> updated application</w:t>
      </w:r>
      <w:r w:rsidRPr="002E0757">
        <w:rPr>
          <w:color w:val="000000" w:themeColor="text1"/>
          <w:szCs w:val="26"/>
        </w:rPr>
        <w:t>,</w:t>
      </w:r>
      <w:r w:rsidR="009E4807">
        <w:rPr>
          <w:rStyle w:val="FootnoteReference"/>
          <w:color w:val="000000" w:themeColor="text1"/>
          <w:szCs w:val="26"/>
        </w:rPr>
        <w:footnoteReference w:id="25"/>
      </w:r>
      <w:r w:rsidRPr="002E0757">
        <w:rPr>
          <w:color w:val="000000" w:themeColor="text1"/>
          <w:szCs w:val="26"/>
        </w:rPr>
        <w:t xml:space="preserve"> </w:t>
      </w:r>
      <w:r w:rsidR="007A1DE4">
        <w:rPr>
          <w:bCs/>
          <w:color w:val="000000" w:themeColor="text1"/>
          <w:szCs w:val="26"/>
        </w:rPr>
        <w:t>Applicant</w:t>
      </w:r>
      <w:r w:rsidRPr="002E0757">
        <w:rPr>
          <w:color w:val="000000" w:themeColor="text1"/>
          <w:szCs w:val="26"/>
        </w:rPr>
        <w:t xml:space="preserve"> verified that no one associated with or employed by </w:t>
      </w:r>
      <w:r w:rsidR="007A1DE4">
        <w:rPr>
          <w:bCs/>
          <w:color w:val="000000" w:themeColor="text1"/>
          <w:szCs w:val="26"/>
        </w:rPr>
        <w:t>Applicant</w:t>
      </w:r>
      <w:r w:rsidRPr="002E0757">
        <w:rPr>
          <w:bCs/>
          <w:color w:val="000000" w:themeColor="text1"/>
          <w:szCs w:val="26"/>
        </w:rPr>
        <w:t xml:space="preserve"> </w:t>
      </w:r>
      <w:r w:rsidRPr="002E0757">
        <w:rPr>
          <w:color w:val="000000" w:themeColor="text1"/>
          <w:szCs w:val="26"/>
        </w:rPr>
        <w:t xml:space="preserve">as an affiliate, officer, director, partner, or owner of more than </w:t>
      </w:r>
      <w:r w:rsidRPr="002E0757">
        <w:rPr>
          <w:color w:val="000000" w:themeColor="text1"/>
          <w:szCs w:val="26"/>
        </w:rPr>
        <w:lastRenderedPageBreak/>
        <w:t xml:space="preserve">10 percent of </w:t>
      </w:r>
      <w:r w:rsidR="007A1DE4">
        <w:rPr>
          <w:bCs/>
          <w:color w:val="000000" w:themeColor="text1"/>
          <w:szCs w:val="26"/>
        </w:rPr>
        <w:t>Applicant</w:t>
      </w:r>
      <w:r w:rsidRPr="002E0757">
        <w:rPr>
          <w:color w:val="000000" w:themeColor="text1"/>
          <w:szCs w:val="26"/>
        </w:rPr>
        <w:t xml:space="preserve">, or anyone acting in a management capacity for </w:t>
      </w:r>
      <w:r w:rsidR="007A1DE4">
        <w:rPr>
          <w:color w:val="000000" w:themeColor="text1"/>
          <w:szCs w:val="26"/>
        </w:rPr>
        <w:t>Applicant</w:t>
      </w:r>
    </w:p>
    <w:p w:rsidRPr="00425E29" w:rsidR="008845EF" w:rsidP="0003738F" w:rsidRDefault="008845EF" w14:paraId="2AF633E2" w14:textId="77777777">
      <w:pPr>
        <w:pStyle w:val="BlockQuote"/>
        <w:rPr>
          <w:szCs w:val="26"/>
        </w:rPr>
      </w:pPr>
      <w:r w:rsidRPr="0036396E">
        <w:t>(a) held one of these positions with a company that filed for bankruptcy; (b) been personally found liable, or held one of these positions with a company that has been found liable, for fraud, dishonesty, failure to disclose, or misrepresentations to consumers or others; (c) been convicted of a felony; (d) been (to his/her knowledge) the subject of a criminal referral by judge or public agency; (e) had a telecommunications license or operating authority denied, suspended, revoked, or limited in any jurisdiction; (f) personally entered into a settlement, or held one of these positions with a company that has entered into settlement of criminal or civil claims involving violations of [Sections] 17000 </w:t>
      </w:r>
      <w:r w:rsidRPr="0036396E">
        <w:rPr>
          <w:i/>
          <w:iCs/>
        </w:rPr>
        <w:t>et seq.,</w:t>
      </w:r>
      <w:r w:rsidRPr="0036396E">
        <w:t xml:space="preserve"> [Sections] 17200 </w:t>
      </w:r>
      <w:r w:rsidRPr="0036396E">
        <w:rPr>
          <w:i/>
          <w:iCs/>
        </w:rPr>
        <w:t>et seq</w:t>
      </w:r>
      <w:r w:rsidRPr="0036396E">
        <w:t xml:space="preserve">., or [Sections] 17500 </w:t>
      </w:r>
      <w:r w:rsidRPr="0036396E">
        <w:rPr>
          <w:i/>
          <w:iCs/>
        </w:rPr>
        <w:t>et seq</w:t>
      </w:r>
      <w:r w:rsidRPr="0036396E">
        <w:t>. of the California Business &amp; Professions Code, or of any other statute, regulation, or decisional law relating to fraud, dishonesty, failure to disclose, or misrepresentations to consumers or others; or (g) been found to have violated any statute, law, or rule pertaining to public utilities or other regulated industries; or (h) entered into any settlement agreements or made any voluntary payments or agreed</w:t>
      </w:r>
      <w:r w:rsidRPr="4372617A">
        <w:t xml:space="preserve"> to any other type of monetary forfeitures in resolution of any action by any regulatory body, agency, or attorney general.</w:t>
      </w:r>
      <w:r w:rsidRPr="00425E29">
        <w:rPr>
          <w:rStyle w:val="FootnoteReference"/>
          <w:rFonts w:eastAsiaTheme="majorEastAsia"/>
          <w:szCs w:val="26"/>
        </w:rPr>
        <w:footnoteReference w:id="26"/>
      </w:r>
      <w:r w:rsidRPr="4372617A">
        <w:t xml:space="preserve"> </w:t>
      </w:r>
    </w:p>
    <w:p w:rsidR="006B4953" w:rsidP="008845EF" w:rsidRDefault="008845EF" w14:paraId="2AC92888" w14:textId="2C04791F">
      <w:pPr>
        <w:pStyle w:val="Standard"/>
        <w:rPr>
          <w:rFonts w:cs="BookAntiqua"/>
          <w:color w:val="000000" w:themeColor="text1"/>
        </w:rPr>
      </w:pPr>
      <w:bookmarkStart w:name="_Hlk146809291" w:id="72"/>
      <w:r w:rsidRPr="4372617A">
        <w:t xml:space="preserve">Also, to the </w:t>
      </w:r>
      <w:r w:rsidRPr="002E0757">
        <w:rPr>
          <w:color w:val="000000" w:themeColor="text1"/>
        </w:rPr>
        <w:t xml:space="preserve">best of </w:t>
      </w:r>
      <w:r w:rsidR="007A1DE4">
        <w:rPr>
          <w:color w:val="000000" w:themeColor="text1"/>
        </w:rPr>
        <w:t>Applicant’s</w:t>
      </w:r>
      <w:r w:rsidRPr="002E0757">
        <w:rPr>
          <w:color w:val="000000" w:themeColor="text1"/>
        </w:rPr>
        <w:t xml:space="preserve"> knowledge, neither </w:t>
      </w:r>
      <w:r w:rsidR="007A1DE4">
        <w:rPr>
          <w:color w:val="000000" w:themeColor="text1"/>
        </w:rPr>
        <w:t>Applicant</w:t>
      </w:r>
      <w:r w:rsidRPr="002E0757">
        <w:rPr>
          <w:color w:val="000000" w:themeColor="text1"/>
        </w:rPr>
        <w:t xml:space="preserve">, nor any affiliate, officer, director, partner, nor owner of more than 10 percent of </w:t>
      </w:r>
      <w:r w:rsidR="007A1DE4">
        <w:rPr>
          <w:color w:val="000000" w:themeColor="text1"/>
        </w:rPr>
        <w:t>Applicant</w:t>
      </w:r>
      <w:r w:rsidRPr="002E0757">
        <w:rPr>
          <w:color w:val="000000" w:themeColor="text1"/>
        </w:rPr>
        <w:t xml:space="preserve">, or any person acting in such capacity whether or not formally appointed, is being, or has been investigated by the Federal Communications Commission </w:t>
      </w:r>
      <w:r w:rsidR="00E05456">
        <w:rPr>
          <w:color w:val="000000" w:themeColor="text1"/>
        </w:rPr>
        <w:t xml:space="preserve">(FCC) </w:t>
      </w:r>
      <w:r w:rsidRPr="002E0757">
        <w:rPr>
          <w:color w:val="000000" w:themeColor="text1"/>
        </w:rPr>
        <w:t>or any law enforcement or regulatory agency for failure to comply with any law, rule or order.</w:t>
      </w:r>
      <w:r w:rsidRPr="002E0757">
        <w:rPr>
          <w:rStyle w:val="FootnoteReference"/>
          <w:rFonts w:cs="BookAntiqua"/>
          <w:color w:val="000000" w:themeColor="text1"/>
          <w:szCs w:val="26"/>
        </w:rPr>
        <w:footnoteReference w:id="27"/>
      </w:r>
      <w:bookmarkEnd w:id="72"/>
      <w:r w:rsidRPr="002E0757">
        <w:rPr>
          <w:rFonts w:cs="BookAntiqua"/>
          <w:color w:val="000000" w:themeColor="text1"/>
        </w:rPr>
        <w:t xml:space="preserve">  </w:t>
      </w:r>
    </w:p>
    <w:p w:rsidR="00343E5C" w:rsidP="008845EF" w:rsidRDefault="008845EF" w14:paraId="423141DD" w14:textId="53A35F96">
      <w:pPr>
        <w:pStyle w:val="Standard"/>
      </w:pPr>
      <w:r w:rsidRPr="002E0757">
        <w:rPr>
          <w:color w:val="000000" w:themeColor="text1"/>
        </w:rPr>
        <w:lastRenderedPageBreak/>
        <w:t xml:space="preserve">For the foregoing reasons, this decision finds </w:t>
      </w:r>
      <w:r w:rsidRPr="002E0757">
        <w:rPr>
          <w:rFonts w:cs="Arial"/>
          <w:color w:val="000000" w:themeColor="text1"/>
        </w:rPr>
        <w:t xml:space="preserve">that </w:t>
      </w:r>
      <w:bookmarkStart w:name="_Hlk65664970" w:id="73"/>
      <w:r w:rsidR="00EF60AB">
        <w:rPr>
          <w:rFonts w:eastAsia="Times New Roman" w:cs="Times New Roman"/>
          <w:szCs w:val="20"/>
        </w:rPr>
        <w:t>Applicant</w:t>
      </w:r>
      <w:bookmarkEnd w:id="73"/>
      <w:r w:rsidRPr="002E0757">
        <w:rPr>
          <w:rFonts w:cs="Arial"/>
          <w:color w:val="000000" w:themeColor="text1"/>
        </w:rPr>
        <w:t xml:space="preserve"> </w:t>
      </w:r>
      <w:proofErr w:type="gramStart"/>
      <w:r w:rsidRPr="002E0757">
        <w:rPr>
          <w:rFonts w:cs="Arial"/>
          <w:color w:val="000000" w:themeColor="text1"/>
        </w:rPr>
        <w:t xml:space="preserve">is </w:t>
      </w:r>
      <w:r w:rsidRPr="4372617A">
        <w:rPr>
          <w:rFonts w:cs="Arial"/>
        </w:rPr>
        <w:t>in compliance with</w:t>
      </w:r>
      <w:proofErr w:type="gramEnd"/>
      <w:r w:rsidRPr="4372617A">
        <w:rPr>
          <w:rFonts w:cs="Arial"/>
        </w:rPr>
        <w:t xml:space="preserve"> the requirements of </w:t>
      </w:r>
      <w:r w:rsidR="006577E3">
        <w:rPr>
          <w:rFonts w:cs="Arial"/>
        </w:rPr>
        <w:t>Decision (</w:t>
      </w:r>
      <w:r w:rsidRPr="4372617A">
        <w:rPr>
          <w:rFonts w:cs="Arial"/>
        </w:rPr>
        <w:t>D.</w:t>
      </w:r>
      <w:r w:rsidR="006577E3">
        <w:rPr>
          <w:rFonts w:cs="Arial"/>
        </w:rPr>
        <w:t xml:space="preserve">) </w:t>
      </w:r>
      <w:r w:rsidRPr="4372617A">
        <w:rPr>
          <w:rFonts w:cs="Arial"/>
        </w:rPr>
        <w:t>13</w:t>
      </w:r>
      <w:r>
        <w:rPr>
          <w:rFonts w:cs="Arial"/>
          <w:szCs w:val="26"/>
        </w:rPr>
        <w:noBreakHyphen/>
      </w:r>
      <w:r w:rsidRPr="4372617A">
        <w:rPr>
          <w:rFonts w:cs="Arial"/>
        </w:rPr>
        <w:t>05</w:t>
      </w:r>
      <w:r>
        <w:rPr>
          <w:rFonts w:cs="Arial"/>
          <w:szCs w:val="26"/>
        </w:rPr>
        <w:noBreakHyphen/>
      </w:r>
      <w:r w:rsidRPr="4372617A">
        <w:rPr>
          <w:rFonts w:cs="Arial"/>
        </w:rPr>
        <w:t>035 and D.24-11-003</w:t>
      </w:r>
      <w:r w:rsidR="00343E5C">
        <w:t>.</w:t>
      </w:r>
    </w:p>
    <w:p w:rsidR="00C66D13" w:rsidP="008845EF" w:rsidRDefault="00C66D13" w14:paraId="046C7681" w14:textId="33D61983">
      <w:pPr>
        <w:pStyle w:val="Standard"/>
      </w:pPr>
      <w:r>
        <w:t xml:space="preserve">The Commission notes that </w:t>
      </w:r>
      <w:r w:rsidR="00825C85">
        <w:t>Applicant has been operating as a VoIP provider in California since 2023 without authority from the Commission.</w:t>
      </w:r>
      <w:r w:rsidR="00A03F50">
        <w:t xml:space="preserve">  However, as discussed below, the Commission only provided a pathway for the Applicant to receive a Digital Voice Fixed (DVF) utility designation recently.</w:t>
      </w:r>
      <w:r w:rsidR="00825C85">
        <w:t xml:space="preserve">  </w:t>
      </w:r>
    </w:p>
    <w:p w:rsidR="00D24A03" w:rsidP="00D24A03" w:rsidRDefault="00A03F50" w14:paraId="0ADB7468" w14:textId="6B381610">
      <w:pPr>
        <w:pStyle w:val="Heading1"/>
      </w:pPr>
      <w:bookmarkStart w:name="_Toc232146043" w:id="74"/>
      <w:proofErr w:type="gramStart"/>
      <w:r>
        <w:t>Granting of</w:t>
      </w:r>
      <w:proofErr w:type="gramEnd"/>
      <w:r>
        <w:t xml:space="preserve"> DVF Utility Type</w:t>
      </w:r>
      <w:bookmarkEnd w:id="74"/>
    </w:p>
    <w:p w:rsidR="005D3594" w:rsidP="005D3594" w:rsidRDefault="005D3594" w14:paraId="62B677BE" w14:textId="6BDB9942">
      <w:pPr>
        <w:pStyle w:val="standard0"/>
      </w:pPr>
      <w:r>
        <w:t xml:space="preserve">Previous Commission decisions granted </w:t>
      </w:r>
      <w:r w:rsidR="004829EE">
        <w:t>Applic</w:t>
      </w:r>
      <w:r>
        <w:t xml:space="preserve">ant </w:t>
      </w:r>
      <w:r>
        <w:rPr>
          <w:rFonts w:ascii="Book Antiqua" w:hAnsi="Book Antiqua"/>
          <w:color w:val="000000" w:themeColor="text1"/>
        </w:rPr>
        <w:t>authority to provide limited facilities-based and resold local exchange and interexchange telecommunications services.</w:t>
      </w:r>
      <w:r>
        <w:rPr>
          <w:rStyle w:val="FootnoteReference"/>
          <w:rFonts w:ascii="Book Antiqua" w:hAnsi="Book Antiqua"/>
          <w:color w:val="000000" w:themeColor="text1"/>
        </w:rPr>
        <w:footnoteReference w:id="28"/>
      </w:r>
      <w:r>
        <w:rPr>
          <w:rFonts w:ascii="Book Antiqua" w:hAnsi="Book Antiqua"/>
          <w:color w:val="000000" w:themeColor="text1"/>
        </w:rPr>
        <w:t xml:space="preserve">  Applicant </w:t>
      </w:r>
      <w:r w:rsidR="004829EE">
        <w:t xml:space="preserve">moved customers to VoIP to enable customers to continue to make phone calls after transitioning customers </w:t>
      </w:r>
      <w:proofErr w:type="gramStart"/>
      <w:r w:rsidR="004829EE">
        <w:t>off of</w:t>
      </w:r>
      <w:proofErr w:type="gramEnd"/>
      <w:r w:rsidR="004829EE">
        <w:t xml:space="preserve"> POTS.  </w:t>
      </w:r>
      <w:r w:rsidR="004311FF">
        <w:t xml:space="preserve">Applicant states that the transition was consistent with the </w:t>
      </w:r>
      <w:r w:rsidR="00E05456">
        <w:t>F</w:t>
      </w:r>
      <w:r w:rsidR="00B146F1">
        <w:t xml:space="preserve">ederal </w:t>
      </w:r>
      <w:r w:rsidR="00E05456">
        <w:t>C</w:t>
      </w:r>
      <w:r w:rsidR="00B146F1">
        <w:t xml:space="preserve">ommunications </w:t>
      </w:r>
      <w:r w:rsidR="00E05456">
        <w:t>C</w:t>
      </w:r>
      <w:r w:rsidR="00B146F1">
        <w:t>ommission</w:t>
      </w:r>
      <w:r w:rsidR="004311FF">
        <w:t xml:space="preserve">’s </w:t>
      </w:r>
      <w:r w:rsidR="00E76A8F">
        <w:t>Forbearance</w:t>
      </w:r>
      <w:r w:rsidR="004311FF">
        <w:t xml:space="preserve"> Order (FCC 19-72A1).</w:t>
      </w:r>
      <w:r w:rsidR="004311FF">
        <w:rPr>
          <w:rStyle w:val="FootnoteReference"/>
        </w:rPr>
        <w:footnoteReference w:id="29"/>
      </w:r>
      <w:r w:rsidR="00E76A8F">
        <w:t xml:space="preserve">  </w:t>
      </w:r>
      <w:r w:rsidR="004829EE">
        <w:t>By 2023, Applicant completed the transition and Applicant expanded beyond its authorized activities as a provider of VoIP.</w:t>
      </w:r>
      <w:r w:rsidR="004829EE">
        <w:rPr>
          <w:rStyle w:val="FootnoteReference"/>
        </w:rPr>
        <w:footnoteReference w:id="30"/>
      </w:r>
      <w:r w:rsidR="004829EE">
        <w:t xml:space="preserve">  </w:t>
      </w:r>
      <w:r>
        <w:t>Since 2023, Applicant has operated as a VoIP provider without Commission authority.</w:t>
      </w:r>
    </w:p>
    <w:p w:rsidR="005D3594" w:rsidP="005D3594" w:rsidRDefault="00F64F16" w14:paraId="72B5655E" w14:textId="17B9E72D">
      <w:pPr>
        <w:pStyle w:val="standard0"/>
      </w:pPr>
      <w:r>
        <w:t>In</w:t>
      </w:r>
      <w:r w:rsidR="005A1F2D">
        <w:t xml:space="preserve"> D.24-11-003</w:t>
      </w:r>
      <w:r>
        <w:t>, the Commission established a regulatory framework for telephone corporations providing</w:t>
      </w:r>
      <w:r w:rsidR="00F061F9">
        <w:t xml:space="preserve"> VoIP </w:t>
      </w:r>
      <w:r>
        <w:t>servic</w:t>
      </w:r>
      <w:r w:rsidR="00F061F9">
        <w:t>e</w:t>
      </w:r>
      <w:r>
        <w:t>.  Through the decision, Digital Voice Service (DVS)</w:t>
      </w:r>
      <w:r w:rsidR="00F061F9">
        <w:t xml:space="preserve"> providers</w:t>
      </w:r>
      <w:r>
        <w:t xml:space="preserve">, or interconnected VoIP service providers that formally registered between November 2011 and April 2021 with the Commission, were automatically granted operating authority as a DVF utility </w:t>
      </w:r>
      <w:r>
        <w:lastRenderedPageBreak/>
        <w:t>type.</w:t>
      </w:r>
      <w:r>
        <w:rPr>
          <w:rStyle w:val="FootnoteReference"/>
        </w:rPr>
        <w:footnoteReference w:id="31"/>
      </w:r>
      <w:r>
        <w:t xml:space="preserve">  However, D.24-11-003 did not address how fixed interconnected VoIP service providers that never registered as DVS providers were to add the DVF</w:t>
      </w:r>
      <w:r w:rsidR="00F061F9">
        <w:t xml:space="preserve"> </w:t>
      </w:r>
      <w:r>
        <w:t xml:space="preserve">designation to their existing wireline operating authority.  Instead, this process was established </w:t>
      </w:r>
      <w:proofErr w:type="gramStart"/>
      <w:r w:rsidRPr="00B4234D">
        <w:t>in</w:t>
      </w:r>
      <w:proofErr w:type="gramEnd"/>
      <w:r w:rsidRPr="00B4234D">
        <w:t xml:space="preserve"> D.26-</w:t>
      </w:r>
      <w:r w:rsidR="00B4234D">
        <w:t>06-009</w:t>
      </w:r>
      <w:r>
        <w:t xml:space="preserve">, so that existing wireline service providers </w:t>
      </w:r>
      <w:r w:rsidR="005B344A">
        <w:t>providing fixed interconnected VoIP services</w:t>
      </w:r>
      <w:r>
        <w:t xml:space="preserve"> could obtain a DVF utility type.</w:t>
      </w:r>
      <w:r w:rsidR="00B4234D">
        <w:rPr>
          <w:rStyle w:val="FootnoteReference"/>
        </w:rPr>
        <w:footnoteReference w:id="32"/>
      </w:r>
      <w:r>
        <w:t xml:space="preserve">  </w:t>
      </w:r>
    </w:p>
    <w:p w:rsidR="000C3FC8" w:rsidP="00E03A2A" w:rsidRDefault="00DE06E3" w14:paraId="643E5B36" w14:textId="6F9B855A">
      <w:pPr>
        <w:pStyle w:val="Standard"/>
      </w:pPr>
      <w:r>
        <w:t xml:space="preserve">Here, </w:t>
      </w:r>
      <w:r w:rsidR="00DB5E08">
        <w:t xml:space="preserve">Applicant is </w:t>
      </w:r>
      <w:r>
        <w:t xml:space="preserve">a </w:t>
      </w:r>
      <w:r w:rsidR="00DB5E08">
        <w:t>provider</w:t>
      </w:r>
      <w:r w:rsidR="00E03A2A">
        <w:t xml:space="preserve"> </w:t>
      </w:r>
      <w:r>
        <w:t>operating prior to the issuance of D.24-11-003.  Applicant was</w:t>
      </w:r>
      <w:r w:rsidR="00DB5E08">
        <w:t xml:space="preserve"> already operating as U6658C.</w:t>
      </w:r>
      <w:r>
        <w:t xml:space="preserve">  </w:t>
      </w:r>
      <w:proofErr w:type="gramStart"/>
      <w:r>
        <w:t>Applicant</w:t>
      </w:r>
      <w:proofErr w:type="gramEnd"/>
      <w:r>
        <w:t xml:space="preserve"> reported their VoIP surcharge information appropriately to U</w:t>
      </w:r>
      <w:r w:rsidR="00E03A2A">
        <w:t xml:space="preserve">6658C.  Because Applicant had an existing Utility ID number, Applicant was not required to be designated as a DVS utility type.  </w:t>
      </w:r>
      <w:proofErr w:type="gramStart"/>
      <w:r w:rsidRPr="00B4234D" w:rsidR="005B344A">
        <w:t>Applicant</w:t>
      </w:r>
      <w:proofErr w:type="gramEnd"/>
      <w:r w:rsidRPr="00B4234D" w:rsidR="005B344A">
        <w:t xml:space="preserve"> filed th</w:t>
      </w:r>
      <w:r w:rsidR="009159A3">
        <w:t>is</w:t>
      </w:r>
      <w:r w:rsidRPr="00B4234D" w:rsidR="005B344A">
        <w:t xml:space="preserve"> instant application before the streamlined process for obtaining a DVF utility type was established </w:t>
      </w:r>
      <w:proofErr w:type="gramStart"/>
      <w:r w:rsidRPr="00B4234D" w:rsidR="005B344A">
        <w:t>in</w:t>
      </w:r>
      <w:proofErr w:type="gramEnd"/>
      <w:r w:rsidRPr="00B4234D" w:rsidR="00E03A2A">
        <w:t xml:space="preserve"> D.26-06-</w:t>
      </w:r>
      <w:r w:rsidRPr="00B4234D" w:rsidR="00B4234D">
        <w:t>009</w:t>
      </w:r>
      <w:r w:rsidRPr="00B4234D" w:rsidR="005B344A">
        <w:t>.</w:t>
      </w:r>
      <w:r w:rsidR="009159A3">
        <w:rPr>
          <w:rStyle w:val="FootnoteReference"/>
        </w:rPr>
        <w:footnoteReference w:id="33"/>
      </w:r>
      <w:r w:rsidR="00697A02">
        <w:t xml:space="preserve">  We, therefore, grant Applicant a DVF utility designation to operate was a fixed interconnected VoIP provider</w:t>
      </w:r>
      <w:r w:rsidR="005B344A">
        <w:t xml:space="preserve"> through this decision</w:t>
      </w:r>
      <w:r w:rsidR="00E03A2A">
        <w:t>.</w:t>
      </w:r>
      <w:r w:rsidR="00A50C3C">
        <w:t xml:space="preserve"> </w:t>
      </w:r>
    </w:p>
    <w:p w:rsidRPr="008C1430" w:rsidR="008845EF" w:rsidP="002E0757" w:rsidRDefault="00D5565F" w14:paraId="7B4CEE0B" w14:textId="47D7F6D1">
      <w:pPr>
        <w:pStyle w:val="Heading1"/>
      </w:pPr>
      <w:bookmarkStart w:name="_Toc223940389" w:id="75"/>
      <w:bookmarkStart w:name="_Toc223945829" w:id="76"/>
      <w:bookmarkStart w:name="_Toc223955765" w:id="77"/>
      <w:bookmarkStart w:name="_Toc223940390" w:id="78"/>
      <w:bookmarkStart w:name="_Toc223945830" w:id="79"/>
      <w:bookmarkStart w:name="_Toc223955766" w:id="80"/>
      <w:bookmarkStart w:name="_Toc223940391" w:id="81"/>
      <w:bookmarkStart w:name="_Toc223945831" w:id="82"/>
      <w:bookmarkStart w:name="_Toc223955767" w:id="83"/>
      <w:bookmarkStart w:name="_Toc223940392" w:id="84"/>
      <w:bookmarkStart w:name="_Toc223945832" w:id="85"/>
      <w:bookmarkStart w:name="_Toc223955768" w:id="86"/>
      <w:bookmarkStart w:name="_Toc223940393" w:id="87"/>
      <w:bookmarkStart w:name="_Toc223945833" w:id="88"/>
      <w:bookmarkStart w:name="_Toc223955769" w:id="89"/>
      <w:bookmarkStart w:name="_Toc223940394" w:id="90"/>
      <w:bookmarkStart w:name="_Toc223945834" w:id="91"/>
      <w:bookmarkStart w:name="_Toc223955770" w:id="92"/>
      <w:bookmarkStart w:name="_Toc232146044" w:id="93"/>
      <w:bookmarkStart w:name="_Toc8123723" w:id="9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t>Tariffs</w:t>
      </w:r>
      <w:bookmarkEnd w:id="93"/>
    </w:p>
    <w:p w:rsidRPr="00335AF5" w:rsidR="008845EF" w:rsidP="008845EF" w:rsidRDefault="008845EF" w14:paraId="51551DFF" w14:textId="09298F7F">
      <w:pPr>
        <w:pStyle w:val="standard0"/>
        <w:rPr>
          <w:rFonts w:ascii="Book Antiqua" w:hAnsi="Book Antiqua"/>
        </w:rPr>
      </w:pPr>
      <w:bookmarkStart w:name="_Hlk183523289" w:id="95"/>
      <w:r>
        <w:rPr>
          <w:rFonts w:ascii="Book Antiqua" w:hAnsi="Book Antiqua"/>
        </w:rPr>
        <w:t xml:space="preserve">CLECs, </w:t>
      </w:r>
      <w:r w:rsidR="005B344A">
        <w:rPr>
          <w:rFonts w:ascii="Book Antiqua" w:hAnsi="Book Antiqua"/>
        </w:rPr>
        <w:t>Interexchange Carriers (</w:t>
      </w:r>
      <w:r>
        <w:rPr>
          <w:rFonts w:ascii="Book Antiqua" w:hAnsi="Book Antiqua"/>
        </w:rPr>
        <w:t>IECs</w:t>
      </w:r>
      <w:r w:rsidR="005B344A">
        <w:rPr>
          <w:rFonts w:ascii="Book Antiqua" w:hAnsi="Book Antiqua"/>
        </w:rPr>
        <w:t>)</w:t>
      </w:r>
      <w:r>
        <w:rPr>
          <w:rFonts w:ascii="Book Antiqua" w:hAnsi="Book Antiqua"/>
        </w:rPr>
        <w:t>, and fixed interconnected VoIP providers requesting</w:t>
      </w:r>
      <w:r w:rsidRPr="00335AF5">
        <w:rPr>
          <w:rFonts w:ascii="Book Antiqua" w:hAnsi="Book Antiqua"/>
        </w:rPr>
        <w:t xml:space="preserve"> </w:t>
      </w:r>
      <w:proofErr w:type="spellStart"/>
      <w:r w:rsidRPr="00335AF5">
        <w:rPr>
          <w:rFonts w:ascii="Book Antiqua" w:hAnsi="Book Antiqua"/>
        </w:rPr>
        <w:t>detariffed</w:t>
      </w:r>
      <w:proofErr w:type="spellEnd"/>
      <w:r w:rsidRPr="00335AF5">
        <w:rPr>
          <w:rFonts w:ascii="Book Antiqua" w:hAnsi="Book Antiqua"/>
        </w:rPr>
        <w:t xml:space="preserve"> status may be exempt from the requirement to file tariffs provided </w:t>
      </w:r>
      <w:r>
        <w:rPr>
          <w:rFonts w:ascii="Book Antiqua" w:hAnsi="Book Antiqua"/>
        </w:rPr>
        <w:t>they</w:t>
      </w:r>
      <w:r w:rsidRPr="00335AF5">
        <w:rPr>
          <w:rFonts w:ascii="Book Antiqua" w:hAnsi="Book Antiqua"/>
        </w:rPr>
        <w:t xml:space="preserve"> </w:t>
      </w:r>
      <w:r>
        <w:rPr>
          <w:rFonts w:ascii="Book Antiqua" w:hAnsi="Book Antiqua"/>
        </w:rPr>
        <w:t>do not provide basic service</w:t>
      </w:r>
      <w:r w:rsidR="005B344A">
        <w:rPr>
          <w:rFonts w:ascii="Book Antiqua" w:hAnsi="Book Antiqua"/>
        </w:rPr>
        <w:t>,</w:t>
      </w:r>
      <w:r w:rsidRPr="00335AF5">
        <w:rPr>
          <w:rFonts w:ascii="Book Antiqua" w:hAnsi="Book Antiqua"/>
        </w:rPr>
        <w:t xml:space="preserve"> </w:t>
      </w:r>
      <w:r>
        <w:rPr>
          <w:rFonts w:ascii="Book Antiqua" w:hAnsi="Book Antiqua"/>
        </w:rPr>
        <w:t>as defined by D.12-12-038</w:t>
      </w:r>
      <w:r w:rsidR="005B344A">
        <w:rPr>
          <w:rFonts w:ascii="Book Antiqua" w:hAnsi="Book Antiqua"/>
        </w:rPr>
        <w:t>,</w:t>
      </w:r>
      <w:r>
        <w:rPr>
          <w:rFonts w:ascii="Book Antiqua" w:hAnsi="Book Antiqua"/>
        </w:rPr>
        <w:t xml:space="preserve"> and comply </w:t>
      </w:r>
      <w:r w:rsidRPr="00335AF5">
        <w:rPr>
          <w:rFonts w:ascii="Book Antiqua" w:hAnsi="Book Antiqua"/>
        </w:rPr>
        <w:t>with the consumer protection rules identified in D.98</w:t>
      </w:r>
      <w:r w:rsidRPr="00335AF5">
        <w:rPr>
          <w:rFonts w:ascii="Book Antiqua" w:hAnsi="Book Antiqua"/>
        </w:rPr>
        <w:noBreakHyphen/>
        <w:t>08</w:t>
      </w:r>
      <w:r w:rsidRPr="00335AF5">
        <w:rPr>
          <w:rFonts w:ascii="Book Antiqua" w:hAnsi="Book Antiqua"/>
        </w:rPr>
        <w:noBreakHyphen/>
        <w:t>031</w:t>
      </w:r>
      <w:bookmarkEnd w:id="95"/>
      <w:r w:rsidR="007A1DE4">
        <w:rPr>
          <w:rFonts w:ascii="Book Antiqua" w:hAnsi="Book Antiqua"/>
        </w:rPr>
        <w:t xml:space="preserve">.  Applicant </w:t>
      </w:r>
      <w:r w:rsidRPr="00335AF5">
        <w:rPr>
          <w:rFonts w:ascii="Book Antiqua" w:hAnsi="Book Antiqua"/>
        </w:rPr>
        <w:t>indicated it will not offer services that require a tarif</w:t>
      </w:r>
      <w:r>
        <w:rPr>
          <w:rFonts w:ascii="Book Antiqua" w:hAnsi="Book Antiqua"/>
        </w:rPr>
        <w:t>f or schedule.</w:t>
      </w:r>
      <w:r w:rsidRPr="00335AF5">
        <w:rPr>
          <w:rFonts w:ascii="Book Antiqua" w:hAnsi="Book Antiqua"/>
        </w:rPr>
        <w:t xml:space="preserve"> </w:t>
      </w:r>
      <w:r>
        <w:rPr>
          <w:rFonts w:ascii="Book Antiqua" w:hAnsi="Book Antiqua"/>
        </w:rPr>
        <w:t xml:space="preserve"> T</w:t>
      </w:r>
      <w:r w:rsidR="00815C12">
        <w:rPr>
          <w:rFonts w:ascii="Book Antiqua" w:hAnsi="Book Antiqua"/>
        </w:rPr>
        <w:t xml:space="preserve">ypically, </w:t>
      </w:r>
      <w:proofErr w:type="spellStart"/>
      <w:r w:rsidRPr="00335AF5">
        <w:rPr>
          <w:rFonts w:ascii="Book Antiqua" w:hAnsi="Book Antiqua"/>
        </w:rPr>
        <w:t>detariffed</w:t>
      </w:r>
      <w:proofErr w:type="spellEnd"/>
      <w:r w:rsidRPr="00335AF5">
        <w:rPr>
          <w:rFonts w:ascii="Book Antiqua" w:hAnsi="Book Antiqua"/>
        </w:rPr>
        <w:t xml:space="preserve"> status </w:t>
      </w:r>
      <w:r w:rsidR="00815C12">
        <w:rPr>
          <w:rFonts w:ascii="Book Antiqua" w:hAnsi="Book Antiqua"/>
        </w:rPr>
        <w:t>would be</w:t>
      </w:r>
      <w:r w:rsidRPr="00335AF5">
        <w:rPr>
          <w:rFonts w:ascii="Book Antiqua" w:hAnsi="Book Antiqua"/>
        </w:rPr>
        <w:t xml:space="preserve"> granted</w:t>
      </w:r>
      <w:r w:rsidR="00815C12">
        <w:rPr>
          <w:rFonts w:ascii="Book Antiqua" w:hAnsi="Book Antiqua"/>
        </w:rPr>
        <w:t xml:space="preserve"> if the Commission is granting authorization to a new provider</w:t>
      </w:r>
      <w:r w:rsidRPr="00335AF5">
        <w:rPr>
          <w:rFonts w:ascii="Book Antiqua" w:hAnsi="Book Antiqua"/>
        </w:rPr>
        <w:t>.</w:t>
      </w:r>
      <w:r w:rsidR="00815C12">
        <w:rPr>
          <w:rFonts w:ascii="Book Antiqua" w:hAnsi="Book Antiqua"/>
        </w:rPr>
        <w:t xml:space="preserve">  </w:t>
      </w:r>
      <w:proofErr w:type="gramStart"/>
      <w:r w:rsidR="00815C12">
        <w:rPr>
          <w:rFonts w:ascii="Book Antiqua" w:hAnsi="Book Antiqua"/>
        </w:rPr>
        <w:t>Applicant already has</w:t>
      </w:r>
      <w:proofErr w:type="gramEnd"/>
      <w:r w:rsidR="00815C12">
        <w:rPr>
          <w:rFonts w:ascii="Book Antiqua" w:hAnsi="Book Antiqua"/>
        </w:rPr>
        <w:t xml:space="preserve"> existing authority to provide basic customer service, limited facilities-based and resold local exchange and interexchange telecommunications services.  Currently, Applicant has </w:t>
      </w:r>
      <w:r w:rsidR="00815C12">
        <w:rPr>
          <w:rFonts w:ascii="Book Antiqua" w:hAnsi="Book Antiqua"/>
        </w:rPr>
        <w:lastRenderedPageBreak/>
        <w:t xml:space="preserve">tariffed status and has submitted their most recent Tariff Filing Requirement for the reporting year of 2026.  </w:t>
      </w:r>
      <w:proofErr w:type="gramStart"/>
      <w:r w:rsidR="00815C12">
        <w:rPr>
          <w:rFonts w:ascii="Book Antiqua" w:hAnsi="Book Antiqua"/>
        </w:rPr>
        <w:t>Applicant still has</w:t>
      </w:r>
      <w:proofErr w:type="gramEnd"/>
      <w:r w:rsidR="00815C12">
        <w:rPr>
          <w:rFonts w:ascii="Book Antiqua" w:hAnsi="Book Antiqua"/>
        </w:rPr>
        <w:t xml:space="preserve"> authority to provide residential services, which </w:t>
      </w:r>
      <w:proofErr w:type="gramStart"/>
      <w:r w:rsidR="00815C12">
        <w:rPr>
          <w:rFonts w:ascii="Book Antiqua" w:hAnsi="Book Antiqua"/>
        </w:rPr>
        <w:t>is</w:t>
      </w:r>
      <w:proofErr w:type="gramEnd"/>
      <w:r w:rsidR="00815C12">
        <w:rPr>
          <w:rFonts w:ascii="Book Antiqua" w:hAnsi="Book Antiqua"/>
        </w:rPr>
        <w:t xml:space="preserve"> subject to tariffs.  Therefore, Applicant shall continue to be subject to tariffs until such time it surrenders the authority granted in D.02-05-022 and D.03-02-051.</w:t>
      </w:r>
    </w:p>
    <w:p w:rsidRPr="00FD5971" w:rsidR="00FD5971" w:rsidRDefault="008845EF" w14:paraId="54417D79" w14:textId="3C9EAED6">
      <w:pPr>
        <w:pStyle w:val="Standard"/>
      </w:pPr>
      <w:r w:rsidRPr="4372617A">
        <w:t xml:space="preserve">In the future, if </w:t>
      </w:r>
      <w:r w:rsidR="007A1DE4">
        <w:rPr>
          <w:color w:val="000000" w:themeColor="text1"/>
        </w:rPr>
        <w:t>Applicant</w:t>
      </w:r>
      <w:r w:rsidRPr="4372617A">
        <w:t xml:space="preserve"> decides to</w:t>
      </w:r>
      <w:r w:rsidR="00CB5504">
        <w:t xml:space="preserve"> surrender services</w:t>
      </w:r>
      <w:r w:rsidRPr="4372617A">
        <w:t xml:space="preserve"> that require a tariff</w:t>
      </w:r>
      <w:r w:rsidR="00CB5504">
        <w:t>, then</w:t>
      </w:r>
      <w:r>
        <w:t xml:space="preserve"> </w:t>
      </w:r>
      <w:r w:rsidRPr="4372617A">
        <w:t>Applicant</w:t>
      </w:r>
      <w:r w:rsidR="00CB5504">
        <w:t xml:space="preserve"> may submit a request to </w:t>
      </w:r>
      <w:proofErr w:type="spellStart"/>
      <w:r w:rsidR="00CB5504">
        <w:t>detariff</w:t>
      </w:r>
      <w:proofErr w:type="spellEnd"/>
      <w:r w:rsidR="00CB5504">
        <w:t xml:space="preserve"> by filing with </w:t>
      </w:r>
      <w:r w:rsidRPr="4372617A">
        <w:t>the Commission’s Communications Division</w:t>
      </w:r>
      <w:r w:rsidR="00CB5504">
        <w:t xml:space="preserve"> a</w:t>
      </w:r>
      <w:r w:rsidRPr="4372617A">
        <w:t xml:space="preserve"> Tier 2 </w:t>
      </w:r>
      <w:r w:rsidR="00EF7672">
        <w:t>a</w:t>
      </w:r>
      <w:r w:rsidRPr="4372617A">
        <w:t>dvice </w:t>
      </w:r>
      <w:r w:rsidR="00EF7672">
        <w:t>l</w:t>
      </w:r>
      <w:r w:rsidRPr="4372617A">
        <w:t>etter</w:t>
      </w:r>
      <w:r w:rsidR="00CB5504">
        <w:t>.</w:t>
      </w:r>
      <w:r w:rsidR="00CB5504">
        <w:rPr>
          <w:rStyle w:val="FootnoteReference"/>
        </w:rPr>
        <w:footnoteReference w:id="34"/>
      </w:r>
    </w:p>
    <w:p w:rsidR="00FD5971" w:rsidP="008845EF" w:rsidRDefault="00FD5971" w14:paraId="04BA94C6" w14:textId="06D2A4A2">
      <w:pPr>
        <w:pStyle w:val="Heading1"/>
        <w:rPr>
          <w:rFonts w:cs="Arial"/>
        </w:rPr>
      </w:pPr>
      <w:bookmarkStart w:name="_Toc232146045" w:id="96"/>
      <w:r w:rsidRPr="00661D38">
        <w:rPr>
          <w:rFonts w:cs="Arial"/>
        </w:rPr>
        <w:t>Safety Considerations</w:t>
      </w:r>
      <w:bookmarkEnd w:id="96"/>
    </w:p>
    <w:p w:rsidRPr="00FD5971" w:rsidR="00FD5971" w:rsidP="00710EBA" w:rsidRDefault="00FD5971" w14:paraId="04EA2F06" w14:textId="6729E1BA">
      <w:pPr>
        <w:pStyle w:val="Standard"/>
      </w:pPr>
      <w:r w:rsidRPr="00DE0551">
        <w:t xml:space="preserve">With the adoption of the </w:t>
      </w:r>
      <w:r w:rsidRPr="00DE0551">
        <w:rPr>
          <w:i/>
        </w:rPr>
        <w:t>Safety</w:t>
      </w:r>
      <w:r>
        <w:rPr>
          <w:i/>
        </w:rPr>
        <w:t> </w:t>
      </w:r>
      <w:r w:rsidRPr="00DE0551">
        <w:rPr>
          <w:i/>
        </w:rPr>
        <w:t>Policy Statement of the California Pub</w:t>
      </w:r>
      <w:r>
        <w:rPr>
          <w:i/>
        </w:rPr>
        <w:t>. Util.</w:t>
      </w:r>
      <w:r w:rsidRPr="00DE0551">
        <w:rPr>
          <w:i/>
        </w:rPr>
        <w:t xml:space="preserve"> Commission</w:t>
      </w:r>
      <w:r w:rsidRPr="00DE0551">
        <w:t xml:space="preserve"> on July</w:t>
      </w:r>
      <w:r>
        <w:t> </w:t>
      </w:r>
      <w:r w:rsidRPr="00DE0551">
        <w:t>10,</w:t>
      </w:r>
      <w:r>
        <w:t> </w:t>
      </w:r>
      <w:r w:rsidRPr="00DE0551">
        <w:t xml:space="preserve">2014, the Commission has, among other things, heightened its focus on the potential safety implications of every proceeding. </w:t>
      </w:r>
      <w:r>
        <w:t xml:space="preserve"> The Commission</w:t>
      </w:r>
      <w:r w:rsidRPr="00DE0551">
        <w:t xml:space="preserve"> considered the potential safety implications here</w:t>
      </w:r>
      <w:r>
        <w:t>.  The Commission finds</w:t>
      </w:r>
      <w:r w:rsidRPr="00DE0551">
        <w:t xml:space="preserve"> that </w:t>
      </w:r>
      <w:r w:rsidR="00EF60AB">
        <w:rPr>
          <w:rFonts w:eastAsia="Times New Roman" w:cs="Times New Roman"/>
          <w:szCs w:val="20"/>
        </w:rPr>
        <w:t>Applicant</w:t>
      </w:r>
      <w:r w:rsidRPr="002E0757" w:rsidDel="001C1206">
        <w:rPr>
          <w:bCs/>
          <w:color w:val="000000" w:themeColor="text1"/>
        </w:rPr>
        <w:t xml:space="preserve"> </w:t>
      </w:r>
      <w:r w:rsidRPr="002E0757">
        <w:rPr>
          <w:bCs/>
          <w:color w:val="000000" w:themeColor="text1"/>
        </w:rPr>
        <w:t xml:space="preserve">will meet the Commission’s minimum safety goals and expectations of </w:t>
      </w:r>
      <w:r w:rsidRPr="002E0757">
        <w:rPr>
          <w:bCs/>
          <w:color w:val="000000" w:themeColor="text1"/>
          <w:szCs w:val="26"/>
        </w:rPr>
        <w:t>VoIP providers</w:t>
      </w:r>
      <w:r w:rsidRPr="002E0757">
        <w:rPr>
          <w:bCs/>
          <w:color w:val="000000" w:themeColor="text1"/>
        </w:rPr>
        <w:t xml:space="preserve"> because: (1) </w:t>
      </w:r>
      <w:r w:rsidR="00EF60AB">
        <w:rPr>
          <w:rFonts w:eastAsia="Times New Roman" w:cs="Times New Roman"/>
          <w:szCs w:val="20"/>
        </w:rPr>
        <w:t>Applicant</w:t>
      </w:r>
      <w:r w:rsidRPr="002E0757">
        <w:rPr>
          <w:bCs/>
          <w:color w:val="000000" w:themeColor="text1"/>
          <w:szCs w:val="26"/>
        </w:rPr>
        <w:t xml:space="preserve"> </w:t>
      </w:r>
      <w:r w:rsidRPr="002E0757">
        <w:rPr>
          <w:bCs/>
          <w:color w:val="000000" w:themeColor="text1"/>
        </w:rPr>
        <w:t>has taken steps to meet the financial requirements, as set forth in this decision for a</w:t>
      </w:r>
      <w:r w:rsidRPr="002E0757" w:rsidR="00713E11">
        <w:rPr>
          <w:bCs/>
          <w:color w:val="000000" w:themeColor="text1"/>
        </w:rPr>
        <w:t xml:space="preserve"> </w:t>
      </w:r>
      <w:r w:rsidRPr="002E0757">
        <w:rPr>
          <w:bCs/>
          <w:color w:val="000000" w:themeColor="text1"/>
          <w:szCs w:val="26"/>
        </w:rPr>
        <w:t>non-facilities-based VoIP provider</w:t>
      </w:r>
      <w:r w:rsidRPr="002E0757">
        <w:rPr>
          <w:bCs/>
          <w:color w:val="000000" w:themeColor="text1"/>
        </w:rPr>
        <w:t>, and (2) </w:t>
      </w:r>
      <w:r w:rsidR="00EF60AB">
        <w:rPr>
          <w:rFonts w:eastAsia="Times New Roman" w:cs="Times New Roman"/>
          <w:szCs w:val="20"/>
        </w:rPr>
        <w:t>Applicant</w:t>
      </w:r>
      <w:r w:rsidRPr="002E0757">
        <w:rPr>
          <w:bCs/>
          <w:color w:val="000000" w:themeColor="text1"/>
        </w:rPr>
        <w:t xml:space="preserve"> is a p</w:t>
      </w:r>
      <w:r w:rsidRPr="00DE0551">
        <w:t>ublic utility that is required pursuant to Pub.</w:t>
      </w:r>
      <w:r>
        <w:t> </w:t>
      </w:r>
      <w:r w:rsidRPr="00DE0551">
        <w:t>Util. Code</w:t>
      </w:r>
      <w:r>
        <w:t> Section </w:t>
      </w:r>
      <w:r w:rsidRPr="00DE0551">
        <w:t xml:space="preserve">451 to “… furnish and maintain such adequate, efficient, just and reasonable service, instrumentalities, equipment, and facilities, including telephone facilities …  as are necessary to promote the safety, health, comfort, and convenience of its patrons, employees, and the </w:t>
      </w:r>
      <w:proofErr w:type="gramStart"/>
      <w:r w:rsidRPr="00DE0551">
        <w:t>public.”</w:t>
      </w:r>
      <w:proofErr w:type="gramEnd"/>
    </w:p>
    <w:p w:rsidR="00FD5971" w:rsidP="008845EF" w:rsidRDefault="00FD5971" w14:paraId="271AAA69" w14:textId="77777777">
      <w:pPr>
        <w:pStyle w:val="Heading1"/>
      </w:pPr>
      <w:bookmarkStart w:name="_Toc232146046" w:id="97"/>
      <w:r>
        <w:lastRenderedPageBreak/>
        <w:t>Conclusion</w:t>
      </w:r>
      <w:bookmarkEnd w:id="97"/>
    </w:p>
    <w:p w:rsidRPr="002E0757" w:rsidR="00FD5971" w:rsidP="00080FB5" w:rsidRDefault="00EF60AB" w14:paraId="45083E95" w14:textId="4446ABDC">
      <w:pPr>
        <w:pStyle w:val="standard0"/>
        <w:rPr>
          <w:b/>
          <w:bCs/>
          <w:color w:val="0000FF"/>
        </w:rPr>
      </w:pPr>
      <w:proofErr w:type="gramStart"/>
      <w:r>
        <w:rPr>
          <w:rFonts w:ascii="Book Antiqua" w:hAnsi="Book Antiqua"/>
          <w:bCs/>
          <w:color w:val="000000" w:themeColor="text1"/>
        </w:rPr>
        <w:t xml:space="preserve">Applicant </w:t>
      </w:r>
      <w:r w:rsidRPr="002E0757" w:rsidR="00FD5971">
        <w:rPr>
          <w:rFonts w:ascii="Book Antiqua" w:hAnsi="Book Antiqua"/>
          <w:bCs/>
          <w:color w:val="000000" w:themeColor="text1"/>
        </w:rPr>
        <w:t>conforms</w:t>
      </w:r>
      <w:proofErr w:type="gramEnd"/>
      <w:r w:rsidRPr="002E0757" w:rsidR="00FD5971">
        <w:rPr>
          <w:rFonts w:ascii="Book Antiqua" w:hAnsi="Book Antiqua"/>
          <w:bCs/>
          <w:color w:val="000000" w:themeColor="text1"/>
        </w:rPr>
        <w:t xml:space="preserve"> with the Commission’s rules for certification as a fixed interconnected VoIP provider.  Accordingly, the Commission grants </w:t>
      </w:r>
      <w:r>
        <w:rPr>
          <w:rFonts w:ascii="Book Antiqua" w:hAnsi="Book Antiqua"/>
          <w:bCs/>
          <w:color w:val="000000" w:themeColor="text1"/>
        </w:rPr>
        <w:t xml:space="preserve">to Applicant a </w:t>
      </w:r>
      <w:r w:rsidRPr="002E0757" w:rsidR="00FD5971">
        <w:rPr>
          <w:rFonts w:ascii="Book Antiqua" w:hAnsi="Book Antiqua"/>
          <w:bCs/>
          <w:color w:val="000000" w:themeColor="text1"/>
        </w:rPr>
        <w:t>CPCN to provide non-facilities-based fixed interconnected VoIP</w:t>
      </w:r>
      <w:r w:rsidRPr="002E0757" w:rsidR="00FD5971">
        <w:rPr>
          <w:rFonts w:ascii="Book Antiqua" w:hAnsi="Book Antiqua"/>
          <w:color w:val="000000" w:themeColor="text1"/>
        </w:rPr>
        <w:t xml:space="preserve"> </w:t>
      </w:r>
      <w:r w:rsidRPr="00344319" w:rsidR="00FD5971">
        <w:rPr>
          <w:rFonts w:ascii="Book Antiqua" w:hAnsi="Book Antiqua"/>
        </w:rPr>
        <w:t>services</w:t>
      </w:r>
      <w:r w:rsidRPr="00344319" w:rsidDel="0030283D" w:rsidR="00FD5971">
        <w:rPr>
          <w:rFonts w:ascii="Book Antiqua" w:hAnsi="Book Antiqua"/>
        </w:rPr>
        <w:t xml:space="preserve"> </w:t>
      </w:r>
      <w:r w:rsidRPr="00DE0551" w:rsidR="00FD5971">
        <w:rPr>
          <w:rFonts w:ascii="Book Antiqua" w:hAnsi="Book Antiqua"/>
        </w:rPr>
        <w:t>in the service territor</w:t>
      </w:r>
      <w:r w:rsidR="00FD5971">
        <w:rPr>
          <w:rFonts w:ascii="Book Antiqua" w:hAnsi="Book Antiqua"/>
        </w:rPr>
        <w:t>ies</w:t>
      </w:r>
      <w:r w:rsidRPr="00DE0551" w:rsidR="00FD5971">
        <w:rPr>
          <w:rFonts w:ascii="Book Antiqua" w:hAnsi="Book Antiqua"/>
        </w:rPr>
        <w:t xml:space="preserve"> </w:t>
      </w:r>
      <w:r w:rsidRPr="005F739D" w:rsidR="005F739D">
        <w:rPr>
          <w:rFonts w:ascii="Book Antiqua" w:hAnsi="Book Antiqua"/>
        </w:rPr>
        <w:t>of uniform regulatory framework incumbent local exchange</w:t>
      </w:r>
      <w:r w:rsidR="00F80023">
        <w:rPr>
          <w:rFonts w:ascii="Book Antiqua" w:hAnsi="Book Antiqua"/>
        </w:rPr>
        <w:t xml:space="preserve"> carriers</w:t>
      </w:r>
      <w:r w:rsidR="002D156E">
        <w:rPr>
          <w:rFonts w:ascii="Book Antiqua" w:hAnsi="Book Antiqua"/>
        </w:rPr>
        <w:t>,</w:t>
      </w:r>
      <w:r w:rsidRPr="002E0757" w:rsidR="00FD5971">
        <w:rPr>
          <w:rStyle w:val="FootnoteReference"/>
          <w:rFonts w:ascii="Book Antiqua" w:hAnsi="Book Antiqua" w:eastAsiaTheme="majorEastAsia"/>
          <w:color w:val="000000" w:themeColor="text1"/>
        </w:rPr>
        <w:footnoteReference w:id="35"/>
      </w:r>
      <w:r w:rsidRPr="002E0757" w:rsidR="00090FE9">
        <w:rPr>
          <w:rFonts w:ascii="Book Antiqua" w:hAnsi="Book Antiqua"/>
          <w:color w:val="000000" w:themeColor="text1"/>
        </w:rPr>
        <w:t xml:space="preserve"> which </w:t>
      </w:r>
      <w:r w:rsidRPr="002E0757" w:rsidR="00090FE9">
        <w:rPr>
          <w:color w:val="000000" w:themeColor="text1"/>
        </w:rPr>
        <w:t xml:space="preserve">services include </w:t>
      </w:r>
      <w:r w:rsidRPr="00671752" w:rsidR="00671752">
        <w:rPr>
          <w:color w:val="000000" w:themeColor="text1"/>
        </w:rPr>
        <w:t>voice calling via internet protocol over broadband connections, E-911 capability, and number portability</w:t>
      </w:r>
      <w:r w:rsidRPr="00467AE6" w:rsidR="00FD5971">
        <w:rPr>
          <w:rFonts w:ascii="Book Antiqua" w:hAnsi="Book Antiqua"/>
          <w:b/>
          <w:bCs/>
          <w:color w:val="0000FF"/>
        </w:rPr>
        <w:t xml:space="preserve"> </w:t>
      </w:r>
      <w:r w:rsidRPr="00467AE6" w:rsidR="00FD5971">
        <w:rPr>
          <w:rFonts w:ascii="Book Antiqua" w:hAnsi="Book Antiqua"/>
        </w:rPr>
        <w:t>subject</w:t>
      </w:r>
      <w:r w:rsidR="008C4ACF">
        <w:rPr>
          <w:rFonts w:ascii="Book Antiqua" w:hAnsi="Book Antiqua"/>
        </w:rPr>
        <w:t xml:space="preserve"> </w:t>
      </w:r>
      <w:r w:rsidRPr="00DE0551" w:rsidR="00FD5971">
        <w:rPr>
          <w:rFonts w:ascii="Book Antiqua" w:hAnsi="Book Antiqua"/>
        </w:rPr>
        <w:t>to compliance with the terms and conditions set forth in the O</w:t>
      </w:r>
      <w:r w:rsidR="00FD5971">
        <w:rPr>
          <w:rFonts w:ascii="Book Antiqua" w:hAnsi="Book Antiqua"/>
        </w:rPr>
        <w:t>rdering Paragraph</w:t>
      </w:r>
      <w:r w:rsidRPr="00DE0551" w:rsidR="00FD5971">
        <w:rPr>
          <w:rFonts w:ascii="Book Antiqua" w:hAnsi="Book Antiqua"/>
        </w:rPr>
        <w:t>s.</w:t>
      </w:r>
      <w:r w:rsidR="007702DE">
        <w:rPr>
          <w:rFonts w:ascii="Book Antiqua" w:hAnsi="Book Antiqua"/>
        </w:rPr>
        <w:t xml:space="preserve">  The Commission also grants Applicant a DVF utility type.</w:t>
      </w:r>
    </w:p>
    <w:p w:rsidRPr="002E0757" w:rsidR="00FD5971" w:rsidP="00FD5971" w:rsidRDefault="00FD5971" w14:paraId="6855BC0F" w14:textId="34C46C54">
      <w:pPr>
        <w:rPr>
          <w:i/>
          <w:iCs/>
          <w:color w:val="000000" w:themeColor="text1"/>
        </w:rPr>
      </w:pPr>
      <w:r w:rsidRPr="4372617A">
        <w:t xml:space="preserve">The CPCN </w:t>
      </w:r>
      <w:r w:rsidRPr="002E0757">
        <w:rPr>
          <w:color w:val="000000" w:themeColor="text1"/>
        </w:rPr>
        <w:t xml:space="preserve">granted by this decision provides benefits to </w:t>
      </w:r>
      <w:r w:rsidR="00EF60AB">
        <w:rPr>
          <w:rFonts w:eastAsia="Times New Roman" w:cs="Times New Roman"/>
          <w:szCs w:val="20"/>
        </w:rPr>
        <w:t>Applicant</w:t>
      </w:r>
      <w:r w:rsidRPr="002E0757">
        <w:rPr>
          <w:color w:val="000000" w:themeColor="text1"/>
        </w:rPr>
        <w:t xml:space="preserve"> and corresponding obligations. </w:t>
      </w:r>
      <w:r w:rsidR="005F7E81">
        <w:rPr>
          <w:color w:val="000000" w:themeColor="text1"/>
        </w:rPr>
        <w:t xml:space="preserve"> </w:t>
      </w:r>
      <w:r w:rsidR="00EF60AB">
        <w:rPr>
          <w:rFonts w:eastAsia="Times New Roman" w:cs="Times New Roman"/>
          <w:szCs w:val="20"/>
        </w:rPr>
        <w:t>Applicant</w:t>
      </w:r>
      <w:r w:rsidRPr="002E0757">
        <w:rPr>
          <w:color w:val="000000" w:themeColor="text1"/>
        </w:rPr>
        <w:t xml:space="preserve"> receives authority to operate in the prescribed service territory, and this authority enables </w:t>
      </w:r>
      <w:r w:rsidR="00EF60AB">
        <w:rPr>
          <w:rFonts w:eastAsia="Times New Roman" w:cs="Times New Roman"/>
          <w:szCs w:val="20"/>
        </w:rPr>
        <w:t>Applicant</w:t>
      </w:r>
      <w:r w:rsidRPr="002E0757">
        <w:rPr>
          <w:color w:val="000000" w:themeColor="text1"/>
        </w:rPr>
        <w:t>, pursuant to Section 251 of the 1934 Communications Act, as amended by the 1996 Telecommunications Act (47 U.S.C. Section 251), to interconnect with telecommunications carriers.</w:t>
      </w:r>
      <w:r w:rsidRPr="002E0757">
        <w:rPr>
          <w:color w:val="000000" w:themeColor="text1"/>
          <w:szCs w:val="26"/>
        </w:rPr>
        <w:t xml:space="preserve"> </w:t>
      </w:r>
    </w:p>
    <w:p w:rsidR="00FD5971" w:rsidP="00710EBA" w:rsidRDefault="00FD5971" w14:paraId="3C1C74CD" w14:textId="33C75ED7">
      <w:pPr>
        <w:pStyle w:val="Standard"/>
        <w:rPr>
          <w:szCs w:val="26"/>
        </w:rPr>
      </w:pPr>
      <w:r w:rsidRPr="002E0757">
        <w:rPr>
          <w:color w:val="000000" w:themeColor="text1"/>
          <w:szCs w:val="26"/>
        </w:rPr>
        <w:t xml:space="preserve">In return, </w:t>
      </w:r>
      <w:r w:rsidR="00EF60AB">
        <w:rPr>
          <w:rFonts w:eastAsia="Times New Roman" w:cs="Times New Roman"/>
          <w:szCs w:val="20"/>
        </w:rPr>
        <w:t>Applicant</w:t>
      </w:r>
      <w:r w:rsidRPr="002E0757">
        <w:rPr>
          <w:color w:val="000000" w:themeColor="text1"/>
          <w:szCs w:val="26"/>
        </w:rPr>
        <w:t xml:space="preserve"> is obligated to comply with all Pub. Util. Code provisions, Commission rules, GOs, and decisions applicable to telephone corporations providing approved services.  </w:t>
      </w:r>
      <w:r w:rsidRPr="002E0757">
        <w:rPr>
          <w:color w:val="000000" w:themeColor="text1"/>
        </w:rPr>
        <w:t xml:space="preserve">The applicable statutes, rules, </w:t>
      </w:r>
      <w:r w:rsidRPr="002E0757">
        <w:rPr>
          <w:color w:val="000000" w:themeColor="text1"/>
          <w:szCs w:val="26"/>
        </w:rPr>
        <w:t>GOs, and decisions</w:t>
      </w:r>
      <w:r w:rsidRPr="002E0757">
        <w:rPr>
          <w:color w:val="000000" w:themeColor="text1"/>
        </w:rPr>
        <w:t xml:space="preserve"> include, but are not limited to the consumer protection rules, tariffing, and reporting requirements.  Moreover, </w:t>
      </w:r>
      <w:r w:rsidR="00EF60AB">
        <w:rPr>
          <w:rFonts w:eastAsia="Times New Roman" w:cs="Times New Roman"/>
          <w:szCs w:val="20"/>
        </w:rPr>
        <w:t>Applicant</w:t>
      </w:r>
      <w:r w:rsidRPr="002E0757">
        <w:rPr>
          <w:color w:val="000000" w:themeColor="text1"/>
        </w:rPr>
        <w:t xml:space="preserve"> is obligated to pay all Commission-prescribed user fees and public purpose program surcharges, as set forth in Attachment B of this decision, to comply with CEQA, and to adhere to Pub. Util. Code Section 451, which states that every public utility “…shall </w:t>
      </w:r>
      <w:r w:rsidRPr="002E0757">
        <w:rPr>
          <w:color w:val="000000" w:themeColor="text1"/>
        </w:rPr>
        <w:lastRenderedPageBreak/>
        <w:t xml:space="preserve">furnish and maintain such adequate, efficient, just, and reasonable service, instrumentalities, equipment, and facilities, including telephone facilities, as </w:t>
      </w:r>
      <w:r w:rsidRPr="00DE0551">
        <w:t xml:space="preserve">defined in </w:t>
      </w:r>
      <w:r>
        <w:t>Section </w:t>
      </w:r>
      <w:r w:rsidRPr="00DE0551">
        <w:t>54.1 of the Civil</w:t>
      </w:r>
      <w:r>
        <w:t> </w:t>
      </w:r>
      <w:r w:rsidRPr="00DE0551">
        <w:t>Code, as are necessary to promote the safety, health, comfort, and convenience of its patrons, employees, and the public.”</w:t>
      </w:r>
      <w:r>
        <w:t xml:space="preserve">  </w:t>
      </w:r>
      <w:r w:rsidRPr="003E48C0">
        <w:rPr>
          <w:szCs w:val="26"/>
        </w:rPr>
        <w:t>Granting this application will benefit the public interest by expanding the availability of technologically advanced telecommunications services within the state</w:t>
      </w:r>
      <w:r>
        <w:rPr>
          <w:szCs w:val="26"/>
        </w:rPr>
        <w:t>.</w:t>
      </w:r>
    </w:p>
    <w:p w:rsidR="00FD5971" w:rsidP="008845EF" w:rsidRDefault="00FD5971" w14:paraId="2AB99EC9" w14:textId="77777777">
      <w:pPr>
        <w:pStyle w:val="Heading1"/>
      </w:pPr>
      <w:bookmarkStart w:name="_Toc232146047" w:id="98"/>
      <w:r>
        <w:t>Additional Requirements for Applicants Following Commission’s Grant of CPCN</w:t>
      </w:r>
      <w:bookmarkEnd w:id="98"/>
    </w:p>
    <w:p w:rsidRPr="000E6566" w:rsidR="00FD5971" w:rsidP="000E6566" w:rsidRDefault="00FD5971" w14:paraId="2E0D5558" w14:textId="610D0DE4">
      <w:pPr>
        <w:pStyle w:val="Standard"/>
        <w:rPr>
          <w:bCs/>
          <w:color w:val="000000" w:themeColor="text1"/>
          <w:szCs w:val="26"/>
        </w:rPr>
      </w:pPr>
      <w:r>
        <w:t xml:space="preserve">The CPCN granted in this decision is contingent upon </w:t>
      </w:r>
      <w:r w:rsidR="00EF60AB">
        <w:rPr>
          <w:rFonts w:eastAsia="Times New Roman" w:cs="Times New Roman"/>
          <w:szCs w:val="20"/>
        </w:rPr>
        <w:t>Applicant</w:t>
      </w:r>
      <w:r w:rsidRPr="002E0757">
        <w:rPr>
          <w:bCs/>
          <w:color w:val="000000" w:themeColor="text1"/>
        </w:rPr>
        <w:t>’s</w:t>
      </w:r>
      <w:r>
        <w:t xml:space="preserve"> compliance with several requirements: (1) </w:t>
      </w:r>
      <w:r w:rsidRPr="004624AD">
        <w:t>render</w:t>
      </w:r>
      <w:r>
        <w:t>ing</w:t>
      </w:r>
      <w:r w:rsidRPr="004624AD">
        <w:t xml:space="preserve"> service to customers </w:t>
      </w:r>
      <w:r>
        <w:t>within</w:t>
      </w:r>
      <w:r w:rsidRPr="004624AD">
        <w:t xml:space="preserve"> 12 months from the effective date of this decision</w:t>
      </w:r>
      <w:r>
        <w:t xml:space="preserve">; (2) using its assigned </w:t>
      </w:r>
      <w:r w:rsidRPr="00EB362F">
        <w:t>corporate identification number in the caption of all original filings with th</w:t>
      </w:r>
      <w:r>
        <w:t xml:space="preserve">e Commission; (3) </w:t>
      </w:r>
      <w:r w:rsidRPr="00EB362F">
        <w:t>fil</w:t>
      </w:r>
      <w:r>
        <w:t xml:space="preserve">ing in this docket </w:t>
      </w:r>
      <w:r w:rsidRPr="00EB362F">
        <w:t>a written acceptance of the certificate granted in this proceeding</w:t>
      </w:r>
      <w:r>
        <w:t xml:space="preserve"> w</w:t>
      </w:r>
      <w:r w:rsidRPr="00EB362F">
        <w:t>ithin 30</w:t>
      </w:r>
      <w:r>
        <w:t> </w:t>
      </w:r>
      <w:r w:rsidRPr="00EB362F">
        <w:t>days of the effective date of this decision</w:t>
      </w:r>
      <w:r>
        <w:t>; (4)</w:t>
      </w:r>
      <w:r w:rsidRPr="00EB362F">
        <w:t xml:space="preserve"> provid</w:t>
      </w:r>
      <w:r>
        <w:t>ing</w:t>
      </w:r>
      <w:r w:rsidRPr="00EB362F">
        <w:t xml:space="preserve"> the name, address, e</w:t>
      </w:r>
      <w:r>
        <w:noBreakHyphen/>
      </w:r>
      <w:r w:rsidRPr="00EB362F">
        <w:t xml:space="preserve">mail address, and telephone </w:t>
      </w:r>
      <w:r w:rsidRPr="005527B3">
        <w:t>number of its designated primary regulatory/official contact person to the Commission’s Communications Division w</w:t>
      </w:r>
      <w:r w:rsidRPr="005527B3">
        <w:rPr>
          <w:bCs/>
        </w:rPr>
        <w:t>ithin</w:t>
      </w:r>
      <w:r w:rsidRPr="005527B3">
        <w:t xml:space="preserve"> five days of written acceptance of its certificate</w:t>
      </w:r>
      <w:r>
        <w:t xml:space="preserve">; (5) </w:t>
      </w:r>
      <w:r w:rsidRPr="005527B3">
        <w:t>provid</w:t>
      </w:r>
      <w:r>
        <w:t>ing</w:t>
      </w:r>
      <w:r w:rsidRPr="005527B3">
        <w:t xml:space="preserve"> the name, address, e</w:t>
      </w:r>
      <w:r w:rsidRPr="005527B3">
        <w:noBreakHyphen/>
        <w:t>mail address, and telephone number of its designated contact person for purposes of resolving consumer complaints to the Commission’s Consumer Affairs Branch w</w:t>
      </w:r>
      <w:r w:rsidRPr="005527B3">
        <w:rPr>
          <w:bCs/>
        </w:rPr>
        <w:t>ithin</w:t>
      </w:r>
      <w:r w:rsidRPr="005527B3">
        <w:t xml:space="preserve"> five days of written acceptance of its certificate</w:t>
      </w:r>
      <w:r>
        <w:t>; (</w:t>
      </w:r>
      <w:r w:rsidR="00936C28">
        <w:t>6</w:t>
      </w:r>
      <w:r>
        <w:t xml:space="preserve">) submitting its compliance with </w:t>
      </w:r>
      <w:r w:rsidRPr="002E4891">
        <w:t>Pub</w:t>
      </w:r>
      <w:r>
        <w:t>.</w:t>
      </w:r>
      <w:r w:rsidRPr="002E4891">
        <w:t xml:space="preserve"> Util</w:t>
      </w:r>
      <w:r>
        <w:t>.</w:t>
      </w:r>
      <w:r w:rsidRPr="002E4891">
        <w:t xml:space="preserve"> Code </w:t>
      </w:r>
      <w:r>
        <w:t>Section</w:t>
      </w:r>
      <w:r w:rsidRPr="002E4891">
        <w:t xml:space="preserve"> 708, Employee Identification Cards</w:t>
      </w:r>
      <w:r>
        <w:t>, to</w:t>
      </w:r>
      <w:r w:rsidRPr="002E4891">
        <w:t xml:space="preserve"> </w:t>
      </w:r>
      <w:r>
        <w:t xml:space="preserve">the </w:t>
      </w:r>
      <w:r w:rsidRPr="009A3D94">
        <w:t>Commission’s Director of the Communications Division</w:t>
      </w:r>
      <w:r>
        <w:t xml:space="preserve">, in writing, </w:t>
      </w:r>
      <w:r w:rsidRPr="002E4891">
        <w:t xml:space="preserve">by email to </w:t>
      </w:r>
      <w:hyperlink w:history="1" r:id="rId18">
        <w:r w:rsidRPr="009374C9">
          <w:rPr>
            <w:rStyle w:val="Hyperlink"/>
          </w:rPr>
          <w:t>cdcompliance@cpuc.ca.gov</w:t>
        </w:r>
      </w:hyperlink>
      <w:r>
        <w:t xml:space="preserve">, </w:t>
      </w:r>
      <w:r w:rsidRPr="009A3D94">
        <w:rPr>
          <w:iCs/>
        </w:rPr>
        <w:t>within</w:t>
      </w:r>
      <w:r w:rsidRPr="009A3D94">
        <w:t xml:space="preserve"> 60 days </w:t>
      </w:r>
      <w:r>
        <w:t>of</w:t>
      </w:r>
      <w:r w:rsidRPr="009A3D94">
        <w:t xml:space="preserve"> the effective date of this </w:t>
      </w:r>
      <w:r>
        <w:t>decision; (</w:t>
      </w:r>
      <w:r w:rsidR="00936C28">
        <w:t>7</w:t>
      </w:r>
      <w:r>
        <w:t xml:space="preserve">) providing </w:t>
      </w:r>
      <w:r w:rsidRPr="00EB362F">
        <w:t xml:space="preserve">the date that </w:t>
      </w:r>
      <w:r>
        <w:t xml:space="preserve">competitive local exchange </w:t>
      </w:r>
      <w:r w:rsidRPr="00EB362F">
        <w:t>service is first rendered to the public,</w:t>
      </w:r>
      <w:r>
        <w:t xml:space="preserve"> to</w:t>
      </w:r>
      <w:r w:rsidRPr="00EB362F">
        <w:t xml:space="preserve"> the</w:t>
      </w:r>
      <w:r w:rsidRPr="00C47364">
        <w:t xml:space="preserve"> Commission’s Director of the Communications Division</w:t>
      </w:r>
      <w:r>
        <w:t>, in writing,</w:t>
      </w:r>
      <w:r w:rsidRPr="00EB362F">
        <w:t xml:space="preserve"> by email to </w:t>
      </w:r>
      <w:hyperlink w:history="1" r:id="rId19">
        <w:r w:rsidRPr="00EB362F">
          <w:rPr>
            <w:rStyle w:val="Hyperlink"/>
          </w:rPr>
          <w:t>cdcompliance@cpuc.ca.gov</w:t>
        </w:r>
      </w:hyperlink>
      <w:r>
        <w:rPr>
          <w:rStyle w:val="Hyperlink"/>
        </w:rPr>
        <w:t>,</w:t>
      </w:r>
      <w:r>
        <w:t xml:space="preserve"> </w:t>
      </w:r>
      <w:r w:rsidRPr="00EB362F">
        <w:t>no</w:t>
      </w:r>
      <w:r>
        <w:t> </w:t>
      </w:r>
      <w:r w:rsidRPr="00EB362F">
        <w:t>later</w:t>
      </w:r>
      <w:r>
        <w:t> </w:t>
      </w:r>
      <w:r w:rsidRPr="00EB362F">
        <w:t>than five</w:t>
      </w:r>
      <w:r>
        <w:t> </w:t>
      </w:r>
      <w:r w:rsidRPr="00EB362F">
        <w:t>days after service first begins</w:t>
      </w:r>
      <w:r>
        <w:t xml:space="preserve">. </w:t>
      </w:r>
      <w:r w:rsidRPr="00EB362F">
        <w:t xml:space="preserve"> </w:t>
      </w:r>
      <w:r>
        <w:t xml:space="preserve">These requirements are in addition to </w:t>
      </w:r>
      <w:r w:rsidR="000E6566">
        <w:rPr>
          <w:bCs/>
          <w:color w:val="000000" w:themeColor="text1"/>
          <w:szCs w:val="26"/>
        </w:rPr>
        <w:t>Applicant</w:t>
      </w:r>
      <w:r w:rsidRPr="002E0757">
        <w:rPr>
          <w:bCs/>
          <w:color w:val="000000" w:themeColor="text1"/>
        </w:rPr>
        <w:t xml:space="preserve">’s ongoing obligation to be subject to all the current requirements applicable to </w:t>
      </w:r>
      <w:r w:rsidR="002D156E">
        <w:rPr>
          <w:bCs/>
          <w:color w:val="000000" w:themeColor="text1"/>
        </w:rPr>
        <w:t>VoIP providers</w:t>
      </w:r>
      <w:r w:rsidRPr="002E0757">
        <w:rPr>
          <w:bCs/>
          <w:color w:val="000000" w:themeColor="text1"/>
        </w:rPr>
        <w:t xml:space="preserve"> included in Attachments B, C, and D to this decision (including annual affiliate transaction reports, ongoing performance bond requirements, and payment of surcharges and user fees); all Consumer Protection Rules contained in GO 168; and all applicable Commission rules, decisions, GOs, and statutes that pertain</w:t>
      </w:r>
      <w:r w:rsidRPr="002E0757">
        <w:rPr>
          <w:color w:val="000000" w:themeColor="text1"/>
        </w:rPr>
        <w:t xml:space="preserve"> </w:t>
      </w:r>
      <w:r w:rsidRPr="00EB362F">
        <w:t>to California public</w:t>
      </w:r>
      <w:r>
        <w:t> </w:t>
      </w:r>
      <w:r w:rsidRPr="00EB362F">
        <w:t>utilities</w:t>
      </w:r>
      <w:r>
        <w:t xml:space="preserve"> on an ongoing basis.</w:t>
      </w:r>
    </w:p>
    <w:p w:rsidR="00FD5971" w:rsidP="008845EF" w:rsidRDefault="00FD5971" w14:paraId="508FE004" w14:textId="77777777">
      <w:pPr>
        <w:pStyle w:val="Heading1"/>
      </w:pPr>
      <w:bookmarkStart w:name="_Toc232146048" w:id="99"/>
      <w:r w:rsidRPr="00E76A8F">
        <w:t>Confidential Treatment</w:t>
      </w:r>
      <w:r>
        <w:t xml:space="preserve"> of Documents and Other Procedural Matters</w:t>
      </w:r>
      <w:bookmarkEnd w:id="99"/>
    </w:p>
    <w:p w:rsidR="004311FF" w:rsidP="00FD5971" w:rsidRDefault="000E6566" w14:paraId="324FAB4D" w14:textId="77777777">
      <w:pPr>
        <w:pStyle w:val="standard0"/>
        <w:rPr>
          <w:rFonts w:ascii="Book Antiqua" w:hAnsi="Book Antiqua"/>
        </w:rPr>
      </w:pPr>
      <w:r>
        <w:rPr>
          <w:rFonts w:ascii="Book Antiqua" w:hAnsi="Book Antiqua"/>
          <w:color w:val="000000"/>
        </w:rPr>
        <w:t>Typically, an applicant would request confidential protection for financial documents.  These documents would be granted confidential treatment for a period of three years, without the need to file a motion for confidential treatment.</w:t>
      </w:r>
      <w:r>
        <w:rPr>
          <w:rStyle w:val="FootnoteReference"/>
          <w:rFonts w:ascii="Book Antiqua" w:hAnsi="Book Antiqua" w:eastAsiaTheme="majorEastAsia"/>
          <w:color w:val="000000"/>
        </w:rPr>
        <w:footnoteReference w:id="36"/>
      </w:r>
      <w:r>
        <w:rPr>
          <w:rFonts w:ascii="Book Antiqua" w:hAnsi="Book Antiqua"/>
          <w:color w:val="000000"/>
        </w:rPr>
        <w:t xml:space="preserve">  </w:t>
      </w:r>
      <w:r w:rsidRPr="00EB362F">
        <w:rPr>
          <w:rFonts w:ascii="Book Antiqua" w:hAnsi="Book Antiqua"/>
        </w:rPr>
        <w:t>During th</w:t>
      </w:r>
      <w:r>
        <w:rPr>
          <w:rFonts w:ascii="Book Antiqua" w:hAnsi="Book Antiqua"/>
        </w:rPr>
        <w:t xml:space="preserve">e </w:t>
      </w:r>
      <w:r w:rsidRPr="00EB362F">
        <w:rPr>
          <w:rFonts w:ascii="Book Antiqua" w:hAnsi="Book Antiqua"/>
        </w:rPr>
        <w:t>three</w:t>
      </w:r>
      <w:r>
        <w:rPr>
          <w:rFonts w:ascii="Book Antiqua" w:hAnsi="Book Antiqua"/>
        </w:rPr>
        <w:t>-year</w:t>
      </w:r>
      <w:r w:rsidRPr="00EB362F">
        <w:rPr>
          <w:rFonts w:ascii="Book Antiqua" w:hAnsi="Book Antiqua"/>
        </w:rPr>
        <w:t xml:space="preserve"> period, this information </w:t>
      </w:r>
      <w:r>
        <w:rPr>
          <w:rFonts w:ascii="Book Antiqua" w:hAnsi="Book Antiqua"/>
        </w:rPr>
        <w:t>would</w:t>
      </w:r>
      <w:r w:rsidRPr="00EB362F">
        <w:rPr>
          <w:rFonts w:ascii="Book Antiqua" w:hAnsi="Book Antiqua"/>
        </w:rPr>
        <w:t xml:space="preserve"> not be publicly disclosed except on further Commission order or A</w:t>
      </w:r>
      <w:r>
        <w:rPr>
          <w:rFonts w:ascii="Book Antiqua" w:hAnsi="Book Antiqua"/>
        </w:rPr>
        <w:t>LJ</w:t>
      </w:r>
      <w:r w:rsidRPr="00EB362F">
        <w:rPr>
          <w:rFonts w:ascii="Book Antiqua" w:hAnsi="Book Antiqua"/>
        </w:rPr>
        <w:t xml:space="preserve"> ruling</w:t>
      </w:r>
      <w:r>
        <w:rPr>
          <w:rFonts w:ascii="Book Antiqua" w:hAnsi="Book Antiqua"/>
        </w:rPr>
        <w:t xml:space="preserve">.  </w:t>
      </w:r>
    </w:p>
    <w:p w:rsidR="00FD5971" w:rsidP="001E5818" w:rsidRDefault="000E6566" w14:paraId="3A91EB7F" w14:textId="216449A7">
      <w:pPr>
        <w:pStyle w:val="standard0"/>
        <w:rPr>
          <w:rFonts w:ascii="Book Antiqua" w:hAnsi="Book Antiqua"/>
        </w:rPr>
      </w:pPr>
      <w:r>
        <w:rPr>
          <w:rFonts w:ascii="Book Antiqua" w:hAnsi="Book Antiqua"/>
        </w:rPr>
        <w:t xml:space="preserve">In this case, Applicant provided </w:t>
      </w:r>
      <w:r w:rsidR="00E76A8F">
        <w:rPr>
          <w:rFonts w:ascii="Book Antiqua" w:hAnsi="Book Antiqua"/>
        </w:rPr>
        <w:t>the financial information in a confidential Appendix I</w:t>
      </w:r>
      <w:r>
        <w:rPr>
          <w:rFonts w:ascii="Book Antiqua" w:hAnsi="Book Antiqua"/>
        </w:rPr>
        <w:t xml:space="preserve"> </w:t>
      </w:r>
      <w:r w:rsidR="002D156E">
        <w:rPr>
          <w:rFonts w:ascii="Book Antiqua" w:hAnsi="Book Antiqua"/>
        </w:rPr>
        <w:t>to the</w:t>
      </w:r>
      <w:r>
        <w:rPr>
          <w:rFonts w:ascii="Book Antiqua" w:hAnsi="Book Antiqua"/>
        </w:rPr>
        <w:t xml:space="preserve"> </w:t>
      </w:r>
      <w:r w:rsidR="00E76A8F">
        <w:rPr>
          <w:rFonts w:ascii="Book Antiqua" w:hAnsi="Book Antiqua"/>
        </w:rPr>
        <w:t>application</w:t>
      </w:r>
      <w:r>
        <w:rPr>
          <w:rFonts w:ascii="Book Antiqua" w:hAnsi="Book Antiqua"/>
        </w:rPr>
        <w:t xml:space="preserve">.  However, </w:t>
      </w:r>
      <w:r w:rsidR="007B73A7">
        <w:rPr>
          <w:rFonts w:ascii="Book Antiqua" w:hAnsi="Book Antiqua"/>
        </w:rPr>
        <w:t xml:space="preserve">Applicant attached different financial information as Appendix E </w:t>
      </w:r>
      <w:r w:rsidR="001E5818">
        <w:rPr>
          <w:rFonts w:ascii="Book Antiqua" w:hAnsi="Book Antiqua"/>
        </w:rPr>
        <w:t xml:space="preserve">of Applicant’s Response to ALJ’s Inquiry dated </w:t>
      </w:r>
      <w:r w:rsidR="007B73A7">
        <w:rPr>
          <w:rFonts w:ascii="Book Antiqua" w:hAnsi="Book Antiqua"/>
        </w:rPr>
        <w:t>January 23, 2026.  Applicant included the financial information as part of its filing on January 23, 2026</w:t>
      </w:r>
      <w:bookmarkStart w:name="_Hlk183523650" w:id="100"/>
      <w:r w:rsidR="002D156E">
        <w:rPr>
          <w:rFonts w:ascii="Book Antiqua" w:hAnsi="Book Antiqua"/>
        </w:rPr>
        <w:t>,</w:t>
      </w:r>
      <w:r w:rsidR="001E5818">
        <w:rPr>
          <w:rFonts w:ascii="Book Antiqua" w:hAnsi="Book Antiqua"/>
        </w:rPr>
        <w:t xml:space="preserve"> and did not designate any part of the filing as confidential.</w:t>
      </w:r>
    </w:p>
    <w:p w:rsidR="001E5818" w:rsidP="00FD5971" w:rsidRDefault="001E5818" w14:paraId="06B72F9E" w14:textId="7DCD197D">
      <w:pPr>
        <w:pStyle w:val="standard0"/>
        <w:rPr>
          <w:rFonts w:ascii="Book Antiqua" w:hAnsi="Book Antiqua"/>
        </w:rPr>
      </w:pPr>
      <w:r>
        <w:rPr>
          <w:rFonts w:ascii="Book Antiqua" w:hAnsi="Book Antiqua"/>
        </w:rPr>
        <w:t>The financial documents in Appendix I</w:t>
      </w:r>
      <w:r w:rsidR="00410924">
        <w:rPr>
          <w:rFonts w:ascii="Book Antiqua" w:hAnsi="Book Antiqua"/>
        </w:rPr>
        <w:t xml:space="preserve"> </w:t>
      </w:r>
      <w:r>
        <w:rPr>
          <w:rFonts w:ascii="Book Antiqua" w:hAnsi="Book Antiqua"/>
        </w:rPr>
        <w:t xml:space="preserve">are granted confidential treatment for three years, without the need to file a motion for confidential treatment.  If Applicant believes that it is necessary for this information to remain under seal for longer than three years, Applicant may file a motion showing good cause for </w:t>
      </w:r>
      <w:r>
        <w:rPr>
          <w:rFonts w:ascii="Book Antiqua" w:hAnsi="Book Antiqua"/>
        </w:rPr>
        <w:lastRenderedPageBreak/>
        <w:t>extending this order by no later than 30 days before the expiration of the grant of confidentiality.</w:t>
      </w:r>
    </w:p>
    <w:p w:rsidRPr="001E5818" w:rsidR="001E5818" w:rsidP="001E5818" w:rsidRDefault="001E5818" w14:paraId="033FC745" w14:textId="4D5819D5">
      <w:pPr>
        <w:pStyle w:val="standard0"/>
        <w:rPr>
          <w:rFonts w:ascii="Book Antiqua" w:hAnsi="Book Antiqua"/>
        </w:rPr>
      </w:pPr>
      <w:r>
        <w:rPr>
          <w:rFonts w:ascii="Book Antiqua" w:hAnsi="Book Antiqua"/>
        </w:rPr>
        <w:t xml:space="preserve">The financial documents in Appendix E in Applicant’s Response to ALJ’s Inquiry dated January 23, </w:t>
      </w:r>
      <w:proofErr w:type="gramStart"/>
      <w:r>
        <w:rPr>
          <w:rFonts w:ascii="Book Antiqua" w:hAnsi="Book Antiqua"/>
        </w:rPr>
        <w:t>2026</w:t>
      </w:r>
      <w:proofErr w:type="gramEnd"/>
      <w:r>
        <w:rPr>
          <w:rFonts w:ascii="Book Antiqua" w:hAnsi="Book Antiqua"/>
        </w:rPr>
        <w:t xml:space="preserve"> have already been filed in the public </w:t>
      </w:r>
      <w:r w:rsidR="002D156E">
        <w:rPr>
          <w:rFonts w:ascii="Book Antiqua" w:hAnsi="Book Antiqua"/>
        </w:rPr>
        <w:t>d</w:t>
      </w:r>
      <w:r>
        <w:rPr>
          <w:rFonts w:ascii="Book Antiqua" w:hAnsi="Book Antiqua"/>
        </w:rPr>
        <w:t>ocket by Applicant.  Therefore, the documents in Appendix E cannot be designated as confidential.</w:t>
      </w:r>
    </w:p>
    <w:bookmarkEnd w:id="100"/>
    <w:p w:rsidRPr="00FD5971" w:rsidR="00FD5971" w:rsidP="00710EBA" w:rsidRDefault="00FD5971" w14:paraId="3A1E6C72" w14:textId="77777777">
      <w:pPr>
        <w:pStyle w:val="Standard"/>
      </w:pPr>
      <w:r>
        <w:rPr>
          <w:color w:val="000000"/>
        </w:rPr>
        <w:t>All rulings by the assigned Commissioner and the assigned ALJ are affirmed.  All pending motions are deemed denied.</w:t>
      </w:r>
    </w:p>
    <w:p w:rsidR="006F135C" w:rsidP="008845EF" w:rsidRDefault="006F135C" w14:paraId="3C33258F" w14:textId="77777777">
      <w:pPr>
        <w:pStyle w:val="Heading1"/>
      </w:pPr>
      <w:bookmarkStart w:name="_Toc232146049" w:id="101"/>
      <w:r>
        <w:t>Summary of Public Comments</w:t>
      </w:r>
      <w:bookmarkEnd w:id="101"/>
    </w:p>
    <w:p w:rsidRPr="00036329" w:rsidR="006F135C" w:rsidP="006F135C" w:rsidRDefault="006F135C" w14:paraId="1134B81E" w14:textId="77777777">
      <w:pPr>
        <w:pStyle w:val="Standard"/>
        <w:rPr>
          <w:rFonts w:ascii="Calibri" w:hAnsi="Calibri"/>
          <w:sz w:val="22"/>
        </w:rPr>
      </w:pPr>
      <w:r w:rsidRPr="00036329">
        <w:t>Rule 1.18 allows any member of the public to submit written comment</w:t>
      </w:r>
      <w:r>
        <w:t>s</w:t>
      </w:r>
      <w:r w:rsidRPr="00036329">
        <w:t xml:space="preserve"> in any Commission proceeding using the “Public Comment” tab of the online Docket Card for that proceeding on the Commission’s website.  Rule 1.18(b) requires that relevant written comment</w:t>
      </w:r>
      <w:r>
        <w:t>s</w:t>
      </w:r>
      <w:r w:rsidRPr="00036329">
        <w:t xml:space="preserve"> submitted in a proceeding be summarized in the final decision issued in that proceeding.</w:t>
      </w:r>
    </w:p>
    <w:p w:rsidRPr="002E0757" w:rsidR="006F135C" w:rsidP="00710EBA" w:rsidRDefault="00512643" w14:paraId="2E881038" w14:textId="7B958994">
      <w:pPr>
        <w:pStyle w:val="Standard"/>
        <w:rPr>
          <w:color w:val="000000" w:themeColor="text1"/>
        </w:rPr>
      </w:pPr>
      <w:r w:rsidRPr="002E0757">
        <w:rPr>
          <w:rFonts w:eastAsia="Times New Roman" w:cs="Times New Roman"/>
          <w:bCs/>
          <w:color w:val="000000" w:themeColor="text1"/>
          <w:szCs w:val="20"/>
        </w:rPr>
        <w:t xml:space="preserve">There are no public comments that were submitted for this proceeding. </w:t>
      </w:r>
    </w:p>
    <w:p w:rsidR="005939A5" w:rsidP="008845EF" w:rsidRDefault="005939A5" w14:paraId="34E30C76" w14:textId="77777777">
      <w:pPr>
        <w:pStyle w:val="Heading1"/>
      </w:pPr>
      <w:bookmarkStart w:name="_Toc232146050" w:id="102"/>
      <w:r>
        <w:t xml:space="preserve">Comments on </w:t>
      </w:r>
      <w:r w:rsidR="006F135C">
        <w:t xml:space="preserve">Draft </w:t>
      </w:r>
      <w:r>
        <w:t>Decision</w:t>
      </w:r>
      <w:bookmarkEnd w:id="94"/>
      <w:bookmarkEnd w:id="102"/>
    </w:p>
    <w:p w:rsidR="005939A5" w:rsidP="005C58FA" w:rsidRDefault="006F135C" w14:paraId="5A9305DA" w14:textId="77777777">
      <w:pPr>
        <w:pStyle w:val="Standard"/>
      </w:pPr>
      <w:r w:rsidRPr="00DE0551">
        <w:rPr>
          <w:color w:val="000000"/>
        </w:rPr>
        <w:t xml:space="preserve">This is an uncontested matter in which the decision grants the relief requested. </w:t>
      </w:r>
      <w:r>
        <w:rPr>
          <w:color w:val="000000"/>
        </w:rPr>
        <w:t xml:space="preserve"> </w:t>
      </w:r>
      <w:r w:rsidRPr="00DE0551">
        <w:rPr>
          <w:color w:val="000000"/>
        </w:rPr>
        <w:t xml:space="preserve">Accordingly, pursuant to </w:t>
      </w:r>
      <w:r>
        <w:rPr>
          <w:color w:val="000000"/>
        </w:rPr>
        <w:t xml:space="preserve">Pub. Util. Code </w:t>
      </w:r>
      <w:r>
        <w:t>Section</w:t>
      </w:r>
      <w:r w:rsidRPr="00DE0551">
        <w:rPr>
          <w:color w:val="000000"/>
        </w:rPr>
        <w:t> 311(g)(2) and Rule</w:t>
      </w:r>
      <w:r>
        <w:rPr>
          <w:color w:val="000000"/>
        </w:rPr>
        <w:t> </w:t>
      </w:r>
      <w:r w:rsidRPr="00DE0551">
        <w:rPr>
          <w:color w:val="000000"/>
        </w:rPr>
        <w:t>14.6(c)(2), the otherwise applicable 30</w:t>
      </w:r>
      <w:r>
        <w:rPr>
          <w:color w:val="000000"/>
        </w:rPr>
        <w:noBreakHyphen/>
      </w:r>
      <w:r w:rsidRPr="00DE0551">
        <w:rPr>
          <w:color w:val="000000"/>
        </w:rPr>
        <w:t>day period for public</w:t>
      </w:r>
      <w:r>
        <w:rPr>
          <w:color w:val="000000"/>
        </w:rPr>
        <w:t> </w:t>
      </w:r>
      <w:r w:rsidRPr="00DE0551">
        <w:rPr>
          <w:color w:val="000000"/>
        </w:rPr>
        <w:t>review and comment is waived</w:t>
      </w:r>
      <w:r w:rsidRPr="00C878D5" w:rsidR="00C878D5">
        <w:t>.</w:t>
      </w:r>
    </w:p>
    <w:p w:rsidR="005939A5" w:rsidP="005939A5" w:rsidRDefault="005939A5" w14:paraId="55547295" w14:textId="77777777">
      <w:pPr>
        <w:pStyle w:val="Heading1"/>
      </w:pPr>
      <w:bookmarkStart w:name="_Toc8123724" w:id="103"/>
      <w:bookmarkStart w:name="_Toc232146051" w:id="104"/>
      <w:r>
        <w:t>Assignment of Proceeding</w:t>
      </w:r>
      <w:bookmarkEnd w:id="103"/>
      <w:bookmarkEnd w:id="104"/>
    </w:p>
    <w:p w:rsidR="005939A5" w:rsidP="006E6574" w:rsidRDefault="00270EA4" w14:paraId="23BC97AC" w14:textId="2EA62541">
      <w:pPr>
        <w:pStyle w:val="Standard"/>
      </w:pPr>
      <w:r>
        <w:rPr>
          <w:rFonts w:eastAsia="Times New Roman" w:cs="Times New Roman"/>
          <w:szCs w:val="20"/>
        </w:rPr>
        <w:t>Matthew Baker</w:t>
      </w:r>
      <w:r w:rsidRPr="006F135C" w:rsidR="006F135C">
        <w:rPr>
          <w:rFonts w:eastAsia="Times New Roman" w:cs="Times New Roman"/>
          <w:szCs w:val="20"/>
        </w:rPr>
        <w:t xml:space="preserve"> is the assigned Commissioner and</w:t>
      </w:r>
      <w:r>
        <w:rPr>
          <w:rFonts w:eastAsia="Times New Roman" w:cs="Times New Roman"/>
          <w:szCs w:val="20"/>
        </w:rPr>
        <w:t xml:space="preserve"> Zhen Zhang</w:t>
      </w:r>
      <w:r w:rsidRPr="006F135C" w:rsidR="006F135C">
        <w:rPr>
          <w:rFonts w:eastAsia="Times New Roman" w:cs="Times New Roman"/>
          <w:szCs w:val="20"/>
        </w:rPr>
        <w:t xml:space="preserve"> is the assigned ALJ in this proceeding</w:t>
      </w:r>
      <w:r w:rsidR="005939A5">
        <w:t>.</w:t>
      </w:r>
    </w:p>
    <w:p w:rsidR="005939A5" w:rsidP="005939A5" w:rsidRDefault="005939A5" w14:paraId="15135749" w14:textId="77777777">
      <w:pPr>
        <w:pStyle w:val="Dummy"/>
      </w:pPr>
      <w:bookmarkStart w:name="_Toc8123725" w:id="105"/>
      <w:bookmarkStart w:name="_Toc232146052" w:id="106"/>
      <w:r>
        <w:t>Findings of Fact</w:t>
      </w:r>
      <w:bookmarkEnd w:id="105"/>
      <w:bookmarkEnd w:id="106"/>
    </w:p>
    <w:p w:rsidRPr="002E0757" w:rsidR="006F135C" w:rsidP="006F135C" w:rsidRDefault="00EF60AB" w14:paraId="22084F08" w14:textId="56B7FBBA">
      <w:pPr>
        <w:pStyle w:val="FoF"/>
        <w:rPr>
          <w:bCs/>
          <w:color w:val="000000" w:themeColor="text1"/>
        </w:rPr>
      </w:pPr>
      <w:proofErr w:type="gramStart"/>
      <w:r>
        <w:rPr>
          <w:rFonts w:eastAsia="Times New Roman" w:cs="Times New Roman"/>
          <w:szCs w:val="20"/>
        </w:rPr>
        <w:t xml:space="preserve">Applicant </w:t>
      </w:r>
      <w:r w:rsidRPr="002E0757" w:rsidR="006F135C">
        <w:rPr>
          <w:bCs/>
          <w:color w:val="000000" w:themeColor="text1"/>
        </w:rPr>
        <w:t>is</w:t>
      </w:r>
      <w:proofErr w:type="gramEnd"/>
      <w:r w:rsidRPr="002E0757" w:rsidR="006F135C">
        <w:rPr>
          <w:bCs/>
          <w:color w:val="000000" w:themeColor="text1"/>
        </w:rPr>
        <w:t xml:space="preserve"> a </w:t>
      </w:r>
      <w:r w:rsidRPr="002E0757" w:rsidR="00A843F3">
        <w:rPr>
          <w:bCs/>
          <w:color w:val="000000" w:themeColor="text1"/>
        </w:rPr>
        <w:t xml:space="preserve">corporation </w:t>
      </w:r>
      <w:r w:rsidRPr="002E0757" w:rsidR="006F135C">
        <w:rPr>
          <w:bCs/>
          <w:color w:val="000000" w:themeColor="text1"/>
        </w:rPr>
        <w:t>authorized to do business in California.</w:t>
      </w:r>
      <w:bookmarkStart w:name="_Hlk184730520" w:id="107"/>
      <w:bookmarkStart w:name="_Hlk183523853" w:id="108"/>
    </w:p>
    <w:p w:rsidRPr="002E0757" w:rsidR="006F135C" w:rsidP="006F135C" w:rsidRDefault="00EF60AB" w14:paraId="33CCB2A2" w14:textId="7B945FFC">
      <w:pPr>
        <w:pStyle w:val="FoF"/>
        <w:rPr>
          <w:bCs/>
          <w:color w:val="000000" w:themeColor="text1"/>
        </w:rPr>
      </w:pPr>
      <w:r>
        <w:rPr>
          <w:rFonts w:eastAsia="Times New Roman" w:cs="Times New Roman"/>
          <w:szCs w:val="20"/>
        </w:rPr>
        <w:t>Applicant</w:t>
      </w:r>
      <w:r w:rsidRPr="002E0757" w:rsidR="006F135C">
        <w:rPr>
          <w:bCs/>
          <w:color w:val="000000" w:themeColor="text1"/>
        </w:rPr>
        <w:t>’s principal place of business</w:t>
      </w:r>
      <w:r w:rsidRPr="002E0757" w:rsidR="006F135C">
        <w:rPr>
          <w:bCs/>
          <w:color w:val="000000" w:themeColor="text1"/>
          <w:szCs w:val="26"/>
        </w:rPr>
        <w:t xml:space="preserve"> is </w:t>
      </w:r>
      <w:r w:rsidRPr="002E0757" w:rsidR="005146E8">
        <w:rPr>
          <w:bCs/>
          <w:color w:val="000000" w:themeColor="text1"/>
          <w:szCs w:val="26"/>
        </w:rPr>
        <w:t>1031 South Glendora Ave</w:t>
      </w:r>
      <w:r w:rsidR="002D156E">
        <w:rPr>
          <w:bCs/>
          <w:color w:val="000000" w:themeColor="text1"/>
          <w:szCs w:val="26"/>
        </w:rPr>
        <w:t>.,</w:t>
      </w:r>
      <w:r w:rsidRPr="002E0757" w:rsidR="005146E8">
        <w:rPr>
          <w:bCs/>
          <w:color w:val="000000" w:themeColor="text1"/>
          <w:szCs w:val="26"/>
        </w:rPr>
        <w:t xml:space="preserve"> West Covina, CA 91790</w:t>
      </w:r>
      <w:r w:rsidRPr="002E0757" w:rsidR="006F135C">
        <w:rPr>
          <w:bCs/>
          <w:color w:val="000000" w:themeColor="text1"/>
          <w:szCs w:val="26"/>
        </w:rPr>
        <w:t>.</w:t>
      </w:r>
      <w:bookmarkEnd w:id="107"/>
    </w:p>
    <w:p w:rsidRPr="001D6C01" w:rsidR="006F135C" w:rsidP="006F135C" w:rsidRDefault="00EF60AB" w14:paraId="4EEDCAB1" w14:textId="4BF92A54">
      <w:pPr>
        <w:pStyle w:val="FoF"/>
        <w:rPr>
          <w:bCs/>
          <w:color w:val="000000" w:themeColor="text1"/>
        </w:rPr>
      </w:pPr>
      <w:proofErr w:type="gramStart"/>
      <w:r>
        <w:rPr>
          <w:rFonts w:eastAsia="Times New Roman" w:cs="Times New Roman"/>
          <w:szCs w:val="20"/>
        </w:rPr>
        <w:lastRenderedPageBreak/>
        <w:t>Applicant</w:t>
      </w:r>
      <w:r w:rsidRPr="002E0757" w:rsidR="006F135C">
        <w:rPr>
          <w:bCs/>
          <w:color w:val="000000" w:themeColor="text1"/>
          <w:szCs w:val="26"/>
        </w:rPr>
        <w:t xml:space="preserve"> proposes to provide</w:t>
      </w:r>
      <w:proofErr w:type="gramEnd"/>
      <w:r w:rsidRPr="002E0757" w:rsidR="006F135C">
        <w:rPr>
          <w:bCs/>
          <w:color w:val="000000" w:themeColor="text1"/>
          <w:szCs w:val="26"/>
        </w:rPr>
        <w:t xml:space="preserve"> </w:t>
      </w:r>
      <w:r w:rsidRPr="002E0757" w:rsidR="006F135C">
        <w:rPr>
          <w:bCs/>
          <w:color w:val="000000" w:themeColor="text1"/>
        </w:rPr>
        <w:t>fixed interconnected VoIP</w:t>
      </w:r>
      <w:r w:rsidRPr="002E0757" w:rsidR="006F135C">
        <w:rPr>
          <w:bCs/>
          <w:color w:val="000000" w:themeColor="text1"/>
          <w:szCs w:val="26"/>
        </w:rPr>
        <w:t xml:space="preserve"> services.</w:t>
      </w:r>
      <w:bookmarkEnd w:id="108"/>
    </w:p>
    <w:p w:rsidRPr="001D6C01" w:rsidR="001D6C01" w:rsidP="001D6C01" w:rsidRDefault="001D6C01" w14:paraId="65533C41" w14:textId="77777777">
      <w:pPr>
        <w:pStyle w:val="FoF"/>
        <w:ind w:firstLine="540"/>
        <w:rPr>
          <w:color w:val="000000" w:themeColor="text1"/>
        </w:rPr>
      </w:pPr>
      <w:proofErr w:type="gramStart"/>
      <w:r w:rsidRPr="001D6C01">
        <w:rPr>
          <w:rFonts w:eastAsia="Times New Roman" w:cs="Times New Roman"/>
          <w:szCs w:val="20"/>
        </w:rPr>
        <w:t>Applicant</w:t>
      </w:r>
      <w:r w:rsidRPr="001D6C01">
        <w:rPr>
          <w:color w:val="000000" w:themeColor="text1"/>
          <w:szCs w:val="26"/>
        </w:rPr>
        <w:t xml:space="preserve"> is</w:t>
      </w:r>
      <w:proofErr w:type="gramEnd"/>
      <w:r w:rsidRPr="001D6C01">
        <w:rPr>
          <w:color w:val="000000" w:themeColor="text1"/>
          <w:szCs w:val="26"/>
        </w:rPr>
        <w:t xml:space="preserve"> a telephone corporation and a public utility as defined in Pub. Util. Code S</w:t>
      </w:r>
      <w:r w:rsidRPr="001D6C01">
        <w:rPr>
          <w:color w:val="000000" w:themeColor="text1"/>
        </w:rPr>
        <w:t>ections </w:t>
      </w:r>
      <w:r w:rsidRPr="001D6C01">
        <w:rPr>
          <w:color w:val="000000" w:themeColor="text1"/>
          <w:szCs w:val="26"/>
        </w:rPr>
        <w:t>234(a) and 216(a).</w:t>
      </w:r>
    </w:p>
    <w:p w:rsidRPr="002E0757" w:rsidR="006F135C" w:rsidP="009A13E6" w:rsidRDefault="006F135C" w14:paraId="69F08935" w14:textId="77777777">
      <w:pPr>
        <w:pStyle w:val="FoF"/>
        <w:rPr>
          <w:bCs/>
          <w:color w:val="000000" w:themeColor="text1"/>
        </w:rPr>
      </w:pPr>
      <w:bookmarkStart w:name="_Hlk183524155" w:id="109"/>
      <w:r w:rsidRPr="002E0757">
        <w:rPr>
          <w:bCs/>
          <w:color w:val="000000" w:themeColor="text1"/>
        </w:rPr>
        <w:t>Granting this CPCN will expand the availability of technologically advanced telecommunications services within the state.</w:t>
      </w:r>
      <w:bookmarkEnd w:id="109"/>
    </w:p>
    <w:p w:rsidR="006F135C" w:rsidP="006F135C" w:rsidRDefault="00EF60AB" w14:paraId="4BCCB110" w14:textId="4C74BA82">
      <w:pPr>
        <w:pStyle w:val="FoF"/>
      </w:pPr>
      <w:r>
        <w:rPr>
          <w:rFonts w:eastAsia="Times New Roman" w:cs="Times New Roman"/>
          <w:szCs w:val="20"/>
        </w:rPr>
        <w:t>Applicant</w:t>
      </w:r>
      <w:r w:rsidRPr="002E0757" w:rsidR="006F135C">
        <w:rPr>
          <w:bCs/>
          <w:color w:val="000000" w:themeColor="text1"/>
        </w:rPr>
        <w:t xml:space="preserve"> has a minimum of $25,000</w:t>
      </w:r>
      <w:r w:rsidRPr="002E0757" w:rsidR="009A13E6">
        <w:rPr>
          <w:bCs/>
          <w:color w:val="000000" w:themeColor="text1"/>
        </w:rPr>
        <w:t xml:space="preserve"> </w:t>
      </w:r>
      <w:r w:rsidRPr="002E0757" w:rsidR="006F135C">
        <w:rPr>
          <w:bCs/>
          <w:color w:val="000000" w:themeColor="text1"/>
        </w:rPr>
        <w:t>of cash or cash equivalent that</w:t>
      </w:r>
      <w:r w:rsidRPr="002E0757" w:rsidR="006F135C">
        <w:rPr>
          <w:color w:val="000000" w:themeColor="text1"/>
        </w:rPr>
        <w:t xml:space="preserve"> </w:t>
      </w:r>
      <w:r w:rsidRPr="006F135C" w:rsidR="006F135C">
        <w:t>is reasonably liquid and readily available to meet its start</w:t>
      </w:r>
      <w:r w:rsidRPr="006F135C" w:rsidR="006F135C">
        <w:noBreakHyphen/>
        <w:t>up expenses.</w:t>
      </w:r>
    </w:p>
    <w:p w:rsidR="006F135C" w:rsidP="006F135C" w:rsidRDefault="00EF60AB" w14:paraId="06B1817E" w14:textId="47E3E190">
      <w:pPr>
        <w:pStyle w:val="FoF"/>
      </w:pPr>
      <w:bookmarkStart w:name="_Hlk190178097" w:id="110"/>
      <w:r>
        <w:rPr>
          <w:rFonts w:eastAsia="Times New Roman" w:cs="Times New Roman"/>
          <w:szCs w:val="20"/>
        </w:rPr>
        <w:t>Applicant</w:t>
      </w:r>
      <w:r w:rsidRPr="002E0757" w:rsidR="006F135C">
        <w:rPr>
          <w:bCs/>
          <w:color w:val="000000" w:themeColor="text1"/>
        </w:rPr>
        <w:t xml:space="preserve"> </w:t>
      </w:r>
      <w:r w:rsidRPr="006F135C" w:rsidR="006F135C">
        <w:t>has an additional $25,000 to cover deposits that may be required by other telephone corporations to provide the proposed service.</w:t>
      </w:r>
      <w:bookmarkEnd w:id="110"/>
    </w:p>
    <w:p w:rsidRPr="001D6C01" w:rsidR="001D6C01" w:rsidP="001D6C01" w:rsidRDefault="001D6C01" w14:paraId="628A7801" w14:textId="77777777">
      <w:pPr>
        <w:pStyle w:val="FoF"/>
        <w:ind w:firstLine="540"/>
        <w:rPr>
          <w:color w:val="000000" w:themeColor="text1"/>
        </w:rPr>
      </w:pPr>
      <w:proofErr w:type="gramStart"/>
      <w:r w:rsidRPr="001D6C01">
        <w:rPr>
          <w:rFonts w:eastAsia="Times New Roman" w:cs="Times New Roman"/>
          <w:szCs w:val="20"/>
        </w:rPr>
        <w:t>Applicant</w:t>
      </w:r>
      <w:r w:rsidRPr="001D6C01">
        <w:rPr>
          <w:color w:val="000000" w:themeColor="text1"/>
        </w:rPr>
        <w:t xml:space="preserve"> meets</w:t>
      </w:r>
      <w:proofErr w:type="gramEnd"/>
      <w:r w:rsidRPr="001D6C01">
        <w:rPr>
          <w:color w:val="000000" w:themeColor="text1"/>
        </w:rPr>
        <w:t xml:space="preserve"> the financial requirements for a CPCN pursuant to D.24-11-003.</w:t>
      </w:r>
    </w:p>
    <w:p w:rsidR="006F135C" w:rsidP="006F135C" w:rsidRDefault="00EF60AB" w14:paraId="62C1679C" w14:textId="3E12C3AC">
      <w:pPr>
        <w:pStyle w:val="FoF"/>
      </w:pPr>
      <w:r>
        <w:rPr>
          <w:rFonts w:eastAsia="Times New Roman" w:cs="Times New Roman"/>
          <w:szCs w:val="20"/>
        </w:rPr>
        <w:t>Applicant</w:t>
      </w:r>
      <w:r w:rsidRPr="002E0757" w:rsidR="006F135C">
        <w:rPr>
          <w:bCs/>
          <w:color w:val="000000" w:themeColor="text1"/>
        </w:rPr>
        <w:t>’</w:t>
      </w:r>
      <w:r w:rsidRPr="002E0757" w:rsidR="00CD7210">
        <w:rPr>
          <w:bCs/>
          <w:color w:val="000000" w:themeColor="text1"/>
        </w:rPr>
        <w:t>s</w:t>
      </w:r>
      <w:r w:rsidRPr="002E0757" w:rsidR="006F135C">
        <w:rPr>
          <w:bCs/>
          <w:color w:val="000000" w:themeColor="text1"/>
        </w:rPr>
        <w:t xml:space="preserve"> management possesses sufficient experience, knowledge, and technical expertise to provide fixed interconnected VoIP services</w:t>
      </w:r>
      <w:r w:rsidRPr="002E0757" w:rsidR="006F135C">
        <w:rPr>
          <w:color w:val="000000" w:themeColor="text1"/>
        </w:rPr>
        <w:t xml:space="preserve"> </w:t>
      </w:r>
      <w:r w:rsidRPr="006F135C" w:rsidR="006F135C">
        <w:t>to the public.</w:t>
      </w:r>
      <w:bookmarkStart w:name="_Hlk183524749" w:id="111"/>
    </w:p>
    <w:p w:rsidRPr="002E0757" w:rsidR="006F135C" w:rsidP="006F135C" w:rsidRDefault="006F135C" w14:paraId="30B0A54A" w14:textId="511BCDA6">
      <w:pPr>
        <w:pStyle w:val="FoF"/>
        <w:rPr>
          <w:color w:val="000000" w:themeColor="text1"/>
        </w:rPr>
      </w:pPr>
      <w:r w:rsidRPr="006F135C">
        <w:t xml:space="preserve">No one associated with or </w:t>
      </w:r>
      <w:r w:rsidRPr="002E0757">
        <w:rPr>
          <w:color w:val="000000" w:themeColor="text1"/>
        </w:rPr>
        <w:t xml:space="preserve">employed by </w:t>
      </w:r>
      <w:r w:rsidR="00EF60AB">
        <w:rPr>
          <w:rFonts w:eastAsia="Times New Roman" w:cs="Times New Roman"/>
          <w:szCs w:val="20"/>
        </w:rPr>
        <w:t>Applicant</w:t>
      </w:r>
      <w:r w:rsidRPr="002E0757">
        <w:rPr>
          <w:color w:val="000000" w:themeColor="text1"/>
        </w:rPr>
        <w:t xml:space="preserve"> as an affiliate, officer, director, partner, agent, or owner (directly or indirectly) of more than 10 percent of </w:t>
      </w:r>
      <w:r w:rsidR="00EF60AB">
        <w:rPr>
          <w:rFonts w:eastAsia="Times New Roman" w:cs="Times New Roman"/>
          <w:szCs w:val="20"/>
        </w:rPr>
        <w:t>Applicant</w:t>
      </w:r>
      <w:r w:rsidRPr="002E0757">
        <w:rPr>
          <w:color w:val="000000" w:themeColor="text1"/>
        </w:rPr>
        <w:t xml:space="preserve">, or anyone acting in a management capacity for </w:t>
      </w:r>
      <w:r w:rsidR="00EF60AB">
        <w:rPr>
          <w:rFonts w:eastAsia="Times New Roman" w:cs="Times New Roman"/>
          <w:szCs w:val="20"/>
        </w:rPr>
        <w:t>Applicant</w:t>
      </w:r>
      <w:r w:rsidRPr="002E0757">
        <w:rPr>
          <w:color w:val="000000" w:themeColor="text1"/>
        </w:rPr>
        <w:t xml:space="preserve">: </w:t>
      </w:r>
      <w:r w:rsidRPr="002E0757">
        <w:rPr>
          <w:color w:val="000000" w:themeColor="text1"/>
          <w:szCs w:val="26"/>
        </w:rPr>
        <w:t xml:space="preserve">(a) held one of these positions with a company that filed for bankruptcy; (b) been personally found liable, or held one of these positions with a company that has been found liable, for fraud, dishonesty, failure to disclose, or misrepresentations to consumers or others; (c) been convicted of a felony; (d) been the subject of a criminal referral by judge or public agency; (e) had a telecommunications license or operating authority denied, suspended, revoked, or limited in any jurisdiction; (f) personally entered into a settlement, or held one of these positions with a company that has entered into settlement of criminal or civil claims involving violations of </w:t>
      </w:r>
      <w:r w:rsidRPr="002E0757">
        <w:rPr>
          <w:color w:val="000000" w:themeColor="text1"/>
        </w:rPr>
        <w:t>Sections </w:t>
      </w:r>
      <w:r w:rsidRPr="002E0757">
        <w:rPr>
          <w:color w:val="000000" w:themeColor="text1"/>
          <w:szCs w:val="26"/>
        </w:rPr>
        <w:t>17000 </w:t>
      </w:r>
      <w:r w:rsidRPr="002E0757">
        <w:rPr>
          <w:i/>
          <w:color w:val="000000" w:themeColor="text1"/>
          <w:szCs w:val="26"/>
        </w:rPr>
        <w:t>et seq</w:t>
      </w:r>
      <w:r w:rsidRPr="002E0757">
        <w:rPr>
          <w:iCs/>
          <w:color w:val="000000" w:themeColor="text1"/>
          <w:szCs w:val="26"/>
        </w:rPr>
        <w:t>.,</w:t>
      </w:r>
      <w:r w:rsidRPr="002E0757">
        <w:rPr>
          <w:i/>
          <w:iCs/>
          <w:color w:val="000000" w:themeColor="text1"/>
          <w:szCs w:val="26"/>
        </w:rPr>
        <w:t xml:space="preserve"> </w:t>
      </w:r>
      <w:r w:rsidRPr="002E0757">
        <w:rPr>
          <w:color w:val="000000" w:themeColor="text1"/>
        </w:rPr>
        <w:t>Sections </w:t>
      </w:r>
      <w:r w:rsidRPr="002E0757">
        <w:rPr>
          <w:color w:val="000000" w:themeColor="text1"/>
          <w:szCs w:val="26"/>
        </w:rPr>
        <w:t>17200 </w:t>
      </w:r>
      <w:r w:rsidRPr="002E0757">
        <w:rPr>
          <w:i/>
          <w:color w:val="000000" w:themeColor="text1"/>
          <w:szCs w:val="26"/>
        </w:rPr>
        <w:t>et seq.,</w:t>
      </w:r>
      <w:r w:rsidRPr="002E0757">
        <w:rPr>
          <w:i/>
          <w:iCs/>
          <w:color w:val="000000" w:themeColor="text1"/>
          <w:szCs w:val="26"/>
        </w:rPr>
        <w:t xml:space="preserve"> </w:t>
      </w:r>
      <w:r w:rsidRPr="002E0757">
        <w:rPr>
          <w:color w:val="000000" w:themeColor="text1"/>
          <w:szCs w:val="26"/>
        </w:rPr>
        <w:t xml:space="preserve">or </w:t>
      </w:r>
      <w:r w:rsidRPr="002E0757">
        <w:rPr>
          <w:color w:val="000000" w:themeColor="text1"/>
        </w:rPr>
        <w:t>Sections </w:t>
      </w:r>
      <w:r w:rsidRPr="002E0757">
        <w:rPr>
          <w:color w:val="000000" w:themeColor="text1"/>
          <w:szCs w:val="26"/>
        </w:rPr>
        <w:t>17500 </w:t>
      </w:r>
      <w:r w:rsidRPr="002E0757">
        <w:rPr>
          <w:i/>
          <w:color w:val="000000" w:themeColor="text1"/>
          <w:szCs w:val="26"/>
        </w:rPr>
        <w:t>et seq.</w:t>
      </w:r>
      <w:r w:rsidRPr="002E0757">
        <w:rPr>
          <w:iCs/>
          <w:color w:val="000000" w:themeColor="text1"/>
          <w:szCs w:val="26"/>
        </w:rPr>
        <w:t xml:space="preserve"> </w:t>
      </w:r>
      <w:r w:rsidRPr="002E0757">
        <w:rPr>
          <w:color w:val="000000" w:themeColor="text1"/>
          <w:szCs w:val="26"/>
        </w:rPr>
        <w:t xml:space="preserve">of the California Business &amp; Professions Code, or of any </w:t>
      </w:r>
      <w:r w:rsidRPr="002E0757">
        <w:rPr>
          <w:color w:val="000000" w:themeColor="text1"/>
          <w:szCs w:val="26"/>
        </w:rPr>
        <w:lastRenderedPageBreak/>
        <w:t>other statute, regulation, or decisional law relating to fraud, dishonesty, failure to disclose, or misrepresentations to consumers or others; (g) been found to have violated any statute, law, or rule pertaining to public utilities or other regulated industries; or (h) entered into any settlement agreements or made any voluntary payments or agreed to any other type of monetary forfeitures in resolution of any action by any regulatory body, agency, or attorney general.</w:t>
      </w:r>
      <w:bookmarkEnd w:id="111"/>
    </w:p>
    <w:p w:rsidRPr="002E0757" w:rsidR="006F135C" w:rsidP="006F135C" w:rsidRDefault="006F135C" w14:paraId="03C1C4A7" w14:textId="5B5171B8">
      <w:pPr>
        <w:pStyle w:val="FoF"/>
        <w:rPr>
          <w:color w:val="000000" w:themeColor="text1"/>
        </w:rPr>
      </w:pPr>
      <w:r w:rsidRPr="002E0757">
        <w:rPr>
          <w:color w:val="000000" w:themeColor="text1"/>
        </w:rPr>
        <w:t xml:space="preserve">To the best of </w:t>
      </w:r>
      <w:r w:rsidR="00EF60AB">
        <w:rPr>
          <w:rFonts w:eastAsia="Times New Roman" w:cs="Times New Roman"/>
          <w:szCs w:val="20"/>
        </w:rPr>
        <w:t>Applicant</w:t>
      </w:r>
      <w:r w:rsidRPr="002E0757">
        <w:rPr>
          <w:color w:val="000000" w:themeColor="text1"/>
        </w:rPr>
        <w:t xml:space="preserve">’s knowledge, neither </w:t>
      </w:r>
      <w:r w:rsidR="00EF60AB">
        <w:rPr>
          <w:rFonts w:eastAsia="Times New Roman" w:cs="Times New Roman"/>
          <w:szCs w:val="20"/>
        </w:rPr>
        <w:t>Applicant</w:t>
      </w:r>
      <w:r w:rsidRPr="002E0757">
        <w:rPr>
          <w:color w:val="000000" w:themeColor="text1"/>
        </w:rPr>
        <w:t xml:space="preserve">, or any affiliate, officer, director, partner, nor owner of more than 10 percent of </w:t>
      </w:r>
      <w:r w:rsidR="00EF60AB">
        <w:rPr>
          <w:rFonts w:eastAsia="Times New Roman" w:cs="Times New Roman"/>
          <w:szCs w:val="20"/>
        </w:rPr>
        <w:t>Applicant</w:t>
      </w:r>
      <w:r w:rsidRPr="002E0757">
        <w:rPr>
          <w:color w:val="000000" w:themeColor="text1"/>
        </w:rPr>
        <w:t>, or any person acting in such capacity whether or not formally appointed, is being, or has been investigated by the FCC or any law enforcement or regulatory agency for failure to comply with any law, rule, or order.</w:t>
      </w:r>
    </w:p>
    <w:p w:rsidRPr="001D6C01" w:rsidR="001D6C01" w:rsidP="001D6C01" w:rsidRDefault="001D6C01" w14:paraId="4668D46D" w14:textId="66B58F08">
      <w:pPr>
        <w:pStyle w:val="FoF"/>
        <w:ind w:firstLine="540"/>
        <w:rPr>
          <w:bCs/>
          <w:color w:val="000000" w:themeColor="text1"/>
        </w:rPr>
      </w:pPr>
      <w:r w:rsidRPr="001D6C01">
        <w:rPr>
          <w:rFonts w:eastAsia="Times New Roman" w:cs="Times New Roman"/>
          <w:szCs w:val="20"/>
        </w:rPr>
        <w:t>Applicant</w:t>
      </w:r>
      <w:r w:rsidRPr="001D6C01">
        <w:rPr>
          <w:bCs/>
          <w:color w:val="000000" w:themeColor="text1"/>
        </w:rPr>
        <w:t xml:space="preserve"> meets the technical managerial requirements for a CPCN pursuant to D.13-05-013 and D.24-11-003.</w:t>
      </w:r>
    </w:p>
    <w:p w:rsidRPr="001F08BC" w:rsidR="002921BA" w:rsidP="00B4234D" w:rsidRDefault="002921BA" w14:paraId="71187263" w14:textId="55EFE77C">
      <w:pPr>
        <w:pStyle w:val="FoF"/>
        <w:ind w:firstLine="540"/>
        <w:rPr>
          <w:color w:val="000000" w:themeColor="text1"/>
        </w:rPr>
      </w:pPr>
      <w:r>
        <w:rPr>
          <w:color w:val="000000" w:themeColor="text1"/>
        </w:rPr>
        <w:t>D.24-11-003 established a regulatory framework for telephone corporations providing VoIP service but did not address how fixed interconnected VoIP service providers that never registered as DVS providers were to add the DVF designation to their existing wireline operating authority.</w:t>
      </w:r>
    </w:p>
    <w:p w:rsidRPr="00A63B8B" w:rsidR="00A63B8B" w:rsidP="00A63B8B" w:rsidRDefault="00A63B8B" w14:paraId="2E227BC1" w14:textId="2FB53082">
      <w:pPr>
        <w:pStyle w:val="FoF"/>
        <w:rPr>
          <w:color w:val="000000" w:themeColor="text1"/>
        </w:rPr>
      </w:pPr>
      <w:r w:rsidRPr="00B4234D">
        <w:rPr>
          <w:color w:val="000000" w:themeColor="text1"/>
        </w:rPr>
        <w:t>D.26-06-</w:t>
      </w:r>
      <w:r w:rsidRPr="00B4234D" w:rsidR="00B4234D">
        <w:rPr>
          <w:color w:val="000000" w:themeColor="text1"/>
        </w:rPr>
        <w:t>009</w:t>
      </w:r>
      <w:r>
        <w:rPr>
          <w:color w:val="000000" w:themeColor="text1"/>
        </w:rPr>
        <w:t xml:space="preserve"> </w:t>
      </w:r>
      <w:r w:rsidR="002921BA">
        <w:rPr>
          <w:color w:val="000000" w:themeColor="text1"/>
        </w:rPr>
        <w:t xml:space="preserve">established a streamlined process for wireline carriers that are not DVS providers to </w:t>
      </w:r>
      <w:r w:rsidR="00CB2D4F">
        <w:rPr>
          <w:color w:val="000000" w:themeColor="text1"/>
        </w:rPr>
        <w:t>receive a DVF</w:t>
      </w:r>
      <w:r w:rsidR="00FD275C">
        <w:rPr>
          <w:color w:val="000000" w:themeColor="text1"/>
        </w:rPr>
        <w:t xml:space="preserve"> </w:t>
      </w:r>
      <w:r w:rsidR="002921BA">
        <w:rPr>
          <w:color w:val="000000" w:themeColor="text1"/>
        </w:rPr>
        <w:t>utility type</w:t>
      </w:r>
      <w:r w:rsidR="00FD275C">
        <w:rPr>
          <w:color w:val="000000" w:themeColor="text1"/>
        </w:rPr>
        <w:t xml:space="preserve">. </w:t>
      </w:r>
    </w:p>
    <w:p w:rsidRPr="002E0757" w:rsidR="006F135C" w:rsidP="006F135C" w:rsidRDefault="00EF60AB" w14:paraId="3BA1FA0F" w14:textId="77858013">
      <w:pPr>
        <w:pStyle w:val="FoF"/>
        <w:rPr>
          <w:color w:val="000000" w:themeColor="text1"/>
        </w:rPr>
      </w:pPr>
      <w:r>
        <w:rPr>
          <w:rFonts w:eastAsia="Times New Roman" w:cs="Times New Roman"/>
          <w:szCs w:val="20"/>
        </w:rPr>
        <w:t>Applicant</w:t>
      </w:r>
      <w:r w:rsidRPr="002E0757" w:rsidR="006F135C">
        <w:rPr>
          <w:color w:val="000000" w:themeColor="text1"/>
        </w:rPr>
        <w:t xml:space="preserve"> requested and is </w:t>
      </w:r>
      <w:r w:rsidR="00CB5504">
        <w:rPr>
          <w:color w:val="000000" w:themeColor="text1"/>
        </w:rPr>
        <w:t>not exempt from tariff requirements due to authority to provide basic service and limited facilities-based and resold local exchange and interexchange telecommunications services pursuant to D.02-05-0</w:t>
      </w:r>
      <w:r w:rsidR="00516A6D">
        <w:rPr>
          <w:color w:val="000000" w:themeColor="text1"/>
        </w:rPr>
        <w:t>22</w:t>
      </w:r>
      <w:r w:rsidR="00CB5504">
        <w:rPr>
          <w:color w:val="000000" w:themeColor="text1"/>
        </w:rPr>
        <w:t xml:space="preserve"> and D.03-02-051</w:t>
      </w:r>
      <w:r w:rsidRPr="002E0757" w:rsidR="006F135C">
        <w:rPr>
          <w:color w:val="000000" w:themeColor="text1"/>
        </w:rPr>
        <w:t>.</w:t>
      </w:r>
    </w:p>
    <w:p w:rsidRPr="00516A6D" w:rsidR="00516A6D" w:rsidP="006F135C" w:rsidRDefault="00516A6D" w14:paraId="6C518954" w14:textId="77777777">
      <w:pPr>
        <w:pStyle w:val="FoF"/>
        <w:rPr>
          <w:color w:val="000000" w:themeColor="text1"/>
        </w:rPr>
      </w:pPr>
      <w:proofErr w:type="gramStart"/>
      <w:r>
        <w:rPr>
          <w:rFonts w:eastAsia="Times New Roman" w:cs="Times New Roman"/>
          <w:szCs w:val="20"/>
        </w:rPr>
        <w:t>Applicant has</w:t>
      </w:r>
      <w:proofErr w:type="gramEnd"/>
      <w:r>
        <w:rPr>
          <w:rFonts w:eastAsia="Times New Roman" w:cs="Times New Roman"/>
          <w:szCs w:val="20"/>
        </w:rPr>
        <w:t xml:space="preserve"> submitted their Tariff Filing Requirement for the reporting year of 2026.</w:t>
      </w:r>
    </w:p>
    <w:p w:rsidRPr="002E0757" w:rsidR="006F135C" w:rsidP="006F135C" w:rsidRDefault="00EF60AB" w14:paraId="5002DE8D" w14:textId="32792372">
      <w:pPr>
        <w:pStyle w:val="FoF"/>
        <w:rPr>
          <w:color w:val="000000" w:themeColor="text1"/>
        </w:rPr>
      </w:pPr>
      <w:proofErr w:type="gramStart"/>
      <w:r>
        <w:rPr>
          <w:rFonts w:eastAsia="Times New Roman" w:cs="Times New Roman"/>
          <w:szCs w:val="20"/>
        </w:rPr>
        <w:lastRenderedPageBreak/>
        <w:t>Applicant</w:t>
      </w:r>
      <w:r w:rsidRPr="002E0757" w:rsidR="006F135C">
        <w:rPr>
          <w:color w:val="000000" w:themeColor="text1"/>
        </w:rPr>
        <w:t xml:space="preserve"> proposes</w:t>
      </w:r>
      <w:proofErr w:type="gramEnd"/>
      <w:r w:rsidRPr="002E0757" w:rsidR="006F135C">
        <w:rPr>
          <w:color w:val="000000" w:themeColor="text1"/>
        </w:rPr>
        <w:t xml:space="preserve"> to operate in the service territories of</w:t>
      </w:r>
      <w:r w:rsidRPr="002E0757" w:rsidR="006060F3">
        <w:rPr>
          <w:color w:val="000000" w:themeColor="text1"/>
        </w:rPr>
        <w:t xml:space="preserve"> the uniform regulatory incumbent local ex</w:t>
      </w:r>
      <w:r w:rsidRPr="002E0757" w:rsidR="00BD2A8D">
        <w:rPr>
          <w:color w:val="000000" w:themeColor="text1"/>
        </w:rPr>
        <w:t>change carriers</w:t>
      </w:r>
      <w:r w:rsidRPr="002E0757" w:rsidR="006F135C">
        <w:rPr>
          <w:color w:val="000000" w:themeColor="text1"/>
        </w:rPr>
        <w:t>.</w:t>
      </w:r>
    </w:p>
    <w:p w:rsidRPr="002E0757" w:rsidR="006F135C" w:rsidP="00F54E2E" w:rsidRDefault="00EF60AB" w14:paraId="54F28837" w14:textId="5076AE56">
      <w:pPr>
        <w:pStyle w:val="FoF"/>
        <w:rPr>
          <w:color w:val="000000" w:themeColor="text1"/>
        </w:rPr>
      </w:pPr>
      <w:proofErr w:type="gramStart"/>
      <w:r>
        <w:rPr>
          <w:rFonts w:eastAsia="Times New Roman" w:cs="Times New Roman"/>
          <w:szCs w:val="20"/>
        </w:rPr>
        <w:t>Applicant</w:t>
      </w:r>
      <w:proofErr w:type="gramEnd"/>
      <w:r w:rsidRPr="002E0757" w:rsidDel="00977F7E" w:rsidR="00F54E2E">
        <w:rPr>
          <w:i/>
          <w:color w:val="000000" w:themeColor="text1"/>
        </w:rPr>
        <w:t xml:space="preserve"> </w:t>
      </w:r>
      <w:r w:rsidRPr="002E0757" w:rsidR="006F135C">
        <w:rPr>
          <w:color w:val="000000" w:themeColor="text1"/>
        </w:rPr>
        <w:t>will meet the Commission’s minimum safety goals.</w:t>
      </w:r>
    </w:p>
    <w:p w:rsidR="001E5818" w:rsidP="000F7D1B" w:rsidRDefault="006F135C" w14:paraId="151D3CE5" w14:textId="7738B449">
      <w:pPr>
        <w:pStyle w:val="FoF"/>
      </w:pPr>
      <w:r w:rsidRPr="002E0757">
        <w:rPr>
          <w:color w:val="000000" w:themeColor="text1"/>
        </w:rPr>
        <w:t xml:space="preserve"> </w:t>
      </w:r>
      <w:r w:rsidR="00EF60AB">
        <w:rPr>
          <w:rFonts w:eastAsia="Times New Roman" w:cs="Times New Roman"/>
          <w:szCs w:val="20"/>
        </w:rPr>
        <w:t>Applicant</w:t>
      </w:r>
      <w:r w:rsidR="00CD7210">
        <w:rPr>
          <w:color w:val="000000" w:themeColor="text1"/>
        </w:rPr>
        <w:t xml:space="preserve"> </w:t>
      </w:r>
      <w:r w:rsidRPr="002E0757">
        <w:rPr>
          <w:color w:val="000000" w:themeColor="text1"/>
        </w:rPr>
        <w:t xml:space="preserve">filed documents which have a presumption </w:t>
      </w:r>
      <w:r w:rsidRPr="4372617A">
        <w:t xml:space="preserve">of confidentiality pursuant to D.24-11-003 and GO 66-D in </w:t>
      </w:r>
      <w:r w:rsidRPr="000F7D1B" w:rsidR="000F7D1B">
        <w:t>a) Appendix I of the Application</w:t>
      </w:r>
      <w:r w:rsidR="001E5818">
        <w:t>.</w:t>
      </w:r>
    </w:p>
    <w:p w:rsidRPr="001E2A62" w:rsidR="008E6AE6" w:rsidP="000F7D1B" w:rsidRDefault="001E5818" w14:paraId="4B709455" w14:textId="40C23E8C">
      <w:pPr>
        <w:pStyle w:val="FoF"/>
      </w:pPr>
      <w:r>
        <w:rPr>
          <w:iCs/>
          <w:color w:val="000000" w:themeColor="text1"/>
        </w:rPr>
        <w:t xml:space="preserve">As part of its public filing, Applicant included financial documents in </w:t>
      </w:r>
      <w:r w:rsidRPr="000F7D1B" w:rsidR="000F7D1B">
        <w:t xml:space="preserve">Appendix E of </w:t>
      </w:r>
      <w:r>
        <w:t>Applicant</w:t>
      </w:r>
      <w:r w:rsidRPr="000F7D1B" w:rsidR="000F7D1B">
        <w:t>’s Response to ALJ’s Inquiry dated January 23, 2026</w:t>
      </w:r>
      <w:r w:rsidR="00EB6B2F">
        <w:rPr>
          <w:i/>
          <w:iCs/>
          <w:color w:val="0000FF"/>
        </w:rPr>
        <w:t>.</w:t>
      </w:r>
    </w:p>
    <w:p w:rsidR="005939A5" w:rsidP="005939A5" w:rsidRDefault="005939A5" w14:paraId="38F75F11" w14:textId="77777777">
      <w:pPr>
        <w:pStyle w:val="Dummy"/>
      </w:pPr>
      <w:bookmarkStart w:name="_Toc8123726" w:id="112"/>
      <w:bookmarkStart w:name="_Toc232146053" w:id="113"/>
      <w:r>
        <w:t>Conclusions of Law</w:t>
      </w:r>
      <w:bookmarkEnd w:id="112"/>
      <w:bookmarkEnd w:id="113"/>
    </w:p>
    <w:p w:rsidRPr="002E0757" w:rsidR="004078BB" w:rsidP="008E0D70" w:rsidRDefault="00EF60AB" w14:paraId="0506CF05" w14:textId="0C511B58">
      <w:pPr>
        <w:pStyle w:val="CoL"/>
        <w:rPr>
          <w:color w:val="000000" w:themeColor="text1"/>
        </w:rPr>
      </w:pPr>
      <w:r>
        <w:rPr>
          <w:rFonts w:eastAsia="Times New Roman" w:cs="Times New Roman"/>
          <w:szCs w:val="20"/>
        </w:rPr>
        <w:t>Applicant</w:t>
      </w:r>
      <w:r w:rsidRPr="004078BB" w:rsidR="004078BB">
        <w:rPr>
          <w:rFonts w:eastAsia="Times New Roman" w:cs="Times New Roman"/>
          <w:szCs w:val="20"/>
        </w:rPr>
        <w:t xml:space="preserve"> should be </w:t>
      </w:r>
      <w:r w:rsidRPr="002E0757" w:rsidR="004078BB">
        <w:rPr>
          <w:rFonts w:eastAsia="Times New Roman" w:cs="Times New Roman"/>
          <w:color w:val="000000" w:themeColor="text1"/>
          <w:szCs w:val="20"/>
        </w:rPr>
        <w:t xml:space="preserve">granted a CPCN to provide </w:t>
      </w:r>
      <w:r w:rsidRPr="002E0757" w:rsidR="00F43012">
        <w:rPr>
          <w:rFonts w:eastAsia="Times New Roman" w:cs="Times New Roman"/>
          <w:color w:val="000000" w:themeColor="text1"/>
          <w:szCs w:val="20"/>
        </w:rPr>
        <w:t>non-facilities-based</w:t>
      </w:r>
      <w:r w:rsidRPr="002E0757" w:rsidR="004078BB">
        <w:rPr>
          <w:rFonts w:eastAsia="Times New Roman" w:cs="Times New Roman"/>
          <w:color w:val="000000" w:themeColor="text1"/>
          <w:szCs w:val="20"/>
        </w:rPr>
        <w:t xml:space="preserve"> fixed interconnected </w:t>
      </w:r>
      <w:r w:rsidR="001D6C01">
        <w:rPr>
          <w:rFonts w:eastAsia="Times New Roman" w:cs="Times New Roman"/>
          <w:color w:val="000000" w:themeColor="text1"/>
          <w:szCs w:val="20"/>
        </w:rPr>
        <w:t>VoIP</w:t>
      </w:r>
      <w:r w:rsidRPr="002E0757" w:rsidR="004078BB">
        <w:rPr>
          <w:rFonts w:eastAsia="Times New Roman" w:cs="Times New Roman"/>
          <w:color w:val="000000" w:themeColor="text1"/>
          <w:szCs w:val="20"/>
        </w:rPr>
        <w:t xml:space="preserve"> services </w:t>
      </w:r>
      <w:r w:rsidRPr="008E0D70" w:rsidR="008E0D70">
        <w:rPr>
          <w:rFonts w:eastAsia="Times New Roman" w:cs="Times New Roman"/>
          <w:color w:val="000000" w:themeColor="text1"/>
          <w:szCs w:val="20"/>
        </w:rPr>
        <w:t>within the service territories of uniform regulatory framework incumbent local exchange carriers</w:t>
      </w:r>
      <w:r w:rsidR="00F04DDA">
        <w:rPr>
          <w:rFonts w:eastAsia="Times New Roman" w:cs="Times New Roman"/>
          <w:color w:val="000000" w:themeColor="text1"/>
          <w:szCs w:val="20"/>
        </w:rPr>
        <w:t xml:space="preserve"> which </w:t>
      </w:r>
      <w:r w:rsidRPr="008E0D70" w:rsidR="008E0D70">
        <w:rPr>
          <w:rFonts w:eastAsia="Times New Roman" w:cs="Times New Roman"/>
          <w:color w:val="000000" w:themeColor="text1"/>
          <w:szCs w:val="20"/>
        </w:rPr>
        <w:t>services include voice calling via internet protocol over broadband connections, E-911 capability, and number portability</w:t>
      </w:r>
      <w:r w:rsidRPr="002E0757" w:rsidR="004078BB">
        <w:rPr>
          <w:rFonts w:eastAsia="Times New Roman" w:cs="Times New Roman"/>
          <w:color w:val="000000" w:themeColor="text1"/>
          <w:szCs w:val="20"/>
        </w:rPr>
        <w:t>, subject to the terms and conditions set forth in this decision</w:t>
      </w:r>
      <w:r w:rsidRPr="002E0757" w:rsidR="004078BB">
        <w:rPr>
          <w:color w:val="000000" w:themeColor="text1"/>
        </w:rPr>
        <w:t>.</w:t>
      </w:r>
    </w:p>
    <w:p w:rsidR="004078BB" w:rsidP="004078BB" w:rsidRDefault="00EF60AB" w14:paraId="7543B9E7" w14:textId="60CA95A5">
      <w:pPr>
        <w:pStyle w:val="CoL"/>
        <w:ind w:firstLine="540"/>
      </w:pPr>
      <w:r>
        <w:rPr>
          <w:rFonts w:eastAsia="Times New Roman" w:cs="Times New Roman"/>
          <w:szCs w:val="20"/>
        </w:rPr>
        <w:t>Applicant</w:t>
      </w:r>
      <w:r w:rsidRPr="002E0757" w:rsidR="004078BB">
        <w:rPr>
          <w:bCs/>
          <w:color w:val="000000" w:themeColor="text1"/>
        </w:rPr>
        <w:t xml:space="preserve"> should demonstrate that it maintained at least $25,000</w:t>
      </w:r>
      <w:r w:rsidRPr="002E0757" w:rsidR="00B11D9F">
        <w:rPr>
          <w:bCs/>
          <w:color w:val="000000" w:themeColor="text1"/>
        </w:rPr>
        <w:t xml:space="preserve"> </w:t>
      </w:r>
      <w:r w:rsidRPr="002E0757" w:rsidR="004078BB">
        <w:rPr>
          <w:bCs/>
          <w:color w:val="000000" w:themeColor="text1"/>
        </w:rPr>
        <w:t>that was reasonably liquid</w:t>
      </w:r>
      <w:r w:rsidRPr="002E0757" w:rsidR="004078BB">
        <w:rPr>
          <w:color w:val="000000" w:themeColor="text1"/>
        </w:rPr>
        <w:t xml:space="preserve"> </w:t>
      </w:r>
      <w:r w:rsidRPr="004078BB" w:rsidR="004078BB">
        <w:t xml:space="preserve">and available for its first year of operations by providing the Commission Communications Division with a confidential copy of its updated financial documentation at both six and 12 months from the issuance date of this decision by providing updated bank statements within eight and 14 months, respectively, as an information-only submittal by email to </w:t>
      </w:r>
      <w:hyperlink r:id="rId20">
        <w:r w:rsidRPr="004078BB" w:rsidR="004078BB">
          <w:rPr>
            <w:rStyle w:val="Hyperlink"/>
          </w:rPr>
          <w:t>cdcompliance@cpuc.ca.gov</w:t>
        </w:r>
      </w:hyperlink>
      <w:r w:rsidRPr="004078BB" w:rsidR="004078BB">
        <w:t>.</w:t>
      </w:r>
    </w:p>
    <w:p w:rsidRPr="002E0757" w:rsidR="004078BB" w:rsidP="004078BB" w:rsidRDefault="00EF60AB" w14:paraId="35CBC579" w14:textId="7AC10CCA">
      <w:pPr>
        <w:pStyle w:val="CoL"/>
        <w:ind w:firstLine="540"/>
        <w:rPr>
          <w:color w:val="000000" w:themeColor="text1"/>
        </w:rPr>
      </w:pPr>
      <w:proofErr w:type="gramStart"/>
      <w:r>
        <w:rPr>
          <w:rFonts w:eastAsia="Times New Roman" w:cs="Times New Roman"/>
          <w:szCs w:val="20"/>
        </w:rPr>
        <w:t>Applicant</w:t>
      </w:r>
      <w:proofErr w:type="gramEnd"/>
      <w:r w:rsidRPr="002E0757" w:rsidDel="00B11D9F" w:rsidR="00B11D9F">
        <w:rPr>
          <w:bCs/>
          <w:i/>
          <w:iCs/>
          <w:color w:val="000000" w:themeColor="text1"/>
        </w:rPr>
        <w:t xml:space="preserve"> </w:t>
      </w:r>
      <w:bookmarkStart w:name="_Hlk161468709" w:id="114"/>
      <w:r w:rsidR="001D6C01">
        <w:rPr>
          <w:bCs/>
          <w:color w:val="000000" w:themeColor="text1"/>
        </w:rPr>
        <w:t xml:space="preserve">should </w:t>
      </w:r>
      <w:bookmarkEnd w:id="114"/>
      <w:r w:rsidR="00516A6D">
        <w:rPr>
          <w:bCs/>
          <w:color w:val="000000" w:themeColor="text1"/>
        </w:rPr>
        <w:t>continue to observe existing tariffing requirements.</w:t>
      </w:r>
    </w:p>
    <w:p w:rsidRPr="002E0757" w:rsidR="004078BB" w:rsidP="00324C51" w:rsidRDefault="004078BB" w14:paraId="0DDD1FAA" w14:textId="435DB2DE">
      <w:pPr>
        <w:pStyle w:val="CoL"/>
        <w:ind w:firstLine="540"/>
        <w:rPr>
          <w:color w:val="000000" w:themeColor="text1"/>
        </w:rPr>
      </w:pPr>
      <w:bookmarkStart w:name="_Hlk183525242" w:id="115"/>
      <w:r w:rsidRPr="002E0757">
        <w:rPr>
          <w:color w:val="000000" w:themeColor="text1"/>
        </w:rPr>
        <w:t xml:space="preserve">The certificate granted, and the authority for </w:t>
      </w:r>
      <w:r w:rsidR="00EF60AB">
        <w:rPr>
          <w:rFonts w:eastAsia="Times New Roman" w:cs="Times New Roman"/>
          <w:szCs w:val="20"/>
        </w:rPr>
        <w:t>Applicant</w:t>
      </w:r>
      <w:r w:rsidRPr="002E0757">
        <w:rPr>
          <w:color w:val="000000" w:themeColor="text1"/>
        </w:rPr>
        <w:t xml:space="preserve"> to render service to customers under the rates, charges, and rules authorized, should expire if not exercised, by offering or actively providing service on a wholesale and/or resale basis, after 12 months from the effective date of this decision. </w:t>
      </w:r>
      <w:r w:rsidR="001D6C01">
        <w:rPr>
          <w:color w:val="000000" w:themeColor="text1"/>
        </w:rPr>
        <w:t xml:space="preserve"> </w:t>
      </w:r>
      <w:proofErr w:type="gramStart"/>
      <w:r w:rsidR="00EF60AB">
        <w:rPr>
          <w:rFonts w:eastAsia="Times New Roman" w:cs="Times New Roman"/>
          <w:szCs w:val="20"/>
        </w:rPr>
        <w:t>Applicant</w:t>
      </w:r>
      <w:proofErr w:type="gramEnd"/>
      <w:r w:rsidRPr="002E0757">
        <w:rPr>
          <w:color w:val="000000" w:themeColor="text1"/>
        </w:rPr>
        <w:t xml:space="preserve"> should </w:t>
      </w:r>
      <w:r w:rsidRPr="002E0757">
        <w:rPr>
          <w:color w:val="000000" w:themeColor="text1"/>
        </w:rPr>
        <w:lastRenderedPageBreak/>
        <w:t>be responsible for seeking approval for an extension of time to comply with this decision pursuant to Rule 16.6.</w:t>
      </w:r>
    </w:p>
    <w:p w:rsidR="004078BB" w:rsidP="004078BB" w:rsidRDefault="00EF60AB" w14:paraId="77146A03" w14:textId="22242438">
      <w:pPr>
        <w:pStyle w:val="CoL"/>
        <w:ind w:firstLine="540"/>
      </w:pPr>
      <w:proofErr w:type="gramStart"/>
      <w:r>
        <w:rPr>
          <w:rFonts w:eastAsia="Times New Roman" w:cs="Times New Roman"/>
          <w:szCs w:val="20"/>
        </w:rPr>
        <w:t>Applicant</w:t>
      </w:r>
      <w:proofErr w:type="gramEnd"/>
      <w:r w:rsidRPr="002E0757" w:rsidR="004078BB">
        <w:rPr>
          <w:color w:val="000000" w:themeColor="text1"/>
        </w:rPr>
        <w:t xml:space="preserve"> should </w:t>
      </w:r>
      <w:r w:rsidR="005B749B">
        <w:rPr>
          <w:color w:val="000000" w:themeColor="text1"/>
        </w:rPr>
        <w:t xml:space="preserve">continue to use its existing </w:t>
      </w:r>
      <w:r w:rsidRPr="004078BB" w:rsidR="004078BB">
        <w:t xml:space="preserve">utility identification number </w:t>
      </w:r>
      <w:r w:rsidRPr="00B4234D" w:rsidR="004078BB">
        <w:rPr>
          <w:bCs/>
        </w:rPr>
        <w:t>U</w:t>
      </w:r>
      <w:r w:rsidRPr="00B4234D" w:rsidR="002D02B7">
        <w:rPr>
          <w:bCs/>
        </w:rPr>
        <w:t>6658</w:t>
      </w:r>
      <w:r w:rsidRPr="00B4234D" w:rsidR="004078BB">
        <w:rPr>
          <w:bCs/>
        </w:rPr>
        <w:t>C</w:t>
      </w:r>
      <w:r w:rsidRPr="00DE1FE9" w:rsidR="004078BB">
        <w:rPr>
          <w:bCs/>
        </w:rPr>
        <w:t xml:space="preserve"> and should</w:t>
      </w:r>
      <w:r w:rsidRPr="00DE1FE9" w:rsidR="004078BB">
        <w:t xml:space="preserve"> </w:t>
      </w:r>
      <w:r w:rsidRPr="004078BB" w:rsidR="004078BB">
        <w:t>be responsible for using this as its corporate identification number in the caption of all original filings with this Commission, in the titles of other pleadings filed in existing cases, and informal submissions to the Commission.</w:t>
      </w:r>
    </w:p>
    <w:p w:rsidRPr="004078BB" w:rsidR="00DE1FE9" w:rsidP="00DE1FE9" w:rsidRDefault="00DE1FE9" w14:paraId="47A19864" w14:textId="2941FBE4">
      <w:pPr>
        <w:pStyle w:val="CoL"/>
        <w:ind w:firstLine="540"/>
      </w:pPr>
      <w:proofErr w:type="gramStart"/>
      <w:r>
        <w:rPr>
          <w:rFonts w:eastAsia="Times New Roman" w:cs="Times New Roman"/>
          <w:szCs w:val="20"/>
        </w:rPr>
        <w:t>Applicant</w:t>
      </w:r>
      <w:proofErr w:type="gramEnd"/>
      <w:r>
        <w:rPr>
          <w:rFonts w:eastAsia="Times New Roman" w:cs="Times New Roman"/>
          <w:szCs w:val="20"/>
        </w:rPr>
        <w:t xml:space="preserve"> should be granted a </w:t>
      </w:r>
      <w:r>
        <w:rPr>
          <w:color w:val="000000" w:themeColor="text1"/>
        </w:rPr>
        <w:t>DVF utility type</w:t>
      </w:r>
      <w:r>
        <w:rPr>
          <w:rFonts w:eastAsia="Times New Roman" w:cs="Times New Roman"/>
          <w:szCs w:val="20"/>
        </w:rPr>
        <w:t>.</w:t>
      </w:r>
    </w:p>
    <w:p w:rsidRPr="002E0757" w:rsidR="004078BB" w:rsidP="004078BB" w:rsidRDefault="00EF60AB" w14:paraId="6533EA33" w14:textId="3BCA757F">
      <w:pPr>
        <w:pStyle w:val="CoL"/>
        <w:ind w:firstLine="540"/>
        <w:rPr>
          <w:bCs/>
          <w:color w:val="000000" w:themeColor="text1"/>
        </w:rPr>
      </w:pPr>
      <w:r>
        <w:rPr>
          <w:rFonts w:eastAsia="Times New Roman" w:cs="Times New Roman"/>
          <w:szCs w:val="20"/>
        </w:rPr>
        <w:t>Applicant</w:t>
      </w:r>
      <w:r w:rsidRPr="002E0757" w:rsidR="004078BB">
        <w:rPr>
          <w:bCs/>
          <w:color w:val="000000" w:themeColor="text1"/>
        </w:rPr>
        <w:t xml:space="preserve"> should file in this </w:t>
      </w:r>
      <w:proofErr w:type="gramStart"/>
      <w:r w:rsidRPr="002E0757" w:rsidR="004078BB">
        <w:rPr>
          <w:bCs/>
          <w:color w:val="000000" w:themeColor="text1"/>
        </w:rPr>
        <w:t>docket</w:t>
      </w:r>
      <w:proofErr w:type="gramEnd"/>
      <w:r w:rsidRPr="002E0757" w:rsidR="004078BB">
        <w:rPr>
          <w:bCs/>
          <w:color w:val="000000" w:themeColor="text1"/>
        </w:rPr>
        <w:t xml:space="preserve"> a written acceptance of the certificate granted in this proceeding within 30 days of the effective date of this decision. The written acceptance filed in this docket does not reopen the proceeding.</w:t>
      </w:r>
    </w:p>
    <w:p w:rsidRPr="002E0757" w:rsidR="004078BB" w:rsidP="004078BB" w:rsidRDefault="00EF60AB" w14:paraId="13ACA323" w14:textId="610A5C9B">
      <w:pPr>
        <w:pStyle w:val="CoL"/>
        <w:ind w:firstLine="540"/>
        <w:rPr>
          <w:bCs/>
          <w:iCs/>
          <w:color w:val="000000" w:themeColor="text1"/>
        </w:rPr>
      </w:pPr>
      <w:r>
        <w:rPr>
          <w:rFonts w:eastAsia="Times New Roman" w:cs="Times New Roman"/>
          <w:szCs w:val="20"/>
        </w:rPr>
        <w:t>Applicant</w:t>
      </w:r>
      <w:r w:rsidRPr="002E0757" w:rsidR="004078BB">
        <w:rPr>
          <w:bCs/>
          <w:color w:val="000000" w:themeColor="text1"/>
        </w:rPr>
        <w:t xml:space="preserve"> should provide the name, address, email address, and telephone number of its designated primary regulatory/official contact person to the Commission’s Communications Division within five days of written acceptance of its certificate.</w:t>
      </w:r>
    </w:p>
    <w:p w:rsidRPr="002E0757" w:rsidR="004078BB" w:rsidP="004078BB" w:rsidRDefault="00EF60AB" w14:paraId="60FB2BD0" w14:textId="658F8D7C">
      <w:pPr>
        <w:pStyle w:val="CoL"/>
        <w:ind w:firstLine="540"/>
        <w:rPr>
          <w:bCs/>
          <w:iCs/>
          <w:color w:val="000000" w:themeColor="text1"/>
        </w:rPr>
      </w:pPr>
      <w:r>
        <w:rPr>
          <w:rFonts w:eastAsia="Times New Roman" w:cs="Times New Roman"/>
          <w:szCs w:val="20"/>
        </w:rPr>
        <w:t>Applicant</w:t>
      </w:r>
      <w:r w:rsidRPr="002E0757" w:rsidR="004078BB">
        <w:rPr>
          <w:bCs/>
          <w:color w:val="000000" w:themeColor="text1"/>
        </w:rPr>
        <w:t xml:space="preserve"> should provide the name, address, email address, and telephone number of its designated contact person for purposes of resolving consumer complaints to the Commission’s Consumer Affairs Branch within five days of written acceptance of its certificate.</w:t>
      </w:r>
    </w:p>
    <w:p w:rsidRPr="004078BB" w:rsidR="004078BB" w:rsidP="004078BB" w:rsidRDefault="00EF60AB" w14:paraId="2CA08B85" w14:textId="5F8E358F">
      <w:pPr>
        <w:pStyle w:val="CoL"/>
        <w:ind w:firstLine="540"/>
      </w:pPr>
      <w:r>
        <w:rPr>
          <w:rFonts w:eastAsia="Times New Roman" w:cs="Times New Roman"/>
          <w:szCs w:val="20"/>
        </w:rPr>
        <w:t>Applicant</w:t>
      </w:r>
      <w:r w:rsidRPr="002E0757" w:rsidR="004078BB">
        <w:rPr>
          <w:bCs/>
          <w:color w:val="000000" w:themeColor="text1"/>
        </w:rPr>
        <w:t xml:space="preserve"> should submit its compliance with</w:t>
      </w:r>
      <w:r w:rsidRPr="002E0757" w:rsidR="004078BB">
        <w:rPr>
          <w:color w:val="000000" w:themeColor="text1"/>
        </w:rPr>
        <w:t xml:space="preserve"> </w:t>
      </w:r>
      <w:r w:rsidRPr="004078BB" w:rsidR="004078BB">
        <w:t xml:space="preserve">Pub. Util. Code Section 708, Employee Identification Cards, to the Commission’s Director of the Communications Division, in writing, by email to </w:t>
      </w:r>
      <w:hyperlink w:history="1" r:id="rId21">
        <w:r w:rsidRPr="004078BB" w:rsidR="004078BB">
          <w:rPr>
            <w:rStyle w:val="Hyperlink"/>
          </w:rPr>
          <w:t>cdcompliance@cpuc.ca.gov</w:t>
        </w:r>
      </w:hyperlink>
      <w:r w:rsidRPr="004078BB" w:rsidR="004078BB">
        <w:t xml:space="preserve">, </w:t>
      </w:r>
      <w:r w:rsidRPr="004078BB" w:rsidR="004078BB">
        <w:rPr>
          <w:iCs/>
        </w:rPr>
        <w:t>within</w:t>
      </w:r>
      <w:r w:rsidRPr="004078BB" w:rsidR="004078BB">
        <w:t xml:space="preserve"> 60 days of the effective date of this decision.</w:t>
      </w:r>
    </w:p>
    <w:p w:rsidRPr="004078BB" w:rsidR="004078BB" w:rsidP="004078BB" w:rsidRDefault="00EF60AB" w14:paraId="1991189F" w14:textId="2C935300">
      <w:pPr>
        <w:pStyle w:val="CoL"/>
        <w:ind w:firstLine="540"/>
      </w:pPr>
      <w:r>
        <w:rPr>
          <w:rFonts w:eastAsia="Times New Roman" w:cs="Times New Roman"/>
          <w:szCs w:val="20"/>
        </w:rPr>
        <w:t>Applicant</w:t>
      </w:r>
      <w:r w:rsidRPr="002E0757" w:rsidDel="001C703C" w:rsidR="001C703C">
        <w:rPr>
          <w:bCs/>
          <w:i/>
          <w:color w:val="000000" w:themeColor="text1"/>
        </w:rPr>
        <w:t xml:space="preserve"> </w:t>
      </w:r>
      <w:r w:rsidRPr="002E0757" w:rsidR="004078BB">
        <w:rPr>
          <w:bCs/>
          <w:color w:val="000000" w:themeColor="text1"/>
        </w:rPr>
        <w:t>s</w:t>
      </w:r>
      <w:r w:rsidRPr="004078BB" w:rsidR="004078BB">
        <w:t xml:space="preserve">hould be subject to all the current requirements applicable to </w:t>
      </w:r>
      <w:r w:rsidRPr="002E0757" w:rsidR="004078BB">
        <w:rPr>
          <w:bCs/>
          <w:color w:val="000000" w:themeColor="text1"/>
        </w:rPr>
        <w:t xml:space="preserve">fixed interconnected </w:t>
      </w:r>
      <w:r w:rsidR="001D6C01">
        <w:rPr>
          <w:bCs/>
          <w:color w:val="000000" w:themeColor="text1"/>
        </w:rPr>
        <w:t>VoIP providers</w:t>
      </w:r>
      <w:r w:rsidRPr="002E0757" w:rsidR="004078BB">
        <w:rPr>
          <w:color w:val="000000" w:themeColor="text1"/>
        </w:rPr>
        <w:t xml:space="preserve"> included in Attachments B, C, an</w:t>
      </w:r>
      <w:r w:rsidRPr="004078BB" w:rsidR="004078BB">
        <w:t xml:space="preserve">d D to this decision (including annual affiliate transaction reports, ongoing performance </w:t>
      </w:r>
      <w:r w:rsidRPr="004078BB" w:rsidR="004078BB">
        <w:lastRenderedPageBreak/>
        <w:t>bond requirements, and payment of surcharges and user fees); all Consumer Protection Rules contained in GO 168; and all applicable Commission rules, decisions, GOs, and statutes that pertain to California public utilities on an ongoing basis.</w:t>
      </w:r>
    </w:p>
    <w:p w:rsidR="004078BB" w:rsidP="004078BB" w:rsidRDefault="001E5818" w14:paraId="6E6A3917" w14:textId="647BCD70">
      <w:pPr>
        <w:pStyle w:val="CoL"/>
        <w:ind w:firstLine="540"/>
      </w:pPr>
      <w:proofErr w:type="gramStart"/>
      <w:r>
        <w:rPr>
          <w:bCs/>
          <w:color w:val="000000" w:themeColor="text1"/>
        </w:rPr>
        <w:t>Applicant’s</w:t>
      </w:r>
      <w:proofErr w:type="gramEnd"/>
      <w:r>
        <w:rPr>
          <w:bCs/>
          <w:color w:val="000000" w:themeColor="text1"/>
        </w:rPr>
        <w:t xml:space="preserve"> financial documents in Appendix I of the Application </w:t>
      </w:r>
      <w:r w:rsidRPr="004078BB" w:rsidR="004078BB">
        <w:t>should be kept under seal for a period of three years from the issuance date of this decision pursuant to D.24-11-003.</w:t>
      </w:r>
    </w:p>
    <w:p w:rsidRPr="004078BB" w:rsidR="004078BB" w:rsidP="004078BB" w:rsidRDefault="004078BB" w14:paraId="7C1D236F" w14:textId="4CAB730D">
      <w:pPr>
        <w:pStyle w:val="CoL"/>
        <w:ind w:firstLine="540"/>
        <w:rPr>
          <w:iCs/>
        </w:rPr>
      </w:pPr>
      <w:r w:rsidRPr="004078BB">
        <w:rPr>
          <w:iCs/>
        </w:rPr>
        <w:t>All rulings by the assigned Commissioner and the assigned ALJ should be affirmed.</w:t>
      </w:r>
    </w:p>
    <w:p w:rsidRPr="004078BB" w:rsidR="004078BB" w:rsidP="004078BB" w:rsidRDefault="004078BB" w14:paraId="04E551BD" w14:textId="77777777">
      <w:pPr>
        <w:pStyle w:val="CoL"/>
        <w:ind w:firstLine="540"/>
        <w:rPr>
          <w:iCs/>
        </w:rPr>
      </w:pPr>
      <w:r w:rsidRPr="004078BB">
        <w:rPr>
          <w:iCs/>
        </w:rPr>
        <w:t xml:space="preserve">All pending motions should </w:t>
      </w:r>
      <w:proofErr w:type="gramStart"/>
      <w:r w:rsidRPr="004078BB">
        <w:rPr>
          <w:iCs/>
        </w:rPr>
        <w:t>be deemed</w:t>
      </w:r>
      <w:proofErr w:type="gramEnd"/>
      <w:r w:rsidRPr="004078BB">
        <w:rPr>
          <w:iCs/>
        </w:rPr>
        <w:t xml:space="preserve"> denied.</w:t>
      </w:r>
    </w:p>
    <w:bookmarkEnd w:id="115"/>
    <w:p w:rsidRPr="004078BB" w:rsidR="004078BB" w:rsidP="004078BB" w:rsidRDefault="004078BB" w14:paraId="6C7D6F3D" w14:textId="3B0F8872">
      <w:pPr>
        <w:pStyle w:val="CoL"/>
        <w:ind w:firstLine="540"/>
      </w:pPr>
      <w:r w:rsidRPr="00DE0551">
        <w:t>This proceeding should be closed</w:t>
      </w:r>
      <w:r w:rsidR="002921BA">
        <w:t>.</w:t>
      </w:r>
    </w:p>
    <w:p w:rsidRPr="004078BB" w:rsidR="008F143D" w:rsidP="00710EBA" w:rsidRDefault="008F143D" w14:paraId="23215E1D" w14:textId="77777777">
      <w:pPr>
        <w:pStyle w:val="CoL"/>
        <w:numPr>
          <w:ilvl w:val="0"/>
          <w:numId w:val="0"/>
        </w:numPr>
        <w:ind w:firstLine="547"/>
      </w:pPr>
    </w:p>
    <w:p w:rsidR="00BB0243" w:rsidP="000A6E05" w:rsidRDefault="005939A5" w14:paraId="52244830" w14:textId="77777777">
      <w:pPr>
        <w:pStyle w:val="Mainex"/>
      </w:pPr>
      <w:bookmarkStart w:name="_Toc232146054" w:id="116"/>
      <w:r>
        <w:t>O</w:t>
      </w:r>
      <w:r w:rsidR="00722850">
        <w:t>RDER</w:t>
      </w:r>
      <w:bookmarkEnd w:id="116"/>
    </w:p>
    <w:p w:rsidRPr="006A3D74" w:rsidR="004078BB" w:rsidP="00710EBA" w:rsidRDefault="00BB0243" w14:paraId="54F2487B" w14:textId="77777777">
      <w:pPr>
        <w:keepNext/>
      </w:pPr>
      <w:r w:rsidRPr="00BB0243">
        <w:rPr>
          <w:b/>
        </w:rPr>
        <w:t>IT IS ORDERED</w:t>
      </w:r>
      <w:r>
        <w:t xml:space="preserve"> that:</w:t>
      </w:r>
      <w:bookmarkStart w:name="_Hlk183525931" w:id="117"/>
    </w:p>
    <w:bookmarkEnd w:id="117"/>
    <w:p w:rsidRPr="005B749B" w:rsidR="00410529" w:rsidP="00333883" w:rsidRDefault="00410529" w14:paraId="6DD377DD" w14:textId="179013BC">
      <w:pPr>
        <w:pStyle w:val="OP"/>
        <w:rPr>
          <w:color w:val="000000" w:themeColor="text1"/>
        </w:rPr>
      </w:pPr>
      <w:r w:rsidRPr="00EB362F">
        <w:t xml:space="preserve">A </w:t>
      </w:r>
      <w:r>
        <w:t>C</w:t>
      </w:r>
      <w:r w:rsidRPr="00EB362F">
        <w:t xml:space="preserve">ertificate of </w:t>
      </w:r>
      <w:r>
        <w:t>P</w:t>
      </w:r>
      <w:r w:rsidRPr="00EB362F">
        <w:t xml:space="preserve">ublic </w:t>
      </w:r>
      <w:r>
        <w:t>C</w:t>
      </w:r>
      <w:r w:rsidRPr="00EB362F">
        <w:t xml:space="preserve">onvenience and </w:t>
      </w:r>
      <w:r>
        <w:t>N</w:t>
      </w:r>
      <w:r w:rsidRPr="00EB362F">
        <w:t xml:space="preserve">ecessity is granted to </w:t>
      </w:r>
      <w:r w:rsidR="00F734F1">
        <w:t xml:space="preserve">Enhanced Communications Network, Inc. </w:t>
      </w:r>
      <w:r w:rsidR="00265D7E">
        <w:t>d</w:t>
      </w:r>
      <w:r w:rsidR="00D17750">
        <w:t>/</w:t>
      </w:r>
      <w:r w:rsidR="00265D7E">
        <w:t>b</w:t>
      </w:r>
      <w:r w:rsidR="00D17750">
        <w:t>/</w:t>
      </w:r>
      <w:r w:rsidR="00265D7E">
        <w:t>a A</w:t>
      </w:r>
      <w:r w:rsidR="00D17750">
        <w:t>sian American Association Telecom Services</w:t>
      </w:r>
      <w:r w:rsidR="00D1661A">
        <w:t xml:space="preserve"> </w:t>
      </w:r>
      <w:r w:rsidRPr="005B749B">
        <w:rPr>
          <w:rFonts w:eastAsia="Times New Roman" w:cs="Times New Roman"/>
          <w:szCs w:val="20"/>
        </w:rPr>
        <w:t xml:space="preserve">to provide </w:t>
      </w:r>
      <w:r w:rsidRPr="005B749B">
        <w:rPr>
          <w:rFonts w:eastAsia="Times New Roman" w:cs="Times New Roman"/>
          <w:color w:val="000000" w:themeColor="text1"/>
          <w:szCs w:val="20"/>
        </w:rPr>
        <w:t>non-facilities</w:t>
      </w:r>
      <w:r w:rsidRPr="005B749B" w:rsidR="001D6C01">
        <w:rPr>
          <w:rFonts w:eastAsia="Times New Roman" w:cs="Times New Roman"/>
          <w:color w:val="000000" w:themeColor="text1"/>
          <w:szCs w:val="20"/>
        </w:rPr>
        <w:t>-</w:t>
      </w:r>
      <w:r w:rsidRPr="005B749B">
        <w:rPr>
          <w:rFonts w:eastAsia="Times New Roman" w:cs="Times New Roman"/>
          <w:color w:val="000000" w:themeColor="text1"/>
          <w:szCs w:val="20"/>
        </w:rPr>
        <w:t>based</w:t>
      </w:r>
      <w:r w:rsidRPr="005B749B">
        <w:rPr>
          <w:rFonts w:eastAsia="Times New Roman" w:cs="Times New Roman"/>
          <w:b/>
          <w:bCs/>
          <w:color w:val="000000" w:themeColor="text1"/>
          <w:szCs w:val="20"/>
        </w:rPr>
        <w:t xml:space="preserve"> </w:t>
      </w:r>
      <w:r w:rsidRPr="005B749B">
        <w:rPr>
          <w:rFonts w:eastAsia="Times New Roman" w:cs="Times New Roman"/>
          <w:color w:val="000000" w:themeColor="text1"/>
          <w:szCs w:val="20"/>
        </w:rPr>
        <w:t>fixed</w:t>
      </w:r>
      <w:r w:rsidRPr="005B749B">
        <w:rPr>
          <w:rFonts w:eastAsia="Times New Roman" w:cs="Times New Roman"/>
          <w:b/>
          <w:bCs/>
          <w:color w:val="000000" w:themeColor="text1"/>
          <w:szCs w:val="20"/>
        </w:rPr>
        <w:t xml:space="preserve"> </w:t>
      </w:r>
      <w:r w:rsidRPr="005B749B">
        <w:rPr>
          <w:rFonts w:eastAsia="Times New Roman" w:cs="Times New Roman"/>
          <w:color w:val="000000" w:themeColor="text1"/>
          <w:szCs w:val="20"/>
        </w:rPr>
        <w:t>interconnected Vo</w:t>
      </w:r>
      <w:r w:rsidRPr="005B749B" w:rsidR="00B425A5">
        <w:rPr>
          <w:rFonts w:eastAsia="Times New Roman" w:cs="Times New Roman"/>
          <w:color w:val="000000" w:themeColor="text1"/>
          <w:szCs w:val="20"/>
        </w:rPr>
        <w:t>i</w:t>
      </w:r>
      <w:r w:rsidRPr="005B749B">
        <w:rPr>
          <w:rFonts w:eastAsia="Times New Roman" w:cs="Times New Roman"/>
          <w:color w:val="000000" w:themeColor="text1"/>
          <w:szCs w:val="20"/>
        </w:rPr>
        <w:t xml:space="preserve">ce over Internet Protocol services </w:t>
      </w:r>
      <w:r w:rsidRPr="005B749B" w:rsidR="00CC36C4">
        <w:rPr>
          <w:rFonts w:eastAsia="Times New Roman" w:cs="Times New Roman"/>
          <w:color w:val="000000" w:themeColor="text1"/>
          <w:szCs w:val="20"/>
        </w:rPr>
        <w:t xml:space="preserve">within the service territories of uniform regulatory framework incumbent local exchange carriers which services include voice calling via internet protocol over broadband connections, E-911 capability, and number portability, </w:t>
      </w:r>
      <w:r w:rsidRPr="005B749B">
        <w:rPr>
          <w:rFonts w:eastAsia="Times New Roman" w:cs="Times New Roman"/>
          <w:color w:val="000000" w:themeColor="text1"/>
          <w:szCs w:val="20"/>
        </w:rPr>
        <w:t>subject to the terms and conditions set forth in this decision</w:t>
      </w:r>
      <w:r w:rsidRPr="005B749B">
        <w:rPr>
          <w:color w:val="000000" w:themeColor="text1"/>
        </w:rPr>
        <w:t>.</w:t>
      </w:r>
    </w:p>
    <w:p w:rsidR="00FD275C" w:rsidP="00710EBA" w:rsidRDefault="00FD275C" w14:paraId="2A15CBB5" w14:textId="08A1AD5D">
      <w:pPr>
        <w:pStyle w:val="OP"/>
      </w:pPr>
      <w:r>
        <w:t xml:space="preserve">A </w:t>
      </w:r>
      <w:r>
        <w:rPr>
          <w:color w:val="000000" w:themeColor="text1"/>
        </w:rPr>
        <w:t>Digital Voice Fixed utility designation is granted to</w:t>
      </w:r>
      <w:r>
        <w:t xml:space="preserve"> Enhanced Communications Network, Inc. d/b/a Asian American Association Telecom Services</w:t>
      </w:r>
      <w:r>
        <w:rPr>
          <w:color w:val="000000" w:themeColor="text1"/>
        </w:rPr>
        <w:t xml:space="preserve"> to operate as a fixed interconnected Voice Over Internet Protocol provider</w:t>
      </w:r>
      <w:r>
        <w:t>.</w:t>
      </w:r>
    </w:p>
    <w:p w:rsidRPr="00E453C6" w:rsidR="00410529" w:rsidP="00710EBA" w:rsidRDefault="00CC3019" w14:paraId="08FCE5B6" w14:textId="797C2148">
      <w:pPr>
        <w:pStyle w:val="OP"/>
      </w:pPr>
      <w:r>
        <w:lastRenderedPageBreak/>
        <w:t>Enhanced Communications Network, Inc. d/b/a Asian American Association Telecom Services</w:t>
      </w:r>
      <w:r w:rsidRPr="00410529" w:rsidR="00410529">
        <w:rPr>
          <w:rFonts w:eastAsia="Times New Roman" w:cs="Times New Roman"/>
          <w:szCs w:val="20"/>
        </w:rPr>
        <w:t xml:space="preserve"> must demonstrate that it maintained at least </w:t>
      </w:r>
      <w:r w:rsidRPr="002E0757" w:rsidR="00410529">
        <w:rPr>
          <w:rFonts w:eastAsia="Times New Roman" w:cs="Times New Roman"/>
          <w:color w:val="000000" w:themeColor="text1"/>
          <w:szCs w:val="20"/>
        </w:rPr>
        <w:t>$25,000</w:t>
      </w:r>
      <w:r w:rsidRPr="002E0757">
        <w:rPr>
          <w:rFonts w:eastAsia="Times New Roman" w:cs="Times New Roman"/>
          <w:b/>
          <w:bCs/>
          <w:color w:val="000000" w:themeColor="text1"/>
          <w:szCs w:val="20"/>
        </w:rPr>
        <w:t xml:space="preserve"> </w:t>
      </w:r>
      <w:r w:rsidRPr="00410529" w:rsidR="00410529">
        <w:rPr>
          <w:rFonts w:eastAsia="Times New Roman" w:cs="Times New Roman"/>
          <w:szCs w:val="20"/>
        </w:rPr>
        <w:t xml:space="preserve">that was reasonably liquid and available for its first year of operations by providing the California Public Utilities Commission’s Communications Division with a confidential copy of its updated financial documentation at both six and 12 months from the issuance date of this decision by providing updated bank statements within eight and 14 months, respectively, as an information-only submittal by email to </w:t>
      </w:r>
      <w:hyperlink r:id="rId22">
        <w:r w:rsidRPr="00410529" w:rsidR="00410529">
          <w:rPr>
            <w:rFonts w:eastAsia="Times New Roman" w:cs="Times New Roman"/>
            <w:color w:val="0000FF"/>
            <w:szCs w:val="20"/>
            <w:u w:val="single"/>
          </w:rPr>
          <w:t>cdcompliance@cpuc.ca.gov</w:t>
        </w:r>
      </w:hyperlink>
      <w:r w:rsidRPr="4372617A" w:rsidR="00410529">
        <w:t>.</w:t>
      </w:r>
    </w:p>
    <w:p w:rsidRPr="00516A6D" w:rsidR="00516A6D" w:rsidP="00710EBA" w:rsidRDefault="00CC3019" w14:paraId="1FF643DA" w14:textId="77777777">
      <w:pPr>
        <w:pStyle w:val="OP"/>
      </w:pPr>
      <w:r>
        <w:t>Enhanced Communications Network, Inc. d/b/a Asian American Association Telecom Services (</w:t>
      </w:r>
      <w:r w:rsidR="00EF60AB">
        <w:t>Applicant</w:t>
      </w:r>
      <w:r>
        <w:t>)</w:t>
      </w:r>
      <w:r w:rsidRPr="00410529" w:rsidDel="00CC3019">
        <w:rPr>
          <w:rFonts w:eastAsia="Times New Roman" w:cs="Times New Roman"/>
          <w:i/>
          <w:color w:val="0000FF"/>
          <w:szCs w:val="20"/>
        </w:rPr>
        <w:t xml:space="preserve"> </w:t>
      </w:r>
      <w:r w:rsidR="00516A6D">
        <w:rPr>
          <w:rFonts w:eastAsia="Times New Roman" w:cs="Times New Roman"/>
          <w:szCs w:val="20"/>
        </w:rPr>
        <w:t>shall continue to observe existing tariffing requirements</w:t>
      </w:r>
      <w:r w:rsidRPr="00410529" w:rsidR="00410529">
        <w:rPr>
          <w:rFonts w:eastAsia="Times New Roman" w:cs="Times New Roman"/>
          <w:szCs w:val="20"/>
        </w:rPr>
        <w:t>.</w:t>
      </w:r>
    </w:p>
    <w:p w:rsidRPr="00CF36D9" w:rsidR="00410529" w:rsidP="00710EBA" w:rsidRDefault="00516A6D" w14:paraId="05E0FF2A" w14:textId="7036CB16">
      <w:pPr>
        <w:pStyle w:val="OP"/>
      </w:pPr>
      <w:proofErr w:type="gramStart"/>
      <w:r>
        <w:rPr>
          <w:rFonts w:eastAsia="Times New Roman" w:cs="Times New Roman"/>
          <w:szCs w:val="20"/>
        </w:rPr>
        <w:t>Applicant</w:t>
      </w:r>
      <w:proofErr w:type="gramEnd"/>
      <w:r>
        <w:rPr>
          <w:rFonts w:eastAsia="Times New Roman" w:cs="Times New Roman"/>
          <w:szCs w:val="20"/>
        </w:rPr>
        <w:t xml:space="preserve"> shall observe consumer protection rules adopted in D</w:t>
      </w:r>
      <w:r w:rsidR="002921BA">
        <w:rPr>
          <w:rFonts w:eastAsia="Times New Roman" w:cs="Times New Roman"/>
          <w:szCs w:val="20"/>
        </w:rPr>
        <w:t>ecision (D</w:t>
      </w:r>
      <w:r>
        <w:rPr>
          <w:rFonts w:eastAsia="Times New Roman" w:cs="Times New Roman"/>
          <w:szCs w:val="20"/>
        </w:rPr>
        <w:t>.</w:t>
      </w:r>
      <w:r w:rsidR="002921BA">
        <w:rPr>
          <w:rFonts w:eastAsia="Times New Roman" w:cs="Times New Roman"/>
          <w:szCs w:val="20"/>
        </w:rPr>
        <w:t xml:space="preserve">) </w:t>
      </w:r>
      <w:r>
        <w:rPr>
          <w:rFonts w:eastAsia="Times New Roman" w:cs="Times New Roman"/>
          <w:szCs w:val="20"/>
        </w:rPr>
        <w:t>98-08-031 and D.24-11-003</w:t>
      </w:r>
      <w:r w:rsidR="00410529">
        <w:t>.</w:t>
      </w:r>
    </w:p>
    <w:p w:rsidRPr="004624AD" w:rsidR="00410529" w:rsidP="00710EBA" w:rsidRDefault="00410529" w14:paraId="3AFF79E1" w14:textId="20345931">
      <w:pPr>
        <w:pStyle w:val="OP"/>
      </w:pPr>
      <w:r w:rsidRPr="00410529">
        <w:rPr>
          <w:rFonts w:eastAsia="Times New Roman" w:cs="Times New Roman"/>
          <w:szCs w:val="20"/>
        </w:rPr>
        <w:t xml:space="preserve">The certificate granted, and the authority for </w:t>
      </w:r>
      <w:r w:rsidR="00DF6936">
        <w:t>Enhanced Communications Network, Inc. d/b/a Asian American Association Telecom Services (</w:t>
      </w:r>
      <w:r w:rsidR="00EF60AB">
        <w:rPr>
          <w:rFonts w:eastAsia="Times New Roman" w:cs="Times New Roman"/>
          <w:szCs w:val="20"/>
        </w:rPr>
        <w:t>Applicant</w:t>
      </w:r>
      <w:r w:rsidR="00DF6936">
        <w:t>)</w:t>
      </w:r>
      <w:r w:rsidRPr="00410529">
        <w:rPr>
          <w:rFonts w:eastAsia="Times New Roman" w:cs="Times New Roman"/>
          <w:b/>
          <w:color w:val="0000FF"/>
          <w:szCs w:val="20"/>
        </w:rPr>
        <w:t xml:space="preserve"> </w:t>
      </w:r>
      <w:r w:rsidRPr="00410529">
        <w:rPr>
          <w:rFonts w:eastAsia="Times New Roman" w:cs="Times New Roman"/>
          <w:szCs w:val="20"/>
        </w:rPr>
        <w:t xml:space="preserve">to render service to customers under the rates, charges, and rules authorized, will expire if not exercised, by offering or actively providing service on a wholesale and/or resale basis, after 12 months from the effective date of this decision.  </w:t>
      </w:r>
      <w:proofErr w:type="gramStart"/>
      <w:r w:rsidR="00EF60AB">
        <w:rPr>
          <w:rFonts w:eastAsia="Times New Roman" w:cs="Times New Roman"/>
          <w:szCs w:val="20"/>
        </w:rPr>
        <w:t>Applicant</w:t>
      </w:r>
      <w:r w:rsidRPr="00410529">
        <w:rPr>
          <w:rFonts w:eastAsia="Times New Roman" w:cs="Times New Roman"/>
          <w:szCs w:val="20"/>
        </w:rPr>
        <w:t xml:space="preserve"> is</w:t>
      </w:r>
      <w:proofErr w:type="gramEnd"/>
      <w:r w:rsidRPr="00410529">
        <w:rPr>
          <w:rFonts w:eastAsia="Times New Roman" w:cs="Times New Roman"/>
          <w:szCs w:val="20"/>
        </w:rPr>
        <w:t xml:space="preserve"> responsible for seeking approval for an extension of time to comply with this decision pursuant to Rules of Practice and Procedure Rule 16.6</w:t>
      </w:r>
      <w:r w:rsidRPr="004624AD">
        <w:t xml:space="preserve">. </w:t>
      </w:r>
    </w:p>
    <w:p w:rsidRPr="00EB362F" w:rsidR="00410529" w:rsidP="0075353C" w:rsidRDefault="00410529" w14:paraId="75F3799D" w14:textId="5512A572">
      <w:pPr>
        <w:pStyle w:val="OP"/>
      </w:pPr>
      <w:r w:rsidRPr="00AF4C33">
        <w:rPr>
          <w:rFonts w:eastAsia="Times New Roman" w:cs="Times New Roman"/>
          <w:szCs w:val="20"/>
        </w:rPr>
        <w:t xml:space="preserve">The </w:t>
      </w:r>
      <w:r w:rsidR="00DF6936">
        <w:t>Enhanced Communications Network, Inc. d/b/a Asian American Association Telecom Services</w:t>
      </w:r>
      <w:r w:rsidRPr="00AF4C33">
        <w:rPr>
          <w:rFonts w:eastAsia="Times New Roman" w:cs="Times New Roman"/>
          <w:szCs w:val="20"/>
        </w:rPr>
        <w:t xml:space="preserve"> </w:t>
      </w:r>
      <w:r w:rsidRPr="00AF4C33" w:rsidR="00AF4C33">
        <w:rPr>
          <w:rFonts w:eastAsia="Times New Roman" w:cs="Times New Roman"/>
          <w:szCs w:val="20"/>
        </w:rPr>
        <w:t>will continue to operate under its assigned utility identification number</w:t>
      </w:r>
      <w:r w:rsidRPr="00AF4C33">
        <w:rPr>
          <w:rFonts w:eastAsia="Times New Roman" w:cs="Times New Roman"/>
          <w:szCs w:val="20"/>
        </w:rPr>
        <w:t xml:space="preserve"> </w:t>
      </w:r>
      <w:r w:rsidRPr="00B4234D">
        <w:rPr>
          <w:rFonts w:eastAsia="Times New Roman" w:cs="Times New Roman"/>
          <w:bCs/>
          <w:szCs w:val="20"/>
        </w:rPr>
        <w:t>U</w:t>
      </w:r>
      <w:r w:rsidRPr="00B4234D" w:rsidR="00AF4C33">
        <w:rPr>
          <w:rFonts w:eastAsia="Times New Roman" w:cs="Times New Roman"/>
          <w:bCs/>
          <w:szCs w:val="20"/>
        </w:rPr>
        <w:t>-6658-</w:t>
      </w:r>
      <w:r w:rsidRPr="00B4234D">
        <w:rPr>
          <w:rFonts w:eastAsia="Times New Roman" w:cs="Times New Roman"/>
          <w:bCs/>
          <w:szCs w:val="20"/>
        </w:rPr>
        <w:t>C</w:t>
      </w:r>
      <w:r w:rsidRPr="00DE1FE9">
        <w:rPr>
          <w:rFonts w:eastAsia="Times New Roman" w:cs="Times New Roman"/>
          <w:szCs w:val="20"/>
        </w:rPr>
        <w:t xml:space="preserve"> </w:t>
      </w:r>
      <w:r w:rsidRPr="00AF4C33">
        <w:rPr>
          <w:rFonts w:eastAsia="Times New Roman" w:cs="Times New Roman"/>
          <w:szCs w:val="20"/>
        </w:rPr>
        <w:t xml:space="preserve">and is responsible for using this as its corporate identification number in the caption of all original filings with the California </w:t>
      </w:r>
      <w:r w:rsidRPr="00AF4C33">
        <w:rPr>
          <w:rFonts w:eastAsia="Times New Roman" w:cs="Times New Roman"/>
          <w:szCs w:val="20"/>
        </w:rPr>
        <w:lastRenderedPageBreak/>
        <w:t xml:space="preserve">Public Utilities Commission (Commission), in the titles of other pleadings filed in existing cases, and informal submissions to the Commission. </w:t>
      </w:r>
    </w:p>
    <w:p w:rsidRPr="00EB362F" w:rsidR="00410529" w:rsidP="00710EBA" w:rsidRDefault="00DF6936" w14:paraId="188D63D0" w14:textId="15E56C29">
      <w:pPr>
        <w:pStyle w:val="OP"/>
      </w:pPr>
      <w:r>
        <w:t>Enhanced Communications Network, Inc. d/b/a Asian American Association Telecom Services</w:t>
      </w:r>
      <w:r w:rsidR="00EF60AB">
        <w:t xml:space="preserve"> </w:t>
      </w:r>
      <w:r w:rsidRPr="00410529" w:rsidR="00410529">
        <w:rPr>
          <w:rFonts w:eastAsia="Times New Roman" w:cs="Times New Roman"/>
          <w:szCs w:val="20"/>
        </w:rPr>
        <w:t>must file in this docket a written acceptance of the certificate granted in this proceeding within 30 days of the effective date of this decision.  The written acceptance filed in this docket does not reopen the proceeding</w:t>
      </w:r>
      <w:r w:rsidRPr="00EB362F" w:rsidR="00410529">
        <w:t>.</w:t>
      </w:r>
    </w:p>
    <w:p w:rsidRPr="005527B3" w:rsidR="00410529" w:rsidP="00710EBA" w:rsidRDefault="00DF6936" w14:paraId="033AEC12" w14:textId="40B0B6E3">
      <w:pPr>
        <w:pStyle w:val="OP"/>
      </w:pPr>
      <w:r>
        <w:t>Enhanced Communications Network, Inc. d/b/a Asian American Association Telecom Services</w:t>
      </w:r>
      <w:r w:rsidRPr="00410529" w:rsidR="00410529">
        <w:rPr>
          <w:rFonts w:eastAsia="Times New Roman" w:cs="Times New Roman"/>
          <w:szCs w:val="20"/>
        </w:rPr>
        <w:t xml:space="preserve"> must provide the name, address, email address, and telephone number of its designated primary regulatory/official contact person to the California Public Utilities Commission’s Communications Division w</w:t>
      </w:r>
      <w:r w:rsidRPr="00410529" w:rsidR="00410529">
        <w:rPr>
          <w:rFonts w:eastAsia="Times New Roman" w:cs="Times New Roman"/>
          <w:bCs/>
          <w:szCs w:val="20"/>
        </w:rPr>
        <w:t>ithin</w:t>
      </w:r>
      <w:r w:rsidRPr="00410529" w:rsidR="00410529">
        <w:rPr>
          <w:rFonts w:eastAsia="Times New Roman" w:cs="Times New Roman"/>
          <w:szCs w:val="20"/>
        </w:rPr>
        <w:t xml:space="preserve"> five days of written acceptance of its certificate.  Refer to Attachment B for additional information related to updating contact information</w:t>
      </w:r>
      <w:r w:rsidRPr="005527B3" w:rsidR="00410529">
        <w:t>.</w:t>
      </w:r>
    </w:p>
    <w:p w:rsidR="00410529" w:rsidP="00710EBA" w:rsidRDefault="00DF6936" w14:paraId="067F2949" w14:textId="566502D2">
      <w:pPr>
        <w:pStyle w:val="OP"/>
      </w:pPr>
      <w:r>
        <w:t>Enhanced Communications Network, Inc. d/b/a Asian American Association Telecom Services</w:t>
      </w:r>
      <w:r w:rsidRPr="00410529" w:rsidR="00410529">
        <w:rPr>
          <w:rFonts w:eastAsia="Times New Roman" w:cs="Times New Roman"/>
          <w:szCs w:val="20"/>
        </w:rPr>
        <w:t xml:space="preserve"> must provide the name, address, email address, and telephone number of its designated contact person for purposes of resolving consumer complaints to the California Public Utilities Commission’s Consumer Affairs Branch w</w:t>
      </w:r>
      <w:r w:rsidRPr="00410529" w:rsidR="00410529">
        <w:rPr>
          <w:rFonts w:eastAsia="Times New Roman" w:cs="Times New Roman"/>
          <w:bCs/>
          <w:szCs w:val="20"/>
        </w:rPr>
        <w:t>ithin</w:t>
      </w:r>
      <w:r w:rsidRPr="00410529" w:rsidR="00410529">
        <w:rPr>
          <w:rFonts w:eastAsia="Times New Roman" w:cs="Times New Roman"/>
          <w:szCs w:val="20"/>
        </w:rPr>
        <w:t xml:space="preserve"> five days of written acceptance of its certificate.  Refer to Attachment B for additional information related to updating contact information</w:t>
      </w:r>
      <w:r w:rsidRPr="005527B3" w:rsidR="00410529">
        <w:t>.</w:t>
      </w:r>
    </w:p>
    <w:p w:rsidR="00410529" w:rsidP="00710EBA" w:rsidRDefault="00DF6936" w14:paraId="096D6C68" w14:textId="7784389A">
      <w:pPr>
        <w:pStyle w:val="OP"/>
      </w:pPr>
      <w:r>
        <w:t>Enhanced Communications Network, Inc. d/b/a Asian American Association Telecom Services</w:t>
      </w:r>
      <w:r w:rsidRPr="00410529" w:rsidR="00410529">
        <w:rPr>
          <w:rFonts w:eastAsia="Times New Roman" w:cs="Times New Roman"/>
          <w:szCs w:val="20"/>
        </w:rPr>
        <w:t xml:space="preserve"> must submit its compliance with Public Utilities Code Section 708, Employee Identification Cards, to the California Public Utilities Commission’s Director of the Communications Division, in writing, by email to </w:t>
      </w:r>
      <w:hyperlink w:history="1" r:id="rId23">
        <w:r w:rsidRPr="00410529" w:rsidR="00410529">
          <w:rPr>
            <w:rFonts w:eastAsia="Times New Roman" w:cs="Times New Roman"/>
            <w:color w:val="0000FF"/>
            <w:szCs w:val="20"/>
            <w:u w:val="single"/>
          </w:rPr>
          <w:t>cdcompliance@cpuc.ca.gov</w:t>
        </w:r>
      </w:hyperlink>
      <w:r w:rsidRPr="00410529" w:rsidR="00410529">
        <w:rPr>
          <w:rFonts w:eastAsia="Times New Roman" w:cs="Times New Roman"/>
          <w:szCs w:val="20"/>
        </w:rPr>
        <w:t xml:space="preserve">, </w:t>
      </w:r>
      <w:r w:rsidRPr="00410529" w:rsidR="00410529">
        <w:rPr>
          <w:rFonts w:eastAsia="Times New Roman" w:cs="Times New Roman"/>
          <w:iCs/>
          <w:szCs w:val="20"/>
        </w:rPr>
        <w:t>within</w:t>
      </w:r>
      <w:r w:rsidRPr="00410529" w:rsidR="00410529">
        <w:rPr>
          <w:rFonts w:eastAsia="Times New Roman" w:cs="Times New Roman"/>
          <w:szCs w:val="20"/>
        </w:rPr>
        <w:t xml:space="preserve"> 60 days of the effective date of this decision</w:t>
      </w:r>
      <w:r w:rsidR="00410529">
        <w:t>.</w:t>
      </w:r>
    </w:p>
    <w:p w:rsidRPr="00EB362F" w:rsidR="00410529" w:rsidP="002A33B6" w:rsidRDefault="002A33B6" w14:paraId="6AE76600" w14:textId="3F97B4B3">
      <w:pPr>
        <w:pStyle w:val="OP"/>
      </w:pPr>
      <w:r>
        <w:lastRenderedPageBreak/>
        <w:t xml:space="preserve">Enhanced Communications Network, Inc. d/b/a Asian American </w:t>
      </w:r>
      <w:r w:rsidRPr="00CC36C4">
        <w:t>Association Telecom Services</w:t>
      </w:r>
      <w:r w:rsidRPr="002E0757" w:rsidDel="002A33B6">
        <w:rPr>
          <w:rFonts w:eastAsia="Times New Roman" w:cs="Times New Roman"/>
          <w:color w:val="0000FF"/>
          <w:szCs w:val="20"/>
        </w:rPr>
        <w:t xml:space="preserve"> </w:t>
      </w:r>
      <w:r w:rsidRPr="00CC36C4" w:rsidR="00410529">
        <w:rPr>
          <w:rFonts w:eastAsia="Times New Roman" w:cs="Times New Roman"/>
          <w:szCs w:val="20"/>
        </w:rPr>
        <w:t xml:space="preserve">is subject to all the current requirements applicable </w:t>
      </w:r>
      <w:r w:rsidRPr="002E0757" w:rsidR="00410529">
        <w:rPr>
          <w:rFonts w:eastAsia="Times New Roman" w:cs="Times New Roman"/>
          <w:color w:val="000000" w:themeColor="text1"/>
          <w:szCs w:val="20"/>
        </w:rPr>
        <w:t xml:space="preserve">to </w:t>
      </w:r>
      <w:r w:rsidRPr="002E0757" w:rsidR="00410529">
        <w:rPr>
          <w:rFonts w:eastAsia="Times New Roman" w:cs="Times New Roman"/>
          <w:bCs/>
          <w:color w:val="000000" w:themeColor="text1"/>
          <w:szCs w:val="20"/>
        </w:rPr>
        <w:t>fixed interconnected Voice over Internet P</w:t>
      </w:r>
      <w:r w:rsidR="002921BA">
        <w:rPr>
          <w:rFonts w:eastAsia="Times New Roman" w:cs="Times New Roman"/>
          <w:bCs/>
          <w:color w:val="000000" w:themeColor="text1"/>
          <w:szCs w:val="20"/>
        </w:rPr>
        <w:t>rotocol p</w:t>
      </w:r>
      <w:r w:rsidRPr="002E0757" w:rsidR="00410529">
        <w:rPr>
          <w:rFonts w:eastAsia="Times New Roman" w:cs="Times New Roman"/>
          <w:bCs/>
          <w:color w:val="000000" w:themeColor="text1"/>
          <w:szCs w:val="20"/>
        </w:rPr>
        <w:t>roviders</w:t>
      </w:r>
      <w:r w:rsidRPr="002E0757" w:rsidR="00410529">
        <w:rPr>
          <w:rFonts w:eastAsia="Times New Roman" w:cs="Times New Roman"/>
          <w:color w:val="000000" w:themeColor="text1"/>
          <w:szCs w:val="20"/>
        </w:rPr>
        <w:t xml:space="preserve"> </w:t>
      </w:r>
      <w:r w:rsidRPr="00CC36C4" w:rsidR="00410529">
        <w:rPr>
          <w:rFonts w:eastAsia="Times New Roman" w:cs="Times New Roman"/>
          <w:szCs w:val="20"/>
        </w:rPr>
        <w:t>included in Attachments B, C, and D to this decision (including annual</w:t>
      </w:r>
      <w:r w:rsidRPr="002A33B6" w:rsidR="00410529">
        <w:rPr>
          <w:rFonts w:eastAsia="Times New Roman" w:cs="Times New Roman"/>
          <w:szCs w:val="20"/>
        </w:rPr>
        <w:t xml:space="preserve"> affiliate transaction reports, ongoing performance bond requirements, and payment of surcharges and user fees); all Consumer Protection Rules contained in General Order 168; and all applicable California Public Utilities Commission rules, decisions, General Orders, and statutes that pertain to California public utilities on an ongoing basis</w:t>
      </w:r>
      <w:r w:rsidRPr="00EB362F" w:rsidR="00410529">
        <w:t>.</w:t>
      </w:r>
    </w:p>
    <w:p w:rsidRPr="00EB362F" w:rsidR="00410529" w:rsidP="00EA6C16" w:rsidRDefault="00410529" w14:paraId="4A40F926" w14:textId="5462B778">
      <w:pPr>
        <w:pStyle w:val="OP"/>
      </w:pPr>
      <w:r w:rsidRPr="00410529">
        <w:rPr>
          <w:rFonts w:eastAsia="Times New Roman" w:cs="Times New Roman"/>
          <w:bCs/>
          <w:szCs w:val="20"/>
        </w:rPr>
        <w:t>Confidential Treatment of</w:t>
      </w:r>
      <w:r w:rsidRPr="00410529">
        <w:rPr>
          <w:rFonts w:eastAsia="Times New Roman" w:cs="Times New Roman"/>
          <w:b/>
          <w:szCs w:val="20"/>
        </w:rPr>
        <w:t xml:space="preserve"> </w:t>
      </w:r>
      <w:r w:rsidR="002A33B6">
        <w:t>Enhanced Communications Network, Inc. d/b/a Asian American Association Telecom Services (</w:t>
      </w:r>
      <w:r w:rsidR="00CB72E6">
        <w:t>Applicant</w:t>
      </w:r>
      <w:r w:rsidRPr="002E0757" w:rsidR="002A33B6">
        <w:rPr>
          <w:color w:val="000000" w:themeColor="text1"/>
        </w:rPr>
        <w:t>)</w:t>
      </w:r>
      <w:r w:rsidRPr="002E0757">
        <w:rPr>
          <w:rFonts w:eastAsia="Times New Roman" w:cs="Times New Roman"/>
          <w:color w:val="000000" w:themeColor="text1"/>
          <w:szCs w:val="20"/>
        </w:rPr>
        <w:t xml:space="preserve"> </w:t>
      </w:r>
      <w:r w:rsidRPr="00EA6C16" w:rsidR="00EA6C16">
        <w:rPr>
          <w:rFonts w:eastAsia="Times New Roman" w:cs="Times New Roman"/>
          <w:color w:val="000000" w:themeColor="text1"/>
          <w:szCs w:val="20"/>
        </w:rPr>
        <w:t xml:space="preserve">Appendix I of the Application </w:t>
      </w:r>
      <w:r w:rsidR="00EF60AB">
        <w:rPr>
          <w:rFonts w:eastAsia="Times New Roman" w:cs="Times New Roman"/>
          <w:color w:val="000000" w:themeColor="text1"/>
          <w:szCs w:val="20"/>
        </w:rPr>
        <w:t>is</w:t>
      </w:r>
      <w:r w:rsidR="00EA6C16">
        <w:rPr>
          <w:rFonts w:eastAsia="Times New Roman" w:cs="Times New Roman"/>
          <w:szCs w:val="20"/>
        </w:rPr>
        <w:t xml:space="preserve"> </w:t>
      </w:r>
      <w:r w:rsidRPr="00410529">
        <w:rPr>
          <w:rFonts w:eastAsia="Times New Roman" w:cs="Times New Roman"/>
          <w:szCs w:val="20"/>
        </w:rPr>
        <w:t xml:space="preserve">granted for a period of three years after the date of this decision pursuant to Decision 24-11-003.  During this three-year period, this information shall not be publicly disclosed except </w:t>
      </w:r>
      <w:proofErr w:type="gramStart"/>
      <w:r w:rsidRPr="00410529">
        <w:rPr>
          <w:rFonts w:eastAsia="Times New Roman" w:cs="Times New Roman"/>
          <w:szCs w:val="20"/>
        </w:rPr>
        <w:t>on</w:t>
      </w:r>
      <w:proofErr w:type="gramEnd"/>
      <w:r w:rsidRPr="00410529">
        <w:rPr>
          <w:rFonts w:eastAsia="Times New Roman" w:cs="Times New Roman"/>
          <w:szCs w:val="20"/>
        </w:rPr>
        <w:t xml:space="preserve"> further Commission order or Administrative Law Judge ruling.</w:t>
      </w:r>
      <w:r w:rsidR="0045678A">
        <w:rPr>
          <w:rFonts w:eastAsia="Times New Roman" w:cs="Times New Roman"/>
          <w:szCs w:val="20"/>
        </w:rPr>
        <w:t xml:space="preserve">  </w:t>
      </w:r>
      <w:r w:rsidRPr="00410529">
        <w:rPr>
          <w:rFonts w:eastAsia="Times New Roman" w:cs="Times New Roman"/>
          <w:szCs w:val="20"/>
        </w:rPr>
        <w:t xml:space="preserve">If </w:t>
      </w:r>
      <w:r w:rsidR="00EF60AB">
        <w:rPr>
          <w:rFonts w:eastAsia="Times New Roman" w:cs="Times New Roman"/>
          <w:szCs w:val="20"/>
        </w:rPr>
        <w:t>Applicant</w:t>
      </w:r>
      <w:r w:rsidRPr="00410529">
        <w:rPr>
          <w:rFonts w:eastAsia="Times New Roman" w:cs="Times New Roman"/>
          <w:szCs w:val="20"/>
        </w:rPr>
        <w:t xml:space="preserve"> believes that it is necessary for this information to remain under seal for longer than three years, </w:t>
      </w:r>
      <w:r w:rsidR="00EF60AB">
        <w:rPr>
          <w:rFonts w:eastAsia="Times New Roman" w:cs="Times New Roman"/>
          <w:szCs w:val="20"/>
        </w:rPr>
        <w:t>Applicant</w:t>
      </w:r>
      <w:r w:rsidRPr="00410529">
        <w:rPr>
          <w:rFonts w:eastAsia="Times New Roman" w:cs="Times New Roman"/>
          <w:szCs w:val="20"/>
        </w:rPr>
        <w:t xml:space="preserve"> may file a motion showing good cause for extending this order by no later than 30 days before the expiration of this order</w:t>
      </w:r>
      <w:r w:rsidRPr="00EB362F">
        <w:t>.</w:t>
      </w:r>
    </w:p>
    <w:p w:rsidRPr="006A3D74" w:rsidR="00410529" w:rsidP="00710EBA" w:rsidRDefault="00410529" w14:paraId="39A2F70E" w14:textId="77777777">
      <w:pPr>
        <w:pStyle w:val="OP"/>
      </w:pPr>
      <w:r w:rsidRPr="006A3D74">
        <w:t>All rulings by the assigned Commissioner and the assigned A</w:t>
      </w:r>
      <w:r>
        <w:t xml:space="preserve">dministrative </w:t>
      </w:r>
      <w:r w:rsidRPr="006A3D74">
        <w:t>L</w:t>
      </w:r>
      <w:r>
        <w:t xml:space="preserve">aw </w:t>
      </w:r>
      <w:r w:rsidRPr="006A3D74">
        <w:t>J</w:t>
      </w:r>
      <w:r>
        <w:t>udge</w:t>
      </w:r>
      <w:r w:rsidRPr="006A3D74">
        <w:t xml:space="preserve"> are affirmed.</w:t>
      </w:r>
    </w:p>
    <w:p w:rsidR="00410529" w:rsidP="00710EBA" w:rsidRDefault="00410529" w14:paraId="3BEC9C2B" w14:textId="77777777">
      <w:pPr>
        <w:pStyle w:val="OP"/>
      </w:pPr>
      <w:r w:rsidRPr="006A3D74">
        <w:t xml:space="preserve">All pending motions are </w:t>
      </w:r>
      <w:r>
        <w:t xml:space="preserve">deemed </w:t>
      </w:r>
      <w:r w:rsidRPr="006A3D74">
        <w:t>denied.</w:t>
      </w:r>
    </w:p>
    <w:p w:rsidR="00FC1CA8" w:rsidP="00FC1CA8" w:rsidRDefault="00FC1CA8" w14:paraId="5D1137E6" w14:textId="7912A8AF">
      <w:pPr>
        <w:pStyle w:val="OP"/>
        <w:numPr>
          <w:ilvl w:val="0"/>
          <w:numId w:val="0"/>
        </w:numPr>
        <w:ind w:left="540"/>
      </w:pPr>
      <w:r>
        <w:br/>
      </w:r>
      <w:r>
        <w:br/>
      </w:r>
      <w:r>
        <w:br/>
      </w:r>
      <w:r>
        <w:br/>
      </w:r>
    </w:p>
    <w:p w:rsidRPr="00410529" w:rsidR="00410529" w:rsidP="00710EBA" w:rsidRDefault="00410529" w14:paraId="7F2FED6B" w14:textId="1B892B36">
      <w:pPr>
        <w:pStyle w:val="OP"/>
      </w:pPr>
      <w:r w:rsidRPr="00410529">
        <w:rPr>
          <w:rFonts w:eastAsia="Times New Roman" w:cs="Times New Roman"/>
          <w:szCs w:val="20"/>
        </w:rPr>
        <w:lastRenderedPageBreak/>
        <w:t xml:space="preserve">Application </w:t>
      </w:r>
      <w:r w:rsidRPr="002E0757" w:rsidR="00C01C7C">
        <w:rPr>
          <w:rFonts w:eastAsia="Times New Roman" w:cs="Times New Roman"/>
          <w:bCs/>
          <w:color w:val="000000" w:themeColor="text1"/>
          <w:szCs w:val="20"/>
        </w:rPr>
        <w:t>25</w:t>
      </w:r>
      <w:r w:rsidRPr="002E0757">
        <w:rPr>
          <w:rFonts w:eastAsia="Times New Roman" w:cs="Times New Roman"/>
          <w:bCs/>
          <w:color w:val="000000" w:themeColor="text1"/>
          <w:szCs w:val="20"/>
        </w:rPr>
        <w:noBreakHyphen/>
      </w:r>
      <w:r w:rsidRPr="002E0757" w:rsidR="00C01C7C">
        <w:rPr>
          <w:rFonts w:eastAsia="Times New Roman" w:cs="Times New Roman"/>
          <w:bCs/>
          <w:color w:val="000000" w:themeColor="text1"/>
          <w:szCs w:val="20"/>
        </w:rPr>
        <w:t>05</w:t>
      </w:r>
      <w:r w:rsidRPr="002E0757">
        <w:rPr>
          <w:rFonts w:eastAsia="Times New Roman" w:cs="Times New Roman"/>
          <w:bCs/>
          <w:color w:val="000000" w:themeColor="text1"/>
          <w:szCs w:val="20"/>
        </w:rPr>
        <w:noBreakHyphen/>
      </w:r>
      <w:r w:rsidRPr="002E0757" w:rsidR="00C01C7C">
        <w:rPr>
          <w:rFonts w:eastAsia="Times New Roman" w:cs="Times New Roman"/>
          <w:bCs/>
          <w:color w:val="000000" w:themeColor="text1"/>
          <w:szCs w:val="20"/>
        </w:rPr>
        <w:t>018</w:t>
      </w:r>
      <w:r w:rsidRPr="002E0757">
        <w:rPr>
          <w:rFonts w:eastAsia="Times New Roman" w:cs="Times New Roman"/>
          <w:b/>
          <w:color w:val="000000" w:themeColor="text1"/>
          <w:szCs w:val="20"/>
        </w:rPr>
        <w:t xml:space="preserve"> </w:t>
      </w:r>
      <w:r w:rsidRPr="00410529">
        <w:rPr>
          <w:rFonts w:eastAsia="Times New Roman" w:cs="Times New Roman"/>
          <w:bCs/>
          <w:szCs w:val="20"/>
        </w:rPr>
        <w:t>is</w:t>
      </w:r>
      <w:r w:rsidRPr="00410529">
        <w:rPr>
          <w:rFonts w:eastAsia="Times New Roman" w:cs="Times New Roman"/>
          <w:szCs w:val="20"/>
        </w:rPr>
        <w:t xml:space="preserve"> closed</w:t>
      </w:r>
      <w:r w:rsidRPr="00410529">
        <w:t>.</w:t>
      </w:r>
    </w:p>
    <w:p w:rsidRPr="001E2A62" w:rsidR="00B564DF" w:rsidP="00710EBA" w:rsidRDefault="00410529" w14:paraId="6CB40CDE" w14:textId="77777777">
      <w:pPr>
        <w:pStyle w:val="num2"/>
        <w:ind w:firstLine="0"/>
      </w:pPr>
      <w:r>
        <w:rPr>
          <w:rFonts w:ascii="Book Antiqua" w:hAnsi="Book Antiqua"/>
        </w:rPr>
        <w:tab/>
      </w:r>
      <w:r w:rsidRPr="00710EBA">
        <w:rPr>
          <w:rFonts w:ascii="Book Antiqua" w:hAnsi="Book Antiqua"/>
        </w:rPr>
        <w:t>This decision is effective today</w:t>
      </w:r>
    </w:p>
    <w:p w:rsidR="00FC1CA8" w:rsidP="00FC1CA8" w:rsidRDefault="008F0116" w14:paraId="63E57969" w14:textId="1646DED2">
      <w:r>
        <w:t xml:space="preserve">Dated </w:t>
      </w:r>
      <w:r w:rsidRPr="00791210" w:rsidR="00791210">
        <w:t>July 16, 2026</w:t>
      </w:r>
      <w:r>
        <w:t xml:space="preserve">, at </w:t>
      </w:r>
      <w:r w:rsidR="00D75901">
        <w:t>San Francisco</w:t>
      </w:r>
      <w:r>
        <w:t>, California</w:t>
      </w:r>
      <w:r w:rsidR="00095CB7">
        <w:t>.</w:t>
      </w:r>
    </w:p>
    <w:p w:rsidRPr="00FC1CA8" w:rsidR="00FC1CA8" w:rsidP="00FC1CA8" w:rsidRDefault="00FC1CA8" w14:paraId="2F1B8700" w14:textId="77777777"/>
    <w:p w:rsidRPr="00143BC5" w:rsidR="00FC1CA8" w:rsidP="00FC1CA8" w:rsidRDefault="00FC1CA8" w14:paraId="756FA701" w14:textId="77777777">
      <w:pPr>
        <w:autoSpaceDE w:val="0"/>
        <w:autoSpaceDN w:val="0"/>
        <w:adjustRightInd w:val="0"/>
        <w:spacing w:line="240" w:lineRule="auto"/>
        <w:ind w:left="3600" w:firstLine="1598"/>
        <w:jc w:val="both"/>
        <w:rPr>
          <w:szCs w:val="20"/>
        </w:rPr>
      </w:pPr>
      <w:r w:rsidRPr="00143BC5">
        <w:rPr>
          <w:szCs w:val="20"/>
        </w:rPr>
        <w:t>JOHN REYNOLDS</w:t>
      </w:r>
    </w:p>
    <w:p w:rsidRPr="00143BC5" w:rsidR="00FC1CA8" w:rsidP="00FC1CA8" w:rsidRDefault="00FC1CA8" w14:paraId="5766C6DA" w14:textId="77777777">
      <w:pPr>
        <w:autoSpaceDE w:val="0"/>
        <w:autoSpaceDN w:val="0"/>
        <w:adjustRightInd w:val="0"/>
        <w:spacing w:line="240" w:lineRule="auto"/>
        <w:ind w:firstLine="1598"/>
        <w:jc w:val="both"/>
        <w:rPr>
          <w:szCs w:val="20"/>
        </w:rPr>
      </w:pPr>
      <w:r w:rsidRPr="00143BC5">
        <w:rPr>
          <w:szCs w:val="20"/>
        </w:rPr>
        <w:tab/>
      </w:r>
      <w:r w:rsidRPr="00143BC5">
        <w:rPr>
          <w:szCs w:val="20"/>
        </w:rPr>
        <w:tab/>
      </w:r>
      <w:r w:rsidRPr="00143BC5">
        <w:rPr>
          <w:szCs w:val="20"/>
        </w:rPr>
        <w:tab/>
      </w:r>
      <w:r w:rsidRPr="00143BC5">
        <w:rPr>
          <w:szCs w:val="20"/>
        </w:rPr>
        <w:tab/>
      </w:r>
      <w:r w:rsidRPr="00143BC5">
        <w:rPr>
          <w:szCs w:val="20"/>
        </w:rPr>
        <w:tab/>
        <w:t xml:space="preserve">                    </w:t>
      </w:r>
      <w:r>
        <w:rPr>
          <w:szCs w:val="20"/>
        </w:rPr>
        <w:t xml:space="preserve">      </w:t>
      </w:r>
      <w:r w:rsidRPr="00143BC5">
        <w:rPr>
          <w:szCs w:val="20"/>
        </w:rPr>
        <w:t>President</w:t>
      </w:r>
    </w:p>
    <w:p w:rsidRPr="00143BC5" w:rsidR="00FC1CA8" w:rsidP="00FC1CA8" w:rsidRDefault="00FC1CA8" w14:paraId="1CE76BD8" w14:textId="77777777">
      <w:pPr>
        <w:autoSpaceDE w:val="0"/>
        <w:autoSpaceDN w:val="0"/>
        <w:adjustRightInd w:val="0"/>
        <w:spacing w:line="240" w:lineRule="auto"/>
        <w:ind w:left="3600" w:firstLine="1598"/>
        <w:jc w:val="both"/>
        <w:rPr>
          <w:szCs w:val="20"/>
        </w:rPr>
      </w:pPr>
      <w:r w:rsidRPr="00143BC5">
        <w:rPr>
          <w:szCs w:val="20"/>
        </w:rPr>
        <w:t>DARCIE L. HOUCK</w:t>
      </w:r>
    </w:p>
    <w:p w:rsidR="00FC1CA8" w:rsidP="00FC1CA8" w:rsidRDefault="00FC1CA8" w14:paraId="7520FE5B" w14:textId="77777777">
      <w:pPr>
        <w:autoSpaceDE w:val="0"/>
        <w:autoSpaceDN w:val="0"/>
        <w:adjustRightInd w:val="0"/>
        <w:spacing w:line="240" w:lineRule="auto"/>
        <w:ind w:left="3600" w:firstLine="1598"/>
        <w:jc w:val="both"/>
        <w:rPr>
          <w:rFonts w:eastAsia="Times New Roman" w:cs="Calibri"/>
          <w:color w:val="000000"/>
          <w:szCs w:val="26"/>
        </w:rPr>
      </w:pPr>
      <w:r w:rsidRPr="00143BC5">
        <w:rPr>
          <w:rFonts w:eastAsia="Times New Roman" w:cs="Calibri"/>
          <w:color w:val="000000"/>
          <w:szCs w:val="26"/>
        </w:rPr>
        <w:t>KAREN DOUGLAS</w:t>
      </w:r>
    </w:p>
    <w:p w:rsidR="00FC1CA8" w:rsidP="00FC1CA8" w:rsidRDefault="00FC1CA8" w14:paraId="0DCACE71" w14:textId="77777777">
      <w:pPr>
        <w:autoSpaceDE w:val="0"/>
        <w:autoSpaceDN w:val="0"/>
        <w:adjustRightInd w:val="0"/>
        <w:spacing w:line="240" w:lineRule="auto"/>
        <w:ind w:left="3600" w:firstLine="1598"/>
        <w:jc w:val="both"/>
        <w:rPr>
          <w:rFonts w:eastAsia="Times New Roman" w:cs="Calibri"/>
          <w:color w:val="000000"/>
          <w:szCs w:val="26"/>
        </w:rPr>
      </w:pPr>
      <w:r>
        <w:rPr>
          <w:rFonts w:eastAsia="Times New Roman" w:cs="Calibri"/>
          <w:color w:val="000000"/>
          <w:szCs w:val="26"/>
        </w:rPr>
        <w:t>MATTHEW BAKER</w:t>
      </w:r>
    </w:p>
    <w:p w:rsidRPr="004E3B33" w:rsidR="00FC1CA8" w:rsidP="00FC1CA8" w:rsidRDefault="00FC1CA8" w14:paraId="385E6F63" w14:textId="77777777">
      <w:pPr>
        <w:autoSpaceDE w:val="0"/>
        <w:autoSpaceDN w:val="0"/>
        <w:adjustRightInd w:val="0"/>
        <w:spacing w:line="240" w:lineRule="auto"/>
        <w:ind w:left="3600" w:firstLine="1598"/>
        <w:jc w:val="both"/>
        <w:rPr>
          <w:szCs w:val="20"/>
        </w:rPr>
      </w:pPr>
      <w:r w:rsidRPr="004E3B33">
        <w:rPr>
          <w:szCs w:val="20"/>
        </w:rPr>
        <w:t>CHRISTINE HARADA</w:t>
      </w:r>
    </w:p>
    <w:p w:rsidR="00FC1CA8" w:rsidP="00FC1CA8" w:rsidRDefault="00FC1CA8" w14:paraId="1D79A214" w14:textId="473C5316">
      <w:pPr>
        <w:autoSpaceDE w:val="0"/>
        <w:autoSpaceDN w:val="0"/>
        <w:adjustRightInd w:val="0"/>
        <w:spacing w:line="240" w:lineRule="auto"/>
        <w:ind w:left="4320" w:firstLine="1598"/>
        <w:jc w:val="both"/>
        <w:rPr>
          <w:szCs w:val="20"/>
        </w:rPr>
      </w:pPr>
      <w:r w:rsidRPr="00143BC5">
        <w:rPr>
          <w:szCs w:val="20"/>
        </w:rPr>
        <w:t xml:space="preserve">      </w:t>
      </w:r>
      <w:r>
        <w:rPr>
          <w:szCs w:val="20"/>
        </w:rPr>
        <w:t xml:space="preserve">      </w:t>
      </w:r>
      <w:r w:rsidRPr="00143BC5">
        <w:rPr>
          <w:szCs w:val="20"/>
        </w:rPr>
        <w:t>Commissioners</w:t>
      </w:r>
    </w:p>
    <w:p w:rsidR="00FC1CA8" w:rsidRDefault="00FC1CA8" w14:paraId="704C5153" w14:textId="77777777">
      <w:pPr>
        <w:spacing w:after="160" w:line="259" w:lineRule="auto"/>
        <w:ind w:firstLine="0"/>
        <w:rPr>
          <w:szCs w:val="20"/>
        </w:rPr>
      </w:pPr>
      <w:r>
        <w:rPr>
          <w:szCs w:val="20"/>
        </w:rPr>
        <w:br w:type="page"/>
      </w:r>
    </w:p>
    <w:p w:rsidR="00FC1CA8" w:rsidP="00FC1CA8" w:rsidRDefault="00FC1CA8" w14:paraId="65CCBF3E" w14:textId="77777777">
      <w:pPr>
        <w:spacing w:line="240" w:lineRule="auto"/>
        <w:ind w:firstLine="0"/>
        <w:jc w:val="center"/>
        <w:rPr>
          <w:rFonts w:eastAsia="Times New Roman" w:cs="Times New Roman"/>
          <w:b/>
          <w:sz w:val="40"/>
          <w:szCs w:val="40"/>
        </w:rPr>
      </w:pPr>
      <w:bookmarkStart w:name="_Hlk190175855" w:id="118"/>
    </w:p>
    <w:p w:rsidR="00FC1CA8" w:rsidP="00FC1CA8" w:rsidRDefault="00FC1CA8" w14:paraId="7AD1A2EF" w14:textId="77777777">
      <w:pPr>
        <w:spacing w:line="240" w:lineRule="auto"/>
        <w:ind w:firstLine="0"/>
        <w:jc w:val="center"/>
        <w:rPr>
          <w:rFonts w:eastAsia="Times New Roman" w:cs="Times New Roman"/>
          <w:b/>
          <w:sz w:val="40"/>
          <w:szCs w:val="40"/>
        </w:rPr>
      </w:pPr>
    </w:p>
    <w:p w:rsidRPr="001912E8" w:rsidR="001912E8" w:rsidP="001912E8" w:rsidRDefault="001912E8" w14:paraId="2963FECB" w14:textId="77777777">
      <w:pPr>
        <w:spacing w:line="240" w:lineRule="auto"/>
        <w:ind w:firstLine="0"/>
        <w:jc w:val="center"/>
        <w:rPr>
          <w:rFonts w:eastAsia="Times New Roman" w:cs="Times New Roman"/>
          <w:b/>
          <w:sz w:val="40"/>
          <w:szCs w:val="40"/>
        </w:rPr>
        <w:sectPr w:rsidRPr="001912E8" w:rsidR="001912E8" w:rsidSect="00CD6001">
          <w:headerReference w:type="default" r:id="rId24"/>
          <w:footerReference w:type="default" r:id="rId25"/>
          <w:headerReference w:type="first" r:id="rId26"/>
          <w:footerReference w:type="first" r:id="rId27"/>
          <w:pgSz w:w="12240" w:h="15840" w:code="1"/>
          <w:pgMar w:top="1152" w:right="1440" w:bottom="1440" w:left="1440" w:header="720" w:footer="720" w:gutter="0"/>
          <w:cols w:space="720"/>
          <w:titlePg/>
          <w:docGrid w:linePitch="354"/>
        </w:sectPr>
      </w:pPr>
      <w:r w:rsidRPr="001912E8">
        <w:rPr>
          <w:rFonts w:eastAsia="Times New Roman" w:cs="Times New Roman"/>
          <w:b/>
          <w:sz w:val="40"/>
          <w:szCs w:val="40"/>
        </w:rPr>
        <w:t>ATTACHMENT A</w:t>
      </w:r>
    </w:p>
    <w:p w:rsidRPr="001912E8" w:rsidR="001912E8" w:rsidP="002331B2" w:rsidRDefault="001912E8" w14:paraId="7C326D29" w14:textId="77777777">
      <w:pPr>
        <w:spacing w:line="240" w:lineRule="auto"/>
        <w:ind w:firstLine="0"/>
        <w:rPr>
          <w:rFonts w:eastAsia="Times New Roman" w:cs="Times New Roman"/>
          <w:szCs w:val="20"/>
        </w:rPr>
      </w:pPr>
    </w:p>
    <w:p w:rsidRPr="001912E8" w:rsidR="001912E8" w:rsidP="001912E8" w:rsidRDefault="001912E8" w14:paraId="3592BFAC" w14:textId="77777777">
      <w:pPr>
        <w:spacing w:line="240" w:lineRule="auto"/>
        <w:ind w:firstLine="0"/>
        <w:rPr>
          <w:rFonts w:eastAsia="Times New Roman" w:cs="Times New Roman"/>
          <w:b/>
          <w:i/>
          <w:szCs w:val="20"/>
        </w:rPr>
      </w:pPr>
    </w:p>
    <w:p w:rsidRPr="00D6171E" w:rsidR="00D6171E" w:rsidP="00D6171E" w:rsidRDefault="00D6171E" w14:paraId="59CFF409" w14:textId="77777777">
      <w:pPr>
        <w:spacing w:line="240" w:lineRule="auto"/>
        <w:ind w:firstLine="0"/>
        <w:jc w:val="center"/>
        <w:rPr>
          <w:rFonts w:eastAsia="Times New Roman" w:cs="Times New Roman"/>
          <w:b/>
          <w:szCs w:val="20"/>
        </w:rPr>
      </w:pPr>
      <w:r w:rsidRPr="00D6171E">
        <w:rPr>
          <w:rFonts w:eastAsia="Times New Roman" w:cs="Times New Roman"/>
          <w:b/>
          <w:szCs w:val="20"/>
        </w:rPr>
        <w:t>ATTACHMENT A</w:t>
      </w:r>
    </w:p>
    <w:p w:rsidRPr="00D6171E" w:rsidR="00D6171E" w:rsidP="00D6171E" w:rsidRDefault="00D6171E" w14:paraId="19D1F336" w14:textId="77777777">
      <w:pPr>
        <w:spacing w:line="240" w:lineRule="auto"/>
        <w:ind w:firstLine="0"/>
        <w:jc w:val="center"/>
        <w:rPr>
          <w:rFonts w:eastAsia="Times New Roman" w:cs="Times New Roman"/>
          <w:b/>
          <w:szCs w:val="20"/>
        </w:rPr>
      </w:pPr>
    </w:p>
    <w:p w:rsidRPr="00D6171E" w:rsidR="00D6171E" w:rsidP="00D6171E" w:rsidRDefault="00D6171E" w14:paraId="266C0E59" w14:textId="77777777">
      <w:pPr>
        <w:spacing w:line="240" w:lineRule="auto"/>
        <w:ind w:firstLine="0"/>
        <w:jc w:val="center"/>
        <w:rPr>
          <w:rFonts w:eastAsia="Times New Roman" w:cs="Times New Roman"/>
          <w:b/>
          <w:szCs w:val="20"/>
        </w:rPr>
      </w:pPr>
      <w:r w:rsidRPr="00D6171E">
        <w:rPr>
          <w:rFonts w:eastAsia="Times New Roman" w:cs="Times New Roman"/>
          <w:b/>
          <w:szCs w:val="20"/>
        </w:rPr>
        <w:t>TARIFF DEFICIENCIES</w:t>
      </w:r>
    </w:p>
    <w:p w:rsidRPr="00D6171E" w:rsidR="00D6171E" w:rsidP="00D6171E" w:rsidRDefault="00D6171E" w14:paraId="1A6F3ADC" w14:textId="77777777">
      <w:pPr>
        <w:spacing w:line="240" w:lineRule="auto"/>
        <w:ind w:firstLine="0"/>
        <w:jc w:val="center"/>
        <w:rPr>
          <w:rFonts w:eastAsia="Times New Roman" w:cs="Times New Roman"/>
          <w:b/>
          <w:szCs w:val="20"/>
        </w:rPr>
      </w:pPr>
    </w:p>
    <w:p w:rsidRPr="00D6171E" w:rsidR="00D6171E" w:rsidP="00D6171E" w:rsidRDefault="00D6171E" w14:paraId="3831CB2F" w14:textId="77777777">
      <w:pPr>
        <w:spacing w:line="240" w:lineRule="auto"/>
        <w:ind w:firstLine="0"/>
        <w:jc w:val="center"/>
        <w:rPr>
          <w:rFonts w:eastAsia="Times New Roman" w:cs="Times New Roman"/>
          <w:bCs/>
          <w:szCs w:val="20"/>
        </w:rPr>
      </w:pPr>
    </w:p>
    <w:p w:rsidRPr="00D6171E" w:rsidR="00D6171E" w:rsidP="00D6171E" w:rsidRDefault="00D6171E" w14:paraId="694CABEE" w14:textId="77777777">
      <w:pPr>
        <w:spacing w:line="240" w:lineRule="auto"/>
        <w:ind w:firstLine="0"/>
        <w:jc w:val="center"/>
        <w:rPr>
          <w:rFonts w:eastAsia="Times New Roman" w:cs="Times New Roman"/>
          <w:bCs/>
          <w:szCs w:val="20"/>
        </w:rPr>
      </w:pPr>
      <w:r w:rsidRPr="00D6171E">
        <w:rPr>
          <w:rFonts w:eastAsia="Times New Roman" w:cs="Times New Roman"/>
          <w:bCs/>
          <w:szCs w:val="20"/>
        </w:rPr>
        <w:t>Intentionally Left Blank.</w:t>
      </w:r>
    </w:p>
    <w:p w:rsidRPr="00D6171E" w:rsidR="00D6171E" w:rsidP="00D6171E" w:rsidRDefault="00D6171E" w14:paraId="3D6CABD8" w14:textId="77777777">
      <w:pPr>
        <w:spacing w:line="240" w:lineRule="auto"/>
        <w:ind w:firstLine="0"/>
        <w:jc w:val="center"/>
        <w:rPr>
          <w:rFonts w:eastAsia="Times New Roman" w:cs="Times New Roman"/>
          <w:b/>
          <w:szCs w:val="20"/>
        </w:rPr>
      </w:pPr>
    </w:p>
    <w:p w:rsidRPr="00D6171E" w:rsidR="00D6171E" w:rsidP="00D6171E" w:rsidRDefault="00D6171E" w14:paraId="0D0943E8" w14:textId="77777777">
      <w:pPr>
        <w:spacing w:line="240" w:lineRule="auto"/>
        <w:ind w:firstLine="0"/>
        <w:jc w:val="center"/>
        <w:rPr>
          <w:rFonts w:eastAsia="Times New Roman" w:cs="Times New Roman"/>
          <w:b/>
          <w:szCs w:val="20"/>
        </w:rPr>
      </w:pPr>
    </w:p>
    <w:p w:rsidRPr="001912E8" w:rsidR="001912E8" w:rsidP="001912E8" w:rsidRDefault="001912E8" w14:paraId="40E5AB0E" w14:textId="77777777">
      <w:pPr>
        <w:spacing w:line="240" w:lineRule="auto"/>
        <w:ind w:firstLine="0"/>
        <w:rPr>
          <w:rFonts w:eastAsia="Times New Roman" w:cs="Times New Roman"/>
          <w:szCs w:val="20"/>
        </w:rPr>
      </w:pPr>
    </w:p>
    <w:p w:rsidRPr="001912E8" w:rsidR="001912E8" w:rsidP="001912E8" w:rsidRDefault="001912E8" w14:paraId="45E00856" w14:textId="77777777">
      <w:pPr>
        <w:spacing w:line="240" w:lineRule="auto"/>
        <w:ind w:firstLine="0"/>
        <w:rPr>
          <w:rFonts w:eastAsia="Times New Roman" w:cs="Times New Roman"/>
          <w:szCs w:val="20"/>
        </w:rPr>
      </w:pPr>
    </w:p>
    <w:p w:rsidRPr="001912E8" w:rsidR="001912E8" w:rsidP="001912E8" w:rsidRDefault="001912E8" w14:paraId="3EAC9353" w14:textId="77777777">
      <w:pPr>
        <w:spacing w:line="240" w:lineRule="auto"/>
        <w:ind w:firstLine="0"/>
        <w:jc w:val="center"/>
        <w:rPr>
          <w:rFonts w:eastAsia="Times New Roman" w:cs="Times New Roman"/>
          <w:b/>
          <w:szCs w:val="20"/>
        </w:rPr>
      </w:pPr>
      <w:r w:rsidRPr="001912E8">
        <w:rPr>
          <w:rFonts w:eastAsia="Times New Roman" w:cs="Times New Roman"/>
          <w:b/>
          <w:szCs w:val="20"/>
        </w:rPr>
        <w:t>(END OF ATTACHMENT A)</w:t>
      </w:r>
    </w:p>
    <w:bookmarkEnd w:id="118"/>
    <w:p w:rsidRPr="001912E8" w:rsidR="001912E8" w:rsidP="001912E8" w:rsidRDefault="001912E8" w14:paraId="7D9CA6F3" w14:textId="77777777">
      <w:pPr>
        <w:spacing w:line="240" w:lineRule="auto"/>
        <w:ind w:firstLine="0"/>
        <w:jc w:val="center"/>
        <w:rPr>
          <w:rFonts w:ascii="Palatino" w:hAnsi="Palatino" w:eastAsia="Times New Roman" w:cs="Times New Roman"/>
          <w:b/>
          <w:szCs w:val="20"/>
        </w:rPr>
      </w:pPr>
    </w:p>
    <w:p w:rsidRPr="001912E8" w:rsidR="001912E8" w:rsidP="001912E8" w:rsidRDefault="001912E8" w14:paraId="43EB2577" w14:textId="77777777">
      <w:pPr>
        <w:spacing w:line="240" w:lineRule="auto"/>
        <w:ind w:firstLine="0"/>
        <w:rPr>
          <w:rFonts w:ascii="Palatino" w:hAnsi="Palatino" w:eastAsia="Times New Roman" w:cs="Times New Roman"/>
          <w:szCs w:val="20"/>
        </w:rPr>
        <w:sectPr w:rsidRPr="001912E8" w:rsidR="001912E8" w:rsidSect="001912E8">
          <w:footerReference w:type="first" r:id="rId28"/>
          <w:pgSz w:w="12240" w:h="15840" w:code="1"/>
          <w:pgMar w:top="1152" w:right="1440" w:bottom="1440" w:left="1440" w:header="720" w:footer="720" w:gutter="0"/>
          <w:pgNumType w:start="1"/>
          <w:cols w:space="720"/>
          <w:titlePg/>
          <w:docGrid w:linePitch="354"/>
        </w:sectPr>
      </w:pPr>
    </w:p>
    <w:p w:rsidR="009A00CE" w:rsidP="000C4C2C" w:rsidRDefault="009A00CE" w14:paraId="27639F70" w14:textId="77777777">
      <w:pPr>
        <w:spacing w:line="240" w:lineRule="auto"/>
        <w:ind w:firstLine="0"/>
        <w:rPr>
          <w:rFonts w:eastAsia="Times New Roman" w:cs="Times New Roman"/>
          <w:b/>
          <w:sz w:val="40"/>
          <w:szCs w:val="40"/>
        </w:rPr>
      </w:pPr>
      <w:bookmarkStart w:name="_Hlk190175920" w:id="119"/>
    </w:p>
    <w:p w:rsidR="009A00CE" w:rsidP="009A00CE" w:rsidRDefault="009A00CE" w14:paraId="74274DC0" w14:textId="77777777">
      <w:pPr>
        <w:spacing w:line="240" w:lineRule="auto"/>
        <w:ind w:firstLine="0"/>
        <w:jc w:val="center"/>
        <w:rPr>
          <w:rFonts w:eastAsia="Times New Roman" w:cs="Times New Roman"/>
          <w:b/>
          <w:sz w:val="40"/>
          <w:szCs w:val="40"/>
        </w:rPr>
      </w:pPr>
    </w:p>
    <w:p w:rsidR="009A00CE" w:rsidP="009A00CE" w:rsidRDefault="009A00CE" w14:paraId="5256D62B" w14:textId="77777777">
      <w:pPr>
        <w:spacing w:line="240" w:lineRule="auto"/>
        <w:ind w:firstLine="0"/>
        <w:jc w:val="center"/>
        <w:rPr>
          <w:rFonts w:eastAsia="Times New Roman" w:cs="Times New Roman"/>
          <w:b/>
          <w:sz w:val="40"/>
          <w:szCs w:val="40"/>
        </w:rPr>
      </w:pPr>
    </w:p>
    <w:p w:rsidR="009A00CE" w:rsidP="009A00CE" w:rsidRDefault="009A00CE" w14:paraId="3B91187A" w14:textId="77777777">
      <w:pPr>
        <w:spacing w:line="240" w:lineRule="auto"/>
        <w:ind w:firstLine="0"/>
        <w:jc w:val="center"/>
        <w:rPr>
          <w:rFonts w:eastAsia="Times New Roman" w:cs="Times New Roman"/>
          <w:b/>
          <w:sz w:val="40"/>
          <w:szCs w:val="40"/>
        </w:rPr>
      </w:pPr>
    </w:p>
    <w:p w:rsidRPr="00710EBA" w:rsidR="001912E8" w:rsidP="009A00CE" w:rsidRDefault="001912E8" w14:paraId="209AD673" w14:textId="68631107">
      <w:pPr>
        <w:spacing w:line="240" w:lineRule="auto"/>
        <w:ind w:firstLine="0"/>
        <w:jc w:val="center"/>
        <w:rPr>
          <w:rFonts w:eastAsia="Times New Roman" w:cs="Times New Roman"/>
          <w:szCs w:val="20"/>
        </w:rPr>
        <w:sectPr w:rsidRPr="00710EBA" w:rsidR="001912E8" w:rsidSect="001912E8">
          <w:footerReference w:type="default" r:id="rId29"/>
          <w:footnotePr>
            <w:numRestart w:val="eachSect"/>
          </w:footnotePr>
          <w:pgSz w:w="12240" w:h="15840" w:code="1"/>
          <w:pgMar w:top="1152" w:right="1440" w:bottom="1440" w:left="1440" w:header="720" w:footer="720" w:gutter="0"/>
          <w:pgNumType w:start="1"/>
          <w:cols w:space="720"/>
        </w:sectPr>
      </w:pPr>
      <w:r w:rsidRPr="001912E8">
        <w:rPr>
          <w:rFonts w:eastAsia="Times New Roman" w:cs="Times New Roman"/>
          <w:b/>
          <w:sz w:val="40"/>
          <w:szCs w:val="40"/>
        </w:rPr>
        <w:t>ATTACHMENT B</w:t>
      </w:r>
    </w:p>
    <w:p w:rsidRPr="001912E8" w:rsidR="001912E8" w:rsidP="00710EBA" w:rsidRDefault="001912E8" w14:paraId="6F21B81D" w14:textId="77777777">
      <w:pPr>
        <w:spacing w:after="120" w:line="240" w:lineRule="auto"/>
        <w:ind w:firstLine="0"/>
        <w:rPr>
          <w:rFonts w:eastAsia="Times New Roman" w:cs="Times New Roman"/>
          <w:b/>
          <w:szCs w:val="20"/>
        </w:rPr>
      </w:pPr>
    </w:p>
    <w:p w:rsidRPr="001912E8" w:rsidR="001912E8" w:rsidP="001912E8" w:rsidRDefault="001912E8" w14:paraId="7BA13588" w14:textId="77777777">
      <w:pPr>
        <w:spacing w:after="120" w:line="240" w:lineRule="auto"/>
        <w:ind w:firstLine="0"/>
        <w:jc w:val="center"/>
        <w:rPr>
          <w:rFonts w:eastAsia="Times New Roman" w:cs="Times New Roman"/>
          <w:b/>
          <w:szCs w:val="20"/>
        </w:rPr>
      </w:pPr>
      <w:r w:rsidRPr="001912E8">
        <w:rPr>
          <w:rFonts w:eastAsia="Times New Roman" w:cs="Times New Roman"/>
          <w:b/>
          <w:szCs w:val="20"/>
        </w:rPr>
        <w:t>ATTACHMENT B</w:t>
      </w:r>
    </w:p>
    <w:p w:rsidRPr="001912E8" w:rsidR="001912E8" w:rsidP="001912E8" w:rsidRDefault="001912E8" w14:paraId="728F8C21" w14:textId="77777777">
      <w:pPr>
        <w:spacing w:after="120" w:line="240" w:lineRule="auto"/>
        <w:ind w:firstLine="0"/>
        <w:jc w:val="center"/>
        <w:rPr>
          <w:rFonts w:eastAsia="Times New Roman" w:cs="Times New Roman"/>
          <w:b/>
          <w:szCs w:val="20"/>
        </w:rPr>
      </w:pPr>
      <w:r w:rsidRPr="001912E8">
        <w:rPr>
          <w:rFonts w:eastAsia="Times New Roman" w:cs="Times New Roman"/>
          <w:b/>
          <w:szCs w:val="20"/>
        </w:rPr>
        <w:t>TELEPHONE CORPORATION REQUIREMENTS APPLICABLE TO PROVIDERS OF COMPETITIVE LOCAL EXCHANGE CARRIERS, INTEREXCHANGE CARRIERS AND FIXED INTERCONNECTED VOIP CARRIERS (Carrier)</w:t>
      </w:r>
    </w:p>
    <w:p w:rsidRPr="001912E8" w:rsidR="001912E8" w:rsidP="00710EBA" w:rsidRDefault="001912E8" w14:paraId="07FFB338" w14:textId="77777777">
      <w:pPr>
        <w:numPr>
          <w:ilvl w:val="0"/>
          <w:numId w:val="33"/>
        </w:numPr>
        <w:tabs>
          <w:tab w:val="num" w:pos="0"/>
          <w:tab w:val="num" w:pos="630"/>
          <w:tab w:val="left" w:pos="720"/>
        </w:tabs>
        <w:suppressAutoHyphens/>
        <w:ind w:left="0" w:firstLine="360"/>
        <w:rPr>
          <w:rFonts w:eastAsia="Times New Roman" w:cs="Times New Roman"/>
          <w:szCs w:val="20"/>
        </w:rPr>
      </w:pPr>
      <w:r w:rsidRPr="001912E8">
        <w:rPr>
          <w:rFonts w:eastAsia="Times New Roman" w:cs="Times New Roman"/>
          <w:szCs w:val="20"/>
        </w:rPr>
        <w:t>Carrier is subject to all the current applicable California Public Utilities Commission (Commission) rules, decisions, General Orders, and statutes that pertain to California public utilities and telephone corporations on an ongoing basis.</w:t>
      </w:r>
    </w:p>
    <w:p w:rsidRPr="001912E8" w:rsidR="001912E8" w:rsidP="00710EBA" w:rsidRDefault="001912E8" w14:paraId="778B2E1A" w14:textId="77777777">
      <w:pPr>
        <w:numPr>
          <w:ilvl w:val="0"/>
          <w:numId w:val="33"/>
        </w:numPr>
        <w:tabs>
          <w:tab w:val="num" w:pos="0"/>
          <w:tab w:val="num" w:pos="630"/>
          <w:tab w:val="left" w:pos="720"/>
        </w:tabs>
        <w:suppressAutoHyphens/>
        <w:ind w:left="0" w:firstLine="360"/>
        <w:rPr>
          <w:rFonts w:eastAsia="Times New Roman" w:cs="Times New Roman"/>
          <w:szCs w:val="20"/>
        </w:rPr>
      </w:pPr>
      <w:r w:rsidRPr="001912E8">
        <w:rPr>
          <w:rFonts w:eastAsia="Times New Roman" w:cs="Times New Roman"/>
          <w:szCs w:val="20"/>
        </w:rPr>
        <w:t xml:space="preserve">Carrier is responsible for rendering services to customers under the rates, charges, and rules authorized by the Commission within 12 months </w:t>
      </w:r>
      <w:proofErr w:type="gramStart"/>
      <w:r w:rsidRPr="001912E8">
        <w:rPr>
          <w:rFonts w:eastAsia="Times New Roman" w:cs="Times New Roman"/>
          <w:szCs w:val="20"/>
        </w:rPr>
        <w:t>from</w:t>
      </w:r>
      <w:proofErr w:type="gramEnd"/>
      <w:r w:rsidRPr="001912E8">
        <w:rPr>
          <w:rFonts w:eastAsia="Times New Roman" w:cs="Times New Roman"/>
          <w:szCs w:val="20"/>
        </w:rPr>
        <w:t xml:space="preserve"> the date of the decision.  Rendering services may include, but are not limited to, offering and/or actively providing services to its customers on a wholesale and/or resale basis. </w:t>
      </w:r>
    </w:p>
    <w:p w:rsidRPr="001912E8" w:rsidR="001912E8" w:rsidP="00710EBA" w:rsidRDefault="001912E8" w14:paraId="31749594" w14:textId="77777777">
      <w:pPr>
        <w:numPr>
          <w:ilvl w:val="0"/>
          <w:numId w:val="33"/>
        </w:numPr>
        <w:tabs>
          <w:tab w:val="num" w:pos="0"/>
          <w:tab w:val="num" w:pos="630"/>
          <w:tab w:val="left" w:pos="720"/>
        </w:tabs>
        <w:suppressAutoHyphens/>
        <w:ind w:left="0" w:firstLine="360"/>
        <w:rPr>
          <w:rFonts w:eastAsia="Times New Roman" w:cs="Times New Roman"/>
          <w:szCs w:val="26"/>
        </w:rPr>
      </w:pPr>
      <w:r w:rsidRPr="001912E8">
        <w:rPr>
          <w:rFonts w:eastAsia="Times New Roman" w:cs="Times New Roman"/>
          <w:szCs w:val="26"/>
        </w:rPr>
        <w:t xml:space="preserve">Carrier is </w:t>
      </w:r>
      <w:r w:rsidRPr="001912E8">
        <w:rPr>
          <w:rFonts w:eastAsia="Times New Roman" w:cs="Times New Roman"/>
          <w:szCs w:val="20"/>
        </w:rPr>
        <w:t>responsible</w:t>
      </w:r>
      <w:r w:rsidRPr="001912E8">
        <w:rPr>
          <w:rFonts w:eastAsia="Times New Roman" w:cs="Times New Roman"/>
          <w:szCs w:val="26"/>
        </w:rPr>
        <w:t xml:space="preserve"> for keeping all contact information up to date with the Commission.  Changes to its primary regulatory and/or complaint contact information must be updated in the Commission’s </w:t>
      </w:r>
      <w:r w:rsidRPr="001912E8">
        <w:rPr>
          <w:rFonts w:eastAsia="Times New Roman" w:cs="Times New Roman"/>
          <w:szCs w:val="20"/>
        </w:rPr>
        <w:t>Telecommunications and User Fee Filing System (</w:t>
      </w:r>
      <w:r w:rsidRPr="001912E8">
        <w:rPr>
          <w:rFonts w:eastAsia="Times New Roman" w:cs="Times New Roman"/>
          <w:szCs w:val="26"/>
        </w:rPr>
        <w:t xml:space="preserve">TUFFS) portal within 30 days of any change or at least annually by June 1 of each calendar year.  Additionally, information on accessing TUFFS is available from the Commission’s website: </w:t>
      </w:r>
      <w:hyperlink w:history="1" r:id="rId30">
        <w:r w:rsidRPr="001912E8">
          <w:rPr>
            <w:rFonts w:eastAsia="Times New Roman" w:cs="Times New Roman"/>
            <w:color w:val="0000FF"/>
            <w:szCs w:val="26"/>
            <w:u w:val="single"/>
          </w:rPr>
          <w:t>https://www.cpuc.ca.gov/industries-and-topics/internet-and-phone/telecommunications-surcharges-and-user-fees</w:t>
        </w:r>
      </w:hyperlink>
      <w:r w:rsidRPr="001912E8">
        <w:rPr>
          <w:rFonts w:ascii="Palatino" w:hAnsi="Palatino" w:eastAsia="Times New Roman" w:cs="Times New Roman"/>
          <w:szCs w:val="20"/>
        </w:rPr>
        <w:t>.</w:t>
      </w:r>
      <w:r w:rsidRPr="001912E8">
        <w:rPr>
          <w:rFonts w:eastAsia="Times New Roman" w:cs="Times New Roman"/>
          <w:szCs w:val="26"/>
        </w:rPr>
        <w:t xml:space="preserve"> </w:t>
      </w:r>
    </w:p>
    <w:p w:rsidRPr="001912E8" w:rsidR="001912E8" w:rsidP="00710EBA" w:rsidRDefault="001912E8" w14:paraId="609B2B9A" w14:textId="77777777">
      <w:pPr>
        <w:numPr>
          <w:ilvl w:val="0"/>
          <w:numId w:val="33"/>
        </w:numPr>
        <w:tabs>
          <w:tab w:val="num" w:pos="0"/>
          <w:tab w:val="num" w:pos="630"/>
          <w:tab w:val="left" w:pos="720"/>
        </w:tabs>
        <w:suppressAutoHyphens/>
        <w:ind w:left="0" w:firstLine="360"/>
        <w:rPr>
          <w:rFonts w:eastAsia="Times New Roman" w:cs="Times New Roman"/>
          <w:szCs w:val="20"/>
        </w:rPr>
      </w:pPr>
      <w:r w:rsidRPr="001912E8">
        <w:rPr>
          <w:rFonts w:eastAsia="Times New Roman" w:cs="Times New Roman"/>
          <w:szCs w:val="20"/>
        </w:rPr>
        <w:t xml:space="preserve">Carrier is subject to California public purpose program surcharges and user fees.  Pursuant to Decision (D.) 22-10-021, as modified by D.24-11-003, all telephone corporations operating in California must assess, collect, report, and remit public purpose program surcharges based on the number of active access </w:t>
      </w:r>
      <w:r w:rsidRPr="001912E8">
        <w:rPr>
          <w:rFonts w:eastAsia="Times New Roman" w:cs="Times New Roman"/>
          <w:szCs w:val="20"/>
        </w:rPr>
        <w:lastRenderedPageBreak/>
        <w:t xml:space="preserve">lines.  For the definition of “access line,” </w:t>
      </w:r>
      <w:r w:rsidRPr="00F16319">
        <w:rPr>
          <w:rFonts w:eastAsia="Times New Roman" w:cs="Times New Roman"/>
          <w:i/>
          <w:iCs/>
          <w:szCs w:val="20"/>
        </w:rPr>
        <w:t>see</w:t>
      </w:r>
      <w:r w:rsidRPr="001912E8">
        <w:rPr>
          <w:rFonts w:eastAsia="Times New Roman" w:cs="Times New Roman"/>
          <w:szCs w:val="20"/>
        </w:rPr>
        <w:t xml:space="preserve"> Section 5.2.2 of D.22-10-021.  The surcharge funds </w:t>
      </w:r>
      <w:proofErr w:type="gramStart"/>
      <w:r w:rsidRPr="001912E8">
        <w:rPr>
          <w:rFonts w:eastAsia="Times New Roman" w:cs="Times New Roman"/>
          <w:szCs w:val="20"/>
        </w:rPr>
        <w:t>the</w:t>
      </w:r>
      <w:proofErr w:type="gramEnd"/>
      <w:r w:rsidRPr="001912E8">
        <w:rPr>
          <w:rFonts w:eastAsia="Times New Roman" w:cs="Times New Roman"/>
          <w:szCs w:val="20"/>
        </w:rPr>
        <w:t xml:space="preserve"> following California public purpose programs:  </w:t>
      </w:r>
    </w:p>
    <w:p w:rsidRPr="001912E8" w:rsidR="001912E8" w:rsidP="00D6171E" w:rsidRDefault="001912E8" w14:paraId="3BE48ECF" w14:textId="77777777">
      <w:pPr>
        <w:numPr>
          <w:ilvl w:val="0"/>
          <w:numId w:val="37"/>
        </w:numPr>
        <w:spacing w:before="120" w:after="240" w:line="240" w:lineRule="auto"/>
        <w:ind w:right="1440"/>
        <w:rPr>
          <w:rFonts w:eastAsia="Times New Roman" w:cs="Times New Roman"/>
          <w:szCs w:val="20"/>
        </w:rPr>
      </w:pPr>
      <w:r w:rsidRPr="001912E8">
        <w:rPr>
          <w:rFonts w:eastAsia="Times New Roman" w:cs="Times New Roman"/>
          <w:szCs w:val="20"/>
        </w:rPr>
        <w:t>The Universal Lifeline Telephone Service Trust Administrative Committee Fund (Pub. Util. Code § 277);</w:t>
      </w:r>
    </w:p>
    <w:p w:rsidRPr="001912E8" w:rsidR="001912E8" w:rsidP="00D6171E" w:rsidRDefault="001912E8" w14:paraId="4A476933" w14:textId="77777777">
      <w:pPr>
        <w:numPr>
          <w:ilvl w:val="0"/>
          <w:numId w:val="37"/>
        </w:numPr>
        <w:spacing w:before="120" w:after="240" w:line="240" w:lineRule="auto"/>
        <w:ind w:right="1440"/>
        <w:rPr>
          <w:rFonts w:eastAsia="Times New Roman" w:cs="Times New Roman"/>
          <w:szCs w:val="20"/>
        </w:rPr>
      </w:pPr>
      <w:r w:rsidRPr="001912E8">
        <w:rPr>
          <w:rFonts w:eastAsia="Times New Roman" w:cs="Times New Roman"/>
          <w:szCs w:val="20"/>
        </w:rPr>
        <w:t>The California Relay Service and Communications Devices Fund (Pub. Util. Code § 2881; D.98</w:t>
      </w:r>
      <w:r w:rsidRPr="001912E8">
        <w:rPr>
          <w:rFonts w:eastAsia="Times New Roman" w:cs="Times New Roman"/>
          <w:szCs w:val="20"/>
        </w:rPr>
        <w:noBreakHyphen/>
        <w:t>12</w:t>
      </w:r>
      <w:r w:rsidRPr="001912E8">
        <w:rPr>
          <w:rFonts w:eastAsia="Times New Roman" w:cs="Times New Roman"/>
          <w:szCs w:val="20"/>
        </w:rPr>
        <w:noBreakHyphen/>
        <w:t>073);</w:t>
      </w:r>
    </w:p>
    <w:p w:rsidRPr="001912E8" w:rsidR="001912E8" w:rsidP="00D6171E" w:rsidRDefault="001912E8" w14:paraId="309BA6BD" w14:textId="77777777">
      <w:pPr>
        <w:numPr>
          <w:ilvl w:val="0"/>
          <w:numId w:val="37"/>
        </w:numPr>
        <w:spacing w:before="120" w:after="240" w:line="240" w:lineRule="auto"/>
        <w:ind w:right="1440"/>
        <w:rPr>
          <w:rFonts w:eastAsia="Times New Roman" w:cs="Times New Roman"/>
          <w:szCs w:val="20"/>
        </w:rPr>
      </w:pPr>
      <w:r w:rsidRPr="001912E8">
        <w:rPr>
          <w:rFonts w:eastAsia="Times New Roman" w:cs="Times New Roman"/>
          <w:szCs w:val="20"/>
        </w:rPr>
        <w:t xml:space="preserve">The California </w:t>
      </w:r>
      <w:proofErr w:type="gramStart"/>
      <w:r w:rsidRPr="001912E8">
        <w:rPr>
          <w:rFonts w:eastAsia="Times New Roman" w:cs="Times New Roman"/>
          <w:szCs w:val="20"/>
        </w:rPr>
        <w:t>High Cost</w:t>
      </w:r>
      <w:proofErr w:type="gramEnd"/>
      <w:r w:rsidRPr="001912E8">
        <w:rPr>
          <w:rFonts w:eastAsia="Times New Roman" w:cs="Times New Roman"/>
          <w:szCs w:val="20"/>
        </w:rPr>
        <w:t xml:space="preserve"> Fund</w:t>
      </w:r>
      <w:r w:rsidRPr="001912E8">
        <w:rPr>
          <w:rFonts w:eastAsia="Times New Roman" w:cs="Times New Roman"/>
          <w:szCs w:val="20"/>
        </w:rPr>
        <w:noBreakHyphen/>
        <w:t>A (Pub. Util. Code § 275.6); D.96</w:t>
      </w:r>
      <w:r w:rsidRPr="001912E8">
        <w:rPr>
          <w:rFonts w:eastAsia="Times New Roman" w:cs="Times New Roman"/>
          <w:szCs w:val="20"/>
        </w:rPr>
        <w:noBreakHyphen/>
        <w:t>10</w:t>
      </w:r>
      <w:r w:rsidRPr="001912E8">
        <w:rPr>
          <w:rFonts w:eastAsia="Times New Roman" w:cs="Times New Roman"/>
          <w:szCs w:val="20"/>
        </w:rPr>
        <w:noBreakHyphen/>
        <w:t>066, at 3</w:t>
      </w:r>
      <w:r w:rsidRPr="001912E8">
        <w:rPr>
          <w:rFonts w:eastAsia="Times New Roman" w:cs="Times New Roman"/>
          <w:szCs w:val="20"/>
        </w:rPr>
        <w:noBreakHyphen/>
        <w:t>4, App. B, Rule 1.C);</w:t>
      </w:r>
    </w:p>
    <w:p w:rsidRPr="001912E8" w:rsidR="001912E8" w:rsidP="00D6171E" w:rsidRDefault="001912E8" w14:paraId="5E587900" w14:textId="77777777">
      <w:pPr>
        <w:numPr>
          <w:ilvl w:val="0"/>
          <w:numId w:val="37"/>
        </w:numPr>
        <w:spacing w:before="120" w:after="240" w:line="240" w:lineRule="auto"/>
        <w:ind w:right="1440"/>
        <w:rPr>
          <w:rFonts w:eastAsia="Times New Roman" w:cs="Times New Roman"/>
          <w:szCs w:val="20"/>
        </w:rPr>
      </w:pPr>
      <w:r w:rsidRPr="001912E8">
        <w:rPr>
          <w:rFonts w:eastAsia="Times New Roman" w:cs="Times New Roman"/>
          <w:szCs w:val="20"/>
        </w:rPr>
        <w:t xml:space="preserve">The California </w:t>
      </w:r>
      <w:proofErr w:type="gramStart"/>
      <w:r w:rsidRPr="001912E8">
        <w:rPr>
          <w:rFonts w:eastAsia="Times New Roman" w:cs="Times New Roman"/>
          <w:szCs w:val="20"/>
        </w:rPr>
        <w:t>High Cost</w:t>
      </w:r>
      <w:proofErr w:type="gramEnd"/>
      <w:r w:rsidRPr="001912E8">
        <w:rPr>
          <w:rFonts w:eastAsia="Times New Roman" w:cs="Times New Roman"/>
          <w:szCs w:val="20"/>
        </w:rPr>
        <w:t xml:space="preserve"> Fund</w:t>
      </w:r>
      <w:r w:rsidRPr="001912E8">
        <w:rPr>
          <w:rFonts w:eastAsia="Times New Roman" w:cs="Times New Roman"/>
          <w:szCs w:val="20"/>
        </w:rPr>
        <w:noBreakHyphen/>
        <w:t>B (Pub. Util. Code § 276.5), D.96</w:t>
      </w:r>
      <w:r w:rsidRPr="001912E8">
        <w:rPr>
          <w:rFonts w:eastAsia="Times New Roman" w:cs="Times New Roman"/>
          <w:szCs w:val="20"/>
        </w:rPr>
        <w:noBreakHyphen/>
        <w:t>10</w:t>
      </w:r>
      <w:r w:rsidRPr="001912E8">
        <w:rPr>
          <w:rFonts w:eastAsia="Times New Roman" w:cs="Times New Roman"/>
          <w:szCs w:val="20"/>
        </w:rPr>
        <w:noBreakHyphen/>
        <w:t>066, at 191, App. B, Rule 6.F.; D.07</w:t>
      </w:r>
      <w:r w:rsidRPr="001912E8">
        <w:rPr>
          <w:rFonts w:eastAsia="Times New Roman" w:cs="Times New Roman"/>
          <w:szCs w:val="20"/>
        </w:rPr>
        <w:noBreakHyphen/>
        <w:t>12</w:t>
      </w:r>
      <w:r w:rsidRPr="001912E8">
        <w:rPr>
          <w:rFonts w:eastAsia="Times New Roman" w:cs="Times New Roman"/>
          <w:szCs w:val="20"/>
        </w:rPr>
        <w:noBreakHyphen/>
        <w:t>054);</w:t>
      </w:r>
    </w:p>
    <w:p w:rsidRPr="001912E8" w:rsidR="001912E8" w:rsidP="00D6171E" w:rsidRDefault="001912E8" w14:paraId="0326D4C3" w14:textId="77777777">
      <w:pPr>
        <w:numPr>
          <w:ilvl w:val="0"/>
          <w:numId w:val="37"/>
        </w:numPr>
        <w:spacing w:before="120" w:after="240" w:line="240" w:lineRule="auto"/>
        <w:ind w:right="1440"/>
        <w:rPr>
          <w:rFonts w:eastAsia="Times New Roman" w:cs="Times New Roman"/>
          <w:szCs w:val="20"/>
        </w:rPr>
      </w:pPr>
      <w:r w:rsidRPr="001912E8">
        <w:rPr>
          <w:rFonts w:eastAsia="Times New Roman" w:cs="Times New Roman"/>
          <w:szCs w:val="20"/>
        </w:rPr>
        <w:t>The California Advanced Services Fund (Pub. Util. Code § 281; D.07</w:t>
      </w:r>
      <w:r w:rsidRPr="001912E8">
        <w:rPr>
          <w:rFonts w:eastAsia="Times New Roman" w:cs="Times New Roman"/>
          <w:szCs w:val="20"/>
        </w:rPr>
        <w:noBreakHyphen/>
        <w:t>12</w:t>
      </w:r>
      <w:r w:rsidRPr="001912E8">
        <w:rPr>
          <w:rFonts w:eastAsia="Times New Roman" w:cs="Times New Roman"/>
          <w:szCs w:val="20"/>
        </w:rPr>
        <w:noBreakHyphen/>
        <w:t>054); and</w:t>
      </w:r>
    </w:p>
    <w:p w:rsidRPr="001912E8" w:rsidR="001912E8" w:rsidP="00D6171E" w:rsidRDefault="001912E8" w14:paraId="03BCF591" w14:textId="77777777">
      <w:pPr>
        <w:numPr>
          <w:ilvl w:val="0"/>
          <w:numId w:val="37"/>
        </w:numPr>
        <w:spacing w:before="120" w:after="240" w:line="240" w:lineRule="auto"/>
        <w:ind w:right="1440"/>
        <w:rPr>
          <w:rFonts w:eastAsia="Times New Roman" w:cs="Times New Roman"/>
          <w:szCs w:val="20"/>
        </w:rPr>
      </w:pPr>
      <w:r w:rsidRPr="001912E8">
        <w:rPr>
          <w:rFonts w:eastAsia="Times New Roman" w:cs="Times New Roman"/>
          <w:szCs w:val="20"/>
        </w:rPr>
        <w:t xml:space="preserve">The California </w:t>
      </w:r>
      <w:proofErr w:type="spellStart"/>
      <w:r w:rsidRPr="001912E8">
        <w:rPr>
          <w:rFonts w:eastAsia="Times New Roman" w:cs="Times New Roman"/>
          <w:szCs w:val="20"/>
        </w:rPr>
        <w:t>Teleconnect</w:t>
      </w:r>
      <w:proofErr w:type="spellEnd"/>
      <w:r w:rsidRPr="001912E8">
        <w:rPr>
          <w:rFonts w:eastAsia="Times New Roman" w:cs="Times New Roman"/>
          <w:szCs w:val="20"/>
        </w:rPr>
        <w:t xml:space="preserve"> Fund (Pub. Util. Code § 280; D.96</w:t>
      </w:r>
      <w:r w:rsidRPr="001912E8">
        <w:rPr>
          <w:rFonts w:eastAsia="Times New Roman" w:cs="Times New Roman"/>
          <w:szCs w:val="20"/>
        </w:rPr>
        <w:noBreakHyphen/>
        <w:t>10</w:t>
      </w:r>
      <w:r w:rsidRPr="001912E8">
        <w:rPr>
          <w:rFonts w:eastAsia="Times New Roman" w:cs="Times New Roman"/>
          <w:szCs w:val="20"/>
        </w:rPr>
        <w:noBreakHyphen/>
        <w:t>066, at 88, App. B, Rule 8.G).</w:t>
      </w:r>
    </w:p>
    <w:p w:rsidRPr="001912E8" w:rsidR="001912E8" w:rsidP="001912E8" w:rsidRDefault="001912E8" w14:paraId="03255C0D" w14:textId="0B293690">
      <w:pPr>
        <w:tabs>
          <w:tab w:val="left" w:pos="720"/>
        </w:tabs>
        <w:suppressAutoHyphens/>
        <w:rPr>
          <w:rFonts w:eastAsia="Times New Roman" w:cs="Times New Roman"/>
          <w:szCs w:val="26"/>
        </w:rPr>
      </w:pPr>
      <w:r w:rsidRPr="001912E8">
        <w:rPr>
          <w:rFonts w:eastAsia="Times New Roman" w:cs="Times New Roman"/>
          <w:szCs w:val="20"/>
        </w:rPr>
        <w:t xml:space="preserve">User Fees must be assessed and collected based on intrastate telecommunications revenues.  The User Fee funds the Commission’s annual operating budget for </w:t>
      </w:r>
      <w:proofErr w:type="gramStart"/>
      <w:r w:rsidRPr="001912E8">
        <w:rPr>
          <w:rFonts w:eastAsia="Times New Roman" w:cs="Times New Roman"/>
          <w:szCs w:val="20"/>
        </w:rPr>
        <w:t xml:space="preserve">regulating </w:t>
      </w:r>
      <w:r w:rsidR="000D2A62">
        <w:rPr>
          <w:rFonts w:eastAsia="Times New Roman" w:cs="Times New Roman"/>
          <w:szCs w:val="20"/>
        </w:rPr>
        <w:t xml:space="preserve"> </w:t>
      </w:r>
      <w:r w:rsidRPr="001912E8">
        <w:rPr>
          <w:rFonts w:eastAsia="Times New Roman" w:cs="Times New Roman"/>
          <w:szCs w:val="20"/>
        </w:rPr>
        <w:t>telecommunications</w:t>
      </w:r>
      <w:proofErr w:type="gramEnd"/>
      <w:r w:rsidRPr="001912E8">
        <w:rPr>
          <w:rFonts w:eastAsia="Times New Roman" w:cs="Times New Roman"/>
          <w:szCs w:val="20"/>
        </w:rPr>
        <w:t xml:space="preserve"> corporations under its jurisdiction (Pub. Util. Code §§ 431</w:t>
      </w:r>
      <w:r w:rsidRPr="001912E8">
        <w:rPr>
          <w:rFonts w:eastAsia="Times New Roman" w:cs="Times New Roman"/>
          <w:szCs w:val="20"/>
        </w:rPr>
        <w:noBreakHyphen/>
        <w:t>435).   </w:t>
      </w:r>
      <w:r w:rsidRPr="001912E8">
        <w:rPr>
          <w:rFonts w:eastAsia="Times New Roman" w:cs="Times New Roman"/>
          <w:szCs w:val="26"/>
        </w:rPr>
        <w:t>Pursuant to D.24-11-003, Interconnected VoIP service providers operating in California are subject to User Fees, starting on July 1, 2025.</w:t>
      </w:r>
    </w:p>
    <w:p w:rsidRPr="001912E8" w:rsidR="001912E8" w:rsidP="00710EBA" w:rsidRDefault="001912E8" w14:paraId="4B4914D0" w14:textId="77777777">
      <w:pPr>
        <w:numPr>
          <w:ilvl w:val="0"/>
          <w:numId w:val="33"/>
        </w:numPr>
        <w:tabs>
          <w:tab w:val="num" w:pos="0"/>
          <w:tab w:val="num" w:pos="630"/>
        </w:tabs>
        <w:ind w:left="0" w:firstLine="360"/>
        <w:rPr>
          <w:rFonts w:eastAsia="Times New Roman" w:cs="Times New Roman"/>
          <w:szCs w:val="20"/>
        </w:rPr>
      </w:pPr>
      <w:r w:rsidRPr="001912E8">
        <w:rPr>
          <w:rFonts w:eastAsia="Times New Roman" w:cs="Times New Roman"/>
          <w:szCs w:val="20"/>
        </w:rPr>
        <w:t xml:space="preserve">Carrier is responsible for obtaining guidance and directives from the Commission’s Communications Division for timely reporting and remitting of public purpose program surcharges and the user fees through the Commission’s proprietary TUFFS portal. Additional information about telecommunications surcharges and user fees is available from the Commission’s website: </w:t>
      </w:r>
      <w:hyperlink w:history="1" r:id="rId31">
        <w:r w:rsidRPr="001912E8">
          <w:rPr>
            <w:rFonts w:eastAsia="Times New Roman" w:cs="Times New Roman"/>
            <w:color w:val="0000FF"/>
            <w:szCs w:val="20"/>
            <w:u w:val="single"/>
          </w:rPr>
          <w:t>https://www.cpuc.ca.gov/industries-and-topics/internet-and-phone/telecommunications-surcharges-and-user-fees</w:t>
        </w:r>
      </w:hyperlink>
      <w:r w:rsidRPr="001912E8">
        <w:rPr>
          <w:rFonts w:eastAsia="Times New Roman" w:cs="Times New Roman"/>
          <w:szCs w:val="20"/>
        </w:rPr>
        <w:t xml:space="preserve">. </w:t>
      </w:r>
    </w:p>
    <w:p w:rsidRPr="001912E8" w:rsidR="001912E8" w:rsidP="00710EBA" w:rsidRDefault="001912E8" w14:paraId="4DB03FB1" w14:textId="77777777">
      <w:pPr>
        <w:numPr>
          <w:ilvl w:val="0"/>
          <w:numId w:val="33"/>
        </w:numPr>
        <w:tabs>
          <w:tab w:val="num" w:pos="0"/>
          <w:tab w:val="num" w:pos="630"/>
        </w:tabs>
        <w:ind w:left="0" w:firstLine="360"/>
        <w:rPr>
          <w:rFonts w:eastAsia="Times New Roman" w:cs="Times New Roman"/>
          <w:szCs w:val="20"/>
        </w:rPr>
      </w:pPr>
      <w:r w:rsidRPr="001912E8">
        <w:rPr>
          <w:rFonts w:eastAsia="Times New Roman" w:cs="Times New Roman"/>
          <w:szCs w:val="20"/>
        </w:rPr>
        <w:lastRenderedPageBreak/>
        <w:t xml:space="preserve">Carrier is responsible for timely and accurate reporting of its number of access lines and remitting the resulting public purpose program surcharges through TUFFS, even if there are zero access lines to report and zero resulting surcharges to remit.  Carriers that report and/or remit surcharge funds after the due date will be charged a penalty equal to an annual rate of 10 percent.  Send an email to </w:t>
      </w:r>
      <w:hyperlink w:history="1" r:id="rId32">
        <w:r w:rsidRPr="001912E8">
          <w:rPr>
            <w:rFonts w:eastAsia="Times New Roman" w:cs="Times New Roman"/>
            <w:color w:val="0000FF"/>
            <w:szCs w:val="20"/>
            <w:u w:val="single"/>
          </w:rPr>
          <w:t>Telcosurcharge@cpuc.ca.gov</w:t>
        </w:r>
      </w:hyperlink>
      <w:r w:rsidRPr="001912E8">
        <w:rPr>
          <w:rFonts w:eastAsia="Times New Roman" w:cs="Times New Roman"/>
          <w:szCs w:val="20"/>
        </w:rPr>
        <w:t xml:space="preserve"> for questions related to surcharges and access to TUFFS.  Current and historical surcharge rates are </w:t>
      </w:r>
      <w:r w:rsidRPr="001912E8">
        <w:rPr>
          <w:rFonts w:eastAsia="Times New Roman" w:cs="Times New Roman"/>
          <w:szCs w:val="26"/>
        </w:rPr>
        <w:t xml:space="preserve">available from the Commission’s website: </w:t>
      </w:r>
      <w:hyperlink w:history="1" r:id="rId33">
        <w:r w:rsidRPr="001912E8">
          <w:rPr>
            <w:rFonts w:ascii="Palatino" w:hAnsi="Palatino" w:eastAsia="Times New Roman" w:cs="Times New Roman"/>
            <w:color w:val="0000FF"/>
            <w:szCs w:val="20"/>
            <w:u w:val="single"/>
          </w:rPr>
          <w:t>https://www.cpuc.ca.gov/industries-and-topics/internet-and-phone/telecommunications-surcharges-and-user-fees/surcharge-rates</w:t>
        </w:r>
      </w:hyperlink>
      <w:r w:rsidRPr="001912E8">
        <w:rPr>
          <w:rFonts w:eastAsia="Times New Roman" w:cs="Times New Roman"/>
          <w:szCs w:val="20"/>
        </w:rPr>
        <w:t xml:space="preserve">.  </w:t>
      </w:r>
    </w:p>
    <w:p w:rsidRPr="001912E8" w:rsidR="001912E8" w:rsidP="00710EBA" w:rsidRDefault="001912E8" w14:paraId="7D8841DD" w14:textId="77777777">
      <w:pPr>
        <w:numPr>
          <w:ilvl w:val="0"/>
          <w:numId w:val="33"/>
        </w:numPr>
        <w:tabs>
          <w:tab w:val="left" w:pos="-720"/>
          <w:tab w:val="num" w:pos="630"/>
          <w:tab w:val="num" w:pos="720"/>
        </w:tabs>
        <w:suppressAutoHyphens/>
        <w:ind w:left="0" w:firstLine="360"/>
        <w:rPr>
          <w:rFonts w:eastAsia="Times New Roman" w:cs="Times New Roman"/>
          <w:szCs w:val="20"/>
        </w:rPr>
      </w:pPr>
      <w:r w:rsidRPr="001912E8">
        <w:rPr>
          <w:rFonts w:eastAsia="Times New Roman" w:cs="Times New Roman"/>
          <w:szCs w:val="20"/>
        </w:rPr>
        <w:t xml:space="preserve">Carrier is responsible for timely and accurate reporting and remitting of the user fees based on a standard user fee remittance rate applied to the gross intrastate revenue or an annual minimum user fee of $100, whichever is greater.  The user fee remittance rate is determined annually by the Commission and posted on the Commission’s webpage.  The reporting and remittance of user fees must be through TUFFS within 15 days after the end of each calendar quarter (March 31, June 30, September 30, and December 31) or January 15 due date for those paying the annual minimum user fee of $100.  TUFFS will automatically adjust the minimum user fee amount to $100 when the annual gross intrastate revenue is zero </w:t>
      </w:r>
      <w:r w:rsidRPr="001912E8">
        <w:rPr>
          <w:rFonts w:eastAsia="Times New Roman" w:cs="Times New Roman"/>
          <w:szCs w:val="26"/>
        </w:rPr>
        <w:t xml:space="preserve">($0) </w:t>
      </w:r>
      <w:r w:rsidRPr="001912E8">
        <w:rPr>
          <w:rFonts w:eastAsia="Times New Roman" w:cs="Times New Roman"/>
          <w:szCs w:val="20"/>
        </w:rPr>
        <w:t xml:space="preserve">or less than the annual minimum user fee of $100. Under </w:t>
      </w:r>
      <w:r w:rsidRPr="001912E8">
        <w:rPr>
          <w:rFonts w:ascii="Palatino" w:hAnsi="Palatino" w:eastAsia="Times New Roman" w:cs="Times New Roman"/>
          <w:szCs w:val="20"/>
        </w:rPr>
        <w:t xml:space="preserve">Pub. Util. Code Section </w:t>
      </w:r>
      <w:r w:rsidRPr="001912E8">
        <w:rPr>
          <w:rFonts w:eastAsia="Times New Roman" w:cs="Times New Roman"/>
          <w:szCs w:val="20"/>
        </w:rPr>
        <w:t xml:space="preserve">405, carriers that are in default of reporting and submitting user fees more than 30 days after the quarterly user fee payment due dates of April 15, July 15, October 15, and January 15, or more than 30 days after the January 15 due date for those utilities paying the annual minimum user fee of $100, will be subject to automatic penalties including suspension or revocation of their authority to operate in California. </w:t>
      </w:r>
      <w:r w:rsidRPr="001912E8">
        <w:rPr>
          <w:rFonts w:eastAsia="Times New Roman" w:cs="Times New Roman"/>
          <w:szCs w:val="26"/>
        </w:rPr>
        <w:t xml:space="preserve"> Pursuant to D.24-11-003, Interconnected </w:t>
      </w:r>
      <w:r w:rsidRPr="001912E8">
        <w:rPr>
          <w:rFonts w:eastAsia="Times New Roman" w:cs="Times New Roman"/>
          <w:szCs w:val="26"/>
        </w:rPr>
        <w:lastRenderedPageBreak/>
        <w:t xml:space="preserve">VoIP service providers operating in California are subject to User Fees, starting on July 1, 2025.  Send an email to </w:t>
      </w:r>
      <w:hyperlink w:history="1" r:id="rId34">
        <w:r w:rsidRPr="001912E8">
          <w:rPr>
            <w:rFonts w:eastAsia="Times New Roman" w:cs="Times New Roman"/>
            <w:color w:val="0000FF"/>
            <w:szCs w:val="26"/>
            <w:u w:val="single"/>
          </w:rPr>
          <w:t>userfees@cpuc.ca.gov</w:t>
        </w:r>
      </w:hyperlink>
      <w:r w:rsidRPr="001912E8">
        <w:rPr>
          <w:rFonts w:eastAsia="Times New Roman" w:cs="Times New Roman"/>
          <w:szCs w:val="26"/>
        </w:rPr>
        <w:t xml:space="preserve"> for questions related to user fees.  </w:t>
      </w:r>
      <w:r w:rsidRPr="001912E8">
        <w:rPr>
          <w:rFonts w:eastAsia="Times New Roman" w:cs="Times New Roman"/>
          <w:szCs w:val="20"/>
        </w:rPr>
        <w:t xml:space="preserve">Send an email to </w:t>
      </w:r>
      <w:hyperlink w:history="1" r:id="rId35">
        <w:r w:rsidRPr="001912E8">
          <w:rPr>
            <w:rFonts w:eastAsia="Times New Roman" w:cs="Times New Roman"/>
            <w:color w:val="0000FF"/>
            <w:szCs w:val="20"/>
            <w:u w:val="single"/>
          </w:rPr>
          <w:t>userfees@cpuc.ca.gov</w:t>
        </w:r>
      </w:hyperlink>
      <w:r w:rsidRPr="001912E8">
        <w:rPr>
          <w:rFonts w:eastAsia="Times New Roman" w:cs="Times New Roman"/>
          <w:szCs w:val="20"/>
        </w:rPr>
        <w:t xml:space="preserve"> for questions related to user fees.  Current and historical user fee rates are available from the Commission’s website: </w:t>
      </w:r>
      <w:hyperlink w:history="1" r:id="rId36">
        <w:r w:rsidRPr="001912E8">
          <w:rPr>
            <w:rFonts w:eastAsia="Times New Roman" w:cs="Times New Roman"/>
            <w:color w:val="0000FF"/>
            <w:szCs w:val="20"/>
            <w:u w:val="single"/>
          </w:rPr>
          <w:t>https://www.cpuc.ca.gov/industries-and-topics/internet-and-phone/telecommunications-surcharges-and-user-fees/user-fee-rates</w:t>
        </w:r>
      </w:hyperlink>
      <w:r w:rsidRPr="001912E8">
        <w:rPr>
          <w:rFonts w:eastAsia="Times New Roman" w:cs="Times New Roman"/>
          <w:szCs w:val="20"/>
        </w:rPr>
        <w:t xml:space="preserve">.  </w:t>
      </w:r>
    </w:p>
    <w:p w:rsidRPr="001912E8" w:rsidR="001912E8" w:rsidP="00710EBA" w:rsidRDefault="001912E8" w14:paraId="6F53AFF2" w14:textId="77777777">
      <w:pPr>
        <w:numPr>
          <w:ilvl w:val="0"/>
          <w:numId w:val="33"/>
        </w:numPr>
        <w:tabs>
          <w:tab w:val="left" w:pos="-720"/>
          <w:tab w:val="num" w:pos="630"/>
          <w:tab w:val="num" w:pos="720"/>
        </w:tabs>
        <w:suppressAutoHyphens/>
        <w:ind w:left="0" w:firstLine="360"/>
        <w:rPr>
          <w:rFonts w:eastAsia="Times New Roman" w:cs="Times New Roman"/>
          <w:szCs w:val="20"/>
        </w:rPr>
      </w:pPr>
      <w:r w:rsidRPr="001912E8">
        <w:rPr>
          <w:rFonts w:eastAsia="Times New Roman" w:cs="Times New Roman"/>
          <w:szCs w:val="20"/>
        </w:rPr>
        <w:t>In compliance with Resolution T-16901, December 2, 2004, Carrier is responsible for checking the joint tariff for public purpose program surcharges and user fees filed by Pacific Bell Telephone Company dba AT&amp;T California and applying the current public purpose program surcharges and user fees amounts in that joint tariff on end user bills until further revised.</w:t>
      </w:r>
    </w:p>
    <w:p w:rsidRPr="001912E8" w:rsidR="001912E8" w:rsidP="00710EBA" w:rsidRDefault="001912E8" w14:paraId="7891D012" w14:textId="77777777">
      <w:pPr>
        <w:numPr>
          <w:ilvl w:val="0"/>
          <w:numId w:val="33"/>
        </w:numPr>
        <w:tabs>
          <w:tab w:val="left" w:pos="-720"/>
          <w:tab w:val="num" w:pos="630"/>
          <w:tab w:val="num" w:pos="720"/>
        </w:tabs>
        <w:suppressAutoHyphens/>
        <w:ind w:left="0" w:firstLine="360"/>
        <w:rPr>
          <w:rFonts w:eastAsia="Times New Roman" w:cs="Times New Roman"/>
          <w:szCs w:val="20"/>
        </w:rPr>
      </w:pPr>
      <w:bookmarkStart w:name="_Hlk211408771" w:id="120"/>
      <w:r w:rsidRPr="001912E8">
        <w:rPr>
          <w:rFonts w:eastAsia="Times New Roman" w:cs="Times New Roman"/>
          <w:szCs w:val="20"/>
        </w:rPr>
        <w:t xml:space="preserve">Carrier is responsible for ensuring that its tariff filings reflect all surcharges and fees to which </w:t>
      </w:r>
      <w:proofErr w:type="gramStart"/>
      <w:r w:rsidRPr="001912E8">
        <w:rPr>
          <w:rFonts w:eastAsia="Times New Roman" w:cs="Times New Roman"/>
          <w:szCs w:val="20"/>
        </w:rPr>
        <w:t>it is</w:t>
      </w:r>
      <w:proofErr w:type="gramEnd"/>
      <w:r w:rsidRPr="001912E8">
        <w:rPr>
          <w:rFonts w:eastAsia="Times New Roman" w:cs="Times New Roman"/>
          <w:szCs w:val="20"/>
        </w:rPr>
        <w:t xml:space="preserve"> subject, as identified above.</w:t>
      </w:r>
    </w:p>
    <w:bookmarkEnd w:id="120"/>
    <w:p w:rsidRPr="001912E8" w:rsidR="001912E8" w:rsidP="00710EBA" w:rsidRDefault="001912E8" w14:paraId="0CE837CE" w14:textId="77777777">
      <w:pPr>
        <w:numPr>
          <w:ilvl w:val="0"/>
          <w:numId w:val="33"/>
        </w:numPr>
        <w:tabs>
          <w:tab w:val="left" w:pos="-720"/>
          <w:tab w:val="num" w:pos="630"/>
          <w:tab w:val="num" w:pos="720"/>
        </w:tabs>
        <w:suppressAutoHyphens/>
        <w:ind w:left="0" w:firstLine="360"/>
        <w:rPr>
          <w:rFonts w:eastAsia="Times New Roman" w:cs="Times New Roman"/>
          <w:szCs w:val="20"/>
        </w:rPr>
      </w:pPr>
      <w:r w:rsidRPr="001912E8">
        <w:rPr>
          <w:rFonts w:eastAsia="Times New Roman" w:cs="Times New Roman"/>
          <w:szCs w:val="26"/>
        </w:rPr>
        <w:t xml:space="preserve">  If Carrier is a provider of interexchange services, competitive local exchange services, and/or fixed interconnected VoIP services</w:t>
      </w:r>
      <w:r w:rsidRPr="001912E8">
        <w:rPr>
          <w:rFonts w:eastAsia="Times New Roman" w:cs="Times New Roman"/>
          <w:szCs w:val="20"/>
        </w:rPr>
        <w:t>, the effectiveness of its future nondominant carrier tariffs, if applicable, is subject to the requirements of General Order 96</w:t>
      </w:r>
      <w:r w:rsidRPr="001912E8">
        <w:rPr>
          <w:rFonts w:eastAsia="Times New Roman" w:cs="Times New Roman"/>
          <w:szCs w:val="20"/>
        </w:rPr>
        <w:noBreakHyphen/>
        <w:t>B and the Telecommunications Industry Rules (D.07</w:t>
      </w:r>
      <w:r w:rsidRPr="001912E8">
        <w:rPr>
          <w:rFonts w:eastAsia="Times New Roman" w:cs="Times New Roman"/>
          <w:szCs w:val="20"/>
        </w:rPr>
        <w:noBreakHyphen/>
        <w:t>09</w:t>
      </w:r>
      <w:r w:rsidRPr="001912E8">
        <w:rPr>
          <w:rFonts w:eastAsia="Times New Roman" w:cs="Times New Roman"/>
          <w:szCs w:val="20"/>
        </w:rPr>
        <w:noBreakHyphen/>
        <w:t>019).</w:t>
      </w:r>
    </w:p>
    <w:p w:rsidRPr="001912E8" w:rsidR="001912E8" w:rsidP="00710EBA" w:rsidRDefault="001912E8" w14:paraId="43B197A7" w14:textId="77777777">
      <w:pPr>
        <w:numPr>
          <w:ilvl w:val="0"/>
          <w:numId w:val="33"/>
        </w:numPr>
        <w:tabs>
          <w:tab w:val="left" w:pos="-720"/>
          <w:tab w:val="num" w:pos="630"/>
          <w:tab w:val="num" w:pos="720"/>
        </w:tabs>
        <w:suppressAutoHyphens/>
        <w:ind w:left="0" w:firstLine="360"/>
        <w:rPr>
          <w:rFonts w:eastAsia="Times New Roman" w:cs="Times New Roman"/>
          <w:szCs w:val="20"/>
        </w:rPr>
      </w:pPr>
      <w:r w:rsidRPr="001912E8">
        <w:rPr>
          <w:rFonts w:eastAsia="Times New Roman" w:cs="Times New Roman"/>
          <w:szCs w:val="20"/>
        </w:rPr>
        <w:t>If Carrier is a non</w:t>
      </w:r>
      <w:r w:rsidRPr="001912E8">
        <w:rPr>
          <w:rFonts w:eastAsia="Times New Roman" w:cs="Times New Roman"/>
          <w:szCs w:val="20"/>
        </w:rPr>
        <w:noBreakHyphen/>
        <w:t>dominant interexchange carrier, the effectiveness of its future non</w:t>
      </w:r>
      <w:r w:rsidRPr="001912E8">
        <w:rPr>
          <w:rFonts w:eastAsia="Times New Roman" w:cs="Times New Roman"/>
          <w:szCs w:val="20"/>
        </w:rPr>
        <w:noBreakHyphen/>
        <w:t>dominant interexchange carrier tariffs is subject to the requirement of General Order 96</w:t>
      </w:r>
      <w:r w:rsidRPr="001912E8">
        <w:rPr>
          <w:rFonts w:eastAsia="Times New Roman" w:cs="Times New Roman"/>
          <w:szCs w:val="20"/>
        </w:rPr>
        <w:noBreakHyphen/>
        <w:t>B and the Telecommunications Industry Rules (D.07</w:t>
      </w:r>
      <w:r w:rsidRPr="001912E8">
        <w:rPr>
          <w:rFonts w:eastAsia="Times New Roman" w:cs="Times New Roman"/>
          <w:szCs w:val="20"/>
        </w:rPr>
        <w:noBreakHyphen/>
        <w:t>09</w:t>
      </w:r>
      <w:r w:rsidRPr="001912E8">
        <w:rPr>
          <w:rFonts w:eastAsia="Times New Roman" w:cs="Times New Roman"/>
          <w:szCs w:val="20"/>
        </w:rPr>
        <w:noBreakHyphen/>
        <w:t>019).</w:t>
      </w:r>
    </w:p>
    <w:p w:rsidRPr="001912E8" w:rsidR="001912E8" w:rsidP="00710EBA" w:rsidRDefault="001912E8" w14:paraId="0F13B5E4" w14:textId="11AB465D">
      <w:pPr>
        <w:numPr>
          <w:ilvl w:val="0"/>
          <w:numId w:val="33"/>
        </w:numPr>
        <w:tabs>
          <w:tab w:val="left" w:pos="-720"/>
          <w:tab w:val="num" w:pos="630"/>
          <w:tab w:val="num" w:pos="720"/>
        </w:tabs>
        <w:suppressAutoHyphens/>
        <w:ind w:left="0" w:firstLine="360"/>
        <w:rPr>
          <w:rFonts w:eastAsia="Times New Roman" w:cs="Times New Roman"/>
          <w:szCs w:val="20"/>
        </w:rPr>
      </w:pPr>
      <w:r w:rsidRPr="001912E8">
        <w:rPr>
          <w:rFonts w:eastAsia="Times New Roman" w:cs="Times New Roman"/>
          <w:szCs w:val="20"/>
        </w:rPr>
        <w:t xml:space="preserve"> Carrier providing competitive local exchange service is responsible for submitting a service area map as part of its initial tariff filed via </w:t>
      </w:r>
      <w:r w:rsidR="00930FE1">
        <w:rPr>
          <w:rFonts w:eastAsia="Times New Roman" w:cs="Times New Roman"/>
          <w:szCs w:val="20"/>
        </w:rPr>
        <w:t>a</w:t>
      </w:r>
      <w:r w:rsidRPr="001912E8">
        <w:rPr>
          <w:rFonts w:eastAsia="Times New Roman" w:cs="Times New Roman"/>
          <w:szCs w:val="20"/>
        </w:rPr>
        <w:t xml:space="preserve">dvice </w:t>
      </w:r>
      <w:r w:rsidR="00930FE1">
        <w:rPr>
          <w:rFonts w:eastAsia="Times New Roman" w:cs="Times New Roman"/>
          <w:szCs w:val="20"/>
        </w:rPr>
        <w:t>l</w:t>
      </w:r>
      <w:r w:rsidRPr="001912E8">
        <w:rPr>
          <w:rFonts w:eastAsia="Times New Roman" w:cs="Times New Roman"/>
          <w:szCs w:val="20"/>
        </w:rPr>
        <w:t>etter to the Communications Division.</w:t>
      </w:r>
    </w:p>
    <w:p w:rsidRPr="001912E8" w:rsidR="001912E8" w:rsidP="00710EBA" w:rsidRDefault="001912E8" w14:paraId="0235A59A" w14:textId="77777777">
      <w:pPr>
        <w:numPr>
          <w:ilvl w:val="0"/>
          <w:numId w:val="33"/>
        </w:numPr>
        <w:tabs>
          <w:tab w:val="left" w:pos="-720"/>
          <w:tab w:val="num" w:pos="0"/>
          <w:tab w:val="num" w:pos="630"/>
          <w:tab w:val="num" w:pos="720"/>
        </w:tabs>
        <w:suppressAutoHyphens/>
        <w:ind w:left="0" w:firstLine="360"/>
        <w:rPr>
          <w:rFonts w:eastAsia="Times New Roman" w:cs="Times New Roman"/>
          <w:szCs w:val="26"/>
        </w:rPr>
      </w:pPr>
      <w:r w:rsidRPr="001912E8">
        <w:rPr>
          <w:rFonts w:eastAsia="Times New Roman" w:cs="Times New Roman"/>
          <w:szCs w:val="20"/>
        </w:rPr>
        <w:t xml:space="preserve">Carrier is responsible for submitting a copy of its complete tariff in use to the Commission’s Director of the Communications Division, by email to </w:t>
      </w:r>
      <w:hyperlink w:history="1" r:id="rId37">
        <w:r w:rsidRPr="001912E8">
          <w:rPr>
            <w:rFonts w:eastAsia="Times New Roman" w:cs="Times New Roman"/>
            <w:color w:val="0000FF"/>
            <w:szCs w:val="20"/>
            <w:u w:val="single"/>
          </w:rPr>
          <w:t>cdcompliance@cpuc.ca.gov</w:t>
        </w:r>
      </w:hyperlink>
      <w:r w:rsidRPr="001912E8">
        <w:rPr>
          <w:rFonts w:eastAsia="Times New Roman" w:cs="Times New Roman"/>
          <w:szCs w:val="20"/>
          <w:u w:val="single"/>
        </w:rPr>
        <w:t>,</w:t>
      </w:r>
      <w:r w:rsidRPr="001912E8">
        <w:rPr>
          <w:rFonts w:eastAsia="Times New Roman" w:cs="Times New Roman"/>
          <w:szCs w:val="20"/>
        </w:rPr>
        <w:t xml:space="preserve"> in compliance with Pub. Util. Codes Section 489(a), no later than February 15 of each year.  </w:t>
      </w:r>
      <w:r w:rsidRPr="001912E8">
        <w:rPr>
          <w:rFonts w:eastAsia="Times New Roman" w:cs="Times New Roman"/>
          <w:szCs w:val="26"/>
        </w:rPr>
        <w:t xml:space="preserve">Additional information is available from the Commission’s Website: </w:t>
      </w:r>
      <w:hyperlink r:id="rId38">
        <w:r w:rsidRPr="001912E8">
          <w:rPr>
            <w:rFonts w:eastAsia="Times New Roman" w:cs="Times New Roman"/>
            <w:color w:val="0000FF"/>
            <w:szCs w:val="26"/>
            <w:u w:val="single"/>
          </w:rPr>
          <w:t>https://www.cpuc.ca.gov/industries-and-topics/internet-and-phone/carrier-reporting-requirements/tariff-filing-requirements</w:t>
        </w:r>
      </w:hyperlink>
      <w:r w:rsidRPr="001912E8">
        <w:rPr>
          <w:rFonts w:eastAsia="Times New Roman" w:cs="Times New Roman"/>
          <w:szCs w:val="26"/>
        </w:rPr>
        <w:t>.</w:t>
      </w:r>
    </w:p>
    <w:p w:rsidRPr="001912E8" w:rsidR="001912E8" w:rsidP="00710EBA" w:rsidRDefault="001912E8" w14:paraId="38D7F5EF" w14:textId="69C1FFBA">
      <w:pPr>
        <w:numPr>
          <w:ilvl w:val="0"/>
          <w:numId w:val="33"/>
        </w:numPr>
        <w:tabs>
          <w:tab w:val="left" w:pos="-720"/>
          <w:tab w:val="num" w:pos="630"/>
          <w:tab w:val="num" w:pos="720"/>
        </w:tabs>
        <w:suppressAutoHyphens/>
        <w:ind w:left="0" w:firstLine="360"/>
        <w:rPr>
          <w:rFonts w:eastAsia="Times New Roman" w:cs="Times New Roman"/>
          <w:szCs w:val="20"/>
        </w:rPr>
      </w:pPr>
      <w:r w:rsidRPr="001912E8">
        <w:rPr>
          <w:rFonts w:eastAsia="Times New Roman" w:cs="Times New Roman"/>
          <w:szCs w:val="20"/>
        </w:rPr>
        <w:t xml:space="preserve">Carrier is required to submit a Tier-1 Advice Letter on an annual basis, no later than March 31 of each year, with a copy of the executed performance bond. Carrier is responsible for ensuring that its performance bond does not lapse during any period of its operation.  Additional information regarding performance bond requirement is </w:t>
      </w:r>
      <w:r w:rsidRPr="001912E8">
        <w:rPr>
          <w:rFonts w:eastAsia="Times New Roman" w:cs="Times New Roman"/>
          <w:szCs w:val="26"/>
        </w:rPr>
        <w:t>available from the Com</w:t>
      </w:r>
      <w:r w:rsidR="00DE1FE9">
        <w:rPr>
          <w:rFonts w:eastAsia="Times New Roman" w:cs="Times New Roman"/>
          <w:szCs w:val="26"/>
        </w:rPr>
        <w:t>m</w:t>
      </w:r>
      <w:r w:rsidRPr="001912E8">
        <w:rPr>
          <w:rFonts w:eastAsia="Times New Roman" w:cs="Times New Roman"/>
          <w:szCs w:val="26"/>
        </w:rPr>
        <w:t xml:space="preserve">ission’s website: </w:t>
      </w:r>
      <w:hyperlink w:history="1" r:id="rId39">
        <w:r w:rsidRPr="001912E8">
          <w:rPr>
            <w:rFonts w:eastAsia="Times New Roman" w:cs="Times New Roman"/>
            <w:color w:val="0000FF"/>
            <w:szCs w:val="20"/>
            <w:u w:val="single"/>
          </w:rPr>
          <w:t>https://www.cpuc.ca.gov/industries-and-topics/internet-and-phone/carrier-reporting-requirements/performance-bond-requirements</w:t>
        </w:r>
      </w:hyperlink>
      <w:r w:rsidRPr="001912E8">
        <w:rPr>
          <w:rFonts w:eastAsia="Times New Roman" w:cs="Times New Roman"/>
          <w:szCs w:val="20"/>
        </w:rPr>
        <w:t xml:space="preserve">. </w:t>
      </w:r>
      <w:r w:rsidRPr="001912E8" w:rsidDel="00171110">
        <w:rPr>
          <w:rFonts w:eastAsia="Times New Roman" w:cs="Times New Roman"/>
          <w:szCs w:val="20"/>
        </w:rPr>
        <w:t xml:space="preserve"> </w:t>
      </w:r>
      <w:r w:rsidRPr="001912E8">
        <w:rPr>
          <w:rFonts w:eastAsia="Times New Roman" w:cs="Times New Roman"/>
          <w:szCs w:val="20"/>
        </w:rPr>
        <w:t xml:space="preserve"> </w:t>
      </w:r>
    </w:p>
    <w:p w:rsidRPr="001912E8" w:rsidR="001912E8" w:rsidP="00710EBA" w:rsidRDefault="001912E8" w14:paraId="5002B029" w14:textId="77777777">
      <w:pPr>
        <w:numPr>
          <w:ilvl w:val="0"/>
          <w:numId w:val="33"/>
        </w:numPr>
        <w:tabs>
          <w:tab w:val="num" w:pos="630"/>
          <w:tab w:val="left" w:pos="720"/>
        </w:tabs>
        <w:suppressAutoHyphens/>
        <w:ind w:left="0" w:firstLine="270"/>
        <w:rPr>
          <w:rFonts w:eastAsia="Times New Roman" w:cs="Times New Roman"/>
          <w:szCs w:val="20"/>
        </w:rPr>
      </w:pPr>
      <w:r w:rsidRPr="001912E8">
        <w:rPr>
          <w:rFonts w:eastAsia="Times New Roman" w:cs="Times New Roman"/>
          <w:szCs w:val="20"/>
        </w:rPr>
        <w:t xml:space="preserve"> Carrier is responsible for ensuring that its employees comply with the provisions of Pub. Util. Code Section 2889.5 regarding solicitation of customers.</w:t>
      </w:r>
    </w:p>
    <w:p w:rsidRPr="001912E8" w:rsidR="001912E8" w:rsidP="00710EBA" w:rsidRDefault="001912E8" w14:paraId="122CE2AC" w14:textId="77777777">
      <w:pPr>
        <w:numPr>
          <w:ilvl w:val="0"/>
          <w:numId w:val="33"/>
        </w:numPr>
        <w:tabs>
          <w:tab w:val="num" w:pos="630"/>
          <w:tab w:val="left" w:pos="720"/>
        </w:tabs>
        <w:suppressAutoHyphens/>
        <w:ind w:left="0" w:firstLine="270"/>
        <w:rPr>
          <w:rFonts w:eastAsia="Times New Roman" w:cs="Times New Roman"/>
          <w:szCs w:val="20"/>
        </w:rPr>
      </w:pPr>
      <w:r w:rsidRPr="001912E8">
        <w:rPr>
          <w:rFonts w:eastAsia="Times New Roman" w:cs="Times New Roman"/>
          <w:szCs w:val="20"/>
        </w:rPr>
        <w:t xml:space="preserve"> If Carrier is 90 days or more late in complying with its reporting obligations to the Commission including but not limited to filing its annual reports (</w:t>
      </w:r>
      <w:r w:rsidRPr="001912E8">
        <w:rPr>
          <w:rFonts w:eastAsia="Times New Roman" w:cs="Times New Roman"/>
          <w:i/>
          <w:iCs/>
          <w:szCs w:val="20"/>
        </w:rPr>
        <w:t>e.g.</w:t>
      </w:r>
      <w:r w:rsidRPr="001912E8">
        <w:rPr>
          <w:rFonts w:eastAsia="Times New Roman" w:cs="Times New Roman"/>
          <w:szCs w:val="20"/>
        </w:rPr>
        <w:t>, Operations and Financials, and Affiliated Transaction Reports), submitting Performance Bonds, reporting and remitting surcharges and user fees; and has not received written permission from the Commission or Communications Division to file or remit late</w:t>
      </w:r>
      <w:r w:rsidRPr="001912E8">
        <w:rPr>
          <w:rFonts w:ascii="Palatino" w:hAnsi="Palatino" w:eastAsia="Times New Roman" w:cs="Times New Roman"/>
          <w:szCs w:val="20"/>
        </w:rPr>
        <w:t xml:space="preserve">, the Communications Division may issue a citation pursuant to Resolution T-17601.  Failure to comply with the issued citation or timely </w:t>
      </w:r>
      <w:proofErr w:type="gramStart"/>
      <w:r w:rsidRPr="001912E8">
        <w:rPr>
          <w:rFonts w:ascii="Palatino" w:hAnsi="Palatino" w:eastAsia="Times New Roman" w:cs="Times New Roman"/>
          <w:szCs w:val="20"/>
        </w:rPr>
        <w:t>appeal the citation</w:t>
      </w:r>
      <w:proofErr w:type="gramEnd"/>
      <w:r w:rsidRPr="001912E8">
        <w:rPr>
          <w:rFonts w:ascii="Palatino" w:hAnsi="Palatino" w:eastAsia="Times New Roman" w:cs="Times New Roman"/>
          <w:szCs w:val="20"/>
        </w:rPr>
        <w:t xml:space="preserve"> may result in a revocation of the company’s operating authority and/or a referral to the Commission’s Consumer Protection and Enforcement Division for enforcement action, which could result in additional fines, penalties, or other sanctions. </w:t>
      </w:r>
    </w:p>
    <w:p w:rsidRPr="001912E8" w:rsidR="001912E8" w:rsidP="00710EBA" w:rsidRDefault="001912E8" w14:paraId="5F00A8CA" w14:textId="77777777">
      <w:pPr>
        <w:numPr>
          <w:ilvl w:val="0"/>
          <w:numId w:val="33"/>
        </w:numPr>
        <w:tabs>
          <w:tab w:val="num" w:pos="630"/>
          <w:tab w:val="left" w:pos="720"/>
        </w:tabs>
        <w:suppressAutoHyphens/>
        <w:ind w:left="0" w:firstLine="270"/>
        <w:rPr>
          <w:rFonts w:eastAsia="Times New Roman" w:cs="Times New Roman"/>
          <w:szCs w:val="20"/>
        </w:rPr>
      </w:pPr>
      <w:r w:rsidRPr="001912E8">
        <w:rPr>
          <w:rFonts w:eastAsia="Times New Roman" w:cs="Times New Roman"/>
          <w:szCs w:val="20"/>
        </w:rPr>
        <w:lastRenderedPageBreak/>
        <w:t xml:space="preserve"> Carrier is exempt from Rule 3.1(b) of the Commission’s Rules of Practice and Procedure. </w:t>
      </w:r>
    </w:p>
    <w:p w:rsidRPr="001912E8" w:rsidR="001912E8" w:rsidP="00710EBA" w:rsidRDefault="001912E8" w14:paraId="37583216" w14:textId="77777777">
      <w:pPr>
        <w:numPr>
          <w:ilvl w:val="0"/>
          <w:numId w:val="33"/>
        </w:numPr>
        <w:tabs>
          <w:tab w:val="num" w:pos="630"/>
          <w:tab w:val="left" w:pos="720"/>
        </w:tabs>
        <w:suppressAutoHyphens/>
        <w:ind w:left="0" w:firstLine="270"/>
        <w:rPr>
          <w:rFonts w:eastAsia="Times New Roman" w:cs="Times New Roman"/>
          <w:szCs w:val="20"/>
        </w:rPr>
      </w:pPr>
      <w:r w:rsidRPr="001912E8">
        <w:rPr>
          <w:rFonts w:eastAsia="Times New Roman" w:cs="Times New Roman"/>
          <w:szCs w:val="20"/>
        </w:rPr>
        <w:t xml:space="preserve"> Carrier is exempt from Pub. Util. Code Sections 816</w:t>
      </w:r>
      <w:r w:rsidRPr="001912E8">
        <w:rPr>
          <w:rFonts w:eastAsia="Times New Roman" w:cs="Times New Roman"/>
          <w:szCs w:val="20"/>
        </w:rPr>
        <w:noBreakHyphen/>
        <w:t xml:space="preserve">830. </w:t>
      </w:r>
    </w:p>
    <w:p w:rsidRPr="001912E8" w:rsidR="001912E8" w:rsidP="00710EBA" w:rsidRDefault="001912E8" w14:paraId="4D8654A0" w14:textId="77777777">
      <w:pPr>
        <w:numPr>
          <w:ilvl w:val="0"/>
          <w:numId w:val="33"/>
        </w:numPr>
        <w:tabs>
          <w:tab w:val="num" w:pos="630"/>
          <w:tab w:val="left" w:pos="720"/>
        </w:tabs>
        <w:suppressAutoHyphens/>
        <w:ind w:left="0" w:firstLine="270"/>
        <w:rPr>
          <w:rFonts w:eastAsia="Times New Roman" w:cs="Times New Roman"/>
          <w:szCs w:val="20"/>
        </w:rPr>
      </w:pPr>
      <w:r w:rsidRPr="001912E8">
        <w:rPr>
          <w:rFonts w:eastAsia="Times New Roman" w:cs="Times New Roman"/>
          <w:szCs w:val="20"/>
        </w:rPr>
        <w:t xml:space="preserve"> If Carrier decides to discontinue service or file for bankruptcy, it must immediately notify the Commission’s Director of the Communications Division by email to </w:t>
      </w:r>
      <w:hyperlink w:history="1" r:id="rId40">
        <w:r w:rsidRPr="001912E8">
          <w:rPr>
            <w:rFonts w:eastAsia="Times New Roman" w:cs="Times New Roman"/>
            <w:color w:val="0000FF"/>
            <w:szCs w:val="20"/>
            <w:u w:val="single"/>
          </w:rPr>
          <w:t>cdcompliance@cpuc.ca.gov</w:t>
        </w:r>
      </w:hyperlink>
      <w:r w:rsidRPr="001912E8">
        <w:rPr>
          <w:rFonts w:eastAsia="Times New Roman" w:cs="Times New Roman"/>
          <w:szCs w:val="20"/>
        </w:rPr>
        <w:t>.</w:t>
      </w:r>
    </w:p>
    <w:p w:rsidRPr="001912E8" w:rsidR="001912E8" w:rsidP="001912E8" w:rsidRDefault="001912E8" w14:paraId="356967C6" w14:textId="77777777">
      <w:pPr>
        <w:tabs>
          <w:tab w:val="left" w:pos="720"/>
        </w:tabs>
        <w:suppressAutoHyphens/>
        <w:ind w:firstLine="0"/>
        <w:rPr>
          <w:rFonts w:eastAsia="Times New Roman" w:cs="Times New Roman"/>
          <w:szCs w:val="20"/>
        </w:rPr>
      </w:pPr>
      <w:r w:rsidRPr="001912E8">
        <w:rPr>
          <w:rFonts w:eastAsia="Times New Roman" w:cs="Times New Roman"/>
          <w:szCs w:val="20"/>
        </w:rPr>
        <w:t xml:space="preserve"> </w:t>
      </w:r>
    </w:p>
    <w:p w:rsidRPr="001912E8" w:rsidR="001912E8" w:rsidP="001912E8" w:rsidRDefault="001912E8" w14:paraId="27BEF51E" w14:textId="77777777">
      <w:pPr>
        <w:spacing w:line="240" w:lineRule="auto"/>
        <w:jc w:val="center"/>
        <w:rPr>
          <w:rFonts w:eastAsia="Times New Roman" w:cs="Times New Roman"/>
          <w:szCs w:val="20"/>
        </w:rPr>
      </w:pPr>
    </w:p>
    <w:p w:rsidRPr="001912E8" w:rsidR="001912E8" w:rsidP="001912E8" w:rsidRDefault="001912E8" w14:paraId="63CE3FBC" w14:textId="77777777">
      <w:pPr>
        <w:spacing w:line="240" w:lineRule="auto"/>
        <w:jc w:val="center"/>
        <w:rPr>
          <w:rFonts w:ascii="Palatino" w:hAnsi="Palatino" w:eastAsia="Times New Roman" w:cs="Times New Roman"/>
          <w:szCs w:val="20"/>
        </w:rPr>
      </w:pPr>
    </w:p>
    <w:p w:rsidRPr="001912E8" w:rsidR="001912E8" w:rsidP="001912E8" w:rsidRDefault="001912E8" w14:paraId="7A700634" w14:textId="77777777">
      <w:pPr>
        <w:spacing w:line="240" w:lineRule="auto"/>
        <w:ind w:firstLine="0"/>
        <w:jc w:val="center"/>
        <w:rPr>
          <w:rFonts w:ascii="Palatino" w:hAnsi="Palatino" w:eastAsia="Times New Roman" w:cs="Times New Roman"/>
          <w:szCs w:val="20"/>
        </w:rPr>
        <w:sectPr w:rsidRPr="001912E8" w:rsidR="001912E8" w:rsidSect="001912E8">
          <w:footerReference w:type="default" r:id="rId41"/>
          <w:footnotePr>
            <w:numRestart w:val="eachSect"/>
          </w:footnotePr>
          <w:pgSz w:w="12240" w:h="15840" w:code="1"/>
          <w:pgMar w:top="1152" w:right="1440" w:bottom="1440" w:left="1440" w:header="720" w:footer="720" w:gutter="0"/>
          <w:pgNumType w:start="1"/>
          <w:cols w:space="720"/>
        </w:sectPr>
      </w:pPr>
      <w:r w:rsidRPr="001912E8">
        <w:rPr>
          <w:rFonts w:eastAsia="Times New Roman" w:cs="Times New Roman"/>
          <w:b/>
          <w:szCs w:val="20"/>
        </w:rPr>
        <w:t>(END OF ATTACHMENT B)</w:t>
      </w:r>
    </w:p>
    <w:bookmarkEnd w:id="119"/>
    <w:p w:rsidR="009A00CE" w:rsidP="000C4C2C" w:rsidRDefault="009A00CE" w14:paraId="6061AF4F" w14:textId="77777777">
      <w:pPr>
        <w:spacing w:line="240" w:lineRule="auto"/>
        <w:ind w:firstLine="0"/>
        <w:rPr>
          <w:rFonts w:eastAsia="Times New Roman" w:cs="Times New Roman"/>
          <w:b/>
          <w:sz w:val="40"/>
          <w:szCs w:val="40"/>
        </w:rPr>
      </w:pPr>
    </w:p>
    <w:p w:rsidR="009A00CE" w:rsidP="001912E8" w:rsidRDefault="009A00CE" w14:paraId="7A5DE872" w14:textId="77777777">
      <w:pPr>
        <w:spacing w:line="240" w:lineRule="auto"/>
        <w:ind w:firstLine="0"/>
        <w:jc w:val="center"/>
        <w:rPr>
          <w:rFonts w:eastAsia="Times New Roman" w:cs="Times New Roman"/>
          <w:b/>
          <w:sz w:val="40"/>
          <w:szCs w:val="40"/>
        </w:rPr>
      </w:pPr>
    </w:p>
    <w:p w:rsidRPr="001912E8" w:rsidR="001912E8" w:rsidP="001912E8" w:rsidRDefault="001912E8" w14:paraId="28CA2454" w14:textId="1E8F4BDC">
      <w:pPr>
        <w:spacing w:line="240" w:lineRule="auto"/>
        <w:ind w:firstLine="0"/>
        <w:jc w:val="center"/>
        <w:rPr>
          <w:rFonts w:eastAsia="Times New Roman" w:cs="Times New Roman"/>
          <w:szCs w:val="20"/>
        </w:rPr>
      </w:pPr>
      <w:r w:rsidRPr="001912E8">
        <w:rPr>
          <w:rFonts w:eastAsia="Times New Roman" w:cs="Times New Roman"/>
          <w:b/>
          <w:sz w:val="40"/>
          <w:szCs w:val="40"/>
        </w:rPr>
        <w:t>ATTACHMENT C</w:t>
      </w:r>
    </w:p>
    <w:p w:rsidRPr="001912E8" w:rsidR="001912E8" w:rsidP="001912E8" w:rsidRDefault="001912E8" w14:paraId="6DE0810E" w14:textId="77777777">
      <w:pPr>
        <w:spacing w:line="240" w:lineRule="auto"/>
        <w:ind w:firstLine="0"/>
        <w:jc w:val="center"/>
        <w:rPr>
          <w:rFonts w:eastAsia="Times New Roman" w:cs="Times New Roman"/>
          <w:szCs w:val="20"/>
        </w:rPr>
        <w:sectPr w:rsidRPr="001912E8" w:rsidR="001912E8" w:rsidSect="001912E8">
          <w:footerReference w:type="default" r:id="rId42"/>
          <w:pgSz w:w="12240" w:h="15840" w:code="1"/>
          <w:pgMar w:top="1152" w:right="1440" w:bottom="1440" w:left="1440" w:header="720" w:footer="720" w:gutter="0"/>
          <w:pgNumType w:start="1"/>
          <w:cols w:space="720"/>
        </w:sectPr>
      </w:pPr>
    </w:p>
    <w:p w:rsidR="00045096" w:rsidP="001912E8" w:rsidRDefault="00045096" w14:paraId="33004D31" w14:textId="77777777">
      <w:pPr>
        <w:spacing w:after="120" w:line="240" w:lineRule="auto"/>
        <w:ind w:firstLine="0"/>
        <w:jc w:val="center"/>
        <w:rPr>
          <w:rFonts w:eastAsia="Times New Roman" w:cs="Times New Roman"/>
          <w:b/>
          <w:szCs w:val="20"/>
        </w:rPr>
      </w:pPr>
    </w:p>
    <w:p w:rsidRPr="001912E8" w:rsidR="001912E8" w:rsidP="001912E8" w:rsidRDefault="001912E8" w14:paraId="58C3EE6B" w14:textId="3ECF5518">
      <w:pPr>
        <w:spacing w:after="120" w:line="240" w:lineRule="auto"/>
        <w:ind w:firstLine="0"/>
        <w:jc w:val="center"/>
        <w:rPr>
          <w:rFonts w:eastAsia="Times New Roman" w:cs="Times New Roman"/>
          <w:b/>
          <w:szCs w:val="20"/>
        </w:rPr>
      </w:pPr>
      <w:r w:rsidRPr="001912E8">
        <w:rPr>
          <w:rFonts w:eastAsia="Times New Roman" w:cs="Times New Roman"/>
          <w:b/>
          <w:szCs w:val="20"/>
        </w:rPr>
        <w:t>ATTACHMENT C</w:t>
      </w:r>
    </w:p>
    <w:p w:rsidRPr="001912E8" w:rsidR="001912E8" w:rsidP="001912E8" w:rsidRDefault="001912E8" w14:paraId="6F9E7448" w14:textId="77777777">
      <w:pPr>
        <w:spacing w:after="120" w:line="240" w:lineRule="auto"/>
        <w:ind w:firstLine="0"/>
        <w:jc w:val="center"/>
        <w:rPr>
          <w:rFonts w:eastAsia="Times New Roman" w:cs="Times New Roman"/>
          <w:b/>
          <w:szCs w:val="20"/>
        </w:rPr>
      </w:pPr>
      <w:r w:rsidRPr="001912E8">
        <w:rPr>
          <w:rFonts w:eastAsia="Times New Roman" w:cs="Times New Roman"/>
          <w:b/>
          <w:szCs w:val="20"/>
        </w:rPr>
        <w:t>ANNUAL REPORT</w:t>
      </w:r>
    </w:p>
    <w:p w:rsidRPr="001912E8" w:rsidR="001912E8" w:rsidP="00D6171E" w:rsidRDefault="001912E8" w14:paraId="2CDFE033" w14:textId="77777777">
      <w:pPr>
        <w:spacing w:before="240" w:after="240" w:line="276" w:lineRule="auto"/>
        <w:ind w:firstLine="0"/>
        <w:rPr>
          <w:rFonts w:eastAsia="Times New Roman" w:cs="Times New Roman"/>
          <w:szCs w:val="20"/>
        </w:rPr>
      </w:pPr>
      <w:bookmarkStart w:name="_Hlk132964875" w:id="121"/>
      <w:r w:rsidRPr="001912E8">
        <w:rPr>
          <w:rFonts w:eastAsia="Times New Roman" w:cs="Times New Roman"/>
          <w:szCs w:val="26"/>
        </w:rPr>
        <w:t xml:space="preserve">In addition to the annual </w:t>
      </w:r>
      <w:proofErr w:type="gramStart"/>
      <w:r w:rsidRPr="001912E8">
        <w:rPr>
          <w:rFonts w:eastAsia="Times New Roman" w:cs="Times New Roman"/>
          <w:szCs w:val="26"/>
        </w:rPr>
        <w:t>reports</w:t>
      </w:r>
      <w:proofErr w:type="gramEnd"/>
      <w:r w:rsidRPr="001912E8">
        <w:rPr>
          <w:rFonts w:eastAsia="Times New Roman" w:cs="Times New Roman"/>
          <w:szCs w:val="26"/>
        </w:rPr>
        <w:t xml:space="preserve"> requirement pursuant to General Order 104-A, Telephone Corporations must submit the following information electronically to the Commission’s Communications Division using the Annual Operational and Financial Information Report Form via email to </w:t>
      </w:r>
      <w:hyperlink w:history="1" r:id="rId43">
        <w:r w:rsidRPr="001912E8">
          <w:rPr>
            <w:rFonts w:eastAsia="Times New Roman" w:cs="Times New Roman"/>
            <w:color w:val="0000FF"/>
            <w:szCs w:val="26"/>
            <w:u w:val="single"/>
          </w:rPr>
          <w:t>cdcompliance@cpuc.ca.gov</w:t>
        </w:r>
      </w:hyperlink>
      <w:r w:rsidRPr="001912E8">
        <w:rPr>
          <w:rFonts w:ascii="Palatino" w:hAnsi="Palatino" w:eastAsia="Times New Roman" w:cs="Times New Roman"/>
          <w:szCs w:val="20"/>
        </w:rPr>
        <w:t>,</w:t>
      </w:r>
      <w:r w:rsidRPr="001912E8">
        <w:rPr>
          <w:rFonts w:eastAsia="Times New Roman" w:cs="Times New Roman"/>
          <w:szCs w:val="26"/>
        </w:rPr>
        <w:t xml:space="preserve"> no later than March 31st of the year following the calendar year for which the annual report is submitted.</w:t>
      </w:r>
      <w:r w:rsidRPr="001912E8">
        <w:rPr>
          <w:rFonts w:eastAsia="Times New Roman" w:cs="Times New Roman"/>
          <w:sz w:val="24"/>
          <w:szCs w:val="26"/>
          <w:vertAlign w:val="superscript"/>
        </w:rPr>
        <w:footnoteReference w:id="37"/>
      </w:r>
    </w:p>
    <w:p w:rsidRPr="001912E8" w:rsidR="001912E8" w:rsidP="001912E8" w:rsidRDefault="001912E8" w14:paraId="23A8C9B0" w14:textId="77777777">
      <w:pPr>
        <w:spacing w:line="240" w:lineRule="auto"/>
        <w:ind w:firstLine="0"/>
        <w:rPr>
          <w:rFonts w:eastAsia="Times New Roman" w:cs="Times New Roman"/>
          <w:szCs w:val="20"/>
        </w:rPr>
      </w:pPr>
      <w:r w:rsidRPr="001912E8">
        <w:rPr>
          <w:rFonts w:eastAsia="Times New Roman" w:cs="Times New Roman"/>
          <w:szCs w:val="20"/>
        </w:rPr>
        <w:t>Failure to submit this information on time may result in a penalty as provided for in Pub. Util. Code Sections 2107 and 2108.</w:t>
      </w:r>
    </w:p>
    <w:p w:rsidRPr="001912E8" w:rsidR="001912E8" w:rsidP="001912E8" w:rsidRDefault="001912E8" w14:paraId="1D4E3184" w14:textId="77777777">
      <w:pPr>
        <w:spacing w:line="240" w:lineRule="auto"/>
        <w:ind w:firstLine="0"/>
        <w:rPr>
          <w:rFonts w:eastAsia="Times New Roman" w:cs="Times New Roman"/>
          <w:szCs w:val="20"/>
        </w:rPr>
      </w:pPr>
    </w:p>
    <w:p w:rsidRPr="001912E8" w:rsidR="001912E8" w:rsidP="001912E8" w:rsidRDefault="001912E8" w14:paraId="5BCE60DB" w14:textId="77777777">
      <w:pPr>
        <w:spacing w:line="240" w:lineRule="auto"/>
        <w:ind w:firstLine="0"/>
        <w:rPr>
          <w:rFonts w:eastAsia="Times New Roman" w:cs="Times New Roman"/>
          <w:szCs w:val="20"/>
        </w:rPr>
      </w:pPr>
      <w:r w:rsidRPr="001912E8">
        <w:rPr>
          <w:rFonts w:eastAsia="Times New Roman" w:cs="Times New Roman"/>
          <w:szCs w:val="20"/>
        </w:rPr>
        <w:t>Required information:</w:t>
      </w:r>
    </w:p>
    <w:p w:rsidRPr="001912E8" w:rsidR="001912E8" w:rsidP="001912E8" w:rsidRDefault="001912E8" w14:paraId="17668B7A" w14:textId="77777777">
      <w:pPr>
        <w:spacing w:line="240" w:lineRule="auto"/>
        <w:ind w:firstLine="0"/>
        <w:rPr>
          <w:rFonts w:eastAsia="Times New Roman" w:cs="Times New Roman"/>
          <w:szCs w:val="20"/>
        </w:rPr>
      </w:pPr>
    </w:p>
    <w:p w:rsidRPr="001912E8" w:rsidR="001912E8" w:rsidP="001912E8" w:rsidRDefault="001912E8" w14:paraId="54017999" w14:textId="77777777">
      <w:pPr>
        <w:numPr>
          <w:ilvl w:val="0"/>
          <w:numId w:val="27"/>
        </w:numPr>
        <w:tabs>
          <w:tab w:val="left" w:pos="-720"/>
        </w:tabs>
        <w:suppressAutoHyphens/>
        <w:spacing w:after="60" w:line="240" w:lineRule="auto"/>
        <w:ind w:left="720" w:hanging="360"/>
        <w:rPr>
          <w:rFonts w:eastAsia="Times New Roman" w:cs="Times New Roman"/>
          <w:szCs w:val="20"/>
        </w:rPr>
      </w:pPr>
      <w:r w:rsidRPr="001912E8">
        <w:rPr>
          <w:rFonts w:eastAsia="Times New Roman" w:cs="Times New Roman"/>
          <w:szCs w:val="20"/>
        </w:rPr>
        <w:t>Exact legal name and Utility ID number of the reporting utility.</w:t>
      </w:r>
    </w:p>
    <w:p w:rsidRPr="001912E8" w:rsidR="001912E8" w:rsidP="001912E8" w:rsidRDefault="001912E8" w14:paraId="57A2B7D9" w14:textId="77777777">
      <w:pPr>
        <w:numPr>
          <w:ilvl w:val="0"/>
          <w:numId w:val="27"/>
        </w:numPr>
        <w:tabs>
          <w:tab w:val="left" w:pos="-720"/>
        </w:tabs>
        <w:suppressAutoHyphens/>
        <w:spacing w:after="60" w:line="240" w:lineRule="auto"/>
        <w:ind w:left="720" w:hanging="360"/>
        <w:rPr>
          <w:rFonts w:eastAsia="Times New Roman" w:cs="Times New Roman"/>
          <w:szCs w:val="20"/>
        </w:rPr>
      </w:pPr>
      <w:r w:rsidRPr="001912E8">
        <w:rPr>
          <w:rFonts w:eastAsia="Times New Roman" w:cs="Times New Roman"/>
          <w:szCs w:val="20"/>
        </w:rPr>
        <w:t>Address of the reporting utility.</w:t>
      </w:r>
    </w:p>
    <w:p w:rsidRPr="001912E8" w:rsidR="001912E8" w:rsidP="001912E8" w:rsidRDefault="001912E8" w14:paraId="1873F4CC" w14:textId="77777777">
      <w:pPr>
        <w:numPr>
          <w:ilvl w:val="0"/>
          <w:numId w:val="27"/>
        </w:numPr>
        <w:tabs>
          <w:tab w:val="left" w:pos="-720"/>
        </w:tabs>
        <w:suppressAutoHyphens/>
        <w:spacing w:after="60" w:line="240" w:lineRule="auto"/>
        <w:ind w:left="720" w:hanging="360"/>
        <w:rPr>
          <w:rFonts w:eastAsia="Times New Roman" w:cs="Times New Roman"/>
          <w:szCs w:val="20"/>
        </w:rPr>
      </w:pPr>
      <w:r w:rsidRPr="001912E8">
        <w:rPr>
          <w:rFonts w:eastAsia="Times New Roman" w:cs="Times New Roman"/>
          <w:szCs w:val="20"/>
        </w:rPr>
        <w:t>Name, title, address, and telephone number of the person to be contacted concerning the reported information.</w:t>
      </w:r>
    </w:p>
    <w:p w:rsidRPr="001912E8" w:rsidR="001912E8" w:rsidP="001912E8" w:rsidRDefault="001912E8" w14:paraId="3382FE57" w14:textId="77777777">
      <w:pPr>
        <w:numPr>
          <w:ilvl w:val="0"/>
          <w:numId w:val="27"/>
        </w:numPr>
        <w:tabs>
          <w:tab w:val="left" w:pos="-720"/>
        </w:tabs>
        <w:suppressAutoHyphens/>
        <w:spacing w:after="60" w:line="240" w:lineRule="auto"/>
        <w:ind w:left="720" w:hanging="360"/>
        <w:rPr>
          <w:rFonts w:eastAsia="Times New Roman" w:cs="Times New Roman"/>
          <w:szCs w:val="20"/>
        </w:rPr>
      </w:pPr>
      <w:r w:rsidRPr="001912E8">
        <w:rPr>
          <w:rFonts w:eastAsia="Times New Roman" w:cs="Times New Roman"/>
          <w:szCs w:val="20"/>
        </w:rPr>
        <w:t>Name and title of the officer having custody of the general books of account and the address of the office where such books are kept.</w:t>
      </w:r>
    </w:p>
    <w:p w:rsidRPr="001912E8" w:rsidR="001912E8" w:rsidP="001912E8" w:rsidRDefault="001912E8" w14:paraId="43642D57" w14:textId="77777777">
      <w:pPr>
        <w:numPr>
          <w:ilvl w:val="0"/>
          <w:numId w:val="27"/>
        </w:numPr>
        <w:tabs>
          <w:tab w:val="left" w:pos="-720"/>
        </w:tabs>
        <w:suppressAutoHyphens/>
        <w:spacing w:after="60" w:line="240" w:lineRule="auto"/>
        <w:ind w:left="720" w:hanging="360"/>
        <w:rPr>
          <w:rFonts w:eastAsia="Times New Roman" w:cs="Times New Roman"/>
          <w:szCs w:val="20"/>
        </w:rPr>
      </w:pPr>
      <w:r w:rsidRPr="001912E8">
        <w:rPr>
          <w:rFonts w:eastAsia="Times New Roman" w:cs="Times New Roman"/>
          <w:szCs w:val="20"/>
        </w:rPr>
        <w:t>Type of organization (</w:t>
      </w:r>
      <w:r w:rsidRPr="001912E8">
        <w:rPr>
          <w:rFonts w:eastAsia="Times New Roman" w:cs="Times New Roman"/>
          <w:i/>
          <w:iCs/>
          <w:szCs w:val="20"/>
        </w:rPr>
        <w:t>e.g</w:t>
      </w:r>
      <w:r w:rsidRPr="001912E8">
        <w:rPr>
          <w:rFonts w:eastAsia="Times New Roman" w:cs="Times New Roman"/>
          <w:szCs w:val="20"/>
        </w:rPr>
        <w:t>., corporation, partnership, sole proprietorship, etc.).</w:t>
      </w:r>
    </w:p>
    <w:p w:rsidRPr="001912E8" w:rsidR="001912E8" w:rsidP="001912E8" w:rsidRDefault="001912E8" w14:paraId="752C455C" w14:textId="77777777">
      <w:pPr>
        <w:suppressAutoHyphens/>
        <w:spacing w:after="60" w:line="240" w:lineRule="auto"/>
        <w:ind w:left="1800" w:hanging="1080"/>
        <w:rPr>
          <w:rFonts w:eastAsia="Times New Roman" w:cs="Times New Roman"/>
          <w:szCs w:val="20"/>
        </w:rPr>
      </w:pPr>
      <w:r w:rsidRPr="001912E8">
        <w:rPr>
          <w:rFonts w:eastAsia="Times New Roman" w:cs="Times New Roman"/>
          <w:szCs w:val="20"/>
        </w:rPr>
        <w:t>If incorporated, specify:</w:t>
      </w:r>
    </w:p>
    <w:p w:rsidRPr="001912E8" w:rsidR="001912E8" w:rsidP="001912E8" w:rsidRDefault="001912E8" w14:paraId="3E6DC3B2" w14:textId="77777777">
      <w:pPr>
        <w:spacing w:line="240" w:lineRule="auto"/>
        <w:ind w:left="1080" w:hanging="360"/>
        <w:rPr>
          <w:rFonts w:eastAsia="Times New Roman" w:cs="Times New Roman"/>
          <w:szCs w:val="20"/>
        </w:rPr>
      </w:pPr>
      <w:r w:rsidRPr="001912E8">
        <w:rPr>
          <w:rFonts w:eastAsia="Times New Roman" w:cs="Times New Roman"/>
          <w:szCs w:val="20"/>
        </w:rPr>
        <w:t>a.</w:t>
      </w:r>
      <w:r w:rsidRPr="001912E8">
        <w:rPr>
          <w:rFonts w:eastAsia="Times New Roman" w:cs="Times New Roman"/>
          <w:szCs w:val="20"/>
        </w:rPr>
        <w:tab/>
        <w:t>Date of filing articles of incorporation with the Secretary of State.</w:t>
      </w:r>
    </w:p>
    <w:p w:rsidRPr="001912E8" w:rsidR="001912E8" w:rsidP="001912E8" w:rsidRDefault="001912E8" w14:paraId="13F96573" w14:textId="77777777">
      <w:pPr>
        <w:spacing w:after="120" w:line="240" w:lineRule="auto"/>
        <w:ind w:left="1080" w:hanging="360"/>
        <w:rPr>
          <w:rFonts w:eastAsia="Times New Roman" w:cs="Times New Roman"/>
          <w:szCs w:val="20"/>
        </w:rPr>
      </w:pPr>
      <w:r w:rsidRPr="001912E8">
        <w:rPr>
          <w:rFonts w:eastAsia="Times New Roman" w:cs="Times New Roman"/>
          <w:szCs w:val="20"/>
        </w:rPr>
        <w:t>b.</w:t>
      </w:r>
      <w:r w:rsidRPr="001912E8">
        <w:rPr>
          <w:rFonts w:eastAsia="Times New Roman" w:cs="Times New Roman"/>
          <w:szCs w:val="20"/>
        </w:rPr>
        <w:tab/>
        <w:t>State in which incorporated.</w:t>
      </w:r>
    </w:p>
    <w:p w:rsidRPr="001912E8" w:rsidR="001912E8" w:rsidP="001912E8" w:rsidRDefault="001912E8" w14:paraId="61B5A1D3" w14:textId="77777777">
      <w:pPr>
        <w:numPr>
          <w:ilvl w:val="0"/>
          <w:numId w:val="27"/>
        </w:numPr>
        <w:tabs>
          <w:tab w:val="left" w:pos="-720"/>
        </w:tabs>
        <w:suppressAutoHyphens/>
        <w:spacing w:after="60" w:line="240" w:lineRule="auto"/>
        <w:ind w:left="720" w:right="1440" w:hanging="360"/>
        <w:rPr>
          <w:rFonts w:eastAsia="Times New Roman" w:cs="Times New Roman"/>
          <w:szCs w:val="20"/>
        </w:rPr>
      </w:pPr>
      <w:r w:rsidRPr="001912E8">
        <w:rPr>
          <w:rFonts w:eastAsia="Times New Roman" w:cs="Times New Roman"/>
          <w:szCs w:val="20"/>
        </w:rPr>
        <w:t>Number and date of the Commission decision granting the Certificate of Public Convenience and Necessity.</w:t>
      </w:r>
    </w:p>
    <w:p w:rsidRPr="001912E8" w:rsidR="001912E8" w:rsidP="001912E8" w:rsidRDefault="001912E8" w14:paraId="100E0C93" w14:textId="77777777">
      <w:pPr>
        <w:numPr>
          <w:ilvl w:val="0"/>
          <w:numId w:val="27"/>
        </w:numPr>
        <w:tabs>
          <w:tab w:val="left" w:pos="-720"/>
        </w:tabs>
        <w:suppressAutoHyphens/>
        <w:spacing w:after="60" w:line="240" w:lineRule="auto"/>
        <w:ind w:left="720" w:hanging="360"/>
        <w:rPr>
          <w:rFonts w:eastAsia="Times New Roman" w:cs="Times New Roman"/>
          <w:szCs w:val="20"/>
        </w:rPr>
      </w:pPr>
      <w:r w:rsidRPr="001912E8">
        <w:rPr>
          <w:rFonts w:eastAsia="Times New Roman" w:cs="Times New Roman"/>
          <w:szCs w:val="20"/>
        </w:rPr>
        <w:t xml:space="preserve">Date operations </w:t>
      </w:r>
      <w:proofErr w:type="gramStart"/>
      <w:r w:rsidRPr="001912E8">
        <w:rPr>
          <w:rFonts w:eastAsia="Times New Roman" w:cs="Times New Roman"/>
          <w:szCs w:val="20"/>
        </w:rPr>
        <w:t>were</w:t>
      </w:r>
      <w:proofErr w:type="gramEnd"/>
      <w:r w:rsidRPr="001912E8">
        <w:rPr>
          <w:rFonts w:eastAsia="Times New Roman" w:cs="Times New Roman"/>
          <w:szCs w:val="20"/>
        </w:rPr>
        <w:t xml:space="preserve"> begun.</w:t>
      </w:r>
    </w:p>
    <w:p w:rsidRPr="001912E8" w:rsidR="001912E8" w:rsidP="001912E8" w:rsidRDefault="001912E8" w14:paraId="06050C9E" w14:textId="77777777">
      <w:pPr>
        <w:numPr>
          <w:ilvl w:val="0"/>
          <w:numId w:val="27"/>
        </w:numPr>
        <w:tabs>
          <w:tab w:val="left" w:pos="-720"/>
        </w:tabs>
        <w:suppressAutoHyphens/>
        <w:spacing w:after="60" w:line="240" w:lineRule="auto"/>
        <w:ind w:left="720" w:hanging="360"/>
        <w:rPr>
          <w:rFonts w:eastAsia="Times New Roman" w:cs="Times New Roman"/>
          <w:szCs w:val="20"/>
        </w:rPr>
      </w:pPr>
      <w:r w:rsidRPr="001912E8">
        <w:rPr>
          <w:rFonts w:eastAsia="Times New Roman" w:cs="Times New Roman"/>
          <w:szCs w:val="20"/>
        </w:rPr>
        <w:t>Description of other business activities in which the utility is engaged.</w:t>
      </w:r>
    </w:p>
    <w:p w:rsidRPr="001912E8" w:rsidR="001912E8" w:rsidP="001912E8" w:rsidRDefault="001912E8" w14:paraId="0AC1B922" w14:textId="77777777">
      <w:pPr>
        <w:numPr>
          <w:ilvl w:val="0"/>
          <w:numId w:val="27"/>
        </w:numPr>
        <w:tabs>
          <w:tab w:val="left" w:pos="-720"/>
        </w:tabs>
        <w:suppressAutoHyphens/>
        <w:spacing w:after="60" w:line="240" w:lineRule="auto"/>
        <w:ind w:left="720" w:right="1440" w:hanging="360"/>
        <w:rPr>
          <w:rFonts w:eastAsia="Times New Roman" w:cs="Times New Roman"/>
          <w:szCs w:val="20"/>
        </w:rPr>
      </w:pPr>
      <w:r w:rsidRPr="001912E8">
        <w:rPr>
          <w:rFonts w:eastAsia="Times New Roman" w:cs="Times New Roman"/>
          <w:szCs w:val="20"/>
        </w:rPr>
        <w:lastRenderedPageBreak/>
        <w:t>List of all affiliated companies and their relationship to the utility.  State if affiliate is a:</w:t>
      </w:r>
    </w:p>
    <w:p w:rsidRPr="001912E8" w:rsidR="001912E8" w:rsidP="001912E8" w:rsidRDefault="001912E8" w14:paraId="44E7F583" w14:textId="77777777">
      <w:pPr>
        <w:spacing w:line="240" w:lineRule="auto"/>
        <w:ind w:left="1080" w:hanging="360"/>
        <w:rPr>
          <w:rFonts w:eastAsia="Times New Roman" w:cs="Times New Roman"/>
          <w:szCs w:val="20"/>
        </w:rPr>
      </w:pPr>
      <w:r w:rsidRPr="001912E8">
        <w:rPr>
          <w:rFonts w:eastAsia="Times New Roman" w:cs="Times New Roman"/>
          <w:szCs w:val="20"/>
        </w:rPr>
        <w:t>a.</w:t>
      </w:r>
      <w:r w:rsidRPr="001912E8">
        <w:rPr>
          <w:rFonts w:eastAsia="Times New Roman" w:cs="Times New Roman"/>
          <w:szCs w:val="20"/>
        </w:rPr>
        <w:tab/>
        <w:t>Regulated public utility.</w:t>
      </w:r>
    </w:p>
    <w:p w:rsidRPr="001912E8" w:rsidR="001912E8" w:rsidP="001912E8" w:rsidRDefault="001912E8" w14:paraId="11C28A38" w14:textId="77777777">
      <w:pPr>
        <w:spacing w:after="120" w:line="240" w:lineRule="auto"/>
        <w:ind w:left="1080" w:hanging="360"/>
        <w:rPr>
          <w:rFonts w:eastAsia="Times New Roman" w:cs="Times New Roman"/>
          <w:szCs w:val="20"/>
        </w:rPr>
      </w:pPr>
      <w:r w:rsidRPr="001912E8">
        <w:rPr>
          <w:rFonts w:eastAsia="Times New Roman" w:cs="Times New Roman"/>
          <w:szCs w:val="20"/>
        </w:rPr>
        <w:t>b.</w:t>
      </w:r>
      <w:r w:rsidRPr="001912E8">
        <w:rPr>
          <w:rFonts w:eastAsia="Times New Roman" w:cs="Times New Roman"/>
          <w:szCs w:val="20"/>
        </w:rPr>
        <w:tab/>
        <w:t>Publicly held corporation.</w:t>
      </w:r>
    </w:p>
    <w:p w:rsidRPr="001912E8" w:rsidR="001912E8" w:rsidP="001912E8" w:rsidRDefault="001912E8" w14:paraId="6F3D41D6" w14:textId="77777777">
      <w:pPr>
        <w:numPr>
          <w:ilvl w:val="0"/>
          <w:numId w:val="34"/>
        </w:numPr>
        <w:tabs>
          <w:tab w:val="left" w:pos="-720"/>
        </w:tabs>
        <w:suppressAutoHyphens/>
        <w:spacing w:after="60" w:line="240" w:lineRule="auto"/>
        <w:ind w:left="734" w:hanging="547"/>
        <w:rPr>
          <w:rFonts w:eastAsia="Times New Roman" w:cs="Times New Roman"/>
          <w:szCs w:val="20"/>
        </w:rPr>
      </w:pPr>
      <w:r w:rsidRPr="001912E8">
        <w:rPr>
          <w:rFonts w:eastAsia="Times New Roman" w:cs="Times New Roman"/>
          <w:szCs w:val="20"/>
        </w:rPr>
        <w:t>Balance sheet as of December 31st of the year for which information is submitted.</w:t>
      </w:r>
    </w:p>
    <w:p w:rsidRPr="001912E8" w:rsidR="001912E8" w:rsidP="001912E8" w:rsidRDefault="001912E8" w14:paraId="1C139120" w14:textId="77777777">
      <w:pPr>
        <w:numPr>
          <w:ilvl w:val="0"/>
          <w:numId w:val="34"/>
        </w:numPr>
        <w:tabs>
          <w:tab w:val="left" w:pos="-720"/>
        </w:tabs>
        <w:suppressAutoHyphens/>
        <w:spacing w:after="60" w:line="240" w:lineRule="auto"/>
        <w:ind w:left="734" w:hanging="547"/>
        <w:rPr>
          <w:rFonts w:eastAsia="Times New Roman" w:cs="Times New Roman"/>
          <w:szCs w:val="20"/>
        </w:rPr>
      </w:pPr>
      <w:r w:rsidRPr="001912E8">
        <w:rPr>
          <w:rFonts w:eastAsia="Times New Roman" w:cs="Times New Roman"/>
          <w:szCs w:val="20"/>
        </w:rPr>
        <w:t>Income statement for California operations for the calendar year for which information is submitted.</w:t>
      </w:r>
    </w:p>
    <w:p w:rsidRPr="001912E8" w:rsidR="001912E8" w:rsidP="001912E8" w:rsidRDefault="001912E8" w14:paraId="35B33F22" w14:textId="77777777">
      <w:pPr>
        <w:spacing w:before="40" w:after="80" w:line="240" w:lineRule="auto"/>
        <w:ind w:firstLine="0"/>
        <w:rPr>
          <w:rFonts w:eastAsia="Times New Roman" w:cs="Times New Roman"/>
          <w:szCs w:val="20"/>
        </w:rPr>
      </w:pPr>
      <w:r w:rsidRPr="001912E8">
        <w:rPr>
          <w:rFonts w:eastAsia="Times New Roman" w:cs="Times New Roman"/>
          <w:szCs w:val="20"/>
        </w:rPr>
        <w:t xml:space="preserve">Additional information about the reporting requirements is available from the Commission’s website: </w:t>
      </w:r>
      <w:hyperlink w:history="1" r:id="rId44">
        <w:r w:rsidRPr="001912E8">
          <w:rPr>
            <w:rFonts w:eastAsia="Times New Roman" w:cs="Times New Roman"/>
            <w:color w:val="0000FF"/>
            <w:szCs w:val="20"/>
            <w:u w:val="single"/>
          </w:rPr>
          <w:t>https://www.cpuc.ca.gov/industries-and-topics/internet-and-phone/carrier-reporting-requirements/annual-report-forms</w:t>
        </w:r>
      </w:hyperlink>
      <w:r w:rsidRPr="001912E8">
        <w:rPr>
          <w:rFonts w:eastAsia="Times New Roman" w:cs="Times New Roman"/>
          <w:szCs w:val="20"/>
        </w:rPr>
        <w:t xml:space="preserve">. For any questions concerning this report, please send an email to </w:t>
      </w:r>
      <w:hyperlink w:history="1" r:id="rId45">
        <w:r w:rsidRPr="001912E8">
          <w:rPr>
            <w:rFonts w:eastAsia="Times New Roman" w:cs="Times New Roman"/>
            <w:color w:val="0000FF"/>
            <w:szCs w:val="20"/>
            <w:u w:val="single"/>
          </w:rPr>
          <w:t>cdcompliance@cpuc.ca.gov</w:t>
        </w:r>
      </w:hyperlink>
      <w:r w:rsidRPr="001912E8">
        <w:rPr>
          <w:rFonts w:eastAsia="Times New Roman" w:cs="Times New Roman"/>
          <w:szCs w:val="20"/>
        </w:rPr>
        <w:t xml:space="preserve"> with a subject line that includes: “CD Annual Reports.”</w:t>
      </w:r>
    </w:p>
    <w:bookmarkEnd w:id="121"/>
    <w:p w:rsidRPr="001912E8" w:rsidR="001912E8" w:rsidP="001912E8" w:rsidRDefault="001912E8" w14:paraId="3889D245" w14:textId="77777777">
      <w:pPr>
        <w:spacing w:before="40" w:after="80" w:line="240" w:lineRule="auto"/>
        <w:ind w:firstLine="0"/>
        <w:rPr>
          <w:rFonts w:eastAsia="Times New Roman" w:cs="Times New Roman"/>
          <w:szCs w:val="20"/>
        </w:rPr>
      </w:pPr>
    </w:p>
    <w:p w:rsidRPr="001912E8" w:rsidR="001912E8" w:rsidP="001912E8" w:rsidRDefault="001912E8" w14:paraId="1A546F85" w14:textId="77777777">
      <w:pPr>
        <w:spacing w:before="40" w:after="80" w:line="240" w:lineRule="auto"/>
        <w:ind w:firstLine="0"/>
        <w:rPr>
          <w:rFonts w:eastAsia="Times New Roman" w:cs="Times New Roman"/>
          <w:szCs w:val="20"/>
        </w:rPr>
      </w:pPr>
    </w:p>
    <w:p w:rsidRPr="001912E8" w:rsidR="001912E8" w:rsidP="001912E8" w:rsidRDefault="001912E8" w14:paraId="3446FB9D" w14:textId="77777777">
      <w:pPr>
        <w:spacing w:after="120" w:line="240" w:lineRule="auto"/>
        <w:ind w:firstLine="0"/>
        <w:jc w:val="center"/>
        <w:rPr>
          <w:rFonts w:eastAsia="Times New Roman" w:cs="Times New Roman"/>
          <w:szCs w:val="20"/>
        </w:rPr>
      </w:pPr>
      <w:r w:rsidRPr="001912E8">
        <w:rPr>
          <w:rFonts w:eastAsia="Times New Roman" w:cs="Times New Roman"/>
          <w:b/>
          <w:szCs w:val="20"/>
        </w:rPr>
        <w:t>(END OF ATTACHMENT C)</w:t>
      </w:r>
    </w:p>
    <w:p w:rsidRPr="001912E8" w:rsidR="001912E8" w:rsidP="001912E8" w:rsidRDefault="001912E8" w14:paraId="222F75A7" w14:textId="77777777">
      <w:pPr>
        <w:spacing w:line="240" w:lineRule="auto"/>
        <w:ind w:firstLine="0"/>
        <w:jc w:val="center"/>
        <w:rPr>
          <w:rFonts w:eastAsia="Times New Roman" w:cs="Times New Roman"/>
          <w:szCs w:val="20"/>
        </w:rPr>
      </w:pPr>
    </w:p>
    <w:p w:rsidRPr="001912E8" w:rsidR="001912E8" w:rsidP="001912E8" w:rsidRDefault="001912E8" w14:paraId="11C14350" w14:textId="77777777">
      <w:pPr>
        <w:spacing w:line="240" w:lineRule="auto"/>
        <w:ind w:firstLine="0"/>
        <w:jc w:val="center"/>
        <w:rPr>
          <w:rFonts w:eastAsia="Times New Roman" w:cs="Times New Roman"/>
          <w:szCs w:val="20"/>
        </w:rPr>
      </w:pPr>
    </w:p>
    <w:p w:rsidRPr="001912E8" w:rsidR="001912E8" w:rsidP="001912E8" w:rsidRDefault="001912E8" w14:paraId="3E401E04" w14:textId="77777777">
      <w:pPr>
        <w:spacing w:line="240" w:lineRule="auto"/>
        <w:ind w:firstLine="0"/>
        <w:jc w:val="center"/>
        <w:rPr>
          <w:rFonts w:eastAsia="Times New Roman" w:cs="Times New Roman"/>
          <w:szCs w:val="20"/>
        </w:rPr>
        <w:sectPr w:rsidRPr="001912E8" w:rsidR="001912E8" w:rsidSect="001912E8">
          <w:footerReference w:type="default" r:id="rId46"/>
          <w:pgSz w:w="12240" w:h="15840" w:code="1"/>
          <w:pgMar w:top="1152" w:right="1440" w:bottom="1440" w:left="1440" w:header="720" w:footer="720" w:gutter="0"/>
          <w:pgNumType w:start="1"/>
          <w:cols w:space="720"/>
        </w:sectPr>
      </w:pPr>
    </w:p>
    <w:p w:rsidRPr="001912E8" w:rsidR="001912E8" w:rsidP="001912E8" w:rsidRDefault="001912E8" w14:paraId="3CCC6402" w14:textId="77777777">
      <w:pPr>
        <w:spacing w:line="240" w:lineRule="auto"/>
        <w:ind w:firstLine="0"/>
        <w:jc w:val="center"/>
        <w:rPr>
          <w:rFonts w:ascii="Palatino" w:hAnsi="Palatino" w:eastAsia="Times New Roman" w:cs="Times New Roman"/>
          <w:szCs w:val="20"/>
        </w:rPr>
      </w:pPr>
    </w:p>
    <w:p w:rsidRPr="001912E8" w:rsidR="001912E8" w:rsidP="001912E8" w:rsidRDefault="001912E8" w14:paraId="0825716E" w14:textId="77777777">
      <w:pPr>
        <w:spacing w:line="240" w:lineRule="auto"/>
        <w:ind w:firstLine="0"/>
        <w:jc w:val="center"/>
        <w:rPr>
          <w:rFonts w:ascii="Palatino" w:hAnsi="Palatino" w:eastAsia="Times New Roman" w:cs="Times New Roman"/>
          <w:szCs w:val="20"/>
        </w:rPr>
      </w:pPr>
    </w:p>
    <w:p w:rsidRPr="001912E8" w:rsidR="001912E8" w:rsidP="001912E8" w:rsidRDefault="001912E8" w14:paraId="1F7D2E21" w14:textId="77777777">
      <w:pPr>
        <w:spacing w:line="240" w:lineRule="auto"/>
        <w:ind w:firstLine="0"/>
        <w:jc w:val="center"/>
        <w:rPr>
          <w:rFonts w:ascii="Palatino" w:hAnsi="Palatino" w:eastAsia="Times New Roman" w:cs="Times New Roman"/>
          <w:szCs w:val="20"/>
        </w:rPr>
      </w:pPr>
    </w:p>
    <w:p w:rsidRPr="001912E8" w:rsidR="001912E8" w:rsidP="000C4C2C" w:rsidRDefault="001912E8" w14:paraId="61289D01" w14:textId="77777777">
      <w:pPr>
        <w:spacing w:line="240" w:lineRule="auto"/>
        <w:ind w:firstLine="0"/>
        <w:rPr>
          <w:rFonts w:ascii="Palatino" w:hAnsi="Palatino" w:eastAsia="Times New Roman" w:cs="Times New Roman"/>
          <w:szCs w:val="20"/>
        </w:rPr>
      </w:pPr>
    </w:p>
    <w:p w:rsidRPr="001912E8" w:rsidR="001912E8" w:rsidP="009F54B4" w:rsidRDefault="001912E8" w14:paraId="486B3597" w14:textId="77777777">
      <w:pPr>
        <w:spacing w:line="240" w:lineRule="auto"/>
        <w:ind w:firstLine="0"/>
        <w:jc w:val="center"/>
        <w:rPr>
          <w:rFonts w:eastAsia="Times New Roman" w:cs="Times New Roman"/>
          <w:szCs w:val="20"/>
        </w:rPr>
      </w:pPr>
      <w:r w:rsidRPr="001912E8">
        <w:rPr>
          <w:rFonts w:eastAsia="Times New Roman" w:cs="Times New Roman"/>
          <w:b/>
          <w:sz w:val="40"/>
          <w:szCs w:val="40"/>
        </w:rPr>
        <w:t>ATTACHMENT D</w:t>
      </w:r>
    </w:p>
    <w:p w:rsidRPr="001912E8" w:rsidR="001912E8" w:rsidP="001912E8" w:rsidRDefault="001912E8" w14:paraId="53F3CDAD" w14:textId="77777777">
      <w:pPr>
        <w:spacing w:line="240" w:lineRule="auto"/>
        <w:ind w:firstLine="0"/>
        <w:jc w:val="center"/>
        <w:rPr>
          <w:rFonts w:ascii="Palatino" w:hAnsi="Palatino" w:eastAsia="Times New Roman" w:cs="Times New Roman"/>
          <w:szCs w:val="20"/>
        </w:rPr>
        <w:sectPr w:rsidRPr="001912E8" w:rsidR="001912E8" w:rsidSect="001912E8">
          <w:footerReference w:type="default" r:id="rId47"/>
          <w:pgSz w:w="12240" w:h="15840" w:code="1"/>
          <w:pgMar w:top="1152" w:right="1440" w:bottom="1440" w:left="1440" w:header="720" w:footer="720" w:gutter="0"/>
          <w:pgNumType w:start="1"/>
          <w:cols w:space="720"/>
        </w:sectPr>
      </w:pPr>
    </w:p>
    <w:p w:rsidR="00045096" w:rsidP="001912E8" w:rsidRDefault="00045096" w14:paraId="24169272" w14:textId="77777777">
      <w:pPr>
        <w:spacing w:after="120" w:line="240" w:lineRule="auto"/>
        <w:ind w:firstLine="0"/>
        <w:jc w:val="center"/>
        <w:rPr>
          <w:rFonts w:eastAsia="Times New Roman" w:cs="Times New Roman"/>
          <w:b/>
          <w:szCs w:val="20"/>
        </w:rPr>
      </w:pPr>
    </w:p>
    <w:p w:rsidRPr="001912E8" w:rsidR="001912E8" w:rsidP="001912E8" w:rsidRDefault="001912E8" w14:paraId="4B264E4C" w14:textId="2D9E119D">
      <w:pPr>
        <w:spacing w:after="120" w:line="240" w:lineRule="auto"/>
        <w:ind w:firstLine="0"/>
        <w:jc w:val="center"/>
        <w:rPr>
          <w:rFonts w:eastAsia="Times New Roman" w:cs="Times New Roman"/>
          <w:b/>
          <w:szCs w:val="20"/>
        </w:rPr>
      </w:pPr>
      <w:r w:rsidRPr="001912E8">
        <w:rPr>
          <w:rFonts w:eastAsia="Times New Roman" w:cs="Times New Roman"/>
          <w:b/>
          <w:szCs w:val="20"/>
        </w:rPr>
        <w:t>ATTACHMENT D</w:t>
      </w:r>
    </w:p>
    <w:p w:rsidRPr="001912E8" w:rsidR="001912E8" w:rsidP="001912E8" w:rsidRDefault="001912E8" w14:paraId="17969B65" w14:textId="77777777">
      <w:pPr>
        <w:spacing w:after="120" w:line="240" w:lineRule="auto"/>
        <w:ind w:firstLine="0"/>
        <w:jc w:val="center"/>
        <w:rPr>
          <w:rFonts w:eastAsia="Times New Roman" w:cs="Times New Roman"/>
          <w:b/>
          <w:szCs w:val="20"/>
        </w:rPr>
      </w:pPr>
      <w:r w:rsidRPr="001912E8">
        <w:rPr>
          <w:rFonts w:eastAsia="Times New Roman" w:cs="Times New Roman"/>
          <w:b/>
          <w:szCs w:val="20"/>
        </w:rPr>
        <w:t>CALENDAR YEAR AFFILIATE TRANSACTION REPORT</w:t>
      </w:r>
    </w:p>
    <w:p w:rsidRPr="001912E8" w:rsidR="001912E8" w:rsidP="001912E8" w:rsidRDefault="001912E8" w14:paraId="07D426BF" w14:textId="77777777">
      <w:pPr>
        <w:spacing w:line="276" w:lineRule="auto"/>
        <w:ind w:firstLine="0"/>
        <w:rPr>
          <w:rFonts w:eastAsia="Times New Roman" w:cs="Times New Roman"/>
          <w:szCs w:val="26"/>
        </w:rPr>
      </w:pPr>
      <w:r w:rsidRPr="001912E8">
        <w:rPr>
          <w:rFonts w:eastAsia="Times New Roman" w:cs="Times New Roman"/>
          <w:szCs w:val="26"/>
        </w:rPr>
        <w:t>Telephone Corporations must submit the following information electronically to the Commission’s Communications Division using the Annual Affiliate Transaction Report Form</w:t>
      </w:r>
      <w:r w:rsidRPr="001912E8">
        <w:rPr>
          <w:rFonts w:eastAsia="Times New Roman" w:cs="Times New Roman"/>
          <w:sz w:val="24"/>
          <w:szCs w:val="26"/>
          <w:vertAlign w:val="superscript"/>
        </w:rPr>
        <w:footnoteReference w:id="38"/>
      </w:r>
      <w:r w:rsidRPr="001912E8">
        <w:rPr>
          <w:rFonts w:eastAsia="Times New Roman" w:cs="Times New Roman"/>
          <w:szCs w:val="26"/>
        </w:rPr>
        <w:t xml:space="preserve"> via email to </w:t>
      </w:r>
      <w:hyperlink w:history="1" r:id="rId48">
        <w:r w:rsidRPr="001912E8">
          <w:rPr>
            <w:rFonts w:eastAsia="Times New Roman" w:cs="Times New Roman"/>
            <w:color w:val="0000FF"/>
            <w:szCs w:val="26"/>
            <w:u w:val="single"/>
          </w:rPr>
          <w:t>cdcompliance@cpuc.ca.gov</w:t>
        </w:r>
      </w:hyperlink>
      <w:r w:rsidRPr="001912E8">
        <w:rPr>
          <w:rFonts w:ascii="Palatino" w:hAnsi="Palatino" w:eastAsia="Times New Roman" w:cs="Times New Roman"/>
          <w:szCs w:val="20"/>
        </w:rPr>
        <w:t>,</w:t>
      </w:r>
      <w:r w:rsidRPr="001912E8">
        <w:rPr>
          <w:rFonts w:eastAsia="Times New Roman" w:cs="Times New Roman"/>
          <w:szCs w:val="26"/>
        </w:rPr>
        <w:t xml:space="preserve"> no later than May 1st of the year following the calendar year for which the annual affiliate transaction report is submitted.</w:t>
      </w:r>
    </w:p>
    <w:p w:rsidRPr="001912E8" w:rsidR="001912E8" w:rsidP="001912E8" w:rsidRDefault="001912E8" w14:paraId="70DF1193" w14:textId="77777777">
      <w:pPr>
        <w:spacing w:line="276" w:lineRule="auto"/>
        <w:ind w:firstLine="0"/>
        <w:rPr>
          <w:rFonts w:eastAsia="Times New Roman" w:cs="Times New Roman"/>
          <w:szCs w:val="26"/>
        </w:rPr>
      </w:pPr>
    </w:p>
    <w:p w:rsidRPr="001912E8" w:rsidR="001912E8" w:rsidP="001912E8" w:rsidRDefault="001912E8" w14:paraId="38B22A57" w14:textId="77777777">
      <w:pPr>
        <w:spacing w:line="276" w:lineRule="auto"/>
        <w:ind w:firstLine="0"/>
        <w:rPr>
          <w:rFonts w:eastAsia="Times New Roman" w:cs="Times New Roman"/>
          <w:szCs w:val="26"/>
        </w:rPr>
      </w:pPr>
      <w:r w:rsidRPr="001912E8">
        <w:rPr>
          <w:rFonts w:eastAsia="Times New Roman" w:cs="Times New Roman"/>
          <w:szCs w:val="26"/>
        </w:rPr>
        <w:t>Failure to submit this information on time may result in a penalty as provided for in Pub. Util. Code Sections 2107 and 2108.</w:t>
      </w:r>
    </w:p>
    <w:p w:rsidRPr="001912E8" w:rsidR="001912E8" w:rsidP="001912E8" w:rsidRDefault="001912E8" w14:paraId="260F21DA" w14:textId="77777777">
      <w:pPr>
        <w:spacing w:line="240" w:lineRule="auto"/>
        <w:ind w:firstLine="0"/>
        <w:rPr>
          <w:rFonts w:eastAsia="Times New Roman" w:cs="Times New Roman"/>
          <w:szCs w:val="20"/>
        </w:rPr>
      </w:pPr>
    </w:p>
    <w:p w:rsidRPr="001912E8" w:rsidR="001912E8" w:rsidP="001912E8" w:rsidRDefault="001912E8" w14:paraId="2D925E4C" w14:textId="77777777">
      <w:pPr>
        <w:numPr>
          <w:ilvl w:val="3"/>
          <w:numId w:val="35"/>
        </w:numPr>
        <w:tabs>
          <w:tab w:val="left" w:pos="-720"/>
        </w:tabs>
        <w:suppressAutoHyphens/>
        <w:spacing w:line="240" w:lineRule="auto"/>
        <w:ind w:left="360"/>
        <w:rPr>
          <w:rFonts w:eastAsia="Times New Roman" w:cs="Times New Roman"/>
          <w:szCs w:val="26"/>
        </w:rPr>
      </w:pPr>
      <w:r w:rsidRPr="001912E8">
        <w:rPr>
          <w:rFonts w:eastAsia="Times New Roman" w:cs="Times New Roman"/>
          <w:szCs w:val="26"/>
        </w:rPr>
        <w:t xml:space="preserve">Each </w:t>
      </w:r>
      <w:r w:rsidRPr="001912E8">
        <w:rPr>
          <w:rFonts w:eastAsia="Times New Roman" w:cs="Times New Roman"/>
          <w:szCs w:val="20"/>
        </w:rPr>
        <w:t>utility</w:t>
      </w:r>
      <w:r w:rsidRPr="001912E8">
        <w:rPr>
          <w:rFonts w:eastAsia="Times New Roman" w:cs="Times New Roman"/>
          <w:szCs w:val="26"/>
        </w:rPr>
        <w:t xml:space="preserve"> must list and provide the following information for each affiliated entity and regulated subsidiary that the utility had during the period covered by the Annual Affiliate Transaction Report.</w:t>
      </w:r>
    </w:p>
    <w:p w:rsidRPr="001912E8" w:rsidR="001912E8" w:rsidP="001912E8" w:rsidRDefault="001912E8" w14:paraId="633842A1" w14:textId="77777777">
      <w:pPr>
        <w:spacing w:line="240" w:lineRule="auto"/>
        <w:ind w:left="1080" w:hanging="360"/>
        <w:rPr>
          <w:rFonts w:eastAsia="Times New Roman" w:cs="Times New Roman"/>
          <w:szCs w:val="26"/>
        </w:rPr>
      </w:pPr>
      <w:proofErr w:type="gramStart"/>
      <w:r w:rsidRPr="001912E8">
        <w:rPr>
          <w:rFonts w:eastAsia="Times New Roman" w:cs="Times New Roman"/>
          <w:szCs w:val="26"/>
        </w:rPr>
        <w:t>Form</w:t>
      </w:r>
      <w:proofErr w:type="gramEnd"/>
      <w:r w:rsidRPr="001912E8">
        <w:rPr>
          <w:rFonts w:eastAsia="Times New Roman" w:cs="Times New Roman"/>
          <w:szCs w:val="26"/>
        </w:rPr>
        <w:t xml:space="preserve"> of organization (</w:t>
      </w:r>
      <w:r w:rsidRPr="001912E8">
        <w:rPr>
          <w:rFonts w:eastAsia="Times New Roman" w:cs="Times New Roman"/>
          <w:i/>
          <w:iCs/>
          <w:szCs w:val="26"/>
        </w:rPr>
        <w:t>e.g.,</w:t>
      </w:r>
      <w:r w:rsidRPr="001912E8">
        <w:rPr>
          <w:rFonts w:eastAsia="Times New Roman" w:cs="Times New Roman"/>
          <w:szCs w:val="26"/>
        </w:rPr>
        <w:t xml:space="preserve"> corporation, partnership, joint venture, strategic alliance, etc.);</w:t>
      </w:r>
    </w:p>
    <w:p w:rsidRPr="001912E8" w:rsidR="001912E8" w:rsidP="001912E8" w:rsidRDefault="001912E8" w14:paraId="0060FD19" w14:textId="77777777">
      <w:pPr>
        <w:spacing w:line="240" w:lineRule="auto"/>
        <w:ind w:left="1080" w:hanging="360"/>
        <w:rPr>
          <w:rFonts w:eastAsia="Times New Roman" w:cs="Times New Roman"/>
          <w:szCs w:val="26"/>
        </w:rPr>
      </w:pPr>
      <w:r w:rsidRPr="001912E8">
        <w:rPr>
          <w:rFonts w:eastAsia="Times New Roman" w:cs="Times New Roman"/>
          <w:szCs w:val="26"/>
        </w:rPr>
        <w:t>Brief description of business activities engaged in;</w:t>
      </w:r>
    </w:p>
    <w:p w:rsidRPr="001912E8" w:rsidR="001912E8" w:rsidP="001912E8" w:rsidRDefault="001912E8" w14:paraId="23DA5D0F" w14:textId="77777777">
      <w:pPr>
        <w:spacing w:line="240" w:lineRule="auto"/>
        <w:ind w:left="1080" w:hanging="360"/>
        <w:rPr>
          <w:rFonts w:eastAsia="Times New Roman" w:cs="Times New Roman"/>
          <w:szCs w:val="26"/>
        </w:rPr>
      </w:pPr>
      <w:r w:rsidRPr="001912E8">
        <w:rPr>
          <w:rFonts w:eastAsia="Times New Roman" w:cs="Times New Roman"/>
          <w:szCs w:val="26"/>
        </w:rPr>
        <w:t xml:space="preserve">Relationship </w:t>
      </w:r>
      <w:proofErr w:type="gramStart"/>
      <w:r w:rsidRPr="001912E8">
        <w:rPr>
          <w:rFonts w:eastAsia="Times New Roman" w:cs="Times New Roman"/>
          <w:szCs w:val="26"/>
        </w:rPr>
        <w:t>to</w:t>
      </w:r>
      <w:proofErr w:type="gramEnd"/>
      <w:r w:rsidRPr="001912E8">
        <w:rPr>
          <w:rFonts w:eastAsia="Times New Roman" w:cs="Times New Roman"/>
          <w:szCs w:val="26"/>
        </w:rPr>
        <w:t xml:space="preserve"> the utility (e.g., controlling corporation, subsidiary, regulated subsidiary, affiliate);</w:t>
      </w:r>
    </w:p>
    <w:p w:rsidRPr="001912E8" w:rsidR="001912E8" w:rsidP="001912E8" w:rsidRDefault="001912E8" w14:paraId="0B30CC0A" w14:textId="77777777">
      <w:pPr>
        <w:spacing w:line="240" w:lineRule="auto"/>
        <w:ind w:left="1080" w:hanging="360"/>
        <w:rPr>
          <w:rFonts w:eastAsia="Times New Roman" w:cs="Times New Roman"/>
          <w:szCs w:val="26"/>
        </w:rPr>
      </w:pPr>
      <w:r w:rsidRPr="001912E8">
        <w:rPr>
          <w:rFonts w:eastAsia="Times New Roman" w:cs="Times New Roman"/>
          <w:szCs w:val="26"/>
        </w:rPr>
        <w:t>Ownership of the utility (including type and percent ownership)</w:t>
      </w:r>
    </w:p>
    <w:p w:rsidRPr="001912E8" w:rsidR="001912E8" w:rsidP="001912E8" w:rsidRDefault="001912E8" w14:paraId="6A105759" w14:textId="77777777">
      <w:pPr>
        <w:spacing w:line="240" w:lineRule="auto"/>
        <w:ind w:left="1080" w:hanging="360"/>
        <w:rPr>
          <w:rFonts w:eastAsia="Times New Roman" w:cs="Times New Roman"/>
          <w:szCs w:val="26"/>
        </w:rPr>
      </w:pPr>
      <w:r w:rsidRPr="001912E8">
        <w:rPr>
          <w:rFonts w:eastAsia="Times New Roman" w:cs="Times New Roman"/>
          <w:szCs w:val="26"/>
        </w:rPr>
        <w:t>Voting rights held by the utility and percent; and</w:t>
      </w:r>
    </w:p>
    <w:p w:rsidRPr="001912E8" w:rsidR="001912E8" w:rsidP="001912E8" w:rsidRDefault="001912E8" w14:paraId="0FF3E89F" w14:textId="77777777">
      <w:pPr>
        <w:spacing w:line="240" w:lineRule="auto"/>
        <w:ind w:left="1080" w:hanging="360"/>
        <w:rPr>
          <w:rFonts w:eastAsia="Times New Roman" w:cs="Times New Roman"/>
          <w:szCs w:val="26"/>
        </w:rPr>
      </w:pPr>
      <w:r w:rsidRPr="001912E8">
        <w:rPr>
          <w:rFonts w:eastAsia="Times New Roman" w:cs="Times New Roman"/>
          <w:szCs w:val="26"/>
        </w:rPr>
        <w:t>Corporate officers.</w:t>
      </w:r>
    </w:p>
    <w:p w:rsidRPr="001912E8" w:rsidR="001912E8" w:rsidP="001912E8" w:rsidRDefault="001912E8" w14:paraId="1B2FD5D5" w14:textId="77777777">
      <w:pPr>
        <w:spacing w:line="240" w:lineRule="auto"/>
        <w:ind w:left="1080" w:firstLine="0"/>
        <w:rPr>
          <w:rFonts w:eastAsia="Times New Roman" w:cs="Times New Roman"/>
          <w:szCs w:val="26"/>
        </w:rPr>
      </w:pPr>
    </w:p>
    <w:p w:rsidRPr="001912E8" w:rsidR="001912E8" w:rsidP="001912E8" w:rsidRDefault="001912E8" w14:paraId="152B1D74" w14:textId="77777777">
      <w:pPr>
        <w:numPr>
          <w:ilvl w:val="3"/>
          <w:numId w:val="35"/>
        </w:numPr>
        <w:tabs>
          <w:tab w:val="left" w:pos="-720"/>
        </w:tabs>
        <w:suppressAutoHyphens/>
        <w:spacing w:line="240" w:lineRule="auto"/>
        <w:ind w:left="360"/>
        <w:rPr>
          <w:rFonts w:eastAsia="Times New Roman" w:cs="Times New Roman"/>
          <w:szCs w:val="26"/>
        </w:rPr>
      </w:pPr>
      <w:r w:rsidRPr="001912E8">
        <w:rPr>
          <w:rFonts w:eastAsia="Times New Roman" w:cs="Times New Roman"/>
          <w:szCs w:val="26"/>
        </w:rPr>
        <w:t xml:space="preserve">The utility must prepare and submit a corporate organization chart showing </w:t>
      </w:r>
      <w:proofErr w:type="gramStart"/>
      <w:r w:rsidRPr="001912E8">
        <w:rPr>
          <w:rFonts w:eastAsia="Times New Roman" w:cs="Times New Roman"/>
          <w:szCs w:val="26"/>
        </w:rPr>
        <w:t>any and all</w:t>
      </w:r>
      <w:proofErr w:type="gramEnd"/>
      <w:r w:rsidRPr="001912E8">
        <w:rPr>
          <w:rFonts w:eastAsia="Times New Roman" w:cs="Times New Roman"/>
          <w:szCs w:val="26"/>
        </w:rPr>
        <w:t xml:space="preserve"> corporate relationships between the utility and its affiliated entities and regulated subsidiaries in item 1 above.  The chart must have the controlling corporation (if any) at the top of the chart, the utility and any subsidiaries and/or affiliates of the controlling corporation in the middle levels of the chart, and all secondary subsidiaries and affiliates (</w:t>
      </w:r>
      <w:r w:rsidRPr="001912E8">
        <w:rPr>
          <w:rFonts w:eastAsia="Times New Roman" w:cs="Times New Roman"/>
          <w:i/>
          <w:iCs/>
          <w:szCs w:val="26"/>
        </w:rPr>
        <w:t>e.g.,</w:t>
      </w:r>
      <w:r w:rsidRPr="001912E8">
        <w:rPr>
          <w:rFonts w:eastAsia="Times New Roman" w:cs="Times New Roman"/>
          <w:szCs w:val="26"/>
        </w:rPr>
        <w:t xml:space="preserve"> a </w:t>
      </w:r>
      <w:r w:rsidRPr="001912E8">
        <w:rPr>
          <w:rFonts w:eastAsia="Times New Roman" w:cs="Times New Roman"/>
          <w:szCs w:val="26"/>
        </w:rPr>
        <w:lastRenderedPageBreak/>
        <w:t>subsidiary that in turn is owned by another subsidiary and/or affiliate) in the lower levels.  Any regulated subsidiary must be clearly noted.</w:t>
      </w:r>
    </w:p>
    <w:p w:rsidRPr="001912E8" w:rsidR="001912E8" w:rsidP="001912E8" w:rsidRDefault="001912E8" w14:paraId="3215B326" w14:textId="77777777">
      <w:pPr>
        <w:spacing w:line="240" w:lineRule="auto"/>
        <w:ind w:firstLine="0"/>
        <w:rPr>
          <w:rFonts w:ascii="Palatino" w:hAnsi="Palatino" w:eastAsia="Times New Roman" w:cs="Times New Roman"/>
          <w:szCs w:val="20"/>
        </w:rPr>
      </w:pPr>
    </w:p>
    <w:p w:rsidRPr="001912E8" w:rsidR="001912E8" w:rsidP="001912E8" w:rsidRDefault="001912E8" w14:paraId="058681A4" w14:textId="77777777">
      <w:pPr>
        <w:numPr>
          <w:ilvl w:val="3"/>
          <w:numId w:val="35"/>
        </w:numPr>
        <w:tabs>
          <w:tab w:val="left" w:pos="-720"/>
        </w:tabs>
        <w:suppressAutoHyphens/>
        <w:spacing w:line="240" w:lineRule="auto"/>
        <w:ind w:left="360"/>
        <w:rPr>
          <w:rFonts w:eastAsia="Times New Roman" w:cs="Times New Roman"/>
          <w:szCs w:val="26"/>
        </w:rPr>
      </w:pPr>
      <w:r w:rsidRPr="001912E8">
        <w:rPr>
          <w:rFonts w:eastAsia="Times New Roman" w:cs="Times New Roman"/>
          <w:szCs w:val="26"/>
        </w:rPr>
        <w:t xml:space="preserve"> For a utility that has individuals who are classified as “controlling corporations” of the competitive utility, the utility must only report under the requirements of items 1 and 2 above any affiliated entity that either (a) is a public utility or (b) transacts any business with the utility filing the annual report, excluding the provision of tariff services.</w:t>
      </w:r>
    </w:p>
    <w:p w:rsidRPr="001912E8" w:rsidR="001912E8" w:rsidP="001912E8" w:rsidRDefault="001912E8" w14:paraId="142812F9" w14:textId="77777777">
      <w:pPr>
        <w:spacing w:line="240" w:lineRule="auto"/>
        <w:ind w:firstLine="0"/>
        <w:rPr>
          <w:rFonts w:ascii="Palatino" w:hAnsi="Palatino" w:eastAsia="Times New Roman" w:cs="Times New Roman"/>
          <w:szCs w:val="20"/>
        </w:rPr>
      </w:pPr>
    </w:p>
    <w:p w:rsidRPr="001912E8" w:rsidR="001912E8" w:rsidP="001912E8" w:rsidRDefault="001912E8" w14:paraId="606C9C3E" w14:textId="77777777">
      <w:pPr>
        <w:numPr>
          <w:ilvl w:val="3"/>
          <w:numId w:val="35"/>
        </w:numPr>
        <w:tabs>
          <w:tab w:val="left" w:pos="-720"/>
        </w:tabs>
        <w:suppressAutoHyphens/>
        <w:spacing w:line="240" w:lineRule="auto"/>
        <w:ind w:left="360"/>
        <w:rPr>
          <w:rFonts w:eastAsia="Times New Roman" w:cs="Times New Roman"/>
          <w:szCs w:val="26"/>
        </w:rPr>
      </w:pPr>
      <w:r w:rsidRPr="001912E8">
        <w:rPr>
          <w:rFonts w:eastAsia="Times New Roman" w:cs="Times New Roman"/>
          <w:szCs w:val="26"/>
        </w:rPr>
        <w:t xml:space="preserve"> Each annual report must be signed by a corporate officer of the utility stating under penalty of perjury under the laws of the State of California (CCP § 2015.5) that the annual report is complete and accurate with no material omissions.</w:t>
      </w:r>
    </w:p>
    <w:p w:rsidRPr="001912E8" w:rsidR="001912E8" w:rsidP="001912E8" w:rsidRDefault="001912E8" w14:paraId="41B2E2CC" w14:textId="77777777">
      <w:pPr>
        <w:spacing w:line="240" w:lineRule="auto"/>
        <w:ind w:firstLine="0"/>
        <w:rPr>
          <w:rFonts w:ascii="Palatino" w:hAnsi="Palatino" w:eastAsia="Times New Roman" w:cs="Times New Roman"/>
          <w:szCs w:val="20"/>
        </w:rPr>
      </w:pPr>
    </w:p>
    <w:p w:rsidRPr="001912E8" w:rsidR="001912E8" w:rsidP="001912E8" w:rsidRDefault="001912E8" w14:paraId="06B371A6" w14:textId="77777777">
      <w:pPr>
        <w:numPr>
          <w:ilvl w:val="3"/>
          <w:numId w:val="35"/>
        </w:numPr>
        <w:tabs>
          <w:tab w:val="left" w:pos="-720"/>
        </w:tabs>
        <w:suppressAutoHyphens/>
        <w:spacing w:line="240" w:lineRule="auto"/>
        <w:ind w:left="360"/>
        <w:rPr>
          <w:rFonts w:eastAsia="Times New Roman" w:cs="Times New Roman"/>
          <w:szCs w:val="26"/>
        </w:rPr>
      </w:pPr>
      <w:r w:rsidRPr="001912E8">
        <w:rPr>
          <w:rFonts w:eastAsia="Times New Roman" w:cs="Times New Roman"/>
          <w:szCs w:val="26"/>
        </w:rPr>
        <w:t xml:space="preserve"> Any required information, documents, or other material that a utility is unable to provide must be reasonably described, and the reasons they cannot be obtained, as well as the efforts expended to obtain them, must be set forth in the utility’s Annual Affiliate Transaction Report and verified, in accordance with Section I</w:t>
      </w:r>
      <w:r w:rsidRPr="001912E8">
        <w:rPr>
          <w:rFonts w:eastAsia="Times New Roman" w:cs="Times New Roman"/>
          <w:szCs w:val="26"/>
        </w:rPr>
        <w:noBreakHyphen/>
        <w:t>F of D.93</w:t>
      </w:r>
      <w:r w:rsidRPr="001912E8">
        <w:rPr>
          <w:rFonts w:eastAsia="Times New Roman" w:cs="Times New Roman"/>
          <w:szCs w:val="26"/>
        </w:rPr>
        <w:noBreakHyphen/>
        <w:t>02</w:t>
      </w:r>
      <w:r w:rsidRPr="001912E8">
        <w:rPr>
          <w:rFonts w:eastAsia="Times New Roman" w:cs="Times New Roman"/>
          <w:szCs w:val="26"/>
        </w:rPr>
        <w:noBreakHyphen/>
        <w:t>019.</w:t>
      </w:r>
    </w:p>
    <w:p w:rsidRPr="001912E8" w:rsidR="001912E8" w:rsidP="001912E8" w:rsidRDefault="001912E8" w14:paraId="2D1B8FFF" w14:textId="77777777">
      <w:pPr>
        <w:spacing w:line="240" w:lineRule="auto"/>
        <w:ind w:firstLine="0"/>
        <w:rPr>
          <w:rFonts w:ascii="Palatino" w:hAnsi="Palatino" w:eastAsia="Times New Roman" w:cs="Times New Roman"/>
          <w:szCs w:val="20"/>
        </w:rPr>
      </w:pPr>
    </w:p>
    <w:p w:rsidRPr="001912E8" w:rsidR="001912E8" w:rsidP="001912E8" w:rsidRDefault="001912E8" w14:paraId="1570074D" w14:textId="77777777">
      <w:pPr>
        <w:numPr>
          <w:ilvl w:val="3"/>
          <w:numId w:val="35"/>
        </w:numPr>
        <w:tabs>
          <w:tab w:val="left" w:pos="-720"/>
        </w:tabs>
        <w:suppressAutoHyphens/>
        <w:spacing w:line="240" w:lineRule="auto"/>
        <w:ind w:left="360"/>
        <w:rPr>
          <w:rFonts w:eastAsia="Times New Roman" w:cs="Times New Roman"/>
          <w:szCs w:val="26"/>
        </w:rPr>
      </w:pPr>
      <w:r w:rsidRPr="001912E8">
        <w:rPr>
          <w:rFonts w:eastAsia="Times New Roman" w:cs="Times New Roman"/>
          <w:szCs w:val="26"/>
        </w:rPr>
        <w:t xml:space="preserve"> Utilities that do not have affiliated entities must submit, in lieu of the annual transaction report, an annual statement to the Commission stating that the utility had no affiliated entities during the report period.  This statement must be signed by a corporate officer of the utility, stating under penalty of perjury under the laws of the State of California (CCP § 2015.5) that the annual report is complete and accurate with no material omissions.</w:t>
      </w:r>
    </w:p>
    <w:p w:rsidRPr="001912E8" w:rsidR="001912E8" w:rsidP="001912E8" w:rsidRDefault="001912E8" w14:paraId="05D4CA67" w14:textId="77777777">
      <w:pPr>
        <w:spacing w:line="240" w:lineRule="auto"/>
        <w:ind w:firstLine="0"/>
        <w:rPr>
          <w:rFonts w:ascii="Palatino" w:hAnsi="Palatino" w:eastAsia="Times New Roman" w:cs="Times New Roman"/>
          <w:szCs w:val="20"/>
        </w:rPr>
      </w:pPr>
    </w:p>
    <w:p w:rsidRPr="001912E8" w:rsidR="001912E8" w:rsidP="001912E8" w:rsidRDefault="001912E8" w14:paraId="4F657216" w14:textId="77777777">
      <w:pPr>
        <w:spacing w:line="240" w:lineRule="auto"/>
        <w:ind w:firstLine="0"/>
        <w:rPr>
          <w:rFonts w:eastAsia="Times New Roman" w:cs="Times New Roman"/>
          <w:szCs w:val="26"/>
        </w:rPr>
      </w:pPr>
      <w:r w:rsidRPr="001912E8">
        <w:rPr>
          <w:rFonts w:eastAsia="Times New Roman" w:cs="Times New Roman"/>
          <w:szCs w:val="26"/>
        </w:rPr>
        <w:t xml:space="preserve">Additional information about the reporting requirements is available from the Commission’s website: </w:t>
      </w:r>
      <w:hyperlink w:history="1" r:id="rId49">
        <w:r w:rsidRPr="001912E8">
          <w:rPr>
            <w:rFonts w:eastAsia="Times New Roman" w:cs="Times New Roman"/>
            <w:color w:val="0000FF"/>
            <w:szCs w:val="26"/>
            <w:u w:val="single"/>
          </w:rPr>
          <w:t>https://www.cpuc.ca.gov/industries-and-topics/internet-and-phone/carrier-reporting-requirements/annual-report-forms</w:t>
        </w:r>
      </w:hyperlink>
      <w:r w:rsidRPr="001912E8">
        <w:rPr>
          <w:rFonts w:eastAsia="Times New Roman" w:cs="Times New Roman"/>
          <w:szCs w:val="26"/>
        </w:rPr>
        <w:t xml:space="preserve">. For any questions concerning this report, please send an e-mail to </w:t>
      </w:r>
      <w:hyperlink w:history="1" r:id="rId50">
        <w:r w:rsidRPr="001912E8">
          <w:rPr>
            <w:rFonts w:eastAsia="Times New Roman" w:cs="Times New Roman"/>
            <w:color w:val="0000FF"/>
            <w:szCs w:val="26"/>
            <w:u w:val="single"/>
          </w:rPr>
          <w:t>cdcompliance@cpuca.ca.gov</w:t>
        </w:r>
      </w:hyperlink>
      <w:r w:rsidRPr="001912E8">
        <w:rPr>
          <w:rFonts w:eastAsia="Times New Roman" w:cs="Times New Roman"/>
          <w:szCs w:val="26"/>
        </w:rPr>
        <w:t xml:space="preserve">  with a subject line that includes: “CD Annual Reports.”</w:t>
      </w:r>
    </w:p>
    <w:p w:rsidRPr="001912E8" w:rsidR="001912E8" w:rsidP="001912E8" w:rsidRDefault="001912E8" w14:paraId="01D69754" w14:textId="77777777">
      <w:pPr>
        <w:tabs>
          <w:tab w:val="left" w:pos="-720"/>
        </w:tabs>
        <w:suppressAutoHyphens/>
        <w:spacing w:before="240" w:line="240" w:lineRule="auto"/>
        <w:ind w:firstLine="0"/>
        <w:rPr>
          <w:rFonts w:eastAsia="Times New Roman" w:cs="Times New Roman"/>
          <w:szCs w:val="26"/>
        </w:rPr>
      </w:pPr>
    </w:p>
    <w:p w:rsidRPr="001912E8" w:rsidR="001912E8" w:rsidP="001912E8" w:rsidRDefault="001912E8" w14:paraId="2078231F" w14:textId="77777777">
      <w:pPr>
        <w:spacing w:after="120" w:line="240" w:lineRule="auto"/>
        <w:ind w:firstLine="0"/>
        <w:jc w:val="center"/>
        <w:rPr>
          <w:rFonts w:eastAsia="Times New Roman" w:cs="Times New Roman"/>
          <w:b/>
          <w:szCs w:val="20"/>
        </w:rPr>
      </w:pPr>
      <w:r w:rsidRPr="001912E8">
        <w:rPr>
          <w:rFonts w:eastAsia="Times New Roman" w:cs="Times New Roman"/>
          <w:b/>
          <w:szCs w:val="20"/>
        </w:rPr>
        <w:t>(END OF ATTACHMENT D)</w:t>
      </w:r>
    </w:p>
    <w:p w:rsidRPr="00714CF2" w:rsidR="001912E8" w:rsidP="00816E05" w:rsidRDefault="001912E8" w14:paraId="3BE8192E" w14:textId="77777777"/>
    <w:sectPr w:rsidRPr="00714CF2" w:rsidR="001912E8" w:rsidSect="00DB53C7">
      <w:headerReference w:type="default" r:id="rId51"/>
      <w:footerReference w:type="default" r:id="rId52"/>
      <w:pgSz w:w="12240" w:h="15840"/>
      <w:pgMar w:top="1728"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63979" w14:textId="77777777" w:rsidR="001734E4" w:rsidRDefault="001734E4" w:rsidP="0098138E">
      <w:pPr>
        <w:spacing w:line="240" w:lineRule="auto"/>
      </w:pPr>
      <w:r>
        <w:separator/>
      </w:r>
    </w:p>
  </w:endnote>
  <w:endnote w:type="continuationSeparator" w:id="0">
    <w:p w14:paraId="3F1AE09A" w14:textId="77777777" w:rsidR="001734E4" w:rsidRDefault="001734E4"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BookAntiqu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DCB3" w14:textId="77777777" w:rsidR="00F92385" w:rsidRDefault="00F92385" w:rsidP="007E0FEE">
    <w:pPr>
      <w:ind w:firstLine="0"/>
      <w:jc w:val="center"/>
    </w:pPr>
    <w:r>
      <w:t>-</w:t>
    </w:r>
    <w:sdt>
      <w:sdtPr>
        <w:id w:val="-14722089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C94A2" w14:textId="77777777" w:rsidR="001912E8" w:rsidRDefault="001912E8" w:rsidP="00710EBA">
    <w:pPr>
      <w:pStyle w:val="Footer"/>
      <w:jc w:val="center"/>
    </w:pPr>
    <w:r>
      <w:t>C-</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0A014" w14:textId="77777777" w:rsidR="001912E8" w:rsidRDefault="001912E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DB3DB" w14:textId="67A3A78C" w:rsidR="00E23CBB" w:rsidRDefault="00000000" w:rsidP="007E0FEE">
    <w:pPr>
      <w:ind w:firstLine="0"/>
      <w:jc w:val="center"/>
    </w:pPr>
    <w:sdt>
      <w:sdtPr>
        <w:id w:val="-1034043401"/>
        <w:docPartObj>
          <w:docPartGallery w:val="Page Numbers (Bottom of Page)"/>
          <w:docPartUnique/>
        </w:docPartObj>
      </w:sdtPr>
      <w:sdtEndPr>
        <w:rPr>
          <w:noProof/>
        </w:rPr>
      </w:sdtEndPr>
      <w:sdtContent>
        <w:r w:rsidR="00791986">
          <w:t>D-</w:t>
        </w:r>
        <w:r w:rsidR="00E23CBB">
          <w:fldChar w:fldCharType="begin"/>
        </w:r>
        <w:r w:rsidR="00E23CBB">
          <w:instrText xml:space="preserve"> PAGE   \* MERGEFORMAT </w:instrText>
        </w:r>
        <w:r w:rsidR="00E23CBB">
          <w:fldChar w:fldCharType="separate"/>
        </w:r>
        <w:r w:rsidR="00E23CBB">
          <w:rPr>
            <w:noProof/>
          </w:rPr>
          <w:t>2</w:t>
        </w:r>
        <w:r w:rsidR="00E23CBB">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25F90" w14:textId="218C021E" w:rsidR="00632207" w:rsidRDefault="00000000" w:rsidP="007E0FEE">
    <w:pPr>
      <w:tabs>
        <w:tab w:val="center" w:pos="4680"/>
      </w:tabs>
      <w:ind w:firstLine="0"/>
      <w:rPr>
        <w:noProof/>
      </w:rPr>
    </w:pPr>
    <w:sdt>
      <w:sdtPr>
        <w:id w:val="-1352874971"/>
        <w:docPartObj>
          <w:docPartGallery w:val="Page Numbers (Bottom of Page)"/>
          <w:docPartUnique/>
        </w:docPartObj>
      </w:sdtPr>
      <w:sdtEndPr>
        <w:rPr>
          <w:noProof/>
        </w:rPr>
      </w:sdtEndPr>
      <w:sdtContent>
        <w:r w:rsidR="000E208E" w:rsidRPr="000E208E">
          <w:rPr>
            <w:rFonts w:cs="Arial"/>
            <w:sz w:val="16"/>
            <w:szCs w:val="16"/>
          </w:rPr>
          <w:t>612208633</w:t>
        </w:r>
        <w:r w:rsidR="00632207">
          <w:rPr>
            <w:rFonts w:ascii="Arial" w:hAnsi="Arial" w:cs="Arial"/>
            <w:sz w:val="16"/>
            <w:szCs w:val="16"/>
          </w:rPr>
          <w:tab/>
        </w:r>
        <w:r w:rsidR="00F92385">
          <w:t>-</w:t>
        </w:r>
        <w:r w:rsidR="00EE4315">
          <w:t xml:space="preserve"> </w:t>
        </w:r>
        <w:r w:rsidR="00F92385">
          <w:fldChar w:fldCharType="begin"/>
        </w:r>
        <w:r w:rsidR="00F92385">
          <w:instrText xml:space="preserve"> PAGE   \* MERGEFORMAT </w:instrText>
        </w:r>
        <w:r w:rsidR="00F92385">
          <w:fldChar w:fldCharType="separate"/>
        </w:r>
        <w:r w:rsidR="00F92385">
          <w:rPr>
            <w:noProof/>
          </w:rPr>
          <w:t>2</w:t>
        </w:r>
        <w:r w:rsidR="00F92385">
          <w:rPr>
            <w:noProof/>
          </w:rPr>
          <w:fldChar w:fldCharType="end"/>
        </w:r>
      </w:sdtContent>
    </w:sdt>
    <w:r w:rsidR="00EE4315">
      <w:rPr>
        <w:noProof/>
      </w:rPr>
      <w:t xml:space="preserve"> </w:t>
    </w:r>
    <w:r w:rsidR="00F92385">
      <w:rPr>
        <w:noProof/>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CCD7F" w14:textId="77777777" w:rsidR="00E23CBB" w:rsidRDefault="00E23CBB" w:rsidP="007E0FEE">
    <w:pPr>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8970D" w14:textId="14612C63" w:rsidR="00FC1CA8" w:rsidRDefault="00FC1CA8" w:rsidP="007E0FEE">
    <w:pPr>
      <w:ind w:firstLine="0"/>
      <w:jc w:val="center"/>
    </w:pPr>
    <w:r>
      <w:t xml:space="preserve">- </w:t>
    </w:r>
    <w:sdt>
      <w:sdtPr>
        <w:id w:val="-17489449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8CE71" w14:textId="6FE3B030" w:rsidR="001912E8" w:rsidRDefault="00CD6001" w:rsidP="00CD6001">
    <w:pPr>
      <w:pStyle w:val="Footer"/>
      <w:jc w:val="center"/>
    </w:pPr>
    <w:r>
      <w:t>-2-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6AAEC" w14:textId="77777777" w:rsidR="001912E8" w:rsidRDefault="001912E8" w:rsidP="00710EBA">
    <w:pPr>
      <w:pStyle w:val="Footer"/>
      <w:jc w:val="center"/>
    </w:pPr>
    <w:r>
      <w:t>A-</w:t>
    </w:r>
    <w:sdt>
      <w:sdtPr>
        <w:id w:val="2005780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9A7FF1E" w14:textId="77777777" w:rsidR="001912E8" w:rsidRDefault="001912E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A434" w14:textId="77777777" w:rsidR="001912E8" w:rsidRDefault="001912E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7605" w14:textId="77777777" w:rsidR="001912E8" w:rsidRDefault="001912E8" w:rsidP="00710EBA">
    <w:pPr>
      <w:pStyle w:val="Footer"/>
      <w:jc w:val="center"/>
    </w:pPr>
    <w:r>
      <w:t>B-</w:t>
    </w:r>
    <w:sdt>
      <w:sdtPr>
        <w:id w:val="-18987398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B9F4D2C" w14:textId="77777777" w:rsidR="001912E8" w:rsidRDefault="001912E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3FFC6" w14:textId="77777777" w:rsidR="001912E8" w:rsidRDefault="00191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4E375" w14:textId="77777777" w:rsidR="001734E4" w:rsidRDefault="001734E4" w:rsidP="00DF58E7">
      <w:pPr>
        <w:spacing w:line="240" w:lineRule="auto"/>
        <w:ind w:firstLine="0"/>
      </w:pPr>
      <w:r>
        <w:separator/>
      </w:r>
    </w:p>
  </w:footnote>
  <w:footnote w:type="continuationSeparator" w:id="0">
    <w:p w14:paraId="4115E214" w14:textId="77777777" w:rsidR="001734E4" w:rsidRDefault="001734E4" w:rsidP="00DF58E7">
      <w:pPr>
        <w:spacing w:line="240" w:lineRule="auto"/>
        <w:ind w:firstLine="0"/>
      </w:pPr>
      <w:r>
        <w:continuationSeparator/>
      </w:r>
    </w:p>
  </w:footnote>
  <w:footnote w:type="continuationNotice" w:id="1">
    <w:p w14:paraId="298A0A8F" w14:textId="77777777" w:rsidR="001734E4" w:rsidRPr="00DF58E7" w:rsidRDefault="001734E4"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05DF1701" w14:textId="6F074161" w:rsidR="001912E8" w:rsidRPr="00D66FFA" w:rsidRDefault="001912E8" w:rsidP="000B6622">
      <w:pPr>
        <w:pStyle w:val="FootnoteText"/>
        <w:rPr>
          <w:szCs w:val="22"/>
        </w:rPr>
      </w:pPr>
      <w:r w:rsidRPr="00D66FFA">
        <w:rPr>
          <w:rStyle w:val="FootnoteReference"/>
          <w:szCs w:val="22"/>
        </w:rPr>
        <w:footnoteRef/>
      </w:r>
      <w:r w:rsidRPr="00D66FFA">
        <w:rPr>
          <w:szCs w:val="22"/>
        </w:rPr>
        <w:t xml:space="preserve">  While this application was filed pursuant to Pub</w:t>
      </w:r>
      <w:r w:rsidR="00CC6455">
        <w:rPr>
          <w:szCs w:val="22"/>
        </w:rPr>
        <w:t>lic</w:t>
      </w:r>
      <w:r w:rsidRPr="00D66FFA">
        <w:rPr>
          <w:szCs w:val="22"/>
        </w:rPr>
        <w:t xml:space="preserve"> Util</w:t>
      </w:r>
      <w:r w:rsidR="00CC6455">
        <w:rPr>
          <w:szCs w:val="22"/>
        </w:rPr>
        <w:t>ities</w:t>
      </w:r>
      <w:r w:rsidRPr="00D66FFA">
        <w:rPr>
          <w:szCs w:val="22"/>
        </w:rPr>
        <w:t xml:space="preserve"> </w:t>
      </w:r>
      <w:r w:rsidR="00CC6455">
        <w:rPr>
          <w:szCs w:val="22"/>
        </w:rPr>
        <w:t xml:space="preserve">(Pub. Util.) </w:t>
      </w:r>
      <w:r w:rsidRPr="00D66FFA">
        <w:rPr>
          <w:szCs w:val="22"/>
        </w:rPr>
        <w:t xml:space="preserve">Code </w:t>
      </w:r>
      <w:r w:rsidR="000126A3" w:rsidRPr="00D66FFA">
        <w:rPr>
          <w:szCs w:val="22"/>
        </w:rPr>
        <w:t>Section</w:t>
      </w:r>
      <w:r w:rsidRPr="00D66FFA">
        <w:rPr>
          <w:szCs w:val="22"/>
        </w:rPr>
        <w:t xml:space="preserve"> 1013, an expedited and ministerial registration process, </w:t>
      </w:r>
      <w:r w:rsidR="000126A3" w:rsidRPr="00D66FFA">
        <w:rPr>
          <w:szCs w:val="22"/>
        </w:rPr>
        <w:t xml:space="preserve">a </w:t>
      </w:r>
      <w:r w:rsidR="000B6622" w:rsidRPr="00D66FFA">
        <w:rPr>
          <w:szCs w:val="22"/>
        </w:rPr>
        <w:t xml:space="preserve">determination </w:t>
      </w:r>
      <w:r w:rsidR="000126A3" w:rsidRPr="00D66FFA">
        <w:rPr>
          <w:szCs w:val="22"/>
        </w:rPr>
        <w:t>was</w:t>
      </w:r>
      <w:r w:rsidR="000B6622" w:rsidRPr="00D66FFA">
        <w:rPr>
          <w:szCs w:val="22"/>
        </w:rPr>
        <w:t xml:space="preserve"> made by the Communications Division that the Application does not qualify for the simplified registration process</w:t>
      </w:r>
      <w:r w:rsidR="000126A3" w:rsidRPr="00D66FFA">
        <w:rPr>
          <w:szCs w:val="22"/>
        </w:rPr>
        <w:t>.  This application was re</w:t>
      </w:r>
      <w:r w:rsidR="001767B3" w:rsidRPr="00D66FFA">
        <w:rPr>
          <w:szCs w:val="22"/>
        </w:rPr>
        <w:t>moved from the registration track and assigned</w:t>
      </w:r>
      <w:r w:rsidRPr="00D66FFA">
        <w:rPr>
          <w:szCs w:val="22"/>
        </w:rPr>
        <w:t xml:space="preserve"> to an Administrative Law Jud</w:t>
      </w:r>
      <w:r w:rsidR="001767B3" w:rsidRPr="00D66FFA">
        <w:rPr>
          <w:szCs w:val="22"/>
        </w:rPr>
        <w:t>ge</w:t>
      </w:r>
      <w:r w:rsidRPr="00D66FFA">
        <w:rPr>
          <w:szCs w:val="22"/>
        </w:rPr>
        <w:t xml:space="preserve">. It has therefore been evaluated as a CPCN under Pub. Util. Code </w:t>
      </w:r>
      <w:r w:rsidR="001767B3" w:rsidRPr="00D66FFA">
        <w:rPr>
          <w:szCs w:val="22"/>
        </w:rPr>
        <w:t>Section</w:t>
      </w:r>
      <w:r w:rsidRPr="00D66FFA">
        <w:rPr>
          <w:szCs w:val="22"/>
        </w:rPr>
        <w:t> 1001.</w:t>
      </w:r>
    </w:p>
  </w:footnote>
  <w:footnote w:id="3">
    <w:p w14:paraId="35F24B5F" w14:textId="3C12B36E" w:rsidR="00D43201" w:rsidRPr="00D66FFA" w:rsidRDefault="00D43201">
      <w:pPr>
        <w:pStyle w:val="FootnoteText"/>
      </w:pPr>
      <w:r w:rsidRPr="00D66FFA">
        <w:rPr>
          <w:rStyle w:val="FootnoteReference"/>
        </w:rPr>
        <w:footnoteRef/>
      </w:r>
      <w:r w:rsidRPr="00D66FFA">
        <w:t xml:space="preserve"> Decision (D.) 02-05-022</w:t>
      </w:r>
      <w:r w:rsidR="00FD7DD4">
        <w:t xml:space="preserve"> at</w:t>
      </w:r>
      <w:r w:rsidR="00BE298D">
        <w:t xml:space="preserve"> O</w:t>
      </w:r>
      <w:r w:rsidR="00F766B7">
        <w:t>r</w:t>
      </w:r>
      <w:r w:rsidR="00BE298D">
        <w:t>dering Paragraph (OP) 1</w:t>
      </w:r>
      <w:r w:rsidRPr="00D66FFA">
        <w:t>.</w:t>
      </w:r>
    </w:p>
  </w:footnote>
  <w:footnote w:id="4">
    <w:p w14:paraId="5CFA53A1" w14:textId="34703E8B" w:rsidR="00527615" w:rsidRDefault="00527615">
      <w:pPr>
        <w:pStyle w:val="FootnoteText"/>
      </w:pPr>
      <w:r>
        <w:rPr>
          <w:rStyle w:val="FootnoteReference"/>
        </w:rPr>
        <w:footnoteRef/>
      </w:r>
      <w:r>
        <w:t xml:space="preserve"> D.0</w:t>
      </w:r>
      <w:r w:rsidR="00F766B7">
        <w:t>2</w:t>
      </w:r>
      <w:r>
        <w:t xml:space="preserve">-05-022 at </w:t>
      </w:r>
      <w:r w:rsidR="00F766B7">
        <w:t>OP</w:t>
      </w:r>
      <w:r>
        <w:t xml:space="preserve"> 1.</w:t>
      </w:r>
    </w:p>
  </w:footnote>
  <w:footnote w:id="5">
    <w:p w14:paraId="4D2C3AC9" w14:textId="2EFFF0AA" w:rsidR="001767B3" w:rsidRDefault="001767B3">
      <w:pPr>
        <w:pStyle w:val="FootnoteText"/>
      </w:pPr>
      <w:r>
        <w:rPr>
          <w:rStyle w:val="FootnoteReference"/>
        </w:rPr>
        <w:footnoteRef/>
      </w:r>
      <w:r>
        <w:t xml:space="preserve"> Notice of Registration Reassignment, December 1, 2025, at Attachment A, footnote 1.</w:t>
      </w:r>
    </w:p>
  </w:footnote>
  <w:footnote w:id="6">
    <w:p w14:paraId="112D05F7" w14:textId="1D3881C3" w:rsidR="001767B3" w:rsidRDefault="001767B3">
      <w:pPr>
        <w:pStyle w:val="FootnoteText"/>
      </w:pPr>
      <w:r>
        <w:rPr>
          <w:rStyle w:val="FootnoteReference"/>
        </w:rPr>
        <w:footnoteRef/>
      </w:r>
      <w:r>
        <w:t xml:space="preserve"> D.</w:t>
      </w:r>
      <w:r w:rsidR="00FE46CA">
        <w:t>03-02-051</w:t>
      </w:r>
      <w:r w:rsidR="00F766B7">
        <w:t xml:space="preserve"> at OP 1, OP 2, and OP 3</w:t>
      </w:r>
      <w:r w:rsidR="00FE46CA">
        <w:t>.</w:t>
      </w:r>
    </w:p>
  </w:footnote>
  <w:footnote w:id="7">
    <w:p w14:paraId="1B60EBDC" w14:textId="357865AD" w:rsidR="00FE46CA" w:rsidRDefault="00FE46CA">
      <w:pPr>
        <w:pStyle w:val="FootnoteText"/>
      </w:pPr>
      <w:r>
        <w:rPr>
          <w:rStyle w:val="FootnoteReference"/>
        </w:rPr>
        <w:footnoteRef/>
      </w:r>
      <w:r>
        <w:t xml:space="preserve"> Notice of Registration Reassignment, December 1, 2025, at Attachment A, footnote 1.</w:t>
      </w:r>
    </w:p>
  </w:footnote>
  <w:footnote w:id="8">
    <w:p w14:paraId="6EFA1BC2" w14:textId="44176EFB" w:rsidR="00201DCD" w:rsidRDefault="00201DCD" w:rsidP="00201DCD">
      <w:pPr>
        <w:pStyle w:val="FootnoteText"/>
      </w:pPr>
      <w:r>
        <w:rPr>
          <w:rStyle w:val="FootnoteReference"/>
        </w:rPr>
        <w:footnoteRef/>
      </w:r>
      <w:r>
        <w:t xml:space="preserve"> </w:t>
      </w:r>
      <w:r w:rsidR="001A3197">
        <w:t xml:space="preserve">Application of Enhanced Communications Network, Inc. d/b/a Asian American Association Telecom Services for Registration as a Telephone Corporation Pursuant to </w:t>
      </w:r>
      <w:r w:rsidR="000C4C2C" w:rsidRPr="003E73F0">
        <w:t>Pub. Util.</w:t>
      </w:r>
      <w:r w:rsidR="001A3197" w:rsidRPr="003E73F0">
        <w:t xml:space="preserve"> Code</w:t>
      </w:r>
      <w:r w:rsidR="001A3197">
        <w:t xml:space="preserve"> Section 1013, May 30, 2025 (</w:t>
      </w:r>
      <w:r>
        <w:t>Application</w:t>
      </w:r>
      <w:r w:rsidR="001A3197">
        <w:t>),</w:t>
      </w:r>
      <w:r w:rsidR="009B7657">
        <w:t xml:space="preserve"> Appendix C</w:t>
      </w:r>
      <w:r>
        <w:t xml:space="preserve">; </w:t>
      </w:r>
      <w:r w:rsidR="009B7657">
        <w:t>Reporter’s Transcript (RT)</w:t>
      </w:r>
      <w:r>
        <w:t xml:space="preserve"> at 8:1-7.</w:t>
      </w:r>
    </w:p>
  </w:footnote>
  <w:footnote w:id="9">
    <w:p w14:paraId="0C07DE03" w14:textId="0DBAFD56" w:rsidR="00201DCD" w:rsidRDefault="00201DCD" w:rsidP="00201DCD">
      <w:pPr>
        <w:pStyle w:val="FootnoteText"/>
      </w:pPr>
      <w:r>
        <w:rPr>
          <w:rStyle w:val="FootnoteReference"/>
        </w:rPr>
        <w:footnoteRef/>
      </w:r>
      <w:r>
        <w:t xml:space="preserve"> </w:t>
      </w:r>
      <w:r w:rsidR="009B7657">
        <w:t>RT</w:t>
      </w:r>
      <w:r>
        <w:t xml:space="preserve"> at 7:21-25</w:t>
      </w:r>
      <w:r w:rsidR="009B7657">
        <w:t>.</w:t>
      </w:r>
    </w:p>
  </w:footnote>
  <w:footnote w:id="10">
    <w:p w14:paraId="567C83EE" w14:textId="77777777" w:rsidR="00C110E6" w:rsidRDefault="00C110E6" w:rsidP="00C110E6">
      <w:pPr>
        <w:pStyle w:val="FootnoteText"/>
      </w:pPr>
      <w:r>
        <w:rPr>
          <w:rStyle w:val="FootnoteReference"/>
        </w:rPr>
        <w:footnoteRef/>
      </w:r>
      <w:r>
        <w:t xml:space="preserve"> Notice of Registration Reassignment, December 1, 2025. </w:t>
      </w:r>
    </w:p>
  </w:footnote>
  <w:footnote w:id="11">
    <w:p w14:paraId="5A822D1F" w14:textId="1BF490E9" w:rsidR="00092A69" w:rsidRPr="00297C20" w:rsidRDefault="00092A69" w:rsidP="00092A69">
      <w:pPr>
        <w:pStyle w:val="ALJFootnote"/>
        <w:rPr>
          <w:szCs w:val="22"/>
        </w:rPr>
      </w:pPr>
      <w:r w:rsidRPr="00297C20">
        <w:rPr>
          <w:rStyle w:val="FootnoteReference"/>
          <w:szCs w:val="22"/>
        </w:rPr>
        <w:footnoteRef/>
      </w:r>
      <w:r w:rsidRPr="00297C20">
        <w:rPr>
          <w:szCs w:val="22"/>
        </w:rPr>
        <w:t xml:space="preserve"> Pub. Util. Code </w:t>
      </w:r>
      <w:r w:rsidR="00E31DC0">
        <w:rPr>
          <w:szCs w:val="22"/>
        </w:rPr>
        <w:t>Sections</w:t>
      </w:r>
      <w:r w:rsidRPr="00297C20">
        <w:rPr>
          <w:szCs w:val="22"/>
        </w:rPr>
        <w:t xml:space="preserve"> 216, 234. </w:t>
      </w:r>
    </w:p>
  </w:footnote>
  <w:footnote w:id="12">
    <w:p w14:paraId="4F09DB19" w14:textId="347A4CEB" w:rsidR="00092A69" w:rsidRPr="00297C20" w:rsidRDefault="00092A69" w:rsidP="00092A69">
      <w:pPr>
        <w:pStyle w:val="FootnoteText"/>
        <w:rPr>
          <w:szCs w:val="22"/>
          <w:lang w:val="en-ZW"/>
        </w:rPr>
      </w:pPr>
      <w:r w:rsidRPr="00297C20">
        <w:rPr>
          <w:rStyle w:val="FootnoteReference"/>
          <w:szCs w:val="22"/>
        </w:rPr>
        <w:footnoteRef/>
      </w:r>
      <w:r w:rsidRPr="00297C20">
        <w:rPr>
          <w:szCs w:val="22"/>
        </w:rPr>
        <w:t xml:space="preserve"> </w:t>
      </w:r>
      <w:r w:rsidRPr="00297C20">
        <w:rPr>
          <w:i/>
          <w:iCs/>
          <w:szCs w:val="22"/>
        </w:rPr>
        <w:t>See</w:t>
      </w:r>
      <w:r w:rsidRPr="00297C20">
        <w:rPr>
          <w:szCs w:val="22"/>
        </w:rPr>
        <w:t xml:space="preserve"> D.20-07-011 at 14-15; Cal. Const., art. XII, </w:t>
      </w:r>
      <w:r w:rsidR="00E31DC0">
        <w:rPr>
          <w:szCs w:val="22"/>
        </w:rPr>
        <w:t>Sections</w:t>
      </w:r>
      <w:r w:rsidRPr="00297C20">
        <w:rPr>
          <w:szCs w:val="22"/>
        </w:rPr>
        <w:t xml:space="preserve"> 1-6; Pub. Util. Code </w:t>
      </w:r>
      <w:r w:rsidR="00E31DC0">
        <w:rPr>
          <w:szCs w:val="22"/>
        </w:rPr>
        <w:t>Section</w:t>
      </w:r>
      <w:r w:rsidRPr="00297C20">
        <w:rPr>
          <w:szCs w:val="22"/>
        </w:rPr>
        <w:t xml:space="preserve"> 701.</w:t>
      </w:r>
    </w:p>
  </w:footnote>
  <w:footnote w:id="13">
    <w:p w14:paraId="482729F2" w14:textId="43AE287A" w:rsidR="00092A69" w:rsidRPr="00297C20" w:rsidRDefault="00092A69" w:rsidP="00092A69">
      <w:pPr>
        <w:pStyle w:val="FootnoteText"/>
        <w:rPr>
          <w:szCs w:val="22"/>
          <w:lang w:val="en-ZW"/>
        </w:rPr>
      </w:pPr>
      <w:r w:rsidRPr="00297C20">
        <w:rPr>
          <w:rStyle w:val="FootnoteReference"/>
          <w:szCs w:val="22"/>
        </w:rPr>
        <w:footnoteRef/>
      </w:r>
      <w:r w:rsidRPr="00297C20">
        <w:rPr>
          <w:szCs w:val="22"/>
        </w:rPr>
        <w:t xml:space="preserve"> </w:t>
      </w:r>
      <w:r w:rsidRPr="00297C20">
        <w:rPr>
          <w:szCs w:val="22"/>
          <w:lang w:val="en-ZW"/>
        </w:rPr>
        <w:t xml:space="preserve">Pub. Util. Code </w:t>
      </w:r>
      <w:r w:rsidR="001F1A88">
        <w:rPr>
          <w:szCs w:val="22"/>
          <w:lang w:val="en-ZW"/>
        </w:rPr>
        <w:t>Sections</w:t>
      </w:r>
      <w:r w:rsidRPr="00297C20">
        <w:rPr>
          <w:szCs w:val="22"/>
          <w:lang w:val="en-ZW"/>
        </w:rPr>
        <w:t xml:space="preserve"> 216, 233, 234; D.22-10-021 at 68.</w:t>
      </w:r>
    </w:p>
  </w:footnote>
  <w:footnote w:id="14">
    <w:p w14:paraId="2180F6EB" w14:textId="5D0EC150" w:rsidR="00092A69" w:rsidRPr="00297C20" w:rsidRDefault="00092A69" w:rsidP="00092A69">
      <w:pPr>
        <w:pStyle w:val="FootnoteText"/>
        <w:rPr>
          <w:szCs w:val="22"/>
          <w:lang w:val="en-ZW"/>
        </w:rPr>
      </w:pPr>
      <w:r w:rsidRPr="00297C20">
        <w:rPr>
          <w:rStyle w:val="FootnoteReference"/>
          <w:szCs w:val="22"/>
        </w:rPr>
        <w:footnoteRef/>
      </w:r>
      <w:r w:rsidRPr="00297C20">
        <w:rPr>
          <w:szCs w:val="22"/>
        </w:rPr>
        <w:t xml:space="preserve"> Pub. Util. Code </w:t>
      </w:r>
      <w:r w:rsidR="001F1A88">
        <w:rPr>
          <w:szCs w:val="22"/>
          <w:lang w:val="en-ZW"/>
        </w:rPr>
        <w:t>Section</w:t>
      </w:r>
      <w:r w:rsidRPr="00297C20">
        <w:rPr>
          <w:szCs w:val="22"/>
        </w:rPr>
        <w:t> 216(a).</w:t>
      </w:r>
      <w:r>
        <w:rPr>
          <w:szCs w:val="22"/>
        </w:rPr>
        <w:t xml:space="preserve">  </w:t>
      </w:r>
      <w:r w:rsidRPr="00297C20">
        <w:rPr>
          <w:szCs w:val="22"/>
          <w:lang w:val="en-ZW"/>
        </w:rPr>
        <w:t xml:space="preserve">Telephone corporations are required </w:t>
      </w:r>
      <w:r w:rsidRPr="00297C20">
        <w:rPr>
          <w:szCs w:val="22"/>
        </w:rPr>
        <w:t>to file annual affiliate transaction reports and pay surcharges and user fees.</w:t>
      </w:r>
    </w:p>
  </w:footnote>
  <w:footnote w:id="15">
    <w:p w14:paraId="6B8D4C37" w14:textId="490327F3" w:rsidR="00092A69" w:rsidRPr="00297C20" w:rsidRDefault="00092A69" w:rsidP="00092A69">
      <w:pPr>
        <w:pStyle w:val="FootnoteText"/>
        <w:rPr>
          <w:szCs w:val="22"/>
          <w:lang w:val="en-ZW"/>
        </w:rPr>
      </w:pPr>
      <w:r w:rsidRPr="00297C20">
        <w:rPr>
          <w:rStyle w:val="FootnoteReference"/>
          <w:szCs w:val="22"/>
        </w:rPr>
        <w:footnoteRef/>
      </w:r>
      <w:r w:rsidRPr="00297C20">
        <w:rPr>
          <w:szCs w:val="22"/>
        </w:rPr>
        <w:t xml:space="preserve"> Pub. Util. Code </w:t>
      </w:r>
      <w:r w:rsidR="001F1A88">
        <w:rPr>
          <w:szCs w:val="22"/>
          <w:lang w:val="en-ZW"/>
        </w:rPr>
        <w:t>Section</w:t>
      </w:r>
      <w:r w:rsidRPr="00297C20">
        <w:rPr>
          <w:szCs w:val="22"/>
        </w:rPr>
        <w:t xml:space="preserve"> 1001.</w:t>
      </w:r>
    </w:p>
  </w:footnote>
  <w:footnote w:id="16">
    <w:p w14:paraId="26B1D8B0" w14:textId="2F40834C" w:rsidR="00362C67" w:rsidRPr="00297C20" w:rsidRDefault="00362C67" w:rsidP="00362C67">
      <w:pPr>
        <w:pStyle w:val="FootnoteText"/>
        <w:rPr>
          <w:szCs w:val="22"/>
          <w:lang w:val="en-ZW"/>
        </w:rPr>
      </w:pPr>
      <w:r w:rsidRPr="00297C20">
        <w:rPr>
          <w:rStyle w:val="FootnoteReference"/>
          <w:szCs w:val="22"/>
        </w:rPr>
        <w:footnoteRef/>
      </w:r>
      <w:r w:rsidRPr="00297C20">
        <w:rPr>
          <w:szCs w:val="22"/>
        </w:rPr>
        <w:t xml:space="preserve"> </w:t>
      </w:r>
      <w:r w:rsidRPr="00297C20">
        <w:rPr>
          <w:szCs w:val="22"/>
          <w:lang w:val="en-ZW"/>
        </w:rPr>
        <w:t xml:space="preserve">Pub. Util. Code </w:t>
      </w:r>
      <w:r w:rsidR="00F52023">
        <w:rPr>
          <w:szCs w:val="22"/>
          <w:lang w:val="en-ZW"/>
        </w:rPr>
        <w:t>Sections</w:t>
      </w:r>
      <w:r w:rsidRPr="00297C20">
        <w:rPr>
          <w:szCs w:val="22"/>
          <w:lang w:val="en-ZW"/>
        </w:rPr>
        <w:t xml:space="preserve"> 216, 233, 234; D.22-10-021 at 68; D.24-11-003 at </w:t>
      </w:r>
      <w:r>
        <w:rPr>
          <w:szCs w:val="22"/>
          <w:lang w:val="en-ZW"/>
        </w:rPr>
        <w:t>18-19</w:t>
      </w:r>
      <w:r w:rsidRPr="00297C20">
        <w:rPr>
          <w:szCs w:val="22"/>
          <w:lang w:val="en-ZW"/>
        </w:rPr>
        <w:t>.</w:t>
      </w:r>
    </w:p>
  </w:footnote>
  <w:footnote w:id="17">
    <w:p w14:paraId="0FD29169" w14:textId="77777777" w:rsidR="00362C67" w:rsidRPr="00297C20" w:rsidRDefault="00362C67" w:rsidP="00362C67">
      <w:pPr>
        <w:pStyle w:val="FootnoteText"/>
        <w:rPr>
          <w:rFonts w:eastAsia="Book Antiqua" w:cs="Book Antiqua"/>
          <w:szCs w:val="22"/>
          <w:lang w:val="en-ZW"/>
        </w:rPr>
      </w:pPr>
      <w:r w:rsidRPr="00297C20">
        <w:rPr>
          <w:rStyle w:val="FootnoteReference"/>
          <w:rFonts w:eastAsia="Book Antiqua" w:cs="Book Antiqua"/>
          <w:szCs w:val="22"/>
        </w:rPr>
        <w:footnoteRef/>
      </w:r>
      <w:r w:rsidRPr="00297C20">
        <w:rPr>
          <w:rFonts w:eastAsia="Book Antiqua" w:cs="Book Antiqua"/>
          <w:szCs w:val="22"/>
        </w:rPr>
        <w:t xml:space="preserve"> </w:t>
      </w:r>
      <w:r w:rsidRPr="00297C20">
        <w:rPr>
          <w:rFonts w:eastAsia="Book Antiqua" w:cs="Book Antiqua"/>
          <w:szCs w:val="22"/>
          <w:lang w:val="en-ZW"/>
        </w:rPr>
        <w:t>D.24-11-003 at 40-42.</w:t>
      </w:r>
    </w:p>
  </w:footnote>
  <w:footnote w:id="18">
    <w:p w14:paraId="592DF855" w14:textId="12193B24" w:rsidR="00E34BFB" w:rsidRPr="00297C20" w:rsidRDefault="00E34BFB" w:rsidP="00E34BFB">
      <w:pPr>
        <w:pStyle w:val="FootnoteText"/>
        <w:rPr>
          <w:szCs w:val="22"/>
        </w:rPr>
      </w:pPr>
      <w:r w:rsidRPr="00297C20">
        <w:rPr>
          <w:rStyle w:val="FootnoteReferencebyTim"/>
          <w:rFonts w:ascii="Book Antiqua" w:hAnsi="Book Antiqua"/>
        </w:rPr>
        <w:footnoteRef/>
      </w:r>
      <w:r w:rsidRPr="00297C20">
        <w:rPr>
          <w:szCs w:val="22"/>
        </w:rPr>
        <w:t xml:space="preserve"> Public Resources Code </w:t>
      </w:r>
      <w:r>
        <w:rPr>
          <w:szCs w:val="22"/>
        </w:rPr>
        <w:t>Sections</w:t>
      </w:r>
      <w:r w:rsidRPr="00297C20">
        <w:rPr>
          <w:szCs w:val="22"/>
        </w:rPr>
        <w:t xml:space="preserve"> 21000, </w:t>
      </w:r>
      <w:r w:rsidRPr="00297C20">
        <w:rPr>
          <w:i/>
          <w:szCs w:val="22"/>
        </w:rPr>
        <w:t>et seq</w:t>
      </w:r>
      <w:r w:rsidRPr="00297C20">
        <w:rPr>
          <w:szCs w:val="22"/>
        </w:rPr>
        <w:t xml:space="preserve">.  </w:t>
      </w:r>
    </w:p>
  </w:footnote>
  <w:footnote w:id="19">
    <w:p w14:paraId="3F285C5B" w14:textId="77777777" w:rsidR="00362C67" w:rsidRPr="00297C20" w:rsidRDefault="00362C67" w:rsidP="00362C67">
      <w:pPr>
        <w:pStyle w:val="FootnoteText"/>
        <w:rPr>
          <w:szCs w:val="22"/>
          <w:lang w:val="en-ZW"/>
        </w:rPr>
      </w:pPr>
      <w:r w:rsidRPr="00297C20">
        <w:rPr>
          <w:rStyle w:val="FootnoteReference"/>
          <w:szCs w:val="22"/>
        </w:rPr>
        <w:footnoteRef/>
      </w:r>
      <w:r w:rsidRPr="00297C20">
        <w:rPr>
          <w:szCs w:val="22"/>
        </w:rPr>
        <w:t xml:space="preserve"> </w:t>
      </w:r>
      <w:r>
        <w:rPr>
          <w:i/>
          <w:iCs/>
          <w:szCs w:val="22"/>
          <w:lang w:val="en-ZW"/>
        </w:rPr>
        <w:t xml:space="preserve">See </w:t>
      </w:r>
      <w:r w:rsidRPr="00297C20">
        <w:rPr>
          <w:szCs w:val="22"/>
          <w:lang w:val="en-ZW"/>
        </w:rPr>
        <w:t>D.24-11-003 at 56</w:t>
      </w:r>
      <w:r>
        <w:rPr>
          <w:szCs w:val="22"/>
          <w:lang w:val="en-ZW"/>
        </w:rPr>
        <w:t>-58</w:t>
      </w:r>
      <w:r w:rsidRPr="00297C20">
        <w:rPr>
          <w:szCs w:val="22"/>
          <w:lang w:val="en-ZW"/>
        </w:rPr>
        <w:t>.</w:t>
      </w:r>
    </w:p>
  </w:footnote>
  <w:footnote w:id="20">
    <w:p w14:paraId="6DA9C6A6" w14:textId="77777777" w:rsidR="00362C67" w:rsidRPr="00297C20" w:rsidRDefault="00362C67" w:rsidP="00362C67">
      <w:pPr>
        <w:pStyle w:val="FootnoteText"/>
        <w:rPr>
          <w:szCs w:val="22"/>
        </w:rPr>
      </w:pPr>
      <w:r w:rsidRPr="00297C20">
        <w:rPr>
          <w:rStyle w:val="FootnoteReference"/>
          <w:szCs w:val="22"/>
        </w:rPr>
        <w:footnoteRef/>
      </w:r>
      <w:r w:rsidRPr="00297C20">
        <w:rPr>
          <w:szCs w:val="22"/>
        </w:rPr>
        <w:t xml:space="preserve">  The financial requirement for CLECs, NDIECs, and fixed interconnected VoIP providers is contained in D.24-11-003 at Appendix F.</w:t>
      </w:r>
    </w:p>
  </w:footnote>
  <w:footnote w:id="21">
    <w:p w14:paraId="611D3780" w14:textId="2FD47EA0" w:rsidR="00535FF0" w:rsidRDefault="00535FF0">
      <w:pPr>
        <w:pStyle w:val="FootnoteText"/>
      </w:pPr>
      <w:r>
        <w:rPr>
          <w:rStyle w:val="FootnoteReference"/>
        </w:rPr>
        <w:footnoteRef/>
      </w:r>
      <w:r>
        <w:t xml:space="preserve"> </w:t>
      </w:r>
      <w:r w:rsidR="00F52023">
        <w:t xml:space="preserve">Application, </w:t>
      </w:r>
      <w:r>
        <w:t>Appendix I is designated as confidential as discussed in Section 13 of this decision.</w:t>
      </w:r>
    </w:p>
  </w:footnote>
  <w:footnote w:id="22">
    <w:p w14:paraId="12C0167A" w14:textId="12185B0F" w:rsidR="00535FF0" w:rsidRDefault="00535FF0">
      <w:pPr>
        <w:pStyle w:val="FootnoteText"/>
      </w:pPr>
      <w:r>
        <w:rPr>
          <w:rStyle w:val="FootnoteReference"/>
        </w:rPr>
        <w:footnoteRef/>
      </w:r>
      <w:r>
        <w:t xml:space="preserve"> Response to Administrative Law Judge Inquiry – Application of Enhanced Communications Network, Inc. d/b/a Asian American Association Telecom Services for Registration as a Telephone Corporation Pursuant to Public Utilities Code Section 1013</w:t>
      </w:r>
      <w:r w:rsidR="00E44A64">
        <w:t xml:space="preserve"> (Response to Administrative Law Judge Inquiry)</w:t>
      </w:r>
      <w:r>
        <w:t>, January 23, 2026, Appendix E, Balance Sheet, Income Statement, Bank Statement.</w:t>
      </w:r>
    </w:p>
  </w:footnote>
  <w:footnote w:id="23">
    <w:p w14:paraId="2536D1F5" w14:textId="77777777" w:rsidR="00362C67" w:rsidRPr="00297C20" w:rsidRDefault="00362C67" w:rsidP="00362C67">
      <w:pPr>
        <w:pStyle w:val="FootnoteText"/>
        <w:rPr>
          <w:szCs w:val="22"/>
          <w:lang w:val="en-ZW"/>
        </w:rPr>
      </w:pPr>
      <w:r w:rsidRPr="00297C20">
        <w:rPr>
          <w:rStyle w:val="FootnoteReference"/>
          <w:szCs w:val="22"/>
        </w:rPr>
        <w:footnoteRef/>
      </w:r>
      <w:r w:rsidRPr="00297C20">
        <w:rPr>
          <w:szCs w:val="22"/>
        </w:rPr>
        <w:t xml:space="preserve"> The financial requirement for CLECs, NDIECs, and fixed interconnected VoIP providers is contained in D.24-11-003 at Appendix F.</w:t>
      </w:r>
    </w:p>
  </w:footnote>
  <w:footnote w:id="24">
    <w:p w14:paraId="43215D06" w14:textId="77777777" w:rsidR="008845EF" w:rsidRPr="00297C20" w:rsidRDefault="008845EF" w:rsidP="008845EF">
      <w:pPr>
        <w:pStyle w:val="FootnoteText"/>
        <w:rPr>
          <w:szCs w:val="22"/>
        </w:rPr>
      </w:pPr>
      <w:r w:rsidRPr="00297C20">
        <w:rPr>
          <w:rStyle w:val="FootnoteReference"/>
          <w:szCs w:val="22"/>
        </w:rPr>
        <w:footnoteRef/>
      </w:r>
      <w:r w:rsidRPr="00297C20">
        <w:rPr>
          <w:szCs w:val="22"/>
        </w:rPr>
        <w:t xml:space="preserve">  D.95-12</w:t>
      </w:r>
      <w:r w:rsidRPr="00297C20">
        <w:rPr>
          <w:szCs w:val="22"/>
        </w:rPr>
        <w:noBreakHyphen/>
        <w:t xml:space="preserve">056 at Appendix C, Rule 4.A, </w:t>
      </w:r>
      <w:r w:rsidRPr="00297C20">
        <w:rPr>
          <w:i/>
          <w:iCs/>
          <w:szCs w:val="22"/>
        </w:rPr>
        <w:t>as modified by</w:t>
      </w:r>
      <w:r w:rsidRPr="00297C20">
        <w:rPr>
          <w:szCs w:val="22"/>
        </w:rPr>
        <w:t xml:space="preserve"> D.13-05-035 and D.24-11-003.</w:t>
      </w:r>
    </w:p>
  </w:footnote>
  <w:footnote w:id="25">
    <w:p w14:paraId="35DCFC9A" w14:textId="2F9ADFE9" w:rsidR="009E4807" w:rsidRDefault="009E4807">
      <w:pPr>
        <w:pStyle w:val="FootnoteText"/>
      </w:pPr>
      <w:r>
        <w:rPr>
          <w:rStyle w:val="FootnoteReference"/>
        </w:rPr>
        <w:footnoteRef/>
      </w:r>
      <w:r>
        <w:t xml:space="preserve"> Application</w:t>
      </w:r>
      <w:r w:rsidR="00650DE0">
        <w:t xml:space="preserve"> </w:t>
      </w:r>
      <w:r w:rsidR="005E28B7">
        <w:t>at 7</w:t>
      </w:r>
      <w:r>
        <w:t>; Response to Administrative Law Judge Inquiry</w:t>
      </w:r>
      <w:r w:rsidR="00E44A64">
        <w:t xml:space="preserve"> </w:t>
      </w:r>
      <w:r w:rsidR="005E28B7">
        <w:t>at 7</w:t>
      </w:r>
      <w:r w:rsidR="00650DE0">
        <w:t>.</w:t>
      </w:r>
      <w:r>
        <w:t xml:space="preserve">  </w:t>
      </w:r>
    </w:p>
  </w:footnote>
  <w:footnote w:id="26">
    <w:p w14:paraId="71FA91C8" w14:textId="77777777" w:rsidR="008845EF" w:rsidRPr="00297C20" w:rsidRDefault="008845EF" w:rsidP="008845EF">
      <w:pPr>
        <w:pStyle w:val="FootnoteText"/>
        <w:rPr>
          <w:szCs w:val="22"/>
        </w:rPr>
      </w:pPr>
      <w:r w:rsidRPr="00297C20">
        <w:rPr>
          <w:rStyle w:val="FootnoteReference"/>
          <w:szCs w:val="22"/>
        </w:rPr>
        <w:footnoteRef/>
      </w:r>
      <w:r w:rsidRPr="00297C20">
        <w:rPr>
          <w:szCs w:val="22"/>
        </w:rPr>
        <w:t xml:space="preserve">  D.13</w:t>
      </w:r>
      <w:r w:rsidRPr="00297C20">
        <w:rPr>
          <w:szCs w:val="22"/>
        </w:rPr>
        <w:noBreakHyphen/>
        <w:t>05</w:t>
      </w:r>
      <w:r w:rsidRPr="00297C20">
        <w:rPr>
          <w:szCs w:val="22"/>
        </w:rPr>
        <w:noBreakHyphen/>
        <w:t xml:space="preserve">035 at OP 14 (requiring certifications); </w:t>
      </w:r>
      <w:r w:rsidRPr="00297C20">
        <w:rPr>
          <w:i/>
          <w:iCs/>
          <w:szCs w:val="22"/>
        </w:rPr>
        <w:t xml:space="preserve">see also </w:t>
      </w:r>
      <w:r w:rsidRPr="00297C20">
        <w:rPr>
          <w:szCs w:val="22"/>
        </w:rPr>
        <w:t>D.24-11-003 at 46 (extending and updating existing processes).</w:t>
      </w:r>
    </w:p>
  </w:footnote>
  <w:footnote w:id="27">
    <w:p w14:paraId="34B7A75C" w14:textId="4C0E1203" w:rsidR="008845EF" w:rsidRPr="009D14F8" w:rsidRDefault="008845EF" w:rsidP="008845EF">
      <w:pPr>
        <w:pStyle w:val="FootnoteText"/>
      </w:pPr>
      <w:r w:rsidRPr="00297C20">
        <w:rPr>
          <w:rStyle w:val="FootnoteReference"/>
          <w:szCs w:val="22"/>
        </w:rPr>
        <w:footnoteRef/>
      </w:r>
      <w:r w:rsidRPr="00297C20">
        <w:rPr>
          <w:szCs w:val="22"/>
        </w:rPr>
        <w:t xml:space="preserve">  D.13-05-035 at OP 14</w:t>
      </w:r>
      <w:r w:rsidR="00BA2578">
        <w:rPr>
          <w:szCs w:val="22"/>
        </w:rPr>
        <w:t>;</w:t>
      </w:r>
      <w:r w:rsidR="009D14F8">
        <w:rPr>
          <w:szCs w:val="22"/>
        </w:rPr>
        <w:t xml:space="preserve"> </w:t>
      </w:r>
      <w:r w:rsidR="009D14F8">
        <w:t xml:space="preserve">Application at 8.c.; Response to Administrative Law Judge Inquiry at 8.a.  </w:t>
      </w:r>
    </w:p>
  </w:footnote>
  <w:footnote w:id="28">
    <w:p w14:paraId="778480CD" w14:textId="335B5A22" w:rsidR="005D3594" w:rsidRDefault="005D3594" w:rsidP="005D3594">
      <w:pPr>
        <w:pStyle w:val="FootnoteText"/>
      </w:pPr>
      <w:r>
        <w:rPr>
          <w:rStyle w:val="FootnoteReference"/>
        </w:rPr>
        <w:footnoteRef/>
      </w:r>
      <w:r>
        <w:t xml:space="preserve"> </w:t>
      </w:r>
      <w:r w:rsidR="00E44A64" w:rsidRPr="00E44A64">
        <w:rPr>
          <w:i/>
          <w:iCs/>
        </w:rPr>
        <w:t>Id.</w:t>
      </w:r>
      <w:r>
        <w:t xml:space="preserve"> at Attachment A, footnote 1.</w:t>
      </w:r>
    </w:p>
  </w:footnote>
  <w:footnote w:id="29">
    <w:p w14:paraId="0D46473F" w14:textId="6CAFD502" w:rsidR="004311FF" w:rsidRDefault="004311FF">
      <w:pPr>
        <w:pStyle w:val="FootnoteText"/>
      </w:pPr>
      <w:r>
        <w:rPr>
          <w:rStyle w:val="FootnoteReference"/>
        </w:rPr>
        <w:footnoteRef/>
      </w:r>
      <w:r>
        <w:t xml:space="preserve"> Application </w:t>
      </w:r>
      <w:r w:rsidR="006577E3">
        <w:t>at</w:t>
      </w:r>
      <w:r>
        <w:t xml:space="preserve"> Attachment C.</w:t>
      </w:r>
    </w:p>
  </w:footnote>
  <w:footnote w:id="30">
    <w:p w14:paraId="10F3ED73" w14:textId="79325DAE" w:rsidR="004829EE" w:rsidRDefault="004829EE" w:rsidP="004829EE">
      <w:pPr>
        <w:pStyle w:val="FootnoteText"/>
      </w:pPr>
      <w:r>
        <w:rPr>
          <w:rStyle w:val="FootnoteReference"/>
        </w:rPr>
        <w:footnoteRef/>
      </w:r>
      <w:r>
        <w:t xml:space="preserve"> Response to Administrative Law Judge Inquiry at 5 (stating January 1, 2023 as the date Applicant expects to begin service).  </w:t>
      </w:r>
    </w:p>
  </w:footnote>
  <w:footnote w:id="31">
    <w:p w14:paraId="51DB722B" w14:textId="6E7E32D5" w:rsidR="00F64F16" w:rsidRDefault="00F64F16">
      <w:pPr>
        <w:pStyle w:val="FootnoteText"/>
      </w:pPr>
      <w:r>
        <w:rPr>
          <w:rStyle w:val="FootnoteReference"/>
        </w:rPr>
        <w:footnoteRef/>
      </w:r>
      <w:r>
        <w:t xml:space="preserve"> D.24-11-003 at OP 30.</w:t>
      </w:r>
    </w:p>
  </w:footnote>
  <w:footnote w:id="32">
    <w:p w14:paraId="146ACD83" w14:textId="0BD770FA" w:rsidR="00B4234D" w:rsidRDefault="00B4234D" w:rsidP="00B4234D">
      <w:pPr>
        <w:pStyle w:val="FootnoteText"/>
      </w:pPr>
      <w:r w:rsidRPr="009159A3">
        <w:rPr>
          <w:rStyle w:val="FootnoteReference"/>
        </w:rPr>
        <w:footnoteRef/>
      </w:r>
      <w:r w:rsidRPr="009159A3">
        <w:t xml:space="preserve"> D.26-06-009 at </w:t>
      </w:r>
      <w:r w:rsidR="00204090" w:rsidRPr="009159A3">
        <w:t>13-15, 34</w:t>
      </w:r>
      <w:r w:rsidRPr="009159A3">
        <w:t>.</w:t>
      </w:r>
    </w:p>
  </w:footnote>
  <w:footnote w:id="33">
    <w:p w14:paraId="3C57C49B" w14:textId="498BB62F" w:rsidR="009159A3" w:rsidRDefault="009159A3">
      <w:pPr>
        <w:pStyle w:val="FootnoteText"/>
      </w:pPr>
      <w:r>
        <w:rPr>
          <w:rStyle w:val="FootnoteReference"/>
        </w:rPr>
        <w:footnoteRef/>
      </w:r>
      <w:r>
        <w:t xml:space="preserve"> </w:t>
      </w:r>
      <w:r w:rsidRPr="009159A3">
        <w:rPr>
          <w:i/>
          <w:iCs/>
        </w:rPr>
        <w:t>See</w:t>
      </w:r>
      <w:r>
        <w:t xml:space="preserve"> </w:t>
      </w:r>
      <w:r w:rsidRPr="009159A3">
        <w:t>D.26-06-009 at</w:t>
      </w:r>
      <w:r>
        <w:t xml:space="preserve"> OP 1, OP 2.</w:t>
      </w:r>
    </w:p>
  </w:footnote>
  <w:footnote w:id="34">
    <w:p w14:paraId="10E6C683" w14:textId="47AEC1EA" w:rsidR="00CB5504" w:rsidRDefault="00CB5504">
      <w:pPr>
        <w:pStyle w:val="FootnoteText"/>
      </w:pPr>
      <w:r>
        <w:rPr>
          <w:rStyle w:val="FootnoteReference"/>
        </w:rPr>
        <w:footnoteRef/>
      </w:r>
      <w:r>
        <w:t xml:space="preserve"> The instructions to detariff is described at the following Commission website: </w:t>
      </w:r>
      <w:r w:rsidRPr="00CB5504">
        <w:t>https://www.cpuc.ca.gov/industries-and-topics/internet-and-phone/carrier-reporting-requirements/tariff-filing-requirements.</w:t>
      </w:r>
      <w:r>
        <w:t xml:space="preserve"> </w:t>
      </w:r>
    </w:p>
  </w:footnote>
  <w:footnote w:id="35">
    <w:p w14:paraId="581CAA9D" w14:textId="77777777" w:rsidR="00FD5971" w:rsidRPr="00297C20" w:rsidRDefault="00FD5971" w:rsidP="00FD5971">
      <w:pPr>
        <w:pStyle w:val="FootnoteText"/>
        <w:rPr>
          <w:szCs w:val="22"/>
          <w:lang w:val="en-ZW"/>
        </w:rPr>
      </w:pPr>
      <w:r w:rsidRPr="00297C20">
        <w:rPr>
          <w:rStyle w:val="FootnoteReference"/>
          <w:szCs w:val="22"/>
        </w:rPr>
        <w:footnoteRef/>
      </w:r>
      <w:r w:rsidRPr="00297C20">
        <w:rPr>
          <w:szCs w:val="22"/>
        </w:rPr>
        <w:t xml:space="preserve"> Operations throughout California covers the service territories of the Uniform Regulatory Framework (URF) Incumbent Local Exchange Carriers (ILECs) and the General Rate Case (GRC) Incumbent Local Exchange Carriers (also known as Small ILECs).</w:t>
      </w:r>
    </w:p>
  </w:footnote>
  <w:footnote w:id="36">
    <w:p w14:paraId="088A6AD0" w14:textId="77777777" w:rsidR="000E6566" w:rsidRPr="00297C20" w:rsidRDefault="000E6566" w:rsidP="000E6566">
      <w:pPr>
        <w:pStyle w:val="FootnoteText"/>
        <w:rPr>
          <w:lang w:val="en-ZW"/>
        </w:rPr>
      </w:pPr>
      <w:r w:rsidRPr="00297C20">
        <w:rPr>
          <w:rStyle w:val="FootnoteReference"/>
          <w:szCs w:val="22"/>
        </w:rPr>
        <w:footnoteRef/>
      </w:r>
      <w:r w:rsidRPr="00297C20">
        <w:rPr>
          <w:rFonts w:eastAsia="Book Antiqua" w:cs="Book Antiqua"/>
          <w:szCs w:val="22"/>
        </w:rPr>
        <w:t xml:space="preserve"> </w:t>
      </w:r>
      <w:r w:rsidRPr="00297C20">
        <w:rPr>
          <w:rFonts w:eastAsia="Book Antiqua" w:cs="Book Antiqua"/>
          <w:szCs w:val="22"/>
          <w:lang w:val="en-ZW"/>
        </w:rPr>
        <w:t>D.24-11-003 at 48-54; General Order (G.O.) 66-D.</w:t>
      </w:r>
    </w:p>
  </w:footnote>
  <w:footnote w:id="37">
    <w:p w14:paraId="25A81350" w14:textId="77777777" w:rsidR="001912E8" w:rsidRPr="00CB2B79" w:rsidRDefault="001912E8" w:rsidP="001912E8">
      <w:pPr>
        <w:pStyle w:val="FootnoteText"/>
        <w:rPr>
          <w:szCs w:val="22"/>
        </w:rPr>
      </w:pPr>
      <w:r w:rsidRPr="00CB2B79">
        <w:rPr>
          <w:rStyle w:val="FootnoteReference"/>
          <w:szCs w:val="22"/>
        </w:rPr>
        <w:footnoteRef/>
      </w:r>
      <w:r w:rsidRPr="00CB2B79">
        <w:rPr>
          <w:szCs w:val="22"/>
        </w:rPr>
        <w:t xml:space="preserve"> An Annual Operations and Financial Information Report form (in PDF format) has been developed to help facilitate the submission of this reporting obligation and available from the CPUC website: </w:t>
      </w:r>
      <w:hyperlink r:id="rId1" w:history="1">
        <w:r w:rsidRPr="00CB2B79">
          <w:rPr>
            <w:rStyle w:val="Hyperlink"/>
            <w:szCs w:val="22"/>
          </w:rPr>
          <w:t>https://www.cpuc.ca.gov/-/media/cpuc-website/divisions/communications-division/documents/licensing-compliance/annual-reporting-requirements/aropfi.pdf</w:t>
        </w:r>
      </w:hyperlink>
      <w:r>
        <w:rPr>
          <w:szCs w:val="22"/>
        </w:rPr>
        <w:t>.</w:t>
      </w:r>
    </w:p>
  </w:footnote>
  <w:footnote w:id="38">
    <w:p w14:paraId="3BF9A6D3" w14:textId="77777777" w:rsidR="001912E8" w:rsidRPr="00CB2B79" w:rsidRDefault="001912E8" w:rsidP="001912E8">
      <w:pPr>
        <w:pStyle w:val="FootnoteText"/>
        <w:rPr>
          <w:szCs w:val="22"/>
        </w:rPr>
      </w:pPr>
      <w:r w:rsidRPr="00CB2B79">
        <w:rPr>
          <w:rStyle w:val="FootnoteReference"/>
          <w:szCs w:val="22"/>
        </w:rPr>
        <w:footnoteRef/>
      </w:r>
      <w:r w:rsidRPr="00CB2B79">
        <w:rPr>
          <w:szCs w:val="22"/>
        </w:rPr>
        <w:t xml:space="preserve"> An Annual Affiliate Report form (in PDF format) has been developed to help facilitate the submission of this reporting obligation and available from the Commission’s website: </w:t>
      </w:r>
      <w:hyperlink r:id="rId2" w:history="1">
        <w:r w:rsidRPr="00CB2B79">
          <w:rPr>
            <w:rStyle w:val="Hyperlink"/>
            <w:szCs w:val="22"/>
          </w:rPr>
          <w:t>https://www.cpuc.ca.gov/-/media/cpuc-website/divisions/communications-division/documents/licensing-compliance/annual-reporting-requirements/annual-affiliate-transaction-report-form_.pdf</w:t>
        </w:r>
      </w:hyperlink>
      <w:r w:rsidRPr="00CB2B79">
        <w:rPr>
          <w:szCs w:val="22"/>
        </w:rPr>
        <w:t xml:space="preserve">.   </w:t>
      </w:r>
    </w:p>
    <w:p w14:paraId="7381C06B" w14:textId="77777777" w:rsidR="001912E8" w:rsidRPr="00CB2B79" w:rsidRDefault="001912E8" w:rsidP="001912E8">
      <w:pPr>
        <w:pStyle w:val="FootnoteText"/>
        <w:rPr>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D31D" w14:textId="77777777" w:rsidR="00F92385" w:rsidRDefault="00F92385" w:rsidP="007E0FEE">
    <w:pPr>
      <w:pStyle w:val="Header"/>
      <w:tabs>
        <w:tab w:val="clear" w:pos="4680"/>
      </w:tabs>
      <w:ind w:firstLine="0"/>
      <w:jc w:val="center"/>
      <w:rPr>
        <w:b/>
      </w:rPr>
    </w:pPr>
    <w:r w:rsidRPr="00F92385">
      <w:rPr>
        <w:i/>
        <w:color w:val="FF0000"/>
        <w:sz w:val="20"/>
        <w:szCs w:val="20"/>
      </w:rPr>
      <w:t xml:space="preserve">Internal Review Draft; Subject to </w:t>
    </w:r>
    <w:r w:rsidRPr="00F92385">
      <w:rPr>
        <w:b/>
        <w:i/>
        <w:color w:val="FF0000"/>
        <w:sz w:val="20"/>
        <w:szCs w:val="20"/>
      </w:rPr>
      <w:t>ALJ Division Review</w:t>
    </w:r>
    <w:r w:rsidRPr="00F92385">
      <w:rPr>
        <w:i/>
        <w:color w:val="FF0000"/>
        <w:sz w:val="20"/>
        <w:szCs w:val="20"/>
      </w:rPr>
      <w:t xml:space="preserve"> /</w:t>
    </w:r>
    <w:r w:rsidRPr="00585390">
      <w:rPr>
        <w:color w:val="FF0000"/>
        <w:sz w:val="20"/>
        <w:szCs w:val="20"/>
      </w:rPr>
      <w:t xml:space="preserve"> </w:t>
    </w:r>
    <w:r w:rsidRPr="00F92385">
      <w:rPr>
        <w:b/>
        <w:color w:val="FF0000"/>
        <w:sz w:val="20"/>
        <w:szCs w:val="20"/>
      </w:rPr>
      <w:t>CONFIDENTIA</w:t>
    </w:r>
    <w:r w:rsidRPr="008F0116">
      <w:rPr>
        <w:b/>
        <w:color w:val="FF0000"/>
        <w:sz w:val="20"/>
        <w:szCs w:val="20"/>
      </w:rPr>
      <w:t>L;</w:t>
    </w:r>
    <w:r w:rsidRPr="008F0116">
      <w:rPr>
        <w:color w:val="FF0000"/>
        <w:sz w:val="20"/>
        <w:szCs w:val="20"/>
      </w:rPr>
      <w:t xml:space="preserve"> </w:t>
    </w:r>
    <w:r w:rsidRPr="008F0116">
      <w:rPr>
        <w:i/>
        <w:color w:val="FF0000"/>
        <w:sz w:val="20"/>
        <w:szCs w:val="20"/>
      </w:rPr>
      <w:t>Deliberative Process Privilege</w:t>
    </w:r>
    <w:r w:rsidRPr="008F0116">
      <w:br/>
    </w:r>
    <w:r>
      <w:t>X.XX-XX-</w:t>
    </w:r>
    <w:proofErr w:type="gramStart"/>
    <w:r>
      <w:t>XXX  ^</w:t>
    </w:r>
    <w:proofErr w:type="gramEnd"/>
    <w:r>
      <w:t>^^/^^^/^^^</w:t>
    </w:r>
    <w:r w:rsidR="007E0FEE">
      <w:tab/>
    </w:r>
    <w:r>
      <w:rPr>
        <w:b/>
      </w:rPr>
      <w:t>PROPOSED DECISION</w:t>
    </w:r>
  </w:p>
  <w:p w14:paraId="5247E776" w14:textId="77777777" w:rsidR="00F92385" w:rsidRPr="00585390" w:rsidRDefault="00F92385" w:rsidP="00F92385">
    <w:pPr>
      <w:pStyle w:val="Header"/>
      <w:ind w:firstLine="0"/>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BD54B" w14:textId="72D616E8" w:rsidR="00F92385" w:rsidRDefault="00F92385" w:rsidP="0003738F">
    <w:pPr>
      <w:pStyle w:val="Header"/>
      <w:ind w:firstLine="0"/>
    </w:pPr>
  </w:p>
  <w:p w14:paraId="3E21C8D4" w14:textId="77777777" w:rsidR="0003738F" w:rsidRPr="0003738F" w:rsidRDefault="0003738F" w:rsidP="0003738F">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74269" w14:textId="7A8311D1" w:rsidR="00E23CBB" w:rsidRDefault="00F444FB" w:rsidP="00EE4315">
    <w:pPr>
      <w:pStyle w:val="Header"/>
      <w:tabs>
        <w:tab w:val="clear" w:pos="4680"/>
      </w:tabs>
      <w:ind w:firstLine="0"/>
      <w:rPr>
        <w:b/>
      </w:rPr>
    </w:pPr>
    <w:r>
      <w:t>A.</w:t>
    </w:r>
    <w:r w:rsidRPr="00F444FB">
      <w:rPr>
        <w:rFonts w:cs="Arial"/>
        <w:szCs w:val="26"/>
      </w:rPr>
      <w:t xml:space="preserve"> </w:t>
    </w:r>
    <w:r>
      <w:rPr>
        <w:rFonts w:cs="Arial"/>
        <w:szCs w:val="26"/>
      </w:rPr>
      <w:t>25-05-</w:t>
    </w:r>
    <w:proofErr w:type="gramStart"/>
    <w:r>
      <w:rPr>
        <w:rFonts w:cs="Arial"/>
        <w:szCs w:val="26"/>
      </w:rPr>
      <w:t>018</w:t>
    </w:r>
    <w:r>
      <w:t xml:space="preserve">  ALJ</w:t>
    </w:r>
    <w:proofErr w:type="gramEnd"/>
    <w:r w:rsidR="00E23CBB">
      <w:t>/</w:t>
    </w:r>
    <w:r>
      <w:t>ZZ1</w:t>
    </w:r>
    <w:r w:rsidR="00E23CBB">
      <w:t>/</w:t>
    </w:r>
    <w:r>
      <w:t>vj4</w:t>
    </w:r>
    <w:r w:rsidR="00E23CBB">
      <w:tab/>
    </w:r>
  </w:p>
  <w:p w14:paraId="069C30D6" w14:textId="1185CCEE" w:rsidR="0036320F" w:rsidRPr="00B3087D" w:rsidRDefault="0036320F" w:rsidP="0036320F">
    <w:pPr>
      <w:pStyle w:val="Header"/>
      <w:ind w:firstLine="0"/>
      <w:rPr>
        <w:i/>
        <w:color w:val="FF0000"/>
      </w:rPr>
    </w:pPr>
  </w:p>
  <w:p w14:paraId="51F30593" w14:textId="088F5D0D" w:rsidR="00B3087D" w:rsidRDefault="00B3087D" w:rsidP="00B3087D">
    <w:pPr>
      <w:pStyle w:val="Header"/>
      <w:tabs>
        <w:tab w:val="clear" w:pos="4680"/>
      </w:tabs>
      <w:ind w:firstLine="0"/>
      <w:rPr>
        <w:i/>
        <w:color w:val="FF0000"/>
      </w:rPr>
    </w:pPr>
  </w:p>
  <w:p w14:paraId="00B54E8F" w14:textId="77777777" w:rsidR="0003738F" w:rsidRPr="00B3087D" w:rsidRDefault="0003738F" w:rsidP="00B3087D">
    <w:pPr>
      <w:pStyle w:val="Header"/>
      <w:tabs>
        <w:tab w:val="clear" w:pos="4680"/>
      </w:tabs>
      <w:ind w:firstLine="0"/>
      <w:rPr>
        <w:i/>
        <w:color w:val="FF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ADD68" w14:textId="320422A2" w:rsidR="001912E8" w:rsidRPr="00B966EE" w:rsidRDefault="002669D9" w:rsidP="0091000B">
    <w:pPr>
      <w:pStyle w:val="Header"/>
      <w:ind w:firstLine="0"/>
      <w:rPr>
        <w:b/>
      </w:rPr>
    </w:pPr>
    <w:r w:rsidRPr="00B966EE">
      <w:t>A.</w:t>
    </w:r>
    <w:r w:rsidRPr="00B966EE">
      <w:rPr>
        <w:rFonts w:cs="Arial"/>
        <w:szCs w:val="26"/>
      </w:rPr>
      <w:t xml:space="preserve"> 25-05-</w:t>
    </w:r>
    <w:proofErr w:type="gramStart"/>
    <w:r w:rsidRPr="00B966EE">
      <w:rPr>
        <w:rFonts w:cs="Arial"/>
        <w:szCs w:val="26"/>
      </w:rPr>
      <w:t>018</w:t>
    </w:r>
    <w:r w:rsidRPr="00B966EE">
      <w:t xml:space="preserve">  ALJ</w:t>
    </w:r>
    <w:proofErr w:type="gramEnd"/>
    <w:r w:rsidRPr="00B966EE">
      <w:t>/ZZ1/vj4</w:t>
    </w:r>
    <w:r w:rsidR="001912E8" w:rsidRPr="00B966EE">
      <w:t xml:space="preserve">                                                   </w:t>
    </w:r>
  </w:p>
  <w:p w14:paraId="2C7C7D79" w14:textId="77777777" w:rsidR="001912E8" w:rsidRDefault="001912E8" w:rsidP="0003738F">
    <w:pPr>
      <w:pStyle w:val="Header"/>
      <w:ind w:firstLine="0"/>
    </w:pPr>
  </w:p>
  <w:p w14:paraId="67BC51AB" w14:textId="77777777" w:rsidR="0003738F" w:rsidRDefault="0003738F" w:rsidP="0003738F">
    <w:pPr>
      <w:pStyle w:val="Header"/>
      <w:ind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E2F03" w14:textId="3075CB47" w:rsidR="008761C6" w:rsidRPr="00B966EE" w:rsidRDefault="008761C6" w:rsidP="008761C6">
    <w:pPr>
      <w:pStyle w:val="Header"/>
      <w:ind w:firstLine="0"/>
      <w:rPr>
        <w:b/>
      </w:rPr>
    </w:pPr>
    <w:r w:rsidRPr="00B966EE">
      <w:t>A.</w:t>
    </w:r>
    <w:r w:rsidRPr="00B966EE">
      <w:rPr>
        <w:rFonts w:cs="Arial"/>
        <w:szCs w:val="26"/>
      </w:rPr>
      <w:t xml:space="preserve"> 25-05-</w:t>
    </w:r>
    <w:proofErr w:type="gramStart"/>
    <w:r w:rsidRPr="00B966EE">
      <w:rPr>
        <w:rFonts w:cs="Arial"/>
        <w:szCs w:val="26"/>
      </w:rPr>
      <w:t>018</w:t>
    </w:r>
    <w:r w:rsidRPr="00B966EE">
      <w:t xml:space="preserve">  ALJ</w:t>
    </w:r>
    <w:proofErr w:type="gramEnd"/>
    <w:r w:rsidRPr="00B966EE">
      <w:t xml:space="preserve">/ZZ1/vj4                                                   </w:t>
    </w:r>
  </w:p>
  <w:p w14:paraId="7716783E" w14:textId="77777777" w:rsidR="001912E8" w:rsidRDefault="001912E8">
    <w:pPr>
      <w:pStyle w:val="Header"/>
      <w:rPr>
        <w:b/>
      </w:rPr>
    </w:pPr>
    <w:r>
      <w:tab/>
    </w:r>
  </w:p>
  <w:p w14:paraId="340FDD7B" w14:textId="77777777" w:rsidR="001912E8" w:rsidRDefault="001912E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EB86E" w14:textId="6C769774" w:rsidR="00566635" w:rsidRPr="00B966EE" w:rsidRDefault="00566635" w:rsidP="00566635">
    <w:pPr>
      <w:pStyle w:val="Header"/>
      <w:ind w:firstLine="0"/>
      <w:rPr>
        <w:b/>
      </w:rPr>
    </w:pPr>
    <w:r w:rsidRPr="00B966EE">
      <w:t>A.</w:t>
    </w:r>
    <w:r w:rsidRPr="00B966EE">
      <w:rPr>
        <w:rFonts w:cs="Arial"/>
        <w:szCs w:val="26"/>
      </w:rPr>
      <w:t xml:space="preserve"> 25-05-</w:t>
    </w:r>
    <w:proofErr w:type="gramStart"/>
    <w:r w:rsidRPr="00B966EE">
      <w:rPr>
        <w:rFonts w:cs="Arial"/>
        <w:szCs w:val="26"/>
      </w:rPr>
      <w:t>018</w:t>
    </w:r>
    <w:r w:rsidRPr="00B966EE">
      <w:t xml:space="preserve">  ALJ</w:t>
    </w:r>
    <w:proofErr w:type="gramEnd"/>
    <w:r w:rsidRPr="00B966EE">
      <w:t xml:space="preserve">/ZZ1/vj4                                                   </w:t>
    </w:r>
  </w:p>
  <w:p w14:paraId="2E2B9E58" w14:textId="77777777" w:rsidR="00842A46" w:rsidRDefault="00842A46" w:rsidP="00B3087D">
    <w:pPr>
      <w:pStyle w:val="Header"/>
      <w:tabs>
        <w:tab w:val="clear" w:pos="4680"/>
      </w:tabs>
      <w:ind w:firstLine="0"/>
      <w:rPr>
        <w:i/>
        <w:color w:val="FF0000"/>
      </w:rPr>
    </w:pPr>
  </w:p>
  <w:p w14:paraId="26EA893A" w14:textId="77777777" w:rsidR="00842A46" w:rsidRPr="00B3087D" w:rsidRDefault="00842A46" w:rsidP="00B3087D">
    <w:pPr>
      <w:pStyle w:val="Header"/>
      <w:tabs>
        <w:tab w:val="clear" w:pos="4680"/>
      </w:tabs>
      <w:ind w:firstLine="0"/>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7262E9"/>
    <w:multiLevelType w:val="singleLevel"/>
    <w:tmpl w:val="0409001F"/>
    <w:lvl w:ilvl="0">
      <w:start w:val="1"/>
      <w:numFmt w:val="decimal"/>
      <w:lvlText w:val="%1."/>
      <w:legacy w:legacy="1" w:legacySpace="144" w:legacyIndent="0"/>
      <w:lvlJc w:val="left"/>
    </w:lvl>
  </w:abstractNum>
  <w:abstractNum w:abstractNumId="2" w15:restartNumberingAfterBreak="0">
    <w:nsid w:val="09121A1A"/>
    <w:multiLevelType w:val="hybridMultilevel"/>
    <w:tmpl w:val="FEE67562"/>
    <w:lvl w:ilvl="0" w:tplc="9A0898DA">
      <w:start w:val="1"/>
      <w:numFmt w:val="decimal"/>
      <w:lvlText w:val="%1."/>
      <w:lvlJc w:val="left"/>
      <w:pPr>
        <w:ind w:left="1440" w:hanging="360"/>
      </w:pPr>
    </w:lvl>
    <w:lvl w:ilvl="1" w:tplc="872E6230">
      <w:start w:val="1"/>
      <w:numFmt w:val="decimal"/>
      <w:lvlText w:val="%2."/>
      <w:lvlJc w:val="left"/>
      <w:pPr>
        <w:ind w:left="1440" w:hanging="360"/>
      </w:pPr>
    </w:lvl>
    <w:lvl w:ilvl="2" w:tplc="4516DE00">
      <w:start w:val="1"/>
      <w:numFmt w:val="decimal"/>
      <w:lvlText w:val="%3."/>
      <w:lvlJc w:val="left"/>
      <w:pPr>
        <w:ind w:left="1440" w:hanging="360"/>
      </w:pPr>
    </w:lvl>
    <w:lvl w:ilvl="3" w:tplc="4D0C169E">
      <w:start w:val="1"/>
      <w:numFmt w:val="decimal"/>
      <w:lvlText w:val="%4."/>
      <w:lvlJc w:val="left"/>
      <w:pPr>
        <w:ind w:left="1440" w:hanging="360"/>
      </w:pPr>
    </w:lvl>
    <w:lvl w:ilvl="4" w:tplc="0AC47A6A">
      <w:start w:val="1"/>
      <w:numFmt w:val="decimal"/>
      <w:lvlText w:val="%5."/>
      <w:lvlJc w:val="left"/>
      <w:pPr>
        <w:ind w:left="1440" w:hanging="360"/>
      </w:pPr>
    </w:lvl>
    <w:lvl w:ilvl="5" w:tplc="A5BE11E2">
      <w:start w:val="1"/>
      <w:numFmt w:val="decimal"/>
      <w:lvlText w:val="%6."/>
      <w:lvlJc w:val="left"/>
      <w:pPr>
        <w:ind w:left="1440" w:hanging="360"/>
      </w:pPr>
    </w:lvl>
    <w:lvl w:ilvl="6" w:tplc="4A6EB59E">
      <w:start w:val="1"/>
      <w:numFmt w:val="decimal"/>
      <w:lvlText w:val="%7."/>
      <w:lvlJc w:val="left"/>
      <w:pPr>
        <w:ind w:left="1440" w:hanging="360"/>
      </w:pPr>
    </w:lvl>
    <w:lvl w:ilvl="7" w:tplc="0ABAC432">
      <w:start w:val="1"/>
      <w:numFmt w:val="decimal"/>
      <w:lvlText w:val="%8."/>
      <w:lvlJc w:val="left"/>
      <w:pPr>
        <w:ind w:left="1440" w:hanging="360"/>
      </w:pPr>
    </w:lvl>
    <w:lvl w:ilvl="8" w:tplc="4C908032">
      <w:start w:val="1"/>
      <w:numFmt w:val="decimal"/>
      <w:lvlText w:val="%9."/>
      <w:lvlJc w:val="left"/>
      <w:pPr>
        <w:ind w:left="1440" w:hanging="360"/>
      </w:pPr>
    </w:lvl>
  </w:abstractNum>
  <w:abstractNum w:abstractNumId="3" w15:restartNumberingAfterBreak="0">
    <w:nsid w:val="11261C0B"/>
    <w:multiLevelType w:val="singleLevel"/>
    <w:tmpl w:val="C1848026"/>
    <w:lvl w:ilvl="0">
      <w:start w:val="1"/>
      <w:numFmt w:val="decimal"/>
      <w:lvlText w:val="%1."/>
      <w:legacy w:legacy="1" w:legacySpace="144" w:legacyIndent="0"/>
      <w:lvlJc w:val="left"/>
      <w:rPr>
        <w:i w:val="0"/>
        <w:iCs/>
        <w:color w:val="auto"/>
      </w:rPr>
    </w:lvl>
  </w:abstractNum>
  <w:abstractNum w:abstractNumId="4" w15:restartNumberingAfterBreak="0">
    <w:nsid w:val="125D3837"/>
    <w:multiLevelType w:val="multilevel"/>
    <w:tmpl w:val="E46EE110"/>
    <w:lvl w:ilvl="0">
      <w:start w:val="1"/>
      <w:numFmt w:val="decimal"/>
      <w:suff w:val="space"/>
      <w:lvlText w:val="%1."/>
      <w:lvlJc w:val="left"/>
      <w:pPr>
        <w:ind w:left="0" w:firstLine="0"/>
      </w:pPr>
      <w:rPr>
        <w:rFonts w:hint="default"/>
      </w:rPr>
    </w:lvl>
    <w:lvl w:ilvl="1">
      <w:start w:val="1"/>
      <w:numFmt w:val="lowerLetter"/>
      <w:suff w:val="space"/>
      <w:lvlText w:val="%2."/>
      <w:lvlJc w:val="left"/>
      <w:pPr>
        <w:ind w:left="720" w:firstLine="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6" w15:restartNumberingAfterBreak="0">
    <w:nsid w:val="15F056CB"/>
    <w:multiLevelType w:val="multilevel"/>
    <w:tmpl w:val="18F4A5AC"/>
    <w:numStyleLink w:val="FoFCoLOP"/>
  </w:abstractNum>
  <w:abstractNum w:abstractNumId="7"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D70038F"/>
    <w:multiLevelType w:val="multilevel"/>
    <w:tmpl w:val="3C526EDE"/>
    <w:numStyleLink w:val="Headings"/>
  </w:abstractNum>
  <w:abstractNum w:abstractNumId="9" w15:restartNumberingAfterBreak="0">
    <w:nsid w:val="1E2242C9"/>
    <w:multiLevelType w:val="multilevel"/>
    <w:tmpl w:val="3C526EDE"/>
    <w:numStyleLink w:val="Headings"/>
  </w:abstractNum>
  <w:abstractNum w:abstractNumId="10" w15:restartNumberingAfterBreak="0">
    <w:nsid w:val="21FB58FE"/>
    <w:multiLevelType w:val="multilevel"/>
    <w:tmpl w:val="3C526EDE"/>
    <w:numStyleLink w:val="Headings"/>
  </w:abstractNum>
  <w:abstractNum w:abstractNumId="11" w15:restartNumberingAfterBreak="0">
    <w:nsid w:val="243663A0"/>
    <w:multiLevelType w:val="multilevel"/>
    <w:tmpl w:val="3C526EDE"/>
    <w:numStyleLink w:val="Headings"/>
  </w:abstractNum>
  <w:abstractNum w:abstractNumId="12" w15:restartNumberingAfterBreak="0">
    <w:nsid w:val="2B8124D7"/>
    <w:multiLevelType w:val="multilevel"/>
    <w:tmpl w:val="3C526EDE"/>
    <w:numStyleLink w:val="Headings"/>
  </w:abstractNum>
  <w:abstractNum w:abstractNumId="13" w15:restartNumberingAfterBreak="0">
    <w:nsid w:val="328562FF"/>
    <w:multiLevelType w:val="hybridMultilevel"/>
    <w:tmpl w:val="2BB0674E"/>
    <w:lvl w:ilvl="0" w:tplc="AADA06D6">
      <w:start w:val="1"/>
      <w:numFmt w:val="decimal"/>
      <w:lvlText w:val="%1."/>
      <w:lvlJc w:val="left"/>
      <w:pPr>
        <w:ind w:left="1440" w:hanging="360"/>
      </w:pPr>
    </w:lvl>
    <w:lvl w:ilvl="1" w:tplc="AE044DE2">
      <w:start w:val="1"/>
      <w:numFmt w:val="decimal"/>
      <w:lvlText w:val="%2."/>
      <w:lvlJc w:val="left"/>
      <w:pPr>
        <w:ind w:left="1440" w:hanging="360"/>
      </w:pPr>
    </w:lvl>
    <w:lvl w:ilvl="2" w:tplc="699A96E8">
      <w:start w:val="1"/>
      <w:numFmt w:val="decimal"/>
      <w:lvlText w:val="%3."/>
      <w:lvlJc w:val="left"/>
      <w:pPr>
        <w:ind w:left="1440" w:hanging="360"/>
      </w:pPr>
    </w:lvl>
    <w:lvl w:ilvl="3" w:tplc="D7DA6A8A">
      <w:start w:val="1"/>
      <w:numFmt w:val="decimal"/>
      <w:lvlText w:val="%4."/>
      <w:lvlJc w:val="left"/>
      <w:pPr>
        <w:ind w:left="1440" w:hanging="360"/>
      </w:pPr>
    </w:lvl>
    <w:lvl w:ilvl="4" w:tplc="BA3E5BC4">
      <w:start w:val="1"/>
      <w:numFmt w:val="decimal"/>
      <w:lvlText w:val="%5."/>
      <w:lvlJc w:val="left"/>
      <w:pPr>
        <w:ind w:left="1440" w:hanging="360"/>
      </w:pPr>
    </w:lvl>
    <w:lvl w:ilvl="5" w:tplc="D18CA084">
      <w:start w:val="1"/>
      <w:numFmt w:val="decimal"/>
      <w:lvlText w:val="%6."/>
      <w:lvlJc w:val="left"/>
      <w:pPr>
        <w:ind w:left="1440" w:hanging="360"/>
      </w:pPr>
    </w:lvl>
    <w:lvl w:ilvl="6" w:tplc="8C4CA796">
      <w:start w:val="1"/>
      <w:numFmt w:val="decimal"/>
      <w:lvlText w:val="%7."/>
      <w:lvlJc w:val="left"/>
      <w:pPr>
        <w:ind w:left="1440" w:hanging="360"/>
      </w:pPr>
    </w:lvl>
    <w:lvl w:ilvl="7" w:tplc="92E60394">
      <w:start w:val="1"/>
      <w:numFmt w:val="decimal"/>
      <w:lvlText w:val="%8."/>
      <w:lvlJc w:val="left"/>
      <w:pPr>
        <w:ind w:left="1440" w:hanging="360"/>
      </w:pPr>
    </w:lvl>
    <w:lvl w:ilvl="8" w:tplc="8150794A">
      <w:start w:val="1"/>
      <w:numFmt w:val="decimal"/>
      <w:lvlText w:val="%9."/>
      <w:lvlJc w:val="left"/>
      <w:pPr>
        <w:ind w:left="1440" w:hanging="360"/>
      </w:pPr>
    </w:lvl>
  </w:abstractNum>
  <w:abstractNum w:abstractNumId="14" w15:restartNumberingAfterBreak="0">
    <w:nsid w:val="32B91DE5"/>
    <w:multiLevelType w:val="hybridMultilevel"/>
    <w:tmpl w:val="45DEB978"/>
    <w:lvl w:ilvl="0" w:tplc="E2C05CA0">
      <w:start w:val="1"/>
      <w:numFmt w:val="decimal"/>
      <w:lvlText w:val="%1."/>
      <w:lvlJc w:val="left"/>
      <w:pPr>
        <w:ind w:left="720" w:hanging="360"/>
      </w:pPr>
    </w:lvl>
    <w:lvl w:ilvl="1" w:tplc="D13EBA9E">
      <w:start w:val="1"/>
      <w:numFmt w:val="decimal"/>
      <w:lvlText w:val="%2."/>
      <w:lvlJc w:val="left"/>
      <w:pPr>
        <w:ind w:left="720" w:hanging="360"/>
      </w:pPr>
    </w:lvl>
    <w:lvl w:ilvl="2" w:tplc="B114B91E">
      <w:start w:val="1"/>
      <w:numFmt w:val="decimal"/>
      <w:lvlText w:val="%3."/>
      <w:lvlJc w:val="left"/>
      <w:pPr>
        <w:ind w:left="720" w:hanging="360"/>
      </w:pPr>
    </w:lvl>
    <w:lvl w:ilvl="3" w:tplc="455C42F6">
      <w:start w:val="1"/>
      <w:numFmt w:val="decimal"/>
      <w:lvlText w:val="%4."/>
      <w:lvlJc w:val="left"/>
      <w:pPr>
        <w:ind w:left="720" w:hanging="360"/>
      </w:pPr>
    </w:lvl>
    <w:lvl w:ilvl="4" w:tplc="4252C860">
      <w:start w:val="1"/>
      <w:numFmt w:val="decimal"/>
      <w:lvlText w:val="%5."/>
      <w:lvlJc w:val="left"/>
      <w:pPr>
        <w:ind w:left="720" w:hanging="360"/>
      </w:pPr>
    </w:lvl>
    <w:lvl w:ilvl="5" w:tplc="A00462B2">
      <w:start w:val="1"/>
      <w:numFmt w:val="decimal"/>
      <w:lvlText w:val="%6."/>
      <w:lvlJc w:val="left"/>
      <w:pPr>
        <w:ind w:left="720" w:hanging="360"/>
      </w:pPr>
    </w:lvl>
    <w:lvl w:ilvl="6" w:tplc="B956CD66">
      <w:start w:val="1"/>
      <w:numFmt w:val="decimal"/>
      <w:lvlText w:val="%7."/>
      <w:lvlJc w:val="left"/>
      <w:pPr>
        <w:ind w:left="720" w:hanging="360"/>
      </w:pPr>
    </w:lvl>
    <w:lvl w:ilvl="7" w:tplc="60B6BDF2">
      <w:start w:val="1"/>
      <w:numFmt w:val="decimal"/>
      <w:lvlText w:val="%8."/>
      <w:lvlJc w:val="left"/>
      <w:pPr>
        <w:ind w:left="720" w:hanging="360"/>
      </w:pPr>
    </w:lvl>
    <w:lvl w:ilvl="8" w:tplc="8FE01F3E">
      <w:start w:val="1"/>
      <w:numFmt w:val="decimal"/>
      <w:lvlText w:val="%9."/>
      <w:lvlJc w:val="left"/>
      <w:pPr>
        <w:ind w:left="720" w:hanging="360"/>
      </w:pPr>
    </w:lvl>
  </w:abstractNum>
  <w:abstractNum w:abstractNumId="15"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6" w15:restartNumberingAfterBreak="0">
    <w:nsid w:val="374761A6"/>
    <w:multiLevelType w:val="singleLevel"/>
    <w:tmpl w:val="0409001F"/>
    <w:lvl w:ilvl="0">
      <w:start w:val="1"/>
      <w:numFmt w:val="decimal"/>
      <w:lvlText w:val="%1."/>
      <w:legacy w:legacy="1" w:legacySpace="144" w:legacyIndent="0"/>
      <w:lvlJc w:val="left"/>
    </w:lvl>
  </w:abstractNum>
  <w:abstractNum w:abstractNumId="17" w15:restartNumberingAfterBreak="0">
    <w:nsid w:val="432C37D1"/>
    <w:multiLevelType w:val="hybridMultilevel"/>
    <w:tmpl w:val="33849E9A"/>
    <w:lvl w:ilvl="0" w:tplc="E6087EB0">
      <w:start w:val="1"/>
      <w:numFmt w:val="decimal"/>
      <w:lvlText w:val="%1."/>
      <w:lvlJc w:val="left"/>
      <w:pPr>
        <w:ind w:left="1440" w:hanging="360"/>
      </w:pPr>
    </w:lvl>
    <w:lvl w:ilvl="1" w:tplc="C9F8AA9A">
      <w:start w:val="1"/>
      <w:numFmt w:val="decimal"/>
      <w:lvlText w:val="%2."/>
      <w:lvlJc w:val="left"/>
      <w:pPr>
        <w:ind w:left="1440" w:hanging="360"/>
      </w:pPr>
    </w:lvl>
    <w:lvl w:ilvl="2" w:tplc="84982D70">
      <w:start w:val="1"/>
      <w:numFmt w:val="decimal"/>
      <w:lvlText w:val="%3."/>
      <w:lvlJc w:val="left"/>
      <w:pPr>
        <w:ind w:left="1440" w:hanging="360"/>
      </w:pPr>
    </w:lvl>
    <w:lvl w:ilvl="3" w:tplc="9D0A037A">
      <w:start w:val="1"/>
      <w:numFmt w:val="decimal"/>
      <w:lvlText w:val="%4."/>
      <w:lvlJc w:val="left"/>
      <w:pPr>
        <w:ind w:left="1440" w:hanging="360"/>
      </w:pPr>
    </w:lvl>
    <w:lvl w:ilvl="4" w:tplc="AFCEFD34">
      <w:start w:val="1"/>
      <w:numFmt w:val="decimal"/>
      <w:lvlText w:val="%5."/>
      <w:lvlJc w:val="left"/>
      <w:pPr>
        <w:ind w:left="1440" w:hanging="360"/>
      </w:pPr>
    </w:lvl>
    <w:lvl w:ilvl="5" w:tplc="4A8A0ABC">
      <w:start w:val="1"/>
      <w:numFmt w:val="decimal"/>
      <w:lvlText w:val="%6."/>
      <w:lvlJc w:val="left"/>
      <w:pPr>
        <w:ind w:left="1440" w:hanging="360"/>
      </w:pPr>
    </w:lvl>
    <w:lvl w:ilvl="6" w:tplc="4566E65A">
      <w:start w:val="1"/>
      <w:numFmt w:val="decimal"/>
      <w:lvlText w:val="%7."/>
      <w:lvlJc w:val="left"/>
      <w:pPr>
        <w:ind w:left="1440" w:hanging="360"/>
      </w:pPr>
    </w:lvl>
    <w:lvl w:ilvl="7" w:tplc="B53A0EC4">
      <w:start w:val="1"/>
      <w:numFmt w:val="decimal"/>
      <w:lvlText w:val="%8."/>
      <w:lvlJc w:val="left"/>
      <w:pPr>
        <w:ind w:left="1440" w:hanging="360"/>
      </w:pPr>
    </w:lvl>
    <w:lvl w:ilvl="8" w:tplc="DED42240">
      <w:start w:val="1"/>
      <w:numFmt w:val="decimal"/>
      <w:lvlText w:val="%9."/>
      <w:lvlJc w:val="left"/>
      <w:pPr>
        <w:ind w:left="1440" w:hanging="360"/>
      </w:pPr>
    </w:lvl>
  </w:abstractNum>
  <w:abstractNum w:abstractNumId="18" w15:restartNumberingAfterBreak="0">
    <w:nsid w:val="48036316"/>
    <w:multiLevelType w:val="hybridMultilevel"/>
    <w:tmpl w:val="044E857C"/>
    <w:lvl w:ilvl="0" w:tplc="45DC90BE">
      <w:start w:val="1"/>
      <w:numFmt w:val="decimal"/>
      <w:lvlText w:val="%1."/>
      <w:lvlJc w:val="left"/>
      <w:pPr>
        <w:ind w:left="1440" w:hanging="360"/>
      </w:pPr>
    </w:lvl>
    <w:lvl w:ilvl="1" w:tplc="7424113A">
      <w:start w:val="1"/>
      <w:numFmt w:val="decimal"/>
      <w:lvlText w:val="%2."/>
      <w:lvlJc w:val="left"/>
      <w:pPr>
        <w:ind w:left="1440" w:hanging="360"/>
      </w:pPr>
    </w:lvl>
    <w:lvl w:ilvl="2" w:tplc="357E6904">
      <w:start w:val="1"/>
      <w:numFmt w:val="decimal"/>
      <w:lvlText w:val="%3."/>
      <w:lvlJc w:val="left"/>
      <w:pPr>
        <w:ind w:left="1440" w:hanging="360"/>
      </w:pPr>
    </w:lvl>
    <w:lvl w:ilvl="3" w:tplc="54CEE8D0">
      <w:start w:val="1"/>
      <w:numFmt w:val="decimal"/>
      <w:lvlText w:val="%4."/>
      <w:lvlJc w:val="left"/>
      <w:pPr>
        <w:ind w:left="1440" w:hanging="360"/>
      </w:pPr>
    </w:lvl>
    <w:lvl w:ilvl="4" w:tplc="2A72AB68">
      <w:start w:val="1"/>
      <w:numFmt w:val="decimal"/>
      <w:lvlText w:val="%5."/>
      <w:lvlJc w:val="left"/>
      <w:pPr>
        <w:ind w:left="1440" w:hanging="360"/>
      </w:pPr>
    </w:lvl>
    <w:lvl w:ilvl="5" w:tplc="5E9C2472">
      <w:start w:val="1"/>
      <w:numFmt w:val="decimal"/>
      <w:lvlText w:val="%6."/>
      <w:lvlJc w:val="left"/>
      <w:pPr>
        <w:ind w:left="1440" w:hanging="360"/>
      </w:pPr>
    </w:lvl>
    <w:lvl w:ilvl="6" w:tplc="980EDE1C">
      <w:start w:val="1"/>
      <w:numFmt w:val="decimal"/>
      <w:lvlText w:val="%7."/>
      <w:lvlJc w:val="left"/>
      <w:pPr>
        <w:ind w:left="1440" w:hanging="360"/>
      </w:pPr>
    </w:lvl>
    <w:lvl w:ilvl="7" w:tplc="5B52D834">
      <w:start w:val="1"/>
      <w:numFmt w:val="decimal"/>
      <w:lvlText w:val="%8."/>
      <w:lvlJc w:val="left"/>
      <w:pPr>
        <w:ind w:left="1440" w:hanging="360"/>
      </w:pPr>
    </w:lvl>
    <w:lvl w:ilvl="8" w:tplc="DE82D13C">
      <w:start w:val="1"/>
      <w:numFmt w:val="decimal"/>
      <w:lvlText w:val="%9."/>
      <w:lvlJc w:val="left"/>
      <w:pPr>
        <w:ind w:left="1440" w:hanging="360"/>
      </w:pPr>
    </w:lvl>
  </w:abstractNum>
  <w:abstractNum w:abstractNumId="19" w15:restartNumberingAfterBreak="0">
    <w:nsid w:val="4A235FE6"/>
    <w:multiLevelType w:val="hybridMultilevel"/>
    <w:tmpl w:val="8DDEFB9C"/>
    <w:lvl w:ilvl="0" w:tplc="FFFFFFFF">
      <w:start w:val="10"/>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AB83F26"/>
    <w:multiLevelType w:val="hybridMultilevel"/>
    <w:tmpl w:val="38FA2ECC"/>
    <w:lvl w:ilvl="0" w:tplc="86AE2958">
      <w:start w:val="1"/>
      <w:numFmt w:val="bullet"/>
      <w:pStyle w:val="bullets"/>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D5D2246"/>
    <w:multiLevelType w:val="singleLevel"/>
    <w:tmpl w:val="7C2ACC44"/>
    <w:lvl w:ilvl="0">
      <w:start w:val="1"/>
      <w:numFmt w:val="decimal"/>
      <w:pStyle w:val="Style1"/>
      <w:lvlText w:val="%1."/>
      <w:lvlJc w:val="left"/>
      <w:pPr>
        <w:tabs>
          <w:tab w:val="num" w:pos="72"/>
        </w:tabs>
        <w:ind w:left="288" w:hanging="288"/>
      </w:pPr>
      <w:rPr>
        <w:rFonts w:hint="default"/>
      </w:rPr>
    </w:lvl>
  </w:abstractNum>
  <w:abstractNum w:abstractNumId="22" w15:restartNumberingAfterBreak="0">
    <w:nsid w:val="58933C89"/>
    <w:multiLevelType w:val="hybridMultilevel"/>
    <w:tmpl w:val="035C1CAE"/>
    <w:lvl w:ilvl="0" w:tplc="7E70FA5A">
      <w:start w:val="1"/>
      <w:numFmt w:val="decimal"/>
      <w:lvlText w:val="%1."/>
      <w:lvlJc w:val="left"/>
      <w:pPr>
        <w:ind w:left="1440" w:hanging="360"/>
      </w:pPr>
    </w:lvl>
    <w:lvl w:ilvl="1" w:tplc="D436AA20">
      <w:start w:val="1"/>
      <w:numFmt w:val="decimal"/>
      <w:lvlText w:val="%2."/>
      <w:lvlJc w:val="left"/>
      <w:pPr>
        <w:ind w:left="1440" w:hanging="360"/>
      </w:pPr>
    </w:lvl>
    <w:lvl w:ilvl="2" w:tplc="24228F08">
      <w:start w:val="1"/>
      <w:numFmt w:val="decimal"/>
      <w:lvlText w:val="%3."/>
      <w:lvlJc w:val="left"/>
      <w:pPr>
        <w:ind w:left="1440" w:hanging="360"/>
      </w:pPr>
    </w:lvl>
    <w:lvl w:ilvl="3" w:tplc="A51A416C">
      <w:start w:val="1"/>
      <w:numFmt w:val="decimal"/>
      <w:lvlText w:val="%4."/>
      <w:lvlJc w:val="left"/>
      <w:pPr>
        <w:ind w:left="1440" w:hanging="360"/>
      </w:pPr>
    </w:lvl>
    <w:lvl w:ilvl="4" w:tplc="465217DE">
      <w:start w:val="1"/>
      <w:numFmt w:val="decimal"/>
      <w:lvlText w:val="%5."/>
      <w:lvlJc w:val="left"/>
      <w:pPr>
        <w:ind w:left="1440" w:hanging="360"/>
      </w:pPr>
    </w:lvl>
    <w:lvl w:ilvl="5" w:tplc="0A189076">
      <w:start w:val="1"/>
      <w:numFmt w:val="decimal"/>
      <w:lvlText w:val="%6."/>
      <w:lvlJc w:val="left"/>
      <w:pPr>
        <w:ind w:left="1440" w:hanging="360"/>
      </w:pPr>
    </w:lvl>
    <w:lvl w:ilvl="6" w:tplc="89EC9F78">
      <w:start w:val="1"/>
      <w:numFmt w:val="decimal"/>
      <w:lvlText w:val="%7."/>
      <w:lvlJc w:val="left"/>
      <w:pPr>
        <w:ind w:left="1440" w:hanging="360"/>
      </w:pPr>
    </w:lvl>
    <w:lvl w:ilvl="7" w:tplc="288AB6DE">
      <w:start w:val="1"/>
      <w:numFmt w:val="decimal"/>
      <w:lvlText w:val="%8."/>
      <w:lvlJc w:val="left"/>
      <w:pPr>
        <w:ind w:left="1440" w:hanging="360"/>
      </w:pPr>
    </w:lvl>
    <w:lvl w:ilvl="8" w:tplc="ED70798E">
      <w:start w:val="1"/>
      <w:numFmt w:val="decimal"/>
      <w:lvlText w:val="%9."/>
      <w:lvlJc w:val="left"/>
      <w:pPr>
        <w:ind w:left="1440" w:hanging="360"/>
      </w:pPr>
    </w:lvl>
  </w:abstractNum>
  <w:abstractNum w:abstractNumId="23" w15:restartNumberingAfterBreak="0">
    <w:nsid w:val="590902E6"/>
    <w:multiLevelType w:val="singleLevel"/>
    <w:tmpl w:val="3F6EB472"/>
    <w:lvl w:ilvl="0">
      <w:start w:val="1"/>
      <w:numFmt w:val="decimal"/>
      <w:lvlText w:val="%1."/>
      <w:legacy w:legacy="1" w:legacySpace="144" w:legacyIndent="0"/>
      <w:lvlJc w:val="left"/>
    </w:lvl>
  </w:abstractNum>
  <w:abstractNum w:abstractNumId="24" w15:restartNumberingAfterBreak="0">
    <w:nsid w:val="59D042D7"/>
    <w:multiLevelType w:val="multilevel"/>
    <w:tmpl w:val="18F4A5AC"/>
    <w:numStyleLink w:val="FoFCoLOP"/>
  </w:abstractNum>
  <w:abstractNum w:abstractNumId="25" w15:restartNumberingAfterBreak="0">
    <w:nsid w:val="5A9E2171"/>
    <w:multiLevelType w:val="multilevel"/>
    <w:tmpl w:val="3C526EDE"/>
    <w:numStyleLink w:val="Headings"/>
  </w:abstractNum>
  <w:abstractNum w:abstractNumId="26" w15:restartNumberingAfterBreak="0">
    <w:nsid w:val="5E3440EA"/>
    <w:multiLevelType w:val="hybridMultilevel"/>
    <w:tmpl w:val="D6BA1E1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1A25780"/>
    <w:multiLevelType w:val="multilevel"/>
    <w:tmpl w:val="3C526EDE"/>
    <w:numStyleLink w:val="Headings"/>
  </w:abstractNum>
  <w:abstractNum w:abstractNumId="28" w15:restartNumberingAfterBreak="0">
    <w:nsid w:val="61CC0EBC"/>
    <w:multiLevelType w:val="hybridMultilevel"/>
    <w:tmpl w:val="0B925376"/>
    <w:lvl w:ilvl="0" w:tplc="4D8C7A8A">
      <w:start w:val="1"/>
      <w:numFmt w:val="decimal"/>
      <w:lvlText w:val="%1."/>
      <w:lvlJc w:val="left"/>
      <w:pPr>
        <w:ind w:left="720" w:hanging="360"/>
      </w:pPr>
    </w:lvl>
    <w:lvl w:ilvl="1" w:tplc="69AC4B04">
      <w:start w:val="1"/>
      <w:numFmt w:val="decimal"/>
      <w:lvlText w:val="%2."/>
      <w:lvlJc w:val="left"/>
      <w:pPr>
        <w:ind w:left="720" w:hanging="360"/>
      </w:pPr>
    </w:lvl>
    <w:lvl w:ilvl="2" w:tplc="299CB938">
      <w:start w:val="1"/>
      <w:numFmt w:val="decimal"/>
      <w:lvlText w:val="%3."/>
      <w:lvlJc w:val="left"/>
      <w:pPr>
        <w:ind w:left="720" w:hanging="360"/>
      </w:pPr>
    </w:lvl>
    <w:lvl w:ilvl="3" w:tplc="41467E7C">
      <w:start w:val="1"/>
      <w:numFmt w:val="decimal"/>
      <w:lvlText w:val="%4."/>
      <w:lvlJc w:val="left"/>
      <w:pPr>
        <w:ind w:left="720" w:hanging="360"/>
      </w:pPr>
    </w:lvl>
    <w:lvl w:ilvl="4" w:tplc="DA34792E">
      <w:start w:val="1"/>
      <w:numFmt w:val="decimal"/>
      <w:lvlText w:val="%5."/>
      <w:lvlJc w:val="left"/>
      <w:pPr>
        <w:ind w:left="720" w:hanging="360"/>
      </w:pPr>
    </w:lvl>
    <w:lvl w:ilvl="5" w:tplc="663EF46A">
      <w:start w:val="1"/>
      <w:numFmt w:val="decimal"/>
      <w:lvlText w:val="%6."/>
      <w:lvlJc w:val="left"/>
      <w:pPr>
        <w:ind w:left="720" w:hanging="360"/>
      </w:pPr>
    </w:lvl>
    <w:lvl w:ilvl="6" w:tplc="13D2D174">
      <w:start w:val="1"/>
      <w:numFmt w:val="decimal"/>
      <w:lvlText w:val="%7."/>
      <w:lvlJc w:val="left"/>
      <w:pPr>
        <w:ind w:left="720" w:hanging="360"/>
      </w:pPr>
    </w:lvl>
    <w:lvl w:ilvl="7" w:tplc="E34EE720">
      <w:start w:val="1"/>
      <w:numFmt w:val="decimal"/>
      <w:lvlText w:val="%8."/>
      <w:lvlJc w:val="left"/>
      <w:pPr>
        <w:ind w:left="720" w:hanging="360"/>
      </w:pPr>
    </w:lvl>
    <w:lvl w:ilvl="8" w:tplc="324CF23E">
      <w:start w:val="1"/>
      <w:numFmt w:val="decimal"/>
      <w:lvlText w:val="%9."/>
      <w:lvlJc w:val="left"/>
      <w:pPr>
        <w:ind w:left="720" w:hanging="360"/>
      </w:pPr>
    </w:lvl>
  </w:abstractNum>
  <w:abstractNum w:abstractNumId="29" w15:restartNumberingAfterBreak="0">
    <w:nsid w:val="624F32A4"/>
    <w:multiLevelType w:val="singleLevel"/>
    <w:tmpl w:val="C1848026"/>
    <w:lvl w:ilvl="0">
      <w:start w:val="1"/>
      <w:numFmt w:val="decimal"/>
      <w:lvlText w:val="%1."/>
      <w:legacy w:legacy="1" w:legacySpace="144" w:legacyIndent="0"/>
      <w:lvlJc w:val="left"/>
      <w:rPr>
        <w:i w:val="0"/>
        <w:iCs/>
        <w:color w:val="auto"/>
      </w:rPr>
    </w:lvl>
  </w:abstractNum>
  <w:abstractNum w:abstractNumId="30"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4093EA4"/>
    <w:multiLevelType w:val="singleLevel"/>
    <w:tmpl w:val="E250AA46"/>
    <w:lvl w:ilvl="0">
      <w:start w:val="1"/>
      <w:numFmt w:val="decimal"/>
      <w:lvlText w:val="%1."/>
      <w:legacy w:legacy="1" w:legacySpace="0" w:legacyIndent="0"/>
      <w:lvlJc w:val="left"/>
    </w:lvl>
  </w:abstractNum>
  <w:abstractNum w:abstractNumId="32" w15:restartNumberingAfterBreak="0">
    <w:nsid w:val="789A0AFE"/>
    <w:multiLevelType w:val="multilevel"/>
    <w:tmpl w:val="18F4A5AC"/>
    <w:numStyleLink w:val="FoFCoLOP"/>
  </w:abstractNum>
  <w:abstractNum w:abstractNumId="33" w15:restartNumberingAfterBreak="0">
    <w:nsid w:val="78BE7108"/>
    <w:multiLevelType w:val="singleLevel"/>
    <w:tmpl w:val="BCB63E94"/>
    <w:lvl w:ilvl="0">
      <w:start w:val="1"/>
      <w:numFmt w:val="decimal"/>
      <w:lvlText w:val="%1."/>
      <w:lvlJc w:val="left"/>
      <w:pPr>
        <w:ind w:left="6840" w:hanging="360"/>
      </w:pPr>
      <w:rPr>
        <w:b w:val="0"/>
      </w:rPr>
    </w:lvl>
  </w:abstractNum>
  <w:abstractNum w:abstractNumId="34" w15:restartNumberingAfterBreak="0">
    <w:nsid w:val="7C8D7FBA"/>
    <w:multiLevelType w:val="hybridMultilevel"/>
    <w:tmpl w:val="BB1C915C"/>
    <w:lvl w:ilvl="0" w:tplc="E18AE5E4">
      <w:start w:val="1"/>
      <w:numFmt w:val="decimal"/>
      <w:lvlText w:val="%1."/>
      <w:lvlJc w:val="left"/>
      <w:pPr>
        <w:ind w:left="1440" w:hanging="360"/>
      </w:pPr>
    </w:lvl>
    <w:lvl w:ilvl="1" w:tplc="F8A8DB6E">
      <w:start w:val="1"/>
      <w:numFmt w:val="decimal"/>
      <w:lvlText w:val="%2."/>
      <w:lvlJc w:val="left"/>
      <w:pPr>
        <w:ind w:left="1440" w:hanging="360"/>
      </w:pPr>
    </w:lvl>
    <w:lvl w:ilvl="2" w:tplc="CDCA3418">
      <w:start w:val="1"/>
      <w:numFmt w:val="decimal"/>
      <w:lvlText w:val="%3."/>
      <w:lvlJc w:val="left"/>
      <w:pPr>
        <w:ind w:left="1440" w:hanging="360"/>
      </w:pPr>
    </w:lvl>
    <w:lvl w:ilvl="3" w:tplc="CC068460">
      <w:start w:val="1"/>
      <w:numFmt w:val="decimal"/>
      <w:lvlText w:val="%4."/>
      <w:lvlJc w:val="left"/>
      <w:pPr>
        <w:ind w:left="1440" w:hanging="360"/>
      </w:pPr>
    </w:lvl>
    <w:lvl w:ilvl="4" w:tplc="FD5EB312">
      <w:start w:val="1"/>
      <w:numFmt w:val="decimal"/>
      <w:lvlText w:val="%5."/>
      <w:lvlJc w:val="left"/>
      <w:pPr>
        <w:ind w:left="1440" w:hanging="360"/>
      </w:pPr>
    </w:lvl>
    <w:lvl w:ilvl="5" w:tplc="3B80E6EE">
      <w:start w:val="1"/>
      <w:numFmt w:val="decimal"/>
      <w:lvlText w:val="%6."/>
      <w:lvlJc w:val="left"/>
      <w:pPr>
        <w:ind w:left="1440" w:hanging="360"/>
      </w:pPr>
    </w:lvl>
    <w:lvl w:ilvl="6" w:tplc="F5D8E896">
      <w:start w:val="1"/>
      <w:numFmt w:val="decimal"/>
      <w:lvlText w:val="%7."/>
      <w:lvlJc w:val="left"/>
      <w:pPr>
        <w:ind w:left="1440" w:hanging="360"/>
      </w:pPr>
    </w:lvl>
    <w:lvl w:ilvl="7" w:tplc="51A457F4">
      <w:start w:val="1"/>
      <w:numFmt w:val="decimal"/>
      <w:lvlText w:val="%8."/>
      <w:lvlJc w:val="left"/>
      <w:pPr>
        <w:ind w:left="1440" w:hanging="360"/>
      </w:pPr>
    </w:lvl>
    <w:lvl w:ilvl="8" w:tplc="98FA136E">
      <w:start w:val="1"/>
      <w:numFmt w:val="decimal"/>
      <w:lvlText w:val="%9."/>
      <w:lvlJc w:val="left"/>
      <w:pPr>
        <w:ind w:left="1440" w:hanging="360"/>
      </w:pPr>
    </w:lvl>
  </w:abstractNum>
  <w:abstractNum w:abstractNumId="35" w15:restartNumberingAfterBreak="0">
    <w:nsid w:val="7FCF6DF9"/>
    <w:multiLevelType w:val="hybridMultilevel"/>
    <w:tmpl w:val="4FA6248E"/>
    <w:lvl w:ilvl="0" w:tplc="ABB2423C">
      <w:start w:val="1"/>
      <w:numFmt w:val="decimal"/>
      <w:lvlText w:val="%1)"/>
      <w:lvlJc w:val="left"/>
      <w:pPr>
        <w:ind w:left="1020" w:hanging="360"/>
      </w:pPr>
    </w:lvl>
    <w:lvl w:ilvl="1" w:tplc="76B69878">
      <w:start w:val="1"/>
      <w:numFmt w:val="decimal"/>
      <w:lvlText w:val="%2)"/>
      <w:lvlJc w:val="left"/>
      <w:pPr>
        <w:ind w:left="1020" w:hanging="360"/>
      </w:pPr>
    </w:lvl>
    <w:lvl w:ilvl="2" w:tplc="CE46DF6A">
      <w:start w:val="1"/>
      <w:numFmt w:val="decimal"/>
      <w:lvlText w:val="%3)"/>
      <w:lvlJc w:val="left"/>
      <w:pPr>
        <w:ind w:left="1020" w:hanging="360"/>
      </w:pPr>
    </w:lvl>
    <w:lvl w:ilvl="3" w:tplc="82928550">
      <w:start w:val="1"/>
      <w:numFmt w:val="decimal"/>
      <w:lvlText w:val="%4)"/>
      <w:lvlJc w:val="left"/>
      <w:pPr>
        <w:ind w:left="1020" w:hanging="360"/>
      </w:pPr>
    </w:lvl>
    <w:lvl w:ilvl="4" w:tplc="F13E5772">
      <w:start w:val="1"/>
      <w:numFmt w:val="decimal"/>
      <w:lvlText w:val="%5)"/>
      <w:lvlJc w:val="left"/>
      <w:pPr>
        <w:ind w:left="1020" w:hanging="360"/>
      </w:pPr>
    </w:lvl>
    <w:lvl w:ilvl="5" w:tplc="44EC5F98">
      <w:start w:val="1"/>
      <w:numFmt w:val="decimal"/>
      <w:lvlText w:val="%6)"/>
      <w:lvlJc w:val="left"/>
      <w:pPr>
        <w:ind w:left="1020" w:hanging="360"/>
      </w:pPr>
    </w:lvl>
    <w:lvl w:ilvl="6" w:tplc="9F144878">
      <w:start w:val="1"/>
      <w:numFmt w:val="decimal"/>
      <w:lvlText w:val="%7)"/>
      <w:lvlJc w:val="left"/>
      <w:pPr>
        <w:ind w:left="1020" w:hanging="360"/>
      </w:pPr>
    </w:lvl>
    <w:lvl w:ilvl="7" w:tplc="85381BAE">
      <w:start w:val="1"/>
      <w:numFmt w:val="decimal"/>
      <w:lvlText w:val="%8)"/>
      <w:lvlJc w:val="left"/>
      <w:pPr>
        <w:ind w:left="1020" w:hanging="360"/>
      </w:pPr>
    </w:lvl>
    <w:lvl w:ilvl="8" w:tplc="52747FC4">
      <w:start w:val="1"/>
      <w:numFmt w:val="decimal"/>
      <w:lvlText w:val="%9)"/>
      <w:lvlJc w:val="left"/>
      <w:pPr>
        <w:ind w:left="1020" w:hanging="360"/>
      </w:pPr>
    </w:lvl>
  </w:abstractNum>
  <w:num w:numId="1" w16cid:durableId="1354526949">
    <w:abstractNumId w:val="25"/>
  </w:num>
  <w:num w:numId="2" w16cid:durableId="140774137">
    <w:abstractNumId w:val="5"/>
  </w:num>
  <w:num w:numId="3" w16cid:durableId="1898543446">
    <w:abstractNumId w:val="24"/>
    <w:lvlOverride w:ilvl="0">
      <w:lvl w:ilvl="0">
        <w:start w:val="1"/>
        <w:numFmt w:val="decimal"/>
        <w:pStyle w:val="FoF"/>
        <w:lvlText w:val="%1."/>
        <w:lvlJc w:val="right"/>
        <w:pPr>
          <w:ind w:left="0" w:firstLine="540"/>
        </w:pPr>
        <w:rPr>
          <w:rFonts w:hint="default"/>
        </w:rPr>
      </w:lvl>
    </w:lvlOverride>
  </w:num>
  <w:num w:numId="4" w16cid:durableId="701521005">
    <w:abstractNumId w:val="6"/>
    <w:lvlOverride w:ilvl="0">
      <w:lvl w:ilvl="0">
        <w:start w:val="1"/>
        <w:numFmt w:val="decimal"/>
        <w:pStyle w:val="CoL"/>
        <w:lvlText w:val="%1."/>
        <w:lvlJc w:val="right"/>
        <w:pPr>
          <w:ind w:left="0" w:firstLine="540"/>
        </w:pPr>
        <w:rPr>
          <w:rFonts w:hint="default"/>
        </w:rPr>
      </w:lvl>
    </w:lvlOverride>
    <w:lvlOverride w:ilvl="1">
      <w:lvl w:ilvl="1">
        <w:start w:val="1"/>
        <w:numFmt w:val="lowerLetter"/>
        <w:lvlText w:val="(%2)"/>
        <w:lvlJc w:val="right"/>
        <w:pPr>
          <w:ind w:left="1152" w:hanging="72"/>
        </w:pPr>
        <w:rPr>
          <w:rFonts w:hint="default"/>
        </w:rPr>
      </w:lvl>
    </w:lvlOverride>
    <w:lvlOverride w:ilvl="2">
      <w:lvl w:ilvl="2">
        <w:start w:val="1"/>
        <w:numFmt w:val="none"/>
        <w:lvlText w:val=""/>
        <w:lvlJc w:val="left"/>
        <w:pPr>
          <w:ind w:left="720" w:firstLine="0"/>
        </w:pPr>
        <w:rPr>
          <w:rFonts w:hint="default"/>
        </w:rPr>
      </w:lvl>
    </w:lvlOverride>
    <w:lvlOverride w:ilvl="3">
      <w:lvl w:ilvl="3">
        <w:start w:val="1"/>
        <w:numFmt w:val="none"/>
        <w:lvlText w:val=""/>
        <w:lvlJc w:val="left"/>
        <w:pPr>
          <w:ind w:left="720" w:firstLine="0"/>
        </w:pPr>
        <w:rPr>
          <w:rFonts w:hint="default"/>
        </w:rPr>
      </w:lvl>
    </w:lvlOverride>
    <w:lvlOverride w:ilvl="4">
      <w:lvl w:ilvl="4">
        <w:start w:val="1"/>
        <w:numFmt w:val="none"/>
        <w:lvlText w:val=""/>
        <w:lvlJc w:val="left"/>
        <w:pPr>
          <w:ind w:left="720" w:firstLine="0"/>
        </w:pPr>
        <w:rPr>
          <w:rFonts w:hint="default"/>
        </w:rPr>
      </w:lvl>
    </w:lvlOverride>
    <w:lvlOverride w:ilvl="5">
      <w:lvl w:ilvl="5">
        <w:start w:val="1"/>
        <w:numFmt w:val="none"/>
        <w:lvlText w:val=""/>
        <w:lvlJc w:val="left"/>
        <w:pPr>
          <w:ind w:left="720" w:firstLine="0"/>
        </w:pPr>
        <w:rPr>
          <w:rFonts w:hint="default"/>
        </w:rPr>
      </w:lvl>
    </w:lvlOverride>
    <w:lvlOverride w:ilvl="6">
      <w:lvl w:ilvl="6">
        <w:start w:val="1"/>
        <w:numFmt w:val="none"/>
        <w:lvlText w:val=""/>
        <w:lvlJc w:val="left"/>
        <w:pPr>
          <w:ind w:left="720" w:firstLine="0"/>
        </w:pPr>
        <w:rPr>
          <w:rFonts w:hint="default"/>
        </w:rPr>
      </w:lvl>
    </w:lvlOverride>
    <w:lvlOverride w:ilvl="7">
      <w:lvl w:ilvl="7">
        <w:start w:val="1"/>
        <w:numFmt w:val="none"/>
        <w:lvlText w:val=""/>
        <w:lvlJc w:val="left"/>
        <w:pPr>
          <w:ind w:left="720" w:firstLine="0"/>
        </w:pPr>
        <w:rPr>
          <w:rFonts w:hint="default"/>
        </w:rPr>
      </w:lvl>
    </w:lvlOverride>
    <w:lvlOverride w:ilvl="8">
      <w:lvl w:ilvl="8">
        <w:start w:val="1"/>
        <w:numFmt w:val="none"/>
        <w:lvlText w:val=""/>
        <w:lvlJc w:val="left"/>
        <w:pPr>
          <w:ind w:left="720" w:firstLine="0"/>
        </w:pPr>
        <w:rPr>
          <w:rFonts w:hint="default"/>
        </w:rPr>
      </w:lvl>
    </w:lvlOverride>
  </w:num>
  <w:num w:numId="5" w16cid:durableId="2017029027">
    <w:abstractNumId w:val="32"/>
    <w:lvlOverride w:ilvl="0">
      <w:lvl w:ilvl="0">
        <w:start w:val="1"/>
        <w:numFmt w:val="decimal"/>
        <w:pStyle w:val="OP"/>
        <w:lvlText w:val="%1."/>
        <w:lvlJc w:val="right"/>
        <w:pPr>
          <w:ind w:left="0" w:firstLine="540"/>
        </w:pPr>
        <w:rPr>
          <w:rFonts w:hint="default"/>
          <w:b w:val="0"/>
          <w:bCs w:val="0"/>
          <w:i w:val="0"/>
          <w:iCs/>
          <w:color w:val="auto"/>
        </w:rPr>
      </w:lvl>
    </w:lvlOverride>
  </w:num>
  <w:num w:numId="6" w16cid:durableId="973756952">
    <w:abstractNumId w:val="15"/>
  </w:num>
  <w:num w:numId="7" w16cid:durableId="827667741">
    <w:abstractNumId w:val="9"/>
  </w:num>
  <w:num w:numId="8" w16cid:durableId="1760327020">
    <w:abstractNumId w:val="30"/>
  </w:num>
  <w:num w:numId="9" w16cid:durableId="816924040">
    <w:abstractNumId w:val="0"/>
  </w:num>
  <w:num w:numId="10" w16cid:durableId="1817916489">
    <w:abstractNumId w:val="8"/>
  </w:num>
  <w:num w:numId="11" w16cid:durableId="291985460">
    <w:abstractNumId w:val="10"/>
  </w:num>
  <w:num w:numId="12" w16cid:durableId="467941983">
    <w:abstractNumId w:val="7"/>
  </w:num>
  <w:num w:numId="13" w16cid:durableId="712996464">
    <w:abstractNumId w:val="11"/>
  </w:num>
  <w:num w:numId="14" w16cid:durableId="1303778653">
    <w:abstractNumId w:val="12"/>
  </w:num>
  <w:num w:numId="15" w16cid:durableId="1714382259">
    <w:abstractNumId w:val="27"/>
    <w:lvlOverride w:ilvl="0">
      <w:lvl w:ilvl="0">
        <w:start w:val="1"/>
        <w:numFmt w:val="decimal"/>
        <w:pStyle w:val="Heading1"/>
        <w:lvlText w:val="%1."/>
        <w:lvlJc w:val="left"/>
        <w:pPr>
          <w:ind w:left="1800" w:hanging="720"/>
        </w:pPr>
        <w:rPr>
          <w:b/>
          <w:bCs/>
          <w:i w:val="0"/>
          <w:iCs w:val="0"/>
          <w:color w:val="auto"/>
        </w:rPr>
      </w:lvl>
    </w:lvlOverride>
  </w:num>
  <w:num w:numId="16" w16cid:durableId="5481076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27"/>
  </w:num>
  <w:num w:numId="18" w16cid:durableId="1926720114">
    <w:abstractNumId w:val="35"/>
  </w:num>
  <w:num w:numId="19" w16cid:durableId="863445436">
    <w:abstractNumId w:val="18"/>
  </w:num>
  <w:num w:numId="20" w16cid:durableId="1909920865">
    <w:abstractNumId w:val="28"/>
  </w:num>
  <w:num w:numId="21" w16cid:durableId="908686899">
    <w:abstractNumId w:val="13"/>
  </w:num>
  <w:num w:numId="22" w16cid:durableId="1705254468">
    <w:abstractNumId w:val="34"/>
  </w:num>
  <w:num w:numId="23" w16cid:durableId="583534803">
    <w:abstractNumId w:val="17"/>
  </w:num>
  <w:num w:numId="24" w16cid:durableId="186868226">
    <w:abstractNumId w:val="14"/>
  </w:num>
  <w:num w:numId="25" w16cid:durableId="1133408720">
    <w:abstractNumId w:val="2"/>
  </w:num>
  <w:num w:numId="26" w16cid:durableId="1766028455">
    <w:abstractNumId w:val="22"/>
  </w:num>
  <w:num w:numId="27" w16cid:durableId="1824194659">
    <w:abstractNumId w:val="31"/>
  </w:num>
  <w:num w:numId="28" w16cid:durableId="1558662856">
    <w:abstractNumId w:val="1"/>
  </w:num>
  <w:num w:numId="29" w16cid:durableId="796725293">
    <w:abstractNumId w:val="20"/>
  </w:num>
  <w:num w:numId="30" w16cid:durableId="1546402926">
    <w:abstractNumId w:val="16"/>
  </w:num>
  <w:num w:numId="31" w16cid:durableId="838159591">
    <w:abstractNumId w:val="21"/>
  </w:num>
  <w:num w:numId="32" w16cid:durableId="829709660">
    <w:abstractNumId w:val="3"/>
  </w:num>
  <w:num w:numId="33" w16cid:durableId="2089961079">
    <w:abstractNumId w:val="33"/>
  </w:num>
  <w:num w:numId="34" w16cid:durableId="957570045">
    <w:abstractNumId w:val="19"/>
  </w:num>
  <w:num w:numId="35" w16cid:durableId="2016029428">
    <w:abstractNumId w:val="4"/>
  </w:num>
  <w:num w:numId="36" w16cid:durableId="1363362242">
    <w:abstractNumId w:val="23"/>
  </w:num>
  <w:num w:numId="37" w16cid:durableId="1861508342">
    <w:abstractNumId w:val="26"/>
  </w:num>
  <w:num w:numId="38" w16cid:durableId="120804475">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00B"/>
    <w:rsid w:val="00000F6A"/>
    <w:rsid w:val="000126A3"/>
    <w:rsid w:val="000170E0"/>
    <w:rsid w:val="000175C2"/>
    <w:rsid w:val="000178DE"/>
    <w:rsid w:val="00025539"/>
    <w:rsid w:val="000331A7"/>
    <w:rsid w:val="00035ADF"/>
    <w:rsid w:val="000366D0"/>
    <w:rsid w:val="0003738F"/>
    <w:rsid w:val="00045096"/>
    <w:rsid w:val="00045852"/>
    <w:rsid w:val="00045F33"/>
    <w:rsid w:val="00051A8C"/>
    <w:rsid w:val="00051B81"/>
    <w:rsid w:val="0005553D"/>
    <w:rsid w:val="000559A2"/>
    <w:rsid w:val="0006549C"/>
    <w:rsid w:val="00065CC1"/>
    <w:rsid w:val="00066D05"/>
    <w:rsid w:val="0007115A"/>
    <w:rsid w:val="000722FF"/>
    <w:rsid w:val="0007393E"/>
    <w:rsid w:val="00074B5E"/>
    <w:rsid w:val="0008020B"/>
    <w:rsid w:val="00080FB5"/>
    <w:rsid w:val="00081379"/>
    <w:rsid w:val="00090FE9"/>
    <w:rsid w:val="00092A69"/>
    <w:rsid w:val="00095CB7"/>
    <w:rsid w:val="000968F5"/>
    <w:rsid w:val="000973C8"/>
    <w:rsid w:val="000A2AA9"/>
    <w:rsid w:val="000A2F00"/>
    <w:rsid w:val="000A3198"/>
    <w:rsid w:val="000A56F2"/>
    <w:rsid w:val="000A6730"/>
    <w:rsid w:val="000A6E05"/>
    <w:rsid w:val="000A7349"/>
    <w:rsid w:val="000B118B"/>
    <w:rsid w:val="000B12FA"/>
    <w:rsid w:val="000B3190"/>
    <w:rsid w:val="000B4FF7"/>
    <w:rsid w:val="000B6622"/>
    <w:rsid w:val="000C08BF"/>
    <w:rsid w:val="000C2400"/>
    <w:rsid w:val="000C2451"/>
    <w:rsid w:val="000C297A"/>
    <w:rsid w:val="000C3944"/>
    <w:rsid w:val="000C3B9A"/>
    <w:rsid w:val="000C3FC8"/>
    <w:rsid w:val="000C4C2C"/>
    <w:rsid w:val="000C6F56"/>
    <w:rsid w:val="000C7552"/>
    <w:rsid w:val="000D25A8"/>
    <w:rsid w:val="000D2A62"/>
    <w:rsid w:val="000D4F9F"/>
    <w:rsid w:val="000D7F18"/>
    <w:rsid w:val="000E111B"/>
    <w:rsid w:val="000E1EBB"/>
    <w:rsid w:val="000E208E"/>
    <w:rsid w:val="000E270A"/>
    <w:rsid w:val="000E4C53"/>
    <w:rsid w:val="000E6566"/>
    <w:rsid w:val="000F48C6"/>
    <w:rsid w:val="000F7D1B"/>
    <w:rsid w:val="00100CE7"/>
    <w:rsid w:val="0011276C"/>
    <w:rsid w:val="001177C0"/>
    <w:rsid w:val="00117E59"/>
    <w:rsid w:val="00121089"/>
    <w:rsid w:val="001321DD"/>
    <w:rsid w:val="00135C04"/>
    <w:rsid w:val="001441BE"/>
    <w:rsid w:val="001466FB"/>
    <w:rsid w:val="001505C6"/>
    <w:rsid w:val="001614C6"/>
    <w:rsid w:val="00161659"/>
    <w:rsid w:val="001631BE"/>
    <w:rsid w:val="00166E58"/>
    <w:rsid w:val="00170C54"/>
    <w:rsid w:val="00170FDB"/>
    <w:rsid w:val="00173254"/>
    <w:rsid w:val="001734E4"/>
    <w:rsid w:val="001767B3"/>
    <w:rsid w:val="0018031C"/>
    <w:rsid w:val="00180CC3"/>
    <w:rsid w:val="00183D89"/>
    <w:rsid w:val="00184A8F"/>
    <w:rsid w:val="00186B4F"/>
    <w:rsid w:val="001874CB"/>
    <w:rsid w:val="001912E8"/>
    <w:rsid w:val="001966EC"/>
    <w:rsid w:val="001A3197"/>
    <w:rsid w:val="001A54AF"/>
    <w:rsid w:val="001A72CA"/>
    <w:rsid w:val="001B0F72"/>
    <w:rsid w:val="001B1314"/>
    <w:rsid w:val="001B2FAD"/>
    <w:rsid w:val="001B46AF"/>
    <w:rsid w:val="001C0A36"/>
    <w:rsid w:val="001C1216"/>
    <w:rsid w:val="001C2DF5"/>
    <w:rsid w:val="001C363F"/>
    <w:rsid w:val="001C36FE"/>
    <w:rsid w:val="001C395E"/>
    <w:rsid w:val="001C6578"/>
    <w:rsid w:val="001C703C"/>
    <w:rsid w:val="001D6C01"/>
    <w:rsid w:val="001E2A62"/>
    <w:rsid w:val="001E3FEC"/>
    <w:rsid w:val="001E5818"/>
    <w:rsid w:val="001E6627"/>
    <w:rsid w:val="001F08BC"/>
    <w:rsid w:val="001F1A88"/>
    <w:rsid w:val="001F2819"/>
    <w:rsid w:val="001F614D"/>
    <w:rsid w:val="001F621C"/>
    <w:rsid w:val="00201A8D"/>
    <w:rsid w:val="00201DCD"/>
    <w:rsid w:val="00204090"/>
    <w:rsid w:val="002043EC"/>
    <w:rsid w:val="00216791"/>
    <w:rsid w:val="002167CF"/>
    <w:rsid w:val="0022028E"/>
    <w:rsid w:val="0022533E"/>
    <w:rsid w:val="002331B2"/>
    <w:rsid w:val="00240D71"/>
    <w:rsid w:val="00243DC0"/>
    <w:rsid w:val="00247477"/>
    <w:rsid w:val="00247E12"/>
    <w:rsid w:val="00265D7E"/>
    <w:rsid w:val="0026640B"/>
    <w:rsid w:val="002669D9"/>
    <w:rsid w:val="0026778E"/>
    <w:rsid w:val="00270440"/>
    <w:rsid w:val="00270EA4"/>
    <w:rsid w:val="00275CB0"/>
    <w:rsid w:val="00276CFB"/>
    <w:rsid w:val="00277A8E"/>
    <w:rsid w:val="00280ED5"/>
    <w:rsid w:val="00281CA1"/>
    <w:rsid w:val="00282B44"/>
    <w:rsid w:val="00284D8D"/>
    <w:rsid w:val="00286BE4"/>
    <w:rsid w:val="00287BC5"/>
    <w:rsid w:val="00291976"/>
    <w:rsid w:val="00291F8E"/>
    <w:rsid w:val="002921BA"/>
    <w:rsid w:val="00293DEE"/>
    <w:rsid w:val="002A0B5D"/>
    <w:rsid w:val="002A1DB7"/>
    <w:rsid w:val="002A33B6"/>
    <w:rsid w:val="002A6109"/>
    <w:rsid w:val="002C11FE"/>
    <w:rsid w:val="002C2954"/>
    <w:rsid w:val="002C3A18"/>
    <w:rsid w:val="002C3FE0"/>
    <w:rsid w:val="002C7FE9"/>
    <w:rsid w:val="002D02B7"/>
    <w:rsid w:val="002D0DC5"/>
    <w:rsid w:val="002D0FE3"/>
    <w:rsid w:val="002D156E"/>
    <w:rsid w:val="002D350E"/>
    <w:rsid w:val="002D4EFD"/>
    <w:rsid w:val="002D5A40"/>
    <w:rsid w:val="002E0269"/>
    <w:rsid w:val="002E0757"/>
    <w:rsid w:val="002E2349"/>
    <w:rsid w:val="002E5945"/>
    <w:rsid w:val="002F0B42"/>
    <w:rsid w:val="00301EFE"/>
    <w:rsid w:val="003020A4"/>
    <w:rsid w:val="0030505E"/>
    <w:rsid w:val="003062AB"/>
    <w:rsid w:val="003110FA"/>
    <w:rsid w:val="0031132C"/>
    <w:rsid w:val="00311645"/>
    <w:rsid w:val="0031463C"/>
    <w:rsid w:val="0031556E"/>
    <w:rsid w:val="00315A97"/>
    <w:rsid w:val="00315D9B"/>
    <w:rsid w:val="00316071"/>
    <w:rsid w:val="0031797D"/>
    <w:rsid w:val="003204A5"/>
    <w:rsid w:val="00324C51"/>
    <w:rsid w:val="0032658B"/>
    <w:rsid w:val="00331760"/>
    <w:rsid w:val="0033355D"/>
    <w:rsid w:val="003347A0"/>
    <w:rsid w:val="00334A3A"/>
    <w:rsid w:val="00342CE9"/>
    <w:rsid w:val="00342EE9"/>
    <w:rsid w:val="00343CC4"/>
    <w:rsid w:val="00343E5C"/>
    <w:rsid w:val="00344FB8"/>
    <w:rsid w:val="003450E6"/>
    <w:rsid w:val="00353E6A"/>
    <w:rsid w:val="00357DEC"/>
    <w:rsid w:val="0036017B"/>
    <w:rsid w:val="00360428"/>
    <w:rsid w:val="00362755"/>
    <w:rsid w:val="00362C67"/>
    <w:rsid w:val="0036320F"/>
    <w:rsid w:val="0036396E"/>
    <w:rsid w:val="003652FD"/>
    <w:rsid w:val="0036612D"/>
    <w:rsid w:val="00367A26"/>
    <w:rsid w:val="00373B93"/>
    <w:rsid w:val="00374DBE"/>
    <w:rsid w:val="00376A59"/>
    <w:rsid w:val="00380CD1"/>
    <w:rsid w:val="00383EE7"/>
    <w:rsid w:val="00385CF3"/>
    <w:rsid w:val="00387BD0"/>
    <w:rsid w:val="00391089"/>
    <w:rsid w:val="00394464"/>
    <w:rsid w:val="0039489C"/>
    <w:rsid w:val="003A02CA"/>
    <w:rsid w:val="003A180F"/>
    <w:rsid w:val="003A1C3A"/>
    <w:rsid w:val="003A3048"/>
    <w:rsid w:val="003A38F0"/>
    <w:rsid w:val="003A3C9D"/>
    <w:rsid w:val="003A4983"/>
    <w:rsid w:val="003B3D4A"/>
    <w:rsid w:val="003B6ED5"/>
    <w:rsid w:val="003C5736"/>
    <w:rsid w:val="003C6F0B"/>
    <w:rsid w:val="003D2231"/>
    <w:rsid w:val="003D4DBD"/>
    <w:rsid w:val="003E1B14"/>
    <w:rsid w:val="003E6271"/>
    <w:rsid w:val="003E73F0"/>
    <w:rsid w:val="003F069A"/>
    <w:rsid w:val="003F0916"/>
    <w:rsid w:val="003F4329"/>
    <w:rsid w:val="003F4C08"/>
    <w:rsid w:val="0040280C"/>
    <w:rsid w:val="00405FE8"/>
    <w:rsid w:val="00407480"/>
    <w:rsid w:val="004078BB"/>
    <w:rsid w:val="00410529"/>
    <w:rsid w:val="00410924"/>
    <w:rsid w:val="00412534"/>
    <w:rsid w:val="00412C83"/>
    <w:rsid w:val="004232C5"/>
    <w:rsid w:val="00424730"/>
    <w:rsid w:val="00426014"/>
    <w:rsid w:val="004311FF"/>
    <w:rsid w:val="004342F3"/>
    <w:rsid w:val="004428C8"/>
    <w:rsid w:val="004449A4"/>
    <w:rsid w:val="0044617E"/>
    <w:rsid w:val="00450DFC"/>
    <w:rsid w:val="0045678A"/>
    <w:rsid w:val="0046078B"/>
    <w:rsid w:val="00460B7D"/>
    <w:rsid w:val="0046116D"/>
    <w:rsid w:val="00464874"/>
    <w:rsid w:val="00467AE6"/>
    <w:rsid w:val="004715EC"/>
    <w:rsid w:val="00476132"/>
    <w:rsid w:val="00480CB0"/>
    <w:rsid w:val="004829EE"/>
    <w:rsid w:val="00483603"/>
    <w:rsid w:val="00496658"/>
    <w:rsid w:val="004A1EAD"/>
    <w:rsid w:val="004A34D6"/>
    <w:rsid w:val="004A3F23"/>
    <w:rsid w:val="004A47BE"/>
    <w:rsid w:val="004A5CDE"/>
    <w:rsid w:val="004A6649"/>
    <w:rsid w:val="004B0826"/>
    <w:rsid w:val="004B1087"/>
    <w:rsid w:val="004B1C1F"/>
    <w:rsid w:val="004B34EA"/>
    <w:rsid w:val="004B5494"/>
    <w:rsid w:val="004C2DB5"/>
    <w:rsid w:val="004C4EA3"/>
    <w:rsid w:val="004C7A2B"/>
    <w:rsid w:val="004C7D3A"/>
    <w:rsid w:val="004D39B9"/>
    <w:rsid w:val="004D696F"/>
    <w:rsid w:val="004E1692"/>
    <w:rsid w:val="004E255A"/>
    <w:rsid w:val="004E2A4E"/>
    <w:rsid w:val="004E4086"/>
    <w:rsid w:val="004E44B3"/>
    <w:rsid w:val="004E4DEE"/>
    <w:rsid w:val="004F2F6A"/>
    <w:rsid w:val="004F5552"/>
    <w:rsid w:val="004F5603"/>
    <w:rsid w:val="004F752D"/>
    <w:rsid w:val="005018A8"/>
    <w:rsid w:val="0050238C"/>
    <w:rsid w:val="00504EC3"/>
    <w:rsid w:val="00504FBD"/>
    <w:rsid w:val="00505A39"/>
    <w:rsid w:val="00506E88"/>
    <w:rsid w:val="00512643"/>
    <w:rsid w:val="005146E8"/>
    <w:rsid w:val="00516A6D"/>
    <w:rsid w:val="00523333"/>
    <w:rsid w:val="005239F9"/>
    <w:rsid w:val="005240BF"/>
    <w:rsid w:val="00524A47"/>
    <w:rsid w:val="00525C6F"/>
    <w:rsid w:val="005272D1"/>
    <w:rsid w:val="00527615"/>
    <w:rsid w:val="00535FF0"/>
    <w:rsid w:val="005420DD"/>
    <w:rsid w:val="00542701"/>
    <w:rsid w:val="00546CDB"/>
    <w:rsid w:val="00550550"/>
    <w:rsid w:val="00557C81"/>
    <w:rsid w:val="00566635"/>
    <w:rsid w:val="00567732"/>
    <w:rsid w:val="00567B9A"/>
    <w:rsid w:val="00571380"/>
    <w:rsid w:val="005744E4"/>
    <w:rsid w:val="00574592"/>
    <w:rsid w:val="0058454D"/>
    <w:rsid w:val="00585390"/>
    <w:rsid w:val="00585BBF"/>
    <w:rsid w:val="00593636"/>
    <w:rsid w:val="005939A5"/>
    <w:rsid w:val="0059418F"/>
    <w:rsid w:val="005A148C"/>
    <w:rsid w:val="005A1F2D"/>
    <w:rsid w:val="005A3172"/>
    <w:rsid w:val="005A3388"/>
    <w:rsid w:val="005A7A39"/>
    <w:rsid w:val="005B08EC"/>
    <w:rsid w:val="005B0AE1"/>
    <w:rsid w:val="005B20E2"/>
    <w:rsid w:val="005B344A"/>
    <w:rsid w:val="005B3BEB"/>
    <w:rsid w:val="005B488C"/>
    <w:rsid w:val="005B749B"/>
    <w:rsid w:val="005C2AA3"/>
    <w:rsid w:val="005C58FA"/>
    <w:rsid w:val="005D3594"/>
    <w:rsid w:val="005E28B7"/>
    <w:rsid w:val="005E3FC5"/>
    <w:rsid w:val="005E5310"/>
    <w:rsid w:val="005E5CD8"/>
    <w:rsid w:val="005F0984"/>
    <w:rsid w:val="005F58B4"/>
    <w:rsid w:val="005F739D"/>
    <w:rsid w:val="005F749D"/>
    <w:rsid w:val="005F7E81"/>
    <w:rsid w:val="005F7ECE"/>
    <w:rsid w:val="00600EDC"/>
    <w:rsid w:val="00603238"/>
    <w:rsid w:val="0060420D"/>
    <w:rsid w:val="006056BD"/>
    <w:rsid w:val="006060F3"/>
    <w:rsid w:val="00607911"/>
    <w:rsid w:val="00624445"/>
    <w:rsid w:val="00630DE4"/>
    <w:rsid w:val="00632207"/>
    <w:rsid w:val="0063491C"/>
    <w:rsid w:val="00634CB8"/>
    <w:rsid w:val="00635805"/>
    <w:rsid w:val="00636F2C"/>
    <w:rsid w:val="00641A5C"/>
    <w:rsid w:val="0064417C"/>
    <w:rsid w:val="006478D4"/>
    <w:rsid w:val="006500AE"/>
    <w:rsid w:val="00650DE0"/>
    <w:rsid w:val="00654E12"/>
    <w:rsid w:val="006577E3"/>
    <w:rsid w:val="00661AFE"/>
    <w:rsid w:val="00662490"/>
    <w:rsid w:val="00665AF9"/>
    <w:rsid w:val="00671752"/>
    <w:rsid w:val="006751A6"/>
    <w:rsid w:val="00675EDC"/>
    <w:rsid w:val="00680F19"/>
    <w:rsid w:val="00683B2C"/>
    <w:rsid w:val="00684772"/>
    <w:rsid w:val="00684784"/>
    <w:rsid w:val="0069046D"/>
    <w:rsid w:val="00690E62"/>
    <w:rsid w:val="0069364F"/>
    <w:rsid w:val="006937CD"/>
    <w:rsid w:val="00694F10"/>
    <w:rsid w:val="00695401"/>
    <w:rsid w:val="00695B17"/>
    <w:rsid w:val="00697A02"/>
    <w:rsid w:val="006B0468"/>
    <w:rsid w:val="006B1FC3"/>
    <w:rsid w:val="006B2C8F"/>
    <w:rsid w:val="006B3AE1"/>
    <w:rsid w:val="006B4953"/>
    <w:rsid w:val="006B6062"/>
    <w:rsid w:val="006C1F10"/>
    <w:rsid w:val="006C38C8"/>
    <w:rsid w:val="006C6CCA"/>
    <w:rsid w:val="006D02BF"/>
    <w:rsid w:val="006D6F5B"/>
    <w:rsid w:val="006E51FA"/>
    <w:rsid w:val="006E5E28"/>
    <w:rsid w:val="006E6574"/>
    <w:rsid w:val="006F135C"/>
    <w:rsid w:val="006F2150"/>
    <w:rsid w:val="00706930"/>
    <w:rsid w:val="00710EBA"/>
    <w:rsid w:val="00713CA9"/>
    <w:rsid w:val="00713E11"/>
    <w:rsid w:val="00714CF2"/>
    <w:rsid w:val="007156B9"/>
    <w:rsid w:val="00720817"/>
    <w:rsid w:val="00722720"/>
    <w:rsid w:val="00722850"/>
    <w:rsid w:val="00733333"/>
    <w:rsid w:val="0073334E"/>
    <w:rsid w:val="0073353F"/>
    <w:rsid w:val="00735A91"/>
    <w:rsid w:val="00742E45"/>
    <w:rsid w:val="00742FB7"/>
    <w:rsid w:val="007447AF"/>
    <w:rsid w:val="00750816"/>
    <w:rsid w:val="007513D9"/>
    <w:rsid w:val="007538B0"/>
    <w:rsid w:val="0075661D"/>
    <w:rsid w:val="00761FEE"/>
    <w:rsid w:val="007620FF"/>
    <w:rsid w:val="007657C1"/>
    <w:rsid w:val="007702DE"/>
    <w:rsid w:val="007709C2"/>
    <w:rsid w:val="00770A07"/>
    <w:rsid w:val="0077296E"/>
    <w:rsid w:val="00773300"/>
    <w:rsid w:val="007741E9"/>
    <w:rsid w:val="0077755F"/>
    <w:rsid w:val="00777C08"/>
    <w:rsid w:val="0078007B"/>
    <w:rsid w:val="007877F1"/>
    <w:rsid w:val="007878B9"/>
    <w:rsid w:val="00790782"/>
    <w:rsid w:val="00791210"/>
    <w:rsid w:val="007917FD"/>
    <w:rsid w:val="00791986"/>
    <w:rsid w:val="007949F4"/>
    <w:rsid w:val="00795872"/>
    <w:rsid w:val="0079648E"/>
    <w:rsid w:val="007A1DE4"/>
    <w:rsid w:val="007A296A"/>
    <w:rsid w:val="007A34F4"/>
    <w:rsid w:val="007A406D"/>
    <w:rsid w:val="007A5ABB"/>
    <w:rsid w:val="007A62B0"/>
    <w:rsid w:val="007B22ED"/>
    <w:rsid w:val="007B4E97"/>
    <w:rsid w:val="007B73A7"/>
    <w:rsid w:val="007C0579"/>
    <w:rsid w:val="007C5A0C"/>
    <w:rsid w:val="007E0FEE"/>
    <w:rsid w:val="007E25D3"/>
    <w:rsid w:val="007E48EF"/>
    <w:rsid w:val="007E704E"/>
    <w:rsid w:val="007F0FE9"/>
    <w:rsid w:val="007F17D7"/>
    <w:rsid w:val="007F2017"/>
    <w:rsid w:val="008038FE"/>
    <w:rsid w:val="0080390E"/>
    <w:rsid w:val="00805F3F"/>
    <w:rsid w:val="0081444C"/>
    <w:rsid w:val="00815819"/>
    <w:rsid w:val="008159CF"/>
    <w:rsid w:val="00815C12"/>
    <w:rsid w:val="00816E05"/>
    <w:rsid w:val="0082052E"/>
    <w:rsid w:val="00822747"/>
    <w:rsid w:val="00822EAD"/>
    <w:rsid w:val="00825919"/>
    <w:rsid w:val="00825C85"/>
    <w:rsid w:val="008317CD"/>
    <w:rsid w:val="00831A64"/>
    <w:rsid w:val="0083210F"/>
    <w:rsid w:val="0083382B"/>
    <w:rsid w:val="008339BB"/>
    <w:rsid w:val="00842A46"/>
    <w:rsid w:val="00843252"/>
    <w:rsid w:val="008440D8"/>
    <w:rsid w:val="00846408"/>
    <w:rsid w:val="008537B1"/>
    <w:rsid w:val="00854367"/>
    <w:rsid w:val="008548CD"/>
    <w:rsid w:val="00855C57"/>
    <w:rsid w:val="008570DB"/>
    <w:rsid w:val="0086419A"/>
    <w:rsid w:val="008659D6"/>
    <w:rsid w:val="0086721A"/>
    <w:rsid w:val="0087023B"/>
    <w:rsid w:val="008714B2"/>
    <w:rsid w:val="008744B0"/>
    <w:rsid w:val="008761C6"/>
    <w:rsid w:val="008845EF"/>
    <w:rsid w:val="00890725"/>
    <w:rsid w:val="00890FC7"/>
    <w:rsid w:val="008A0233"/>
    <w:rsid w:val="008A08BF"/>
    <w:rsid w:val="008A179F"/>
    <w:rsid w:val="008A700C"/>
    <w:rsid w:val="008B0864"/>
    <w:rsid w:val="008B0A3A"/>
    <w:rsid w:val="008B175A"/>
    <w:rsid w:val="008B45F1"/>
    <w:rsid w:val="008B77B8"/>
    <w:rsid w:val="008B78F7"/>
    <w:rsid w:val="008C0915"/>
    <w:rsid w:val="008C0C13"/>
    <w:rsid w:val="008C1C81"/>
    <w:rsid w:val="008C37F5"/>
    <w:rsid w:val="008C3CB7"/>
    <w:rsid w:val="008C4602"/>
    <w:rsid w:val="008C4ACF"/>
    <w:rsid w:val="008C5EA9"/>
    <w:rsid w:val="008C7413"/>
    <w:rsid w:val="008D16B7"/>
    <w:rsid w:val="008E030D"/>
    <w:rsid w:val="008E0D70"/>
    <w:rsid w:val="008E6AE6"/>
    <w:rsid w:val="008F0116"/>
    <w:rsid w:val="008F13A2"/>
    <w:rsid w:val="008F143D"/>
    <w:rsid w:val="009010A9"/>
    <w:rsid w:val="00902013"/>
    <w:rsid w:val="009067B8"/>
    <w:rsid w:val="0091000B"/>
    <w:rsid w:val="00911679"/>
    <w:rsid w:val="00913FAD"/>
    <w:rsid w:val="009159A3"/>
    <w:rsid w:val="00915BCF"/>
    <w:rsid w:val="00917F6C"/>
    <w:rsid w:val="00922496"/>
    <w:rsid w:val="00930FE1"/>
    <w:rsid w:val="00932865"/>
    <w:rsid w:val="00936C28"/>
    <w:rsid w:val="00944C7A"/>
    <w:rsid w:val="00946963"/>
    <w:rsid w:val="00951130"/>
    <w:rsid w:val="00955753"/>
    <w:rsid w:val="00962630"/>
    <w:rsid w:val="00963B85"/>
    <w:rsid w:val="00967CDE"/>
    <w:rsid w:val="00972253"/>
    <w:rsid w:val="00972917"/>
    <w:rsid w:val="00976C8A"/>
    <w:rsid w:val="00977780"/>
    <w:rsid w:val="00977F7E"/>
    <w:rsid w:val="00980397"/>
    <w:rsid w:val="00980691"/>
    <w:rsid w:val="0098138E"/>
    <w:rsid w:val="009815E9"/>
    <w:rsid w:val="00983462"/>
    <w:rsid w:val="0098655A"/>
    <w:rsid w:val="009A00CE"/>
    <w:rsid w:val="009A13E6"/>
    <w:rsid w:val="009A18B5"/>
    <w:rsid w:val="009A2C2D"/>
    <w:rsid w:val="009A56F6"/>
    <w:rsid w:val="009A60C5"/>
    <w:rsid w:val="009A6E36"/>
    <w:rsid w:val="009B21C9"/>
    <w:rsid w:val="009B5E3B"/>
    <w:rsid w:val="009B64B3"/>
    <w:rsid w:val="009B74AD"/>
    <w:rsid w:val="009B7657"/>
    <w:rsid w:val="009C0CD6"/>
    <w:rsid w:val="009C4A1B"/>
    <w:rsid w:val="009D14F8"/>
    <w:rsid w:val="009D5DB0"/>
    <w:rsid w:val="009D6BB8"/>
    <w:rsid w:val="009D6FC2"/>
    <w:rsid w:val="009E399B"/>
    <w:rsid w:val="009E4807"/>
    <w:rsid w:val="009E4BE2"/>
    <w:rsid w:val="009E4D77"/>
    <w:rsid w:val="009E6052"/>
    <w:rsid w:val="009E6E6C"/>
    <w:rsid w:val="009E7C7F"/>
    <w:rsid w:val="009E7DC7"/>
    <w:rsid w:val="009F54B4"/>
    <w:rsid w:val="00A016C6"/>
    <w:rsid w:val="00A03F50"/>
    <w:rsid w:val="00A1103B"/>
    <w:rsid w:val="00A1490E"/>
    <w:rsid w:val="00A17627"/>
    <w:rsid w:val="00A17CE0"/>
    <w:rsid w:val="00A23D48"/>
    <w:rsid w:val="00A35FB8"/>
    <w:rsid w:val="00A36A71"/>
    <w:rsid w:val="00A3751F"/>
    <w:rsid w:val="00A409E1"/>
    <w:rsid w:val="00A42306"/>
    <w:rsid w:val="00A42310"/>
    <w:rsid w:val="00A44E8D"/>
    <w:rsid w:val="00A46EA8"/>
    <w:rsid w:val="00A50C3C"/>
    <w:rsid w:val="00A516FC"/>
    <w:rsid w:val="00A523CD"/>
    <w:rsid w:val="00A527B3"/>
    <w:rsid w:val="00A55ACD"/>
    <w:rsid w:val="00A55FE4"/>
    <w:rsid w:val="00A63B8B"/>
    <w:rsid w:val="00A65524"/>
    <w:rsid w:val="00A6697E"/>
    <w:rsid w:val="00A67987"/>
    <w:rsid w:val="00A75305"/>
    <w:rsid w:val="00A843F3"/>
    <w:rsid w:val="00A85D27"/>
    <w:rsid w:val="00A96074"/>
    <w:rsid w:val="00AB0D30"/>
    <w:rsid w:val="00AB3464"/>
    <w:rsid w:val="00AB43B9"/>
    <w:rsid w:val="00AB4E33"/>
    <w:rsid w:val="00AB6B79"/>
    <w:rsid w:val="00AB7875"/>
    <w:rsid w:val="00AB7F3C"/>
    <w:rsid w:val="00AC68EE"/>
    <w:rsid w:val="00AD026F"/>
    <w:rsid w:val="00AD3FF2"/>
    <w:rsid w:val="00AF4C33"/>
    <w:rsid w:val="00B01F7E"/>
    <w:rsid w:val="00B03095"/>
    <w:rsid w:val="00B034BF"/>
    <w:rsid w:val="00B0579A"/>
    <w:rsid w:val="00B11D9F"/>
    <w:rsid w:val="00B13402"/>
    <w:rsid w:val="00B14209"/>
    <w:rsid w:val="00B146F1"/>
    <w:rsid w:val="00B16C2A"/>
    <w:rsid w:val="00B16FA6"/>
    <w:rsid w:val="00B278F9"/>
    <w:rsid w:val="00B27F89"/>
    <w:rsid w:val="00B306D2"/>
    <w:rsid w:val="00B30850"/>
    <w:rsid w:val="00B3087D"/>
    <w:rsid w:val="00B325E0"/>
    <w:rsid w:val="00B34794"/>
    <w:rsid w:val="00B4234D"/>
    <w:rsid w:val="00B425A5"/>
    <w:rsid w:val="00B431FB"/>
    <w:rsid w:val="00B43D1C"/>
    <w:rsid w:val="00B520C7"/>
    <w:rsid w:val="00B536AA"/>
    <w:rsid w:val="00B54B2A"/>
    <w:rsid w:val="00B564DF"/>
    <w:rsid w:val="00B60421"/>
    <w:rsid w:val="00B64F98"/>
    <w:rsid w:val="00B7191F"/>
    <w:rsid w:val="00B81EB6"/>
    <w:rsid w:val="00B826F8"/>
    <w:rsid w:val="00B83F9F"/>
    <w:rsid w:val="00B863AA"/>
    <w:rsid w:val="00B90C1B"/>
    <w:rsid w:val="00B90D7B"/>
    <w:rsid w:val="00B9439A"/>
    <w:rsid w:val="00B94689"/>
    <w:rsid w:val="00B95DF8"/>
    <w:rsid w:val="00B966EE"/>
    <w:rsid w:val="00BA0CDF"/>
    <w:rsid w:val="00BA2578"/>
    <w:rsid w:val="00BA6FEB"/>
    <w:rsid w:val="00BA7D41"/>
    <w:rsid w:val="00BB0243"/>
    <w:rsid w:val="00BB1863"/>
    <w:rsid w:val="00BC297C"/>
    <w:rsid w:val="00BC2DFA"/>
    <w:rsid w:val="00BC5147"/>
    <w:rsid w:val="00BD1DB3"/>
    <w:rsid w:val="00BD2A8D"/>
    <w:rsid w:val="00BD41DA"/>
    <w:rsid w:val="00BD584A"/>
    <w:rsid w:val="00BE2364"/>
    <w:rsid w:val="00BE298D"/>
    <w:rsid w:val="00BE4C0B"/>
    <w:rsid w:val="00BE5E87"/>
    <w:rsid w:val="00BE77CB"/>
    <w:rsid w:val="00BF361E"/>
    <w:rsid w:val="00BF51C4"/>
    <w:rsid w:val="00BF730D"/>
    <w:rsid w:val="00C01C7C"/>
    <w:rsid w:val="00C0477E"/>
    <w:rsid w:val="00C06284"/>
    <w:rsid w:val="00C07B19"/>
    <w:rsid w:val="00C10B5F"/>
    <w:rsid w:val="00C110E6"/>
    <w:rsid w:val="00C207DD"/>
    <w:rsid w:val="00C22740"/>
    <w:rsid w:val="00C27E2A"/>
    <w:rsid w:val="00C30984"/>
    <w:rsid w:val="00C339EB"/>
    <w:rsid w:val="00C35961"/>
    <w:rsid w:val="00C46CA8"/>
    <w:rsid w:val="00C5347C"/>
    <w:rsid w:val="00C54B1A"/>
    <w:rsid w:val="00C579AE"/>
    <w:rsid w:val="00C61293"/>
    <w:rsid w:val="00C66D13"/>
    <w:rsid w:val="00C6717A"/>
    <w:rsid w:val="00C74A43"/>
    <w:rsid w:val="00C754CC"/>
    <w:rsid w:val="00C82422"/>
    <w:rsid w:val="00C878D5"/>
    <w:rsid w:val="00C9033B"/>
    <w:rsid w:val="00C911F6"/>
    <w:rsid w:val="00C913A1"/>
    <w:rsid w:val="00C91451"/>
    <w:rsid w:val="00C9368C"/>
    <w:rsid w:val="00C95103"/>
    <w:rsid w:val="00C96612"/>
    <w:rsid w:val="00C96644"/>
    <w:rsid w:val="00C97D17"/>
    <w:rsid w:val="00CA572E"/>
    <w:rsid w:val="00CB22F3"/>
    <w:rsid w:val="00CB2D4F"/>
    <w:rsid w:val="00CB4475"/>
    <w:rsid w:val="00CB5504"/>
    <w:rsid w:val="00CB72E6"/>
    <w:rsid w:val="00CC04FD"/>
    <w:rsid w:val="00CC27A3"/>
    <w:rsid w:val="00CC2F1C"/>
    <w:rsid w:val="00CC3019"/>
    <w:rsid w:val="00CC36C4"/>
    <w:rsid w:val="00CC6455"/>
    <w:rsid w:val="00CC6A99"/>
    <w:rsid w:val="00CD2D5B"/>
    <w:rsid w:val="00CD4B4A"/>
    <w:rsid w:val="00CD6001"/>
    <w:rsid w:val="00CD7210"/>
    <w:rsid w:val="00CD78FA"/>
    <w:rsid w:val="00CD7CA1"/>
    <w:rsid w:val="00CE1B48"/>
    <w:rsid w:val="00CE31FD"/>
    <w:rsid w:val="00CE61DD"/>
    <w:rsid w:val="00CF0DDA"/>
    <w:rsid w:val="00CF2D1D"/>
    <w:rsid w:val="00D00AA3"/>
    <w:rsid w:val="00D0218A"/>
    <w:rsid w:val="00D0504E"/>
    <w:rsid w:val="00D0618A"/>
    <w:rsid w:val="00D07F73"/>
    <w:rsid w:val="00D140B9"/>
    <w:rsid w:val="00D144AF"/>
    <w:rsid w:val="00D14844"/>
    <w:rsid w:val="00D1531A"/>
    <w:rsid w:val="00D1661A"/>
    <w:rsid w:val="00D168B8"/>
    <w:rsid w:val="00D17750"/>
    <w:rsid w:val="00D2041C"/>
    <w:rsid w:val="00D233AC"/>
    <w:rsid w:val="00D24A03"/>
    <w:rsid w:val="00D25ADE"/>
    <w:rsid w:val="00D26F92"/>
    <w:rsid w:val="00D333A6"/>
    <w:rsid w:val="00D37B73"/>
    <w:rsid w:val="00D40C99"/>
    <w:rsid w:val="00D41755"/>
    <w:rsid w:val="00D43201"/>
    <w:rsid w:val="00D43297"/>
    <w:rsid w:val="00D44DB6"/>
    <w:rsid w:val="00D45917"/>
    <w:rsid w:val="00D50119"/>
    <w:rsid w:val="00D54255"/>
    <w:rsid w:val="00D5474C"/>
    <w:rsid w:val="00D54EAA"/>
    <w:rsid w:val="00D5565F"/>
    <w:rsid w:val="00D60B01"/>
    <w:rsid w:val="00D6137C"/>
    <w:rsid w:val="00D6171E"/>
    <w:rsid w:val="00D63488"/>
    <w:rsid w:val="00D66FFA"/>
    <w:rsid w:val="00D70CE1"/>
    <w:rsid w:val="00D73B4C"/>
    <w:rsid w:val="00D75901"/>
    <w:rsid w:val="00D82702"/>
    <w:rsid w:val="00D82A43"/>
    <w:rsid w:val="00D87D3B"/>
    <w:rsid w:val="00D90F9F"/>
    <w:rsid w:val="00DA5814"/>
    <w:rsid w:val="00DA7B5D"/>
    <w:rsid w:val="00DB53C7"/>
    <w:rsid w:val="00DB5E08"/>
    <w:rsid w:val="00DB7C13"/>
    <w:rsid w:val="00DC1ABD"/>
    <w:rsid w:val="00DC733B"/>
    <w:rsid w:val="00DD034B"/>
    <w:rsid w:val="00DD47F6"/>
    <w:rsid w:val="00DD7555"/>
    <w:rsid w:val="00DE06E3"/>
    <w:rsid w:val="00DE1FE9"/>
    <w:rsid w:val="00DE4B74"/>
    <w:rsid w:val="00DF23C5"/>
    <w:rsid w:val="00DF58E7"/>
    <w:rsid w:val="00DF6936"/>
    <w:rsid w:val="00DF7A5A"/>
    <w:rsid w:val="00E0058A"/>
    <w:rsid w:val="00E03A2A"/>
    <w:rsid w:val="00E05456"/>
    <w:rsid w:val="00E07C86"/>
    <w:rsid w:val="00E11876"/>
    <w:rsid w:val="00E15E7F"/>
    <w:rsid w:val="00E160E9"/>
    <w:rsid w:val="00E178A6"/>
    <w:rsid w:val="00E20FA5"/>
    <w:rsid w:val="00E21308"/>
    <w:rsid w:val="00E23CBB"/>
    <w:rsid w:val="00E240E1"/>
    <w:rsid w:val="00E245F0"/>
    <w:rsid w:val="00E252A4"/>
    <w:rsid w:val="00E31DC0"/>
    <w:rsid w:val="00E34BFB"/>
    <w:rsid w:val="00E3691C"/>
    <w:rsid w:val="00E37B59"/>
    <w:rsid w:val="00E44A64"/>
    <w:rsid w:val="00E4549F"/>
    <w:rsid w:val="00E47DF2"/>
    <w:rsid w:val="00E47FF5"/>
    <w:rsid w:val="00E51DA1"/>
    <w:rsid w:val="00E53438"/>
    <w:rsid w:val="00E53702"/>
    <w:rsid w:val="00E66F16"/>
    <w:rsid w:val="00E70475"/>
    <w:rsid w:val="00E725FC"/>
    <w:rsid w:val="00E74E3F"/>
    <w:rsid w:val="00E758EC"/>
    <w:rsid w:val="00E76345"/>
    <w:rsid w:val="00E76A8F"/>
    <w:rsid w:val="00E911B0"/>
    <w:rsid w:val="00E957C0"/>
    <w:rsid w:val="00E962DB"/>
    <w:rsid w:val="00E96871"/>
    <w:rsid w:val="00EA36C6"/>
    <w:rsid w:val="00EA6C16"/>
    <w:rsid w:val="00EB0A1A"/>
    <w:rsid w:val="00EB16B5"/>
    <w:rsid w:val="00EB21E2"/>
    <w:rsid w:val="00EB6B2F"/>
    <w:rsid w:val="00EC30F9"/>
    <w:rsid w:val="00EC5389"/>
    <w:rsid w:val="00EC6895"/>
    <w:rsid w:val="00ED5725"/>
    <w:rsid w:val="00ED7031"/>
    <w:rsid w:val="00EE0BDE"/>
    <w:rsid w:val="00EE23A2"/>
    <w:rsid w:val="00EE3060"/>
    <w:rsid w:val="00EE4315"/>
    <w:rsid w:val="00EE5A1F"/>
    <w:rsid w:val="00EE5F2E"/>
    <w:rsid w:val="00EE6C9C"/>
    <w:rsid w:val="00EF3FBF"/>
    <w:rsid w:val="00EF55D3"/>
    <w:rsid w:val="00EF60AB"/>
    <w:rsid w:val="00EF6925"/>
    <w:rsid w:val="00EF7672"/>
    <w:rsid w:val="00F00505"/>
    <w:rsid w:val="00F02B1E"/>
    <w:rsid w:val="00F03289"/>
    <w:rsid w:val="00F04DDA"/>
    <w:rsid w:val="00F061F9"/>
    <w:rsid w:val="00F12118"/>
    <w:rsid w:val="00F13B64"/>
    <w:rsid w:val="00F16319"/>
    <w:rsid w:val="00F24070"/>
    <w:rsid w:val="00F26ED3"/>
    <w:rsid w:val="00F30F7F"/>
    <w:rsid w:val="00F43012"/>
    <w:rsid w:val="00F435ED"/>
    <w:rsid w:val="00F444FB"/>
    <w:rsid w:val="00F45CBF"/>
    <w:rsid w:val="00F50B4B"/>
    <w:rsid w:val="00F5176E"/>
    <w:rsid w:val="00F51D84"/>
    <w:rsid w:val="00F52023"/>
    <w:rsid w:val="00F54862"/>
    <w:rsid w:val="00F54E2E"/>
    <w:rsid w:val="00F62B7A"/>
    <w:rsid w:val="00F6397D"/>
    <w:rsid w:val="00F64F16"/>
    <w:rsid w:val="00F672D5"/>
    <w:rsid w:val="00F67CCF"/>
    <w:rsid w:val="00F70925"/>
    <w:rsid w:val="00F7293E"/>
    <w:rsid w:val="00F734CD"/>
    <w:rsid w:val="00F734F1"/>
    <w:rsid w:val="00F73FE5"/>
    <w:rsid w:val="00F74E6F"/>
    <w:rsid w:val="00F7545D"/>
    <w:rsid w:val="00F76650"/>
    <w:rsid w:val="00F766B7"/>
    <w:rsid w:val="00F80023"/>
    <w:rsid w:val="00F80BD8"/>
    <w:rsid w:val="00F8200E"/>
    <w:rsid w:val="00F84842"/>
    <w:rsid w:val="00F9020A"/>
    <w:rsid w:val="00F9187B"/>
    <w:rsid w:val="00F92385"/>
    <w:rsid w:val="00F939B8"/>
    <w:rsid w:val="00F93A3A"/>
    <w:rsid w:val="00F94ADA"/>
    <w:rsid w:val="00F9652A"/>
    <w:rsid w:val="00FA1B4F"/>
    <w:rsid w:val="00FA1C46"/>
    <w:rsid w:val="00FA40DB"/>
    <w:rsid w:val="00FB0323"/>
    <w:rsid w:val="00FB1036"/>
    <w:rsid w:val="00FB4C5E"/>
    <w:rsid w:val="00FB79A8"/>
    <w:rsid w:val="00FC1CA8"/>
    <w:rsid w:val="00FC47F9"/>
    <w:rsid w:val="00FD275C"/>
    <w:rsid w:val="00FD2BE0"/>
    <w:rsid w:val="00FD5971"/>
    <w:rsid w:val="00FD7DD4"/>
    <w:rsid w:val="00FE2351"/>
    <w:rsid w:val="00FE337D"/>
    <w:rsid w:val="00FE46CA"/>
    <w:rsid w:val="00FE5580"/>
    <w:rsid w:val="00FE7D55"/>
    <w:rsid w:val="00FF110C"/>
    <w:rsid w:val="00FF11D8"/>
    <w:rsid w:val="05105341"/>
    <w:rsid w:val="052B9B50"/>
    <w:rsid w:val="47B733BA"/>
    <w:rsid w:val="4E9B7D53"/>
    <w:rsid w:val="57D1E4F1"/>
    <w:rsid w:val="7EE277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00B81"/>
  <w15:chartTrackingRefBased/>
  <w15:docId w15:val="{BF4950AE-F742-4573-963E-F8376C8A7728}"/>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67A26"/>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left="720"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3020A4"/>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 Char,TBG Style Char Char Char,Footnote Text Char2,Footnote Text Char1,TBG Style Char Char,Footnote Text Char3 Char,Footnote Text Char Char Char,Footnote Text Char1 Char Char Char,Footnote Text Char3,fn,Footnote Text Cha"/>
    <w:basedOn w:val="Normal"/>
    <w:link w:val="FootnoteTextChar"/>
    <w:rsid w:val="00B01F7E"/>
    <w:pPr>
      <w:spacing w:after="120" w:line="240" w:lineRule="auto"/>
      <w:ind w:firstLine="0"/>
    </w:pPr>
    <w:rPr>
      <w:sz w:val="22"/>
      <w:szCs w:val="20"/>
    </w:rPr>
  </w:style>
  <w:style w:type="character" w:customStyle="1" w:styleId="FootnoteTextChar">
    <w:name w:val="Footnote Text Char"/>
    <w:aliases w:val="Footnote Text Char1 Char Char,TBG Style Char Char Char Char,Footnote Text Char2 Char,Footnote Text Char1 Char1,TBG Style Char Char Char1,Footnote Text Char3 Char Char,Footnote Text Char Char Char Char,Footnote Text Char3 Char1,fn Char"/>
    <w:basedOn w:val="DefaultParagraphFont"/>
    <w:link w:val="FootnoteText"/>
    <w:rsid w:val="007657C1"/>
    <w:rPr>
      <w:rFonts w:ascii="Book Antiqua" w:hAnsi="Book Antiqua"/>
      <w:szCs w:val="20"/>
    </w:rPr>
  </w:style>
  <w:style w:type="character" w:styleId="FootnoteReference">
    <w:name w:val="footnote reference"/>
    <w:aliases w:val="o,fr,o1,o2,o3,o4,o5,o6,o11,o21,o7,Style 12,(NECG) Footnote Reference,Appel note de bas de p,Style 124,o + Times New Roman,Style 3,Style 17,Style 20,Style 13,fr1,fr2,fr3,Style 58,FR,Footnote Reference/,Style 6,Footnote,Style 8"/>
    <w:basedOn w:val="DefaultParagraphFont"/>
    <w:unhideWhenUsed/>
    <w:qFormat/>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link w:val="StandardChar"/>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paragraph" w:styleId="Revision">
    <w:name w:val="Revision"/>
    <w:hidden/>
    <w:uiPriority w:val="99"/>
    <w:semiHidden/>
    <w:rsid w:val="00092A69"/>
    <w:pPr>
      <w:spacing w:after="0" w:line="240" w:lineRule="auto"/>
    </w:pPr>
    <w:rPr>
      <w:rFonts w:ascii="Book Antiqua" w:hAnsi="Book Antiqua"/>
      <w:sz w:val="26"/>
    </w:rPr>
  </w:style>
  <w:style w:type="character" w:styleId="CommentReference">
    <w:name w:val="annotation reference"/>
    <w:semiHidden/>
    <w:rsid w:val="00092A69"/>
    <w:rPr>
      <w:sz w:val="16"/>
      <w:szCs w:val="16"/>
    </w:rPr>
  </w:style>
  <w:style w:type="paragraph" w:styleId="CommentText">
    <w:name w:val="annotation text"/>
    <w:basedOn w:val="Normal"/>
    <w:link w:val="CommentTextChar"/>
    <w:semiHidden/>
    <w:rsid w:val="00092A69"/>
    <w:pPr>
      <w:spacing w:line="240" w:lineRule="auto"/>
      <w:ind w:firstLine="0"/>
    </w:pPr>
    <w:rPr>
      <w:rFonts w:ascii="Palatino" w:eastAsia="Times New Roman" w:hAnsi="Palatino" w:cs="Times New Roman"/>
      <w:sz w:val="20"/>
      <w:szCs w:val="20"/>
    </w:rPr>
  </w:style>
  <w:style w:type="character" w:customStyle="1" w:styleId="CommentTextChar">
    <w:name w:val="Comment Text Char"/>
    <w:basedOn w:val="DefaultParagraphFont"/>
    <w:link w:val="CommentText"/>
    <w:semiHidden/>
    <w:rsid w:val="00092A69"/>
    <w:rPr>
      <w:rFonts w:ascii="Palatino" w:eastAsia="Times New Roman" w:hAnsi="Palatino" w:cs="Times New Roman"/>
      <w:sz w:val="20"/>
      <w:szCs w:val="20"/>
    </w:rPr>
  </w:style>
  <w:style w:type="paragraph" w:customStyle="1" w:styleId="standard0">
    <w:name w:val="standard"/>
    <w:basedOn w:val="Normal"/>
    <w:link w:val="standardChar0"/>
    <w:rsid w:val="00092A69"/>
    <w:rPr>
      <w:rFonts w:ascii="Palatino" w:eastAsia="Times New Roman" w:hAnsi="Palatino" w:cs="Times New Roman"/>
      <w:szCs w:val="20"/>
    </w:rPr>
  </w:style>
  <w:style w:type="character" w:customStyle="1" w:styleId="standardChar0">
    <w:name w:val="standard Char"/>
    <w:link w:val="standard0"/>
    <w:rsid w:val="00092A69"/>
    <w:rPr>
      <w:rFonts w:ascii="Palatino" w:eastAsia="Times New Roman" w:hAnsi="Palatino" w:cs="Times New Roman"/>
      <w:sz w:val="26"/>
      <w:szCs w:val="20"/>
    </w:rPr>
  </w:style>
  <w:style w:type="paragraph" w:customStyle="1" w:styleId="ALJFootnote">
    <w:name w:val="ALJ Footnote"/>
    <w:basedOn w:val="FootnoteText"/>
    <w:link w:val="ALJFootnoteChar"/>
    <w:qFormat/>
    <w:rsid w:val="00092A69"/>
    <w:rPr>
      <w:rFonts w:cs="Times New Roman"/>
      <w:szCs w:val="24"/>
    </w:rPr>
  </w:style>
  <w:style w:type="character" w:customStyle="1" w:styleId="ALJFootnoteChar">
    <w:name w:val="ALJ Footnote Char"/>
    <w:basedOn w:val="DefaultParagraphFont"/>
    <w:link w:val="ALJFootnote"/>
    <w:rsid w:val="00092A69"/>
    <w:rPr>
      <w:rFonts w:ascii="Book Antiqua" w:hAnsi="Book Antiqua" w:cs="Times New Roman"/>
      <w:szCs w:val="24"/>
    </w:rPr>
  </w:style>
  <w:style w:type="paragraph" w:customStyle="1" w:styleId="Style5">
    <w:name w:val="Style5"/>
    <w:basedOn w:val="Normal"/>
    <w:autoRedefine/>
    <w:rsid w:val="00362C67"/>
    <w:pPr>
      <w:spacing w:line="240" w:lineRule="auto"/>
      <w:ind w:left="1080" w:firstLine="540"/>
      <w:outlineLvl w:val="0"/>
    </w:pPr>
    <w:rPr>
      <w:rFonts w:ascii="Palatino" w:eastAsia="Times New Roman" w:hAnsi="Palatino" w:cs="Times New Roman"/>
      <w:color w:val="0000FF"/>
      <w:szCs w:val="20"/>
    </w:rPr>
  </w:style>
  <w:style w:type="character" w:customStyle="1" w:styleId="normaltextrun">
    <w:name w:val="normaltextrun"/>
    <w:basedOn w:val="DefaultParagraphFont"/>
    <w:rsid w:val="00362C67"/>
  </w:style>
  <w:style w:type="character" w:styleId="PageNumber">
    <w:name w:val="page number"/>
    <w:basedOn w:val="DefaultParagraphFont"/>
    <w:rsid w:val="00362C67"/>
  </w:style>
  <w:style w:type="character" w:customStyle="1" w:styleId="FootnoteReferencebyTim">
    <w:name w:val="Footnote Reference by Tim"/>
    <w:rsid w:val="00362C67"/>
    <w:rPr>
      <w:rFonts w:ascii="Palatino" w:hAnsi="Palatino"/>
      <w:dstrike w:val="0"/>
      <w:color w:val="000000"/>
      <w:position w:val="2"/>
      <w:sz w:val="22"/>
      <w:szCs w:val="22"/>
      <w:vertAlign w:val="superscript"/>
    </w:rPr>
  </w:style>
  <w:style w:type="paragraph" w:styleId="ListParagraph">
    <w:name w:val="List Paragraph"/>
    <w:basedOn w:val="Normal"/>
    <w:uiPriority w:val="34"/>
    <w:qFormat/>
    <w:rsid w:val="008845EF"/>
    <w:pPr>
      <w:spacing w:line="240" w:lineRule="auto"/>
      <w:ind w:left="720" w:firstLine="0"/>
      <w:contextualSpacing/>
    </w:pPr>
    <w:rPr>
      <w:rFonts w:ascii="Palatino" w:eastAsia="Times New Roman" w:hAnsi="Palatino" w:cs="Times New Roman"/>
      <w:szCs w:val="20"/>
    </w:rPr>
  </w:style>
  <w:style w:type="paragraph" w:customStyle="1" w:styleId="main0">
    <w:name w:val="main"/>
    <w:basedOn w:val="Normal"/>
    <w:link w:val="mainChar"/>
    <w:rsid w:val="006F135C"/>
    <w:pPr>
      <w:spacing w:line="240" w:lineRule="auto"/>
      <w:ind w:firstLine="0"/>
      <w:jc w:val="center"/>
    </w:pPr>
    <w:rPr>
      <w:rFonts w:ascii="Helvetica" w:eastAsia="Times New Roman" w:hAnsi="Helvetica" w:cs="Times New Roman"/>
      <w:b/>
      <w:szCs w:val="20"/>
    </w:rPr>
  </w:style>
  <w:style w:type="paragraph" w:customStyle="1" w:styleId="num1">
    <w:name w:val="num1"/>
    <w:basedOn w:val="Normal"/>
    <w:link w:val="num1Char"/>
    <w:rsid w:val="006F135C"/>
    <w:pPr>
      <w:tabs>
        <w:tab w:val="left" w:pos="-720"/>
      </w:tabs>
      <w:suppressAutoHyphens/>
      <w:ind w:firstLine="360"/>
    </w:pPr>
    <w:rPr>
      <w:rFonts w:ascii="Palatino" w:eastAsia="Times New Roman" w:hAnsi="Palatino" w:cs="Times New Roman"/>
      <w:szCs w:val="20"/>
    </w:rPr>
  </w:style>
  <w:style w:type="character" w:customStyle="1" w:styleId="num1Char">
    <w:name w:val="num1 Char"/>
    <w:link w:val="num1"/>
    <w:rsid w:val="006F135C"/>
    <w:rPr>
      <w:rFonts w:ascii="Palatino" w:eastAsia="Times New Roman" w:hAnsi="Palatino" w:cs="Times New Roman"/>
      <w:sz w:val="26"/>
      <w:szCs w:val="20"/>
    </w:rPr>
  </w:style>
  <w:style w:type="character" w:customStyle="1" w:styleId="mainChar">
    <w:name w:val="main Char"/>
    <w:link w:val="main0"/>
    <w:rsid w:val="006F135C"/>
    <w:rPr>
      <w:rFonts w:ascii="Helvetica" w:eastAsia="Times New Roman" w:hAnsi="Helvetica" w:cs="Times New Roman"/>
      <w:b/>
      <w:sz w:val="26"/>
      <w:szCs w:val="20"/>
    </w:rPr>
  </w:style>
  <w:style w:type="paragraph" w:customStyle="1" w:styleId="bullets">
    <w:name w:val="bullets"/>
    <w:basedOn w:val="standard0"/>
    <w:rsid w:val="006F135C"/>
    <w:pPr>
      <w:numPr>
        <w:numId w:val="29"/>
      </w:numPr>
      <w:spacing w:after="120" w:line="240" w:lineRule="auto"/>
    </w:pPr>
    <w:rPr>
      <w:bCs/>
    </w:rPr>
  </w:style>
  <w:style w:type="paragraph" w:customStyle="1" w:styleId="num2">
    <w:name w:val="num2"/>
    <w:basedOn w:val="num1"/>
    <w:rsid w:val="004078BB"/>
    <w:pPr>
      <w:ind w:firstLine="270"/>
    </w:pPr>
  </w:style>
  <w:style w:type="paragraph" w:customStyle="1" w:styleId="Style1">
    <w:name w:val="Style1"/>
    <w:basedOn w:val="Heading1"/>
    <w:autoRedefine/>
    <w:rsid w:val="004078BB"/>
    <w:pPr>
      <w:keepNext w:val="0"/>
      <w:keepLines w:val="0"/>
      <w:numPr>
        <w:numId w:val="31"/>
      </w:numPr>
      <w:spacing w:before="120"/>
      <w:ind w:right="0"/>
    </w:pPr>
    <w:rPr>
      <w:rFonts w:ascii="Helvetica" w:eastAsia="Times New Roman" w:hAnsi="Helvetica" w:cs="Times New Roman"/>
      <w:szCs w:val="20"/>
    </w:rPr>
  </w:style>
  <w:style w:type="character" w:styleId="UnresolvedMention">
    <w:name w:val="Unresolved Mention"/>
    <w:basedOn w:val="DefaultParagraphFont"/>
    <w:uiPriority w:val="99"/>
    <w:semiHidden/>
    <w:unhideWhenUsed/>
    <w:rsid w:val="00B9439A"/>
    <w:rPr>
      <w:color w:val="605E5C"/>
      <w:shd w:val="clear" w:color="auto" w:fill="E1DFDD"/>
    </w:rPr>
  </w:style>
  <w:style w:type="character" w:styleId="LineNumber">
    <w:name w:val="line number"/>
    <w:basedOn w:val="DefaultParagraphFont"/>
    <w:uiPriority w:val="99"/>
    <w:semiHidden/>
    <w:unhideWhenUsed/>
    <w:rsid w:val="002331B2"/>
  </w:style>
  <w:style w:type="character" w:customStyle="1" w:styleId="StandardChar">
    <w:name w:val="Standard Char"/>
    <w:basedOn w:val="DefaultParagraphFont"/>
    <w:link w:val="Standard"/>
    <w:rsid w:val="00C110E6"/>
    <w:rPr>
      <w:rFonts w:ascii="Book Antiqua" w:hAnsi="Book Antiqua"/>
      <w:sz w:val="26"/>
    </w:rPr>
  </w:style>
  <w:style w:type="paragraph" w:styleId="CommentSubject">
    <w:name w:val="annotation subject"/>
    <w:basedOn w:val="CommentText"/>
    <w:next w:val="CommentText"/>
    <w:link w:val="CommentSubjectChar"/>
    <w:uiPriority w:val="99"/>
    <w:semiHidden/>
    <w:unhideWhenUsed/>
    <w:rsid w:val="00D70CE1"/>
    <w:pPr>
      <w:ind w:firstLine="720"/>
    </w:pPr>
    <w:rPr>
      <w:rFonts w:ascii="Book Antiqua" w:eastAsiaTheme="minorHAnsi" w:hAnsi="Book Antiqua" w:cstheme="minorBidi"/>
      <w:b/>
      <w:bCs/>
    </w:rPr>
  </w:style>
  <w:style w:type="character" w:customStyle="1" w:styleId="CommentSubjectChar">
    <w:name w:val="Comment Subject Char"/>
    <w:basedOn w:val="CommentTextChar"/>
    <w:link w:val="CommentSubject"/>
    <w:uiPriority w:val="99"/>
    <w:semiHidden/>
    <w:rsid w:val="00D70CE1"/>
    <w:rPr>
      <w:rFonts w:ascii="Book Antiqua" w:eastAsia="Times New Roman" w:hAnsi="Book Antiqu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cdcompliance@cpuc.ca.gov" TargetMode="External"/><Relationship Id="rId26" Type="http://schemas.openxmlformats.org/officeDocument/2006/relationships/header" Target="header5.xml"/><Relationship Id="rId39" Type="http://schemas.openxmlformats.org/officeDocument/2006/relationships/hyperlink" Target="https://www.cpuc.ca.gov/industries-and-topics/internet-and-phone/carrier-reporting-requirements/performance-bond-requirements" TargetMode="External"/><Relationship Id="rId21" Type="http://schemas.openxmlformats.org/officeDocument/2006/relationships/hyperlink" Target="mailto:cdcompliance@cpuc.ca.gov" TargetMode="External"/><Relationship Id="rId34" Type="http://schemas.openxmlformats.org/officeDocument/2006/relationships/hyperlink" Target="mailto:userfees@cpuc.ca.gov" TargetMode="External"/><Relationship Id="rId42" Type="http://schemas.openxmlformats.org/officeDocument/2006/relationships/footer" Target="footer9.xml"/><Relationship Id="rId47" Type="http://schemas.openxmlformats.org/officeDocument/2006/relationships/footer" Target="footer11.xml"/><Relationship Id="rId50" Type="http://schemas.openxmlformats.org/officeDocument/2006/relationships/hyperlink" Target="mailto:cdcompliance@cpuca.ca.gov"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7.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hyperlink" Target="mailto:Telcosurcharge@cpuc.ca.gov" TargetMode="External"/><Relationship Id="rId37" Type="http://schemas.openxmlformats.org/officeDocument/2006/relationships/hyperlink" Target="mailto:cdcompliance@cpuc.ca.gov" TargetMode="External"/><Relationship Id="rId40" Type="http://schemas.openxmlformats.org/officeDocument/2006/relationships/hyperlink" Target="mailto:cdcompliance@cpuc.ca.gov" TargetMode="External"/><Relationship Id="rId45" Type="http://schemas.openxmlformats.org/officeDocument/2006/relationships/hyperlink" Target="mailto:cdcompliance@cpuc.ca.gov"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cdcompliance@cpuc.ca.gov" TargetMode="External"/><Relationship Id="rId31" Type="http://schemas.openxmlformats.org/officeDocument/2006/relationships/hyperlink" Target="https://www.cpuc.ca.gov/industries-and-topics/internet-and-phone/telecommunications-surcharges-and-user-fees" TargetMode="External"/><Relationship Id="rId44" Type="http://schemas.openxmlformats.org/officeDocument/2006/relationships/hyperlink" Target="https://www.cpuc.ca.gov/industries-and-topics/internet-and-phone/carrier-reporting-requirements/annual-report-forms" TargetMode="External"/><Relationship Id="rId52"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cdcompliance@cpuc.ca.gov" TargetMode="External"/><Relationship Id="rId27" Type="http://schemas.openxmlformats.org/officeDocument/2006/relationships/footer" Target="footer5.xml"/><Relationship Id="rId30" Type="http://schemas.openxmlformats.org/officeDocument/2006/relationships/hyperlink" Target="https://www.cpuc.ca.gov/industries-and-topics/internet-and-phone/telecommunications-surcharges-and-user-fees" TargetMode="External"/><Relationship Id="rId35" Type="http://schemas.openxmlformats.org/officeDocument/2006/relationships/hyperlink" Target="mailto:userfees@cpuc.ca.gov" TargetMode="External"/><Relationship Id="rId43" Type="http://schemas.openxmlformats.org/officeDocument/2006/relationships/hyperlink" Target="mailto:cdcompliance@cpuc.ca.gov" TargetMode="External"/><Relationship Id="rId48" Type="http://schemas.openxmlformats.org/officeDocument/2006/relationships/hyperlink" Target="mailto:cdcompliance@cpuc.ca.gov" TargetMode="External"/><Relationship Id="rId8" Type="http://schemas.openxmlformats.org/officeDocument/2006/relationships/webSettings" Target="webSettings.xml"/><Relationship Id="rId51" Type="http://schemas.openxmlformats.org/officeDocument/2006/relationships/header" Target="header6.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cdcompliance@cpuc.ca.gov" TargetMode="External"/><Relationship Id="rId25" Type="http://schemas.openxmlformats.org/officeDocument/2006/relationships/footer" Target="footer4.xml"/><Relationship Id="rId33" Type="http://schemas.openxmlformats.org/officeDocument/2006/relationships/hyperlink" Target="https://www.cpuc.ca.gov/industries-and-topics/internet-and-phone/telecommunications-surcharges-and-user-fees/surcharge-rates" TargetMode="External"/><Relationship Id="rId38" Type="http://schemas.openxmlformats.org/officeDocument/2006/relationships/hyperlink" Target="https://www.cpuc.ca.gov/industries-and-topics/internet-and-phone/carrier-reporting-requirements/tariff-filing-requirements" TargetMode="External"/><Relationship Id="rId46" Type="http://schemas.openxmlformats.org/officeDocument/2006/relationships/footer" Target="footer10.xml"/><Relationship Id="rId20" Type="http://schemas.openxmlformats.org/officeDocument/2006/relationships/hyperlink" Target="mailto:cdcompliance@cpuc.ca.gov" TargetMode="External"/><Relationship Id="rId41" Type="http://schemas.openxmlformats.org/officeDocument/2006/relationships/footer" Target="footer8.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mailto:cdcompliance@cpuc.ca.gov" TargetMode="External"/><Relationship Id="rId28" Type="http://schemas.openxmlformats.org/officeDocument/2006/relationships/footer" Target="footer6.xml"/><Relationship Id="rId36" Type="http://schemas.openxmlformats.org/officeDocument/2006/relationships/hyperlink" Target="https://www.cpuc.ca.gov/industries-and-topics/internet-and-phone/telecommunications-surcharges-and-user-fees/user-fee-rates" TargetMode="External"/><Relationship Id="rId49" Type="http://schemas.openxmlformats.org/officeDocument/2006/relationships/hyperlink" Target="https://www.cpuc.ca.gov/industries-and-topics/internet-and-phone/carrier-reporting-requirements/annual-report-form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puc.ca.gov/-/media/cpuc-website/divisions/communications-division/documents/licensing-compliance/annual-reporting-requirements/annual-affiliate-transaction-report-form_.pdf" TargetMode="External"/><Relationship Id="rId1" Type="http://schemas.openxmlformats.org/officeDocument/2006/relationships/hyperlink" Target="https://www.cpuc.ca.gov/-/media/cpuc-website/divisions/communications-division/documents/licensing-compliance/annual-reporting-requirements/aropf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ContentTagLIst xmlns="ef7e321c-44a6-4cb5-81f0-0bfd95ece25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079FFE-0A8C-409C-9D2A-DF55C28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3.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customXml/itemProps4.xml><?xml version="1.0" encoding="utf-8"?>
<ds:datastoreItem xmlns:ds="http://schemas.openxmlformats.org/officeDocument/2006/customXml" ds:itemID="{B930DE7C-9577-4EA8-AC89-8E2B6CC952CB}">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42</ap:Pages>
  <ap:Words>8630</ap:Words>
  <ap:Characters>49193</ap:Characters>
  <ap:Application>Microsoft Office Word</ap:Application>
  <ap:DocSecurity>0</ap:DocSecurity>
  <ap:Lines>409</ap:Lines>
  <ap:Paragraphs>115</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57708</ap:CharactersWithSpaces>
  <ap:SharedDoc>false</ap:SharedDoc>
  <ap:HLinks>
    <vt:vector baseType="variant" size="318">
      <vt:variant>
        <vt:i4>7077894</vt:i4>
      </vt:variant>
      <vt:variant>
        <vt:i4>213</vt:i4>
      </vt:variant>
      <vt:variant>
        <vt:i4>0</vt:i4>
      </vt:variant>
      <vt:variant>
        <vt:i4>5</vt:i4>
      </vt:variant>
      <vt:variant>
        <vt:lpwstr>mailto:cdcompliance@cpuca.ca.gov</vt:lpwstr>
      </vt:variant>
      <vt:variant>
        <vt:lpwstr/>
      </vt:variant>
      <vt:variant>
        <vt:i4>7143530</vt:i4>
      </vt:variant>
      <vt:variant>
        <vt:i4>210</vt:i4>
      </vt:variant>
      <vt:variant>
        <vt:i4>0</vt:i4>
      </vt:variant>
      <vt:variant>
        <vt:i4>5</vt:i4>
      </vt:variant>
      <vt:variant>
        <vt:lpwstr>https://www.cpuc.ca.gov/industries-and-topics/internet-and-phone/carrier-reporting-requirements/annual-report-forms</vt:lpwstr>
      </vt:variant>
      <vt:variant>
        <vt:lpwstr/>
      </vt:variant>
      <vt:variant>
        <vt:i4>1048685</vt:i4>
      </vt:variant>
      <vt:variant>
        <vt:i4>207</vt:i4>
      </vt:variant>
      <vt:variant>
        <vt:i4>0</vt:i4>
      </vt:variant>
      <vt:variant>
        <vt:i4>5</vt:i4>
      </vt:variant>
      <vt:variant>
        <vt:lpwstr>mailto:cdcompliance@cpuc.ca.gov</vt:lpwstr>
      </vt:variant>
      <vt:variant>
        <vt:lpwstr/>
      </vt:variant>
      <vt:variant>
        <vt:i4>1048685</vt:i4>
      </vt:variant>
      <vt:variant>
        <vt:i4>204</vt:i4>
      </vt:variant>
      <vt:variant>
        <vt:i4>0</vt:i4>
      </vt:variant>
      <vt:variant>
        <vt:i4>5</vt:i4>
      </vt:variant>
      <vt:variant>
        <vt:lpwstr>mailto:cdcompliance@cpuc.ca.gov</vt:lpwstr>
      </vt:variant>
      <vt:variant>
        <vt:lpwstr/>
      </vt:variant>
      <vt:variant>
        <vt:i4>7143530</vt:i4>
      </vt:variant>
      <vt:variant>
        <vt:i4>201</vt:i4>
      </vt:variant>
      <vt:variant>
        <vt:i4>0</vt:i4>
      </vt:variant>
      <vt:variant>
        <vt:i4>5</vt:i4>
      </vt:variant>
      <vt:variant>
        <vt:lpwstr>https://www.cpuc.ca.gov/industries-and-topics/internet-and-phone/carrier-reporting-requirements/annual-report-forms</vt:lpwstr>
      </vt:variant>
      <vt:variant>
        <vt:lpwstr/>
      </vt:variant>
      <vt:variant>
        <vt:i4>1048685</vt:i4>
      </vt:variant>
      <vt:variant>
        <vt:i4>198</vt:i4>
      </vt:variant>
      <vt:variant>
        <vt:i4>0</vt:i4>
      </vt:variant>
      <vt:variant>
        <vt:i4>5</vt:i4>
      </vt:variant>
      <vt:variant>
        <vt:lpwstr>mailto:cdcompliance@cpuc.ca.gov</vt:lpwstr>
      </vt:variant>
      <vt:variant>
        <vt:lpwstr/>
      </vt:variant>
      <vt:variant>
        <vt:i4>1048685</vt:i4>
      </vt:variant>
      <vt:variant>
        <vt:i4>195</vt:i4>
      </vt:variant>
      <vt:variant>
        <vt:i4>0</vt:i4>
      </vt:variant>
      <vt:variant>
        <vt:i4>5</vt:i4>
      </vt:variant>
      <vt:variant>
        <vt:lpwstr>mailto:cdcompliance@cpuc.ca.gov</vt:lpwstr>
      </vt:variant>
      <vt:variant>
        <vt:lpwstr/>
      </vt:variant>
      <vt:variant>
        <vt:i4>917512</vt:i4>
      </vt:variant>
      <vt:variant>
        <vt:i4>192</vt:i4>
      </vt:variant>
      <vt:variant>
        <vt:i4>0</vt:i4>
      </vt:variant>
      <vt:variant>
        <vt:i4>5</vt:i4>
      </vt:variant>
      <vt:variant>
        <vt:lpwstr>https://www.cpuc.ca.gov/industries-and-topics/internet-and-phone/carrier-reporting-requirements/performance-bond-requirements</vt:lpwstr>
      </vt:variant>
      <vt:variant>
        <vt:lpwstr/>
      </vt:variant>
      <vt:variant>
        <vt:i4>917512</vt:i4>
      </vt:variant>
      <vt:variant>
        <vt:i4>189</vt:i4>
      </vt:variant>
      <vt:variant>
        <vt:i4>0</vt:i4>
      </vt:variant>
      <vt:variant>
        <vt:i4>5</vt:i4>
      </vt:variant>
      <vt:variant>
        <vt:lpwstr>https://www.cpuc.ca.gov/industries-and-topics/internet-and-phone/carrier-reporting-requirements/performance-bond-requirements</vt:lpwstr>
      </vt:variant>
      <vt:variant>
        <vt:lpwstr/>
      </vt:variant>
      <vt:variant>
        <vt:i4>1048685</vt:i4>
      </vt:variant>
      <vt:variant>
        <vt:i4>186</vt:i4>
      </vt:variant>
      <vt:variant>
        <vt:i4>0</vt:i4>
      </vt:variant>
      <vt:variant>
        <vt:i4>5</vt:i4>
      </vt:variant>
      <vt:variant>
        <vt:lpwstr>mailto:cdcompliance@cpuc.ca.gov</vt:lpwstr>
      </vt:variant>
      <vt:variant>
        <vt:lpwstr/>
      </vt:variant>
      <vt:variant>
        <vt:i4>7077985</vt:i4>
      </vt:variant>
      <vt:variant>
        <vt:i4>183</vt:i4>
      </vt:variant>
      <vt:variant>
        <vt:i4>0</vt:i4>
      </vt:variant>
      <vt:variant>
        <vt:i4>5</vt:i4>
      </vt:variant>
      <vt:variant>
        <vt:lpwstr>mailto:TD._PAL@cpuc.ca.gov</vt:lpwstr>
      </vt:variant>
      <vt:variant>
        <vt:lpwstr/>
      </vt:variant>
      <vt:variant>
        <vt:i4>7340151</vt:i4>
      </vt:variant>
      <vt:variant>
        <vt:i4>180</vt:i4>
      </vt:variant>
      <vt:variant>
        <vt:i4>0</vt:i4>
      </vt:variant>
      <vt:variant>
        <vt:i4>5</vt:i4>
      </vt:variant>
      <vt:variant>
        <vt:lpwstr>https://www.cpuc.ca.gov/industries-and-topics/internet-and-phone/carrier-reporting-requirements/tariff-filing-requirements</vt:lpwstr>
      </vt:variant>
      <vt:variant>
        <vt:lpwstr/>
      </vt:variant>
      <vt:variant>
        <vt:i4>1048685</vt:i4>
      </vt:variant>
      <vt:variant>
        <vt:i4>177</vt:i4>
      </vt:variant>
      <vt:variant>
        <vt:i4>0</vt:i4>
      </vt:variant>
      <vt:variant>
        <vt:i4>5</vt:i4>
      </vt:variant>
      <vt:variant>
        <vt:lpwstr>mailto:cdcompliance@cpuc.ca.gov</vt:lpwstr>
      </vt:variant>
      <vt:variant>
        <vt:lpwstr/>
      </vt:variant>
      <vt:variant>
        <vt:i4>8192105</vt:i4>
      </vt:variant>
      <vt:variant>
        <vt:i4>174</vt:i4>
      </vt:variant>
      <vt:variant>
        <vt:i4>0</vt:i4>
      </vt:variant>
      <vt:variant>
        <vt:i4>5</vt:i4>
      </vt:variant>
      <vt:variant>
        <vt:lpwstr>https://www.cpuc.ca.gov/industries-and-topics/internet-and-phone/telecommunications-surcharges-and-user-fees/user-fee-rates</vt:lpwstr>
      </vt:variant>
      <vt:variant>
        <vt:lpwstr/>
      </vt:variant>
      <vt:variant>
        <vt:i4>99</vt:i4>
      </vt:variant>
      <vt:variant>
        <vt:i4>171</vt:i4>
      </vt:variant>
      <vt:variant>
        <vt:i4>0</vt:i4>
      </vt:variant>
      <vt:variant>
        <vt:i4>5</vt:i4>
      </vt:variant>
      <vt:variant>
        <vt:lpwstr>mailto:userfees@cpuc.ca.gov</vt:lpwstr>
      </vt:variant>
      <vt:variant>
        <vt:lpwstr/>
      </vt:variant>
      <vt:variant>
        <vt:i4>99</vt:i4>
      </vt:variant>
      <vt:variant>
        <vt:i4>168</vt:i4>
      </vt:variant>
      <vt:variant>
        <vt:i4>0</vt:i4>
      </vt:variant>
      <vt:variant>
        <vt:i4>5</vt:i4>
      </vt:variant>
      <vt:variant>
        <vt:lpwstr>mailto:userfees@cpuc.ca.gov</vt:lpwstr>
      </vt:variant>
      <vt:variant>
        <vt:lpwstr/>
      </vt:variant>
      <vt:variant>
        <vt:i4>458836</vt:i4>
      </vt:variant>
      <vt:variant>
        <vt:i4>165</vt:i4>
      </vt:variant>
      <vt:variant>
        <vt:i4>0</vt:i4>
      </vt:variant>
      <vt:variant>
        <vt:i4>5</vt:i4>
      </vt:variant>
      <vt:variant>
        <vt:lpwstr>https://www.cpuc.ca.gov/industries-and-topics/internet-and-phone/telecommunications-surcharges-and-user-fees/surcharge-rates</vt:lpwstr>
      </vt:variant>
      <vt:variant>
        <vt:lpwstr/>
      </vt:variant>
      <vt:variant>
        <vt:i4>7602188</vt:i4>
      </vt:variant>
      <vt:variant>
        <vt:i4>162</vt:i4>
      </vt:variant>
      <vt:variant>
        <vt:i4>0</vt:i4>
      </vt:variant>
      <vt:variant>
        <vt:i4>5</vt:i4>
      </vt:variant>
      <vt:variant>
        <vt:lpwstr>mailto:Telcosurcharge@cpuc.ca.gov</vt:lpwstr>
      </vt:variant>
      <vt:variant>
        <vt:lpwstr/>
      </vt:variant>
      <vt:variant>
        <vt:i4>786498</vt:i4>
      </vt:variant>
      <vt:variant>
        <vt:i4>159</vt:i4>
      </vt:variant>
      <vt:variant>
        <vt:i4>0</vt:i4>
      </vt:variant>
      <vt:variant>
        <vt:i4>5</vt:i4>
      </vt:variant>
      <vt:variant>
        <vt:lpwstr>https://www.cpuc.ca.gov/industries-and-topics/internet-and-phone/telecommunications-surcharges-and-user-fees</vt:lpwstr>
      </vt:variant>
      <vt:variant>
        <vt:lpwstr/>
      </vt:variant>
      <vt:variant>
        <vt:i4>786498</vt:i4>
      </vt:variant>
      <vt:variant>
        <vt:i4>156</vt:i4>
      </vt:variant>
      <vt:variant>
        <vt:i4>0</vt:i4>
      </vt:variant>
      <vt:variant>
        <vt:i4>5</vt:i4>
      </vt:variant>
      <vt:variant>
        <vt:lpwstr>https://www.cpuc.ca.gov/industries-and-topics/internet-and-phone/telecommunications-surcharges-and-user-fees</vt:lpwstr>
      </vt:variant>
      <vt:variant>
        <vt:lpwstr/>
      </vt:variant>
      <vt:variant>
        <vt:i4>1048685</vt:i4>
      </vt:variant>
      <vt:variant>
        <vt:i4>150</vt:i4>
      </vt:variant>
      <vt:variant>
        <vt:i4>0</vt:i4>
      </vt:variant>
      <vt:variant>
        <vt:i4>5</vt:i4>
      </vt:variant>
      <vt:variant>
        <vt:lpwstr>mailto:cdcompliance@cpuc.ca.gov</vt:lpwstr>
      </vt:variant>
      <vt:variant>
        <vt:lpwstr/>
      </vt:variant>
      <vt:variant>
        <vt:i4>1048685</vt:i4>
      </vt:variant>
      <vt:variant>
        <vt:i4>147</vt:i4>
      </vt:variant>
      <vt:variant>
        <vt:i4>0</vt:i4>
      </vt:variant>
      <vt:variant>
        <vt:i4>5</vt:i4>
      </vt:variant>
      <vt:variant>
        <vt:lpwstr>mailto:cdcompliance@cpuc.ca.gov</vt:lpwstr>
      </vt:variant>
      <vt:variant>
        <vt:lpwstr/>
      </vt:variant>
      <vt:variant>
        <vt:i4>1048685</vt:i4>
      </vt:variant>
      <vt:variant>
        <vt:i4>141</vt:i4>
      </vt:variant>
      <vt:variant>
        <vt:i4>0</vt:i4>
      </vt:variant>
      <vt:variant>
        <vt:i4>5</vt:i4>
      </vt:variant>
      <vt:variant>
        <vt:lpwstr>mailto:cdcompliance@cpuc.ca.gov</vt:lpwstr>
      </vt:variant>
      <vt:variant>
        <vt:lpwstr/>
      </vt:variant>
      <vt:variant>
        <vt:i4>1048685</vt:i4>
      </vt:variant>
      <vt:variant>
        <vt:i4>138</vt:i4>
      </vt:variant>
      <vt:variant>
        <vt:i4>0</vt:i4>
      </vt:variant>
      <vt:variant>
        <vt:i4>5</vt:i4>
      </vt:variant>
      <vt:variant>
        <vt:lpwstr>mailto:cdcompliance@cpuc.ca.gov</vt:lpwstr>
      </vt:variant>
      <vt:variant>
        <vt:lpwstr/>
      </vt:variant>
      <vt:variant>
        <vt:i4>1048685</vt:i4>
      </vt:variant>
      <vt:variant>
        <vt:i4>135</vt:i4>
      </vt:variant>
      <vt:variant>
        <vt:i4>0</vt:i4>
      </vt:variant>
      <vt:variant>
        <vt:i4>5</vt:i4>
      </vt:variant>
      <vt:variant>
        <vt:lpwstr>mailto:cdcompliance@cpuc.ca.gov</vt:lpwstr>
      </vt:variant>
      <vt:variant>
        <vt:lpwstr/>
      </vt:variant>
      <vt:variant>
        <vt:i4>1048685</vt:i4>
      </vt:variant>
      <vt:variant>
        <vt:i4>132</vt:i4>
      </vt:variant>
      <vt:variant>
        <vt:i4>0</vt:i4>
      </vt:variant>
      <vt:variant>
        <vt:i4>5</vt:i4>
      </vt:variant>
      <vt:variant>
        <vt:lpwstr>mailto:cdcompliance@cpuc.ca.gov</vt:lpwstr>
      </vt:variant>
      <vt:variant>
        <vt:lpwstr/>
      </vt:variant>
      <vt:variant>
        <vt:i4>1048685</vt:i4>
      </vt:variant>
      <vt:variant>
        <vt:i4>129</vt:i4>
      </vt:variant>
      <vt:variant>
        <vt:i4>0</vt:i4>
      </vt:variant>
      <vt:variant>
        <vt:i4>5</vt:i4>
      </vt:variant>
      <vt:variant>
        <vt:lpwstr>mailto:cdcompliance@cpuc.ca.gov</vt:lpwstr>
      </vt:variant>
      <vt:variant>
        <vt:lpwstr/>
      </vt:variant>
      <vt:variant>
        <vt:i4>1114163</vt:i4>
      </vt:variant>
      <vt:variant>
        <vt:i4>122</vt:i4>
      </vt:variant>
      <vt:variant>
        <vt:i4>0</vt:i4>
      </vt:variant>
      <vt:variant>
        <vt:i4>5</vt:i4>
      </vt:variant>
      <vt:variant>
        <vt:lpwstr/>
      </vt:variant>
      <vt:variant>
        <vt:lpwstr>_Toc223955787</vt:lpwstr>
      </vt:variant>
      <vt:variant>
        <vt:i4>1114163</vt:i4>
      </vt:variant>
      <vt:variant>
        <vt:i4>116</vt:i4>
      </vt:variant>
      <vt:variant>
        <vt:i4>0</vt:i4>
      </vt:variant>
      <vt:variant>
        <vt:i4>5</vt:i4>
      </vt:variant>
      <vt:variant>
        <vt:lpwstr/>
      </vt:variant>
      <vt:variant>
        <vt:lpwstr>_Toc223955786</vt:lpwstr>
      </vt:variant>
      <vt:variant>
        <vt:i4>1114163</vt:i4>
      </vt:variant>
      <vt:variant>
        <vt:i4>110</vt:i4>
      </vt:variant>
      <vt:variant>
        <vt:i4>0</vt:i4>
      </vt:variant>
      <vt:variant>
        <vt:i4>5</vt:i4>
      </vt:variant>
      <vt:variant>
        <vt:lpwstr/>
      </vt:variant>
      <vt:variant>
        <vt:lpwstr>_Toc223955785</vt:lpwstr>
      </vt:variant>
      <vt:variant>
        <vt:i4>1114163</vt:i4>
      </vt:variant>
      <vt:variant>
        <vt:i4>104</vt:i4>
      </vt:variant>
      <vt:variant>
        <vt:i4>0</vt:i4>
      </vt:variant>
      <vt:variant>
        <vt:i4>5</vt:i4>
      </vt:variant>
      <vt:variant>
        <vt:lpwstr/>
      </vt:variant>
      <vt:variant>
        <vt:lpwstr>_Toc223955784</vt:lpwstr>
      </vt:variant>
      <vt:variant>
        <vt:i4>1114163</vt:i4>
      </vt:variant>
      <vt:variant>
        <vt:i4>98</vt:i4>
      </vt:variant>
      <vt:variant>
        <vt:i4>0</vt:i4>
      </vt:variant>
      <vt:variant>
        <vt:i4>5</vt:i4>
      </vt:variant>
      <vt:variant>
        <vt:lpwstr/>
      </vt:variant>
      <vt:variant>
        <vt:lpwstr>_Toc223955783</vt:lpwstr>
      </vt:variant>
      <vt:variant>
        <vt:i4>1114163</vt:i4>
      </vt:variant>
      <vt:variant>
        <vt:i4>92</vt:i4>
      </vt:variant>
      <vt:variant>
        <vt:i4>0</vt:i4>
      </vt:variant>
      <vt:variant>
        <vt:i4>5</vt:i4>
      </vt:variant>
      <vt:variant>
        <vt:lpwstr/>
      </vt:variant>
      <vt:variant>
        <vt:lpwstr>_Toc223955782</vt:lpwstr>
      </vt:variant>
      <vt:variant>
        <vt:i4>1114163</vt:i4>
      </vt:variant>
      <vt:variant>
        <vt:i4>86</vt:i4>
      </vt:variant>
      <vt:variant>
        <vt:i4>0</vt:i4>
      </vt:variant>
      <vt:variant>
        <vt:i4>5</vt:i4>
      </vt:variant>
      <vt:variant>
        <vt:lpwstr/>
      </vt:variant>
      <vt:variant>
        <vt:lpwstr>_Toc223955781</vt:lpwstr>
      </vt:variant>
      <vt:variant>
        <vt:i4>1114163</vt:i4>
      </vt:variant>
      <vt:variant>
        <vt:i4>80</vt:i4>
      </vt:variant>
      <vt:variant>
        <vt:i4>0</vt:i4>
      </vt:variant>
      <vt:variant>
        <vt:i4>5</vt:i4>
      </vt:variant>
      <vt:variant>
        <vt:lpwstr/>
      </vt:variant>
      <vt:variant>
        <vt:lpwstr>_Toc223955780</vt:lpwstr>
      </vt:variant>
      <vt:variant>
        <vt:i4>1966131</vt:i4>
      </vt:variant>
      <vt:variant>
        <vt:i4>74</vt:i4>
      </vt:variant>
      <vt:variant>
        <vt:i4>0</vt:i4>
      </vt:variant>
      <vt:variant>
        <vt:i4>5</vt:i4>
      </vt:variant>
      <vt:variant>
        <vt:lpwstr/>
      </vt:variant>
      <vt:variant>
        <vt:lpwstr>_Toc223955779</vt:lpwstr>
      </vt:variant>
      <vt:variant>
        <vt:i4>1966131</vt:i4>
      </vt:variant>
      <vt:variant>
        <vt:i4>68</vt:i4>
      </vt:variant>
      <vt:variant>
        <vt:i4>0</vt:i4>
      </vt:variant>
      <vt:variant>
        <vt:i4>5</vt:i4>
      </vt:variant>
      <vt:variant>
        <vt:lpwstr/>
      </vt:variant>
      <vt:variant>
        <vt:lpwstr>_Toc223955778</vt:lpwstr>
      </vt:variant>
      <vt:variant>
        <vt:i4>1966131</vt:i4>
      </vt:variant>
      <vt:variant>
        <vt:i4>62</vt:i4>
      </vt:variant>
      <vt:variant>
        <vt:i4>0</vt:i4>
      </vt:variant>
      <vt:variant>
        <vt:i4>5</vt:i4>
      </vt:variant>
      <vt:variant>
        <vt:lpwstr/>
      </vt:variant>
      <vt:variant>
        <vt:lpwstr>_Toc223955771</vt:lpwstr>
      </vt:variant>
      <vt:variant>
        <vt:i4>2031667</vt:i4>
      </vt:variant>
      <vt:variant>
        <vt:i4>56</vt:i4>
      </vt:variant>
      <vt:variant>
        <vt:i4>0</vt:i4>
      </vt:variant>
      <vt:variant>
        <vt:i4>5</vt:i4>
      </vt:variant>
      <vt:variant>
        <vt:lpwstr/>
      </vt:variant>
      <vt:variant>
        <vt:lpwstr>_Toc223955764</vt:lpwstr>
      </vt:variant>
      <vt:variant>
        <vt:i4>2031667</vt:i4>
      </vt:variant>
      <vt:variant>
        <vt:i4>50</vt:i4>
      </vt:variant>
      <vt:variant>
        <vt:i4>0</vt:i4>
      </vt:variant>
      <vt:variant>
        <vt:i4>5</vt:i4>
      </vt:variant>
      <vt:variant>
        <vt:lpwstr/>
      </vt:variant>
      <vt:variant>
        <vt:lpwstr>_Toc223955763</vt:lpwstr>
      </vt:variant>
      <vt:variant>
        <vt:i4>2031667</vt:i4>
      </vt:variant>
      <vt:variant>
        <vt:i4>44</vt:i4>
      </vt:variant>
      <vt:variant>
        <vt:i4>0</vt:i4>
      </vt:variant>
      <vt:variant>
        <vt:i4>5</vt:i4>
      </vt:variant>
      <vt:variant>
        <vt:lpwstr/>
      </vt:variant>
      <vt:variant>
        <vt:lpwstr>_Toc223955762</vt:lpwstr>
      </vt:variant>
      <vt:variant>
        <vt:i4>2031667</vt:i4>
      </vt:variant>
      <vt:variant>
        <vt:i4>38</vt:i4>
      </vt:variant>
      <vt:variant>
        <vt:i4>0</vt:i4>
      </vt:variant>
      <vt:variant>
        <vt:i4>5</vt:i4>
      </vt:variant>
      <vt:variant>
        <vt:lpwstr/>
      </vt:variant>
      <vt:variant>
        <vt:lpwstr>_Toc223955760</vt:lpwstr>
      </vt:variant>
      <vt:variant>
        <vt:i4>1835059</vt:i4>
      </vt:variant>
      <vt:variant>
        <vt:i4>32</vt:i4>
      </vt:variant>
      <vt:variant>
        <vt:i4>0</vt:i4>
      </vt:variant>
      <vt:variant>
        <vt:i4>5</vt:i4>
      </vt:variant>
      <vt:variant>
        <vt:lpwstr/>
      </vt:variant>
      <vt:variant>
        <vt:lpwstr>_Toc223955759</vt:lpwstr>
      </vt:variant>
      <vt:variant>
        <vt:i4>1835059</vt:i4>
      </vt:variant>
      <vt:variant>
        <vt:i4>26</vt:i4>
      </vt:variant>
      <vt:variant>
        <vt:i4>0</vt:i4>
      </vt:variant>
      <vt:variant>
        <vt:i4>5</vt:i4>
      </vt:variant>
      <vt:variant>
        <vt:lpwstr/>
      </vt:variant>
      <vt:variant>
        <vt:lpwstr>_Toc223955758</vt:lpwstr>
      </vt:variant>
      <vt:variant>
        <vt:i4>1835059</vt:i4>
      </vt:variant>
      <vt:variant>
        <vt:i4>20</vt:i4>
      </vt:variant>
      <vt:variant>
        <vt:i4>0</vt:i4>
      </vt:variant>
      <vt:variant>
        <vt:i4>5</vt:i4>
      </vt:variant>
      <vt:variant>
        <vt:lpwstr/>
      </vt:variant>
      <vt:variant>
        <vt:lpwstr>_Toc223955757</vt:lpwstr>
      </vt:variant>
      <vt:variant>
        <vt:i4>1835059</vt:i4>
      </vt:variant>
      <vt:variant>
        <vt:i4>14</vt:i4>
      </vt:variant>
      <vt:variant>
        <vt:i4>0</vt:i4>
      </vt:variant>
      <vt:variant>
        <vt:i4>5</vt:i4>
      </vt:variant>
      <vt:variant>
        <vt:lpwstr/>
      </vt:variant>
      <vt:variant>
        <vt:lpwstr>_Toc223955756</vt:lpwstr>
      </vt:variant>
      <vt:variant>
        <vt:i4>1835059</vt:i4>
      </vt:variant>
      <vt:variant>
        <vt:i4>8</vt:i4>
      </vt:variant>
      <vt:variant>
        <vt:i4>0</vt:i4>
      </vt:variant>
      <vt:variant>
        <vt:i4>5</vt:i4>
      </vt:variant>
      <vt:variant>
        <vt:lpwstr/>
      </vt:variant>
      <vt:variant>
        <vt:lpwstr>_Toc223955755</vt:lpwstr>
      </vt:variant>
      <vt:variant>
        <vt:i4>1835059</vt:i4>
      </vt:variant>
      <vt:variant>
        <vt:i4>2</vt:i4>
      </vt:variant>
      <vt:variant>
        <vt:i4>0</vt:i4>
      </vt:variant>
      <vt:variant>
        <vt:i4>5</vt:i4>
      </vt:variant>
      <vt:variant>
        <vt:lpwstr/>
      </vt:variant>
      <vt:variant>
        <vt:lpwstr>_Toc223955754</vt:lpwstr>
      </vt:variant>
      <vt:variant>
        <vt:i4>1245230</vt:i4>
      </vt:variant>
      <vt:variant>
        <vt:i4>3</vt:i4>
      </vt:variant>
      <vt:variant>
        <vt:i4>0</vt:i4>
      </vt:variant>
      <vt:variant>
        <vt:i4>5</vt:i4>
      </vt:variant>
      <vt:variant>
        <vt:lpwstr>https://www.cpuc.ca.gov/-/media/cpuc-website/divisions/communications-division/documents/licensing-compliance/annual-reporting-requirements/annual-affiliate-transaction-report-form_.pdf</vt:lpwstr>
      </vt:variant>
      <vt:variant>
        <vt:lpwstr/>
      </vt:variant>
      <vt:variant>
        <vt:i4>6357118</vt:i4>
      </vt:variant>
      <vt:variant>
        <vt:i4>0</vt:i4>
      </vt:variant>
      <vt:variant>
        <vt:i4>0</vt:i4>
      </vt:variant>
      <vt:variant>
        <vt:i4>5</vt:i4>
      </vt:variant>
      <vt:variant>
        <vt:lpwstr>https://www.cpuc.ca.gov/-/media/cpuc-website/divisions/communications-division/documents/licensing-compliance/annual-reporting-requirements/aropfi.pdf</vt:lpwstr>
      </vt:variant>
      <vt:variant>
        <vt:lpwstr/>
      </vt:variant>
      <vt:variant>
        <vt:i4>2949143</vt:i4>
      </vt:variant>
      <vt:variant>
        <vt:i4>6</vt:i4>
      </vt:variant>
      <vt:variant>
        <vt:i4>0</vt:i4>
      </vt:variant>
      <vt:variant>
        <vt:i4>5</vt:i4>
      </vt:variant>
      <vt:variant>
        <vt:lpwstr>https://www.cpuc.ca.gov/-/media/cpuc-website/divisions/communications-division/documents/high-cost-support-and-surcharges/chcf-a-1/ilec-territories-2023_230412.pdf</vt:lpwstr>
      </vt:variant>
      <vt:variant>
        <vt:lpwstr/>
      </vt:variant>
      <vt:variant>
        <vt:i4>2949143</vt:i4>
      </vt:variant>
      <vt:variant>
        <vt:i4>3</vt:i4>
      </vt:variant>
      <vt:variant>
        <vt:i4>0</vt:i4>
      </vt:variant>
      <vt:variant>
        <vt:i4>5</vt:i4>
      </vt:variant>
      <vt:variant>
        <vt:lpwstr>https://www.cpuc.ca.gov/-/media/cpuc-website/divisions/communications-division/documents/high-cost-support-and-surcharges/chcf-a-1/ilec-territories-2023_230412.pdf</vt:lpwstr>
      </vt:variant>
      <vt:variant>
        <vt:lpwstr/>
      </vt:variant>
      <vt:variant>
        <vt:i4>1507400</vt:i4>
      </vt:variant>
      <vt:variant>
        <vt:i4>0</vt:i4>
      </vt:variant>
      <vt:variant>
        <vt:i4>0</vt:i4>
      </vt:variant>
      <vt:variant>
        <vt:i4>5</vt:i4>
      </vt:variant>
      <vt:variant>
        <vt:lpwstr>https://docs.cpuc.ca.gov/PublishedDocs/Published/G000/M584/K052/584052064.PDF</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2026-03-09T20:20:00Z</cp:lastPrinted>
  <dcterms:created xsi:type="dcterms:W3CDTF">2026-07-23T10:15:18Z</dcterms:created>
  <dcterms:modified xsi:type="dcterms:W3CDTF">2026-07-23T10:15:18Z</dcterms:modified>
</cp:coreProperties>
</file>