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618B0" w:rsidR="00017B87" w:rsidP="00017B87" w:rsidRDefault="00017B87" w14:paraId="16135C34" w14:textId="6639B9F0">
      <w:pPr>
        <w:tabs>
          <w:tab w:val="center" w:pos="4680"/>
          <w:tab w:val="right" w:pos="9360"/>
        </w:tabs>
        <w:spacing w:line="240" w:lineRule="auto"/>
        <w:ind w:firstLine="0"/>
      </w:pPr>
      <w:r>
        <w:t xml:space="preserve">July </w:t>
      </w:r>
      <w:r w:rsidR="007D02D5">
        <w:t>27</w:t>
      </w:r>
      <w:r>
        <w:t>, 2026</w:t>
      </w:r>
    </w:p>
    <w:p w:rsidRPr="00A618B0" w:rsidR="00017B87" w:rsidP="00017B87" w:rsidRDefault="00017B87" w14:paraId="7FC4F228" w14:textId="77777777">
      <w:pPr>
        <w:tabs>
          <w:tab w:val="center" w:pos="4680"/>
          <w:tab w:val="right" w:pos="9360"/>
        </w:tabs>
        <w:spacing w:line="240" w:lineRule="auto"/>
        <w:ind w:firstLine="0"/>
      </w:pPr>
    </w:p>
    <w:p w:rsidRPr="00A618B0" w:rsidR="00017B87" w:rsidP="00017B87" w:rsidRDefault="00017B87" w14:paraId="418ADC5F" w14:textId="77777777">
      <w:pPr>
        <w:tabs>
          <w:tab w:val="center" w:pos="4680"/>
          <w:tab w:val="right" w:pos="9360"/>
        </w:tabs>
        <w:spacing w:line="240" w:lineRule="auto"/>
        <w:ind w:firstLine="0"/>
      </w:pPr>
    </w:p>
    <w:p w:rsidRPr="00A618B0" w:rsidR="00017B87" w:rsidP="00017B87" w:rsidRDefault="00017B87" w14:paraId="0734FB76" w14:textId="1BA94BBD">
      <w:pPr>
        <w:tabs>
          <w:tab w:val="center" w:pos="4680"/>
          <w:tab w:val="right" w:pos="9360"/>
        </w:tabs>
        <w:spacing w:line="240" w:lineRule="auto"/>
        <w:ind w:firstLine="0"/>
      </w:pPr>
      <w:r w:rsidRPr="00A618B0">
        <w:t>TO PARTIES OF RECORD IN CASE </w:t>
      </w:r>
      <w:r>
        <w:t>25-06-009</w:t>
      </w:r>
      <w:r w:rsidRPr="00A618B0">
        <w:t>; DECISION </w:t>
      </w:r>
      <w:r w:rsidR="00EB2BB2">
        <w:t>26-</w:t>
      </w:r>
      <w:r w:rsidR="00B63DAE">
        <w:t>07-062</w:t>
      </w:r>
      <w:r w:rsidR="00EB2BB2">
        <w:t>:</w:t>
      </w:r>
    </w:p>
    <w:p w:rsidRPr="00A618B0" w:rsidR="00017B87" w:rsidP="00017B87" w:rsidRDefault="00017B87" w14:paraId="169F9445" w14:textId="77777777">
      <w:pPr>
        <w:tabs>
          <w:tab w:val="center" w:pos="4680"/>
          <w:tab w:val="right" w:pos="9360"/>
        </w:tabs>
        <w:spacing w:line="240" w:lineRule="auto"/>
        <w:ind w:firstLine="0"/>
      </w:pPr>
    </w:p>
    <w:p w:rsidRPr="00A618B0" w:rsidR="00017B87" w:rsidP="00017B87" w:rsidRDefault="00017B87" w14:paraId="0307C99A" w14:textId="567FADF5">
      <w:pPr>
        <w:tabs>
          <w:tab w:val="center" w:pos="4680"/>
          <w:tab w:val="right" w:pos="9360"/>
        </w:tabs>
        <w:spacing w:line="240" w:lineRule="auto"/>
        <w:ind w:firstLine="0"/>
      </w:pPr>
      <w:r w:rsidRPr="00A618B0">
        <w:t xml:space="preserve">On </w:t>
      </w:r>
      <w:r>
        <w:t>June 22, 2026</w:t>
      </w:r>
      <w:r w:rsidRPr="00A618B0">
        <w:t>, a Presiding Officer’s Decision in this proceeding was</w:t>
      </w:r>
      <w:r w:rsidRPr="00A618B0">
        <w:br/>
        <w:t>mailed to all parties.  Public Utilities Code Section 1701.2 and Rule 15.5(a) of</w:t>
      </w:r>
      <w:r w:rsidRPr="00A618B0">
        <w:br/>
        <w:t>the Commission’s Rules of Practice and Procedure provide that the Presiding Officer’s Decision becomes the decision of the Commission if no appeal or request for review has been filed within 30 days of the mailing of the Presiding Officer’s Decision.</w:t>
      </w:r>
    </w:p>
    <w:p w:rsidRPr="00A618B0" w:rsidR="00017B87" w:rsidP="00017B87" w:rsidRDefault="00017B87" w14:paraId="5CCDC4B4" w14:textId="77777777">
      <w:pPr>
        <w:tabs>
          <w:tab w:val="center" w:pos="4680"/>
          <w:tab w:val="right" w:pos="9360"/>
        </w:tabs>
        <w:spacing w:line="240" w:lineRule="auto"/>
        <w:ind w:firstLine="0"/>
      </w:pPr>
    </w:p>
    <w:p w:rsidRPr="00A618B0" w:rsidR="00017B87" w:rsidP="00017B87" w:rsidRDefault="00017B87" w14:paraId="5D000A3A" w14:textId="77777777">
      <w:pPr>
        <w:tabs>
          <w:tab w:val="center" w:pos="4680"/>
          <w:tab w:val="right" w:pos="9360"/>
        </w:tabs>
        <w:spacing w:line="240" w:lineRule="auto"/>
        <w:ind w:firstLine="0"/>
      </w:pPr>
      <w:r w:rsidRPr="00A618B0">
        <w:t>No timely appeals to the Commission or requests for review have been filed.  Therefore, the Presiding Officer’s Decision is now the decision of the Commission.</w:t>
      </w:r>
    </w:p>
    <w:p w:rsidRPr="00A618B0" w:rsidR="00017B87" w:rsidP="00017B87" w:rsidRDefault="00017B87" w14:paraId="659545EF" w14:textId="77777777">
      <w:pPr>
        <w:tabs>
          <w:tab w:val="center" w:pos="4680"/>
          <w:tab w:val="right" w:pos="9360"/>
        </w:tabs>
        <w:spacing w:line="240" w:lineRule="auto"/>
        <w:ind w:firstLine="0"/>
      </w:pPr>
    </w:p>
    <w:p w:rsidRPr="00A618B0" w:rsidR="00017B87" w:rsidP="00017B87" w:rsidRDefault="00017B87" w14:paraId="2AA8CD20" w14:textId="77777777">
      <w:pPr>
        <w:tabs>
          <w:tab w:val="center" w:pos="4680"/>
          <w:tab w:val="right" w:pos="9360"/>
        </w:tabs>
        <w:spacing w:line="240" w:lineRule="auto"/>
        <w:ind w:firstLine="0"/>
      </w:pPr>
      <w:r w:rsidRPr="00A618B0">
        <w:t>The decision number is shown above.</w:t>
      </w:r>
    </w:p>
    <w:p w:rsidRPr="00A618B0" w:rsidR="00017B87" w:rsidP="00017B87" w:rsidRDefault="00017B87" w14:paraId="28D1FC4C" w14:textId="77777777">
      <w:pPr>
        <w:tabs>
          <w:tab w:val="center" w:pos="4680"/>
          <w:tab w:val="right" w:pos="9360"/>
        </w:tabs>
        <w:spacing w:line="240" w:lineRule="auto"/>
        <w:ind w:firstLine="0"/>
      </w:pPr>
    </w:p>
    <w:p w:rsidRPr="00A618B0" w:rsidR="00017B87" w:rsidP="00017B87" w:rsidRDefault="00017B87" w14:paraId="1AC8C7E1" w14:textId="77777777">
      <w:pPr>
        <w:tabs>
          <w:tab w:val="center" w:pos="4680"/>
          <w:tab w:val="right" w:pos="9360"/>
        </w:tabs>
        <w:spacing w:line="240" w:lineRule="auto"/>
        <w:ind w:firstLine="0"/>
      </w:pPr>
    </w:p>
    <w:tbl>
      <w:tblPr>
        <w:tblW w:w="0" w:type="auto"/>
        <w:tblLook w:val="04A0" w:firstRow="1" w:lastRow="0" w:firstColumn="1" w:lastColumn="0" w:noHBand="0" w:noVBand="1"/>
      </w:tblPr>
      <w:tblGrid>
        <w:gridCol w:w="5400"/>
      </w:tblGrid>
      <w:tr w:rsidRPr="00A618B0" w:rsidR="00017B87" w:rsidTr="0004014A" w14:paraId="1A3AEF77" w14:textId="77777777">
        <w:tc>
          <w:tcPr>
            <w:tcW w:w="5400" w:type="dxa"/>
            <w:tcBorders>
              <w:bottom w:val="single" w:color="auto" w:sz="4" w:space="0"/>
            </w:tcBorders>
          </w:tcPr>
          <w:p w:rsidRPr="007D02D5" w:rsidR="00017B87" w:rsidP="0004014A" w:rsidRDefault="007D02D5" w14:paraId="23A8B52B" w14:textId="607B3AB7">
            <w:pPr>
              <w:tabs>
                <w:tab w:val="center" w:pos="4680"/>
                <w:tab w:val="right" w:pos="9360"/>
              </w:tabs>
              <w:spacing w:line="240" w:lineRule="auto"/>
              <w:ind w:firstLine="0"/>
              <w:rPr>
                <w:szCs w:val="26"/>
              </w:rPr>
            </w:pPr>
            <w:r w:rsidRPr="007D02D5">
              <w:rPr>
                <w:szCs w:val="26"/>
              </w:rPr>
              <w:t>/s/ MICHELLE COOKE</w:t>
            </w:r>
          </w:p>
        </w:tc>
      </w:tr>
      <w:tr w:rsidRPr="00A618B0" w:rsidR="00017B87" w:rsidTr="0004014A" w14:paraId="6BFC5FD5" w14:textId="77777777">
        <w:tc>
          <w:tcPr>
            <w:tcW w:w="5400" w:type="dxa"/>
            <w:tcBorders>
              <w:top w:val="single" w:color="auto" w:sz="4" w:space="0"/>
            </w:tcBorders>
          </w:tcPr>
          <w:p w:rsidRPr="00A618B0" w:rsidR="00017B87" w:rsidP="0004014A" w:rsidRDefault="00017B87" w14:paraId="62016E96" w14:textId="77777777">
            <w:pPr>
              <w:tabs>
                <w:tab w:val="center" w:pos="4680"/>
                <w:tab w:val="right" w:pos="9360"/>
              </w:tabs>
              <w:spacing w:line="240" w:lineRule="auto"/>
              <w:ind w:firstLine="0"/>
            </w:pPr>
            <w:r w:rsidRPr="00A618B0">
              <w:t>Michelle Cooke</w:t>
            </w:r>
          </w:p>
        </w:tc>
      </w:tr>
      <w:tr w:rsidRPr="00A618B0" w:rsidR="00017B87" w:rsidTr="0004014A" w14:paraId="2127614F" w14:textId="77777777">
        <w:tc>
          <w:tcPr>
            <w:tcW w:w="5400" w:type="dxa"/>
          </w:tcPr>
          <w:p w:rsidRPr="00A618B0" w:rsidR="00017B87" w:rsidP="0004014A" w:rsidRDefault="00017B87" w14:paraId="4BF56B6F" w14:textId="77777777">
            <w:pPr>
              <w:tabs>
                <w:tab w:val="center" w:pos="4680"/>
                <w:tab w:val="right" w:pos="9360"/>
              </w:tabs>
              <w:spacing w:line="240" w:lineRule="auto"/>
              <w:ind w:firstLine="0"/>
              <w:rPr>
                <w:u w:val="single"/>
              </w:rPr>
            </w:pPr>
            <w:r w:rsidRPr="00A618B0">
              <w:t>Chief Administrative Law Judge</w:t>
            </w:r>
          </w:p>
        </w:tc>
      </w:tr>
    </w:tbl>
    <w:p w:rsidRPr="00A618B0" w:rsidR="00017B87" w:rsidP="00017B87" w:rsidRDefault="00017B87" w14:paraId="7ECCE152" w14:textId="77777777">
      <w:pPr>
        <w:tabs>
          <w:tab w:val="center" w:pos="4680"/>
          <w:tab w:val="right" w:pos="9360"/>
        </w:tabs>
        <w:spacing w:line="240" w:lineRule="auto"/>
        <w:ind w:firstLine="0"/>
      </w:pPr>
    </w:p>
    <w:p w:rsidRPr="00A618B0" w:rsidR="00017B87" w:rsidP="00017B87" w:rsidRDefault="00017B87" w14:paraId="14ED0DE3" w14:textId="77777777">
      <w:pPr>
        <w:tabs>
          <w:tab w:val="center" w:pos="4680"/>
          <w:tab w:val="right" w:pos="9360"/>
        </w:tabs>
        <w:spacing w:line="240" w:lineRule="auto"/>
        <w:ind w:firstLine="0"/>
      </w:pPr>
    </w:p>
    <w:p w:rsidRPr="00A618B0" w:rsidR="00017B87" w:rsidP="00017B87" w:rsidRDefault="00017B87" w14:paraId="653A841F" w14:textId="77777777">
      <w:pPr>
        <w:tabs>
          <w:tab w:val="center" w:pos="4680"/>
          <w:tab w:val="right" w:pos="9360"/>
        </w:tabs>
        <w:spacing w:line="240" w:lineRule="auto"/>
        <w:ind w:firstLine="0"/>
      </w:pPr>
    </w:p>
    <w:p w:rsidRPr="00A618B0" w:rsidR="00017B87" w:rsidP="00017B87" w:rsidRDefault="00017B87" w14:paraId="10EB7E1E" w14:textId="77777777">
      <w:pPr>
        <w:tabs>
          <w:tab w:val="center" w:pos="4680"/>
          <w:tab w:val="right" w:pos="9360"/>
        </w:tabs>
        <w:spacing w:line="240" w:lineRule="auto"/>
        <w:ind w:firstLine="0"/>
      </w:pPr>
      <w:r w:rsidRPr="00A618B0">
        <w:t>MLC:</w:t>
      </w:r>
      <w:r>
        <w:t xml:space="preserve"> </w:t>
      </w:r>
      <w:proofErr w:type="spellStart"/>
      <w:r>
        <w:t>asf</w:t>
      </w:r>
      <w:proofErr w:type="spellEnd"/>
    </w:p>
    <w:p w:rsidR="00017B87" w:rsidP="00017B87" w:rsidRDefault="00017B87" w14:paraId="35520B1B" w14:textId="77777777">
      <w:pPr>
        <w:spacing w:line="240" w:lineRule="auto"/>
        <w:ind w:firstLine="0"/>
        <w:rPr>
          <w:rFonts w:eastAsia="Times New Roman" w:cs="Times New Roman"/>
          <w:sz w:val="22"/>
        </w:rPr>
      </w:pPr>
      <w:r w:rsidRPr="00A618B0">
        <w:t>Attachment</w:t>
      </w:r>
    </w:p>
    <w:p w:rsidRPr="003B6FE3" w:rsidR="003B6FE3" w:rsidP="003B6FE3" w:rsidRDefault="003B6FE3" w14:paraId="6B702D2B" w14:textId="77777777">
      <w:pPr>
        <w:spacing w:after="160" w:line="259" w:lineRule="auto"/>
        <w:ind w:firstLine="0"/>
        <w:rPr>
          <w:rFonts w:asciiTheme="minorHAnsi" w:hAnsiTheme="minorHAnsi"/>
          <w:sz w:val="22"/>
        </w:rPr>
      </w:pPr>
    </w:p>
    <w:p w:rsidR="003B6FE3" w:rsidP="00A2661F" w:rsidRDefault="003B6FE3" w14:paraId="048FF128" w14:textId="77777777">
      <w:pPr>
        <w:tabs>
          <w:tab w:val="center" w:pos="4680"/>
          <w:tab w:val="right" w:pos="9360"/>
        </w:tabs>
        <w:spacing w:line="240" w:lineRule="auto"/>
        <w:ind w:firstLine="0"/>
        <w:sectPr w:rsidR="003B6FE3" w:rsidSect="003B6FE3">
          <w:headerReference w:type="default" r:id="rId11"/>
          <w:footerReference w:type="default" r:id="rId12"/>
          <w:headerReference w:type="first" r:id="rId13"/>
          <w:pgSz w:w="12240" w:h="15840"/>
          <w:pgMar w:top="1728" w:right="1440" w:bottom="1440" w:left="1440" w:header="720" w:footer="720" w:gutter="0"/>
          <w:pgNumType w:start="1"/>
          <w:cols w:space="720"/>
          <w:docGrid w:linePitch="360"/>
        </w:sectPr>
      </w:pPr>
    </w:p>
    <w:p w:rsidR="00303F92" w:rsidP="00017B87" w:rsidRDefault="00303F92" w14:paraId="43DA9D30" w14:textId="3A8B9F36">
      <w:pPr>
        <w:tabs>
          <w:tab w:val="right" w:pos="9360"/>
        </w:tabs>
        <w:spacing w:line="240" w:lineRule="auto"/>
        <w:ind w:firstLine="0"/>
        <w:jc w:val="right"/>
      </w:pPr>
      <w:r w:rsidRPr="002517C6">
        <w:lastRenderedPageBreak/>
        <w:t>ALJ/POD-</w:t>
      </w:r>
      <w:r>
        <w:t>JO</w:t>
      </w:r>
      <w:r w:rsidR="00E561C8">
        <w:t>2</w:t>
      </w:r>
      <w:r w:rsidRPr="002517C6">
        <w:t>/</w:t>
      </w:r>
      <w:proofErr w:type="spellStart"/>
      <w:r w:rsidRPr="002517C6">
        <w:t>as</w:t>
      </w:r>
      <w:r w:rsidR="00017B87">
        <w:t>f</w:t>
      </w:r>
      <w:proofErr w:type="spellEnd"/>
      <w:r w:rsidR="00017B87">
        <w:tab/>
      </w:r>
      <w:r w:rsidRPr="00017B87" w:rsidR="00017B87">
        <w:rPr>
          <w:b/>
          <w:bCs/>
        </w:rPr>
        <w:t>Date of Issuance 7/</w:t>
      </w:r>
      <w:r w:rsidR="007D02D5">
        <w:rPr>
          <w:b/>
          <w:bCs/>
        </w:rPr>
        <w:t>27</w:t>
      </w:r>
      <w:r w:rsidRPr="00017B87" w:rsidR="00017B87">
        <w:rPr>
          <w:b/>
          <w:bCs/>
        </w:rPr>
        <w:t>/2026</w:t>
      </w:r>
      <w:r w:rsidR="00017B87">
        <w:t xml:space="preserve"> </w:t>
      </w:r>
    </w:p>
    <w:p w:rsidR="00017B87" w:rsidP="00017B87" w:rsidRDefault="00017B87" w14:paraId="1EA470EF" w14:textId="77777777">
      <w:pPr>
        <w:tabs>
          <w:tab w:val="right" w:pos="9360"/>
        </w:tabs>
        <w:spacing w:line="240" w:lineRule="auto"/>
        <w:ind w:firstLine="0"/>
        <w:jc w:val="right"/>
      </w:pPr>
    </w:p>
    <w:p w:rsidR="00017B87" w:rsidP="00017B87" w:rsidRDefault="00017B87" w14:paraId="3721A85E" w14:textId="77777777">
      <w:pPr>
        <w:tabs>
          <w:tab w:val="right" w:pos="9360"/>
        </w:tabs>
        <w:spacing w:line="240" w:lineRule="auto"/>
        <w:ind w:firstLine="0"/>
        <w:jc w:val="right"/>
      </w:pPr>
    </w:p>
    <w:p w:rsidR="00303F92" w:rsidP="00017B87" w:rsidRDefault="00303F92" w14:paraId="34CD0AC3" w14:textId="11175D59">
      <w:pPr>
        <w:spacing w:line="240" w:lineRule="auto"/>
        <w:ind w:left="1080" w:hanging="1080"/>
      </w:pPr>
      <w:r>
        <w:t xml:space="preserve">Decision </w:t>
      </w:r>
      <w:r w:rsidRPr="00BE40AE" w:rsidR="00BE40AE">
        <w:t>26-07-062</w:t>
      </w:r>
    </w:p>
    <w:p w:rsidRPr="00EE3060" w:rsidR="00D50ECF" w:rsidP="00017B87" w:rsidRDefault="00D50ECF" w14:paraId="2D668ED5" w14:textId="77777777">
      <w:pPr>
        <w:spacing w:line="240" w:lineRule="auto"/>
        <w:ind w:left="1080" w:hanging="1080"/>
      </w:pPr>
    </w:p>
    <w:p w:rsidR="00303F92" w:rsidP="00303F92" w:rsidRDefault="00303F92" w14:paraId="3922A9E4" w14:textId="77777777">
      <w:pPr>
        <w:spacing w:line="240" w:lineRule="auto"/>
        <w:jc w:val="center"/>
        <w:rPr>
          <w:u w:val="single"/>
        </w:rPr>
      </w:pPr>
    </w:p>
    <w:p w:rsidR="00303F92" w:rsidP="00303F92" w:rsidRDefault="00303F92" w14:paraId="01DC5B83" w14:textId="77777777">
      <w:pPr>
        <w:spacing w:line="240" w:lineRule="auto"/>
        <w:ind w:firstLine="0"/>
        <w:jc w:val="center"/>
        <w:rPr>
          <w:rFonts w:ascii="Arial" w:hAnsi="Arial" w:cs="Arial"/>
          <w:b/>
          <w:sz w:val="24"/>
          <w:szCs w:val="24"/>
        </w:rPr>
      </w:pPr>
      <w:r w:rsidRPr="00DA7B5D">
        <w:rPr>
          <w:rFonts w:ascii="Arial" w:hAnsi="Arial" w:cs="Arial"/>
          <w:b/>
          <w:sz w:val="24"/>
          <w:szCs w:val="24"/>
        </w:rPr>
        <w:t>BEFORE THE PUBLIC UTILITIES COMMISSION OF THE STATE OF CALIFORNIA</w:t>
      </w:r>
    </w:p>
    <w:p w:rsidR="00303F92" w:rsidP="00303F92" w:rsidRDefault="00303F92" w14:paraId="7DAF4F3B" w14:textId="77777777">
      <w:pPr>
        <w:spacing w:line="240" w:lineRule="auto"/>
        <w:ind w:firstLine="0"/>
        <w:jc w:val="center"/>
        <w:rPr>
          <w:rFonts w:ascii="Arial" w:hAnsi="Arial" w:cs="Arial"/>
          <w:sz w:val="24"/>
          <w:szCs w:val="24"/>
        </w:rPr>
      </w:pPr>
    </w:p>
    <w:p w:rsidR="00303F92" w:rsidP="00303F92" w:rsidRDefault="00303F92" w14:paraId="497F95CD" w14:textId="77777777">
      <w:pPr>
        <w:spacing w:line="240" w:lineRule="auto"/>
        <w:ind w:firstLine="0"/>
        <w:rPr>
          <w:rFonts w:ascii="Arial" w:hAnsi="Arial" w:cs="Arial"/>
          <w:sz w:val="24"/>
          <w:szCs w:val="24"/>
        </w:rPr>
      </w:pPr>
    </w:p>
    <w:tbl>
      <w:tblPr>
        <w:tblStyle w:val="TableGrid"/>
        <w:tblW w:w="9360" w:type="dxa"/>
        <w:jc w:val="center"/>
        <w:tblLayout w:type="fixed"/>
        <w:tblLook w:val="04A0" w:firstRow="1" w:lastRow="0" w:firstColumn="1" w:lastColumn="0" w:noHBand="0" w:noVBand="1"/>
      </w:tblPr>
      <w:tblGrid>
        <w:gridCol w:w="5490"/>
        <w:gridCol w:w="3870"/>
      </w:tblGrid>
      <w:tr w:rsidR="00853C7B" w:rsidTr="00E17917" w14:paraId="097F978D" w14:textId="77777777">
        <w:trPr>
          <w:jc w:val="center"/>
        </w:trPr>
        <w:tc>
          <w:tcPr>
            <w:tcW w:w="5490" w:type="dxa"/>
            <w:tcBorders>
              <w:top w:val="nil"/>
              <w:left w:val="nil"/>
              <w:bottom w:val="single" w:color="auto" w:sz="4" w:space="0"/>
              <w:right w:val="single" w:color="auto" w:sz="4" w:space="0"/>
            </w:tcBorders>
          </w:tcPr>
          <w:p w:rsidRPr="008460B9" w:rsidR="00853C7B" w:rsidP="00BC20CA" w:rsidRDefault="00853C7B" w14:paraId="6B3C2BED" w14:textId="77777777">
            <w:pPr>
              <w:spacing w:line="240" w:lineRule="auto"/>
              <w:ind w:right="-372" w:firstLine="0"/>
              <w:rPr>
                <w:szCs w:val="26"/>
              </w:rPr>
            </w:pPr>
            <w:r w:rsidRPr="008460B9">
              <w:rPr>
                <w:szCs w:val="26"/>
              </w:rPr>
              <w:t xml:space="preserve">Clinton W. Riggins, </w:t>
            </w:r>
            <w:r w:rsidRPr="008460B9">
              <w:rPr>
                <w:szCs w:val="26"/>
              </w:rPr>
              <w:br/>
              <w:t xml:space="preserve">                                            Complainant, </w:t>
            </w:r>
          </w:p>
          <w:p w:rsidRPr="008460B9" w:rsidR="00853C7B" w:rsidP="00E17917" w:rsidRDefault="00853C7B" w14:paraId="7E6E12F6" w14:textId="77777777">
            <w:pPr>
              <w:spacing w:line="240" w:lineRule="auto"/>
              <w:ind w:firstLine="0"/>
              <w:rPr>
                <w:szCs w:val="26"/>
              </w:rPr>
            </w:pPr>
          </w:p>
          <w:p w:rsidRPr="008460B9" w:rsidR="00853C7B" w:rsidP="00E17917" w:rsidRDefault="00853C7B" w14:paraId="5FDA6EE9" w14:textId="77777777">
            <w:pPr>
              <w:spacing w:line="240" w:lineRule="auto"/>
              <w:ind w:firstLine="0"/>
              <w:jc w:val="center"/>
              <w:rPr>
                <w:szCs w:val="26"/>
              </w:rPr>
            </w:pPr>
            <w:r w:rsidRPr="008460B9">
              <w:rPr>
                <w:szCs w:val="26"/>
              </w:rPr>
              <w:t>vs.</w:t>
            </w:r>
          </w:p>
          <w:p w:rsidRPr="008460B9" w:rsidR="00853C7B" w:rsidP="00E17917" w:rsidRDefault="00853C7B" w14:paraId="59DDD11C" w14:textId="77777777">
            <w:pPr>
              <w:spacing w:line="240" w:lineRule="auto"/>
              <w:ind w:firstLine="0"/>
              <w:rPr>
                <w:szCs w:val="26"/>
              </w:rPr>
            </w:pPr>
          </w:p>
          <w:p w:rsidR="00BC20CA" w:rsidP="00E17917" w:rsidRDefault="00853C7B" w14:paraId="514BEE18" w14:textId="77777777">
            <w:pPr>
              <w:spacing w:line="240" w:lineRule="auto"/>
              <w:ind w:firstLine="0"/>
              <w:rPr>
                <w:szCs w:val="26"/>
              </w:rPr>
            </w:pPr>
            <w:r w:rsidRPr="00EE58BD">
              <w:rPr>
                <w:szCs w:val="26"/>
              </w:rPr>
              <w:t xml:space="preserve">Pacific Gas and Electric Company (U39E), </w:t>
            </w:r>
          </w:p>
          <w:p w:rsidR="00853C7B" w:rsidP="00E17917" w:rsidRDefault="00853C7B" w14:paraId="2DAC11AA" w14:textId="1352246C">
            <w:pPr>
              <w:spacing w:line="240" w:lineRule="auto"/>
              <w:ind w:firstLine="0"/>
              <w:rPr>
                <w:szCs w:val="26"/>
              </w:rPr>
            </w:pPr>
            <w:r>
              <w:rPr>
                <w:szCs w:val="26"/>
              </w:rPr>
              <w:br/>
              <w:t xml:space="preserve">                                                 </w:t>
            </w:r>
            <w:r w:rsidRPr="00EE58BD">
              <w:rPr>
                <w:szCs w:val="26"/>
              </w:rPr>
              <w:t xml:space="preserve">Defendant. </w:t>
            </w:r>
          </w:p>
          <w:p w:rsidRPr="00DA7B5D" w:rsidR="00853C7B" w:rsidP="00E17917" w:rsidRDefault="00853C7B" w14:paraId="3D2E6F37" w14:textId="77777777">
            <w:pPr>
              <w:spacing w:line="240" w:lineRule="auto"/>
              <w:ind w:firstLine="0"/>
              <w:rPr>
                <w:rFonts w:cs="Arial"/>
                <w:szCs w:val="26"/>
              </w:rPr>
            </w:pPr>
          </w:p>
        </w:tc>
        <w:tc>
          <w:tcPr>
            <w:tcW w:w="3870" w:type="dxa"/>
            <w:tcBorders>
              <w:top w:val="nil"/>
              <w:left w:val="single" w:color="auto" w:sz="4" w:space="0"/>
              <w:bottom w:val="nil"/>
              <w:right w:val="nil"/>
            </w:tcBorders>
            <w:vAlign w:val="center"/>
          </w:tcPr>
          <w:p w:rsidRPr="006F250F" w:rsidR="00853C7B" w:rsidP="00E17917" w:rsidRDefault="00853C7B" w14:paraId="396D5D42" w14:textId="77777777">
            <w:pPr>
              <w:ind w:firstLine="0"/>
              <w:jc w:val="center"/>
              <w:rPr>
                <w:rFonts w:cs="Arial"/>
                <w:szCs w:val="26"/>
              </w:rPr>
            </w:pPr>
            <w:r>
              <w:rPr>
                <w:rFonts w:cs="Arial"/>
                <w:szCs w:val="26"/>
              </w:rPr>
              <w:t>Case 25-06-009</w:t>
            </w:r>
          </w:p>
          <w:p w:rsidRPr="00DA7B5D" w:rsidR="00853C7B" w:rsidP="00E17917" w:rsidRDefault="00853C7B" w14:paraId="339F835F" w14:textId="77777777">
            <w:pPr>
              <w:spacing w:line="240" w:lineRule="auto"/>
              <w:ind w:firstLine="0"/>
              <w:jc w:val="center"/>
              <w:rPr>
                <w:rFonts w:cs="Arial"/>
                <w:szCs w:val="26"/>
              </w:rPr>
            </w:pPr>
          </w:p>
        </w:tc>
      </w:tr>
    </w:tbl>
    <w:p w:rsidR="00303F92" w:rsidP="00303F92" w:rsidRDefault="00303F92" w14:paraId="5DA8B108" w14:textId="77777777">
      <w:pPr>
        <w:spacing w:line="240" w:lineRule="auto"/>
        <w:ind w:firstLine="0"/>
        <w:rPr>
          <w:rFonts w:ascii="Arial" w:hAnsi="Arial" w:cs="Arial"/>
          <w:sz w:val="24"/>
          <w:szCs w:val="24"/>
        </w:rPr>
      </w:pPr>
    </w:p>
    <w:p w:rsidR="00303F92" w:rsidP="00303F92" w:rsidRDefault="00303F92" w14:paraId="2B9C7013" w14:textId="77777777">
      <w:pPr>
        <w:spacing w:line="240" w:lineRule="auto"/>
        <w:ind w:firstLine="0"/>
        <w:rPr>
          <w:rFonts w:ascii="Arial" w:hAnsi="Arial" w:cs="Arial"/>
          <w:sz w:val="24"/>
          <w:szCs w:val="24"/>
        </w:rPr>
      </w:pPr>
    </w:p>
    <w:p w:rsidR="00303F92" w:rsidP="00303F92" w:rsidRDefault="00303F92" w14:paraId="2B845F85" w14:textId="77777777">
      <w:pPr>
        <w:pStyle w:val="Dummy"/>
        <w:spacing w:after="0"/>
        <w:jc w:val="center"/>
      </w:pPr>
      <w:bookmarkStart w:name="_Toc227322542" w:id="0"/>
      <w:r w:rsidRPr="006B301A">
        <w:t>PRESIDING OFFICER’S DECISION</w:t>
      </w:r>
      <w:r>
        <w:t xml:space="preserve"> DENYING RELIEF </w:t>
      </w:r>
    </w:p>
    <w:p w:rsidR="00303F92" w:rsidP="00303F92" w:rsidRDefault="00303F92" w14:paraId="10514A42" w14:textId="77777777">
      <w:pPr>
        <w:pStyle w:val="Dummy"/>
        <w:spacing w:after="0"/>
        <w:jc w:val="center"/>
      </w:pPr>
      <w:r>
        <w:t>AND DISMISSING COMPLAINT</w:t>
      </w:r>
      <w:bookmarkStart w:name="_Toc8123714" w:id="1"/>
      <w:bookmarkStart w:name="_Toc227322544" w:id="2"/>
      <w:bookmarkEnd w:id="0"/>
    </w:p>
    <w:p w:rsidR="00303F92" w:rsidP="00303F92" w:rsidRDefault="00303F92" w14:paraId="199A90C2" w14:textId="77777777">
      <w:pPr>
        <w:pStyle w:val="Dummy"/>
        <w:spacing w:after="0"/>
        <w:jc w:val="center"/>
      </w:pPr>
    </w:p>
    <w:p w:rsidR="00303F92" w:rsidP="00303F92" w:rsidRDefault="00303F92" w14:paraId="59B02097" w14:textId="77777777">
      <w:pPr>
        <w:pStyle w:val="Dummy"/>
        <w:spacing w:after="0"/>
      </w:pPr>
      <w:r>
        <w:t>Summary</w:t>
      </w:r>
      <w:bookmarkEnd w:id="1"/>
      <w:bookmarkEnd w:id="2"/>
    </w:p>
    <w:p w:rsidR="00303F92" w:rsidP="00303F92" w:rsidRDefault="00303F92" w14:paraId="54DF30F2" w14:textId="5C7F5972">
      <w:pPr>
        <w:pStyle w:val="Standard"/>
        <w:rPr>
          <w:rFonts w:eastAsia="SymbolMT"/>
        </w:rPr>
      </w:pPr>
      <w:r>
        <w:t xml:space="preserve">This Presiding Officer’s Decision denies the relief requested and dismisses the complaint with prejudice.  Complainant has failed to prove, by a preponderance of the evidence, that </w:t>
      </w:r>
      <w:r w:rsidR="00164C30">
        <w:t xml:space="preserve">Pacific Gas </w:t>
      </w:r>
      <w:r w:rsidR="00995451">
        <w:t xml:space="preserve">and </w:t>
      </w:r>
      <w:r w:rsidR="00164C30">
        <w:t xml:space="preserve">Electric </w:t>
      </w:r>
      <w:r w:rsidR="00995451">
        <w:t xml:space="preserve">Company </w:t>
      </w:r>
      <w:r>
        <w:rPr>
          <w:rFonts w:eastAsia="SymbolMT"/>
        </w:rPr>
        <w:t xml:space="preserve">violated any applicable </w:t>
      </w:r>
      <w:r w:rsidRPr="006D120D">
        <w:rPr>
          <w:rFonts w:eastAsia="SymbolMT"/>
        </w:rPr>
        <w:t>laws</w:t>
      </w:r>
      <w:r>
        <w:rPr>
          <w:rFonts w:eastAsia="SymbolMT"/>
        </w:rPr>
        <w:t>,</w:t>
      </w:r>
      <w:r w:rsidRPr="006D120D">
        <w:rPr>
          <w:rFonts w:eastAsia="SymbolMT"/>
        </w:rPr>
        <w:t xml:space="preserve"> rules</w:t>
      </w:r>
      <w:r>
        <w:rPr>
          <w:rFonts w:eastAsia="SymbolMT"/>
        </w:rPr>
        <w:t xml:space="preserve">, statutes, or orders </w:t>
      </w:r>
      <w:r w:rsidRPr="006D120D">
        <w:rPr>
          <w:rFonts w:eastAsia="SymbolMT"/>
        </w:rPr>
        <w:t xml:space="preserve">for which the </w:t>
      </w:r>
      <w:r>
        <w:rPr>
          <w:rFonts w:eastAsia="SymbolMT"/>
        </w:rPr>
        <w:t>C</w:t>
      </w:r>
      <w:r w:rsidRPr="006D120D">
        <w:rPr>
          <w:rFonts w:eastAsia="SymbolMT"/>
        </w:rPr>
        <w:t>ommission is authorized to impose remedies</w:t>
      </w:r>
      <w:r>
        <w:rPr>
          <w:rFonts w:eastAsia="SymbolMT"/>
        </w:rPr>
        <w:t>.</w:t>
      </w:r>
    </w:p>
    <w:p w:rsidR="001A1402" w:rsidP="00303F92" w:rsidRDefault="001A1402" w14:paraId="12E1702F" w14:textId="0E7A607D">
      <w:pPr>
        <w:pStyle w:val="Standard"/>
        <w:rPr>
          <w:rFonts w:eastAsia="SymbolMT"/>
        </w:rPr>
      </w:pPr>
      <w:r>
        <w:rPr>
          <w:rFonts w:eastAsia="SymbolMT"/>
        </w:rPr>
        <w:t>The Complaint is denied.</w:t>
      </w:r>
    </w:p>
    <w:p w:rsidR="00303F92" w:rsidP="00303F92" w:rsidRDefault="00303F92" w14:paraId="1165A9EE" w14:textId="77777777">
      <w:pPr>
        <w:pStyle w:val="Standard"/>
        <w:rPr>
          <w:rFonts w:eastAsia="SymbolMT"/>
        </w:rPr>
      </w:pPr>
      <w:r>
        <w:rPr>
          <w:rFonts w:eastAsia="SymbolMT"/>
        </w:rPr>
        <w:t>This proceeding is closed.</w:t>
      </w:r>
    </w:p>
    <w:p w:rsidR="00303F92" w:rsidP="00303F92" w:rsidRDefault="00303F92" w14:paraId="0434C62A" w14:textId="77777777">
      <w:pPr>
        <w:pStyle w:val="Heading1"/>
      </w:pPr>
      <w:bookmarkStart w:name="_Toc8123715" w:id="3"/>
      <w:bookmarkStart w:name="_Toc227322545" w:id="4"/>
      <w:r>
        <w:t xml:space="preserve">Factual and Procedural </w:t>
      </w:r>
      <w:r w:rsidRPr="00121089">
        <w:t>Background</w:t>
      </w:r>
      <w:bookmarkEnd w:id="3"/>
      <w:bookmarkEnd w:id="4"/>
    </w:p>
    <w:p w:rsidR="00303F92" w:rsidP="00303F92" w:rsidRDefault="00303F92" w14:paraId="77A2DD4C" w14:textId="1A375F10">
      <w:pPr>
        <w:pStyle w:val="Standard"/>
      </w:pPr>
      <w:r>
        <w:t xml:space="preserve">On June 10, 2025, Mr. Clifford Riggins (Riggins or Complainant), a </w:t>
      </w:r>
      <w:proofErr w:type="gramStart"/>
      <w:r>
        <w:t>pro se</w:t>
      </w:r>
      <w:proofErr w:type="gramEnd"/>
      <w:r>
        <w:t xml:space="preserve"> Complainant from Placerville, California, filed a formal complaint against Pacific Gas </w:t>
      </w:r>
      <w:r w:rsidR="00995451">
        <w:t xml:space="preserve">and </w:t>
      </w:r>
      <w:r>
        <w:t>Electric</w:t>
      </w:r>
      <w:r w:rsidR="00995451">
        <w:t xml:space="preserve"> Company</w:t>
      </w:r>
      <w:r>
        <w:t xml:space="preserve"> (PG&amp;E).  Mr. Riggins owns his home in Placerville, </w:t>
      </w:r>
      <w:r>
        <w:lastRenderedPageBreak/>
        <w:t>California.  It is a fully electrified residence, with a pool</w:t>
      </w:r>
      <w:r w:rsidR="0015352B">
        <w:t xml:space="preserve"> and a</w:t>
      </w:r>
      <w:r>
        <w:t xml:space="preserve"> hot tub</w:t>
      </w:r>
      <w:r w:rsidR="0015352B">
        <w:t xml:space="preserve">.  In </w:t>
      </w:r>
      <w:proofErr w:type="gramStart"/>
      <w:r w:rsidR="0015352B">
        <w:t>addition</w:t>
      </w:r>
      <w:proofErr w:type="gramEnd"/>
      <w:r w:rsidR="0015352B">
        <w:t xml:space="preserve"> the residence has had one and at times</w:t>
      </w:r>
      <w:r>
        <w:t xml:space="preserve"> two </w:t>
      </w:r>
      <w:r w:rsidR="00304958">
        <w:t>recreational vehicles</w:t>
      </w:r>
      <w:r>
        <w:t xml:space="preserve"> (RVs)</w:t>
      </w:r>
      <w:r w:rsidR="0015352B">
        <w:t xml:space="preserve"> on the property</w:t>
      </w:r>
      <w:r>
        <w:t xml:space="preserve">, and </w:t>
      </w:r>
      <w:r w:rsidR="0015352B">
        <w:t xml:space="preserve">also, </w:t>
      </w:r>
      <w:r>
        <w:t>at times, an area covered by a pop-up tent.</w:t>
      </w:r>
      <w:r>
        <w:rPr>
          <w:rStyle w:val="FootnoteReference"/>
        </w:rPr>
        <w:footnoteReference w:id="2"/>
      </w:r>
      <w:r>
        <w:t xml:space="preserve">  Mr. Riggins also has a workshop (shop) on property.</w:t>
      </w:r>
      <w:r>
        <w:rPr>
          <w:rStyle w:val="FootnoteReference"/>
        </w:rPr>
        <w:footnoteReference w:id="3"/>
      </w:r>
      <w:r>
        <w:t xml:space="preserve">  </w:t>
      </w:r>
      <w:r w:rsidR="0015352B">
        <w:t xml:space="preserve">The pool, hot tub, RVs, and workshop have electrical connections to the residence’s electrical power system.  </w:t>
      </w:r>
      <w:r>
        <w:t>No energy audit has been conducted to determine Mr. Riggins’ total residential electrical usage.</w:t>
      </w:r>
      <w:r>
        <w:rPr>
          <w:rStyle w:val="FootnoteReference"/>
        </w:rPr>
        <w:footnoteReference w:id="4"/>
      </w:r>
      <w:r>
        <w:t xml:space="preserve"> </w:t>
      </w:r>
    </w:p>
    <w:p w:rsidR="00303F92" w:rsidP="00303F92" w:rsidRDefault="00303F92" w14:paraId="3E10949C" w14:textId="4D3C87D8">
      <w:pPr>
        <w:pStyle w:val="Standard"/>
      </w:pPr>
      <w:r>
        <w:t xml:space="preserve">Mr. Riggins’ property had a rooftop solar system (First System) installed and interconnected under the Net Energy Metering 2 (NEM) Tariff in early 2021.  Pursuant to the billing history of the residence, </w:t>
      </w:r>
      <w:r w:rsidR="00164C30">
        <w:t>the</w:t>
      </w:r>
      <w:r>
        <w:t xml:space="preserve"> NEM 2 Annual True-up Bill</w:t>
      </w:r>
      <w:r w:rsidR="00995451">
        <w:t>s</w:t>
      </w:r>
      <w:r>
        <w:t xml:space="preserve"> </w:t>
      </w:r>
      <w:r w:rsidR="00164C30">
        <w:t xml:space="preserve">associated with his residential electric bill with his First System </w:t>
      </w:r>
      <w:r>
        <w:t>w</w:t>
      </w:r>
      <w:r w:rsidR="00995451">
        <w:t>ere</w:t>
      </w:r>
      <w:r>
        <w:t xml:space="preserve"> paid in February 2022,</w:t>
      </w:r>
      <w:r>
        <w:rPr>
          <w:rStyle w:val="FootnoteReference"/>
        </w:rPr>
        <w:footnoteReference w:id="5"/>
      </w:r>
      <w:r>
        <w:t xml:space="preserve"> and February 2023.</w:t>
      </w:r>
      <w:r>
        <w:rPr>
          <w:rStyle w:val="FootnoteReference"/>
        </w:rPr>
        <w:footnoteReference w:id="6"/>
      </w:r>
      <w:r>
        <w:t xml:space="preserve"> </w:t>
      </w:r>
      <w:r w:rsidR="00955D46">
        <w:t xml:space="preserve"> </w:t>
      </w:r>
      <w:r w:rsidR="00D43A0D">
        <w:t>Initially the primary account holder was Mr. Riggins</w:t>
      </w:r>
      <w:r w:rsidR="00995451">
        <w:t>’</w:t>
      </w:r>
      <w:r w:rsidR="00D43A0D">
        <w:t xml:space="preserve"> (ex) wife.</w:t>
      </w:r>
    </w:p>
    <w:p w:rsidR="00303F92" w:rsidP="00303F92" w:rsidRDefault="00303F92" w14:paraId="1D220302" w14:textId="2327316E">
      <w:pPr>
        <w:pStyle w:val="Standard"/>
      </w:pPr>
      <w:r>
        <w:lastRenderedPageBreak/>
        <w:t>In March 2023, Mr. Riggins became the primary account holder for the property, assuming primary responsibility for the PG&amp;E bills.</w:t>
      </w:r>
      <w:r>
        <w:rPr>
          <w:rStyle w:val="FootnoteReference"/>
        </w:rPr>
        <w:footnoteReference w:id="7"/>
      </w:r>
      <w:r>
        <w:t xml:space="preserve">  Mr. Riggins called PG&amp;E and spoke with a customer care representative</w:t>
      </w:r>
      <w:r w:rsidR="00164C30">
        <w:t xml:space="preserve"> and</w:t>
      </w:r>
      <w:r>
        <w:t xml:space="preserve"> confirmed that he was starting from a zero balance</w:t>
      </w:r>
      <w:r w:rsidR="00164C30">
        <w:t>.  At that time, Mr. Riggins</w:t>
      </w:r>
      <w:r>
        <w:t xml:space="preserve"> informed PG&amp;E that a friend lived in an RV on his property and used electricity to some extent.</w:t>
      </w:r>
      <w:r w:rsidR="00594B05">
        <w:rPr>
          <w:rStyle w:val="FootnoteReference"/>
        </w:rPr>
        <w:footnoteReference w:id="8"/>
      </w:r>
      <w:r>
        <w:t xml:space="preserve">  </w:t>
      </w:r>
    </w:p>
    <w:p w:rsidR="00303F92" w:rsidP="00303F92" w:rsidRDefault="00303F92" w14:paraId="3CDA3181" w14:textId="61654404">
      <w:pPr>
        <w:pStyle w:val="Standard"/>
      </w:pPr>
      <w:r>
        <w:t>On January 30, 2024, Mr. Riggins called PG&amp;E and requested that a technician test his electrical meter.</w:t>
      </w:r>
      <w:r w:rsidR="00594B05">
        <w:rPr>
          <w:rStyle w:val="FootnoteReference"/>
        </w:rPr>
        <w:footnoteReference w:id="9"/>
      </w:r>
      <w:r w:rsidR="008C1331">
        <w:t xml:space="preserve"> </w:t>
      </w:r>
      <w:r>
        <w:t xml:space="preserve"> Mr. David Knoche, PG&amp;E Meter Technician, responded to Mr. Riggins’ request to test his meter for general accuracy and billing issues, and performed an electrical meter test on February 1, 2024.</w:t>
      </w:r>
      <w:r w:rsidRPr="008C1331" w:rsidR="008C1331">
        <w:rPr>
          <w:rStyle w:val="FootnoteReference"/>
        </w:rPr>
        <w:t xml:space="preserve"> </w:t>
      </w:r>
      <w:r w:rsidR="008C1331">
        <w:rPr>
          <w:rStyle w:val="FootnoteReference"/>
        </w:rPr>
        <w:footnoteReference w:id="10"/>
      </w:r>
      <w:r>
        <w:t xml:space="preserve">  Mr. Knoche found that Mr. Riggins’ meter worked within its normal operating parameters.</w:t>
      </w:r>
      <w:r>
        <w:rPr>
          <w:rStyle w:val="FootnoteReference"/>
        </w:rPr>
        <w:footnoteReference w:id="11"/>
      </w:r>
      <w:r>
        <w:t xml:space="preserve">  </w:t>
      </w:r>
    </w:p>
    <w:p w:rsidR="00303F92" w:rsidP="00303F92" w:rsidRDefault="00303F92" w14:paraId="19A9EA2C" w14:textId="10E6B0F7">
      <w:pPr>
        <w:pStyle w:val="Standard"/>
      </w:pPr>
      <w:r>
        <w:lastRenderedPageBreak/>
        <w:t xml:space="preserve">By February 2024, Mr. Riggins’ residential energy usage included </w:t>
      </w:r>
      <w:r w:rsidR="00164C30">
        <w:t>a</w:t>
      </w:r>
      <w:r>
        <w:t xml:space="preserve"> hot tub, shop, </w:t>
      </w:r>
      <w:r w:rsidR="00164C30">
        <w:t>an</w:t>
      </w:r>
      <w:r>
        <w:t xml:space="preserve"> RV, and a pool.</w:t>
      </w:r>
      <w:r>
        <w:rPr>
          <w:rStyle w:val="FootnoteReference"/>
        </w:rPr>
        <w:footnoteReference w:id="12"/>
      </w:r>
      <w:r>
        <w:t xml:space="preserve">  Mr. Riggins received his February 12, 2024, Billing Statement from PG&amp;E, including his Annual NEM 2 True-Up bill with charges of $9,521.62.  </w:t>
      </w:r>
      <w:r w:rsidR="00164C30">
        <w:t>The</w:t>
      </w:r>
      <w:r>
        <w:t xml:space="preserve"> NEM 2 True-Up bill included charges for electricity used between March 2, 2023, to February 8, 2024, and due on March 4, 2024.</w:t>
      </w:r>
      <w:r>
        <w:rPr>
          <w:rStyle w:val="FootnoteReference"/>
        </w:rPr>
        <w:footnoteReference w:id="13"/>
      </w:r>
      <w:r>
        <w:t xml:space="preserve">  From February 2024 until receiving his PG&amp;E billing statement on November 7, 2024, Mr. Riggins put little money towards paying his 2024 Annual NEM 2 True-Up bill.  Per his November 7, 2024, PG&amp;E Billing Statement, however, Mr. Riggins </w:t>
      </w:r>
      <w:r w:rsidR="00164C30">
        <w:t>had paid</w:t>
      </w:r>
      <w:r>
        <w:t xml:space="preserve"> off </w:t>
      </w:r>
      <w:proofErr w:type="gramStart"/>
      <w:r>
        <w:t>the majority of</w:t>
      </w:r>
      <w:proofErr w:type="gramEnd"/>
      <w:r>
        <w:t xml:space="preserve"> the amount owed and paid off his 2024 Annual NEM 2 True-up bill.</w:t>
      </w:r>
      <w:r>
        <w:rPr>
          <w:rStyle w:val="FootnoteReference"/>
        </w:rPr>
        <w:footnoteReference w:id="14"/>
      </w:r>
      <w:r>
        <w:t xml:space="preserve"> </w:t>
      </w:r>
    </w:p>
    <w:p w:rsidR="00303F92" w:rsidP="00303F92" w:rsidRDefault="00303F92" w14:paraId="26895854" w14:textId="3925F948">
      <w:pPr>
        <w:pStyle w:val="Standard"/>
      </w:pPr>
      <w:r>
        <w:t xml:space="preserve">During that 2024 period, Mr. Riggins contracted with solar installation company V3.  In November 2024, V3 </w:t>
      </w:r>
      <w:proofErr w:type="gramStart"/>
      <w:r>
        <w:t>submitted an application</w:t>
      </w:r>
      <w:proofErr w:type="gramEnd"/>
      <w:r>
        <w:t xml:space="preserve"> for a 38-panel,</w:t>
      </w:r>
      <w:r w:rsidRPr="0042264B">
        <w:t xml:space="preserve"> </w:t>
      </w:r>
      <w:r>
        <w:t xml:space="preserve">non-export, 2 Tesla Powerwall solar system to PG&amp;E (Second System).  Mr. </w:t>
      </w:r>
      <w:r>
        <w:lastRenderedPageBreak/>
        <w:t>Riggins’ Second System did not receive permission to operate (PTO) from PG&amp;E until March 4, 2025.</w:t>
      </w:r>
      <w:r>
        <w:rPr>
          <w:rStyle w:val="FootnoteReference"/>
        </w:rPr>
        <w:footnoteReference w:id="15"/>
      </w:r>
      <w:r>
        <w:t xml:space="preserve">  </w:t>
      </w:r>
    </w:p>
    <w:p w:rsidR="00303F92" w:rsidP="00303F92" w:rsidRDefault="00303F92" w14:paraId="7E0E46C9" w14:textId="0C4FDFB3">
      <w:pPr>
        <w:pStyle w:val="Standard"/>
      </w:pPr>
      <w:r>
        <w:t xml:space="preserve">On February 11, 2025, Mr. Riggins received his Annual NEM 2 True-Up bill for 2024-2025, with a total amount owed of </w:t>
      </w:r>
      <w:r w:rsidRPr="00891D9A">
        <w:t>$11,337.81</w:t>
      </w:r>
      <w:r>
        <w:t xml:space="preserve"> (Disputed Bill).  The Disputed Bill had a due date of March 4, 2025, the same date that the Second System received its PTO.</w:t>
      </w:r>
      <w:r w:rsidRPr="00E84E87">
        <w:rPr>
          <w:rStyle w:val="FootnoteReference"/>
        </w:rPr>
        <w:footnoteReference w:id="16"/>
      </w:r>
      <w:r>
        <w:t xml:space="preserve">  Mr. Riggins did not pay PG&amp;E the amount due on the Disputed Bill.  Mr. Riggins did not call PG&amp;E to inquire about the Disputed Bill or reach a payment arrangement.  On March 11, 2025, Mr. Riggins received a 15-day </w:t>
      </w:r>
      <w:r w:rsidR="00164C30">
        <w:t xml:space="preserve">notification </w:t>
      </w:r>
      <w:r>
        <w:t>of disconnection</w:t>
      </w:r>
      <w:r w:rsidR="00164C30">
        <w:t xml:space="preserve"> if he did not pay his past due bill</w:t>
      </w:r>
      <w:r>
        <w:t>.</w:t>
      </w:r>
      <w:r>
        <w:rPr>
          <w:rStyle w:val="FootnoteReference"/>
        </w:rPr>
        <w:footnoteReference w:id="17"/>
      </w:r>
      <w:r>
        <w:t xml:space="preserve">  </w:t>
      </w:r>
    </w:p>
    <w:p w:rsidR="00303F92" w:rsidP="00303F92" w:rsidRDefault="00303F92" w14:paraId="04BE76AC" w14:textId="45C933D4">
      <w:pPr>
        <w:pStyle w:val="Standard"/>
      </w:pPr>
      <w:r>
        <w:t xml:space="preserve">Between March </w:t>
      </w:r>
      <w:r w:rsidRPr="00AA2ADF">
        <w:t>21, 2025,</w:t>
      </w:r>
      <w:r>
        <w:t xml:space="preserve"> and </w:t>
      </w:r>
      <w:r w:rsidRPr="00AA2ADF">
        <w:t>April 8, 2025</w:t>
      </w:r>
      <w:r>
        <w:t>, PG&amp;E followed its protocol detailed in Electric Tariff Rule 11 and disconnected Mr. Riggins’ electricity.</w:t>
      </w:r>
      <w:r>
        <w:rPr>
          <w:rStyle w:val="FootnoteReference"/>
        </w:rPr>
        <w:footnoteReference w:id="18"/>
      </w:r>
      <w:r>
        <w:t xml:space="preserve">  On May 30, 2025, Mr. Riggin’s</w:t>
      </w:r>
      <w:r w:rsidR="00955D46">
        <w:t xml:space="preserve"> submitted an</w:t>
      </w:r>
      <w:r>
        <w:t xml:space="preserve"> informal complaint </w:t>
      </w:r>
      <w:r w:rsidR="00955D46">
        <w:t>against P&amp;GE to the Commission</w:t>
      </w:r>
      <w:r>
        <w:t>.</w:t>
      </w:r>
      <w:r w:rsidR="00955D46">
        <w:rPr>
          <w:rStyle w:val="FootnoteReference"/>
        </w:rPr>
        <w:footnoteReference w:id="19"/>
      </w:r>
      <w:r>
        <w:t xml:space="preserve">  The informal complaint indicated to PG&amp;E that Mr. Riggins believed that he was receiving electricity from PG&amp;E despite being disconnected from the grid.</w:t>
      </w:r>
      <w:r>
        <w:rPr>
          <w:rStyle w:val="FootnoteReference"/>
        </w:rPr>
        <w:footnoteReference w:id="20"/>
      </w:r>
      <w:r>
        <w:t xml:space="preserve">  On May 30, 2025, PG&amp;E dispatched Troubleshooter </w:t>
      </w:r>
      <w:r w:rsidRPr="00634681">
        <w:t xml:space="preserve">Jefferson </w:t>
      </w:r>
      <w:r w:rsidRPr="00634681">
        <w:lastRenderedPageBreak/>
        <w:t>Collin</w:t>
      </w:r>
      <w:r>
        <w:t xml:space="preserve"> to inspect Mr. Riggins’ residence and make it safe.  Troubleshooter Collins removed Mr. Riggins’ electric meter to </w:t>
      </w:r>
      <w:proofErr w:type="gramStart"/>
      <w:r>
        <w:t>assuage</w:t>
      </w:r>
      <w:proofErr w:type="gramEnd"/>
      <w:r>
        <w:t xml:space="preserve"> </w:t>
      </w:r>
      <w:r w:rsidR="006C3986">
        <w:t>any</w:t>
      </w:r>
      <w:r>
        <w:t xml:space="preserve"> safety concerns.</w:t>
      </w:r>
      <w:r>
        <w:rPr>
          <w:rStyle w:val="FootnoteReference"/>
        </w:rPr>
        <w:footnoteReference w:id="21"/>
      </w:r>
      <w:r>
        <w:t xml:space="preserve">  </w:t>
      </w:r>
    </w:p>
    <w:p w:rsidRPr="00974695" w:rsidR="00303F92" w:rsidP="00303F92" w:rsidRDefault="00303F92" w14:paraId="19DB5C75" w14:textId="77777777">
      <w:pPr>
        <w:pStyle w:val="Heading2"/>
      </w:pPr>
      <w:bookmarkStart w:name="_Toc8123717" w:id="5"/>
      <w:bookmarkStart w:name="_Toc227322546" w:id="6"/>
      <w:r w:rsidRPr="00974695">
        <w:t>Procedural Background</w:t>
      </w:r>
      <w:bookmarkEnd w:id="5"/>
      <w:bookmarkEnd w:id="6"/>
    </w:p>
    <w:p w:rsidR="00303F92" w:rsidP="00303F92" w:rsidRDefault="00303F92" w14:paraId="0F76C248" w14:textId="0D3D2D36">
      <w:pPr>
        <w:pStyle w:val="xstandard"/>
        <w:ind w:right="720"/>
      </w:pPr>
      <w:r>
        <w:t>On June 10, 2025, Mr. Riggins filed the instant formal complaint against PG&amp;E as a self-represented litigant.  Complainant alleged that, among other things, PG&amp;E’s utility meter incorrectly measured electricity produced by his rooftop solar system leading to a billing error.</w:t>
      </w:r>
    </w:p>
    <w:p w:rsidR="00303F92" w:rsidP="00303F92" w:rsidRDefault="00303F92" w14:paraId="5A080C76" w14:textId="2265B7F4">
      <w:pPr>
        <w:pStyle w:val="xstandard"/>
        <w:ind w:right="720"/>
      </w:pPr>
      <w:r>
        <w:t>More specifically, Mr. Riggins alleged that PG&amp;E has misrepresented his energy usage for four years</w:t>
      </w:r>
      <w:r w:rsidR="006C3986">
        <w:t>.  Mr. Riggins asserts that</w:t>
      </w:r>
      <w:r>
        <w:t xml:space="preserve"> the misrepresentation of his energy usage led to </w:t>
      </w:r>
      <w:r w:rsidR="006C3986">
        <w:t xml:space="preserve">him </w:t>
      </w:r>
      <w:r>
        <w:t xml:space="preserve">having to pay three high NEM 2 True-Up bills.  Mr. Riggins </w:t>
      </w:r>
      <w:proofErr w:type="gramStart"/>
      <w:r>
        <w:t>alleged</w:t>
      </w:r>
      <w:proofErr w:type="gramEnd"/>
      <w:r>
        <w:t xml:space="preserve"> that because of PG&amp;E-provided misinformation, he installed a new rooftop solar system</w:t>
      </w:r>
      <w:r w:rsidR="002639E2">
        <w:t xml:space="preserve">, </w:t>
      </w:r>
      <w:r w:rsidR="006C3986">
        <w:t>the</w:t>
      </w:r>
      <w:r w:rsidR="002639E2">
        <w:t xml:space="preserve"> </w:t>
      </w:r>
      <w:r>
        <w:t>Second System</w:t>
      </w:r>
      <w:r w:rsidR="002639E2">
        <w:t>,</w:t>
      </w:r>
      <w:r>
        <w:t xml:space="preserve"> that was not needed.</w:t>
      </w:r>
      <w:r>
        <w:rPr>
          <w:rStyle w:val="FootnoteReference"/>
        </w:rPr>
        <w:footnoteReference w:id="22"/>
      </w:r>
      <w:r>
        <w:t xml:space="preserve"> </w:t>
      </w:r>
    </w:p>
    <w:p w:rsidR="00303F92" w:rsidP="00303F92" w:rsidRDefault="00303F92" w14:paraId="01D2EF93" w14:textId="77777777">
      <w:pPr>
        <w:pStyle w:val="xstandard"/>
        <w:ind w:right="720"/>
      </w:pPr>
      <w:r>
        <w:t xml:space="preserve">Mr. Riggins’ complaint seeks reimbursement of the three high NEM 2 True-Up bills already paid, return of his electric meter and reconnection to the grid, and reimbursement of the costs associated with installing the allegedly unneeded Second System.  </w:t>
      </w:r>
    </w:p>
    <w:p w:rsidR="00303F92" w:rsidP="00303F92" w:rsidRDefault="00303F92" w14:paraId="143D92AD" w14:textId="0B396A97">
      <w:pPr>
        <w:pStyle w:val="xstandard"/>
        <w:ind w:right="720"/>
      </w:pPr>
      <w:r>
        <w:t xml:space="preserve">At the beginning of the complaint process, Mr. Riggins accused PG&amp;E of misreading his rooftop solar production and his household electricity usage which resulted in inaccurate high bills. </w:t>
      </w:r>
      <w:r w:rsidR="007C1707">
        <w:t xml:space="preserve"> </w:t>
      </w:r>
      <w:r>
        <w:t xml:space="preserve">By the conclusion of the complaint process, Mr. Riggins alleged that the size of his PG&amp;E bills resulted from voltage issues stemming from a transformer on PG&amp;E’s </w:t>
      </w:r>
      <w:r>
        <w:lastRenderedPageBreak/>
        <w:t>distribution system impacting his electric meter or its ability to properly measure his electric usage.</w:t>
      </w:r>
      <w:r>
        <w:rPr>
          <w:rStyle w:val="FootnoteReference"/>
        </w:rPr>
        <w:footnoteReference w:id="23"/>
      </w:r>
      <w:r>
        <w:t xml:space="preserve"> </w:t>
      </w:r>
    </w:p>
    <w:p w:rsidR="00303F92" w:rsidP="00303F92" w:rsidRDefault="00303F92" w14:paraId="1930BA23" w14:textId="0819FA00">
      <w:pPr>
        <w:pStyle w:val="xstandard"/>
        <w:ind w:right="720"/>
      </w:pPr>
      <w:r>
        <w:t xml:space="preserve">On July 1, 2025, the California Public Utilities Commission (Commission) issued an instruction to PG&amp;E to answer the complaint.  On July 3, 2025, Mr. Riggins requested to enter the Commission’s Alternative Dispute Resolution (ADR) process.  Later that same day, PG&amp;E agreed to attend ADR.  On July 11, 2025, the assigned Administrative Law Judge (ALJ) issued an email ruling extending the time that PG&amp;E had to answer the complaint until August 27, 2025, providing parties time to work with their </w:t>
      </w:r>
      <w:r w:rsidRPr="005E0459">
        <w:t xml:space="preserve">assigned </w:t>
      </w:r>
      <w:r>
        <w:t xml:space="preserve">ADR </w:t>
      </w:r>
      <w:r w:rsidRPr="005E0459">
        <w:t>neutral</w:t>
      </w:r>
      <w:r>
        <w:t xml:space="preserve"> to resolve the conflict.  On August 1, 2025, the assigned ALJ received notification that parties were unable to come to </w:t>
      </w:r>
      <w:r w:rsidR="006C3986">
        <w:t>res</w:t>
      </w:r>
      <w:r>
        <w:t>olution</w:t>
      </w:r>
      <w:r w:rsidR="006C3986">
        <w:t xml:space="preserve"> of the complaint through the ADR process.  O</w:t>
      </w:r>
      <w:r>
        <w:t xml:space="preserve">n August 27, 2025, PG&amp;E filed its answer to </w:t>
      </w:r>
      <w:r w:rsidR="006C3986">
        <w:t xml:space="preserve">the </w:t>
      </w:r>
      <w:r>
        <w:t xml:space="preserve">complaint. </w:t>
      </w:r>
    </w:p>
    <w:p w:rsidR="00303F92" w:rsidP="00303F92" w:rsidRDefault="00303F92" w14:paraId="7D619F89" w14:textId="77777777">
      <w:pPr>
        <w:pStyle w:val="xstandard"/>
        <w:ind w:right="720"/>
      </w:pPr>
      <w:r>
        <w:t xml:space="preserve">On September 4, 2025, the assigned ALJ issued a ruling to set a virtual prehearing conference.  On September 9, 2025, the assigned ALJ issued a subsequent ruling directing parties to continue to meet and confer, continue to discuss settlement, and provide the service list with status updates detailing their progress. </w:t>
      </w:r>
    </w:p>
    <w:p w:rsidR="00303F92" w:rsidP="00303F92" w:rsidRDefault="00303F92" w14:paraId="25324E45" w14:textId="77777777">
      <w:pPr>
        <w:pStyle w:val="xstandard"/>
        <w:ind w:right="720"/>
      </w:pPr>
      <w:r>
        <w:t xml:space="preserve">On October 6, 2025, a Prehearing Conference (PHC) was held to address the issues of law and fact, determine the need for hearing, set the schedule for resolving the matter, and address other matters as necessary.  </w:t>
      </w:r>
      <w:r>
        <w:lastRenderedPageBreak/>
        <w:t xml:space="preserve">At the PHC, in anticipation of upcoming winter weather, the assigned ALJ ruled that when </w:t>
      </w:r>
      <w:r w:rsidRPr="003C1237">
        <w:t xml:space="preserve">Complainant paid $200 towards his outstanding PG&amp;E bill, PG&amp;E would immediately reinstall Complainant’s meter and reconnect the residence to the </w:t>
      </w:r>
      <w:r>
        <w:t xml:space="preserve">electric </w:t>
      </w:r>
      <w:r w:rsidRPr="003C1237">
        <w:t>grid.</w:t>
      </w:r>
      <w:r>
        <w:rPr>
          <w:rStyle w:val="FootnoteReference"/>
        </w:rPr>
        <w:footnoteReference w:id="24"/>
      </w:r>
      <w:r w:rsidRPr="003C1237">
        <w:t xml:space="preserve"> </w:t>
      </w:r>
      <w:r>
        <w:t xml:space="preserve"> By the end of the prehearing conference, it was clear that evidentiary hearings would be necessary. </w:t>
      </w:r>
    </w:p>
    <w:p w:rsidR="00303F92" w:rsidP="00303F92" w:rsidRDefault="00303F92" w14:paraId="15F17E84" w14:textId="77777777">
      <w:pPr>
        <w:pStyle w:val="xstandard"/>
        <w:ind w:right="720"/>
      </w:pPr>
      <w:r>
        <w:t xml:space="preserve">On October 9, 2025, the assigned ALJ issued a ruling directing PG&amp;E to produce visual aids to assist Complainant’s understanding of the issues at hand.  On October 10, 2025, the assigned ALJ issued a ruling directing parties to participate </w:t>
      </w:r>
      <w:r w:rsidRPr="00547478">
        <w:t>in motion practice</w:t>
      </w:r>
      <w:r>
        <w:t xml:space="preserve"> to resolve questions about nondisclosure agreements and confidentiality within the discovery process.</w:t>
      </w:r>
      <w:r>
        <w:rPr>
          <w:rStyle w:val="FootnoteReference"/>
        </w:rPr>
        <w:footnoteReference w:id="25"/>
      </w:r>
      <w:r>
        <w:t xml:space="preserve">  </w:t>
      </w:r>
    </w:p>
    <w:p w:rsidR="00303F92" w:rsidP="00303F92" w:rsidRDefault="00303F92" w14:paraId="6C8F526F" w14:textId="06A5B234">
      <w:r>
        <w:t xml:space="preserve"> On October 20, 2025, the assigned ALJ issued a ruling providing parties with instructions modifying and simplifying how to handle records, information, and data</w:t>
      </w:r>
      <w:r w:rsidR="00A1290B">
        <w:t xml:space="preserve">.  The purpose of the </w:t>
      </w:r>
      <w:r>
        <w:t xml:space="preserve">order </w:t>
      </w:r>
      <w:r w:rsidR="00A1290B">
        <w:t xml:space="preserve">was </w:t>
      </w:r>
      <w:r>
        <w:t xml:space="preserve">to enable PG&amp;E to more freely provide information into the </w:t>
      </w:r>
      <w:proofErr w:type="gramStart"/>
      <w:r>
        <w:t>proceeding</w:t>
      </w:r>
      <w:proofErr w:type="gramEnd"/>
      <w:r w:rsidRPr="009975E8">
        <w:t>.</w:t>
      </w:r>
      <w:r>
        <w:t xml:space="preserve">  </w:t>
      </w:r>
      <w:r w:rsidRPr="009975E8">
        <w:t>Complainant</w:t>
      </w:r>
      <w:r>
        <w:t xml:space="preserve"> had</w:t>
      </w:r>
      <w:r w:rsidRPr="009975E8">
        <w:t xml:space="preserve"> made clear that he d</w:t>
      </w:r>
      <w:r>
        <w:t>id</w:t>
      </w:r>
      <w:r w:rsidRPr="009975E8">
        <w:t xml:space="preserve"> not consider his records, information, and data to </w:t>
      </w:r>
      <w:r>
        <w:t xml:space="preserve">be confidential so </w:t>
      </w:r>
      <w:r w:rsidR="00480750">
        <w:t xml:space="preserve">the </w:t>
      </w:r>
      <w:r>
        <w:t>assigned ALJ direct</w:t>
      </w:r>
      <w:r w:rsidR="00480750">
        <w:t>ed</w:t>
      </w:r>
      <w:r>
        <w:t xml:space="preserve"> PG&amp;E to provide Mr. Riggins with a simplified cover sheet describing the confidentiality at issue with a notation that he may utilize his own data in </w:t>
      </w:r>
      <w:r>
        <w:lastRenderedPageBreak/>
        <w:t>any future communications with the Commission.</w:t>
      </w:r>
      <w:r w:rsidR="004D035F">
        <w:rPr>
          <w:rStyle w:val="FootnoteReference"/>
        </w:rPr>
        <w:footnoteReference w:id="26"/>
      </w:r>
      <w:r>
        <w:t xml:space="preserve">  On December 15, 2026, the assigned ALJ held a status conference, answered PG&amp;E’s clarifying questions about the simplified confidentiality designation process, and PG&amp;E complied.  </w:t>
      </w:r>
    </w:p>
    <w:p w:rsidR="00303F92" w:rsidP="00303F92" w:rsidRDefault="00303F92" w14:paraId="515A6D46" w14:textId="1AFD8C2E">
      <w:r>
        <w:t xml:space="preserve">On December 11, 2026, </w:t>
      </w:r>
      <w:r w:rsidRPr="003C1237">
        <w:t xml:space="preserve">Complainant </w:t>
      </w:r>
      <w:r>
        <w:t xml:space="preserve">emailed the service list a </w:t>
      </w:r>
      <w:r w:rsidRPr="003C1237">
        <w:t xml:space="preserve">“Motion to Compel Emergency Interim Relief – Unsafe Living Conditions &amp; Required Meter Reinstallation (C.25-06-009).” </w:t>
      </w:r>
      <w:r>
        <w:t xml:space="preserve"> This was not the first time that Complainant used the service list to institute motion practice.  The assigned ALJ had previously instructed Complainant to familiarize himself with</w:t>
      </w:r>
      <w:r w:rsidR="00AC23D0">
        <w:t xml:space="preserve"> the</w:t>
      </w:r>
      <w:r w:rsidRPr="003C1237">
        <w:t xml:space="preserve"> Commission’s Rules of Practice and Procedure (Rule) 11.1(a)</w:t>
      </w:r>
      <w:r>
        <w:t>.</w:t>
      </w:r>
      <w:r>
        <w:rPr>
          <w:rStyle w:val="FootnoteReference"/>
        </w:rPr>
        <w:footnoteReference w:id="27"/>
      </w:r>
      <w:r>
        <w:t xml:space="preserve">  </w:t>
      </w:r>
      <w:r w:rsidR="00AC23D0">
        <w:t>The ALJ denied t</w:t>
      </w:r>
      <w:r>
        <w:t xml:space="preserve">he motion </w:t>
      </w:r>
      <w:r w:rsidR="00AC23D0">
        <w:t>indicating that</w:t>
      </w:r>
      <w:r>
        <w:t xml:space="preserve"> </w:t>
      </w:r>
      <w:r w:rsidR="00A1290B">
        <w:t xml:space="preserve">a process for </w:t>
      </w:r>
      <w:r>
        <w:t xml:space="preserve">the immediate reinstallation of Complainant’s meter and reconnect </w:t>
      </w:r>
      <w:r w:rsidR="00AC23D0">
        <w:t>the</w:t>
      </w:r>
      <w:r>
        <w:t xml:space="preserve"> residence to the grid already existed.</w:t>
      </w:r>
      <w:r w:rsidR="00AC23D0">
        <w:rPr>
          <w:rStyle w:val="FootnoteReference"/>
        </w:rPr>
        <w:footnoteReference w:id="28"/>
      </w:r>
      <w:r>
        <w:t xml:space="preserve"> </w:t>
      </w:r>
    </w:p>
    <w:p w:rsidR="00303F92" w:rsidP="00303F92" w:rsidRDefault="00303F92" w14:paraId="151F0780" w14:textId="48A04322">
      <w:r>
        <w:t>On December 15, 2025, PG&amp;E responded to Complainant’s motion to compel emergency interim relief indicating that it understood its directions and was prepared to reinstall Complainant’s meter immediately after he paid $200 dollars towards his outstanding balance.  PG&amp;E</w:t>
      </w:r>
      <w:r w:rsidR="00AC23D0">
        <w:t xml:space="preserve"> also</w:t>
      </w:r>
      <w:r>
        <w:t xml:space="preserve"> indicated that Complainant’s emergency motion triggered </w:t>
      </w:r>
      <w:proofErr w:type="gramStart"/>
      <w:r>
        <w:t>a safety</w:t>
      </w:r>
      <w:proofErr w:type="gramEnd"/>
      <w:r>
        <w:t xml:space="preserve"> concern </w:t>
      </w:r>
      <w:r w:rsidR="00AC23D0">
        <w:t>if</w:t>
      </w:r>
      <w:r>
        <w:t xml:space="preserve"> Complainant’s rooftop solar system </w:t>
      </w:r>
      <w:r w:rsidR="00AC23D0">
        <w:t>was</w:t>
      </w:r>
      <w:r>
        <w:t xml:space="preserve"> improperly generating electricity while his residence was disconnected from the grid.</w:t>
      </w:r>
      <w:r>
        <w:rPr>
          <w:rStyle w:val="FootnoteReference"/>
        </w:rPr>
        <w:footnoteReference w:id="29"/>
      </w:r>
    </w:p>
    <w:p w:rsidR="00303F92" w:rsidP="00303F92" w:rsidRDefault="00303F92" w14:paraId="626F70A5" w14:textId="0676A87F">
      <w:r>
        <w:lastRenderedPageBreak/>
        <w:t xml:space="preserve">On December 17, 2025, and with the arrival of cold weather, the assigned ALJ gave </w:t>
      </w:r>
      <w:r w:rsidR="00AC23D0">
        <w:t xml:space="preserve">additional </w:t>
      </w:r>
      <w:r>
        <w:t xml:space="preserve">specific direction to PG&amp;E to contact Complainant, reinstall complainant’s meter, perform a safety inspection, and provide updates </w:t>
      </w:r>
      <w:r w:rsidR="00AC23D0">
        <w:t xml:space="preserve">to the service list </w:t>
      </w:r>
      <w:r>
        <w:t>until Complainant was reconnected to the grid.</w:t>
      </w:r>
      <w:r w:rsidR="00AC23D0">
        <w:t xml:space="preserve">  The ALJ also provided </w:t>
      </w:r>
      <w:proofErr w:type="gramStart"/>
      <w:r>
        <w:t>direction</w:t>
      </w:r>
      <w:proofErr w:type="gramEnd"/>
      <w:r>
        <w:t xml:space="preserve"> to PG&amp;E about how to manage if Complainant failed to respond to PG&amp;E’s </w:t>
      </w:r>
      <w:r w:rsidR="00AC23D0">
        <w:t>communication.</w:t>
      </w:r>
      <w:r w:rsidR="00AC23D0">
        <w:rPr>
          <w:rStyle w:val="FootnoteReference"/>
        </w:rPr>
        <w:footnoteReference w:id="30"/>
      </w:r>
      <w:r>
        <w:t xml:space="preserve">  Ultimately, PG&amp;E quickly reconnected Complainant’s residence to the grid.  Complainant never paid $200 </w:t>
      </w:r>
      <w:proofErr w:type="gramStart"/>
      <w:r>
        <w:t>towards</w:t>
      </w:r>
      <w:proofErr w:type="gramEnd"/>
      <w:r>
        <w:t xml:space="preserve"> his outstanding PG&amp;E bill. </w:t>
      </w:r>
    </w:p>
    <w:p w:rsidR="00303F92" w:rsidP="00303F92" w:rsidRDefault="00303F92" w14:paraId="68415E27" w14:textId="176F818B">
      <w:r>
        <w:t>On December 30, 2025, the assigned ALJ held a status conference</w:t>
      </w:r>
      <w:r w:rsidR="00955D46">
        <w:t>,</w:t>
      </w:r>
      <w:r>
        <w:t xml:space="preserve"> on the record</w:t>
      </w:r>
      <w:r w:rsidR="00A1290B">
        <w:t>,</w:t>
      </w:r>
      <w:r>
        <w:t xml:space="preserve"> to memorialize the significant volume of communication that had occurred </w:t>
      </w:r>
      <w:r w:rsidR="00A1290B">
        <w:t xml:space="preserve">via email and </w:t>
      </w:r>
      <w:r>
        <w:t xml:space="preserve">the service list, rather than via the formal </w:t>
      </w:r>
      <w:r w:rsidR="00A1290B">
        <w:t>procedural p</w:t>
      </w:r>
      <w:r>
        <w:t>rocess.</w:t>
      </w:r>
      <w:r w:rsidR="00235630">
        <w:rPr>
          <w:rStyle w:val="FootnoteReference"/>
        </w:rPr>
        <w:footnoteReference w:id="31"/>
      </w:r>
    </w:p>
    <w:p w:rsidR="00303F92" w:rsidP="00303F92" w:rsidRDefault="00303F92" w14:paraId="2EC5F3CF" w14:textId="753FB810">
      <w:r>
        <w:t>On January 6, 2026, PG&amp;E filed a Motion to Compel Mr. Riggins to provide responses to its discovery</w:t>
      </w:r>
      <w:r w:rsidR="00A1290B">
        <w:t>.</w:t>
      </w:r>
      <w:r>
        <w:t xml:space="preserve">  Mr. Riggins later testified that he did not comply with PG&amp;E’s motion to Compel and did not provide PG&amp;E with the documents it requested.</w:t>
      </w:r>
      <w:r>
        <w:rPr>
          <w:rStyle w:val="FootnoteReference"/>
        </w:rPr>
        <w:footnoteReference w:id="32"/>
      </w:r>
      <w:r>
        <w:t xml:space="preserve"> </w:t>
      </w:r>
    </w:p>
    <w:p w:rsidRPr="001D2EED" w:rsidR="00303F92" w:rsidP="00303F92" w:rsidRDefault="00303F92" w14:paraId="7B27066A" w14:textId="77DF203A">
      <w:r>
        <w:t xml:space="preserve">On Tuesday, January 27, and Thursday, January 29, 2026, parties engaged in two days of evidentiary hearings.  Mr. Riggins presented nine witnesses on the first day, and PG&amp;E presented four witnesses on </w:t>
      </w:r>
      <w:r w:rsidR="00F00A9A">
        <w:t xml:space="preserve">the </w:t>
      </w:r>
      <w:r>
        <w:t>second</w:t>
      </w:r>
      <w:r w:rsidR="00F00A9A">
        <w:t xml:space="preserve"> day</w:t>
      </w:r>
      <w:r>
        <w:t xml:space="preserve">.  Parties were provided with the opportunity to file post hearing briefs.  PG&amp;E filed an opening </w:t>
      </w:r>
      <w:r>
        <w:lastRenderedPageBreak/>
        <w:t>brief on February 13, 2026.  Mr. Riggins filed a post hearing brief on February 23, 2026.</w:t>
      </w:r>
    </w:p>
    <w:p w:rsidR="00303F92" w:rsidP="00303F92" w:rsidRDefault="00303F92" w14:paraId="232E15E2" w14:textId="77777777">
      <w:pPr>
        <w:pStyle w:val="Heading2"/>
      </w:pPr>
      <w:bookmarkStart w:name="_Toc227322547" w:id="7"/>
      <w:r>
        <w:t>Submission Date</w:t>
      </w:r>
      <w:bookmarkEnd w:id="7"/>
    </w:p>
    <w:p w:rsidR="00303F92" w:rsidP="00303F92" w:rsidRDefault="00303F92" w14:paraId="3A0A3EDE" w14:textId="77777777">
      <w:pPr>
        <w:pStyle w:val="Standard"/>
      </w:pPr>
      <w:r w:rsidRPr="00FF0265">
        <w:t xml:space="preserve">This matter was submitted on </w:t>
      </w:r>
      <w:r>
        <w:t>February 23, 2026,</w:t>
      </w:r>
      <w:r w:rsidRPr="00FF0265">
        <w:t xml:space="preserve"> upon </w:t>
      </w:r>
      <w:r>
        <w:t xml:space="preserve">receipt of Mr. Riggins’ post evidentiary hearing brief. </w:t>
      </w:r>
    </w:p>
    <w:p w:rsidR="00303F92" w:rsidP="00303F92" w:rsidRDefault="00303F92" w14:paraId="361A943B" w14:textId="77777777">
      <w:pPr>
        <w:pStyle w:val="Heading1"/>
      </w:pPr>
      <w:bookmarkStart w:name="_Toc8123718" w:id="8"/>
      <w:bookmarkStart w:name="_Toc227322548" w:id="9"/>
      <w:r>
        <w:t>Jurisdiction and Burden of Proof</w:t>
      </w:r>
      <w:bookmarkEnd w:id="8"/>
      <w:bookmarkEnd w:id="9"/>
    </w:p>
    <w:p w:rsidR="00303F92" w:rsidP="00303F92" w:rsidRDefault="00303F92" w14:paraId="34B55D26" w14:textId="77777777">
      <w:pPr>
        <w:pStyle w:val="Standard"/>
      </w:pPr>
      <w:r>
        <w:t>The Commission has jurisdiction over the activities of public utilities.</w:t>
      </w:r>
      <w:r>
        <w:rPr>
          <w:rStyle w:val="FootnoteReference"/>
        </w:rPr>
        <w:footnoteReference w:id="33"/>
      </w:r>
      <w:r>
        <w:t xml:space="preserve"> PG&amp;E provides electricity services to residences.  PG&amp;E is a utility subject to the Commission’s jurisdiction, control and regulation. </w:t>
      </w:r>
    </w:p>
    <w:p w:rsidR="00303F92" w:rsidP="00303F92" w:rsidRDefault="00303F92" w14:paraId="2CC339BF" w14:textId="6E07753E">
      <w:pPr>
        <w:pStyle w:val="Standard"/>
      </w:pPr>
      <w:r>
        <w:t>Mr. Riggins is a self-represented Complainant.  Complainant alleges</w:t>
      </w:r>
      <w:r w:rsidRPr="00CE31BA">
        <w:t xml:space="preserve"> </w:t>
      </w:r>
      <w:r>
        <w:t>that PG&amp;E misread and misrepresented his household’s energy usage for four years.  The misrepresentations led to three high NEM 2 Annual True-Up bills and Mr. Riggins’ decision to install a new, large behind the meter solar system (</w:t>
      </w:r>
      <w:r w:rsidR="00452B04">
        <w:t>the</w:t>
      </w:r>
      <w:r>
        <w:t xml:space="preserve"> Second System).</w:t>
      </w:r>
    </w:p>
    <w:p w:rsidR="00303F92" w:rsidP="00303F92" w:rsidRDefault="00303F92" w14:paraId="588B1E0A" w14:textId="77777777">
      <w:pPr>
        <w:pStyle w:val="xstandard"/>
        <w:ind w:right="720"/>
      </w:pPr>
      <w:r>
        <w:t>Mr. Riggins’ complaint seeks reimbursement for the three NEM 2 True-Up bills already paid, and reimbursement for the purchase of the Second System, which he claims he made in reliance on PG&amp;E’s misrepresentation about his energy consumption.</w:t>
      </w:r>
      <w:r>
        <w:rPr>
          <w:rStyle w:val="FootnoteReference"/>
        </w:rPr>
        <w:footnoteReference w:id="34"/>
      </w:r>
      <w:r>
        <w:t xml:space="preserve">  The Complaint was filed pursuant to the Commission’s Rules of Practice and Procedure (Rule) 4.1(a).</w:t>
      </w:r>
      <w:r w:rsidRPr="00E008B6">
        <w:t xml:space="preserve"> </w:t>
      </w:r>
    </w:p>
    <w:p w:rsidR="00303F92" w:rsidP="00303F92" w:rsidRDefault="00303F92" w14:paraId="6C0C54AD" w14:textId="4AE2E2C7">
      <w:pPr>
        <w:pStyle w:val="Standard"/>
      </w:pPr>
      <w:r>
        <w:lastRenderedPageBreak/>
        <w:t>Mr. Riggins, as the complainant, bears the burden of proof to show that PG&amp;E violated a rule, order, law, or tariff approved by the Commission.</w:t>
      </w:r>
      <w:r>
        <w:rPr>
          <w:rStyle w:val="FootnoteReference"/>
        </w:rPr>
        <w:footnoteReference w:id="35"/>
      </w:r>
      <w:r>
        <w:t xml:space="preserve">  Despite being pro se, Mr. Riggins is held to the same standard as an attorney would be when appearing before the Commission</w:t>
      </w:r>
      <w:r w:rsidR="005A620E">
        <w:t xml:space="preserve">.  Mr. Riggins </w:t>
      </w:r>
      <w:r w:rsidR="00A1290B">
        <w:t xml:space="preserve">was </w:t>
      </w:r>
      <w:proofErr w:type="gramStart"/>
      <w:r w:rsidR="00A1290B">
        <w:t xml:space="preserve">afforded </w:t>
      </w:r>
      <w:r w:rsidR="005A620E">
        <w:t xml:space="preserve"> </w:t>
      </w:r>
      <w:r>
        <w:t>some</w:t>
      </w:r>
      <w:proofErr w:type="gramEnd"/>
      <w:r>
        <w:t xml:space="preserve"> </w:t>
      </w:r>
      <w:proofErr w:type="gramStart"/>
      <w:r>
        <w:t>accommodations</w:t>
      </w:r>
      <w:proofErr w:type="gramEnd"/>
      <w:r>
        <w:t xml:space="preserve"> and relaxed treatment with respect to the formalities of the Commission process and evidentiary hearings. </w:t>
      </w:r>
    </w:p>
    <w:p w:rsidRPr="0063491C" w:rsidR="00303F92" w:rsidP="00303F92" w:rsidRDefault="00303F92" w14:paraId="30195208" w14:textId="6794398F">
      <w:pPr>
        <w:pStyle w:val="Standard"/>
      </w:pPr>
      <w:r>
        <w:t>In describing PG&amp;E’s misrepresentation of his energy usage, Mr. Riggins implicated</w:t>
      </w:r>
      <w:r w:rsidR="005A620E">
        <w:t>, but did not allege, violations of</w:t>
      </w:r>
      <w:r>
        <w:t xml:space="preserve"> Electric Tariff Rule 21, the PG&amp;E NEM 2 rooftop solar interconnection agreement, Electric Tariff Rule 17, Electric Tariff Rule 17.1, Electric Tariff Rule 9</w:t>
      </w:r>
      <w:r w:rsidR="00007E2E">
        <w:t>, and Electric Tariff Rule 8</w:t>
      </w:r>
      <w:r>
        <w:t xml:space="preserve">.  For his complaint to succeed, Mr. Riggins must prove, by a preponderance of the evidence, or more than 50.01% probability, that PG&amp;E violated its obligations as described by any of the above noted Commission-approved rules and regulations.  </w:t>
      </w:r>
    </w:p>
    <w:p w:rsidR="00303F92" w:rsidP="00303F92" w:rsidRDefault="00303F92" w14:paraId="566CC702" w14:textId="77777777">
      <w:pPr>
        <w:pStyle w:val="Heading1"/>
      </w:pPr>
      <w:bookmarkStart w:name="_Toc8123719" w:id="10"/>
      <w:bookmarkStart w:name="_Toc227322549" w:id="11"/>
      <w:r>
        <w:t xml:space="preserve">Issues Before the </w:t>
      </w:r>
      <w:bookmarkEnd w:id="10"/>
      <w:r>
        <w:t>Commission</w:t>
      </w:r>
      <w:bookmarkEnd w:id="11"/>
    </w:p>
    <w:p w:rsidR="00303F92" w:rsidP="00303F92" w:rsidRDefault="00303F92" w14:paraId="261B8A38" w14:textId="56BE2894">
      <w:pPr>
        <w:pStyle w:val="Standard"/>
      </w:pPr>
      <w:r>
        <w:t>The elements of the initiating complaint were memorialized in the Scoping Memo</w:t>
      </w:r>
      <w:r w:rsidR="005A620E">
        <w:t>:</w:t>
      </w:r>
      <w:r>
        <w:rPr>
          <w:rStyle w:val="FootnoteReference"/>
        </w:rPr>
        <w:footnoteReference w:id="36"/>
      </w:r>
    </w:p>
    <w:p w:rsidR="00303F92" w:rsidP="00303F92" w:rsidRDefault="00303F92" w14:paraId="09924ECE" w14:textId="77777777">
      <w:pPr>
        <w:pStyle w:val="Standard"/>
        <w:numPr>
          <w:ilvl w:val="0"/>
          <w:numId w:val="22"/>
        </w:numPr>
        <w:spacing w:after="240" w:line="276" w:lineRule="auto"/>
        <w:ind w:left="1440" w:hanging="720"/>
      </w:pPr>
      <w:r>
        <w:lastRenderedPageBreak/>
        <w:t>The PG&amp;E billing amount in dispute is approximately $7,000</w:t>
      </w:r>
      <w:r>
        <w:rPr>
          <w:rStyle w:val="FootnoteReference"/>
        </w:rPr>
        <w:footnoteReference w:id="37"/>
      </w:r>
      <w:r>
        <w:t xml:space="preserve"> and complainant seeks resolution of this outstanding sum and the restoration of service to his household. </w:t>
      </w:r>
    </w:p>
    <w:p w:rsidR="00303F92" w:rsidP="00303F92" w:rsidRDefault="00303F92" w14:paraId="4CE5DAC0" w14:textId="77777777">
      <w:pPr>
        <w:pStyle w:val="Standard"/>
        <w:numPr>
          <w:ilvl w:val="0"/>
          <w:numId w:val="22"/>
        </w:numPr>
        <w:spacing w:after="240" w:line="276" w:lineRule="auto"/>
        <w:ind w:left="1440" w:hanging="720"/>
      </w:pPr>
      <w:r>
        <w:t xml:space="preserve">For four years, PG&amp;E has misrepresented Complainant’s energy consumption, resulting in $28,000 in Tru-up [sic] bills for 3 years. </w:t>
      </w:r>
    </w:p>
    <w:p w:rsidR="00303F92" w:rsidP="00303F92" w:rsidRDefault="00303F92" w14:paraId="2905CE25" w14:textId="77777777">
      <w:pPr>
        <w:pStyle w:val="Standard"/>
        <w:numPr>
          <w:ilvl w:val="0"/>
          <w:numId w:val="22"/>
        </w:numPr>
        <w:spacing w:after="240" w:line="276" w:lineRule="auto"/>
        <w:ind w:left="1440" w:hanging="720"/>
      </w:pPr>
      <w:r>
        <w:t xml:space="preserve">Complainant claims that he installed a new, unneeded solar system, </w:t>
      </w:r>
      <w:proofErr w:type="gramStart"/>
      <w:r>
        <w:t>as a result of</w:t>
      </w:r>
      <w:proofErr w:type="gramEnd"/>
      <w:r>
        <w:t xml:space="preserve"> PG&amp;E’s false information.</w:t>
      </w:r>
    </w:p>
    <w:p w:rsidR="00303F92" w:rsidP="00303F92" w:rsidRDefault="00303F92" w14:paraId="5EC2257A" w14:textId="77777777">
      <w:pPr>
        <w:pStyle w:val="Standard"/>
        <w:numPr>
          <w:ilvl w:val="0"/>
          <w:numId w:val="22"/>
        </w:numPr>
        <w:spacing w:after="240" w:line="276" w:lineRule="auto"/>
        <w:ind w:left="1440" w:hanging="720"/>
      </w:pPr>
      <w:r>
        <w:t xml:space="preserve">Complainant requests that PG&amp;E reimburse him for 3 years of “True-up” charges incurred based on inaccurate information as well as the costs associated with installing a new solar system. </w:t>
      </w:r>
    </w:p>
    <w:p w:rsidR="00303F92" w:rsidP="00303F92" w:rsidRDefault="00303F92" w14:paraId="59249076" w14:textId="77777777">
      <w:pPr>
        <w:pStyle w:val="Standard"/>
      </w:pPr>
      <w:r>
        <w:t xml:space="preserve">This Presiding Officer’s Decision considers the following two issues to be determined or otherwise considered in assessing Mr. Riggins’ claims: </w:t>
      </w:r>
    </w:p>
    <w:p w:rsidR="00303F92" w:rsidP="00303F92" w:rsidRDefault="00303F92" w14:paraId="6AC6E238" w14:textId="77777777">
      <w:pPr>
        <w:pStyle w:val="ListNum"/>
        <w:tabs>
          <w:tab w:val="clear" w:pos="1080"/>
        </w:tabs>
        <w:spacing w:line="276" w:lineRule="auto"/>
        <w:ind w:left="1440" w:right="1440" w:hanging="720"/>
        <w:rPr>
          <w:rFonts w:eastAsia="SymbolMT"/>
        </w:rPr>
      </w:pPr>
      <w:r>
        <w:rPr>
          <w:rFonts w:eastAsia="SymbolMT"/>
        </w:rPr>
        <w:t xml:space="preserve">Whether PG&amp;E violated any </w:t>
      </w:r>
      <w:r w:rsidRPr="006D120D">
        <w:rPr>
          <w:rFonts w:eastAsia="SymbolMT"/>
        </w:rPr>
        <w:t>laws</w:t>
      </w:r>
      <w:r>
        <w:rPr>
          <w:rFonts w:eastAsia="SymbolMT"/>
        </w:rPr>
        <w:t>,</w:t>
      </w:r>
      <w:r w:rsidRPr="006D120D">
        <w:rPr>
          <w:rFonts w:eastAsia="SymbolMT"/>
        </w:rPr>
        <w:t xml:space="preserve"> rules</w:t>
      </w:r>
      <w:r>
        <w:rPr>
          <w:rFonts w:eastAsia="SymbolMT"/>
        </w:rPr>
        <w:t xml:space="preserve">, statutes, or orders </w:t>
      </w:r>
      <w:r w:rsidRPr="006D120D">
        <w:rPr>
          <w:rFonts w:eastAsia="SymbolMT"/>
        </w:rPr>
        <w:t xml:space="preserve">for which the </w:t>
      </w:r>
      <w:r>
        <w:rPr>
          <w:rFonts w:eastAsia="SymbolMT"/>
        </w:rPr>
        <w:t>C</w:t>
      </w:r>
      <w:r w:rsidRPr="006D120D">
        <w:rPr>
          <w:rFonts w:eastAsia="SymbolMT"/>
        </w:rPr>
        <w:t>ommission is authorized to impose remedies</w:t>
      </w:r>
      <w:r>
        <w:rPr>
          <w:rFonts w:eastAsia="SymbolMT"/>
        </w:rPr>
        <w:t>.</w:t>
      </w:r>
    </w:p>
    <w:p w:rsidRPr="006B1422" w:rsidR="00303F92" w:rsidP="00303F92" w:rsidRDefault="00303F92" w14:paraId="6AE17900" w14:textId="77777777">
      <w:pPr>
        <w:pStyle w:val="ListNum"/>
        <w:tabs>
          <w:tab w:val="clear" w:pos="1080"/>
        </w:tabs>
        <w:spacing w:line="276" w:lineRule="auto"/>
        <w:ind w:left="1440" w:right="1440" w:hanging="720"/>
        <w:rPr>
          <w:rFonts w:eastAsia="SymbolMT"/>
        </w:rPr>
      </w:pPr>
      <w:r>
        <w:rPr>
          <w:rFonts w:eastAsia="SymbolMT"/>
        </w:rPr>
        <w:t xml:space="preserve">If violations are determined, what is the appropriate remedy to impose? </w:t>
      </w:r>
    </w:p>
    <w:p w:rsidR="00303F92" w:rsidP="00303F92" w:rsidRDefault="00303F92" w14:paraId="66EBDC2D" w14:textId="77777777">
      <w:pPr>
        <w:pStyle w:val="Heading1"/>
      </w:pPr>
      <w:bookmarkStart w:name="_Toc8123720" w:id="12"/>
      <w:bookmarkStart w:name="_Toc227322550" w:id="13"/>
      <w:r>
        <w:t>Discussion</w:t>
      </w:r>
      <w:bookmarkEnd w:id="12"/>
      <w:bookmarkEnd w:id="13"/>
    </w:p>
    <w:p w:rsidR="00303F92" w:rsidP="00303F92" w:rsidRDefault="00303F92" w14:paraId="016A88D6" w14:textId="4C78325B">
      <w:pPr>
        <w:pStyle w:val="Standard"/>
      </w:pPr>
      <w:r>
        <w:t xml:space="preserve">Mr. Riggins consistently described his </w:t>
      </w:r>
      <w:r w:rsidR="00A1290B">
        <w:t xml:space="preserve">recorded </w:t>
      </w:r>
      <w:r>
        <w:t xml:space="preserve">electricity usage as “high.”  High electricity usage is a relative term that depends on comparisons to others.  Mr. Riggins’ electricity usage is personal and tied to the consumption of electricity by his chosen appliances.  Mr. Riggins’ primary residence is fully electrified and uses electricity to power </w:t>
      </w:r>
      <w:r w:rsidR="0052526F">
        <w:t>the</w:t>
      </w:r>
      <w:r>
        <w:t xml:space="preserve"> home, a hot tub, a pool, one and sometimes two RVs, and a workshop.  Mr. Riggins’ residence had an exporting </w:t>
      </w:r>
      <w:r>
        <w:lastRenderedPageBreak/>
        <w:t xml:space="preserve">solar system, the First System, throughout the duration of </w:t>
      </w:r>
      <w:r w:rsidR="005A620E">
        <w:t>the</w:t>
      </w:r>
      <w:r>
        <w:t xml:space="preserve"> Complaint period.  </w:t>
      </w:r>
      <w:r w:rsidR="005A620E">
        <w:t xml:space="preserve">In </w:t>
      </w:r>
      <w:r>
        <w:t>2024</w:t>
      </w:r>
      <w:r w:rsidR="005A620E">
        <w:t>,</w:t>
      </w:r>
      <w:r>
        <w:t xml:space="preserve"> Mr. Riggins contracted for and installed a Second System on his property </w:t>
      </w:r>
      <w:r w:rsidR="005A620E">
        <w:t>that</w:t>
      </w:r>
      <w:r>
        <w:t xml:space="preserve"> only received permission to operate on </w:t>
      </w:r>
      <w:r w:rsidR="005A620E">
        <w:t xml:space="preserve">the </w:t>
      </w:r>
      <w:r>
        <w:t xml:space="preserve">date that his Disputed Bill came due.  No electricity from </w:t>
      </w:r>
      <w:r w:rsidR="005A620E">
        <w:t>the</w:t>
      </w:r>
      <w:r>
        <w:t xml:space="preserve"> Second System </w:t>
      </w:r>
      <w:r w:rsidR="005A620E">
        <w:t>flowed prior to the issuance of the</w:t>
      </w:r>
      <w:r>
        <w:t xml:space="preserve"> Disputed Bill.  Aside from the stated cost to install the Second System, it contributed nothing to the topics at issue in this complaint.  Ultimately, during the periods in question, Mr. Riggins’ property was a net consumer of electricity from PG&amp;</w:t>
      </w:r>
      <w:r w:rsidR="0052526F">
        <w:t>E</w:t>
      </w:r>
      <w:r w:rsidR="008D2A5D">
        <w:t>.</w:t>
      </w:r>
      <w:r w:rsidR="0052526F">
        <w:t xml:space="preserve"> </w:t>
      </w:r>
      <w:r w:rsidR="008D2A5D">
        <w:t xml:space="preserve"> </w:t>
      </w:r>
      <w:r w:rsidR="0052526F">
        <w:t xml:space="preserve">The First System did not produce enough energy to cover the total electrical usage at Mr. Riggins’ property.  </w:t>
      </w:r>
      <w:proofErr w:type="gramStart"/>
      <w:r w:rsidR="0052526F">
        <w:t>In order to</w:t>
      </w:r>
      <w:proofErr w:type="gramEnd"/>
      <w:r w:rsidR="0052526F">
        <w:t xml:space="preserve"> fulfill the properties’ total energy demands it was necessary to import energy, provided by PG&amp;E</w:t>
      </w:r>
      <w:r w:rsidR="001A1402">
        <w:t>,</w:t>
      </w:r>
      <w:r w:rsidR="0052526F">
        <w:t xml:space="preserve"> f</w:t>
      </w:r>
      <w:r w:rsidR="008D2A5D">
        <w:t>ro</w:t>
      </w:r>
      <w:r w:rsidR="0052526F">
        <w:t>m the electrical grid.  This</w:t>
      </w:r>
      <w:r>
        <w:t xml:space="preserve"> consumption </w:t>
      </w:r>
      <w:r w:rsidR="0052526F">
        <w:t xml:space="preserve">of electricity, </w:t>
      </w:r>
      <w:proofErr w:type="gramStart"/>
      <w:r w:rsidR="0052526F">
        <w:t>in excess of</w:t>
      </w:r>
      <w:proofErr w:type="gramEnd"/>
      <w:r w:rsidR="0052526F">
        <w:t xml:space="preserve"> the First System’s production, </w:t>
      </w:r>
      <w:r>
        <w:t xml:space="preserve">comes with a cost that </w:t>
      </w:r>
      <w:r w:rsidR="005A620E">
        <w:t>was</w:t>
      </w:r>
      <w:r>
        <w:t xml:space="preserve"> passed on to him in the form of a bill.  </w:t>
      </w:r>
    </w:p>
    <w:p w:rsidR="00303F92" w:rsidP="00303F92" w:rsidRDefault="00303F92" w14:paraId="6F102F17" w14:textId="330364A5">
      <w:pPr>
        <w:pStyle w:val="Standard"/>
      </w:pPr>
      <w:r>
        <w:t xml:space="preserve">Mr. Riggins </w:t>
      </w:r>
      <w:r w:rsidR="0056520B">
        <w:t>made</w:t>
      </w:r>
      <w:r w:rsidR="00D97DA4">
        <w:t xml:space="preserve"> </w:t>
      </w:r>
      <w:r w:rsidR="00D873C7">
        <w:t xml:space="preserve">a personal </w:t>
      </w:r>
      <w:r w:rsidR="00D97DA4">
        <w:t>determination that his bill was</w:t>
      </w:r>
      <w:r w:rsidR="008D2A5D">
        <w:t>,</w:t>
      </w:r>
      <w:r w:rsidR="00D97DA4">
        <w:t xml:space="preserve"> </w:t>
      </w:r>
      <w:r w:rsidR="006A78A2">
        <w:t>“</w:t>
      </w:r>
      <w:r>
        <w:t>too high</w:t>
      </w:r>
      <w:r w:rsidR="008D2A5D">
        <w:t>.</w:t>
      </w:r>
      <w:r w:rsidR="006A78A2">
        <w:t>”  M</w:t>
      </w:r>
      <w:r w:rsidR="00543DDD">
        <w:t>r. Riggins made the decision not to pay the bill and as a result</w:t>
      </w:r>
      <w:r w:rsidR="008D2A5D">
        <w:t xml:space="preserve">, </w:t>
      </w:r>
      <w:r w:rsidR="00762FC5">
        <w:t xml:space="preserve">pursuant to the Commission approved </w:t>
      </w:r>
      <w:r w:rsidR="00A54196">
        <w:t xml:space="preserve">tariff, </w:t>
      </w:r>
      <w:r>
        <w:t xml:space="preserve">PG&amp;E shut off his power.  After Mr. Riggins’ power was disconnected, he filed a formal Complaint with the Commission and had the opportunity to prove </w:t>
      </w:r>
      <w:r w:rsidR="005A620E">
        <w:t>that PG&amp;E violated laws, rules, statues, and orders,</w:t>
      </w:r>
      <w:r>
        <w:t xml:space="preserve"> by a preponderance of evidence.  </w:t>
      </w:r>
    </w:p>
    <w:p w:rsidR="00303F92" w:rsidP="00303F92" w:rsidRDefault="00303F92" w14:paraId="5AEB6BC8" w14:textId="323C1702">
      <w:pPr>
        <w:pStyle w:val="Heading2"/>
      </w:pPr>
      <w:bookmarkStart w:name="_Toc227322551" w:id="14"/>
      <w:r>
        <w:t xml:space="preserve">Complainant </w:t>
      </w:r>
      <w:r w:rsidR="003838F1">
        <w:t xml:space="preserve">has </w:t>
      </w:r>
      <w:r>
        <w:t>failed to raise or prove that PG&amp;E violated any laws, rules, statutes, or orders for which the Commission is authorized to impose remedies</w:t>
      </w:r>
      <w:bookmarkEnd w:id="14"/>
    </w:p>
    <w:p w:rsidR="00303F92" w:rsidP="00303F92" w:rsidRDefault="00303F92" w14:paraId="1492C8BA" w14:textId="774F4E38">
      <w:pPr>
        <w:pStyle w:val="Standard"/>
      </w:pPr>
      <w:r>
        <w:t>Mr. Riggins</w:t>
      </w:r>
      <w:r w:rsidR="005A620E">
        <w:t xml:space="preserve">’ complaint </w:t>
      </w:r>
      <w:r>
        <w:t>did not claim that PG&amp;E violated any rules, law, statutes, or orders for which the Commission is authorized to impose remedies.</w:t>
      </w:r>
    </w:p>
    <w:p w:rsidR="00303F92" w:rsidP="00303F92" w:rsidRDefault="00303F92" w14:paraId="5E2B3EB7" w14:textId="3847F6E7">
      <w:pPr>
        <w:pStyle w:val="Standard"/>
      </w:pPr>
      <w:r>
        <w:t>Instead, Mr. Riggins alleged that PG&amp;E incorrectly metered his electricity usage</w:t>
      </w:r>
      <w:r w:rsidR="0022212B">
        <w:t>.  We note that this was</w:t>
      </w:r>
      <w:r>
        <w:t xml:space="preserve"> </w:t>
      </w:r>
      <w:proofErr w:type="gramStart"/>
      <w:r>
        <w:t xml:space="preserve">despite </w:t>
      </w:r>
      <w:r w:rsidR="00F641A3">
        <w:t>the fact th</w:t>
      </w:r>
      <w:r w:rsidR="00E75E4E">
        <w:t>at</w:t>
      </w:r>
      <w:proofErr w:type="gramEnd"/>
      <w:r w:rsidR="00F641A3">
        <w:t xml:space="preserve"> Mr. Riggins </w:t>
      </w:r>
      <w:r>
        <w:t xml:space="preserve">never </w:t>
      </w:r>
      <w:r w:rsidR="00F641A3">
        <w:t>requested</w:t>
      </w:r>
      <w:r>
        <w:t xml:space="preserve"> an </w:t>
      </w:r>
      <w:r>
        <w:lastRenderedPageBreak/>
        <w:t>energy audit to determine his energy consumption.  In evidentiary hearings, Mr. Riggins questioned the PG&amp;E professionals who tested his electric meter, the customer service professional</w:t>
      </w:r>
      <w:r w:rsidR="005A620E">
        <w:t>s</w:t>
      </w:r>
      <w:r>
        <w:t xml:space="preserve"> who received his customer service calls, </w:t>
      </w:r>
      <w:r w:rsidR="005A620E">
        <w:t xml:space="preserve">and </w:t>
      </w:r>
      <w:r>
        <w:t xml:space="preserve">the </w:t>
      </w:r>
      <w:r w:rsidR="005A620E">
        <w:t>T</w:t>
      </w:r>
      <w:r>
        <w:t xml:space="preserve">roubleshooter who removed his electric meter when PG&amp;E heard a safety concern.  Mr. Riggins questioned several </w:t>
      </w:r>
      <w:r w:rsidR="00BC6F14">
        <w:t xml:space="preserve">other </w:t>
      </w:r>
      <w:r>
        <w:t>professionals who</w:t>
      </w:r>
      <w:r w:rsidR="005A620E">
        <w:t xml:space="preserve"> </w:t>
      </w:r>
      <w:r w:rsidR="00BC6F14">
        <w:t xml:space="preserve">testified that </w:t>
      </w:r>
      <w:r w:rsidR="009034CE">
        <w:t>Mr. Riggins was informed of methods, programs</w:t>
      </w:r>
      <w:r w:rsidR="008D2A5D">
        <w:t>,</w:t>
      </w:r>
      <w:r w:rsidR="009034CE">
        <w:t xml:space="preserve"> and </w:t>
      </w:r>
      <w:r w:rsidR="00201178">
        <w:t>processes</w:t>
      </w:r>
      <w:r w:rsidR="009034CE">
        <w:t xml:space="preserve"> </w:t>
      </w:r>
      <w:r w:rsidR="008D2A5D">
        <w:t xml:space="preserve">to </w:t>
      </w:r>
      <w:r w:rsidR="00B975AD">
        <w:t xml:space="preserve">understand and </w:t>
      </w:r>
      <w:r>
        <w:t xml:space="preserve">reduce his </w:t>
      </w:r>
      <w:r w:rsidR="005A620E">
        <w:t>electricity</w:t>
      </w:r>
      <w:r>
        <w:t xml:space="preserve"> usage.  Mr. Riggins </w:t>
      </w:r>
      <w:r w:rsidR="00F11CFD">
        <w:t xml:space="preserve">has </w:t>
      </w:r>
      <w:r>
        <w:t xml:space="preserve">failed to provide evidence that either his meter failed to operate properly, or that frequency </w:t>
      </w:r>
      <w:r w:rsidR="00D873C7">
        <w:t xml:space="preserve">of </w:t>
      </w:r>
      <w:r>
        <w:t xml:space="preserve">issues that occurred on the distribution grid impacted his electric meter’s capacity to properly measure his electricity consumption.    </w:t>
      </w:r>
    </w:p>
    <w:p w:rsidRPr="001F4E7C" w:rsidR="00303F92" w:rsidP="00303F92" w:rsidRDefault="00303F92" w14:paraId="3C11E6B2" w14:textId="6456C123">
      <w:pPr>
        <w:pStyle w:val="Standard"/>
      </w:pPr>
      <w:r>
        <w:t xml:space="preserve">Since Complainant </w:t>
      </w:r>
      <w:r w:rsidR="00DA58F7">
        <w:t xml:space="preserve">has </w:t>
      </w:r>
      <w:r>
        <w:t xml:space="preserve">failed to raise or prove that PG&amp;E violated any laws, rules, statues, or orders for which the Commission is authorized to impose remedies, this complaint is dismissed for failure to state a case. </w:t>
      </w:r>
      <w:r w:rsidR="008D2A5D">
        <w:t xml:space="preserve"> </w:t>
      </w:r>
      <w:r w:rsidR="005A620E">
        <w:t xml:space="preserve">Mr. Riggins will be placed on a payment plan for the outstanding balance of his Disputed Bill.  </w:t>
      </w:r>
      <w:r>
        <w:t xml:space="preserve">No additional remedies will be </w:t>
      </w:r>
      <w:proofErr w:type="gramStart"/>
      <w:r>
        <w:t>ordered</w:t>
      </w:r>
      <w:proofErr w:type="gramEnd"/>
      <w:r w:rsidR="005A620E">
        <w:t>.</w:t>
      </w:r>
    </w:p>
    <w:p w:rsidR="00303F92" w:rsidP="00303F92" w:rsidRDefault="00303F92" w14:paraId="15CC09F1" w14:textId="77777777">
      <w:pPr>
        <w:pStyle w:val="Heading2"/>
      </w:pPr>
      <w:bookmarkStart w:name="_Toc227322552" w:id="15"/>
      <w:r>
        <w:t>PG&amp;E’s Motion to Dismiss</w:t>
      </w:r>
      <w:bookmarkEnd w:id="15"/>
    </w:p>
    <w:p w:rsidR="00303F92" w:rsidP="00303F92" w:rsidRDefault="00303F92" w14:paraId="4FA61CC5" w14:textId="77777777">
      <w:pPr>
        <w:pStyle w:val="Standard"/>
      </w:pPr>
      <w:r>
        <w:t xml:space="preserve">On December 15, 2025, PG&amp;E filed a Motion to Dismiss.  In its Motion, PG&amp;E indicated:  </w:t>
      </w:r>
    </w:p>
    <w:p w:rsidRPr="00B97EE7" w:rsidR="00303F92" w:rsidP="00303F92" w:rsidRDefault="00303F92" w14:paraId="32AA9094" w14:textId="77777777">
      <w:pPr>
        <w:pStyle w:val="Standard"/>
        <w:tabs>
          <w:tab w:val="left" w:pos="9270"/>
        </w:tabs>
        <w:ind w:left="720" w:right="630"/>
        <w:rPr>
          <w:i/>
          <w:iCs/>
        </w:rPr>
      </w:pPr>
      <w:r w:rsidRPr="001F4E7C">
        <w:rPr>
          <w:i/>
          <w:iCs/>
        </w:rPr>
        <w:t xml:space="preserve">For the Commission to ultimately order PG&amp;E remedy a violation, the Complaint would need to state a claim alleging that PG&amp;E engaged in an act or failed to engage in an </w:t>
      </w:r>
      <w:proofErr w:type="gramStart"/>
      <w:r w:rsidRPr="001F4E7C">
        <w:rPr>
          <w:i/>
          <w:iCs/>
        </w:rPr>
        <w:t>act,</w:t>
      </w:r>
      <w:proofErr w:type="gramEnd"/>
      <w:r w:rsidRPr="001F4E7C">
        <w:rPr>
          <w:i/>
          <w:iCs/>
        </w:rPr>
        <w:t xml:space="preserve"> that violates a law or a Commission rule or order. However, neither the Complaint nor any other </w:t>
      </w:r>
      <w:r w:rsidRPr="00B97EE7">
        <w:rPr>
          <w:i/>
          <w:iCs/>
        </w:rPr>
        <w:t>filing contains such allegations. Nowhere are there specific allegations that PG&amp;E had a duty to</w:t>
      </w:r>
      <w:r w:rsidRPr="001F4E7C">
        <w:rPr>
          <w:i/>
          <w:iCs/>
        </w:rPr>
        <w:t xml:space="preserve"> </w:t>
      </w:r>
      <w:r w:rsidRPr="00B97EE7">
        <w:rPr>
          <w:i/>
          <w:iCs/>
        </w:rPr>
        <w:t>act or not act and that such act or non-act was a violation of law, statute, order or rule which the Commission can adjudicate in this proceeding.</w:t>
      </w:r>
    </w:p>
    <w:p w:rsidRPr="001F4E7C" w:rsidR="00303F92" w:rsidP="00303F92" w:rsidRDefault="00303F92" w14:paraId="54793D87" w14:textId="77777777">
      <w:pPr>
        <w:pStyle w:val="Standard"/>
        <w:tabs>
          <w:tab w:val="left" w:pos="9270"/>
        </w:tabs>
        <w:ind w:left="720" w:right="630"/>
        <w:rPr>
          <w:i/>
          <w:iCs/>
        </w:rPr>
      </w:pPr>
      <w:r w:rsidRPr="00B97EE7">
        <w:rPr>
          <w:i/>
          <w:iCs/>
        </w:rPr>
        <w:lastRenderedPageBreak/>
        <w:t>The Complaint alleges that PG&amp;E misrepresented Complainant’s energy consumption,</w:t>
      </w:r>
      <w:r w:rsidRPr="001F4E7C">
        <w:rPr>
          <w:i/>
          <w:iCs/>
        </w:rPr>
        <w:t xml:space="preserve"> </w:t>
      </w:r>
      <w:r w:rsidRPr="00B97EE7">
        <w:rPr>
          <w:i/>
          <w:iCs/>
        </w:rPr>
        <w:t>caused Complainant to purchase and install a new solar system, and removed the meter without</w:t>
      </w:r>
      <w:r w:rsidRPr="001F4E7C">
        <w:rPr>
          <w:i/>
          <w:iCs/>
        </w:rPr>
        <w:t xml:space="preserve"> </w:t>
      </w:r>
      <w:r w:rsidRPr="00B97EE7">
        <w:rPr>
          <w:i/>
          <w:iCs/>
        </w:rPr>
        <w:t>authority. The Complaint is silent as to the nature of these conditions</w:t>
      </w:r>
      <w:r w:rsidRPr="001F4E7C">
        <w:rPr>
          <w:i/>
          <w:iCs/>
        </w:rPr>
        <w:t xml:space="preserve"> </w:t>
      </w:r>
      <w:r w:rsidRPr="00B97EE7">
        <w:rPr>
          <w:i/>
          <w:iCs/>
        </w:rPr>
        <w:t>and how such acts, even if true, violate an order, tariff, rule or statute which the Commission may adjudicate and provide a</w:t>
      </w:r>
      <w:r w:rsidRPr="001F4E7C">
        <w:rPr>
          <w:i/>
          <w:iCs/>
        </w:rPr>
        <w:t xml:space="preserve"> remedy. Such conclusory allegations are insufficient to state a claim. </w:t>
      </w:r>
    </w:p>
    <w:p w:rsidRPr="00B97EE7" w:rsidR="00303F92" w:rsidP="003F0FFF" w:rsidRDefault="00303F92" w14:paraId="4A3A53FC" w14:textId="1BC260F9">
      <w:pPr>
        <w:pStyle w:val="Standard"/>
      </w:pPr>
      <w:r>
        <w:t xml:space="preserve">PG&amp;E reminded the assigned ALJ of its Motion to Dismiss at the conclusion of the second day of evidentiary hearings.  While PG&amp;E was within its </w:t>
      </w:r>
      <w:r w:rsidR="00AA5FF4">
        <w:t>rights</w:t>
      </w:r>
      <w:r>
        <w:t xml:space="preserve"> to file the Motion, the Commission </w:t>
      </w:r>
      <w:r w:rsidR="00944933">
        <w:t>has chosen</w:t>
      </w:r>
      <w:r>
        <w:t xml:space="preserve"> to dispose of this case based on the full </w:t>
      </w:r>
      <w:r w:rsidR="00944933">
        <w:t xml:space="preserve">proceeding </w:t>
      </w:r>
      <w:r>
        <w:t xml:space="preserve">record. </w:t>
      </w:r>
    </w:p>
    <w:p w:rsidRPr="00B97EE7" w:rsidR="00303F92" w:rsidP="00303F92" w:rsidRDefault="00303F92" w14:paraId="3AB4D29F" w14:textId="66535C35">
      <w:pPr>
        <w:pStyle w:val="Heading2"/>
      </w:pPr>
      <w:bookmarkStart w:name="_Toc227322553" w:id="16"/>
      <w:r>
        <w:t xml:space="preserve">Mr. Riggins’ </w:t>
      </w:r>
      <w:r w:rsidR="00D873C7">
        <w:t>P</w:t>
      </w:r>
      <w:r>
        <w:t>ayment Plan</w:t>
      </w:r>
      <w:bookmarkEnd w:id="16"/>
    </w:p>
    <w:p w:rsidR="00303F92" w:rsidP="00303F92" w:rsidRDefault="00303F92" w14:paraId="46010311" w14:textId="482E06F3">
      <w:r>
        <w:t xml:space="preserve">Per Mr. Riggin’s February 11, 2025, PG&amp;E Annual NEM 2 True-Up bill for 2024-2025, </w:t>
      </w:r>
      <w:r w:rsidR="00944933">
        <w:t>he</w:t>
      </w:r>
      <w:r>
        <w:t xml:space="preserve"> owes </w:t>
      </w:r>
      <w:r w:rsidR="00FE61AA">
        <w:t xml:space="preserve">a total of </w:t>
      </w:r>
      <w:r w:rsidRPr="00891D9A">
        <w:t>$11,337.81</w:t>
      </w:r>
      <w:r>
        <w:t xml:space="preserve">.  This amount remains outstanding. </w:t>
      </w:r>
    </w:p>
    <w:p w:rsidR="00303F92" w:rsidP="003F0FFF" w:rsidRDefault="003F0FFF" w14:paraId="2FDF6CD5" w14:textId="38C44853">
      <w:r>
        <w:t xml:space="preserve">Now that </w:t>
      </w:r>
      <w:r w:rsidR="00303F92">
        <w:t>Mr. Riggins’</w:t>
      </w:r>
      <w:r>
        <w:t xml:space="preserve"> residence is</w:t>
      </w:r>
      <w:r w:rsidR="00303F92">
        <w:t xml:space="preserve"> reconnect</w:t>
      </w:r>
      <w:r>
        <w:t>ed</w:t>
      </w:r>
      <w:r w:rsidR="00303F92">
        <w:t xml:space="preserve"> to the grid, </w:t>
      </w:r>
      <w:r>
        <w:t>his</w:t>
      </w:r>
      <w:r w:rsidR="00303F92">
        <w:t xml:space="preserve"> First and Second </w:t>
      </w:r>
      <w:r>
        <w:t xml:space="preserve">solar </w:t>
      </w:r>
      <w:r w:rsidR="00303F92">
        <w:t>System should operat</w:t>
      </w:r>
      <w:r w:rsidR="00574B1C">
        <w:t>e</w:t>
      </w:r>
      <w:r w:rsidR="00303F92">
        <w:t xml:space="preserve"> in tandem to reduce his electric consumption from the PG&amp;E grid. </w:t>
      </w:r>
      <w:r>
        <w:t xml:space="preserve"> Mr. Riggins is advised to seek an energy audit</w:t>
      </w:r>
      <w:r w:rsidR="00D844F6">
        <w:t xml:space="preserve"> to more fully understand the sources </w:t>
      </w:r>
      <w:r w:rsidR="00306847">
        <w:t>of his energy usage and the level of his home’s energy production</w:t>
      </w:r>
      <w:r>
        <w:t>.</w:t>
      </w:r>
    </w:p>
    <w:p w:rsidR="00303F92" w:rsidP="00303F92" w:rsidRDefault="00303F92" w14:paraId="295EF010" w14:textId="50484F4C">
      <w:r>
        <w:t xml:space="preserve">Mr. Riggins shall pay his outstanding balance in eighteen (18) monthly installments beginning one month from the </w:t>
      </w:r>
      <w:r w:rsidR="001F3331">
        <w:t xml:space="preserve">effective </w:t>
      </w:r>
      <w:r>
        <w:t xml:space="preserve">date of this </w:t>
      </w:r>
      <w:r w:rsidR="00236D26">
        <w:t>d</w:t>
      </w:r>
      <w:r>
        <w:t xml:space="preserve">ecision.  </w:t>
      </w:r>
      <w:r w:rsidR="00FD4E2C">
        <w:t xml:space="preserve">To encourage timely payment of the outstanding charges, </w:t>
      </w:r>
      <w:proofErr w:type="gramStart"/>
      <w:r w:rsidR="00FD4E2C">
        <w:t>as long as</w:t>
      </w:r>
      <w:proofErr w:type="gramEnd"/>
      <w:r w:rsidR="00FD4E2C">
        <w:t xml:space="preserve"> Mr. Riggins attends to his monthly payments, PG&amp;E may not charge interest </w:t>
      </w:r>
      <w:proofErr w:type="gramStart"/>
      <w:r w:rsidR="00FD4E2C">
        <w:t>to</w:t>
      </w:r>
      <w:proofErr w:type="gramEnd"/>
      <w:r w:rsidR="00FD4E2C">
        <w:t xml:space="preserve"> the outstanding balance.  Should Mr. Riggins </w:t>
      </w:r>
      <w:proofErr w:type="gramStart"/>
      <w:r w:rsidR="00FD4E2C">
        <w:t>forego</w:t>
      </w:r>
      <w:proofErr w:type="gramEnd"/>
      <w:r w:rsidR="00FD4E2C">
        <w:t xml:space="preserve"> a monthly payment without </w:t>
      </w:r>
      <w:r w:rsidR="00FD4E2C">
        <w:lastRenderedPageBreak/>
        <w:t>first contacting PG&amp;E to discuss options, the hold on interest accrual will dissolve and interest will again begin to accrue on the outstanding balance</w:t>
      </w:r>
      <w:r>
        <w:t>.</w:t>
      </w:r>
    </w:p>
    <w:p w:rsidR="00303F92" w:rsidP="00303F92" w:rsidRDefault="00303F92" w14:paraId="3A2C50A2" w14:textId="77777777">
      <w:pPr>
        <w:pStyle w:val="Heading1"/>
      </w:pPr>
      <w:bookmarkStart w:name="_Toc8123721" w:id="17"/>
      <w:bookmarkStart w:name="_Toc227322554" w:id="18"/>
      <w:r>
        <w:t>Conclusion</w:t>
      </w:r>
      <w:bookmarkEnd w:id="17"/>
      <w:bookmarkEnd w:id="18"/>
      <w:r>
        <w:t xml:space="preserve"> </w:t>
      </w:r>
    </w:p>
    <w:p w:rsidRPr="00343E5C" w:rsidR="00303F92" w:rsidP="00303F92" w:rsidRDefault="00303F92" w14:paraId="511E20E1" w14:textId="6D468AEE">
      <w:pPr>
        <w:pStyle w:val="Standard"/>
      </w:pPr>
      <w:r>
        <w:t xml:space="preserve">We find that the Complainant has failed to prove that PG&amp;E violated any laws, rules, statues, or orders for which the Commission is authorized to impose remedies.  The Complaint is dismissed.  Mr. Riggins is ordered to pay his outstanding balance owed to PG&amp;E over the course of eighteen monthly installments. </w:t>
      </w:r>
    </w:p>
    <w:p w:rsidRPr="007405A0" w:rsidR="007405A0" w:rsidP="007405A0" w:rsidRDefault="00303F92" w14:paraId="1046B81E" w14:textId="66E62595">
      <w:pPr>
        <w:pStyle w:val="Heading1"/>
      </w:pPr>
      <w:bookmarkStart w:name="_Toc227322555" w:id="19"/>
      <w:bookmarkStart w:name="_Toc8123723" w:id="20"/>
      <w:r w:rsidRPr="00D91C39">
        <w:t>Category of Proceeding</w:t>
      </w:r>
      <w:bookmarkEnd w:id="19"/>
      <w:r w:rsidRPr="00D91C39">
        <w:t xml:space="preserve"> </w:t>
      </w:r>
    </w:p>
    <w:p w:rsidR="00303F92" w:rsidP="00303F92" w:rsidRDefault="00303F92" w14:paraId="35812DEB" w14:textId="28997113">
      <w:pPr>
        <w:pStyle w:val="Standard"/>
      </w:pPr>
      <w:r>
        <w:t>T</w:t>
      </w:r>
      <w:r w:rsidRPr="00D91C39">
        <w:t xml:space="preserve">his matter </w:t>
      </w:r>
      <w:r>
        <w:t>h</w:t>
      </w:r>
      <w:r w:rsidRPr="00D91C39">
        <w:t>as</w:t>
      </w:r>
      <w:r>
        <w:t xml:space="preserve"> been categorized as </w:t>
      </w:r>
      <w:r w:rsidRPr="00D91C39">
        <w:t xml:space="preserve">adjudicatory. </w:t>
      </w:r>
      <w:r>
        <w:t xml:space="preserve"> </w:t>
      </w:r>
    </w:p>
    <w:p w:rsidRPr="007405A0" w:rsidR="007405A0" w:rsidP="008D2A5D" w:rsidRDefault="007405A0" w14:paraId="400EC36F" w14:textId="77777777">
      <w:pPr>
        <w:pStyle w:val="Heading1"/>
      </w:pPr>
      <w:bookmarkStart w:name="_Toc181355074" w:id="21"/>
      <w:r w:rsidRPr="007405A0">
        <w:t>Appeal and Review of Presiding Officer’s Decision</w:t>
      </w:r>
      <w:bookmarkEnd w:id="21"/>
    </w:p>
    <w:p w:rsidR="00AE0973" w:rsidP="00AE0973" w:rsidRDefault="00546C67" w14:paraId="5D116F5F" w14:textId="6E8E8C8D">
      <w:pPr>
        <w:pStyle w:val="Standard"/>
      </w:pPr>
      <w:r w:rsidRPr="00546C67">
        <w:t xml:space="preserve">The presiding officer’s decision in this matter was mailed to the parties in accordance with Pub. Util. Code § 311. Pursuant to Rule 14.4, any party may file an appeal of the presiding officer’s decision within thirty (30) days of the date the decision is served. </w:t>
      </w:r>
      <w:r w:rsidR="008D2A5D">
        <w:t xml:space="preserve"> </w:t>
      </w:r>
      <w:r w:rsidRPr="00546C67">
        <w:t>In addition, any Commissioner may request review of the presiding officer’s decision by filing a request for review within thirty (30) days of the date the decision is served.</w:t>
      </w:r>
      <w:r w:rsidRPr="00AE0973" w:rsidR="00AE0973">
        <w:t xml:space="preserve"> </w:t>
      </w:r>
      <w:r w:rsidR="008D2A5D">
        <w:t xml:space="preserve"> </w:t>
      </w:r>
      <w:r w:rsidRPr="00AE0973" w:rsidR="00AE0973">
        <w:t>Appeals and requests for review shall set forth specifically the grounds on which the appellant or requestor believes the Presiding Officers’ decision to be unlawful or erroneous.</w:t>
      </w:r>
      <w:r w:rsidR="008D2A5D">
        <w:t xml:space="preserve"> </w:t>
      </w:r>
      <w:r w:rsidRPr="00AE0973" w:rsidR="00AE0973">
        <w:t xml:space="preserve"> Vague assertions as to the record or the law, without citation, may be accorded little weight</w:t>
      </w:r>
      <w:r w:rsidR="00236D26">
        <w:t>.</w:t>
      </w:r>
    </w:p>
    <w:p w:rsidR="00303F92" w:rsidP="00303F92" w:rsidRDefault="00303F92" w14:paraId="37CB5C46" w14:textId="77777777">
      <w:pPr>
        <w:pStyle w:val="Heading1"/>
      </w:pPr>
      <w:bookmarkStart w:name="_Toc227322556" w:id="22"/>
      <w:r>
        <w:t>Assignment of Proceeding</w:t>
      </w:r>
      <w:bookmarkEnd w:id="20"/>
      <w:bookmarkEnd w:id="22"/>
    </w:p>
    <w:p w:rsidR="00303F92" w:rsidP="00303F92" w:rsidRDefault="00303F92" w14:paraId="0F9FC359" w14:textId="77777777">
      <w:pPr>
        <w:pStyle w:val="Standard"/>
      </w:pPr>
      <w:r w:rsidRPr="00197EA8">
        <w:t>Karen Douglas</w:t>
      </w:r>
      <w:r>
        <w:t xml:space="preserve"> </w:t>
      </w:r>
      <w:r w:rsidRPr="00D91C39">
        <w:t xml:space="preserve">is the assigned Commissioner and </w:t>
      </w:r>
      <w:r>
        <w:t xml:space="preserve">Jamie Ormond </w:t>
      </w:r>
      <w:r w:rsidRPr="00D91C39">
        <w:t xml:space="preserve">is the assigned </w:t>
      </w:r>
      <w:r w:rsidRPr="00093B17">
        <w:t>Administrative Law Judge</w:t>
      </w:r>
      <w:r>
        <w:t xml:space="preserve"> and Presiding Officer</w:t>
      </w:r>
      <w:r w:rsidRPr="00D91C39">
        <w:t xml:space="preserve"> in this proceeding</w:t>
      </w:r>
      <w:r>
        <w:t>.</w:t>
      </w:r>
    </w:p>
    <w:p w:rsidR="00303F92" w:rsidP="00303F92" w:rsidRDefault="00303F92" w14:paraId="7F15DF9B" w14:textId="77777777">
      <w:pPr>
        <w:pStyle w:val="Dummy"/>
      </w:pPr>
      <w:bookmarkStart w:name="_Toc8123725" w:id="23"/>
      <w:bookmarkStart w:name="_Toc227322557" w:id="24"/>
      <w:r>
        <w:t>Findings of Fact</w:t>
      </w:r>
      <w:bookmarkEnd w:id="23"/>
      <w:bookmarkEnd w:id="24"/>
    </w:p>
    <w:p w:rsidR="00303F92" w:rsidP="00303F92" w:rsidRDefault="00303F92" w14:paraId="053038F2" w14:textId="77777777">
      <w:pPr>
        <w:pStyle w:val="FoF"/>
      </w:pPr>
      <w:r w:rsidRPr="00B33E91">
        <w:t>Mr. Riggins owns his home in Placerville, California</w:t>
      </w:r>
      <w:r>
        <w:t>.</w:t>
      </w:r>
    </w:p>
    <w:p w:rsidR="00303F92" w:rsidP="00303F92" w:rsidRDefault="00303F92" w14:paraId="2605444D" w14:textId="0D3E08E5">
      <w:pPr>
        <w:pStyle w:val="FoF"/>
      </w:pPr>
      <w:r>
        <w:lastRenderedPageBreak/>
        <w:t>Complainant’s home</w:t>
      </w:r>
      <w:r w:rsidRPr="00130860">
        <w:t xml:space="preserve"> is a fully electrified residence, with a pool, a hot tub, one, or sometimes two</w:t>
      </w:r>
      <w:r w:rsidR="00574B1C">
        <w:t>,</w:t>
      </w:r>
      <w:r w:rsidRPr="00130860">
        <w:t xml:space="preserve"> residential vehicles</w:t>
      </w:r>
      <w:r>
        <w:t>, an area covered</w:t>
      </w:r>
      <w:r w:rsidRPr="00130860">
        <w:t xml:space="preserve"> by a pop-up tent</w:t>
      </w:r>
      <w:r>
        <w:t xml:space="preserve">, and a workshop. </w:t>
      </w:r>
    </w:p>
    <w:p w:rsidR="00303F92" w:rsidP="00303F92" w:rsidRDefault="00303F92" w14:paraId="331A1424" w14:textId="77777777">
      <w:pPr>
        <w:pStyle w:val="FoF"/>
      </w:pPr>
      <w:r w:rsidRPr="006C05C1">
        <w:t xml:space="preserve">Mr. Riggins’ property had a rooftop solar system </w:t>
      </w:r>
      <w:r>
        <w:t>(First System)</w:t>
      </w:r>
      <w:r w:rsidRPr="006C05C1">
        <w:t xml:space="preserve"> installed and interconnected under the Net Energy Metering 2 Tariff in early 2021</w:t>
      </w:r>
      <w:r>
        <w:t>.</w:t>
      </w:r>
    </w:p>
    <w:p w:rsidR="00303F92" w:rsidP="00303F92" w:rsidRDefault="00303F92" w14:paraId="0A837E93" w14:textId="6A6361A1">
      <w:pPr>
        <w:pStyle w:val="FoF"/>
      </w:pPr>
      <w:r>
        <w:t>Net Energy Metering 2 (NEM 2) annual true-up bill</w:t>
      </w:r>
      <w:r w:rsidR="003F0FFF">
        <w:t>s</w:t>
      </w:r>
      <w:r>
        <w:t xml:space="preserve"> associated with the First System installed on his residence </w:t>
      </w:r>
      <w:r w:rsidR="003F0FFF">
        <w:t>were</w:t>
      </w:r>
      <w:r>
        <w:t xml:space="preserve"> paid in February 2022 and February 2023.</w:t>
      </w:r>
    </w:p>
    <w:p w:rsidR="00303F92" w:rsidP="00303F92" w:rsidRDefault="00303F92" w14:paraId="719B8A8B" w14:textId="4E3C520F">
      <w:pPr>
        <w:pStyle w:val="FoF"/>
      </w:pPr>
      <w:r w:rsidRPr="00C531EB">
        <w:t xml:space="preserve">In March 2023, Mr. Riggins became the primary account holder for </w:t>
      </w:r>
      <w:r>
        <w:t>his</w:t>
      </w:r>
      <w:r w:rsidRPr="00C531EB">
        <w:t xml:space="preserve"> property, assuming primary responsibility for the PG&amp;E bills</w:t>
      </w:r>
      <w:r>
        <w:t>.</w:t>
      </w:r>
    </w:p>
    <w:p w:rsidR="00303F92" w:rsidP="00303F92" w:rsidRDefault="00303F92" w14:paraId="771ED8B9" w14:textId="77777777">
      <w:pPr>
        <w:pStyle w:val="FoF"/>
      </w:pPr>
      <w:r>
        <w:t>No energy audit has been conducted to determine Mr. Riggins’ total residential electrical usage.</w:t>
      </w:r>
    </w:p>
    <w:p w:rsidR="00303F92" w:rsidP="00303F92" w:rsidRDefault="00303F92" w14:paraId="756D3680" w14:textId="7E381216">
      <w:pPr>
        <w:pStyle w:val="FoF"/>
      </w:pPr>
      <w:r>
        <w:t xml:space="preserve">The 2024 NEM 2 true-up bill issued in February 2024 included </w:t>
      </w:r>
      <w:r w:rsidR="00EA357E">
        <w:t xml:space="preserve">and </w:t>
      </w:r>
      <w:r w:rsidR="003F0FFF">
        <w:t xml:space="preserve">accounted for the First System’s </w:t>
      </w:r>
      <w:r>
        <w:t>energy production</w:t>
      </w:r>
      <w:r w:rsidR="003F0FFF">
        <w:t>.</w:t>
      </w:r>
      <w:r>
        <w:t xml:space="preserve">  PG&amp;E received full payment of the </w:t>
      </w:r>
      <w:r w:rsidR="003F0FFF">
        <w:t xml:space="preserve">2024 </w:t>
      </w:r>
      <w:r>
        <w:t>NEM 2 true-up bill by</w:t>
      </w:r>
      <w:r w:rsidR="003F0FFF">
        <w:t xml:space="preserve"> PG&amp;E’s</w:t>
      </w:r>
      <w:r>
        <w:t xml:space="preserve"> November</w:t>
      </w:r>
      <w:r w:rsidR="003F0FFF">
        <w:t xml:space="preserve"> billing cycle.</w:t>
      </w:r>
      <w:r>
        <w:t xml:space="preserve"> </w:t>
      </w:r>
    </w:p>
    <w:p w:rsidR="00303F92" w:rsidP="00303F92" w:rsidRDefault="00303F92" w14:paraId="79D0D218" w14:textId="34EAFE33">
      <w:pPr>
        <w:pStyle w:val="FoF"/>
      </w:pPr>
      <w:r>
        <w:t xml:space="preserve">Mr. Riggins sought to add additional solar electricity production to his residence in 2024 and </w:t>
      </w:r>
      <w:proofErr w:type="gramStart"/>
      <w:r>
        <w:t>contracted with</w:t>
      </w:r>
      <w:proofErr w:type="gramEnd"/>
      <w:r>
        <w:t xml:space="preserve"> V3. V3 applied to PG&amp;E to interconnect a larger solar system (Second System) in November 2024.  PG&amp;E issued its permission to operate</w:t>
      </w:r>
      <w:r w:rsidR="003F0FFF">
        <w:t xml:space="preserve"> the Second System</w:t>
      </w:r>
      <w:r>
        <w:t xml:space="preserve"> on Marc</w:t>
      </w:r>
      <w:r w:rsidR="003F0FFF">
        <w:t>h</w:t>
      </w:r>
      <w:r>
        <w:t xml:space="preserve"> 4, 2025. </w:t>
      </w:r>
    </w:p>
    <w:p w:rsidR="00303F92" w:rsidP="00303F92" w:rsidRDefault="00303F92" w14:paraId="5B18DDD3" w14:textId="1D73A3A3">
      <w:pPr>
        <w:pStyle w:val="FoF"/>
      </w:pPr>
      <w:r>
        <w:t xml:space="preserve">Mr. Riggins received his 2025 NEM 2 true-up bill in February 2025, prior to </w:t>
      </w:r>
      <w:r w:rsidR="003F0FFF">
        <w:t>receiving</w:t>
      </w:r>
      <w:r>
        <w:t xml:space="preserve"> permission to operate </w:t>
      </w:r>
      <w:r w:rsidR="003F0FFF">
        <w:t>notification for the Second System</w:t>
      </w:r>
      <w:r>
        <w:t xml:space="preserve">.  </w:t>
      </w:r>
    </w:p>
    <w:p w:rsidR="00303F92" w:rsidP="00303F92" w:rsidRDefault="00303F92" w14:paraId="6402D246" w14:textId="564A231C">
      <w:pPr>
        <w:pStyle w:val="FoF"/>
      </w:pPr>
      <w:r>
        <w:t xml:space="preserve">The 2025 NEM 2 true-up bill </w:t>
      </w:r>
      <w:r w:rsidR="00AA5FF4">
        <w:t>reflected</w:t>
      </w:r>
      <w:r w:rsidR="00874F21">
        <w:t xml:space="preserve"> </w:t>
      </w:r>
      <w:r>
        <w:t xml:space="preserve">energy consumed by the residence prior to any energy production </w:t>
      </w:r>
      <w:r w:rsidR="003F0FFF">
        <w:t xml:space="preserve">contribution </w:t>
      </w:r>
      <w:r>
        <w:t xml:space="preserve">by the Second System. </w:t>
      </w:r>
    </w:p>
    <w:p w:rsidR="001B0A26" w:rsidP="00303F92" w:rsidRDefault="001B0A26" w14:paraId="5B77ED68" w14:textId="28BF9528">
      <w:pPr>
        <w:pStyle w:val="FoF"/>
      </w:pPr>
      <w:r w:rsidRPr="001B0A26">
        <w:t xml:space="preserve">Mr. Riggins </w:t>
      </w:r>
      <w:r w:rsidR="00A43E89">
        <w:t xml:space="preserve">failed to pay </w:t>
      </w:r>
      <w:r w:rsidRPr="001B0A26">
        <w:t>his 2025 NEM 2 true-up bill</w:t>
      </w:r>
      <w:r w:rsidR="00A43E89">
        <w:t>.</w:t>
      </w:r>
    </w:p>
    <w:p w:rsidR="00303F92" w:rsidP="00303F92" w:rsidRDefault="00303F92" w14:paraId="35772650" w14:textId="35040147">
      <w:pPr>
        <w:pStyle w:val="FoF"/>
      </w:pPr>
      <w:r>
        <w:lastRenderedPageBreak/>
        <w:t xml:space="preserve">PG&amp;E followed Electric Tariff Rule 11 protocol and disconnected Mr. Riggins’ electricity for non-payment of </w:t>
      </w:r>
      <w:r w:rsidR="003F0FFF">
        <w:t>the 2025 NEM 2 true-up bill</w:t>
      </w:r>
      <w:r>
        <w:t xml:space="preserve">. </w:t>
      </w:r>
    </w:p>
    <w:p w:rsidR="00303F92" w:rsidP="00303F92" w:rsidRDefault="00303F92" w14:paraId="6DEA6B38" w14:textId="5E531CCE">
      <w:pPr>
        <w:pStyle w:val="FoF"/>
      </w:pPr>
      <w:r>
        <w:t xml:space="preserve">Complainant owes PG&amp;E </w:t>
      </w:r>
      <w:r w:rsidRPr="00891D9A">
        <w:t>$11,337.81</w:t>
      </w:r>
      <w:r>
        <w:t xml:space="preserve"> </w:t>
      </w:r>
      <w:r w:rsidR="002B5C82">
        <w:t>based on</w:t>
      </w:r>
      <w:r>
        <w:t xml:space="preserve"> his February 2025 NEM 2 True-Up bill</w:t>
      </w:r>
      <w:r w:rsidR="002B5C82">
        <w:t>.  T</w:t>
      </w:r>
      <w:r>
        <w:t xml:space="preserve">hat amount remains outstanding.  </w:t>
      </w:r>
    </w:p>
    <w:p w:rsidR="00303F92" w:rsidP="00303F92" w:rsidRDefault="00303F92" w14:paraId="5BACAB29" w14:textId="77777777">
      <w:pPr>
        <w:pStyle w:val="Dummy"/>
      </w:pPr>
      <w:bookmarkStart w:name="_Toc8123726" w:id="25"/>
      <w:bookmarkStart w:name="_Toc227322558" w:id="26"/>
      <w:r>
        <w:t>Conclusions of Law</w:t>
      </w:r>
      <w:bookmarkEnd w:id="25"/>
      <w:bookmarkEnd w:id="26"/>
    </w:p>
    <w:p w:rsidR="00303F92" w:rsidP="00303F92" w:rsidRDefault="00303F92" w14:paraId="0A2F2A1A" w14:textId="77777777">
      <w:pPr>
        <w:pStyle w:val="CoL"/>
      </w:pPr>
      <w:r w:rsidRPr="002A5288">
        <w:t>Public Utilities</w:t>
      </w:r>
      <w:r>
        <w:t xml:space="preserve"> </w:t>
      </w:r>
      <w:r w:rsidRPr="002A5288">
        <w:t xml:space="preserve">Code </w:t>
      </w:r>
      <w:r>
        <w:t>S</w:t>
      </w:r>
      <w:r w:rsidRPr="002A5288">
        <w:t>ection 1702 requires a complainant to allege that a regulated entity</w:t>
      </w:r>
      <w:r>
        <w:t xml:space="preserve"> </w:t>
      </w:r>
      <w:r w:rsidRPr="002A5288">
        <w:t xml:space="preserve">has engaged in an act or failed to perform an act; and such was in violation of any law or commission order </w:t>
      </w:r>
      <w:r>
        <w:t xml:space="preserve">or rule. </w:t>
      </w:r>
    </w:p>
    <w:p w:rsidR="00303F92" w:rsidP="00303F92" w:rsidRDefault="00303F92" w14:paraId="4E6EE8A2" w14:textId="77777777">
      <w:pPr>
        <w:pStyle w:val="CoL"/>
      </w:pPr>
      <w:r>
        <w:t xml:space="preserve">Electric Tariff Rule 11 governs the process by which PG&amp;E can disconnect and reconnect customer electrical service. </w:t>
      </w:r>
    </w:p>
    <w:p w:rsidR="002B5C82" w:rsidP="00303F92" w:rsidRDefault="002B5C82" w14:paraId="2138FF7F" w14:textId="27954C1A">
      <w:pPr>
        <w:pStyle w:val="CoL"/>
      </w:pPr>
      <w:r>
        <w:t xml:space="preserve">Electric Tariff Rule 21 governs the process by which rooftop solar systems interconnect. </w:t>
      </w:r>
    </w:p>
    <w:p w:rsidR="002B5C82" w:rsidP="00303F92" w:rsidRDefault="002B5C82" w14:paraId="6C606243" w14:textId="3FE0641F">
      <w:pPr>
        <w:pStyle w:val="CoL"/>
      </w:pPr>
      <w:r>
        <w:t>Electric Tariff Rule 17</w:t>
      </w:r>
      <w:r w:rsidR="00E5701F">
        <w:t xml:space="preserve"> governs the process to test an electric meter and how an electric bill could be modified </w:t>
      </w:r>
      <w:proofErr w:type="gramStart"/>
      <w:r w:rsidR="00E5701F">
        <w:t>as a result of</w:t>
      </w:r>
      <w:proofErr w:type="gramEnd"/>
      <w:r w:rsidR="00E5701F">
        <w:t xml:space="preserve"> a meter error.</w:t>
      </w:r>
    </w:p>
    <w:p w:rsidR="002B5C82" w:rsidP="00303F92" w:rsidRDefault="002B5C82" w14:paraId="0064381B" w14:textId="3C1BA9EF">
      <w:pPr>
        <w:pStyle w:val="CoL"/>
      </w:pPr>
      <w:r>
        <w:t>Electric Tariff Rule 9</w:t>
      </w:r>
      <w:r w:rsidR="00E5701F">
        <w:t xml:space="preserve"> governs how PG&amp;E provides customers with their bills.</w:t>
      </w:r>
    </w:p>
    <w:p w:rsidR="00007E2E" w:rsidP="00303F92" w:rsidRDefault="00007E2E" w14:paraId="5AAC28DB" w14:textId="341E5A2D">
      <w:pPr>
        <w:pStyle w:val="CoL"/>
      </w:pPr>
      <w:r>
        <w:t>Electric Tariff Rule 8 governs how PG&amp;E provides legal notice to customers when a bill is past due.</w:t>
      </w:r>
    </w:p>
    <w:p w:rsidR="00303F92" w:rsidP="00303F92" w:rsidRDefault="00303F92" w14:paraId="0FDF69BE" w14:textId="77777777">
      <w:pPr>
        <w:pStyle w:val="CoL"/>
      </w:pPr>
      <w:r>
        <w:t>C</w:t>
      </w:r>
      <w:r w:rsidRPr="00667C3B">
        <w:t>omplainant bears the burden of proof to show that PG&amp;E violated a rule, order, law, or tariff approved by the Commission</w:t>
      </w:r>
      <w:r>
        <w:t>.</w:t>
      </w:r>
    </w:p>
    <w:p w:rsidR="00303F92" w:rsidP="00303F92" w:rsidRDefault="00303F92" w14:paraId="08E85E2A" w14:textId="77777777">
      <w:pPr>
        <w:pStyle w:val="CoL"/>
      </w:pPr>
      <w:r w:rsidRPr="007B728A">
        <w:t>Complainant failed to raise or prove that PG&amp;E violated any laws, rules, statues, or orders for which the Commission is authorized to impose remedies</w:t>
      </w:r>
      <w:r>
        <w:t>.</w:t>
      </w:r>
    </w:p>
    <w:p w:rsidR="007341B6" w:rsidP="007341B6" w:rsidRDefault="007341B6" w14:paraId="07538B8B" w14:textId="23FF3962">
      <w:pPr>
        <w:pStyle w:val="CoL"/>
      </w:pPr>
      <w:r>
        <w:t xml:space="preserve">An eighteen-month repayment plan </w:t>
      </w:r>
      <w:r w:rsidR="003D55CF">
        <w:t>should be</w:t>
      </w:r>
      <w:r>
        <w:t xml:space="preserve"> established to enable Mr. Riggins to repay his outstanding balance.</w:t>
      </w:r>
    </w:p>
    <w:p w:rsidR="007341B6" w:rsidP="008D2A5D" w:rsidRDefault="007341B6" w14:paraId="2C1EA5E3" w14:textId="1ACC5F40">
      <w:pPr>
        <w:pStyle w:val="CoL"/>
      </w:pPr>
      <w:r>
        <w:lastRenderedPageBreak/>
        <w:t xml:space="preserve">The repayment plan </w:t>
      </w:r>
      <w:r w:rsidR="003D55CF">
        <w:t xml:space="preserve">should </w:t>
      </w:r>
      <w:r>
        <w:t xml:space="preserve">commence one month from the </w:t>
      </w:r>
      <w:r w:rsidR="00AA5FF4">
        <w:t xml:space="preserve">effective </w:t>
      </w:r>
      <w:r>
        <w:t xml:space="preserve">date </w:t>
      </w:r>
      <w:r w:rsidR="004D4CC5">
        <w:t>of th</w:t>
      </w:r>
      <w:r>
        <w:t xml:space="preserve">is </w:t>
      </w:r>
      <w:r w:rsidR="00236D26">
        <w:t>d</w:t>
      </w:r>
      <w:r>
        <w:t>ecision.</w:t>
      </w:r>
    </w:p>
    <w:p w:rsidRPr="00EC5127" w:rsidR="00303F92" w:rsidP="00303F92" w:rsidRDefault="00303F92" w14:paraId="55713751" w14:textId="77777777">
      <w:pPr>
        <w:pStyle w:val="CoL"/>
      </w:pPr>
      <w:r w:rsidRPr="00EC5127">
        <w:t>All rulings by the assigned ALJ should be affirmed.</w:t>
      </w:r>
    </w:p>
    <w:p w:rsidR="00303F92" w:rsidP="00303F92" w:rsidRDefault="00303F92" w14:paraId="7363F1E5" w14:textId="77777777">
      <w:pPr>
        <w:pStyle w:val="CoL"/>
      </w:pPr>
      <w:r w:rsidRPr="00EC5127">
        <w:t xml:space="preserve">All pending motions should </w:t>
      </w:r>
      <w:proofErr w:type="gramStart"/>
      <w:r w:rsidRPr="00EC5127">
        <w:t>be deemed</w:t>
      </w:r>
      <w:proofErr w:type="gramEnd"/>
      <w:r w:rsidRPr="00EC5127">
        <w:t xml:space="preserve"> denied.</w:t>
      </w:r>
    </w:p>
    <w:p w:rsidRPr="001E2A62" w:rsidR="00303F92" w:rsidP="00303F92" w:rsidRDefault="004A514F" w14:paraId="5C43C55E" w14:textId="6B069321">
      <w:pPr>
        <w:pStyle w:val="CoL"/>
      </w:pPr>
      <w:r>
        <w:t xml:space="preserve">The </w:t>
      </w:r>
      <w:r w:rsidRPr="008D6611" w:rsidR="00303F92">
        <w:t xml:space="preserve">Complaint 25-06-009 should be </w:t>
      </w:r>
      <w:r w:rsidR="00303F92">
        <w:t>denied.</w:t>
      </w:r>
    </w:p>
    <w:p w:rsidRPr="001E2A62" w:rsidR="00303F92" w:rsidP="00303F92" w:rsidRDefault="004A514F" w14:paraId="2EF785A2" w14:textId="493739A4">
      <w:pPr>
        <w:pStyle w:val="CoL"/>
      </w:pPr>
      <w:r>
        <w:t xml:space="preserve">The </w:t>
      </w:r>
      <w:r w:rsidR="00303F92">
        <w:t>Complaint 25-06-009 should be</w:t>
      </w:r>
      <w:r w:rsidRPr="001E2A62" w:rsidR="00303F92">
        <w:t xml:space="preserve"> closed.</w:t>
      </w:r>
    </w:p>
    <w:p w:rsidR="00303F92" w:rsidP="00303F92" w:rsidRDefault="00303F92" w14:paraId="68CE7390" w14:textId="77777777">
      <w:pPr>
        <w:pStyle w:val="Mainex"/>
      </w:pPr>
      <w:bookmarkStart w:name="_Toc227322559" w:id="27"/>
      <w:r>
        <w:t>ORDER</w:t>
      </w:r>
      <w:bookmarkEnd w:id="27"/>
    </w:p>
    <w:p w:rsidR="00303F92" w:rsidP="00303F92" w:rsidRDefault="00303F92" w14:paraId="533441BD" w14:textId="77777777">
      <w:pPr>
        <w:keepNext/>
      </w:pPr>
      <w:r w:rsidRPr="00BB0243">
        <w:rPr>
          <w:b/>
        </w:rPr>
        <w:t>IT IS ORDERED</w:t>
      </w:r>
      <w:r>
        <w:t xml:space="preserve"> that:</w:t>
      </w:r>
    </w:p>
    <w:p w:rsidR="00A94CC3" w:rsidP="00303F92" w:rsidRDefault="00A94CC3" w14:paraId="5CDA03DF" w14:textId="6EFEB785">
      <w:pPr>
        <w:pStyle w:val="OP"/>
      </w:pPr>
      <w:r w:rsidRPr="00A94CC3">
        <w:t xml:space="preserve">Complaint 25-06-009 </w:t>
      </w:r>
      <w:r w:rsidR="002A5EC0">
        <w:t>is</w:t>
      </w:r>
      <w:r w:rsidRPr="00A94CC3">
        <w:t xml:space="preserve"> denied </w:t>
      </w:r>
      <w:r w:rsidR="002A5EC0">
        <w:t>and dismissed</w:t>
      </w:r>
      <w:r w:rsidR="008D2A5D">
        <w:t>.</w:t>
      </w:r>
      <w:r w:rsidR="002A5EC0">
        <w:t xml:space="preserve"> </w:t>
      </w:r>
    </w:p>
    <w:p w:rsidRPr="001E2A62" w:rsidR="00303F92" w:rsidP="00303F92" w:rsidRDefault="00303F92" w14:paraId="16CAD51E" w14:textId="7E05BCA4">
      <w:pPr>
        <w:pStyle w:val="OP"/>
      </w:pPr>
      <w:r>
        <w:t xml:space="preserve">Clinton W. Riggins shall repay his outstanding balance </w:t>
      </w:r>
      <w:r w:rsidR="00FD4E2C">
        <w:t xml:space="preserve">of </w:t>
      </w:r>
      <w:r w:rsidRPr="00FD4E2C" w:rsidR="00FD4E2C">
        <w:t>$11,337.81</w:t>
      </w:r>
      <w:r w:rsidR="00FD4E2C">
        <w:t xml:space="preserve"> </w:t>
      </w:r>
      <w:r>
        <w:t xml:space="preserve">owed to Pacific Gas </w:t>
      </w:r>
      <w:r w:rsidR="00236D26">
        <w:t xml:space="preserve">and </w:t>
      </w:r>
      <w:r>
        <w:t>Electric Company in eighteen monthly installments</w:t>
      </w:r>
      <w:r w:rsidR="00607875">
        <w:t>, commencing one month after the effective date of this Decision.</w:t>
      </w:r>
      <w:r>
        <w:t xml:space="preserve"> </w:t>
      </w:r>
    </w:p>
    <w:p w:rsidRPr="008108E4" w:rsidR="00303F92" w:rsidP="00303F92" w:rsidRDefault="00303F92" w14:paraId="0CF25F6E" w14:textId="77777777">
      <w:pPr>
        <w:pStyle w:val="OP"/>
      </w:pPr>
      <w:r w:rsidRPr="008108E4">
        <w:t>All pending motions which have not been expressly resolved by the assigned Administrative Law Judge are denied.</w:t>
      </w:r>
    </w:p>
    <w:p w:rsidR="00303F92" w:rsidP="00303F92" w:rsidRDefault="00303F92" w14:paraId="4943BA87" w14:textId="77777777">
      <w:pPr>
        <w:pStyle w:val="OP"/>
      </w:pPr>
      <w:bookmarkStart w:name="_Hlk140738463" w:id="28"/>
      <w:r>
        <w:t xml:space="preserve">Complaint 25-06-009 </w:t>
      </w:r>
      <w:r w:rsidRPr="001E2A62">
        <w:t>is closed.</w:t>
      </w:r>
    </w:p>
    <w:bookmarkEnd w:id="28"/>
    <w:p w:rsidR="00303F92" w:rsidP="00303F92" w:rsidRDefault="00303F92" w14:paraId="4657B664" w14:textId="77777777">
      <w:r>
        <w:t>This order is effective today.</w:t>
      </w:r>
    </w:p>
    <w:p w:rsidRPr="00714CF2" w:rsidR="00303F92" w:rsidP="00303F92" w:rsidRDefault="00303F92" w14:paraId="2DFD0301" w14:textId="66DFB975">
      <w:r>
        <w:t xml:space="preserve">Dated </w:t>
      </w:r>
      <w:r w:rsidR="007D02D5">
        <w:t>July 27, 2026</w:t>
      </w:r>
      <w:r>
        <w:t>, at San Francisco, California</w:t>
      </w:r>
    </w:p>
    <w:p w:rsidR="00DB1867" w:rsidP="00303F92" w:rsidRDefault="00DB1867" w14:paraId="4EFFA2FE" w14:textId="77777777">
      <w:pPr>
        <w:tabs>
          <w:tab w:val="center" w:pos="4680"/>
          <w:tab w:val="right" w:pos="9360"/>
        </w:tabs>
        <w:spacing w:line="240" w:lineRule="auto"/>
        <w:ind w:firstLine="0"/>
        <w:rPr>
          <w:rFonts w:ascii="Arial" w:hAnsi="Arial" w:cs="Arial"/>
          <w:b/>
          <w:sz w:val="24"/>
          <w:szCs w:val="24"/>
        </w:rPr>
      </w:pPr>
    </w:p>
    <w:sectPr w:rsidR="00DB1867" w:rsidSect="00DF23BE">
      <w:headerReference w:type="default" r:id="rId14"/>
      <w:footerReference w:type="default" r:id="rId15"/>
      <w:headerReference w:type="first" r:id="rId16"/>
      <w:footerReference w:type="first" r:id="rId17"/>
      <w:pgSz w:w="12240" w:h="15840"/>
      <w:pgMar w:top="1728" w:right="1440" w:bottom="1440" w:left="1440" w:header="720" w:footer="720" w:gutter="0"/>
      <w:pgNumType w:fmt="numberInDash"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A8660" w14:textId="77777777" w:rsidR="00030A33" w:rsidRDefault="00030A33" w:rsidP="0098138E">
      <w:pPr>
        <w:spacing w:line="240" w:lineRule="auto"/>
      </w:pPr>
      <w:r>
        <w:separator/>
      </w:r>
    </w:p>
  </w:endnote>
  <w:endnote w:type="continuationSeparator" w:id="0">
    <w:p w14:paraId="3F4490DA" w14:textId="77777777" w:rsidR="00030A33" w:rsidRDefault="00030A33" w:rsidP="009813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MT">
    <w:altName w:val="Microsoft JhengHe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08D78" w14:textId="7D4553E3" w:rsidR="003B6FE3" w:rsidRDefault="003B6FE3" w:rsidP="003B6FE3">
    <w:pPr>
      <w:pStyle w:val="Footer"/>
    </w:pPr>
  </w:p>
  <w:p w14:paraId="08F4BF47" w14:textId="21617947" w:rsidR="00E23CBB" w:rsidRDefault="00E23CBB" w:rsidP="007E0FEE">
    <w:pPr>
      <w:ind w:firstLine="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6370124"/>
      <w:docPartObj>
        <w:docPartGallery w:val="Page Numbers (Bottom of Page)"/>
        <w:docPartUnique/>
      </w:docPartObj>
    </w:sdtPr>
    <w:sdtEndPr>
      <w:rPr>
        <w:noProof/>
      </w:rPr>
    </w:sdtEndPr>
    <w:sdtContent>
      <w:p w14:paraId="3AD25D1A" w14:textId="77777777" w:rsidR="00DF23BE" w:rsidRDefault="00DF23BE" w:rsidP="00DF23BE">
        <w:pPr>
          <w:pStyle w:val="Footer"/>
          <w:tabs>
            <w:tab w:val="clear" w:pos="4680"/>
            <w:tab w:val="center" w:pos="4320"/>
          </w:tabs>
          <w:ind w:firstLine="0"/>
          <w:jc w:val="center"/>
        </w:pPr>
      </w:p>
      <w:p w14:paraId="4433E3FE" w14:textId="585E7599" w:rsidR="00DF23BE" w:rsidRDefault="00DF23BE" w:rsidP="00DF23BE">
        <w:pPr>
          <w:pStyle w:val="Footer"/>
          <w:tabs>
            <w:tab w:val="clear" w:pos="4680"/>
            <w:tab w:val="center" w:pos="4320"/>
          </w:tabs>
          <w:ind w:firstLine="0"/>
          <w:jc w:val="center"/>
        </w:pPr>
        <w:r>
          <w:fldChar w:fldCharType="begin"/>
        </w:r>
        <w:r>
          <w:instrText xml:space="preserve"> PAGE   \* MERGEFORMAT </w:instrText>
        </w:r>
        <w:r>
          <w:fldChar w:fldCharType="separate"/>
        </w:r>
        <w:r>
          <w:rPr>
            <w:noProof/>
          </w:rPr>
          <w:t>2</w:t>
        </w:r>
        <w:r>
          <w:rPr>
            <w:noProof/>
          </w:rPr>
          <w:fldChar w:fldCharType="end"/>
        </w:r>
      </w:p>
    </w:sdtContent>
  </w:sdt>
  <w:p w14:paraId="7D21D50E" w14:textId="3146FCDF" w:rsidR="00303F92" w:rsidRDefault="00303F92" w:rsidP="007E0FEE">
    <w:pPr>
      <w:ind w:firstLin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0E473" w14:textId="0BFA1765" w:rsidR="00DF23BE" w:rsidRDefault="00100AE2" w:rsidP="001F43BA">
    <w:pPr>
      <w:pStyle w:val="Footer"/>
      <w:ind w:firstLine="0"/>
    </w:pPr>
    <w:r w:rsidRPr="00100AE2">
      <w:rPr>
        <w:sz w:val="16"/>
        <w:szCs w:val="16"/>
      </w:rPr>
      <w:t>612425021</w:t>
    </w:r>
    <w:r w:rsidR="001F43BA">
      <w:tab/>
    </w:r>
    <w:sdt>
      <w:sdtPr>
        <w:id w:val="1300731848"/>
        <w:docPartObj>
          <w:docPartGallery w:val="Page Numbers (Bottom of Page)"/>
          <w:docPartUnique/>
        </w:docPartObj>
      </w:sdtPr>
      <w:sdtEndPr>
        <w:rPr>
          <w:noProof/>
        </w:rPr>
      </w:sdtEndPr>
      <w:sdtContent>
        <w:r w:rsidR="00DF23BE">
          <w:fldChar w:fldCharType="begin"/>
        </w:r>
        <w:r w:rsidR="00DF23BE">
          <w:instrText xml:space="preserve"> PAGE   \* MERGEFORMAT </w:instrText>
        </w:r>
        <w:r w:rsidR="00DF23BE">
          <w:fldChar w:fldCharType="separate"/>
        </w:r>
        <w:r w:rsidR="00DF23BE">
          <w:rPr>
            <w:noProof/>
          </w:rPr>
          <w:t>2</w:t>
        </w:r>
        <w:r w:rsidR="00DF23BE">
          <w:rPr>
            <w:noProof/>
          </w:rPr>
          <w:fldChar w:fldCharType="end"/>
        </w:r>
      </w:sdtContent>
    </w:sdt>
  </w:p>
  <w:p w14:paraId="1EB1006C" w14:textId="77777777" w:rsidR="00DF23BE" w:rsidRDefault="00DF23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973A0" w14:textId="77777777" w:rsidR="00030A33" w:rsidRDefault="00030A33" w:rsidP="00DF58E7">
      <w:pPr>
        <w:spacing w:line="240" w:lineRule="auto"/>
        <w:ind w:firstLine="0"/>
      </w:pPr>
      <w:r>
        <w:separator/>
      </w:r>
    </w:p>
  </w:footnote>
  <w:footnote w:type="continuationSeparator" w:id="0">
    <w:p w14:paraId="55C68B56" w14:textId="77777777" w:rsidR="00030A33" w:rsidRDefault="00030A33" w:rsidP="00DF58E7">
      <w:pPr>
        <w:spacing w:line="240" w:lineRule="auto"/>
        <w:ind w:firstLine="0"/>
      </w:pPr>
      <w:r>
        <w:continuationSeparator/>
      </w:r>
    </w:p>
  </w:footnote>
  <w:footnote w:type="continuationNotice" w:id="1">
    <w:p w14:paraId="6BDF366C" w14:textId="77777777" w:rsidR="00030A33" w:rsidRPr="00DF58E7" w:rsidRDefault="00030A33" w:rsidP="00DF58E7">
      <w:pPr>
        <w:spacing w:line="240" w:lineRule="auto"/>
        <w:ind w:firstLine="0"/>
        <w:jc w:val="right"/>
        <w:rPr>
          <w:i/>
          <w:sz w:val="22"/>
        </w:rPr>
      </w:pPr>
      <w:r w:rsidRPr="00DF58E7">
        <w:rPr>
          <w:i/>
          <w:sz w:val="22"/>
        </w:rPr>
        <w:t xml:space="preserve">Footnote </w:t>
      </w:r>
      <w:proofErr w:type="gramStart"/>
      <w:r w:rsidRPr="00DF58E7">
        <w:rPr>
          <w:i/>
          <w:sz w:val="22"/>
        </w:rPr>
        <w:t>continued on</w:t>
      </w:r>
      <w:proofErr w:type="gramEnd"/>
      <w:r w:rsidRPr="00DF58E7">
        <w:rPr>
          <w:i/>
          <w:sz w:val="22"/>
        </w:rPr>
        <w:t xml:space="preserve"> next page.</w:t>
      </w:r>
    </w:p>
  </w:footnote>
  <w:footnote w:id="2">
    <w:p w14:paraId="5E690DAF" w14:textId="6C6269E1" w:rsidR="00303F92" w:rsidRDefault="00303F92" w:rsidP="00303F92">
      <w:pPr>
        <w:pStyle w:val="FootnoteText"/>
      </w:pPr>
      <w:r>
        <w:rPr>
          <w:rStyle w:val="FootnoteReference"/>
        </w:rPr>
        <w:footnoteRef/>
      </w:r>
      <w:r>
        <w:t xml:space="preserve"> Evidentiary Hearing Transcript (Transcript), January 27, 2026, at 46 ln 25 – 46.</w:t>
      </w:r>
    </w:p>
  </w:footnote>
  <w:footnote w:id="3">
    <w:p w14:paraId="7F3EE7FC" w14:textId="25BB84D7" w:rsidR="00303F92" w:rsidRDefault="00303F92" w:rsidP="00303F92">
      <w:pPr>
        <w:pStyle w:val="FootnoteText"/>
      </w:pPr>
      <w:r>
        <w:rPr>
          <w:rStyle w:val="FootnoteReference"/>
        </w:rPr>
        <w:footnoteRef/>
      </w:r>
      <w:r>
        <w:t xml:space="preserve"> </w:t>
      </w:r>
      <w:r>
        <w:rPr>
          <w:i/>
          <w:iCs/>
        </w:rPr>
        <w:t xml:space="preserve">See, </w:t>
      </w:r>
      <w:r>
        <w:t xml:space="preserve">Transcript at 39 ln 13, 18, and 20; 42 ln 6; 44 ln 2; 69 ln 15-24: A shop garage is noted several times in the transcript although it is unclear what, if any, activities that occur inside would draw electrical current.  </w:t>
      </w:r>
    </w:p>
  </w:footnote>
  <w:footnote w:id="4">
    <w:p w14:paraId="2B56A097" w14:textId="77777777" w:rsidR="00303F92" w:rsidRDefault="00303F92" w:rsidP="00303F92">
      <w:pPr>
        <w:pStyle w:val="FootnoteText"/>
      </w:pPr>
      <w:r>
        <w:rPr>
          <w:rStyle w:val="FootnoteReference"/>
        </w:rPr>
        <w:footnoteRef/>
      </w:r>
      <w:r>
        <w:t xml:space="preserve"> Pacific Gas &amp; Electric Company’s Opening Brief (PG&amp;E Brief) at 22-23.</w:t>
      </w:r>
    </w:p>
  </w:footnote>
  <w:footnote w:id="5">
    <w:p w14:paraId="355B8604" w14:textId="77777777" w:rsidR="00303F92" w:rsidRDefault="00303F92" w:rsidP="00303F92">
      <w:pPr>
        <w:pStyle w:val="FootnoteText"/>
      </w:pPr>
      <w:r>
        <w:rPr>
          <w:rStyle w:val="FootnoteReference"/>
        </w:rPr>
        <w:footnoteRef/>
      </w:r>
      <w:r>
        <w:t xml:space="preserve"> Every month that a rooftop solar customer has pays their electrical bills through a NEM tariff, each month there is a NEM charge and an indication about the amount of electricity that the homeowner used that month.  Each month those bills are added together in a NEM true-up table which can be found on each billing statement.  The NEM true-up is billed to customers on an annual basis.</w:t>
      </w:r>
    </w:p>
    <w:p w14:paraId="13311408" w14:textId="77777777" w:rsidR="00303F92" w:rsidRDefault="00303F92" w:rsidP="00303F92">
      <w:pPr>
        <w:pStyle w:val="FootnoteText"/>
      </w:pPr>
      <w:r>
        <w:t>Answer of PG&amp;E to Complaint of Clinton W. Riggins (Answer) at 4: The f</w:t>
      </w:r>
      <w:r w:rsidRPr="0012099E">
        <w:t>irst Annual True Up Bill dated March 11, 2022, for service from March 10, 2021, to March</w:t>
      </w:r>
      <w:r>
        <w:t xml:space="preserve"> </w:t>
      </w:r>
      <w:r w:rsidRPr="0012099E">
        <w:t>10, 2022, was paid.</w:t>
      </w:r>
    </w:p>
  </w:footnote>
  <w:footnote w:id="6">
    <w:p w14:paraId="5CDA42CF" w14:textId="77777777" w:rsidR="00303F92" w:rsidRDefault="00303F92" w:rsidP="00303F92">
      <w:pPr>
        <w:pStyle w:val="FootnoteText"/>
      </w:pPr>
      <w:r>
        <w:rPr>
          <w:rStyle w:val="FootnoteReference"/>
        </w:rPr>
        <w:footnoteRef/>
      </w:r>
      <w:r>
        <w:t xml:space="preserve"> Answer at 4:  </w:t>
      </w:r>
      <w:r w:rsidRPr="0012099E">
        <w:t>The second Annual True Up Bill dated March 5, 2023, for service from</w:t>
      </w:r>
      <w:r>
        <w:t xml:space="preserve"> </w:t>
      </w:r>
      <w:r w:rsidRPr="0012099E">
        <w:t>March 10, 2022, to February 28, 2023, was paid.</w:t>
      </w:r>
    </w:p>
    <w:p w14:paraId="3C41D91D" w14:textId="39E83526" w:rsidR="00303F92" w:rsidRPr="003C1BCC" w:rsidRDefault="00007E2E" w:rsidP="00303F92">
      <w:pPr>
        <w:spacing w:line="240" w:lineRule="auto"/>
        <w:ind w:firstLine="0"/>
        <w:rPr>
          <w:sz w:val="22"/>
        </w:rPr>
      </w:pPr>
      <w:r>
        <w:rPr>
          <w:sz w:val="22"/>
        </w:rPr>
        <w:t>Answer at</w:t>
      </w:r>
      <w:r w:rsidR="00303F92" w:rsidRPr="003C1BCC">
        <w:rPr>
          <w:sz w:val="22"/>
        </w:rPr>
        <w:t xml:space="preserve"> PDF </w:t>
      </w:r>
      <w:proofErr w:type="spellStart"/>
      <w:r w:rsidR="00303F92" w:rsidRPr="003C1BCC">
        <w:rPr>
          <w:sz w:val="22"/>
        </w:rPr>
        <w:t>pg</w:t>
      </w:r>
      <w:proofErr w:type="spellEnd"/>
      <w:r w:rsidR="00303F92" w:rsidRPr="003C1BCC">
        <w:rPr>
          <w:sz w:val="22"/>
        </w:rPr>
        <w:t xml:space="preserve"> 35, indicate how NEM billing works and is detailed on every billing statement: </w:t>
      </w:r>
    </w:p>
    <w:p w14:paraId="4533062D" w14:textId="77777777" w:rsidR="00303F92" w:rsidRPr="003C1BCC" w:rsidRDefault="00303F92" w:rsidP="00303F92">
      <w:pPr>
        <w:spacing w:line="240" w:lineRule="auto"/>
        <w:ind w:firstLine="0"/>
        <w:rPr>
          <w:i/>
          <w:iCs/>
          <w:sz w:val="22"/>
        </w:rPr>
      </w:pPr>
      <w:r w:rsidRPr="003C1BCC">
        <w:rPr>
          <w:i/>
          <w:iCs/>
          <w:sz w:val="22"/>
        </w:rPr>
        <w:t>Explanation of Calculations:</w:t>
      </w:r>
      <w:r w:rsidRPr="003C1BCC">
        <w:rPr>
          <w:i/>
          <w:iCs/>
          <w:sz w:val="22"/>
        </w:rPr>
        <w:br/>
        <w:t xml:space="preserve">Your YTD Estimated NEM Charges represents the total charges for energy </w:t>
      </w:r>
      <w:proofErr w:type="gramStart"/>
      <w:r w:rsidRPr="003C1BCC">
        <w:rPr>
          <w:i/>
          <w:iCs/>
          <w:sz w:val="22"/>
        </w:rPr>
        <w:t>used,</w:t>
      </w:r>
      <w:proofErr w:type="gramEnd"/>
      <w:r w:rsidRPr="003C1BCC">
        <w:rPr>
          <w:i/>
          <w:iCs/>
          <w:sz w:val="22"/>
        </w:rPr>
        <w:t xml:space="preserve"> net of any credits for energy exported to the grid.  </w:t>
      </w:r>
    </w:p>
    <w:p w14:paraId="5180C19E" w14:textId="77777777" w:rsidR="00303F92" w:rsidRPr="003C1BCC" w:rsidRDefault="00303F92" w:rsidP="00303F92">
      <w:pPr>
        <w:spacing w:line="240" w:lineRule="auto"/>
        <w:ind w:firstLine="0"/>
        <w:rPr>
          <w:i/>
          <w:iCs/>
          <w:sz w:val="22"/>
        </w:rPr>
      </w:pPr>
      <w:r w:rsidRPr="003C1BCC">
        <w:rPr>
          <w:i/>
          <w:iCs/>
          <w:sz w:val="22"/>
        </w:rPr>
        <w:t xml:space="preserve">NEM Charges are calculated each month but are not billed until the end of the True-Up period.  This True-Up process allows you to use credits generated </w:t>
      </w:r>
      <w:proofErr w:type="gramStart"/>
      <w:r w:rsidRPr="003C1BCC">
        <w:rPr>
          <w:i/>
          <w:iCs/>
          <w:sz w:val="22"/>
        </w:rPr>
        <w:t>in a given</w:t>
      </w:r>
      <w:proofErr w:type="gramEnd"/>
      <w:r w:rsidRPr="003C1BCC">
        <w:rPr>
          <w:i/>
          <w:iCs/>
          <w:sz w:val="22"/>
        </w:rPr>
        <w:t xml:space="preserve"> month to offset charges across other months within the True-Up period, which is typically 12 billing cycles.  Your Summary of NEM Charges will be reset to zero at True-Up.  </w:t>
      </w:r>
    </w:p>
    <w:p w14:paraId="539098FF" w14:textId="77777777" w:rsidR="00303F92" w:rsidRPr="003C1BCC" w:rsidRDefault="00303F92" w:rsidP="00303F92">
      <w:pPr>
        <w:spacing w:line="240" w:lineRule="auto"/>
        <w:ind w:firstLine="0"/>
        <w:rPr>
          <w:i/>
          <w:iCs/>
          <w:sz w:val="22"/>
        </w:rPr>
      </w:pPr>
      <w:r w:rsidRPr="003C1BCC">
        <w:rPr>
          <w:i/>
          <w:iCs/>
          <w:sz w:val="22"/>
        </w:rPr>
        <w:t>The Minimum Delivery Charge is billed monthly and credited at True-Up if the total NEM Charges Before Taxes or total Stated Mandated Non-</w:t>
      </w:r>
      <w:proofErr w:type="spellStart"/>
      <w:r w:rsidRPr="003C1BCC">
        <w:rPr>
          <w:i/>
          <w:iCs/>
          <w:sz w:val="22"/>
        </w:rPr>
        <w:t>Bypassable</w:t>
      </w:r>
      <w:proofErr w:type="spellEnd"/>
      <w:r w:rsidRPr="003C1BCC">
        <w:rPr>
          <w:i/>
          <w:iCs/>
          <w:sz w:val="22"/>
        </w:rPr>
        <w:t xml:space="preserve"> Charges are greater than your cumulative Minimum Delivery Charges. Refer to Detail of NEM Charges page for details about the State Mandated Non-</w:t>
      </w:r>
      <w:proofErr w:type="spellStart"/>
      <w:r w:rsidRPr="003C1BCC">
        <w:rPr>
          <w:i/>
          <w:iCs/>
          <w:sz w:val="22"/>
        </w:rPr>
        <w:t>Bypassable</w:t>
      </w:r>
      <w:proofErr w:type="spellEnd"/>
      <w:r w:rsidRPr="003C1BCC">
        <w:rPr>
          <w:i/>
          <w:iCs/>
          <w:sz w:val="22"/>
        </w:rPr>
        <w:t xml:space="preserve"> Charges.</w:t>
      </w:r>
    </w:p>
    <w:p w14:paraId="6D4A5D3A" w14:textId="77777777" w:rsidR="00303F92" w:rsidRPr="003C1BCC" w:rsidRDefault="00303F92" w:rsidP="00303F92">
      <w:pPr>
        <w:spacing w:line="240" w:lineRule="auto"/>
        <w:ind w:firstLine="0"/>
        <w:rPr>
          <w:i/>
          <w:iCs/>
          <w:sz w:val="22"/>
        </w:rPr>
      </w:pPr>
      <w:r w:rsidRPr="003C1BCC">
        <w:rPr>
          <w:i/>
          <w:iCs/>
          <w:sz w:val="22"/>
        </w:rPr>
        <w:t>Energy Charges are commodity costs related to energy usage and will be paid (if a positive amount) at True-Up when your NEM Charges Before Taxes are less than the sum of your total Minimum Delivery Charges and Energy Charges.</w:t>
      </w:r>
    </w:p>
    <w:p w14:paraId="58E77E2B" w14:textId="77777777" w:rsidR="00303F92" w:rsidRPr="003C1BCC" w:rsidRDefault="00303F92" w:rsidP="00303F92">
      <w:pPr>
        <w:spacing w:line="240" w:lineRule="auto"/>
        <w:ind w:firstLine="0"/>
        <w:rPr>
          <w:i/>
          <w:iCs/>
        </w:rPr>
      </w:pPr>
      <w:r w:rsidRPr="003C1BCC">
        <w:rPr>
          <w:i/>
          <w:iCs/>
          <w:sz w:val="22"/>
        </w:rPr>
        <w:t xml:space="preserve">This is your YTD balance. Your total NEM Charges will be reconciled on your True-Up statement </w:t>
      </w:r>
      <w:r w:rsidRPr="003C1BCC">
        <w:rPr>
          <w:b/>
          <w:bCs/>
          <w:i/>
          <w:iCs/>
          <w:sz w:val="22"/>
        </w:rPr>
        <w:t>(03/2022)</w:t>
      </w:r>
      <w:r w:rsidRPr="003C1BCC">
        <w:rPr>
          <w:i/>
          <w:iCs/>
          <w:sz w:val="22"/>
        </w:rPr>
        <w:t>.</w:t>
      </w:r>
    </w:p>
  </w:footnote>
  <w:footnote w:id="7">
    <w:p w14:paraId="43E01A74" w14:textId="77777777" w:rsidR="00303F92" w:rsidRDefault="00303F92" w:rsidP="00303F92">
      <w:pPr>
        <w:pStyle w:val="FootnoteText"/>
      </w:pPr>
      <w:r>
        <w:rPr>
          <w:rStyle w:val="FootnoteReference"/>
        </w:rPr>
        <w:footnoteRef/>
      </w:r>
      <w:r>
        <w:t xml:space="preserve"> PG&amp;E Brief at 10. </w:t>
      </w:r>
    </w:p>
  </w:footnote>
  <w:footnote w:id="8">
    <w:p w14:paraId="77779F02" w14:textId="28A10176" w:rsidR="00594B05" w:rsidRDefault="00594B05" w:rsidP="00594B05">
      <w:pPr>
        <w:pStyle w:val="FootnoteText"/>
      </w:pPr>
      <w:r>
        <w:rPr>
          <w:rStyle w:val="FootnoteReference"/>
        </w:rPr>
        <w:footnoteRef/>
      </w:r>
      <w:r>
        <w:t xml:space="preserve"> PG&amp;E Brief at 10-11. </w:t>
      </w:r>
    </w:p>
  </w:footnote>
  <w:footnote w:id="9">
    <w:p w14:paraId="70700CD3" w14:textId="339C0BDA" w:rsidR="00594B05" w:rsidRDefault="00594B05">
      <w:pPr>
        <w:pStyle w:val="FootnoteText"/>
      </w:pPr>
      <w:r>
        <w:rPr>
          <w:rStyle w:val="FootnoteReference"/>
        </w:rPr>
        <w:footnoteRef/>
      </w:r>
      <w:r>
        <w:t xml:space="preserve"> PG&amp;E Brief at 11-12. Mr. Riggins requested to be present during the meter test, and he was.</w:t>
      </w:r>
    </w:p>
  </w:footnote>
  <w:footnote w:id="10">
    <w:p w14:paraId="4AB73F87" w14:textId="77777777" w:rsidR="008C1331" w:rsidRDefault="008C1331" w:rsidP="008C1331">
      <w:pPr>
        <w:pStyle w:val="FootnoteText"/>
      </w:pPr>
      <w:r>
        <w:rPr>
          <w:rStyle w:val="FootnoteReference"/>
        </w:rPr>
        <w:footnoteRef/>
      </w:r>
      <w:r>
        <w:t xml:space="preserve"> Transcript at 303 ln 21-22.</w:t>
      </w:r>
    </w:p>
  </w:footnote>
  <w:footnote w:id="11">
    <w:p w14:paraId="2F395B3D" w14:textId="34F926CA" w:rsidR="00303F92" w:rsidRDefault="00303F92" w:rsidP="00303F92">
      <w:pPr>
        <w:pStyle w:val="FootnoteText"/>
      </w:pPr>
      <w:r>
        <w:rPr>
          <w:rStyle w:val="FootnoteReference"/>
        </w:rPr>
        <w:footnoteRef/>
      </w:r>
      <w:r>
        <w:t xml:space="preserve"> Transcript at 99; 100 ln 5-7; 105 ln 23-24; 106 ln 24.</w:t>
      </w:r>
    </w:p>
  </w:footnote>
  <w:footnote w:id="12">
    <w:p w14:paraId="466DFE50" w14:textId="238B8B6A" w:rsidR="00303F92" w:rsidRDefault="00303F92" w:rsidP="00303F92">
      <w:pPr>
        <w:pStyle w:val="FootnoteText"/>
      </w:pPr>
      <w:r>
        <w:rPr>
          <w:rStyle w:val="FootnoteReference"/>
        </w:rPr>
        <w:footnoteRef/>
      </w:r>
      <w:r>
        <w:t xml:space="preserve"> </w:t>
      </w:r>
      <w:r w:rsidR="00007E2E">
        <w:t xml:space="preserve">PG&amp;E </w:t>
      </w:r>
      <w:r>
        <w:t>Brief at 13.</w:t>
      </w:r>
    </w:p>
  </w:footnote>
  <w:footnote w:id="13">
    <w:p w14:paraId="04C22406" w14:textId="77777777" w:rsidR="00303F92" w:rsidRDefault="00303F92" w:rsidP="00303F92">
      <w:pPr>
        <w:pStyle w:val="FootnoteText"/>
      </w:pPr>
      <w:r>
        <w:rPr>
          <w:rStyle w:val="FootnoteReference"/>
        </w:rPr>
        <w:footnoteRef/>
      </w:r>
      <w:r>
        <w:t xml:space="preserve"> Answer at PDF </w:t>
      </w:r>
      <w:proofErr w:type="spellStart"/>
      <w:r>
        <w:t>pg</w:t>
      </w:r>
      <w:proofErr w:type="spellEnd"/>
      <w:r>
        <w:t xml:space="preserve"> 330: Mr. Riggins’ bill: </w:t>
      </w:r>
    </w:p>
    <w:p w14:paraId="26ECAF4E" w14:textId="77777777" w:rsidR="00303F92" w:rsidRPr="008460B9" w:rsidRDefault="00303F92" w:rsidP="00303F92">
      <w:pPr>
        <w:pStyle w:val="FootnoteText"/>
        <w:rPr>
          <w:lang w:val="fr-FR"/>
        </w:rPr>
      </w:pPr>
      <w:proofErr w:type="spellStart"/>
      <w:r w:rsidRPr="008460B9">
        <w:rPr>
          <w:lang w:val="fr-FR"/>
        </w:rPr>
        <w:t>Statement</w:t>
      </w:r>
      <w:proofErr w:type="spellEnd"/>
      <w:r w:rsidRPr="008460B9">
        <w:rPr>
          <w:lang w:val="fr-FR"/>
        </w:rPr>
        <w:t xml:space="preserve"> Date 02/12/2024 page </w:t>
      </w:r>
      <w:proofErr w:type="gramStart"/>
      <w:r w:rsidRPr="008460B9">
        <w:rPr>
          <w:lang w:val="fr-FR"/>
        </w:rPr>
        <w:t>1:</w:t>
      </w:r>
      <w:proofErr w:type="gramEnd"/>
      <w:r w:rsidRPr="008460B9">
        <w:rPr>
          <w:lang w:val="fr-FR"/>
        </w:rPr>
        <w:t xml:space="preserve"> Total NEM Charges - $9,521.62 </w:t>
      </w:r>
    </w:p>
    <w:p w14:paraId="610E14DB" w14:textId="77777777" w:rsidR="00303F92" w:rsidRDefault="00303F92" w:rsidP="00303F92">
      <w:pPr>
        <w:pStyle w:val="FootnoteText"/>
      </w:pPr>
      <w:r>
        <w:t>Outstanding Credit Balance -   $-1,695.12</w:t>
      </w:r>
    </w:p>
    <w:p w14:paraId="7443075F" w14:textId="77777777" w:rsidR="00303F92" w:rsidRDefault="00303F92" w:rsidP="00303F92">
      <w:pPr>
        <w:pStyle w:val="FootnoteText"/>
      </w:pPr>
      <w:r>
        <w:t>Total Amount Due by 03/04/2024 - $7,837.78</w:t>
      </w:r>
    </w:p>
  </w:footnote>
  <w:footnote w:id="14">
    <w:p w14:paraId="4A7EC458" w14:textId="77777777" w:rsidR="00303F92" w:rsidRDefault="00303F92" w:rsidP="00303F92">
      <w:pPr>
        <w:pStyle w:val="FootnoteText"/>
      </w:pPr>
      <w:r>
        <w:rPr>
          <w:rStyle w:val="FootnoteReference"/>
        </w:rPr>
        <w:footnoteRef/>
      </w:r>
      <w:r>
        <w:t xml:space="preserve"> Answer at PDF </w:t>
      </w:r>
      <w:proofErr w:type="spellStart"/>
      <w:r>
        <w:t>pg</w:t>
      </w:r>
      <w:proofErr w:type="spellEnd"/>
      <w:r>
        <w:t xml:space="preserve"> 402. </w:t>
      </w:r>
    </w:p>
    <w:p w14:paraId="7C3F2F1E" w14:textId="77777777" w:rsidR="00303F92" w:rsidRDefault="00303F92" w:rsidP="00303F92">
      <w:pPr>
        <w:pStyle w:val="FootnoteText"/>
      </w:pPr>
      <w:r>
        <w:t xml:space="preserve">Answer at PDF </w:t>
      </w:r>
      <w:proofErr w:type="spellStart"/>
      <w:r>
        <w:t>pg</w:t>
      </w:r>
      <w:proofErr w:type="spellEnd"/>
      <w:r>
        <w:t xml:space="preserve"> 354: Page one of 05/10/2024 Statement – Mr. Riggins received a 15- day Notice to pay to avoid disconnection on his billing statement as result of failure to pay a past due balance.</w:t>
      </w:r>
    </w:p>
    <w:p w14:paraId="1EFF9939" w14:textId="77777777" w:rsidR="00303F92" w:rsidRDefault="00303F92" w:rsidP="00303F92">
      <w:pPr>
        <w:pStyle w:val="FootnoteText"/>
      </w:pPr>
      <w:r>
        <w:t xml:space="preserve">Answer at PDF </w:t>
      </w:r>
      <w:proofErr w:type="spellStart"/>
      <w:r>
        <w:t>pg</w:t>
      </w:r>
      <w:proofErr w:type="spellEnd"/>
      <w:r>
        <w:t xml:space="preserve"> 370: Page one of 07/1/2024 Statement - Mr. Riggins received a 15- day Notice to pay to avoid disconnection on his billing statement as result of failure to pay a past due balance. </w:t>
      </w:r>
    </w:p>
    <w:p w14:paraId="4EA5D4FB" w14:textId="77777777" w:rsidR="00303F92" w:rsidRDefault="00303F92" w:rsidP="00303F92">
      <w:pPr>
        <w:pStyle w:val="FootnoteText"/>
      </w:pPr>
      <w:r>
        <w:t xml:space="preserve">Answer at PDF </w:t>
      </w:r>
      <w:proofErr w:type="spellStart"/>
      <w:r>
        <w:t>pg</w:t>
      </w:r>
      <w:proofErr w:type="spellEnd"/>
      <w:r>
        <w:t xml:space="preserve"> 375: By 08/09/2024, Mr. Riggins had paid $430.00 towards his $7,842.23 due on his previous statement. </w:t>
      </w:r>
    </w:p>
  </w:footnote>
  <w:footnote w:id="15">
    <w:p w14:paraId="4AE880A4" w14:textId="77777777" w:rsidR="00303F92" w:rsidRDefault="00303F92" w:rsidP="00303F92">
      <w:pPr>
        <w:pStyle w:val="FootnoteText"/>
      </w:pPr>
      <w:r>
        <w:rPr>
          <w:rStyle w:val="FootnoteReference"/>
        </w:rPr>
        <w:footnoteRef/>
      </w:r>
      <w:r>
        <w:t xml:space="preserve"> Answer at 5.</w:t>
      </w:r>
    </w:p>
  </w:footnote>
  <w:footnote w:id="16">
    <w:p w14:paraId="549BFD27" w14:textId="77777777" w:rsidR="00303F92" w:rsidRDefault="00303F92" w:rsidP="00303F92">
      <w:pPr>
        <w:pStyle w:val="FootnoteText"/>
      </w:pPr>
      <w:r>
        <w:rPr>
          <w:rStyle w:val="FootnoteReference"/>
        </w:rPr>
        <w:footnoteRef/>
      </w:r>
      <w:r>
        <w:t xml:space="preserve"> Answer at 5. Electric Tariff Rule 8. Brief at 18.</w:t>
      </w:r>
    </w:p>
  </w:footnote>
  <w:footnote w:id="17">
    <w:p w14:paraId="7F4B9862" w14:textId="77777777" w:rsidR="00303F92" w:rsidRDefault="00303F92" w:rsidP="00303F92">
      <w:pPr>
        <w:pStyle w:val="FootnoteText"/>
      </w:pPr>
      <w:r>
        <w:rPr>
          <w:rStyle w:val="FootnoteReference"/>
        </w:rPr>
        <w:footnoteRef/>
      </w:r>
      <w:r>
        <w:t xml:space="preserve"> Answer at 5.</w:t>
      </w:r>
    </w:p>
  </w:footnote>
  <w:footnote w:id="18">
    <w:p w14:paraId="1221D1EE" w14:textId="530264DC" w:rsidR="00303F92" w:rsidRDefault="00303F92" w:rsidP="00303F92">
      <w:pPr>
        <w:pStyle w:val="Standard"/>
        <w:spacing w:line="240" w:lineRule="auto"/>
        <w:ind w:firstLine="0"/>
      </w:pPr>
      <w:r>
        <w:rPr>
          <w:rStyle w:val="FootnoteReference"/>
        </w:rPr>
        <w:footnoteRef/>
      </w:r>
      <w:r>
        <w:t xml:space="preserve"> </w:t>
      </w:r>
      <w:r>
        <w:rPr>
          <w:sz w:val="22"/>
          <w:szCs w:val="18"/>
        </w:rPr>
        <w:t>Answer at 5-6: M</w:t>
      </w:r>
      <w:r w:rsidRPr="00AA2ADF">
        <w:rPr>
          <w:sz w:val="22"/>
          <w:szCs w:val="18"/>
        </w:rPr>
        <w:t xml:space="preserve">arch 21, 2025, a </w:t>
      </w:r>
      <w:proofErr w:type="gramStart"/>
      <w:r w:rsidRPr="00AA2ADF">
        <w:rPr>
          <w:sz w:val="22"/>
          <w:szCs w:val="18"/>
        </w:rPr>
        <w:t>96 hour</w:t>
      </w:r>
      <w:proofErr w:type="gramEnd"/>
      <w:r w:rsidRPr="00AA2ADF">
        <w:rPr>
          <w:sz w:val="22"/>
          <w:szCs w:val="18"/>
        </w:rPr>
        <w:t xml:space="preserve"> notice of shut off was emailed to the email address on file. On March 25, 2025, a </w:t>
      </w:r>
      <w:proofErr w:type="gramStart"/>
      <w:r w:rsidRPr="00AA2ADF">
        <w:rPr>
          <w:sz w:val="22"/>
          <w:szCs w:val="18"/>
        </w:rPr>
        <w:t>48</w:t>
      </w:r>
      <w:r w:rsidR="00A84C91">
        <w:rPr>
          <w:sz w:val="22"/>
          <w:szCs w:val="18"/>
        </w:rPr>
        <w:t xml:space="preserve"> </w:t>
      </w:r>
      <w:r w:rsidRPr="00AA2ADF">
        <w:rPr>
          <w:sz w:val="22"/>
          <w:szCs w:val="18"/>
        </w:rPr>
        <w:t>hour</w:t>
      </w:r>
      <w:proofErr w:type="gramEnd"/>
      <w:r w:rsidRPr="00AA2ADF">
        <w:rPr>
          <w:sz w:val="22"/>
          <w:szCs w:val="18"/>
        </w:rPr>
        <w:t xml:space="preserve"> notice of </w:t>
      </w:r>
      <w:r w:rsidR="00A84C91" w:rsidRPr="00AA2ADF">
        <w:rPr>
          <w:sz w:val="22"/>
          <w:szCs w:val="18"/>
        </w:rPr>
        <w:t xml:space="preserve">shut off </w:t>
      </w:r>
      <w:r w:rsidRPr="00AA2ADF">
        <w:rPr>
          <w:sz w:val="22"/>
          <w:szCs w:val="18"/>
        </w:rPr>
        <w:t>was mailed to the customer. On March 31, 2025, an automated call was placed to the customer advising of potential disconnection. On April 2, 2025, a bill reminder text message was sent to the customer phone number on file. On April 3, 2025, the system began the disconnection process. On April 8, 2025, remote disconnection was completed.</w:t>
      </w:r>
    </w:p>
  </w:footnote>
  <w:footnote w:id="19">
    <w:p w14:paraId="60C4F271" w14:textId="7554DDD0" w:rsidR="00955D46" w:rsidRDefault="00955D46">
      <w:pPr>
        <w:pStyle w:val="FootnoteText"/>
      </w:pPr>
      <w:r>
        <w:rPr>
          <w:rStyle w:val="FootnoteReference"/>
        </w:rPr>
        <w:footnoteRef/>
      </w:r>
      <w:r>
        <w:t xml:space="preserve"> Answer at 7.</w:t>
      </w:r>
    </w:p>
  </w:footnote>
  <w:footnote w:id="20">
    <w:p w14:paraId="367F4159" w14:textId="77777777" w:rsidR="00303F92" w:rsidRDefault="00303F92" w:rsidP="00303F92">
      <w:pPr>
        <w:pStyle w:val="FootnoteText"/>
      </w:pPr>
      <w:r>
        <w:rPr>
          <w:rStyle w:val="FootnoteReference"/>
        </w:rPr>
        <w:footnoteRef/>
      </w:r>
      <w:r>
        <w:t xml:space="preserve"> PG&amp;E Brief at 25.</w:t>
      </w:r>
    </w:p>
  </w:footnote>
  <w:footnote w:id="21">
    <w:p w14:paraId="4AFABB6A" w14:textId="77777777" w:rsidR="00303F92" w:rsidRDefault="00303F92" w:rsidP="00303F92">
      <w:pPr>
        <w:pStyle w:val="FootnoteText"/>
      </w:pPr>
      <w:r>
        <w:rPr>
          <w:rStyle w:val="FootnoteReference"/>
        </w:rPr>
        <w:footnoteRef/>
      </w:r>
      <w:r>
        <w:t xml:space="preserve"> PG&amp;E Brief at 26-28.</w:t>
      </w:r>
    </w:p>
  </w:footnote>
  <w:footnote w:id="22">
    <w:p w14:paraId="0FF4A14F" w14:textId="77777777" w:rsidR="00303F92" w:rsidRDefault="00303F92" w:rsidP="00303F92">
      <w:pPr>
        <w:pStyle w:val="FootnoteText"/>
      </w:pPr>
      <w:r>
        <w:rPr>
          <w:rStyle w:val="FootnoteReference"/>
        </w:rPr>
        <w:footnoteRef/>
      </w:r>
      <w:r>
        <w:t xml:space="preserve"> Complaint at Box F and H, Formal Complaint Form page 2 and 3.</w:t>
      </w:r>
    </w:p>
  </w:footnote>
  <w:footnote w:id="23">
    <w:p w14:paraId="36DD1856" w14:textId="77777777" w:rsidR="00303F92" w:rsidRDefault="00303F92" w:rsidP="00303F92">
      <w:pPr>
        <w:pStyle w:val="FootnoteText"/>
      </w:pPr>
      <w:r>
        <w:rPr>
          <w:rStyle w:val="FootnoteReference"/>
        </w:rPr>
        <w:footnoteRef/>
      </w:r>
      <w:r>
        <w:t xml:space="preserve"> Post-Hearing Brief of Clinton W. Riggins (Post-Hearing Brief Riggins) at 5-6.</w:t>
      </w:r>
    </w:p>
    <w:p w14:paraId="5AFB5D67" w14:textId="5A601D6B" w:rsidR="00303F92" w:rsidRDefault="00303F92" w:rsidP="00303F92">
      <w:pPr>
        <w:pStyle w:val="FootnoteText"/>
      </w:pPr>
      <w:r>
        <w:rPr>
          <w:i/>
          <w:iCs/>
        </w:rPr>
        <w:t>See generally,</w:t>
      </w:r>
      <w:r>
        <w:t xml:space="preserve"> Transcript </w:t>
      </w:r>
      <w:r w:rsidR="00007E2E">
        <w:t xml:space="preserve">at 99-106: </w:t>
      </w:r>
      <w:r>
        <w:t xml:space="preserve">Examination of Mr. </w:t>
      </w:r>
      <w:r w:rsidRPr="000E74D3">
        <w:t>David Knoche</w:t>
      </w:r>
      <w:r>
        <w:t>, PG&amp;E’s meter technician</w:t>
      </w:r>
      <w:r w:rsidR="00007E2E">
        <w:t>.</w:t>
      </w:r>
      <w:r>
        <w:t xml:space="preserve"> Transcript </w:t>
      </w:r>
      <w:r w:rsidR="00007E2E">
        <w:t xml:space="preserve">at 291-293:  </w:t>
      </w:r>
      <w:r>
        <w:t>Recross Examination of Mr. Tri Nguyen, PG&amp;E’s lead engineer in meter infrastructure and certification</w:t>
      </w:r>
      <w:r w:rsidR="00007E2E">
        <w:t>.</w:t>
      </w:r>
    </w:p>
  </w:footnote>
  <w:footnote w:id="24">
    <w:p w14:paraId="783B212A" w14:textId="3DE3695D" w:rsidR="00303F92" w:rsidRDefault="00303F92" w:rsidP="00303F92">
      <w:pPr>
        <w:spacing w:line="240" w:lineRule="auto"/>
        <w:ind w:firstLine="0"/>
      </w:pPr>
      <w:r>
        <w:rPr>
          <w:rStyle w:val="FootnoteReference"/>
        </w:rPr>
        <w:footnoteRef/>
      </w:r>
      <w:r>
        <w:t xml:space="preserve"> </w:t>
      </w:r>
      <w:r w:rsidR="007C1707">
        <w:t xml:space="preserve">As noted above, PG&amp;E Troubleshooter Collins removed Mr. Riggins’ electric meter on May 30, 2025, after PG&amp;E had already shut off the residence’s electricity.  </w:t>
      </w:r>
      <w:r>
        <w:t xml:space="preserve">Due to the </w:t>
      </w:r>
      <w:r w:rsidRPr="003C1237">
        <w:t xml:space="preserve">foreseeable </w:t>
      </w:r>
      <w:r>
        <w:t xml:space="preserve">upcoming </w:t>
      </w:r>
      <w:r w:rsidRPr="003C1237">
        <w:t>winter weather</w:t>
      </w:r>
      <w:r w:rsidR="007C1707">
        <w:t xml:space="preserve">, however, by the date of the PHC and with the understanding of the </w:t>
      </w:r>
      <w:r w:rsidRPr="003C1237">
        <w:t xml:space="preserve">significant costs associated with heating </w:t>
      </w:r>
      <w:r w:rsidR="007C1707">
        <w:t xml:space="preserve">a residence </w:t>
      </w:r>
      <w:r w:rsidRPr="003C1237">
        <w:t>using a generator</w:t>
      </w:r>
      <w:r>
        <w:t>, the assigned ALJ made this prescient ruling.</w:t>
      </w:r>
    </w:p>
  </w:footnote>
  <w:footnote w:id="25">
    <w:p w14:paraId="0F7445EA" w14:textId="77777777" w:rsidR="00303F92" w:rsidRDefault="00303F92" w:rsidP="00303F92">
      <w:pPr>
        <w:pStyle w:val="FootnoteText"/>
      </w:pPr>
      <w:r>
        <w:rPr>
          <w:rStyle w:val="FootnoteReference"/>
        </w:rPr>
        <w:footnoteRef/>
      </w:r>
      <w:r>
        <w:t xml:space="preserve"> The discovery process was fraught with tension between PG&amp;E adhering to its obligations to keep customer data confidential and Mr. Riggins’ concern that by designating his own data as confidential, that he may not be permitted to bring it forth in future evidentiary hearings.</w:t>
      </w:r>
    </w:p>
  </w:footnote>
  <w:footnote w:id="26">
    <w:p w14:paraId="131D7F6D" w14:textId="4E289EBC" w:rsidR="004D035F" w:rsidRDefault="004D035F">
      <w:pPr>
        <w:pStyle w:val="FootnoteText"/>
      </w:pPr>
      <w:r>
        <w:rPr>
          <w:rStyle w:val="FootnoteReference"/>
        </w:rPr>
        <w:footnoteRef/>
      </w:r>
      <w:r>
        <w:t xml:space="preserve"> Email Ruling Providing Instruction as to Sharing Records, Information, and Data, October 20, 2025. </w:t>
      </w:r>
    </w:p>
  </w:footnote>
  <w:footnote w:id="27">
    <w:p w14:paraId="7AAAED02" w14:textId="77777777" w:rsidR="00303F92" w:rsidRDefault="00303F92" w:rsidP="00303F92">
      <w:pPr>
        <w:pStyle w:val="FootnoteText"/>
      </w:pPr>
      <w:r>
        <w:rPr>
          <w:rStyle w:val="FootnoteReference"/>
        </w:rPr>
        <w:footnoteRef/>
      </w:r>
      <w:r>
        <w:t xml:space="preserve"> The assigned ALJ’s October 10, 2025, Ruling initially directed Complainant to </w:t>
      </w:r>
      <w:r w:rsidRPr="00687F43">
        <w:t>educate himself about how to file and serve documents in a formal Commission proceeding</w:t>
      </w:r>
      <w:r>
        <w:t xml:space="preserve"> and directed him to several places should he need assistance. </w:t>
      </w:r>
    </w:p>
  </w:footnote>
  <w:footnote w:id="28">
    <w:p w14:paraId="5D284AFB" w14:textId="6B94D119" w:rsidR="00AC23D0" w:rsidRDefault="00AC23D0">
      <w:pPr>
        <w:pStyle w:val="FootnoteText"/>
      </w:pPr>
      <w:r>
        <w:rPr>
          <w:rStyle w:val="FootnoteReference"/>
        </w:rPr>
        <w:footnoteRef/>
      </w:r>
      <w:r>
        <w:t xml:space="preserve"> </w:t>
      </w:r>
      <w:r w:rsidRPr="00AC23D0">
        <w:rPr>
          <w:i/>
          <w:iCs/>
        </w:rPr>
        <w:t>See</w:t>
      </w:r>
      <w:r>
        <w:rPr>
          <w:i/>
          <w:iCs/>
        </w:rPr>
        <w:t>,</w:t>
      </w:r>
      <w:r>
        <w:t xml:space="preserve"> footnote 21 above.</w:t>
      </w:r>
    </w:p>
  </w:footnote>
  <w:footnote w:id="29">
    <w:p w14:paraId="0A535F1D" w14:textId="63895C7D" w:rsidR="00303F92" w:rsidRDefault="00303F92" w:rsidP="00303F92">
      <w:pPr>
        <w:pStyle w:val="FootnoteText"/>
      </w:pPr>
      <w:r>
        <w:rPr>
          <w:rStyle w:val="FootnoteReference"/>
        </w:rPr>
        <w:footnoteRef/>
      </w:r>
      <w:r>
        <w:t xml:space="preserve"> </w:t>
      </w:r>
      <w:r w:rsidR="00235630">
        <w:t>Transcript</w:t>
      </w:r>
      <w:r>
        <w:t xml:space="preserve"> at 29-34: Complainant’s First System was not designed or interconnected to provide backup power when the residence was disconnected from the electric grid; it was not designed to produce electricity as an islanded system. </w:t>
      </w:r>
    </w:p>
  </w:footnote>
  <w:footnote w:id="30">
    <w:p w14:paraId="112AD453" w14:textId="3944F043" w:rsidR="00AC23D0" w:rsidRDefault="00AC23D0">
      <w:pPr>
        <w:pStyle w:val="FootnoteText"/>
      </w:pPr>
      <w:r>
        <w:rPr>
          <w:rStyle w:val="FootnoteReference"/>
        </w:rPr>
        <w:footnoteRef/>
      </w:r>
      <w:r>
        <w:t xml:space="preserve"> </w:t>
      </w:r>
      <w:r w:rsidRPr="00AC23D0">
        <w:t>Email Ruling Providing Direction to Pacific Gas and Electric Company to Reinstall Complainant's Meter, Perform Safety Inspection, Provide Updates</w:t>
      </w:r>
      <w:r>
        <w:t>, December 17, 2025.</w:t>
      </w:r>
    </w:p>
  </w:footnote>
  <w:footnote w:id="31">
    <w:p w14:paraId="0B497235" w14:textId="572E56BD" w:rsidR="00235630" w:rsidRPr="00235630" w:rsidRDefault="00235630">
      <w:pPr>
        <w:pStyle w:val="FootnoteText"/>
      </w:pPr>
      <w:r>
        <w:rPr>
          <w:rStyle w:val="FootnoteReference"/>
        </w:rPr>
        <w:footnoteRef/>
      </w:r>
      <w:r>
        <w:t xml:space="preserve"> </w:t>
      </w:r>
      <w:r>
        <w:rPr>
          <w:i/>
          <w:iCs/>
        </w:rPr>
        <w:t>See,</w:t>
      </w:r>
      <w:r>
        <w:t xml:space="preserve"> Status Conference Transcript, December 30, 2025. </w:t>
      </w:r>
    </w:p>
  </w:footnote>
  <w:footnote w:id="32">
    <w:p w14:paraId="3B7498E7" w14:textId="27AE1F86" w:rsidR="00303F92" w:rsidRDefault="00303F92" w:rsidP="00303F92">
      <w:pPr>
        <w:pStyle w:val="FootnoteText"/>
      </w:pPr>
      <w:r>
        <w:rPr>
          <w:rStyle w:val="FootnoteReference"/>
        </w:rPr>
        <w:footnoteRef/>
      </w:r>
      <w:r>
        <w:t xml:space="preserve"> Transcript at 56-57.</w:t>
      </w:r>
    </w:p>
  </w:footnote>
  <w:footnote w:id="33">
    <w:p w14:paraId="031AA6B2" w14:textId="77777777" w:rsidR="00303F92" w:rsidRPr="003C3442" w:rsidRDefault="00303F92" w:rsidP="00303F92">
      <w:pPr>
        <w:pStyle w:val="FootnoteText"/>
        <w:rPr>
          <w:szCs w:val="22"/>
        </w:rPr>
      </w:pPr>
      <w:r w:rsidRPr="003C3442">
        <w:rPr>
          <w:rStyle w:val="FootnoteReference"/>
          <w:szCs w:val="22"/>
        </w:rPr>
        <w:footnoteRef/>
      </w:r>
      <w:r w:rsidRPr="003C3442">
        <w:rPr>
          <w:szCs w:val="22"/>
        </w:rPr>
        <w:t xml:space="preserve"> Pub. Util. Code § 216(a).</w:t>
      </w:r>
    </w:p>
  </w:footnote>
  <w:footnote w:id="34">
    <w:p w14:paraId="3079A6CC" w14:textId="5DFC11AC" w:rsidR="00303F92" w:rsidRDefault="00303F92" w:rsidP="00303F92">
      <w:pPr>
        <w:pStyle w:val="FootnoteText"/>
      </w:pPr>
      <w:r>
        <w:rPr>
          <w:rStyle w:val="FootnoteReference"/>
        </w:rPr>
        <w:footnoteRef/>
      </w:r>
      <w:r>
        <w:t xml:space="preserve"> Complaint at Box F and H, Formal Complaint Form</w:t>
      </w:r>
      <w:r w:rsidR="00235630">
        <w:t>,</w:t>
      </w:r>
      <w:r>
        <w:t xml:space="preserve"> page 2 and 3.</w:t>
      </w:r>
    </w:p>
  </w:footnote>
  <w:footnote w:id="35">
    <w:p w14:paraId="4600B96D" w14:textId="77777777" w:rsidR="00303F92" w:rsidRDefault="00303F92" w:rsidP="00303F92">
      <w:pPr>
        <w:pStyle w:val="FootnoteText"/>
      </w:pPr>
      <w:r>
        <w:rPr>
          <w:rStyle w:val="FootnoteReference"/>
        </w:rPr>
        <w:footnoteRef/>
      </w:r>
      <w:r>
        <w:t xml:space="preserve"> </w:t>
      </w:r>
      <w:r w:rsidRPr="00E43068">
        <w:rPr>
          <w:i/>
          <w:iCs/>
        </w:rPr>
        <w:t>In Complaint of Service-All-Tech, Inc. v. PT&amp;T Co.</w:t>
      </w:r>
      <w:r>
        <w:t xml:space="preserve"> (Cal. PUC, 1977) 83 CPUC 135, Decision (D.) No. 88223 (complaint relating to the disconnection of telephone service where the court found that complainant had the burden of proof and that complainant’s “failure to present any evidence present[ed] a total lack of meeting that burden”); </w:t>
      </w:r>
      <w:r>
        <w:rPr>
          <w:i/>
          <w:iCs/>
        </w:rPr>
        <w:t>s</w:t>
      </w:r>
      <w:r w:rsidRPr="00E43068">
        <w:rPr>
          <w:i/>
          <w:iCs/>
        </w:rPr>
        <w:t>ee also Pacific Bell Telephone Company, d/b/a AT&amp;T California vs. Fones4All Corporation</w:t>
      </w:r>
      <w:r>
        <w:t xml:space="preserve"> (Cal. PUC, 2008) D.08-04-043, 2008 Cal. PUC LEXIS 132.</w:t>
      </w:r>
    </w:p>
  </w:footnote>
  <w:footnote w:id="36">
    <w:p w14:paraId="24D668DC" w14:textId="77777777" w:rsidR="00303F92" w:rsidRDefault="00303F92" w:rsidP="00303F92">
      <w:pPr>
        <w:pStyle w:val="FootnoteText"/>
      </w:pPr>
      <w:r>
        <w:rPr>
          <w:rStyle w:val="FootnoteReference"/>
        </w:rPr>
        <w:footnoteRef/>
      </w:r>
      <w:r>
        <w:t xml:space="preserve"> Throughout the process of this complaint, Complainant utilized the service list to email updates and concerns about his underlying case.  The contents of the email statements seemed to alter the bounds of the case.  </w:t>
      </w:r>
    </w:p>
  </w:footnote>
  <w:footnote w:id="37">
    <w:p w14:paraId="141A805D" w14:textId="4C72CBDE" w:rsidR="00303F92" w:rsidRDefault="00303F92" w:rsidP="00303F92">
      <w:pPr>
        <w:pStyle w:val="FootnoteText"/>
      </w:pPr>
      <w:r>
        <w:rPr>
          <w:rStyle w:val="FootnoteReference"/>
        </w:rPr>
        <w:footnoteRef/>
      </w:r>
      <w:r>
        <w:t xml:space="preserve"> Subsequent filings provide that the amount of money in dispute is greater than the $7,000 as detailed in the original complaint document.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2AAA3" w14:textId="77777777" w:rsidR="003B6FE3" w:rsidRPr="003B6FE3" w:rsidRDefault="003B6FE3" w:rsidP="003B6FE3">
    <w:pPr>
      <w:pBdr>
        <w:bottom w:val="double" w:sz="6" w:space="1" w:color="auto"/>
      </w:pBdr>
      <w:tabs>
        <w:tab w:val="right" w:pos="11070"/>
      </w:tabs>
      <w:spacing w:line="276" w:lineRule="auto"/>
      <w:ind w:firstLine="0"/>
      <w:rPr>
        <w:rFonts w:eastAsia="Times New Roman" w:cs="Times New Roman"/>
        <w:i/>
        <w:szCs w:val="20"/>
      </w:rPr>
    </w:pPr>
    <w:r w:rsidRPr="003B6FE3">
      <w:rPr>
        <w:rFonts w:eastAsia="Times New Roman" w:cs="Times New Roman"/>
        <w:sz w:val="16"/>
        <w:szCs w:val="20"/>
      </w:rPr>
      <w:t>STATE OF CALIFORNIA                                                                                                              GAVIN NEWSOM,</w:t>
    </w:r>
    <w:r w:rsidRPr="003B6FE3">
      <w:rPr>
        <w:rFonts w:eastAsia="Times New Roman" w:cs="Times New Roman"/>
        <w:szCs w:val="20"/>
      </w:rPr>
      <w:t xml:space="preserve"> </w:t>
    </w:r>
    <w:r w:rsidRPr="003B6FE3">
      <w:rPr>
        <w:rFonts w:eastAsia="Times New Roman" w:cs="Times New Roman"/>
        <w:i/>
        <w:sz w:val="16"/>
        <w:szCs w:val="20"/>
      </w:rPr>
      <w:t>Governor</w:t>
    </w:r>
  </w:p>
  <w:p w14:paraId="3108F0C7" w14:textId="77777777" w:rsidR="003B6FE3" w:rsidRPr="003B6FE3" w:rsidRDefault="003B6FE3" w:rsidP="003B6FE3">
    <w:pPr>
      <w:tabs>
        <w:tab w:val="right" w:pos="11070"/>
      </w:tabs>
      <w:spacing w:line="276" w:lineRule="auto"/>
      <w:ind w:firstLine="0"/>
      <w:rPr>
        <w:rFonts w:eastAsia="Times New Roman" w:cs="Times New Roman"/>
        <w:szCs w:val="20"/>
      </w:rPr>
    </w:pPr>
    <w:r w:rsidRPr="003B6FE3">
      <w:rPr>
        <w:rFonts w:eastAsia="Times New Roman" w:cs="Times New Roman"/>
        <w:szCs w:val="20"/>
      </w:rPr>
      <w:t>PUBLIC UTILITIES COMMISSION</w:t>
    </w:r>
  </w:p>
  <w:p w14:paraId="3F09D9A9" w14:textId="77777777" w:rsidR="003B6FE3" w:rsidRPr="003B6FE3" w:rsidRDefault="003B6FE3" w:rsidP="003B6FE3">
    <w:pPr>
      <w:tabs>
        <w:tab w:val="right" w:pos="11070"/>
      </w:tabs>
      <w:spacing w:line="240" w:lineRule="auto"/>
      <w:ind w:firstLine="0"/>
      <w:rPr>
        <w:rFonts w:eastAsia="Times New Roman" w:cs="Times New Roman"/>
        <w:sz w:val="12"/>
        <w:szCs w:val="20"/>
      </w:rPr>
    </w:pPr>
    <w:r w:rsidRPr="003B6FE3">
      <w:rPr>
        <w:rFonts w:eastAsia="Times New Roman" w:cs="Times New Roman"/>
        <w:sz w:val="12"/>
        <w:szCs w:val="20"/>
      </w:rPr>
      <w:t>505 VAN NESS AVENUE</w:t>
    </w:r>
  </w:p>
  <w:p w14:paraId="77EFFA4A" w14:textId="77777777" w:rsidR="003B6FE3" w:rsidRPr="003B6FE3" w:rsidRDefault="003B6FE3" w:rsidP="003B6FE3">
    <w:pPr>
      <w:tabs>
        <w:tab w:val="right" w:pos="11070"/>
      </w:tabs>
      <w:spacing w:line="276" w:lineRule="auto"/>
      <w:ind w:firstLine="0"/>
      <w:rPr>
        <w:rFonts w:eastAsia="Times New Roman" w:cs="Times New Roman"/>
        <w:sz w:val="12"/>
        <w:szCs w:val="20"/>
      </w:rPr>
    </w:pPr>
    <w:r w:rsidRPr="003B6FE3">
      <w:rPr>
        <w:rFonts w:eastAsia="Times New Roman" w:cs="Times New Roman"/>
        <w:sz w:val="12"/>
        <w:szCs w:val="20"/>
      </w:rPr>
      <w:t>SAN FRANCISCO, CA 94102-3298</w:t>
    </w:r>
  </w:p>
  <w:p w14:paraId="757CC125" w14:textId="5AFBB063" w:rsidR="00FE2351" w:rsidRDefault="00FE2351" w:rsidP="003B6FE3">
    <w:pPr>
      <w:pStyle w:val="Header"/>
      <w:ind w:firstLine="0"/>
    </w:pPr>
  </w:p>
  <w:p w14:paraId="06C06EF1" w14:textId="77777777" w:rsidR="00D50ECF" w:rsidRPr="003B6FE3" w:rsidRDefault="00D50ECF" w:rsidP="003B6FE3">
    <w:pPr>
      <w:pStyle w:val="Header"/>
      <w:ind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3449C" w14:textId="77777777" w:rsidR="003B6FE3" w:rsidRDefault="003B6FE3" w:rsidP="003B6FE3">
    <w:pPr>
      <w:pStyle w:val="Heade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B2DC0" w14:textId="64E7E0CD" w:rsidR="00303F92" w:rsidRDefault="00303F92">
    <w:pPr>
      <w:spacing w:line="240" w:lineRule="auto"/>
      <w:ind w:firstLine="0"/>
      <w:rPr>
        <w:b/>
        <w:bCs/>
      </w:rPr>
    </w:pPr>
    <w:r>
      <w:t>C.2</w:t>
    </w:r>
    <w:r w:rsidR="00185C61">
      <w:t>5</w:t>
    </w:r>
    <w:r>
      <w:t>-06-</w:t>
    </w:r>
    <w:proofErr w:type="gramStart"/>
    <w:r>
      <w:t>009  ALJ</w:t>
    </w:r>
    <w:proofErr w:type="gramEnd"/>
    <w:r>
      <w:t>/POD-JO</w:t>
    </w:r>
    <w:r w:rsidR="00E561C8">
      <w:t>2</w:t>
    </w:r>
    <w:r>
      <w:t>/</w:t>
    </w:r>
    <w:proofErr w:type="spellStart"/>
    <w:r>
      <w:t>asf</w:t>
    </w:r>
    <w:proofErr w:type="spellEnd"/>
    <w:r>
      <w:tab/>
    </w:r>
    <w:r>
      <w:tab/>
    </w:r>
    <w:r>
      <w:tab/>
    </w:r>
    <w:r>
      <w:tab/>
    </w:r>
    <w:r>
      <w:tab/>
    </w:r>
    <w:r w:rsidR="00DF23BE">
      <w:tab/>
    </w:r>
  </w:p>
  <w:p w14:paraId="42D700E8" w14:textId="77777777" w:rsidR="00303F92" w:rsidRDefault="00303F92">
    <w:pPr>
      <w:spacing w:line="240" w:lineRule="auto"/>
      <w:ind w:firstLine="0"/>
      <w:rPr>
        <w:b/>
        <w:bCs/>
      </w:rPr>
    </w:pPr>
  </w:p>
  <w:p w14:paraId="4D4A9C2C" w14:textId="77777777" w:rsidR="00303F92" w:rsidRDefault="00303F92">
    <w:pPr>
      <w:spacing w:line="240" w:lineRule="auto"/>
      <w:ind w:firstLine="0"/>
      <w:rPr>
        <w:b/>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7FF90" w14:textId="77777777" w:rsidR="00303F92" w:rsidRDefault="00303F92">
    <w:pPr>
      <w:pStyle w:val="Header"/>
      <w:ind w:firstLine="0"/>
    </w:pPr>
  </w:p>
  <w:p w14:paraId="35440FE1" w14:textId="77777777" w:rsidR="00303F92" w:rsidRDefault="00303F92">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A1C77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46C1C14"/>
    <w:multiLevelType w:val="multilevel"/>
    <w:tmpl w:val="18F4A5AC"/>
    <w:styleLink w:val="FoFCoLOP"/>
    <w:lvl w:ilvl="0">
      <w:start w:val="1"/>
      <w:numFmt w:val="decimal"/>
      <w:pStyle w:val="OP"/>
      <w:lvlText w:val="%1."/>
      <w:lvlJc w:val="right"/>
      <w:pPr>
        <w:ind w:left="0" w:firstLine="540"/>
      </w:pPr>
      <w:rPr>
        <w:rFonts w:hint="default"/>
      </w:rPr>
    </w:lvl>
    <w:lvl w:ilvl="1">
      <w:start w:val="1"/>
      <w:numFmt w:val="lowerLetter"/>
      <w:lvlText w:val="(%2)"/>
      <w:lvlJc w:val="right"/>
      <w:pPr>
        <w:ind w:left="1152" w:hanging="72"/>
      </w:pPr>
      <w:rPr>
        <w:rFonts w:hint="default"/>
      </w:rPr>
    </w:lvl>
    <w:lvl w:ilvl="2">
      <w:start w:val="1"/>
      <w:numFmt w:val="none"/>
      <w:lvlText w:val=""/>
      <w:lvlJc w:val="left"/>
      <w:pPr>
        <w:ind w:left="720" w:firstLine="0"/>
      </w:pPr>
      <w:rPr>
        <w:rFonts w:hint="default"/>
      </w:r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abstractNum w:abstractNumId="2" w15:restartNumberingAfterBreak="0">
    <w:nsid w:val="15F056CB"/>
    <w:multiLevelType w:val="multilevel"/>
    <w:tmpl w:val="18F4A5AC"/>
    <w:numStyleLink w:val="FoFCoLOP"/>
  </w:abstractNum>
  <w:abstractNum w:abstractNumId="3" w15:restartNumberingAfterBreak="0">
    <w:nsid w:val="16020EFB"/>
    <w:multiLevelType w:val="hybridMultilevel"/>
    <w:tmpl w:val="BB4AB9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D67F4B"/>
    <w:multiLevelType w:val="hybridMultilevel"/>
    <w:tmpl w:val="C2A26642"/>
    <w:lvl w:ilvl="0" w:tplc="7A988B5E">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D70038F"/>
    <w:multiLevelType w:val="multilevel"/>
    <w:tmpl w:val="3C526EDE"/>
    <w:numStyleLink w:val="Headings"/>
  </w:abstractNum>
  <w:abstractNum w:abstractNumId="6" w15:restartNumberingAfterBreak="0">
    <w:nsid w:val="1E2242C9"/>
    <w:multiLevelType w:val="multilevel"/>
    <w:tmpl w:val="3C526EDE"/>
    <w:numStyleLink w:val="Headings"/>
  </w:abstractNum>
  <w:abstractNum w:abstractNumId="7" w15:restartNumberingAfterBreak="0">
    <w:nsid w:val="21FB58FE"/>
    <w:multiLevelType w:val="multilevel"/>
    <w:tmpl w:val="3C526EDE"/>
    <w:numStyleLink w:val="Headings"/>
  </w:abstractNum>
  <w:abstractNum w:abstractNumId="8" w15:restartNumberingAfterBreak="0">
    <w:nsid w:val="243663A0"/>
    <w:multiLevelType w:val="multilevel"/>
    <w:tmpl w:val="3C526EDE"/>
    <w:numStyleLink w:val="Headings"/>
  </w:abstractNum>
  <w:abstractNum w:abstractNumId="9" w15:restartNumberingAfterBreak="0">
    <w:nsid w:val="2B8124D7"/>
    <w:multiLevelType w:val="multilevel"/>
    <w:tmpl w:val="3C526EDE"/>
    <w:numStyleLink w:val="Headings"/>
  </w:abstractNum>
  <w:abstractNum w:abstractNumId="10" w15:restartNumberingAfterBreak="0">
    <w:nsid w:val="331F6D42"/>
    <w:multiLevelType w:val="multilevel"/>
    <w:tmpl w:val="3C526EDE"/>
    <w:styleLink w:val="Headings"/>
    <w:lvl w:ilvl="0">
      <w:start w:val="1"/>
      <w:numFmt w:val="decimal"/>
      <w:pStyle w:val="Heading1"/>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 w:ilvl="1">
      <w:start w:val="1"/>
      <w:numFmt w:val="decimal"/>
      <w:pStyle w:val="Heading2"/>
      <w:lvlText w:val="%1.%2."/>
      <w:lvlJc w:val="left"/>
      <w:pPr>
        <w:tabs>
          <w:tab w:val="num" w:pos="1080"/>
        </w:tabs>
        <w:ind w:left="1080" w:hanging="720"/>
      </w:pPr>
      <w:rPr>
        <w:rFonts w:ascii="Arial" w:hAnsi="Arial" w:hint="default"/>
        <w:b/>
        <w:i w:val="0"/>
        <w:caps w:val="0"/>
        <w:strike w:val="0"/>
        <w:dstrike w:val="0"/>
        <w:vanish w:val="0"/>
        <w:color w:val="auto"/>
        <w:kern w:val="0"/>
        <w:sz w:val="26"/>
        <w:u w:val="none"/>
        <w:vertAlign w:val="baseline"/>
        <w14:cntxtAlts w14:val="0"/>
      </w:rPr>
    </w:lvl>
    <w:lvl w:ilvl="2">
      <w:start w:val="1"/>
      <w:numFmt w:val="decimal"/>
      <w:pStyle w:val="Heading3"/>
      <w:lvlText w:val="%1.%2.%3."/>
      <w:lvlJc w:val="left"/>
      <w:pPr>
        <w:tabs>
          <w:tab w:val="num" w:pos="1656"/>
        </w:tabs>
        <w:ind w:left="1656" w:hanging="936"/>
      </w:pPr>
      <w:rPr>
        <w:rFonts w:ascii="Arial" w:hAnsi="Arial" w:hint="default"/>
        <w:b/>
        <w:i w:val="0"/>
        <w:caps w:val="0"/>
        <w:strike w:val="0"/>
        <w:dstrike w:val="0"/>
        <w:vanish w:val="0"/>
        <w:color w:val="auto"/>
        <w:kern w:val="0"/>
        <w:sz w:val="26"/>
        <w:u w:val="none"/>
        <w:vertAlign w:val="baseline"/>
        <w14:cntxtAlts w14:val="0"/>
      </w:rPr>
    </w:lvl>
    <w:lvl w:ilvl="3">
      <w:start w:val="1"/>
      <w:numFmt w:val="decimal"/>
      <w:pStyle w:val="Heading4"/>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 w:ilvl="4">
      <w:start w:val="1"/>
      <w:numFmt w:val="decimal"/>
      <w:pStyle w:val="Heading5"/>
      <w:lvlText w:val="%1.%2.%3.%4.%5."/>
      <w:lvlJc w:val="left"/>
      <w:pPr>
        <w:tabs>
          <w:tab w:val="num" w:pos="2880"/>
        </w:tabs>
        <w:ind w:left="2880" w:hanging="1440"/>
      </w:pPr>
      <w:rPr>
        <w:rFonts w:ascii="Arial" w:hAnsi="Arial" w:hint="default"/>
        <w:b/>
        <w:i w:val="0"/>
        <w:sz w:val="26"/>
      </w:rPr>
    </w:lvl>
    <w:lvl w:ilvl="5">
      <w:start w:val="1"/>
      <w:numFmt w:val="decimal"/>
      <w:pStyle w:val="Heading6"/>
      <w:lvlText w:val="%1.%2.%3.%4.%5.%6."/>
      <w:lvlJc w:val="left"/>
      <w:pPr>
        <w:tabs>
          <w:tab w:val="num" w:pos="3528"/>
        </w:tabs>
        <w:ind w:left="3528" w:hanging="1728"/>
      </w:pPr>
      <w:rPr>
        <w:rFonts w:ascii="Arial" w:hAnsi="Arial" w:hint="default"/>
        <w:b/>
        <w:i w:val="0"/>
        <w:sz w:val="26"/>
      </w:rPr>
    </w:lvl>
    <w:lvl w:ilvl="6">
      <w:start w:val="1"/>
      <w:numFmt w:val="decimal"/>
      <w:pStyle w:val="ListNum"/>
      <w:lvlText w:val="%7."/>
      <w:lvlJc w:val="left"/>
      <w:pPr>
        <w:tabs>
          <w:tab w:val="num" w:pos="1080"/>
        </w:tabs>
        <w:ind w:left="1080" w:hanging="360"/>
      </w:pPr>
      <w:rPr>
        <w:rFonts w:ascii="Book Antiqua" w:hAnsi="Book Antiqua" w:hint="default"/>
        <w:b w:val="0"/>
        <w:i w:val="0"/>
        <w:sz w:val="26"/>
      </w:rPr>
    </w:lvl>
    <w:lvl w:ilvl="7">
      <w:start w:val="1"/>
      <w:numFmt w:val="lowerLetter"/>
      <w:pStyle w:val="ListAlpha"/>
      <w:lvlText w:val="%8."/>
      <w:lvlJc w:val="left"/>
      <w:pPr>
        <w:ind w:left="1080" w:hanging="360"/>
      </w:pPr>
      <w:rPr>
        <w:rFonts w:ascii="Book Antiqua" w:hAnsi="Book Antiqua" w:hint="default"/>
        <w:sz w:val="26"/>
      </w:rPr>
    </w:lvl>
    <w:lvl w:ilvl="8">
      <w:start w:val="1"/>
      <w:numFmt w:val="none"/>
      <w:lvlText w:val=""/>
      <w:lvlJc w:val="left"/>
      <w:pPr>
        <w:ind w:left="3240" w:hanging="360"/>
      </w:pPr>
      <w:rPr>
        <w:rFonts w:hint="default"/>
      </w:rPr>
    </w:lvl>
  </w:abstractNum>
  <w:abstractNum w:abstractNumId="11" w15:restartNumberingAfterBreak="0">
    <w:nsid w:val="49627312"/>
    <w:multiLevelType w:val="hybridMultilevel"/>
    <w:tmpl w:val="737AAD5A"/>
    <w:lvl w:ilvl="0" w:tplc="267A8A48">
      <w:start w:val="1"/>
      <w:numFmt w:val="upperLetter"/>
      <w:lvlText w:val="%1)"/>
      <w:lvlJc w:val="left"/>
      <w:pPr>
        <w:ind w:left="3150" w:hanging="360"/>
      </w:pPr>
      <w:rPr>
        <w:rFonts w:hint="default"/>
      </w:rPr>
    </w:lvl>
    <w:lvl w:ilvl="1" w:tplc="04090019" w:tentative="1">
      <w:start w:val="1"/>
      <w:numFmt w:val="lowerLetter"/>
      <w:lvlText w:val="%2."/>
      <w:lvlJc w:val="left"/>
      <w:pPr>
        <w:ind w:left="3870" w:hanging="360"/>
      </w:pPr>
    </w:lvl>
    <w:lvl w:ilvl="2" w:tplc="0409001B" w:tentative="1">
      <w:start w:val="1"/>
      <w:numFmt w:val="lowerRoman"/>
      <w:lvlText w:val="%3."/>
      <w:lvlJc w:val="right"/>
      <w:pPr>
        <w:ind w:left="4590" w:hanging="180"/>
      </w:pPr>
    </w:lvl>
    <w:lvl w:ilvl="3" w:tplc="0409000F" w:tentative="1">
      <w:start w:val="1"/>
      <w:numFmt w:val="decimal"/>
      <w:lvlText w:val="%4."/>
      <w:lvlJc w:val="left"/>
      <w:pPr>
        <w:ind w:left="5310" w:hanging="360"/>
      </w:pPr>
    </w:lvl>
    <w:lvl w:ilvl="4" w:tplc="04090019" w:tentative="1">
      <w:start w:val="1"/>
      <w:numFmt w:val="lowerLetter"/>
      <w:lvlText w:val="%5."/>
      <w:lvlJc w:val="left"/>
      <w:pPr>
        <w:ind w:left="6030" w:hanging="360"/>
      </w:pPr>
    </w:lvl>
    <w:lvl w:ilvl="5" w:tplc="0409001B" w:tentative="1">
      <w:start w:val="1"/>
      <w:numFmt w:val="lowerRoman"/>
      <w:lvlText w:val="%6."/>
      <w:lvlJc w:val="right"/>
      <w:pPr>
        <w:ind w:left="6750" w:hanging="180"/>
      </w:pPr>
    </w:lvl>
    <w:lvl w:ilvl="6" w:tplc="0409000F" w:tentative="1">
      <w:start w:val="1"/>
      <w:numFmt w:val="decimal"/>
      <w:lvlText w:val="%7."/>
      <w:lvlJc w:val="left"/>
      <w:pPr>
        <w:ind w:left="7470" w:hanging="360"/>
      </w:pPr>
    </w:lvl>
    <w:lvl w:ilvl="7" w:tplc="04090019" w:tentative="1">
      <w:start w:val="1"/>
      <w:numFmt w:val="lowerLetter"/>
      <w:lvlText w:val="%8."/>
      <w:lvlJc w:val="left"/>
      <w:pPr>
        <w:ind w:left="8190" w:hanging="360"/>
      </w:pPr>
    </w:lvl>
    <w:lvl w:ilvl="8" w:tplc="0409001B" w:tentative="1">
      <w:start w:val="1"/>
      <w:numFmt w:val="lowerRoman"/>
      <w:lvlText w:val="%9."/>
      <w:lvlJc w:val="right"/>
      <w:pPr>
        <w:ind w:left="8910" w:hanging="180"/>
      </w:pPr>
    </w:lvl>
  </w:abstractNum>
  <w:abstractNum w:abstractNumId="12" w15:restartNumberingAfterBreak="0">
    <w:nsid w:val="4DF7486B"/>
    <w:multiLevelType w:val="hybridMultilevel"/>
    <w:tmpl w:val="D8966B36"/>
    <w:lvl w:ilvl="0" w:tplc="7AEC4E38">
      <w:start w:val="1"/>
      <w:numFmt w:val="decimal"/>
      <w:lvlText w:val="%1."/>
      <w:lvlJc w:val="left"/>
      <w:pPr>
        <w:ind w:left="1080" w:hanging="360"/>
      </w:pPr>
      <w:rPr>
        <w:rFonts w:hint="default"/>
        <w:b w:val="0"/>
        <w:i w:val="0"/>
        <w:caps w:val="0"/>
        <w:strike w:val="0"/>
        <w:dstrike w:val="0"/>
        <w:vanish w:val="0"/>
        <w:kern w:val="0"/>
        <w:position w:val="0"/>
        <w:sz w:val="26"/>
        <w:vertAlign w:val="baseline"/>
        <w14:ligatures w14:val="none"/>
        <w14:numSpacing w14:val="default"/>
        <w14:cntxtAlts w14: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59D042D7"/>
    <w:multiLevelType w:val="multilevel"/>
    <w:tmpl w:val="18F4A5AC"/>
    <w:numStyleLink w:val="FoFCoLOP"/>
  </w:abstractNum>
  <w:abstractNum w:abstractNumId="14" w15:restartNumberingAfterBreak="0">
    <w:nsid w:val="5A9E2171"/>
    <w:multiLevelType w:val="multilevel"/>
    <w:tmpl w:val="3C526EDE"/>
    <w:numStyleLink w:val="Headings"/>
  </w:abstractNum>
  <w:abstractNum w:abstractNumId="15" w15:restartNumberingAfterBreak="0">
    <w:nsid w:val="61A25780"/>
    <w:multiLevelType w:val="multilevel"/>
    <w:tmpl w:val="3C526EDE"/>
    <w:numStyleLink w:val="Headings"/>
  </w:abstractNum>
  <w:abstractNum w:abstractNumId="16" w15:restartNumberingAfterBreak="0">
    <w:nsid w:val="6FDF7E1C"/>
    <w:multiLevelType w:val="hybridMultilevel"/>
    <w:tmpl w:val="2F5AD6F8"/>
    <w:lvl w:ilvl="0" w:tplc="721C313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54C395A"/>
    <w:multiLevelType w:val="hybridMultilevel"/>
    <w:tmpl w:val="F65254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9A0AFE"/>
    <w:multiLevelType w:val="multilevel"/>
    <w:tmpl w:val="18F4A5AC"/>
    <w:numStyleLink w:val="FoFCoLOP"/>
  </w:abstractNum>
  <w:num w:numId="1" w16cid:durableId="1354526949">
    <w:abstractNumId w:val="14"/>
  </w:num>
  <w:num w:numId="2" w16cid:durableId="140774137">
    <w:abstractNumId w:val="1"/>
  </w:num>
  <w:num w:numId="3" w16cid:durableId="1898543446">
    <w:abstractNumId w:val="13"/>
  </w:num>
  <w:num w:numId="4" w16cid:durableId="701521005">
    <w:abstractNumId w:val="2"/>
  </w:num>
  <w:num w:numId="5" w16cid:durableId="2017029027">
    <w:abstractNumId w:val="18"/>
  </w:num>
  <w:num w:numId="6" w16cid:durableId="973756952">
    <w:abstractNumId w:val="10"/>
  </w:num>
  <w:num w:numId="7" w16cid:durableId="827667741">
    <w:abstractNumId w:val="6"/>
  </w:num>
  <w:num w:numId="8" w16cid:durableId="1760327020">
    <w:abstractNumId w:val="16"/>
  </w:num>
  <w:num w:numId="9" w16cid:durableId="816924040">
    <w:abstractNumId w:val="0"/>
  </w:num>
  <w:num w:numId="10" w16cid:durableId="1817916489">
    <w:abstractNumId w:val="5"/>
  </w:num>
  <w:num w:numId="11" w16cid:durableId="291985460">
    <w:abstractNumId w:val="7"/>
  </w:num>
  <w:num w:numId="12" w16cid:durableId="467941983">
    <w:abstractNumId w:val="4"/>
  </w:num>
  <w:num w:numId="13" w16cid:durableId="712996464">
    <w:abstractNumId w:val="8"/>
  </w:num>
  <w:num w:numId="14" w16cid:durableId="1303778653">
    <w:abstractNumId w:val="9"/>
  </w:num>
  <w:num w:numId="15" w16cid:durableId="1714382259">
    <w:abstractNumId w:val="15"/>
  </w:num>
  <w:num w:numId="16" w16cid:durableId="54810768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14637577">
    <w:abstractNumId w:val="15"/>
  </w:num>
  <w:num w:numId="18" w16cid:durableId="591939627">
    <w:abstractNumId w:val="12"/>
  </w:num>
  <w:num w:numId="19" w16cid:durableId="920677103">
    <w:abstractNumId w:val="3"/>
  </w:num>
  <w:num w:numId="20" w16cid:durableId="864095899">
    <w:abstractNumId w:val="17"/>
  </w:num>
  <w:num w:numId="21" w16cid:durableId="34324305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17163688">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899"/>
    <w:rsid w:val="00000F6A"/>
    <w:rsid w:val="00007E2E"/>
    <w:rsid w:val="0001628E"/>
    <w:rsid w:val="00017B87"/>
    <w:rsid w:val="00030A33"/>
    <w:rsid w:val="00036C86"/>
    <w:rsid w:val="00051340"/>
    <w:rsid w:val="000548CC"/>
    <w:rsid w:val="00064585"/>
    <w:rsid w:val="0006702D"/>
    <w:rsid w:val="0007115A"/>
    <w:rsid w:val="00075B14"/>
    <w:rsid w:val="000973C8"/>
    <w:rsid w:val="000A2AA9"/>
    <w:rsid w:val="000A56F2"/>
    <w:rsid w:val="000A6E05"/>
    <w:rsid w:val="000B12FA"/>
    <w:rsid w:val="000C08BF"/>
    <w:rsid w:val="000C3B9A"/>
    <w:rsid w:val="000C6C01"/>
    <w:rsid w:val="000D25A8"/>
    <w:rsid w:val="000E270A"/>
    <w:rsid w:val="000E4C53"/>
    <w:rsid w:val="000F48C6"/>
    <w:rsid w:val="00100AE2"/>
    <w:rsid w:val="00121089"/>
    <w:rsid w:val="0013461D"/>
    <w:rsid w:val="001347F8"/>
    <w:rsid w:val="00140708"/>
    <w:rsid w:val="0015352B"/>
    <w:rsid w:val="00164C30"/>
    <w:rsid w:val="00173FDE"/>
    <w:rsid w:val="00174A85"/>
    <w:rsid w:val="00180CC9"/>
    <w:rsid w:val="00184A8F"/>
    <w:rsid w:val="00185C61"/>
    <w:rsid w:val="001950CE"/>
    <w:rsid w:val="001A1402"/>
    <w:rsid w:val="001B0A26"/>
    <w:rsid w:val="001B78A5"/>
    <w:rsid w:val="001C363F"/>
    <w:rsid w:val="001C3CD4"/>
    <w:rsid w:val="001E2A62"/>
    <w:rsid w:val="001F2819"/>
    <w:rsid w:val="001F3331"/>
    <w:rsid w:val="001F43BA"/>
    <w:rsid w:val="00201178"/>
    <w:rsid w:val="002043EC"/>
    <w:rsid w:val="00215219"/>
    <w:rsid w:val="0022212B"/>
    <w:rsid w:val="00222BF7"/>
    <w:rsid w:val="00226FA3"/>
    <w:rsid w:val="00227FD3"/>
    <w:rsid w:val="00231B16"/>
    <w:rsid w:val="00235630"/>
    <w:rsid w:val="00235852"/>
    <w:rsid w:val="00236D26"/>
    <w:rsid w:val="00243DC0"/>
    <w:rsid w:val="00247477"/>
    <w:rsid w:val="002638BA"/>
    <w:rsid w:val="002639E2"/>
    <w:rsid w:val="00270440"/>
    <w:rsid w:val="00284D8D"/>
    <w:rsid w:val="00287BC5"/>
    <w:rsid w:val="00293DEE"/>
    <w:rsid w:val="00297095"/>
    <w:rsid w:val="002A0B5D"/>
    <w:rsid w:val="002A5EC0"/>
    <w:rsid w:val="002B5C82"/>
    <w:rsid w:val="002C4A35"/>
    <w:rsid w:val="002C7FE9"/>
    <w:rsid w:val="002D0DC5"/>
    <w:rsid w:val="002D4EFD"/>
    <w:rsid w:val="002E711C"/>
    <w:rsid w:val="00303F92"/>
    <w:rsid w:val="00304958"/>
    <w:rsid w:val="00304AFE"/>
    <w:rsid w:val="00304D71"/>
    <w:rsid w:val="00306847"/>
    <w:rsid w:val="00315A97"/>
    <w:rsid w:val="00315EB4"/>
    <w:rsid w:val="00316071"/>
    <w:rsid w:val="00343E5C"/>
    <w:rsid w:val="00344FB8"/>
    <w:rsid w:val="0036017B"/>
    <w:rsid w:val="00360B1A"/>
    <w:rsid w:val="00362755"/>
    <w:rsid w:val="00363175"/>
    <w:rsid w:val="003736EA"/>
    <w:rsid w:val="00373B93"/>
    <w:rsid w:val="00380CD1"/>
    <w:rsid w:val="003838F1"/>
    <w:rsid w:val="003872B3"/>
    <w:rsid w:val="003A02CA"/>
    <w:rsid w:val="003A38F0"/>
    <w:rsid w:val="003B6FE3"/>
    <w:rsid w:val="003D48F8"/>
    <w:rsid w:val="003D55CF"/>
    <w:rsid w:val="003F069A"/>
    <w:rsid w:val="003F0FFF"/>
    <w:rsid w:val="003F199A"/>
    <w:rsid w:val="003F4329"/>
    <w:rsid w:val="00412534"/>
    <w:rsid w:val="00412C83"/>
    <w:rsid w:val="00420207"/>
    <w:rsid w:val="00425503"/>
    <w:rsid w:val="00426014"/>
    <w:rsid w:val="00432340"/>
    <w:rsid w:val="0044145F"/>
    <w:rsid w:val="0044617E"/>
    <w:rsid w:val="00452B04"/>
    <w:rsid w:val="0046078B"/>
    <w:rsid w:val="00460B7D"/>
    <w:rsid w:val="0046440B"/>
    <w:rsid w:val="004748C9"/>
    <w:rsid w:val="00480750"/>
    <w:rsid w:val="00480CB0"/>
    <w:rsid w:val="00483603"/>
    <w:rsid w:val="00490DB9"/>
    <w:rsid w:val="0049594D"/>
    <w:rsid w:val="004A1EAD"/>
    <w:rsid w:val="004A47BE"/>
    <w:rsid w:val="004A514F"/>
    <w:rsid w:val="004B34EA"/>
    <w:rsid w:val="004B5494"/>
    <w:rsid w:val="004C4427"/>
    <w:rsid w:val="004C5E24"/>
    <w:rsid w:val="004C7A2B"/>
    <w:rsid w:val="004C7D3A"/>
    <w:rsid w:val="004D035F"/>
    <w:rsid w:val="004D4CC5"/>
    <w:rsid w:val="004E2750"/>
    <w:rsid w:val="004F0199"/>
    <w:rsid w:val="004F19BA"/>
    <w:rsid w:val="00501599"/>
    <w:rsid w:val="005018A8"/>
    <w:rsid w:val="00505A39"/>
    <w:rsid w:val="00507F26"/>
    <w:rsid w:val="005240BF"/>
    <w:rsid w:val="0052526F"/>
    <w:rsid w:val="005319EC"/>
    <w:rsid w:val="00543DDD"/>
    <w:rsid w:val="00546C67"/>
    <w:rsid w:val="0056520B"/>
    <w:rsid w:val="00572219"/>
    <w:rsid w:val="00574B1C"/>
    <w:rsid w:val="00584644"/>
    <w:rsid w:val="00585390"/>
    <w:rsid w:val="005939A5"/>
    <w:rsid w:val="00594B05"/>
    <w:rsid w:val="005A148C"/>
    <w:rsid w:val="005A53BE"/>
    <w:rsid w:val="005A620E"/>
    <w:rsid w:val="005C0A8B"/>
    <w:rsid w:val="005C3508"/>
    <w:rsid w:val="005C58FA"/>
    <w:rsid w:val="005D073C"/>
    <w:rsid w:val="00603238"/>
    <w:rsid w:val="00607875"/>
    <w:rsid w:val="00610F72"/>
    <w:rsid w:val="006158BA"/>
    <w:rsid w:val="00632207"/>
    <w:rsid w:val="0063491C"/>
    <w:rsid w:val="00641A5C"/>
    <w:rsid w:val="0065368C"/>
    <w:rsid w:val="00661AFE"/>
    <w:rsid w:val="00680F19"/>
    <w:rsid w:val="00683986"/>
    <w:rsid w:val="00683B2C"/>
    <w:rsid w:val="00696646"/>
    <w:rsid w:val="006A3AB1"/>
    <w:rsid w:val="006A78A2"/>
    <w:rsid w:val="006C1F10"/>
    <w:rsid w:val="006C3400"/>
    <w:rsid w:val="006C3986"/>
    <w:rsid w:val="006E4AD4"/>
    <w:rsid w:val="006E5E28"/>
    <w:rsid w:val="006E6574"/>
    <w:rsid w:val="00714CF2"/>
    <w:rsid w:val="007156B9"/>
    <w:rsid w:val="00720817"/>
    <w:rsid w:val="00722850"/>
    <w:rsid w:val="0073137E"/>
    <w:rsid w:val="0073197E"/>
    <w:rsid w:val="0073353F"/>
    <w:rsid w:val="007341B6"/>
    <w:rsid w:val="00735A91"/>
    <w:rsid w:val="0073625A"/>
    <w:rsid w:val="007405A0"/>
    <w:rsid w:val="00742E45"/>
    <w:rsid w:val="007447AF"/>
    <w:rsid w:val="00750816"/>
    <w:rsid w:val="007561CE"/>
    <w:rsid w:val="00762FC5"/>
    <w:rsid w:val="007657C1"/>
    <w:rsid w:val="00775D6A"/>
    <w:rsid w:val="0077755F"/>
    <w:rsid w:val="0078307F"/>
    <w:rsid w:val="007840A1"/>
    <w:rsid w:val="007858CD"/>
    <w:rsid w:val="007952AD"/>
    <w:rsid w:val="00797AB3"/>
    <w:rsid w:val="007A406D"/>
    <w:rsid w:val="007A62B0"/>
    <w:rsid w:val="007C1707"/>
    <w:rsid w:val="007C5A0C"/>
    <w:rsid w:val="007D02D5"/>
    <w:rsid w:val="007D48A4"/>
    <w:rsid w:val="007E0FEE"/>
    <w:rsid w:val="007E6461"/>
    <w:rsid w:val="007F2017"/>
    <w:rsid w:val="007F2E24"/>
    <w:rsid w:val="0080390E"/>
    <w:rsid w:val="008159CF"/>
    <w:rsid w:val="00816E05"/>
    <w:rsid w:val="00817495"/>
    <w:rsid w:val="008339BB"/>
    <w:rsid w:val="00845A91"/>
    <w:rsid w:val="00853C7B"/>
    <w:rsid w:val="0086419A"/>
    <w:rsid w:val="0087023B"/>
    <w:rsid w:val="00874F21"/>
    <w:rsid w:val="008A08BF"/>
    <w:rsid w:val="008A179F"/>
    <w:rsid w:val="008B0864"/>
    <w:rsid w:val="008B175A"/>
    <w:rsid w:val="008C1331"/>
    <w:rsid w:val="008C1DAA"/>
    <w:rsid w:val="008C3CB7"/>
    <w:rsid w:val="008C7413"/>
    <w:rsid w:val="008D16B7"/>
    <w:rsid w:val="008D2A5D"/>
    <w:rsid w:val="008E32AA"/>
    <w:rsid w:val="008E6091"/>
    <w:rsid w:val="008E6AE6"/>
    <w:rsid w:val="008F0116"/>
    <w:rsid w:val="008F143D"/>
    <w:rsid w:val="009021CB"/>
    <w:rsid w:val="009033CC"/>
    <w:rsid w:val="009034CE"/>
    <w:rsid w:val="009213D1"/>
    <w:rsid w:val="00932865"/>
    <w:rsid w:val="0094020F"/>
    <w:rsid w:val="00944933"/>
    <w:rsid w:val="00955D46"/>
    <w:rsid w:val="00976C25"/>
    <w:rsid w:val="0098138E"/>
    <w:rsid w:val="0098655A"/>
    <w:rsid w:val="00995451"/>
    <w:rsid w:val="009A6E36"/>
    <w:rsid w:val="009B18A6"/>
    <w:rsid w:val="009B6A63"/>
    <w:rsid w:val="009C37DE"/>
    <w:rsid w:val="009C407A"/>
    <w:rsid w:val="009D11EF"/>
    <w:rsid w:val="009D5378"/>
    <w:rsid w:val="009E2A53"/>
    <w:rsid w:val="009E6052"/>
    <w:rsid w:val="009E7C7F"/>
    <w:rsid w:val="009F11A5"/>
    <w:rsid w:val="009F56F9"/>
    <w:rsid w:val="00A05A4F"/>
    <w:rsid w:val="00A1290B"/>
    <w:rsid w:val="00A17CE0"/>
    <w:rsid w:val="00A23D48"/>
    <w:rsid w:val="00A2661F"/>
    <w:rsid w:val="00A37FFC"/>
    <w:rsid w:val="00A42306"/>
    <w:rsid w:val="00A43E89"/>
    <w:rsid w:val="00A44E8D"/>
    <w:rsid w:val="00A46EA8"/>
    <w:rsid w:val="00A54196"/>
    <w:rsid w:val="00A55ACD"/>
    <w:rsid w:val="00A84C91"/>
    <w:rsid w:val="00A85D27"/>
    <w:rsid w:val="00A90DC4"/>
    <w:rsid w:val="00A94CC3"/>
    <w:rsid w:val="00AA5FF4"/>
    <w:rsid w:val="00AB7875"/>
    <w:rsid w:val="00AC23D0"/>
    <w:rsid w:val="00AC68EE"/>
    <w:rsid w:val="00AE0973"/>
    <w:rsid w:val="00B01F7E"/>
    <w:rsid w:val="00B03685"/>
    <w:rsid w:val="00B12D54"/>
    <w:rsid w:val="00B16C2A"/>
    <w:rsid w:val="00B3087D"/>
    <w:rsid w:val="00B34794"/>
    <w:rsid w:val="00B34E58"/>
    <w:rsid w:val="00B41B3C"/>
    <w:rsid w:val="00B51CAB"/>
    <w:rsid w:val="00B60421"/>
    <w:rsid w:val="00B63DAE"/>
    <w:rsid w:val="00B81EB6"/>
    <w:rsid w:val="00B975AD"/>
    <w:rsid w:val="00BA37B1"/>
    <w:rsid w:val="00BB0243"/>
    <w:rsid w:val="00BC20CA"/>
    <w:rsid w:val="00BC6F14"/>
    <w:rsid w:val="00BD0AB7"/>
    <w:rsid w:val="00BD3756"/>
    <w:rsid w:val="00BE40AE"/>
    <w:rsid w:val="00C10B5F"/>
    <w:rsid w:val="00C61EDD"/>
    <w:rsid w:val="00C878D5"/>
    <w:rsid w:val="00C9033B"/>
    <w:rsid w:val="00C913A1"/>
    <w:rsid w:val="00CA7B0A"/>
    <w:rsid w:val="00CC08FD"/>
    <w:rsid w:val="00CC6A99"/>
    <w:rsid w:val="00D00AA3"/>
    <w:rsid w:val="00D0504E"/>
    <w:rsid w:val="00D07F73"/>
    <w:rsid w:val="00D14844"/>
    <w:rsid w:val="00D2041C"/>
    <w:rsid w:val="00D25ADE"/>
    <w:rsid w:val="00D43297"/>
    <w:rsid w:val="00D43A0D"/>
    <w:rsid w:val="00D44DB6"/>
    <w:rsid w:val="00D50119"/>
    <w:rsid w:val="00D50ECF"/>
    <w:rsid w:val="00D515CB"/>
    <w:rsid w:val="00D51CB4"/>
    <w:rsid w:val="00D82A43"/>
    <w:rsid w:val="00D844F6"/>
    <w:rsid w:val="00D873C7"/>
    <w:rsid w:val="00D97DA4"/>
    <w:rsid w:val="00DA58F7"/>
    <w:rsid w:val="00DA7B5D"/>
    <w:rsid w:val="00DB1867"/>
    <w:rsid w:val="00DD2D1E"/>
    <w:rsid w:val="00DF23BE"/>
    <w:rsid w:val="00DF58E7"/>
    <w:rsid w:val="00E11876"/>
    <w:rsid w:val="00E23CBB"/>
    <w:rsid w:val="00E37B59"/>
    <w:rsid w:val="00E47FF5"/>
    <w:rsid w:val="00E53438"/>
    <w:rsid w:val="00E561C8"/>
    <w:rsid w:val="00E5701F"/>
    <w:rsid w:val="00E6230E"/>
    <w:rsid w:val="00E725FC"/>
    <w:rsid w:val="00E75E4E"/>
    <w:rsid w:val="00E86658"/>
    <w:rsid w:val="00EA357E"/>
    <w:rsid w:val="00EA36C6"/>
    <w:rsid w:val="00EA557E"/>
    <w:rsid w:val="00EB2BB2"/>
    <w:rsid w:val="00EC30F9"/>
    <w:rsid w:val="00ED074E"/>
    <w:rsid w:val="00ED0B8C"/>
    <w:rsid w:val="00ED5725"/>
    <w:rsid w:val="00ED7031"/>
    <w:rsid w:val="00EE3060"/>
    <w:rsid w:val="00EE4315"/>
    <w:rsid w:val="00EF6925"/>
    <w:rsid w:val="00F00A9A"/>
    <w:rsid w:val="00F07E53"/>
    <w:rsid w:val="00F11CFD"/>
    <w:rsid w:val="00F12118"/>
    <w:rsid w:val="00F1652A"/>
    <w:rsid w:val="00F204B2"/>
    <w:rsid w:val="00F26ED3"/>
    <w:rsid w:val="00F33484"/>
    <w:rsid w:val="00F62B7A"/>
    <w:rsid w:val="00F62C4C"/>
    <w:rsid w:val="00F6397D"/>
    <w:rsid w:val="00F63DFC"/>
    <w:rsid w:val="00F641A3"/>
    <w:rsid w:val="00F7293E"/>
    <w:rsid w:val="00F76650"/>
    <w:rsid w:val="00F9187B"/>
    <w:rsid w:val="00F92385"/>
    <w:rsid w:val="00FA0759"/>
    <w:rsid w:val="00FA1B4F"/>
    <w:rsid w:val="00FB315B"/>
    <w:rsid w:val="00FC31B3"/>
    <w:rsid w:val="00FC47F9"/>
    <w:rsid w:val="00FD4E2C"/>
    <w:rsid w:val="00FE2351"/>
    <w:rsid w:val="00FE337D"/>
    <w:rsid w:val="00FE5580"/>
    <w:rsid w:val="00FE61AA"/>
    <w:rsid w:val="00FE7465"/>
    <w:rsid w:val="00FF110C"/>
    <w:rsid w:val="00FF38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115018"/>
  <w15:chartTrackingRefBased/>
  <w15:docId w15:val="{E38C07C5-9EA6-4A48-AF7E-D9013D75D1FF}"/>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uiPriority="4"/>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4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4"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61AFE"/>
    <w:pPr>
      <w:spacing w:after="0" w:line="360" w:lineRule="auto"/>
      <w:ind w:firstLine="720"/>
    </w:pPr>
    <w:rPr>
      <w:rFonts w:ascii="Book Antiqua" w:hAnsi="Book Antiqua"/>
      <w:sz w:val="26"/>
    </w:rPr>
  </w:style>
  <w:style w:type="paragraph" w:styleId="Heading1">
    <w:name w:val="heading 1"/>
    <w:basedOn w:val="Dummy"/>
    <w:next w:val="Standard"/>
    <w:link w:val="Heading1Char"/>
    <w:uiPriority w:val="4"/>
    <w:qFormat/>
    <w:rsid w:val="000E270A"/>
    <w:pPr>
      <w:numPr>
        <w:numId w:val="15"/>
      </w:numPr>
      <w:ind w:right="2160"/>
    </w:pPr>
    <w:rPr>
      <w:rFonts w:eastAsiaTheme="majorEastAsia" w:cstheme="majorBidi"/>
      <w:szCs w:val="32"/>
    </w:rPr>
  </w:style>
  <w:style w:type="paragraph" w:styleId="Heading2">
    <w:name w:val="heading 2"/>
    <w:basedOn w:val="Dummy"/>
    <w:next w:val="Standard"/>
    <w:link w:val="Heading2Char"/>
    <w:uiPriority w:val="4"/>
    <w:qFormat/>
    <w:rsid w:val="000E270A"/>
    <w:pPr>
      <w:numPr>
        <w:ilvl w:val="1"/>
        <w:numId w:val="15"/>
      </w:numPr>
      <w:ind w:right="2160"/>
      <w:outlineLvl w:val="1"/>
    </w:pPr>
  </w:style>
  <w:style w:type="paragraph" w:styleId="Heading3">
    <w:name w:val="heading 3"/>
    <w:basedOn w:val="Dummy"/>
    <w:next w:val="Standard"/>
    <w:link w:val="Heading3Char"/>
    <w:uiPriority w:val="4"/>
    <w:qFormat/>
    <w:rsid w:val="000E270A"/>
    <w:pPr>
      <w:numPr>
        <w:ilvl w:val="2"/>
        <w:numId w:val="15"/>
      </w:numPr>
      <w:ind w:right="2160"/>
      <w:outlineLvl w:val="2"/>
    </w:pPr>
    <w:rPr>
      <w:rFonts w:eastAsiaTheme="majorEastAsia" w:cstheme="majorBidi"/>
      <w:szCs w:val="24"/>
    </w:rPr>
  </w:style>
  <w:style w:type="paragraph" w:styleId="Heading4">
    <w:name w:val="heading 4"/>
    <w:basedOn w:val="Dummy"/>
    <w:next w:val="Standard"/>
    <w:link w:val="Heading4Char"/>
    <w:uiPriority w:val="4"/>
    <w:rsid w:val="000E270A"/>
    <w:pPr>
      <w:numPr>
        <w:ilvl w:val="3"/>
        <w:numId w:val="15"/>
      </w:numPr>
      <w:ind w:right="2160"/>
      <w:outlineLvl w:val="3"/>
    </w:pPr>
    <w:rPr>
      <w:rFonts w:eastAsiaTheme="majorEastAsia" w:cstheme="majorBidi"/>
      <w:iCs/>
    </w:rPr>
  </w:style>
  <w:style w:type="paragraph" w:styleId="Heading5">
    <w:name w:val="heading 5"/>
    <w:basedOn w:val="Dummy"/>
    <w:next w:val="Standard"/>
    <w:link w:val="Heading5Char"/>
    <w:uiPriority w:val="4"/>
    <w:rsid w:val="000E270A"/>
    <w:pPr>
      <w:numPr>
        <w:ilvl w:val="4"/>
        <w:numId w:val="15"/>
      </w:numPr>
      <w:ind w:right="2160"/>
      <w:outlineLvl w:val="4"/>
    </w:pPr>
    <w:rPr>
      <w:rFonts w:eastAsiaTheme="majorEastAsia" w:cstheme="majorBidi"/>
    </w:rPr>
  </w:style>
  <w:style w:type="paragraph" w:styleId="Heading6">
    <w:name w:val="heading 6"/>
    <w:basedOn w:val="Dummy"/>
    <w:next w:val="Standard"/>
    <w:link w:val="Heading6Char"/>
    <w:uiPriority w:val="4"/>
    <w:rsid w:val="000E270A"/>
    <w:pPr>
      <w:numPr>
        <w:ilvl w:val="5"/>
        <w:numId w:val="15"/>
      </w:numPr>
      <w:spacing w:before="40"/>
      <w:ind w:right="2160"/>
      <w:outlineLvl w:val="5"/>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A7B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4"/>
    <w:rsid w:val="00287BC5"/>
    <w:rPr>
      <w:rFonts w:ascii="Arial" w:eastAsiaTheme="majorEastAsia" w:hAnsi="Arial" w:cstheme="majorBidi"/>
      <w:b/>
      <w:sz w:val="26"/>
      <w:szCs w:val="32"/>
    </w:rPr>
  </w:style>
  <w:style w:type="paragraph" w:styleId="TOCHeading">
    <w:name w:val="TOC Heading"/>
    <w:next w:val="Normal"/>
    <w:uiPriority w:val="39"/>
    <w:unhideWhenUsed/>
    <w:rsid w:val="001E2A62"/>
    <w:pPr>
      <w:spacing w:line="240" w:lineRule="auto"/>
      <w:jc w:val="center"/>
    </w:pPr>
    <w:rPr>
      <w:rFonts w:ascii="Arial" w:eastAsiaTheme="majorEastAsia" w:hAnsi="Arial" w:cstheme="majorBidi"/>
      <w:b/>
      <w:sz w:val="26"/>
      <w:szCs w:val="32"/>
    </w:rPr>
  </w:style>
  <w:style w:type="paragraph" w:styleId="Title">
    <w:name w:val="Title"/>
    <w:basedOn w:val="Dummy"/>
    <w:next w:val="Normal"/>
    <w:link w:val="TitleChar"/>
    <w:uiPriority w:val="10"/>
    <w:semiHidden/>
    <w:rsid w:val="00121089"/>
    <w:pPr>
      <w:spacing w:after="0"/>
      <w:contextualSpacing/>
      <w:jc w:val="center"/>
    </w:pPr>
    <w:rPr>
      <w:rFonts w:eastAsiaTheme="majorEastAsia" w:cstheme="majorBidi"/>
      <w:caps/>
      <w:szCs w:val="56"/>
    </w:rPr>
  </w:style>
  <w:style w:type="character" w:customStyle="1" w:styleId="TitleChar">
    <w:name w:val="Title Char"/>
    <w:basedOn w:val="DefaultParagraphFont"/>
    <w:link w:val="Title"/>
    <w:uiPriority w:val="10"/>
    <w:semiHidden/>
    <w:rsid w:val="0036017B"/>
    <w:rPr>
      <w:rFonts w:ascii="Arial" w:eastAsiaTheme="majorEastAsia" w:hAnsi="Arial" w:cstheme="majorBidi"/>
      <w:b/>
      <w:caps/>
      <w:sz w:val="26"/>
      <w:szCs w:val="56"/>
    </w:rPr>
  </w:style>
  <w:style w:type="paragraph" w:customStyle="1" w:styleId="Dummy">
    <w:name w:val="Dummy"/>
    <w:next w:val="Normal"/>
    <w:uiPriority w:val="19"/>
    <w:rsid w:val="00F62B7A"/>
    <w:pPr>
      <w:keepNext/>
      <w:keepLines/>
      <w:spacing w:after="120" w:line="240" w:lineRule="auto"/>
      <w:outlineLvl w:val="0"/>
    </w:pPr>
    <w:rPr>
      <w:rFonts w:ascii="Arial" w:hAnsi="Arial" w:cs="Arial"/>
      <w:b/>
      <w:sz w:val="26"/>
      <w:szCs w:val="26"/>
    </w:rPr>
  </w:style>
  <w:style w:type="character" w:customStyle="1" w:styleId="Heading2Char">
    <w:name w:val="Heading 2 Char"/>
    <w:basedOn w:val="DefaultParagraphFont"/>
    <w:link w:val="Heading2"/>
    <w:uiPriority w:val="4"/>
    <w:rsid w:val="00287BC5"/>
    <w:rPr>
      <w:rFonts w:ascii="Arial" w:hAnsi="Arial" w:cs="Arial"/>
      <w:b/>
      <w:sz w:val="26"/>
      <w:szCs w:val="26"/>
    </w:rPr>
  </w:style>
  <w:style w:type="character" w:customStyle="1" w:styleId="Heading3Char">
    <w:name w:val="Heading 3 Char"/>
    <w:basedOn w:val="DefaultParagraphFont"/>
    <w:link w:val="Heading3"/>
    <w:uiPriority w:val="4"/>
    <w:rsid w:val="00287BC5"/>
    <w:rPr>
      <w:rFonts w:ascii="Arial" w:eastAsiaTheme="majorEastAsia" w:hAnsi="Arial" w:cstheme="majorBidi"/>
      <w:b/>
      <w:sz w:val="26"/>
      <w:szCs w:val="24"/>
    </w:rPr>
  </w:style>
  <w:style w:type="character" w:customStyle="1" w:styleId="Heading4Char">
    <w:name w:val="Heading 4 Char"/>
    <w:basedOn w:val="DefaultParagraphFont"/>
    <w:link w:val="Heading4"/>
    <w:uiPriority w:val="4"/>
    <w:rsid w:val="00287BC5"/>
    <w:rPr>
      <w:rFonts w:ascii="Arial" w:eastAsiaTheme="majorEastAsia" w:hAnsi="Arial" w:cstheme="majorBidi"/>
      <w:b/>
      <w:iCs/>
      <w:sz w:val="26"/>
      <w:szCs w:val="26"/>
    </w:rPr>
  </w:style>
  <w:style w:type="character" w:customStyle="1" w:styleId="Heading5Char">
    <w:name w:val="Heading 5 Char"/>
    <w:basedOn w:val="DefaultParagraphFont"/>
    <w:link w:val="Heading5"/>
    <w:uiPriority w:val="4"/>
    <w:rsid w:val="00287BC5"/>
    <w:rPr>
      <w:rFonts w:ascii="Arial" w:eastAsiaTheme="majorEastAsia" w:hAnsi="Arial" w:cstheme="majorBidi"/>
      <w:b/>
      <w:sz w:val="26"/>
      <w:szCs w:val="26"/>
    </w:rPr>
  </w:style>
  <w:style w:type="paragraph" w:customStyle="1" w:styleId="Main">
    <w:name w:val="Main"/>
    <w:next w:val="Normal"/>
    <w:uiPriority w:val="19"/>
    <w:rsid w:val="00F62B7A"/>
    <w:pPr>
      <w:spacing w:after="0" w:line="240" w:lineRule="auto"/>
      <w:jc w:val="center"/>
    </w:pPr>
    <w:rPr>
      <w:rFonts w:ascii="Arial" w:eastAsiaTheme="majorEastAsia" w:hAnsi="Arial" w:cstheme="majorBidi"/>
      <w:b/>
      <w:caps/>
      <w:sz w:val="26"/>
      <w:szCs w:val="56"/>
    </w:rPr>
  </w:style>
  <w:style w:type="paragraph" w:customStyle="1" w:styleId="Mainex">
    <w:name w:val="Mainex"/>
    <w:basedOn w:val="Main"/>
    <w:next w:val="Normal"/>
    <w:uiPriority w:val="19"/>
    <w:rsid w:val="000A6E05"/>
    <w:pPr>
      <w:keepNext/>
      <w:spacing w:line="360" w:lineRule="auto"/>
      <w:outlineLvl w:val="0"/>
    </w:pPr>
    <w:rPr>
      <w:spacing w:val="120"/>
    </w:rPr>
  </w:style>
  <w:style w:type="paragraph" w:styleId="TOC2">
    <w:name w:val="toc 2"/>
    <w:basedOn w:val="Normal"/>
    <w:next w:val="Normal"/>
    <w:uiPriority w:val="39"/>
    <w:unhideWhenUsed/>
    <w:rsid w:val="00ED5725"/>
    <w:pPr>
      <w:spacing w:line="240" w:lineRule="auto"/>
      <w:ind w:left="864" w:hanging="648"/>
    </w:pPr>
    <w:rPr>
      <w:rFonts w:eastAsiaTheme="minorEastAsia" w:cs="Times New Roman"/>
    </w:rPr>
  </w:style>
  <w:style w:type="paragraph" w:styleId="TOC1">
    <w:name w:val="toc 1"/>
    <w:basedOn w:val="Normal"/>
    <w:next w:val="Normal"/>
    <w:uiPriority w:val="39"/>
    <w:unhideWhenUsed/>
    <w:rsid w:val="00ED5725"/>
    <w:pPr>
      <w:spacing w:line="240" w:lineRule="auto"/>
      <w:ind w:left="432" w:hanging="432"/>
    </w:pPr>
    <w:rPr>
      <w:rFonts w:eastAsiaTheme="minorEastAsia" w:cs="Times New Roman"/>
    </w:rPr>
  </w:style>
  <w:style w:type="paragraph" w:styleId="TOC3">
    <w:name w:val="toc 3"/>
    <w:basedOn w:val="Normal"/>
    <w:next w:val="Normal"/>
    <w:uiPriority w:val="39"/>
    <w:unhideWhenUsed/>
    <w:rsid w:val="008C7413"/>
    <w:pPr>
      <w:spacing w:line="240" w:lineRule="auto"/>
      <w:ind w:left="1296" w:hanging="864"/>
    </w:pPr>
    <w:rPr>
      <w:rFonts w:eastAsiaTheme="minorEastAsia" w:cs="Times New Roman"/>
    </w:rPr>
  </w:style>
  <w:style w:type="character" w:styleId="Hyperlink">
    <w:name w:val="Hyperlink"/>
    <w:basedOn w:val="DefaultParagraphFont"/>
    <w:uiPriority w:val="99"/>
    <w:rsid w:val="00D82A43"/>
    <w:rPr>
      <w:color w:val="0563C1" w:themeColor="hyperlink"/>
      <w:u w:val="single"/>
    </w:rPr>
  </w:style>
  <w:style w:type="numbering" w:customStyle="1" w:styleId="FoFCoLOP">
    <w:name w:val="FoF/CoL/OP"/>
    <w:uiPriority w:val="99"/>
    <w:rsid w:val="008E6AE6"/>
    <w:pPr>
      <w:numPr>
        <w:numId w:val="2"/>
      </w:numPr>
    </w:pPr>
  </w:style>
  <w:style w:type="paragraph" w:styleId="TOC9">
    <w:name w:val="toc 9"/>
    <w:basedOn w:val="Normal"/>
    <w:next w:val="Normal"/>
    <w:autoRedefine/>
    <w:uiPriority w:val="39"/>
    <w:semiHidden/>
    <w:unhideWhenUsed/>
    <w:rsid w:val="00D82A43"/>
    <w:pPr>
      <w:spacing w:after="100"/>
      <w:ind w:left="2080"/>
    </w:pPr>
  </w:style>
  <w:style w:type="paragraph" w:styleId="Header">
    <w:name w:val="header"/>
    <w:basedOn w:val="Normal"/>
    <w:link w:val="HeaderChar"/>
    <w:uiPriority w:val="99"/>
    <w:semiHidden/>
    <w:rsid w:val="0098138E"/>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0A56F2"/>
    <w:rPr>
      <w:rFonts w:ascii="Book Antiqua" w:hAnsi="Book Antiqua"/>
      <w:sz w:val="26"/>
    </w:rPr>
  </w:style>
  <w:style w:type="paragraph" w:styleId="Footer">
    <w:name w:val="footer"/>
    <w:basedOn w:val="Normal"/>
    <w:link w:val="FooterChar"/>
    <w:uiPriority w:val="99"/>
    <w:rsid w:val="00EE3060"/>
    <w:pPr>
      <w:tabs>
        <w:tab w:val="center" w:pos="4680"/>
        <w:tab w:val="right" w:pos="9360"/>
      </w:tabs>
      <w:spacing w:line="240" w:lineRule="auto"/>
    </w:pPr>
  </w:style>
  <w:style w:type="character" w:customStyle="1" w:styleId="FooterChar">
    <w:name w:val="Footer Char"/>
    <w:basedOn w:val="DefaultParagraphFont"/>
    <w:link w:val="Footer"/>
    <w:uiPriority w:val="99"/>
    <w:rsid w:val="007657C1"/>
    <w:rPr>
      <w:rFonts w:ascii="Book Antiqua" w:hAnsi="Book Antiqua"/>
      <w:sz w:val="26"/>
    </w:rPr>
  </w:style>
  <w:style w:type="paragraph" w:customStyle="1" w:styleId="BlockQuote">
    <w:name w:val="Block Quote"/>
    <w:basedOn w:val="Standard"/>
    <w:uiPriority w:val="5"/>
    <w:qFormat/>
    <w:rsid w:val="00EA36C6"/>
    <w:pPr>
      <w:spacing w:after="120" w:line="240" w:lineRule="auto"/>
      <w:ind w:left="720" w:right="720" w:firstLine="0"/>
    </w:pPr>
  </w:style>
  <w:style w:type="paragraph" w:styleId="FootnoteText">
    <w:name w:val="footnote text"/>
    <w:aliases w:val="Footnote Text Char2 Char,Footnote Text Char Char Char,Footnote Text Char2 Char Char Char,Footnote Text Char Char Char Char Char,Footnote Text Char2 Char Char Char Char1 Char,Footnote Text Char2,Footnote Text Char Char,fn,ALTS FOOTNOTE,fn C"/>
    <w:basedOn w:val="Normal"/>
    <w:link w:val="FootnoteTextChar"/>
    <w:uiPriority w:val="40"/>
    <w:qFormat/>
    <w:rsid w:val="00B01F7E"/>
    <w:pPr>
      <w:spacing w:after="120" w:line="240" w:lineRule="auto"/>
      <w:ind w:firstLine="0"/>
    </w:pPr>
    <w:rPr>
      <w:sz w:val="22"/>
      <w:szCs w:val="20"/>
    </w:rPr>
  </w:style>
  <w:style w:type="character" w:customStyle="1" w:styleId="FootnoteTextChar">
    <w:name w:val="Footnote Text Char"/>
    <w:aliases w:val="Footnote Text Char2 Char Char,Footnote Text Char Char Char Char,Footnote Text Char2 Char Char Char Char,Footnote Text Char Char Char Char Char Char,Footnote Text Char2 Char Char Char Char1 Char Char,Footnote Text Char2 Char1,fn Char"/>
    <w:basedOn w:val="DefaultParagraphFont"/>
    <w:link w:val="FootnoteText"/>
    <w:uiPriority w:val="40"/>
    <w:rsid w:val="007657C1"/>
    <w:rPr>
      <w:rFonts w:ascii="Book Antiqua" w:hAnsi="Book Antiqua"/>
      <w:szCs w:val="20"/>
    </w:rPr>
  </w:style>
  <w:style w:type="character" w:styleId="FootnoteReference">
    <w:name w:val="footnote reference"/>
    <w:aliases w:val="o,fr,Style 3,o1,o2,o3,o4,o5,o6,o11,o21,o7,Style 17,Style 13,Appel note de bas de p,Style 12,(NECG) Footnote Reference,Style 124,o + Times New Roman,Style 58,Style 20,fr1,fr2,fr3,FR,Footnote Reference/,Style 6,Footnote Reference1"/>
    <w:basedOn w:val="DefaultParagraphFont"/>
    <w:uiPriority w:val="99"/>
    <w:unhideWhenUsed/>
    <w:qFormat/>
    <w:rsid w:val="00DF58E7"/>
    <w:rPr>
      <w:vertAlign w:val="superscript"/>
    </w:rPr>
  </w:style>
  <w:style w:type="paragraph" w:customStyle="1" w:styleId="FoF">
    <w:name w:val="FoF"/>
    <w:basedOn w:val="Standard"/>
    <w:uiPriority w:val="6"/>
    <w:qFormat/>
    <w:rsid w:val="001E2A62"/>
    <w:pPr>
      <w:numPr>
        <w:numId w:val="3"/>
      </w:numPr>
      <w:ind w:firstLine="547"/>
    </w:pPr>
  </w:style>
  <w:style w:type="paragraph" w:customStyle="1" w:styleId="CoL">
    <w:name w:val="CoL"/>
    <w:basedOn w:val="Standard"/>
    <w:uiPriority w:val="7"/>
    <w:qFormat/>
    <w:rsid w:val="001E2A62"/>
    <w:pPr>
      <w:numPr>
        <w:numId w:val="4"/>
      </w:numPr>
      <w:ind w:firstLine="547"/>
    </w:pPr>
  </w:style>
  <w:style w:type="paragraph" w:styleId="NoSpacing">
    <w:name w:val="No Spacing"/>
    <w:basedOn w:val="Standard"/>
    <w:uiPriority w:val="1"/>
    <w:rsid w:val="00287BC5"/>
    <w:pPr>
      <w:spacing w:after="120" w:line="240" w:lineRule="auto"/>
      <w:ind w:firstLine="0"/>
      <w:contextualSpacing/>
    </w:pPr>
  </w:style>
  <w:style w:type="paragraph" w:customStyle="1" w:styleId="OP">
    <w:name w:val="OP"/>
    <w:basedOn w:val="Standard"/>
    <w:uiPriority w:val="8"/>
    <w:qFormat/>
    <w:rsid w:val="001E2A62"/>
    <w:pPr>
      <w:numPr>
        <w:numId w:val="5"/>
      </w:numPr>
    </w:pPr>
  </w:style>
  <w:style w:type="paragraph" w:styleId="BalloonText">
    <w:name w:val="Balloon Text"/>
    <w:basedOn w:val="Normal"/>
    <w:link w:val="BalloonTextChar"/>
    <w:uiPriority w:val="99"/>
    <w:semiHidden/>
    <w:unhideWhenUsed/>
    <w:rsid w:val="004C7D3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7D3A"/>
    <w:rPr>
      <w:rFonts w:ascii="Segoe UI" w:hAnsi="Segoe UI" w:cs="Segoe UI"/>
      <w:sz w:val="18"/>
      <w:szCs w:val="18"/>
    </w:rPr>
  </w:style>
  <w:style w:type="numbering" w:customStyle="1" w:styleId="Headings">
    <w:name w:val="Headings"/>
    <w:uiPriority w:val="99"/>
    <w:rsid w:val="000E270A"/>
    <w:pPr>
      <w:numPr>
        <w:numId w:val="6"/>
      </w:numPr>
    </w:pPr>
  </w:style>
  <w:style w:type="paragraph" w:customStyle="1" w:styleId="Standard">
    <w:name w:val="Standard"/>
    <w:basedOn w:val="Normal"/>
    <w:qFormat/>
    <w:rsid w:val="007A406D"/>
  </w:style>
  <w:style w:type="paragraph" w:customStyle="1" w:styleId="ListAlpha">
    <w:name w:val="List Alpha"/>
    <w:basedOn w:val="Standard"/>
    <w:uiPriority w:val="4"/>
    <w:qFormat/>
    <w:rsid w:val="000E270A"/>
    <w:pPr>
      <w:numPr>
        <w:ilvl w:val="7"/>
        <w:numId w:val="15"/>
      </w:numPr>
      <w:spacing w:after="120" w:line="240" w:lineRule="auto"/>
    </w:pPr>
  </w:style>
  <w:style w:type="paragraph" w:styleId="ListBullet">
    <w:name w:val="List Bullet"/>
    <w:basedOn w:val="Standard"/>
    <w:uiPriority w:val="4"/>
    <w:qFormat/>
    <w:rsid w:val="001F2819"/>
    <w:pPr>
      <w:numPr>
        <w:numId w:val="9"/>
      </w:numPr>
      <w:tabs>
        <w:tab w:val="clear" w:pos="360"/>
      </w:tabs>
      <w:spacing w:after="120" w:line="240" w:lineRule="auto"/>
      <w:ind w:left="1080"/>
    </w:pPr>
  </w:style>
  <w:style w:type="character" w:customStyle="1" w:styleId="Heading6Char">
    <w:name w:val="Heading 6 Char"/>
    <w:basedOn w:val="DefaultParagraphFont"/>
    <w:link w:val="Heading6"/>
    <w:uiPriority w:val="4"/>
    <w:rsid w:val="00287BC5"/>
    <w:rPr>
      <w:rFonts w:ascii="Arial" w:eastAsiaTheme="majorEastAsia" w:hAnsi="Arial" w:cstheme="majorBidi"/>
      <w:b/>
      <w:sz w:val="26"/>
      <w:szCs w:val="26"/>
    </w:rPr>
  </w:style>
  <w:style w:type="paragraph" w:styleId="TOC4">
    <w:name w:val="toc 4"/>
    <w:basedOn w:val="Normal"/>
    <w:next w:val="Normal"/>
    <w:autoRedefine/>
    <w:uiPriority w:val="39"/>
    <w:unhideWhenUsed/>
    <w:rsid w:val="008C7413"/>
    <w:pPr>
      <w:spacing w:line="240" w:lineRule="auto"/>
      <w:ind w:left="1728" w:hanging="1080"/>
    </w:pPr>
  </w:style>
  <w:style w:type="paragraph" w:styleId="TOC5">
    <w:name w:val="toc 5"/>
    <w:basedOn w:val="Normal"/>
    <w:next w:val="Normal"/>
    <w:autoRedefine/>
    <w:uiPriority w:val="39"/>
    <w:unhideWhenUsed/>
    <w:rsid w:val="008C7413"/>
    <w:pPr>
      <w:spacing w:line="240" w:lineRule="auto"/>
      <w:ind w:left="2160" w:hanging="1296"/>
    </w:pPr>
  </w:style>
  <w:style w:type="paragraph" w:styleId="TOC6">
    <w:name w:val="toc 6"/>
    <w:basedOn w:val="Normal"/>
    <w:next w:val="Normal"/>
    <w:autoRedefine/>
    <w:uiPriority w:val="39"/>
    <w:unhideWhenUsed/>
    <w:rsid w:val="008C7413"/>
    <w:pPr>
      <w:spacing w:line="240" w:lineRule="auto"/>
      <w:ind w:left="2592" w:hanging="1512"/>
    </w:pPr>
  </w:style>
  <w:style w:type="paragraph" w:customStyle="1" w:styleId="TableText">
    <w:name w:val="Table Text"/>
    <w:basedOn w:val="NoSpacing"/>
    <w:uiPriority w:val="5"/>
    <w:rsid w:val="00E53438"/>
    <w:pPr>
      <w:spacing w:after="0"/>
    </w:pPr>
    <w:rPr>
      <w:sz w:val="22"/>
    </w:rPr>
  </w:style>
  <w:style w:type="paragraph" w:customStyle="1" w:styleId="ListNum">
    <w:name w:val="List Num"/>
    <w:basedOn w:val="Standard"/>
    <w:uiPriority w:val="4"/>
    <w:rsid w:val="000E270A"/>
    <w:pPr>
      <w:numPr>
        <w:ilvl w:val="6"/>
        <w:numId w:val="15"/>
      </w:numPr>
      <w:spacing w:after="120" w:line="240" w:lineRule="auto"/>
    </w:pPr>
  </w:style>
  <w:style w:type="paragraph" w:customStyle="1" w:styleId="xstandard">
    <w:name w:val="x_standard"/>
    <w:basedOn w:val="Normal"/>
    <w:rsid w:val="00A2661F"/>
    <w:rPr>
      <w:rFonts w:cs="Calibri"/>
      <w:szCs w:val="26"/>
    </w:rPr>
  </w:style>
  <w:style w:type="paragraph" w:styleId="Revision">
    <w:name w:val="Revision"/>
    <w:hidden/>
    <w:uiPriority w:val="99"/>
    <w:semiHidden/>
    <w:rsid w:val="0015352B"/>
    <w:pPr>
      <w:spacing w:after="0" w:line="240" w:lineRule="auto"/>
    </w:pPr>
    <w:rPr>
      <w:rFonts w:ascii="Book Antiqua" w:hAnsi="Book Antiqua"/>
      <w:sz w:val="26"/>
    </w:rPr>
  </w:style>
  <w:style w:type="character" w:styleId="CommentReference">
    <w:name w:val="annotation reference"/>
    <w:basedOn w:val="DefaultParagraphFont"/>
    <w:uiPriority w:val="99"/>
    <w:semiHidden/>
    <w:unhideWhenUsed/>
    <w:rsid w:val="006C3986"/>
    <w:rPr>
      <w:sz w:val="16"/>
      <w:szCs w:val="16"/>
    </w:rPr>
  </w:style>
  <w:style w:type="paragraph" w:styleId="CommentText">
    <w:name w:val="annotation text"/>
    <w:basedOn w:val="Normal"/>
    <w:link w:val="CommentTextChar"/>
    <w:uiPriority w:val="99"/>
    <w:unhideWhenUsed/>
    <w:rsid w:val="006C3986"/>
    <w:pPr>
      <w:spacing w:line="240" w:lineRule="auto"/>
    </w:pPr>
    <w:rPr>
      <w:sz w:val="20"/>
      <w:szCs w:val="20"/>
    </w:rPr>
  </w:style>
  <w:style w:type="character" w:customStyle="1" w:styleId="CommentTextChar">
    <w:name w:val="Comment Text Char"/>
    <w:basedOn w:val="DefaultParagraphFont"/>
    <w:link w:val="CommentText"/>
    <w:uiPriority w:val="99"/>
    <w:rsid w:val="006C3986"/>
    <w:rPr>
      <w:rFonts w:ascii="Book Antiqua" w:hAnsi="Book Antiqua"/>
      <w:sz w:val="20"/>
      <w:szCs w:val="20"/>
    </w:rPr>
  </w:style>
  <w:style w:type="paragraph" w:styleId="CommentSubject">
    <w:name w:val="annotation subject"/>
    <w:basedOn w:val="CommentText"/>
    <w:next w:val="CommentText"/>
    <w:link w:val="CommentSubjectChar"/>
    <w:uiPriority w:val="99"/>
    <w:semiHidden/>
    <w:unhideWhenUsed/>
    <w:rsid w:val="006C3986"/>
    <w:rPr>
      <w:b/>
      <w:bCs/>
    </w:rPr>
  </w:style>
  <w:style w:type="character" w:customStyle="1" w:styleId="CommentSubjectChar">
    <w:name w:val="Comment Subject Char"/>
    <w:basedOn w:val="CommentTextChar"/>
    <w:link w:val="CommentSubject"/>
    <w:uiPriority w:val="99"/>
    <w:semiHidden/>
    <w:rsid w:val="006C3986"/>
    <w:rPr>
      <w:rFonts w:ascii="Book Antiqua" w:hAnsi="Book Antiqu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754110">
      <w:bodyDiv w:val="1"/>
      <w:marLeft w:val="0"/>
      <w:marRight w:val="0"/>
      <w:marTop w:val="0"/>
      <w:marBottom w:val="0"/>
      <w:divBdr>
        <w:top w:val="none" w:sz="0" w:space="0" w:color="auto"/>
        <w:left w:val="none" w:sz="0" w:space="0" w:color="auto"/>
        <w:bottom w:val="none" w:sz="0" w:space="0" w:color="auto"/>
        <w:right w:val="none" w:sz="0" w:space="0" w:color="auto"/>
      </w:divBdr>
    </w:div>
    <w:div w:id="234050233">
      <w:bodyDiv w:val="1"/>
      <w:marLeft w:val="0"/>
      <w:marRight w:val="0"/>
      <w:marTop w:val="0"/>
      <w:marBottom w:val="0"/>
      <w:divBdr>
        <w:top w:val="none" w:sz="0" w:space="0" w:color="auto"/>
        <w:left w:val="none" w:sz="0" w:space="0" w:color="auto"/>
        <w:bottom w:val="none" w:sz="0" w:space="0" w:color="auto"/>
        <w:right w:val="none" w:sz="0" w:space="0" w:color="auto"/>
      </w:divBdr>
    </w:div>
    <w:div w:id="840004558">
      <w:bodyDiv w:val="1"/>
      <w:marLeft w:val="0"/>
      <w:marRight w:val="0"/>
      <w:marTop w:val="0"/>
      <w:marBottom w:val="0"/>
      <w:divBdr>
        <w:top w:val="none" w:sz="0" w:space="0" w:color="auto"/>
        <w:left w:val="none" w:sz="0" w:space="0" w:color="auto"/>
        <w:bottom w:val="none" w:sz="0" w:space="0" w:color="auto"/>
        <w:right w:val="none" w:sz="0" w:space="0" w:color="auto"/>
      </w:divBdr>
    </w:div>
    <w:div w:id="1112432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0c2bee6-72d2-4c4b-bbf2-19a975248824">
      <UserInfo>
        <DisplayName>Doherty, Patrick</DisplayName>
        <AccountId>53</AccountId>
        <AccountType/>
      </UserInfo>
      <UserInfo>
        <DisplayName>McKinney, Jeanne</DisplayName>
        <AccountId>29</AccountId>
        <AccountType/>
      </UserInfo>
      <UserInfo>
        <DisplayName>Kim, Kimberly</DisplayName>
        <AccountId>12</AccountId>
        <AccountType/>
      </UserInfo>
      <UserInfo>
        <DisplayName>MacDonald, Katherine</DisplayName>
        <AccountId>33</AccountId>
        <AccountType/>
      </UserInfo>
      <UserInfo>
        <DisplayName>Odell, Eileen</DisplayName>
        <AccountId>362</AccountId>
        <AccountType/>
      </UserInfo>
    </SharedWithUsers>
    <lcf76f155ced4ddcb4097134ff3c332f xmlns="ef7e321c-44a6-4cb5-81f0-0bfd95ece253">
      <Terms xmlns="http://schemas.microsoft.com/office/infopath/2007/PartnerControls"/>
    </lcf76f155ced4ddcb4097134ff3c332f>
    <TaxCatchAll xmlns="40c2bee6-72d2-4c4b-bbf2-19a975248824" xsi:nil="true"/>
    <ContentTagLIst xmlns="ef7e321c-44a6-4cb5-81f0-0bfd95ece25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1B8BADF2214F6448E5045310EA9B796" ma:contentTypeVersion="16" ma:contentTypeDescription="Create a new document." ma:contentTypeScope="" ma:versionID="eea420ac1ba3dcd00acdf10f671c25ee">
  <xsd:schema xmlns:xsd="http://www.w3.org/2001/XMLSchema" xmlns:xs="http://www.w3.org/2001/XMLSchema" xmlns:p="http://schemas.microsoft.com/office/2006/metadata/properties" xmlns:ns2="40c2bee6-72d2-4c4b-bbf2-19a975248824" xmlns:ns3="ef7e321c-44a6-4cb5-81f0-0bfd95ece253" targetNamespace="http://schemas.microsoft.com/office/2006/metadata/properties" ma:root="true" ma:fieldsID="654a2f02f20c70d75825c1ed89053b75" ns2:_="" ns3:_="">
    <xsd:import namespace="40c2bee6-72d2-4c4b-bbf2-19a975248824"/>
    <xsd:import namespace="ef7e321c-44a6-4cb5-81f0-0bfd95ece2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LengthInSecond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Location" minOccurs="0"/>
                <xsd:element ref="ns3:ContentTagLI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c2bee6-72d2-4c4b-bbf2-19a97524882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cd35960-7829-44dd-b243-a39bb7be529f}" ma:internalName="TaxCatchAll" ma:showField="CatchAllData" ma:web="40c2bee6-72d2-4c4b-bbf2-19a97524882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f7e321c-44a6-4cb5-81f0-0bfd95ece2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ContentTagLIst" ma:index="23" nillable="true" ma:displayName="Content Tag" ma:format="Dropdown" ma:internalName="ContentTagLIst">
      <xsd:complexType>
        <xsd:complexContent>
          <xsd:extension base="dms:MultiChoice">
            <xsd:sequence>
              <xsd:element name="Value" maxOccurs="unbounded" minOccurs="0" nillable="true">
                <xsd:simpleType>
                  <xsd:restriction base="dms:Choice">
                    <xsd:enumeration value="ALJ Material"/>
                    <xsd:enumeration value="Support Material"/>
                    <xsd:enumeration value="Miscellaneou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0E4752-B270-4867-90BA-5719077E84AA}">
  <ds:schemaRefs>
    <ds:schemaRef ds:uri="http://schemas.microsoft.com/office/2006/metadata/properties"/>
    <ds:schemaRef ds:uri="http://schemas.microsoft.com/office/infopath/2007/PartnerControls"/>
    <ds:schemaRef ds:uri="40c2bee6-72d2-4c4b-bbf2-19a975248824"/>
    <ds:schemaRef ds:uri="ef7e321c-44a6-4cb5-81f0-0bfd95ece253"/>
  </ds:schemaRefs>
</ds:datastoreItem>
</file>

<file path=customXml/itemProps2.xml><?xml version="1.0" encoding="utf-8"?>
<ds:datastoreItem xmlns:ds="http://schemas.openxmlformats.org/officeDocument/2006/customXml" ds:itemID="{42692CBF-97EE-47CC-813F-1B66EA5AD97B}">
  <ds:schemaRefs>
    <ds:schemaRef ds:uri="http://schemas.openxmlformats.org/officeDocument/2006/bibliography"/>
  </ds:schemaRefs>
</ds:datastoreItem>
</file>

<file path=customXml/itemProps3.xml><?xml version="1.0" encoding="utf-8"?>
<ds:datastoreItem xmlns:ds="http://schemas.openxmlformats.org/officeDocument/2006/customXml" ds:itemID="{62079FFE-0A8C-409C-9D2A-DF55C286FF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c2bee6-72d2-4c4b-bbf2-19a975248824"/>
    <ds:schemaRef ds:uri="ef7e321c-44a6-4cb5-81f0-0bfd95ece2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30DE7C-9577-4EA8-AC89-8E2B6CC952CB}">
  <ds:schemaRefs>
    <ds:schemaRef ds:uri="http://schemas.microsoft.com/sharepoint/v3/contenttype/forms"/>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21</ap:Pages>
  <ap:Words>3930</ap:Words>
  <ap:Characters>22405</ap:Characters>
  <ap:Application>Microsoft Office Word</ap:Application>
  <ap:DocSecurity>0</ap:DocSecurity>
  <ap:Lines>186</ap:Lines>
  <ap:Paragraphs>52</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26283</ap:CharactersWithSpaces>
  <ap:SharedDoc>false</ap:SharedDoc>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2019-07-03T22:18:00Z</cp:lastPrinted>
  <dcterms:created xsi:type="dcterms:W3CDTF">2026-07-27T16:19:51Z</dcterms:created>
  <dcterms:modified xsi:type="dcterms:W3CDTF">2026-07-27T16:19:51Z</dcterms:modified>
</cp:coreProperties>
</file>