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33442" w:rsidR="00B60421" w:rsidP="00B33442" w:rsidRDefault="00B33442" w14:paraId="7389C399" w14:textId="561F028C">
      <w:pPr>
        <w:spacing w:line="259" w:lineRule="auto"/>
        <w:ind w:left="1" w:firstLine="0"/>
        <w:rPr>
          <w:rFonts w:eastAsia="Book Antiqua" w:cs="Book Antiqua"/>
          <w:color w:val="000000"/>
          <w:kern w:val="2"/>
          <w:szCs w:val="24"/>
          <w14:ligatures w14:val="standardContextual"/>
        </w:rPr>
      </w:pPr>
      <w:r w:rsidRPr="005D20E2">
        <w:rPr>
          <w:rFonts w:eastAsia="Book Antiqua" w:cs="Book Antiqua"/>
          <w:color w:val="000000"/>
          <w:kern w:val="2"/>
          <w:szCs w:val="24"/>
          <w14:ligatures w14:val="standardContextual"/>
        </w:rPr>
        <w:t>ALJ/PM6/abb</w:t>
      </w:r>
      <w:r>
        <w:rPr>
          <w:rFonts w:eastAsia="Book Antiqua" w:cs="Book Antiqua"/>
          <w:color w:val="000000"/>
          <w:kern w:val="2"/>
          <w:szCs w:val="24"/>
          <w14:ligatures w14:val="standardContextual"/>
        </w:rPr>
        <w:tab/>
      </w:r>
      <w:r w:rsidR="008619AF">
        <w:rPr>
          <w:rFonts w:eastAsia="Book Antiqua" w:cs="Book Antiqua"/>
          <w:color w:val="000000"/>
          <w:kern w:val="2"/>
          <w:szCs w:val="24"/>
          <w14:ligatures w14:val="standardContextual"/>
        </w:rPr>
        <w:t xml:space="preserve"> </w:t>
      </w:r>
      <w:r w:rsidR="003F2D31">
        <w:rPr>
          <w:rFonts w:eastAsia="Book Antiqua" w:cs="Book Antiqua"/>
          <w:color w:val="000000"/>
          <w:kern w:val="2"/>
          <w:szCs w:val="24"/>
          <w14:ligatures w14:val="standardContextual"/>
        </w:rPr>
        <w:t xml:space="preserve"> </w:t>
      </w:r>
      <w:r w:rsidR="00DA7B5D">
        <w:rPr>
          <w:rFonts w:ascii="Arial" w:hAnsi="Arial" w:cs="Arial"/>
          <w:b/>
          <w:sz w:val="32"/>
          <w:szCs w:val="32"/>
        </w:rPr>
        <w:t>PROPOSED DECISION</w:t>
      </w:r>
      <w:r w:rsidR="003F2D31">
        <w:tab/>
        <w:t xml:space="preserve">       </w:t>
      </w:r>
      <w:r w:rsidRPr="00EE4315" w:rsidR="00DA7B5D">
        <w:rPr>
          <w:b/>
        </w:rPr>
        <w:t>Agenda ID</w:t>
      </w:r>
      <w:r w:rsidR="008619AF">
        <w:rPr>
          <w:b/>
        </w:rPr>
        <w:t xml:space="preserve"> </w:t>
      </w:r>
      <w:r w:rsidRPr="00EE4315" w:rsidR="00DA7B5D">
        <w:rPr>
          <w:b/>
        </w:rPr>
        <w:t>#</w:t>
      </w:r>
      <w:r w:rsidRPr="008619AF" w:rsidR="008619AF">
        <w:rPr>
          <w:b/>
        </w:rPr>
        <w:t>24320</w:t>
      </w:r>
      <w:r w:rsidR="003F2D31">
        <w:rPr>
          <w:b/>
        </w:rPr>
        <w:t xml:space="preserve"> (Rev. 1)</w:t>
      </w:r>
    </w:p>
    <w:p w:rsidR="00DA7B5D" w:rsidP="009367F2" w:rsidRDefault="00B33442" w14:paraId="346A917F" w14:textId="39A7FD2A">
      <w:pPr>
        <w:spacing w:line="240" w:lineRule="auto"/>
        <w:ind w:firstLine="0"/>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Ratesetting</w:t>
      </w:r>
    </w:p>
    <w:p w:rsidR="00C16334" w:rsidP="009367F2" w:rsidRDefault="00C16334" w14:paraId="15B88E57" w14:textId="3321FB48">
      <w:pPr>
        <w:spacing w:line="240" w:lineRule="auto"/>
        <w:ind w:firstLine="0"/>
        <w:rPr>
          <w:b/>
        </w:rPr>
      </w:pPr>
      <w:r>
        <w:rPr>
          <w:b/>
        </w:rPr>
        <w:tab/>
      </w:r>
      <w:r>
        <w:rPr>
          <w:b/>
        </w:rPr>
        <w:tab/>
      </w:r>
      <w:r>
        <w:rPr>
          <w:b/>
        </w:rPr>
        <w:tab/>
      </w:r>
      <w:r>
        <w:rPr>
          <w:b/>
        </w:rPr>
        <w:tab/>
      </w:r>
      <w:r>
        <w:rPr>
          <w:b/>
        </w:rPr>
        <w:tab/>
      </w:r>
      <w:r>
        <w:rPr>
          <w:b/>
        </w:rPr>
        <w:tab/>
      </w:r>
      <w:r>
        <w:rPr>
          <w:b/>
        </w:rPr>
        <w:tab/>
      </w:r>
      <w:r>
        <w:rPr>
          <w:b/>
        </w:rPr>
        <w:tab/>
      </w:r>
      <w:r>
        <w:rPr>
          <w:b/>
        </w:rPr>
        <w:tab/>
      </w:r>
      <w:r>
        <w:rPr>
          <w:b/>
        </w:rPr>
        <w:tab/>
      </w:r>
      <w:r w:rsidR="00D77F88">
        <w:rPr>
          <w:b/>
        </w:rPr>
        <w:t xml:space="preserve"> 8/13/2026 </w:t>
      </w:r>
      <w:r>
        <w:rPr>
          <w:b/>
        </w:rPr>
        <w:t>Item #7</w:t>
      </w:r>
    </w:p>
    <w:p w:rsidR="00B33442" w:rsidP="009367F2" w:rsidRDefault="00B33442" w14:paraId="527751B0" w14:textId="77777777">
      <w:pPr>
        <w:spacing w:line="240" w:lineRule="auto"/>
        <w:ind w:firstLine="0"/>
      </w:pPr>
    </w:p>
    <w:p w:rsidR="009367F2" w:rsidP="009367F2" w:rsidRDefault="009367F2" w14:paraId="687CFDC0" w14:textId="77777777">
      <w:pPr>
        <w:spacing w:line="240" w:lineRule="auto"/>
        <w:ind w:firstLine="0"/>
      </w:pPr>
    </w:p>
    <w:p w:rsidRPr="00ED69BF" w:rsidR="00DA7B5D" w:rsidP="009367F2" w:rsidRDefault="00DA7B5D" w14:paraId="775C8083" w14:textId="0090EC71">
      <w:pPr>
        <w:spacing w:line="240" w:lineRule="auto"/>
        <w:ind w:left="1080" w:hanging="1080"/>
      </w:pPr>
      <w:r>
        <w:t xml:space="preserve">Decision </w:t>
      </w:r>
      <w:r w:rsidRPr="00ED69BF" w:rsidR="00ED69BF">
        <w:rPr>
          <w:b/>
          <w:bCs/>
          <w:u w:val="single"/>
        </w:rPr>
        <w:t>(</w:t>
      </w:r>
      <w:r w:rsidR="00ED69BF">
        <w:rPr>
          <w:b/>
          <w:bCs/>
          <w:u w:val="single"/>
        </w:rPr>
        <w:t>PROPOSED DECISION OF ALJ MILES</w:t>
      </w:r>
      <w:r w:rsidRPr="00ED69BF" w:rsidR="00ED69BF">
        <w:rPr>
          <w:b/>
          <w:bCs/>
        </w:rPr>
        <w:t xml:space="preserve"> (Mailed 6/16/2026)</w:t>
      </w:r>
    </w:p>
    <w:p w:rsidR="00DA7B5D" w:rsidP="009367F2" w:rsidRDefault="00DA7B5D" w14:paraId="32BB1774" w14:textId="77777777">
      <w:pPr>
        <w:spacing w:line="240" w:lineRule="auto"/>
        <w:ind w:firstLine="0"/>
        <w:rPr>
          <w:u w:val="single"/>
        </w:rPr>
      </w:pPr>
    </w:p>
    <w:p w:rsidR="009367F2" w:rsidP="009367F2" w:rsidRDefault="009367F2" w14:paraId="4499D0A5" w14:textId="77777777">
      <w:pPr>
        <w:spacing w:line="240" w:lineRule="auto"/>
        <w:ind w:firstLine="0"/>
        <w:rPr>
          <w:u w:val="single"/>
        </w:rPr>
      </w:pPr>
    </w:p>
    <w:p w:rsidR="00DA7B5D" w:rsidP="009367F2" w:rsidRDefault="00DA7B5D" w14:paraId="4E7F8C57"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9367F2" w:rsidRDefault="00DA7B5D" w14:paraId="0E37BF39" w14:textId="77777777">
      <w:pPr>
        <w:spacing w:line="240" w:lineRule="auto"/>
        <w:ind w:firstLine="0"/>
        <w:rPr>
          <w:rFonts w:ascii="Arial" w:hAnsi="Arial" w:cs="Arial"/>
          <w:sz w:val="24"/>
          <w:szCs w:val="24"/>
        </w:rPr>
      </w:pPr>
    </w:p>
    <w:p w:rsidR="009367F2" w:rsidP="009367F2" w:rsidRDefault="009367F2" w14:paraId="250BF772" w14:textId="77777777">
      <w:pPr>
        <w:spacing w:line="240" w:lineRule="auto"/>
        <w:ind w:firstLine="0"/>
        <w:rPr>
          <w:rFonts w:ascii="Arial" w:hAnsi="Arial" w:cs="Arial"/>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DA7B5D" w:rsidTr="00E725FC" w14:paraId="43E61838" w14:textId="77777777">
        <w:trPr>
          <w:jc w:val="center"/>
        </w:trPr>
        <w:tc>
          <w:tcPr>
            <w:tcW w:w="5040" w:type="dxa"/>
            <w:tcBorders>
              <w:top w:val="nil"/>
              <w:left w:val="nil"/>
              <w:bottom w:val="single" w:color="auto" w:sz="4" w:space="0"/>
              <w:right w:val="single" w:color="auto" w:sz="4" w:space="0"/>
            </w:tcBorders>
          </w:tcPr>
          <w:p w:rsidR="00DA7B5D" w:rsidP="00C10B5F" w:rsidRDefault="00B32885" w14:paraId="5F177CFA" w14:textId="77777777">
            <w:pPr>
              <w:spacing w:line="240" w:lineRule="auto"/>
              <w:ind w:firstLine="0"/>
            </w:pPr>
            <w:r w:rsidRPr="00A976C4">
              <w:t>Commission Investigation into the Financial and Operational Risks of Commission Regulated Water Utilities, and Whether Current Ratemaking Procedures and Policies Require Revisions</w:t>
            </w:r>
            <w:r>
              <w:t>.</w:t>
            </w:r>
          </w:p>
          <w:p w:rsidRPr="00DA7B5D" w:rsidR="00B33442" w:rsidP="00C10B5F" w:rsidRDefault="00B33442" w14:paraId="0BAFAA7A" w14:textId="364E5CC9">
            <w:pPr>
              <w:spacing w:line="240" w:lineRule="auto"/>
              <w:ind w:firstLine="0"/>
              <w:rPr>
                <w:rFonts w:cs="Arial"/>
                <w:szCs w:val="26"/>
              </w:rPr>
            </w:pPr>
          </w:p>
        </w:tc>
        <w:tc>
          <w:tcPr>
            <w:tcW w:w="5040" w:type="dxa"/>
            <w:tcBorders>
              <w:top w:val="nil"/>
              <w:left w:val="single" w:color="auto" w:sz="4" w:space="0"/>
              <w:bottom w:val="nil"/>
              <w:right w:val="nil"/>
            </w:tcBorders>
            <w:vAlign w:val="center"/>
          </w:tcPr>
          <w:p w:rsidRPr="00DA7B5D" w:rsidR="00DA7B5D" w:rsidP="00412C83" w:rsidRDefault="00557A84" w14:paraId="6D2BC9B5" w14:textId="43C674FC">
            <w:pPr>
              <w:spacing w:line="240" w:lineRule="auto"/>
              <w:ind w:firstLine="0"/>
              <w:jc w:val="center"/>
              <w:rPr>
                <w:rFonts w:cs="Arial"/>
                <w:szCs w:val="26"/>
              </w:rPr>
            </w:pPr>
            <w:r>
              <w:rPr>
                <w:rFonts w:cs="Arial"/>
                <w:szCs w:val="26"/>
              </w:rPr>
              <w:t>Investigation 90-11-033</w:t>
            </w:r>
          </w:p>
        </w:tc>
      </w:tr>
    </w:tbl>
    <w:p w:rsidR="00DA7B5D" w:rsidP="008F0116" w:rsidRDefault="00DA7B5D" w14:paraId="6D3BF2BC" w14:textId="77777777">
      <w:pPr>
        <w:spacing w:line="240" w:lineRule="auto"/>
        <w:ind w:firstLine="0"/>
        <w:rPr>
          <w:rFonts w:ascii="Arial" w:hAnsi="Arial" w:cs="Arial"/>
          <w:sz w:val="24"/>
          <w:szCs w:val="24"/>
        </w:rPr>
      </w:pPr>
    </w:p>
    <w:p w:rsidR="00DA7B5D" w:rsidP="008F0116" w:rsidRDefault="00DA7B5D" w14:paraId="2FDC00B2" w14:textId="77777777">
      <w:pPr>
        <w:spacing w:line="240" w:lineRule="auto"/>
        <w:ind w:firstLine="0"/>
        <w:rPr>
          <w:rFonts w:ascii="Arial" w:hAnsi="Arial" w:cs="Arial"/>
          <w:sz w:val="24"/>
          <w:szCs w:val="24"/>
        </w:rPr>
      </w:pPr>
    </w:p>
    <w:p w:rsidR="000208C7" w:rsidP="000208C7" w:rsidRDefault="00B32885" w14:paraId="5A91E5FD" w14:textId="2A3110A0">
      <w:pPr>
        <w:pStyle w:val="Dummy"/>
        <w:spacing w:after="0"/>
        <w:jc w:val="center"/>
      </w:pPr>
      <w:r>
        <w:t xml:space="preserve">DECISION GRANTING </w:t>
      </w:r>
      <w:r w:rsidRPr="00243B37">
        <w:t>CALIFORNIA WATER ASSOCIATION</w:t>
      </w:r>
    </w:p>
    <w:p w:rsidR="006658C8" w:rsidP="000208C7" w:rsidRDefault="00B32885" w14:paraId="270FF1FB" w14:textId="37051F63">
      <w:pPr>
        <w:pStyle w:val="Dummy"/>
        <w:jc w:val="center"/>
      </w:pPr>
      <w:r w:rsidRPr="00243B37">
        <w:t>PETITION FOR MODIFICATION OF DECISION 94-06-033</w:t>
      </w:r>
    </w:p>
    <w:p w:rsidR="005A148C" w:rsidP="0064612D" w:rsidRDefault="005A148C" w14:paraId="284F0767" w14:textId="77777777">
      <w:pPr>
        <w:pStyle w:val="Dummy"/>
        <w:spacing w:after="0" w:line="360" w:lineRule="auto"/>
      </w:pPr>
      <w:bookmarkStart w:name="_Toc8123714" w:id="0"/>
      <w:bookmarkStart w:name="_Toc133843842" w:id="1"/>
      <w:r>
        <w:t>Summary</w:t>
      </w:r>
      <w:bookmarkEnd w:id="0"/>
      <w:bookmarkEnd w:id="1"/>
    </w:p>
    <w:p w:rsidR="00557A84" w:rsidP="00557A84" w:rsidRDefault="00557A84" w14:paraId="568455B7" w14:textId="77777777">
      <w:pPr>
        <w:pStyle w:val="Standard"/>
      </w:pPr>
      <w:r>
        <w:t>This decision revises prior Commission policy established in Decision 94</w:t>
      </w:r>
      <w:r>
        <w:noBreakHyphen/>
        <w:t xml:space="preserve">06-033 to permit accrual of interest on </w:t>
      </w:r>
      <w:r w:rsidRPr="001A4ECA">
        <w:t>Drought Lost Revenue Memorandum Accounts</w:t>
      </w:r>
      <w:r>
        <w:t>.</w:t>
      </w:r>
    </w:p>
    <w:p w:rsidR="001A4ECA" w:rsidP="00B32885" w:rsidRDefault="001A4ECA" w14:paraId="22C8B94B" w14:textId="42BD65BE">
      <w:pPr>
        <w:pStyle w:val="Standard"/>
      </w:pPr>
      <w:r>
        <w:t>This proceeding is closed.</w:t>
      </w:r>
    </w:p>
    <w:p w:rsidRPr="00121089" w:rsidR="005A148C" w:rsidP="0064612D" w:rsidRDefault="00B32885" w14:paraId="08FAAA12" w14:textId="357E630F">
      <w:pPr>
        <w:pStyle w:val="Heading1"/>
        <w:numPr>
          <w:ilvl w:val="0"/>
          <w:numId w:val="1"/>
        </w:numPr>
        <w:spacing w:after="0" w:line="360" w:lineRule="auto"/>
      </w:pPr>
      <w:bookmarkStart w:name="_Toc8123715" w:id="2"/>
      <w:bookmarkStart w:name="_Toc133843843" w:id="3"/>
      <w:r>
        <w:t xml:space="preserve">Procedural </w:t>
      </w:r>
      <w:r w:rsidRPr="00121089" w:rsidR="002C7FE9">
        <w:t>Background</w:t>
      </w:r>
      <w:bookmarkEnd w:id="2"/>
      <w:bookmarkEnd w:id="3"/>
    </w:p>
    <w:p w:rsidR="0054613F" w:rsidP="00B32885" w:rsidRDefault="0054613F" w14:paraId="60FA1BCE" w14:textId="77777777">
      <w:pPr>
        <w:ind w:left="-14" w:right="209"/>
      </w:pPr>
      <w:r w:rsidRPr="00B113FC">
        <w:t>California Water Association (CWA) represents more than 90 utilities in California.  CWA’s member utilities are regulated by the California Public Utilities Commission (Commission) and serve more than six million people throughout California</w:t>
      </w:r>
      <w:r>
        <w:t>.</w:t>
      </w:r>
    </w:p>
    <w:p w:rsidR="00B9719B" w:rsidP="00B9719B" w:rsidRDefault="00B32885" w14:paraId="43F26870" w14:textId="1C8F2992">
      <w:pPr>
        <w:ind w:left="-14" w:right="209"/>
      </w:pPr>
      <w:r>
        <w:t xml:space="preserve">On July 30, 2025, </w:t>
      </w:r>
      <w:r w:rsidRPr="00243B37">
        <w:t xml:space="preserve">CWA </w:t>
      </w:r>
      <w:r>
        <w:t xml:space="preserve">filed a </w:t>
      </w:r>
      <w:r w:rsidRPr="00B113FC" w:rsidR="0054613F">
        <w:t>Petition for Modification</w:t>
      </w:r>
      <w:r w:rsidR="00213F24">
        <w:t xml:space="preserve"> (PFM)</w:t>
      </w:r>
      <w:r w:rsidRPr="00B113FC" w:rsidR="0054613F">
        <w:t xml:space="preserve"> of Decision (D) 94</w:t>
      </w:r>
      <w:r w:rsidR="0054613F">
        <w:t>-</w:t>
      </w:r>
      <w:r w:rsidRPr="00B113FC" w:rsidR="0054613F">
        <w:t>06</w:t>
      </w:r>
      <w:r w:rsidR="0054613F">
        <w:t>-</w:t>
      </w:r>
      <w:r w:rsidRPr="00B113FC" w:rsidR="003F02AF">
        <w:t xml:space="preserve">033 </w:t>
      </w:r>
      <w:r w:rsidR="003F02AF">
        <w:t>to</w:t>
      </w:r>
      <w:r w:rsidR="0054613F">
        <w:t xml:space="preserve"> </w:t>
      </w:r>
      <w:r w:rsidRPr="00243B37">
        <w:t xml:space="preserve">modify Ordering Paragraph 1 to eliminate language </w:t>
      </w:r>
      <w:r w:rsidRPr="00243B37">
        <w:lastRenderedPageBreak/>
        <w:t xml:space="preserve">stating that “interest shall not accrue for drought memorandum accounts or </w:t>
      </w:r>
      <w:r w:rsidR="00C659E0">
        <w:t>*</w:t>
      </w:r>
      <w:r w:rsidRPr="00243B37">
        <w:t xml:space="preserve">conservation memorandum accounts that are subject to a 20-basis point </w:t>
      </w:r>
      <w:r w:rsidRPr="00243B37" w:rsidR="00B9719B">
        <w:t xml:space="preserve">reduction at the time of recovery.” </w:t>
      </w:r>
      <w:r w:rsidR="00B9719B">
        <w:t xml:space="preserve"> CWA claims that:</w:t>
      </w:r>
    </w:p>
    <w:p w:rsidR="00B9719B" w:rsidP="00B9719B" w:rsidRDefault="00B9719B" w14:paraId="459D7970" w14:textId="77777777">
      <w:pPr>
        <w:pStyle w:val="ListParagraph"/>
        <w:numPr>
          <w:ilvl w:val="0"/>
          <w:numId w:val="18"/>
        </w:numPr>
        <w:spacing w:after="120" w:line="240" w:lineRule="auto"/>
        <w:ind w:left="1080" w:right="1440"/>
        <w:contextualSpacing w:val="0"/>
      </w:pPr>
      <w:r>
        <w:t xml:space="preserve">The language is outdated as </w:t>
      </w:r>
      <w:r w:rsidRPr="00243B37">
        <w:t>there have been significantly changed circumstances since 1994 regarding the Commission’s approach to responding to drought conditions</w:t>
      </w:r>
      <w:r>
        <w:t>; and</w:t>
      </w:r>
    </w:p>
    <w:p w:rsidR="00B32885" w:rsidP="00B9719B" w:rsidRDefault="00B9719B" w14:paraId="658C68DE" w14:textId="799A0C84">
      <w:pPr>
        <w:pStyle w:val="ListParagraph"/>
        <w:numPr>
          <w:ilvl w:val="0"/>
          <w:numId w:val="18"/>
        </w:numPr>
        <w:spacing w:after="120" w:line="240" w:lineRule="auto"/>
        <w:ind w:left="1080" w:right="1440"/>
        <w:contextualSpacing w:val="0"/>
      </w:pPr>
      <w:r>
        <w:t>T</w:t>
      </w:r>
      <w:r w:rsidRPr="00243B37">
        <w:t xml:space="preserve">his language is inconsistent with the Commission’s practice over the past decade which has generally been to allow interest to accrue on </w:t>
      </w:r>
      <w:r w:rsidRPr="0039313E">
        <w:rPr>
          <w:szCs w:val="26"/>
        </w:rPr>
        <w:t>Drought Lost Revenue Memorandum Accounts (</w:t>
      </w:r>
      <w:r w:rsidRPr="00243B37">
        <w:t>DLRMA</w:t>
      </w:r>
      <w:r>
        <w:t>)</w:t>
      </w:r>
      <w:r w:rsidRPr="00243B37">
        <w:t>.</w:t>
      </w:r>
    </w:p>
    <w:p w:rsidR="00B32885" w:rsidP="00B32885" w:rsidRDefault="00B32885" w14:paraId="56A008BB" w14:textId="66CC196E">
      <w:pPr>
        <w:ind w:left="-14" w:right="209"/>
      </w:pPr>
      <w:r w:rsidRPr="00243B37">
        <w:t>D.94-06-033</w:t>
      </w:r>
      <w:r>
        <w:t xml:space="preserve"> explains that, f</w:t>
      </w:r>
      <w:r w:rsidRPr="00151DE9">
        <w:t xml:space="preserve">ollowing the 1989 Loma Prieta earthquake, the Commission authorized all utilities, including water companies, to establish a Catastrophic Event Memorandum Account to permit recovery of costs for repairs and restoration of service in the event of declared disasters. </w:t>
      </w:r>
      <w:r w:rsidR="00557A84">
        <w:t xml:space="preserve"> </w:t>
      </w:r>
      <w:r w:rsidRPr="00151DE9">
        <w:t>In</w:t>
      </w:r>
      <w:r>
        <w:t xml:space="preserve"> connection with this effort, in 1990</w:t>
      </w:r>
      <w:r w:rsidRPr="00151DE9">
        <w:t>, all Class A water companies were authorized to establish drought memorandum accounts and conservation memorandum accounts to track and later recover lost sales and costs attributable to drought and conservation.</w:t>
      </w:r>
      <w:r>
        <w:rPr>
          <w:rStyle w:val="FootnoteReference"/>
        </w:rPr>
        <w:footnoteReference w:id="2"/>
      </w:r>
      <w:r w:rsidRPr="00151DE9">
        <w:t xml:space="preserve"> </w:t>
      </w:r>
      <w:r w:rsidR="00557A84">
        <w:t xml:space="preserve"> </w:t>
      </w:r>
      <w:r w:rsidRPr="00737548">
        <w:t>D.94-06-033 summarized the results of a then-concurrent drought investigation proceeding (I.89-03-005) aimed at addressing the impacts of the California drought that ended with winter rains in 1992-1993.</w:t>
      </w:r>
      <w:r w:rsidR="00557A84">
        <w:t xml:space="preserve"> </w:t>
      </w:r>
      <w:r w:rsidRPr="00737548">
        <w:t xml:space="preserve"> The decision allowed for balancing and memorandum accounts maintained by regulated water utilities to bear interest at the 90-day commercial paper rate</w:t>
      </w:r>
      <w:r>
        <w:t xml:space="preserve"> but </w:t>
      </w:r>
      <w:r w:rsidRPr="00737548">
        <w:t>also granted the unopposed recommendation of the Division of Ratepayer Advocates</w:t>
      </w:r>
      <w:r w:rsidR="00213F24">
        <w:t>,</w:t>
      </w:r>
      <w:r w:rsidRPr="00737548">
        <w:t xml:space="preserve"> predecessor to</w:t>
      </w:r>
      <w:r w:rsidR="00213F24">
        <w:t xml:space="preserve"> the</w:t>
      </w:r>
      <w:r w:rsidRPr="00737548">
        <w:t xml:space="preserve"> Public Advocates Office</w:t>
      </w:r>
      <w:r w:rsidRPr="0054613F" w:rsidR="0054613F">
        <w:t xml:space="preserve"> </w:t>
      </w:r>
      <w:r w:rsidR="0054613F">
        <w:t>at the California Public Utilities Commission (now known as Cal Advocates</w:t>
      </w:r>
      <w:r w:rsidR="00213F24">
        <w:t xml:space="preserve"> and </w:t>
      </w:r>
      <w:r w:rsidR="00213F24">
        <w:lastRenderedPageBreak/>
        <w:t>referred to herein as Cal Advocates</w:t>
      </w:r>
      <w:r w:rsidRPr="00737548">
        <w:t>) to “exclude interest for any outstanding drought memorandum account and any conservation memorandum account</w:t>
      </w:r>
      <w:r>
        <w:t>s.</w:t>
      </w:r>
      <w:r w:rsidR="0054613F">
        <w:t>”</w:t>
      </w:r>
    </w:p>
    <w:p w:rsidR="00B32885" w:rsidP="00B32885" w:rsidRDefault="00B32885" w14:paraId="547BBFFB" w14:textId="672E3485">
      <w:pPr>
        <w:ind w:left="-14" w:right="209"/>
      </w:pPr>
      <w:r>
        <w:t xml:space="preserve">CWA argues that since 2014, when the Commission issued Resolution W-4976, </w:t>
      </w:r>
      <w:r w:rsidRPr="00637F3C">
        <w:t>several water utilities have established DLRMAs – including language in the preliminary statements for those accounts expressly providing for accrual of interest in such accounts – and the Commission has approved advice letters</w:t>
      </w:r>
      <w:r>
        <w:t xml:space="preserve"> with these provisions.</w:t>
      </w:r>
      <w:r>
        <w:rPr>
          <w:rStyle w:val="FootnoteReference"/>
        </w:rPr>
        <w:footnoteReference w:id="3"/>
      </w:r>
      <w:r w:rsidRPr="005709B9">
        <w:t xml:space="preserve"> </w:t>
      </w:r>
      <w:r>
        <w:t xml:space="preserve"> I</w:t>
      </w:r>
      <w:r w:rsidRPr="005709B9">
        <w:t xml:space="preserve">n D.20-08-047, </w:t>
      </w:r>
      <w:r>
        <w:t xml:space="preserve">the Commission agreed </w:t>
      </w:r>
      <w:r w:rsidRPr="00F03DA2">
        <w:t>that “drought year data should be included in [water utility sales] forecasting”</w:t>
      </w:r>
      <w:r>
        <w:rPr>
          <w:rStyle w:val="FootnoteReference"/>
        </w:rPr>
        <w:footnoteReference w:id="4"/>
      </w:r>
      <w:r>
        <w:t xml:space="preserve"> and discussed the benefits of DLRMAs, </w:t>
      </w:r>
      <w:r w:rsidRPr="005709B9">
        <w:t>stating that “</w:t>
      </w:r>
      <w:r>
        <w:t>i</w:t>
      </w:r>
      <w:r w:rsidRPr="005709B9">
        <w:t xml:space="preserve">f, in the future, there are Governor declared droughts, we expect that water utilities that no longer have </w:t>
      </w:r>
      <w:r w:rsidR="003F02AF">
        <w:t xml:space="preserve">Water Revenue Adjustment Mechanism/Modified Cost Balancing Account </w:t>
      </w:r>
      <w:r w:rsidRPr="008A087D" w:rsidR="003F02AF">
        <w:t>(WRAM/MCBA)</w:t>
      </w:r>
      <w:r w:rsidR="003F02AF">
        <w:t xml:space="preserve"> </w:t>
      </w:r>
      <w:r w:rsidRPr="005709B9">
        <w:t>for tracking lost drought revenues will be provided an opportunity to establish similar lost revenue memorandum accounts during the time of declared drought.”</w:t>
      </w:r>
      <w:r>
        <w:rPr>
          <w:rStyle w:val="FootnoteReference"/>
        </w:rPr>
        <w:footnoteReference w:id="5"/>
      </w:r>
    </w:p>
    <w:p w:rsidR="002C7FE9" w:rsidP="00B32885" w:rsidRDefault="00B32885" w14:paraId="135B35F4" w14:textId="2A80D60E">
      <w:pPr>
        <w:pStyle w:val="Standard"/>
      </w:pPr>
      <w:r>
        <w:t>Accordingly, in this PFM, CWA argues that the</w:t>
      </w:r>
      <w:r w:rsidRPr="00F03DA2">
        <w:t xml:space="preserve"> Commission </w:t>
      </w:r>
      <w:r>
        <w:t xml:space="preserve">should now recognize that drought conditions are part of </w:t>
      </w:r>
      <w:r w:rsidRPr="00F03DA2">
        <w:t xml:space="preserve">the on-going challenge of providing safe and reliable drinking water in California </w:t>
      </w:r>
      <w:r>
        <w:t xml:space="preserve">and that the conditions </w:t>
      </w:r>
      <w:r w:rsidRPr="00F03DA2">
        <w:t xml:space="preserve">no longer </w:t>
      </w:r>
      <w:r w:rsidRPr="00F03DA2">
        <w:lastRenderedPageBreak/>
        <w:t>represent unique circumstances as they did for the Commission in the early 1990s when D.94-06-033 was adopted</w:t>
      </w:r>
      <w:r w:rsidR="0063491C">
        <w:t>.</w:t>
      </w:r>
    </w:p>
    <w:p w:rsidRPr="00653FDB" w:rsidR="00683B2C" w:rsidP="00C15C2A" w:rsidRDefault="00683B2C" w14:paraId="0B278D62" w14:textId="77777777">
      <w:pPr>
        <w:pStyle w:val="Heading2"/>
        <w:spacing w:after="0" w:line="360" w:lineRule="auto"/>
      </w:pPr>
      <w:bookmarkStart w:name="_Toc133843846" w:id="4"/>
      <w:r w:rsidRPr="00653FDB">
        <w:t>Submission Date</w:t>
      </w:r>
      <w:bookmarkEnd w:id="4"/>
    </w:p>
    <w:p w:rsidR="00683B2C" w:rsidP="006E6574" w:rsidRDefault="003F02AF" w14:paraId="2F6DBF53" w14:textId="1D83A572">
      <w:pPr>
        <w:pStyle w:val="Standard"/>
      </w:pPr>
      <w:r w:rsidRPr="00653FDB">
        <w:t>This matter was submitted on January 26, 2026, upon the receipt of CWA's Response to the ALJ's Ruling dated January 22, 2026</w:t>
      </w:r>
      <w:r w:rsidRPr="00653FDB" w:rsidR="00683B2C">
        <w:t>.</w:t>
      </w:r>
    </w:p>
    <w:p w:rsidR="005A148C" w:rsidP="00C15C2A" w:rsidRDefault="0063491C" w14:paraId="2051958B" w14:textId="709385C3">
      <w:pPr>
        <w:pStyle w:val="Heading1"/>
        <w:spacing w:after="0" w:line="360" w:lineRule="auto"/>
      </w:pPr>
      <w:bookmarkStart w:name="_Toc8123718" w:id="5"/>
      <w:bookmarkStart w:name="_Toc133843847" w:id="6"/>
      <w:r>
        <w:t>Jurisdiction</w:t>
      </w:r>
      <w:bookmarkEnd w:id="5"/>
      <w:bookmarkEnd w:id="6"/>
    </w:p>
    <w:p w:rsidRPr="0063491C" w:rsidR="0063491C" w:rsidP="00B32885" w:rsidRDefault="00B32885" w14:paraId="74E2A66C" w14:textId="19885077">
      <w:pPr>
        <w:spacing w:after="29"/>
        <w:ind w:left="-14" w:right="209"/>
      </w:pPr>
      <w:r>
        <w:t>The Commission is an independent state agency of constitutional origin with far-reaching duties, functions, and powers over utilities.</w:t>
      </w:r>
      <w:r>
        <w:rPr>
          <w:vertAlign w:val="superscript"/>
        </w:rPr>
        <w:footnoteReference w:id="6"/>
      </w:r>
      <w:r>
        <w:t xml:space="preserve"> </w:t>
      </w:r>
      <w:r w:rsidR="00C15C2A">
        <w:t xml:space="preserve"> </w:t>
      </w:r>
      <w:r>
        <w:t>These powers include the ability to fix rates, establish rules, hold various types of hearings, provide specific monetary relief, and establish its procedures.</w:t>
      </w:r>
      <w:r>
        <w:rPr>
          <w:vertAlign w:val="superscript"/>
        </w:rPr>
        <w:footnoteReference w:id="7"/>
      </w:r>
    </w:p>
    <w:p w:rsidRPr="00653FDB" w:rsidR="005A148C" w:rsidP="00C15C2A" w:rsidRDefault="005939A5" w14:paraId="36176E87" w14:textId="3281D842">
      <w:pPr>
        <w:pStyle w:val="Heading1"/>
        <w:spacing w:after="0" w:line="360" w:lineRule="auto"/>
      </w:pPr>
      <w:bookmarkStart w:name="_Toc8123719" w:id="7"/>
      <w:bookmarkStart w:name="_Toc133843848" w:id="8"/>
      <w:r w:rsidRPr="00653FDB">
        <w:t xml:space="preserve">Issue Before the </w:t>
      </w:r>
      <w:bookmarkEnd w:id="7"/>
      <w:r w:rsidRPr="00653FDB" w:rsidR="008A08BF">
        <w:t>Commission</w:t>
      </w:r>
      <w:bookmarkEnd w:id="8"/>
    </w:p>
    <w:p w:rsidR="003B78FA" w:rsidP="003B78FA" w:rsidRDefault="003B78FA" w14:paraId="0B988829" w14:textId="7F2BCF04">
      <w:pPr>
        <w:ind w:left="-14" w:right="209"/>
      </w:pPr>
      <w:r>
        <w:t xml:space="preserve">The PFM requests revision of certain provisions </w:t>
      </w:r>
      <w:r w:rsidRPr="00A976C4">
        <w:t xml:space="preserve">set forth in D.94-06-033 that </w:t>
      </w:r>
      <w:r>
        <w:t>prohibited accrual of interest on</w:t>
      </w:r>
      <w:r w:rsidRPr="00A976C4">
        <w:t xml:space="preserve"> DLRMAs established by water utilities.</w:t>
      </w:r>
    </w:p>
    <w:p w:rsidR="005939A5" w:rsidP="003B78FA" w:rsidRDefault="003B78FA" w14:paraId="3BF7FD19" w14:textId="17276DA5">
      <w:pPr>
        <w:pStyle w:val="Standard"/>
      </w:pPr>
      <w:r>
        <w:t>The issue that the Commission is asked to decide is whether its policy set forth in D.94</w:t>
      </w:r>
      <w:r>
        <w:noBreakHyphen/>
        <w:t>06</w:t>
      </w:r>
      <w:r>
        <w:noBreakHyphen/>
        <w:t>033 should be revised to permit accrual of interest on DLRMA accounts.</w:t>
      </w:r>
    </w:p>
    <w:p w:rsidR="005939A5" w:rsidP="00C15C2A" w:rsidRDefault="005939A5" w14:paraId="33B56992" w14:textId="4597FA40">
      <w:pPr>
        <w:pStyle w:val="Heading1"/>
        <w:spacing w:after="0" w:line="360" w:lineRule="auto"/>
      </w:pPr>
      <w:bookmarkStart w:name="_Toc8123720" w:id="9"/>
      <w:bookmarkStart w:name="_Toc133843849" w:id="10"/>
      <w:r>
        <w:t>Discussion</w:t>
      </w:r>
      <w:bookmarkEnd w:id="9"/>
      <w:bookmarkEnd w:id="10"/>
    </w:p>
    <w:p w:rsidRPr="00C15C2A" w:rsidR="00B32885" w:rsidP="00C15C2A" w:rsidRDefault="00B32885" w14:paraId="57F15189" w14:textId="7A429318">
      <w:pPr>
        <w:pStyle w:val="Standard"/>
      </w:pPr>
      <w:r>
        <w:t xml:space="preserve">In D.94-06-033, </w:t>
      </w:r>
      <w:r w:rsidR="00213F24">
        <w:t>Cal Advocates</w:t>
      </w:r>
      <w:r w:rsidRPr="00F1645F">
        <w:t xml:space="preserve"> </w:t>
      </w:r>
      <w:r>
        <w:t xml:space="preserve">argued that the Commission should </w:t>
      </w:r>
      <w:r w:rsidRPr="00F1645F">
        <w:t xml:space="preserve">exclude interest for any outstanding drought memorandum account and any conservation memorandum account subject to a 20-basis point reduction. </w:t>
      </w:r>
      <w:r w:rsidR="00C15C2A">
        <w:t xml:space="preserve"> </w:t>
      </w:r>
      <w:r w:rsidR="00213F24">
        <w:t>Cal</w:t>
      </w:r>
      <w:r w:rsidR="00C15C2A">
        <w:t> </w:t>
      </w:r>
      <w:r w:rsidR="00213F24">
        <w:t>Advocate</w:t>
      </w:r>
      <w:r w:rsidRPr="00F1645F" w:rsidR="00213F24">
        <w:t>s</w:t>
      </w:r>
      <w:r w:rsidR="00213F24">
        <w:t>’</w:t>
      </w:r>
      <w:r w:rsidRPr="00F1645F" w:rsidR="00213F24">
        <w:t xml:space="preserve"> </w:t>
      </w:r>
      <w:r w:rsidRPr="00F1645F">
        <w:t>witness testified that if interest were added to these accounts, then arguably the risk calculation of the accounts could be affected.</w:t>
      </w:r>
      <w:r w:rsidR="00C15C2A">
        <w:t xml:space="preserve">  </w:t>
      </w:r>
      <w:r w:rsidR="00213F24">
        <w:lastRenderedPageBreak/>
        <w:t>Cal</w:t>
      </w:r>
      <w:r w:rsidR="00C15C2A">
        <w:t> </w:t>
      </w:r>
      <w:r w:rsidR="00213F24">
        <w:t xml:space="preserve">Advocates </w:t>
      </w:r>
      <w:r>
        <w:t xml:space="preserve">based its argument on </w:t>
      </w:r>
      <w:r w:rsidRPr="00F1645F">
        <w:t>D.91-10-042</w:t>
      </w:r>
      <w:r>
        <w:t>.</w:t>
      </w:r>
      <w:r>
        <w:rPr>
          <w:rStyle w:val="FootnoteReference"/>
        </w:rPr>
        <w:footnoteReference w:id="8"/>
      </w:r>
      <w:r>
        <w:t xml:space="preserve"> </w:t>
      </w:r>
      <w:r w:rsidR="00C15C2A">
        <w:t xml:space="preserve"> </w:t>
      </w:r>
      <w:r>
        <w:t xml:space="preserve">In a nutshell, the reasoning was </w:t>
      </w:r>
      <w:r w:rsidRPr="00FF1C55">
        <w:rPr>
          <w:rFonts w:eastAsia="Times New Roman" w:cs="Calibri"/>
          <w:szCs w:val="26"/>
        </w:rPr>
        <w:t xml:space="preserve">that since the utility’s risk was already being compensated (and mitigated) through the existing rate structure and the </w:t>
      </w:r>
      <w:r>
        <w:rPr>
          <w:rFonts w:eastAsia="Times New Roman" w:cs="Calibri"/>
          <w:szCs w:val="26"/>
        </w:rPr>
        <w:t>return on equity (</w:t>
      </w:r>
      <w:r w:rsidRPr="00FF1C55">
        <w:rPr>
          <w:rFonts w:eastAsia="Times New Roman" w:cs="Calibri"/>
          <w:szCs w:val="26"/>
        </w:rPr>
        <w:t>ROE</w:t>
      </w:r>
      <w:r>
        <w:rPr>
          <w:rFonts w:eastAsia="Times New Roman" w:cs="Calibri"/>
          <w:szCs w:val="26"/>
        </w:rPr>
        <w:t>)</w:t>
      </w:r>
      <w:r w:rsidRPr="00FF1C55">
        <w:rPr>
          <w:rFonts w:eastAsia="Times New Roman" w:cs="Calibri"/>
          <w:szCs w:val="26"/>
        </w:rPr>
        <w:t xml:space="preserve"> adjustment, allowing interest </w:t>
      </w:r>
      <w:r>
        <w:rPr>
          <w:rFonts w:eastAsia="Times New Roman" w:cs="Calibri"/>
          <w:szCs w:val="26"/>
        </w:rPr>
        <w:t xml:space="preserve">on DLRMAs </w:t>
      </w:r>
      <w:r w:rsidRPr="00FF1C55">
        <w:rPr>
          <w:rFonts w:eastAsia="Times New Roman" w:cs="Calibri"/>
          <w:szCs w:val="26"/>
        </w:rPr>
        <w:t>would constitute an unfair double recovery at the expense of ratepayers.</w:t>
      </w:r>
    </w:p>
    <w:p w:rsidRPr="00FF1C55" w:rsidR="00B32885" w:rsidP="00C15C2A" w:rsidRDefault="00B32885" w14:paraId="5FD1D9C5" w14:textId="35B51CF2">
      <w:pPr>
        <w:ind w:left="90" w:firstLine="630"/>
        <w:rPr>
          <w:rFonts w:eastAsia="Times New Roman" w:cs="Calibri"/>
          <w:szCs w:val="26"/>
        </w:rPr>
      </w:pPr>
      <w:r>
        <w:rPr>
          <w:rFonts w:eastAsia="Times New Roman" w:cs="Calibri"/>
          <w:szCs w:val="26"/>
        </w:rPr>
        <w:t xml:space="preserve">However, the purpose of paying interest is not only to compensate for risk, but to account for the time value of money, and the fact </w:t>
      </w:r>
      <w:r>
        <w:t xml:space="preserve">that future dollars are worth less than present dollars due to opportunity cost and the ongoing loss of purchasing power due to inflation. </w:t>
      </w:r>
      <w:r w:rsidR="00C15C2A">
        <w:t xml:space="preserve"> </w:t>
      </w:r>
      <w:r>
        <w:t>For DLRMAs, utilities are not allowed to immediately recover their lost revenues but must seek Commission authorization for amortization.</w:t>
      </w:r>
      <w:r w:rsidR="00C15C2A">
        <w:t xml:space="preserve"> </w:t>
      </w:r>
      <w:r>
        <w:t xml:space="preserve"> Amortization of DLRMAs must go through a reasonableness review and recovery process which takes time. In addition to DLRMA funds losing purchasing power during this time period due to inflation, utilities miss out on other financial opportunities. </w:t>
      </w:r>
      <w:r w:rsidR="00C15C2A">
        <w:t xml:space="preserve"> </w:t>
      </w:r>
      <w:r w:rsidRPr="00B4160E">
        <w:t>Permitting interest on DLRMAs, as with all other memorandum and balancing accounts, mitigates the delay in recovering the lost revenues tracked in these accounts.</w:t>
      </w:r>
    </w:p>
    <w:p w:rsidRPr="00F1645F" w:rsidR="00B32885" w:rsidP="00B32885" w:rsidRDefault="00B32885" w14:paraId="109C5514" w14:textId="6711F67A">
      <w:r>
        <w:t xml:space="preserve">The </w:t>
      </w:r>
      <w:r w:rsidR="00213F24">
        <w:t xml:space="preserve">rate </w:t>
      </w:r>
      <w:r>
        <w:t xml:space="preserve">effect of </w:t>
      </w:r>
      <w:r w:rsidR="00213F24">
        <w:t xml:space="preserve">earning </w:t>
      </w:r>
      <w:r>
        <w:t xml:space="preserve">interest on DLRMAs is </w:t>
      </w:r>
      <w:r w:rsidR="00213F24">
        <w:t>small</w:t>
      </w:r>
      <w:r>
        <w:t>.  Using</w:t>
      </w:r>
      <w:r w:rsidRPr="00B311A1">
        <w:t xml:space="preserve"> </w:t>
      </w:r>
      <w:r w:rsidRPr="0091034E">
        <w:t>San Gabriel Valley Water Company’s</w:t>
      </w:r>
      <w:r>
        <w:t xml:space="preserve"> (San Gabriel Water) 2024 </w:t>
      </w:r>
      <w:r w:rsidRPr="0091034E">
        <w:t xml:space="preserve">request </w:t>
      </w:r>
      <w:r w:rsidR="00213F24">
        <w:t xml:space="preserve">approved </w:t>
      </w:r>
      <w:r w:rsidRPr="0091034E">
        <w:t>in Resolution W-5282</w:t>
      </w:r>
      <w:r>
        <w:t xml:space="preserve"> </w:t>
      </w:r>
      <w:r w:rsidRPr="00B311A1">
        <w:t xml:space="preserve">as an example, denying interest reduced their </w:t>
      </w:r>
      <w:r w:rsidR="00213F24">
        <w:t xml:space="preserve">revenue </w:t>
      </w:r>
      <w:r w:rsidRPr="00B311A1">
        <w:t>recovery from 2.1% to 1.9% for LA Division and 3.8% to 3.5% for Fontana Division.</w:t>
      </w:r>
      <w:r w:rsidR="00C15C2A">
        <w:t xml:space="preserve"> </w:t>
      </w:r>
      <w:r w:rsidRPr="00B311A1">
        <w:t xml:space="preserve"> The monthly bill impacts decreased from $83.62 to $83.47 or 0.18% for LA Division and $87.92 to $87.67 or 0.28% for Fontana Division. </w:t>
      </w:r>
      <w:r>
        <w:t xml:space="preserve"> Excluding </w:t>
      </w:r>
      <w:r>
        <w:lastRenderedPageBreak/>
        <w:t xml:space="preserve">accrual of interest on </w:t>
      </w:r>
      <w:r w:rsidRPr="0091034E">
        <w:t xml:space="preserve">balances in Great Oaks Water Company’s (Great Oaks) Conservation Lost Revenue Memorandum Account (a similar account to DLRMA), as well </w:t>
      </w:r>
      <w:r>
        <w:t>its</w:t>
      </w:r>
      <w:r w:rsidRPr="0091034E">
        <w:t xml:space="preserve"> Excess Usage Surcharge and Conservation Expense Memorandum Account</w:t>
      </w:r>
      <w:r>
        <w:t xml:space="preserve"> described in its 2024 </w:t>
      </w:r>
      <w:r w:rsidRPr="0091034E">
        <w:t>Advice Letter 326-W</w:t>
      </w:r>
      <w:r>
        <w:t xml:space="preserve">, </w:t>
      </w:r>
      <w:r w:rsidR="00213F24">
        <w:t xml:space="preserve">denying interest </w:t>
      </w:r>
      <w:r w:rsidRPr="00B311A1">
        <w:t xml:space="preserve">reduced </w:t>
      </w:r>
      <w:r w:rsidR="00213F24">
        <w:t xml:space="preserve">revenue </w:t>
      </w:r>
      <w:r w:rsidRPr="00B311A1">
        <w:t>recovery from 1.30%</w:t>
      </w:r>
      <w:r w:rsidR="00213F24">
        <w:t xml:space="preserve"> to</w:t>
      </w:r>
      <w:r w:rsidRPr="00B311A1">
        <w:t xml:space="preserve"> 1.27%.</w:t>
      </w:r>
    </w:p>
    <w:p w:rsidR="00C15C2A" w:rsidP="00B32885" w:rsidRDefault="00B32885" w14:paraId="37B28B8D" w14:textId="77777777">
      <w:r>
        <w:t>As noted, Water Division practice over the last several years has been to routinely approve tariff language and</w:t>
      </w:r>
      <w:r w:rsidRPr="00D65301">
        <w:t xml:space="preserve"> advice letters </w:t>
      </w:r>
      <w:r>
        <w:t>(AL) of water utilities that included accrual of interest in DLRMAs.  With respect to the PFM at issue here:</w:t>
      </w:r>
    </w:p>
    <w:p w:rsidR="00C15C2A" w:rsidP="00C15C2A" w:rsidRDefault="00C15C2A" w14:paraId="0D8DF76B" w14:textId="77777777">
      <w:pPr>
        <w:pStyle w:val="ListParagraph"/>
        <w:numPr>
          <w:ilvl w:val="0"/>
          <w:numId w:val="20"/>
        </w:numPr>
        <w:spacing w:after="120" w:line="240" w:lineRule="auto"/>
        <w:ind w:left="1080" w:right="1440"/>
        <w:contextualSpacing w:val="0"/>
      </w:pPr>
      <w:r>
        <w:t>T</w:t>
      </w:r>
      <w:r w:rsidRPr="0045497A" w:rsidR="00B32885">
        <w:t>he Commissions subject matter experts in Water Division recommend we abandon the prohibition on interest</w:t>
      </w:r>
      <w:r>
        <w:t>;</w:t>
      </w:r>
      <w:r w:rsidRPr="0045497A" w:rsidR="00B32885">
        <w:t xml:space="preserve"> and</w:t>
      </w:r>
    </w:p>
    <w:p w:rsidR="00B32885" w:rsidP="00C15C2A" w:rsidRDefault="00B32885" w14:paraId="58789311" w14:textId="4AE35057">
      <w:pPr>
        <w:pStyle w:val="ListParagraph"/>
        <w:numPr>
          <w:ilvl w:val="0"/>
          <w:numId w:val="20"/>
        </w:numPr>
        <w:spacing w:after="120" w:line="240" w:lineRule="auto"/>
        <w:ind w:left="1080" w:right="1440"/>
        <w:contextualSpacing w:val="0"/>
      </w:pPr>
      <w:r w:rsidRPr="0045497A">
        <w:t xml:space="preserve">Cal Advocates has </w:t>
      </w:r>
      <w:r w:rsidR="00213F24">
        <w:t xml:space="preserve">not </w:t>
      </w:r>
      <w:r>
        <w:t>objected to the PFM.</w:t>
      </w:r>
    </w:p>
    <w:p w:rsidR="0073353F" w:rsidP="00B32885" w:rsidRDefault="00B32885" w14:paraId="519FD670" w14:textId="0B048A94">
      <w:pPr>
        <w:pStyle w:val="Standard"/>
      </w:pPr>
      <w:r w:rsidRPr="00B4160E">
        <w:t xml:space="preserve">Accordingly, it appears appropriate to permit </w:t>
      </w:r>
      <w:r w:rsidRPr="00B4160E">
        <w:rPr>
          <w:szCs w:val="26"/>
        </w:rPr>
        <w:t xml:space="preserve">water companies subject to the jurisdiction of this Commission to accrue interest on </w:t>
      </w:r>
      <w:r w:rsidRPr="00B4160E">
        <w:t xml:space="preserve">DLRMAs. </w:t>
      </w:r>
      <w:r w:rsidRPr="0095719B">
        <w:t xml:space="preserve"> </w:t>
      </w:r>
      <w:r w:rsidR="00213F24">
        <w:t>F</w:t>
      </w:r>
      <w:r>
        <w:t xml:space="preserve">or the purpose of computing interest, it makes sense to use the </w:t>
      </w:r>
      <w:r w:rsidRPr="000C3F9F">
        <w:t>90-day commercial paper rate</w:t>
      </w:r>
      <w:r>
        <w:t>,</w:t>
      </w:r>
      <w:r w:rsidR="000E40FF">
        <w:rPr>
          <w:rStyle w:val="FootnoteReference"/>
        </w:rPr>
        <w:footnoteReference w:id="9"/>
      </w:r>
      <w:r>
        <w:t xml:space="preserve"> which</w:t>
      </w:r>
      <w:r w:rsidRPr="000C3F9F">
        <w:t xml:space="preserve"> is similar</w:t>
      </w:r>
      <w:r>
        <w:t xml:space="preserve"> </w:t>
      </w:r>
      <w:r w:rsidRPr="000C3F9F">
        <w:t>to the rate of return for short term United States Treasur</w:t>
      </w:r>
      <w:r>
        <w:t>ies.</w:t>
      </w:r>
      <w:r>
        <w:rPr>
          <w:rStyle w:val="FootnoteReference"/>
        </w:rPr>
        <w:footnoteReference w:id="10"/>
      </w:r>
      <w:r>
        <w:t xml:space="preserve"> </w:t>
      </w:r>
      <w:r w:rsidR="00C15C2A">
        <w:t xml:space="preserve"> </w:t>
      </w:r>
      <w:r w:rsidRPr="000C3F9F">
        <w:t>In general, the interest rate for short-term U</w:t>
      </w:r>
      <w:r>
        <w:t>.</w:t>
      </w:r>
      <w:r w:rsidRPr="000C3F9F">
        <w:t>S</w:t>
      </w:r>
      <w:r>
        <w:t>.</w:t>
      </w:r>
      <w:r w:rsidRPr="000C3F9F">
        <w:t xml:space="preserve"> Treasur</w:t>
      </w:r>
      <w:r>
        <w:t>i</w:t>
      </w:r>
      <w:r w:rsidRPr="000C3F9F">
        <w:t xml:space="preserve">es </w:t>
      </w:r>
      <w:r>
        <w:t xml:space="preserve">is </w:t>
      </w:r>
      <w:r w:rsidRPr="000C3F9F">
        <w:t>widely regarded as the benchmark for a “risk free” rate of return</w:t>
      </w:r>
      <w:r w:rsidR="00EA36C6">
        <w:t>.</w:t>
      </w:r>
    </w:p>
    <w:p w:rsidRPr="00653FDB" w:rsidR="00603238" w:rsidP="0064612D" w:rsidRDefault="00603238" w14:paraId="46A2893B" w14:textId="1AECD2D7">
      <w:pPr>
        <w:pStyle w:val="Heading1"/>
        <w:spacing w:after="0" w:line="360" w:lineRule="auto"/>
      </w:pPr>
      <w:bookmarkStart w:name="_Toc133843852" w:id="11"/>
      <w:bookmarkStart w:name="_Toc8123721" w:id="12"/>
      <w:r w:rsidRPr="00653FDB">
        <w:t>Summary of Public Comment</w:t>
      </w:r>
      <w:bookmarkEnd w:id="11"/>
    </w:p>
    <w:p w:rsidRPr="000E40FF" w:rsidR="000E40FF" w:rsidP="000E40FF" w:rsidRDefault="000E40FF" w14:paraId="458E3694" w14:textId="0BFEBD2E">
      <w:pPr>
        <w:pStyle w:val="Standard"/>
      </w:pPr>
      <w:r w:rsidRPr="004C54EE">
        <w:t>Rule 1.18 allows any member of the public to submit written comment in any Commission proceeding using the “Public Comment” tab of the online Docket Card for that proceeding on the Commission’s website.</w:t>
      </w:r>
      <w:r w:rsidR="00EE7907">
        <w:t xml:space="preserve">  </w:t>
      </w:r>
      <w:r w:rsidRPr="004C54EE">
        <w:t xml:space="preserve">Rule 1.18(b) </w:t>
      </w:r>
      <w:r w:rsidRPr="004C54EE">
        <w:lastRenderedPageBreak/>
        <w:t>requires that relevant written comment submitted in a proceeding be summarized in the final decision issued in that proceeding.  There has been no public comment received on this PFM proceeding.</w:t>
      </w:r>
    </w:p>
    <w:p w:rsidR="00FA1B4F" w:rsidP="00EE7907" w:rsidRDefault="005939A5" w14:paraId="64777239" w14:textId="77777777">
      <w:pPr>
        <w:pStyle w:val="Heading1"/>
        <w:spacing w:after="0" w:line="360" w:lineRule="auto"/>
      </w:pPr>
      <w:bookmarkStart w:name="_Toc133843853" w:id="13"/>
      <w:r>
        <w:t>Conclusion</w:t>
      </w:r>
      <w:bookmarkEnd w:id="12"/>
      <w:bookmarkEnd w:id="13"/>
    </w:p>
    <w:p w:rsidR="00751D88" w:rsidP="00CB0756" w:rsidRDefault="00CB0756" w14:paraId="7880E9F9" w14:textId="47458032">
      <w:r>
        <w:t xml:space="preserve">By this Decision, the Commission departs from the prohibition </w:t>
      </w:r>
      <w:r w:rsidR="00213F24">
        <w:t xml:space="preserve">established </w:t>
      </w:r>
      <w:r>
        <w:t>in D.</w:t>
      </w:r>
      <w:r w:rsidRPr="00A976C4">
        <w:t xml:space="preserve"> 94-06-033</w:t>
      </w:r>
      <w:r>
        <w:rPr>
          <w:rStyle w:val="FootnoteReference"/>
        </w:rPr>
        <w:footnoteReference w:id="11"/>
      </w:r>
      <w:r>
        <w:t xml:space="preserve"> and </w:t>
      </w:r>
      <w:r w:rsidR="00213F24">
        <w:t xml:space="preserve">will </w:t>
      </w:r>
      <w:r>
        <w:t>now prospectively permit i</w:t>
      </w:r>
      <w:r w:rsidRPr="00D65301">
        <w:t xml:space="preserve">nterest </w:t>
      </w:r>
      <w:r>
        <w:t>to accrue on DLRMAs.</w:t>
      </w:r>
      <w:r w:rsidRPr="00637F54">
        <w:t xml:space="preserve"> </w:t>
      </w:r>
      <w:r w:rsidR="00EE7907">
        <w:t xml:space="preserve"> </w:t>
      </w:r>
      <w:r w:rsidR="00751D88">
        <w:t>Accordingly, Ordering Paragraph 1 of D.94-06-033 is modified as follows:</w:t>
      </w:r>
    </w:p>
    <w:p w:rsidRPr="00EE7907" w:rsidR="00AF7D67" w:rsidP="00EE7907" w:rsidRDefault="00AF7D67" w14:paraId="0BDA4E2A" w14:textId="703C9ACE">
      <w:pPr>
        <w:spacing w:after="120" w:line="240" w:lineRule="auto"/>
        <w:ind w:left="720" w:right="1440" w:firstLine="0"/>
        <w:rPr>
          <w:i/>
          <w:iCs/>
        </w:rPr>
      </w:pPr>
      <w:r w:rsidRPr="00EE7907">
        <w:rPr>
          <w:i/>
          <w:iCs/>
        </w:rPr>
        <w:t>All water companies subject to the jurisdiction of this Commission are authorized to add interest at the 90-day commercial paper rate to balancing account and memorandum account postings that occur on or after the effective date of this Order.  Interest shall be calculated in the same manner as that in place for calculation of interest on energy utility balancing accounts.</w:t>
      </w:r>
    </w:p>
    <w:p w:rsidR="00EE7907" w:rsidP="00AF7D67" w:rsidRDefault="00CB0756" w14:paraId="1537F820" w14:textId="77777777">
      <w:r w:rsidRPr="007204D5">
        <w:t xml:space="preserve">We expressly authorize </w:t>
      </w:r>
      <w:r w:rsidRPr="007204D5">
        <w:rPr>
          <w:u w:val="single"/>
        </w:rPr>
        <w:t>prospective</w:t>
      </w:r>
      <w:r w:rsidRPr="007204D5">
        <w:t xml:space="preserve"> accrual of interest on</w:t>
      </w:r>
      <w:r w:rsidR="00EE7907">
        <w:t>:</w:t>
      </w:r>
    </w:p>
    <w:p w:rsidR="00EE7907" w:rsidP="00EE7907" w:rsidRDefault="00CB0756" w14:paraId="0DE549CE" w14:textId="119364FD">
      <w:pPr>
        <w:pStyle w:val="ListParagraph"/>
        <w:numPr>
          <w:ilvl w:val="0"/>
          <w:numId w:val="21"/>
        </w:numPr>
        <w:spacing w:after="120" w:line="240" w:lineRule="auto"/>
        <w:ind w:left="1080" w:right="1440"/>
        <w:contextualSpacing w:val="0"/>
      </w:pPr>
      <w:r w:rsidRPr="007204D5">
        <w:t>San Gabriel Valley Water balances in its DLRMA</w:t>
      </w:r>
      <w:r w:rsidR="00EE7907">
        <w:t>;</w:t>
      </w:r>
      <w:r w:rsidRPr="007204D5">
        <w:t xml:space="preserve"> and</w:t>
      </w:r>
    </w:p>
    <w:p w:rsidRPr="00637F54" w:rsidR="00CB0756" w:rsidP="00EE7907" w:rsidRDefault="00EE7907" w14:paraId="2A720F2F" w14:textId="475480E2">
      <w:pPr>
        <w:pStyle w:val="ListParagraph"/>
        <w:numPr>
          <w:ilvl w:val="0"/>
          <w:numId w:val="21"/>
        </w:numPr>
        <w:spacing w:after="120" w:line="240" w:lineRule="auto"/>
        <w:ind w:left="1080" w:right="1440"/>
        <w:contextualSpacing w:val="0"/>
      </w:pPr>
      <w:r>
        <w:t>B</w:t>
      </w:r>
      <w:r w:rsidRPr="007204D5" w:rsidR="00CB0756">
        <w:t>alances in Great Oaks Conservation Lost Revenue Memorandum Account (a similar account to DLRMA), as well its Excess Usage Surcharge and Conservation Expense Memorandum Account described in its 2024 Advice Letter 326-W.</w:t>
      </w:r>
    </w:p>
    <w:p w:rsidRPr="00343E5C" w:rsidR="00343E5C" w:rsidP="00CB0756" w:rsidRDefault="00CB0756" w14:paraId="5565F416" w14:textId="17291D65">
      <w:pPr>
        <w:pStyle w:val="Standard"/>
      </w:pPr>
      <w:r>
        <w:t xml:space="preserve"> Interest on DLRMAs </w:t>
      </w:r>
      <w:r w:rsidRPr="00D65301">
        <w:t xml:space="preserve">shall </w:t>
      </w:r>
      <w:r>
        <w:t xml:space="preserve">be calculated </w:t>
      </w:r>
      <w:r w:rsidRPr="00D65301">
        <w:t xml:space="preserve">on a monthly basis by applying a rate equal to one-twelfth of the 90 </w:t>
      </w:r>
      <w:r w:rsidR="00E91AD4">
        <w:t>d</w:t>
      </w:r>
      <w:r w:rsidRPr="00D65301">
        <w:t xml:space="preserve">ay </w:t>
      </w:r>
      <w:r w:rsidR="00E91AD4">
        <w:t>c</w:t>
      </w:r>
      <w:r w:rsidRPr="00D65301">
        <w:t xml:space="preserve">ommercial </w:t>
      </w:r>
      <w:r w:rsidR="00E91AD4">
        <w:t>p</w:t>
      </w:r>
      <w:r w:rsidRPr="00D65301">
        <w:t>aper rate</w:t>
      </w:r>
      <w:r w:rsidR="00E91AD4">
        <w:t>,</w:t>
      </w:r>
      <w:r w:rsidRPr="00D65301">
        <w:t xml:space="preserve"> to the average of the beginning of month and the end of month balances.</w:t>
      </w:r>
    </w:p>
    <w:p w:rsidR="005939A5" w:rsidP="00EE7907" w:rsidRDefault="005939A5" w14:paraId="4C4499EC" w14:textId="77777777">
      <w:pPr>
        <w:pStyle w:val="Heading1"/>
        <w:spacing w:after="0" w:line="360" w:lineRule="auto"/>
      </w:pPr>
      <w:bookmarkStart w:name="_Toc8123723" w:id="14"/>
      <w:bookmarkStart w:name="_Toc133843854" w:id="15"/>
      <w:r>
        <w:t>Comments on Proposed Decision</w:t>
      </w:r>
      <w:bookmarkEnd w:id="14"/>
      <w:bookmarkEnd w:id="15"/>
    </w:p>
    <w:p w:rsidR="005939A5" w:rsidP="005C58FA" w:rsidRDefault="00C437F2" w14:paraId="4F93ECBD" w14:textId="663AB77F">
      <w:pPr>
        <w:pStyle w:val="Standard"/>
      </w:pPr>
      <w:r w:rsidRPr="00162676">
        <w:t>The proposed decision of the ALJ in this matter was mailed to the parties on</w:t>
      </w:r>
      <w:r w:rsidR="00EB0082">
        <w:t xml:space="preserve"> June 16, 2026</w:t>
      </w:r>
      <w:r w:rsidRPr="00162676">
        <w:t xml:space="preserve">, in accordance with Section 311 of the Public Utilities Code and comments were allowed under Rule 14.3. Comments were filed </w:t>
      </w:r>
      <w:r w:rsidR="00EB0082">
        <w:t xml:space="preserve">by California </w:t>
      </w:r>
      <w:r w:rsidR="00EB0082">
        <w:lastRenderedPageBreak/>
        <w:t xml:space="preserve">Water Association (CWA) </w:t>
      </w:r>
      <w:r w:rsidRPr="00162676">
        <w:t>on</w:t>
      </w:r>
      <w:r>
        <w:t xml:space="preserve"> </w:t>
      </w:r>
      <w:r w:rsidR="00EB0082">
        <w:t>July 6, 2026</w:t>
      </w:r>
      <w:r w:rsidRPr="00C878D5" w:rsidR="00C878D5">
        <w:t>.</w:t>
      </w:r>
      <w:r w:rsidR="00EB0082">
        <w:t xml:space="preserve">  CWA comments that the Commission should revise the Proposed Decision to remove the limitation that the accrual of interest in DLRMAs may only occur prospectively.  CWA points out that water utilities which currently hold outstanding DLRMA balances have already been subjected to years of inflation and delayed recovery.  They contend that prohibiting interest accrued on the existing </w:t>
      </w:r>
      <w:r w:rsidR="008666D3">
        <w:t>balances</w:t>
      </w:r>
      <w:r w:rsidR="00EB0082">
        <w:t xml:space="preserve"> denies the utilities compensation for the time value of money and results in the exact financial detriment that the Proposed Decision seeks to cure. </w:t>
      </w:r>
    </w:p>
    <w:p w:rsidR="00EB0082" w:rsidP="005C58FA" w:rsidRDefault="00EB0082" w14:paraId="3AF63A82" w14:textId="43B78018">
      <w:pPr>
        <w:pStyle w:val="Standard"/>
      </w:pPr>
      <w:r>
        <w:t xml:space="preserve">The rationale presented by CWA is persuasive and the revision requested is granted.  We note </w:t>
      </w:r>
      <w:r w:rsidR="008666D3">
        <w:t>that</w:t>
      </w:r>
      <w:r>
        <w:t xml:space="preserve"> disallowing interest from these existing accounts would mean taking affirmative steps to remove the interest, when - as noted earlier in this decision - the Commission has articulated a clear determination that recovery of interest is appropriate as evidenced by its recent practice.  While modifying this decision to allow it to apply to existing accounts may result in a de minimis increase in cost to ratepayers, this is the case as a result of our decision to allow interest accrual at all.  For this reason, as a matter of soun</w:t>
      </w:r>
      <w:r w:rsidR="008666D3">
        <w:t xml:space="preserve">d ratemaking policy, it makes sense to permit water utilities to accurately capture the true expenses that they have incurred.  </w:t>
      </w:r>
    </w:p>
    <w:p w:rsidR="005939A5" w:rsidP="00EE7907" w:rsidRDefault="005939A5" w14:paraId="78EE015F" w14:textId="77777777">
      <w:pPr>
        <w:pStyle w:val="Heading1"/>
        <w:spacing w:after="0" w:line="360" w:lineRule="auto"/>
      </w:pPr>
      <w:bookmarkStart w:name="_Toc8123724" w:id="16"/>
      <w:bookmarkStart w:name="_Toc133843855" w:id="17"/>
      <w:r>
        <w:t>Assignment of Proceeding</w:t>
      </w:r>
      <w:bookmarkEnd w:id="16"/>
      <w:bookmarkEnd w:id="17"/>
    </w:p>
    <w:p w:rsidR="005939A5" w:rsidP="006E6574" w:rsidRDefault="00C437F2" w14:paraId="5DB79D3C" w14:textId="69503A09">
      <w:pPr>
        <w:pStyle w:val="Standard"/>
      </w:pPr>
      <w:r>
        <w:t>Matthew Baker</w:t>
      </w:r>
      <w:r w:rsidR="005939A5">
        <w:t xml:space="preserve"> is the assigned Commissioner and </w:t>
      </w:r>
      <w:r>
        <w:t>Patricia B. Miles</w:t>
      </w:r>
      <w:r w:rsidR="005939A5">
        <w:t xml:space="preserve"> is the assigned Administrative Law Judge in this proceeding.</w:t>
      </w:r>
    </w:p>
    <w:p w:rsidR="005939A5" w:rsidP="00EE7907" w:rsidRDefault="005939A5" w14:paraId="6817ED39" w14:textId="77777777">
      <w:pPr>
        <w:pStyle w:val="Dummy"/>
        <w:spacing w:after="0" w:line="360" w:lineRule="auto"/>
      </w:pPr>
      <w:bookmarkStart w:name="_Toc8123725" w:id="18"/>
      <w:bookmarkStart w:name="_Toc133843856" w:id="19"/>
      <w:r>
        <w:t>Findings of Fact</w:t>
      </w:r>
      <w:bookmarkEnd w:id="18"/>
      <w:bookmarkEnd w:id="19"/>
    </w:p>
    <w:p w:rsidRPr="001E2A62" w:rsidR="00F62B7A" w:rsidP="00DA1C7F" w:rsidRDefault="0043128C" w14:paraId="78F48928" w14:textId="07FB03EC">
      <w:pPr>
        <w:pStyle w:val="OP"/>
        <w:numPr>
          <w:ilvl w:val="0"/>
          <w:numId w:val="22"/>
        </w:numPr>
        <w:ind w:firstLine="360"/>
      </w:pPr>
      <w:r>
        <w:t xml:space="preserve">CWA </w:t>
      </w:r>
      <w:r w:rsidRPr="00A976C4">
        <w:t>submit</w:t>
      </w:r>
      <w:r>
        <w:t>ted</w:t>
      </w:r>
      <w:r w:rsidRPr="00A976C4">
        <w:t xml:space="preserve"> </w:t>
      </w:r>
      <w:r>
        <w:t>a</w:t>
      </w:r>
      <w:r w:rsidRPr="00A976C4">
        <w:t xml:space="preserve"> Petition for Modification of Decision (D)</w:t>
      </w:r>
      <w:r w:rsidR="00DA1C7F">
        <w:t> </w:t>
      </w:r>
      <w:r w:rsidRPr="00A976C4">
        <w:t>94-06-033 issued in June 1994</w:t>
      </w:r>
      <w:r>
        <w:t xml:space="preserve"> (PFM),</w:t>
      </w:r>
      <w:r w:rsidRPr="00A976C4">
        <w:t xml:space="preserve"> on behalf of itself and its member water utility companies that are subject to the jurisdiction of the CPUC</w:t>
      </w:r>
      <w:r>
        <w:t>.</w:t>
      </w:r>
    </w:p>
    <w:p w:rsidR="0043128C" w:rsidP="00DA1C7F" w:rsidRDefault="0043128C" w14:paraId="7704BE6B" w14:textId="5720919A">
      <w:pPr>
        <w:pStyle w:val="OP"/>
        <w:numPr>
          <w:ilvl w:val="0"/>
          <w:numId w:val="22"/>
        </w:numPr>
        <w:ind w:firstLine="360"/>
      </w:pPr>
      <w:r>
        <w:lastRenderedPageBreak/>
        <w:t xml:space="preserve">Since 2014, the Commission’s Water Division has approved tariff language and some advice letters </w:t>
      </w:r>
      <w:r w:rsidRPr="00637F3C">
        <w:t xml:space="preserve">providing for accrual of interest in </w:t>
      </w:r>
      <w:r>
        <w:t>DLRMA</w:t>
      </w:r>
      <w:r w:rsidRPr="00637F3C">
        <w:t xml:space="preserve"> accounts</w:t>
      </w:r>
      <w:r>
        <w:t>.</w:t>
      </w:r>
    </w:p>
    <w:p w:rsidR="008E6AE6" w:rsidP="00DA1C7F" w:rsidRDefault="0043128C" w14:paraId="7A9198EC" w14:textId="60BA0022">
      <w:pPr>
        <w:pStyle w:val="OP"/>
        <w:numPr>
          <w:ilvl w:val="0"/>
          <w:numId w:val="22"/>
        </w:numPr>
        <w:ind w:firstLine="360"/>
      </w:pPr>
      <w:r>
        <w:t>D</w:t>
      </w:r>
      <w:r w:rsidRPr="00F03DA2">
        <w:t>rought conditions no longer represent unique circumstances as they did for the Commission in the early 1990s when D.94-06-033 was adopted</w:t>
      </w:r>
      <w:r>
        <w:t>.</w:t>
      </w:r>
    </w:p>
    <w:p w:rsidR="0043128C" w:rsidP="00DA1C7F" w:rsidRDefault="0043128C" w14:paraId="608EBC73" w14:textId="29147F62">
      <w:pPr>
        <w:pStyle w:val="OP"/>
        <w:numPr>
          <w:ilvl w:val="0"/>
          <w:numId w:val="22"/>
        </w:numPr>
        <w:ind w:firstLine="360"/>
      </w:pPr>
      <w:r w:rsidRPr="009D2DD8">
        <w:t xml:space="preserve">It is </w:t>
      </w:r>
      <w:r>
        <w:t xml:space="preserve">financially sound to permit water providers to accrue </w:t>
      </w:r>
      <w:r w:rsidRPr="009D2DD8">
        <w:t xml:space="preserve">interest </w:t>
      </w:r>
      <w:r>
        <w:t xml:space="preserve">on </w:t>
      </w:r>
      <w:r w:rsidRPr="009D2DD8">
        <w:t>DLRMAs.</w:t>
      </w:r>
    </w:p>
    <w:p w:rsidRPr="001E2A62" w:rsidR="0043128C" w:rsidP="00DA1C7F" w:rsidRDefault="0043128C" w14:paraId="697EDD5F" w14:textId="74905DE4">
      <w:pPr>
        <w:pStyle w:val="OP"/>
        <w:numPr>
          <w:ilvl w:val="0"/>
          <w:numId w:val="22"/>
        </w:numPr>
        <w:ind w:firstLine="360"/>
      </w:pPr>
      <w:r>
        <w:t>Although the PFM is unopposed, it is appropriate to mail this Decision for comment to ensure widespread industry review.</w:t>
      </w:r>
    </w:p>
    <w:p w:rsidR="005939A5" w:rsidP="00EE7907" w:rsidRDefault="005939A5" w14:paraId="3EA47EA2" w14:textId="77777777">
      <w:pPr>
        <w:pStyle w:val="Dummy"/>
        <w:spacing w:after="0" w:line="360" w:lineRule="auto"/>
      </w:pPr>
      <w:bookmarkStart w:name="_Toc8123726" w:id="20"/>
      <w:bookmarkStart w:name="_Toc133843857" w:id="21"/>
      <w:r>
        <w:t>Conclusions of Law</w:t>
      </w:r>
      <w:bookmarkEnd w:id="20"/>
      <w:bookmarkEnd w:id="21"/>
    </w:p>
    <w:p w:rsidR="0043128C" w:rsidP="0064612D" w:rsidRDefault="0043128C" w14:paraId="19F53D86" w14:textId="77777777">
      <w:pPr>
        <w:pStyle w:val="OP"/>
        <w:numPr>
          <w:ilvl w:val="0"/>
          <w:numId w:val="30"/>
        </w:numPr>
        <w:ind w:firstLine="360"/>
      </w:pPr>
      <w:r>
        <w:t>W</w:t>
      </w:r>
      <w:r w:rsidRPr="005857C5">
        <w:t xml:space="preserve">ater companies subject to the jurisdiction of this Commission </w:t>
      </w:r>
      <w:r>
        <w:t xml:space="preserve">should be </w:t>
      </w:r>
      <w:r w:rsidRPr="005857C5">
        <w:t xml:space="preserve">authorized to add interest at the 90-day commercial paper rate to </w:t>
      </w:r>
      <w:r>
        <w:t xml:space="preserve">DLRMAs, as they currently do for balancing and memorandum </w:t>
      </w:r>
      <w:r w:rsidRPr="005857C5">
        <w:t>account</w:t>
      </w:r>
      <w:r>
        <w:t>s.</w:t>
      </w:r>
    </w:p>
    <w:p w:rsidR="0043128C" w:rsidP="0064612D" w:rsidRDefault="0043128C" w14:paraId="6DC73BCC" w14:textId="437216D4">
      <w:pPr>
        <w:pStyle w:val="OP"/>
        <w:numPr>
          <w:ilvl w:val="0"/>
          <w:numId w:val="30"/>
        </w:numPr>
        <w:ind w:firstLine="360"/>
      </w:pPr>
      <w:r w:rsidRPr="009F34FF">
        <w:t>Interest</w:t>
      </w:r>
      <w:r w:rsidR="00B509AC">
        <w:t xml:space="preserve"> should be allowed to</w:t>
      </w:r>
      <w:r w:rsidRPr="009F34FF">
        <w:t xml:space="preserve"> accru</w:t>
      </w:r>
      <w:r w:rsidR="00B509AC">
        <w:t>e</w:t>
      </w:r>
      <w:r w:rsidRPr="009F34FF">
        <w:t xml:space="preserve"> on DLRMAs</w:t>
      </w:r>
      <w:r w:rsidRPr="0060347B">
        <w:rPr>
          <w:szCs w:val="26"/>
        </w:rPr>
        <w:t xml:space="preserve"> </w:t>
      </w:r>
      <w:r>
        <w:rPr>
          <w:szCs w:val="26"/>
        </w:rPr>
        <w:t>and similar drought-related accounts</w:t>
      </w:r>
      <w:r w:rsidRPr="009F34FF">
        <w:t xml:space="preserve"> after the effective date of this </w:t>
      </w:r>
      <w:r w:rsidR="00B509AC">
        <w:t>decision</w:t>
      </w:r>
      <w:r w:rsidRPr="009F34FF">
        <w:t>.</w:t>
      </w:r>
    </w:p>
    <w:p w:rsidRPr="001E2A62" w:rsidR="00932865" w:rsidP="0064612D" w:rsidRDefault="0043128C" w14:paraId="479AF214" w14:textId="5858E95E">
      <w:pPr>
        <w:pStyle w:val="OP"/>
        <w:numPr>
          <w:ilvl w:val="0"/>
          <w:numId w:val="30"/>
        </w:numPr>
        <w:ind w:firstLine="360"/>
      </w:pPr>
      <w:r w:rsidRPr="0091034E">
        <w:t>San Gabriel Valley Water Company’s</w:t>
      </w:r>
      <w:r>
        <w:t xml:space="preserve"> 2024 </w:t>
      </w:r>
      <w:r w:rsidRPr="0091034E">
        <w:t xml:space="preserve">request to </w:t>
      </w:r>
      <w:r>
        <w:t xml:space="preserve">accrue interest on </w:t>
      </w:r>
      <w:r w:rsidRPr="0091034E">
        <w:t>amortize</w:t>
      </w:r>
      <w:r>
        <w:t>d</w:t>
      </w:r>
      <w:r w:rsidRPr="0091034E">
        <w:t xml:space="preserve"> balance</w:t>
      </w:r>
      <w:r>
        <w:t>s</w:t>
      </w:r>
      <w:r w:rsidRPr="0091034E">
        <w:t xml:space="preserve"> in its DLRMA</w:t>
      </w:r>
      <w:r w:rsidR="00B509AC">
        <w:t xml:space="preserve"> should be approved</w:t>
      </w:r>
      <w:r w:rsidR="008666D3">
        <w:t>.</w:t>
      </w:r>
    </w:p>
    <w:p w:rsidR="0043128C" w:rsidP="0064612D" w:rsidRDefault="0043128C" w14:paraId="73D55369" w14:textId="65FDB1C2">
      <w:pPr>
        <w:pStyle w:val="OP"/>
        <w:numPr>
          <w:ilvl w:val="0"/>
          <w:numId w:val="30"/>
        </w:numPr>
        <w:ind w:firstLine="360"/>
      </w:pPr>
      <w:r w:rsidRPr="0091034E">
        <w:t>Great Oaks Water Company’s Conservation Lost Revenue Memorandum Account a</w:t>
      </w:r>
      <w:r>
        <w:t>nd its</w:t>
      </w:r>
      <w:r w:rsidRPr="0091034E">
        <w:t xml:space="preserve"> Excess Usage Surcharge and Conservation Expense Memorandum Account</w:t>
      </w:r>
      <w:r>
        <w:t xml:space="preserve"> described in its 2024 </w:t>
      </w:r>
      <w:r w:rsidRPr="0091034E">
        <w:t>Advice Letter 326-W</w:t>
      </w:r>
      <w:r>
        <w:t xml:space="preserve">, </w:t>
      </w:r>
      <w:r w:rsidR="00B509AC">
        <w:t>should be</w:t>
      </w:r>
      <w:r>
        <w:t xml:space="preserve"> approved to accrue interest.</w:t>
      </w:r>
    </w:p>
    <w:p w:rsidR="00BB0243" w:rsidP="009367F2" w:rsidRDefault="005939A5" w14:paraId="25A0A3E1" w14:textId="77777777">
      <w:pPr>
        <w:pStyle w:val="Mainex"/>
        <w:spacing w:before="120"/>
      </w:pPr>
      <w:bookmarkStart w:name="_Toc133843858" w:id="22"/>
      <w:r>
        <w:t>O</w:t>
      </w:r>
      <w:r w:rsidR="00722850">
        <w:t>RDER</w:t>
      </w:r>
      <w:bookmarkEnd w:id="22"/>
    </w:p>
    <w:p w:rsidR="00BB0243" w:rsidP="000A6E05" w:rsidRDefault="00BB0243" w14:paraId="1EBBBC4B" w14:textId="77777777">
      <w:pPr>
        <w:keepNext/>
      </w:pPr>
      <w:r w:rsidRPr="00BB0243">
        <w:rPr>
          <w:b/>
        </w:rPr>
        <w:t>IT IS ORDERED</w:t>
      </w:r>
      <w:r>
        <w:t xml:space="preserve"> that:</w:t>
      </w:r>
    </w:p>
    <w:p w:rsidR="00AF7D67" w:rsidP="0064612D" w:rsidRDefault="00AF7D67" w14:paraId="4CC7AB30" w14:textId="77777777">
      <w:pPr>
        <w:pStyle w:val="OP"/>
        <w:numPr>
          <w:ilvl w:val="0"/>
          <w:numId w:val="38"/>
        </w:numPr>
        <w:ind w:firstLine="360"/>
      </w:pPr>
      <w:r>
        <w:t>Ordering Paragraph 1 of D.94-06-033 is modified as follows:</w:t>
      </w:r>
    </w:p>
    <w:p w:rsidRPr="00DA1C7F" w:rsidR="00AF7D67" w:rsidP="00DA1C7F" w:rsidRDefault="00AF7D67" w14:paraId="7BACF36D" w14:textId="50994DEC">
      <w:pPr>
        <w:pStyle w:val="OP"/>
        <w:numPr>
          <w:ilvl w:val="0"/>
          <w:numId w:val="0"/>
        </w:numPr>
        <w:spacing w:after="120" w:line="240" w:lineRule="auto"/>
        <w:ind w:left="720" w:right="1440"/>
        <w:rPr>
          <w:i/>
          <w:iCs/>
        </w:rPr>
      </w:pPr>
      <w:r w:rsidRPr="00DA1C7F">
        <w:rPr>
          <w:i/>
          <w:iCs/>
        </w:rPr>
        <w:t>All water companies subject to the jurisdiction of this Commission are authorized to add interest at the 90-day commercial paper rate to balancing account and memorandum account postings</w:t>
      </w:r>
      <w:r w:rsidR="008666D3">
        <w:rPr>
          <w:i/>
          <w:iCs/>
        </w:rPr>
        <w:t>.</w:t>
      </w:r>
      <w:r w:rsidRPr="00DA1C7F">
        <w:rPr>
          <w:i/>
          <w:iCs/>
        </w:rPr>
        <w:t xml:space="preserve"> Interest </w:t>
      </w:r>
      <w:r w:rsidRPr="00DA1C7F">
        <w:rPr>
          <w:i/>
          <w:iCs/>
        </w:rPr>
        <w:lastRenderedPageBreak/>
        <w:t>shall be calculated in the same manner as that in place for calculation of interest on energy utility balancing accounts.</w:t>
      </w:r>
    </w:p>
    <w:p w:rsidRPr="0043128C" w:rsidR="0043128C" w:rsidP="0064612D" w:rsidRDefault="0043128C" w14:paraId="5536D4B6" w14:textId="0B861A68">
      <w:pPr>
        <w:pStyle w:val="OP"/>
        <w:numPr>
          <w:ilvl w:val="0"/>
          <w:numId w:val="38"/>
        </w:numPr>
        <w:ind w:firstLine="360"/>
      </w:pPr>
      <w:r>
        <w:rPr>
          <w:szCs w:val="26"/>
        </w:rPr>
        <w:t>W</w:t>
      </w:r>
      <w:r w:rsidRPr="00CF3ED8">
        <w:rPr>
          <w:szCs w:val="26"/>
        </w:rPr>
        <w:t xml:space="preserve">ater companies subject to the jurisdiction of this Commission are authorized to </w:t>
      </w:r>
      <w:r w:rsidR="00B509AC">
        <w:rPr>
          <w:szCs w:val="26"/>
        </w:rPr>
        <w:t>accrue</w:t>
      </w:r>
      <w:r w:rsidRPr="00CF3ED8" w:rsidR="00B509AC">
        <w:rPr>
          <w:szCs w:val="26"/>
        </w:rPr>
        <w:t xml:space="preserve"> </w:t>
      </w:r>
      <w:r w:rsidRPr="00CF3ED8">
        <w:rPr>
          <w:szCs w:val="26"/>
        </w:rPr>
        <w:t xml:space="preserve">interest at the 90-day commercial paper rate </w:t>
      </w:r>
      <w:r w:rsidRPr="00AA1FD1">
        <w:rPr>
          <w:szCs w:val="26"/>
        </w:rPr>
        <w:t>to drought lost revenue memorandum accounts</w:t>
      </w:r>
      <w:r>
        <w:rPr>
          <w:szCs w:val="26"/>
        </w:rPr>
        <w:t xml:space="preserve"> and similar drought-related accounts as they are for all other</w:t>
      </w:r>
      <w:r w:rsidRPr="00A976C4">
        <w:t xml:space="preserve"> </w:t>
      </w:r>
      <w:r w:rsidRPr="00CF3ED8">
        <w:rPr>
          <w:szCs w:val="26"/>
        </w:rPr>
        <w:t>balancing account and memorandum account</w:t>
      </w:r>
      <w:r>
        <w:rPr>
          <w:szCs w:val="26"/>
        </w:rPr>
        <w:t>s</w:t>
      </w:r>
      <w:r w:rsidR="008666D3">
        <w:rPr>
          <w:szCs w:val="26"/>
        </w:rPr>
        <w:t>.</w:t>
      </w:r>
    </w:p>
    <w:p w:rsidR="00F6397D" w:rsidP="0064612D" w:rsidRDefault="00B509AC" w14:paraId="7FAA7701" w14:textId="4E9F9264">
      <w:pPr>
        <w:pStyle w:val="OP"/>
        <w:numPr>
          <w:ilvl w:val="0"/>
          <w:numId w:val="38"/>
        </w:numPr>
        <w:ind w:firstLine="360"/>
      </w:pPr>
      <w:r w:rsidRPr="00B509AC">
        <w:t>Investigation</w:t>
      </w:r>
      <w:r w:rsidR="00DA1C7F">
        <w:t> </w:t>
      </w:r>
      <w:r w:rsidRPr="00B509AC">
        <w:t>90-11-033 is closed</w:t>
      </w:r>
      <w:r w:rsidRPr="001E2A62" w:rsidR="00E23CBB">
        <w:t>.</w:t>
      </w:r>
    </w:p>
    <w:p w:rsidR="008F0116" w:rsidP="008F0116" w:rsidRDefault="008F0116" w14:paraId="49A4653D" w14:textId="77777777">
      <w:r>
        <w:t>This order is effective today.</w:t>
      </w:r>
    </w:p>
    <w:p w:rsidRPr="00714CF2" w:rsidR="00714CF2" w:rsidP="00816E05" w:rsidRDefault="008F0116" w14:paraId="42CCA303" w14:textId="5A53BDC2">
      <w:r>
        <w:t>Dated</w:t>
      </w:r>
      <w:r w:rsidR="00DA1C7F">
        <w:t> </w:t>
      </w:r>
      <w:r w:rsidR="000208C7">
        <w:t>August</w:t>
      </w:r>
      <w:r w:rsidR="00DA1C7F">
        <w:t> ____</w:t>
      </w:r>
      <w:r>
        <w:t>,</w:t>
      </w:r>
      <w:r w:rsidR="00DA1C7F">
        <w:t> 2026, </w:t>
      </w:r>
      <w:r>
        <w:t>at</w:t>
      </w:r>
      <w:r w:rsidR="00CC6A66">
        <w:t> </w:t>
      </w:r>
      <w:r w:rsidR="000208C7">
        <w:t>San Francisco</w:t>
      </w:r>
      <w:r>
        <w:t>, California</w:t>
      </w:r>
    </w:p>
    <w:sectPr w:rsidRPr="00714CF2" w:rsidR="00714CF2" w:rsidSect="000E29DD">
      <w:headerReference w:type="default" r:id="rId11"/>
      <w:footerReference w:type="default" r:id="rId12"/>
      <w:footerReference w:type="first" r:id="rId13"/>
      <w:pgSz w:w="12240" w:h="15840"/>
      <w:pgMar w:top="1728" w:right="1440" w:bottom="1440" w:left="1440" w:header="720" w:footer="720" w:gutter="0"/>
      <w:pgNumType w:fmt="numberInDash" w:start="1"/>
      <w:cols w:space="720"/>
      <w:titlePg/>
      <w:docGrid w:linePitch="360"/>
    </w:sectPr>
    <w:p>
      <w:r>
        <w:t xml:space="preserve"/>
      </w:r>
    </w:p>
    <w:p>
      <w:r>
        <w:t xml:space="preserve">Attachment 1: </w:t>
      </w:r>
    </w:p>
    <w:p>
      <w:hyperlink w:history="true" r:id="Rfcf1438db15f439f">
        <w:r w:rsidRPr="00CB1292">
          <w:rPr>
            <w:rStyle w:val="Hyperlink"/>
            <w:color w:val="2E74B5" w:themeColor="accent1" w:themeShade="BF"/>
            <w:u w:val="single"/>
          </w:rPr>
          <w:t>REDLINE (Rev. 1) I.90-11-033 CWA Petition for Mod D9406033 Revision to PD PM6 Agenda 8-13-2026.pdf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C500E" w14:textId="77777777" w:rsidR="00695E3E" w:rsidRDefault="00695E3E" w:rsidP="0098138E">
      <w:pPr>
        <w:spacing w:line="240" w:lineRule="auto"/>
      </w:pPr>
      <w:r>
        <w:separator/>
      </w:r>
    </w:p>
  </w:endnote>
  <w:endnote w:type="continuationSeparator" w:id="0">
    <w:p w14:paraId="64D749A6" w14:textId="77777777" w:rsidR="00695E3E" w:rsidRDefault="00695E3E"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05438"/>
      <w:docPartObj>
        <w:docPartGallery w:val="Page Numbers (Bottom of Page)"/>
        <w:docPartUnique/>
      </w:docPartObj>
    </w:sdtPr>
    <w:sdtEndPr>
      <w:rPr>
        <w:noProof/>
      </w:rPr>
    </w:sdtEndPr>
    <w:sdtContent>
      <w:p w14:paraId="06CDBDB8" w14:textId="374569CF" w:rsidR="0077131C" w:rsidRDefault="0077131C" w:rsidP="007713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8B24E" w14:textId="5FDB7613" w:rsidR="000E29DD" w:rsidRPr="000E29DD" w:rsidRDefault="00695E3E" w:rsidP="000E29DD">
    <w:pPr>
      <w:pStyle w:val="Footer"/>
      <w:ind w:firstLine="0"/>
    </w:pPr>
    <w:sdt>
      <w:sdtPr>
        <w:id w:val="-1165777570"/>
        <w:docPartObj>
          <w:docPartGallery w:val="Page Numbers (Bottom of Page)"/>
          <w:docPartUnique/>
        </w:docPartObj>
      </w:sdtPr>
      <w:sdtEndPr>
        <w:rPr>
          <w:noProof/>
        </w:rPr>
      </w:sdtEndPr>
      <w:sdtContent>
        <w:r w:rsidR="005E4BE5" w:rsidRPr="007E1E56">
          <w:rPr>
            <w:sz w:val="16"/>
            <w:szCs w:val="16"/>
          </w:rPr>
          <w:t>612910801</w:t>
        </w:r>
        <w:r w:rsidR="000E29DD">
          <w:tab/>
          <w:t xml:space="preserve"> </w:t>
        </w:r>
        <w:r w:rsidR="000E29DD">
          <w:fldChar w:fldCharType="begin"/>
        </w:r>
        <w:r w:rsidR="000E29DD">
          <w:instrText xml:space="preserve"> PAGE   \* MERGEFORMAT </w:instrText>
        </w:r>
        <w:r w:rsidR="000E29DD">
          <w:fldChar w:fldCharType="separate"/>
        </w:r>
        <w:r w:rsidR="000E29DD">
          <w:t>1</w:t>
        </w:r>
        <w:r w:rsidR="000E29DD">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B2955" w14:textId="77777777" w:rsidR="00695E3E" w:rsidRDefault="00695E3E" w:rsidP="00DF58E7">
      <w:pPr>
        <w:spacing w:line="240" w:lineRule="auto"/>
        <w:ind w:firstLine="0"/>
      </w:pPr>
      <w:r>
        <w:separator/>
      </w:r>
    </w:p>
  </w:footnote>
  <w:footnote w:type="continuationSeparator" w:id="0">
    <w:p w14:paraId="6514BF8A" w14:textId="77777777" w:rsidR="00695E3E" w:rsidRDefault="00695E3E" w:rsidP="00DF58E7">
      <w:pPr>
        <w:spacing w:line="240" w:lineRule="auto"/>
        <w:ind w:firstLine="0"/>
      </w:pPr>
      <w:r>
        <w:continuationSeparator/>
      </w:r>
    </w:p>
  </w:footnote>
  <w:footnote w:type="continuationNotice" w:id="1">
    <w:p w14:paraId="25574357" w14:textId="77777777" w:rsidR="00695E3E" w:rsidRPr="00DF58E7" w:rsidRDefault="00695E3E" w:rsidP="00DF58E7">
      <w:pPr>
        <w:spacing w:line="240" w:lineRule="auto"/>
        <w:ind w:firstLine="0"/>
        <w:jc w:val="right"/>
        <w:rPr>
          <w:i/>
          <w:sz w:val="22"/>
        </w:rPr>
      </w:pPr>
      <w:r w:rsidRPr="00DF58E7">
        <w:rPr>
          <w:i/>
          <w:sz w:val="22"/>
        </w:rPr>
        <w:t>Footnote continued on next page.</w:t>
      </w:r>
    </w:p>
  </w:footnote>
  <w:footnote w:id="2">
    <w:p w14:paraId="2BA090B5" w14:textId="4E691A01" w:rsidR="00B32885" w:rsidRDefault="00B32885" w:rsidP="00557A84">
      <w:pPr>
        <w:pStyle w:val="FootnoteText"/>
        <w:spacing w:after="0"/>
      </w:pPr>
      <w:r>
        <w:rPr>
          <w:rStyle w:val="FootnoteReference"/>
        </w:rPr>
        <w:footnoteRef/>
      </w:r>
      <w:r>
        <w:t xml:space="preserve"> Citing D.94-02-043 (February 16, 1994).</w:t>
      </w:r>
    </w:p>
  </w:footnote>
  <w:footnote w:id="3">
    <w:p w14:paraId="49DC3D61" w14:textId="77777777" w:rsidR="00B32885" w:rsidRDefault="00B32885" w:rsidP="00B32885">
      <w:pPr>
        <w:pStyle w:val="FootnoteText"/>
      </w:pPr>
      <w:r>
        <w:rPr>
          <w:rStyle w:val="FootnoteReference"/>
        </w:rPr>
        <w:footnoteRef/>
      </w:r>
      <w:r>
        <w:t xml:space="preserve"> CWA cites </w:t>
      </w:r>
      <w:r w:rsidRPr="00637F3C">
        <w:t xml:space="preserve">San Gabriel Valley Water Company’s (“San Gabriel”) Preliminary Statement Section O for its DLRMA </w:t>
      </w:r>
      <w:r>
        <w:t xml:space="preserve">which </w:t>
      </w:r>
      <w:r w:rsidRPr="00637F3C">
        <w:t>was approved by the Commission in Advice Letter 582.9 Paragraph 3.c of that preliminary statement</w:t>
      </w:r>
      <w:r>
        <w:t>, which</w:t>
      </w:r>
      <w:r w:rsidRPr="00637F3C">
        <w:t xml:space="preserve"> expressly directs San Gabriel to record </w:t>
      </w:r>
      <w:r w:rsidRPr="00637F3C">
        <w:rPr>
          <w:i/>
          <w:iCs/>
        </w:rPr>
        <w:t>“monthly interest expense calculated on the average balance at 1/12 of the most recent month’s interest rate on Commercial Paper (prime, 3-month), published in the Federal Reserve Statistical Release, H.15 [], or its successor publication.”</w:t>
      </w:r>
      <w:r w:rsidRPr="00637F3C">
        <w:t xml:space="preserve"> </w:t>
      </w:r>
      <w:r>
        <w:t xml:space="preserve">CWA points out that the Commission has also approved </w:t>
      </w:r>
      <w:r w:rsidRPr="00637F3C">
        <w:t>language providing for accrual of interest in DLRMAs for other water utilities such as San Jose Water Company (Advice Letter 592-A);11 Great Oaks Water Company (Advice Letter 318);12 Liberty Utilities (Apple Valley Ranchos Water) Corp. (Advice Letter 265-W);13 and Liberty Utilities (Park Water) Corp. (Advice Letter 265-W).</w:t>
      </w:r>
    </w:p>
  </w:footnote>
  <w:footnote w:id="4">
    <w:p w14:paraId="212B92F9" w14:textId="77777777" w:rsidR="00B32885" w:rsidRDefault="00B32885" w:rsidP="00B32885">
      <w:pPr>
        <w:pStyle w:val="FootnoteText"/>
      </w:pPr>
      <w:r>
        <w:rPr>
          <w:rStyle w:val="FootnoteReference"/>
        </w:rPr>
        <w:footnoteRef/>
      </w:r>
      <w:r>
        <w:t xml:space="preserve"> D.20-08-047at 50.</w:t>
      </w:r>
    </w:p>
  </w:footnote>
  <w:footnote w:id="5">
    <w:p w14:paraId="1FB2210B" w14:textId="77777777" w:rsidR="00B32885" w:rsidRDefault="00B32885" w:rsidP="00B9719B">
      <w:pPr>
        <w:pStyle w:val="FootnoteText"/>
        <w:spacing w:after="0"/>
      </w:pPr>
      <w:r>
        <w:rPr>
          <w:rStyle w:val="FootnoteReference"/>
        </w:rPr>
        <w:footnoteRef/>
      </w:r>
      <w:r>
        <w:t xml:space="preserve"> Id at 74-75.</w:t>
      </w:r>
    </w:p>
  </w:footnote>
  <w:footnote w:id="6">
    <w:p w14:paraId="0BA702C6" w14:textId="77777777" w:rsidR="00B32885" w:rsidRDefault="00B32885" w:rsidP="00B32885">
      <w:pPr>
        <w:pStyle w:val="footnotedescription"/>
        <w:spacing w:after="90" w:line="249" w:lineRule="auto"/>
        <w:ind w:right="154"/>
      </w:pPr>
      <w:r>
        <w:rPr>
          <w:rStyle w:val="footnotemark"/>
        </w:rPr>
        <w:footnoteRef/>
      </w:r>
      <w:r>
        <w:t xml:space="preserve"> </w:t>
      </w:r>
      <w:r>
        <w:rPr>
          <w:i/>
        </w:rPr>
        <w:t>Pacific Gas &amp; Electric Co. v. Public Utilities Commission</w:t>
      </w:r>
      <w:r>
        <w:t xml:space="preserve"> (2015) 237 Cal.App.4th 812, 820, citing Cal. Const., art. XII, §§ 1-6. </w:t>
      </w:r>
    </w:p>
  </w:footnote>
  <w:footnote w:id="7">
    <w:p w14:paraId="21222A31" w14:textId="6FA61213" w:rsidR="00B32885" w:rsidRDefault="00B32885" w:rsidP="009367F2">
      <w:pPr>
        <w:pStyle w:val="footnotedescription"/>
        <w:spacing w:line="259" w:lineRule="auto"/>
      </w:pPr>
      <w:r>
        <w:rPr>
          <w:rStyle w:val="footnotemark"/>
        </w:rPr>
        <w:footnoteRef/>
      </w:r>
      <w:r w:rsidR="00C15C2A">
        <w:t xml:space="preserve"> </w:t>
      </w:r>
      <w:r>
        <w:rPr>
          <w:i/>
        </w:rPr>
        <w:t>San Diego Gas &amp; Electric Co. v. Superior Court</w:t>
      </w:r>
      <w:r>
        <w:t xml:space="preserve"> (1996) 13 Cal.4</w:t>
      </w:r>
      <w:r>
        <w:rPr>
          <w:vertAlign w:val="superscript"/>
        </w:rPr>
        <w:t>th</w:t>
      </w:r>
      <w:r>
        <w:t xml:space="preserve"> 893, 915.</w:t>
      </w:r>
    </w:p>
  </w:footnote>
  <w:footnote w:id="8">
    <w:p w14:paraId="53DFBC7C" w14:textId="09795672" w:rsidR="00B32885" w:rsidRDefault="00B32885" w:rsidP="00C15C2A">
      <w:pPr>
        <w:pStyle w:val="FootnoteText"/>
        <w:spacing w:after="0"/>
      </w:pPr>
      <w:r>
        <w:rPr>
          <w:rStyle w:val="FootnoteReference"/>
        </w:rPr>
        <w:footnoteRef/>
      </w:r>
      <w:r>
        <w:t xml:space="preserve"> </w:t>
      </w:r>
      <w:r w:rsidRPr="00C15C2A">
        <w:rPr>
          <w:i/>
          <w:iCs/>
        </w:rPr>
        <w:t xml:space="preserve">See </w:t>
      </w:r>
      <w:r w:rsidRPr="00F1645F">
        <w:t>41 CPUC2d 521 (1991)</w:t>
      </w:r>
      <w:r>
        <w:t xml:space="preserve"> Cal Advocates argued </w:t>
      </w:r>
      <w:r w:rsidRPr="00F1645F">
        <w:t xml:space="preserve">that the creation of the DLRMA shifted the risk of lost revenues from shareholders to ratepayers. </w:t>
      </w:r>
      <w:r w:rsidR="00C15C2A">
        <w:t xml:space="preserve"> </w:t>
      </w:r>
      <w:r w:rsidRPr="00F1645F">
        <w:t xml:space="preserve">Based on the Cal Advocates’ empirical analysis that establishing this memorandum account would result in a significant reduction in business risk, the Commission ordered a 20 basis point reduction in the authorized </w:t>
      </w:r>
      <w:r>
        <w:t>return on equity (</w:t>
      </w:r>
      <w:r w:rsidRPr="00F1645F">
        <w:t>ROE</w:t>
      </w:r>
      <w:r>
        <w:t>)</w:t>
      </w:r>
      <w:r w:rsidRPr="00F1645F">
        <w:t xml:space="preserve"> for utilities utilizing </w:t>
      </w:r>
      <w:r>
        <w:t xml:space="preserve">a DLRMA </w:t>
      </w:r>
      <w:r w:rsidRPr="00F1645F">
        <w:t>account.</w:t>
      </w:r>
    </w:p>
  </w:footnote>
  <w:footnote w:id="9">
    <w:p w14:paraId="62592028" w14:textId="62BE4847" w:rsidR="000E40FF" w:rsidRDefault="000E40FF">
      <w:pPr>
        <w:pStyle w:val="FootnoteText"/>
      </w:pPr>
      <w:r>
        <w:rPr>
          <w:rStyle w:val="FootnoteReference"/>
        </w:rPr>
        <w:footnoteRef/>
      </w:r>
      <w:r>
        <w:t xml:space="preserve"> i.e., the 90 Day Nonfinancial Commercial Paper Interest rate as reported in the Federal Reserve Statistical Release</w:t>
      </w:r>
    </w:p>
  </w:footnote>
  <w:footnote w:id="10">
    <w:p w14:paraId="494ECC7E" w14:textId="77777777" w:rsidR="00B32885" w:rsidRDefault="00B32885" w:rsidP="00EE7907">
      <w:pPr>
        <w:pStyle w:val="FootnoteText"/>
        <w:spacing w:after="0"/>
      </w:pPr>
      <w:r>
        <w:rPr>
          <w:rStyle w:val="FootnoteReference"/>
        </w:rPr>
        <w:footnoteRef/>
      </w:r>
      <w:r>
        <w:t xml:space="preserve"> Treasuries are debt securities issued by the U.S. Department of the Treasury in exchange for loans made by investors to the U.S. government. They help fund federal operations and are backed by the full faith and credit of the US. Government, which makes them generally regarded as some of safest investments globally. E.g., </w:t>
      </w:r>
      <w:r w:rsidRPr="000C3F9F">
        <w:t xml:space="preserve">Compare </w:t>
      </w:r>
      <w:hyperlink r:id="rId1" w:history="1">
        <w:r w:rsidRPr="000C3F9F">
          <w:rPr>
            <w:rStyle w:val="Hyperlink"/>
          </w:rPr>
          <w:t>https://www.federalreserve.gov/releases/cp/</w:t>
        </w:r>
      </w:hyperlink>
      <w:r w:rsidRPr="000C3F9F">
        <w:t xml:space="preserve">; </w:t>
      </w:r>
      <w:hyperlink r:id="rId2" w:history="1">
        <w:r w:rsidRPr="000C3F9F">
          <w:rPr>
            <w:rStyle w:val="Hyperlink"/>
          </w:rPr>
          <w:t>CD, Bond &amp; Interest Rates | Edward Jones Page</w:t>
        </w:r>
      </w:hyperlink>
      <w:r>
        <w:t>.</w:t>
      </w:r>
    </w:p>
  </w:footnote>
  <w:footnote w:id="11">
    <w:p w14:paraId="1B3C47B7" w14:textId="5AADEBE3" w:rsidR="00CB0756" w:rsidRPr="00E47AA6" w:rsidRDefault="00CB0756" w:rsidP="00EE7907">
      <w:pPr>
        <w:pStyle w:val="FootnoteText"/>
        <w:spacing w:after="0"/>
      </w:pPr>
      <w:r>
        <w:rPr>
          <w:rStyle w:val="FootnoteReference"/>
        </w:rPr>
        <w:footnoteRef/>
      </w:r>
      <w:r>
        <w:t xml:space="preserve"> </w:t>
      </w:r>
      <w:r w:rsidRPr="00E47AA6">
        <w:rPr>
          <w:i/>
          <w:iCs/>
        </w:rPr>
        <w:t>See</w:t>
      </w:r>
      <w:r>
        <w:t xml:space="preserve"> D.94-06-033, Ordering Paragraph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B823E" w14:textId="07EAF5F9" w:rsidR="0077131C" w:rsidRDefault="0077131C" w:rsidP="0077131C">
    <w:pPr>
      <w:pStyle w:val="Header"/>
      <w:ind w:firstLine="0"/>
      <w:rPr>
        <w:b/>
        <w:bCs/>
      </w:rPr>
    </w:pPr>
    <w:r w:rsidRPr="0077131C">
      <w:t>I.90-11-033</w:t>
    </w:r>
    <w:r>
      <w:t>  </w:t>
    </w:r>
    <w:r w:rsidRPr="0077131C">
      <w:t>ALJ/PM6/abb</w:t>
    </w:r>
    <w:r>
      <w:tab/>
    </w:r>
    <w:r>
      <w:tab/>
    </w:r>
    <w:r w:rsidRPr="0077131C">
      <w:rPr>
        <w:b/>
        <w:bCs/>
      </w:rPr>
      <w:t>PROPOSED DECISION (REV. 1)</w:t>
    </w:r>
  </w:p>
  <w:p w14:paraId="612F79EC" w14:textId="77777777" w:rsidR="0077131C" w:rsidRDefault="0077131C" w:rsidP="0077131C">
    <w:pPr>
      <w:pStyle w:val="Header"/>
      <w:ind w:firstLine="0"/>
      <w:rPr>
        <w:b/>
        <w:bCs/>
      </w:rPr>
    </w:pPr>
  </w:p>
  <w:p w14:paraId="4A9EB932" w14:textId="77777777" w:rsidR="0077131C" w:rsidRDefault="0077131C" w:rsidP="0077131C">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2" w15:restartNumberingAfterBreak="0">
    <w:nsid w:val="1CD67F4B"/>
    <w:multiLevelType w:val="hybridMultilevel"/>
    <w:tmpl w:val="C2A26642"/>
    <w:lvl w:ilvl="0" w:tplc="7A988B5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D70038F"/>
    <w:multiLevelType w:val="multilevel"/>
    <w:tmpl w:val="3C526EDE"/>
    <w:numStyleLink w:val="Headings"/>
  </w:abstractNum>
  <w:abstractNum w:abstractNumId="4" w15:restartNumberingAfterBreak="0">
    <w:nsid w:val="1E2242C9"/>
    <w:multiLevelType w:val="multilevel"/>
    <w:tmpl w:val="3C526EDE"/>
    <w:numStyleLink w:val="Headings"/>
  </w:abstractNum>
  <w:abstractNum w:abstractNumId="5" w15:restartNumberingAfterBreak="0">
    <w:nsid w:val="21FB58FE"/>
    <w:multiLevelType w:val="multilevel"/>
    <w:tmpl w:val="3C526EDE"/>
    <w:numStyleLink w:val="Headings"/>
  </w:abstractNum>
  <w:abstractNum w:abstractNumId="6" w15:restartNumberingAfterBreak="0">
    <w:nsid w:val="243663A0"/>
    <w:multiLevelType w:val="multilevel"/>
    <w:tmpl w:val="3C526EDE"/>
    <w:numStyleLink w:val="Headings"/>
  </w:abstractNum>
  <w:abstractNum w:abstractNumId="7" w15:restartNumberingAfterBreak="0">
    <w:nsid w:val="27A82354"/>
    <w:multiLevelType w:val="hybridMultilevel"/>
    <w:tmpl w:val="058AD5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7F06C50"/>
    <w:multiLevelType w:val="singleLevel"/>
    <w:tmpl w:val="1248D402"/>
    <w:lvl w:ilvl="0">
      <w:start w:val="1"/>
      <w:numFmt w:val="decimal"/>
      <w:lvlText w:val="%1."/>
      <w:lvlJc w:val="left"/>
      <w:pPr>
        <w:ind w:left="0" w:firstLine="540"/>
      </w:pPr>
      <w:rPr>
        <w:rFonts w:hint="default"/>
      </w:rPr>
    </w:lvl>
  </w:abstractNum>
  <w:abstractNum w:abstractNumId="9" w15:restartNumberingAfterBreak="0">
    <w:nsid w:val="2B8124D7"/>
    <w:multiLevelType w:val="multilevel"/>
    <w:tmpl w:val="3C526EDE"/>
    <w:numStyleLink w:val="Headings"/>
  </w:abstractNum>
  <w:abstractNum w:abstractNumId="10" w15:restartNumberingAfterBreak="0">
    <w:nsid w:val="32103B9B"/>
    <w:multiLevelType w:val="hybridMultilevel"/>
    <w:tmpl w:val="AB6C00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31F6D42"/>
    <w:multiLevelType w:val="multilevel"/>
    <w:tmpl w:val="3C526EDE"/>
    <w:styleLink w:val="Headings"/>
    <w:lvl w:ilvl="0">
      <w:start w:val="1"/>
      <w:numFmt w:val="decimal"/>
      <w:pStyle w:val="Heading1"/>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2" w15:restartNumberingAfterBreak="0">
    <w:nsid w:val="3AB7322E"/>
    <w:multiLevelType w:val="hybridMultilevel"/>
    <w:tmpl w:val="935E27F2"/>
    <w:lvl w:ilvl="0" w:tplc="0409000F">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13" w15:restartNumberingAfterBreak="0">
    <w:nsid w:val="487339AD"/>
    <w:multiLevelType w:val="hybridMultilevel"/>
    <w:tmpl w:val="AA9257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9D042D7"/>
    <w:multiLevelType w:val="multilevel"/>
    <w:tmpl w:val="18F4A5AC"/>
    <w:numStyleLink w:val="FoFCoLOP"/>
  </w:abstractNum>
  <w:abstractNum w:abstractNumId="15" w15:restartNumberingAfterBreak="0">
    <w:nsid w:val="5A9E2171"/>
    <w:multiLevelType w:val="multilevel"/>
    <w:tmpl w:val="3C526EDE"/>
    <w:numStyleLink w:val="Headings"/>
  </w:abstractNum>
  <w:abstractNum w:abstractNumId="16" w15:restartNumberingAfterBreak="0">
    <w:nsid w:val="5E3A3221"/>
    <w:multiLevelType w:val="singleLevel"/>
    <w:tmpl w:val="1248D402"/>
    <w:lvl w:ilvl="0">
      <w:start w:val="1"/>
      <w:numFmt w:val="decimal"/>
      <w:lvlText w:val="%1."/>
      <w:lvlJc w:val="left"/>
      <w:pPr>
        <w:ind w:left="0" w:firstLine="540"/>
      </w:pPr>
      <w:rPr>
        <w:rFonts w:hint="default"/>
      </w:rPr>
    </w:lvl>
  </w:abstractNum>
  <w:abstractNum w:abstractNumId="17" w15:restartNumberingAfterBreak="0">
    <w:nsid w:val="5F226B15"/>
    <w:multiLevelType w:val="singleLevel"/>
    <w:tmpl w:val="1248D402"/>
    <w:lvl w:ilvl="0">
      <w:start w:val="1"/>
      <w:numFmt w:val="decimal"/>
      <w:lvlText w:val="%1."/>
      <w:lvlJc w:val="left"/>
      <w:pPr>
        <w:ind w:left="0" w:firstLine="540"/>
      </w:pPr>
      <w:rPr>
        <w:rFonts w:hint="default"/>
      </w:rPr>
    </w:lvl>
  </w:abstractNum>
  <w:abstractNum w:abstractNumId="18" w15:restartNumberingAfterBreak="0">
    <w:nsid w:val="61A25780"/>
    <w:multiLevelType w:val="multilevel"/>
    <w:tmpl w:val="3C526EDE"/>
    <w:numStyleLink w:val="Headings"/>
  </w:abstractNum>
  <w:abstractNum w:abstractNumId="19"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0B1155B"/>
    <w:multiLevelType w:val="singleLevel"/>
    <w:tmpl w:val="1248D402"/>
    <w:lvl w:ilvl="0">
      <w:start w:val="1"/>
      <w:numFmt w:val="decimal"/>
      <w:pStyle w:val="CoL"/>
      <w:lvlText w:val="%1."/>
      <w:lvlJc w:val="left"/>
      <w:pPr>
        <w:ind w:left="0" w:firstLine="540"/>
      </w:pPr>
      <w:rPr>
        <w:rFonts w:hint="default"/>
      </w:rPr>
    </w:lvl>
  </w:abstractNum>
  <w:abstractNum w:abstractNumId="21" w15:restartNumberingAfterBreak="0">
    <w:nsid w:val="789A0AFE"/>
    <w:multiLevelType w:val="multilevel"/>
    <w:tmpl w:val="18F4A5AC"/>
    <w:numStyleLink w:val="FoFCoLOP"/>
  </w:abstractNum>
  <w:abstractNum w:abstractNumId="22" w15:restartNumberingAfterBreak="0">
    <w:nsid w:val="7A9B65BD"/>
    <w:multiLevelType w:val="singleLevel"/>
    <w:tmpl w:val="1248D402"/>
    <w:lvl w:ilvl="0">
      <w:start w:val="1"/>
      <w:numFmt w:val="decimal"/>
      <w:lvlText w:val="%1."/>
      <w:lvlJc w:val="left"/>
      <w:pPr>
        <w:ind w:left="0" w:firstLine="540"/>
      </w:pPr>
      <w:rPr>
        <w:rFonts w:hint="default"/>
      </w:rPr>
    </w:lvl>
  </w:abstractNum>
  <w:num w:numId="1" w16cid:durableId="1354526949">
    <w:abstractNumId w:val="15"/>
  </w:num>
  <w:num w:numId="2" w16cid:durableId="140774137">
    <w:abstractNumId w:val="1"/>
  </w:num>
  <w:num w:numId="3" w16cid:durableId="1898543446">
    <w:abstractNumId w:val="14"/>
  </w:num>
  <w:num w:numId="4" w16cid:durableId="701521005">
    <w:abstractNumId w:val="20"/>
  </w:num>
  <w:num w:numId="5" w16cid:durableId="2017029027">
    <w:abstractNumId w:val="21"/>
  </w:num>
  <w:num w:numId="6" w16cid:durableId="973756952">
    <w:abstractNumId w:val="11"/>
  </w:num>
  <w:num w:numId="7" w16cid:durableId="827667741">
    <w:abstractNumId w:val="4"/>
  </w:num>
  <w:num w:numId="8" w16cid:durableId="1760327020">
    <w:abstractNumId w:val="19"/>
  </w:num>
  <w:num w:numId="9" w16cid:durableId="816924040">
    <w:abstractNumId w:val="0"/>
  </w:num>
  <w:num w:numId="10" w16cid:durableId="1817916489">
    <w:abstractNumId w:val="3"/>
  </w:num>
  <w:num w:numId="11" w16cid:durableId="291985460">
    <w:abstractNumId w:val="5"/>
  </w:num>
  <w:num w:numId="12" w16cid:durableId="467941983">
    <w:abstractNumId w:val="2"/>
  </w:num>
  <w:num w:numId="13" w16cid:durableId="712996464">
    <w:abstractNumId w:val="6"/>
  </w:num>
  <w:num w:numId="14" w16cid:durableId="1303778653">
    <w:abstractNumId w:val="9"/>
  </w:num>
  <w:num w:numId="15" w16cid:durableId="1714382259">
    <w:abstractNumId w:val="18"/>
  </w:num>
  <w:num w:numId="16" w16cid:durableId="5481076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4637577">
    <w:abstractNumId w:val="18"/>
  </w:num>
  <w:num w:numId="18" w16cid:durableId="839195857">
    <w:abstractNumId w:val="12"/>
  </w:num>
  <w:num w:numId="19" w16cid:durableId="1232426217">
    <w:abstractNumId w:val="7"/>
  </w:num>
  <w:num w:numId="20" w16cid:durableId="1587378055">
    <w:abstractNumId w:val="13"/>
  </w:num>
  <w:num w:numId="21" w16cid:durableId="443116862">
    <w:abstractNumId w:val="10"/>
  </w:num>
  <w:num w:numId="22" w16cid:durableId="1303343094">
    <w:abstractNumId w:val="17"/>
  </w:num>
  <w:num w:numId="23" w16cid:durableId="2116320443">
    <w:abstractNumId w:val="21"/>
  </w:num>
  <w:num w:numId="24" w16cid:durableId="742332025">
    <w:abstractNumId w:val="21"/>
  </w:num>
  <w:num w:numId="25" w16cid:durableId="838543543">
    <w:abstractNumId w:val="21"/>
  </w:num>
  <w:num w:numId="26" w16cid:durableId="388844842">
    <w:abstractNumId w:val="21"/>
  </w:num>
  <w:num w:numId="27" w16cid:durableId="1681928072">
    <w:abstractNumId w:val="21"/>
  </w:num>
  <w:num w:numId="28" w16cid:durableId="566720971">
    <w:abstractNumId w:val="21"/>
  </w:num>
  <w:num w:numId="29" w16cid:durableId="389160147">
    <w:abstractNumId w:val="21"/>
  </w:num>
  <w:num w:numId="30" w16cid:durableId="1064068545">
    <w:abstractNumId w:val="22"/>
  </w:num>
  <w:num w:numId="31" w16cid:durableId="1847355778">
    <w:abstractNumId w:val="21"/>
  </w:num>
  <w:num w:numId="32" w16cid:durableId="280382901">
    <w:abstractNumId w:val="21"/>
  </w:num>
  <w:num w:numId="33" w16cid:durableId="2062942906">
    <w:abstractNumId w:val="21"/>
  </w:num>
  <w:num w:numId="34" w16cid:durableId="1628773552">
    <w:abstractNumId w:val="21"/>
  </w:num>
  <w:num w:numId="35" w16cid:durableId="1591422776">
    <w:abstractNumId w:val="21"/>
  </w:num>
  <w:num w:numId="36" w16cid:durableId="1807503329">
    <w:abstractNumId w:val="16"/>
  </w:num>
  <w:num w:numId="37" w16cid:durableId="345985782">
    <w:abstractNumId w:val="21"/>
  </w:num>
  <w:num w:numId="38" w16cid:durableId="261499100">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revisionView w:formatting="0"/>
  <w:doNotTrackFormatting/>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885"/>
    <w:rsid w:val="00000F6A"/>
    <w:rsid w:val="000208C7"/>
    <w:rsid w:val="0002161B"/>
    <w:rsid w:val="0007115A"/>
    <w:rsid w:val="000973C8"/>
    <w:rsid w:val="000A2AA9"/>
    <w:rsid w:val="000A56F2"/>
    <w:rsid w:val="000A6E05"/>
    <w:rsid w:val="000B12FA"/>
    <w:rsid w:val="000C08BF"/>
    <w:rsid w:val="000C3B9A"/>
    <w:rsid w:val="000D25A8"/>
    <w:rsid w:val="000E270A"/>
    <w:rsid w:val="000E29DD"/>
    <w:rsid w:val="000E40FF"/>
    <w:rsid w:val="000E4C53"/>
    <w:rsid w:val="000F48C6"/>
    <w:rsid w:val="00121089"/>
    <w:rsid w:val="00142C80"/>
    <w:rsid w:val="00184A8F"/>
    <w:rsid w:val="001A4ECA"/>
    <w:rsid w:val="001C363F"/>
    <w:rsid w:val="001E2A62"/>
    <w:rsid w:val="001F2819"/>
    <w:rsid w:val="002043EC"/>
    <w:rsid w:val="00213F24"/>
    <w:rsid w:val="00243DC0"/>
    <w:rsid w:val="00247477"/>
    <w:rsid w:val="00270440"/>
    <w:rsid w:val="00283737"/>
    <w:rsid w:val="00284D8D"/>
    <w:rsid w:val="00287BC5"/>
    <w:rsid w:val="002916D4"/>
    <w:rsid w:val="00293DEE"/>
    <w:rsid w:val="002A0B5D"/>
    <w:rsid w:val="002C1110"/>
    <w:rsid w:val="002C7FE9"/>
    <w:rsid w:val="002D0DC5"/>
    <w:rsid w:val="002D398D"/>
    <w:rsid w:val="002D4EFD"/>
    <w:rsid w:val="002D52D8"/>
    <w:rsid w:val="00315A97"/>
    <w:rsid w:val="00316071"/>
    <w:rsid w:val="00343E5C"/>
    <w:rsid w:val="00344FB8"/>
    <w:rsid w:val="0036017B"/>
    <w:rsid w:val="00362755"/>
    <w:rsid w:val="00373B93"/>
    <w:rsid w:val="00380CD1"/>
    <w:rsid w:val="003A02CA"/>
    <w:rsid w:val="003A38F0"/>
    <w:rsid w:val="003B78FA"/>
    <w:rsid w:val="003F02AF"/>
    <w:rsid w:val="003F069A"/>
    <w:rsid w:val="003F2D31"/>
    <w:rsid w:val="003F4329"/>
    <w:rsid w:val="00412534"/>
    <w:rsid w:val="00412C83"/>
    <w:rsid w:val="00426014"/>
    <w:rsid w:val="0043128C"/>
    <w:rsid w:val="0044617E"/>
    <w:rsid w:val="0046078B"/>
    <w:rsid w:val="00460B7D"/>
    <w:rsid w:val="00470344"/>
    <w:rsid w:val="00480CB0"/>
    <w:rsid w:val="00483603"/>
    <w:rsid w:val="004852AD"/>
    <w:rsid w:val="004A1EAD"/>
    <w:rsid w:val="004A47BE"/>
    <w:rsid w:val="004B34EA"/>
    <w:rsid w:val="004B5494"/>
    <w:rsid w:val="004C7A2B"/>
    <w:rsid w:val="004C7D3A"/>
    <w:rsid w:val="004E0BF2"/>
    <w:rsid w:val="004F3EDD"/>
    <w:rsid w:val="005018A8"/>
    <w:rsid w:val="00505A39"/>
    <w:rsid w:val="005240BF"/>
    <w:rsid w:val="0054613F"/>
    <w:rsid w:val="00557A84"/>
    <w:rsid w:val="00585390"/>
    <w:rsid w:val="005939A5"/>
    <w:rsid w:val="005A148C"/>
    <w:rsid w:val="005C58FA"/>
    <w:rsid w:val="005E4BE5"/>
    <w:rsid w:val="00603238"/>
    <w:rsid w:val="00632207"/>
    <w:rsid w:val="0063491C"/>
    <w:rsid w:val="00641A5C"/>
    <w:rsid w:val="0064612D"/>
    <w:rsid w:val="00653FDB"/>
    <w:rsid w:val="00661AFE"/>
    <w:rsid w:val="0066321E"/>
    <w:rsid w:val="006658C8"/>
    <w:rsid w:val="00680F19"/>
    <w:rsid w:val="00683B2C"/>
    <w:rsid w:val="00695E3E"/>
    <w:rsid w:val="006A5094"/>
    <w:rsid w:val="006B1FEE"/>
    <w:rsid w:val="006C1F10"/>
    <w:rsid w:val="006E5E28"/>
    <w:rsid w:val="006E6574"/>
    <w:rsid w:val="006F3292"/>
    <w:rsid w:val="00714CF2"/>
    <w:rsid w:val="007156B9"/>
    <w:rsid w:val="00720817"/>
    <w:rsid w:val="00722850"/>
    <w:rsid w:val="0073353F"/>
    <w:rsid w:val="00735A91"/>
    <w:rsid w:val="00742E45"/>
    <w:rsid w:val="007447AF"/>
    <w:rsid w:val="00750816"/>
    <w:rsid w:val="00751D88"/>
    <w:rsid w:val="007657C1"/>
    <w:rsid w:val="0077131C"/>
    <w:rsid w:val="0077755F"/>
    <w:rsid w:val="007A406D"/>
    <w:rsid w:val="007A62B0"/>
    <w:rsid w:val="007C5A0C"/>
    <w:rsid w:val="007C5F98"/>
    <w:rsid w:val="007D360A"/>
    <w:rsid w:val="007D4443"/>
    <w:rsid w:val="007E0FEE"/>
    <w:rsid w:val="007E1E56"/>
    <w:rsid w:val="007F2017"/>
    <w:rsid w:val="0080390E"/>
    <w:rsid w:val="008159CF"/>
    <w:rsid w:val="00816E05"/>
    <w:rsid w:val="008331FC"/>
    <w:rsid w:val="008339BB"/>
    <w:rsid w:val="00840DD1"/>
    <w:rsid w:val="00843663"/>
    <w:rsid w:val="00844FD6"/>
    <w:rsid w:val="008619AF"/>
    <w:rsid w:val="0086419A"/>
    <w:rsid w:val="008666D3"/>
    <w:rsid w:val="0087023B"/>
    <w:rsid w:val="00893802"/>
    <w:rsid w:val="008A08BF"/>
    <w:rsid w:val="008A179F"/>
    <w:rsid w:val="008B0864"/>
    <w:rsid w:val="008B175A"/>
    <w:rsid w:val="008C3CB7"/>
    <w:rsid w:val="008C7413"/>
    <w:rsid w:val="008D16B7"/>
    <w:rsid w:val="008E6AE6"/>
    <w:rsid w:val="008F0116"/>
    <w:rsid w:val="008F143D"/>
    <w:rsid w:val="00917658"/>
    <w:rsid w:val="00932865"/>
    <w:rsid w:val="009367F2"/>
    <w:rsid w:val="0098138E"/>
    <w:rsid w:val="0098655A"/>
    <w:rsid w:val="009A6E36"/>
    <w:rsid w:val="009B6636"/>
    <w:rsid w:val="009C064B"/>
    <w:rsid w:val="009E6052"/>
    <w:rsid w:val="009E6DC7"/>
    <w:rsid w:val="009E7C7F"/>
    <w:rsid w:val="00A17CE0"/>
    <w:rsid w:val="00A23D48"/>
    <w:rsid w:val="00A42306"/>
    <w:rsid w:val="00A44E8D"/>
    <w:rsid w:val="00A46EA8"/>
    <w:rsid w:val="00A5231C"/>
    <w:rsid w:val="00A55ACD"/>
    <w:rsid w:val="00A85D27"/>
    <w:rsid w:val="00AA67D1"/>
    <w:rsid w:val="00AB7875"/>
    <w:rsid w:val="00AB7BD6"/>
    <w:rsid w:val="00AC3F77"/>
    <w:rsid w:val="00AC68EE"/>
    <w:rsid w:val="00AF7D67"/>
    <w:rsid w:val="00B01F7E"/>
    <w:rsid w:val="00B16C2A"/>
    <w:rsid w:val="00B3087D"/>
    <w:rsid w:val="00B32885"/>
    <w:rsid w:val="00B33442"/>
    <w:rsid w:val="00B34794"/>
    <w:rsid w:val="00B509AC"/>
    <w:rsid w:val="00B60421"/>
    <w:rsid w:val="00B66634"/>
    <w:rsid w:val="00B81EB6"/>
    <w:rsid w:val="00B9719B"/>
    <w:rsid w:val="00BB0243"/>
    <w:rsid w:val="00BB27B6"/>
    <w:rsid w:val="00BF42B1"/>
    <w:rsid w:val="00C10B5F"/>
    <w:rsid w:val="00C15C2A"/>
    <w:rsid w:val="00C16334"/>
    <w:rsid w:val="00C25A53"/>
    <w:rsid w:val="00C437F2"/>
    <w:rsid w:val="00C659E0"/>
    <w:rsid w:val="00C878D5"/>
    <w:rsid w:val="00C9033B"/>
    <w:rsid w:val="00C913A1"/>
    <w:rsid w:val="00CB0756"/>
    <w:rsid w:val="00CC6A66"/>
    <w:rsid w:val="00CC6A99"/>
    <w:rsid w:val="00CC70C6"/>
    <w:rsid w:val="00CD3FA7"/>
    <w:rsid w:val="00D00AA3"/>
    <w:rsid w:val="00D0504E"/>
    <w:rsid w:val="00D07F73"/>
    <w:rsid w:val="00D14844"/>
    <w:rsid w:val="00D2041C"/>
    <w:rsid w:val="00D25ADE"/>
    <w:rsid w:val="00D43297"/>
    <w:rsid w:val="00D44DB6"/>
    <w:rsid w:val="00D50119"/>
    <w:rsid w:val="00D61978"/>
    <w:rsid w:val="00D77F88"/>
    <w:rsid w:val="00D82A43"/>
    <w:rsid w:val="00DA09D5"/>
    <w:rsid w:val="00DA1C7F"/>
    <w:rsid w:val="00DA7B5D"/>
    <w:rsid w:val="00DA7F1E"/>
    <w:rsid w:val="00DF58E7"/>
    <w:rsid w:val="00E01D06"/>
    <w:rsid w:val="00E11876"/>
    <w:rsid w:val="00E170D9"/>
    <w:rsid w:val="00E23CBB"/>
    <w:rsid w:val="00E37B59"/>
    <w:rsid w:val="00E40D8E"/>
    <w:rsid w:val="00E4542D"/>
    <w:rsid w:val="00E47FF5"/>
    <w:rsid w:val="00E53438"/>
    <w:rsid w:val="00E725FC"/>
    <w:rsid w:val="00E91AD4"/>
    <w:rsid w:val="00E966CE"/>
    <w:rsid w:val="00EA36C6"/>
    <w:rsid w:val="00EB0082"/>
    <w:rsid w:val="00EB37AB"/>
    <w:rsid w:val="00EC30F9"/>
    <w:rsid w:val="00ED5725"/>
    <w:rsid w:val="00ED69BF"/>
    <w:rsid w:val="00ED7031"/>
    <w:rsid w:val="00EE3060"/>
    <w:rsid w:val="00EE4315"/>
    <w:rsid w:val="00EE7907"/>
    <w:rsid w:val="00EF6925"/>
    <w:rsid w:val="00F12118"/>
    <w:rsid w:val="00F26ED3"/>
    <w:rsid w:val="00F47358"/>
    <w:rsid w:val="00F62B7A"/>
    <w:rsid w:val="00F6397D"/>
    <w:rsid w:val="00F7293E"/>
    <w:rsid w:val="00F76650"/>
    <w:rsid w:val="00F9187B"/>
    <w:rsid w:val="00F92385"/>
    <w:rsid w:val="00F9566A"/>
    <w:rsid w:val="00FA1B4F"/>
    <w:rsid w:val="00FC47F9"/>
    <w:rsid w:val="00FE2351"/>
    <w:rsid w:val="00FE337D"/>
    <w:rsid w:val="00FE5580"/>
    <w:rsid w:val="00FF11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DD800"/>
  <w15:chartTrackingRefBased/>
  <w15:docId w15:val="{8787DA75-08BA-4AB1-9389-4505A2D7D2AB}"/>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0E270A"/>
    <w:pPr>
      <w:numPr>
        <w:numId w:val="15"/>
      </w:numPr>
      <w:ind w:right="2160"/>
    </w:pPr>
    <w:rPr>
      <w:rFonts w:eastAsiaTheme="majorEastAsia" w:cstheme="majorBidi"/>
      <w:szCs w:val="32"/>
    </w:rPr>
  </w:style>
  <w:style w:type="paragraph" w:styleId="Heading2">
    <w:name w:val="heading 2"/>
    <w:basedOn w:val="Dummy"/>
    <w:next w:val="Standard"/>
    <w:link w:val="Heading2Char"/>
    <w:uiPriority w:val="4"/>
    <w:qFormat/>
    <w:rsid w:val="000E270A"/>
    <w:pPr>
      <w:numPr>
        <w:ilvl w:val="1"/>
        <w:numId w:val="15"/>
      </w:numPr>
      <w:ind w:right="2160"/>
      <w:outlineLvl w:val="1"/>
    </w:pPr>
  </w:style>
  <w:style w:type="paragraph" w:styleId="Heading3">
    <w:name w:val="heading 3"/>
    <w:basedOn w:val="Dummy"/>
    <w:next w:val="Standard"/>
    <w:link w:val="Heading3Char"/>
    <w:uiPriority w:val="4"/>
    <w:qFormat/>
    <w:rsid w:val="000E270A"/>
    <w:pPr>
      <w:numPr>
        <w:ilvl w:val="2"/>
        <w:numId w:val="15"/>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5"/>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5"/>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5"/>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287BC5"/>
    <w:rPr>
      <w:rFonts w:ascii="Arial" w:eastAsiaTheme="majorEastAsia" w:hAnsi="Arial" w:cstheme="majorBidi"/>
      <w:b/>
      <w:sz w:val="26"/>
      <w:szCs w:val="32"/>
    </w:rPr>
  </w:style>
  <w:style w:type="paragraph" w:styleId="TOCHeading">
    <w:name w:val="TOC Heading"/>
    <w:next w:val="Normal"/>
    <w:uiPriority w:val="39"/>
    <w:unhideWhenUsed/>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287BC5"/>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basedOn w:val="Normal"/>
    <w:link w:val="FootnoteTextChar"/>
    <w:uiPriority w:val="99"/>
    <w:rsid w:val="00B01F7E"/>
    <w:pPr>
      <w:spacing w:after="120" w:line="240" w:lineRule="auto"/>
      <w:ind w:firstLine="0"/>
    </w:pPr>
    <w:rPr>
      <w:sz w:val="22"/>
      <w:szCs w:val="20"/>
    </w:rPr>
  </w:style>
  <w:style w:type="character" w:customStyle="1" w:styleId="FootnoteTextChar">
    <w:name w:val="Footnote Text Char"/>
    <w:basedOn w:val="DefaultParagraphFont"/>
    <w:link w:val="FootnoteText"/>
    <w:uiPriority w:val="99"/>
    <w:rsid w:val="007657C1"/>
    <w:rPr>
      <w:rFonts w:ascii="Book Antiqua" w:hAnsi="Book Antiqua"/>
      <w:szCs w:val="20"/>
    </w:rPr>
  </w:style>
  <w:style w:type="character" w:styleId="FootnoteReference">
    <w:name w:val="footnote reference"/>
    <w:basedOn w:val="DefaultParagraphFont"/>
    <w:uiPriority w:val="99"/>
    <w:semiHidden/>
    <w:unhideWhenUsed/>
    <w:rsid w:val="00DF58E7"/>
    <w:rPr>
      <w:vertAlign w:val="superscript"/>
    </w:rPr>
  </w:style>
  <w:style w:type="paragraph" w:customStyle="1" w:styleId="FoF">
    <w:name w:val="FoF"/>
    <w:basedOn w:val="Standard"/>
    <w:uiPriority w:val="6"/>
    <w:qFormat/>
    <w:rsid w:val="001E2A62"/>
    <w:pPr>
      <w:numPr>
        <w:numId w:val="3"/>
      </w:numPr>
      <w:ind w:firstLine="547"/>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5"/>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5"/>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5"/>
      </w:numPr>
      <w:spacing w:after="120" w:line="240" w:lineRule="auto"/>
    </w:pPr>
  </w:style>
  <w:style w:type="character" w:styleId="CommentReference">
    <w:name w:val="annotation reference"/>
    <w:basedOn w:val="DefaultParagraphFont"/>
    <w:uiPriority w:val="99"/>
    <w:semiHidden/>
    <w:unhideWhenUsed/>
    <w:rsid w:val="00B32885"/>
    <w:rPr>
      <w:sz w:val="16"/>
      <w:szCs w:val="16"/>
    </w:rPr>
  </w:style>
  <w:style w:type="paragraph" w:styleId="CommentText">
    <w:name w:val="annotation text"/>
    <w:basedOn w:val="Normal"/>
    <w:link w:val="CommentTextChar"/>
    <w:uiPriority w:val="99"/>
    <w:unhideWhenUsed/>
    <w:rsid w:val="00B32885"/>
    <w:pPr>
      <w:spacing w:line="240" w:lineRule="auto"/>
    </w:pPr>
    <w:rPr>
      <w:sz w:val="20"/>
      <w:szCs w:val="20"/>
    </w:rPr>
  </w:style>
  <w:style w:type="character" w:customStyle="1" w:styleId="CommentTextChar">
    <w:name w:val="Comment Text Char"/>
    <w:basedOn w:val="DefaultParagraphFont"/>
    <w:link w:val="CommentText"/>
    <w:uiPriority w:val="99"/>
    <w:rsid w:val="00B32885"/>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B32885"/>
    <w:rPr>
      <w:b/>
      <w:bCs/>
    </w:rPr>
  </w:style>
  <w:style w:type="character" w:customStyle="1" w:styleId="CommentSubjectChar">
    <w:name w:val="Comment Subject Char"/>
    <w:basedOn w:val="CommentTextChar"/>
    <w:link w:val="CommentSubject"/>
    <w:uiPriority w:val="99"/>
    <w:semiHidden/>
    <w:rsid w:val="00B32885"/>
    <w:rPr>
      <w:rFonts w:ascii="Book Antiqua" w:hAnsi="Book Antiqua"/>
      <w:b/>
      <w:bCs/>
      <w:sz w:val="20"/>
      <w:szCs w:val="20"/>
    </w:rPr>
  </w:style>
  <w:style w:type="paragraph" w:customStyle="1" w:styleId="footnotedescription">
    <w:name w:val="footnote description"/>
    <w:next w:val="Normal"/>
    <w:link w:val="footnotedescriptionChar"/>
    <w:hidden/>
    <w:rsid w:val="00B32885"/>
    <w:pPr>
      <w:spacing w:after="0" w:line="250" w:lineRule="auto"/>
      <w:ind w:left="1"/>
    </w:pPr>
    <w:rPr>
      <w:rFonts w:ascii="Book Antiqua" w:eastAsia="Book Antiqua" w:hAnsi="Book Antiqua" w:cs="Book Antiqua"/>
      <w:color w:val="000000"/>
      <w:kern w:val="2"/>
      <w:szCs w:val="24"/>
      <w14:ligatures w14:val="standardContextual"/>
    </w:rPr>
  </w:style>
  <w:style w:type="character" w:customStyle="1" w:styleId="footnotedescriptionChar">
    <w:name w:val="footnote description Char"/>
    <w:link w:val="footnotedescription"/>
    <w:rsid w:val="00B32885"/>
    <w:rPr>
      <w:rFonts w:ascii="Book Antiqua" w:eastAsia="Book Antiqua" w:hAnsi="Book Antiqua" w:cs="Book Antiqua"/>
      <w:color w:val="000000"/>
      <w:kern w:val="2"/>
      <w:szCs w:val="24"/>
      <w14:ligatures w14:val="standardContextual"/>
    </w:rPr>
  </w:style>
  <w:style w:type="character" w:customStyle="1" w:styleId="footnotemark">
    <w:name w:val="footnote mark"/>
    <w:hidden/>
    <w:rsid w:val="00B32885"/>
    <w:rPr>
      <w:rFonts w:ascii="Book Antiqua" w:eastAsia="Book Antiqua" w:hAnsi="Book Antiqua" w:cs="Book Antiqua"/>
      <w:color w:val="000000"/>
      <w:sz w:val="22"/>
      <w:vertAlign w:val="superscript"/>
    </w:rPr>
  </w:style>
  <w:style w:type="paragraph" w:styleId="Revision">
    <w:name w:val="Revision"/>
    <w:hidden/>
    <w:uiPriority w:val="99"/>
    <w:semiHidden/>
    <w:rsid w:val="001A4ECA"/>
    <w:pPr>
      <w:spacing w:after="0" w:line="240" w:lineRule="auto"/>
    </w:pPr>
    <w:rPr>
      <w:rFonts w:ascii="Book Antiqua" w:hAnsi="Book Antiqua"/>
      <w:sz w:val="26"/>
    </w:rPr>
  </w:style>
  <w:style w:type="paragraph" w:styleId="ListParagraph">
    <w:name w:val="List Paragraph"/>
    <w:basedOn w:val="Normal"/>
    <w:uiPriority w:val="34"/>
    <w:rsid w:val="00B971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54110">
      <w:bodyDiv w:val="1"/>
      <w:marLeft w:val="0"/>
      <w:marRight w:val="0"/>
      <w:marTop w:val="0"/>
      <w:marBottom w:val="0"/>
      <w:divBdr>
        <w:top w:val="none" w:sz="0" w:space="0" w:color="auto"/>
        <w:left w:val="none" w:sz="0" w:space="0" w:color="auto"/>
        <w:bottom w:val="none" w:sz="0" w:space="0" w:color="auto"/>
        <w:right w:val="none" w:sz="0" w:space="0" w:color="auto"/>
      </w:divBdr>
    </w:div>
    <w:div w:id="234050233">
      <w:bodyDiv w:val="1"/>
      <w:marLeft w:val="0"/>
      <w:marRight w:val="0"/>
      <w:marTop w:val="0"/>
      <w:marBottom w:val="0"/>
      <w:divBdr>
        <w:top w:val="none" w:sz="0" w:space="0" w:color="auto"/>
        <w:left w:val="none" w:sz="0" w:space="0" w:color="auto"/>
        <w:bottom w:val="none" w:sz="0" w:space="0" w:color="auto"/>
        <w:right w:val="none" w:sz="0" w:space="0" w:color="auto"/>
      </w:divBdr>
    </w:div>
    <w:div w:id="840004558">
      <w:bodyDiv w:val="1"/>
      <w:marLeft w:val="0"/>
      <w:marRight w:val="0"/>
      <w:marTop w:val="0"/>
      <w:marBottom w:val="0"/>
      <w:divBdr>
        <w:top w:val="none" w:sz="0" w:space="0" w:color="auto"/>
        <w:left w:val="none" w:sz="0" w:space="0" w:color="auto"/>
        <w:bottom w:val="none" w:sz="0" w:space="0" w:color="auto"/>
        <w:right w:val="none" w:sz="0" w:space="0" w:color="auto"/>
      </w:divBdr>
    </w:div>
    <w:div w:id="1112432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yperlink" Target="https://docs.cpuc.ca.gov/PublishedDocs/Published/G000/M614/K100/614100140.pdf" TargetMode="External" Id="Rfcf1438db15f439f" /></Relationships>
</file>

<file path=word/_rels/footnotes.xml.rels><?xml version="1.0" encoding="UTF-8" standalone="yes"?>
<Relationships xmlns="http://schemas.openxmlformats.org/package/2006/relationships"><Relationship Id="rId2" Type="http://schemas.openxmlformats.org/officeDocument/2006/relationships/hyperlink" Target="https://www.edwardjones.com/us-en/market-news-insights/stock-market-news/current-rates" TargetMode="External"/><Relationship Id="rId1" Type="http://schemas.openxmlformats.org/officeDocument/2006/relationships/hyperlink" Target="https://www.federalreserve.gov/releases/c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0c2bee6-72d2-4c4b-bbf2-19a975248824">
      <UserInfo>
        <DisplayName>Doherty, Patrick</DisplayName>
        <AccountId>53</AccountId>
        <AccountType/>
      </UserInfo>
      <UserInfo>
        <DisplayName>McKinney, Jeanne</DisplayName>
        <AccountId>29</AccountId>
        <AccountType/>
      </UserInfo>
      <UserInfo>
        <DisplayName>Kim, Kimberly</DisplayName>
        <AccountId>12</AccountId>
        <AccountType/>
      </UserInfo>
      <UserInfo>
        <DisplayName>MacDonald, Katherine</DisplayName>
        <AccountId>33</AccountId>
        <AccountType/>
      </UserInfo>
      <UserInfo>
        <DisplayName>Odell, Eileen</DisplayName>
        <AccountId>362</AccountId>
        <AccountType/>
      </UserInfo>
    </SharedWithUsers>
    <lcf76f155ced4ddcb4097134ff3c332f xmlns="ef7e321c-44a6-4cb5-81f0-0bfd95ece253">
      <Terms xmlns="http://schemas.microsoft.com/office/infopath/2007/PartnerControls"/>
    </lcf76f155ced4ddcb4097134ff3c332f>
    <TaxCatchAll xmlns="40c2bee6-72d2-4c4b-bbf2-19a975248824" xsi:nil="true"/>
    <ContentTagLIst xmlns="ef7e321c-44a6-4cb5-81f0-0bfd95ece2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B8BADF2214F6448E5045310EA9B796" ma:contentTypeVersion="16" ma:contentTypeDescription="Create a new document." ma:contentTypeScope="" ma:versionID="eea420ac1ba3dcd00acdf10f671c25ee">
  <xsd:schema xmlns:xsd="http://www.w3.org/2001/XMLSchema" xmlns:xs="http://www.w3.org/2001/XMLSchema" xmlns:p="http://schemas.microsoft.com/office/2006/metadata/properties" xmlns:ns2="40c2bee6-72d2-4c4b-bbf2-19a975248824" xmlns:ns3="ef7e321c-44a6-4cb5-81f0-0bfd95ece253" targetNamespace="http://schemas.microsoft.com/office/2006/metadata/properties" ma:root="true" ma:fieldsID="654a2f02f20c70d75825c1ed89053b75" ns2:_="" ns3:_="">
    <xsd:import namespace="40c2bee6-72d2-4c4b-bbf2-19a975248824"/>
    <xsd:import namespace="ef7e321c-44a6-4cb5-81f0-0bfd95ece2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Location" minOccurs="0"/>
                <xsd:element ref="ns3:ContentTag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c2bee6-72d2-4c4b-bbf2-19a97524882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cd35960-7829-44dd-b243-a39bb7be529f}" ma:internalName="TaxCatchAll" ma:showField="CatchAllData" ma:web="40c2bee6-72d2-4c4b-bbf2-19a97524882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7e321c-44a6-4cb5-81f0-0bfd95ece2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ContentTagLIst" ma:index="23" nillable="true" ma:displayName="Content Tag" ma:format="Dropdown" ma:internalName="ContentTagLIst">
      <xsd:complexType>
        <xsd:complexContent>
          <xsd:extension base="dms:MultiChoice">
            <xsd:sequence>
              <xsd:element name="Value" maxOccurs="unbounded" minOccurs="0" nillable="true">
                <xsd:simpleType>
                  <xsd:restriction base="dms:Choice">
                    <xsd:enumeration value="ALJ Material"/>
                    <xsd:enumeration value="Support Material"/>
                    <xsd:enumeration value="Miscellaneou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692CBF-97EE-47CC-813F-1B66EA5AD97B}">
  <ds:schemaRefs>
    <ds:schemaRef ds:uri="http://schemas.openxmlformats.org/officeDocument/2006/bibliography"/>
  </ds:schemaRefs>
</ds:datastoreItem>
</file>

<file path=customXml/itemProps2.xml><?xml version="1.0" encoding="utf-8"?>
<ds:datastoreItem xmlns:ds="http://schemas.openxmlformats.org/officeDocument/2006/customXml" ds:itemID="{D60E4752-B270-4867-90BA-5719077E84AA}">
  <ds:schemaRefs>
    <ds:schemaRef ds:uri="http://schemas.microsoft.com/office/2006/metadata/properties"/>
    <ds:schemaRef ds:uri="http://schemas.microsoft.com/office/infopath/2007/PartnerControls"/>
    <ds:schemaRef ds:uri="40c2bee6-72d2-4c4b-bbf2-19a975248824"/>
    <ds:schemaRef ds:uri="ef7e321c-44a6-4cb5-81f0-0bfd95ece253"/>
  </ds:schemaRefs>
</ds:datastoreItem>
</file>

<file path=customXml/itemProps3.xml><?xml version="1.0" encoding="utf-8"?>
<ds:datastoreItem xmlns:ds="http://schemas.openxmlformats.org/officeDocument/2006/customXml" ds:itemID="{62079FFE-0A8C-409C-9D2A-DF55C286F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c2bee6-72d2-4c4b-bbf2-19a975248824"/>
    <ds:schemaRef ds:uri="ef7e321c-44a6-4cb5-81f0-0bfd95ece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30DE7C-9577-4EA8-AC89-8E2B6CC952CB}">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10</ap:Pages>
  <ap:Words>2040</ap:Words>
  <ap:Characters>11633</ap:Characters>
  <ap:Application>Microsoft Office Word</ap:Application>
  <ap:DocSecurity>0</ap:DocSecurity>
  <ap:Lines>96</ap:Lines>
  <ap:Paragraphs>27</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13646</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2026-08-07T20:27:00Z</cp:lastPrinted>
  <dcterms:created xsi:type="dcterms:W3CDTF">2026-08-10T13:37:18Z</dcterms:created>
  <dcterms:modified xsi:type="dcterms:W3CDTF">2026-08-10T13:37:18Z</dcterms:modified>
</cp:coreProperties>
</file>