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361AB6" w:rsidRDefault="00A76F4A" w14:paraId="1038F1A9" w14:textId="77777777">
      <w:pPr>
        <w:spacing w:after="0" w:line="276" w:lineRule="auto"/>
        <w:jc w:val="center"/>
        <w:rPr>
          <w:rFonts w:ascii="Helvetica" w:hAnsi="Helvetica" w:eastAsia="Times New Roman" w:cs="Times New Roman"/>
          <w:b/>
          <w:bCs/>
          <w:spacing w:val="20"/>
          <w:kern w:val="0"/>
          <w:sz w:val="26"/>
          <w:szCs w:val="20"/>
          <w14:ligatures w14:val="none"/>
        </w:rPr>
      </w:pPr>
      <w:r w:rsidRPr="00802705">
        <w:rPr>
          <w:rFonts w:ascii="Helvetica" w:hAnsi="Helvetica" w:eastAsia="Times New Roman" w:cs="Times New Roman"/>
          <w:b/>
          <w:bCs/>
          <w:spacing w:val="20"/>
          <w:kern w:val="0"/>
          <w:sz w:val="26"/>
          <w:szCs w:val="20"/>
          <w14:ligatures w14:val="none"/>
        </w:rPr>
        <w:t>PUBLIC UTILITIES COMMISSION OF THE STATE OF CALIFORNIA</w:t>
      </w:r>
    </w:p>
    <w:p w:rsidRPr="001942D0" w:rsidR="00A76F4A" w:rsidP="00361AB6" w:rsidRDefault="00A76F4A" w14:paraId="3530C4E8" w14:textId="77777777">
      <w:pPr>
        <w:suppressAutoHyphens/>
        <w:spacing w:after="0" w:line="276" w:lineRule="auto"/>
        <w:rPr>
          <w:rFonts w:ascii="Palatino" w:hAnsi="Palatino" w:eastAsia="Times New Roman" w:cs="Times New Roman"/>
          <w:kern w:val="0"/>
          <w:sz w:val="26"/>
          <w:szCs w:val="20"/>
          <w14:ligatures w14:val="none"/>
        </w:rPr>
      </w:pPr>
    </w:p>
    <w:p w:rsidRPr="00547641" w:rsidR="00A76F4A" w:rsidP="003A49D2" w:rsidRDefault="00A76F4A" w14:paraId="2AFEBBF1" w14:textId="65F654FA">
      <w:pPr>
        <w:tabs>
          <w:tab w:val="left" w:pos="6315"/>
          <w:tab w:val="right" w:pos="8820"/>
        </w:tabs>
        <w:spacing w:after="0" w:line="276" w:lineRule="auto"/>
        <w:rPr>
          <w:rFonts w:ascii="Palatino Linotype" w:hAnsi="Palatino Linotype" w:eastAsia="Times New Roman" w:cs="Times New Roman"/>
          <w:b/>
          <w:color w:val="000000" w:themeColor="text1"/>
          <w:kern w:val="0"/>
          <w14:ligatures w14:val="none"/>
        </w:rPr>
      </w:pPr>
      <w:r w:rsidRPr="001942D0">
        <w:rPr>
          <w:rFonts w:ascii="Palatino Linotype" w:hAnsi="Palatino Linotype" w:eastAsia="Times New Roman" w:cs="Times New Roman"/>
          <w:b/>
          <w:kern w:val="0"/>
          <w14:ligatures w14:val="none"/>
        </w:rPr>
        <w:tab/>
      </w:r>
      <w:r w:rsidR="003A49D2">
        <w:rPr>
          <w:rFonts w:ascii="Palatino Linotype" w:hAnsi="Palatino Linotype" w:eastAsia="Times New Roman" w:cs="Times New Roman"/>
          <w:b/>
          <w:kern w:val="0"/>
          <w14:ligatures w14:val="none"/>
        </w:rPr>
        <w:t xml:space="preserve">         </w:t>
      </w:r>
      <w:r w:rsidRPr="00547641">
        <w:rPr>
          <w:rFonts w:ascii="Palatino Linotype" w:hAnsi="Palatino Linotype" w:eastAsia="Times New Roman" w:cs="Times New Roman"/>
          <w:b/>
          <w:color w:val="000000" w:themeColor="text1"/>
          <w:kern w:val="0"/>
          <w14:ligatures w14:val="none"/>
        </w:rPr>
        <w:t>Agenda ID</w:t>
      </w:r>
      <w:r w:rsidR="00444B1F">
        <w:rPr>
          <w:rFonts w:ascii="Palatino Linotype" w:hAnsi="Palatino Linotype" w:eastAsia="Times New Roman" w:cs="Times New Roman"/>
          <w:b/>
          <w:color w:val="000000" w:themeColor="text1"/>
          <w:kern w:val="0"/>
          <w14:ligatures w14:val="none"/>
        </w:rPr>
        <w:t>#</w:t>
      </w:r>
      <w:r w:rsidR="003A49D2">
        <w:rPr>
          <w:rFonts w:ascii="Palatino Linotype" w:hAnsi="Palatino Linotype" w:eastAsia="Times New Roman" w:cs="Times New Roman"/>
          <w:b/>
          <w:color w:val="000000" w:themeColor="text1"/>
          <w:kern w:val="0"/>
          <w14:ligatures w14:val="none"/>
        </w:rPr>
        <w:t xml:space="preserve"> </w:t>
      </w:r>
      <w:r w:rsidRPr="003A49D2" w:rsidR="003A49D2">
        <w:rPr>
          <w:rFonts w:ascii="Palatino Linotype" w:hAnsi="Palatino Linotype" w:eastAsia="Times New Roman" w:cs="Times New Roman"/>
          <w:b/>
          <w:bCs/>
          <w:color w:val="000000" w:themeColor="text1"/>
          <w:kern w:val="0"/>
          <w14:ligatures w14:val="none"/>
        </w:rPr>
        <w:t>24456</w:t>
      </w:r>
    </w:p>
    <w:p w:rsidRPr="00547641" w:rsidR="00A76F4A" w:rsidP="00361AB6" w:rsidRDefault="00204B1B" w14:paraId="097CE738" w14:textId="50D454D8">
      <w:pPr>
        <w:tabs>
          <w:tab w:val="right" w:pos="8820"/>
        </w:tabs>
        <w:spacing w:after="0" w:line="276" w:lineRule="auto"/>
        <w:rPr>
          <w:rFonts w:ascii="Palatino Linotype" w:hAnsi="Palatino Linotype" w:eastAsia="Palatino Linotype" w:cs="Times New Roman"/>
          <w:b/>
          <w:color w:val="000000" w:themeColor="text1"/>
          <w:kern w:val="0"/>
          <w14:ligatures w14:val="none"/>
        </w:rPr>
      </w:pPr>
      <w:r w:rsidRPr="00547641">
        <w:rPr>
          <w:rFonts w:ascii="Palatino Linotype" w:hAnsi="Palatino Linotype" w:eastAsia="Palatino Linotype" w:cs="Times New Roman"/>
          <w:b/>
          <w:color w:val="000000" w:themeColor="text1"/>
          <w:kern w:val="0"/>
          <w14:ligatures w14:val="none"/>
        </w:rPr>
        <w:t>ENERGY DIVISION</w:t>
      </w:r>
      <w:r w:rsidRPr="00547641" w:rsidR="00A76F4A">
        <w:rPr>
          <w:rFonts w:ascii="Palatino Linotype" w:hAnsi="Palatino Linotype" w:eastAsia="Times New Roman" w:cs="Times New Roman"/>
          <w:b/>
          <w:color w:val="000000" w:themeColor="text1"/>
          <w:kern w:val="0"/>
          <w14:ligatures w14:val="none"/>
        </w:rPr>
        <w:tab/>
      </w:r>
      <w:r w:rsidRPr="00547641" w:rsidR="00A76F4A">
        <w:rPr>
          <w:rFonts w:ascii="Palatino Linotype" w:hAnsi="Palatino Linotype" w:eastAsia="Palatino Linotype" w:cs="Times New Roman"/>
          <w:b/>
          <w:color w:val="000000" w:themeColor="text1"/>
          <w:kern w:val="0"/>
          <w14:ligatures w14:val="none"/>
        </w:rPr>
        <w:t xml:space="preserve">       </w:t>
      </w:r>
      <w:r w:rsidRPr="00547641" w:rsidR="00547641">
        <w:rPr>
          <w:rFonts w:ascii="Palatino Linotype" w:hAnsi="Palatino Linotype" w:eastAsia="Palatino Linotype" w:cs="Times New Roman"/>
          <w:b/>
          <w:color w:val="000000" w:themeColor="text1"/>
          <w:kern w:val="0"/>
          <w14:ligatures w14:val="none"/>
        </w:rPr>
        <w:t xml:space="preserve"> </w:t>
      </w:r>
      <w:r w:rsidRPr="00547641" w:rsidR="00A76F4A">
        <w:rPr>
          <w:rFonts w:ascii="Palatino Linotype" w:hAnsi="Palatino Linotype" w:eastAsia="Palatino Linotype" w:cs="Times New Roman"/>
          <w:b/>
          <w:color w:val="000000" w:themeColor="text1"/>
        </w:rPr>
        <w:t xml:space="preserve">RESOLUTION </w:t>
      </w:r>
      <w:r w:rsidRPr="00547641" w:rsidR="00547641">
        <w:rPr>
          <w:rFonts w:ascii="Palatino Linotype" w:hAnsi="Palatino Linotype" w:eastAsia="Palatino Linotype" w:cs="Times New Roman"/>
          <w:b/>
          <w:color w:val="000000" w:themeColor="text1"/>
        </w:rPr>
        <w:t>G</w:t>
      </w:r>
      <w:r w:rsidR="0000385D">
        <w:rPr>
          <w:rFonts w:ascii="Palatino Linotype" w:hAnsi="Palatino Linotype" w:eastAsia="Palatino Linotype" w:cs="Times New Roman"/>
          <w:b/>
          <w:color w:val="000000" w:themeColor="text1"/>
        </w:rPr>
        <w:t>-3623</w:t>
      </w:r>
    </w:p>
    <w:p w:rsidRPr="00547641" w:rsidR="00A76F4A" w:rsidP="00361AB6" w:rsidRDefault="002004C1" w14:paraId="17BEFA95" w14:textId="75D862CA">
      <w:pPr>
        <w:tabs>
          <w:tab w:val="right" w:pos="8820"/>
        </w:tabs>
        <w:spacing w:after="0" w:line="276" w:lineRule="auto"/>
        <w:ind w:left="5040"/>
        <w:rPr>
          <w:rFonts w:ascii="Palatino Linotype" w:hAnsi="Palatino Linotype" w:eastAsia="Times New Roman" w:cs="Times New Roman"/>
          <w:b/>
          <w:color w:val="000000" w:themeColor="text1"/>
          <w:kern w:val="0"/>
          <w14:ligatures w14:val="none"/>
        </w:rPr>
      </w:pPr>
      <w:r>
        <w:rPr>
          <w:rFonts w:ascii="Palatino Linotype" w:hAnsi="Palatino Linotype" w:eastAsia="Times New Roman" w:cs="Times New Roman"/>
          <w:b/>
          <w:color w:val="000000" w:themeColor="text1"/>
          <w:kern w:val="0"/>
          <w14:ligatures w14:val="none"/>
        </w:rPr>
        <w:tab/>
      </w:r>
      <w:r w:rsidRPr="00082E14" w:rsidR="00082E14">
        <w:rPr>
          <w:rFonts w:ascii="Palatino Linotype" w:hAnsi="Palatino Linotype" w:eastAsia="Times New Roman" w:cs="Times New Roman"/>
          <w:b/>
          <w:color w:val="000000" w:themeColor="text1"/>
          <w:kern w:val="0"/>
          <w14:ligatures w14:val="none"/>
        </w:rPr>
        <w:t>September 17</w:t>
      </w:r>
      <w:r w:rsidRPr="00082E14">
        <w:rPr>
          <w:rFonts w:ascii="Palatino Linotype" w:hAnsi="Palatino Linotype" w:eastAsia="Times New Roman" w:cs="Times New Roman"/>
          <w:b/>
          <w:color w:val="000000" w:themeColor="text1"/>
          <w:kern w:val="0"/>
          <w14:ligatures w14:val="none"/>
        </w:rPr>
        <w:t>, 2026</w:t>
      </w:r>
    </w:p>
    <w:p w:rsidRPr="00550D2D" w:rsidR="00A76F4A" w:rsidP="00361AB6" w:rsidRDefault="00A76F4A" w14:paraId="149FD231" w14:textId="77777777">
      <w:pPr>
        <w:tabs>
          <w:tab w:val="right" w:pos="8910"/>
        </w:tabs>
        <w:spacing w:after="0" w:line="276" w:lineRule="auto"/>
        <w:ind w:left="1440" w:firstLine="720"/>
        <w:rPr>
          <w:rFonts w:ascii="Palatino Linotype" w:hAnsi="Palatino Linotype" w:eastAsia="Times New Roman" w:cs="Times New Roman"/>
          <w:b/>
          <w:kern w:val="0"/>
          <w:sz w:val="20"/>
          <w:szCs w:val="20"/>
          <w14:ligatures w14:val="none"/>
        </w:rPr>
      </w:pPr>
      <w:r w:rsidRPr="00550D2D">
        <w:rPr>
          <w:rFonts w:ascii="Palatino Linotype" w:hAnsi="Palatino Linotype" w:eastAsia="Times New Roman" w:cs="Times New Roman"/>
          <w:b/>
          <w:kern w:val="0"/>
          <w:sz w:val="20"/>
          <w:szCs w:val="20"/>
          <w14:ligatures w14:val="none"/>
        </w:rPr>
        <w:tab/>
      </w:r>
    </w:p>
    <w:p w:rsidRPr="001942D0" w:rsidR="00A76F4A" w:rsidP="00361AB6" w:rsidRDefault="00A76F4A" w14:paraId="524F4DC8" w14:textId="77777777">
      <w:pPr>
        <w:tabs>
          <w:tab w:val="right" w:pos="8910"/>
        </w:tabs>
        <w:spacing w:after="0" w:line="276" w:lineRule="auto"/>
        <w:ind w:left="1440" w:firstLine="720"/>
        <w:rPr>
          <w:rFonts w:ascii="Palatino" w:hAnsi="Palatino" w:eastAsia="Times New Roman" w:cs="Times New Roman"/>
          <w:b/>
          <w:kern w:val="0"/>
          <w:szCs w:val="20"/>
          <w14:ligatures w14:val="none"/>
        </w:rPr>
      </w:pPr>
    </w:p>
    <w:p w:rsidRPr="001942D0" w:rsidR="00A76F4A" w:rsidP="00361AB6" w:rsidRDefault="00A76F4A" w14:paraId="4767E366" w14:textId="77777777">
      <w:pPr>
        <w:keepNext/>
        <w:spacing w:after="0" w:line="276" w:lineRule="auto"/>
        <w:jc w:val="center"/>
        <w:rPr>
          <w:rFonts w:ascii="Helvetica" w:hAnsi="Helvetica" w:eastAsia="Times New Roman" w:cs="Times New Roman"/>
          <w:b/>
          <w:spacing w:val="120"/>
          <w:kern w:val="0"/>
          <w:sz w:val="26"/>
          <w:szCs w:val="26"/>
          <w:u w:val="single"/>
          <w14:ligatures w14:val="none"/>
        </w:rPr>
      </w:pPr>
      <w:bookmarkStart w:name="_Ref404993683" w:id="0"/>
      <w:r w:rsidRPr="0FE35697">
        <w:rPr>
          <w:rFonts w:ascii="Helvetica" w:hAnsi="Helvetica" w:eastAsia="Times New Roman" w:cs="Times New Roman"/>
          <w:b/>
          <w:spacing w:val="120"/>
          <w:kern w:val="0"/>
          <w:sz w:val="26"/>
          <w:szCs w:val="26"/>
          <w:u w:val="single"/>
          <w14:ligatures w14:val="none"/>
        </w:rPr>
        <w:t>RESOLUTIO</w:t>
      </w:r>
      <w:r w:rsidRPr="0FE35697" w:rsidR="00552287">
        <w:rPr>
          <w:rFonts w:ascii="Helvetica" w:hAnsi="Helvetica" w:eastAsia="Times New Roman" w:cs="Times New Roman"/>
          <w:b/>
          <w:spacing w:val="120"/>
          <w:kern w:val="0"/>
          <w:sz w:val="26"/>
          <w:szCs w:val="26"/>
          <w:u w:val="single"/>
          <w14:ligatures w14:val="none"/>
        </w:rPr>
        <w:t>N</w:t>
      </w:r>
    </w:p>
    <w:p w:rsidRPr="001942D0" w:rsidR="00A76F4A" w:rsidP="00361AB6" w:rsidRDefault="00A76F4A" w14:paraId="778B8F8D" w14:textId="77777777">
      <w:pPr>
        <w:spacing w:after="0" w:line="276" w:lineRule="auto"/>
        <w:rPr>
          <w:rFonts w:ascii="Palatino" w:hAnsi="Palatino" w:eastAsia="Palatino Linotype" w:cs="Times New Roman"/>
          <w:kern w:val="0"/>
          <w:sz w:val="26"/>
          <w:szCs w:val="20"/>
          <w14:ligatures w14:val="none"/>
        </w:rPr>
      </w:pPr>
    </w:p>
    <w:p w:rsidRPr="001942D0" w:rsidR="00A76F4A" w:rsidP="00361AB6" w:rsidRDefault="00A76F4A" w14:paraId="400F09B6" w14:textId="5AE1FD6D">
      <w:pPr>
        <w:spacing w:after="0" w:line="276"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00B4078F">
        <w:rPr>
          <w:rFonts w:ascii="Palatino Linotype" w:hAnsi="Palatino Linotype" w:eastAsia="Times New Roman" w:cs="Times New Roman"/>
          <w:kern w:val="0"/>
          <w14:ligatures w14:val="none"/>
        </w:rPr>
        <w:t>G</w:t>
      </w:r>
      <w:r w:rsidR="0000385D">
        <w:rPr>
          <w:rFonts w:ascii="Palatino Linotype" w:hAnsi="Palatino Linotype" w:eastAsia="Times New Roman" w:cs="Times New Roman"/>
          <w:kern w:val="0"/>
          <w14:ligatures w14:val="none"/>
        </w:rPr>
        <w:t>-3623</w:t>
      </w:r>
      <w:r w:rsidR="00B4078F">
        <w:rPr>
          <w:rFonts w:ascii="Palatino Linotype" w:hAnsi="Palatino Linotype" w:eastAsia="Times New Roman" w:cs="Times New Roman"/>
          <w:kern w:val="0"/>
          <w14:ligatures w14:val="none"/>
        </w:rPr>
        <w:t xml:space="preserve">. </w:t>
      </w:r>
      <w:r w:rsidR="008D0A6D">
        <w:rPr>
          <w:rFonts w:ascii="Palatino Linotype" w:hAnsi="Palatino Linotype"/>
        </w:rPr>
        <w:t xml:space="preserve">Pacific Gas and Electric Company’s </w:t>
      </w:r>
      <w:r w:rsidR="00E14F40">
        <w:rPr>
          <w:rFonts w:ascii="Palatino Linotype" w:hAnsi="Palatino Linotype" w:eastAsia="Times New Roman" w:cs="Times New Roman"/>
          <w:kern w:val="0"/>
          <w14:ligatures w14:val="none"/>
        </w:rPr>
        <w:t xml:space="preserve">Gas </w:t>
      </w:r>
      <w:r w:rsidR="00166F97">
        <w:rPr>
          <w:rFonts w:ascii="Palatino Linotype" w:hAnsi="Palatino Linotype" w:eastAsia="Times New Roman" w:cs="Times New Roman"/>
          <w:kern w:val="0"/>
          <w14:ligatures w14:val="none"/>
        </w:rPr>
        <w:t xml:space="preserve">Research, Development, and Demonstration </w:t>
      </w:r>
      <w:r w:rsidR="00DE79ED">
        <w:rPr>
          <w:rFonts w:ascii="Palatino Linotype" w:hAnsi="Palatino Linotype" w:eastAsia="Times New Roman" w:cs="Times New Roman"/>
          <w:kern w:val="0"/>
          <w14:ligatures w14:val="none"/>
        </w:rPr>
        <w:t>Plan</w:t>
      </w:r>
      <w:r w:rsidR="008D0A6D">
        <w:rPr>
          <w:rFonts w:ascii="Palatino Linotype" w:hAnsi="Palatino Linotype" w:eastAsia="Times New Roman" w:cs="Times New Roman"/>
          <w:kern w:val="0"/>
          <w14:ligatures w14:val="none"/>
        </w:rPr>
        <w:t>s</w:t>
      </w:r>
      <w:r w:rsidR="00166F97">
        <w:rPr>
          <w:rFonts w:ascii="Palatino Linotype" w:hAnsi="Palatino Linotype" w:eastAsia="Times New Roman" w:cs="Times New Roman"/>
          <w:kern w:val="0"/>
          <w14:ligatures w14:val="none"/>
        </w:rPr>
        <w:t xml:space="preserve"> for </w:t>
      </w:r>
      <w:r w:rsidR="008D0A6D">
        <w:rPr>
          <w:rFonts w:ascii="Palatino Linotype" w:hAnsi="Palatino Linotype" w:eastAsia="Times New Roman" w:cs="Times New Roman"/>
          <w:kern w:val="0"/>
          <w14:ligatures w14:val="none"/>
        </w:rPr>
        <w:t xml:space="preserve">2024 </w:t>
      </w:r>
      <w:r w:rsidR="00B14531">
        <w:rPr>
          <w:rFonts w:ascii="Palatino Linotype" w:hAnsi="Palatino Linotype" w:eastAsia="Times New Roman" w:cs="Times New Roman"/>
          <w:kern w:val="0"/>
          <w14:ligatures w14:val="none"/>
        </w:rPr>
        <w:t xml:space="preserve">(Advice Letter </w:t>
      </w:r>
      <w:r w:rsidRPr="0006545D" w:rsidR="00B14531">
        <w:rPr>
          <w:rFonts w:ascii="Palatino Linotype" w:hAnsi="Palatino Linotype" w:eastAsia="Times New Roman" w:cs="Times New Roman"/>
          <w:color w:val="000000" w:themeColor="text1"/>
          <w:kern w:val="0"/>
          <w14:ligatures w14:val="none"/>
        </w:rPr>
        <w:t>5</w:t>
      </w:r>
      <w:r w:rsidRPr="0006545D" w:rsidR="00EB07FB">
        <w:rPr>
          <w:rFonts w:ascii="Palatino Linotype" w:hAnsi="Palatino Linotype" w:eastAsia="Times New Roman" w:cs="Times New Roman"/>
          <w:color w:val="000000" w:themeColor="text1"/>
          <w:kern w:val="0"/>
          <w14:ligatures w14:val="none"/>
        </w:rPr>
        <w:t>196-G</w:t>
      </w:r>
      <w:r w:rsidRPr="0006545D" w:rsidR="00B14531">
        <w:rPr>
          <w:rFonts w:ascii="Palatino Linotype" w:hAnsi="Palatino Linotype" w:eastAsia="Times New Roman" w:cs="Times New Roman"/>
          <w:color w:val="000000" w:themeColor="text1"/>
          <w:kern w:val="0"/>
          <w14:ligatures w14:val="none"/>
        </w:rPr>
        <w:t>)</w:t>
      </w:r>
      <w:r w:rsidRPr="0006545D" w:rsidR="0006545D">
        <w:rPr>
          <w:rFonts w:ascii="Palatino Linotype" w:hAnsi="Palatino Linotype" w:eastAsia="Times New Roman" w:cs="Times New Roman"/>
          <w:color w:val="000000" w:themeColor="text1"/>
          <w:kern w:val="0"/>
          <w14:ligatures w14:val="none"/>
        </w:rPr>
        <w:t xml:space="preserve">, </w:t>
      </w:r>
      <w:r w:rsidRPr="0006545D" w:rsidR="008D0A6D">
        <w:rPr>
          <w:rFonts w:ascii="Palatino Linotype" w:hAnsi="Palatino Linotype" w:eastAsia="Times New Roman" w:cs="Times New Roman"/>
          <w:color w:val="000000" w:themeColor="text1"/>
          <w:kern w:val="0"/>
          <w14:ligatures w14:val="none"/>
        </w:rPr>
        <w:t>2025</w:t>
      </w:r>
      <w:r w:rsidRPr="0006545D" w:rsidR="00B14531">
        <w:rPr>
          <w:rFonts w:ascii="Palatino Linotype" w:hAnsi="Palatino Linotype" w:eastAsia="Times New Roman" w:cs="Times New Roman"/>
          <w:color w:val="000000" w:themeColor="text1"/>
          <w:kern w:val="0"/>
          <w14:ligatures w14:val="none"/>
        </w:rPr>
        <w:t xml:space="preserve"> (Advice Letter 5</w:t>
      </w:r>
      <w:r w:rsidRPr="0006545D" w:rsidR="00EB07FB">
        <w:rPr>
          <w:rFonts w:ascii="Palatino Linotype" w:hAnsi="Palatino Linotype" w:eastAsia="Times New Roman" w:cs="Times New Roman"/>
          <w:color w:val="000000" w:themeColor="text1"/>
          <w:kern w:val="0"/>
          <w14:ligatures w14:val="none"/>
        </w:rPr>
        <w:t>197-</w:t>
      </w:r>
      <w:r w:rsidR="00EB07FB">
        <w:rPr>
          <w:rFonts w:ascii="Palatino Linotype" w:hAnsi="Palatino Linotype" w:eastAsia="Times New Roman" w:cs="Times New Roman"/>
          <w:kern w:val="0"/>
          <w14:ligatures w14:val="none"/>
        </w:rPr>
        <w:t>G</w:t>
      </w:r>
      <w:r w:rsidR="00B14531">
        <w:rPr>
          <w:rFonts w:ascii="Palatino Linotype" w:hAnsi="Palatino Linotype" w:eastAsia="Times New Roman" w:cs="Times New Roman"/>
          <w:kern w:val="0"/>
          <w14:ligatures w14:val="none"/>
        </w:rPr>
        <w:t>)</w:t>
      </w:r>
      <w:r w:rsidR="0006545D">
        <w:rPr>
          <w:rFonts w:ascii="Palatino Linotype" w:hAnsi="Palatino Linotype" w:eastAsia="Times New Roman" w:cs="Times New Roman"/>
          <w:kern w:val="0"/>
          <w14:ligatures w14:val="none"/>
        </w:rPr>
        <w:t>, and 2026 (Advice Letter</w:t>
      </w:r>
      <w:r w:rsidR="00BF2858">
        <w:rPr>
          <w:rFonts w:ascii="Palatino Linotype" w:hAnsi="Palatino Linotype" w:eastAsia="Times New Roman" w:cs="Times New Roman"/>
          <w:kern w:val="0"/>
          <w14:ligatures w14:val="none"/>
        </w:rPr>
        <w:t xml:space="preserve"> 5222-</w:t>
      </w:r>
      <w:r w:rsidR="0006545D">
        <w:rPr>
          <w:rFonts w:ascii="Palatino Linotype" w:hAnsi="Palatino Linotype" w:eastAsia="Times New Roman" w:cs="Times New Roman"/>
          <w:kern w:val="0"/>
          <w14:ligatures w14:val="none"/>
        </w:rPr>
        <w:t>G)</w:t>
      </w:r>
      <w:r w:rsidR="008D0A6D">
        <w:rPr>
          <w:rFonts w:ascii="Palatino Linotype" w:hAnsi="Palatino Linotype" w:eastAsia="Times New Roman" w:cs="Times New Roman"/>
          <w:kern w:val="0"/>
          <w14:ligatures w14:val="none"/>
        </w:rPr>
        <w:t>.</w:t>
      </w:r>
    </w:p>
    <w:p w:rsidRPr="001942D0" w:rsidR="00A76F4A" w:rsidP="00361AB6" w:rsidRDefault="00A76F4A" w14:paraId="0054523B" w14:textId="77777777">
      <w:pPr>
        <w:spacing w:after="0" w:line="276" w:lineRule="auto"/>
        <w:ind w:right="720"/>
        <w:rPr>
          <w:rFonts w:ascii="Palatino Linotype" w:hAnsi="Palatino Linotype" w:eastAsia="Palatino Linotype" w:cs="Times New Roman"/>
          <w:kern w:val="0"/>
          <w14:ligatures w14:val="none"/>
        </w:rPr>
      </w:pPr>
    </w:p>
    <w:p w:rsidRPr="001942D0" w:rsidR="00A76F4A" w:rsidP="00361AB6" w:rsidRDefault="00A76F4A" w14:paraId="3DE3512A" w14:textId="77E88273">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550D2D" w:rsidR="00E976A8" w:rsidP="00550D2D" w:rsidRDefault="002C4B04" w14:paraId="563EE6DF" w14:textId="0FA8E2AC">
      <w:pPr>
        <w:pStyle w:val="ListParagraph"/>
        <w:numPr>
          <w:ilvl w:val="0"/>
          <w:numId w:val="2"/>
        </w:numPr>
        <w:spacing w:after="0" w:line="276" w:lineRule="auto"/>
        <w:ind w:right="720"/>
        <w:rPr>
          <w:rFonts w:ascii="Palatino Linotype" w:hAnsi="Palatino Linotype" w:eastAsia="Times New Roman" w:cs="Times New Roman"/>
          <w:color w:val="000000" w:themeColor="text1"/>
          <w:kern w:val="0"/>
          <w14:ligatures w14:val="none"/>
        </w:rPr>
      </w:pPr>
      <w:r>
        <w:rPr>
          <w:rFonts w:ascii="Palatino Linotype" w:hAnsi="Palatino Linotype" w:eastAsia="Times New Roman" w:cs="Times New Roman"/>
          <w:color w:val="000000" w:themeColor="text1"/>
          <w:kern w:val="0"/>
          <w14:ligatures w14:val="none"/>
        </w:rPr>
        <w:t xml:space="preserve">Denies </w:t>
      </w:r>
      <w:r w:rsidRPr="002C4B04" w:rsidR="008D0A6D">
        <w:rPr>
          <w:rFonts w:ascii="Palatino Linotype" w:hAnsi="Palatino Linotype"/>
          <w:color w:val="000000" w:themeColor="text1"/>
        </w:rPr>
        <w:t xml:space="preserve">Pacific Gas and Electric Company’s (PG&amp;E’s) </w:t>
      </w:r>
      <w:r w:rsidR="00373633">
        <w:rPr>
          <w:rFonts w:ascii="Palatino Linotype" w:hAnsi="Palatino Linotype"/>
          <w:color w:val="000000" w:themeColor="text1"/>
        </w:rPr>
        <w:t xml:space="preserve">2024 </w:t>
      </w:r>
      <w:r w:rsidRPr="002C4B04" w:rsidR="00E14F40">
        <w:rPr>
          <w:rFonts w:ascii="Palatino Linotype" w:hAnsi="Palatino Linotype" w:eastAsia="Times New Roman" w:cs="Times New Roman"/>
          <w:color w:val="000000" w:themeColor="text1"/>
          <w:kern w:val="0"/>
          <w14:ligatures w14:val="none"/>
        </w:rPr>
        <w:t>Gas Research, Development, and Demonstration</w:t>
      </w:r>
      <w:r w:rsidRPr="002C4B04" w:rsidR="00F0441C">
        <w:rPr>
          <w:rFonts w:ascii="Palatino Linotype" w:hAnsi="Palatino Linotype" w:eastAsia="Times New Roman" w:cs="Times New Roman"/>
          <w:color w:val="000000" w:themeColor="text1"/>
          <w:kern w:val="0"/>
          <w14:ligatures w14:val="none"/>
        </w:rPr>
        <w:t xml:space="preserve"> (RD&amp;D)</w:t>
      </w:r>
      <w:r w:rsidRPr="002C4B04" w:rsidR="00E14F40">
        <w:rPr>
          <w:rFonts w:ascii="Palatino Linotype" w:hAnsi="Palatino Linotype" w:eastAsia="Times New Roman" w:cs="Times New Roman"/>
          <w:color w:val="000000" w:themeColor="text1"/>
          <w:kern w:val="0"/>
          <w14:ligatures w14:val="none"/>
        </w:rPr>
        <w:t xml:space="preserve"> </w:t>
      </w:r>
      <w:r w:rsidRPr="002C4B04" w:rsidR="00DE79ED">
        <w:rPr>
          <w:rFonts w:ascii="Palatino Linotype" w:hAnsi="Palatino Linotype" w:eastAsia="Times New Roman" w:cs="Times New Roman"/>
          <w:color w:val="000000" w:themeColor="text1"/>
          <w:kern w:val="0"/>
          <w14:ligatures w14:val="none"/>
        </w:rPr>
        <w:t>Plan</w:t>
      </w:r>
      <w:r w:rsidRPr="002C4B04" w:rsidR="004B6D53">
        <w:rPr>
          <w:rFonts w:ascii="Palatino Linotype" w:hAnsi="Palatino Linotype" w:eastAsia="Times New Roman" w:cs="Times New Roman"/>
          <w:color w:val="000000" w:themeColor="text1"/>
          <w:kern w:val="0"/>
          <w14:ligatures w14:val="none"/>
        </w:rPr>
        <w:t xml:space="preserve"> with a </w:t>
      </w:r>
      <w:r w:rsidR="00AB4AC8">
        <w:rPr>
          <w:rFonts w:ascii="Palatino Linotype" w:hAnsi="Palatino Linotype" w:eastAsia="Times New Roman" w:cs="Times New Roman"/>
          <w:color w:val="000000" w:themeColor="text1"/>
          <w:kern w:val="0"/>
          <w14:ligatures w14:val="none"/>
        </w:rPr>
        <w:t xml:space="preserve">proposed </w:t>
      </w:r>
      <w:r w:rsidRPr="0091277D" w:rsidR="004B6D53">
        <w:rPr>
          <w:rFonts w:ascii="Palatino Linotype" w:hAnsi="Palatino Linotype" w:eastAsia="Times New Roman" w:cs="Times New Roman"/>
          <w:color w:val="000000" w:themeColor="text1"/>
          <w:kern w:val="0"/>
          <w14:ligatures w14:val="none"/>
        </w:rPr>
        <w:t>budget of</w:t>
      </w:r>
      <w:r w:rsidRPr="0091277D" w:rsidR="008D0A6D">
        <w:rPr>
          <w:rFonts w:ascii="Palatino Linotype" w:hAnsi="Palatino Linotype" w:eastAsia="Times New Roman" w:cs="Times New Roman"/>
          <w:color w:val="000000" w:themeColor="text1"/>
          <w:kern w:val="0"/>
          <w14:ligatures w14:val="none"/>
        </w:rPr>
        <w:t xml:space="preserve"> </w:t>
      </w:r>
      <w:r w:rsidRPr="0091277D" w:rsidR="00681DB1">
        <w:rPr>
          <w:rFonts w:ascii="Palatino Linotype" w:hAnsi="Palatino Linotype" w:eastAsia="Times New Roman" w:cs="Times New Roman"/>
          <w:color w:val="000000" w:themeColor="text1"/>
          <w:kern w:val="0"/>
          <w14:ligatures w14:val="none"/>
        </w:rPr>
        <w:t xml:space="preserve">$1,945,797 </w:t>
      </w:r>
      <w:r w:rsidRPr="0091277D" w:rsidR="00910640">
        <w:rPr>
          <w:rFonts w:ascii="Palatino Linotype" w:hAnsi="Palatino Linotype" w:eastAsia="Times New Roman" w:cs="Times New Roman"/>
          <w:color w:val="000000" w:themeColor="text1"/>
          <w:kern w:val="0"/>
          <w14:ligatures w14:val="none"/>
        </w:rPr>
        <w:t xml:space="preserve">(as requested in Advice Letter </w:t>
      </w:r>
      <w:r w:rsidR="00444B1F">
        <w:rPr>
          <w:rFonts w:ascii="Palatino Linotype" w:hAnsi="Palatino Linotype" w:eastAsia="Times New Roman" w:cs="Times New Roman"/>
          <w:color w:val="000000" w:themeColor="text1"/>
          <w:kern w:val="0"/>
          <w14:ligatures w14:val="none"/>
        </w:rPr>
        <w:br/>
      </w:r>
      <w:r w:rsidRPr="0091277D" w:rsidR="00910640">
        <w:rPr>
          <w:rFonts w:ascii="Palatino Linotype" w:hAnsi="Palatino Linotype" w:eastAsia="Times New Roman" w:cs="Times New Roman"/>
          <w:color w:val="000000" w:themeColor="text1"/>
          <w:kern w:val="0"/>
          <w14:ligatures w14:val="none"/>
        </w:rPr>
        <w:t>5</w:t>
      </w:r>
      <w:r w:rsidRPr="0091277D" w:rsidR="00EB07FB">
        <w:rPr>
          <w:rFonts w:ascii="Palatino Linotype" w:hAnsi="Palatino Linotype" w:eastAsia="Times New Roman" w:cs="Times New Roman"/>
          <w:color w:val="000000" w:themeColor="text1"/>
          <w:kern w:val="0"/>
          <w14:ligatures w14:val="none"/>
        </w:rPr>
        <w:t>196-G</w:t>
      </w:r>
      <w:r w:rsidRPr="002C4B04" w:rsidR="00910640">
        <w:rPr>
          <w:rFonts w:ascii="Palatino Linotype" w:hAnsi="Palatino Linotype" w:eastAsia="Times New Roman" w:cs="Times New Roman"/>
          <w:color w:val="000000" w:themeColor="text1"/>
          <w:kern w:val="0"/>
          <w14:ligatures w14:val="none"/>
        </w:rPr>
        <w:t>)</w:t>
      </w:r>
      <w:r w:rsidR="00550D2D">
        <w:rPr>
          <w:rFonts w:ascii="Palatino Linotype" w:hAnsi="Palatino Linotype" w:eastAsia="Times New Roman" w:cs="Times New Roman"/>
          <w:color w:val="000000" w:themeColor="text1"/>
          <w:kern w:val="0"/>
          <w14:ligatures w14:val="none"/>
        </w:rPr>
        <w:t>; a</w:t>
      </w:r>
      <w:r w:rsidRPr="00550D2D" w:rsidR="009446CB">
        <w:rPr>
          <w:rFonts w:ascii="Palatino Linotype" w:hAnsi="Palatino Linotype" w:eastAsia="Times New Roman" w:cs="Times New Roman"/>
          <w:color w:val="000000" w:themeColor="text1"/>
          <w:kern w:val="0"/>
          <w14:ligatures w14:val="none"/>
        </w:rPr>
        <w:t>pproves</w:t>
      </w:r>
      <w:r w:rsidRPr="00550D2D" w:rsidR="00725735">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in part</w:t>
      </w:r>
      <w:r w:rsidRPr="00550D2D" w:rsidR="00725735">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r w:rsidRPr="00550D2D" w:rsidR="00B4328E">
        <w:rPr>
          <w:rFonts w:ascii="Palatino Linotype" w:hAnsi="Palatino Linotype" w:eastAsia="Times New Roman" w:cs="Times New Roman"/>
          <w:color w:val="000000" w:themeColor="text1"/>
          <w:kern w:val="0"/>
          <w14:ligatures w14:val="none"/>
        </w:rPr>
        <w:t xml:space="preserve">1) </w:t>
      </w:r>
      <w:r w:rsidRPr="00550D2D" w:rsidR="00A47930">
        <w:rPr>
          <w:rFonts w:ascii="Palatino Linotype" w:hAnsi="Palatino Linotype"/>
          <w:color w:val="000000" w:themeColor="text1"/>
        </w:rPr>
        <w:t xml:space="preserve">PG&amp;E’s </w:t>
      </w:r>
      <w:r w:rsidRPr="00550D2D" w:rsidR="00373633">
        <w:rPr>
          <w:rFonts w:ascii="Palatino Linotype" w:hAnsi="Palatino Linotype"/>
          <w:color w:val="000000" w:themeColor="text1"/>
        </w:rPr>
        <w:t xml:space="preserve">2025 </w:t>
      </w:r>
      <w:r w:rsidRPr="00550D2D" w:rsidR="00A47930">
        <w:rPr>
          <w:rFonts w:ascii="Palatino Linotype" w:hAnsi="Palatino Linotype"/>
          <w:color w:val="000000" w:themeColor="text1"/>
        </w:rPr>
        <w:t>Gas RD&amp;D</w:t>
      </w:r>
      <w:r w:rsidRPr="00550D2D" w:rsidR="009446CB">
        <w:rPr>
          <w:rFonts w:ascii="Palatino Linotype" w:hAnsi="Palatino Linotype" w:eastAsia="Times New Roman" w:cs="Times New Roman"/>
          <w:color w:val="000000" w:themeColor="text1"/>
          <w:kern w:val="0"/>
          <w14:ligatures w14:val="none"/>
        </w:rPr>
        <w:t xml:space="preserve"> Plan with a </w:t>
      </w:r>
      <w:r w:rsidRPr="00550D2D" w:rsidR="00725735">
        <w:rPr>
          <w:rFonts w:ascii="Palatino Linotype" w:hAnsi="Palatino Linotype" w:eastAsia="Times New Roman" w:cs="Times New Roman"/>
          <w:color w:val="000000" w:themeColor="text1"/>
          <w:kern w:val="0"/>
          <w14:ligatures w14:val="none"/>
        </w:rPr>
        <w:t xml:space="preserve">proposed </w:t>
      </w:r>
      <w:r w:rsidRPr="00550D2D" w:rsidR="009446CB">
        <w:rPr>
          <w:rFonts w:ascii="Palatino Linotype" w:hAnsi="Palatino Linotype" w:eastAsia="Times New Roman" w:cs="Times New Roman"/>
          <w:color w:val="000000" w:themeColor="text1"/>
          <w:kern w:val="0"/>
          <w14:ligatures w14:val="none"/>
        </w:rPr>
        <w:t xml:space="preserve">budget of $6,700,087 (as requested in Advice Letter </w:t>
      </w:r>
      <w:r w:rsidR="00444B1F">
        <w:rPr>
          <w:rFonts w:ascii="Palatino Linotype" w:hAnsi="Palatino Linotype" w:eastAsia="Times New Roman" w:cs="Times New Roman"/>
          <w:color w:val="000000" w:themeColor="text1"/>
          <w:kern w:val="0"/>
          <w14:ligatures w14:val="none"/>
        </w:rPr>
        <w:br/>
      </w:r>
      <w:r w:rsidRPr="00550D2D" w:rsidR="009446CB">
        <w:rPr>
          <w:rFonts w:ascii="Palatino Linotype" w:hAnsi="Palatino Linotype" w:eastAsia="Times New Roman" w:cs="Times New Roman"/>
          <w:color w:val="000000" w:themeColor="text1"/>
          <w:kern w:val="0"/>
          <w14:ligatures w14:val="none"/>
        </w:rPr>
        <w:t>5197-G)</w:t>
      </w:r>
      <w:r w:rsidRPr="00550D2D" w:rsidR="00B4328E">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r w:rsidRPr="00550D2D" w:rsidR="0006545D">
        <w:rPr>
          <w:rFonts w:ascii="Palatino Linotype" w:hAnsi="Palatino Linotype" w:eastAsia="Times New Roman" w:cs="Times New Roman"/>
          <w:color w:val="000000" w:themeColor="text1"/>
          <w:kern w:val="0"/>
          <w14:ligatures w14:val="none"/>
        </w:rPr>
        <w:t>and</w:t>
      </w:r>
      <w:r w:rsidRPr="00550D2D" w:rsidR="00373633">
        <w:rPr>
          <w:rFonts w:ascii="Palatino Linotype" w:hAnsi="Palatino Linotype" w:eastAsia="Times New Roman" w:cs="Times New Roman"/>
          <w:color w:val="000000" w:themeColor="text1"/>
          <w:kern w:val="0"/>
          <w14:ligatures w14:val="none"/>
        </w:rPr>
        <w:t xml:space="preserve"> </w:t>
      </w:r>
      <w:r w:rsidRPr="00550D2D" w:rsidR="00B4328E">
        <w:rPr>
          <w:rFonts w:ascii="Palatino Linotype" w:hAnsi="Palatino Linotype" w:eastAsia="Times New Roman" w:cs="Times New Roman"/>
          <w:color w:val="000000" w:themeColor="text1"/>
          <w:kern w:val="0"/>
          <w14:ligatures w14:val="none"/>
        </w:rPr>
        <w:t xml:space="preserve">2) </w:t>
      </w:r>
      <w:r w:rsidRPr="00550D2D" w:rsidR="00373633">
        <w:rPr>
          <w:rFonts w:ascii="Palatino Linotype" w:hAnsi="Palatino Linotype" w:eastAsia="Times New Roman" w:cs="Times New Roman"/>
          <w:color w:val="000000" w:themeColor="text1"/>
          <w:kern w:val="0"/>
          <w14:ligatures w14:val="none"/>
        </w:rPr>
        <w:t xml:space="preserve">PG&amp;E’s </w:t>
      </w:r>
      <w:r w:rsidRPr="00550D2D" w:rsidR="0006545D">
        <w:rPr>
          <w:rFonts w:ascii="Palatino Linotype" w:hAnsi="Palatino Linotype" w:eastAsia="Times New Roman" w:cs="Times New Roman"/>
          <w:color w:val="000000" w:themeColor="text1"/>
          <w:kern w:val="0"/>
          <w14:ligatures w14:val="none"/>
        </w:rPr>
        <w:t xml:space="preserve">2026 </w:t>
      </w:r>
      <w:r w:rsidRPr="00550D2D" w:rsidR="00B4328E">
        <w:rPr>
          <w:rFonts w:ascii="Palatino Linotype" w:hAnsi="Palatino Linotype"/>
          <w:color w:val="000000" w:themeColor="text1"/>
        </w:rPr>
        <w:t xml:space="preserve">Gas RD&amp;D </w:t>
      </w:r>
      <w:r w:rsidRPr="00550D2D" w:rsidR="008919CF">
        <w:rPr>
          <w:rFonts w:ascii="Palatino Linotype" w:hAnsi="Palatino Linotype"/>
          <w:color w:val="000000" w:themeColor="text1"/>
        </w:rPr>
        <w:t>Plan</w:t>
      </w:r>
      <w:r w:rsidRPr="00550D2D" w:rsidR="008919CF">
        <w:rPr>
          <w:rFonts w:ascii="Palatino Linotype" w:hAnsi="Palatino Linotype" w:eastAsia="Times New Roman" w:cs="Times New Roman"/>
          <w:color w:val="000000" w:themeColor="text1"/>
          <w:kern w:val="0"/>
          <w14:ligatures w14:val="none"/>
        </w:rPr>
        <w:t xml:space="preserve"> </w:t>
      </w:r>
      <w:r w:rsidRPr="00550D2D" w:rsidR="0006545D">
        <w:rPr>
          <w:rFonts w:ascii="Palatino Linotype" w:hAnsi="Palatino Linotype" w:eastAsia="Times New Roman" w:cs="Times New Roman"/>
          <w:color w:val="000000" w:themeColor="text1"/>
          <w:kern w:val="0"/>
          <w14:ligatures w14:val="none"/>
        </w:rPr>
        <w:t>(as requested in Advice Letter</w:t>
      </w:r>
      <w:r w:rsidRPr="00550D2D" w:rsidR="00BF2858">
        <w:rPr>
          <w:rFonts w:ascii="Palatino Linotype" w:hAnsi="Palatino Linotype" w:eastAsia="Times New Roman" w:cs="Times New Roman"/>
          <w:color w:val="000000" w:themeColor="text1"/>
          <w:kern w:val="0"/>
          <w14:ligatures w14:val="none"/>
        </w:rPr>
        <w:t xml:space="preserve"> 5222</w:t>
      </w:r>
      <w:r w:rsidRPr="00550D2D" w:rsidR="0006545D">
        <w:rPr>
          <w:rFonts w:ascii="Palatino Linotype" w:hAnsi="Palatino Linotype" w:eastAsia="Times New Roman" w:cs="Times New Roman"/>
          <w:color w:val="000000" w:themeColor="text1"/>
          <w:kern w:val="0"/>
          <w14:ligatures w14:val="none"/>
        </w:rPr>
        <w:t xml:space="preserve">-G) </w:t>
      </w:r>
      <w:r w:rsidRPr="00550D2D" w:rsidR="00373633">
        <w:rPr>
          <w:rFonts w:ascii="Palatino Linotype" w:hAnsi="Palatino Linotype" w:eastAsia="Times New Roman" w:cs="Times New Roman"/>
          <w:color w:val="000000" w:themeColor="text1"/>
          <w:kern w:val="0"/>
          <w14:ligatures w14:val="none"/>
        </w:rPr>
        <w:t xml:space="preserve">with a </w:t>
      </w:r>
      <w:r w:rsidRPr="00550D2D" w:rsidR="00B4328E">
        <w:rPr>
          <w:rFonts w:ascii="Palatino Linotype" w:hAnsi="Palatino Linotype" w:eastAsia="Times New Roman" w:cs="Times New Roman"/>
          <w:color w:val="000000" w:themeColor="text1"/>
          <w:kern w:val="0"/>
          <w14:ligatures w14:val="none"/>
        </w:rPr>
        <w:t xml:space="preserve">proposed </w:t>
      </w:r>
      <w:r w:rsidRPr="00550D2D" w:rsidR="00373633">
        <w:rPr>
          <w:rFonts w:ascii="Palatino Linotype" w:hAnsi="Palatino Linotype" w:eastAsia="Times New Roman" w:cs="Times New Roman"/>
          <w:color w:val="000000" w:themeColor="text1"/>
          <w:kern w:val="0"/>
          <w14:ligatures w14:val="none"/>
        </w:rPr>
        <w:t xml:space="preserve">budget of $8,267,000 </w:t>
      </w:r>
      <w:r w:rsidRPr="00550D2D" w:rsidR="009446CB">
        <w:rPr>
          <w:rFonts w:ascii="Palatino Linotype" w:hAnsi="Palatino Linotype" w:eastAsia="Times New Roman" w:cs="Times New Roman"/>
          <w:color w:val="000000" w:themeColor="text1"/>
          <w:kern w:val="0"/>
          <w14:ligatures w14:val="none"/>
        </w:rPr>
        <w:t xml:space="preserve">pursuant to California Public Utilities Commission Decision </w:t>
      </w:r>
      <w:r w:rsidR="00550D2D">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D.</w:t>
      </w:r>
      <w:r w:rsidR="00550D2D">
        <w:rPr>
          <w:rFonts w:ascii="Palatino Linotype" w:hAnsi="Palatino Linotype" w:eastAsia="Times New Roman" w:cs="Times New Roman"/>
          <w:color w:val="000000" w:themeColor="text1"/>
          <w:kern w:val="0"/>
          <w14:ligatures w14:val="none"/>
        </w:rPr>
        <w:t xml:space="preserve">) </w:t>
      </w:r>
      <w:r w:rsidRPr="00550D2D" w:rsidR="009446CB">
        <w:rPr>
          <w:rFonts w:ascii="Palatino Linotype" w:hAnsi="Palatino Linotype" w:eastAsia="Times New Roman" w:cs="Times New Roman"/>
          <w:color w:val="000000" w:themeColor="text1"/>
          <w:kern w:val="0"/>
          <w14:ligatures w14:val="none"/>
        </w:rPr>
        <w:t>23-11-069</w:t>
      </w:r>
      <w:r w:rsidRPr="00550D2D" w:rsidR="003A7C31">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p>
    <w:p w:rsidR="00E976A8" w:rsidP="00361AB6" w:rsidRDefault="00E976A8" w14:paraId="19A6ADFC"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00361AB6" w:rsidRDefault="00A76F4A" w14:paraId="4FCDC265"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D63C2D" w:rsidR="004577A8" w:rsidP="00FF1910" w:rsidRDefault="004577A8" w14:paraId="251E1E22" w14:textId="19BB7DB1">
      <w:pPr>
        <w:numPr>
          <w:ilvl w:val="0"/>
          <w:numId w:val="1"/>
        </w:numPr>
        <w:spacing w:after="0" w:line="276" w:lineRule="auto"/>
        <w:ind w:right="720"/>
        <w:rPr>
          <w:rFonts w:ascii="Palatino Linotype" w:hAnsi="Palatino Linotype" w:eastAsia="Times New Roman" w:cs="Times New Roman"/>
          <w:color w:val="000000" w:themeColor="text1"/>
          <w:kern w:val="0"/>
          <w14:ligatures w14:val="none"/>
        </w:rPr>
      </w:pPr>
      <w:r w:rsidRPr="00D63C2D">
        <w:rPr>
          <w:rFonts w:ascii="Palatino Linotype" w:hAnsi="Palatino Linotype" w:eastAsia="Times New Roman" w:cs="Times New Roman"/>
          <w:color w:val="000000" w:themeColor="text1"/>
          <w:kern w:val="0"/>
          <w14:ligatures w14:val="none"/>
        </w:rPr>
        <w:t xml:space="preserve">This Resolution </w:t>
      </w:r>
      <w:r w:rsidRPr="00D63C2D" w:rsidR="00F439BC">
        <w:rPr>
          <w:rFonts w:ascii="Palatino Linotype" w:hAnsi="Palatino Linotype" w:eastAsia="Times New Roman" w:cs="Times New Roman"/>
          <w:color w:val="000000" w:themeColor="text1"/>
          <w:kern w:val="0"/>
          <w14:ligatures w14:val="none"/>
        </w:rPr>
        <w:t>approves</w:t>
      </w:r>
      <w:r w:rsidR="0067122E">
        <w:rPr>
          <w:rFonts w:ascii="Palatino Linotype" w:hAnsi="Palatino Linotype" w:eastAsia="Times New Roman" w:cs="Times New Roman"/>
          <w:color w:val="000000" w:themeColor="text1"/>
          <w:kern w:val="0"/>
          <w14:ligatures w14:val="none"/>
        </w:rPr>
        <w:t xml:space="preserve"> a total of </w:t>
      </w:r>
      <w:r w:rsidR="001F7D75">
        <w:rPr>
          <w:rFonts w:ascii="Palatino Linotype" w:hAnsi="Palatino Linotype" w:eastAsia="Times New Roman" w:cs="Times New Roman"/>
          <w:color w:val="000000" w:themeColor="text1"/>
          <w:kern w:val="0"/>
          <w14:ligatures w14:val="none"/>
        </w:rPr>
        <w:t>$6,306,913</w:t>
      </w:r>
      <w:r w:rsidRPr="00D63C2D" w:rsidR="00F439BC">
        <w:rPr>
          <w:rFonts w:ascii="Palatino Linotype" w:hAnsi="Palatino Linotype" w:eastAsia="Times New Roman" w:cs="Times New Roman"/>
          <w:color w:val="000000" w:themeColor="text1"/>
          <w:kern w:val="0"/>
          <w14:ligatures w14:val="none"/>
        </w:rPr>
        <w:t xml:space="preserve"> for PG&amp;E’s </w:t>
      </w:r>
      <w:r w:rsidRPr="00943F63" w:rsidR="00211352">
        <w:rPr>
          <w:rFonts w:ascii="Palatino Linotype" w:hAnsi="Palatino Linotype" w:eastAsia="Times New Roman" w:cs="Times New Roman"/>
          <w:i/>
          <w:iCs/>
          <w:color w:val="000000" w:themeColor="text1"/>
          <w:kern w:val="0"/>
          <w14:ligatures w14:val="none"/>
        </w:rPr>
        <w:t>Innovative and Cost</w:t>
      </w:r>
      <w:r w:rsidRPr="00943F63" w:rsidR="00F37659">
        <w:rPr>
          <w:rFonts w:ascii="Palatino Linotype" w:hAnsi="Palatino Linotype" w:eastAsia="Times New Roman" w:cs="Times New Roman"/>
          <w:i/>
          <w:iCs/>
          <w:color w:val="000000" w:themeColor="text1"/>
          <w:kern w:val="0"/>
          <w14:ligatures w14:val="none"/>
        </w:rPr>
        <w:t>-</w:t>
      </w:r>
      <w:r w:rsidRPr="00943F63" w:rsidR="00211352">
        <w:rPr>
          <w:rFonts w:ascii="Palatino Linotype" w:hAnsi="Palatino Linotype" w:eastAsia="Times New Roman" w:cs="Times New Roman"/>
          <w:i/>
          <w:iCs/>
          <w:color w:val="000000" w:themeColor="text1"/>
          <w:kern w:val="0"/>
          <w14:ligatures w14:val="none"/>
        </w:rPr>
        <w:t>Effective Integrity Management</w:t>
      </w:r>
      <w:r w:rsidRPr="00D63C2D" w:rsidR="0011275C">
        <w:rPr>
          <w:rFonts w:ascii="Palatino Linotype" w:hAnsi="Palatino Linotype" w:eastAsia="Times New Roman" w:cs="Times New Roman"/>
          <w:color w:val="000000" w:themeColor="text1"/>
          <w:kern w:val="0"/>
          <w14:ligatures w14:val="none"/>
        </w:rPr>
        <w:t xml:space="preserve"> </w:t>
      </w:r>
      <w:r w:rsidRPr="00D63C2D" w:rsidR="000E4EB5">
        <w:rPr>
          <w:rFonts w:ascii="Palatino Linotype" w:hAnsi="Palatino Linotype" w:eastAsia="Times New Roman" w:cs="Times New Roman"/>
          <w:color w:val="000000" w:themeColor="text1"/>
          <w:kern w:val="0"/>
          <w14:ligatures w14:val="none"/>
        </w:rPr>
        <w:t>Initiative.</w:t>
      </w:r>
    </w:p>
    <w:p w:rsidRPr="001942D0" w:rsidR="00A76F4A" w:rsidP="00361AB6" w:rsidRDefault="00A76F4A" w14:paraId="64A6B8D1"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00361AB6" w:rsidRDefault="00A76F4A" w14:paraId="6B0D0B8E" w14:textId="69E254EC">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EB31FC" w:rsidR="00A470C7" w:rsidP="00FF1910" w:rsidRDefault="0011608E" w14:paraId="63C1C8D1" w14:textId="192D12C5">
      <w:pPr>
        <w:numPr>
          <w:ilvl w:val="0"/>
          <w:numId w:val="1"/>
        </w:numPr>
        <w:spacing w:after="0" w:line="276" w:lineRule="auto"/>
        <w:ind w:right="720"/>
        <w:rPr>
          <w:rFonts w:ascii="Palatino Linotype" w:hAnsi="Palatino Linotype" w:eastAsia="Times New Roman" w:cs="Times New Roman"/>
          <w:color w:val="000000" w:themeColor="text1"/>
          <w:kern w:val="0"/>
          <w14:ligatures w14:val="none"/>
        </w:rPr>
      </w:pPr>
      <w:r w:rsidRPr="0011608E">
        <w:rPr>
          <w:rFonts w:ascii="Palatino Linotype" w:hAnsi="Palatino Linotype" w:eastAsia="Times New Roman" w:cs="Times New Roman"/>
          <w:color w:val="000000" w:themeColor="text1"/>
          <w:kern w:val="0"/>
          <w14:ligatures w14:val="none"/>
        </w:rPr>
        <w:t>$6,133,333</w:t>
      </w:r>
      <w:r>
        <w:rPr>
          <w:rFonts w:ascii="Palatino Linotype" w:hAnsi="Palatino Linotype" w:eastAsia="Times New Roman" w:cs="Times New Roman"/>
          <w:color w:val="000000" w:themeColor="text1"/>
          <w:kern w:val="0"/>
          <w14:ligatures w14:val="none"/>
        </w:rPr>
        <w:t xml:space="preserve"> and </w:t>
      </w:r>
      <w:r w:rsidRPr="00D63C2D" w:rsidR="005C53E9">
        <w:rPr>
          <w:rFonts w:ascii="Palatino Linotype" w:hAnsi="Palatino Linotype" w:eastAsia="Times New Roman" w:cs="Times New Roman"/>
          <w:color w:val="000000" w:themeColor="text1"/>
          <w:kern w:val="0"/>
          <w14:ligatures w14:val="none"/>
        </w:rPr>
        <w:t>$7,874,348</w:t>
      </w:r>
      <w:r w:rsidRPr="00EB31FC" w:rsidR="00A470C7">
        <w:rPr>
          <w:rFonts w:ascii="Palatino Linotype" w:hAnsi="Palatino Linotype" w:eastAsia="Times New Roman" w:cs="Times New Roman"/>
          <w:color w:val="000000" w:themeColor="text1"/>
          <w:kern w:val="0"/>
          <w14:ligatures w14:val="none"/>
        </w:rPr>
        <w:t xml:space="preserve"> in gas ratepayer funds for PG&amp;E’s </w:t>
      </w:r>
      <w:r>
        <w:rPr>
          <w:rFonts w:ascii="Palatino Linotype" w:hAnsi="Palatino Linotype" w:eastAsia="Times New Roman" w:cs="Times New Roman"/>
          <w:color w:val="000000" w:themeColor="text1"/>
          <w:kern w:val="0"/>
          <w14:ligatures w14:val="none"/>
        </w:rPr>
        <w:t xml:space="preserve">2025 and </w:t>
      </w:r>
      <w:r w:rsidR="00EB31FC">
        <w:rPr>
          <w:rFonts w:ascii="Palatino Linotype" w:hAnsi="Palatino Linotype" w:eastAsia="Times New Roman" w:cs="Times New Roman"/>
          <w:color w:val="000000" w:themeColor="text1"/>
          <w:kern w:val="0"/>
          <w14:ligatures w14:val="none"/>
        </w:rPr>
        <w:t>2026 Gas RD&amp;D Investment Plan</w:t>
      </w:r>
      <w:r>
        <w:rPr>
          <w:rFonts w:ascii="Palatino Linotype" w:hAnsi="Palatino Linotype" w:eastAsia="Times New Roman" w:cs="Times New Roman"/>
          <w:color w:val="000000" w:themeColor="text1"/>
          <w:kern w:val="0"/>
          <w14:ligatures w14:val="none"/>
        </w:rPr>
        <w:t>s</w:t>
      </w:r>
      <w:r w:rsidR="00E33E3E">
        <w:rPr>
          <w:rFonts w:ascii="Palatino Linotype" w:hAnsi="Palatino Linotype" w:eastAsia="Times New Roman" w:cs="Times New Roman"/>
          <w:color w:val="000000" w:themeColor="text1"/>
          <w:kern w:val="0"/>
          <w14:ligatures w14:val="none"/>
        </w:rPr>
        <w:t>,</w:t>
      </w:r>
      <w:r>
        <w:rPr>
          <w:rFonts w:ascii="Palatino Linotype" w:hAnsi="Palatino Linotype" w:eastAsia="Times New Roman" w:cs="Times New Roman"/>
          <w:color w:val="000000" w:themeColor="text1"/>
          <w:kern w:val="0"/>
          <w14:ligatures w14:val="none"/>
        </w:rPr>
        <w:t xml:space="preserve"> respectively</w:t>
      </w:r>
      <w:r w:rsidR="00EB31FC">
        <w:rPr>
          <w:rFonts w:ascii="Palatino Linotype" w:hAnsi="Palatino Linotype" w:eastAsia="Times New Roman" w:cs="Times New Roman"/>
          <w:color w:val="000000" w:themeColor="text1"/>
          <w:kern w:val="0"/>
          <w14:ligatures w14:val="none"/>
        </w:rPr>
        <w:t>.</w:t>
      </w:r>
    </w:p>
    <w:p w:rsidRPr="001942D0" w:rsidR="00A76F4A" w:rsidP="00361AB6" w:rsidRDefault="00A76F4A" w14:paraId="38D179E5"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00361AB6" w:rsidRDefault="00A76F4A" w14:paraId="573E1F48" w14:textId="7BA91AB8">
      <w:pPr>
        <w:spacing w:after="0" w:line="276" w:lineRule="auto"/>
        <w:ind w:left="720" w:right="720"/>
        <w:rPr>
          <w:rFonts w:ascii="Palatino Linotype" w:hAnsi="Palatino Linotype" w:eastAsia="Palatino Linotype" w:cs="Times New Roman"/>
          <w:kern w:val="0"/>
          <w14:ligatures w14:val="none"/>
        </w:rPr>
      </w:pPr>
      <w:r w:rsidRPr="0091277D">
        <w:rPr>
          <w:rFonts w:ascii="Palatino Linotype" w:hAnsi="Palatino Linotype" w:eastAsia="Palatino Linotype" w:cs="Times New Roman"/>
          <w:color w:val="000000" w:themeColor="text1"/>
          <w:kern w:val="0"/>
          <w14:ligatures w14:val="none"/>
        </w:rPr>
        <w:t xml:space="preserve">By Advice Letter </w:t>
      </w:r>
      <w:r w:rsidRPr="0091277D" w:rsidR="00740425">
        <w:rPr>
          <w:rFonts w:ascii="Palatino Linotype" w:hAnsi="Palatino Linotype" w:eastAsia="Palatino Linotype" w:cs="Times New Roman"/>
          <w:color w:val="000000" w:themeColor="text1"/>
          <w:kern w:val="0"/>
          <w14:ligatures w14:val="none"/>
        </w:rPr>
        <w:t>5</w:t>
      </w:r>
      <w:r w:rsidRPr="0091277D" w:rsidR="00EB07FB">
        <w:rPr>
          <w:rFonts w:ascii="Palatino Linotype" w:hAnsi="Palatino Linotype" w:eastAsia="Palatino Linotype" w:cs="Times New Roman"/>
          <w:color w:val="000000" w:themeColor="text1"/>
          <w:kern w:val="0"/>
          <w14:ligatures w14:val="none"/>
        </w:rPr>
        <w:t>196-G</w:t>
      </w:r>
      <w:r w:rsidRPr="0091277D" w:rsidR="00740425">
        <w:rPr>
          <w:rFonts w:ascii="Palatino Linotype" w:hAnsi="Palatino Linotype" w:eastAsia="Palatino Linotype" w:cs="Times New Roman"/>
          <w:color w:val="000000" w:themeColor="text1"/>
          <w:kern w:val="0"/>
          <w14:ligatures w14:val="none"/>
        </w:rPr>
        <w:t xml:space="preserve"> </w:t>
      </w:r>
      <w:r w:rsidRPr="0091277D" w:rsidR="009E1649">
        <w:rPr>
          <w:rFonts w:ascii="Palatino Linotype" w:hAnsi="Palatino Linotype" w:eastAsia="Palatino Linotype" w:cs="Times New Roman"/>
          <w:color w:val="000000" w:themeColor="text1"/>
          <w:kern w:val="0"/>
          <w14:ligatures w14:val="none"/>
        </w:rPr>
        <w:t xml:space="preserve">and Advice Letter </w:t>
      </w:r>
      <w:r w:rsidRPr="0091277D" w:rsidR="00740425">
        <w:rPr>
          <w:rFonts w:ascii="Palatino Linotype" w:hAnsi="Palatino Linotype" w:eastAsia="Palatino Linotype" w:cs="Times New Roman"/>
          <w:color w:val="000000" w:themeColor="text1"/>
          <w:kern w:val="0"/>
          <w14:ligatures w14:val="none"/>
        </w:rPr>
        <w:t>5</w:t>
      </w:r>
      <w:r w:rsidRPr="0091277D" w:rsidR="00EB07FB">
        <w:rPr>
          <w:rFonts w:ascii="Palatino Linotype" w:hAnsi="Palatino Linotype" w:eastAsia="Palatino Linotype" w:cs="Times New Roman"/>
          <w:color w:val="000000" w:themeColor="text1"/>
          <w:kern w:val="0"/>
          <w14:ligatures w14:val="none"/>
        </w:rPr>
        <w:t>197</w:t>
      </w:r>
      <w:r w:rsidRPr="0091277D" w:rsidR="009E1649">
        <w:rPr>
          <w:rFonts w:ascii="Palatino Linotype" w:hAnsi="Palatino Linotype" w:eastAsia="Palatino Linotype" w:cs="Times New Roman"/>
          <w:color w:val="000000" w:themeColor="text1"/>
          <w:kern w:val="0"/>
          <w14:ligatures w14:val="none"/>
        </w:rPr>
        <w:t>-G</w:t>
      </w:r>
      <w:r w:rsidRPr="0091277D" w:rsidR="00740425">
        <w:rPr>
          <w:rFonts w:ascii="Palatino Linotype" w:hAnsi="Palatino Linotype" w:eastAsia="Palatino Linotype" w:cs="Times New Roman"/>
          <w:color w:val="000000" w:themeColor="text1"/>
          <w:kern w:val="0"/>
          <w14:ligatures w14:val="none"/>
        </w:rPr>
        <w:t xml:space="preserve"> </w:t>
      </w:r>
      <w:r w:rsidRPr="0091277D" w:rsidR="00B14531">
        <w:rPr>
          <w:rFonts w:ascii="Palatino Linotype" w:hAnsi="Palatino Linotype" w:eastAsia="Palatino Linotype" w:cs="Times New Roman"/>
          <w:color w:val="000000" w:themeColor="text1"/>
          <w:kern w:val="0"/>
          <w14:ligatures w14:val="none"/>
        </w:rPr>
        <w:t>f</w:t>
      </w:r>
      <w:r w:rsidRPr="0091277D" w:rsidR="009E1649">
        <w:rPr>
          <w:rFonts w:ascii="Palatino Linotype" w:hAnsi="Palatino Linotype" w:eastAsia="Palatino Linotype" w:cs="Times New Roman"/>
          <w:color w:val="000000" w:themeColor="text1"/>
          <w:kern w:val="0"/>
          <w14:ligatures w14:val="none"/>
        </w:rPr>
        <w:t xml:space="preserve">iled on </w:t>
      </w:r>
      <w:r w:rsidRPr="0091277D" w:rsidR="00FA4966">
        <w:rPr>
          <w:rFonts w:ascii="Palatino Linotype" w:hAnsi="Palatino Linotype" w:eastAsia="Palatino Linotype" w:cs="Times New Roman"/>
          <w:color w:val="000000" w:themeColor="text1"/>
          <w:kern w:val="0"/>
          <w14:ligatures w14:val="none"/>
        </w:rPr>
        <w:t>April 3</w:t>
      </w:r>
      <w:r w:rsidRPr="0091277D" w:rsidR="00B04320">
        <w:rPr>
          <w:rFonts w:ascii="Palatino Linotype" w:hAnsi="Palatino Linotype" w:eastAsia="Palatino Linotype" w:cs="Times New Roman"/>
          <w:color w:val="000000" w:themeColor="text1"/>
          <w:kern w:val="0"/>
          <w14:ligatures w14:val="none"/>
        </w:rPr>
        <w:t>,</w:t>
      </w:r>
      <w:r w:rsidRPr="0091277D" w:rsidR="00B819D2">
        <w:rPr>
          <w:rFonts w:ascii="Palatino Linotype" w:hAnsi="Palatino Linotype" w:eastAsia="Palatino Linotype" w:cs="Times New Roman"/>
          <w:color w:val="000000" w:themeColor="text1"/>
          <w:kern w:val="0"/>
          <w14:ligatures w14:val="none"/>
        </w:rPr>
        <w:t xml:space="preserve"> 202</w:t>
      </w:r>
      <w:r w:rsidRPr="0091277D" w:rsidR="00FA4966">
        <w:rPr>
          <w:rFonts w:ascii="Palatino Linotype" w:hAnsi="Palatino Linotype" w:eastAsia="Palatino Linotype" w:cs="Times New Roman"/>
          <w:color w:val="000000" w:themeColor="text1"/>
          <w:kern w:val="0"/>
          <w14:ligatures w14:val="none"/>
        </w:rPr>
        <w:t>6</w:t>
      </w:r>
      <w:r w:rsidRPr="0091277D" w:rsidR="009E1649">
        <w:rPr>
          <w:rFonts w:ascii="Palatino Linotype" w:hAnsi="Palatino Linotype" w:eastAsia="Palatino Linotype" w:cs="Times New Roman"/>
          <w:color w:val="000000" w:themeColor="text1"/>
          <w:kern w:val="0"/>
          <w14:ligatures w14:val="none"/>
        </w:rPr>
        <w:t xml:space="preserve">. </w:t>
      </w:r>
      <w:r w:rsidR="0091277D">
        <w:rPr>
          <w:rFonts w:ascii="Palatino Linotype" w:hAnsi="Palatino Linotype" w:eastAsia="Palatino Linotype" w:cs="Times New Roman"/>
          <w:kern w:val="0"/>
          <w14:ligatures w14:val="none"/>
        </w:rPr>
        <w:t>By Advice Letter</w:t>
      </w:r>
      <w:r w:rsidR="00BF2858">
        <w:rPr>
          <w:rFonts w:ascii="Palatino Linotype" w:hAnsi="Palatino Linotype" w:eastAsia="Palatino Linotype" w:cs="Times New Roman"/>
          <w:kern w:val="0"/>
          <w14:ligatures w14:val="none"/>
        </w:rPr>
        <w:t xml:space="preserve"> 5222-</w:t>
      </w:r>
      <w:r w:rsidR="0091277D">
        <w:rPr>
          <w:rFonts w:ascii="Palatino Linotype" w:hAnsi="Palatino Linotype" w:eastAsia="Palatino Linotype" w:cs="Times New Roman"/>
          <w:kern w:val="0"/>
          <w14:ligatures w14:val="none"/>
        </w:rPr>
        <w:t>G filed on</w:t>
      </w:r>
      <w:r w:rsidR="00BF2858">
        <w:rPr>
          <w:rFonts w:ascii="Palatino Linotype" w:hAnsi="Palatino Linotype" w:eastAsia="Palatino Linotype" w:cs="Times New Roman"/>
          <w:kern w:val="0"/>
          <w14:ligatures w14:val="none"/>
        </w:rPr>
        <w:t xml:space="preserve"> June 1, 2026</w:t>
      </w:r>
      <w:r w:rsidR="0091277D">
        <w:rPr>
          <w:rFonts w:ascii="Palatino Linotype" w:hAnsi="Palatino Linotype" w:eastAsia="Palatino Linotype" w:cs="Times New Roman"/>
          <w:kern w:val="0"/>
          <w14:ligatures w14:val="none"/>
        </w:rPr>
        <w:t>.</w:t>
      </w:r>
    </w:p>
    <w:p w:rsidRPr="001942D0" w:rsidR="00A76F4A" w:rsidP="00361AB6" w:rsidRDefault="00A76F4A" w14:paraId="0542E5E0" w14:textId="77777777">
      <w:pPr>
        <w:spacing w:after="0" w:line="276"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00A76F4A" w:rsidP="00B57557" w:rsidRDefault="00A76F4A" w14:paraId="3906F9BB" w14:textId="34AAB3A1">
      <w:pPr>
        <w:keepNext/>
        <w:spacing w:after="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Summary</w:t>
      </w:r>
      <w:bookmarkEnd w:id="0"/>
    </w:p>
    <w:p w:rsidRPr="001942D0" w:rsidR="00B57557" w:rsidP="00B57557" w:rsidRDefault="00B57557" w14:paraId="4E92494A" w14:textId="77777777">
      <w:pPr>
        <w:keepNext/>
        <w:spacing w:after="0" w:line="276" w:lineRule="auto"/>
        <w:outlineLvl w:val="0"/>
        <w:rPr>
          <w:rFonts w:ascii="Palatino Linotype" w:hAnsi="Palatino Linotype" w:eastAsia="Palatino Linotype" w:cs="Times New Roman"/>
          <w:b/>
          <w:caps/>
          <w:kern w:val="28"/>
          <w:u w:val="single"/>
          <w14:ligatures w14:val="none"/>
        </w:rPr>
      </w:pPr>
    </w:p>
    <w:p w:rsidR="00135360" w:rsidP="00F75A35" w:rsidRDefault="00547A0F" w14:paraId="07705430" w14:textId="233085D3">
      <w:pPr>
        <w:spacing w:after="0" w:line="276" w:lineRule="auto"/>
        <w:rPr>
          <w:rFonts w:ascii="Palatino Linotype" w:hAnsi="Palatino Linotype" w:eastAsia="Times New Roman" w:cs="Times New Roman"/>
          <w:color w:val="000000" w:themeColor="text1"/>
          <w:kern w:val="0"/>
          <w14:ligatures w14:val="none"/>
        </w:rPr>
      </w:pPr>
      <w:r w:rsidRPr="007D1510">
        <w:rPr>
          <w:rFonts w:ascii="Palatino Linotype" w:hAnsi="Palatino Linotype" w:eastAsia="Palatino Linotype" w:cs="Times New Roman"/>
          <w:kern w:val="0"/>
          <w14:ligatures w14:val="none"/>
        </w:rPr>
        <w:t xml:space="preserve">This </w:t>
      </w:r>
      <w:r w:rsidRPr="001F5217">
        <w:rPr>
          <w:rFonts w:ascii="Palatino Linotype" w:hAnsi="Palatino Linotype" w:eastAsia="Palatino Linotype" w:cs="Times New Roman"/>
          <w:color w:val="000000" w:themeColor="text1"/>
          <w:kern w:val="0"/>
          <w14:ligatures w14:val="none"/>
        </w:rPr>
        <w:t xml:space="preserve">Resolution </w:t>
      </w:r>
      <w:r w:rsidR="00852619">
        <w:rPr>
          <w:rFonts w:ascii="Palatino Linotype" w:hAnsi="Palatino Linotype" w:eastAsia="Palatino Linotype" w:cs="Times New Roman"/>
          <w:color w:val="000000" w:themeColor="text1"/>
          <w:kern w:val="0"/>
          <w14:ligatures w14:val="none"/>
        </w:rPr>
        <w:t xml:space="preserve">1) </w:t>
      </w:r>
      <w:r w:rsidR="00CA7817">
        <w:rPr>
          <w:rFonts w:ascii="Palatino Linotype" w:hAnsi="Palatino Linotype" w:eastAsia="Palatino Linotype" w:cs="Times New Roman"/>
          <w:color w:val="000000" w:themeColor="text1"/>
          <w:kern w:val="0"/>
          <w14:ligatures w14:val="none"/>
        </w:rPr>
        <w:t xml:space="preserve">denies </w:t>
      </w:r>
      <w:r w:rsidR="0011608E">
        <w:rPr>
          <w:rFonts w:ascii="Palatino Linotype" w:hAnsi="Palatino Linotype"/>
          <w:color w:val="000000" w:themeColor="text1"/>
        </w:rPr>
        <w:t>PG&amp;E’s</w:t>
      </w:r>
      <w:r w:rsidRPr="003F6CCF">
        <w:rPr>
          <w:rFonts w:ascii="Palatino Linotype" w:hAnsi="Palatino Linotype"/>
          <w:color w:val="000000" w:themeColor="text1"/>
        </w:rPr>
        <w:t xml:space="preserve"> </w:t>
      </w:r>
      <w:r w:rsidRPr="003F6CCF" w:rsidR="00D467F1">
        <w:rPr>
          <w:rFonts w:ascii="Palatino Linotype" w:hAnsi="Palatino Linotype"/>
          <w:color w:val="000000" w:themeColor="text1"/>
        </w:rPr>
        <w:t xml:space="preserve">Advice Letter (AL) </w:t>
      </w:r>
      <w:r w:rsidRPr="00464CB5" w:rsidR="00D467F1">
        <w:rPr>
          <w:rFonts w:ascii="Palatino Linotype" w:hAnsi="Palatino Linotype"/>
          <w:color w:val="000000" w:themeColor="text1"/>
        </w:rPr>
        <w:t>5</w:t>
      </w:r>
      <w:r w:rsidRPr="00464CB5" w:rsidR="00FA4966">
        <w:rPr>
          <w:rFonts w:ascii="Palatino Linotype" w:hAnsi="Palatino Linotype"/>
          <w:color w:val="000000" w:themeColor="text1"/>
        </w:rPr>
        <w:t>196-</w:t>
      </w:r>
      <w:r w:rsidR="00FA4966">
        <w:rPr>
          <w:rFonts w:ascii="Palatino Linotype" w:hAnsi="Palatino Linotype"/>
          <w:color w:val="000000" w:themeColor="text1"/>
        </w:rPr>
        <w:t>G</w:t>
      </w:r>
      <w:r w:rsidRPr="003F6CCF" w:rsidR="00D467F1">
        <w:rPr>
          <w:rFonts w:ascii="Palatino Linotype" w:hAnsi="Palatino Linotype"/>
          <w:color w:val="000000" w:themeColor="text1"/>
        </w:rPr>
        <w:t xml:space="preserve"> </w:t>
      </w:r>
      <w:r w:rsidRPr="003F6CCF" w:rsidR="000B6755">
        <w:rPr>
          <w:rFonts w:ascii="Palatino Linotype" w:hAnsi="Palatino Linotype"/>
          <w:color w:val="000000" w:themeColor="text1"/>
        </w:rPr>
        <w:t xml:space="preserve">with </w:t>
      </w:r>
      <w:r w:rsidR="00CA7817">
        <w:rPr>
          <w:rFonts w:ascii="Palatino Linotype" w:hAnsi="Palatino Linotype"/>
          <w:color w:val="000000" w:themeColor="text1"/>
        </w:rPr>
        <w:t xml:space="preserve">its </w:t>
      </w:r>
      <w:r w:rsidRPr="003F6CCF" w:rsidR="000B6755">
        <w:rPr>
          <w:rFonts w:ascii="Palatino Linotype" w:hAnsi="Palatino Linotype"/>
          <w:color w:val="000000" w:themeColor="text1"/>
        </w:rPr>
        <w:t xml:space="preserve">proposed </w:t>
      </w:r>
      <w:r w:rsidR="0011608E">
        <w:rPr>
          <w:rFonts w:ascii="Palatino Linotype" w:hAnsi="Palatino Linotype"/>
          <w:color w:val="000000" w:themeColor="text1"/>
        </w:rPr>
        <w:t xml:space="preserve">2024 </w:t>
      </w:r>
      <w:r w:rsidRPr="003F6CCF">
        <w:rPr>
          <w:rFonts w:ascii="Palatino Linotype" w:hAnsi="Palatino Linotype" w:eastAsia="Times New Roman" w:cs="Times New Roman"/>
          <w:color w:val="000000" w:themeColor="text1"/>
          <w:kern w:val="0"/>
          <w14:ligatures w14:val="none"/>
        </w:rPr>
        <w:t xml:space="preserve">Gas </w:t>
      </w:r>
      <w:r w:rsidR="0011608E">
        <w:rPr>
          <w:rFonts w:ascii="Palatino Linotype" w:hAnsi="Palatino Linotype" w:eastAsia="Times New Roman" w:cs="Times New Roman"/>
          <w:color w:val="000000" w:themeColor="text1"/>
          <w:kern w:val="0"/>
          <w14:ligatures w14:val="none"/>
        </w:rPr>
        <w:t>RD&amp;D</w:t>
      </w:r>
      <w:r w:rsidRPr="003F6CCF">
        <w:rPr>
          <w:rFonts w:ascii="Palatino Linotype" w:hAnsi="Palatino Linotype" w:eastAsia="Times New Roman" w:cs="Times New Roman"/>
          <w:color w:val="000000" w:themeColor="text1"/>
          <w:kern w:val="0"/>
          <w14:ligatures w14:val="none"/>
        </w:rPr>
        <w:t xml:space="preserve"> Investment Plan </w:t>
      </w:r>
      <w:r w:rsidRPr="003F6CCF" w:rsidR="00F44AF1">
        <w:rPr>
          <w:rFonts w:ascii="Palatino Linotype" w:hAnsi="Palatino Linotype" w:eastAsia="Times New Roman" w:cs="Times New Roman"/>
          <w:color w:val="000000" w:themeColor="text1"/>
          <w:kern w:val="0"/>
          <w14:ligatures w14:val="none"/>
        </w:rPr>
        <w:t>(Gas RD&amp;D Plan</w:t>
      </w:r>
      <w:r w:rsidRPr="003F6CCF" w:rsidR="004D0B1E">
        <w:rPr>
          <w:rFonts w:ascii="Palatino Linotype" w:hAnsi="Palatino Linotype" w:eastAsia="Times New Roman" w:cs="Times New Roman"/>
          <w:color w:val="000000" w:themeColor="text1"/>
          <w:kern w:val="0"/>
          <w14:ligatures w14:val="none"/>
        </w:rPr>
        <w:t xml:space="preserve"> or Plan</w:t>
      </w:r>
      <w:r w:rsidRPr="003F6CCF" w:rsidR="00F44AF1">
        <w:rPr>
          <w:rFonts w:ascii="Palatino Linotype" w:hAnsi="Palatino Linotype" w:eastAsia="Times New Roman" w:cs="Times New Roman"/>
          <w:color w:val="000000" w:themeColor="text1"/>
          <w:kern w:val="0"/>
          <w14:ligatures w14:val="none"/>
        </w:rPr>
        <w:t>)</w:t>
      </w:r>
      <w:r w:rsidR="0053267C">
        <w:rPr>
          <w:rFonts w:ascii="Palatino Linotype" w:hAnsi="Palatino Linotype" w:eastAsia="Times New Roman" w:cs="Times New Roman"/>
          <w:color w:val="000000" w:themeColor="text1"/>
          <w:kern w:val="0"/>
          <w14:ligatures w14:val="none"/>
        </w:rPr>
        <w:t>;</w:t>
      </w:r>
      <w:r w:rsidDel="0053267C" w:rsidR="00464CB5">
        <w:rPr>
          <w:rFonts w:ascii="Palatino Linotype" w:hAnsi="Palatino Linotype" w:eastAsia="Times New Roman" w:cs="Times New Roman"/>
          <w:color w:val="000000" w:themeColor="text1"/>
          <w:kern w:val="0"/>
          <w14:ligatures w14:val="none"/>
        </w:rPr>
        <w:t xml:space="preserve"> </w:t>
      </w:r>
      <w:r w:rsidR="00852619">
        <w:rPr>
          <w:rFonts w:ascii="Palatino Linotype" w:hAnsi="Palatino Linotype" w:eastAsia="Times New Roman" w:cs="Times New Roman"/>
          <w:color w:val="000000" w:themeColor="text1"/>
          <w:kern w:val="0"/>
          <w14:ligatures w14:val="none"/>
        </w:rPr>
        <w:t xml:space="preserve">2) </w:t>
      </w:r>
      <w:r w:rsidRPr="00490E59" w:rsidR="00CA7817">
        <w:rPr>
          <w:rFonts w:ascii="Palatino Linotype" w:hAnsi="Palatino Linotype" w:eastAsia="Times New Roman" w:cs="Times New Roman"/>
          <w:color w:val="000000" w:themeColor="text1"/>
          <w:kern w:val="0"/>
          <w14:ligatures w14:val="none"/>
        </w:rPr>
        <w:t>approves</w:t>
      </w:r>
      <w:r w:rsidR="00E33E3E">
        <w:rPr>
          <w:rFonts w:ascii="Palatino Linotype" w:hAnsi="Palatino Linotype" w:eastAsia="Times New Roman" w:cs="Times New Roman"/>
          <w:color w:val="000000" w:themeColor="text1"/>
          <w:kern w:val="0"/>
          <w14:ligatures w14:val="none"/>
        </w:rPr>
        <w:t>,</w:t>
      </w:r>
      <w:r w:rsidRPr="00490E59" w:rsidR="00CA7817">
        <w:rPr>
          <w:rFonts w:ascii="Palatino Linotype" w:hAnsi="Palatino Linotype" w:eastAsia="Times New Roman" w:cs="Times New Roman"/>
          <w:color w:val="000000" w:themeColor="text1"/>
          <w:kern w:val="0"/>
          <w14:ligatures w14:val="none"/>
        </w:rPr>
        <w:t xml:space="preserve"> in part</w:t>
      </w:r>
      <w:r w:rsidR="00E33E3E">
        <w:rPr>
          <w:rFonts w:ascii="Palatino Linotype" w:hAnsi="Palatino Linotype" w:eastAsia="Times New Roman" w:cs="Times New Roman"/>
          <w:color w:val="000000" w:themeColor="text1"/>
          <w:kern w:val="0"/>
          <w14:ligatures w14:val="none"/>
        </w:rPr>
        <w:t>,</w:t>
      </w:r>
      <w:r w:rsidRPr="00464CB5" w:rsidR="00CA7817">
        <w:rPr>
          <w:rFonts w:ascii="Palatino Linotype" w:hAnsi="Palatino Linotype" w:eastAsia="Times New Roman" w:cs="Times New Roman"/>
          <w:color w:val="000000" w:themeColor="text1"/>
          <w:kern w:val="0"/>
          <w14:ligatures w14:val="none"/>
        </w:rPr>
        <w:t xml:space="preserve"> </w:t>
      </w:r>
      <w:r w:rsidRPr="00464CB5" w:rsidR="00CA7817">
        <w:rPr>
          <w:rFonts w:ascii="Palatino Linotype" w:hAnsi="Palatino Linotype" w:eastAsia="Palatino Linotype" w:cs="Times New Roman"/>
          <w:color w:val="000000" w:themeColor="text1"/>
          <w:kern w:val="0"/>
          <w14:ligatures w14:val="none"/>
        </w:rPr>
        <w:t xml:space="preserve">AL </w:t>
      </w:r>
      <w:r w:rsidRPr="00464CB5" w:rsidR="00CA7817">
        <w:rPr>
          <w:rFonts w:ascii="Palatino Linotype" w:hAnsi="Palatino Linotype"/>
          <w:color w:val="000000" w:themeColor="text1"/>
        </w:rPr>
        <w:t>5197</w:t>
      </w:r>
      <w:r w:rsidRPr="003F6CCF" w:rsidR="00CA7817">
        <w:rPr>
          <w:rFonts w:ascii="Palatino Linotype" w:hAnsi="Palatino Linotype"/>
          <w:color w:val="000000" w:themeColor="text1"/>
        </w:rPr>
        <w:t xml:space="preserve">-G with </w:t>
      </w:r>
      <w:r w:rsidR="00B319FF">
        <w:rPr>
          <w:rFonts w:ascii="Palatino Linotype" w:hAnsi="Palatino Linotype"/>
          <w:color w:val="000000" w:themeColor="text1"/>
        </w:rPr>
        <w:t xml:space="preserve">its proposed </w:t>
      </w:r>
      <w:r w:rsidR="00B7162F">
        <w:rPr>
          <w:rFonts w:ascii="Palatino Linotype" w:hAnsi="Palatino Linotype"/>
          <w:color w:val="000000" w:themeColor="text1"/>
        </w:rPr>
        <w:t xml:space="preserve">2025 </w:t>
      </w:r>
      <w:r w:rsidR="00B319FF">
        <w:rPr>
          <w:rFonts w:ascii="Palatino Linotype" w:hAnsi="Palatino Linotype"/>
          <w:color w:val="000000" w:themeColor="text1"/>
        </w:rPr>
        <w:t>Plan</w:t>
      </w:r>
      <w:r w:rsidR="0053267C">
        <w:rPr>
          <w:rFonts w:ascii="Palatino Linotype" w:hAnsi="Palatino Linotype"/>
          <w:color w:val="000000" w:themeColor="text1"/>
        </w:rPr>
        <w:t>;</w:t>
      </w:r>
      <w:r w:rsidR="00B319FF">
        <w:rPr>
          <w:rFonts w:ascii="Palatino Linotype" w:hAnsi="Palatino Linotype"/>
          <w:color w:val="000000" w:themeColor="text1"/>
        </w:rPr>
        <w:t xml:space="preserve"> </w:t>
      </w:r>
      <w:r w:rsidRPr="00BF2858" w:rsidR="00464CB5">
        <w:rPr>
          <w:rFonts w:ascii="Palatino Linotype" w:hAnsi="Palatino Linotype" w:eastAsia="Times New Roman" w:cs="Times New Roman"/>
          <w:color w:val="000000" w:themeColor="text1"/>
          <w:kern w:val="0"/>
          <w14:ligatures w14:val="none"/>
        </w:rPr>
        <w:t>and</w:t>
      </w:r>
      <w:r w:rsidR="0053267C">
        <w:rPr>
          <w:rFonts w:ascii="Palatino Linotype" w:hAnsi="Palatino Linotype" w:eastAsia="Times New Roman" w:cs="Times New Roman"/>
          <w:color w:val="000000" w:themeColor="text1"/>
          <w:kern w:val="0"/>
          <w14:ligatures w14:val="none"/>
        </w:rPr>
        <w:t xml:space="preserve"> 3) approves, in part,</w:t>
      </w:r>
      <w:r w:rsidRPr="00BF2858" w:rsidR="00464CB5">
        <w:rPr>
          <w:rFonts w:ascii="Palatino Linotype" w:hAnsi="Palatino Linotype" w:eastAsia="Times New Roman" w:cs="Times New Roman"/>
          <w:color w:val="000000" w:themeColor="text1"/>
          <w:kern w:val="0"/>
          <w14:ligatures w14:val="none"/>
        </w:rPr>
        <w:t xml:space="preserve"> AL </w:t>
      </w:r>
      <w:r w:rsidRPr="00BF2858" w:rsidR="00BF2858">
        <w:rPr>
          <w:rFonts w:ascii="Palatino Linotype" w:hAnsi="Palatino Linotype" w:eastAsia="Times New Roman" w:cs="Times New Roman"/>
          <w:color w:val="000000" w:themeColor="text1"/>
          <w:kern w:val="0"/>
          <w14:ligatures w14:val="none"/>
        </w:rPr>
        <w:t>5222-</w:t>
      </w:r>
      <w:r w:rsidRPr="00BF2858" w:rsidR="00464CB5">
        <w:rPr>
          <w:rFonts w:ascii="Palatino Linotype" w:hAnsi="Palatino Linotype" w:eastAsia="Times New Roman" w:cs="Times New Roman"/>
          <w:color w:val="000000" w:themeColor="text1"/>
          <w:kern w:val="0"/>
          <w14:ligatures w14:val="none"/>
        </w:rPr>
        <w:t xml:space="preserve">G with its proposed </w:t>
      </w:r>
      <w:r w:rsidR="00B7162F">
        <w:rPr>
          <w:rFonts w:ascii="Palatino Linotype" w:hAnsi="Palatino Linotype" w:eastAsia="Times New Roman" w:cs="Times New Roman"/>
          <w:color w:val="000000" w:themeColor="text1"/>
          <w:kern w:val="0"/>
          <w14:ligatures w14:val="none"/>
        </w:rPr>
        <w:t xml:space="preserve">2026 </w:t>
      </w:r>
      <w:r w:rsidRPr="00BF2858" w:rsidR="00464CB5">
        <w:rPr>
          <w:rFonts w:ascii="Palatino Linotype" w:hAnsi="Palatino Linotype" w:eastAsia="Times New Roman" w:cs="Times New Roman"/>
          <w:color w:val="000000" w:themeColor="text1"/>
          <w:kern w:val="0"/>
          <w14:ligatures w14:val="none"/>
        </w:rPr>
        <w:t>Plan</w:t>
      </w:r>
      <w:r w:rsidRPr="00BF2858" w:rsidR="00CA7817">
        <w:rPr>
          <w:rFonts w:ascii="Palatino Linotype" w:hAnsi="Palatino Linotype" w:eastAsia="Times New Roman" w:cs="Times New Roman"/>
          <w:color w:val="000000" w:themeColor="text1"/>
          <w:kern w:val="0"/>
          <w14:ligatures w14:val="none"/>
        </w:rPr>
        <w:t xml:space="preserve">. </w:t>
      </w:r>
      <w:r w:rsidRPr="003F6CCF" w:rsidR="00E138FD">
        <w:rPr>
          <w:rFonts w:ascii="Palatino Linotype" w:hAnsi="Palatino Linotype" w:eastAsia="Palatino Linotype" w:cs="Times New Roman"/>
          <w:color w:val="000000" w:themeColor="text1"/>
          <w:kern w:val="0"/>
          <w14:ligatures w14:val="none"/>
        </w:rPr>
        <w:t xml:space="preserve">PG&amp;E’s </w:t>
      </w:r>
      <w:r w:rsidRPr="003F6CCF" w:rsidR="006372B0">
        <w:rPr>
          <w:rFonts w:ascii="Palatino Linotype" w:hAnsi="Palatino Linotype" w:eastAsia="Palatino Linotype" w:cs="Times New Roman"/>
          <w:color w:val="000000" w:themeColor="text1"/>
          <w:kern w:val="0"/>
          <w14:ligatures w14:val="none"/>
        </w:rPr>
        <w:t xml:space="preserve">Gas </w:t>
      </w:r>
      <w:r w:rsidRPr="003F6CCF">
        <w:rPr>
          <w:rFonts w:ascii="Palatino Linotype" w:hAnsi="Palatino Linotype" w:eastAsia="Palatino Linotype" w:cs="Times New Roman"/>
          <w:color w:val="000000" w:themeColor="text1"/>
          <w:kern w:val="0"/>
          <w14:ligatures w14:val="none"/>
        </w:rPr>
        <w:t>RD&amp;D Program was established pursuant to</w:t>
      </w:r>
      <w:r w:rsidR="003F3690">
        <w:rPr>
          <w:rFonts w:ascii="Palatino Linotype" w:hAnsi="Palatino Linotype" w:eastAsia="Palatino Linotype" w:cs="Times New Roman"/>
          <w:color w:val="000000" w:themeColor="text1"/>
          <w:kern w:val="0"/>
          <w14:ligatures w14:val="none"/>
        </w:rPr>
        <w:t xml:space="preserve"> </w:t>
      </w:r>
      <w:r w:rsidRPr="003F6CCF" w:rsidR="00EC4768">
        <w:rPr>
          <w:rFonts w:ascii="Palatino Linotype" w:hAnsi="Palatino Linotype" w:eastAsia="Palatino Linotype" w:cs="Times New Roman"/>
          <w:color w:val="000000" w:themeColor="text1"/>
          <w:kern w:val="0"/>
          <w14:ligatures w14:val="none"/>
        </w:rPr>
        <w:t>D</w:t>
      </w:r>
      <w:r w:rsidRPr="003F6CCF">
        <w:rPr>
          <w:rFonts w:ascii="Palatino Linotype" w:hAnsi="Palatino Linotype" w:eastAsia="Palatino Linotype" w:cs="Times New Roman"/>
          <w:color w:val="000000" w:themeColor="text1"/>
          <w:kern w:val="0"/>
          <w14:ligatures w14:val="none"/>
        </w:rPr>
        <w:t>.</w:t>
      </w:r>
      <w:r w:rsidRPr="003F6CCF" w:rsidR="00E138FD">
        <w:rPr>
          <w:rFonts w:ascii="Palatino Linotype" w:hAnsi="Palatino Linotype" w:eastAsia="Palatino Linotype" w:cs="Times New Roman"/>
          <w:color w:val="000000" w:themeColor="text1"/>
          <w:kern w:val="0"/>
          <w14:ligatures w14:val="none"/>
        </w:rPr>
        <w:t>23-11-069</w:t>
      </w:r>
      <w:r w:rsidRPr="00EF2825" w:rsidR="001F3C89">
        <w:rPr>
          <w:rFonts w:ascii="Palatino Linotype" w:hAnsi="Palatino Linotype" w:eastAsia="Palatino Linotype" w:cs="Times New Roman"/>
          <w:color w:val="000000" w:themeColor="text1"/>
          <w:kern w:val="0"/>
          <w14:ligatures w14:val="none"/>
        </w:rPr>
        <w:t xml:space="preserve">, </w:t>
      </w:r>
      <w:r w:rsidRPr="00EF2825" w:rsidR="00955C84">
        <w:rPr>
          <w:rFonts w:ascii="Palatino Linotype" w:hAnsi="Palatino Linotype" w:eastAsia="Palatino Linotype" w:cs="Times New Roman"/>
          <w:color w:val="000000" w:themeColor="text1"/>
          <w:kern w:val="0"/>
          <w14:ligatures w14:val="none"/>
        </w:rPr>
        <w:t xml:space="preserve">requiring PG&amp;E to </w:t>
      </w:r>
      <w:r w:rsidRPr="00EF2825" w:rsidR="00AA7D1C">
        <w:rPr>
          <w:rFonts w:ascii="Palatino Linotype" w:hAnsi="Palatino Linotype" w:eastAsia="Palatino Linotype" w:cs="Times New Roman"/>
          <w:bCs/>
          <w:color w:val="000000" w:themeColor="text1"/>
          <w:kern w:val="0"/>
          <w14:ligatures w14:val="none"/>
        </w:rPr>
        <w:t xml:space="preserve">submit, and the </w:t>
      </w:r>
      <w:r w:rsidRPr="00EF2825" w:rsidR="00940168">
        <w:rPr>
          <w:rFonts w:ascii="Palatino Linotype" w:hAnsi="Palatino Linotype" w:eastAsia="Palatino Linotype" w:cs="Times New Roman"/>
          <w:color w:val="000000" w:themeColor="text1"/>
          <w:kern w:val="0"/>
          <w14:ligatures w14:val="none"/>
        </w:rPr>
        <w:t xml:space="preserve">Commission </w:t>
      </w:r>
      <w:r w:rsidRPr="00EF2825" w:rsidR="00AA7D1C">
        <w:rPr>
          <w:rFonts w:ascii="Palatino Linotype" w:hAnsi="Palatino Linotype" w:eastAsia="Palatino Linotype" w:cs="Times New Roman"/>
          <w:bCs/>
          <w:color w:val="000000" w:themeColor="text1"/>
          <w:kern w:val="0"/>
          <w14:ligatures w14:val="none"/>
        </w:rPr>
        <w:t>to approve, an</w:t>
      </w:r>
      <w:r w:rsidRPr="00EF2825" w:rsidR="00940168">
        <w:rPr>
          <w:rFonts w:ascii="Palatino Linotype" w:hAnsi="Palatino Linotype" w:eastAsia="Palatino Linotype" w:cs="Times New Roman"/>
          <w:color w:val="000000" w:themeColor="text1"/>
          <w:kern w:val="0"/>
          <w14:ligatures w14:val="none"/>
        </w:rPr>
        <w:t xml:space="preserve"> annual </w:t>
      </w:r>
      <w:r w:rsidRPr="00EF2825" w:rsidR="00AA7D1C">
        <w:rPr>
          <w:rFonts w:ascii="Palatino Linotype" w:hAnsi="Palatino Linotype" w:eastAsia="Palatino Linotype" w:cs="Times New Roman"/>
          <w:bCs/>
          <w:color w:val="000000" w:themeColor="text1"/>
          <w:kern w:val="0"/>
          <w14:ligatures w14:val="none"/>
        </w:rPr>
        <w:t xml:space="preserve">Tier 3 </w:t>
      </w:r>
      <w:r w:rsidRPr="00EF2825" w:rsidR="00AA7D1C">
        <w:rPr>
          <w:rFonts w:ascii="Palatino Linotype" w:hAnsi="Palatino Linotype" w:eastAsia="Palatino Linotype" w:cs="Times New Roman"/>
          <w:color w:val="000000" w:themeColor="text1"/>
          <w:kern w:val="0"/>
          <w14:ligatures w14:val="none"/>
        </w:rPr>
        <w:t>AL describing</w:t>
      </w:r>
      <w:r w:rsidRPr="00EF2825" w:rsidR="00AA7D1C">
        <w:rPr>
          <w:rFonts w:ascii="Palatino Linotype" w:hAnsi="Palatino Linotype" w:eastAsia="Palatino Linotype" w:cs="Times New Roman"/>
          <w:bCs/>
          <w:color w:val="000000" w:themeColor="text1"/>
          <w:kern w:val="0"/>
          <w14:ligatures w14:val="none"/>
        </w:rPr>
        <w:t xml:space="preserve"> PG&amp;E’s proposed </w:t>
      </w:r>
      <w:r w:rsidRPr="00EF2825" w:rsidR="00940168">
        <w:rPr>
          <w:rFonts w:ascii="Palatino Linotype" w:hAnsi="Palatino Linotype" w:eastAsia="Palatino Linotype" w:cs="Times New Roman"/>
          <w:color w:val="000000" w:themeColor="text1"/>
          <w:kern w:val="0"/>
          <w14:ligatures w14:val="none"/>
        </w:rPr>
        <w:t xml:space="preserve">Gas RD&amp;D </w:t>
      </w:r>
      <w:r w:rsidRPr="00EF2825" w:rsidR="00AA7D1C">
        <w:rPr>
          <w:rFonts w:ascii="Palatino Linotype" w:hAnsi="Palatino Linotype" w:eastAsia="Palatino Linotype" w:cs="Times New Roman"/>
          <w:bCs/>
          <w:color w:val="000000" w:themeColor="text1"/>
          <w:kern w:val="0"/>
          <w14:ligatures w14:val="none"/>
        </w:rPr>
        <w:t>Investment Plan</w:t>
      </w:r>
      <w:r w:rsidRPr="00EF2825" w:rsidR="00C657FF">
        <w:rPr>
          <w:rFonts w:ascii="Palatino Linotype" w:hAnsi="Palatino Linotype" w:eastAsia="Palatino Linotype" w:cs="Times New Roman"/>
          <w:bCs/>
          <w:color w:val="000000" w:themeColor="text1"/>
          <w:kern w:val="0"/>
          <w14:ligatures w14:val="none"/>
        </w:rPr>
        <w:t xml:space="preserve"> prior to utilizing authorized funds</w:t>
      </w:r>
      <w:r w:rsidRPr="00EF2825">
        <w:rPr>
          <w:rFonts w:ascii="Palatino Linotype" w:hAnsi="Palatino Linotype" w:eastAsia="Palatino Linotype" w:cs="Times New Roman"/>
          <w:color w:val="000000" w:themeColor="text1"/>
          <w:kern w:val="0"/>
          <w14:ligatures w14:val="none"/>
        </w:rPr>
        <w:t>.</w:t>
      </w:r>
      <w:r w:rsidRPr="00EF2825" w:rsidR="00EC4768">
        <w:rPr>
          <w:rStyle w:val="FootnoteReference"/>
          <w:rFonts w:ascii="Palatino Linotype" w:hAnsi="Palatino Linotype" w:eastAsia="Palatino Linotype" w:cs="Times New Roman"/>
          <w:color w:val="000000" w:themeColor="text1"/>
          <w:kern w:val="0"/>
          <w14:ligatures w14:val="none"/>
        </w:rPr>
        <w:footnoteReference w:id="1"/>
      </w:r>
      <w:r w:rsidRPr="00EF2825" w:rsidDel="009F5047">
        <w:rPr>
          <w:rFonts w:ascii="Palatino Linotype" w:hAnsi="Palatino Linotype" w:eastAsia="Palatino Linotype" w:cs="Times New Roman"/>
          <w:color w:val="000000" w:themeColor="text1"/>
          <w:kern w:val="0"/>
          <w14:ligatures w14:val="none"/>
        </w:rPr>
        <w:t xml:space="preserve"> </w:t>
      </w:r>
      <w:r w:rsidR="004374BE">
        <w:rPr>
          <w:rFonts w:ascii="Palatino Linotype" w:hAnsi="Palatino Linotype" w:eastAsia="Palatino Linotype" w:cs="Times New Roman"/>
          <w:color w:val="000000" w:themeColor="text1"/>
          <w:kern w:val="0"/>
          <w14:ligatures w14:val="none"/>
        </w:rPr>
        <w:t>Th</w:t>
      </w:r>
      <w:r w:rsidRPr="0091277D" w:rsidR="004374BE">
        <w:rPr>
          <w:rFonts w:ascii="Palatino Linotype" w:hAnsi="Palatino Linotype" w:eastAsia="Palatino Linotype" w:cs="Times New Roman"/>
          <w:color w:val="000000" w:themeColor="text1"/>
          <w:kern w:val="0"/>
          <w14:ligatures w14:val="none"/>
        </w:rPr>
        <w:t>e California Public Utilities Commission</w:t>
      </w:r>
      <w:r w:rsidR="004374BE">
        <w:rPr>
          <w:rFonts w:ascii="Palatino Linotype" w:hAnsi="Palatino Linotype" w:eastAsia="Palatino Linotype" w:cs="Times New Roman"/>
          <w:color w:val="000000" w:themeColor="text1"/>
          <w:kern w:val="0"/>
          <w14:ligatures w14:val="none"/>
        </w:rPr>
        <w:t>’s</w:t>
      </w:r>
      <w:r w:rsidRPr="0091277D" w:rsidR="004374BE">
        <w:rPr>
          <w:rFonts w:ascii="Palatino Linotype" w:hAnsi="Palatino Linotype" w:eastAsia="Palatino Linotype" w:cs="Times New Roman"/>
          <w:color w:val="000000" w:themeColor="text1"/>
          <w:kern w:val="0"/>
          <w14:ligatures w14:val="none"/>
        </w:rPr>
        <w:t xml:space="preserve"> (CPUC or Commission)</w:t>
      </w:r>
      <w:r w:rsidR="004374BE">
        <w:rPr>
          <w:rFonts w:ascii="Palatino Linotype" w:hAnsi="Palatino Linotype" w:eastAsia="Palatino Linotype" w:cs="Times New Roman"/>
          <w:color w:val="000000" w:themeColor="text1"/>
          <w:kern w:val="0"/>
          <w14:ligatures w14:val="none"/>
        </w:rPr>
        <w:t xml:space="preserve"> findings are based on</w:t>
      </w:r>
      <w:r w:rsidRPr="0091277D" w:rsidR="007C144A">
        <w:rPr>
          <w:rFonts w:ascii="Palatino Linotype" w:hAnsi="Palatino Linotype" w:eastAsia="Palatino Linotype" w:cs="Times New Roman"/>
          <w:color w:val="000000" w:themeColor="text1"/>
          <w:kern w:val="0"/>
          <w14:ligatures w14:val="none"/>
        </w:rPr>
        <w:t xml:space="preserve"> review</w:t>
      </w:r>
      <w:r w:rsidRPr="0091277D" w:rsidR="001F07D5">
        <w:rPr>
          <w:rFonts w:ascii="Palatino Linotype" w:hAnsi="Palatino Linotype" w:eastAsia="Palatino Linotype" w:cs="Times New Roman"/>
          <w:color w:val="000000" w:themeColor="text1"/>
          <w:kern w:val="0"/>
          <w14:ligatures w14:val="none"/>
        </w:rPr>
        <w:t xml:space="preserve"> of </w:t>
      </w:r>
      <w:r w:rsidR="004374BE">
        <w:rPr>
          <w:rFonts w:ascii="Palatino Linotype" w:hAnsi="Palatino Linotype" w:eastAsia="Palatino Linotype" w:cs="Times New Roman"/>
          <w:color w:val="000000" w:themeColor="text1"/>
          <w:kern w:val="0"/>
          <w14:ligatures w14:val="none"/>
        </w:rPr>
        <w:t xml:space="preserve">PG&amp;E’s </w:t>
      </w:r>
      <w:r w:rsidR="007D2A2E">
        <w:rPr>
          <w:rFonts w:ascii="Palatino Linotype" w:hAnsi="Palatino Linotype" w:eastAsia="Palatino Linotype" w:cs="Times New Roman"/>
          <w:color w:val="000000" w:themeColor="text1"/>
          <w:kern w:val="0"/>
          <w14:ligatures w14:val="none"/>
        </w:rPr>
        <w:t xml:space="preserve">Gas RD&amp;D </w:t>
      </w:r>
      <w:r w:rsidRPr="0091277D" w:rsidR="001F07D5">
        <w:rPr>
          <w:rFonts w:ascii="Palatino Linotype" w:hAnsi="Palatino Linotype" w:eastAsia="Palatino Linotype" w:cs="Times New Roman"/>
          <w:color w:val="000000" w:themeColor="text1"/>
          <w:kern w:val="0"/>
          <w14:ligatures w14:val="none"/>
        </w:rPr>
        <w:t>requirements</w:t>
      </w:r>
      <w:r w:rsidR="007D2A2E">
        <w:rPr>
          <w:rFonts w:ascii="Palatino Linotype" w:hAnsi="Palatino Linotype" w:eastAsia="Palatino Linotype" w:cs="Times New Roman"/>
          <w:color w:val="000000" w:themeColor="text1"/>
          <w:kern w:val="0"/>
          <w14:ligatures w14:val="none"/>
        </w:rPr>
        <w:t>. Specifically, the Commission</w:t>
      </w:r>
      <w:r w:rsidR="00F25057">
        <w:rPr>
          <w:rFonts w:ascii="Palatino Linotype" w:hAnsi="Palatino Linotype" w:eastAsia="Palatino Linotype" w:cs="Times New Roman"/>
          <w:color w:val="000000" w:themeColor="text1"/>
          <w:kern w:val="0"/>
          <w14:ligatures w14:val="none"/>
        </w:rPr>
        <w:t>:</w:t>
      </w:r>
      <w:r w:rsidRPr="0091277D">
        <w:rPr>
          <w:rFonts w:ascii="Palatino Linotype" w:hAnsi="Palatino Linotype" w:eastAsia="Palatino Linotype" w:cs="Times New Roman"/>
          <w:color w:val="000000" w:themeColor="text1"/>
          <w:kern w:val="0"/>
          <w14:ligatures w14:val="none"/>
        </w:rPr>
        <w:t xml:space="preserve"> </w:t>
      </w:r>
      <w:r w:rsidR="00BA1659">
        <w:rPr>
          <w:rFonts w:ascii="Palatino Linotype" w:hAnsi="Palatino Linotype" w:eastAsia="Palatino Linotype" w:cs="Times New Roman"/>
          <w:color w:val="000000" w:themeColor="text1"/>
          <w:kern w:val="0"/>
          <w14:ligatures w14:val="none"/>
        </w:rPr>
        <w:t xml:space="preserve">1) </w:t>
      </w:r>
      <w:r w:rsidRPr="0091277D" w:rsidR="00B319FF">
        <w:rPr>
          <w:rFonts w:ascii="Palatino Linotype" w:hAnsi="Palatino Linotype" w:eastAsia="Palatino Linotype" w:cs="Times New Roman"/>
          <w:color w:val="000000" w:themeColor="text1"/>
          <w:kern w:val="0"/>
          <w14:ligatures w14:val="none"/>
        </w:rPr>
        <w:t>denies</w:t>
      </w:r>
      <w:r w:rsidR="00BA1659">
        <w:rPr>
          <w:rFonts w:ascii="Palatino Linotype" w:hAnsi="Palatino Linotype" w:eastAsia="Palatino Linotype" w:cs="Times New Roman"/>
          <w:color w:val="000000" w:themeColor="text1"/>
          <w:kern w:val="0"/>
          <w14:ligatures w14:val="none"/>
        </w:rPr>
        <w:t xml:space="preserve"> </w:t>
      </w:r>
      <w:r w:rsidRPr="0091277D" w:rsidR="00B319FF">
        <w:rPr>
          <w:rFonts w:ascii="Palatino Linotype" w:hAnsi="Palatino Linotype" w:eastAsia="Palatino Linotype" w:cs="Times New Roman"/>
          <w:color w:val="000000" w:themeColor="text1"/>
          <w:kern w:val="0"/>
          <w14:ligatures w14:val="none"/>
        </w:rPr>
        <w:t xml:space="preserve">PG&amp;E’s 2024 Gas RD&amp;D Plan with a proposed </w:t>
      </w:r>
      <w:r w:rsidRPr="0091277D" w:rsidR="00B319FF">
        <w:rPr>
          <w:rFonts w:ascii="Palatino Linotype" w:hAnsi="Palatino Linotype" w:eastAsia="Times New Roman" w:cs="Times New Roman"/>
          <w:color w:val="000000" w:themeColor="text1"/>
          <w:kern w:val="0"/>
          <w14:ligatures w14:val="none"/>
        </w:rPr>
        <w:t>budget of $1,945,797</w:t>
      </w:r>
      <w:r w:rsidR="002C425D">
        <w:rPr>
          <w:rFonts w:ascii="Palatino Linotype" w:hAnsi="Palatino Linotype" w:eastAsia="Times New Roman" w:cs="Times New Roman"/>
          <w:color w:val="000000" w:themeColor="text1"/>
          <w:kern w:val="0"/>
          <w14:ligatures w14:val="none"/>
        </w:rPr>
        <w:t>; 2)</w:t>
      </w:r>
      <w:r w:rsidDel="002C425D" w:rsidR="003F3690">
        <w:rPr>
          <w:rFonts w:ascii="Palatino Linotype" w:hAnsi="Palatino Linotype" w:eastAsia="Times New Roman" w:cs="Times New Roman"/>
          <w:color w:val="000000" w:themeColor="text1"/>
          <w:kern w:val="0"/>
          <w14:ligatures w14:val="none"/>
        </w:rPr>
        <w:t xml:space="preserve"> </w:t>
      </w:r>
      <w:r w:rsidRPr="0091277D" w:rsidR="00F54D39">
        <w:rPr>
          <w:rFonts w:ascii="Palatino Linotype" w:hAnsi="Palatino Linotype" w:eastAsia="Times New Roman" w:cs="Times New Roman"/>
          <w:color w:val="000000" w:themeColor="text1"/>
          <w:kern w:val="0"/>
          <w14:ligatures w14:val="none"/>
        </w:rPr>
        <w:t>approves</w:t>
      </w:r>
      <w:r w:rsidR="0030491A">
        <w:rPr>
          <w:rFonts w:ascii="Palatino Linotype" w:hAnsi="Palatino Linotype" w:eastAsia="Times New Roman" w:cs="Times New Roman"/>
          <w:color w:val="000000" w:themeColor="text1"/>
          <w:kern w:val="0"/>
          <w14:ligatures w14:val="none"/>
        </w:rPr>
        <w:t>,</w:t>
      </w:r>
      <w:r w:rsidRPr="0091277D" w:rsidR="00F54D39">
        <w:rPr>
          <w:rFonts w:ascii="Palatino Linotype" w:hAnsi="Palatino Linotype" w:eastAsia="Times New Roman" w:cs="Times New Roman"/>
          <w:color w:val="000000" w:themeColor="text1"/>
          <w:kern w:val="0"/>
          <w14:ligatures w14:val="none"/>
        </w:rPr>
        <w:t xml:space="preserve"> in part</w:t>
      </w:r>
      <w:r w:rsidR="0030491A">
        <w:rPr>
          <w:rFonts w:ascii="Palatino Linotype" w:hAnsi="Palatino Linotype" w:eastAsia="Times New Roman" w:cs="Times New Roman"/>
          <w:color w:val="000000" w:themeColor="text1"/>
          <w:kern w:val="0"/>
          <w14:ligatures w14:val="none"/>
        </w:rPr>
        <w:t>,</w:t>
      </w:r>
      <w:r w:rsidRPr="0091277D" w:rsidR="00F54D39">
        <w:rPr>
          <w:rFonts w:ascii="Palatino Linotype" w:hAnsi="Palatino Linotype" w:eastAsia="Times New Roman" w:cs="Times New Roman"/>
          <w:color w:val="000000" w:themeColor="text1"/>
          <w:kern w:val="0"/>
          <w14:ligatures w14:val="none"/>
        </w:rPr>
        <w:t xml:space="preserve"> </w:t>
      </w:r>
      <w:r w:rsidRPr="0091277D" w:rsidR="00F54D39">
        <w:rPr>
          <w:rFonts w:ascii="Palatino Linotype" w:hAnsi="Palatino Linotype" w:eastAsia="Palatino Linotype" w:cs="Times New Roman"/>
          <w:color w:val="000000" w:themeColor="text1"/>
          <w:kern w:val="0"/>
          <w14:ligatures w14:val="none"/>
        </w:rPr>
        <w:t>PG&amp;E’s</w:t>
      </w:r>
      <w:r w:rsidR="003F3690">
        <w:rPr>
          <w:rFonts w:ascii="Palatino Linotype" w:hAnsi="Palatino Linotype" w:eastAsia="Palatino Linotype" w:cs="Times New Roman"/>
          <w:color w:val="000000" w:themeColor="text1"/>
          <w:kern w:val="0"/>
          <w14:ligatures w14:val="none"/>
        </w:rPr>
        <w:t xml:space="preserve"> </w:t>
      </w:r>
      <w:r w:rsidRPr="0091277D" w:rsidR="00F54D39">
        <w:rPr>
          <w:rFonts w:ascii="Palatino Linotype" w:hAnsi="Palatino Linotype" w:eastAsia="Palatino Linotype" w:cs="Times New Roman"/>
          <w:color w:val="000000" w:themeColor="text1"/>
          <w:kern w:val="0"/>
          <w14:ligatures w14:val="none"/>
        </w:rPr>
        <w:t xml:space="preserve">2025 Gas RD&amp;D Plan with a proposed </w:t>
      </w:r>
      <w:r w:rsidRPr="0091277D" w:rsidR="00F54D39">
        <w:rPr>
          <w:rFonts w:ascii="Palatino Linotype" w:hAnsi="Palatino Linotype" w:eastAsia="Times New Roman" w:cs="Times New Roman"/>
          <w:color w:val="000000" w:themeColor="text1"/>
          <w:kern w:val="0"/>
          <w14:ligatures w14:val="none"/>
        </w:rPr>
        <w:t xml:space="preserve">budget of </w:t>
      </w:r>
      <w:r w:rsidRPr="0091277D" w:rsidR="00B319FF">
        <w:rPr>
          <w:rFonts w:ascii="Palatino Linotype" w:hAnsi="Palatino Linotype" w:eastAsia="Times New Roman" w:cs="Times New Roman"/>
          <w:color w:val="000000" w:themeColor="text1"/>
          <w:kern w:val="0"/>
          <w14:ligatures w14:val="none"/>
        </w:rPr>
        <w:t>$6,700,087</w:t>
      </w:r>
      <w:r w:rsidR="003E4D9F">
        <w:rPr>
          <w:rFonts w:ascii="Palatino Linotype" w:hAnsi="Palatino Linotype" w:eastAsia="Times New Roman" w:cs="Times New Roman"/>
          <w:color w:val="000000" w:themeColor="text1"/>
          <w:kern w:val="0"/>
          <w14:ligatures w14:val="none"/>
        </w:rPr>
        <w:t xml:space="preserve"> and </w:t>
      </w:r>
      <w:r w:rsidR="0090356F">
        <w:rPr>
          <w:rFonts w:ascii="Palatino Linotype" w:hAnsi="Palatino Linotype" w:eastAsia="Times New Roman" w:cs="Times New Roman"/>
          <w:color w:val="000000" w:themeColor="text1"/>
          <w:kern w:val="0"/>
          <w14:ligatures w14:val="none"/>
        </w:rPr>
        <w:t xml:space="preserve">administrative budget of </w:t>
      </w:r>
      <w:r w:rsidRPr="0091277D" w:rsidR="0090356F">
        <w:rPr>
          <w:rFonts w:ascii="Palatino Linotype" w:hAnsi="Palatino Linotype" w:eastAsia="Palatino Linotype" w:cs="Times New Roman"/>
          <w:color w:val="000000" w:themeColor="text1"/>
          <w:kern w:val="0"/>
          <w14:ligatures w14:val="none"/>
        </w:rPr>
        <w:t>$670,000</w:t>
      </w:r>
      <w:r w:rsidR="0030491A">
        <w:rPr>
          <w:rFonts w:ascii="Palatino Linotype" w:hAnsi="Palatino Linotype" w:eastAsia="Palatino Linotype" w:cs="Times New Roman"/>
          <w:color w:val="000000" w:themeColor="text1"/>
          <w:kern w:val="0"/>
          <w14:ligatures w14:val="none"/>
        </w:rPr>
        <w:t>;</w:t>
      </w:r>
      <w:r w:rsidRPr="0091277D" w:rsidR="00E21586">
        <w:rPr>
          <w:rFonts w:ascii="Palatino Linotype" w:hAnsi="Palatino Linotype" w:eastAsia="Times New Roman" w:cs="Times New Roman"/>
          <w:color w:val="000000" w:themeColor="text1"/>
          <w:kern w:val="0"/>
          <w14:ligatures w14:val="none"/>
        </w:rPr>
        <w:t xml:space="preserve"> </w:t>
      </w:r>
      <w:r w:rsidRPr="00BF2858" w:rsidR="00DA2B30">
        <w:rPr>
          <w:rFonts w:ascii="Palatino Linotype" w:hAnsi="Palatino Linotype" w:eastAsia="Times New Roman" w:cs="Times New Roman"/>
          <w:color w:val="000000" w:themeColor="text1"/>
          <w:kern w:val="0"/>
          <w14:ligatures w14:val="none"/>
        </w:rPr>
        <w:t xml:space="preserve">and </w:t>
      </w:r>
      <w:r w:rsidR="0030491A">
        <w:rPr>
          <w:rFonts w:ascii="Palatino Linotype" w:hAnsi="Palatino Linotype" w:eastAsia="Times New Roman" w:cs="Times New Roman"/>
          <w:color w:val="000000" w:themeColor="text1"/>
          <w:kern w:val="0"/>
          <w14:ligatures w14:val="none"/>
        </w:rPr>
        <w:t>3</w:t>
      </w:r>
      <w:r w:rsidR="00E047EE">
        <w:rPr>
          <w:rFonts w:ascii="Palatino Linotype" w:hAnsi="Palatino Linotype" w:eastAsia="Times New Roman" w:cs="Times New Roman"/>
          <w:color w:val="000000" w:themeColor="text1"/>
          <w:kern w:val="0"/>
          <w14:ligatures w14:val="none"/>
        </w:rPr>
        <w:t>)</w:t>
      </w:r>
      <w:r w:rsidR="0030491A">
        <w:rPr>
          <w:rFonts w:ascii="Palatino Linotype" w:hAnsi="Palatino Linotype" w:eastAsia="Times New Roman" w:cs="Times New Roman"/>
          <w:color w:val="000000" w:themeColor="text1"/>
          <w:kern w:val="0"/>
          <w14:ligatures w14:val="none"/>
        </w:rPr>
        <w:t xml:space="preserve"> approves, in part, </w:t>
      </w:r>
      <w:r w:rsidRPr="00BF2858" w:rsidR="00DA2B30">
        <w:rPr>
          <w:rFonts w:ascii="Palatino Linotype" w:hAnsi="Palatino Linotype" w:eastAsia="Times New Roman" w:cs="Times New Roman"/>
          <w:color w:val="000000" w:themeColor="text1"/>
          <w:kern w:val="0"/>
          <w14:ligatures w14:val="none"/>
        </w:rPr>
        <w:t>PG&amp;E’s 2026 Gas RD&amp;D Plan with a proposed budget of</w:t>
      </w:r>
      <w:r w:rsidR="0090356F">
        <w:rPr>
          <w:rFonts w:ascii="Palatino Linotype" w:hAnsi="Palatino Linotype" w:eastAsia="Times New Roman" w:cs="Times New Roman"/>
          <w:color w:val="000000" w:themeColor="text1"/>
          <w:kern w:val="0"/>
          <w14:ligatures w14:val="none"/>
        </w:rPr>
        <w:t xml:space="preserve"> </w:t>
      </w:r>
      <w:r w:rsidR="0075777D">
        <w:rPr>
          <w:rFonts w:ascii="Palatino Linotype" w:hAnsi="Palatino Linotype" w:eastAsia="Times New Roman" w:cs="Times New Roman"/>
          <w:color w:val="000000" w:themeColor="text1"/>
          <w:kern w:val="0"/>
          <w14:ligatures w14:val="none"/>
        </w:rPr>
        <w:t>$8,267,000</w:t>
      </w:r>
      <w:r w:rsidRPr="0091277D" w:rsidR="0091277D">
        <w:rPr>
          <w:rFonts w:ascii="Palatino Linotype" w:hAnsi="Palatino Linotype" w:eastAsia="Times New Roman" w:cs="Times New Roman"/>
          <w:color w:val="000000" w:themeColor="text1"/>
          <w:kern w:val="0"/>
          <w14:ligatures w14:val="none"/>
        </w:rPr>
        <w:t xml:space="preserve"> </w:t>
      </w:r>
      <w:r w:rsidR="00686975">
        <w:rPr>
          <w:rFonts w:ascii="Palatino Linotype" w:hAnsi="Palatino Linotype" w:eastAsia="Times New Roman" w:cs="Times New Roman"/>
          <w:color w:val="000000" w:themeColor="text1"/>
          <w:kern w:val="0"/>
          <w14:ligatures w14:val="none"/>
        </w:rPr>
        <w:t>and</w:t>
      </w:r>
      <w:r w:rsidRPr="0091277D" w:rsidR="00605898">
        <w:rPr>
          <w:rFonts w:ascii="Palatino Linotype" w:hAnsi="Palatino Linotype" w:eastAsia="Times New Roman" w:cs="Times New Roman"/>
          <w:color w:val="000000" w:themeColor="text1"/>
          <w:kern w:val="0"/>
          <w14:ligatures w14:val="none"/>
        </w:rPr>
        <w:t xml:space="preserve"> </w:t>
      </w:r>
      <w:r w:rsidRPr="0091277D" w:rsidR="00E21586">
        <w:rPr>
          <w:rFonts w:ascii="Palatino Linotype" w:hAnsi="Palatino Linotype" w:eastAsia="Times New Roman" w:cs="Times New Roman"/>
          <w:color w:val="000000" w:themeColor="text1"/>
          <w:kern w:val="0"/>
          <w14:ligatures w14:val="none"/>
        </w:rPr>
        <w:t xml:space="preserve">administrative budget of </w:t>
      </w:r>
      <w:r w:rsidR="0075777D">
        <w:rPr>
          <w:rFonts w:ascii="Palatino Linotype" w:hAnsi="Palatino Linotype" w:eastAsia="Palatino Linotype" w:cs="Times New Roman"/>
          <w:color w:val="000000" w:themeColor="text1"/>
          <w:kern w:val="0"/>
          <w14:ligatures w14:val="none"/>
        </w:rPr>
        <w:t>$826,700</w:t>
      </w:r>
      <w:r w:rsidRPr="00BF2858">
        <w:rPr>
          <w:rFonts w:ascii="Palatino Linotype" w:hAnsi="Palatino Linotype" w:eastAsia="Palatino Linotype" w:cs="Times New Roman"/>
          <w:color w:val="000000" w:themeColor="text1"/>
          <w:kern w:val="0"/>
          <w14:ligatures w14:val="none"/>
        </w:rPr>
        <w:t>.</w:t>
      </w:r>
      <w:r w:rsidRPr="0091277D" w:rsidR="00686975">
        <w:rPr>
          <w:rStyle w:val="FootnoteReference"/>
          <w:rFonts w:ascii="Palatino Linotype" w:hAnsi="Palatino Linotype" w:eastAsia="Times New Roman" w:cs="Times New Roman"/>
          <w:color w:val="000000" w:themeColor="text1"/>
          <w:kern w:val="0"/>
          <w14:ligatures w14:val="none"/>
        </w:rPr>
        <w:footnoteReference w:id="2"/>
      </w:r>
      <w:r w:rsidRPr="00BF2858">
        <w:rPr>
          <w:rFonts w:ascii="Palatino Linotype" w:hAnsi="Palatino Linotype" w:eastAsia="Palatino Linotype" w:cs="Times New Roman"/>
          <w:color w:val="000000" w:themeColor="text1"/>
          <w:kern w:val="0"/>
          <w14:ligatures w14:val="none"/>
        </w:rPr>
        <w:t xml:space="preserve"> </w:t>
      </w:r>
      <w:r w:rsidRPr="0091277D" w:rsidR="004174B2">
        <w:rPr>
          <w:rFonts w:ascii="Palatino Linotype" w:hAnsi="Palatino Linotype" w:eastAsia="Times New Roman" w:cs="Times New Roman"/>
          <w:color w:val="000000" w:themeColor="text1"/>
          <w:kern w:val="0"/>
          <w14:ligatures w14:val="none"/>
        </w:rPr>
        <w:t xml:space="preserve">The Commission directs PG&amp;E to submit revised </w:t>
      </w:r>
      <w:r w:rsidRPr="00E0630F" w:rsidR="00E21586">
        <w:rPr>
          <w:rFonts w:ascii="Palatino Linotype" w:hAnsi="Palatino Linotype" w:eastAsia="Times New Roman" w:cs="Times New Roman"/>
          <w:color w:val="000000" w:themeColor="text1"/>
          <w:kern w:val="0"/>
          <w14:ligatures w14:val="none"/>
        </w:rPr>
        <w:t xml:space="preserve">2025 </w:t>
      </w:r>
      <w:r w:rsidRPr="00E0630F" w:rsidR="0091277D">
        <w:rPr>
          <w:rFonts w:ascii="Palatino Linotype" w:hAnsi="Palatino Linotype" w:eastAsia="Times New Roman" w:cs="Times New Roman"/>
          <w:color w:val="000000" w:themeColor="text1"/>
          <w:kern w:val="0"/>
          <w14:ligatures w14:val="none"/>
        </w:rPr>
        <w:t>and 2026</w:t>
      </w:r>
      <w:r w:rsidRPr="00BF2858" w:rsidR="0091277D">
        <w:rPr>
          <w:rFonts w:ascii="Palatino Linotype" w:hAnsi="Palatino Linotype" w:eastAsia="Times New Roman" w:cs="Times New Roman"/>
          <w:color w:val="000000" w:themeColor="text1"/>
          <w:kern w:val="0"/>
          <w14:ligatures w14:val="none"/>
        </w:rPr>
        <w:t xml:space="preserve"> </w:t>
      </w:r>
      <w:r w:rsidRPr="00BF2858" w:rsidR="004174B2">
        <w:rPr>
          <w:rFonts w:ascii="Palatino Linotype" w:hAnsi="Palatino Linotype" w:eastAsia="Times New Roman" w:cs="Times New Roman"/>
          <w:color w:val="000000" w:themeColor="text1"/>
          <w:kern w:val="0"/>
          <w14:ligatures w14:val="none"/>
        </w:rPr>
        <w:t xml:space="preserve">Gas </w:t>
      </w:r>
      <w:r w:rsidRPr="0091277D" w:rsidR="004174B2">
        <w:rPr>
          <w:rFonts w:ascii="Palatino Linotype" w:hAnsi="Palatino Linotype" w:eastAsia="Times New Roman" w:cs="Times New Roman"/>
          <w:color w:val="000000" w:themeColor="text1"/>
          <w:kern w:val="0"/>
          <w14:ligatures w14:val="none"/>
        </w:rPr>
        <w:t>RD&amp;D Investment Plan</w:t>
      </w:r>
      <w:r w:rsidRPr="0091277D" w:rsidR="0091277D">
        <w:rPr>
          <w:rFonts w:ascii="Palatino Linotype" w:hAnsi="Palatino Linotype" w:eastAsia="Times New Roman" w:cs="Times New Roman"/>
          <w:color w:val="000000" w:themeColor="text1"/>
          <w:kern w:val="0"/>
          <w14:ligatures w14:val="none"/>
        </w:rPr>
        <w:t>s</w:t>
      </w:r>
      <w:r w:rsidRPr="0091277D" w:rsidR="004174B2">
        <w:rPr>
          <w:rFonts w:ascii="Palatino Linotype" w:hAnsi="Palatino Linotype" w:eastAsia="Times New Roman" w:cs="Times New Roman"/>
          <w:color w:val="000000" w:themeColor="text1"/>
          <w:kern w:val="0"/>
          <w14:ligatures w14:val="none"/>
        </w:rPr>
        <w:t xml:space="preserve"> via </w:t>
      </w:r>
      <w:r w:rsidR="00B2630B">
        <w:rPr>
          <w:rFonts w:ascii="Palatino Linotype" w:hAnsi="Palatino Linotype" w:eastAsia="Times New Roman" w:cs="Times New Roman"/>
          <w:color w:val="000000" w:themeColor="text1"/>
          <w:kern w:val="0"/>
          <w14:ligatures w14:val="none"/>
        </w:rPr>
        <w:t xml:space="preserve">individual </w:t>
      </w:r>
      <w:r w:rsidRPr="0091277D" w:rsidR="004174B2">
        <w:rPr>
          <w:rFonts w:ascii="Palatino Linotype" w:hAnsi="Palatino Linotype" w:eastAsia="Times New Roman" w:cs="Times New Roman"/>
          <w:color w:val="000000" w:themeColor="text1"/>
          <w:kern w:val="0"/>
          <w14:ligatures w14:val="none"/>
        </w:rPr>
        <w:t>Tier 2 Advice Letter</w:t>
      </w:r>
      <w:r w:rsidR="0030491A">
        <w:rPr>
          <w:rFonts w:ascii="Palatino Linotype" w:hAnsi="Palatino Linotype" w:eastAsia="Times New Roman" w:cs="Times New Roman"/>
          <w:color w:val="000000" w:themeColor="text1"/>
          <w:kern w:val="0"/>
          <w14:ligatures w14:val="none"/>
        </w:rPr>
        <w:t>s</w:t>
      </w:r>
      <w:r w:rsidRPr="0091277D" w:rsidR="004174B2">
        <w:rPr>
          <w:rFonts w:ascii="Palatino Linotype" w:hAnsi="Palatino Linotype" w:eastAsia="Times New Roman" w:cs="Times New Roman"/>
          <w:color w:val="000000" w:themeColor="text1"/>
          <w:kern w:val="0"/>
          <w14:ligatures w14:val="none"/>
        </w:rPr>
        <w:t xml:space="preserve"> with modifications described in this Resolution</w:t>
      </w:r>
      <w:r w:rsidR="00C84326">
        <w:rPr>
          <w:rFonts w:ascii="Palatino Linotype" w:hAnsi="Palatino Linotype" w:eastAsia="Times New Roman" w:cs="Times New Roman"/>
          <w:color w:val="000000" w:themeColor="text1"/>
          <w:kern w:val="0"/>
          <w14:ligatures w14:val="none"/>
        </w:rPr>
        <w:t xml:space="preserve"> </w:t>
      </w:r>
      <w:r w:rsidR="00B2630B">
        <w:rPr>
          <w:rFonts w:ascii="Palatino Linotype" w:hAnsi="Palatino Linotype" w:eastAsia="Times New Roman" w:cs="Times New Roman"/>
          <w:color w:val="000000" w:themeColor="text1"/>
          <w:kern w:val="0"/>
          <w14:ligatures w14:val="none"/>
        </w:rPr>
        <w:t xml:space="preserve">and </w:t>
      </w:r>
      <w:r w:rsidR="00C84326">
        <w:rPr>
          <w:rFonts w:ascii="Palatino Linotype" w:hAnsi="Palatino Linotype" w:eastAsia="Times New Roman" w:cs="Times New Roman"/>
          <w:color w:val="000000" w:themeColor="text1"/>
          <w:kern w:val="0"/>
          <w14:ligatures w14:val="none"/>
        </w:rPr>
        <w:t>according to the modified budgets outlined in Appendix B of this Resolution.</w:t>
      </w:r>
      <w:r w:rsidR="003F3690">
        <w:rPr>
          <w:rStyle w:val="FootnoteReference"/>
          <w:rFonts w:ascii="Palatino Linotype" w:hAnsi="Palatino Linotype" w:eastAsia="Times New Roman" w:cs="Times New Roman"/>
          <w:color w:val="000000" w:themeColor="text1"/>
          <w:kern w:val="0"/>
          <w14:ligatures w14:val="none"/>
        </w:rPr>
        <w:footnoteReference w:id="3"/>
      </w:r>
      <w:r w:rsidR="005C53BE">
        <w:rPr>
          <w:rFonts w:ascii="Palatino Linotype" w:hAnsi="Palatino Linotype" w:eastAsia="Times New Roman" w:cs="Times New Roman"/>
          <w:color w:val="000000" w:themeColor="text1"/>
          <w:kern w:val="0"/>
          <w14:ligatures w14:val="none"/>
        </w:rPr>
        <w:t xml:space="preserve"> </w:t>
      </w:r>
      <w:r w:rsidRPr="00D63C2D" w:rsidR="005C53BE">
        <w:rPr>
          <w:rFonts w:ascii="Palatino Linotype" w:hAnsi="Palatino Linotype" w:eastAsia="Times New Roman" w:cs="Times New Roman"/>
          <w:color w:val="000000" w:themeColor="text1"/>
          <w:kern w:val="0"/>
          <w14:ligatures w14:val="none"/>
        </w:rPr>
        <w:t>Th</w:t>
      </w:r>
      <w:r w:rsidRPr="00D63C2D" w:rsidR="003732D6">
        <w:rPr>
          <w:rFonts w:ascii="Palatino Linotype" w:hAnsi="Palatino Linotype" w:eastAsia="Times New Roman" w:cs="Times New Roman"/>
          <w:color w:val="000000" w:themeColor="text1"/>
          <w:kern w:val="0"/>
          <w14:ligatures w14:val="none"/>
        </w:rPr>
        <w:t>is Resolution authorizes budgets of</w:t>
      </w:r>
      <w:r w:rsidRPr="00D63C2D" w:rsidR="00C3183B">
        <w:rPr>
          <w:rFonts w:ascii="Palatino Linotype" w:hAnsi="Palatino Linotype" w:eastAsia="Times New Roman" w:cs="Times New Roman"/>
          <w:color w:val="000000" w:themeColor="text1"/>
          <w:kern w:val="0"/>
          <w14:ligatures w14:val="none"/>
        </w:rPr>
        <w:t xml:space="preserve"> </w:t>
      </w:r>
      <w:r w:rsidRPr="00D63C2D" w:rsidR="00DF731E">
        <w:rPr>
          <w:rFonts w:ascii="Palatino Linotype" w:hAnsi="Palatino Linotype" w:eastAsia="Times New Roman" w:cs="Times New Roman"/>
          <w:color w:val="000000" w:themeColor="text1"/>
          <w:kern w:val="0"/>
          <w14:ligatures w14:val="none"/>
        </w:rPr>
        <w:t xml:space="preserve">$6,133,333 </w:t>
      </w:r>
      <w:r w:rsidRPr="00D63C2D" w:rsidR="003732D6">
        <w:rPr>
          <w:rFonts w:ascii="Palatino Linotype" w:hAnsi="Palatino Linotype" w:eastAsia="Times New Roman" w:cs="Times New Roman"/>
          <w:color w:val="000000" w:themeColor="text1"/>
          <w:kern w:val="0"/>
          <w14:ligatures w14:val="none"/>
        </w:rPr>
        <w:t xml:space="preserve">and $7,874,348 for </w:t>
      </w:r>
      <w:r w:rsidR="00500614">
        <w:rPr>
          <w:rFonts w:ascii="Palatino Linotype" w:hAnsi="Palatino Linotype" w:eastAsia="Times New Roman" w:cs="Times New Roman"/>
          <w:color w:val="000000" w:themeColor="text1"/>
          <w:kern w:val="0"/>
          <w14:ligatures w14:val="none"/>
        </w:rPr>
        <w:br/>
      </w:r>
      <w:r w:rsidRPr="00D63C2D" w:rsidR="003732D6">
        <w:rPr>
          <w:rFonts w:ascii="Palatino Linotype" w:hAnsi="Palatino Linotype" w:eastAsia="Times New Roman" w:cs="Times New Roman"/>
          <w:color w:val="000000" w:themeColor="text1"/>
          <w:kern w:val="0"/>
          <w14:ligatures w14:val="none"/>
        </w:rPr>
        <w:t>PG&amp;E’s 2025 and 2026 Plans, respectively</w:t>
      </w:r>
      <w:r w:rsidRPr="00D63C2D" w:rsidR="00C3183B">
        <w:rPr>
          <w:rFonts w:ascii="Palatino Linotype" w:hAnsi="Palatino Linotype" w:eastAsia="Times New Roman" w:cs="Times New Roman"/>
          <w:color w:val="000000" w:themeColor="text1"/>
          <w:kern w:val="0"/>
          <w14:ligatures w14:val="none"/>
        </w:rPr>
        <w:t>, including 10% of funds for Program Administration.</w:t>
      </w:r>
    </w:p>
    <w:p w:rsidRPr="0091277D" w:rsidR="00A413C8" w:rsidP="00A413C8" w:rsidRDefault="00A413C8" w14:paraId="232D8B64" w14:textId="77777777">
      <w:pPr>
        <w:spacing w:after="0" w:line="276" w:lineRule="auto"/>
        <w:rPr>
          <w:rFonts w:ascii="Palatino Linotype" w:hAnsi="Palatino Linotype" w:eastAsia="Times New Roman" w:cs="Times New Roman"/>
          <w:color w:val="000000" w:themeColor="text1"/>
          <w:kern w:val="0"/>
          <w14:ligatures w14:val="none"/>
        </w:rPr>
      </w:pPr>
    </w:p>
    <w:p w:rsidR="00525769" w:rsidP="00B57557" w:rsidRDefault="00A76F4A" w14:paraId="3FF9E1F8" w14:textId="2779B10F">
      <w:pPr>
        <w:keepNext/>
        <w:spacing w:before="120" w:after="0" w:line="276" w:lineRule="auto"/>
        <w:outlineLvl w:val="0"/>
        <w:rPr>
          <w:rFonts w:ascii="Palatino Linotype" w:hAnsi="Palatino Linotype" w:eastAsia="Palatino Linotype" w:cs="Times New Roman"/>
          <w:b/>
          <w:caps/>
          <w:color w:val="000000" w:themeColor="text1"/>
          <w:kern w:val="28"/>
          <w:u w:val="single"/>
          <w14:ligatures w14:val="none"/>
        </w:rPr>
      </w:pPr>
      <w:r w:rsidRPr="008B7257">
        <w:rPr>
          <w:rFonts w:ascii="Palatino Linotype" w:hAnsi="Palatino Linotype" w:eastAsia="Palatino Linotype" w:cs="Times New Roman"/>
          <w:b/>
          <w:caps/>
          <w:color w:val="000000" w:themeColor="text1"/>
          <w:kern w:val="28"/>
          <w:u w:val="single"/>
          <w14:ligatures w14:val="none"/>
        </w:rPr>
        <w:lastRenderedPageBreak/>
        <w:t>Background</w:t>
      </w:r>
    </w:p>
    <w:p w:rsidRPr="008B7257" w:rsidR="00B57557" w:rsidP="00B57557" w:rsidRDefault="00B57557" w14:paraId="49A55355" w14:textId="77777777">
      <w:pPr>
        <w:keepNext/>
        <w:spacing w:after="0" w:line="276" w:lineRule="auto"/>
        <w:outlineLvl w:val="0"/>
        <w:rPr>
          <w:rFonts w:ascii="Palatino Linotype" w:hAnsi="Palatino Linotype" w:eastAsia="Palatino Linotype" w:cs="Times New Roman"/>
          <w:b/>
          <w:caps/>
          <w:color w:val="000000" w:themeColor="text1"/>
          <w:kern w:val="28"/>
          <w:u w:val="single"/>
          <w14:ligatures w14:val="none"/>
        </w:rPr>
      </w:pPr>
    </w:p>
    <w:p w:rsidRPr="008B7257" w:rsidR="00AB09B6" w:rsidP="00005C91" w:rsidRDefault="00AB09B6" w14:paraId="41352B3D" w14:textId="1D26C1D1">
      <w:pPr>
        <w:keepNext/>
        <w:spacing w:after="0" w:line="276" w:lineRule="auto"/>
        <w:rPr>
          <w:rFonts w:ascii="Palatino Linotype" w:hAnsi="Palatino Linotype" w:eastAsia="Palatino Linotype" w:cs="Times New Roman"/>
          <w:color w:val="000000" w:themeColor="text1"/>
          <w:kern w:val="0"/>
          <w14:ligatures w14:val="none"/>
        </w:rPr>
      </w:pPr>
      <w:r w:rsidRPr="008B7257">
        <w:rPr>
          <w:rFonts w:ascii="Palatino Linotype" w:hAnsi="Palatino Linotype" w:eastAsia="Palatino Linotype" w:cs="Times New Roman"/>
          <w:color w:val="000000" w:themeColor="text1"/>
          <w:kern w:val="0"/>
          <w14:ligatures w14:val="none"/>
        </w:rPr>
        <w:t>Public Utilities Code Section 740.1</w:t>
      </w:r>
      <w:r w:rsidR="00135360">
        <w:rPr>
          <w:rFonts w:ascii="Palatino Linotype" w:hAnsi="Palatino Linotype" w:eastAsia="Palatino Linotype" w:cs="Times New Roman"/>
          <w:color w:val="000000" w:themeColor="text1"/>
          <w:kern w:val="0"/>
          <w14:ligatures w14:val="none"/>
        </w:rPr>
        <w:t xml:space="preserve">, </w:t>
      </w:r>
      <w:r w:rsidRPr="008B7257">
        <w:rPr>
          <w:rFonts w:ascii="Palatino Linotype" w:hAnsi="Palatino Linotype" w:eastAsia="Palatino Linotype" w:cs="Times New Roman"/>
          <w:color w:val="000000" w:themeColor="text1"/>
          <w:kern w:val="0"/>
          <w14:ligatures w14:val="none"/>
        </w:rPr>
        <w:t xml:space="preserve">D.23-11-069 </w:t>
      </w:r>
      <w:r w:rsidRPr="008B7257" w:rsidR="002C1730">
        <w:rPr>
          <w:rFonts w:ascii="Palatino Linotype" w:hAnsi="Palatino Linotype"/>
          <w:color w:val="000000" w:themeColor="text1"/>
          <w:szCs w:val="16"/>
        </w:rPr>
        <w:t>adopting PG&amp;E’s</w:t>
      </w:r>
      <w:r w:rsidRPr="008B7257">
        <w:rPr>
          <w:rFonts w:ascii="Palatino Linotype" w:hAnsi="Palatino Linotype"/>
          <w:color w:val="000000" w:themeColor="text1"/>
          <w:szCs w:val="16"/>
        </w:rPr>
        <w:t xml:space="preserve"> Test Year </w:t>
      </w:r>
      <w:r w:rsidR="008B7257">
        <w:rPr>
          <w:rFonts w:ascii="Palatino Linotype" w:hAnsi="Palatino Linotype"/>
          <w:color w:val="000000" w:themeColor="text1"/>
          <w:szCs w:val="16"/>
        </w:rPr>
        <w:t xml:space="preserve">(TY) </w:t>
      </w:r>
      <w:r w:rsidRPr="008B7257">
        <w:rPr>
          <w:rFonts w:ascii="Palatino Linotype" w:hAnsi="Palatino Linotype"/>
          <w:color w:val="000000" w:themeColor="text1"/>
          <w:szCs w:val="16"/>
        </w:rPr>
        <w:t xml:space="preserve">2023 General Rate Case </w:t>
      </w:r>
      <w:r w:rsidR="008B7257">
        <w:rPr>
          <w:rFonts w:ascii="Palatino Linotype" w:hAnsi="Palatino Linotype"/>
          <w:color w:val="000000" w:themeColor="text1"/>
          <w:szCs w:val="16"/>
        </w:rPr>
        <w:t>(GRC)</w:t>
      </w:r>
      <w:r w:rsidR="00135360">
        <w:rPr>
          <w:rFonts w:ascii="Palatino Linotype" w:hAnsi="Palatino Linotype"/>
          <w:color w:val="000000" w:themeColor="text1"/>
          <w:szCs w:val="16"/>
        </w:rPr>
        <w:t>, and Resolution G-3618</w:t>
      </w:r>
      <w:r w:rsidDel="002C1730">
        <w:rPr>
          <w:rFonts w:ascii="Palatino Linotype" w:hAnsi="Palatino Linotype"/>
          <w:color w:val="000000" w:themeColor="text1"/>
          <w:szCs w:val="16"/>
        </w:rPr>
        <w:t xml:space="preserve"> </w:t>
      </w:r>
      <w:r w:rsidRPr="008B7257" w:rsidR="00AB5F44">
        <w:rPr>
          <w:rFonts w:ascii="Palatino Linotype" w:hAnsi="Palatino Linotype" w:eastAsia="Palatino Linotype" w:cs="Times New Roman"/>
          <w:color w:val="000000" w:themeColor="text1"/>
          <w:kern w:val="0"/>
          <w14:ligatures w14:val="none"/>
        </w:rPr>
        <w:t>detail</w:t>
      </w:r>
      <w:r w:rsidRPr="008B7257">
        <w:rPr>
          <w:rFonts w:ascii="Palatino Linotype" w:hAnsi="Palatino Linotype" w:eastAsia="Palatino Linotype" w:cs="Times New Roman"/>
          <w:color w:val="000000" w:themeColor="text1"/>
          <w:kern w:val="0"/>
          <w14:ligatures w14:val="none"/>
        </w:rPr>
        <w:t xml:space="preserve"> </w:t>
      </w:r>
      <w:r w:rsidRPr="008B7257" w:rsidR="006A2F4E">
        <w:rPr>
          <w:rFonts w:ascii="Palatino Linotype" w:hAnsi="Palatino Linotype" w:eastAsia="Palatino Linotype" w:cs="Times New Roman"/>
          <w:color w:val="000000" w:themeColor="text1"/>
          <w:kern w:val="0"/>
          <w14:ligatures w14:val="none"/>
        </w:rPr>
        <w:t xml:space="preserve">Commission requirements </w:t>
      </w:r>
      <w:r w:rsidRPr="008B7257" w:rsidR="009324EA">
        <w:rPr>
          <w:rFonts w:ascii="Palatino Linotype" w:hAnsi="Palatino Linotype" w:eastAsia="Palatino Linotype" w:cs="Times New Roman"/>
          <w:color w:val="000000" w:themeColor="text1"/>
          <w:kern w:val="0"/>
          <w14:ligatures w14:val="none"/>
        </w:rPr>
        <w:t>for developing</w:t>
      </w:r>
      <w:r w:rsidRPr="008B7257" w:rsidR="005D29EC">
        <w:rPr>
          <w:rFonts w:ascii="Palatino Linotype" w:hAnsi="Palatino Linotype" w:eastAsia="Palatino Linotype" w:cs="Times New Roman"/>
          <w:color w:val="000000" w:themeColor="text1"/>
          <w:kern w:val="0"/>
          <w14:ligatures w14:val="none"/>
        </w:rPr>
        <w:t xml:space="preserve">, </w:t>
      </w:r>
      <w:r w:rsidRPr="008B7257" w:rsidR="009324EA">
        <w:rPr>
          <w:rFonts w:ascii="Palatino Linotype" w:hAnsi="Palatino Linotype" w:eastAsia="Palatino Linotype" w:cs="Times New Roman"/>
          <w:color w:val="000000" w:themeColor="text1"/>
          <w:kern w:val="0"/>
          <w14:ligatures w14:val="none"/>
        </w:rPr>
        <w:t>reviewing</w:t>
      </w:r>
      <w:r w:rsidRPr="008B7257" w:rsidR="005D29EC">
        <w:rPr>
          <w:rFonts w:ascii="Palatino Linotype" w:hAnsi="Palatino Linotype" w:eastAsia="Palatino Linotype" w:cs="Times New Roman"/>
          <w:color w:val="000000" w:themeColor="text1"/>
          <w:kern w:val="0"/>
          <w14:ligatures w14:val="none"/>
        </w:rPr>
        <w:t>, and approving</w:t>
      </w:r>
      <w:r w:rsidRPr="008B7257" w:rsidR="009324EA">
        <w:rPr>
          <w:rFonts w:ascii="Palatino Linotype" w:hAnsi="Palatino Linotype" w:eastAsia="Palatino Linotype" w:cs="Times New Roman"/>
          <w:color w:val="000000" w:themeColor="text1"/>
          <w:kern w:val="0"/>
          <w14:ligatures w14:val="none"/>
        </w:rPr>
        <w:t xml:space="preserve"> </w:t>
      </w:r>
      <w:r w:rsidRPr="008B7257" w:rsidR="00D13C84">
        <w:rPr>
          <w:rFonts w:ascii="Palatino Linotype" w:hAnsi="Palatino Linotype" w:eastAsia="Palatino Linotype" w:cs="Times New Roman"/>
          <w:color w:val="000000" w:themeColor="text1"/>
          <w:kern w:val="0"/>
          <w14:ligatures w14:val="none"/>
        </w:rPr>
        <w:t xml:space="preserve">PG&amp;E’s </w:t>
      </w:r>
      <w:r w:rsidRPr="008B7257" w:rsidR="00005C91">
        <w:rPr>
          <w:rFonts w:ascii="Palatino Linotype" w:hAnsi="Palatino Linotype" w:eastAsia="Palatino Linotype" w:cs="Times New Roman"/>
          <w:color w:val="000000" w:themeColor="text1"/>
          <w:kern w:val="0"/>
          <w14:ligatures w14:val="none"/>
        </w:rPr>
        <w:t>Annual Gas RD&amp;D Investment Plans.</w:t>
      </w:r>
    </w:p>
    <w:p w:rsidR="00AB09B6" w:rsidP="007E7238" w:rsidRDefault="00AB09B6" w14:paraId="401F744E" w14:textId="77777777">
      <w:pPr>
        <w:keepNext/>
        <w:spacing w:after="0" w:line="276" w:lineRule="auto"/>
        <w:rPr>
          <w:rFonts w:ascii="Palatino Linotype" w:hAnsi="Palatino Linotype" w:eastAsia="Palatino Linotype" w:cs="Times New Roman"/>
          <w:bCs/>
          <w:color w:val="000000" w:themeColor="text1"/>
          <w:kern w:val="0"/>
          <w14:ligatures w14:val="none"/>
        </w:rPr>
      </w:pPr>
    </w:p>
    <w:p w:rsidR="006B1D50" w:rsidP="007C086D" w:rsidRDefault="006B1D50" w14:paraId="6F55C6F2" w14:textId="70A7EB51">
      <w:pPr>
        <w:keepNext/>
        <w:spacing w:after="0" w:line="276" w:lineRule="auto"/>
        <w:rPr>
          <w:rFonts w:ascii="Palatino Linotype" w:hAnsi="Palatino Linotype" w:eastAsia="Palatino Linotype" w:cs="Times New Roman"/>
          <w:b/>
          <w:color w:val="000000" w:themeColor="text1"/>
          <w:kern w:val="0"/>
          <w14:ligatures w14:val="none"/>
        </w:rPr>
      </w:pPr>
      <w:r w:rsidRPr="00325A59">
        <w:rPr>
          <w:rFonts w:ascii="Palatino Linotype" w:hAnsi="Palatino Linotype" w:eastAsia="Palatino Linotype" w:cs="Times New Roman"/>
          <w:b/>
          <w:color w:val="000000" w:themeColor="text1"/>
          <w:kern w:val="0"/>
          <w14:ligatures w14:val="none"/>
        </w:rPr>
        <w:t>Public Utilities Code Section 740.1</w:t>
      </w:r>
    </w:p>
    <w:p w:rsidRPr="00325A59" w:rsidR="007C086D" w:rsidP="007C086D" w:rsidRDefault="007C086D" w14:paraId="3F30AA30" w14:textId="77777777">
      <w:pPr>
        <w:keepNext/>
        <w:spacing w:after="0" w:line="276" w:lineRule="auto"/>
        <w:rPr>
          <w:rFonts w:ascii="Palatino Linotype" w:hAnsi="Palatino Linotype" w:eastAsia="Palatino Linotype" w:cs="Times New Roman"/>
          <w:b/>
          <w:color w:val="000000" w:themeColor="text1"/>
          <w:kern w:val="0"/>
          <w14:ligatures w14:val="none"/>
        </w:rPr>
      </w:pPr>
    </w:p>
    <w:p w:rsidR="00F43641" w:rsidP="007E7238" w:rsidRDefault="00F43641" w14:paraId="1E9DB555" w14:textId="1470396B">
      <w:pPr>
        <w:keepNext/>
        <w:spacing w:after="0" w:line="276" w:lineRule="auto"/>
        <w:rPr>
          <w:rFonts w:ascii="Palatino Linotype" w:hAnsi="Palatino Linotype" w:eastAsia="Palatino Linotype" w:cs="Times New Roman"/>
          <w:bCs/>
          <w:color w:val="000000" w:themeColor="text1"/>
          <w:kern w:val="0"/>
          <w14:ligatures w14:val="none"/>
        </w:rPr>
      </w:pPr>
      <w:r>
        <w:rPr>
          <w:rFonts w:ascii="Palatino Linotype" w:hAnsi="Palatino Linotype" w:eastAsia="Palatino Linotype" w:cs="Times New Roman"/>
          <w:bCs/>
          <w:color w:val="000000" w:themeColor="text1"/>
          <w:kern w:val="0"/>
          <w14:ligatures w14:val="none"/>
        </w:rPr>
        <w:t xml:space="preserve">Public Utilities Code Section 740.1 directs the Commission to consider the following guidelines in evaluating proposed Gas RD&amp;D investments: </w:t>
      </w:r>
    </w:p>
    <w:p w:rsidRPr="0045085A" w:rsidR="00F43641" w:rsidP="00FF1910" w:rsidRDefault="00F43641" w14:paraId="234232DB" w14:textId="49179EF5">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offer a reasonable probability of providing benefits to ratepayers.</w:t>
      </w:r>
    </w:p>
    <w:p w:rsidRPr="0045085A" w:rsidR="00F43641" w:rsidP="00FF1910" w:rsidRDefault="00F43641" w14:paraId="3DA5BF25" w14:textId="2059A548">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 xml:space="preserve">Expenditures on projects which have a low probability </w:t>
      </w:r>
      <w:proofErr w:type="gramStart"/>
      <w:r w:rsidRPr="0045085A">
        <w:rPr>
          <w:rFonts w:ascii="Palatino Linotype" w:hAnsi="Palatino Linotype" w:eastAsia="Palatino Linotype" w:cs="Times New Roman"/>
          <w:bCs/>
          <w:i/>
          <w:iCs/>
          <w:color w:val="000000" w:themeColor="text1"/>
          <w:kern w:val="0"/>
          <w14:ligatures w14:val="none"/>
        </w:rPr>
        <w:t>for</w:t>
      </w:r>
      <w:proofErr w:type="gramEnd"/>
      <w:r w:rsidRPr="0045085A">
        <w:rPr>
          <w:rFonts w:ascii="Palatino Linotype" w:hAnsi="Palatino Linotype" w:eastAsia="Palatino Linotype" w:cs="Times New Roman"/>
          <w:bCs/>
          <w:i/>
          <w:iCs/>
          <w:color w:val="000000" w:themeColor="text1"/>
          <w:kern w:val="0"/>
          <w14:ligatures w14:val="none"/>
        </w:rPr>
        <w:t xml:space="preserve"> success should be minimized.</w:t>
      </w:r>
      <w:r w:rsidRPr="0045085A" w:rsidR="00DF1099">
        <w:rPr>
          <w:rStyle w:val="FootnoteReference"/>
          <w:rFonts w:ascii="Palatino Linotype" w:hAnsi="Palatino Linotype" w:eastAsia="Palatino Linotype" w:cs="Times New Roman"/>
          <w:bCs/>
          <w:i/>
          <w:iCs/>
          <w:color w:val="000000" w:themeColor="text1"/>
          <w:kern w:val="0"/>
          <w14:ligatures w14:val="none"/>
        </w:rPr>
        <w:footnoteReference w:id="4"/>
      </w:r>
    </w:p>
    <w:p w:rsidRPr="0045085A" w:rsidR="00F43641" w:rsidP="61D6D4C1" w:rsidRDefault="00F43641" w14:paraId="1AA2C224" w14:textId="24D140DD">
      <w:pPr>
        <w:pStyle w:val="ListParagraph"/>
        <w:numPr>
          <w:ilvl w:val="0"/>
          <w:numId w:val="4"/>
        </w:numPr>
        <w:spacing w:after="0" w:line="276" w:lineRule="auto"/>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be consistent with the corporation's resource plan.</w:t>
      </w:r>
      <w:r w:rsidRPr="0045085A" w:rsidR="00036840">
        <w:rPr>
          <w:rStyle w:val="FootnoteReference"/>
          <w:rFonts w:ascii="Palatino Linotype" w:hAnsi="Palatino Linotype" w:eastAsia="Palatino Linotype" w:cs="Times New Roman"/>
          <w:bCs/>
          <w:i/>
          <w:iCs/>
          <w:color w:val="000000" w:themeColor="text1"/>
          <w:kern w:val="0"/>
          <w14:ligatures w14:val="none"/>
        </w:rPr>
        <w:footnoteReference w:id="5"/>
      </w:r>
    </w:p>
    <w:p w:rsidRPr="0045085A" w:rsidR="00F43641" w:rsidP="00FF1910" w:rsidRDefault="00F43641" w14:paraId="70FE8E6E" w14:textId="35DB229F">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not unnecessarily duplicate research currently, previously, or imminently undertaken by other electrical or gas corporations or research organizations.</w:t>
      </w:r>
      <w:r w:rsidRPr="0045085A" w:rsidR="00260A9F">
        <w:rPr>
          <w:rStyle w:val="FootnoteReference"/>
          <w:rFonts w:ascii="Palatino Linotype" w:hAnsi="Palatino Linotype" w:eastAsia="Palatino Linotype" w:cs="Times New Roman"/>
          <w:bCs/>
          <w:i/>
          <w:iCs/>
          <w:color w:val="000000" w:themeColor="text1"/>
          <w:kern w:val="0"/>
          <w14:ligatures w14:val="none"/>
        </w:rPr>
        <w:footnoteReference w:id="6"/>
      </w:r>
    </w:p>
    <w:p w:rsidRPr="0045085A" w:rsidR="00F43641" w:rsidP="00FF1910" w:rsidRDefault="00F43641" w14:paraId="70AB0A5E" w14:textId="77777777">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Each project should also support one or more of the following objectives:</w:t>
      </w:r>
    </w:p>
    <w:p w:rsidRPr="0045085A" w:rsidR="00F43641" w:rsidP="00FF1910" w:rsidRDefault="00F43641" w14:paraId="6CB9B474"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Environmental improvement.</w:t>
      </w:r>
    </w:p>
    <w:p w:rsidRPr="0045085A" w:rsidR="00F43641" w:rsidP="00FF1910" w:rsidRDefault="00F43641" w14:paraId="2B4CAD2B"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Public and employee safety.</w:t>
      </w:r>
    </w:p>
    <w:p w:rsidRPr="0045085A" w:rsidR="00F43641" w:rsidP="00FF1910" w:rsidRDefault="00F43641" w14:paraId="379C1B2B"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Conservation by efficient resource use or by reducing or shifting system load.</w:t>
      </w:r>
    </w:p>
    <w:p w:rsidRPr="0045085A" w:rsidR="00F43641" w:rsidP="00FF1910" w:rsidRDefault="00F43641" w14:paraId="7ACB2492"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Development of new resources and processes, particularly renewable resources and processes which further supply technologies.</w:t>
      </w:r>
    </w:p>
    <w:p w:rsidRPr="0045085A" w:rsidR="00F43641" w:rsidP="004F72FA" w:rsidRDefault="00F43641" w14:paraId="5E470114" w14:textId="69D2F528">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Improve operating efficiency and reliability or otherwise reduce operating costs.</w:t>
      </w:r>
      <w:r w:rsidRPr="0045085A" w:rsidR="00C90AF8">
        <w:rPr>
          <w:rStyle w:val="FootnoteReference"/>
          <w:rFonts w:ascii="Palatino Linotype" w:hAnsi="Palatino Linotype" w:eastAsia="Palatino Linotype" w:cs="Times New Roman"/>
          <w:bCs/>
          <w:i/>
          <w:iCs/>
          <w:color w:val="000000" w:themeColor="text1"/>
          <w:kern w:val="0"/>
          <w14:ligatures w14:val="none"/>
        </w:rPr>
        <w:footnoteReference w:id="7"/>
      </w:r>
    </w:p>
    <w:p w:rsidR="00E82648" w:rsidP="00836A28" w:rsidRDefault="00E82648" w14:paraId="5E552223" w14:textId="6180584C">
      <w:pPr>
        <w:spacing w:after="0" w:line="276" w:lineRule="auto"/>
        <w:rPr>
          <w:rFonts w:ascii="Palatino Linotype" w:hAnsi="Palatino Linotype" w:eastAsia="Palatino Linotype" w:cs="Times New Roman"/>
          <w:color w:val="000000" w:themeColor="text1"/>
          <w:kern w:val="0"/>
          <w14:ligatures w14:val="none"/>
        </w:rPr>
      </w:pPr>
    </w:p>
    <w:p w:rsidR="00F71F40" w:rsidP="007E7238" w:rsidRDefault="00B04B72" w14:paraId="4E26B6D0" w14:textId="4F65FD97">
      <w:pPr>
        <w:keepNext/>
        <w:spacing w:line="276" w:lineRule="auto"/>
        <w:contextualSpacing/>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T</w:t>
      </w:r>
      <w:r w:rsidR="00462458">
        <w:rPr>
          <w:rFonts w:ascii="Palatino Linotype" w:hAnsi="Palatino Linotype" w:eastAsia="Palatino Linotype" w:cs="Times New Roman"/>
          <w:kern w:val="0"/>
          <w14:ligatures w14:val="none"/>
        </w:rPr>
        <w:t xml:space="preserve">he Commission </w:t>
      </w:r>
      <w:r w:rsidR="00045747">
        <w:rPr>
          <w:rFonts w:ascii="Palatino Linotype" w:hAnsi="Palatino Linotype" w:eastAsia="Palatino Linotype" w:cs="Times New Roman"/>
          <w:kern w:val="0"/>
          <w14:ligatures w14:val="none"/>
        </w:rPr>
        <w:t>in D.23-11-069</w:t>
      </w:r>
      <w:r w:rsidRPr="00B04B72" w:rsidR="00045747">
        <w:rPr>
          <w:rFonts w:ascii="Palatino Linotype" w:hAnsi="Palatino Linotype" w:eastAsia="Palatino Linotype" w:cs="Times New Roman"/>
          <w:bCs/>
          <w:kern w:val="0"/>
          <w14:ligatures w14:val="none"/>
        </w:rPr>
        <w:t xml:space="preserve"> </w:t>
      </w:r>
      <w:r w:rsidR="00E91E8E">
        <w:rPr>
          <w:rFonts w:ascii="Palatino Linotype" w:hAnsi="Palatino Linotype" w:eastAsia="Palatino Linotype" w:cs="Times New Roman"/>
          <w:bCs/>
          <w:kern w:val="0"/>
          <w14:ligatures w14:val="none"/>
        </w:rPr>
        <w:t>(</w:t>
      </w:r>
      <w:r w:rsidR="00045747">
        <w:rPr>
          <w:rFonts w:ascii="Palatino Linotype" w:hAnsi="Palatino Linotype" w:eastAsia="Palatino Linotype" w:cs="Times New Roman"/>
          <w:kern w:val="0"/>
          <w14:ligatures w14:val="none"/>
        </w:rPr>
        <w:t xml:space="preserve">PG&amp;E’s 2023 GRC) </w:t>
      </w:r>
      <w:r w:rsidR="00462458">
        <w:rPr>
          <w:rFonts w:ascii="Palatino Linotype" w:hAnsi="Palatino Linotype" w:eastAsia="Palatino Linotype" w:cs="Times New Roman"/>
          <w:kern w:val="0"/>
          <w14:ligatures w14:val="none"/>
        </w:rPr>
        <w:t xml:space="preserve">approved a TY 2023 Gas RD&amp;D </w:t>
      </w:r>
      <w:r w:rsidR="00AA47D2">
        <w:rPr>
          <w:rFonts w:ascii="Palatino Linotype" w:hAnsi="Palatino Linotype" w:eastAsia="Palatino Linotype" w:cs="Times New Roman"/>
          <w:kern w:val="0"/>
          <w14:ligatures w14:val="none"/>
        </w:rPr>
        <w:t xml:space="preserve">budget </w:t>
      </w:r>
      <w:r w:rsidR="009A7B27">
        <w:rPr>
          <w:rFonts w:ascii="Palatino Linotype" w:hAnsi="Palatino Linotype" w:eastAsia="Palatino Linotype" w:cs="Times New Roman"/>
          <w:kern w:val="0"/>
          <w14:ligatures w14:val="none"/>
        </w:rPr>
        <w:t>forecast</w:t>
      </w:r>
      <w:r w:rsidR="00462458">
        <w:rPr>
          <w:rFonts w:ascii="Palatino Linotype" w:hAnsi="Palatino Linotype" w:eastAsia="Palatino Linotype" w:cs="Times New Roman"/>
          <w:kern w:val="0"/>
          <w14:ligatures w14:val="none"/>
        </w:rPr>
        <w:t xml:space="preserve"> of $7.414 million </w:t>
      </w:r>
      <w:r>
        <w:rPr>
          <w:rFonts w:ascii="Palatino Linotype" w:hAnsi="Palatino Linotype" w:eastAsia="Palatino Linotype" w:cs="Times New Roman"/>
          <w:bCs/>
          <w:kern w:val="0"/>
          <w14:ligatures w14:val="none"/>
        </w:rPr>
        <w:t xml:space="preserve">based on 2020 Gas RD&amp;D costs as the most </w:t>
      </w:r>
      <w:r>
        <w:rPr>
          <w:rFonts w:ascii="Palatino Linotype" w:hAnsi="Palatino Linotype" w:eastAsia="Palatino Linotype" w:cs="Times New Roman"/>
          <w:bCs/>
          <w:kern w:val="0"/>
          <w14:ligatures w14:val="none"/>
        </w:rPr>
        <w:lastRenderedPageBreak/>
        <w:t>measurable basis</w:t>
      </w:r>
      <w:r w:rsidR="00462458">
        <w:rPr>
          <w:rFonts w:ascii="Palatino Linotype" w:hAnsi="Palatino Linotype" w:eastAsia="Palatino Linotype" w:cs="Times New Roman"/>
          <w:kern w:val="0"/>
          <w14:ligatures w14:val="none"/>
        </w:rPr>
        <w:t>.</w:t>
      </w:r>
      <w:r w:rsidR="00462458">
        <w:rPr>
          <w:rStyle w:val="FootnoteReference"/>
          <w:rFonts w:ascii="Palatino Linotype" w:hAnsi="Palatino Linotype" w:eastAsia="Palatino Linotype" w:cs="Times New Roman"/>
          <w:kern w:val="0"/>
          <w14:ligatures w14:val="none"/>
        </w:rPr>
        <w:footnoteReference w:id="8"/>
      </w:r>
      <w:r w:rsidR="00462458">
        <w:rPr>
          <w:rFonts w:ascii="Palatino Linotype" w:hAnsi="Palatino Linotype" w:eastAsia="Palatino Linotype" w:cs="Times New Roman"/>
          <w:kern w:val="0"/>
          <w14:ligatures w14:val="none"/>
        </w:rPr>
        <w:t xml:space="preserve"> D.23-11-069 </w:t>
      </w:r>
      <w:r w:rsidR="00BB6493">
        <w:rPr>
          <w:rFonts w:ascii="Palatino Linotype" w:hAnsi="Palatino Linotype" w:eastAsia="Palatino Linotype" w:cs="Times New Roman"/>
          <w:kern w:val="0"/>
          <w14:ligatures w14:val="none"/>
        </w:rPr>
        <w:t xml:space="preserve">also </w:t>
      </w:r>
      <w:r w:rsidR="00462458">
        <w:rPr>
          <w:rFonts w:ascii="Palatino Linotype" w:hAnsi="Palatino Linotype" w:eastAsia="Palatino Linotype" w:cs="Times New Roman"/>
          <w:kern w:val="0"/>
          <w14:ligatures w14:val="none"/>
        </w:rPr>
        <w:t xml:space="preserve">approved an escalation factor authorizing </w:t>
      </w:r>
      <w:r w:rsidRPr="001B25FD" w:rsidR="00F656C1">
        <w:rPr>
          <w:rFonts w:ascii="Palatino Linotype" w:hAnsi="Palatino Linotype" w:eastAsia="Palatino Linotype" w:cs="Times New Roman"/>
          <w:color w:val="000000" w:themeColor="text1"/>
        </w:rPr>
        <w:t>annual budget</w:t>
      </w:r>
      <w:r w:rsidR="00F656C1">
        <w:rPr>
          <w:rFonts w:ascii="Palatino Linotype" w:hAnsi="Palatino Linotype" w:eastAsia="Palatino Linotype" w:cs="Times New Roman"/>
          <w:color w:val="000000" w:themeColor="text1"/>
        </w:rPr>
        <w:t>s of</w:t>
      </w:r>
      <w:r w:rsidRPr="001B25FD" w:rsidR="00F656C1">
        <w:rPr>
          <w:rFonts w:ascii="Palatino Linotype" w:hAnsi="Palatino Linotype" w:eastAsia="Palatino Linotype" w:cs="Times New Roman"/>
          <w:color w:val="000000" w:themeColor="text1"/>
        </w:rPr>
        <w:t xml:space="preserve"> </w:t>
      </w:r>
      <w:r w:rsidRPr="001B25FD" w:rsidR="00462458">
        <w:rPr>
          <w:rFonts w:ascii="Palatino Linotype" w:hAnsi="Palatino Linotype" w:eastAsia="Palatino Linotype" w:cs="Times New Roman"/>
          <w:color w:val="000000" w:themeColor="text1"/>
        </w:rPr>
        <w:t>$8.09 million for</w:t>
      </w:r>
      <w:r w:rsidR="00462458">
        <w:rPr>
          <w:rFonts w:ascii="Palatino Linotype" w:hAnsi="Palatino Linotype" w:eastAsia="Palatino Linotype" w:cs="Times New Roman"/>
          <w:color w:val="000000" w:themeColor="text1"/>
        </w:rPr>
        <w:t xml:space="preserve"> PG&amp;E’s </w:t>
      </w:r>
      <w:r w:rsidRPr="001B25FD" w:rsidR="00462458">
        <w:rPr>
          <w:rFonts w:ascii="Palatino Linotype" w:hAnsi="Palatino Linotype" w:eastAsia="Palatino Linotype" w:cs="Times New Roman"/>
          <w:color w:val="000000" w:themeColor="text1"/>
        </w:rPr>
        <w:t>2024 Plan</w:t>
      </w:r>
      <w:r w:rsidR="00462458">
        <w:rPr>
          <w:rFonts w:ascii="Palatino Linotype" w:hAnsi="Palatino Linotype" w:eastAsia="Palatino Linotype" w:cs="Times New Roman"/>
          <w:color w:val="000000" w:themeColor="text1"/>
        </w:rPr>
        <w:t xml:space="preserve"> and $8.267 million </w:t>
      </w:r>
      <w:r w:rsidR="00F656C1">
        <w:rPr>
          <w:rFonts w:ascii="Palatino Linotype" w:hAnsi="Palatino Linotype" w:eastAsia="Palatino Linotype" w:cs="Times New Roman"/>
          <w:color w:val="000000" w:themeColor="text1"/>
        </w:rPr>
        <w:t>for</w:t>
      </w:r>
      <w:r w:rsidR="00F47CBD">
        <w:rPr>
          <w:rFonts w:ascii="Palatino Linotype" w:hAnsi="Palatino Linotype" w:eastAsia="Palatino Linotype" w:cs="Times New Roman"/>
          <w:color w:val="000000" w:themeColor="text1"/>
        </w:rPr>
        <w:t xml:space="preserve"> PG&amp;E’s </w:t>
      </w:r>
      <w:r w:rsidR="00462458">
        <w:rPr>
          <w:rFonts w:ascii="Palatino Linotype" w:hAnsi="Palatino Linotype" w:eastAsia="Palatino Linotype" w:cs="Times New Roman"/>
          <w:color w:val="000000" w:themeColor="text1"/>
        </w:rPr>
        <w:t xml:space="preserve">2025 </w:t>
      </w:r>
      <w:r w:rsidRPr="00F11748" w:rsidR="0075777D">
        <w:rPr>
          <w:rFonts w:ascii="Palatino Linotype" w:hAnsi="Palatino Linotype" w:eastAsia="Palatino Linotype" w:cs="Times New Roman"/>
          <w:color w:val="000000" w:themeColor="text1"/>
        </w:rPr>
        <w:t xml:space="preserve">and 2026 </w:t>
      </w:r>
      <w:r w:rsidRPr="00F11748" w:rsidR="00462458">
        <w:rPr>
          <w:rFonts w:ascii="Palatino Linotype" w:hAnsi="Palatino Linotype" w:eastAsia="Palatino Linotype" w:cs="Times New Roman"/>
          <w:color w:val="000000" w:themeColor="text1"/>
        </w:rPr>
        <w:t>Plan</w:t>
      </w:r>
      <w:r w:rsidRPr="00F11748" w:rsidR="0075777D">
        <w:rPr>
          <w:rFonts w:ascii="Palatino Linotype" w:hAnsi="Palatino Linotype" w:eastAsia="Palatino Linotype" w:cs="Times New Roman"/>
          <w:color w:val="000000" w:themeColor="text1"/>
        </w:rPr>
        <w:t>s</w:t>
      </w:r>
      <w:r w:rsidR="00462458">
        <w:rPr>
          <w:rFonts w:ascii="Palatino Linotype" w:hAnsi="Palatino Linotype" w:eastAsia="Palatino Linotype" w:cs="Times New Roman"/>
          <w:color w:val="000000" w:themeColor="text1"/>
        </w:rPr>
        <w:t>.</w:t>
      </w:r>
      <w:r w:rsidR="00462458">
        <w:rPr>
          <w:rStyle w:val="FootnoteReference"/>
          <w:rFonts w:ascii="Palatino Linotype" w:hAnsi="Palatino Linotype" w:eastAsia="Palatino Linotype" w:cs="Times New Roman"/>
          <w:color w:val="000000" w:themeColor="text1"/>
        </w:rPr>
        <w:footnoteReference w:id="9"/>
      </w:r>
      <w:r w:rsidRPr="001B25FD" w:rsidR="00462458">
        <w:rPr>
          <w:rFonts w:ascii="Palatino Linotype" w:hAnsi="Palatino Linotype" w:eastAsia="Palatino Linotype" w:cs="Times New Roman"/>
          <w:color w:val="000000" w:themeColor="text1"/>
        </w:rPr>
        <w:t xml:space="preserve"> </w:t>
      </w:r>
      <w:r w:rsidR="00080281">
        <w:rPr>
          <w:rFonts w:ascii="Palatino Linotype" w:hAnsi="Palatino Linotype" w:eastAsia="Palatino Linotype" w:cs="Times New Roman"/>
          <w:kern w:val="0"/>
          <w14:ligatures w14:val="none"/>
        </w:rPr>
        <w:t xml:space="preserve">To utilize authorized funds, </w:t>
      </w:r>
      <w:r w:rsidR="00080281">
        <w:rPr>
          <w:rFonts w:ascii="Palatino Linotype" w:hAnsi="Palatino Linotype" w:eastAsia="Palatino Linotype" w:cs="Times New Roman"/>
          <w:bCs/>
          <w:kern w:val="0"/>
          <w14:ligatures w14:val="none"/>
        </w:rPr>
        <w:t>D.23-11-069 requires PG&amp;E to submit</w:t>
      </w:r>
      <w:r w:rsidR="00535BFB">
        <w:rPr>
          <w:rFonts w:ascii="Palatino Linotype" w:hAnsi="Palatino Linotype" w:eastAsia="Palatino Linotype" w:cs="Times New Roman"/>
          <w:bCs/>
          <w:kern w:val="0"/>
          <w14:ligatures w14:val="none"/>
        </w:rPr>
        <w:t>,</w:t>
      </w:r>
      <w:r w:rsidR="00080281">
        <w:rPr>
          <w:rFonts w:ascii="Palatino Linotype" w:hAnsi="Palatino Linotype" w:eastAsia="Palatino Linotype" w:cs="Times New Roman"/>
          <w:bCs/>
          <w:kern w:val="0"/>
          <w14:ligatures w14:val="none"/>
        </w:rPr>
        <w:t xml:space="preserve"> and the Commission to approve</w:t>
      </w:r>
      <w:r w:rsidR="00535BFB">
        <w:rPr>
          <w:rFonts w:ascii="Palatino Linotype" w:hAnsi="Palatino Linotype" w:eastAsia="Palatino Linotype" w:cs="Times New Roman"/>
          <w:bCs/>
          <w:kern w:val="0"/>
          <w14:ligatures w14:val="none"/>
        </w:rPr>
        <w:t>,</w:t>
      </w:r>
      <w:r w:rsidR="00080281">
        <w:rPr>
          <w:rFonts w:ascii="Palatino Linotype" w:hAnsi="Palatino Linotype" w:eastAsia="Palatino Linotype" w:cs="Times New Roman"/>
          <w:bCs/>
          <w:kern w:val="0"/>
          <w14:ligatures w14:val="none"/>
        </w:rPr>
        <w:t xml:space="preserve"> an annual Tier 3 </w:t>
      </w:r>
      <w:r w:rsidRPr="64FE4AD1" w:rsidR="00080281">
        <w:rPr>
          <w:rFonts w:ascii="Palatino Linotype" w:hAnsi="Palatino Linotype" w:eastAsia="Palatino Linotype" w:cs="Times New Roman"/>
          <w:kern w:val="0"/>
          <w14:ligatures w14:val="none"/>
        </w:rPr>
        <w:t>A</w:t>
      </w:r>
      <w:r w:rsidRPr="64FE4AD1" w:rsidR="7BC39F5A">
        <w:rPr>
          <w:rFonts w:ascii="Palatino Linotype" w:hAnsi="Palatino Linotype" w:eastAsia="Palatino Linotype" w:cs="Times New Roman"/>
          <w:kern w:val="0"/>
          <w14:ligatures w14:val="none"/>
        </w:rPr>
        <w:t xml:space="preserve">L </w:t>
      </w:r>
      <w:r w:rsidRPr="64FE4AD1" w:rsidR="00080281">
        <w:rPr>
          <w:rFonts w:ascii="Palatino Linotype" w:hAnsi="Palatino Linotype" w:eastAsia="Palatino Linotype" w:cs="Times New Roman"/>
          <w:kern w:val="0"/>
          <w14:ligatures w14:val="none"/>
        </w:rPr>
        <w:t>describing</w:t>
      </w:r>
      <w:r w:rsidR="00080281">
        <w:rPr>
          <w:rFonts w:ascii="Palatino Linotype" w:hAnsi="Palatino Linotype" w:eastAsia="Palatino Linotype" w:cs="Times New Roman"/>
          <w:bCs/>
          <w:kern w:val="0"/>
          <w14:ligatures w14:val="none"/>
        </w:rPr>
        <w:t xml:space="preserve"> PG&amp;E’s proposed Gas RD&amp;D Investment Plan. Upon Commission approval of the Plan, PG&amp;E may </w:t>
      </w:r>
      <w:r w:rsidR="000718B7">
        <w:rPr>
          <w:rFonts w:ascii="Palatino Linotype" w:hAnsi="Palatino Linotype" w:eastAsia="Palatino Linotype" w:cs="Times New Roman"/>
          <w:bCs/>
          <w:kern w:val="0"/>
          <w14:ligatures w14:val="none"/>
        </w:rPr>
        <w:t xml:space="preserve">then </w:t>
      </w:r>
      <w:r w:rsidR="00080281">
        <w:rPr>
          <w:rFonts w:ascii="Palatino Linotype" w:hAnsi="Palatino Linotype" w:eastAsia="Palatino Linotype" w:cs="Times New Roman"/>
          <w:bCs/>
          <w:kern w:val="0"/>
          <w14:ligatures w14:val="none"/>
        </w:rPr>
        <w:t>record Gas RD&amp;D program expenses in a one-way balancing account.</w:t>
      </w:r>
      <w:r w:rsidRPr="002204D2" w:rsidR="00AF121B">
        <w:rPr>
          <w:rFonts w:ascii="Palatino Linotype" w:hAnsi="Palatino Linotype"/>
        </w:rPr>
        <w:t xml:space="preserve"> </w:t>
      </w:r>
      <w:r w:rsidRPr="002204D2" w:rsidR="00F2303C">
        <w:rPr>
          <w:rFonts w:ascii="Palatino Linotype" w:hAnsi="Palatino Linotype"/>
        </w:rPr>
        <w:t xml:space="preserve">PG&amp;E shall not record any Gas RD&amp;D program expenses in a one-way balancing account until an annual Tier 3 Advice Letter outlining its Gas RD&amp;D </w:t>
      </w:r>
      <w:r w:rsidR="00B065CE">
        <w:rPr>
          <w:rFonts w:ascii="Palatino Linotype" w:hAnsi="Palatino Linotype"/>
        </w:rPr>
        <w:t>B</w:t>
      </w:r>
      <w:r w:rsidRPr="002204D2" w:rsidR="00F2303C">
        <w:rPr>
          <w:rFonts w:ascii="Palatino Linotype" w:hAnsi="Palatino Linotype"/>
        </w:rPr>
        <w:t xml:space="preserve">udget </w:t>
      </w:r>
      <w:r w:rsidR="00B065CE">
        <w:rPr>
          <w:rFonts w:ascii="Palatino Linotype" w:hAnsi="Palatino Linotype"/>
        </w:rPr>
        <w:t>P</w:t>
      </w:r>
      <w:r w:rsidRPr="002204D2" w:rsidR="00F2303C">
        <w:rPr>
          <w:rFonts w:ascii="Palatino Linotype" w:hAnsi="Palatino Linotype"/>
        </w:rPr>
        <w:t>lan is approved</w:t>
      </w:r>
      <w:r w:rsidR="000718B7">
        <w:rPr>
          <w:rFonts w:ascii="Palatino Linotype" w:hAnsi="Palatino Linotype"/>
        </w:rPr>
        <w:t xml:space="preserve"> by the Commission</w:t>
      </w:r>
      <w:r w:rsidRPr="002204D2" w:rsidR="00F2303C">
        <w:rPr>
          <w:rFonts w:ascii="Palatino Linotype" w:hAnsi="Palatino Linotype"/>
        </w:rPr>
        <w:t>.</w:t>
      </w:r>
      <w:r w:rsidRPr="002204D2" w:rsidR="00F2303C">
        <w:rPr>
          <w:rStyle w:val="FootnoteReference"/>
          <w:rFonts w:ascii="Palatino Linotype" w:hAnsi="Palatino Linotype"/>
        </w:rPr>
        <w:footnoteReference w:id="10"/>
      </w:r>
    </w:p>
    <w:p w:rsidR="00373D9A" w:rsidP="00361AB6" w:rsidRDefault="00373D9A" w14:paraId="0A725C0A" w14:textId="77777777">
      <w:pPr>
        <w:spacing w:line="276" w:lineRule="auto"/>
        <w:contextualSpacing/>
        <w:rPr>
          <w:rFonts w:ascii="Palatino Linotype" w:hAnsi="Palatino Linotype" w:eastAsia="Palatino Linotype" w:cs="Times New Roman"/>
          <w:kern w:val="0"/>
          <w14:ligatures w14:val="none"/>
        </w:rPr>
      </w:pPr>
    </w:p>
    <w:p w:rsidR="003A0BE0" w:rsidP="007C086D" w:rsidRDefault="6E281296" w14:paraId="2356C8B0" w14:textId="4E20BF2E">
      <w:pPr>
        <w:spacing w:after="0" w:line="276" w:lineRule="auto"/>
        <w:rPr>
          <w:rFonts w:ascii="Palatino Linotype" w:hAnsi="Palatino Linotype" w:eastAsia="Palatino Linotype" w:cs="Times New Roman"/>
          <w:b/>
          <w:bCs/>
          <w:color w:val="000000" w:themeColor="text1"/>
        </w:rPr>
      </w:pPr>
      <w:r w:rsidRPr="00592437">
        <w:rPr>
          <w:rFonts w:ascii="Palatino Linotype" w:hAnsi="Palatino Linotype" w:eastAsia="Palatino Linotype" w:cs="Times New Roman"/>
          <w:b/>
          <w:bCs/>
          <w:color w:val="000000" w:themeColor="text1"/>
          <w:kern w:val="0"/>
          <w14:ligatures w14:val="none"/>
        </w:rPr>
        <w:t>Decision 23-11-069</w:t>
      </w:r>
      <w:r w:rsidRPr="00592437" w:rsidR="0060DF81">
        <w:rPr>
          <w:rFonts w:ascii="Palatino Linotype" w:hAnsi="Palatino Linotype" w:eastAsia="Palatino Linotype" w:cs="Times New Roman"/>
          <w:b/>
          <w:bCs/>
          <w:color w:val="000000" w:themeColor="text1"/>
          <w:kern w:val="0"/>
          <w14:ligatures w14:val="none"/>
        </w:rPr>
        <w:t xml:space="preserve"> Adopting PG&amp;E’s </w:t>
      </w:r>
      <w:r w:rsidRPr="00592437" w:rsidR="5B51D59E">
        <w:rPr>
          <w:rFonts w:ascii="Palatino Linotype" w:hAnsi="Palatino Linotype" w:eastAsia="Palatino Linotype" w:cs="Times New Roman"/>
          <w:b/>
          <w:bCs/>
          <w:color w:val="000000" w:themeColor="text1"/>
          <w:kern w:val="0"/>
          <w14:ligatures w14:val="none"/>
        </w:rPr>
        <w:t>2023</w:t>
      </w:r>
      <w:r w:rsidRPr="00592437" w:rsidR="7204AA3A">
        <w:rPr>
          <w:rFonts w:ascii="Palatino Linotype" w:hAnsi="Palatino Linotype" w:eastAsia="Palatino Linotype" w:cs="Times New Roman"/>
          <w:b/>
          <w:bCs/>
          <w:color w:val="000000" w:themeColor="text1"/>
        </w:rPr>
        <w:t xml:space="preserve"> Revenue Requirement in PG&amp;E’s</w:t>
      </w:r>
      <w:r w:rsidRPr="00592437" w:rsidR="5B51D59E">
        <w:rPr>
          <w:rFonts w:ascii="Palatino Linotype" w:hAnsi="Palatino Linotype" w:eastAsia="Palatino Linotype" w:cs="Times New Roman"/>
          <w:b/>
          <w:bCs/>
          <w:color w:val="000000" w:themeColor="text1"/>
          <w:kern w:val="0"/>
          <w14:ligatures w14:val="none"/>
        </w:rPr>
        <w:t xml:space="preserve"> General Rate Case</w:t>
      </w:r>
      <w:r w:rsidRPr="00592437" w:rsidR="4ED7F7FE">
        <w:rPr>
          <w:rFonts w:ascii="Palatino Linotype" w:hAnsi="Palatino Linotype" w:eastAsia="Palatino Linotype" w:cs="Times New Roman"/>
          <w:b/>
          <w:bCs/>
          <w:color w:val="000000" w:themeColor="text1"/>
        </w:rPr>
        <w:t xml:space="preserve"> </w:t>
      </w:r>
      <w:r w:rsidRPr="00592437" w:rsidR="487F7C96">
        <w:rPr>
          <w:rFonts w:ascii="Palatino Linotype" w:hAnsi="Palatino Linotype" w:eastAsia="Palatino Linotype" w:cs="Times New Roman"/>
          <w:b/>
          <w:bCs/>
          <w:color w:val="000000" w:themeColor="text1"/>
        </w:rPr>
        <w:t>and Gas RD&amp;D Investment Plan Funds Upon Approval of a Tier 3 Advice Letter</w:t>
      </w:r>
    </w:p>
    <w:p w:rsidRPr="00592437" w:rsidR="007C086D" w:rsidP="007C086D" w:rsidRDefault="007C086D" w14:paraId="04E4FE77" w14:textId="77777777">
      <w:pPr>
        <w:spacing w:after="0" w:line="276" w:lineRule="auto"/>
        <w:rPr>
          <w:rFonts w:ascii="Palatino Linotype" w:hAnsi="Palatino Linotype" w:eastAsia="Palatino Linotype" w:cs="Times New Roman"/>
          <w:b/>
          <w:color w:val="000000" w:themeColor="text1"/>
          <w:kern w:val="0"/>
          <w14:ligatures w14:val="none"/>
        </w:rPr>
      </w:pPr>
    </w:p>
    <w:p w:rsidR="008B0B6E" w:rsidP="007E7238" w:rsidRDefault="0003427E" w14:paraId="3DC7CD6A" w14:textId="53BBA51A">
      <w:pPr>
        <w:spacing w:line="276" w:lineRule="auto"/>
        <w:rPr>
          <w:rFonts w:ascii="Palatino Linotype" w:hAnsi="Palatino Linotype" w:eastAsia="Palatino Linotype" w:cs="Times New Roman"/>
          <w:bCs/>
          <w:color w:val="000000" w:themeColor="text1"/>
          <w:kern w:val="0"/>
          <w14:ligatures w14:val="none"/>
        </w:rPr>
      </w:pPr>
      <w:r>
        <w:rPr>
          <w:rFonts w:ascii="Palatino Linotype" w:hAnsi="Palatino Linotype" w:eastAsia="Palatino Linotype" w:cs="Times New Roman"/>
          <w:bCs/>
          <w:color w:val="000000" w:themeColor="text1"/>
          <w:kern w:val="0"/>
          <w14:ligatures w14:val="none"/>
        </w:rPr>
        <w:t xml:space="preserve">D.23-11-069 requires PG&amp;E to </w:t>
      </w:r>
      <w:r w:rsidRPr="008B0B6E" w:rsidR="008B0B6E">
        <w:rPr>
          <w:rFonts w:ascii="Palatino Linotype" w:hAnsi="Palatino Linotype" w:eastAsia="Palatino Linotype" w:cs="Times New Roman"/>
          <w:bCs/>
          <w:color w:val="000000" w:themeColor="text1"/>
          <w:kern w:val="0"/>
          <w14:ligatures w14:val="none"/>
        </w:rPr>
        <w:t xml:space="preserve">submit its annual </w:t>
      </w:r>
      <w:r w:rsidR="00B466B6">
        <w:rPr>
          <w:rFonts w:ascii="Palatino Linotype" w:hAnsi="Palatino Linotype" w:eastAsia="Palatino Linotype" w:cs="Times New Roman"/>
          <w:bCs/>
          <w:color w:val="000000" w:themeColor="text1"/>
          <w:kern w:val="0"/>
          <w14:ligatures w14:val="none"/>
        </w:rPr>
        <w:t>Gas RD&amp;D Investment Pl</w:t>
      </w:r>
      <w:r w:rsidRPr="008B0B6E" w:rsidR="008B0B6E">
        <w:rPr>
          <w:rFonts w:ascii="Palatino Linotype" w:hAnsi="Palatino Linotype" w:eastAsia="Palatino Linotype" w:cs="Times New Roman"/>
          <w:bCs/>
          <w:color w:val="000000" w:themeColor="text1"/>
          <w:kern w:val="0"/>
          <w14:ligatures w14:val="none"/>
        </w:rPr>
        <w:t>an</w:t>
      </w:r>
      <w:r w:rsidR="00D765F4">
        <w:rPr>
          <w:rFonts w:ascii="Palatino Linotype" w:hAnsi="Palatino Linotype" w:eastAsia="Palatino Linotype" w:cs="Times New Roman"/>
          <w:bCs/>
          <w:color w:val="000000" w:themeColor="text1"/>
          <w:kern w:val="0"/>
          <w14:ligatures w14:val="none"/>
        </w:rPr>
        <w:t>s</w:t>
      </w:r>
      <w:r w:rsidRPr="008B0B6E" w:rsidR="008B0B6E">
        <w:rPr>
          <w:rFonts w:ascii="Palatino Linotype" w:hAnsi="Palatino Linotype" w:eastAsia="Palatino Linotype" w:cs="Times New Roman"/>
          <w:bCs/>
          <w:color w:val="000000" w:themeColor="text1"/>
          <w:kern w:val="0"/>
          <w14:ligatures w14:val="none"/>
        </w:rPr>
        <w:t xml:space="preserve"> as follows</w:t>
      </w:r>
      <w:r w:rsidR="00046E8D">
        <w:rPr>
          <w:rFonts w:ascii="Palatino Linotype" w:hAnsi="Palatino Linotype" w:eastAsia="Palatino Linotype" w:cs="Times New Roman"/>
          <w:bCs/>
          <w:color w:val="000000" w:themeColor="text1"/>
          <w:kern w:val="0"/>
          <w14:ligatures w14:val="none"/>
        </w:rPr>
        <w:t>,</w:t>
      </w:r>
      <w:r w:rsidRPr="008B0B6E" w:rsidR="008B0B6E">
        <w:rPr>
          <w:rFonts w:ascii="Palatino Linotype" w:hAnsi="Palatino Linotype" w:eastAsia="Palatino Linotype" w:cs="Times New Roman"/>
          <w:bCs/>
          <w:color w:val="000000" w:themeColor="text1"/>
          <w:kern w:val="0"/>
          <w14:ligatures w14:val="none"/>
        </w:rPr>
        <w:t xml:space="preserve"> </w:t>
      </w:r>
      <w:r w:rsidR="009F77EE">
        <w:rPr>
          <w:rFonts w:ascii="Palatino Linotype" w:hAnsi="Palatino Linotype" w:eastAsia="Palatino Linotype" w:cs="Times New Roman"/>
          <w:bCs/>
          <w:color w:val="000000" w:themeColor="text1"/>
          <w:kern w:val="0"/>
          <w14:ligatures w14:val="none"/>
        </w:rPr>
        <w:t>consistent with</w:t>
      </w:r>
      <w:r w:rsidRPr="008B0B6E" w:rsidR="008B0B6E">
        <w:rPr>
          <w:rFonts w:ascii="Palatino Linotype" w:hAnsi="Palatino Linotype" w:eastAsia="Palatino Linotype" w:cs="Times New Roman"/>
          <w:bCs/>
          <w:color w:val="000000" w:themeColor="text1"/>
          <w:kern w:val="0"/>
          <w14:ligatures w14:val="none"/>
        </w:rPr>
        <w:t xml:space="preserve"> </w:t>
      </w:r>
      <w:r w:rsidR="00B466B6">
        <w:rPr>
          <w:rFonts w:ascii="Palatino Linotype" w:hAnsi="Palatino Linotype" w:eastAsia="Palatino Linotype" w:cs="Times New Roman"/>
          <w:bCs/>
          <w:color w:val="000000" w:themeColor="text1"/>
          <w:kern w:val="0"/>
          <w14:ligatures w14:val="none"/>
        </w:rPr>
        <w:t xml:space="preserve">prior </w:t>
      </w:r>
      <w:r w:rsidRPr="00E9576C" w:rsidR="00B466B6">
        <w:rPr>
          <w:rFonts w:ascii="Palatino Linotype" w:hAnsi="Palatino Linotype" w:eastAsia="Palatino Linotype" w:cs="Times New Roman"/>
          <w:kern w:val="0"/>
          <w14:ligatures w14:val="none"/>
        </w:rPr>
        <w:t xml:space="preserve">Commission </w:t>
      </w:r>
      <w:r w:rsidR="00D75298">
        <w:rPr>
          <w:rFonts w:ascii="Palatino Linotype" w:hAnsi="Palatino Linotype" w:eastAsia="Palatino Linotype" w:cs="Times New Roman"/>
          <w:kern w:val="0"/>
          <w14:ligatures w14:val="none"/>
        </w:rPr>
        <w:t>D</w:t>
      </w:r>
      <w:r w:rsidRPr="00E9576C" w:rsidR="00B466B6">
        <w:rPr>
          <w:rFonts w:ascii="Palatino Linotype" w:hAnsi="Palatino Linotype" w:eastAsia="Palatino Linotype" w:cs="Times New Roman"/>
          <w:kern w:val="0"/>
          <w14:ligatures w14:val="none"/>
        </w:rPr>
        <w:t xml:space="preserve">ecisions and </w:t>
      </w:r>
      <w:r w:rsidR="00D75298">
        <w:rPr>
          <w:rFonts w:ascii="Palatino Linotype" w:hAnsi="Palatino Linotype" w:eastAsia="Palatino Linotype" w:cs="Times New Roman"/>
          <w:kern w:val="0"/>
          <w14:ligatures w14:val="none"/>
        </w:rPr>
        <w:t>R</w:t>
      </w:r>
      <w:r w:rsidRPr="00E9576C" w:rsidR="00B466B6">
        <w:rPr>
          <w:rFonts w:ascii="Palatino Linotype" w:hAnsi="Palatino Linotype" w:eastAsia="Palatino Linotype" w:cs="Times New Roman"/>
          <w:kern w:val="0"/>
          <w14:ligatures w14:val="none"/>
        </w:rPr>
        <w:t xml:space="preserve">esolutions </w:t>
      </w:r>
      <w:r w:rsidRPr="008B0B6E" w:rsidR="008B0B6E">
        <w:rPr>
          <w:rFonts w:ascii="Palatino Linotype" w:hAnsi="Palatino Linotype" w:eastAsia="Palatino Linotype" w:cs="Times New Roman"/>
          <w:bCs/>
          <w:color w:val="000000" w:themeColor="text1"/>
          <w:kern w:val="0"/>
          <w14:ligatures w14:val="none"/>
        </w:rPr>
        <w:t>guidance</w:t>
      </w:r>
      <w:r w:rsidR="00891130">
        <w:rPr>
          <w:rFonts w:ascii="Palatino Linotype" w:hAnsi="Palatino Linotype" w:eastAsia="Palatino Linotype" w:cs="Times New Roman"/>
          <w:bCs/>
          <w:color w:val="000000" w:themeColor="text1"/>
          <w:kern w:val="0"/>
          <w14:ligatures w14:val="none"/>
        </w:rPr>
        <w:t>:</w:t>
      </w:r>
      <w:r w:rsidRPr="61D6D4C1">
        <w:rPr>
          <w:rStyle w:val="FootnoteReference"/>
          <w:rFonts w:ascii="Palatino Linotype" w:hAnsi="Palatino Linotype" w:eastAsia="Palatino Linotype" w:cs="Times New Roman"/>
          <w:color w:val="000000" w:themeColor="text1"/>
        </w:rPr>
        <w:footnoteReference w:id="11"/>
      </w:r>
    </w:p>
    <w:p w:rsidR="00B052F4" w:rsidP="007E7238" w:rsidRDefault="002204D2" w14:paraId="3868B9D1" w14:textId="3F8C590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 xml:space="preserve">The annual research plan should detail budgets broken down by research </w:t>
      </w:r>
      <w:r w:rsidR="00500614">
        <w:rPr>
          <w:rFonts w:ascii="Palatino Linotype" w:hAnsi="Palatino Linotype"/>
        </w:rPr>
        <w:br/>
      </w:r>
      <w:r w:rsidRPr="00B052F4">
        <w:rPr>
          <w:rFonts w:ascii="Palatino Linotype" w:hAnsi="Palatino Linotype"/>
        </w:rPr>
        <w:t>sub-program area and explain how the projects improve reliability, safety, equity, affordability, and environmental benefits, and incorporates input from key stakeholders, such as the Disadvantaged Communities Advisory Group.</w:t>
      </w:r>
      <w:r w:rsidRPr="002204D2">
        <w:rPr>
          <w:rStyle w:val="FootnoteReference"/>
          <w:rFonts w:ascii="Palatino Linotype" w:hAnsi="Palatino Linotype"/>
        </w:rPr>
        <w:footnoteReference w:id="12"/>
      </w:r>
    </w:p>
    <w:p w:rsidR="00B052F4" w:rsidP="007E7238" w:rsidRDefault="002204D2" w14:paraId="0A93EB77" w14:textId="77777777">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 xml:space="preserve">The annual research plan should include a proposed benefits analysis framework, created in consultation with Energy Division </w:t>
      </w:r>
      <w:r w:rsidR="00D17044">
        <w:rPr>
          <w:rFonts w:ascii="Palatino Linotype" w:hAnsi="Palatino Linotype"/>
        </w:rPr>
        <w:t>staff</w:t>
      </w:r>
      <w:r w:rsidRPr="00B052F4">
        <w:rPr>
          <w:rFonts w:ascii="Palatino Linotype" w:hAnsi="Palatino Linotype"/>
        </w:rPr>
        <w:t xml:space="preserve">. This framework should provide sufficient quantitative estimates of potential safety, reliability, operational efficiency, improved affordability, environmental-related benefits, </w:t>
      </w:r>
      <w:r w:rsidRPr="00B052F4">
        <w:rPr>
          <w:rFonts w:ascii="Palatino Linotype" w:hAnsi="Palatino Linotype"/>
        </w:rPr>
        <w:lastRenderedPageBreak/>
        <w:t>benefits to underserved communities, and numeric targets or a specified numeric range of potential benefits for projects.</w:t>
      </w:r>
      <w:r w:rsidRPr="002204D2">
        <w:rPr>
          <w:rStyle w:val="FootnoteReference"/>
          <w:rFonts w:ascii="Palatino Linotype" w:hAnsi="Palatino Linotype"/>
        </w:rPr>
        <w:footnoteReference w:id="13"/>
      </w:r>
    </w:p>
    <w:p w:rsidRPr="00236A19" w:rsidR="00B052F4" w:rsidP="007E7238" w:rsidRDefault="002204D2" w14:paraId="4C9045A4" w14:textId="06408A5C">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PG&amp;E should cap its administrative costs for Gas RD&amp;D at 10</w:t>
      </w:r>
      <w:r w:rsidRPr="00B052F4" w:rsidR="5F320CEC">
        <w:rPr>
          <w:rFonts w:ascii="Palatino Linotype" w:hAnsi="Palatino Linotype"/>
        </w:rPr>
        <w:t>%</w:t>
      </w:r>
      <w:r w:rsidRPr="61D6D4C1" w:rsidR="2C498E22">
        <w:rPr>
          <w:rFonts w:ascii="Palatino Linotype" w:hAnsi="Palatino Linotype"/>
        </w:rPr>
        <w:t xml:space="preserve"> </w:t>
      </w:r>
      <w:r w:rsidRPr="00B052F4" w:rsidR="5F320CEC">
        <w:rPr>
          <w:rFonts w:ascii="Palatino Linotype" w:hAnsi="Palatino Linotype"/>
        </w:rPr>
        <w:t>...</w:t>
      </w:r>
      <w:r w:rsidRPr="61D6D4C1" w:rsidR="20C6B80B">
        <w:rPr>
          <w:rFonts w:ascii="Palatino Linotype" w:hAnsi="Palatino Linotype"/>
        </w:rPr>
        <w:t>.</w:t>
      </w:r>
      <w:r w:rsidRPr="00B052F4">
        <w:rPr>
          <w:rFonts w:ascii="Palatino Linotype" w:hAnsi="Palatino Linotype"/>
        </w:rPr>
        <w:t xml:space="preserve"> </w:t>
      </w:r>
      <w:r w:rsidR="00500614">
        <w:rPr>
          <w:rFonts w:ascii="Palatino Linotype" w:hAnsi="Palatino Linotype"/>
        </w:rPr>
        <w:br/>
      </w:r>
      <w:r w:rsidRPr="00B052F4">
        <w:rPr>
          <w:rFonts w:ascii="Palatino Linotype" w:hAnsi="Palatino Linotype"/>
        </w:rPr>
        <w:t xml:space="preserve">PG&amp;E’s annual research plan should provide </w:t>
      </w:r>
      <w:proofErr w:type="gramStart"/>
      <w:r w:rsidRPr="00B052F4">
        <w:rPr>
          <w:rFonts w:ascii="Palatino Linotype" w:hAnsi="Palatino Linotype"/>
        </w:rPr>
        <w:t>detail</w:t>
      </w:r>
      <w:proofErr w:type="gramEnd"/>
      <w:r w:rsidRPr="00B052F4">
        <w:rPr>
          <w:rFonts w:ascii="Palatino Linotype" w:hAnsi="Palatino Linotype"/>
        </w:rPr>
        <w:t xml:space="preserve"> about administrative costs and require PG&amp;E to allocate these cost categories to its administrative budget as outlined below</w:t>
      </w:r>
      <w:r w:rsidRPr="00B052F4">
        <w:rPr>
          <w:rFonts w:ascii="Palatino Linotype" w:hAnsi="Palatino Linotype"/>
          <w:color w:val="000000" w:themeColor="text1"/>
        </w:rPr>
        <w:t>.</w:t>
      </w:r>
      <w:r w:rsidRPr="002204D2">
        <w:rPr>
          <w:rStyle w:val="FootnoteReference"/>
          <w:rFonts w:ascii="Palatino Linotype" w:hAnsi="Palatino Linotype"/>
        </w:rPr>
        <w:footnoteReference w:id="14"/>
      </w:r>
    </w:p>
    <w:p w:rsidRPr="00236A19" w:rsidR="00236A19" w:rsidP="007E7238" w:rsidRDefault="00236A19" w14:paraId="1029B7DA" w14:textId="7508A7F6">
      <w:pPr>
        <w:pStyle w:val="ListParagraph"/>
        <w:numPr>
          <w:ilvl w:val="0"/>
          <w:numId w:val="8"/>
        </w:numPr>
        <w:spacing w:line="276" w:lineRule="auto"/>
        <w:ind w:left="810" w:hanging="450"/>
        <w:rPr>
          <w:rFonts w:ascii="Palatino Linotype" w:hAnsi="Palatino Linotype"/>
        </w:rPr>
      </w:pPr>
      <w:r w:rsidRPr="00236A19">
        <w:rPr>
          <w:rFonts w:ascii="Palatino Linotype" w:hAnsi="Palatino Linotype"/>
        </w:rPr>
        <w:t>In its annual research plan, PG&amp;E should explain how its</w:t>
      </w:r>
      <w:r>
        <w:rPr>
          <w:rFonts w:ascii="Palatino Linotype" w:hAnsi="Palatino Linotype"/>
        </w:rPr>
        <w:t xml:space="preserve"> </w:t>
      </w:r>
      <w:r w:rsidRPr="00236A19">
        <w:rPr>
          <w:rFonts w:ascii="Palatino Linotype" w:hAnsi="Palatino Linotype"/>
        </w:rPr>
        <w:t xml:space="preserve">proposals for low carbon research projects (rather than zero/no carbon projects) support the </w:t>
      </w:r>
      <w:r w:rsidR="00500614">
        <w:rPr>
          <w:rFonts w:ascii="Palatino Linotype" w:hAnsi="Palatino Linotype"/>
        </w:rPr>
        <w:br/>
      </w:r>
      <w:r w:rsidRPr="00236A19">
        <w:rPr>
          <w:rFonts w:ascii="Palatino Linotype" w:hAnsi="Palatino Linotype"/>
        </w:rPr>
        <w:t>State’s aggressive</w:t>
      </w:r>
      <w:r>
        <w:rPr>
          <w:rFonts w:ascii="Palatino Linotype" w:hAnsi="Palatino Linotype"/>
        </w:rPr>
        <w:t xml:space="preserve"> </w:t>
      </w:r>
      <w:r w:rsidRPr="00236A19">
        <w:rPr>
          <w:rFonts w:ascii="Palatino Linotype" w:hAnsi="Palatino Linotype"/>
        </w:rPr>
        <w:t>zero-carbon goals.</w:t>
      </w:r>
      <w:r w:rsidR="007004A4">
        <w:rPr>
          <w:rStyle w:val="FootnoteReference"/>
          <w:rFonts w:ascii="Palatino Linotype" w:hAnsi="Palatino Linotype"/>
        </w:rPr>
        <w:footnoteReference w:id="15"/>
      </w:r>
    </w:p>
    <w:p w:rsidRPr="00B052F4" w:rsidR="00B052F4" w:rsidP="007E7238" w:rsidRDefault="002204D2" w14:paraId="279F9A51" w14:textId="715A157A">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The annual research plan should include information on funds encumbered, spent, and unspent.</w:t>
      </w:r>
      <w:r w:rsidRPr="002039C4" w:rsidR="00F71C1F">
        <w:rPr>
          <w:rStyle w:val="FootnoteReference"/>
          <w:rFonts w:ascii="Palatino Linotype" w:hAnsi="Palatino Linotype"/>
          <w:color w:val="000000" w:themeColor="text1"/>
        </w:rPr>
        <w:footnoteReference w:id="16"/>
      </w:r>
      <w:r w:rsidRPr="00B052F4">
        <w:rPr>
          <w:rFonts w:ascii="Palatino Linotype" w:hAnsi="Palatino Linotype"/>
          <w:color w:val="000000" w:themeColor="text1"/>
        </w:rPr>
        <w:t xml:space="preserve"> The plan should also outline co-funding and collaborative partners and explain how PG</w:t>
      </w:r>
      <w:r w:rsidRPr="00B052F4" w:rsidR="71D434E5">
        <w:rPr>
          <w:rFonts w:ascii="Palatino Linotype" w:hAnsi="Palatino Linotype"/>
          <w:color w:val="000000" w:themeColor="text1"/>
        </w:rPr>
        <w:t>&amp;</w:t>
      </w:r>
      <w:r w:rsidRPr="00B052F4">
        <w:rPr>
          <w:rFonts w:ascii="Palatino Linotype" w:hAnsi="Palatino Linotype"/>
          <w:color w:val="000000" w:themeColor="text1"/>
        </w:rPr>
        <w:t>E engages with diverse academic populations. Further, PG&amp;E should describe how its research plan will benefit underserved communities.</w:t>
      </w:r>
      <w:r w:rsidRPr="002204D2">
        <w:rPr>
          <w:rStyle w:val="FootnoteReference"/>
          <w:rFonts w:ascii="Palatino Linotype" w:hAnsi="Palatino Linotype"/>
          <w:color w:val="000000" w:themeColor="text1"/>
        </w:rPr>
        <w:footnoteReference w:id="17"/>
      </w:r>
    </w:p>
    <w:p w:rsidRPr="00E63DFE" w:rsidR="00E63DFE" w:rsidP="007E7238" w:rsidRDefault="002204D2" w14:paraId="4299CCEC" w14:textId="269D858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PG&amp;E shall hold an annual workshop prior to submitting its Tier 3 Advice Letter Annual Gas RD&amp;D Investment Plan and shall consult with Energy Division to develop the workshop agenda. The annual workshop shall be held at least 90 days before submitting its annual Gas RD&amp;D research plan to the CPUC to allow sufficient time to incorporate stakeholder feedback. At these workshops, PG&amp;E shall present the results of the previous year’s RD&amp;D program and obtain input regarding its proposed spending for the following calendar year. The workshop shall follow the guidance of D.19-09-051 Ordering Paragraph 30.</w:t>
      </w:r>
      <w:r w:rsidRPr="002204D2">
        <w:rPr>
          <w:rStyle w:val="FootnoteReference"/>
          <w:rFonts w:ascii="Palatino Linotype" w:hAnsi="Palatino Linotype"/>
          <w:color w:val="000000" w:themeColor="text1"/>
        </w:rPr>
        <w:footnoteReference w:id="18"/>
      </w:r>
    </w:p>
    <w:p w:rsidRPr="00E63DFE" w:rsidR="00E63DFE" w:rsidP="007E7238" w:rsidRDefault="00E63DFE" w14:paraId="1BE25446" w14:textId="3FCC48BB">
      <w:pPr>
        <w:pStyle w:val="ListParagraph"/>
        <w:numPr>
          <w:ilvl w:val="0"/>
          <w:numId w:val="8"/>
        </w:numPr>
        <w:spacing w:line="276" w:lineRule="auto"/>
        <w:ind w:left="810" w:hanging="450"/>
        <w:rPr>
          <w:rFonts w:ascii="Palatino Linotype" w:hAnsi="Palatino Linotype"/>
        </w:rPr>
      </w:pPr>
      <w:r w:rsidRPr="00E63DFE">
        <w:rPr>
          <w:rFonts w:ascii="Palatino Linotype" w:hAnsi="Palatino Linotype"/>
        </w:rPr>
        <w:lastRenderedPageBreak/>
        <w:t>Prior to the</w:t>
      </w:r>
      <w:r w:rsidRPr="00E63DFE" w:rsidDel="00DA0BE5">
        <w:rPr>
          <w:rFonts w:ascii="Palatino Linotype" w:hAnsi="Palatino Linotype"/>
        </w:rPr>
        <w:t xml:space="preserve"> </w:t>
      </w:r>
      <w:r w:rsidRPr="00E63DFE">
        <w:rPr>
          <w:rFonts w:ascii="Palatino Linotype" w:hAnsi="Palatino Linotype"/>
        </w:rPr>
        <w:t xml:space="preserve">workshop, PG&amp;E </w:t>
      </w:r>
      <w:r w:rsidRPr="006211FD">
        <w:rPr>
          <w:rFonts w:ascii="Palatino Linotype" w:hAnsi="Palatino Linotype"/>
        </w:rPr>
        <w:t>should</w:t>
      </w:r>
      <w:r w:rsidRPr="00E63DFE">
        <w:rPr>
          <w:rFonts w:ascii="Palatino Linotype" w:hAnsi="Palatino Linotype"/>
        </w:rPr>
        <w:t xml:space="preserve"> submit its RD&amp;D annual report to Energy Division </w:t>
      </w:r>
      <w:r w:rsidR="00D17044">
        <w:rPr>
          <w:rFonts w:ascii="Palatino Linotype" w:hAnsi="Palatino Linotype"/>
        </w:rPr>
        <w:t>staff</w:t>
      </w:r>
      <w:r w:rsidRPr="00E63DFE">
        <w:rPr>
          <w:rFonts w:ascii="Palatino Linotype" w:hAnsi="Palatino Linotype"/>
        </w:rPr>
        <w:t xml:space="preserve"> describing prior years’ RD&amp;D program including a summary of ongoing and completed projects; funds expended, funding recipients, and leveraged funding; and an explanation of the process used for selecting RD&amp;D project areas as well as the structure of PG&amp;E’s RD&amp;D portfolio.</w:t>
      </w:r>
      <w:r w:rsidR="006765E5">
        <w:rPr>
          <w:rStyle w:val="FootnoteReference"/>
          <w:rFonts w:ascii="Palatino Linotype" w:hAnsi="Palatino Linotype"/>
        </w:rPr>
        <w:footnoteReference w:id="19"/>
      </w:r>
    </w:p>
    <w:p w:rsidRPr="00300CB1" w:rsidR="00300CB1" w:rsidP="007E7238" w:rsidRDefault="002204D2" w14:paraId="222E335F" w14:textId="4540064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 xml:space="preserve">PG&amp;E shall provide Energy Division </w:t>
      </w:r>
      <w:r w:rsidR="00D17044">
        <w:rPr>
          <w:rFonts w:ascii="Palatino Linotype" w:hAnsi="Palatino Linotype"/>
          <w:color w:val="000000" w:themeColor="text1"/>
        </w:rPr>
        <w:t>staff</w:t>
      </w:r>
      <w:r w:rsidRPr="00B052F4">
        <w:rPr>
          <w:rFonts w:ascii="Palatino Linotype" w:hAnsi="Palatino Linotype"/>
          <w:color w:val="000000" w:themeColor="text1"/>
        </w:rPr>
        <w:t xml:space="preserve"> with the workshop presentation materials as well as documentation on stakeholders consulted in the development of RD&amp;D projects, both at least one week before the worksho</w:t>
      </w:r>
      <w:r w:rsidR="00300CB1">
        <w:rPr>
          <w:rFonts w:ascii="Palatino Linotype" w:hAnsi="Palatino Linotype"/>
          <w:color w:val="000000" w:themeColor="text1"/>
        </w:rPr>
        <w:t>p.</w:t>
      </w:r>
      <w:r w:rsidR="00E27AE1">
        <w:rPr>
          <w:rStyle w:val="FootnoteReference"/>
          <w:rFonts w:ascii="Palatino Linotype" w:hAnsi="Palatino Linotype"/>
          <w:color w:val="000000" w:themeColor="text1"/>
        </w:rPr>
        <w:footnoteReference w:id="20"/>
      </w:r>
    </w:p>
    <w:p w:rsidRPr="00B052F4" w:rsidR="00B052F4" w:rsidP="007E7238" w:rsidRDefault="002204D2" w14:paraId="586559BF" w14:textId="0418A354">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PG&amp;E shall engage relevant stakeholders to encourage their attendance at the workshop, such as the California Energy Commission, the Disadvantaged Communities Advisory Group, the U.S. Department of Energy, and other organizations engaged in gas research and development.</w:t>
      </w:r>
      <w:r w:rsidR="002D6A72">
        <w:rPr>
          <w:rStyle w:val="FootnoteReference"/>
          <w:rFonts w:ascii="Palatino Linotype" w:hAnsi="Palatino Linotype"/>
          <w:color w:val="000000" w:themeColor="text1"/>
        </w:rPr>
        <w:footnoteReference w:id="21"/>
      </w:r>
    </w:p>
    <w:p w:rsidRPr="00B052F4" w:rsidR="00B052F4" w:rsidP="007E7238" w:rsidRDefault="002204D2" w14:paraId="35644A33" w14:textId="0BDC769D">
      <w:pPr>
        <w:pStyle w:val="ListParagraph"/>
        <w:numPr>
          <w:ilvl w:val="0"/>
          <w:numId w:val="8"/>
        </w:numPr>
        <w:spacing w:line="276" w:lineRule="auto"/>
        <w:ind w:left="810" w:hanging="450"/>
        <w:rPr>
          <w:rStyle w:val="FootnoteReference"/>
          <w:rFonts w:ascii="Palatino Linotype" w:hAnsi="Palatino Linotype"/>
          <w:vertAlign w:val="baseline"/>
        </w:rPr>
      </w:pPr>
      <w:r w:rsidRPr="00B052F4">
        <w:rPr>
          <w:rFonts w:ascii="Palatino Linotype" w:hAnsi="Palatino Linotype"/>
          <w:color w:val="000000" w:themeColor="text1"/>
        </w:rPr>
        <w:t>PG&amp;E’s research plan should allocate approximately $296,400 to an evaluation or audit.</w:t>
      </w:r>
      <w:r w:rsidR="002D6A72">
        <w:rPr>
          <w:rStyle w:val="FootnoteReference"/>
          <w:rFonts w:ascii="Palatino Linotype" w:hAnsi="Palatino Linotype"/>
          <w:color w:val="000000" w:themeColor="text1"/>
        </w:rPr>
        <w:footnoteReference w:id="22"/>
      </w:r>
    </w:p>
    <w:p w:rsidRPr="004174B2" w:rsidR="002204D2" w:rsidP="007C086D" w:rsidRDefault="002204D2" w14:paraId="4B95070A" w14:textId="5686D367">
      <w:pPr>
        <w:pStyle w:val="ListParagraph"/>
        <w:numPr>
          <w:ilvl w:val="0"/>
          <w:numId w:val="8"/>
        </w:numPr>
        <w:spacing w:after="0" w:line="276" w:lineRule="auto"/>
        <w:ind w:left="810" w:hanging="450"/>
        <w:rPr>
          <w:rFonts w:ascii="Palatino Linotype" w:hAnsi="Palatino Linotype"/>
        </w:rPr>
      </w:pPr>
      <w:r w:rsidRPr="00B052F4">
        <w:rPr>
          <w:rFonts w:ascii="Palatino Linotype" w:hAnsi="Palatino Linotype"/>
          <w:color w:val="000000" w:themeColor="text1"/>
        </w:rPr>
        <w:t xml:space="preserve">PG&amp;E’s research plan </w:t>
      </w:r>
      <w:r w:rsidRPr="006211FD">
        <w:rPr>
          <w:rFonts w:ascii="Palatino Linotype" w:hAnsi="Palatino Linotype"/>
          <w:color w:val="000000" w:themeColor="text1"/>
        </w:rPr>
        <w:t>may</w:t>
      </w:r>
      <w:r w:rsidRPr="00B052F4">
        <w:rPr>
          <w:rFonts w:ascii="Palatino Linotype" w:hAnsi="Palatino Linotype"/>
          <w:color w:val="000000" w:themeColor="text1"/>
        </w:rPr>
        <w:t xml:space="preserve"> separately allocate and track funds for gas research development and deployment in one database that tracks all ratepayer-funded R&amp;D and Development projects across these industries.</w:t>
      </w:r>
      <w:r w:rsidR="00D1546E">
        <w:rPr>
          <w:rStyle w:val="FootnoteReference"/>
          <w:rFonts w:ascii="Palatino Linotype" w:hAnsi="Palatino Linotype"/>
          <w:color w:val="000000" w:themeColor="text1"/>
        </w:rPr>
        <w:footnoteReference w:id="23"/>
      </w:r>
    </w:p>
    <w:p w:rsidR="003C7942" w:rsidP="00785B5C" w:rsidRDefault="003C7942" w14:paraId="4811CDE5" w14:textId="77777777">
      <w:pPr>
        <w:spacing w:after="0" w:line="276" w:lineRule="auto"/>
        <w:rPr>
          <w:rFonts w:ascii="Palatino Linotype" w:hAnsi="Palatino Linotype"/>
        </w:rPr>
      </w:pPr>
    </w:p>
    <w:p w:rsidR="003C7942" w:rsidP="007C086D" w:rsidRDefault="003C7942" w14:paraId="72C063B5" w14:textId="7F8E132B">
      <w:pPr>
        <w:spacing w:after="0" w:line="276" w:lineRule="auto"/>
        <w:rPr>
          <w:rFonts w:ascii="Palatino Linotype" w:hAnsi="Palatino Linotype"/>
          <w:b/>
          <w:bCs/>
          <w:color w:val="000000" w:themeColor="text1"/>
        </w:rPr>
      </w:pPr>
      <w:r w:rsidRPr="006B51FB">
        <w:rPr>
          <w:rFonts w:ascii="Palatino Linotype" w:hAnsi="Palatino Linotype"/>
          <w:b/>
          <w:bCs/>
          <w:color w:val="000000" w:themeColor="text1"/>
        </w:rPr>
        <w:t>Resolution G-3618 Denying PG&amp;E</w:t>
      </w:r>
      <w:r w:rsidRPr="006B51FB" w:rsidR="009639E9">
        <w:rPr>
          <w:rFonts w:ascii="Palatino Linotype" w:hAnsi="Palatino Linotype"/>
          <w:b/>
          <w:bCs/>
          <w:color w:val="000000" w:themeColor="text1"/>
        </w:rPr>
        <w:t>’</w:t>
      </w:r>
      <w:r w:rsidRPr="006B51FB">
        <w:rPr>
          <w:rFonts w:ascii="Palatino Linotype" w:hAnsi="Palatino Linotype"/>
          <w:b/>
          <w:bCs/>
          <w:color w:val="000000" w:themeColor="text1"/>
        </w:rPr>
        <w:t xml:space="preserve">s </w:t>
      </w:r>
      <w:r w:rsidRPr="006B51FB" w:rsidR="00FA03D9">
        <w:rPr>
          <w:rFonts w:ascii="Palatino Linotype" w:hAnsi="Palatino Linotype"/>
          <w:b/>
          <w:bCs/>
          <w:color w:val="000000" w:themeColor="text1"/>
        </w:rPr>
        <w:t xml:space="preserve">Previous </w:t>
      </w:r>
      <w:r w:rsidRPr="006B51FB">
        <w:rPr>
          <w:rFonts w:ascii="Palatino Linotype" w:hAnsi="Palatino Linotype"/>
          <w:b/>
          <w:bCs/>
          <w:color w:val="000000" w:themeColor="text1"/>
        </w:rPr>
        <w:t>2024 &amp; 2025 Gas RD&amp;D Plans</w:t>
      </w:r>
      <w:r w:rsidRPr="006B51FB" w:rsidR="00926A8C">
        <w:rPr>
          <w:rFonts w:ascii="Palatino Linotype" w:hAnsi="Palatino Linotype"/>
          <w:b/>
          <w:bCs/>
          <w:color w:val="000000" w:themeColor="text1"/>
        </w:rPr>
        <w:t xml:space="preserve"> and </w:t>
      </w:r>
      <w:r w:rsidRPr="006B51FB" w:rsidR="00C211ED">
        <w:rPr>
          <w:rFonts w:ascii="Palatino Linotype" w:hAnsi="Palatino Linotype"/>
          <w:b/>
          <w:bCs/>
          <w:color w:val="000000" w:themeColor="text1"/>
        </w:rPr>
        <w:t>Establishing Additional Program Requirements</w:t>
      </w:r>
    </w:p>
    <w:p w:rsidRPr="006B51FB" w:rsidR="007C086D" w:rsidP="007C086D" w:rsidRDefault="007C086D" w14:paraId="65A38AF1" w14:textId="77777777">
      <w:pPr>
        <w:spacing w:after="0" w:line="276" w:lineRule="auto"/>
        <w:rPr>
          <w:rFonts w:ascii="Palatino Linotype" w:hAnsi="Palatino Linotype"/>
          <w:b/>
          <w:bCs/>
          <w:color w:val="000000" w:themeColor="text1"/>
        </w:rPr>
      </w:pPr>
    </w:p>
    <w:p w:rsidRPr="006B51FB" w:rsidR="003C7942" w:rsidP="004174B2" w:rsidRDefault="0039383F" w14:paraId="2AD40256" w14:textId="68207F93">
      <w:pPr>
        <w:spacing w:line="276" w:lineRule="auto"/>
        <w:rPr>
          <w:rFonts w:ascii="Palatino Linotype" w:hAnsi="Palatino Linotype"/>
          <w:color w:val="000000" w:themeColor="text1"/>
        </w:rPr>
      </w:pPr>
      <w:r w:rsidRPr="006B51FB">
        <w:rPr>
          <w:rFonts w:ascii="Palatino Linotype" w:hAnsi="Palatino Linotype"/>
          <w:color w:val="000000" w:themeColor="text1"/>
        </w:rPr>
        <w:t xml:space="preserve">In Resolution G-3618, </w:t>
      </w:r>
      <w:r w:rsidR="00172B76">
        <w:rPr>
          <w:rFonts w:ascii="Palatino Linotype" w:hAnsi="Palatino Linotype"/>
          <w:color w:val="000000" w:themeColor="text1"/>
        </w:rPr>
        <w:t>adopted</w:t>
      </w:r>
      <w:r w:rsidRPr="006B51FB">
        <w:rPr>
          <w:rFonts w:ascii="Palatino Linotype" w:hAnsi="Palatino Linotype"/>
          <w:color w:val="000000" w:themeColor="text1"/>
        </w:rPr>
        <w:t xml:space="preserve"> January 15, 2026, t</w:t>
      </w:r>
      <w:r w:rsidRPr="006B51FB" w:rsidR="003C7942">
        <w:rPr>
          <w:rFonts w:ascii="Palatino Linotype" w:hAnsi="Palatino Linotype"/>
          <w:color w:val="000000" w:themeColor="text1"/>
        </w:rPr>
        <w:t xml:space="preserve">he Commission denied </w:t>
      </w:r>
      <w:r w:rsidR="00500614">
        <w:rPr>
          <w:rFonts w:ascii="Palatino Linotype" w:hAnsi="Palatino Linotype"/>
          <w:color w:val="000000" w:themeColor="text1"/>
        </w:rPr>
        <w:br/>
      </w:r>
      <w:r w:rsidRPr="006B51FB" w:rsidR="003C7942">
        <w:rPr>
          <w:rFonts w:ascii="Palatino Linotype" w:hAnsi="Palatino Linotype"/>
          <w:color w:val="000000" w:themeColor="text1"/>
        </w:rPr>
        <w:t>PG&amp;</w:t>
      </w:r>
      <w:r w:rsidRPr="006B51FB" w:rsidR="00126D8F">
        <w:rPr>
          <w:rFonts w:ascii="Palatino Linotype" w:hAnsi="Palatino Linotype"/>
          <w:color w:val="000000" w:themeColor="text1"/>
        </w:rPr>
        <w:t>E</w:t>
      </w:r>
      <w:r w:rsidRPr="006B51FB" w:rsidR="009639E9">
        <w:rPr>
          <w:rFonts w:ascii="Palatino Linotype" w:hAnsi="Palatino Linotype"/>
          <w:color w:val="000000" w:themeColor="text1"/>
        </w:rPr>
        <w:t>’</w:t>
      </w:r>
      <w:r w:rsidRPr="006B51FB" w:rsidR="00126D8F">
        <w:rPr>
          <w:rFonts w:ascii="Palatino Linotype" w:hAnsi="Palatino Linotype"/>
          <w:color w:val="000000" w:themeColor="text1"/>
        </w:rPr>
        <w:t>s</w:t>
      </w:r>
      <w:r w:rsidRPr="006B51FB" w:rsidR="003C7942">
        <w:rPr>
          <w:rFonts w:ascii="Palatino Linotype" w:hAnsi="Palatino Linotype"/>
          <w:color w:val="000000" w:themeColor="text1"/>
        </w:rPr>
        <w:t xml:space="preserve"> </w:t>
      </w:r>
      <w:r w:rsidRPr="006B51FB">
        <w:rPr>
          <w:rFonts w:ascii="Palatino Linotype" w:hAnsi="Palatino Linotype"/>
          <w:color w:val="000000" w:themeColor="text1"/>
        </w:rPr>
        <w:t xml:space="preserve">previously </w:t>
      </w:r>
      <w:r w:rsidRPr="006B51FB" w:rsidR="003C7942">
        <w:rPr>
          <w:rFonts w:ascii="Palatino Linotype" w:hAnsi="Palatino Linotype"/>
          <w:color w:val="000000" w:themeColor="text1"/>
        </w:rPr>
        <w:t xml:space="preserve">proposed </w:t>
      </w:r>
      <w:r w:rsidR="00C158BA">
        <w:rPr>
          <w:rFonts w:ascii="Palatino Linotype" w:hAnsi="Palatino Linotype"/>
          <w:color w:val="000000" w:themeColor="text1"/>
        </w:rPr>
        <w:t xml:space="preserve">Gas RD&amp;D Plans for </w:t>
      </w:r>
      <w:r w:rsidR="003E1AED">
        <w:rPr>
          <w:rFonts w:ascii="Palatino Linotype" w:hAnsi="Palatino Linotype"/>
          <w:color w:val="000000" w:themeColor="text1"/>
        </w:rPr>
        <w:t xml:space="preserve">1) </w:t>
      </w:r>
      <w:r w:rsidRPr="006B51FB" w:rsidR="003C7942">
        <w:rPr>
          <w:rFonts w:ascii="Palatino Linotype" w:hAnsi="Palatino Linotype"/>
          <w:color w:val="000000" w:themeColor="text1"/>
        </w:rPr>
        <w:t xml:space="preserve">2024 </w:t>
      </w:r>
      <w:r w:rsidR="00090525">
        <w:rPr>
          <w:rFonts w:ascii="Palatino Linotype" w:hAnsi="Palatino Linotype"/>
          <w:color w:val="000000" w:themeColor="text1"/>
        </w:rPr>
        <w:t xml:space="preserve">including a </w:t>
      </w:r>
      <w:r w:rsidRPr="006B51FB" w:rsidR="00C70843">
        <w:rPr>
          <w:rFonts w:ascii="Palatino Linotype" w:hAnsi="Palatino Linotype"/>
          <w:color w:val="000000" w:themeColor="text1"/>
        </w:rPr>
        <w:t>cost recovery request for 2023 and 2024 expenses</w:t>
      </w:r>
      <w:r w:rsidRPr="006B51FB" w:rsidR="00394A3F">
        <w:rPr>
          <w:rStyle w:val="FootnoteReference"/>
          <w:rFonts w:ascii="Palatino Linotype" w:hAnsi="Palatino Linotype"/>
          <w:color w:val="000000" w:themeColor="text1"/>
        </w:rPr>
        <w:footnoteReference w:id="24"/>
      </w:r>
      <w:r w:rsidRPr="006B51FB" w:rsidR="00C70843">
        <w:rPr>
          <w:rFonts w:ascii="Palatino Linotype" w:hAnsi="Palatino Linotype"/>
          <w:color w:val="000000" w:themeColor="text1"/>
        </w:rPr>
        <w:t xml:space="preserve"> </w:t>
      </w:r>
      <w:r w:rsidRPr="006B51FB" w:rsidR="003C7942">
        <w:rPr>
          <w:rFonts w:ascii="Palatino Linotype" w:hAnsi="Palatino Linotype"/>
          <w:color w:val="000000" w:themeColor="text1"/>
        </w:rPr>
        <w:t>submitted via AL 5077-G-A</w:t>
      </w:r>
      <w:r w:rsidR="00564437">
        <w:rPr>
          <w:rFonts w:ascii="Palatino Linotype" w:hAnsi="Palatino Linotype"/>
          <w:color w:val="000000" w:themeColor="text1"/>
        </w:rPr>
        <w:t>;</w:t>
      </w:r>
      <w:r w:rsidRPr="006B51FB" w:rsidR="003C7942">
        <w:rPr>
          <w:rFonts w:ascii="Palatino Linotype" w:hAnsi="Palatino Linotype"/>
          <w:color w:val="000000" w:themeColor="text1"/>
        </w:rPr>
        <w:t xml:space="preserve"> and </w:t>
      </w:r>
      <w:r w:rsidR="00564437">
        <w:rPr>
          <w:rFonts w:ascii="Palatino Linotype" w:hAnsi="Palatino Linotype"/>
          <w:color w:val="000000" w:themeColor="text1"/>
        </w:rPr>
        <w:t xml:space="preserve">2) </w:t>
      </w:r>
      <w:r w:rsidRPr="006B51FB" w:rsidR="003C7942">
        <w:rPr>
          <w:rFonts w:ascii="Palatino Linotype" w:hAnsi="Palatino Linotype"/>
          <w:color w:val="000000" w:themeColor="text1"/>
        </w:rPr>
        <w:t xml:space="preserve">2025 submitted </w:t>
      </w:r>
      <w:r w:rsidRPr="006B51FB" w:rsidR="003C7942">
        <w:rPr>
          <w:rFonts w:ascii="Palatino Linotype" w:hAnsi="Palatino Linotype"/>
          <w:color w:val="000000" w:themeColor="text1"/>
        </w:rPr>
        <w:lastRenderedPageBreak/>
        <w:t>via AL 5069-</w:t>
      </w:r>
      <w:r w:rsidRPr="006B51FB">
        <w:rPr>
          <w:rFonts w:ascii="Palatino Linotype" w:hAnsi="Palatino Linotype"/>
          <w:color w:val="000000" w:themeColor="text1"/>
        </w:rPr>
        <w:t>G</w:t>
      </w:r>
      <w:r w:rsidRPr="006B51FB" w:rsidR="00126D8F">
        <w:rPr>
          <w:rFonts w:ascii="Palatino Linotype" w:hAnsi="Palatino Linotype"/>
          <w:color w:val="000000" w:themeColor="text1"/>
        </w:rPr>
        <w:t xml:space="preserve">. </w:t>
      </w:r>
      <w:r w:rsidRPr="006B51FB" w:rsidR="0013553F">
        <w:rPr>
          <w:rFonts w:ascii="Palatino Linotype" w:hAnsi="Palatino Linotype"/>
          <w:color w:val="000000" w:themeColor="text1"/>
        </w:rPr>
        <w:t xml:space="preserve">For further consideration of </w:t>
      </w:r>
      <w:r w:rsidR="00564437">
        <w:rPr>
          <w:rFonts w:ascii="Palatino Linotype" w:hAnsi="Palatino Linotype"/>
          <w:color w:val="000000" w:themeColor="text1"/>
        </w:rPr>
        <w:t>these</w:t>
      </w:r>
      <w:r w:rsidRPr="006B51FB" w:rsidR="00564437">
        <w:rPr>
          <w:rFonts w:ascii="Palatino Linotype" w:hAnsi="Palatino Linotype"/>
          <w:color w:val="000000" w:themeColor="text1"/>
        </w:rPr>
        <w:t xml:space="preserve"> </w:t>
      </w:r>
      <w:r w:rsidRPr="006B51FB" w:rsidR="0013553F">
        <w:rPr>
          <w:rFonts w:ascii="Palatino Linotype" w:hAnsi="Palatino Linotype"/>
          <w:color w:val="000000" w:themeColor="text1"/>
        </w:rPr>
        <w:t>proposed Plans, Resolution G-3618</w:t>
      </w:r>
      <w:r w:rsidR="009D06BE">
        <w:rPr>
          <w:rStyle w:val="FootnoteReference"/>
          <w:rFonts w:ascii="Palatino Linotype" w:hAnsi="Palatino Linotype"/>
          <w:color w:val="000000" w:themeColor="text1"/>
        </w:rPr>
        <w:footnoteReference w:id="25"/>
      </w:r>
      <w:r w:rsidRPr="006B51FB" w:rsidR="00D83DF7">
        <w:rPr>
          <w:rFonts w:ascii="Palatino Linotype" w:hAnsi="Palatino Linotype"/>
          <w:color w:val="000000" w:themeColor="text1"/>
        </w:rPr>
        <w:t xml:space="preserve"> </w:t>
      </w:r>
      <w:r w:rsidRPr="006B51FB" w:rsidR="0013553F">
        <w:rPr>
          <w:rFonts w:ascii="Palatino Linotype" w:hAnsi="Palatino Linotype"/>
          <w:color w:val="000000" w:themeColor="text1"/>
        </w:rPr>
        <w:t>provided PG&amp;E with the opportunity to submit revised Tier 3 ALs addressing compliance issues outlined in Appendi</w:t>
      </w:r>
      <w:r w:rsidRPr="006B51FB" w:rsidR="00FE19E6">
        <w:rPr>
          <w:rFonts w:ascii="Palatino Linotype" w:hAnsi="Palatino Linotype"/>
          <w:color w:val="000000" w:themeColor="text1"/>
        </w:rPr>
        <w:t>ces</w:t>
      </w:r>
      <w:r w:rsidRPr="006B51FB" w:rsidR="0013553F">
        <w:rPr>
          <w:rFonts w:ascii="Palatino Linotype" w:hAnsi="Palatino Linotype"/>
          <w:color w:val="000000" w:themeColor="text1"/>
        </w:rPr>
        <w:t xml:space="preserve"> F </w:t>
      </w:r>
      <w:r w:rsidRPr="006B51FB" w:rsidR="00FE19E6">
        <w:rPr>
          <w:rFonts w:ascii="Palatino Linotype" w:hAnsi="Palatino Linotype"/>
          <w:color w:val="000000" w:themeColor="text1"/>
        </w:rPr>
        <w:t xml:space="preserve">and G </w:t>
      </w:r>
      <w:r w:rsidRPr="006B51FB" w:rsidR="0013553F">
        <w:rPr>
          <w:rFonts w:ascii="Palatino Linotype" w:hAnsi="Palatino Linotype"/>
          <w:color w:val="000000" w:themeColor="text1"/>
        </w:rPr>
        <w:t>within 60 days and attach to its Advice Letter: 1) a track-change version of its original Plan; 2) a clean version of its updated Plan; and 3) a table describing the modifications made per the compliance issues detailed in the appendix of Resolution</w:t>
      </w:r>
      <w:r w:rsidR="00E14FF7">
        <w:rPr>
          <w:rFonts w:ascii="Palatino Linotype" w:hAnsi="Palatino Linotype"/>
          <w:color w:val="000000" w:themeColor="text1"/>
        </w:rPr>
        <w:t xml:space="preserve"> G-3618</w:t>
      </w:r>
      <w:r w:rsidRPr="006B51FB" w:rsidR="0013553F">
        <w:rPr>
          <w:rFonts w:ascii="Palatino Linotype" w:hAnsi="Palatino Linotype"/>
          <w:color w:val="000000" w:themeColor="text1"/>
        </w:rPr>
        <w:t>.</w:t>
      </w:r>
    </w:p>
    <w:p w:rsidR="00132EB6" w:rsidP="007C086D" w:rsidRDefault="00F90399" w14:paraId="418EE2AC" w14:textId="0C057647">
      <w:pPr>
        <w:spacing w:after="0" w:line="276" w:lineRule="auto"/>
        <w:rPr>
          <w:rFonts w:ascii="Palatino Linotype" w:hAnsi="Palatino Linotype"/>
          <w:color w:val="000000" w:themeColor="text1"/>
        </w:rPr>
      </w:pPr>
      <w:r w:rsidRPr="006B51FB">
        <w:rPr>
          <w:rFonts w:ascii="Palatino Linotype" w:hAnsi="Palatino Linotype"/>
          <w:color w:val="000000" w:themeColor="text1"/>
        </w:rPr>
        <w:t xml:space="preserve">Resolution G-3618 </w:t>
      </w:r>
      <w:r w:rsidRPr="006B51FB" w:rsidR="000636BE">
        <w:rPr>
          <w:rFonts w:ascii="Palatino Linotype" w:hAnsi="Palatino Linotype"/>
          <w:color w:val="000000" w:themeColor="text1"/>
        </w:rPr>
        <w:t xml:space="preserve">also </w:t>
      </w:r>
      <w:proofErr w:type="gramStart"/>
      <w:r w:rsidRPr="006B51FB">
        <w:rPr>
          <w:rFonts w:ascii="Palatino Linotype" w:hAnsi="Palatino Linotype"/>
          <w:color w:val="000000" w:themeColor="text1"/>
        </w:rPr>
        <w:t>set</w:t>
      </w:r>
      <w:proofErr w:type="gramEnd"/>
      <w:r w:rsidRPr="006B51FB">
        <w:rPr>
          <w:rFonts w:ascii="Palatino Linotype" w:hAnsi="Palatino Linotype"/>
          <w:color w:val="000000" w:themeColor="text1"/>
        </w:rPr>
        <w:t xml:space="preserve"> </w:t>
      </w:r>
      <w:r w:rsidRPr="006B51FB" w:rsidR="000636BE">
        <w:rPr>
          <w:rFonts w:ascii="Palatino Linotype" w:hAnsi="Palatino Linotype"/>
          <w:color w:val="000000" w:themeColor="text1"/>
        </w:rPr>
        <w:t xml:space="preserve">the following </w:t>
      </w:r>
      <w:r w:rsidRPr="006B51FB">
        <w:rPr>
          <w:rFonts w:ascii="Palatino Linotype" w:hAnsi="Palatino Linotype"/>
          <w:color w:val="000000" w:themeColor="text1"/>
        </w:rPr>
        <w:t xml:space="preserve">additional requirements for PG&amp;E’s 2026 Plan </w:t>
      </w:r>
      <w:r w:rsidRPr="006B51FB" w:rsidR="000636BE">
        <w:rPr>
          <w:rFonts w:ascii="Palatino Linotype" w:hAnsi="Palatino Linotype"/>
          <w:color w:val="000000" w:themeColor="text1"/>
        </w:rPr>
        <w:t xml:space="preserve">and beyond: </w:t>
      </w:r>
    </w:p>
    <w:p w:rsidRPr="006B51FB" w:rsidR="007C086D" w:rsidP="007C086D" w:rsidRDefault="007C086D" w14:paraId="33C9F52D" w14:textId="77777777">
      <w:pPr>
        <w:spacing w:after="0" w:line="276" w:lineRule="auto"/>
        <w:rPr>
          <w:rFonts w:ascii="Palatino Linotype" w:hAnsi="Palatino Linotype"/>
          <w:color w:val="000000" w:themeColor="text1"/>
        </w:rPr>
      </w:pPr>
    </w:p>
    <w:p w:rsidR="00132EB6" w:rsidP="007C086D" w:rsidRDefault="00132EB6" w14:paraId="219AB920" w14:textId="77777777">
      <w:pPr>
        <w:spacing w:after="0" w:line="276" w:lineRule="auto"/>
        <w:rPr>
          <w:rFonts w:ascii="Palatino Linotype" w:hAnsi="Palatino Linotype" w:eastAsia="Palatino Linotype" w:cs="Times New Roman"/>
          <w:color w:val="000000" w:themeColor="text1"/>
          <w:kern w:val="0"/>
          <w:u w:val="single"/>
          <w14:ligatures w14:val="none"/>
        </w:rPr>
      </w:pPr>
      <w:r w:rsidRPr="006B51FB">
        <w:rPr>
          <w:rFonts w:ascii="Palatino Linotype" w:hAnsi="Palatino Linotype" w:eastAsia="Palatino Linotype" w:cs="Times New Roman"/>
          <w:color w:val="000000" w:themeColor="text1"/>
          <w:kern w:val="0"/>
          <w:u w:val="single"/>
          <w14:ligatures w14:val="none"/>
        </w:rPr>
        <w:t>Annual Report</w:t>
      </w:r>
    </w:p>
    <w:p w:rsidRPr="006B51FB" w:rsidR="007C086D" w:rsidP="007C086D" w:rsidRDefault="007C086D" w14:paraId="4C333743" w14:textId="77777777">
      <w:pPr>
        <w:spacing w:after="0" w:line="276" w:lineRule="auto"/>
        <w:rPr>
          <w:rFonts w:ascii="Palatino Linotype" w:hAnsi="Palatino Linotype" w:eastAsia="Palatino Linotype" w:cs="Times New Roman"/>
          <w:color w:val="000000" w:themeColor="text1"/>
          <w:kern w:val="0"/>
          <w:u w:val="single"/>
          <w14:ligatures w14:val="none"/>
        </w:rPr>
      </w:pPr>
    </w:p>
    <w:p w:rsidRPr="006B51FB" w:rsidR="00132EB6" w:rsidP="00132EB6" w:rsidRDefault="00132EB6" w14:paraId="47BCD5E5" w14:textId="3536A9E2">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kern w:val="0"/>
          <w14:ligatures w14:val="none"/>
        </w:rPr>
        <w:t xml:space="preserve">PG&amp;E </w:t>
      </w:r>
      <w:r w:rsidRPr="006B51FB" w:rsidR="001D38E4">
        <w:rPr>
          <w:rFonts w:ascii="Palatino Linotype" w:hAnsi="Palatino Linotype" w:eastAsia="Palatino Linotype" w:cs="Times New Roman"/>
          <w:color w:val="000000" w:themeColor="text1"/>
          <w:kern w:val="0"/>
          <w14:ligatures w14:val="none"/>
        </w:rPr>
        <w:t>shall</w:t>
      </w:r>
      <w:r w:rsidRPr="006B51FB">
        <w:rPr>
          <w:rFonts w:ascii="Palatino Linotype" w:hAnsi="Palatino Linotype" w:eastAsia="Palatino Linotype" w:cs="Times New Roman"/>
          <w:color w:val="000000" w:themeColor="text1"/>
          <w:kern w:val="0"/>
          <w14:ligatures w14:val="none"/>
        </w:rPr>
        <w:t xml:space="preserve"> submit </w:t>
      </w:r>
      <w:r w:rsidRPr="006B51FB">
        <w:rPr>
          <w:rFonts w:ascii="Palatino Linotype" w:hAnsi="Palatino Linotype" w:eastAsia="Palatino Linotype" w:cs="Times New Roman"/>
          <w:color w:val="000000" w:themeColor="text1"/>
        </w:rPr>
        <w:t xml:space="preserve">its </w:t>
      </w:r>
      <w:r w:rsidRPr="006B51FB">
        <w:rPr>
          <w:rFonts w:ascii="Palatino Linotype" w:hAnsi="Palatino Linotype" w:eastAsia="Palatino Linotype" w:cs="Times New Roman"/>
          <w:color w:val="000000" w:themeColor="text1"/>
          <w:kern w:val="0"/>
          <w14:ligatures w14:val="none"/>
        </w:rPr>
        <w:t>Annual Gas RD&amp;D Reports prior to holding Public Workshops in accordance with D.23-11-069,</w:t>
      </w:r>
      <w:r w:rsidRPr="006B51FB">
        <w:rPr>
          <w:rStyle w:val="FootnoteReference"/>
          <w:rFonts w:ascii="Palatino Linotype" w:hAnsi="Palatino Linotype" w:eastAsia="Palatino Linotype" w:cs="Times New Roman"/>
          <w:color w:val="000000" w:themeColor="text1"/>
          <w:kern w:val="0"/>
          <w14:ligatures w14:val="none"/>
        </w:rPr>
        <w:footnoteReference w:id="26"/>
      </w:r>
      <w:r w:rsidRPr="006B51FB">
        <w:rPr>
          <w:rFonts w:ascii="Palatino Linotype" w:hAnsi="Palatino Linotype" w:eastAsia="Palatino Linotype" w:cs="Times New Roman"/>
          <w:color w:val="000000" w:themeColor="text1"/>
          <w:kern w:val="0"/>
          <w14:ligatures w14:val="none"/>
        </w:rPr>
        <w:t xml:space="preserve"> each by March 1 annually. PG&amp;E shall include information on all active and recently completed projects.</w:t>
      </w:r>
      <w:r w:rsidRPr="006B51FB">
        <w:rPr>
          <w:rStyle w:val="FootnoteReference"/>
          <w:rFonts w:ascii="Palatino Linotype" w:hAnsi="Palatino Linotype" w:eastAsia="Palatino Linotype" w:cs="Times New Roman"/>
          <w:color w:val="000000" w:themeColor="text1"/>
          <w:kern w:val="0"/>
          <w14:ligatures w14:val="none"/>
        </w:rPr>
        <w:footnoteReference w:id="27"/>
      </w:r>
      <w:r w:rsidRPr="006B51FB">
        <w:rPr>
          <w:rFonts w:ascii="Palatino Linotype" w:hAnsi="Palatino Linotype" w:eastAsia="Palatino Linotype" w:cs="Times New Roman"/>
          <w:color w:val="000000" w:themeColor="text1"/>
          <w:kern w:val="0"/>
          <w14:ligatures w14:val="none"/>
        </w:rPr>
        <w:t xml:space="preserve"> For clarity in reporting, PG&amp;E shall indicate which projects have been funded via previous GRC cycles or other funding mechanisms as these are not affiliated with Investment Plans approved within this Gas RD&amp;D Program. In future reporting, PG&amp;E shall clearly delineate projects that may be funded within this Gas RD&amp;D Program, including the specific Initiative and approved Investment Plan associated with each project. The Initiative Criteria described below shall serve as guidance for PG&amp;E to demonstrate realized ratepayer benefit and provide meaningful reporting on impacts both in detail and by synthesizing major accomplishments and contributions to Gas RD&amp;D. ED staff shall provide additional guidance via an Annual Report Template. </w:t>
      </w:r>
    </w:p>
    <w:p w:rsidRPr="006B51FB" w:rsidR="00132EB6" w:rsidP="00132EB6" w:rsidRDefault="00132EB6" w14:paraId="326680CB" w14:textId="77777777">
      <w:pPr>
        <w:spacing w:after="0" w:line="276" w:lineRule="auto"/>
        <w:rPr>
          <w:rFonts w:ascii="Palatino Linotype" w:hAnsi="Palatino Linotype" w:eastAsia="Century Gothic" w:cs="Century Gothic"/>
          <w:color w:val="000000" w:themeColor="text1"/>
        </w:rPr>
      </w:pPr>
    </w:p>
    <w:p w:rsidRPr="006B51FB" w:rsidR="00132EB6" w:rsidP="00132EB6" w:rsidRDefault="00132EB6" w14:paraId="2167B3FB" w14:textId="4C0A6054">
      <w:pPr>
        <w:spacing w:after="0" w:line="276" w:lineRule="auto"/>
        <w:rPr>
          <w:rFonts w:ascii="Palatino Linotype" w:hAnsi="Palatino Linotype" w:eastAsia="Century Gothic" w:cs="Century Gothic"/>
          <w:color w:val="000000" w:themeColor="text1"/>
          <w:u w:val="single"/>
        </w:rPr>
      </w:pPr>
      <w:r w:rsidRPr="006B51FB">
        <w:rPr>
          <w:rFonts w:ascii="Palatino Linotype" w:hAnsi="Palatino Linotype" w:eastAsia="Century Gothic" w:cs="Century Gothic"/>
          <w:color w:val="000000" w:themeColor="text1"/>
          <w:u w:val="single"/>
        </w:rPr>
        <w:t>Annual Investment Planning</w:t>
      </w:r>
    </w:p>
    <w:p w:rsidRPr="006B51FB" w:rsidR="00132EB6" w:rsidP="00132EB6" w:rsidRDefault="00132EB6" w14:paraId="22705B8F" w14:textId="77777777">
      <w:pPr>
        <w:spacing w:after="0" w:line="276" w:lineRule="auto"/>
        <w:rPr>
          <w:rFonts w:ascii="Palatino Linotype" w:hAnsi="Palatino Linotype" w:eastAsia="Palatino Linotype" w:cs="Times New Roman"/>
          <w:i/>
          <w:iCs/>
          <w:color w:val="000000" w:themeColor="text1"/>
          <w:kern w:val="0"/>
          <w14:ligatures w14:val="none"/>
        </w:rPr>
      </w:pPr>
    </w:p>
    <w:p w:rsidRPr="006B51FB" w:rsidR="00494D8C" w:rsidP="00494D8C" w:rsidRDefault="00132EB6" w14:paraId="4B753957" w14:textId="77777777">
      <w:pPr>
        <w:spacing w:line="276" w:lineRule="auto"/>
        <w:rPr>
          <w:rFonts w:ascii="Palatino Linotype" w:hAnsi="Palatino Linotype" w:eastAsia="Palatino Linotype" w:cs="Times New Roman"/>
          <w:i/>
          <w:iCs/>
          <w:color w:val="000000" w:themeColor="text1"/>
        </w:rPr>
      </w:pPr>
      <w:r w:rsidRPr="006B51FB">
        <w:rPr>
          <w:rFonts w:ascii="Palatino Linotype" w:hAnsi="Palatino Linotype" w:eastAsia="Palatino Linotype" w:cs="Times New Roman"/>
          <w:i/>
          <w:iCs/>
          <w:color w:val="000000" w:themeColor="text1"/>
        </w:rPr>
        <w:t xml:space="preserve">Initiative Criteria </w:t>
      </w:r>
    </w:p>
    <w:p w:rsidRPr="006B51FB" w:rsidR="00132EB6" w:rsidP="00132EB6" w:rsidRDefault="00132EB6" w14:paraId="6B25A7E1" w14:textId="3ED2F485">
      <w:pPr>
        <w:spacing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lastRenderedPageBreak/>
        <w:t xml:space="preserve">PG&amp;E shall develop and propose Gas RD&amp;D investments at the Initiative level and demonstrate the following for each, consistent with Commission guidance (see Appendix </w:t>
      </w:r>
      <w:r w:rsidR="00E14FF7">
        <w:rPr>
          <w:rFonts w:ascii="Palatino Linotype" w:hAnsi="Palatino Linotype" w:eastAsia="Century Gothic" w:cs="Century Gothic"/>
          <w:color w:val="000000" w:themeColor="text1"/>
        </w:rPr>
        <w:t>D</w:t>
      </w:r>
      <w:r w:rsidRPr="006B51FB">
        <w:rPr>
          <w:rFonts w:ascii="Palatino Linotype" w:hAnsi="Palatino Linotype" w:eastAsia="Century Gothic" w:cs="Century Gothic"/>
          <w:color w:val="000000" w:themeColor="text1"/>
        </w:rPr>
        <w:t>):</w:t>
      </w:r>
      <w:r w:rsidRPr="006B51FB">
        <w:rPr>
          <w:rStyle w:val="FootnoteReference"/>
          <w:rFonts w:ascii="Palatino Linotype" w:hAnsi="Palatino Linotype" w:eastAsia="Century Gothic" w:cs="Century Gothic"/>
          <w:color w:val="000000" w:themeColor="text1"/>
        </w:rPr>
        <w:t xml:space="preserve"> </w:t>
      </w:r>
      <w:r w:rsidRPr="006B51FB">
        <w:rPr>
          <w:rStyle w:val="FootnoteReference"/>
          <w:rFonts w:ascii="Palatino Linotype" w:hAnsi="Palatino Linotype" w:eastAsia="Century Gothic" w:cs="Century Gothic"/>
          <w:color w:val="000000" w:themeColor="text1"/>
        </w:rPr>
        <w:footnoteReference w:id="28"/>
      </w:r>
    </w:p>
    <w:p w:rsidRPr="006B51FB" w:rsidR="00132EB6" w:rsidP="00132EB6" w:rsidRDefault="00132EB6" w14:paraId="1EA64472"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Policy Priority:</w:t>
      </w:r>
      <w:r w:rsidRPr="006B51FB">
        <w:rPr>
          <w:rFonts w:ascii="Palatino Linotype" w:hAnsi="Palatino Linotype" w:eastAsia="Century Gothic" w:cs="Century Gothic"/>
          <w:color w:val="000000" w:themeColor="text1"/>
        </w:rPr>
        <w:t xml:space="preserve"> Alignment with and prioritization of critical gaps and needs identified in State goals and specific CPUC policies and proceedings to demonstrate ratepayer benefit, informed by consultation with CPUC staff.</w:t>
      </w:r>
    </w:p>
    <w:p w:rsidRPr="006B51FB" w:rsidR="00132EB6" w:rsidP="00132EB6" w:rsidRDefault="00132EB6" w14:paraId="6B9C9DDB"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Identified Need:</w:t>
      </w:r>
      <w:r w:rsidRPr="006B51FB">
        <w:rPr>
          <w:rFonts w:ascii="Palatino Linotype" w:hAnsi="Palatino Linotype" w:eastAsia="Century Gothic" w:cs="Century Gothic"/>
          <w:color w:val="000000" w:themeColor="text1"/>
        </w:rPr>
        <w:t xml:space="preserve"> </w:t>
      </w:r>
      <w:r w:rsidRPr="006B51FB">
        <w:rPr>
          <w:rFonts w:ascii="Palatino Linotype" w:hAnsi="Palatino Linotype"/>
          <w:color w:val="000000" w:themeColor="text1"/>
        </w:rPr>
        <w:t>Innovation and differentiation from existing RD&amp;D activities to support complementary rather than duplicative efforts, informed by specific consultation with other Gas RD&amp;D Administrators. Demonstrate that the Initiative will leverage existing progress while providing distinct additional value.</w:t>
      </w:r>
    </w:p>
    <w:p w:rsidRPr="006B51FB" w:rsidR="00132EB6" w:rsidP="00132EB6" w:rsidRDefault="00132EB6" w14:paraId="7260CF98"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Proposed Solution</w:t>
      </w:r>
      <w:r w:rsidRPr="006B51FB">
        <w:rPr>
          <w:rFonts w:ascii="Palatino Linotype" w:hAnsi="Palatino Linotype" w:eastAsia="Century Gothic" w:cs="Century Gothic"/>
          <w:color w:val="000000" w:themeColor="text1"/>
        </w:rPr>
        <w:t>: Describe Research Topics, anticipated near-term project outputs commensurate with the proposed funding level, and intended pathways to scale, commercialize, and otherwise utilize results from RD&amp;D activities to promote technology transfer and market facilitation.</w:t>
      </w:r>
    </w:p>
    <w:p w:rsidRPr="006B51FB" w:rsidR="00132EB6" w:rsidP="00132EB6" w:rsidRDefault="00132EB6" w14:paraId="0708EFEF"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Anticipated Impacts</w:t>
      </w:r>
      <w:r w:rsidRPr="006B51FB">
        <w:rPr>
          <w:rFonts w:ascii="Palatino Linotype" w:hAnsi="Palatino Linotype" w:eastAsia="Century Gothic" w:cs="Century Gothic"/>
          <w:color w:val="000000" w:themeColor="text1"/>
        </w:rPr>
        <w:t>:</w:t>
      </w:r>
    </w:p>
    <w:p w:rsidRPr="006B51FB" w:rsidR="00132EB6" w:rsidP="00132EB6" w:rsidRDefault="00132EB6" w14:paraId="7CE96515"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Reasonable probability of providing California ratepayer benefit by locating projects in the State of California</w:t>
      </w:r>
      <w:r w:rsidRPr="006B51FB">
        <w:rPr>
          <w:rStyle w:val="FootnoteReference"/>
          <w:rFonts w:ascii="Palatino Linotype" w:hAnsi="Palatino Linotype" w:eastAsia="Century Gothic" w:cs="Century Gothic"/>
          <w:color w:val="000000" w:themeColor="text1"/>
        </w:rPr>
        <w:footnoteReference w:id="29"/>
      </w:r>
      <w:r w:rsidRPr="006B51FB">
        <w:rPr>
          <w:rFonts w:ascii="Palatino Linotype" w:hAnsi="Palatino Linotype" w:eastAsia="Century Gothic" w:cs="Century Gothic"/>
          <w:color w:val="000000" w:themeColor="text1"/>
        </w:rPr>
        <w:t xml:space="preserve"> and detailed planned methodologies for tracking and evaluating quantitative impacts from investments </w:t>
      </w:r>
      <w:proofErr w:type="gramStart"/>
      <w:r w:rsidRPr="006B51FB">
        <w:rPr>
          <w:rFonts w:ascii="Palatino Linotype" w:hAnsi="Palatino Linotype" w:eastAsia="Century Gothic" w:cs="Century Gothic"/>
          <w:color w:val="000000" w:themeColor="text1"/>
        </w:rPr>
        <w:t>through the use of</w:t>
      </w:r>
      <w:proofErr w:type="gramEnd"/>
      <w:r w:rsidRPr="006B51FB">
        <w:rPr>
          <w:rFonts w:ascii="Palatino Linotype" w:hAnsi="Palatino Linotype" w:eastAsia="Century Gothic" w:cs="Century Gothic"/>
          <w:color w:val="000000" w:themeColor="text1"/>
        </w:rPr>
        <w:t xml:space="preserve"> the EPIC Program’s Uniform Impacts Analysis Foundational Principles.</w:t>
      </w:r>
      <w:r w:rsidRPr="006B51FB">
        <w:rPr>
          <w:rStyle w:val="FootnoteReference"/>
          <w:rFonts w:ascii="Palatino Linotype" w:hAnsi="Palatino Linotype" w:eastAsia="Century Gothic" w:cs="Century Gothic"/>
          <w:color w:val="000000" w:themeColor="text1"/>
        </w:rPr>
        <w:footnoteReference w:id="30"/>
      </w:r>
    </w:p>
    <w:p w:rsidRPr="006B51FB" w:rsidR="00132EB6" w:rsidDel="00167DED" w:rsidP="00132EB6" w:rsidRDefault="00132EB6" w14:paraId="20D7DEDA"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C</w:t>
      </w:r>
      <w:r w:rsidRPr="006B51FB" w:rsidDel="00167DED">
        <w:rPr>
          <w:rFonts w:ascii="Palatino Linotype" w:hAnsi="Palatino Linotype" w:eastAsia="Century Gothic" w:cs="Century Gothic"/>
          <w:color w:val="000000" w:themeColor="text1"/>
        </w:rPr>
        <w:t>ost-effectiveness and protection of affordability</w:t>
      </w:r>
      <w:r w:rsidRPr="006B51FB">
        <w:rPr>
          <w:rFonts w:ascii="Palatino Linotype" w:hAnsi="Palatino Linotype" w:eastAsia="Century Gothic" w:cs="Century Gothic"/>
          <w:color w:val="000000" w:themeColor="text1"/>
        </w:rPr>
        <w:t xml:space="preserve"> to ratepayers.</w:t>
      </w:r>
    </w:p>
    <w:p w:rsidRPr="006B51FB" w:rsidR="00132EB6" w:rsidP="00132EB6" w:rsidRDefault="00132EB6" w14:paraId="148D0D5E"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Promote equity and provide benefits to Environmental &amp; Social Justice (ESJ) communities, informed by consultation with community-based organizations (CBOs) and the Commission’s most current ESJ Action Plan.</w:t>
      </w:r>
      <w:r w:rsidRPr="006B51FB">
        <w:rPr>
          <w:rStyle w:val="FootnoteReference"/>
          <w:rFonts w:ascii="Palatino Linotype" w:hAnsi="Palatino Linotype" w:eastAsia="Century Gothic" w:cs="Century Gothic"/>
          <w:color w:val="000000" w:themeColor="text1"/>
        </w:rPr>
        <w:footnoteReference w:id="31"/>
      </w:r>
    </w:p>
    <w:p w:rsidRPr="00033C90" w:rsidR="00494D8C" w:rsidP="00494D8C" w:rsidRDefault="00132EB6" w14:paraId="1DC90B23" w14:textId="1B22B25C">
      <w:pPr>
        <w:spacing w:line="276" w:lineRule="auto"/>
        <w:rPr>
          <w:rFonts w:ascii="Palatino Linotype" w:hAnsi="Palatino Linotype" w:eastAsia="Palatino Linotype" w:cs="Times New Roman"/>
          <w:i/>
          <w:iCs/>
          <w:color w:val="000000" w:themeColor="text1"/>
          <w:kern w:val="0"/>
          <w14:ligatures w14:val="none"/>
        </w:rPr>
      </w:pPr>
      <w:r w:rsidRPr="006B51FB">
        <w:rPr>
          <w:rFonts w:ascii="Palatino Linotype" w:hAnsi="Palatino Linotype" w:eastAsia="Palatino Linotype" w:cs="Times New Roman"/>
          <w:i/>
          <w:iCs/>
          <w:color w:val="000000" w:themeColor="text1"/>
          <w:kern w:val="0"/>
          <w14:ligatures w14:val="none"/>
        </w:rPr>
        <w:lastRenderedPageBreak/>
        <w:t>Pre-Submittal Consultation</w:t>
      </w:r>
    </w:p>
    <w:p w:rsidRPr="006B51FB" w:rsidR="00132EB6" w:rsidP="00132EB6" w:rsidRDefault="00132EB6" w14:paraId="30B800ED"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Intra-Administrator Coordination</w:t>
      </w:r>
    </w:p>
    <w:p w:rsidRPr="006B51FB" w:rsidR="00132EB6" w:rsidP="00132EB6" w:rsidRDefault="00132EB6" w14:paraId="1E0861AF" w14:textId="77777777">
      <w:pPr>
        <w:spacing w:after="0" w:line="276" w:lineRule="auto"/>
        <w:ind w:left="720"/>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 xml:space="preserve">PG&amp;E shall be proactive in collaborating with the other Gas RD&amp;D administrators, the California Energy Commission (CEC) and Southern California Gas (SoCalGas) Company, to </w:t>
      </w:r>
      <w:r w:rsidRPr="006B51FB">
        <w:rPr>
          <w:rFonts w:ascii="Palatino Linotype" w:hAnsi="Palatino Linotype" w:eastAsia="Palatino Linotype" w:cs="Times New Roman"/>
          <w:color w:val="000000" w:themeColor="text1"/>
          <w:kern w:val="0"/>
          <w14:ligatures w14:val="none"/>
        </w:rPr>
        <w:t xml:space="preserve">promote </w:t>
      </w:r>
      <w:r w:rsidRPr="006B51FB">
        <w:rPr>
          <w:rFonts w:ascii="Palatino Linotype" w:hAnsi="Palatino Linotype" w:eastAsia="Palatino Linotype" w:cs="Times New Roman"/>
          <w:color w:val="000000" w:themeColor="text1"/>
        </w:rPr>
        <w:t xml:space="preserve">and demonstrate </w:t>
      </w:r>
      <w:r w:rsidRPr="006B51FB">
        <w:rPr>
          <w:rFonts w:ascii="Palatino Linotype" w:hAnsi="Palatino Linotype" w:eastAsia="Palatino Linotype" w:cs="Times New Roman"/>
          <w:color w:val="000000" w:themeColor="text1"/>
          <w:kern w:val="0"/>
          <w14:ligatures w14:val="none"/>
        </w:rPr>
        <w:t xml:space="preserve">complementary rather than duplicative RD&amp;D activities. </w:t>
      </w:r>
      <w:r w:rsidRPr="006B51FB">
        <w:rPr>
          <w:rFonts w:ascii="Palatino Linotype" w:hAnsi="Palatino Linotype" w:eastAsia="Palatino Linotype" w:cs="Times New Roman"/>
          <w:color w:val="000000" w:themeColor="text1"/>
        </w:rPr>
        <w:t>PG&amp;E shall document this coordination in Gas RD&amp;D Plans at the Initiative level</w:t>
      </w:r>
      <w:r w:rsidRPr="006B51FB">
        <w:rPr>
          <w:rFonts w:ascii="Palatino Linotype" w:hAnsi="Palatino Linotype" w:eastAsia="Palatino Linotype" w:cs="Times New Roman"/>
          <w:color w:val="000000" w:themeColor="text1"/>
          <w:kern w:val="0"/>
          <w14:ligatures w14:val="none"/>
        </w:rPr>
        <w:t>, including by differentiating proposed Initiatives from similar activities</w:t>
      </w:r>
      <w:r w:rsidRPr="006B51FB">
        <w:rPr>
          <w:rFonts w:ascii="Palatino Linotype" w:hAnsi="Palatino Linotype" w:eastAsia="Palatino Linotype" w:cs="Times New Roman"/>
          <w:color w:val="000000" w:themeColor="text1"/>
        </w:rPr>
        <w:t>, demonstrating how research outcomes inform future proposals,</w:t>
      </w:r>
      <w:r w:rsidRPr="006B51FB">
        <w:rPr>
          <w:rFonts w:ascii="Palatino Linotype" w:hAnsi="Palatino Linotype" w:eastAsia="Palatino Linotype" w:cs="Times New Roman"/>
          <w:color w:val="000000" w:themeColor="text1"/>
          <w:kern w:val="0"/>
          <w14:ligatures w14:val="none"/>
        </w:rPr>
        <w:t xml:space="preserve"> and defining PG&amp;E’s specific intended role for each proposed Initiative.</w:t>
      </w:r>
      <w:r w:rsidRPr="006B51FB">
        <w:rPr>
          <w:rStyle w:val="FootnoteReference"/>
          <w:rFonts w:ascii="Palatino Linotype" w:hAnsi="Palatino Linotype" w:eastAsia="Palatino Linotype" w:cs="Times New Roman"/>
          <w:color w:val="000000" w:themeColor="text1"/>
          <w:kern w:val="0"/>
          <w14:ligatures w14:val="none"/>
        </w:rPr>
        <w:footnoteReference w:id="32"/>
      </w:r>
      <w:r w:rsidRPr="006B51FB">
        <w:rPr>
          <w:rFonts w:ascii="Palatino Linotype" w:hAnsi="Palatino Linotype" w:eastAsia="Palatino Linotype" w:cs="Times New Roman"/>
          <w:color w:val="000000" w:themeColor="text1"/>
        </w:rPr>
        <w:t xml:space="preserve"> </w:t>
      </w:r>
    </w:p>
    <w:p w:rsidRPr="006B51FB" w:rsidR="00132EB6" w:rsidP="00132EB6" w:rsidRDefault="00132EB6" w14:paraId="42984B65" w14:textId="77777777">
      <w:pPr>
        <w:spacing w:after="0" w:line="276" w:lineRule="auto"/>
        <w:ind w:left="720"/>
        <w:rPr>
          <w:rFonts w:ascii="Palatino Linotype" w:hAnsi="Palatino Linotype" w:eastAsia="Palatino Linotype" w:cs="Times New Roman"/>
          <w:color w:val="000000" w:themeColor="text1"/>
        </w:rPr>
      </w:pPr>
    </w:p>
    <w:p w:rsidRPr="006B51FB" w:rsidR="00132EB6" w:rsidP="00132EB6" w:rsidRDefault="00132EB6" w14:paraId="67912CD8"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Pre-Submittal Consultation with CPUC Subject Matter Experts</w:t>
      </w:r>
    </w:p>
    <w:p w:rsidRPr="006B51FB" w:rsidR="00132EB6" w:rsidP="00033C90" w:rsidRDefault="00132EB6" w14:paraId="045EA017" w14:textId="6E10009A">
      <w:pPr>
        <w:spacing w:line="276" w:lineRule="auto"/>
        <w:ind w:left="720"/>
        <w:rPr>
          <w:rFonts w:ascii="Palatino Linotype" w:hAnsi="Palatino Linotype" w:eastAsia="Palatino Linotype" w:cs="Times New Roman"/>
          <w:color w:val="000000" w:themeColor="text1"/>
        </w:rPr>
      </w:pPr>
      <w:r w:rsidRPr="006B51FB">
        <w:rPr>
          <w:rFonts w:ascii="Palatino Linotype" w:hAnsi="Palatino Linotype" w:eastAsiaTheme="minorEastAsia"/>
          <w:color w:val="000000" w:themeColor="text1"/>
        </w:rPr>
        <w:t xml:space="preserve">PG&amp;E shall consult with CPUC staff to seek and integrate feedback prior to Plan submittal, and this consultation shall be documented at the Initiative level in Plans. This consultation is intended to promote ratepayer benefit and create efficiencies in the Commission’s Plan review and approval by proactively aligning proposed investments with </w:t>
      </w:r>
      <w:r w:rsidRPr="006B51FB">
        <w:rPr>
          <w:rFonts w:ascii="Palatino Linotype" w:hAnsi="Palatino Linotype" w:eastAsia="Palatino Linotype" w:cs="Times New Roman"/>
          <w:color w:val="000000" w:themeColor="text1"/>
        </w:rPr>
        <w:t xml:space="preserve">priority Gas RD&amp;D-related technology, market needs, and </w:t>
      </w:r>
      <w:r w:rsidRPr="006B51FB">
        <w:rPr>
          <w:rFonts w:ascii="Palatino Linotype" w:hAnsi="Palatino Linotype" w:eastAsiaTheme="minorEastAsia"/>
          <w:color w:val="000000" w:themeColor="text1"/>
        </w:rPr>
        <w:t>emerging</w:t>
      </w:r>
      <w:r w:rsidRPr="006B51FB">
        <w:rPr>
          <w:rFonts w:ascii="Palatino Linotype" w:hAnsi="Palatino Linotype" w:eastAsia="Palatino Linotype" w:cs="Times New Roman"/>
          <w:color w:val="000000" w:themeColor="text1"/>
        </w:rPr>
        <w:t xml:space="preserve"> opportunities as identified in CPUC proceedings and policies.</w:t>
      </w:r>
      <w:r w:rsidRPr="006B51FB">
        <w:rPr>
          <w:rStyle w:val="FootnoteReference"/>
          <w:rFonts w:ascii="Palatino Linotype" w:hAnsi="Palatino Linotype" w:eastAsia="Palatino Linotype" w:cs="Times New Roman"/>
          <w:color w:val="000000" w:themeColor="text1"/>
        </w:rPr>
        <w:footnoteReference w:id="33"/>
      </w:r>
      <w:r w:rsidRPr="006B51FB">
        <w:rPr>
          <w:rFonts w:ascii="Palatino Linotype" w:hAnsi="Palatino Linotype" w:eastAsia="Palatino Linotype" w:cs="Times New Roman"/>
          <w:color w:val="000000" w:themeColor="text1"/>
        </w:rPr>
        <w:t xml:space="preserve"> </w:t>
      </w:r>
    </w:p>
    <w:p w:rsidRPr="006B51FB" w:rsidR="00132EB6" w:rsidP="00132EB6" w:rsidRDefault="00132EB6" w14:paraId="3D303D84" w14:textId="76F4127F">
      <w:pPr>
        <w:spacing w:after="0" w:line="276" w:lineRule="auto"/>
        <w:ind w:left="720"/>
        <w:rPr>
          <w:rFonts w:ascii="Palatino Linotype" w:hAnsi="Palatino Linotype" w:eastAsia="Palatino Linotype" w:cs="Palatino Linotype"/>
          <w:color w:val="000000" w:themeColor="text1"/>
        </w:rPr>
      </w:pPr>
      <w:r w:rsidRPr="006B51FB">
        <w:rPr>
          <w:rFonts w:ascii="Palatino Linotype" w:hAnsi="Palatino Linotype" w:eastAsia="Palatino Linotype" w:cs="Times New Roman"/>
          <w:color w:val="000000" w:themeColor="text1"/>
        </w:rPr>
        <w:t xml:space="preserve">The </w:t>
      </w:r>
      <w:r w:rsidRPr="006B51FB">
        <w:rPr>
          <w:rFonts w:ascii="Palatino Linotype" w:hAnsi="Palatino Linotype" w:eastAsiaTheme="minorEastAsia"/>
          <w:color w:val="000000" w:themeColor="text1"/>
        </w:rPr>
        <w:t xml:space="preserve">Electric Program Investment Charge (EPIC) </w:t>
      </w:r>
      <w:r w:rsidRPr="006B51FB">
        <w:rPr>
          <w:rFonts w:ascii="Palatino Linotype" w:hAnsi="Palatino Linotype" w:eastAsia="Palatino Linotype" w:cs="Palatino Linotype"/>
          <w:color w:val="000000" w:themeColor="text1"/>
        </w:rPr>
        <w:t>Strategic Goal of “Achieving 100% Net-Zero Carbon and the Coordinated Role of Gas” highlights the intrinsic link between gas and electric investment policy and planning, particularly involving electrification and decarbonization efforts. Greater collaboration among California RD&amp;D programs is needed to identify and scale cost-effective strategies to provide ratepayer benefit and achieve “the last 10 percent of reaching the state’s goal to be carbon neutral by 2045 economy-wide."</w:t>
      </w:r>
      <w:r w:rsidRPr="006B51FB">
        <w:rPr>
          <w:rStyle w:val="FootnoteReference"/>
          <w:rFonts w:ascii="Palatino Linotype" w:hAnsi="Palatino Linotype" w:eastAsia="Palatino Linotype" w:cs="Palatino Linotype"/>
          <w:color w:val="000000" w:themeColor="text1"/>
        </w:rPr>
        <w:footnoteReference w:id="34"/>
      </w:r>
      <w:r w:rsidRPr="006B51FB">
        <w:rPr>
          <w:rFonts w:eastAsia="Palatino Linotype" w:cs="Palatino Linotype"/>
          <w:color w:val="000000" w:themeColor="text1"/>
        </w:rPr>
        <w:t xml:space="preserve"> </w:t>
      </w:r>
      <w:r w:rsidRPr="006B51FB">
        <w:rPr>
          <w:rFonts w:ascii="Palatino Linotype" w:hAnsi="Palatino Linotype" w:eastAsia="Palatino Linotype" w:cs="Palatino Linotype"/>
          <w:color w:val="000000" w:themeColor="text1"/>
        </w:rPr>
        <w:t>The</w:t>
      </w:r>
      <w:r w:rsidRPr="006B51FB">
        <w:rPr>
          <w:rFonts w:eastAsia="Palatino Linotype" w:cs="Palatino Linotype"/>
          <w:color w:val="000000" w:themeColor="text1"/>
        </w:rPr>
        <w:t xml:space="preserve"> </w:t>
      </w:r>
      <w:r w:rsidRPr="006B51FB">
        <w:rPr>
          <w:rFonts w:ascii="Palatino Linotype" w:hAnsi="Palatino Linotype" w:eastAsia="Palatino Linotype" w:cs="Palatino Linotype"/>
          <w:color w:val="000000" w:themeColor="text1"/>
        </w:rPr>
        <w:t xml:space="preserve">CPUC’s Long-Term Gas Proceeding also </w:t>
      </w:r>
      <w:r w:rsidRPr="006B51FB">
        <w:rPr>
          <w:rFonts w:ascii="Palatino Linotype" w:hAnsi="Palatino Linotype" w:eastAsia="Palatino Linotype" w:cs="Times New Roman"/>
          <w:color w:val="000000" w:themeColor="text1"/>
        </w:rPr>
        <w:t>concludes</w:t>
      </w:r>
      <w:r w:rsidRPr="006B51FB">
        <w:rPr>
          <w:rFonts w:ascii="Palatino Linotype" w:hAnsi="Palatino Linotype" w:eastAsia="Palatino Linotype" w:cs="Palatino Linotype"/>
          <w:color w:val="000000" w:themeColor="text1"/>
        </w:rPr>
        <w:t xml:space="preserve"> that, “[t]o achieve California’s decarbonization goals and effectuate an equitable gas transition, a </w:t>
      </w:r>
      <w:r w:rsidRPr="006B51FB">
        <w:rPr>
          <w:rFonts w:ascii="Palatino Linotype" w:hAnsi="Palatino Linotype" w:eastAsia="Palatino Linotype" w:cs="Palatino Linotype"/>
          <w:color w:val="000000" w:themeColor="text1"/>
        </w:rPr>
        <w:lastRenderedPageBreak/>
        <w:t>coordinated, iterative, and long-term planning process will help the State agencies and utilities align initiatives related to gas system planning efforts and analytics.”</w:t>
      </w:r>
      <w:r w:rsidRPr="006B51FB">
        <w:rPr>
          <w:rStyle w:val="FootnoteReference"/>
          <w:rFonts w:ascii="Palatino Linotype" w:hAnsi="Palatino Linotype" w:eastAsia="Palatino Linotype" w:cs="Palatino Linotype"/>
          <w:color w:val="000000" w:themeColor="text1"/>
        </w:rPr>
        <w:footnoteReference w:id="35"/>
      </w:r>
      <w:r w:rsidRPr="006B51FB">
        <w:rPr>
          <w:rFonts w:ascii="Palatino Linotype" w:hAnsi="Palatino Linotype" w:eastAsia="Palatino Linotype" w:cs="Palatino Linotype"/>
          <w:color w:val="000000" w:themeColor="text1"/>
        </w:rPr>
        <w:t xml:space="preserve"> Thus pre-submittal consultation with CPUC staff </w:t>
      </w:r>
      <w:r w:rsidRPr="006B51FB">
        <w:rPr>
          <w:rFonts w:ascii="Palatino Linotype" w:hAnsi="Palatino Linotype" w:eastAsiaTheme="minorEastAsia"/>
          <w:color w:val="000000" w:themeColor="text1"/>
        </w:rPr>
        <w:t xml:space="preserve">may be coordinated with other Gas RD&amp;D and EPIC administrators to promote efficiencies and strategic, holistic investment planning across programs, thereby maximizing the impacts of investments. </w:t>
      </w:r>
    </w:p>
    <w:p w:rsidRPr="006B51FB" w:rsidR="00132EB6" w:rsidP="00132EB6" w:rsidRDefault="00132EB6" w14:paraId="7EB4BC67"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6B51FB" w:rsidR="00132EB6" w:rsidP="00132EB6" w:rsidRDefault="00132EB6" w14:paraId="76ACB83F"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Public Workshop</w:t>
      </w:r>
    </w:p>
    <w:p w:rsidRPr="006B51FB" w:rsidR="00132EB6" w:rsidP="00132EB6" w:rsidRDefault="00132EB6" w14:paraId="5B253A67" w14:textId="5EFADB52">
      <w:pPr>
        <w:spacing w:after="0" w:line="276" w:lineRule="auto"/>
        <w:ind w:left="720"/>
        <w:rPr>
          <w:rFonts w:ascii="Palatino Linotype" w:hAnsi="Palatino Linotype" w:eastAsiaTheme="minorEastAsia"/>
          <w:color w:val="000000" w:themeColor="text1"/>
        </w:rPr>
      </w:pPr>
      <w:r w:rsidRPr="006B51FB">
        <w:rPr>
          <w:rFonts w:ascii="Palatino Linotype" w:hAnsi="Palatino Linotype" w:eastAsia="Palatino Linotype" w:cs="Times New Roman"/>
          <w:color w:val="000000" w:themeColor="text1"/>
          <w:kern w:val="0"/>
          <w14:ligatures w14:val="none"/>
        </w:rPr>
        <w:t xml:space="preserve">PG&amp;E shall </w:t>
      </w:r>
      <w:r w:rsidRPr="006B51FB">
        <w:rPr>
          <w:rFonts w:ascii="Palatino Linotype" w:hAnsi="Palatino Linotype" w:eastAsia="Palatino Linotype" w:cs="Times New Roman"/>
          <w:color w:val="000000" w:themeColor="text1"/>
        </w:rPr>
        <w:t xml:space="preserve">coordinate with other Gas RD&amp;D administrators to </w:t>
      </w:r>
      <w:r w:rsidRPr="006B51FB">
        <w:rPr>
          <w:rFonts w:ascii="Palatino Linotype" w:hAnsi="Palatino Linotype" w:eastAsia="Palatino Linotype" w:cs="Times New Roman"/>
          <w:color w:val="000000" w:themeColor="text1"/>
          <w:kern w:val="0"/>
          <w14:ligatures w14:val="none"/>
        </w:rPr>
        <w:t xml:space="preserve">hold an </w:t>
      </w:r>
      <w:r w:rsidRPr="006B51FB">
        <w:rPr>
          <w:rFonts w:ascii="Palatino Linotype" w:hAnsi="Palatino Linotype" w:eastAsia="Palatino Linotype" w:cs="Times New Roman"/>
          <w:color w:val="000000" w:themeColor="text1"/>
        </w:rPr>
        <w:t xml:space="preserve">Annual </w:t>
      </w:r>
      <w:r w:rsidRPr="006B51FB">
        <w:rPr>
          <w:rFonts w:ascii="Palatino Linotype" w:hAnsi="Palatino Linotype" w:eastAsia="Palatino Linotype" w:cs="Times New Roman"/>
          <w:color w:val="000000" w:themeColor="text1"/>
          <w:kern w:val="0"/>
          <w14:ligatures w14:val="none"/>
        </w:rPr>
        <w:t xml:space="preserve">Public Workshop to obtain </w:t>
      </w:r>
      <w:r w:rsidRPr="006B51FB">
        <w:rPr>
          <w:rFonts w:ascii="Palatino Linotype" w:hAnsi="Palatino Linotype" w:eastAsia="Palatino Linotype" w:cs="Times New Roman"/>
          <w:color w:val="000000" w:themeColor="text1"/>
        </w:rPr>
        <w:t xml:space="preserve">broad stakeholder </w:t>
      </w:r>
      <w:r w:rsidRPr="006B51FB">
        <w:rPr>
          <w:rFonts w:ascii="Palatino Linotype" w:hAnsi="Palatino Linotype" w:eastAsia="Palatino Linotype" w:cs="Times New Roman"/>
          <w:color w:val="000000" w:themeColor="text1"/>
          <w:kern w:val="0"/>
          <w14:ligatures w14:val="none"/>
        </w:rPr>
        <w:t>input regarding proposed investments for the upcoming year prior to Plan submittal,</w:t>
      </w:r>
      <w:r w:rsidRPr="006B51FB">
        <w:rPr>
          <w:rStyle w:val="FootnoteReference"/>
          <w:rFonts w:ascii="Palatino Linotype" w:hAnsi="Palatino Linotype" w:eastAsia="Palatino Linotype" w:cs="Times New Roman"/>
          <w:color w:val="000000" w:themeColor="text1"/>
          <w:kern w:val="0"/>
          <w14:ligatures w14:val="none"/>
        </w:rPr>
        <w:footnoteReference w:id="36"/>
      </w:r>
      <w:r w:rsidRPr="006B51FB">
        <w:rPr>
          <w:rFonts w:ascii="Palatino Linotype" w:hAnsi="Palatino Linotype" w:eastAsia="Palatino Linotype" w:cs="Times New Roman"/>
          <w:color w:val="000000" w:themeColor="text1"/>
          <w:kern w:val="0"/>
          <w14:ligatures w14:val="none"/>
        </w:rPr>
        <w:t xml:space="preserve"> informed by feedback provided by </w:t>
      </w:r>
      <w:r w:rsidRPr="006B51FB">
        <w:rPr>
          <w:rFonts w:ascii="Palatino Linotype" w:hAnsi="Palatino Linotype" w:eastAsia="Palatino Linotype" w:cs="Times New Roman"/>
          <w:color w:val="000000" w:themeColor="text1"/>
        </w:rPr>
        <w:t>CPUC s</w:t>
      </w:r>
      <w:r w:rsidRPr="006B51FB">
        <w:rPr>
          <w:rFonts w:ascii="Palatino Linotype" w:hAnsi="Palatino Linotype" w:eastAsia="Palatino Linotype" w:cs="Times New Roman"/>
          <w:color w:val="000000" w:themeColor="text1"/>
          <w:kern w:val="0"/>
          <w14:ligatures w14:val="none"/>
        </w:rPr>
        <w:t>taff</w:t>
      </w:r>
      <w:r w:rsidRPr="006B51FB">
        <w:rPr>
          <w:rFonts w:ascii="Palatino Linotype" w:hAnsi="Palatino Linotype" w:eastAsia="Palatino Linotype" w:cs="Times New Roman"/>
          <w:color w:val="000000" w:themeColor="text1"/>
        </w:rPr>
        <w:t>.</w:t>
      </w:r>
      <w:r w:rsidRPr="006B51FB">
        <w:rPr>
          <w:rStyle w:val="FootnoteReference"/>
          <w:rFonts w:ascii="Palatino Linotype" w:hAnsi="Palatino Linotype" w:eastAsia="Palatino Linotype" w:cs="Times New Roman"/>
          <w:color w:val="000000" w:themeColor="text1"/>
          <w:kern w:val="0"/>
          <w14:ligatures w14:val="none"/>
        </w:rPr>
        <w:footnoteReference w:id="37"/>
      </w:r>
      <w:r w:rsidRPr="006B51FB">
        <w:rPr>
          <w:rFonts w:ascii="Palatino Linotype" w:hAnsi="Palatino Linotype" w:eastAsia="Palatino Linotype" w:cs="Times New Roman"/>
          <w:color w:val="000000" w:themeColor="text1"/>
          <w:kern w:val="0"/>
          <w14:ligatures w14:val="none"/>
        </w:rPr>
        <w:t xml:space="preserve"> PG&amp;E shall consult ED staff </w:t>
      </w:r>
      <w:r w:rsidRPr="006B51FB">
        <w:rPr>
          <w:rFonts w:ascii="Palatino Linotype" w:hAnsi="Palatino Linotype" w:eastAsia="Palatino Linotype" w:cs="Times New Roman"/>
          <w:color w:val="000000" w:themeColor="text1"/>
        </w:rPr>
        <w:t xml:space="preserve">on its </w:t>
      </w:r>
      <w:r w:rsidRPr="006B51FB">
        <w:rPr>
          <w:rFonts w:ascii="Palatino Linotype" w:hAnsi="Palatino Linotype" w:eastAsia="Palatino Linotype" w:cs="Times New Roman"/>
          <w:color w:val="000000" w:themeColor="text1"/>
          <w:kern w:val="0"/>
          <w14:ligatures w14:val="none"/>
        </w:rPr>
        <w:t>engage</w:t>
      </w:r>
      <w:r w:rsidRPr="006B51FB">
        <w:rPr>
          <w:rFonts w:ascii="Palatino Linotype" w:hAnsi="Palatino Linotype" w:eastAsia="Palatino Linotype" w:cs="Times New Roman"/>
          <w:color w:val="000000" w:themeColor="text1"/>
        </w:rPr>
        <w:t>ment of</w:t>
      </w:r>
      <w:r w:rsidRPr="006B51FB">
        <w:rPr>
          <w:rFonts w:ascii="Palatino Linotype" w:hAnsi="Palatino Linotype" w:eastAsia="Palatino Linotype" w:cs="Times New Roman"/>
          <w:color w:val="000000" w:themeColor="text1"/>
          <w:kern w:val="0"/>
          <w14:ligatures w14:val="none"/>
        </w:rPr>
        <w:t xml:space="preserve"> diverse relevant stakeholders,</w:t>
      </w:r>
      <w:r w:rsidRPr="006B51FB">
        <w:rPr>
          <w:rFonts w:ascii="Palatino Linotype" w:hAnsi="Palatino Linotype" w:eastAsiaTheme="minorEastAsia"/>
          <w:color w:val="000000" w:themeColor="text1"/>
        </w:rPr>
        <w:t xml:space="preserve"> document feedback from stakeholders, and demonstrate how feedback has been incorporated at the Initiative level in Plans, including from Environmental and Social Justice (ESJ) and Tribal communities.</w:t>
      </w:r>
      <w:r w:rsidRPr="006B51FB">
        <w:rPr>
          <w:rStyle w:val="FootnoteReference"/>
          <w:rFonts w:ascii="Palatino Linotype" w:hAnsi="Palatino Linotype" w:eastAsiaTheme="minorEastAsia"/>
          <w:color w:val="000000" w:themeColor="text1"/>
        </w:rPr>
        <w:footnoteReference w:id="38"/>
      </w:r>
      <w:r w:rsidRPr="006B51FB">
        <w:rPr>
          <w:rFonts w:ascii="Palatino Linotype" w:hAnsi="Palatino Linotype" w:eastAsiaTheme="minorEastAsia"/>
          <w:color w:val="000000" w:themeColor="text1"/>
        </w:rPr>
        <w:t xml:space="preserve"> PG&amp;E shall also present on the results from its most recent Annual Report at the workshop.</w:t>
      </w:r>
      <w:r w:rsidRPr="006B51FB">
        <w:rPr>
          <w:rStyle w:val="FootnoteReference"/>
          <w:rFonts w:ascii="Palatino Linotype" w:hAnsi="Palatino Linotype" w:eastAsiaTheme="minorEastAsia"/>
          <w:color w:val="000000" w:themeColor="text1"/>
        </w:rPr>
        <w:footnoteReference w:id="39"/>
      </w:r>
    </w:p>
    <w:p w:rsidRPr="006B51FB" w:rsidR="00132EB6" w:rsidP="00132EB6" w:rsidRDefault="00132EB6" w14:paraId="3E3E6273" w14:textId="77777777">
      <w:pPr>
        <w:spacing w:after="0" w:line="276" w:lineRule="auto"/>
        <w:rPr>
          <w:rFonts w:ascii="Palatino Linotype" w:hAnsi="Palatino Linotype" w:eastAsia="Palatino Linotype" w:cs="Times New Roman"/>
          <w:color w:val="000000" w:themeColor="text1"/>
          <w:kern w:val="0"/>
          <w14:ligatures w14:val="none"/>
        </w:rPr>
      </w:pPr>
    </w:p>
    <w:p w:rsidRPr="006B51FB" w:rsidR="00132EB6" w:rsidP="00132EB6" w:rsidRDefault="00132EB6" w14:paraId="7A53B83B" w14:textId="77777777">
      <w:pPr>
        <w:spacing w:line="276" w:lineRule="auto"/>
        <w:rPr>
          <w:rFonts w:ascii="Palatino Linotype" w:hAnsi="Palatino Linotype" w:eastAsia="Palatino Linotype" w:cs="Times New Roman"/>
          <w:i/>
          <w:iCs/>
          <w:color w:val="000000" w:themeColor="text1"/>
          <w:kern w:val="0"/>
          <w14:ligatures w14:val="none"/>
        </w:rPr>
      </w:pPr>
      <w:r w:rsidRPr="006B51FB">
        <w:rPr>
          <w:rFonts w:ascii="Palatino Linotype" w:hAnsi="Palatino Linotype" w:eastAsia="Palatino Linotype" w:cs="Times New Roman"/>
          <w:i/>
          <w:iCs/>
          <w:color w:val="000000" w:themeColor="text1"/>
          <w:kern w:val="0"/>
          <w14:ligatures w14:val="none"/>
        </w:rPr>
        <w:t>Annual Plan Submittal &amp; Approval</w:t>
      </w:r>
    </w:p>
    <w:p w:rsidRPr="006B51FB" w:rsidR="00132EB6" w:rsidP="00494D8C" w:rsidRDefault="00132EB6" w14:paraId="50B4A76E" w14:textId="6AB8AEA4">
      <w:pPr>
        <w:spacing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PG&amp;E is required to submit proposed Gas RD&amp;D Plans to the Commission via a Tier 3 Advice Letter (AL) by June 1 annually.</w:t>
      </w:r>
      <w:r w:rsidRPr="006B51FB">
        <w:rPr>
          <w:rStyle w:val="FootnoteReference"/>
          <w:rFonts w:ascii="Palatino Linotype" w:hAnsi="Palatino Linotype" w:eastAsia="Palatino Linotype" w:cs="Times New Roman"/>
          <w:color w:val="000000" w:themeColor="text1"/>
        </w:rPr>
        <w:footnoteReference w:id="40"/>
      </w:r>
      <w:r w:rsidRPr="006B51FB">
        <w:rPr>
          <w:rFonts w:ascii="Palatino Linotype" w:hAnsi="Palatino Linotype" w:eastAsia="Palatino Linotype" w:cs="Times New Roman"/>
          <w:color w:val="000000" w:themeColor="text1"/>
        </w:rPr>
        <w:t xml:space="preserve"> PG&amp;E shall justify the total budget amount with specific citations including page numbers referring to Commission policies in which the budget or explicit escalation factor was approved. PG&amp;E shall post proposed and approved Investment Plans publicly and easily accessible on its website and notify the CPUC of the web address; PG&amp;E shall also coordinate with other administrators to develop service lists of relevant ongoing CPUC Proceedings on which to serve Plans </w:t>
      </w:r>
      <w:r w:rsidRPr="006B51FB">
        <w:rPr>
          <w:rFonts w:ascii="Palatino Linotype" w:hAnsi="Palatino Linotype" w:eastAsia="Palatino Linotype" w:cs="Times New Roman"/>
          <w:color w:val="000000" w:themeColor="text1"/>
        </w:rPr>
        <w:lastRenderedPageBreak/>
        <w:t>and consult with ED staff to ensure these lists are sufficient.</w:t>
      </w:r>
      <w:r w:rsidRPr="006B51FB">
        <w:rPr>
          <w:rStyle w:val="FootnoteReference"/>
          <w:rFonts w:ascii="Palatino Linotype" w:hAnsi="Palatino Linotype" w:eastAsia="Palatino Linotype" w:cs="Times New Roman"/>
          <w:color w:val="000000" w:themeColor="text1"/>
        </w:rPr>
        <w:footnoteReference w:id="41"/>
      </w:r>
      <w:r w:rsidRPr="006B51FB">
        <w:rPr>
          <w:rFonts w:ascii="Palatino Linotype" w:hAnsi="Palatino Linotype" w:eastAsia="Palatino Linotype" w:cs="Times New Roman"/>
          <w:color w:val="000000" w:themeColor="text1"/>
        </w:rPr>
        <w:t xml:space="preserve"> The Plan shall only become effective when the Commission adopts a Resolution approving the Plan,</w:t>
      </w:r>
      <w:r w:rsidRPr="006B51FB">
        <w:rPr>
          <w:rStyle w:val="FootnoteReference"/>
          <w:rFonts w:ascii="Palatino Linotype" w:hAnsi="Palatino Linotype" w:eastAsia="Palatino Linotype" w:cs="Times New Roman"/>
          <w:color w:val="000000" w:themeColor="text1"/>
        </w:rPr>
        <w:footnoteReference w:id="42"/>
      </w:r>
      <w:r w:rsidRPr="006B51FB">
        <w:rPr>
          <w:rFonts w:ascii="Palatino Linotype" w:hAnsi="Palatino Linotype" w:eastAsia="Palatino Linotype" w:cs="Times New Roman"/>
          <w:color w:val="000000" w:themeColor="text1"/>
        </w:rPr>
        <w:t xml:space="preserve"> and </w:t>
      </w:r>
      <w:r w:rsidRPr="006B51FB">
        <w:rPr>
          <w:rFonts w:ascii="Palatino Linotype" w:hAnsi="Palatino Linotype"/>
          <w:color w:val="000000" w:themeColor="text1"/>
        </w:rPr>
        <w:t>PG&amp;E shall not record any Gas RD&amp;D program expenses in a one-way balancing account until an annual Tier 3 Advice Letter outlining its Gas RD&amp;D Budget Plan is approved.</w:t>
      </w:r>
      <w:r w:rsidRPr="006B51FB">
        <w:rPr>
          <w:rStyle w:val="FootnoteReference"/>
          <w:rFonts w:ascii="Palatino Linotype" w:hAnsi="Palatino Linotype"/>
          <w:color w:val="000000" w:themeColor="text1"/>
        </w:rPr>
        <w:footnoteReference w:id="43"/>
      </w:r>
      <w:r w:rsidRPr="006B51FB">
        <w:rPr>
          <w:rFonts w:ascii="Palatino Linotype" w:hAnsi="Palatino Linotype" w:eastAsia="Palatino Linotype" w:cs="Times New Roman"/>
          <w:color w:val="000000" w:themeColor="text1"/>
        </w:rPr>
        <w:t xml:space="preserve"> PG&amp;E shall continue to consult CPUC staff on proposed uses of approved Gas RD&amp;D funds during Plan implementation to ensure ongoing policy alignment and relevance.</w:t>
      </w:r>
    </w:p>
    <w:p w:rsidRPr="006B51FB" w:rsidR="00132EB6" w:rsidP="00132EB6" w:rsidRDefault="00132EB6" w14:paraId="3D8800F3" w14:textId="77777777">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Required information on funds encumbered, spent, and unspent</w:t>
      </w:r>
      <w:r w:rsidRPr="006B51FB">
        <w:rPr>
          <w:rStyle w:val="FootnoteReference"/>
          <w:rFonts w:ascii="Palatino Linotype" w:hAnsi="Palatino Linotype" w:eastAsia="Palatino Linotype" w:cs="Times New Roman"/>
          <w:color w:val="000000" w:themeColor="text1"/>
        </w:rPr>
        <w:footnoteReference w:id="44"/>
      </w:r>
      <w:r w:rsidRPr="006B51FB">
        <w:rPr>
          <w:rFonts w:ascii="Palatino Linotype" w:hAnsi="Palatino Linotype" w:eastAsia="Palatino Linotype" w:cs="Times New Roman"/>
          <w:color w:val="000000" w:themeColor="text1"/>
        </w:rPr>
        <w:t xml:space="preserve"> should clearly identify the associated Initiative and approved Investment Plan and include Program Administrative funds. ED staff may provide additional guidance to facilitate effective reporting of this information.</w:t>
      </w:r>
    </w:p>
    <w:p w:rsidRPr="006B51FB" w:rsidR="00132EB6" w:rsidP="00132EB6" w:rsidRDefault="00132EB6" w14:paraId="259949E3" w14:textId="77777777">
      <w:pPr>
        <w:spacing w:after="0" w:line="276" w:lineRule="auto"/>
        <w:rPr>
          <w:rFonts w:ascii="Palatino Linotype" w:hAnsi="Palatino Linotype" w:eastAsia="Palatino Linotype" w:cs="Times New Roman"/>
          <w:color w:val="000000" w:themeColor="text1"/>
        </w:rPr>
      </w:pPr>
    </w:p>
    <w:p w:rsidR="00132EB6" w:rsidP="00494D8C" w:rsidRDefault="00132EB6" w14:paraId="04B45A9E" w14:textId="77777777">
      <w:pPr>
        <w:spacing w:after="0" w:line="276" w:lineRule="auto"/>
        <w:rPr>
          <w:rFonts w:ascii="Palatino Linotype" w:hAnsi="Palatino Linotype" w:eastAsia="Palatino Linotype" w:cs="Times New Roman"/>
          <w:color w:val="000000" w:themeColor="text1"/>
          <w:u w:val="single"/>
        </w:rPr>
      </w:pPr>
      <w:r w:rsidRPr="006B51FB">
        <w:rPr>
          <w:rFonts w:ascii="Palatino Linotype" w:hAnsi="Palatino Linotype" w:eastAsia="Palatino Linotype" w:cs="Times New Roman"/>
          <w:color w:val="000000" w:themeColor="text1"/>
          <w:u w:val="single"/>
        </w:rPr>
        <w:t>Encumbrance Periods</w:t>
      </w:r>
    </w:p>
    <w:p w:rsidRPr="006B51FB" w:rsidR="00494D8C" w:rsidP="00494D8C" w:rsidRDefault="00494D8C" w14:paraId="204B0F65" w14:textId="77777777">
      <w:pPr>
        <w:spacing w:after="0" w:line="276" w:lineRule="auto"/>
        <w:rPr>
          <w:rFonts w:ascii="Palatino Linotype" w:hAnsi="Palatino Linotype" w:eastAsia="Palatino Linotype" w:cs="Times New Roman"/>
          <w:color w:val="000000" w:themeColor="text1"/>
          <w:u w:val="single"/>
        </w:rPr>
      </w:pPr>
    </w:p>
    <w:p w:rsidRPr="006B51FB" w:rsidR="00132EB6" w:rsidP="00132EB6" w:rsidRDefault="00132EB6" w14:paraId="16050803" w14:textId="2B3081CB">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PG&amp;E must return unspent funds</w:t>
      </w:r>
      <w:r w:rsidRPr="006B51FB">
        <w:rPr>
          <w:rStyle w:val="FootnoteReference"/>
          <w:rFonts w:ascii="Palatino Linotype" w:hAnsi="Palatino Linotype" w:eastAsia="Palatino Linotype" w:cs="Times New Roman"/>
          <w:color w:val="000000" w:themeColor="text1"/>
        </w:rPr>
        <w:footnoteReference w:id="45"/>
      </w:r>
      <w:r w:rsidRPr="006B51FB">
        <w:rPr>
          <w:rFonts w:ascii="Palatino Linotype" w:hAnsi="Palatino Linotype" w:eastAsia="Palatino Linotype" w:cs="Times New Roman"/>
          <w:color w:val="000000" w:themeColor="text1"/>
        </w:rPr>
        <w:t xml:space="preserve"> in the Gas Research and Development (R&amp;D) and Deployment Balancing Account (GRDDBA) to ratepayers at the close of the 2023 GRC funding cycle, </w:t>
      </w:r>
      <w:r w:rsidRPr="006B51FB">
        <w:rPr>
          <w:rFonts w:ascii="Palatino Linotype" w:hAnsi="Palatino Linotype" w:eastAsia="Palatino Linotype" w:cs="Palatino Linotype"/>
          <w:color w:val="000000" w:themeColor="text1"/>
        </w:rPr>
        <w:t>consistent with the PG&amp;E Gas Preliminary Statement.</w:t>
      </w:r>
      <w:r w:rsidRPr="006B51FB">
        <w:rPr>
          <w:rStyle w:val="FootnoteReference"/>
          <w:rFonts w:ascii="Palatino Linotype" w:hAnsi="Palatino Linotype" w:eastAsia="Palatino Linotype" w:cs="Times New Roman"/>
          <w:color w:val="000000" w:themeColor="text1"/>
        </w:rPr>
        <w:footnoteReference w:id="46"/>
      </w:r>
      <w:r w:rsidRPr="006B51FB">
        <w:rPr>
          <w:rFonts w:ascii="Palatino Linotype" w:hAnsi="Palatino Linotype" w:eastAsia="Palatino Linotype" w:cs="Times New Roman"/>
          <w:color w:val="000000" w:themeColor="text1"/>
        </w:rPr>
        <w:t xml:space="preserve"> Proactive coordination on proposed Plans via pre-submittal Consultation with CPUC staff promotes alignment with </w:t>
      </w:r>
      <w:r w:rsidRPr="006B51FB">
        <w:rPr>
          <w:rFonts w:ascii="Palatino Linotype" w:hAnsi="Palatino Linotype"/>
          <w:color w:val="000000" w:themeColor="text1"/>
        </w:rPr>
        <w:t>CPUC Policies and Proceedings and efficiencies in Plan review and approval to best utilize the permitted encumbrance period</w:t>
      </w:r>
      <w:r w:rsidRPr="006B51FB">
        <w:rPr>
          <w:rFonts w:ascii="Palatino Linotype" w:hAnsi="Palatino Linotype" w:eastAsia="Century Gothic" w:cs="Century Gothic"/>
          <w:color w:val="000000" w:themeColor="text1"/>
        </w:rPr>
        <w:t>.</w:t>
      </w:r>
      <w:r w:rsidRPr="006B51FB">
        <w:rPr>
          <w:rFonts w:ascii="Palatino Linotype" w:hAnsi="Palatino Linotype"/>
          <w:color w:val="000000" w:themeColor="text1"/>
        </w:rPr>
        <w:t xml:space="preserve"> </w:t>
      </w:r>
      <w:r w:rsidRPr="006B51FB">
        <w:rPr>
          <w:rFonts w:ascii="Palatino Linotype" w:hAnsi="Palatino Linotype" w:eastAsia="Palatino Linotype" w:cs="Times New Roman"/>
          <w:color w:val="000000" w:themeColor="text1"/>
        </w:rPr>
        <w:t xml:space="preserve">Limited </w:t>
      </w:r>
      <w:r w:rsidRPr="006B51FB">
        <w:rPr>
          <w:rFonts w:ascii="Palatino Linotype" w:hAnsi="Palatino Linotype" w:eastAsia="Palatino Linotype" w:cs="Times New Roman"/>
          <w:color w:val="000000" w:themeColor="text1"/>
        </w:rPr>
        <w:lastRenderedPageBreak/>
        <w:t>encumbrance periods allow Gas RD&amp;D investments to be responsive to evolving research, technology, and market conditions and needs and promote timely innovation as well as ratepayer benefit.</w:t>
      </w:r>
    </w:p>
    <w:p w:rsidR="00CF0F57" w:rsidP="00494D8C" w:rsidRDefault="00CF0F57" w14:paraId="0D0019D7" w14:textId="77777777">
      <w:pPr>
        <w:spacing w:after="0" w:line="276" w:lineRule="auto"/>
        <w:rPr>
          <w:rFonts w:ascii="Palatino Linotype" w:hAnsi="Palatino Linotype" w:eastAsia="Palatino Linotype" w:cs="Times New Roman"/>
          <w:b/>
          <w:kern w:val="0"/>
          <w14:ligatures w14:val="none"/>
        </w:rPr>
      </w:pPr>
    </w:p>
    <w:p w:rsidR="0061159C" w:rsidP="00494D8C" w:rsidRDefault="005D515D" w14:paraId="52C27881" w14:textId="4F4E6185">
      <w:pPr>
        <w:spacing w:after="0" w:line="276" w:lineRule="auto"/>
        <w:rPr>
          <w:rFonts w:ascii="Palatino Linotype" w:hAnsi="Palatino Linotype" w:eastAsia="Palatino Linotype" w:cs="Times New Roman"/>
          <w:b/>
          <w:color w:val="000000" w:themeColor="text1"/>
          <w:kern w:val="0"/>
          <w14:ligatures w14:val="none"/>
        </w:rPr>
      </w:pPr>
      <w:r w:rsidRPr="00836A28">
        <w:rPr>
          <w:rFonts w:ascii="Palatino Linotype" w:hAnsi="Palatino Linotype" w:eastAsia="Palatino Linotype" w:cs="Times New Roman"/>
          <w:b/>
          <w:kern w:val="0"/>
          <w14:ligatures w14:val="none"/>
        </w:rPr>
        <w:t xml:space="preserve">Summary of </w:t>
      </w:r>
      <w:r w:rsidRPr="00836A28" w:rsidR="00AC171A">
        <w:rPr>
          <w:rFonts w:ascii="Palatino Linotype" w:hAnsi="Palatino Linotype" w:eastAsia="Palatino Linotype" w:cs="Times New Roman"/>
          <w:b/>
          <w:kern w:val="0"/>
          <w14:ligatures w14:val="none"/>
        </w:rPr>
        <w:t>PG&amp;E</w:t>
      </w:r>
      <w:r w:rsidR="00BD0F91">
        <w:rPr>
          <w:rFonts w:ascii="Palatino Linotype" w:hAnsi="Palatino Linotype" w:eastAsia="Palatino Linotype" w:cs="Times New Roman"/>
          <w:b/>
          <w:kern w:val="0"/>
          <w14:ligatures w14:val="none"/>
        </w:rPr>
        <w:t>’s</w:t>
      </w:r>
      <w:r w:rsidRPr="00836A28" w:rsidR="0091137D">
        <w:rPr>
          <w:rFonts w:ascii="Palatino Linotype" w:hAnsi="Palatino Linotype" w:eastAsia="Palatino Linotype" w:cs="Times New Roman"/>
          <w:b/>
          <w:kern w:val="0"/>
          <w14:ligatures w14:val="none"/>
        </w:rPr>
        <w:t xml:space="preserve"> Advice </w:t>
      </w:r>
      <w:r w:rsidRPr="00994F76" w:rsidR="0091137D">
        <w:rPr>
          <w:rFonts w:ascii="Palatino Linotype" w:hAnsi="Palatino Linotype" w:eastAsia="Palatino Linotype" w:cs="Times New Roman"/>
          <w:b/>
          <w:color w:val="000000" w:themeColor="text1"/>
          <w:kern w:val="0"/>
          <w14:ligatures w14:val="none"/>
        </w:rPr>
        <w:t xml:space="preserve">Letter </w:t>
      </w:r>
      <w:r w:rsidRPr="00994F76" w:rsidR="00BB08C3">
        <w:rPr>
          <w:rFonts w:ascii="Palatino Linotype" w:hAnsi="Palatino Linotype" w:eastAsia="Palatino Linotype" w:cs="Times New Roman"/>
          <w:b/>
          <w:color w:val="000000" w:themeColor="text1"/>
          <w:kern w:val="0"/>
          <w14:ligatures w14:val="none"/>
        </w:rPr>
        <w:t>5</w:t>
      </w:r>
      <w:r w:rsidRPr="00994F76" w:rsidR="003C24AE">
        <w:rPr>
          <w:rFonts w:ascii="Palatino Linotype" w:hAnsi="Palatino Linotype" w:eastAsia="Palatino Linotype" w:cs="Times New Roman"/>
          <w:b/>
          <w:color w:val="000000" w:themeColor="text1"/>
          <w:kern w:val="0"/>
          <w14:ligatures w14:val="none"/>
        </w:rPr>
        <w:t>196-G</w:t>
      </w:r>
      <w:r w:rsidRPr="00994F76" w:rsidR="009B7F74">
        <w:rPr>
          <w:rFonts w:ascii="Palatino Linotype" w:hAnsi="Palatino Linotype" w:eastAsia="Palatino Linotype" w:cs="Times New Roman"/>
          <w:b/>
          <w:color w:val="000000" w:themeColor="text1"/>
          <w:kern w:val="0"/>
          <w14:ligatures w14:val="none"/>
        </w:rPr>
        <w:t xml:space="preserve">: </w:t>
      </w:r>
      <w:r w:rsidRPr="00994F76" w:rsidR="00AC171A">
        <w:rPr>
          <w:rFonts w:ascii="Palatino Linotype" w:hAnsi="Palatino Linotype" w:eastAsia="Palatino Linotype" w:cs="Times New Roman"/>
          <w:b/>
          <w:color w:val="000000" w:themeColor="text1"/>
          <w:kern w:val="0"/>
          <w14:ligatures w14:val="none"/>
        </w:rPr>
        <w:t>2024 Gas RD&amp;D Plan</w:t>
      </w:r>
      <w:r w:rsidRPr="00994F76" w:rsidR="007C7B15">
        <w:rPr>
          <w:rStyle w:val="FootnoteReference"/>
          <w:rFonts w:ascii="Palatino Linotype" w:hAnsi="Palatino Linotype" w:eastAsia="Palatino Linotype" w:cs="Times New Roman"/>
          <w:b/>
          <w:color w:val="000000" w:themeColor="text1"/>
          <w:kern w:val="0"/>
          <w14:ligatures w14:val="none"/>
        </w:rPr>
        <w:footnoteReference w:id="47"/>
      </w:r>
      <w:r w:rsidRPr="00994F76" w:rsidR="009B7F74">
        <w:rPr>
          <w:rFonts w:ascii="Palatino Linotype" w:hAnsi="Palatino Linotype" w:eastAsia="Palatino Linotype" w:cs="Times New Roman"/>
          <w:b/>
          <w:color w:val="000000" w:themeColor="text1"/>
          <w:kern w:val="0"/>
          <w14:ligatures w14:val="none"/>
        </w:rPr>
        <w:t xml:space="preserve"> </w:t>
      </w:r>
    </w:p>
    <w:p w:rsidRPr="00994F76" w:rsidR="00494D8C" w:rsidP="00494D8C" w:rsidRDefault="00494D8C" w14:paraId="220D8ABF" w14:textId="77777777">
      <w:pPr>
        <w:spacing w:after="0" w:line="276" w:lineRule="auto"/>
        <w:rPr>
          <w:rFonts w:ascii="Palatino Linotype" w:hAnsi="Palatino Linotype" w:eastAsia="Palatino Linotype" w:cs="Times New Roman"/>
          <w:b/>
          <w:color w:val="000000" w:themeColor="text1"/>
          <w:kern w:val="0"/>
          <w14:ligatures w14:val="none"/>
        </w:rPr>
      </w:pPr>
    </w:p>
    <w:p w:rsidRPr="00E77884" w:rsidR="004B50CE" w:rsidP="004B50CE" w:rsidRDefault="0061159C" w14:paraId="0AB938AA" w14:textId="145BCB99">
      <w:p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submitted </w:t>
      </w:r>
      <w:r w:rsidRPr="00994F76" w:rsidR="0040480F">
        <w:rPr>
          <w:rFonts w:ascii="Palatino Linotype" w:hAnsi="Palatino Linotype" w:eastAsia="Palatino Linotype" w:cs="Times New Roman"/>
          <w:color w:val="000000" w:themeColor="text1"/>
          <w:kern w:val="0"/>
          <w14:ligatures w14:val="none"/>
        </w:rPr>
        <w:t xml:space="preserve">its </w:t>
      </w:r>
      <w:r w:rsidRPr="00994F76" w:rsidR="00431F4F">
        <w:rPr>
          <w:rFonts w:ascii="Palatino Linotype" w:hAnsi="Palatino Linotype" w:eastAsia="Palatino Linotype" w:cs="Times New Roman"/>
          <w:color w:val="000000" w:themeColor="text1"/>
          <w:kern w:val="0"/>
          <w14:ligatures w14:val="none"/>
        </w:rPr>
        <w:t xml:space="preserve">proposed </w:t>
      </w:r>
      <w:r w:rsidRPr="00994F76" w:rsidR="0040480F">
        <w:rPr>
          <w:rFonts w:ascii="Palatino Linotype" w:hAnsi="Palatino Linotype" w:eastAsia="Palatino Linotype" w:cs="Times New Roman"/>
          <w:color w:val="000000" w:themeColor="text1"/>
          <w:kern w:val="0"/>
          <w14:ligatures w14:val="none"/>
        </w:rPr>
        <w:t xml:space="preserve">2024 Plan via </w:t>
      </w:r>
      <w:r w:rsidRPr="00994F76">
        <w:rPr>
          <w:rFonts w:ascii="Palatino Linotype" w:hAnsi="Palatino Linotype" w:eastAsia="Palatino Linotype" w:cs="Times New Roman"/>
          <w:color w:val="000000" w:themeColor="text1"/>
        </w:rPr>
        <w:t xml:space="preserve">Tier 3 AL </w:t>
      </w:r>
      <w:r w:rsidRPr="00994F76" w:rsidR="00D07F64">
        <w:rPr>
          <w:rFonts w:ascii="Palatino Linotype" w:hAnsi="Palatino Linotype" w:eastAsia="Palatino Linotype" w:cs="Times New Roman"/>
          <w:color w:val="000000" w:themeColor="text1"/>
          <w:kern w:val="0"/>
          <w14:ligatures w14:val="none"/>
        </w:rPr>
        <w:t>4</w:t>
      </w:r>
      <w:r w:rsidRPr="00994F76">
        <w:rPr>
          <w:rFonts w:ascii="Palatino Linotype" w:hAnsi="Palatino Linotype" w:eastAsia="Palatino Linotype" w:cs="Times New Roman"/>
          <w:color w:val="000000" w:themeColor="text1"/>
          <w:kern w:val="0"/>
          <w14:ligatures w14:val="none"/>
        </w:rPr>
        <w:t xml:space="preserve">931-G on </w:t>
      </w:r>
      <w:r w:rsidRPr="00994F76">
        <w:rPr>
          <w:rFonts w:ascii="Palatino Linotype" w:hAnsi="Palatino Linotype" w:eastAsia="Palatino Linotype" w:cs="Times New Roman"/>
          <w:color w:val="000000" w:themeColor="text1"/>
        </w:rPr>
        <w:t xml:space="preserve">July </w:t>
      </w:r>
      <w:r w:rsidRPr="00994F76">
        <w:rPr>
          <w:rFonts w:ascii="Palatino Linotype" w:hAnsi="Palatino Linotype" w:eastAsia="Palatino Linotype" w:cs="Times New Roman"/>
          <w:color w:val="000000" w:themeColor="text1"/>
          <w:kern w:val="0"/>
          <w14:ligatures w14:val="none"/>
        </w:rPr>
        <w:t>1</w:t>
      </w:r>
      <w:r w:rsidRPr="00994F76">
        <w:rPr>
          <w:rFonts w:ascii="Palatino Linotype" w:hAnsi="Palatino Linotype" w:eastAsia="Palatino Linotype" w:cs="Times New Roman"/>
          <w:color w:val="000000" w:themeColor="text1"/>
        </w:rPr>
        <w:t>, 2024. PG&amp;E later withdrew</w:t>
      </w:r>
      <w:r w:rsidRPr="00994F76" w:rsidDel="00D07F64">
        <w:rPr>
          <w:rFonts w:ascii="Palatino Linotype" w:hAnsi="Palatino Linotype" w:eastAsia="Palatino Linotype" w:cs="Times New Roman"/>
          <w:color w:val="000000" w:themeColor="text1"/>
        </w:rPr>
        <w:t xml:space="preserve"> </w:t>
      </w:r>
      <w:r w:rsidRPr="00994F76">
        <w:rPr>
          <w:rFonts w:ascii="Palatino Linotype" w:hAnsi="Palatino Linotype" w:eastAsia="Palatino Linotype" w:cs="Times New Roman"/>
          <w:color w:val="000000" w:themeColor="text1"/>
        </w:rPr>
        <w:t>AL</w:t>
      </w:r>
      <w:r w:rsidRPr="00994F76" w:rsidR="007E4EAD">
        <w:rPr>
          <w:rFonts w:ascii="Palatino Linotype" w:hAnsi="Palatino Linotype" w:eastAsia="Palatino Linotype" w:cs="Times New Roman"/>
          <w:color w:val="000000" w:themeColor="text1"/>
          <w:kern w:val="0"/>
          <w14:ligatures w14:val="none"/>
        </w:rPr>
        <w:t xml:space="preserve"> 4931-G</w:t>
      </w:r>
      <w:r w:rsidRPr="00994F76">
        <w:rPr>
          <w:rFonts w:ascii="Palatino Linotype" w:hAnsi="Palatino Linotype" w:eastAsia="Palatino Linotype" w:cs="Times New Roman"/>
          <w:color w:val="000000" w:themeColor="text1"/>
        </w:rPr>
        <w:t xml:space="preserve"> on May </w:t>
      </w:r>
      <w:r w:rsidRPr="00994F76">
        <w:rPr>
          <w:rFonts w:ascii="Palatino Linotype" w:hAnsi="Palatino Linotype" w:eastAsia="Palatino Linotype" w:cs="Times New Roman"/>
          <w:color w:val="000000" w:themeColor="text1"/>
          <w:kern w:val="0"/>
          <w14:ligatures w14:val="none"/>
        </w:rPr>
        <w:t>12</w:t>
      </w:r>
      <w:r w:rsidRPr="00994F76">
        <w:rPr>
          <w:rFonts w:ascii="Palatino Linotype" w:hAnsi="Palatino Linotype" w:eastAsia="Palatino Linotype" w:cs="Times New Roman"/>
          <w:color w:val="000000" w:themeColor="text1"/>
        </w:rPr>
        <w:t xml:space="preserve">, 2025, after consultation with CPUC staff. PG&amp;E resubmitted its 2024 Plan (AL 5077-G) on June </w:t>
      </w:r>
      <w:r w:rsidRPr="00994F76">
        <w:rPr>
          <w:rFonts w:ascii="Palatino Linotype" w:hAnsi="Palatino Linotype" w:eastAsia="Palatino Linotype" w:cs="Times New Roman"/>
          <w:color w:val="000000" w:themeColor="text1"/>
          <w:kern w:val="0"/>
          <w14:ligatures w14:val="none"/>
        </w:rPr>
        <w:t>25</w:t>
      </w:r>
      <w:r w:rsidRPr="00994F76">
        <w:rPr>
          <w:rFonts w:ascii="Palatino Linotype" w:hAnsi="Palatino Linotype" w:eastAsia="Palatino Linotype" w:cs="Times New Roman"/>
          <w:color w:val="000000" w:themeColor="text1"/>
        </w:rPr>
        <w:t xml:space="preserve">, 2025, and </w:t>
      </w:r>
      <w:r w:rsidRPr="00994F76" w:rsidR="00315CB7">
        <w:rPr>
          <w:rFonts w:ascii="Palatino Linotype" w:hAnsi="Palatino Linotype" w:eastAsia="Palatino Linotype" w:cs="Times New Roman"/>
          <w:color w:val="000000" w:themeColor="text1"/>
          <w:kern w:val="0"/>
          <w14:ligatures w14:val="none"/>
        </w:rPr>
        <w:t xml:space="preserve">subsequently submitted </w:t>
      </w:r>
      <w:r w:rsidRPr="00994F76" w:rsidR="00331C26">
        <w:rPr>
          <w:rFonts w:ascii="Palatino Linotype" w:hAnsi="Palatino Linotype" w:eastAsia="Palatino Linotype" w:cs="Times New Roman"/>
          <w:color w:val="000000" w:themeColor="text1"/>
          <w:kern w:val="0"/>
          <w14:ligatures w14:val="none"/>
        </w:rPr>
        <w:t>its</w:t>
      </w:r>
      <w:r w:rsidRPr="00994F76">
        <w:rPr>
          <w:rFonts w:ascii="Palatino Linotype" w:hAnsi="Palatino Linotype" w:eastAsia="Palatino Linotype" w:cs="Times New Roman"/>
          <w:color w:val="000000" w:themeColor="text1"/>
        </w:rPr>
        <w:t xml:space="preserve"> </w:t>
      </w:r>
      <w:r w:rsidRPr="00994F76" w:rsidR="00B72C5A">
        <w:rPr>
          <w:rFonts w:ascii="Palatino Linotype" w:hAnsi="Palatino Linotype" w:eastAsia="Palatino Linotype" w:cs="Times New Roman"/>
          <w:color w:val="000000" w:themeColor="text1"/>
          <w:kern w:val="0"/>
          <w14:ligatures w14:val="none"/>
        </w:rPr>
        <w:t xml:space="preserve">modified 2024 </w:t>
      </w:r>
      <w:r w:rsidRPr="00994F76">
        <w:rPr>
          <w:rFonts w:ascii="Palatino Linotype" w:hAnsi="Palatino Linotype" w:eastAsia="Palatino Linotype" w:cs="Times New Roman"/>
          <w:color w:val="000000" w:themeColor="text1"/>
        </w:rPr>
        <w:t xml:space="preserve">Plan </w:t>
      </w:r>
      <w:r w:rsidRPr="00994F76" w:rsidR="00B72C5A">
        <w:rPr>
          <w:rFonts w:ascii="Palatino Linotype" w:hAnsi="Palatino Linotype" w:eastAsia="Palatino Linotype" w:cs="Times New Roman"/>
          <w:color w:val="000000" w:themeColor="text1"/>
          <w:kern w:val="0"/>
          <w14:ligatures w14:val="none"/>
        </w:rPr>
        <w:t xml:space="preserve">via </w:t>
      </w:r>
      <w:r w:rsidRPr="00994F76">
        <w:rPr>
          <w:rFonts w:ascii="Palatino Linotype" w:hAnsi="Palatino Linotype" w:eastAsia="Palatino Linotype" w:cs="Times New Roman"/>
          <w:color w:val="000000" w:themeColor="text1"/>
        </w:rPr>
        <w:t>supplement</w:t>
      </w:r>
      <w:r w:rsidRPr="00994F76" w:rsidR="00B72C5A">
        <w:rPr>
          <w:rFonts w:ascii="Palatino Linotype" w:hAnsi="Palatino Linotype" w:eastAsia="Palatino Linotype" w:cs="Times New Roman"/>
          <w:color w:val="000000" w:themeColor="text1"/>
          <w:kern w:val="0"/>
          <w14:ligatures w14:val="none"/>
        </w:rPr>
        <w:t>al</w:t>
      </w:r>
      <w:r w:rsidRPr="00994F76">
        <w:rPr>
          <w:rFonts w:ascii="Palatino Linotype" w:hAnsi="Palatino Linotype" w:eastAsia="Palatino Linotype" w:cs="Times New Roman"/>
          <w:color w:val="000000" w:themeColor="text1"/>
        </w:rPr>
        <w:t xml:space="preserve"> AL 5077-G-A on August </w:t>
      </w:r>
      <w:r w:rsidRPr="00994F76">
        <w:rPr>
          <w:rFonts w:ascii="Palatino Linotype" w:hAnsi="Palatino Linotype" w:eastAsia="Palatino Linotype" w:cs="Times New Roman"/>
          <w:color w:val="000000" w:themeColor="text1"/>
          <w:kern w:val="0"/>
          <w14:ligatures w14:val="none"/>
        </w:rPr>
        <w:t>18</w:t>
      </w:r>
      <w:r w:rsidRPr="00994F76">
        <w:rPr>
          <w:rFonts w:ascii="Palatino Linotype" w:hAnsi="Palatino Linotype" w:eastAsia="Palatino Linotype" w:cs="Times New Roman"/>
          <w:color w:val="000000" w:themeColor="text1"/>
        </w:rPr>
        <w:t xml:space="preserve">, 2025. </w:t>
      </w:r>
      <w:r w:rsidRPr="00994F76" w:rsidR="00926771">
        <w:rPr>
          <w:rFonts w:ascii="Palatino Linotype" w:hAnsi="Palatino Linotype" w:eastAsia="Palatino Linotype" w:cs="Times New Roman"/>
          <w:color w:val="000000" w:themeColor="text1"/>
        </w:rPr>
        <w:t>The Commission denied AL 5077-G-A on January 15, 2026</w:t>
      </w:r>
      <w:r w:rsidRPr="00994F76" w:rsidR="00A30E82">
        <w:rPr>
          <w:rFonts w:ascii="Palatino Linotype" w:hAnsi="Palatino Linotype" w:eastAsia="Palatino Linotype" w:cs="Times New Roman"/>
          <w:color w:val="000000" w:themeColor="text1"/>
        </w:rPr>
        <w:t xml:space="preserve">, via Resolution G-3618 </w:t>
      </w:r>
      <w:r w:rsidRPr="00E77884" w:rsidR="00C437D5">
        <w:rPr>
          <w:rFonts w:ascii="Palatino Linotype" w:hAnsi="Palatino Linotype" w:eastAsia="Palatino Linotype" w:cs="Times New Roman"/>
          <w:color w:val="000000" w:themeColor="text1"/>
        </w:rPr>
        <w:t>based on non-compliance with Commission requirements</w:t>
      </w:r>
      <w:r w:rsidRPr="00E77884" w:rsidR="004B50CE">
        <w:rPr>
          <w:rFonts w:ascii="Palatino Linotype" w:hAnsi="Palatino Linotype" w:eastAsia="Palatino Linotype" w:cs="Times New Roman"/>
          <w:color w:val="000000" w:themeColor="text1"/>
        </w:rPr>
        <w:t xml:space="preserve">:  </w:t>
      </w:r>
    </w:p>
    <w:p w:rsidRPr="00E77884" w:rsidR="004B50CE" w:rsidP="004B50CE" w:rsidRDefault="004B50CE" w14:paraId="7EBF82E8" w14:textId="005F284C">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 xml:space="preserve">PG&amp;E </w:t>
      </w:r>
      <w:r w:rsidRPr="00E77884" w:rsidR="00F519C2">
        <w:rPr>
          <w:rFonts w:ascii="Palatino Linotype" w:hAnsi="Palatino Linotype" w:eastAsia="Palatino Linotype" w:cs="Times New Roman"/>
          <w:color w:val="000000" w:themeColor="text1"/>
        </w:rPr>
        <w:t xml:space="preserve">spent </w:t>
      </w:r>
      <w:r w:rsidRPr="00E77884">
        <w:rPr>
          <w:rFonts w:ascii="Palatino Linotype" w:hAnsi="Palatino Linotype" w:eastAsia="Palatino Linotype" w:cs="Times New Roman"/>
          <w:color w:val="000000" w:themeColor="text1"/>
        </w:rPr>
        <w:t xml:space="preserve">approximately $7.2 million in total </w:t>
      </w:r>
      <w:r w:rsidRPr="00E77884" w:rsidR="00276F93">
        <w:rPr>
          <w:rFonts w:ascii="Palatino Linotype" w:hAnsi="Palatino Linotype" w:eastAsia="Palatino Linotype" w:cs="Times New Roman"/>
          <w:color w:val="000000" w:themeColor="text1"/>
        </w:rPr>
        <w:t>in</w:t>
      </w:r>
      <w:r w:rsidRPr="00E77884">
        <w:rPr>
          <w:rFonts w:ascii="Palatino Linotype" w:hAnsi="Palatino Linotype" w:eastAsia="Palatino Linotype" w:cs="Times New Roman"/>
          <w:color w:val="000000" w:themeColor="text1"/>
        </w:rPr>
        <w:t xml:space="preserve"> 2023</w:t>
      </w:r>
      <w:r w:rsidRPr="00E77884" w:rsidR="00276F93">
        <w:rPr>
          <w:rFonts w:ascii="Palatino Linotype" w:hAnsi="Palatino Linotype" w:eastAsia="Palatino Linotype" w:cs="Times New Roman"/>
          <w:color w:val="000000" w:themeColor="text1"/>
        </w:rPr>
        <w:t xml:space="preserve"> and </w:t>
      </w:r>
      <w:r w:rsidRPr="00E77884">
        <w:rPr>
          <w:rFonts w:ascii="Palatino Linotype" w:hAnsi="Palatino Linotype" w:eastAsia="Palatino Linotype" w:cs="Times New Roman"/>
          <w:color w:val="000000" w:themeColor="text1"/>
        </w:rPr>
        <w:t>2024 revenue requirements</w:t>
      </w:r>
      <w:r w:rsidRPr="00E77884" w:rsidR="00F519C2">
        <w:rPr>
          <w:rFonts w:ascii="Palatino Linotype" w:hAnsi="Palatino Linotype" w:eastAsia="Palatino Linotype" w:cs="Times New Roman"/>
          <w:color w:val="000000" w:themeColor="text1"/>
        </w:rPr>
        <w:t xml:space="preserve"> without </w:t>
      </w:r>
      <w:r w:rsidRPr="00E77884" w:rsidR="00C43B71">
        <w:rPr>
          <w:rFonts w:ascii="Palatino Linotype" w:hAnsi="Palatino Linotype" w:eastAsia="Palatino Linotype" w:cs="Times New Roman"/>
          <w:color w:val="000000" w:themeColor="text1"/>
        </w:rPr>
        <w:t>first receiving Commission approval</w:t>
      </w:r>
      <w:r w:rsidRPr="00E77884">
        <w:rPr>
          <w:rFonts w:ascii="Palatino Linotype" w:hAnsi="Palatino Linotype" w:eastAsia="Palatino Linotype" w:cs="Times New Roman"/>
          <w:color w:val="000000" w:themeColor="text1"/>
        </w:rPr>
        <w:t>.</w:t>
      </w:r>
    </w:p>
    <w:p w:rsidRPr="00E77884" w:rsidR="004B50CE" w:rsidP="004B50CE" w:rsidRDefault="004B50CE" w14:paraId="140E047B" w14:textId="0B58C925">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ratepayer benefits attributable to each proposed Initiative</w:t>
      </w:r>
      <w:r w:rsidRPr="00E77884" w:rsidR="00ED7C3F">
        <w:rPr>
          <w:rFonts w:ascii="Palatino Linotype" w:hAnsi="Palatino Linotype" w:eastAsia="Palatino Linotype" w:cs="Times New Roman"/>
          <w:color w:val="000000" w:themeColor="text1"/>
        </w:rPr>
        <w:t>.</w:t>
      </w:r>
    </w:p>
    <w:p w:rsidRPr="00E77884" w:rsidR="004C3B94" w:rsidP="004C3B94" w:rsidRDefault="004B50CE" w14:paraId="357D17E8" w14:textId="7777777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 xml:space="preserve">PG&amp;E did not demonstrate that Initiatives were complementary and not duplicative of RD&amp;D currently, previously, or imminently underway, particularly by differentiating </w:t>
      </w:r>
      <w:r w:rsidRPr="00E77884" w:rsidR="00F344AF">
        <w:rPr>
          <w:rFonts w:ascii="Palatino Linotype" w:hAnsi="Palatino Linotype" w:eastAsia="Palatino Linotype" w:cs="Times New Roman"/>
          <w:color w:val="000000" w:themeColor="text1"/>
        </w:rPr>
        <w:t xml:space="preserve">research </w:t>
      </w:r>
      <w:r w:rsidRPr="00E77884">
        <w:rPr>
          <w:rFonts w:ascii="Palatino Linotype" w:hAnsi="Palatino Linotype" w:eastAsia="Palatino Linotype" w:cs="Times New Roman"/>
          <w:color w:val="000000" w:themeColor="text1"/>
        </w:rPr>
        <w:t xml:space="preserve">activities from </w:t>
      </w:r>
      <w:r w:rsidRPr="00E77884" w:rsidR="00771C5F">
        <w:rPr>
          <w:rFonts w:ascii="Palatino Linotype" w:hAnsi="Palatino Linotype" w:eastAsia="Palatino Linotype" w:cs="Times New Roman"/>
          <w:color w:val="000000" w:themeColor="text1"/>
        </w:rPr>
        <w:t xml:space="preserve">other </w:t>
      </w:r>
      <w:r w:rsidRPr="00E77884" w:rsidR="004C3B94">
        <w:rPr>
          <w:rFonts w:ascii="Palatino Linotype" w:hAnsi="Palatino Linotype" w:eastAsia="Palatino Linotype" w:cs="Times New Roman"/>
          <w:color w:val="000000" w:themeColor="text1"/>
        </w:rPr>
        <w:t>programs.</w:t>
      </w:r>
    </w:p>
    <w:p w:rsidRPr="00E77884" w:rsidR="004B50CE" w:rsidP="00771C5F" w:rsidRDefault="004B50CE" w14:paraId="4BDC9206" w14:textId="0F0E5FC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allocate Program Administrative costs to specific categories using the Administrative Budget template</w:t>
      </w:r>
      <w:r w:rsidRPr="00E77884" w:rsidR="0067300A">
        <w:rPr>
          <w:rFonts w:ascii="Palatino Linotype" w:hAnsi="Palatino Linotype" w:eastAsia="Palatino Linotype" w:cs="Times New Roman"/>
          <w:color w:val="000000" w:themeColor="text1"/>
        </w:rPr>
        <w:t>.</w:t>
      </w:r>
    </w:p>
    <w:p w:rsidRPr="00E77884" w:rsidR="005D49DC" w:rsidP="005D49DC" w:rsidRDefault="005D49DC" w14:paraId="743FAEE4" w14:textId="7777777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w:t>
      </w:r>
      <w:r>
        <w:rPr>
          <w:rFonts w:ascii="Palatino Linotype" w:hAnsi="Palatino Linotype" w:eastAsia="Palatino Linotype" w:cs="Times New Roman"/>
          <w:color w:val="000000" w:themeColor="text1"/>
        </w:rPr>
        <w:t xml:space="preserve">E’s proposal for hydrogen projects </w:t>
      </w:r>
      <w:r w:rsidRPr="00E77884">
        <w:rPr>
          <w:rFonts w:ascii="Palatino Linotype" w:hAnsi="Palatino Linotype" w:eastAsia="Palatino Linotype" w:cs="Times New Roman"/>
          <w:color w:val="000000" w:themeColor="text1"/>
        </w:rPr>
        <w:t>did not align with Commission</w:t>
      </w:r>
      <w:r>
        <w:rPr>
          <w:rFonts w:ascii="Palatino Linotype" w:hAnsi="Palatino Linotype" w:eastAsia="Palatino Linotype" w:cs="Times New Roman"/>
          <w:color w:val="000000" w:themeColor="text1"/>
        </w:rPr>
        <w:t xml:space="preserve"> policies and proceedings to support ratepayer benefit. </w:t>
      </w:r>
    </w:p>
    <w:p w:rsidRPr="00A355D9" w:rsidR="008326C0" w:rsidP="00A355D9" w:rsidRDefault="004B50CE" w14:paraId="379885CD" w14:textId="4E356D76">
      <w:pPr>
        <w:pStyle w:val="ListParagraph"/>
        <w:numPr>
          <w:ilvl w:val="0"/>
          <w:numId w:val="40"/>
        </w:numPr>
        <w:spacing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indicate which projects have been funded via previous GRC cycles or other funding mechanisms as opposed to those that may be funded within this Gas RD&amp;D Program for clarity in reporting on funds encumbered, spent, and unspent.</w:t>
      </w:r>
      <w:r w:rsidRPr="00E77884">
        <w:rPr>
          <w:rStyle w:val="FootnoteReference"/>
          <w:rFonts w:ascii="Palatino Linotype" w:hAnsi="Palatino Linotype" w:eastAsia="Palatino Linotype" w:cs="Times New Roman"/>
          <w:color w:val="000000" w:themeColor="text1"/>
        </w:rPr>
        <w:footnoteReference w:id="48"/>
      </w:r>
    </w:p>
    <w:p w:rsidRPr="00233802" w:rsidR="00990A7E" w:rsidP="00990A7E" w:rsidRDefault="00234FA0" w14:paraId="0E098DEC" w14:textId="00323676">
      <w:pPr>
        <w:spacing w:after="0" w:line="276" w:lineRule="auto"/>
        <w:rPr>
          <w:rFonts w:ascii="Palatino Linotype" w:hAnsi="Palatino Linotype" w:eastAsia="Palatino Linotype" w:cs="Times New Roman"/>
          <w:color w:val="0070C0"/>
        </w:rPr>
      </w:pPr>
      <w:r w:rsidRPr="00CE048B">
        <w:rPr>
          <w:rFonts w:ascii="Palatino Linotype" w:hAnsi="Palatino Linotype" w:eastAsia="Palatino Linotype" w:cs="Times New Roman"/>
          <w:color w:val="000000" w:themeColor="text1"/>
        </w:rPr>
        <w:t xml:space="preserve">In </w:t>
      </w:r>
      <w:r w:rsidRPr="00CE048B" w:rsidR="008326C0">
        <w:rPr>
          <w:rFonts w:ascii="Palatino Linotype" w:hAnsi="Palatino Linotype" w:eastAsia="Palatino Linotype" w:cs="Times New Roman"/>
          <w:color w:val="000000" w:themeColor="text1"/>
        </w:rPr>
        <w:t>Resolution G-3618</w:t>
      </w:r>
      <w:r w:rsidRPr="00CE048B">
        <w:rPr>
          <w:rFonts w:ascii="Palatino Linotype" w:hAnsi="Palatino Linotype" w:eastAsia="Palatino Linotype" w:cs="Times New Roman"/>
          <w:color w:val="000000" w:themeColor="text1"/>
        </w:rPr>
        <w:t>, the Commission</w:t>
      </w:r>
      <w:r w:rsidRPr="00CE048B" w:rsidR="008326C0">
        <w:rPr>
          <w:rFonts w:ascii="Palatino Linotype" w:hAnsi="Palatino Linotype" w:eastAsia="Palatino Linotype" w:cs="Times New Roman"/>
          <w:color w:val="000000" w:themeColor="text1"/>
        </w:rPr>
        <w:t xml:space="preserve"> </w:t>
      </w:r>
      <w:r w:rsidRPr="00CE048B" w:rsidR="00233802">
        <w:rPr>
          <w:rFonts w:ascii="Palatino Linotype" w:hAnsi="Palatino Linotype" w:eastAsia="Palatino Linotype" w:cs="Times New Roman"/>
          <w:color w:val="000000" w:themeColor="text1"/>
        </w:rPr>
        <w:t xml:space="preserve">authorized </w:t>
      </w:r>
      <w:r w:rsidRPr="00CE048B" w:rsidR="000023E6">
        <w:rPr>
          <w:rFonts w:ascii="Palatino Linotype" w:hAnsi="Palatino Linotype" w:eastAsia="Palatino Linotype" w:cs="Times New Roman"/>
          <w:color w:val="000000" w:themeColor="text1"/>
        </w:rPr>
        <w:t xml:space="preserve">PG&amp;E to resubmit its 2024 Plan via Tier 3 AL </w:t>
      </w:r>
      <w:r w:rsidRPr="00CE048B" w:rsidR="0002750A">
        <w:rPr>
          <w:rFonts w:ascii="Palatino Linotype" w:hAnsi="Palatino Linotype" w:eastAsia="Palatino Linotype" w:cs="Times New Roman"/>
          <w:color w:val="000000" w:themeColor="text1"/>
        </w:rPr>
        <w:t xml:space="preserve">within 60 days </w:t>
      </w:r>
      <w:r w:rsidRPr="00CE048B" w:rsidR="00191298">
        <w:rPr>
          <w:rFonts w:ascii="Palatino Linotype" w:hAnsi="Palatino Linotype" w:eastAsia="Palatino Linotype" w:cs="Times New Roman"/>
          <w:color w:val="000000" w:themeColor="text1"/>
        </w:rPr>
        <w:t xml:space="preserve">(by March 15, 2026) </w:t>
      </w:r>
      <w:r w:rsidRPr="00CE048B" w:rsidR="000023E6">
        <w:rPr>
          <w:rFonts w:ascii="Palatino Linotype" w:hAnsi="Palatino Linotype" w:eastAsia="Palatino Linotype" w:cs="Times New Roman"/>
          <w:color w:val="000000" w:themeColor="text1"/>
        </w:rPr>
        <w:t xml:space="preserve">addressing the compliance issues </w:t>
      </w:r>
      <w:r w:rsidRPr="00CE048B" w:rsidR="00C84DE1">
        <w:rPr>
          <w:rFonts w:ascii="Palatino Linotype" w:hAnsi="Palatino Linotype" w:eastAsia="Palatino Linotype" w:cs="Times New Roman"/>
          <w:color w:val="000000" w:themeColor="text1"/>
        </w:rPr>
        <w:t>above</w:t>
      </w:r>
      <w:r w:rsidRPr="00CE048B" w:rsidR="00233802">
        <w:rPr>
          <w:rFonts w:ascii="Palatino Linotype" w:hAnsi="Palatino Linotype" w:eastAsia="Palatino Linotype" w:cs="Times New Roman"/>
          <w:color w:val="000000" w:themeColor="text1"/>
        </w:rPr>
        <w:t xml:space="preserve"> for further Commission consideration</w:t>
      </w:r>
      <w:r w:rsidRPr="00CE048B" w:rsidR="00C84DE1">
        <w:rPr>
          <w:rFonts w:ascii="Palatino Linotype" w:hAnsi="Palatino Linotype" w:eastAsia="Palatino Linotype" w:cs="Times New Roman"/>
          <w:color w:val="000000" w:themeColor="text1"/>
        </w:rPr>
        <w:t>.</w:t>
      </w:r>
      <w:r w:rsidRPr="00CE048B" w:rsidR="00BA4F45">
        <w:rPr>
          <w:rStyle w:val="FootnoteReference"/>
          <w:rFonts w:ascii="Palatino Linotype" w:hAnsi="Palatino Linotype" w:eastAsia="Palatino Linotype" w:cs="Times New Roman"/>
          <w:color w:val="000000" w:themeColor="text1"/>
        </w:rPr>
        <w:footnoteReference w:id="49"/>
      </w:r>
      <w:r w:rsidRPr="00CE048B" w:rsidR="00C84DE1">
        <w:rPr>
          <w:rFonts w:ascii="Palatino Linotype" w:hAnsi="Palatino Linotype" w:eastAsia="Palatino Linotype" w:cs="Times New Roman"/>
          <w:color w:val="000000" w:themeColor="text1"/>
        </w:rPr>
        <w:t xml:space="preserve"> </w:t>
      </w:r>
      <w:r w:rsidRPr="00CE048B" w:rsidR="00D04BF4">
        <w:rPr>
          <w:rFonts w:ascii="Palatino Linotype" w:hAnsi="Palatino Linotype" w:eastAsia="Palatino Linotype" w:cs="Times New Roman"/>
          <w:color w:val="000000" w:themeColor="text1"/>
        </w:rPr>
        <w:t xml:space="preserve">The </w:t>
      </w:r>
      <w:r w:rsidRPr="00CE048B" w:rsidR="0002750A">
        <w:rPr>
          <w:rFonts w:ascii="Palatino Linotype" w:hAnsi="Palatino Linotype" w:eastAsia="Palatino Linotype" w:cs="Times New Roman"/>
          <w:color w:val="000000" w:themeColor="text1"/>
        </w:rPr>
        <w:t xml:space="preserve">CPUC’s Energy Division Executive </w:t>
      </w:r>
      <w:r w:rsidRPr="00CE048B" w:rsidR="0002750A">
        <w:rPr>
          <w:rFonts w:ascii="Palatino Linotype" w:hAnsi="Palatino Linotype" w:eastAsia="Palatino Linotype" w:cs="Times New Roman"/>
          <w:color w:val="000000" w:themeColor="text1"/>
        </w:rPr>
        <w:lastRenderedPageBreak/>
        <w:t xml:space="preserve">Director approved </w:t>
      </w:r>
      <w:r w:rsidRPr="00CE048B" w:rsidR="00E12B49">
        <w:rPr>
          <w:rFonts w:ascii="Palatino Linotype" w:hAnsi="Palatino Linotype" w:eastAsia="Palatino Linotype" w:cs="Times New Roman"/>
          <w:color w:val="000000" w:themeColor="text1"/>
        </w:rPr>
        <w:t xml:space="preserve">an extension for PG&amp;E to resubmit its 2024 Plan </w:t>
      </w:r>
      <w:r w:rsidRPr="00CE048B" w:rsidR="00855CD2">
        <w:rPr>
          <w:rFonts w:ascii="Palatino Linotype" w:hAnsi="Palatino Linotype" w:eastAsia="Palatino Linotype" w:cs="Times New Roman"/>
          <w:color w:val="000000" w:themeColor="text1"/>
        </w:rPr>
        <w:t>by April 17</w:t>
      </w:r>
      <w:r w:rsidRPr="00CE048B" w:rsidR="00233802">
        <w:rPr>
          <w:rFonts w:ascii="Palatino Linotype" w:hAnsi="Palatino Linotype" w:eastAsia="Palatino Linotype" w:cs="Times New Roman"/>
          <w:color w:val="000000" w:themeColor="text1"/>
        </w:rPr>
        <w:t xml:space="preserve">, 2026. </w:t>
      </w:r>
      <w:r w:rsidRPr="00994F76" w:rsidR="00A30E82">
        <w:rPr>
          <w:rFonts w:ascii="Palatino Linotype" w:hAnsi="Palatino Linotype" w:eastAsia="Palatino Linotype" w:cs="Times New Roman"/>
          <w:color w:val="000000" w:themeColor="text1"/>
        </w:rPr>
        <w:t xml:space="preserve">PG&amp;E </w:t>
      </w:r>
      <w:r w:rsidRPr="00994F76" w:rsidR="00106966">
        <w:rPr>
          <w:rFonts w:ascii="Palatino Linotype" w:hAnsi="Palatino Linotype" w:eastAsia="Palatino Linotype" w:cs="Times New Roman"/>
          <w:color w:val="000000" w:themeColor="text1"/>
        </w:rPr>
        <w:t>resubmit</w:t>
      </w:r>
      <w:r w:rsidR="00233802">
        <w:rPr>
          <w:rFonts w:ascii="Palatino Linotype" w:hAnsi="Palatino Linotype" w:eastAsia="Palatino Linotype" w:cs="Times New Roman"/>
          <w:color w:val="000000" w:themeColor="text1"/>
        </w:rPr>
        <w:t>ted</w:t>
      </w:r>
      <w:r w:rsidRPr="00994F76" w:rsidR="00106966">
        <w:rPr>
          <w:rFonts w:ascii="Palatino Linotype" w:hAnsi="Palatino Linotype" w:eastAsia="Palatino Linotype" w:cs="Times New Roman"/>
          <w:color w:val="000000" w:themeColor="text1"/>
        </w:rPr>
        <w:t xml:space="preserve"> its 2024 Plan </w:t>
      </w:r>
      <w:r w:rsidR="00233802">
        <w:rPr>
          <w:rFonts w:ascii="Palatino Linotype" w:hAnsi="Palatino Linotype" w:eastAsia="Palatino Linotype" w:cs="Times New Roman"/>
          <w:color w:val="000000" w:themeColor="text1"/>
        </w:rPr>
        <w:t>via</w:t>
      </w:r>
      <w:r w:rsidR="006C7DA5">
        <w:rPr>
          <w:rFonts w:ascii="Palatino Linotype" w:hAnsi="Palatino Linotype" w:eastAsia="Palatino Linotype" w:cs="Times New Roman"/>
          <w:color w:val="000000" w:themeColor="text1"/>
        </w:rPr>
        <w:t xml:space="preserve"> </w:t>
      </w:r>
      <w:r w:rsidRPr="00994F76" w:rsidR="00106966">
        <w:rPr>
          <w:rFonts w:ascii="Palatino Linotype" w:hAnsi="Palatino Linotype" w:eastAsia="Palatino Linotype" w:cs="Times New Roman"/>
          <w:color w:val="000000" w:themeColor="text1"/>
        </w:rPr>
        <w:t xml:space="preserve">AL 5196-G </w:t>
      </w:r>
      <w:r w:rsidR="006C3DBC">
        <w:rPr>
          <w:rFonts w:ascii="Palatino Linotype" w:hAnsi="Palatino Linotype" w:eastAsia="Palatino Linotype" w:cs="Times New Roman"/>
          <w:color w:val="000000" w:themeColor="text1"/>
        </w:rPr>
        <w:t xml:space="preserve">filed </w:t>
      </w:r>
      <w:r w:rsidRPr="00994F76" w:rsidR="00106966">
        <w:rPr>
          <w:rFonts w:ascii="Palatino Linotype" w:hAnsi="Palatino Linotype" w:eastAsia="Palatino Linotype" w:cs="Times New Roman"/>
          <w:color w:val="000000" w:themeColor="text1"/>
        </w:rPr>
        <w:t>on April 3, 2026</w:t>
      </w:r>
      <w:r w:rsidRPr="00994F76" w:rsidR="00B3706B">
        <w:rPr>
          <w:rFonts w:ascii="Palatino Linotype" w:hAnsi="Palatino Linotype" w:eastAsia="Palatino Linotype" w:cs="Times New Roman"/>
          <w:color w:val="000000" w:themeColor="text1"/>
        </w:rPr>
        <w:t>.</w:t>
      </w:r>
      <w:r w:rsidRPr="00994F76" w:rsidR="00990A7E">
        <w:rPr>
          <w:rFonts w:ascii="Palatino Linotype" w:hAnsi="Palatino Linotype" w:eastAsia="Palatino Linotype" w:cs="Times New Roman"/>
          <w:color w:val="000000" w:themeColor="text1"/>
          <w:kern w:val="0"/>
          <w14:ligatures w14:val="none"/>
        </w:rPr>
        <w:t xml:space="preserve"> </w:t>
      </w:r>
      <w:r w:rsidRPr="00994F76" w:rsidR="00E8735E">
        <w:rPr>
          <w:rFonts w:ascii="Palatino Linotype" w:hAnsi="Palatino Linotype" w:eastAsia="Palatino Linotype" w:cs="Times New Roman"/>
          <w:color w:val="000000" w:themeColor="text1"/>
          <w:kern w:val="0"/>
          <w14:ligatures w14:val="none"/>
        </w:rPr>
        <w:t xml:space="preserve">AL </w:t>
      </w:r>
      <w:r w:rsidRPr="00994F76" w:rsidR="003371F3">
        <w:rPr>
          <w:rFonts w:ascii="Palatino Linotype" w:hAnsi="Palatino Linotype" w:eastAsia="Palatino Linotype" w:cs="Times New Roman"/>
          <w:color w:val="000000" w:themeColor="text1"/>
          <w:kern w:val="0"/>
          <w14:ligatures w14:val="none"/>
        </w:rPr>
        <w:t>5196-G includes:</w:t>
      </w:r>
    </w:p>
    <w:p w:rsidRPr="00994F76" w:rsidR="003371F3" w:rsidP="00801EA4" w:rsidRDefault="003371F3" w14:paraId="638EFE99" w14:textId="539224FC">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A: A track-change version of PG&amp;E’s previous 2024 RD&amp;D Plan submitted via AL 5077-G-A.</w:t>
      </w:r>
    </w:p>
    <w:p w:rsidRPr="00994F76" w:rsidR="003371F3" w:rsidP="00801EA4" w:rsidRDefault="003371F3" w14:paraId="695AB7CF" w14:textId="72A6D5B1">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B: A clean version of PG&amp;</w:t>
      </w:r>
      <w:proofErr w:type="gramStart"/>
      <w:r w:rsidRPr="00994F76">
        <w:rPr>
          <w:rFonts w:ascii="Palatino Linotype" w:hAnsi="Palatino Linotype" w:eastAsia="Palatino Linotype" w:cs="Times New Roman"/>
          <w:color w:val="000000" w:themeColor="text1"/>
        </w:rPr>
        <w:t>E’s</w:t>
      </w:r>
      <w:proofErr w:type="gramEnd"/>
      <w:r w:rsidRPr="00994F76">
        <w:rPr>
          <w:rFonts w:ascii="Palatino Linotype" w:hAnsi="Palatino Linotype" w:eastAsia="Palatino Linotype" w:cs="Times New Roman"/>
          <w:color w:val="000000" w:themeColor="text1"/>
        </w:rPr>
        <w:t xml:space="preserve"> updated 2024 RD&amp;D Plan.</w:t>
      </w:r>
    </w:p>
    <w:p w:rsidRPr="00994F76" w:rsidR="003371F3" w:rsidP="00801EA4" w:rsidRDefault="003371F3" w14:paraId="09995021" w14:textId="0CFCA79E">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Attachment C: A table describing the required modifications per Resolution </w:t>
      </w:r>
      <w:r w:rsidR="00023BA9">
        <w:rPr>
          <w:rFonts w:ascii="Palatino Linotype" w:hAnsi="Palatino Linotype" w:eastAsia="Palatino Linotype" w:cs="Times New Roman"/>
          <w:color w:val="000000" w:themeColor="text1"/>
        </w:rPr>
        <w:br/>
      </w:r>
      <w:r w:rsidRPr="00994F76">
        <w:rPr>
          <w:rFonts w:ascii="Palatino Linotype" w:hAnsi="Palatino Linotype" w:eastAsia="Palatino Linotype" w:cs="Times New Roman"/>
          <w:color w:val="000000" w:themeColor="text1"/>
        </w:rPr>
        <w:t>G-3618 at Appendix F.</w:t>
      </w:r>
    </w:p>
    <w:p w:rsidR="008A6268" w:rsidP="008A6268" w:rsidRDefault="008A6268" w14:paraId="3944B368" w14:textId="77777777">
      <w:pPr>
        <w:spacing w:after="0" w:line="276" w:lineRule="auto"/>
        <w:rPr>
          <w:rFonts w:ascii="Palatino Linotype" w:hAnsi="Palatino Linotype" w:eastAsia="Palatino Linotype" w:cs="Times New Roman"/>
          <w:color w:val="000000" w:themeColor="text1"/>
        </w:rPr>
      </w:pPr>
    </w:p>
    <w:p w:rsidR="00A43BF7" w:rsidP="008A6268" w:rsidRDefault="00A43BF7" w14:paraId="0F118770" w14:textId="77777777">
      <w:pPr>
        <w:spacing w:after="0" w:line="276" w:lineRule="auto"/>
        <w:rPr>
          <w:rFonts w:ascii="Palatino Linotype" w:hAnsi="Palatino Linotype" w:eastAsia="Palatino Linotype" w:cs="Times New Roman"/>
          <w:color w:val="000000" w:themeColor="text1"/>
        </w:rPr>
      </w:pPr>
    </w:p>
    <w:p w:rsidRPr="00994F76" w:rsidR="00A43BF7" w:rsidP="008A6268" w:rsidRDefault="00A43BF7" w14:paraId="52183984" w14:textId="77777777">
      <w:pPr>
        <w:spacing w:after="0" w:line="276" w:lineRule="auto"/>
        <w:rPr>
          <w:rFonts w:ascii="Palatino Linotype" w:hAnsi="Palatino Linotype" w:eastAsia="Palatino Linotype" w:cs="Times New Roman"/>
          <w:color w:val="000000" w:themeColor="text1"/>
        </w:rPr>
      </w:pPr>
    </w:p>
    <w:p w:rsidRPr="00C94BEF" w:rsidR="008A6268" w:rsidP="008A6268" w:rsidRDefault="008A6268" w14:paraId="537AD5D2" w14:textId="5A627E80">
      <w:pPr>
        <w:spacing w:after="0" w:line="276" w:lineRule="auto"/>
        <w:rPr>
          <w:rFonts w:ascii="Palatino Linotype" w:hAnsi="Palatino Linotype" w:eastAsia="Palatino Linotype" w:cs="Times New Roman"/>
          <w:color w:val="000000" w:themeColor="text1"/>
          <w:u w:val="single"/>
        </w:rPr>
      </w:pPr>
      <w:r w:rsidRPr="00C94BEF">
        <w:rPr>
          <w:rFonts w:ascii="Palatino Linotype" w:hAnsi="Palatino Linotype" w:eastAsia="Palatino Linotype" w:cs="Times New Roman"/>
          <w:color w:val="000000" w:themeColor="text1"/>
          <w:u w:val="single"/>
        </w:rPr>
        <w:t>Summary of Modifications to PG&amp;E’s 2024 Gas RD&amp;D Plan</w:t>
      </w:r>
      <w:r w:rsidRPr="00C94BEF" w:rsidR="004B7F3F">
        <w:rPr>
          <w:rFonts w:ascii="Palatino Linotype" w:hAnsi="Palatino Linotype" w:eastAsia="Palatino Linotype" w:cs="Times New Roman"/>
          <w:color w:val="000000" w:themeColor="text1"/>
          <w:u w:val="single"/>
        </w:rPr>
        <w:t xml:space="preserve"> Resubmitted via</w:t>
      </w:r>
      <w:r w:rsidRPr="00C94BEF" w:rsidR="000E0158">
        <w:rPr>
          <w:rFonts w:ascii="Palatino Linotype" w:hAnsi="Palatino Linotype" w:eastAsia="Palatino Linotype" w:cs="Times New Roman"/>
          <w:color w:val="000000" w:themeColor="text1"/>
          <w:u w:val="single"/>
        </w:rPr>
        <w:t xml:space="preserve"> AL </w:t>
      </w:r>
      <w:r w:rsidRPr="00C94BEF" w:rsidR="004B7F3F">
        <w:rPr>
          <w:rFonts w:ascii="Palatino Linotype" w:hAnsi="Palatino Linotype" w:eastAsia="Palatino Linotype" w:cs="Times New Roman"/>
          <w:color w:val="000000" w:themeColor="text1"/>
          <w:u w:val="single"/>
        </w:rPr>
        <w:t>5196-G</w:t>
      </w:r>
    </w:p>
    <w:p w:rsidRPr="00C94BEF" w:rsidR="004D5E0E" w:rsidP="008A6268" w:rsidRDefault="004D5E0E" w14:paraId="17F52203" w14:textId="77777777">
      <w:pPr>
        <w:spacing w:after="0" w:line="276" w:lineRule="auto"/>
        <w:rPr>
          <w:rFonts w:ascii="Palatino Linotype" w:hAnsi="Palatino Linotype" w:eastAsia="Palatino Linotype" w:cs="Times New Roman"/>
          <w:color w:val="000000" w:themeColor="text1"/>
          <w:u w:val="single"/>
        </w:rPr>
      </w:pPr>
    </w:p>
    <w:p w:rsidRPr="00C94BEF" w:rsidR="00511D8F" w:rsidP="004D5E0E" w:rsidRDefault="00511D8F" w14:paraId="519FDE18" w14:textId="6655FC6D">
      <w:pPr>
        <w:spacing w:after="0" w:line="276" w:lineRule="auto"/>
        <w:rPr>
          <w:rFonts w:ascii="Palatino Linotype" w:hAnsi="Palatino Linotype" w:eastAsia="Palatino Linotype" w:cs="Times New Roman"/>
          <w:bCs/>
          <w:color w:val="000000" w:themeColor="text1"/>
          <w:kern w:val="0"/>
          <w14:ligatures w14:val="none"/>
        </w:rPr>
      </w:pPr>
      <w:r w:rsidRPr="00C94BEF">
        <w:rPr>
          <w:rFonts w:ascii="Palatino Linotype" w:hAnsi="Palatino Linotype" w:eastAsia="Palatino Linotype" w:cs="Times New Roman"/>
          <w:bCs/>
          <w:color w:val="000000" w:themeColor="text1"/>
          <w:kern w:val="0"/>
          <w14:ligatures w14:val="none"/>
        </w:rPr>
        <w:t>PG&amp;E seeks approval of its proposed, revised Gas RD&amp;D Investment Plan for 202</w:t>
      </w:r>
      <w:r w:rsidRPr="00C94BEF" w:rsidR="00101CCB">
        <w:rPr>
          <w:rFonts w:ascii="Palatino Linotype" w:hAnsi="Palatino Linotype" w:eastAsia="Palatino Linotype" w:cs="Times New Roman"/>
          <w:bCs/>
          <w:color w:val="000000" w:themeColor="text1"/>
          <w:kern w:val="0"/>
          <w14:ligatures w14:val="none"/>
        </w:rPr>
        <w:t>4</w:t>
      </w:r>
      <w:r w:rsidRPr="00C94BEF">
        <w:rPr>
          <w:rFonts w:ascii="Palatino Linotype" w:hAnsi="Palatino Linotype" w:eastAsia="Palatino Linotype" w:cs="Times New Roman"/>
          <w:bCs/>
          <w:color w:val="000000" w:themeColor="text1"/>
          <w:kern w:val="0"/>
          <w14:ligatures w14:val="none"/>
        </w:rPr>
        <w:t xml:space="preserve"> in AL 5196-G. Table 1 below shows PG&amp;E’s budget previously proposed in AL 5077-G-A and its revised budget proposed in AL 5196-G. </w:t>
      </w:r>
      <w:r w:rsidRPr="00C94BEF" w:rsidR="00F96F32">
        <w:rPr>
          <w:rFonts w:ascii="Palatino Linotype" w:hAnsi="Palatino Linotype" w:eastAsia="Palatino Linotype" w:cs="Times New Roman"/>
          <w:bCs/>
          <w:color w:val="000000" w:themeColor="text1"/>
          <w:kern w:val="0"/>
          <w14:ligatures w14:val="none"/>
        </w:rPr>
        <w:t xml:space="preserve">See </w:t>
      </w:r>
      <w:r w:rsidRPr="00C94BEF">
        <w:rPr>
          <w:rFonts w:ascii="Palatino Linotype" w:hAnsi="Palatino Linotype" w:eastAsia="Palatino Linotype" w:cs="Times New Roman"/>
          <w:bCs/>
          <w:color w:val="000000" w:themeColor="text1"/>
          <w:kern w:val="0"/>
          <w14:ligatures w14:val="none"/>
        </w:rPr>
        <w:t xml:space="preserve">Table 2 </w:t>
      </w:r>
      <w:r w:rsidRPr="00C94BEF" w:rsidR="00CE048B">
        <w:rPr>
          <w:rFonts w:ascii="Palatino Linotype" w:hAnsi="Palatino Linotype" w:eastAsia="Palatino Linotype" w:cs="Times New Roman"/>
          <w:bCs/>
          <w:color w:val="000000" w:themeColor="text1"/>
          <w:kern w:val="0"/>
          <w14:ligatures w14:val="none"/>
        </w:rPr>
        <w:t>deta</w:t>
      </w:r>
      <w:r w:rsidRPr="00C94BEF" w:rsidR="00C94BEF">
        <w:rPr>
          <w:rFonts w:ascii="Palatino Linotype" w:hAnsi="Palatino Linotype" w:eastAsia="Palatino Linotype" w:cs="Times New Roman"/>
          <w:bCs/>
          <w:color w:val="000000" w:themeColor="text1"/>
          <w:kern w:val="0"/>
          <w14:ligatures w14:val="none"/>
        </w:rPr>
        <w:t>iling</w:t>
      </w:r>
      <w:r w:rsidRPr="00C94BEF" w:rsidR="00E372F4">
        <w:rPr>
          <w:rFonts w:ascii="Palatino Linotype" w:hAnsi="Palatino Linotype" w:eastAsia="Palatino Linotype" w:cs="Times New Roman"/>
          <w:bCs/>
          <w:color w:val="000000" w:themeColor="text1"/>
          <w:kern w:val="0"/>
          <w14:ligatures w14:val="none"/>
        </w:rPr>
        <w:t xml:space="preserve"> PG&amp;E’</w:t>
      </w:r>
      <w:r w:rsidRPr="00C94BEF" w:rsidR="00CE048B">
        <w:rPr>
          <w:rFonts w:ascii="Palatino Linotype" w:hAnsi="Palatino Linotype" w:eastAsia="Palatino Linotype" w:cs="Times New Roman"/>
          <w:bCs/>
          <w:color w:val="000000" w:themeColor="text1"/>
          <w:kern w:val="0"/>
          <w14:ligatures w14:val="none"/>
        </w:rPr>
        <w:t xml:space="preserve">s </w:t>
      </w:r>
      <w:r w:rsidRPr="00C94BEF">
        <w:rPr>
          <w:rFonts w:ascii="Palatino Linotype" w:hAnsi="Palatino Linotype" w:eastAsia="Palatino Linotype" w:cs="Times New Roman"/>
          <w:bCs/>
          <w:color w:val="000000" w:themeColor="text1"/>
          <w:kern w:val="0"/>
          <w14:ligatures w14:val="none"/>
        </w:rPr>
        <w:t>proposed budget allocations for its revised 202</w:t>
      </w:r>
      <w:r w:rsidRPr="00C94BEF" w:rsidR="00A93ED6">
        <w:rPr>
          <w:rFonts w:ascii="Palatino Linotype" w:hAnsi="Palatino Linotype" w:eastAsia="Palatino Linotype" w:cs="Times New Roman"/>
          <w:bCs/>
          <w:color w:val="000000" w:themeColor="text1"/>
          <w:kern w:val="0"/>
          <w14:ligatures w14:val="none"/>
        </w:rPr>
        <w:t>4</w:t>
      </w:r>
      <w:r w:rsidRPr="00C94BEF">
        <w:rPr>
          <w:rFonts w:ascii="Palatino Linotype" w:hAnsi="Palatino Linotype" w:eastAsia="Palatino Linotype" w:cs="Times New Roman"/>
          <w:bCs/>
          <w:color w:val="000000" w:themeColor="text1"/>
          <w:kern w:val="0"/>
          <w14:ligatures w14:val="none"/>
        </w:rPr>
        <w:t xml:space="preserve"> </w:t>
      </w:r>
      <w:r w:rsidR="00107D89">
        <w:rPr>
          <w:rFonts w:ascii="Palatino Linotype" w:hAnsi="Palatino Linotype" w:eastAsia="Palatino Linotype" w:cs="Times New Roman"/>
          <w:bCs/>
          <w:color w:val="000000" w:themeColor="text1"/>
          <w:kern w:val="0"/>
          <w14:ligatures w14:val="none"/>
        </w:rPr>
        <w:t xml:space="preserve">Plan </w:t>
      </w:r>
      <w:r w:rsidRPr="00C94BEF">
        <w:rPr>
          <w:rFonts w:ascii="Palatino Linotype" w:hAnsi="Palatino Linotype" w:eastAsia="Palatino Linotype" w:cs="Times New Roman"/>
          <w:bCs/>
          <w:color w:val="000000" w:themeColor="text1"/>
          <w:kern w:val="0"/>
          <w14:ligatures w14:val="none"/>
        </w:rPr>
        <w:t>budget.</w:t>
      </w:r>
    </w:p>
    <w:p w:rsidRPr="00C94BEF" w:rsidR="004B7A54" w:rsidP="008A6268" w:rsidRDefault="004B7A54" w14:paraId="5EB71A6E" w14:textId="77777777">
      <w:pPr>
        <w:spacing w:after="0" w:line="276" w:lineRule="auto"/>
        <w:rPr>
          <w:rFonts w:ascii="Palatino Linotype" w:hAnsi="Palatino Linotype" w:eastAsia="Palatino Linotype" w:cs="Times New Roman"/>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
        <w:gridCol w:w="3089"/>
        <w:gridCol w:w="360"/>
        <w:gridCol w:w="3017"/>
        <w:gridCol w:w="326"/>
        <w:gridCol w:w="2232"/>
      </w:tblGrid>
      <w:tr w:rsidRPr="00C94BEF" w:rsidR="00243563" w14:paraId="4D4A7C29" w14:textId="77777777">
        <w:tc>
          <w:tcPr>
            <w:tcW w:w="9350" w:type="dxa"/>
            <w:gridSpan w:val="6"/>
          </w:tcPr>
          <w:p w:rsidRPr="00C94BEF" w:rsidR="00243563" w:rsidP="00496DC0" w:rsidRDefault="00BE63F1" w14:paraId="344EC78F" w14:textId="2BD91D1B">
            <w:pPr>
              <w:spacing w:line="276" w:lineRule="auto"/>
              <w:jc w:val="center"/>
              <w:rPr>
                <w:rFonts w:ascii="Palatino Linotype" w:hAnsi="Palatino Linotype" w:eastAsia="Palatino Linotype" w:cs="Times New Roman"/>
                <w:b/>
                <w:bCs w:val="0"/>
                <w:color w:val="000000" w:themeColor="text1"/>
              </w:rPr>
            </w:pPr>
            <w:r w:rsidRPr="00C94BEF">
              <w:rPr>
                <w:rFonts w:ascii="Palatino Linotype" w:hAnsi="Palatino Linotype" w:eastAsia="Palatino Linotype" w:cs="Times New Roman"/>
                <w:b/>
                <w:bCs w:val="0"/>
                <w:color w:val="000000" w:themeColor="text1"/>
              </w:rPr>
              <w:t xml:space="preserve">Table 1: </w:t>
            </w:r>
            <w:r w:rsidRPr="00C94BEF" w:rsidR="00243563">
              <w:rPr>
                <w:rFonts w:ascii="Palatino Linotype" w:hAnsi="Palatino Linotype" w:eastAsia="Palatino Linotype" w:cs="Times New Roman"/>
                <w:b/>
                <w:bCs w:val="0"/>
                <w:color w:val="000000" w:themeColor="text1"/>
              </w:rPr>
              <w:t xml:space="preserve">PG&amp;E’s 2024 Plan Revised </w:t>
            </w:r>
            <w:r w:rsidRPr="00C94BEF" w:rsidR="000B6055">
              <w:rPr>
                <w:rFonts w:ascii="Palatino Linotype" w:hAnsi="Palatino Linotype" w:eastAsia="Palatino Linotype" w:cs="Times New Roman"/>
                <w:b/>
                <w:bCs w:val="0"/>
                <w:color w:val="000000" w:themeColor="text1"/>
              </w:rPr>
              <w:t xml:space="preserve">Proposed </w:t>
            </w:r>
            <w:r w:rsidRPr="00C94BEF" w:rsidR="00243563">
              <w:rPr>
                <w:rFonts w:ascii="Palatino Linotype" w:hAnsi="Palatino Linotype" w:eastAsia="Palatino Linotype" w:cs="Times New Roman"/>
                <w:b/>
                <w:bCs w:val="0"/>
                <w:color w:val="000000" w:themeColor="text1"/>
              </w:rPr>
              <w:t>Budget</w:t>
            </w:r>
          </w:p>
        </w:tc>
      </w:tr>
      <w:tr w:rsidRPr="00C94BEF" w:rsidR="00EB5306" w14:paraId="17C75A54" w14:textId="77777777">
        <w:tc>
          <w:tcPr>
            <w:tcW w:w="3415" w:type="dxa"/>
            <w:gridSpan w:val="2"/>
            <w:tcBorders>
              <w:bottom w:val="single" w:color="auto" w:sz="4" w:space="0"/>
            </w:tcBorders>
          </w:tcPr>
          <w:p w:rsidRPr="002362DA" w:rsidR="00EB5306" w:rsidP="00171939" w:rsidRDefault="00EB5306" w14:paraId="023C987D" w14:textId="369A3B5F">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Previous Proposed Plan Budget</w:t>
            </w:r>
          </w:p>
          <w:p w:rsidRPr="002362DA" w:rsidR="00EB5306" w:rsidP="00171939" w:rsidRDefault="00EB5306" w14:paraId="3D8A081D" w14:textId="578B01F9">
            <w:pPr>
              <w:spacing w:line="276" w:lineRule="auto"/>
              <w:jc w:val="center"/>
              <w:rPr>
                <w:rFonts w:ascii="Palatino Linotype" w:hAnsi="Palatino Linotype" w:eastAsia="Palatino Linotype" w:cs="Times New Roman"/>
                <w:i/>
                <w:iCs/>
                <w:color w:val="000000" w:themeColor="text1"/>
                <w:sz w:val="22"/>
                <w:szCs w:val="22"/>
              </w:rPr>
            </w:pPr>
            <w:r w:rsidRPr="002362DA">
              <w:rPr>
                <w:rFonts w:ascii="Palatino Linotype" w:hAnsi="Palatino Linotype" w:eastAsia="Palatino Linotype" w:cs="Times New Roman"/>
                <w:i/>
                <w:iCs/>
                <w:color w:val="000000" w:themeColor="text1"/>
                <w:sz w:val="22"/>
                <w:szCs w:val="22"/>
              </w:rPr>
              <w:t>AL 5077-G-A</w:t>
            </w:r>
          </w:p>
        </w:tc>
        <w:tc>
          <w:tcPr>
            <w:tcW w:w="3377" w:type="dxa"/>
            <w:gridSpan w:val="2"/>
            <w:tcBorders>
              <w:bottom w:val="single" w:color="auto" w:sz="4" w:space="0"/>
            </w:tcBorders>
          </w:tcPr>
          <w:p w:rsidRPr="002362DA" w:rsidR="00EB5306" w:rsidP="00171939" w:rsidRDefault="00EB5306" w14:paraId="08770B68" w14:textId="6F51CAB8">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Revised Proposed Plan Budget</w:t>
            </w:r>
          </w:p>
          <w:p w:rsidRPr="002362DA" w:rsidR="00EB5306" w:rsidP="00171939" w:rsidRDefault="00EB5306" w14:paraId="7366047E" w14:textId="6257067A">
            <w:pPr>
              <w:spacing w:line="276" w:lineRule="auto"/>
              <w:jc w:val="center"/>
              <w:rPr>
                <w:rFonts w:ascii="Palatino Linotype" w:hAnsi="Palatino Linotype" w:eastAsia="Palatino Linotype" w:cs="Times New Roman"/>
                <w:i/>
                <w:iCs/>
                <w:color w:val="000000" w:themeColor="text1"/>
                <w:sz w:val="22"/>
                <w:szCs w:val="22"/>
              </w:rPr>
            </w:pPr>
            <w:r w:rsidRPr="002362DA">
              <w:rPr>
                <w:rFonts w:ascii="Palatino Linotype" w:hAnsi="Palatino Linotype" w:eastAsia="Palatino Linotype" w:cs="Times New Roman"/>
                <w:i/>
                <w:iCs/>
                <w:color w:val="000000" w:themeColor="text1"/>
                <w:sz w:val="22"/>
                <w:szCs w:val="22"/>
              </w:rPr>
              <w:t>AL 5196-G</w:t>
            </w:r>
          </w:p>
        </w:tc>
        <w:tc>
          <w:tcPr>
            <w:tcW w:w="2558" w:type="dxa"/>
            <w:gridSpan w:val="2"/>
            <w:tcBorders>
              <w:bottom w:val="single" w:color="auto" w:sz="4" w:space="0"/>
            </w:tcBorders>
            <w:vAlign w:val="center"/>
          </w:tcPr>
          <w:p w:rsidRPr="002362DA" w:rsidR="00EB5306" w:rsidP="00171939" w:rsidRDefault="00EB5306" w14:paraId="2BC74C50" w14:textId="5FE62359">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Budget Decrease</w:t>
            </w:r>
          </w:p>
        </w:tc>
      </w:tr>
      <w:tr w:rsidRPr="00C94BEF" w:rsidR="00243563" w:rsidTr="00243563" w14:paraId="43B01D42" w14:textId="77777777">
        <w:tc>
          <w:tcPr>
            <w:tcW w:w="326" w:type="dxa"/>
            <w:tcBorders>
              <w:top w:val="single" w:color="auto" w:sz="4" w:space="0"/>
              <w:left w:val="single" w:color="auto" w:sz="4" w:space="0"/>
              <w:bottom w:val="single" w:color="auto" w:sz="4" w:space="0"/>
              <w:right w:val="nil"/>
            </w:tcBorders>
          </w:tcPr>
          <w:p w:rsidRPr="002362DA" w:rsidR="00243563" w:rsidRDefault="00243563" w14:paraId="581988B6" w14:textId="3E9D5C2D">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3089" w:type="dxa"/>
            <w:tcBorders>
              <w:top w:val="single" w:color="auto" w:sz="4" w:space="0"/>
              <w:left w:val="nil"/>
              <w:bottom w:val="single" w:color="auto" w:sz="4" w:space="0"/>
              <w:right w:val="single" w:color="auto" w:sz="4" w:space="0"/>
            </w:tcBorders>
            <w:vAlign w:val="center"/>
          </w:tcPr>
          <w:p w:rsidRPr="002362DA" w:rsidR="00243563" w:rsidP="00243563" w:rsidRDefault="00243563" w14:paraId="55E10402" w14:textId="69E9D183">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8,092,000</w:t>
            </w:r>
          </w:p>
        </w:tc>
        <w:tc>
          <w:tcPr>
            <w:tcW w:w="360" w:type="dxa"/>
            <w:tcBorders>
              <w:top w:val="single" w:color="auto" w:sz="4" w:space="0"/>
              <w:left w:val="single" w:color="auto" w:sz="4" w:space="0"/>
              <w:bottom w:val="single" w:color="auto" w:sz="4" w:space="0"/>
              <w:right w:val="nil"/>
            </w:tcBorders>
          </w:tcPr>
          <w:p w:rsidRPr="002362DA" w:rsidR="00243563" w:rsidRDefault="00243563" w14:paraId="5D24FF52" w14:textId="2A631621">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3017" w:type="dxa"/>
            <w:tcBorders>
              <w:top w:val="single" w:color="auto" w:sz="4" w:space="0"/>
              <w:left w:val="nil"/>
              <w:bottom w:val="single" w:color="auto" w:sz="4" w:space="0"/>
              <w:right w:val="single" w:color="auto" w:sz="4" w:space="0"/>
            </w:tcBorders>
            <w:vAlign w:val="center"/>
          </w:tcPr>
          <w:p w:rsidRPr="002362DA" w:rsidR="00243563" w:rsidP="00243563" w:rsidRDefault="002F7A48" w14:paraId="3463A31C" w14:textId="0A22A0A8">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color w:val="000000" w:themeColor="text1"/>
                <w:sz w:val="22"/>
                <w:szCs w:val="22"/>
              </w:rPr>
              <w:t>1,945,797</w:t>
            </w:r>
          </w:p>
        </w:tc>
        <w:tc>
          <w:tcPr>
            <w:tcW w:w="326" w:type="dxa"/>
            <w:tcBorders>
              <w:top w:val="single" w:color="auto" w:sz="4" w:space="0"/>
              <w:left w:val="single" w:color="auto" w:sz="4" w:space="0"/>
              <w:bottom w:val="single" w:color="auto" w:sz="4" w:space="0"/>
              <w:right w:val="nil"/>
            </w:tcBorders>
          </w:tcPr>
          <w:p w:rsidRPr="002362DA" w:rsidR="00243563" w:rsidRDefault="00243563" w14:paraId="7FB7F6F2" w14:textId="07873BB6">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2232" w:type="dxa"/>
            <w:tcBorders>
              <w:top w:val="single" w:color="auto" w:sz="4" w:space="0"/>
              <w:left w:val="nil"/>
              <w:bottom w:val="single" w:color="auto" w:sz="4" w:space="0"/>
              <w:right w:val="single" w:color="auto" w:sz="4" w:space="0"/>
            </w:tcBorders>
            <w:vAlign w:val="center"/>
          </w:tcPr>
          <w:p w:rsidRPr="002362DA" w:rsidR="00243563" w:rsidP="00243563" w:rsidRDefault="00243563" w14:paraId="6D752F9A" w14:textId="510B8D4B">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6,146,</w:t>
            </w:r>
            <w:r w:rsidRPr="002362DA" w:rsidR="009C4A87">
              <w:rPr>
                <w:rFonts w:ascii="Palatino Linotype" w:hAnsi="Palatino Linotype" w:eastAsia="Palatino Linotype" w:cs="Times New Roman"/>
                <w:color w:val="000000" w:themeColor="text1"/>
                <w:sz w:val="22"/>
                <w:szCs w:val="22"/>
              </w:rPr>
              <w:t>203</w:t>
            </w:r>
          </w:p>
        </w:tc>
      </w:tr>
    </w:tbl>
    <w:p w:rsidRPr="00C94BEF" w:rsidR="008A6268" w:rsidP="008A6268" w:rsidRDefault="008A6268" w14:paraId="565F3F9F" w14:textId="77777777">
      <w:pPr>
        <w:spacing w:after="0" w:line="276" w:lineRule="auto"/>
        <w:rPr>
          <w:rFonts w:ascii="Palatino Linotype" w:hAnsi="Palatino Linotype" w:eastAsia="Palatino Linotype" w:cs="Times New Roman"/>
          <w:color w:val="000000" w:themeColor="text1"/>
        </w:rPr>
      </w:pPr>
    </w:p>
    <w:p w:rsidRPr="00C94BEF" w:rsidR="008A6268" w:rsidP="008A6268" w:rsidRDefault="00FF5DB4" w14:paraId="112F0260" w14:textId="622B6E76">
      <w:pPr>
        <w:spacing w:after="0" w:line="276" w:lineRule="auto"/>
        <w:rPr>
          <w:rFonts w:ascii="Palatino Linotype" w:hAnsi="Palatino Linotype" w:eastAsia="Palatino Linotype" w:cs="Times New Roman"/>
          <w:color w:val="000000" w:themeColor="text1"/>
        </w:rPr>
      </w:pPr>
      <w:r w:rsidRPr="00C94BEF">
        <w:rPr>
          <w:rFonts w:ascii="Palatino Linotype" w:hAnsi="Palatino Linotype" w:eastAsia="Palatino Linotype" w:cs="Times New Roman"/>
          <w:color w:val="000000" w:themeColor="text1"/>
        </w:rPr>
        <w:t>PG&amp;E states</w:t>
      </w:r>
      <w:r w:rsidRPr="00C94BEF" w:rsidR="00A02DA3">
        <w:rPr>
          <w:rFonts w:ascii="Palatino Linotype" w:hAnsi="Palatino Linotype" w:eastAsia="Palatino Linotype" w:cs="Times New Roman"/>
          <w:color w:val="000000" w:themeColor="text1"/>
        </w:rPr>
        <w:t xml:space="preserve"> that its </w:t>
      </w:r>
      <w:r w:rsidRPr="00C94BEF" w:rsidR="00EB08E4">
        <w:rPr>
          <w:rFonts w:ascii="Palatino Linotype" w:hAnsi="Palatino Linotype" w:eastAsia="Palatino Linotype" w:cs="Times New Roman"/>
          <w:color w:val="000000" w:themeColor="text1"/>
        </w:rPr>
        <w:t>revised budget is the result of</w:t>
      </w:r>
      <w:r w:rsidRPr="00C94BEF" w:rsidR="006751EE">
        <w:rPr>
          <w:rFonts w:ascii="Palatino Linotype" w:hAnsi="Palatino Linotype" w:eastAsia="Palatino Linotype" w:cs="Times New Roman"/>
          <w:color w:val="000000" w:themeColor="text1"/>
        </w:rPr>
        <w:t xml:space="preserve"> the following </w:t>
      </w:r>
      <w:r w:rsidRPr="00C94BEF" w:rsidR="00EC64B6">
        <w:rPr>
          <w:rFonts w:ascii="Palatino Linotype" w:hAnsi="Palatino Linotype" w:eastAsia="Palatino Linotype" w:cs="Times New Roman"/>
          <w:color w:val="000000" w:themeColor="text1"/>
        </w:rPr>
        <w:t>modifications</w:t>
      </w:r>
      <w:r w:rsidRPr="00C94BEF">
        <w:rPr>
          <w:rFonts w:ascii="Palatino Linotype" w:hAnsi="Palatino Linotype" w:eastAsia="Palatino Linotype" w:cs="Times New Roman"/>
          <w:color w:val="000000" w:themeColor="text1"/>
        </w:rPr>
        <w:t xml:space="preserve">: </w:t>
      </w:r>
    </w:p>
    <w:p w:rsidRPr="00994F76" w:rsidR="00FF5DB4" w:rsidP="00801EA4" w:rsidRDefault="00FF5DB4" w14:paraId="40F03D8E"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2024 Gas RD&amp;D Plan to clarify program scope and analytical boundaries, including a clearer distinction between research, planning, and execution activities, and revised proposed budgets to reflect a more limited research portfolio consistent with Commission eligibility guidance and attribution requirements. </w:t>
      </w:r>
    </w:p>
    <w:p w:rsidRPr="00994F76" w:rsidR="00FF5DB4" w:rsidP="00801EA4" w:rsidRDefault="00FF5DB4" w14:paraId="3FAFD831"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largely removed hydrogen-related RD&amp;D activities from the revised 2024 Plan.</w:t>
      </w:r>
    </w:p>
    <w:p w:rsidRPr="00994F76" w:rsidR="00FF5DB4" w:rsidP="00801EA4" w:rsidRDefault="00FF5DB4" w14:paraId="7D61D4E9"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removed or significantly narrowed RD&amp;D activities associated with emissions measurement, integrity management, and other existing federal or state mandates, including activities aligned with Natural Gas Leak Abatement </w:t>
      </w:r>
      <w:r w:rsidRPr="00994F76">
        <w:rPr>
          <w:rFonts w:ascii="Palatino Linotype" w:hAnsi="Palatino Linotype" w:eastAsia="Palatino Linotype" w:cs="Times New Roman"/>
          <w:color w:val="000000" w:themeColor="text1"/>
        </w:rPr>
        <w:lastRenderedPageBreak/>
        <w:t xml:space="preserve">best practices, PHMSA Mega Rule requirements, and </w:t>
      </w:r>
      <w:proofErr w:type="spellStart"/>
      <w:r w:rsidRPr="00994F76">
        <w:rPr>
          <w:rFonts w:ascii="Palatino Linotype" w:hAnsi="Palatino Linotype" w:eastAsia="Palatino Linotype" w:cs="Times New Roman"/>
          <w:color w:val="000000" w:themeColor="text1"/>
        </w:rPr>
        <w:t>CalGEM</w:t>
      </w:r>
      <w:proofErr w:type="spellEnd"/>
      <w:r w:rsidRPr="00994F76">
        <w:rPr>
          <w:rFonts w:ascii="Palatino Linotype" w:hAnsi="Palatino Linotype" w:eastAsia="Palatino Linotype" w:cs="Times New Roman"/>
          <w:color w:val="000000" w:themeColor="text1"/>
        </w:rPr>
        <w:t xml:space="preserve"> mandated obligations. </w:t>
      </w:r>
    </w:p>
    <w:p w:rsidRPr="00994F76" w:rsidR="00FF5DB4" w:rsidP="00801EA4" w:rsidRDefault="00FF5DB4" w14:paraId="7AC302B4"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Plan to remove </w:t>
      </w:r>
      <w:proofErr w:type="gramStart"/>
      <w:r w:rsidRPr="00994F76">
        <w:rPr>
          <w:rFonts w:ascii="Palatino Linotype" w:hAnsi="Palatino Linotype" w:eastAsia="Palatino Linotype" w:cs="Times New Roman"/>
          <w:color w:val="000000" w:themeColor="text1"/>
        </w:rPr>
        <w:t>gas RD&amp;D</w:t>
      </w:r>
      <w:proofErr w:type="gramEnd"/>
      <w:r w:rsidRPr="00994F76">
        <w:rPr>
          <w:rFonts w:ascii="Palatino Linotype" w:hAnsi="Palatino Linotype" w:eastAsia="Palatino Linotype" w:cs="Times New Roman"/>
          <w:color w:val="000000" w:themeColor="text1"/>
        </w:rPr>
        <w:t xml:space="preserve"> projects located outside of California, except where projects are affiliated with a federal laboratory. </w:t>
      </w:r>
    </w:p>
    <w:p w:rsidRPr="00994F76" w:rsidR="00BD0F91" w:rsidP="00801EA4" w:rsidRDefault="00FF5DB4" w14:paraId="088B57D3"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clarified the distinction between gas RD&amp;D-funded activities and work supported through external funding mechanisms, including research consortia, and reclassified participation in research consortia as a Program Administrative activity subject to the applicable administrative cost cap. </w:t>
      </w:r>
    </w:p>
    <w:p w:rsidRPr="00994F76" w:rsidR="00BD0F91" w:rsidP="00801EA4" w:rsidRDefault="00FF5DB4" w14:paraId="0DA90944" w14:textId="77777777">
      <w:pPr>
        <w:pStyle w:val="ListParagraph"/>
        <w:numPr>
          <w:ilvl w:val="0"/>
          <w:numId w:val="12"/>
        </w:numPr>
        <w:spacing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expanded its discussion of coordination and non-duplication practices and applied the Electric Program Investment Charge (EPIC) Uniform Benefits framework and calculations including more explicit translation of RD&amp;D outputs into quantified, annualized ratepayer benefits where appropriate.</w:t>
      </w:r>
      <w:r w:rsidRPr="00994F76" w:rsidR="00517F84">
        <w:rPr>
          <w:rFonts w:ascii="Palatino Linotype" w:hAnsi="Palatino Linotype" w:eastAsia="Palatino Linotype" w:cs="Times New Roman"/>
          <w:color w:val="000000" w:themeColor="text1"/>
        </w:rPr>
        <w:t xml:space="preserve"> </w:t>
      </w:r>
    </w:p>
    <w:p w:rsidRPr="00994F76" w:rsidR="00FF5DB4" w:rsidP="00BD0F91" w:rsidRDefault="00517F84" w14:paraId="3EE454D0" w14:textId="64B4F85E">
      <w:pPr>
        <w:spacing w:after="0" w:line="276" w:lineRule="auto"/>
        <w:ind w:left="36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incorporated additional documentation responding to the compliance items identified in Appendix F of Resolution G-3618, including a table identifying where and how specific Commission findings are addressed in the revised Plan, and revised the narrative structure and level of detail to improve clarity and consistency based on Commission staff feedback and stakeholder input.”</w:t>
      </w:r>
      <w:r w:rsidRPr="00994F76">
        <w:rPr>
          <w:rStyle w:val="FootnoteReference"/>
          <w:rFonts w:ascii="Palatino Linotype" w:hAnsi="Palatino Linotype" w:eastAsia="Palatino Linotype" w:cs="Times New Roman"/>
          <w:color w:val="000000" w:themeColor="text1"/>
        </w:rPr>
        <w:footnoteReference w:id="50"/>
      </w:r>
    </w:p>
    <w:p w:rsidRPr="00994F76" w:rsidR="009616FE" w:rsidP="00361AB6" w:rsidRDefault="009616FE" w14:paraId="05FAF1BC" w14:textId="77777777">
      <w:pPr>
        <w:spacing w:after="0" w:line="276" w:lineRule="auto"/>
        <w:rPr>
          <w:rFonts w:ascii="Palatino Linotype" w:hAnsi="Palatino Linotype" w:eastAsia="Palatino Linotype" w:cs="Times New Roman"/>
          <w:b/>
          <w:color w:val="000000" w:themeColor="text1"/>
          <w:kern w:val="0"/>
          <w14:ligatures w14:val="none"/>
        </w:rPr>
      </w:pPr>
    </w:p>
    <w:p w:rsidR="00311637" w:rsidP="004D5E0E" w:rsidRDefault="005A01F9" w14:paraId="0DFC0F81" w14:textId="47CA03FB">
      <w:pPr>
        <w:spacing w:after="0" w:line="276" w:lineRule="auto"/>
        <w:rPr>
          <w:rFonts w:ascii="Palatino Linotype" w:hAnsi="Palatino Linotype"/>
          <w:color w:val="000000" w:themeColor="text1"/>
          <w:u w:val="single"/>
        </w:rPr>
      </w:pPr>
      <w:r w:rsidRPr="00994F76">
        <w:rPr>
          <w:rFonts w:ascii="Palatino Linotype" w:hAnsi="Palatino Linotype"/>
          <w:color w:val="000000" w:themeColor="text1"/>
          <w:u w:val="single"/>
        </w:rPr>
        <w:t>PG&amp;E</w:t>
      </w:r>
      <w:r w:rsidRPr="00994F76" w:rsidR="00BD0F91">
        <w:rPr>
          <w:rFonts w:ascii="Palatino Linotype" w:hAnsi="Palatino Linotype"/>
          <w:color w:val="000000" w:themeColor="text1"/>
          <w:u w:val="single"/>
        </w:rPr>
        <w:t>’s</w:t>
      </w:r>
      <w:r w:rsidRPr="00994F76">
        <w:rPr>
          <w:rFonts w:ascii="Palatino Linotype" w:hAnsi="Palatino Linotype"/>
          <w:color w:val="000000" w:themeColor="text1"/>
          <w:u w:val="single"/>
        </w:rPr>
        <w:t xml:space="preserve"> Request for 2024 Gas RD&amp;D</w:t>
      </w:r>
      <w:r w:rsidRPr="00994F76" w:rsidR="009616FE">
        <w:rPr>
          <w:rFonts w:ascii="Palatino Linotype" w:hAnsi="Palatino Linotype"/>
          <w:color w:val="000000" w:themeColor="text1"/>
          <w:u w:val="single"/>
        </w:rPr>
        <w:t xml:space="preserve"> Plan</w:t>
      </w:r>
    </w:p>
    <w:p w:rsidRPr="00994F76" w:rsidR="004D5E0E" w:rsidP="004D5E0E" w:rsidRDefault="004D5E0E" w14:paraId="0BF55BF8" w14:textId="77777777">
      <w:pPr>
        <w:spacing w:after="0" w:line="276" w:lineRule="auto"/>
        <w:rPr>
          <w:rFonts w:ascii="Palatino Linotype" w:hAnsi="Palatino Linotype"/>
          <w:color w:val="000000" w:themeColor="text1"/>
          <w:u w:val="single"/>
        </w:rPr>
      </w:pPr>
    </w:p>
    <w:p w:rsidRPr="00994F76" w:rsidR="00311637" w:rsidP="00361AB6" w:rsidRDefault="00DB13A3" w14:paraId="78B9C35B" w14:textId="75A5AC1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w:t>
      </w:r>
      <w:r w:rsidRPr="00994F76" w:rsidR="008129F8">
        <w:rPr>
          <w:rFonts w:ascii="Palatino Linotype" w:hAnsi="Palatino Linotype" w:eastAsia="Palatino Linotype" w:cs="Times New Roman"/>
          <w:bCs/>
          <w:color w:val="000000" w:themeColor="text1"/>
          <w:kern w:val="0"/>
          <w14:ligatures w14:val="none"/>
        </w:rPr>
        <w:t xml:space="preserve"> </w:t>
      </w:r>
      <w:r w:rsidRPr="00994F76">
        <w:rPr>
          <w:rFonts w:ascii="Palatino Linotype" w:hAnsi="Palatino Linotype" w:eastAsia="Palatino Linotype" w:cs="Times New Roman"/>
          <w:bCs/>
          <w:color w:val="000000" w:themeColor="text1"/>
          <w:kern w:val="0"/>
          <w14:ligatures w14:val="none"/>
        </w:rPr>
        <w:t xml:space="preserve">seeks approval </w:t>
      </w:r>
      <w:r w:rsidRPr="00994F76" w:rsidR="00C61412">
        <w:rPr>
          <w:rFonts w:ascii="Palatino Linotype" w:hAnsi="Palatino Linotype" w:eastAsia="Palatino Linotype" w:cs="Times New Roman"/>
          <w:bCs/>
          <w:color w:val="000000" w:themeColor="text1"/>
          <w:kern w:val="0"/>
          <w14:ligatures w14:val="none"/>
        </w:rPr>
        <w:t xml:space="preserve">of its </w:t>
      </w:r>
      <w:r w:rsidRPr="00E57671" w:rsidR="00C61412">
        <w:rPr>
          <w:rFonts w:ascii="Palatino Linotype" w:hAnsi="Palatino Linotype" w:eastAsia="Palatino Linotype" w:cs="Times New Roman"/>
          <w:bCs/>
          <w:color w:val="000000" w:themeColor="text1"/>
          <w:kern w:val="0"/>
          <w14:ligatures w14:val="none"/>
        </w:rPr>
        <w:t>proposed</w:t>
      </w:r>
      <w:r w:rsidRPr="00E57671" w:rsidR="20A55FFF">
        <w:rPr>
          <w:rFonts w:ascii="Palatino Linotype" w:hAnsi="Palatino Linotype" w:eastAsia="Palatino Linotype" w:cs="Times New Roman"/>
          <w:color w:val="000000" w:themeColor="text1"/>
        </w:rPr>
        <w:t>,</w:t>
      </w:r>
      <w:r w:rsidRPr="00E57671" w:rsidR="00C61412">
        <w:rPr>
          <w:rFonts w:ascii="Palatino Linotype" w:hAnsi="Palatino Linotype" w:eastAsia="Palatino Linotype" w:cs="Times New Roman"/>
          <w:color w:val="000000" w:themeColor="text1"/>
        </w:rPr>
        <w:t xml:space="preserve"> </w:t>
      </w:r>
      <w:r w:rsidRPr="00E57671" w:rsidR="20A55FFF">
        <w:rPr>
          <w:rFonts w:ascii="Palatino Linotype" w:hAnsi="Palatino Linotype" w:eastAsia="Palatino Linotype" w:cs="Times New Roman"/>
          <w:color w:val="000000" w:themeColor="text1"/>
        </w:rPr>
        <w:t>revised</w:t>
      </w:r>
      <w:r w:rsidRPr="00E57671" w:rsidR="00C61412">
        <w:rPr>
          <w:rFonts w:ascii="Palatino Linotype" w:hAnsi="Palatino Linotype" w:eastAsia="Palatino Linotype" w:cs="Times New Roman"/>
          <w:color w:val="000000" w:themeColor="text1"/>
        </w:rPr>
        <w:t xml:space="preserve"> Gas </w:t>
      </w:r>
      <w:r w:rsidRPr="4B87802C" w:rsidR="00C61412">
        <w:rPr>
          <w:rFonts w:ascii="Palatino Linotype" w:hAnsi="Palatino Linotype" w:eastAsia="Palatino Linotype" w:cs="Times New Roman"/>
          <w:color w:val="000000" w:themeColor="text1"/>
        </w:rPr>
        <w:t xml:space="preserve">RD&amp;D Investment Plan for Calendar Year 2024 </w:t>
      </w:r>
      <w:r w:rsidRPr="4B87802C" w:rsidR="008129F8">
        <w:rPr>
          <w:rFonts w:ascii="Palatino Linotype" w:hAnsi="Palatino Linotype" w:eastAsia="Palatino Linotype" w:cs="Times New Roman"/>
          <w:color w:val="000000" w:themeColor="text1"/>
        </w:rPr>
        <w:t>in AL</w:t>
      </w:r>
      <w:r w:rsidRPr="4B87802C" w:rsidR="00B770CE">
        <w:rPr>
          <w:rFonts w:ascii="Palatino Linotype" w:hAnsi="Palatino Linotype" w:eastAsia="Palatino Linotype" w:cs="Times New Roman"/>
          <w:color w:val="000000" w:themeColor="text1"/>
        </w:rPr>
        <w:t xml:space="preserve"> 5</w:t>
      </w:r>
      <w:r w:rsidRPr="4B87802C" w:rsidR="0083425E">
        <w:rPr>
          <w:rFonts w:ascii="Palatino Linotype" w:hAnsi="Palatino Linotype" w:eastAsia="Palatino Linotype" w:cs="Times New Roman"/>
          <w:color w:val="000000" w:themeColor="text1"/>
        </w:rPr>
        <w:t>19</w:t>
      </w:r>
      <w:r w:rsidRPr="4B87802C" w:rsidR="00106966">
        <w:rPr>
          <w:rFonts w:ascii="Palatino Linotype" w:hAnsi="Palatino Linotype" w:eastAsia="Palatino Linotype" w:cs="Times New Roman"/>
          <w:color w:val="000000" w:themeColor="text1"/>
        </w:rPr>
        <w:t>6-G</w:t>
      </w:r>
      <w:r w:rsidRPr="4B87802C" w:rsidR="00B770CE">
        <w:rPr>
          <w:rFonts w:ascii="Palatino Linotype" w:hAnsi="Palatino Linotype" w:eastAsia="Palatino Linotype" w:cs="Times New Roman"/>
          <w:color w:val="000000" w:themeColor="text1"/>
        </w:rPr>
        <w:t xml:space="preserve">, </w:t>
      </w:r>
      <w:r w:rsidRPr="4B87802C" w:rsidR="000531DE">
        <w:rPr>
          <w:rFonts w:ascii="Palatino Linotype" w:hAnsi="Palatino Linotype" w:eastAsia="Palatino Linotype" w:cs="Times New Roman"/>
          <w:color w:val="000000" w:themeColor="text1"/>
        </w:rPr>
        <w:t xml:space="preserve">authorized </w:t>
      </w:r>
      <w:r w:rsidRPr="4B87802C" w:rsidR="00D909A9">
        <w:rPr>
          <w:rFonts w:ascii="Palatino Linotype" w:hAnsi="Palatino Linotype" w:eastAsia="Palatino Linotype" w:cs="Times New Roman"/>
          <w:color w:val="000000" w:themeColor="text1"/>
        </w:rPr>
        <w:t xml:space="preserve">by D.23-11-069 </w:t>
      </w:r>
      <w:r w:rsidRPr="4B87802C" w:rsidR="000531DE">
        <w:rPr>
          <w:rFonts w:ascii="Palatino Linotype" w:hAnsi="Palatino Linotype" w:eastAsia="Palatino Linotype" w:cs="Times New Roman"/>
          <w:color w:val="000000" w:themeColor="text1"/>
        </w:rPr>
        <w:t>at</w:t>
      </w:r>
      <w:r w:rsidRPr="4B87802C" w:rsidR="00C61412">
        <w:rPr>
          <w:rFonts w:ascii="Palatino Linotype" w:hAnsi="Palatino Linotype" w:eastAsia="Palatino Linotype" w:cs="Times New Roman"/>
          <w:color w:val="000000" w:themeColor="text1"/>
        </w:rPr>
        <w:t xml:space="preserve"> </w:t>
      </w:r>
      <w:r w:rsidRPr="4B87802C" w:rsidR="00D37EA9">
        <w:rPr>
          <w:rFonts w:ascii="Palatino Linotype" w:hAnsi="Palatino Linotype" w:eastAsia="Palatino Linotype" w:cs="Times New Roman"/>
          <w:color w:val="000000" w:themeColor="text1"/>
        </w:rPr>
        <w:t>$</w:t>
      </w:r>
      <w:r w:rsidRPr="4B87802C" w:rsidR="00AC7CC5">
        <w:rPr>
          <w:rFonts w:ascii="Palatino Linotype" w:hAnsi="Palatino Linotype" w:eastAsia="Palatino Linotype" w:cs="Times New Roman"/>
          <w:color w:val="000000" w:themeColor="text1"/>
        </w:rPr>
        <w:t>1,945,797</w:t>
      </w:r>
      <w:r w:rsidRPr="4B87802C" w:rsidR="00F72E2C">
        <w:rPr>
          <w:rStyle w:val="FootnoteReference"/>
          <w:rFonts w:ascii="Palatino Linotype" w:hAnsi="Palatino Linotype" w:eastAsia="Palatino Linotype" w:cs="Times New Roman"/>
          <w:color w:val="000000" w:themeColor="text1"/>
        </w:rPr>
        <w:footnoteReference w:id="51"/>
      </w:r>
      <w:r w:rsidRPr="4B87802C" w:rsidR="00D37EA9">
        <w:rPr>
          <w:rFonts w:ascii="Palatino Linotype" w:hAnsi="Palatino Linotype" w:eastAsia="Palatino Linotype" w:cs="Times New Roman"/>
          <w:color w:val="000000" w:themeColor="text1"/>
        </w:rPr>
        <w:t xml:space="preserve"> </w:t>
      </w:r>
      <w:r w:rsidRPr="4B87802C" w:rsidR="00BE6B16">
        <w:rPr>
          <w:rFonts w:ascii="Palatino Linotype" w:hAnsi="Palatino Linotype" w:eastAsia="Palatino Linotype" w:cs="Times New Roman"/>
          <w:color w:val="000000" w:themeColor="text1"/>
        </w:rPr>
        <w:t xml:space="preserve">with the following </w:t>
      </w:r>
      <w:r w:rsidRPr="4B87802C" w:rsidR="0044796D">
        <w:rPr>
          <w:rFonts w:ascii="Palatino Linotype" w:hAnsi="Palatino Linotype" w:eastAsia="Palatino Linotype" w:cs="Times New Roman"/>
          <w:color w:val="000000" w:themeColor="text1"/>
        </w:rPr>
        <w:t xml:space="preserve">proposed </w:t>
      </w:r>
      <w:r w:rsidRPr="4B87802C" w:rsidR="00BE6B16">
        <w:rPr>
          <w:rFonts w:ascii="Palatino Linotype" w:hAnsi="Palatino Linotype" w:eastAsia="Palatino Linotype" w:cs="Times New Roman"/>
          <w:color w:val="000000" w:themeColor="text1"/>
        </w:rPr>
        <w:t xml:space="preserve">budget allocations to various Initiatives: </w:t>
      </w:r>
    </w:p>
    <w:p w:rsidRPr="00994F76" w:rsidR="00C468ED" w:rsidP="00361AB6" w:rsidRDefault="00C468ED" w14:paraId="708B6DED" w14:textId="77777777">
      <w:pPr>
        <w:spacing w:after="0" w:line="276" w:lineRule="auto"/>
        <w:rPr>
          <w:rFonts w:ascii="Palatino Linotype" w:hAnsi="Palatino Linotype" w:eastAsia="Palatino Linotype" w:cs="Times New Roman"/>
          <w:b/>
          <w:color w:val="000000" w:themeColor="text1"/>
          <w:kern w:val="0"/>
          <w:u w:val="single"/>
          <w14:ligatures w14:val="none"/>
        </w:rPr>
      </w:pPr>
    </w:p>
    <w:tbl>
      <w:tblPr>
        <w:tblStyle w:val="TableGrid"/>
        <w:tblW w:w="0" w:type="auto"/>
        <w:tblLook w:val="04A0" w:firstRow="1" w:lastRow="0" w:firstColumn="1" w:lastColumn="0" w:noHBand="0" w:noVBand="1"/>
      </w:tblPr>
      <w:tblGrid>
        <w:gridCol w:w="2784"/>
        <w:gridCol w:w="4501"/>
        <w:gridCol w:w="360"/>
        <w:gridCol w:w="1620"/>
      </w:tblGrid>
      <w:tr w:rsidRPr="00994F76" w:rsidR="00BE63F1" w:rsidTr="00BE63F1" w14:paraId="18FDD058" w14:textId="77777777">
        <w:trPr>
          <w:trHeight w:val="350"/>
        </w:trPr>
        <w:tc>
          <w:tcPr>
            <w:tcW w:w="9265" w:type="dxa"/>
            <w:gridSpan w:val="4"/>
            <w:tcBorders>
              <w:top w:val="single" w:color="auto" w:sz="4" w:space="0"/>
              <w:left w:val="single" w:color="auto" w:sz="4" w:space="0"/>
              <w:bottom w:val="single" w:color="auto" w:sz="4" w:space="0"/>
              <w:right w:val="single" w:color="auto" w:sz="4" w:space="0"/>
            </w:tcBorders>
          </w:tcPr>
          <w:p w:rsidRPr="00994F76" w:rsidR="00BE63F1" w:rsidP="00D35B07" w:rsidRDefault="00BE63F1" w14:paraId="515DDD40" w14:textId="58285E39">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lastRenderedPageBreak/>
              <w:t>Ta</w:t>
            </w:r>
            <w:r w:rsidRPr="00F955BC">
              <w:rPr>
                <w:rFonts w:ascii="Palatino Linotype" w:hAnsi="Palatino Linotype"/>
                <w:b/>
                <w:bCs w:val="0"/>
                <w:color w:val="000000" w:themeColor="text1"/>
              </w:rPr>
              <w:t xml:space="preserve">ble 2: </w:t>
            </w:r>
            <w:r w:rsidRPr="00F955BC" w:rsidR="07B5BD1F">
              <w:rPr>
                <w:rFonts w:ascii="Palatino Linotype" w:hAnsi="Palatino Linotype"/>
                <w:b/>
                <w:color w:val="000000" w:themeColor="text1"/>
              </w:rPr>
              <w:t xml:space="preserve">Revised </w:t>
            </w:r>
            <w:r w:rsidRPr="3D37643B" w:rsidR="5C467488">
              <w:rPr>
                <w:rFonts w:ascii="Palatino Linotype" w:hAnsi="Palatino Linotype"/>
                <w:b/>
                <w:color w:val="000000" w:themeColor="text1"/>
              </w:rPr>
              <w:t>2024</w:t>
            </w:r>
            <w:r w:rsidRPr="00994F76">
              <w:rPr>
                <w:rFonts w:ascii="Palatino Linotype" w:hAnsi="Palatino Linotype"/>
                <w:b/>
                <w:bCs w:val="0"/>
                <w:color w:val="000000" w:themeColor="text1"/>
              </w:rPr>
              <w:t xml:space="preserve"> Gas RD&amp;D Plan Proposed Budget</w:t>
            </w:r>
            <w:r w:rsidRPr="00994F76">
              <w:rPr>
                <w:rStyle w:val="FootnoteReference"/>
                <w:rFonts w:ascii="Palatino Linotype" w:hAnsi="Palatino Linotype" w:eastAsia="Palatino Linotype" w:cs="Times New Roman"/>
                <w:color w:val="000000" w:themeColor="text1"/>
              </w:rPr>
              <w:footnoteReference w:id="52"/>
            </w:r>
          </w:p>
        </w:tc>
      </w:tr>
      <w:tr w:rsidRPr="00994F76" w:rsidR="00EB5306" w14:paraId="48C0ACC0" w14:textId="77777777">
        <w:tc>
          <w:tcPr>
            <w:tcW w:w="2784" w:type="dxa"/>
            <w:tcBorders>
              <w:top w:val="single" w:color="auto" w:sz="4" w:space="0"/>
              <w:left w:val="single" w:color="auto" w:sz="4" w:space="0"/>
              <w:bottom w:val="single" w:color="auto" w:sz="4" w:space="0"/>
              <w:right w:val="single" w:color="auto" w:sz="4" w:space="0"/>
            </w:tcBorders>
          </w:tcPr>
          <w:p w:rsidRPr="00994F76" w:rsidR="00EB5306" w:rsidP="00D35B07" w:rsidRDefault="00EB5306" w14:paraId="6EADC542"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Investment Theme</w:t>
            </w:r>
          </w:p>
        </w:tc>
        <w:tc>
          <w:tcPr>
            <w:tcW w:w="4501" w:type="dxa"/>
            <w:tcBorders>
              <w:top w:val="single" w:color="auto" w:sz="4" w:space="0"/>
              <w:left w:val="single" w:color="auto" w:sz="4" w:space="0"/>
              <w:bottom w:val="single" w:color="auto" w:sz="4" w:space="0"/>
              <w:right w:val="single" w:color="auto" w:sz="4" w:space="0"/>
            </w:tcBorders>
          </w:tcPr>
          <w:p w:rsidRPr="00994F76" w:rsidR="00EB5306" w:rsidP="00D35B07" w:rsidRDefault="00EB5306" w14:paraId="1B756B11"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Initiative Title</w:t>
            </w:r>
          </w:p>
        </w:tc>
        <w:tc>
          <w:tcPr>
            <w:tcW w:w="1980" w:type="dxa"/>
            <w:gridSpan w:val="2"/>
            <w:tcBorders>
              <w:top w:val="single" w:color="auto" w:sz="4" w:space="0"/>
              <w:left w:val="single" w:color="auto" w:sz="4" w:space="0"/>
              <w:bottom w:val="single" w:color="auto" w:sz="4" w:space="0"/>
              <w:right w:val="single" w:color="auto" w:sz="4" w:space="0"/>
            </w:tcBorders>
          </w:tcPr>
          <w:p w:rsidRPr="00994F76" w:rsidR="00EB5306" w:rsidP="00D35B07" w:rsidRDefault="00EB5306" w14:paraId="029928D9"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2024 Plan Budget</w:t>
            </w:r>
          </w:p>
        </w:tc>
      </w:tr>
      <w:tr w:rsidRPr="00994F76" w:rsidR="00BE63F1" w:rsidTr="00BE63F1" w14:paraId="0129844C" w14:textId="77777777">
        <w:tc>
          <w:tcPr>
            <w:tcW w:w="2784" w:type="dxa"/>
            <w:vMerge w:val="restart"/>
            <w:tcBorders>
              <w:top w:val="single" w:color="auto" w:sz="4" w:space="0"/>
              <w:left w:val="single" w:color="auto" w:sz="4" w:space="0"/>
              <w:right w:val="single" w:color="auto" w:sz="4" w:space="0"/>
            </w:tcBorders>
          </w:tcPr>
          <w:p w:rsidRPr="00994F76" w:rsidR="00BE63F1" w:rsidP="00D35B07" w:rsidRDefault="00BE63F1" w14:paraId="2DFBF9D0" w14:textId="40A5D266">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System Integrity</w:t>
            </w: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36AB5DE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Innovative and Cost-Effective Integrity Management</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487D05FC" w14:textId="7AC128D5">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673F443B" w14:textId="5218C9E7">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893,830</w:t>
            </w:r>
          </w:p>
        </w:tc>
      </w:tr>
      <w:tr w:rsidRPr="00994F76" w:rsidR="00BE63F1" w:rsidTr="008634BB" w14:paraId="5074ADC2" w14:textId="77777777">
        <w:tc>
          <w:tcPr>
            <w:tcW w:w="2784" w:type="dxa"/>
            <w:vMerge/>
            <w:tcBorders>
              <w:left w:val="single" w:color="auto" w:sz="4" w:space="0"/>
            </w:tcBorders>
          </w:tcPr>
          <w:p w:rsidRPr="00994F76" w:rsidR="00BE63F1" w:rsidP="00D35B07" w:rsidRDefault="00BE63F1" w14:paraId="30C50A90" w14:textId="77777777">
            <w:pPr>
              <w:keepNext/>
              <w:keepLines/>
              <w:spacing w:line="276" w:lineRule="auto"/>
              <w:rPr>
                <w:rFonts w:ascii="Palatino Linotype" w:hAnsi="Palatino Linotype"/>
                <w:color w:val="000000" w:themeColor="text1"/>
                <w:sz w:val="22"/>
                <w:szCs w:val="22"/>
              </w:rPr>
            </w:pP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1232FD93"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Advanced Leak Detection and Repair</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1634D6A2" w14:textId="5F48723B">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4936A56A" w14:textId="1C068500">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61,615</w:t>
            </w:r>
          </w:p>
        </w:tc>
      </w:tr>
      <w:tr w:rsidRPr="00994F76" w:rsidR="00BE63F1" w:rsidTr="00BE63F1" w14:paraId="7026A7BE" w14:textId="77777777">
        <w:tc>
          <w:tcPr>
            <w:tcW w:w="2784"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05AEA813"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Decarbonization</w:t>
            </w: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1872883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Clean Fuels Integration</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7F660992" w14:textId="79532F33">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7CE173DC" w14:textId="412921EC">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181,152</w:t>
            </w:r>
          </w:p>
        </w:tc>
      </w:tr>
      <w:tr w:rsidRPr="00994F76" w:rsidR="00BE63F1" w:rsidTr="00BE63F1" w14:paraId="44C75C16" w14:textId="77777777">
        <w:tc>
          <w:tcPr>
            <w:tcW w:w="7285" w:type="dxa"/>
            <w:gridSpan w:val="2"/>
            <w:tcBorders>
              <w:top w:val="single" w:color="auto" w:sz="4" w:space="0"/>
              <w:left w:val="single" w:color="auto" w:sz="4" w:space="0"/>
              <w:bottom w:val="single" w:color="auto" w:sz="4" w:space="0"/>
              <w:right w:val="single" w:color="auto" w:sz="4" w:space="0"/>
            </w:tcBorders>
          </w:tcPr>
          <w:p w:rsidRPr="00994F76" w:rsidR="00BE63F1" w:rsidP="00D35B07" w:rsidRDefault="00BE63F1" w14:paraId="4DC5889F"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Administrative</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5CA5DB61" w14:textId="0746BBB4">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2E17092A" w14:textId="62073B2A">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809,200</w:t>
            </w:r>
          </w:p>
        </w:tc>
      </w:tr>
      <w:tr w:rsidRPr="00994F76" w:rsidR="00BE63F1" w:rsidTr="00BE63F1" w14:paraId="2ED2402C" w14:textId="77777777">
        <w:tc>
          <w:tcPr>
            <w:tcW w:w="7285" w:type="dxa"/>
            <w:gridSpan w:val="2"/>
            <w:tcBorders>
              <w:top w:val="single" w:color="auto" w:sz="4" w:space="0"/>
              <w:left w:val="single" w:color="auto" w:sz="4" w:space="0"/>
              <w:bottom w:val="single" w:color="auto" w:sz="4" w:space="0"/>
              <w:right w:val="single" w:color="auto" w:sz="4" w:space="0"/>
            </w:tcBorders>
            <w:vAlign w:val="center"/>
          </w:tcPr>
          <w:p w:rsidRPr="00994F76" w:rsidR="00BE63F1" w:rsidP="00D35B07" w:rsidRDefault="00BE63F1" w14:paraId="2F248AF0" w14:textId="77777777">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ANNUAL TOTAL:</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0805BBD9" w14:textId="3F9BABC0">
            <w:pPr>
              <w:keepNext/>
              <w:keepLines/>
              <w:spacing w:line="276" w:lineRule="auto"/>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27F2F5F3" w14:textId="4A75B1B1">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color w:val="000000" w:themeColor="text1"/>
                <w:sz w:val="21"/>
                <w:szCs w:val="21"/>
              </w:rPr>
              <w:t>1,945,797</w:t>
            </w:r>
          </w:p>
        </w:tc>
      </w:tr>
    </w:tbl>
    <w:p w:rsidR="00A43BF7" w:rsidP="00A43BF7" w:rsidRDefault="00A43BF7" w14:paraId="291BBA88"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D87C13" w:rsidP="00361AB6" w:rsidRDefault="00D87C13" w14:paraId="60FD9B1C" w14:textId="7C502155">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Gas System Integrity</w:t>
      </w:r>
      <w:r w:rsidRPr="00994F76" w:rsidR="00D948C6">
        <w:rPr>
          <w:rFonts w:ascii="Palatino Linotype" w:hAnsi="Palatino Linotype" w:eastAsia="Palatino Linotype" w:cs="Times New Roman"/>
          <w:i/>
          <w:color w:val="000000" w:themeColor="text1"/>
          <w:kern w:val="0"/>
          <w14:ligatures w14:val="none"/>
        </w:rPr>
        <w:t xml:space="preserve"> Theme</w:t>
      </w:r>
      <w:r w:rsidRPr="00994F76" w:rsidR="004F5AB6">
        <w:rPr>
          <w:rFonts w:ascii="Palatino Linotype" w:hAnsi="Palatino Linotype" w:eastAsia="Palatino Linotype" w:cs="Times New Roman"/>
          <w:i/>
          <w:color w:val="000000" w:themeColor="text1"/>
          <w:kern w:val="0"/>
          <w14:ligatures w14:val="none"/>
        </w:rPr>
        <w:t xml:space="preserve"> </w:t>
      </w:r>
      <w:r w:rsidRPr="00994F76" w:rsidR="00D948C6">
        <w:rPr>
          <w:rFonts w:ascii="Palatino Linotype" w:hAnsi="Palatino Linotype" w:eastAsia="Palatino Linotype" w:cs="Times New Roman"/>
          <w:i/>
          <w:color w:val="000000" w:themeColor="text1"/>
          <w:kern w:val="0"/>
          <w14:ligatures w14:val="none"/>
        </w:rPr>
        <w:t xml:space="preserve">Proposed </w:t>
      </w:r>
      <w:r w:rsidRPr="00994F76" w:rsidR="004F5AB6">
        <w:rPr>
          <w:rFonts w:ascii="Palatino Linotype" w:hAnsi="Palatino Linotype" w:eastAsia="Palatino Linotype" w:cs="Times New Roman"/>
          <w:i/>
          <w:color w:val="000000" w:themeColor="text1"/>
          <w:kern w:val="0"/>
          <w14:ligatures w14:val="none"/>
        </w:rPr>
        <w:t>Initiatives</w:t>
      </w:r>
      <w:r w:rsidRPr="00994F76">
        <w:rPr>
          <w:rFonts w:ascii="Palatino Linotype" w:hAnsi="Palatino Linotype" w:eastAsia="Palatino Linotype" w:cs="Times New Roman"/>
          <w:i/>
          <w:color w:val="000000" w:themeColor="text1"/>
          <w:kern w:val="0"/>
          <w14:ligatures w14:val="none"/>
        </w:rPr>
        <w:t xml:space="preserve"> </w:t>
      </w:r>
    </w:p>
    <w:p w:rsidRPr="00994F76" w:rsidR="003F5A3A" w:rsidP="00E15257" w:rsidRDefault="008E4974" w14:paraId="44B09273" w14:textId="495CCC85">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w:t>
      </w:r>
      <w:r w:rsidRPr="00994F76" w:rsidR="004F5AB6">
        <w:rPr>
          <w:rFonts w:ascii="Palatino Linotype" w:hAnsi="Palatino Linotype" w:eastAsia="Palatino Linotype" w:cs="Times New Roman"/>
          <w:bCs/>
          <w:color w:val="000000" w:themeColor="text1"/>
          <w:kern w:val="0"/>
          <w14:ligatures w14:val="none"/>
        </w:rPr>
        <w:t xml:space="preserve"> </w:t>
      </w:r>
      <w:r w:rsidRPr="00994F76" w:rsidR="007574F0">
        <w:rPr>
          <w:rFonts w:ascii="Palatino Linotype" w:hAnsi="Palatino Linotype" w:eastAsia="Palatino Linotype" w:cs="Times New Roman"/>
          <w:bCs/>
          <w:color w:val="000000" w:themeColor="text1"/>
          <w:kern w:val="0"/>
          <w14:ligatures w14:val="none"/>
        </w:rPr>
        <w:t>it seeks to develop I</w:t>
      </w:r>
      <w:r w:rsidRPr="00994F76" w:rsidR="00160539">
        <w:rPr>
          <w:rFonts w:ascii="Palatino Linotype" w:hAnsi="Palatino Linotype" w:eastAsia="Palatino Linotype" w:cs="Times New Roman"/>
          <w:bCs/>
          <w:color w:val="000000" w:themeColor="text1"/>
          <w:kern w:val="0"/>
          <w14:ligatures w14:val="none"/>
        </w:rPr>
        <w:t xml:space="preserve">nitiatives </w:t>
      </w:r>
      <w:r w:rsidRPr="00994F76">
        <w:rPr>
          <w:rFonts w:ascii="Palatino Linotype" w:hAnsi="Palatino Linotype" w:eastAsia="Palatino Linotype" w:cs="Times New Roman"/>
          <w:bCs/>
          <w:color w:val="000000" w:themeColor="text1"/>
          <w:kern w:val="0"/>
          <w14:ligatures w14:val="none"/>
        </w:rPr>
        <w:t xml:space="preserve">within the Gas System Integrity Theme </w:t>
      </w:r>
      <w:r w:rsidRPr="00994F76" w:rsidR="004F5AB6">
        <w:rPr>
          <w:rFonts w:ascii="Palatino Linotype" w:hAnsi="Palatino Linotype" w:eastAsia="Palatino Linotype" w:cs="Times New Roman"/>
          <w:bCs/>
          <w:color w:val="000000" w:themeColor="text1"/>
          <w:kern w:val="0"/>
          <w14:ligatures w14:val="none"/>
        </w:rPr>
        <w:t>to</w:t>
      </w:r>
      <w:r w:rsidRPr="00994F76" w:rsidR="006723B3">
        <w:rPr>
          <w:rFonts w:ascii="Palatino Linotype" w:hAnsi="Palatino Linotype" w:eastAsia="Palatino Linotype" w:cs="Times New Roman"/>
          <w:bCs/>
          <w:color w:val="000000" w:themeColor="text1"/>
          <w:kern w:val="0"/>
          <w14:ligatures w14:val="none"/>
        </w:rPr>
        <w:t xml:space="preserve"> advance technologies </w:t>
      </w:r>
      <w:r w:rsidRPr="00994F76" w:rsidR="0092388B">
        <w:rPr>
          <w:rFonts w:ascii="Palatino Linotype" w:hAnsi="Palatino Linotype" w:eastAsia="Palatino Linotype" w:cs="Times New Roman"/>
          <w:bCs/>
          <w:color w:val="000000" w:themeColor="text1"/>
          <w:kern w:val="0"/>
          <w14:ligatures w14:val="none"/>
        </w:rPr>
        <w:t>to improve gas system integrity and reduce methane emissions</w:t>
      </w:r>
      <w:r w:rsidRPr="00994F76" w:rsidR="00016B00">
        <w:rPr>
          <w:rFonts w:ascii="Palatino Linotype" w:hAnsi="Palatino Linotype" w:eastAsia="Palatino Linotype" w:cs="Times New Roman"/>
          <w:bCs/>
          <w:color w:val="000000" w:themeColor="text1"/>
          <w:kern w:val="0"/>
          <w14:ligatures w14:val="none"/>
        </w:rPr>
        <w:t>.</w:t>
      </w:r>
      <w:r w:rsidRPr="00994F76" w:rsidR="002E2942">
        <w:rPr>
          <w:rStyle w:val="FootnoteReference"/>
          <w:rFonts w:ascii="Palatino Linotype" w:hAnsi="Palatino Linotype" w:eastAsia="Palatino Linotype" w:cs="Times New Roman"/>
          <w:bCs/>
          <w:color w:val="000000" w:themeColor="text1"/>
          <w:kern w:val="0"/>
          <w14:ligatures w14:val="none"/>
        </w:rPr>
        <w:footnoteReference w:id="53"/>
      </w:r>
      <w:r w:rsidRPr="00994F76" w:rsidR="00137773">
        <w:rPr>
          <w:rFonts w:ascii="Palatino Linotype" w:hAnsi="Palatino Linotype" w:eastAsia="Palatino Linotype" w:cs="Times New Roman"/>
          <w:bCs/>
          <w:color w:val="000000" w:themeColor="text1"/>
          <w:kern w:val="0"/>
          <w14:ligatures w14:val="none"/>
        </w:rPr>
        <w:t xml:space="preserve"> </w:t>
      </w:r>
    </w:p>
    <w:p w:rsidRPr="00994F76" w:rsidR="00066940" w:rsidP="00836A28" w:rsidRDefault="00066940" w14:paraId="65530758" w14:textId="2A2068D1">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Innova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and Cost-Effec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Integrity Management</w:t>
      </w:r>
    </w:p>
    <w:p w:rsidRPr="00994F76" w:rsidR="00A728DD" w:rsidP="00C40B12" w:rsidRDefault="00E31ADD" w14:paraId="40635BC4" w14:textId="2DA4FEF4">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790FE4">
        <w:rPr>
          <w:rFonts w:ascii="Palatino Linotype" w:hAnsi="Palatino Linotype" w:eastAsia="Palatino Linotype" w:cs="Times New Roman"/>
          <w:bCs/>
          <w:color w:val="000000" w:themeColor="text1"/>
          <w:kern w:val="0"/>
          <w14:ligatures w14:val="none"/>
        </w:rPr>
        <w:t xml:space="preserve">states that it seeks to develop projects </w:t>
      </w:r>
      <w:r w:rsidRPr="00994F76">
        <w:rPr>
          <w:rFonts w:ascii="Palatino Linotype" w:hAnsi="Palatino Linotype" w:eastAsia="Palatino Linotype" w:cs="Times New Roman"/>
          <w:bCs/>
          <w:color w:val="000000" w:themeColor="text1"/>
          <w:kern w:val="0"/>
          <w14:ligatures w14:val="none"/>
        </w:rPr>
        <w:t>within the Innova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and Cost-Effec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Integrity Management Initiative to</w:t>
      </w:r>
      <w:r w:rsidRPr="00994F76" w:rsidR="00A1798E">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advanc</w:t>
      </w:r>
      <w:r w:rsidRPr="00994F76" w:rsidR="009234CC">
        <w:rPr>
          <w:rFonts w:ascii="Palatino Linotype" w:hAnsi="Palatino Linotype" w:eastAsia="Palatino Linotype" w:cs="Times New Roman"/>
          <w:bCs/>
          <w:color w:val="000000" w:themeColor="text1"/>
          <w:kern w:val="0"/>
          <w14:ligatures w14:val="none"/>
        </w:rPr>
        <w:t>e</w:t>
      </w:r>
      <w:r w:rsidRPr="00994F76" w:rsidR="00DC5D9A">
        <w:rPr>
          <w:rFonts w:ascii="Palatino Linotype" w:hAnsi="Palatino Linotype" w:eastAsia="Palatino Linotype" w:cs="Times New Roman"/>
          <w:bCs/>
          <w:color w:val="000000" w:themeColor="text1"/>
          <w:kern w:val="0"/>
          <w14:ligatures w14:val="none"/>
        </w:rPr>
        <w:t xml:space="preserve"> a new genera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 of integrity management tools</w:t>
      </w:r>
      <w:r w:rsidRPr="00994F76" w:rsidR="009234CC">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and prac</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ces</w:t>
      </w:r>
      <w:r w:rsidRPr="00994F76" w:rsidR="00A1798E">
        <w:rPr>
          <w:rFonts w:ascii="Palatino Linotype" w:hAnsi="Palatino Linotype" w:eastAsia="Palatino Linotype" w:cs="Times New Roman"/>
          <w:bCs/>
          <w:color w:val="000000" w:themeColor="text1"/>
          <w:kern w:val="0"/>
          <w14:ligatures w14:val="none"/>
        </w:rPr>
        <w:t xml:space="preserve"> b</w:t>
      </w:r>
      <w:r w:rsidRPr="00994F76" w:rsidR="00DC5D9A">
        <w:rPr>
          <w:rFonts w:ascii="Palatino Linotype" w:hAnsi="Palatino Linotype" w:eastAsia="Palatino Linotype" w:cs="Times New Roman"/>
          <w:bCs/>
          <w:color w:val="000000" w:themeColor="text1"/>
          <w:kern w:val="0"/>
          <w14:ligatures w14:val="none"/>
        </w:rPr>
        <w:t>y integra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ng 3D mapping, AI-enabled sensors, on-demand and/or real-time monitoring solu</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ons</w:t>
      </w:r>
      <w:r w:rsidRPr="00994F76" w:rsidR="00480DC4">
        <w:rPr>
          <w:rFonts w:ascii="Palatino Linotype" w:hAnsi="Palatino Linotype" w:eastAsia="Palatino Linotype" w:cs="Times New Roman"/>
          <w:bCs/>
          <w:color w:val="000000" w:themeColor="text1"/>
          <w:kern w:val="0"/>
          <w14:ligatures w14:val="none"/>
        </w:rPr>
        <w:t>. PG&amp;E states that it intends to e</w:t>
      </w:r>
      <w:r w:rsidRPr="00994F76" w:rsidR="00DC5D9A">
        <w:rPr>
          <w:rFonts w:ascii="Palatino Linotype" w:hAnsi="Palatino Linotype" w:eastAsia="Palatino Linotype" w:cs="Times New Roman"/>
          <w:bCs/>
          <w:color w:val="000000" w:themeColor="text1"/>
          <w:kern w:val="0"/>
          <w14:ligatures w14:val="none"/>
        </w:rPr>
        <w:t xml:space="preserve">nhance safety, reduce maintenance costs, ensure </w:t>
      </w:r>
      <w:r w:rsidRPr="00994F76" w:rsidR="007966E6">
        <w:rPr>
          <w:rFonts w:ascii="Palatino Linotype" w:hAnsi="Palatino Linotype" w:eastAsia="Palatino Linotype" w:cs="Times New Roman"/>
          <w:bCs/>
          <w:color w:val="000000" w:themeColor="text1"/>
          <w:kern w:val="0"/>
          <w14:ligatures w14:val="none"/>
        </w:rPr>
        <w:t xml:space="preserve">transferable methods and analyses </w:t>
      </w:r>
      <w:r w:rsidRPr="00994F76" w:rsidR="00C40B12">
        <w:rPr>
          <w:rFonts w:ascii="Palatino Linotype" w:hAnsi="Palatino Linotype" w:eastAsia="Palatino Linotype" w:cs="Times New Roman"/>
          <w:bCs/>
          <w:color w:val="000000" w:themeColor="text1"/>
          <w:kern w:val="0"/>
          <w14:ligatures w14:val="none"/>
        </w:rPr>
        <w:t xml:space="preserve">to address </w:t>
      </w:r>
      <w:r w:rsidRPr="00994F76" w:rsidR="00DC5D9A">
        <w:rPr>
          <w:rFonts w:ascii="Palatino Linotype" w:hAnsi="Palatino Linotype" w:eastAsia="Palatino Linotype" w:cs="Times New Roman"/>
          <w:bCs/>
          <w:color w:val="000000" w:themeColor="text1"/>
          <w:kern w:val="0"/>
          <w14:ligatures w14:val="none"/>
        </w:rPr>
        <w:t>federal and state</w:t>
      </w:r>
      <w:r w:rsidRPr="00994F76" w:rsidR="009234CC">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regula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ons</w:t>
      </w:r>
      <w:r w:rsidRPr="00994F76" w:rsidR="009234CC">
        <w:rPr>
          <w:rFonts w:ascii="Palatino Linotype" w:hAnsi="Palatino Linotype" w:eastAsia="Palatino Linotype" w:cs="Times New Roman"/>
          <w:bCs/>
          <w:color w:val="000000" w:themeColor="text1"/>
          <w:kern w:val="0"/>
          <w14:ligatures w14:val="none"/>
        </w:rPr>
        <w:t>, and improve</w:t>
      </w:r>
      <w:r w:rsidRPr="00994F76" w:rsidR="00DC5D9A">
        <w:rPr>
          <w:rFonts w:ascii="Palatino Linotype" w:hAnsi="Palatino Linotype" w:eastAsia="Palatino Linotype" w:cs="Times New Roman"/>
          <w:bCs/>
          <w:color w:val="000000" w:themeColor="text1"/>
          <w:kern w:val="0"/>
          <w14:ligatures w14:val="none"/>
        </w:rPr>
        <w:t xml:space="preserve"> opera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onal efficiency</w:t>
      </w:r>
      <w:r w:rsidRPr="00994F76" w:rsidR="00045595">
        <w:rPr>
          <w:rFonts w:ascii="Palatino Linotype" w:hAnsi="Palatino Linotype" w:eastAsia="Palatino Linotype" w:cs="Times New Roman"/>
          <w:bCs/>
          <w:color w:val="000000" w:themeColor="text1"/>
          <w:kern w:val="0"/>
          <w14:ligatures w14:val="none"/>
        </w:rPr>
        <w:t xml:space="preserve">. </w:t>
      </w:r>
      <w:r w:rsidRPr="00994F76" w:rsidR="00A728DD">
        <w:rPr>
          <w:rFonts w:ascii="Palatino Linotype" w:hAnsi="Palatino Linotype" w:eastAsia="Palatino Linotype" w:cs="Times New Roman"/>
          <w:bCs/>
          <w:color w:val="000000" w:themeColor="text1"/>
          <w:kern w:val="0"/>
          <w14:ligatures w14:val="none"/>
        </w:rPr>
        <w:t xml:space="preserve">PG&amp;E </w:t>
      </w:r>
      <w:r w:rsidRPr="00994F76" w:rsidR="00B61F96">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B61F96">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allocate</w:t>
      </w:r>
      <w:r w:rsidRPr="00994F76" w:rsidR="00A728DD">
        <w:rPr>
          <w:rFonts w:ascii="Palatino Linotype" w:hAnsi="Palatino Linotype" w:eastAsia="Palatino Linotype" w:cs="Times New Roman"/>
          <w:bCs/>
          <w:color w:val="000000" w:themeColor="text1"/>
          <w:kern w:val="0"/>
          <w14:ligatures w14:val="none"/>
        </w:rPr>
        <w:t xml:space="preserve"> </w:t>
      </w:r>
      <w:r w:rsidRPr="00994F76" w:rsidR="004354E8">
        <w:rPr>
          <w:rFonts w:ascii="Palatino Linotype" w:hAnsi="Palatino Linotype"/>
          <w:color w:val="000000" w:themeColor="text1"/>
        </w:rPr>
        <w:t>$893,830</w:t>
      </w:r>
      <w:r w:rsidRPr="00994F76" w:rsidR="00A728DD">
        <w:rPr>
          <w:rFonts w:ascii="Palatino Linotype" w:hAnsi="Palatino Linotype" w:eastAsia="Palatino Linotype" w:cs="Times New Roman"/>
          <w:bCs/>
          <w:color w:val="000000" w:themeColor="text1"/>
          <w:kern w:val="0"/>
          <w14:ligatures w14:val="none"/>
        </w:rPr>
        <w:t xml:space="preserve"> in its 2024 Plan.</w:t>
      </w:r>
      <w:r w:rsidRPr="00994F76" w:rsidR="00224DE3">
        <w:rPr>
          <w:rStyle w:val="FootnoteReference"/>
          <w:rFonts w:ascii="Palatino Linotype" w:hAnsi="Palatino Linotype" w:eastAsia="Palatino Linotype" w:cs="Times New Roman"/>
          <w:bCs/>
          <w:color w:val="000000" w:themeColor="text1"/>
          <w:kern w:val="0"/>
          <w14:ligatures w14:val="none"/>
        </w:rPr>
        <w:footnoteReference w:id="54"/>
      </w:r>
    </w:p>
    <w:p w:rsidRPr="00994F76" w:rsidR="00066940" w:rsidP="007E7238" w:rsidRDefault="00066940" w14:paraId="690144F1" w14:textId="77777777">
      <w:pPr>
        <w:spacing w:after="0" w:line="276" w:lineRule="auto"/>
        <w:ind w:left="720"/>
        <w:rPr>
          <w:rFonts w:ascii="Palatino Linotype" w:hAnsi="Palatino Linotype" w:eastAsia="Palatino Linotype" w:cs="Times New Roman"/>
          <w:bCs/>
          <w:color w:val="000000" w:themeColor="text1"/>
          <w:kern w:val="0"/>
          <w14:ligatures w14:val="none"/>
        </w:rPr>
      </w:pPr>
    </w:p>
    <w:p w:rsidRPr="00994F76" w:rsidR="00066940" w:rsidP="00836A28" w:rsidRDefault="00066940" w14:paraId="5EDE8032" w14:textId="108DA9E0">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Advanced Leak Detec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on and Repair</w:t>
      </w:r>
    </w:p>
    <w:p w:rsidRPr="00994F76" w:rsidR="002F46AE" w:rsidP="007E7238" w:rsidRDefault="00B22998" w14:paraId="26D2AAAE" w14:textId="0EA30C2B">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480DC4">
        <w:rPr>
          <w:rFonts w:ascii="Palatino Linotype" w:hAnsi="Palatino Linotype" w:eastAsia="Palatino Linotype" w:cs="Times New Roman"/>
          <w:bCs/>
          <w:color w:val="000000" w:themeColor="text1"/>
          <w:kern w:val="0"/>
          <w14:ligatures w14:val="none"/>
        </w:rPr>
        <w:t xml:space="preserve">states that it seeks to develop projects </w:t>
      </w:r>
      <w:r w:rsidRPr="00994F76">
        <w:rPr>
          <w:rFonts w:ascii="Palatino Linotype" w:hAnsi="Palatino Linotype" w:eastAsia="Palatino Linotype" w:cs="Times New Roman"/>
          <w:bCs/>
          <w:color w:val="000000" w:themeColor="text1"/>
          <w:kern w:val="0"/>
          <w14:ligatures w14:val="none"/>
        </w:rPr>
        <w:t>within the Advanced Leak Detec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 and Repair Initiative to </w:t>
      </w:r>
      <w:r w:rsidRPr="00994F76" w:rsidR="009C4B0C">
        <w:rPr>
          <w:rFonts w:ascii="Palatino Linotype" w:hAnsi="Palatino Linotype" w:eastAsia="Palatino Linotype" w:cs="Times New Roman"/>
          <w:bCs/>
          <w:color w:val="000000" w:themeColor="text1"/>
          <w:kern w:val="0"/>
          <w14:ligatures w14:val="none"/>
        </w:rPr>
        <w:t>a</w:t>
      </w:r>
      <w:r w:rsidRPr="00994F76" w:rsidR="002C4A89">
        <w:rPr>
          <w:rFonts w:ascii="Palatino Linotype" w:hAnsi="Palatino Linotype" w:eastAsia="Palatino Linotype" w:cs="Times New Roman"/>
          <w:bCs/>
          <w:color w:val="000000" w:themeColor="text1"/>
          <w:kern w:val="0"/>
          <w14:ligatures w14:val="none"/>
        </w:rPr>
        <w:t>dvance</w:t>
      </w:r>
      <w:r w:rsidRPr="00994F76" w:rsidR="00D60C6A">
        <w:rPr>
          <w:rFonts w:ascii="Palatino Linotype" w:hAnsi="Palatino Linotype" w:eastAsia="Palatino Linotype" w:cs="Times New Roman"/>
          <w:bCs/>
          <w:color w:val="000000" w:themeColor="text1"/>
          <w:kern w:val="0"/>
          <w14:ligatures w14:val="none"/>
        </w:rPr>
        <w:t xml:space="preserve"> next-generation</w:t>
      </w:r>
      <w:r w:rsidRPr="00994F76" w:rsidR="002C4A89">
        <w:rPr>
          <w:rFonts w:ascii="Palatino Linotype" w:hAnsi="Palatino Linotype" w:eastAsia="Palatino Linotype" w:cs="Times New Roman"/>
          <w:bCs/>
          <w:color w:val="000000" w:themeColor="text1"/>
          <w:kern w:val="0"/>
          <w14:ligatures w14:val="none"/>
        </w:rPr>
        <w:t xml:space="preserve">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 xml:space="preserve">on </w:t>
      </w:r>
      <w:r w:rsidRPr="00994F76" w:rsidR="00D60C6A">
        <w:rPr>
          <w:rFonts w:ascii="Palatino Linotype" w:hAnsi="Palatino Linotype" w:eastAsia="Palatino Linotype" w:cs="Times New Roman"/>
          <w:bCs/>
          <w:color w:val="000000" w:themeColor="text1"/>
          <w:kern w:val="0"/>
          <w14:ligatures w14:val="none"/>
        </w:rPr>
        <w:t>and repair solutions,</w:t>
      </w:r>
      <w:r w:rsidRPr="00994F76" w:rsidR="002C4A89">
        <w:rPr>
          <w:rFonts w:ascii="Palatino Linotype" w:hAnsi="Palatino Linotype" w:eastAsia="Palatino Linotype" w:cs="Times New Roman"/>
          <w:bCs/>
          <w:color w:val="000000" w:themeColor="text1"/>
          <w:kern w:val="0"/>
          <w14:ligatures w14:val="none"/>
        </w:rPr>
        <w:t xml:space="preserve"> including mobile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 aerial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 (drone</w:t>
      </w:r>
      <w:r w:rsidRPr="00994F76" w:rsidR="00CE63CF">
        <w:rPr>
          <w:rFonts w:ascii="Palatino Linotype" w:hAnsi="Palatino Linotype" w:eastAsia="Palatino Linotype" w:cs="Times New Roman"/>
          <w:bCs/>
          <w:color w:val="000000" w:themeColor="text1"/>
          <w:kern w:val="0"/>
          <w14:ligatures w14:val="none"/>
        </w:rPr>
        <w:t xml:space="preserve">s and </w:t>
      </w:r>
      <w:r w:rsidRPr="00994F76" w:rsidR="002C4A89">
        <w:rPr>
          <w:rFonts w:ascii="Palatino Linotype" w:hAnsi="Palatino Linotype" w:eastAsia="Palatino Linotype" w:cs="Times New Roman"/>
          <w:bCs/>
          <w:color w:val="000000" w:themeColor="text1"/>
          <w:kern w:val="0"/>
          <w14:ligatures w14:val="none"/>
        </w:rPr>
        <w:t>satellite</w:t>
      </w:r>
      <w:r w:rsidRPr="00994F76" w:rsidR="00CE63CF">
        <w:rPr>
          <w:rFonts w:ascii="Palatino Linotype" w:hAnsi="Palatino Linotype" w:eastAsia="Palatino Linotype" w:cs="Times New Roman"/>
          <w:bCs/>
          <w:color w:val="000000" w:themeColor="text1"/>
          <w:kern w:val="0"/>
          <w14:ligatures w14:val="none"/>
        </w:rPr>
        <w:t>s</w:t>
      </w:r>
      <w:r w:rsidRPr="00994F76" w:rsidR="002C4A89">
        <w:rPr>
          <w:rFonts w:ascii="Palatino Linotype" w:hAnsi="Palatino Linotype" w:eastAsia="Palatino Linotype" w:cs="Times New Roman"/>
          <w:bCs/>
          <w:color w:val="000000" w:themeColor="text1"/>
          <w:kern w:val="0"/>
          <w14:ligatures w14:val="none"/>
        </w:rPr>
        <w:t>), and con</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nuous monitoring op</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ons</w:t>
      </w:r>
      <w:r w:rsidRPr="00994F76" w:rsidR="00480DC4">
        <w:rPr>
          <w:rFonts w:ascii="Palatino Linotype" w:hAnsi="Palatino Linotype" w:eastAsia="Palatino Linotype" w:cs="Times New Roman"/>
          <w:bCs/>
          <w:color w:val="000000" w:themeColor="text1"/>
          <w:kern w:val="0"/>
          <w14:ligatures w14:val="none"/>
        </w:rPr>
        <w:t xml:space="preserve">. PG&amp;E states that it intends to </w:t>
      </w:r>
      <w:r w:rsidRPr="00994F76" w:rsidR="00C501CD">
        <w:rPr>
          <w:rFonts w:ascii="Palatino Linotype" w:hAnsi="Palatino Linotype" w:eastAsia="Palatino Linotype" w:cs="Times New Roman"/>
          <w:bCs/>
          <w:color w:val="000000" w:themeColor="text1"/>
          <w:kern w:val="0"/>
          <w14:ligatures w14:val="none"/>
        </w:rPr>
        <w:t>reduce emissions, increase opera</w:t>
      </w:r>
      <w:r w:rsidRPr="00994F76" w:rsidR="00C501CD">
        <w:rPr>
          <w:rFonts w:ascii="Palatino Linotype" w:hAnsi="Palatino Linotype" w:eastAsia="Palatino Linotype" w:cs="Palatino Linotype"/>
          <w:bCs/>
          <w:color w:val="000000" w:themeColor="text1"/>
          <w:kern w:val="0"/>
          <w14:ligatures w14:val="none"/>
        </w:rPr>
        <w:t>ti</w:t>
      </w:r>
      <w:r w:rsidRPr="00994F76" w:rsidR="00C501CD">
        <w:rPr>
          <w:rFonts w:ascii="Palatino Linotype" w:hAnsi="Palatino Linotype" w:eastAsia="Palatino Linotype" w:cs="Times New Roman"/>
          <w:bCs/>
          <w:color w:val="000000" w:themeColor="text1"/>
          <w:kern w:val="0"/>
          <w14:ligatures w14:val="none"/>
        </w:rPr>
        <w:t>onal</w:t>
      </w:r>
      <w:r w:rsidRPr="00994F76" w:rsidR="0078764D">
        <w:rPr>
          <w:rFonts w:ascii="Palatino Linotype" w:hAnsi="Palatino Linotype" w:eastAsia="Palatino Linotype" w:cs="Times New Roman"/>
          <w:bCs/>
          <w:color w:val="000000" w:themeColor="text1"/>
          <w:kern w:val="0"/>
          <w14:ligatures w14:val="none"/>
        </w:rPr>
        <w:t xml:space="preserve"> </w:t>
      </w:r>
      <w:r w:rsidRPr="00994F76" w:rsidR="00C501CD">
        <w:rPr>
          <w:rFonts w:ascii="Palatino Linotype" w:hAnsi="Palatino Linotype" w:eastAsia="Palatino Linotype" w:cs="Times New Roman"/>
          <w:bCs/>
          <w:color w:val="000000" w:themeColor="text1"/>
          <w:kern w:val="0"/>
          <w14:ligatures w14:val="none"/>
        </w:rPr>
        <w:t>reliability, and help meet evolving state policy goals</w:t>
      </w:r>
      <w:r w:rsidRPr="00994F76" w:rsidR="009C4B0C">
        <w:rPr>
          <w:rFonts w:ascii="Palatino Linotype" w:hAnsi="Palatino Linotype" w:eastAsia="Palatino Linotype" w:cs="Times New Roman"/>
          <w:bCs/>
          <w:color w:val="000000" w:themeColor="text1"/>
          <w:kern w:val="0"/>
          <w14:ligatures w14:val="none"/>
        </w:rPr>
        <w:t xml:space="preserve">. </w:t>
      </w:r>
      <w:r w:rsidRPr="00994F76" w:rsidR="002F46AE">
        <w:rPr>
          <w:rFonts w:ascii="Palatino Linotype" w:hAnsi="Palatino Linotype" w:eastAsia="Palatino Linotype" w:cs="Times New Roman"/>
          <w:bCs/>
          <w:color w:val="000000" w:themeColor="text1"/>
          <w:kern w:val="0"/>
          <w14:ligatures w14:val="none"/>
        </w:rPr>
        <w:t xml:space="preserve">PG&amp;E </w:t>
      </w:r>
      <w:r w:rsidRPr="00994F76" w:rsidR="00B61F96">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B61F96">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 xml:space="preserve">allocate </w:t>
      </w:r>
      <w:r w:rsidRPr="00994F76" w:rsidR="002F46AE">
        <w:rPr>
          <w:rFonts w:ascii="Palatino Linotype" w:hAnsi="Palatino Linotype" w:eastAsia="Palatino Linotype" w:cs="Times New Roman"/>
          <w:bCs/>
          <w:color w:val="000000" w:themeColor="text1"/>
          <w:kern w:val="0"/>
          <w14:ligatures w14:val="none"/>
        </w:rPr>
        <w:t>$</w:t>
      </w:r>
      <w:r w:rsidRPr="00994F76" w:rsidR="00A962A7">
        <w:rPr>
          <w:rFonts w:ascii="Palatino Linotype" w:hAnsi="Palatino Linotype" w:eastAsia="Palatino Linotype" w:cs="Times New Roman"/>
          <w:bCs/>
          <w:color w:val="000000" w:themeColor="text1"/>
          <w:kern w:val="0"/>
          <w14:ligatures w14:val="none"/>
        </w:rPr>
        <w:t>61,615</w:t>
      </w:r>
      <w:r w:rsidRPr="00994F76" w:rsidR="002F46AE">
        <w:rPr>
          <w:rFonts w:ascii="Palatino Linotype" w:hAnsi="Palatino Linotype" w:eastAsia="Palatino Linotype" w:cs="Times New Roman"/>
          <w:bCs/>
          <w:color w:val="000000" w:themeColor="text1"/>
          <w:kern w:val="0"/>
          <w14:ligatures w14:val="none"/>
        </w:rPr>
        <w:t xml:space="preserve"> </w:t>
      </w:r>
      <w:proofErr w:type="gramStart"/>
      <w:r w:rsidRPr="00994F76" w:rsidR="002F46AE">
        <w:rPr>
          <w:rFonts w:ascii="Palatino Linotype" w:hAnsi="Palatino Linotype" w:eastAsia="Palatino Linotype" w:cs="Times New Roman"/>
          <w:bCs/>
          <w:color w:val="000000" w:themeColor="text1"/>
          <w:kern w:val="0"/>
          <w14:ligatures w14:val="none"/>
        </w:rPr>
        <w:t>in</w:t>
      </w:r>
      <w:proofErr w:type="gramEnd"/>
      <w:r w:rsidRPr="00994F76" w:rsidR="002F46AE">
        <w:rPr>
          <w:rFonts w:ascii="Palatino Linotype" w:hAnsi="Palatino Linotype" w:eastAsia="Palatino Linotype" w:cs="Times New Roman"/>
          <w:bCs/>
          <w:color w:val="000000" w:themeColor="text1"/>
          <w:kern w:val="0"/>
          <w14:ligatures w14:val="none"/>
        </w:rPr>
        <w:t xml:space="preserve"> its 2024 Plan.</w:t>
      </w:r>
      <w:r w:rsidRPr="00994F76" w:rsidR="00E20BFA">
        <w:rPr>
          <w:rStyle w:val="FootnoteReference"/>
          <w:rFonts w:ascii="Palatino Linotype" w:hAnsi="Palatino Linotype" w:eastAsia="Palatino Linotype" w:cs="Times New Roman"/>
          <w:bCs/>
          <w:color w:val="000000" w:themeColor="text1"/>
          <w:kern w:val="0"/>
          <w14:ligatures w14:val="none"/>
        </w:rPr>
        <w:footnoteReference w:id="55"/>
      </w:r>
    </w:p>
    <w:p w:rsidRPr="00994F76" w:rsidR="00160539" w:rsidP="00361AB6" w:rsidRDefault="00D87C13" w14:paraId="6A1200F3" w14:textId="25F1EEFC">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lastRenderedPageBreak/>
        <w:t>Decarbonization Theme</w:t>
      </w:r>
      <w:r w:rsidRPr="00994F76" w:rsidR="00362619">
        <w:rPr>
          <w:rFonts w:ascii="Palatino Linotype" w:hAnsi="Palatino Linotype" w:eastAsia="Palatino Linotype" w:cs="Times New Roman"/>
          <w:i/>
          <w:color w:val="000000" w:themeColor="text1"/>
          <w:kern w:val="0"/>
          <w14:ligatures w14:val="none"/>
        </w:rPr>
        <w:t xml:space="preserve"> Proposed Initiatives</w:t>
      </w:r>
    </w:p>
    <w:p w:rsidRPr="00E15257" w:rsidR="0078790D" w:rsidP="00E15257" w:rsidRDefault="00160539" w14:paraId="5CBEF9BB" w14:textId="5D184711">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81DDE">
        <w:rPr>
          <w:rFonts w:ascii="Palatino Linotype" w:hAnsi="Palatino Linotype" w:eastAsia="Palatino Linotype" w:cs="Times New Roman"/>
          <w:bCs/>
          <w:color w:val="000000" w:themeColor="text1"/>
          <w:kern w:val="0"/>
          <w14:ligatures w14:val="none"/>
        </w:rPr>
        <w:t xml:space="preserve">states that it seeks to develop Initiatives within the </w:t>
      </w:r>
      <w:r w:rsidRPr="00994F76">
        <w:rPr>
          <w:rFonts w:ascii="Palatino Linotype" w:hAnsi="Palatino Linotype" w:eastAsia="Palatino Linotype" w:cs="Times New Roman"/>
          <w:bCs/>
          <w:color w:val="000000" w:themeColor="text1"/>
          <w:kern w:val="0"/>
          <w14:ligatures w14:val="none"/>
        </w:rPr>
        <w:t xml:space="preserve">Decarbonization Theme to </w:t>
      </w:r>
      <w:r w:rsidRPr="00994F76" w:rsidR="00A70430">
        <w:rPr>
          <w:rFonts w:ascii="Palatino Linotype" w:hAnsi="Palatino Linotype" w:eastAsia="Palatino Linotype" w:cs="Times New Roman"/>
          <w:bCs/>
          <w:color w:val="000000" w:themeColor="text1"/>
          <w:kern w:val="0"/>
          <w14:ligatures w14:val="none"/>
        </w:rPr>
        <w:t>d</w:t>
      </w:r>
      <w:r w:rsidRPr="00994F76" w:rsidR="00BB7C41">
        <w:rPr>
          <w:rFonts w:ascii="Palatino Linotype" w:hAnsi="Palatino Linotype" w:eastAsia="Palatino Linotype" w:cs="Times New Roman"/>
          <w:bCs/>
          <w:color w:val="000000" w:themeColor="text1"/>
          <w:kern w:val="0"/>
          <w14:ligatures w14:val="none"/>
        </w:rPr>
        <w:t>evelop or advance technologies to decarbonize the gas system</w:t>
      </w:r>
      <w:r w:rsidRPr="00994F76" w:rsidR="00A70430">
        <w:rPr>
          <w:rFonts w:ascii="Palatino Linotype" w:hAnsi="Palatino Linotype" w:eastAsia="Palatino Linotype" w:cs="Times New Roman"/>
          <w:bCs/>
          <w:color w:val="000000" w:themeColor="text1"/>
          <w:kern w:val="0"/>
          <w14:ligatures w14:val="none"/>
        </w:rPr>
        <w:t xml:space="preserve"> by conducting founda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onal research that better informs the industry’s understanding of the challenges and impacts of integra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ng cleaner fuels into exis</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ng pipelines and system assets, as well as into customer applica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ons and end uses.</w:t>
      </w:r>
      <w:r w:rsidRPr="00994F76" w:rsidR="00EF229B">
        <w:rPr>
          <w:rStyle w:val="FootnoteReference"/>
          <w:rFonts w:ascii="Palatino Linotype" w:hAnsi="Palatino Linotype" w:eastAsia="Palatino Linotype" w:cs="Times New Roman"/>
          <w:bCs/>
          <w:color w:val="000000" w:themeColor="text1"/>
          <w:kern w:val="0"/>
          <w14:ligatures w14:val="none"/>
        </w:rPr>
        <w:footnoteReference w:id="56"/>
      </w:r>
    </w:p>
    <w:p w:rsidRPr="00994F76" w:rsidR="002F46AE" w:rsidP="00836A28" w:rsidRDefault="00236968" w14:paraId="291FAB10" w14:textId="257616FB">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Clean Fuels Integra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on</w:t>
      </w:r>
      <w:r w:rsidRPr="00994F76" w:rsidR="0096453F">
        <w:rPr>
          <w:rFonts w:ascii="Palatino Linotype" w:hAnsi="Palatino Linotype" w:eastAsia="Palatino Linotype" w:cs="Times New Roman"/>
          <w:color w:val="000000" w:themeColor="text1"/>
          <w:kern w:val="0"/>
          <w14:ligatures w14:val="none"/>
        </w:rPr>
        <w:t xml:space="preserve"> </w:t>
      </w:r>
    </w:p>
    <w:p w:rsidRPr="00994F76" w:rsidR="00F1673B" w:rsidP="007E7238" w:rsidRDefault="000A2E91" w14:paraId="0CE21AB6" w14:textId="70C8D4E3">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81DDE">
        <w:rPr>
          <w:rFonts w:ascii="Palatino Linotype" w:hAnsi="Palatino Linotype" w:eastAsia="Palatino Linotype" w:cs="Times New Roman"/>
          <w:bCs/>
          <w:color w:val="000000" w:themeColor="text1"/>
          <w:kern w:val="0"/>
          <w14:ligatures w14:val="none"/>
        </w:rPr>
        <w:t xml:space="preserve">states that it seeks to develop projects within the </w:t>
      </w:r>
      <w:r w:rsidRPr="00994F76">
        <w:rPr>
          <w:rFonts w:ascii="Palatino Linotype" w:hAnsi="Palatino Linotype" w:eastAsia="Palatino Linotype" w:cs="Times New Roman"/>
          <w:bCs/>
          <w:color w:val="000000" w:themeColor="text1"/>
          <w:kern w:val="0"/>
          <w14:ligatures w14:val="none"/>
        </w:rPr>
        <w:t>Clean Fuels Integration Initiative</w:t>
      </w:r>
      <w:r w:rsidRPr="00994F76" w:rsidR="00121D5D">
        <w:rPr>
          <w:rFonts w:ascii="Palatino Linotype" w:hAnsi="Palatino Linotype" w:eastAsia="Palatino Linotype" w:cs="Times New Roman"/>
          <w:bCs/>
          <w:color w:val="000000" w:themeColor="text1"/>
          <w:kern w:val="0"/>
          <w14:ligatures w14:val="none"/>
        </w:rPr>
        <w:t xml:space="preserve"> to assess the technical, opera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onal, and economic implica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ons of clean fuel integra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w:t>
      </w:r>
      <w:r w:rsidRPr="00994F76" w:rsidR="001843DD">
        <w:rPr>
          <w:rFonts w:ascii="Palatino Linotype" w:hAnsi="Palatino Linotype" w:eastAsia="Palatino Linotype" w:cs="Times New Roman"/>
          <w:bCs/>
          <w:color w:val="000000" w:themeColor="text1"/>
          <w:kern w:val="0"/>
          <w14:ligatures w14:val="none"/>
        </w:rPr>
        <w:t xml:space="preserve"> (</w:t>
      </w:r>
      <w:r w:rsidRPr="00994F76" w:rsidR="0096453F">
        <w:rPr>
          <w:rFonts w:ascii="Palatino Linotype" w:hAnsi="Palatino Linotype" w:eastAsia="Palatino Linotype" w:cs="Times New Roman"/>
          <w:bCs/>
          <w:color w:val="000000" w:themeColor="text1"/>
          <w:kern w:val="0"/>
          <w14:ligatures w14:val="none"/>
        </w:rPr>
        <w:t>renewable natural gas</w:t>
      </w:r>
      <w:r w:rsidRPr="00994F76" w:rsidR="001843DD">
        <w:rPr>
          <w:rFonts w:ascii="Palatino Linotype" w:hAnsi="Palatino Linotype" w:eastAsia="Palatino Linotype" w:cs="Times New Roman"/>
          <w:bCs/>
          <w:color w:val="000000" w:themeColor="text1"/>
          <w:kern w:val="0"/>
          <w14:ligatures w14:val="none"/>
        </w:rPr>
        <w:t>, renewable hydrogen, and synthe</w:t>
      </w:r>
      <w:r w:rsidRPr="00994F76" w:rsidR="001843DD">
        <w:rPr>
          <w:rFonts w:ascii="Palatino Linotype" w:hAnsi="Palatino Linotype" w:eastAsia="Palatino Linotype" w:cs="Palatino Linotype"/>
          <w:bCs/>
          <w:color w:val="000000" w:themeColor="text1"/>
          <w:kern w:val="0"/>
          <w14:ligatures w14:val="none"/>
        </w:rPr>
        <w:t>ti</w:t>
      </w:r>
      <w:r w:rsidRPr="00994F76" w:rsidR="001843DD">
        <w:rPr>
          <w:rFonts w:ascii="Palatino Linotype" w:hAnsi="Palatino Linotype" w:eastAsia="Palatino Linotype" w:cs="Times New Roman"/>
          <w:bCs/>
          <w:color w:val="000000" w:themeColor="text1"/>
          <w:kern w:val="0"/>
          <w14:ligatures w14:val="none"/>
        </w:rPr>
        <w:t>c methane)</w:t>
      </w:r>
      <w:r w:rsidRPr="00994F76" w:rsidR="00A81DDE">
        <w:rPr>
          <w:rFonts w:ascii="Palatino Linotype" w:hAnsi="Palatino Linotype" w:eastAsia="Palatino Linotype" w:cs="Times New Roman"/>
          <w:bCs/>
          <w:color w:val="000000" w:themeColor="text1"/>
          <w:kern w:val="0"/>
          <w14:ligatures w14:val="none"/>
        </w:rPr>
        <w:t>. PG&amp;E states that</w:t>
      </w:r>
      <w:r w:rsidRPr="00994F76" w:rsidR="00DE61BA">
        <w:rPr>
          <w:rFonts w:ascii="Palatino Linotype" w:hAnsi="Palatino Linotype" w:eastAsia="Palatino Linotype" w:cs="Times New Roman"/>
          <w:bCs/>
          <w:color w:val="000000" w:themeColor="text1"/>
          <w:kern w:val="0"/>
          <w14:ligatures w14:val="none"/>
        </w:rPr>
        <w:t xml:space="preserve"> it</w:t>
      </w:r>
      <w:r w:rsidRPr="00994F76" w:rsidR="00A81DDE">
        <w:rPr>
          <w:rFonts w:ascii="Palatino Linotype" w:hAnsi="Palatino Linotype" w:eastAsia="Palatino Linotype" w:cs="Times New Roman"/>
          <w:bCs/>
          <w:color w:val="000000" w:themeColor="text1"/>
          <w:kern w:val="0"/>
          <w14:ligatures w14:val="none"/>
        </w:rPr>
        <w:t xml:space="preserve"> intends </w:t>
      </w:r>
      <w:r w:rsidRPr="00994F76" w:rsidR="001843DD">
        <w:rPr>
          <w:rFonts w:ascii="Palatino Linotype" w:hAnsi="Palatino Linotype" w:eastAsia="Palatino Linotype" w:cs="Times New Roman"/>
          <w:bCs/>
          <w:color w:val="000000" w:themeColor="text1"/>
          <w:kern w:val="0"/>
          <w14:ligatures w14:val="none"/>
        </w:rPr>
        <w:t xml:space="preserve">to </w:t>
      </w:r>
      <w:r w:rsidRPr="00994F76" w:rsidR="00FF5212">
        <w:rPr>
          <w:rFonts w:ascii="Palatino Linotype" w:hAnsi="Palatino Linotype" w:eastAsia="Palatino Linotype" w:cs="Times New Roman"/>
          <w:bCs/>
          <w:color w:val="000000" w:themeColor="text1"/>
          <w:kern w:val="0"/>
          <w14:ligatures w14:val="none"/>
        </w:rPr>
        <w:t xml:space="preserve">support carbon reduction, system reliability, and energy affordability. </w:t>
      </w:r>
      <w:r w:rsidRPr="00994F76" w:rsidR="002F46AE">
        <w:rPr>
          <w:rFonts w:ascii="Palatino Linotype" w:hAnsi="Palatino Linotype" w:eastAsia="Palatino Linotype" w:cs="Times New Roman"/>
          <w:bCs/>
          <w:color w:val="000000" w:themeColor="text1"/>
          <w:kern w:val="0"/>
          <w14:ligatures w14:val="none"/>
        </w:rPr>
        <w:t xml:space="preserve">PG&amp;E </w:t>
      </w:r>
      <w:r w:rsidRPr="00994F76" w:rsidR="00860ED3">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860ED3">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allocate</w:t>
      </w:r>
      <w:r w:rsidRPr="00994F76" w:rsidR="002F46AE">
        <w:rPr>
          <w:rFonts w:ascii="Palatino Linotype" w:hAnsi="Palatino Linotype" w:eastAsia="Palatino Linotype" w:cs="Times New Roman"/>
          <w:bCs/>
          <w:color w:val="000000" w:themeColor="text1"/>
          <w:kern w:val="0"/>
          <w14:ligatures w14:val="none"/>
        </w:rPr>
        <w:t xml:space="preserve"> </w:t>
      </w:r>
      <w:r w:rsidRPr="00994F76" w:rsidR="00F1673B">
        <w:rPr>
          <w:rFonts w:ascii="Palatino Linotype" w:hAnsi="Palatino Linotype" w:eastAsia="Palatino Linotype" w:cs="Times New Roman"/>
          <w:bCs/>
          <w:color w:val="000000" w:themeColor="text1"/>
          <w:kern w:val="0"/>
          <w14:ligatures w14:val="none"/>
        </w:rPr>
        <w:t>$</w:t>
      </w:r>
      <w:r w:rsidRPr="00994F76" w:rsidR="000977CB">
        <w:rPr>
          <w:rFonts w:ascii="Palatino Linotype" w:hAnsi="Palatino Linotype" w:eastAsia="Palatino Linotype" w:cs="Times New Roman"/>
          <w:bCs/>
          <w:color w:val="000000" w:themeColor="text1"/>
          <w:kern w:val="0"/>
          <w14:ligatures w14:val="none"/>
        </w:rPr>
        <w:t>181,152</w:t>
      </w:r>
      <w:r w:rsidRPr="00994F76" w:rsidR="002F46AE">
        <w:rPr>
          <w:rFonts w:ascii="Palatino Linotype" w:hAnsi="Palatino Linotype" w:eastAsia="Palatino Linotype" w:cs="Times New Roman"/>
          <w:bCs/>
          <w:color w:val="000000" w:themeColor="text1"/>
          <w:kern w:val="0"/>
          <w14:ligatures w14:val="none"/>
        </w:rPr>
        <w:t xml:space="preserve"> in its 2024 Plan.</w:t>
      </w:r>
      <w:r w:rsidRPr="00994F76" w:rsidR="00AB3D8E">
        <w:rPr>
          <w:rStyle w:val="FootnoteReference"/>
          <w:rFonts w:ascii="Palatino Linotype" w:hAnsi="Palatino Linotype" w:eastAsia="Palatino Linotype" w:cs="Times New Roman"/>
          <w:bCs/>
          <w:color w:val="000000" w:themeColor="text1"/>
          <w:kern w:val="0"/>
          <w14:ligatures w14:val="none"/>
        </w:rPr>
        <w:footnoteReference w:id="57"/>
      </w:r>
    </w:p>
    <w:p w:rsidR="00AD4072" w:rsidP="00361AB6" w:rsidRDefault="00AD4072" w14:paraId="77851026"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A9114E" w:rsidP="00361AB6" w:rsidRDefault="00A9114E" w14:paraId="533C3A17"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22505D" w:rsidP="00361AB6" w:rsidRDefault="0022505D" w14:paraId="2FF5E2F8" w14:textId="63BA790D">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1A5B5E" w:rsidP="001A5B5E" w:rsidRDefault="001A5B5E" w14:paraId="46EC3486" w14:textId="1159E249">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$8</w:t>
      </w:r>
      <w:r w:rsidRPr="00994F76" w:rsidR="00F9217B">
        <w:rPr>
          <w:rFonts w:ascii="Palatino Linotype" w:hAnsi="Palatino Linotype" w:eastAsia="Palatino Linotype" w:cs="Times New Roman"/>
          <w:bCs/>
          <w:color w:val="000000" w:themeColor="text1"/>
          <w:kern w:val="0"/>
          <w14:ligatures w14:val="none"/>
        </w:rPr>
        <w:t>09,200</w:t>
      </w:r>
      <w:r w:rsidRPr="00994F76">
        <w:rPr>
          <w:rFonts w:ascii="Palatino Linotype" w:hAnsi="Palatino Linotype" w:eastAsia="Palatino Linotype" w:cs="Times New Roman"/>
          <w:bCs/>
          <w:color w:val="000000" w:themeColor="text1"/>
          <w:kern w:val="0"/>
          <w14:ligatures w14:val="none"/>
        </w:rPr>
        <w:t xml:space="preserve"> in its 2025 Plan to administrative costs.</w:t>
      </w:r>
      <w:r w:rsidRPr="00994F76">
        <w:rPr>
          <w:rStyle w:val="FootnoteReference"/>
          <w:rFonts w:ascii="Palatino Linotype" w:hAnsi="Palatino Linotype" w:eastAsia="Palatino Linotype" w:cs="Times New Roman"/>
          <w:bCs/>
          <w:color w:val="000000" w:themeColor="text1"/>
          <w:kern w:val="0"/>
          <w14:ligatures w14:val="none"/>
        </w:rPr>
        <w:footnoteReference w:id="58"/>
      </w:r>
    </w:p>
    <w:p w:rsidRPr="00994F76" w:rsidR="00A61A02" w:rsidP="004D5E0E" w:rsidRDefault="00A61A02" w14:paraId="01D90741" w14:textId="77777777">
      <w:pPr>
        <w:spacing w:after="0" w:line="276" w:lineRule="auto"/>
        <w:rPr>
          <w:rFonts w:ascii="Palatino Linotype" w:hAnsi="Palatino Linotype" w:eastAsia="Palatino Linotype" w:cs="Times New Roman"/>
          <w:bCs/>
          <w:color w:val="000000" w:themeColor="text1"/>
          <w:kern w:val="0"/>
          <w14:ligatures w14:val="none"/>
        </w:rPr>
      </w:pPr>
    </w:p>
    <w:p w:rsidR="00A61A02" w:rsidP="004D5E0E" w:rsidRDefault="00E11D3C" w14:paraId="5B8CF70D" w14:textId="5E778C33">
      <w:pPr>
        <w:spacing w:after="0" w:line="276" w:lineRule="auto"/>
        <w:rPr>
          <w:rFonts w:ascii="Palatino Linotype" w:hAnsi="Palatino Linotype" w:eastAsia="Palatino Linotype" w:cs="Times New Roman"/>
          <w:b/>
          <w:color w:val="000000" w:themeColor="text1"/>
        </w:rPr>
      </w:pPr>
      <w:r w:rsidRPr="00994F76">
        <w:rPr>
          <w:rFonts w:ascii="Palatino Linotype" w:hAnsi="Palatino Linotype" w:eastAsia="Palatino Linotype" w:cs="Times New Roman"/>
          <w:b/>
          <w:color w:val="000000" w:themeColor="text1"/>
        </w:rPr>
        <w:t>Summary of PG&amp;E</w:t>
      </w:r>
      <w:r w:rsidRPr="00994F76" w:rsidR="00BD0F91">
        <w:rPr>
          <w:rFonts w:ascii="Palatino Linotype" w:hAnsi="Palatino Linotype" w:eastAsia="Palatino Linotype" w:cs="Times New Roman"/>
          <w:b/>
          <w:color w:val="000000" w:themeColor="text1"/>
        </w:rPr>
        <w:t>’s</w:t>
      </w:r>
      <w:r w:rsidRPr="00994F76" w:rsidR="00592E7A">
        <w:rPr>
          <w:rFonts w:ascii="Palatino Linotype" w:hAnsi="Palatino Linotype" w:eastAsia="Palatino Linotype" w:cs="Times New Roman"/>
          <w:b/>
          <w:color w:val="000000" w:themeColor="text1"/>
        </w:rPr>
        <w:t xml:space="preserve"> Advice Letter</w:t>
      </w:r>
      <w:r w:rsidRPr="00994F76" w:rsidR="009C3FCA">
        <w:rPr>
          <w:rFonts w:ascii="Palatino Linotype" w:hAnsi="Palatino Linotype" w:eastAsia="Palatino Linotype" w:cs="Times New Roman"/>
          <w:b/>
          <w:color w:val="000000" w:themeColor="text1"/>
        </w:rPr>
        <w:t xml:space="preserve"> 5</w:t>
      </w:r>
      <w:r w:rsidRPr="00994F76" w:rsidR="0083425E">
        <w:rPr>
          <w:rFonts w:ascii="Palatino Linotype" w:hAnsi="Palatino Linotype" w:eastAsia="Palatino Linotype" w:cs="Times New Roman"/>
          <w:b/>
          <w:color w:val="000000" w:themeColor="text1"/>
        </w:rPr>
        <w:t>19</w:t>
      </w:r>
      <w:r w:rsidRPr="00994F76" w:rsidR="006D43D0">
        <w:rPr>
          <w:rFonts w:ascii="Palatino Linotype" w:hAnsi="Palatino Linotype" w:eastAsia="Palatino Linotype" w:cs="Times New Roman"/>
          <w:b/>
          <w:color w:val="000000" w:themeColor="text1"/>
        </w:rPr>
        <w:t>7</w:t>
      </w:r>
      <w:r w:rsidRPr="00994F76" w:rsidR="009C3FCA">
        <w:rPr>
          <w:rFonts w:ascii="Palatino Linotype" w:hAnsi="Palatino Linotype" w:eastAsia="Palatino Linotype" w:cs="Times New Roman"/>
          <w:b/>
          <w:color w:val="000000" w:themeColor="text1"/>
        </w:rPr>
        <w:t>-G:</w:t>
      </w:r>
      <w:r w:rsidRPr="00994F76">
        <w:rPr>
          <w:rFonts w:ascii="Palatino Linotype" w:hAnsi="Palatino Linotype" w:eastAsia="Palatino Linotype" w:cs="Times New Roman"/>
          <w:b/>
          <w:color w:val="000000" w:themeColor="text1"/>
        </w:rPr>
        <w:t xml:space="preserve"> 202</w:t>
      </w:r>
      <w:r w:rsidRPr="00994F76" w:rsidR="009C3FCA">
        <w:rPr>
          <w:rFonts w:ascii="Palatino Linotype" w:hAnsi="Palatino Linotype" w:eastAsia="Palatino Linotype" w:cs="Times New Roman"/>
          <w:b/>
          <w:color w:val="000000" w:themeColor="text1"/>
        </w:rPr>
        <w:t>5</w:t>
      </w:r>
      <w:r w:rsidRPr="00994F76">
        <w:rPr>
          <w:rFonts w:ascii="Palatino Linotype" w:hAnsi="Palatino Linotype" w:eastAsia="Palatino Linotype" w:cs="Times New Roman"/>
          <w:b/>
          <w:color w:val="000000" w:themeColor="text1"/>
        </w:rPr>
        <w:t xml:space="preserve"> Gas RD&amp;D Plan</w:t>
      </w:r>
      <w:r w:rsidRPr="00994F76" w:rsidR="00343B50">
        <w:rPr>
          <w:rStyle w:val="FootnoteReference"/>
          <w:rFonts w:ascii="Palatino Linotype" w:hAnsi="Palatino Linotype" w:eastAsia="Palatino Linotype" w:cs="Times New Roman"/>
          <w:b/>
          <w:color w:val="000000" w:themeColor="text1"/>
        </w:rPr>
        <w:footnoteReference w:id="59"/>
      </w:r>
    </w:p>
    <w:p w:rsidRPr="00994F76" w:rsidR="004D5E0E" w:rsidP="004D5E0E" w:rsidRDefault="004D5E0E" w14:paraId="42F3EB22" w14:textId="77777777">
      <w:pPr>
        <w:spacing w:after="0" w:line="276" w:lineRule="auto"/>
        <w:rPr>
          <w:rFonts w:ascii="Palatino Linotype" w:hAnsi="Palatino Linotype" w:eastAsia="Palatino Linotype" w:cs="Times New Roman"/>
          <w:b/>
          <w:color w:val="000000" w:themeColor="text1"/>
          <w:kern w:val="0"/>
          <w14:ligatures w14:val="none"/>
        </w:rPr>
      </w:pPr>
    </w:p>
    <w:p w:rsidRPr="00E77884" w:rsidR="005957AD" w:rsidP="005957AD" w:rsidRDefault="007E73AF" w14:paraId="106031D6" w14:textId="7ADFD47D">
      <w:p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submitted its proposed </w:t>
      </w:r>
      <w:r w:rsidRPr="00994F76" w:rsidR="00AA7080">
        <w:rPr>
          <w:rFonts w:ascii="Palatino Linotype" w:hAnsi="Palatino Linotype" w:eastAsia="Palatino Linotype" w:cs="Times New Roman"/>
          <w:color w:val="000000" w:themeColor="text1"/>
        </w:rPr>
        <w:t xml:space="preserve">2025 </w:t>
      </w:r>
      <w:r w:rsidRPr="00994F76">
        <w:rPr>
          <w:rFonts w:ascii="Palatino Linotype" w:hAnsi="Palatino Linotype" w:eastAsia="Palatino Linotype" w:cs="Times New Roman"/>
          <w:color w:val="000000" w:themeColor="text1"/>
        </w:rPr>
        <w:t>Plan via Tier 3 AL 5069-G on May 30, 2025</w:t>
      </w:r>
      <w:r w:rsidRPr="00994F76" w:rsidR="00054A39">
        <w:rPr>
          <w:rFonts w:ascii="Palatino Linotype" w:hAnsi="Palatino Linotype" w:eastAsia="Palatino Linotype" w:cs="Times New Roman"/>
          <w:color w:val="000000" w:themeColor="text1"/>
        </w:rPr>
        <w:t>.</w:t>
      </w:r>
      <w:r w:rsidRPr="00994F76" w:rsidR="004E4B9A">
        <w:rPr>
          <w:rFonts w:ascii="Palatino Linotype" w:hAnsi="Palatino Linotype" w:eastAsia="Palatino Linotype" w:cs="Times New Roman"/>
          <w:color w:val="000000" w:themeColor="text1"/>
        </w:rPr>
        <w:t xml:space="preserve"> </w:t>
      </w:r>
      <w:r w:rsidRPr="00994F76" w:rsidR="00A30E82">
        <w:rPr>
          <w:rFonts w:ascii="Palatino Linotype" w:hAnsi="Palatino Linotype" w:eastAsia="Palatino Linotype" w:cs="Times New Roman"/>
          <w:color w:val="000000" w:themeColor="text1"/>
        </w:rPr>
        <w:t>The Commission denied AL 5069-G on January 15, 2026, via Resolution G-3618</w:t>
      </w:r>
      <w:r w:rsidR="00F477B0">
        <w:rPr>
          <w:rFonts w:ascii="Palatino Linotype" w:hAnsi="Palatino Linotype" w:eastAsia="Palatino Linotype" w:cs="Times New Roman"/>
          <w:color w:val="000000" w:themeColor="text1"/>
        </w:rPr>
        <w:t xml:space="preserve"> </w:t>
      </w:r>
      <w:r w:rsidRPr="00E77884" w:rsidR="00594DC7">
        <w:rPr>
          <w:rFonts w:ascii="Palatino Linotype" w:hAnsi="Palatino Linotype" w:eastAsia="Palatino Linotype" w:cs="Times New Roman"/>
          <w:color w:val="000000" w:themeColor="text1"/>
        </w:rPr>
        <w:t xml:space="preserve">based on non-compliance with Commission requirements:  </w:t>
      </w:r>
    </w:p>
    <w:p w:rsidRPr="00E77884" w:rsidR="00773464" w:rsidP="00773464" w:rsidRDefault="00773464" w14:paraId="3517A11A"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ratepayer benefits attributable to each proposed Initiative</w:t>
      </w:r>
      <w:r w:rsidR="002F48B6">
        <w:rPr>
          <w:rFonts w:ascii="Palatino Linotype" w:hAnsi="Palatino Linotype" w:eastAsia="Palatino Linotype" w:cs="Times New Roman"/>
          <w:color w:val="000000" w:themeColor="text1"/>
        </w:rPr>
        <w:t>.</w:t>
      </w:r>
    </w:p>
    <w:p w:rsidRPr="00E77884" w:rsidR="00773464" w:rsidP="00773464" w:rsidRDefault="00773464" w14:paraId="668C4593"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that Initiatives were complementary and not duplicative of RD&amp;D currently, previously, or imminently underway, particularly by differentiating research activities from other programs.</w:t>
      </w:r>
    </w:p>
    <w:p w:rsidRPr="00F4532D" w:rsidR="00773464" w:rsidP="00773464" w:rsidRDefault="00773464" w14:paraId="2E55FE28"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lastRenderedPageBreak/>
        <w:t xml:space="preserve">PG&amp;E did not allocate Program Administrative costs to specific categories using </w:t>
      </w:r>
      <w:r w:rsidRPr="00F4532D">
        <w:rPr>
          <w:rFonts w:ascii="Palatino Linotype" w:hAnsi="Palatino Linotype" w:eastAsia="Palatino Linotype" w:cs="Times New Roman"/>
          <w:color w:val="000000" w:themeColor="text1"/>
        </w:rPr>
        <w:t>the Administrative Budget template.</w:t>
      </w:r>
    </w:p>
    <w:p w:rsidRPr="00F4532D" w:rsidR="00773464" w:rsidP="00773464" w:rsidRDefault="00773464" w14:paraId="340411A2" w14:textId="1E58FCD6">
      <w:pPr>
        <w:pStyle w:val="ListParagraph"/>
        <w:numPr>
          <w:ilvl w:val="0"/>
          <w:numId w:val="41"/>
        </w:numPr>
        <w:spacing w:after="0" w:line="276" w:lineRule="auto"/>
        <w:rPr>
          <w:rFonts w:ascii="Palatino Linotype" w:hAnsi="Palatino Linotype" w:eastAsia="Palatino Linotype" w:cs="Times New Roman"/>
          <w:color w:val="000000" w:themeColor="text1"/>
        </w:rPr>
      </w:pPr>
      <w:r w:rsidRPr="00F4532D">
        <w:rPr>
          <w:rFonts w:ascii="Palatino Linotype" w:hAnsi="Palatino Linotype" w:eastAsia="Palatino Linotype" w:cs="Times New Roman"/>
          <w:color w:val="000000" w:themeColor="text1"/>
        </w:rPr>
        <w:t>PG&amp;</w:t>
      </w:r>
      <w:r w:rsidRPr="00F4532D" w:rsidR="00F35931">
        <w:rPr>
          <w:rFonts w:ascii="Palatino Linotype" w:hAnsi="Palatino Linotype" w:eastAsia="Palatino Linotype" w:cs="Times New Roman"/>
          <w:color w:val="000000" w:themeColor="text1"/>
        </w:rPr>
        <w:t>E</w:t>
      </w:r>
      <w:r w:rsidRPr="00F4532D" w:rsidR="00930FE7">
        <w:rPr>
          <w:rFonts w:ascii="Palatino Linotype" w:hAnsi="Palatino Linotype" w:eastAsia="Palatino Linotype" w:cs="Times New Roman"/>
          <w:color w:val="000000" w:themeColor="text1"/>
        </w:rPr>
        <w:t>’s propos</w:t>
      </w:r>
      <w:r w:rsidRPr="00F4532D" w:rsidR="00466621">
        <w:rPr>
          <w:rFonts w:ascii="Palatino Linotype" w:hAnsi="Palatino Linotype" w:eastAsia="Palatino Linotype" w:cs="Times New Roman"/>
          <w:color w:val="000000" w:themeColor="text1"/>
        </w:rPr>
        <w:t xml:space="preserve">al for </w:t>
      </w:r>
      <w:r w:rsidRPr="00F4532D" w:rsidR="009F266F">
        <w:rPr>
          <w:rFonts w:ascii="Palatino Linotype" w:hAnsi="Palatino Linotype" w:eastAsia="Palatino Linotype" w:cs="Times New Roman"/>
          <w:color w:val="000000" w:themeColor="text1"/>
        </w:rPr>
        <w:t xml:space="preserve">hydrogen projects </w:t>
      </w:r>
      <w:r w:rsidRPr="00F4532D">
        <w:rPr>
          <w:rFonts w:ascii="Palatino Linotype" w:hAnsi="Palatino Linotype" w:eastAsia="Palatino Linotype" w:cs="Times New Roman"/>
          <w:color w:val="000000" w:themeColor="text1"/>
        </w:rPr>
        <w:t>did not align with Commission</w:t>
      </w:r>
      <w:r w:rsidRPr="00F4532D" w:rsidR="009F266F">
        <w:rPr>
          <w:rFonts w:ascii="Palatino Linotype" w:hAnsi="Palatino Linotype" w:eastAsia="Palatino Linotype" w:cs="Times New Roman"/>
          <w:color w:val="000000" w:themeColor="text1"/>
        </w:rPr>
        <w:t xml:space="preserve"> policies and proceedings</w:t>
      </w:r>
      <w:r w:rsidRPr="00F4532D" w:rsidR="00A279E5">
        <w:rPr>
          <w:rFonts w:ascii="Palatino Linotype" w:hAnsi="Palatino Linotype" w:eastAsia="Palatino Linotype" w:cs="Times New Roman"/>
          <w:color w:val="000000" w:themeColor="text1"/>
        </w:rPr>
        <w:t xml:space="preserve"> to support ratepayer benefit. </w:t>
      </w:r>
    </w:p>
    <w:p w:rsidRPr="00E77884" w:rsidR="005957AD" w:rsidP="006A322B" w:rsidRDefault="005957AD" w14:paraId="52332D5D" w14:textId="7C1D316E">
      <w:pPr>
        <w:pStyle w:val="ListParagraph"/>
        <w:numPr>
          <w:ilvl w:val="0"/>
          <w:numId w:val="41"/>
        </w:numPr>
        <w:spacing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indicate which projects have been funded via previous GRC cycles or other funding mechanisms as opposed to those that may be funded within this Gas RD&amp;D Program for clarity in reporting on funds encumbered, spent, and unspent.</w:t>
      </w:r>
      <w:r w:rsidRPr="00E77884">
        <w:rPr>
          <w:rStyle w:val="FootnoteReference"/>
          <w:rFonts w:ascii="Palatino Linotype" w:hAnsi="Palatino Linotype" w:eastAsia="Palatino Linotype" w:cs="Times New Roman"/>
          <w:color w:val="000000" w:themeColor="text1"/>
        </w:rPr>
        <w:footnoteReference w:id="60"/>
      </w:r>
    </w:p>
    <w:p w:rsidRPr="00994F76" w:rsidR="003371F3" w:rsidP="003371F3" w:rsidRDefault="004E4B9A" w14:paraId="243F299D" w14:textId="0617D101">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rPr>
        <w:t>PG&amp;E</w:t>
      </w:r>
      <w:r w:rsidRPr="00994F76" w:rsidR="00242BDD">
        <w:rPr>
          <w:rFonts w:ascii="Palatino Linotype" w:hAnsi="Palatino Linotype" w:eastAsia="Palatino Linotype" w:cs="Times New Roman"/>
          <w:color w:val="000000" w:themeColor="text1"/>
        </w:rPr>
        <w:t xml:space="preserve"> </w:t>
      </w:r>
      <w:r w:rsidRPr="00994F76">
        <w:rPr>
          <w:rFonts w:ascii="Palatino Linotype" w:hAnsi="Palatino Linotype" w:eastAsia="Palatino Linotype" w:cs="Times New Roman"/>
          <w:color w:val="000000" w:themeColor="text1"/>
        </w:rPr>
        <w:t>received an extension to resubmit its 2025 Plan via AL 5197-G on April 3, 2026, in accordance with Resolution G-3618.</w:t>
      </w:r>
      <w:r w:rsidRPr="00994F76" w:rsidR="003371F3">
        <w:rPr>
          <w:rFonts w:ascii="Palatino Linotype" w:hAnsi="Palatino Linotype" w:eastAsia="Palatino Linotype" w:cs="Times New Roman"/>
          <w:color w:val="000000" w:themeColor="text1"/>
        </w:rPr>
        <w:t xml:space="preserve"> </w:t>
      </w:r>
      <w:r w:rsidRPr="00994F76" w:rsidR="003371F3">
        <w:rPr>
          <w:rFonts w:ascii="Palatino Linotype" w:hAnsi="Palatino Linotype" w:eastAsia="Palatino Linotype" w:cs="Times New Roman"/>
          <w:color w:val="000000" w:themeColor="text1"/>
          <w:kern w:val="0"/>
          <w14:ligatures w14:val="none"/>
        </w:rPr>
        <w:t>AL 5197-G includes:</w:t>
      </w:r>
    </w:p>
    <w:p w:rsidRPr="00994F76" w:rsidR="003371F3" w:rsidP="00801EA4" w:rsidRDefault="003371F3" w14:paraId="262C2834" w14:textId="4548537B">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A: A track-change version of PG&amp;E’s previous 202</w:t>
      </w:r>
      <w:r w:rsidRPr="00994F76" w:rsidR="007D1945">
        <w:rPr>
          <w:rFonts w:ascii="Palatino Linotype" w:hAnsi="Palatino Linotype" w:eastAsia="Palatino Linotype" w:cs="Times New Roman"/>
          <w:color w:val="000000" w:themeColor="text1"/>
        </w:rPr>
        <w:t>5</w:t>
      </w:r>
      <w:r w:rsidRPr="00994F76">
        <w:rPr>
          <w:rFonts w:ascii="Palatino Linotype" w:hAnsi="Palatino Linotype" w:eastAsia="Palatino Linotype" w:cs="Times New Roman"/>
          <w:color w:val="000000" w:themeColor="text1"/>
        </w:rPr>
        <w:t xml:space="preserve"> RD&amp;D Plan submitted via AL 5069-G.</w:t>
      </w:r>
    </w:p>
    <w:p w:rsidRPr="00994F76" w:rsidR="003371F3" w:rsidP="00801EA4" w:rsidRDefault="003371F3" w14:paraId="070F2744" w14:textId="52CDF2E2">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B: A clean version of PG&amp;</w:t>
      </w:r>
      <w:proofErr w:type="gramStart"/>
      <w:r w:rsidRPr="00994F76">
        <w:rPr>
          <w:rFonts w:ascii="Palatino Linotype" w:hAnsi="Palatino Linotype" w:eastAsia="Palatino Linotype" w:cs="Times New Roman"/>
          <w:color w:val="000000" w:themeColor="text1"/>
        </w:rPr>
        <w:t>E’s</w:t>
      </w:r>
      <w:proofErr w:type="gramEnd"/>
      <w:r w:rsidRPr="00994F76">
        <w:rPr>
          <w:rFonts w:ascii="Palatino Linotype" w:hAnsi="Palatino Linotype" w:eastAsia="Palatino Linotype" w:cs="Times New Roman"/>
          <w:color w:val="000000" w:themeColor="text1"/>
        </w:rPr>
        <w:t xml:space="preserve"> updated 202</w:t>
      </w:r>
      <w:r w:rsidRPr="00994F76" w:rsidR="007D1945">
        <w:rPr>
          <w:rFonts w:ascii="Palatino Linotype" w:hAnsi="Palatino Linotype" w:eastAsia="Palatino Linotype" w:cs="Times New Roman"/>
          <w:color w:val="000000" w:themeColor="text1"/>
        </w:rPr>
        <w:t>5</w:t>
      </w:r>
      <w:r w:rsidRPr="00994F76">
        <w:rPr>
          <w:rFonts w:ascii="Palatino Linotype" w:hAnsi="Palatino Linotype" w:eastAsia="Palatino Linotype" w:cs="Times New Roman"/>
          <w:color w:val="000000" w:themeColor="text1"/>
        </w:rPr>
        <w:t xml:space="preserve"> RD&amp;D Plan.</w:t>
      </w:r>
    </w:p>
    <w:p w:rsidRPr="00994F76" w:rsidR="003371F3" w:rsidP="00801EA4" w:rsidRDefault="003371F3" w14:paraId="6B61FD0B" w14:textId="53B70EA5">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Attachment C: A table describing the required modifications per Resolution </w:t>
      </w:r>
      <w:r w:rsidR="00023BA9">
        <w:rPr>
          <w:rFonts w:ascii="Palatino Linotype" w:hAnsi="Palatino Linotype" w:eastAsia="Palatino Linotype" w:cs="Times New Roman"/>
          <w:color w:val="000000" w:themeColor="text1"/>
        </w:rPr>
        <w:br/>
      </w:r>
      <w:r w:rsidRPr="00994F76">
        <w:rPr>
          <w:rFonts w:ascii="Palatino Linotype" w:hAnsi="Palatino Linotype" w:eastAsia="Palatino Linotype" w:cs="Times New Roman"/>
          <w:color w:val="000000" w:themeColor="text1"/>
        </w:rPr>
        <w:t xml:space="preserve">G-3618 at Appendix </w:t>
      </w:r>
      <w:r w:rsidRPr="00994F76" w:rsidR="000B708C">
        <w:rPr>
          <w:rFonts w:ascii="Palatino Linotype" w:hAnsi="Palatino Linotype" w:eastAsia="Palatino Linotype" w:cs="Times New Roman"/>
          <w:color w:val="000000" w:themeColor="text1"/>
        </w:rPr>
        <w:t>G</w:t>
      </w:r>
      <w:r w:rsidRPr="00994F76">
        <w:rPr>
          <w:rFonts w:ascii="Palatino Linotype" w:hAnsi="Palatino Linotype" w:eastAsia="Palatino Linotype" w:cs="Times New Roman"/>
          <w:color w:val="000000" w:themeColor="text1"/>
        </w:rPr>
        <w:t>.</w:t>
      </w:r>
    </w:p>
    <w:p w:rsidR="00D5194A" w:rsidP="00D5194A" w:rsidRDefault="00D5194A" w14:paraId="28416B61" w14:textId="77777777">
      <w:pPr>
        <w:spacing w:after="0" w:line="276" w:lineRule="auto"/>
        <w:rPr>
          <w:rFonts w:ascii="Palatino Linotype" w:hAnsi="Palatino Linotype" w:eastAsia="Palatino Linotype" w:cs="Times New Roman"/>
          <w:color w:val="000000" w:themeColor="text1"/>
        </w:rPr>
      </w:pPr>
    </w:p>
    <w:p w:rsidRPr="00994F76" w:rsidR="00A9114E" w:rsidP="00D5194A" w:rsidRDefault="00A9114E" w14:paraId="08D57884" w14:textId="77777777">
      <w:pPr>
        <w:spacing w:after="0" w:line="276" w:lineRule="auto"/>
        <w:rPr>
          <w:rFonts w:ascii="Palatino Linotype" w:hAnsi="Palatino Linotype" w:eastAsia="Palatino Linotype" w:cs="Times New Roman"/>
          <w:color w:val="000000" w:themeColor="text1"/>
        </w:rPr>
      </w:pPr>
    </w:p>
    <w:p w:rsidRPr="00D77DC8" w:rsidR="00A853C3" w:rsidP="00A853C3" w:rsidRDefault="00A853C3" w14:paraId="3C21C68C" w14:textId="7C0A01C3">
      <w:pPr>
        <w:spacing w:after="0" w:line="276" w:lineRule="auto"/>
        <w:rPr>
          <w:rFonts w:ascii="Palatino Linotype" w:hAnsi="Palatino Linotype" w:eastAsia="Palatino Linotype" w:cs="Times New Roman"/>
          <w:color w:val="000000" w:themeColor="text1"/>
          <w:u w:val="single"/>
        </w:rPr>
      </w:pPr>
      <w:r w:rsidRPr="00D77DC8">
        <w:rPr>
          <w:rFonts w:ascii="Palatino Linotype" w:hAnsi="Palatino Linotype" w:eastAsia="Palatino Linotype" w:cs="Times New Roman"/>
          <w:color w:val="000000" w:themeColor="text1"/>
          <w:u w:val="single"/>
        </w:rPr>
        <w:t>Summary of Modifications to PG&amp;E’s 2025 Gas RD&amp;D Plan</w:t>
      </w:r>
      <w:r w:rsidRPr="00D77DC8" w:rsidR="005B2043">
        <w:rPr>
          <w:rFonts w:ascii="Palatino Linotype" w:hAnsi="Palatino Linotype" w:eastAsia="Palatino Linotype" w:cs="Times New Roman"/>
          <w:color w:val="000000" w:themeColor="text1"/>
          <w:u w:val="single"/>
        </w:rPr>
        <w:t xml:space="preserve"> Resubmitt</w:t>
      </w:r>
      <w:r w:rsidRPr="00D77DC8" w:rsidR="00EC64B6">
        <w:rPr>
          <w:rFonts w:ascii="Palatino Linotype" w:hAnsi="Palatino Linotype" w:eastAsia="Palatino Linotype" w:cs="Times New Roman"/>
          <w:color w:val="000000" w:themeColor="text1"/>
          <w:u w:val="single"/>
        </w:rPr>
        <w:t>ed via AL 5197-G</w:t>
      </w:r>
    </w:p>
    <w:p w:rsidRPr="00D77DC8" w:rsidR="004D5E0E" w:rsidP="00A853C3" w:rsidRDefault="004D5E0E" w14:paraId="2510EC2A" w14:textId="77777777">
      <w:pPr>
        <w:spacing w:after="0" w:line="276" w:lineRule="auto"/>
        <w:rPr>
          <w:rFonts w:ascii="Palatino Linotype" w:hAnsi="Palatino Linotype" w:eastAsia="Palatino Linotype" w:cs="Times New Roman"/>
          <w:color w:val="000000" w:themeColor="text1"/>
          <w:u w:val="single"/>
        </w:rPr>
      </w:pPr>
    </w:p>
    <w:p w:rsidRPr="00D77DC8" w:rsidR="00410DD7" w:rsidP="004D5E0E" w:rsidRDefault="00410DD7" w14:paraId="7178D868" w14:textId="4D5908E7">
      <w:pPr>
        <w:spacing w:after="0" w:line="276" w:lineRule="auto"/>
        <w:rPr>
          <w:rFonts w:ascii="Palatino Linotype" w:hAnsi="Palatino Linotype" w:eastAsia="Palatino Linotype" w:cs="Times New Roman"/>
          <w:bCs/>
          <w:color w:val="000000" w:themeColor="text1"/>
          <w:kern w:val="0"/>
          <w14:ligatures w14:val="none"/>
        </w:rPr>
      </w:pPr>
      <w:r w:rsidRPr="00D77DC8">
        <w:rPr>
          <w:rFonts w:ascii="Palatino Linotype" w:hAnsi="Palatino Linotype" w:eastAsia="Palatino Linotype" w:cs="Times New Roman"/>
          <w:bCs/>
          <w:color w:val="000000" w:themeColor="text1"/>
          <w:kern w:val="0"/>
          <w14:ligatures w14:val="none"/>
        </w:rPr>
        <w:t xml:space="preserve">PG&amp;E seeks approval of its proposed, revised Gas RD&amp;D Investment Plan for </w:t>
      </w:r>
      <w:r w:rsidRPr="00D77DC8" w:rsidR="00893176">
        <w:rPr>
          <w:rFonts w:ascii="Palatino Linotype" w:hAnsi="Palatino Linotype" w:eastAsia="Palatino Linotype" w:cs="Times New Roman"/>
          <w:bCs/>
          <w:color w:val="000000" w:themeColor="text1"/>
          <w:kern w:val="0"/>
          <w14:ligatures w14:val="none"/>
        </w:rPr>
        <w:t xml:space="preserve">2025 </w:t>
      </w:r>
      <w:r w:rsidRPr="00D77DC8">
        <w:rPr>
          <w:rFonts w:ascii="Palatino Linotype" w:hAnsi="Palatino Linotype" w:eastAsia="Palatino Linotype" w:cs="Times New Roman"/>
          <w:bCs/>
          <w:color w:val="000000" w:themeColor="text1"/>
          <w:kern w:val="0"/>
          <w14:ligatures w14:val="none"/>
        </w:rPr>
        <w:t xml:space="preserve">in AL 5197-G. Table 3 below shows PG&amp;E’s </w:t>
      </w:r>
      <w:r w:rsidRPr="00D77DC8" w:rsidR="000F044A">
        <w:rPr>
          <w:rFonts w:ascii="Palatino Linotype" w:hAnsi="Palatino Linotype" w:eastAsia="Palatino Linotype" w:cs="Times New Roman"/>
          <w:bCs/>
          <w:color w:val="000000" w:themeColor="text1"/>
          <w:kern w:val="0"/>
          <w14:ligatures w14:val="none"/>
        </w:rPr>
        <w:t xml:space="preserve">previously proposed </w:t>
      </w:r>
      <w:r w:rsidRPr="00D77DC8" w:rsidR="00E45E72">
        <w:rPr>
          <w:rFonts w:ascii="Palatino Linotype" w:hAnsi="Palatino Linotype" w:eastAsia="Palatino Linotype" w:cs="Times New Roman"/>
          <w:bCs/>
          <w:color w:val="000000" w:themeColor="text1"/>
          <w:kern w:val="0"/>
          <w14:ligatures w14:val="none"/>
        </w:rPr>
        <w:t xml:space="preserve">budget </w:t>
      </w:r>
      <w:r w:rsidRPr="00D77DC8" w:rsidR="000F044A">
        <w:rPr>
          <w:rFonts w:ascii="Palatino Linotype" w:hAnsi="Palatino Linotype" w:eastAsia="Palatino Linotype" w:cs="Times New Roman"/>
          <w:bCs/>
          <w:color w:val="000000" w:themeColor="text1"/>
          <w:kern w:val="0"/>
          <w14:ligatures w14:val="none"/>
        </w:rPr>
        <w:t xml:space="preserve">in AL 5069-G </w:t>
      </w:r>
      <w:r w:rsidRPr="00D77DC8">
        <w:rPr>
          <w:rFonts w:ascii="Palatino Linotype" w:hAnsi="Palatino Linotype" w:eastAsia="Palatino Linotype" w:cs="Times New Roman"/>
          <w:bCs/>
          <w:color w:val="000000" w:themeColor="text1"/>
          <w:kern w:val="0"/>
          <w14:ligatures w14:val="none"/>
        </w:rPr>
        <w:t xml:space="preserve">and its revised </w:t>
      </w:r>
      <w:r w:rsidRPr="00D77DC8" w:rsidR="00052612">
        <w:rPr>
          <w:rFonts w:ascii="Palatino Linotype" w:hAnsi="Palatino Linotype" w:eastAsia="Palatino Linotype" w:cs="Times New Roman"/>
          <w:bCs/>
          <w:color w:val="000000" w:themeColor="text1"/>
          <w:kern w:val="0"/>
          <w14:ligatures w14:val="none"/>
        </w:rPr>
        <w:t xml:space="preserve">proposed </w:t>
      </w:r>
      <w:r w:rsidRPr="00D77DC8">
        <w:rPr>
          <w:rFonts w:ascii="Palatino Linotype" w:hAnsi="Palatino Linotype" w:eastAsia="Palatino Linotype" w:cs="Times New Roman"/>
          <w:bCs/>
          <w:color w:val="000000" w:themeColor="text1"/>
          <w:kern w:val="0"/>
          <w14:ligatures w14:val="none"/>
        </w:rPr>
        <w:t>budget</w:t>
      </w:r>
      <w:r w:rsidRPr="00D77DC8" w:rsidR="000F044A">
        <w:rPr>
          <w:rFonts w:ascii="Palatino Linotype" w:hAnsi="Palatino Linotype" w:eastAsia="Palatino Linotype" w:cs="Times New Roman"/>
          <w:bCs/>
          <w:color w:val="000000" w:themeColor="text1"/>
          <w:kern w:val="0"/>
          <w14:ligatures w14:val="none"/>
        </w:rPr>
        <w:t xml:space="preserve"> in AL 5197-G</w:t>
      </w:r>
      <w:r w:rsidRPr="00D77DC8">
        <w:rPr>
          <w:rFonts w:ascii="Palatino Linotype" w:hAnsi="Palatino Linotype" w:eastAsia="Palatino Linotype" w:cs="Times New Roman"/>
          <w:bCs/>
          <w:color w:val="000000" w:themeColor="text1"/>
          <w:kern w:val="0"/>
          <w14:ligatures w14:val="none"/>
        </w:rPr>
        <w:t xml:space="preserve">. </w:t>
      </w:r>
      <w:r w:rsidRPr="00D77DC8" w:rsidR="0079757D">
        <w:rPr>
          <w:rFonts w:ascii="Palatino Linotype" w:hAnsi="Palatino Linotype" w:eastAsia="Palatino Linotype" w:cs="Times New Roman"/>
          <w:bCs/>
          <w:color w:val="000000" w:themeColor="text1"/>
          <w:kern w:val="0"/>
          <w14:ligatures w14:val="none"/>
        </w:rPr>
        <w:t xml:space="preserve">See </w:t>
      </w:r>
      <w:r w:rsidRPr="00D77DC8">
        <w:rPr>
          <w:rFonts w:ascii="Palatino Linotype" w:hAnsi="Palatino Linotype" w:eastAsia="Palatino Linotype" w:cs="Times New Roman"/>
          <w:bCs/>
          <w:color w:val="000000" w:themeColor="text1"/>
          <w:kern w:val="0"/>
          <w14:ligatures w14:val="none"/>
        </w:rPr>
        <w:t xml:space="preserve">Table 4 </w:t>
      </w:r>
      <w:r w:rsidRPr="00D77DC8" w:rsidR="0079757D">
        <w:rPr>
          <w:rFonts w:ascii="Palatino Linotype" w:hAnsi="Palatino Linotype" w:eastAsia="Palatino Linotype" w:cs="Times New Roman"/>
          <w:bCs/>
          <w:color w:val="000000" w:themeColor="text1"/>
          <w:kern w:val="0"/>
          <w14:ligatures w14:val="none"/>
        </w:rPr>
        <w:t>detailing PG&amp;E’s</w:t>
      </w:r>
      <w:r w:rsidRPr="00D77DC8">
        <w:rPr>
          <w:rFonts w:ascii="Palatino Linotype" w:hAnsi="Palatino Linotype" w:eastAsia="Palatino Linotype" w:cs="Times New Roman"/>
          <w:bCs/>
          <w:color w:val="000000" w:themeColor="text1"/>
          <w:kern w:val="0"/>
          <w14:ligatures w14:val="none"/>
        </w:rPr>
        <w:t xml:space="preserve"> proposed </w:t>
      </w:r>
      <w:r w:rsidRPr="00D77DC8" w:rsidR="00511D8F">
        <w:rPr>
          <w:rFonts w:ascii="Palatino Linotype" w:hAnsi="Palatino Linotype" w:eastAsia="Palatino Linotype" w:cs="Times New Roman"/>
          <w:bCs/>
          <w:color w:val="000000" w:themeColor="text1"/>
          <w:kern w:val="0"/>
          <w14:ligatures w14:val="none"/>
        </w:rPr>
        <w:t xml:space="preserve">budget </w:t>
      </w:r>
      <w:r w:rsidRPr="00D77DC8">
        <w:rPr>
          <w:rFonts w:ascii="Palatino Linotype" w:hAnsi="Palatino Linotype" w:eastAsia="Palatino Linotype" w:cs="Times New Roman"/>
          <w:bCs/>
          <w:color w:val="000000" w:themeColor="text1"/>
          <w:kern w:val="0"/>
          <w14:ligatures w14:val="none"/>
        </w:rPr>
        <w:t xml:space="preserve">allocations for </w:t>
      </w:r>
      <w:r w:rsidRPr="00D77DC8" w:rsidR="0079757D">
        <w:rPr>
          <w:rFonts w:ascii="Palatino Linotype" w:hAnsi="Palatino Linotype" w:eastAsia="Palatino Linotype" w:cs="Times New Roman"/>
          <w:bCs/>
          <w:color w:val="000000" w:themeColor="text1"/>
          <w:kern w:val="0"/>
          <w14:ligatures w14:val="none"/>
        </w:rPr>
        <w:t>its</w:t>
      </w:r>
      <w:r w:rsidRPr="00D77DC8">
        <w:rPr>
          <w:rFonts w:ascii="Palatino Linotype" w:hAnsi="Palatino Linotype" w:eastAsia="Palatino Linotype" w:cs="Times New Roman"/>
          <w:bCs/>
          <w:color w:val="000000" w:themeColor="text1"/>
          <w:kern w:val="0"/>
          <w14:ligatures w14:val="none"/>
        </w:rPr>
        <w:t xml:space="preserve"> revised </w:t>
      </w:r>
      <w:r w:rsidRPr="00D77DC8" w:rsidR="00C8506A">
        <w:rPr>
          <w:rFonts w:ascii="Palatino Linotype" w:hAnsi="Palatino Linotype" w:eastAsia="Palatino Linotype" w:cs="Times New Roman"/>
          <w:bCs/>
          <w:color w:val="000000" w:themeColor="text1"/>
          <w:kern w:val="0"/>
          <w14:ligatures w14:val="none"/>
        </w:rPr>
        <w:t xml:space="preserve">proposed </w:t>
      </w:r>
      <w:r w:rsidRPr="00D77DC8">
        <w:rPr>
          <w:rFonts w:ascii="Palatino Linotype" w:hAnsi="Palatino Linotype" w:eastAsia="Palatino Linotype" w:cs="Times New Roman"/>
          <w:bCs/>
          <w:color w:val="000000" w:themeColor="text1"/>
          <w:kern w:val="0"/>
          <w14:ligatures w14:val="none"/>
        </w:rPr>
        <w:t xml:space="preserve">2025 </w:t>
      </w:r>
      <w:r w:rsidR="009A38B7">
        <w:rPr>
          <w:rFonts w:ascii="Palatino Linotype" w:hAnsi="Palatino Linotype" w:eastAsia="Palatino Linotype" w:cs="Times New Roman"/>
          <w:bCs/>
          <w:color w:val="000000" w:themeColor="text1"/>
          <w:kern w:val="0"/>
          <w14:ligatures w14:val="none"/>
        </w:rPr>
        <w:t xml:space="preserve">Plan </w:t>
      </w:r>
      <w:r w:rsidRPr="00D77DC8">
        <w:rPr>
          <w:rFonts w:ascii="Palatino Linotype" w:hAnsi="Palatino Linotype" w:eastAsia="Palatino Linotype" w:cs="Times New Roman"/>
          <w:bCs/>
          <w:color w:val="000000" w:themeColor="text1"/>
          <w:kern w:val="0"/>
          <w14:ligatures w14:val="none"/>
        </w:rPr>
        <w:t>budget.</w:t>
      </w:r>
    </w:p>
    <w:p w:rsidRPr="00D77DC8" w:rsidR="00410DD7" w:rsidP="00A853C3" w:rsidRDefault="00410DD7" w14:paraId="36EF34A2" w14:textId="77777777">
      <w:pPr>
        <w:spacing w:after="0" w:line="276" w:lineRule="auto"/>
        <w:rPr>
          <w:rFonts w:ascii="Palatino Linotype" w:hAnsi="Palatino Linotype" w:eastAsia="Palatino Linotype" w:cs="Times New Roman"/>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
        <w:gridCol w:w="3089"/>
        <w:gridCol w:w="360"/>
        <w:gridCol w:w="3017"/>
        <w:gridCol w:w="326"/>
        <w:gridCol w:w="2232"/>
      </w:tblGrid>
      <w:tr w:rsidRPr="00D77DC8" w:rsidR="00BE63F1" w14:paraId="1AA0B6D4" w14:textId="77777777">
        <w:tc>
          <w:tcPr>
            <w:tcW w:w="9350" w:type="dxa"/>
            <w:gridSpan w:val="6"/>
          </w:tcPr>
          <w:p w:rsidRPr="00D77DC8" w:rsidR="00BE63F1" w:rsidRDefault="00BE63F1" w14:paraId="3C36BA95" w14:textId="4DA040B6">
            <w:pPr>
              <w:spacing w:line="276" w:lineRule="auto"/>
              <w:jc w:val="center"/>
              <w:rPr>
                <w:rFonts w:ascii="Palatino Linotype" w:hAnsi="Palatino Linotype" w:eastAsia="Palatino Linotype" w:cs="Times New Roman"/>
                <w:b/>
                <w:bCs w:val="0"/>
                <w:color w:val="000000" w:themeColor="text1"/>
              </w:rPr>
            </w:pPr>
            <w:r w:rsidRPr="00D77DC8">
              <w:rPr>
                <w:rFonts w:ascii="Palatino Linotype" w:hAnsi="Palatino Linotype" w:eastAsia="Palatino Linotype" w:cs="Times New Roman"/>
                <w:b/>
                <w:bCs w:val="0"/>
                <w:color w:val="000000" w:themeColor="text1"/>
              </w:rPr>
              <w:t xml:space="preserve">Table 3: PG&amp;E’s 2025 Plan Revised </w:t>
            </w:r>
            <w:r w:rsidRPr="00D77DC8" w:rsidR="00EC64B6">
              <w:rPr>
                <w:rFonts w:ascii="Palatino Linotype" w:hAnsi="Palatino Linotype" w:eastAsia="Palatino Linotype" w:cs="Times New Roman"/>
                <w:b/>
                <w:bCs w:val="0"/>
                <w:color w:val="000000" w:themeColor="text1"/>
              </w:rPr>
              <w:t xml:space="preserve">Proposed </w:t>
            </w:r>
            <w:r w:rsidRPr="00D77DC8">
              <w:rPr>
                <w:rFonts w:ascii="Palatino Linotype" w:hAnsi="Palatino Linotype" w:eastAsia="Palatino Linotype" w:cs="Times New Roman"/>
                <w:b/>
                <w:bCs w:val="0"/>
                <w:color w:val="000000" w:themeColor="text1"/>
              </w:rPr>
              <w:t>Budget</w:t>
            </w:r>
          </w:p>
        </w:tc>
      </w:tr>
      <w:tr w:rsidRPr="00D77DC8" w:rsidR="00EB5306" w14:paraId="72008866" w14:textId="77777777">
        <w:tc>
          <w:tcPr>
            <w:tcW w:w="3415" w:type="dxa"/>
            <w:gridSpan w:val="2"/>
            <w:tcBorders>
              <w:bottom w:val="single" w:color="auto" w:sz="4" w:space="0"/>
            </w:tcBorders>
          </w:tcPr>
          <w:p w:rsidRPr="00D77DC8" w:rsidR="00EB5306" w:rsidP="00AD43E5" w:rsidRDefault="00EB5306" w14:paraId="2292AE8C" w14:textId="499B97A0">
            <w:pPr>
              <w:spacing w:line="276" w:lineRule="auto"/>
              <w:jc w:val="center"/>
              <w:rPr>
                <w:rFonts w:ascii="Palatino Linotype" w:hAnsi="Palatino Linotype" w:eastAsia="Palatino Linotype" w:cs="Times New Roman"/>
                <w:b/>
                <w:bCs w:val="0"/>
                <w:color w:val="000000" w:themeColor="text1"/>
                <w:sz w:val="22"/>
                <w:szCs w:val="22"/>
              </w:rPr>
            </w:pPr>
            <w:r w:rsidRPr="00D77DC8">
              <w:rPr>
                <w:rFonts w:ascii="Palatino Linotype" w:hAnsi="Palatino Linotype" w:eastAsia="Palatino Linotype" w:cs="Times New Roman"/>
                <w:b/>
                <w:bCs w:val="0"/>
                <w:color w:val="000000" w:themeColor="text1"/>
                <w:sz w:val="22"/>
                <w:szCs w:val="22"/>
              </w:rPr>
              <w:t>Previous Proposed Plan Budget</w:t>
            </w:r>
          </w:p>
          <w:p w:rsidRPr="00D77DC8" w:rsidR="00EB5306" w:rsidP="00AD43E5" w:rsidRDefault="00EB5306" w14:paraId="703EE7EE" w14:textId="3DAE73F8">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i/>
                <w:iCs/>
                <w:color w:val="000000" w:themeColor="text1"/>
                <w:sz w:val="22"/>
                <w:szCs w:val="22"/>
              </w:rPr>
              <w:t>AL 5069-G</w:t>
            </w:r>
          </w:p>
        </w:tc>
        <w:tc>
          <w:tcPr>
            <w:tcW w:w="3377" w:type="dxa"/>
            <w:gridSpan w:val="2"/>
            <w:tcBorders>
              <w:bottom w:val="single" w:color="auto" w:sz="4" w:space="0"/>
            </w:tcBorders>
          </w:tcPr>
          <w:p w:rsidRPr="00D77DC8" w:rsidR="00EB5306" w:rsidP="00AD43E5" w:rsidRDefault="00EB5306" w14:paraId="79891E2C" w14:textId="7114C391">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b/>
                <w:bCs w:val="0"/>
                <w:color w:val="000000" w:themeColor="text1"/>
                <w:sz w:val="22"/>
                <w:szCs w:val="22"/>
              </w:rPr>
              <w:t>Revised Proposed Plan Budget</w:t>
            </w:r>
          </w:p>
          <w:p w:rsidRPr="00D77DC8" w:rsidR="00EB5306" w:rsidP="00AD43E5" w:rsidRDefault="00EB5306" w14:paraId="1D272D4D" w14:textId="5497F927">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i/>
                <w:iCs/>
                <w:color w:val="000000" w:themeColor="text1"/>
                <w:sz w:val="22"/>
                <w:szCs w:val="22"/>
              </w:rPr>
              <w:t>AL 5197-G</w:t>
            </w:r>
          </w:p>
        </w:tc>
        <w:tc>
          <w:tcPr>
            <w:tcW w:w="2558" w:type="dxa"/>
            <w:gridSpan w:val="2"/>
            <w:tcBorders>
              <w:bottom w:val="single" w:color="auto" w:sz="4" w:space="0"/>
            </w:tcBorders>
            <w:vAlign w:val="center"/>
          </w:tcPr>
          <w:p w:rsidRPr="00D77DC8" w:rsidR="00EB5306" w:rsidP="00AD43E5" w:rsidRDefault="00EB5306" w14:paraId="0301AAC2" w14:textId="77777777">
            <w:pPr>
              <w:spacing w:line="276" w:lineRule="auto"/>
              <w:jc w:val="center"/>
              <w:rPr>
                <w:rFonts w:ascii="Palatino Linotype" w:hAnsi="Palatino Linotype" w:eastAsia="Palatino Linotype" w:cs="Times New Roman"/>
                <w:b/>
                <w:bCs w:val="0"/>
                <w:color w:val="000000" w:themeColor="text1"/>
                <w:sz w:val="22"/>
                <w:szCs w:val="22"/>
              </w:rPr>
            </w:pPr>
            <w:r w:rsidRPr="00D77DC8">
              <w:rPr>
                <w:rFonts w:ascii="Palatino Linotype" w:hAnsi="Palatino Linotype" w:eastAsia="Palatino Linotype" w:cs="Times New Roman"/>
                <w:b/>
                <w:bCs w:val="0"/>
                <w:color w:val="000000" w:themeColor="text1"/>
                <w:sz w:val="22"/>
                <w:szCs w:val="22"/>
              </w:rPr>
              <w:t>Budget Decrease</w:t>
            </w:r>
          </w:p>
        </w:tc>
      </w:tr>
      <w:tr w:rsidRPr="00D77DC8" w:rsidR="00BE63F1" w:rsidTr="00EB5306" w14:paraId="49562D25" w14:textId="77777777">
        <w:tc>
          <w:tcPr>
            <w:tcW w:w="326" w:type="dxa"/>
            <w:tcBorders>
              <w:top w:val="single" w:color="auto" w:sz="4" w:space="0"/>
              <w:left w:val="single" w:color="auto" w:sz="4" w:space="0"/>
              <w:bottom w:val="single" w:color="auto" w:sz="4" w:space="0"/>
              <w:right w:val="nil"/>
            </w:tcBorders>
          </w:tcPr>
          <w:p w:rsidRPr="00D77DC8" w:rsidR="00BE63F1" w:rsidRDefault="00BE63F1" w14:paraId="197DAC8B"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3089" w:type="dxa"/>
            <w:tcBorders>
              <w:top w:val="single" w:color="auto" w:sz="4" w:space="0"/>
              <w:left w:val="nil"/>
              <w:bottom w:val="single" w:color="auto" w:sz="4" w:space="0"/>
              <w:right w:val="single" w:color="auto" w:sz="4" w:space="0"/>
            </w:tcBorders>
            <w:vAlign w:val="center"/>
          </w:tcPr>
          <w:p w:rsidRPr="00D77DC8" w:rsidR="00BE63F1" w:rsidRDefault="00BE63F1" w14:paraId="055101E1" w14:textId="5E3535D3">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8,267,000</w:t>
            </w:r>
          </w:p>
        </w:tc>
        <w:tc>
          <w:tcPr>
            <w:tcW w:w="360" w:type="dxa"/>
            <w:tcBorders>
              <w:top w:val="single" w:color="auto" w:sz="4" w:space="0"/>
              <w:left w:val="single" w:color="auto" w:sz="4" w:space="0"/>
              <w:bottom w:val="single" w:color="auto" w:sz="4" w:space="0"/>
              <w:right w:val="nil"/>
            </w:tcBorders>
          </w:tcPr>
          <w:p w:rsidRPr="00D77DC8" w:rsidR="00BE63F1" w:rsidRDefault="00BE63F1" w14:paraId="0FC1BCC1"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3017" w:type="dxa"/>
            <w:tcBorders>
              <w:top w:val="single" w:color="auto" w:sz="4" w:space="0"/>
              <w:left w:val="nil"/>
              <w:bottom w:val="single" w:color="auto" w:sz="4" w:space="0"/>
              <w:right w:val="single" w:color="auto" w:sz="4" w:space="0"/>
            </w:tcBorders>
            <w:vAlign w:val="center"/>
          </w:tcPr>
          <w:p w:rsidRPr="00D77DC8" w:rsidR="00BE63F1" w:rsidRDefault="00BE63F1" w14:paraId="1672EB71" w14:textId="50087FE5">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6,700,0</w:t>
            </w:r>
            <w:r w:rsidRPr="00D77DC8" w:rsidR="002F7A48">
              <w:rPr>
                <w:rFonts w:ascii="Palatino Linotype" w:hAnsi="Palatino Linotype" w:eastAsia="Palatino Linotype" w:cs="Times New Roman"/>
                <w:color w:val="000000" w:themeColor="text1"/>
                <w:sz w:val="22"/>
                <w:szCs w:val="22"/>
              </w:rPr>
              <w:t>87</w:t>
            </w:r>
          </w:p>
        </w:tc>
        <w:tc>
          <w:tcPr>
            <w:tcW w:w="326" w:type="dxa"/>
            <w:tcBorders>
              <w:top w:val="single" w:color="auto" w:sz="4" w:space="0"/>
              <w:left w:val="single" w:color="auto" w:sz="4" w:space="0"/>
              <w:bottom w:val="single" w:color="auto" w:sz="4" w:space="0"/>
              <w:right w:val="nil"/>
            </w:tcBorders>
          </w:tcPr>
          <w:p w:rsidRPr="00D77DC8" w:rsidR="00BE63F1" w:rsidRDefault="00BE63F1" w14:paraId="51BF11C9"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2232" w:type="dxa"/>
            <w:tcBorders>
              <w:top w:val="single" w:color="auto" w:sz="4" w:space="0"/>
              <w:left w:val="nil"/>
              <w:bottom w:val="single" w:color="auto" w:sz="4" w:space="0"/>
              <w:right w:val="single" w:color="auto" w:sz="4" w:space="0"/>
            </w:tcBorders>
            <w:vAlign w:val="center"/>
          </w:tcPr>
          <w:p w:rsidRPr="00D77DC8" w:rsidR="00BE63F1" w:rsidRDefault="00BE63F1" w14:paraId="2A1A2DA7" w14:textId="3D16DEBB">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1,56</w:t>
            </w:r>
            <w:r w:rsidRPr="00D77DC8" w:rsidR="00535C55">
              <w:rPr>
                <w:rFonts w:ascii="Palatino Linotype" w:hAnsi="Palatino Linotype" w:eastAsia="Palatino Linotype" w:cs="Times New Roman"/>
                <w:color w:val="000000" w:themeColor="text1"/>
                <w:sz w:val="22"/>
                <w:szCs w:val="22"/>
              </w:rPr>
              <w:t>6</w:t>
            </w:r>
            <w:r w:rsidRPr="00D77DC8">
              <w:rPr>
                <w:rFonts w:ascii="Palatino Linotype" w:hAnsi="Palatino Linotype" w:eastAsia="Palatino Linotype" w:cs="Times New Roman"/>
                <w:color w:val="000000" w:themeColor="text1"/>
                <w:sz w:val="22"/>
                <w:szCs w:val="22"/>
              </w:rPr>
              <w:t>,</w:t>
            </w:r>
            <w:r w:rsidRPr="00D77DC8" w:rsidR="00535C55">
              <w:rPr>
                <w:rFonts w:ascii="Palatino Linotype" w:hAnsi="Palatino Linotype" w:eastAsia="Palatino Linotype" w:cs="Times New Roman"/>
                <w:color w:val="000000" w:themeColor="text1"/>
                <w:sz w:val="22"/>
                <w:szCs w:val="22"/>
              </w:rPr>
              <w:t>913</w:t>
            </w:r>
          </w:p>
        </w:tc>
      </w:tr>
    </w:tbl>
    <w:p w:rsidRPr="00D77DC8" w:rsidR="00BE63F1" w:rsidP="00A853C3" w:rsidRDefault="00BE63F1" w14:paraId="3BF4DFB3" w14:textId="77777777">
      <w:pPr>
        <w:spacing w:after="0" w:line="276" w:lineRule="auto"/>
        <w:rPr>
          <w:rFonts w:ascii="Palatino Linotype" w:hAnsi="Palatino Linotype" w:eastAsia="Palatino Linotype" w:cs="Times New Roman"/>
          <w:color w:val="000000" w:themeColor="text1"/>
        </w:rPr>
      </w:pPr>
    </w:p>
    <w:p w:rsidRPr="00D77DC8" w:rsidR="00A853C3" w:rsidP="00A853C3" w:rsidRDefault="00A853C3" w14:paraId="2DC1BB3F" w14:textId="29BFA68C">
      <w:pPr>
        <w:spacing w:after="0" w:line="276" w:lineRule="auto"/>
        <w:rPr>
          <w:rFonts w:ascii="Palatino Linotype" w:hAnsi="Palatino Linotype" w:eastAsia="Palatino Linotype" w:cs="Times New Roman"/>
          <w:color w:val="000000" w:themeColor="text1"/>
        </w:rPr>
      </w:pPr>
      <w:r w:rsidRPr="00D77DC8">
        <w:rPr>
          <w:rFonts w:ascii="Palatino Linotype" w:hAnsi="Palatino Linotype" w:eastAsia="Palatino Linotype" w:cs="Times New Roman"/>
          <w:color w:val="000000" w:themeColor="text1"/>
        </w:rPr>
        <w:t>PG&amp;E states</w:t>
      </w:r>
      <w:r w:rsidRPr="00D77DC8" w:rsidR="00EC64B6">
        <w:rPr>
          <w:rFonts w:ascii="Palatino Linotype" w:hAnsi="Palatino Linotype" w:eastAsia="Palatino Linotype" w:cs="Times New Roman"/>
          <w:color w:val="000000" w:themeColor="text1"/>
        </w:rPr>
        <w:t xml:space="preserve"> that its revised budget is the result of the following modifications:</w:t>
      </w:r>
    </w:p>
    <w:p w:rsidRPr="00994F76" w:rsidR="00D77CB8" w:rsidP="00801EA4" w:rsidRDefault="00D77CB8" w14:paraId="335F0C9F"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2025 Gas RD&amp;D Plan to clarify program scope and analytical boundaries, including a clearer distinction between research, planning, and </w:t>
      </w:r>
      <w:r w:rsidRPr="00994F76">
        <w:rPr>
          <w:rFonts w:ascii="Palatino Linotype" w:hAnsi="Palatino Linotype" w:eastAsia="Palatino Linotype" w:cs="Times New Roman"/>
          <w:color w:val="000000" w:themeColor="text1"/>
        </w:rPr>
        <w:lastRenderedPageBreak/>
        <w:t xml:space="preserve">execution activities, and revised proposed budgets to reflect a more limited research portfolio consistent with Commission eligibility guidance and attribution requirements. </w:t>
      </w:r>
    </w:p>
    <w:p w:rsidRPr="00994F76" w:rsidR="00D77CB8" w:rsidP="00801EA4" w:rsidRDefault="00D77CB8" w14:paraId="441580D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eliminated hydrogen-related RD&amp;D activities from the revised 2025 Plan. </w:t>
      </w:r>
    </w:p>
    <w:p w:rsidRPr="00994F76" w:rsidR="00D77CB8" w:rsidP="00801EA4" w:rsidRDefault="00D77CB8" w14:paraId="2FFBC292"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removed or significantly narrowed RD&amp;D activities associated with emissions measurement, integrity management, and other existing federal or state mandates, including activities aligned with Natural Gas Leak Abatement best practices, PHMSA Mega Rule requirements, and </w:t>
      </w:r>
      <w:proofErr w:type="spellStart"/>
      <w:r w:rsidRPr="00994F76">
        <w:rPr>
          <w:rFonts w:ascii="Palatino Linotype" w:hAnsi="Palatino Linotype" w:eastAsia="Palatino Linotype" w:cs="Times New Roman"/>
          <w:color w:val="000000" w:themeColor="text1"/>
        </w:rPr>
        <w:t>CalGEM</w:t>
      </w:r>
      <w:proofErr w:type="spellEnd"/>
      <w:r w:rsidRPr="00994F76">
        <w:rPr>
          <w:rFonts w:ascii="Palatino Linotype" w:hAnsi="Palatino Linotype" w:eastAsia="Palatino Linotype" w:cs="Times New Roman"/>
          <w:color w:val="000000" w:themeColor="text1"/>
        </w:rPr>
        <w:t xml:space="preserve"> mandated obligations. </w:t>
      </w:r>
    </w:p>
    <w:p w:rsidRPr="00994F76" w:rsidR="00D77CB8" w:rsidP="00801EA4" w:rsidRDefault="00D77CB8" w14:paraId="25BD8B8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Plan to remove </w:t>
      </w:r>
      <w:proofErr w:type="gramStart"/>
      <w:r w:rsidRPr="00994F76">
        <w:rPr>
          <w:rFonts w:ascii="Palatino Linotype" w:hAnsi="Palatino Linotype" w:eastAsia="Palatino Linotype" w:cs="Times New Roman"/>
          <w:color w:val="000000" w:themeColor="text1"/>
        </w:rPr>
        <w:t>gas RD&amp;D</w:t>
      </w:r>
      <w:proofErr w:type="gramEnd"/>
      <w:r w:rsidRPr="00994F76">
        <w:rPr>
          <w:rFonts w:ascii="Palatino Linotype" w:hAnsi="Palatino Linotype" w:eastAsia="Palatino Linotype" w:cs="Times New Roman"/>
          <w:color w:val="000000" w:themeColor="text1"/>
        </w:rPr>
        <w:t xml:space="preserve"> projects located outside of California, except where projects are affiliated with a federal laboratory. </w:t>
      </w:r>
    </w:p>
    <w:p w:rsidRPr="00994F76" w:rsidR="00D77CB8" w:rsidP="00801EA4" w:rsidRDefault="00D77CB8" w14:paraId="745D6CC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clarified the distinction between gas RD&amp;D-funded activities and work supported through external funding mechanisms, including research consortia, and reclassified participation in research consortia as a Program Administrative activity subject to the applicable administrative cost cap. </w:t>
      </w:r>
    </w:p>
    <w:p w:rsidRPr="00535C55" w:rsidR="00107CE2" w:rsidP="00535C55" w:rsidRDefault="00D77CB8" w14:paraId="2F636AEF" w14:textId="23A83D8A">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expanded its discussion of coordination and non-duplication practices and applied the Electric Program Investment Charge (EPIC) Uniform Benefits framework and calculations, including more explicit translation of RD&amp;D outputs into quantified, annualized ratepayer benefits where appropriate.</w:t>
      </w:r>
    </w:p>
    <w:p w:rsidR="00F3198F" w:rsidP="00A92594" w:rsidRDefault="00F3198F" w14:paraId="064BF8E2" w14:textId="5BDC5987">
      <w:pPr>
        <w:spacing w:before="240" w:after="0" w:line="276" w:lineRule="auto"/>
        <w:ind w:left="36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incorporated additional documentation responding to the compliance items identified in Appendix G of Resolution G-3618, including a table identifying where and how specific Commission findings are addressed in the revised Plan, and revised the narrative structure and level of detail to improve clarity and consistency based on Commission staff feedback and stakeholder input.”</w:t>
      </w:r>
      <w:r w:rsidRPr="00994F76">
        <w:rPr>
          <w:rStyle w:val="FootnoteReference"/>
          <w:rFonts w:ascii="Palatino Linotype" w:hAnsi="Palatino Linotype" w:eastAsia="Palatino Linotype" w:cs="Times New Roman"/>
          <w:color w:val="000000" w:themeColor="text1"/>
        </w:rPr>
        <w:footnoteReference w:id="61"/>
      </w:r>
    </w:p>
    <w:p w:rsidRPr="00994F76" w:rsidR="00E11D3C" w:rsidP="00E11D3C" w:rsidRDefault="00E11D3C" w14:paraId="3A6D7E2A" w14:textId="77777777">
      <w:pPr>
        <w:spacing w:after="0" w:line="276" w:lineRule="auto"/>
        <w:rPr>
          <w:rFonts w:ascii="Palatino Linotype" w:hAnsi="Palatino Linotype"/>
          <w:b/>
          <w:bCs/>
          <w:color w:val="000000" w:themeColor="text1"/>
        </w:rPr>
      </w:pPr>
    </w:p>
    <w:p w:rsidR="00E55B24" w:rsidP="009A1C35" w:rsidRDefault="00E11D3C" w14:paraId="4A4CE5C0" w14:textId="36FAE767">
      <w:pPr>
        <w:spacing w:after="0" w:line="276" w:lineRule="auto"/>
        <w:rPr>
          <w:rFonts w:ascii="Palatino Linotype" w:hAnsi="Palatino Linotype"/>
          <w:color w:val="000000" w:themeColor="text1"/>
          <w:u w:val="single"/>
        </w:rPr>
      </w:pPr>
      <w:r w:rsidRPr="00994F76">
        <w:rPr>
          <w:rFonts w:ascii="Palatino Linotype" w:hAnsi="Palatino Linotype"/>
          <w:color w:val="000000" w:themeColor="text1"/>
          <w:u w:val="single"/>
        </w:rPr>
        <w:t>PG&amp;E</w:t>
      </w:r>
      <w:r w:rsidRPr="00994F76" w:rsidR="00BD0F91">
        <w:rPr>
          <w:rFonts w:ascii="Palatino Linotype" w:hAnsi="Palatino Linotype"/>
          <w:color w:val="000000" w:themeColor="text1"/>
          <w:u w:val="single"/>
        </w:rPr>
        <w:t>’s</w:t>
      </w:r>
      <w:r w:rsidRPr="00994F76">
        <w:rPr>
          <w:rFonts w:ascii="Palatino Linotype" w:hAnsi="Palatino Linotype"/>
          <w:color w:val="000000" w:themeColor="text1"/>
          <w:u w:val="single"/>
        </w:rPr>
        <w:t xml:space="preserve"> Request for 2025 Gas RD&amp;D Plan</w:t>
      </w:r>
    </w:p>
    <w:p w:rsidRPr="00994F76" w:rsidR="009A1C35" w:rsidP="009A1C35" w:rsidRDefault="009A1C35" w14:paraId="7D10C258" w14:textId="77777777">
      <w:pPr>
        <w:spacing w:after="0" w:line="276" w:lineRule="auto"/>
        <w:rPr>
          <w:rFonts w:ascii="Palatino Linotype" w:hAnsi="Palatino Linotype" w:eastAsia="Palatino Linotype" w:cs="Times New Roman"/>
          <w:color w:val="000000" w:themeColor="text1"/>
          <w:kern w:val="0"/>
          <w:u w:val="single"/>
          <w14:ligatures w14:val="none"/>
        </w:rPr>
      </w:pPr>
    </w:p>
    <w:p w:rsidRPr="00994F76" w:rsidR="00311637" w:rsidP="00361AB6" w:rsidRDefault="00054A39" w14:paraId="23E5C6B3" w14:textId="650716B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w:t>
      </w:r>
      <w:r w:rsidRPr="00994F76" w:rsidR="00B54B03">
        <w:rPr>
          <w:rFonts w:ascii="Palatino Linotype" w:hAnsi="Palatino Linotype" w:eastAsia="Palatino Linotype" w:cs="Times New Roman"/>
          <w:bCs/>
          <w:color w:val="000000" w:themeColor="text1"/>
          <w:kern w:val="0"/>
          <w14:ligatures w14:val="none"/>
        </w:rPr>
        <w:t xml:space="preserve"> seek</w:t>
      </w:r>
      <w:r w:rsidRPr="00994F76">
        <w:rPr>
          <w:rFonts w:ascii="Palatino Linotype" w:hAnsi="Palatino Linotype" w:eastAsia="Palatino Linotype" w:cs="Times New Roman"/>
          <w:bCs/>
          <w:color w:val="000000" w:themeColor="text1"/>
          <w:kern w:val="0"/>
          <w14:ligatures w14:val="none"/>
        </w:rPr>
        <w:t>s</w:t>
      </w:r>
      <w:r w:rsidRPr="00994F76" w:rsidR="00B54B03">
        <w:rPr>
          <w:rFonts w:ascii="Palatino Linotype" w:hAnsi="Palatino Linotype" w:eastAsia="Palatino Linotype" w:cs="Times New Roman"/>
          <w:bCs/>
          <w:color w:val="000000" w:themeColor="text1"/>
          <w:kern w:val="0"/>
          <w14:ligatures w14:val="none"/>
        </w:rPr>
        <w:t xml:space="preserve"> </w:t>
      </w:r>
      <w:r w:rsidRPr="00994F76" w:rsidR="0044796D">
        <w:rPr>
          <w:rFonts w:ascii="Palatino Linotype" w:hAnsi="Palatino Linotype" w:eastAsia="Palatino Linotype" w:cs="Times New Roman"/>
          <w:bCs/>
          <w:color w:val="000000" w:themeColor="text1"/>
          <w:kern w:val="0"/>
          <w14:ligatures w14:val="none"/>
        </w:rPr>
        <w:t xml:space="preserve">approval of </w:t>
      </w:r>
      <w:r w:rsidRPr="00994F76" w:rsidR="007E73AF">
        <w:rPr>
          <w:rFonts w:ascii="Palatino Linotype" w:hAnsi="Palatino Linotype" w:eastAsia="Palatino Linotype" w:cs="Times New Roman"/>
          <w:bCs/>
          <w:color w:val="000000" w:themeColor="text1"/>
          <w:kern w:val="0"/>
          <w14:ligatures w14:val="none"/>
        </w:rPr>
        <w:t xml:space="preserve">its </w:t>
      </w:r>
      <w:r w:rsidRPr="0013406B" w:rsidR="007E73AF">
        <w:rPr>
          <w:rFonts w:ascii="Palatino Linotype" w:hAnsi="Palatino Linotype" w:eastAsia="Palatino Linotype" w:cs="Times New Roman"/>
          <w:bCs/>
          <w:color w:val="000000" w:themeColor="text1"/>
          <w:kern w:val="0"/>
          <w14:ligatures w14:val="none"/>
        </w:rPr>
        <w:t>proposed</w:t>
      </w:r>
      <w:r w:rsidRPr="0013406B" w:rsidR="00C52C76">
        <w:rPr>
          <w:rFonts w:ascii="Palatino Linotype" w:hAnsi="Palatino Linotype" w:eastAsia="Palatino Linotype" w:cs="Times New Roman"/>
          <w:bCs/>
          <w:color w:val="000000" w:themeColor="text1"/>
          <w:kern w:val="0"/>
          <w14:ligatures w14:val="none"/>
        </w:rPr>
        <w:t>, revised</w:t>
      </w:r>
      <w:r w:rsidRPr="0013406B" w:rsidR="007E73AF">
        <w:rPr>
          <w:rFonts w:ascii="Palatino Linotype" w:hAnsi="Palatino Linotype" w:eastAsia="Palatino Linotype" w:cs="Times New Roman"/>
          <w:bCs/>
          <w:color w:val="000000" w:themeColor="text1"/>
          <w:kern w:val="0"/>
          <w14:ligatures w14:val="none"/>
        </w:rPr>
        <w:t xml:space="preserve"> </w:t>
      </w:r>
      <w:r w:rsidRPr="00994F76" w:rsidR="007E73AF">
        <w:rPr>
          <w:rFonts w:ascii="Palatino Linotype" w:hAnsi="Palatino Linotype" w:eastAsia="Palatino Linotype" w:cs="Times New Roman"/>
          <w:bCs/>
          <w:color w:val="000000" w:themeColor="text1"/>
          <w:kern w:val="0"/>
          <w14:ligatures w14:val="none"/>
        </w:rPr>
        <w:t xml:space="preserve">Gas RD&amp;D Investment Plan </w:t>
      </w:r>
      <w:r w:rsidRPr="00994F76" w:rsidR="0016144D">
        <w:rPr>
          <w:rFonts w:ascii="Palatino Linotype" w:hAnsi="Palatino Linotype" w:eastAsia="Palatino Linotype" w:cs="Times New Roman"/>
          <w:bCs/>
          <w:color w:val="000000" w:themeColor="text1"/>
          <w:kern w:val="0"/>
          <w14:ligatures w14:val="none"/>
        </w:rPr>
        <w:t>for Calendar Year 2025 in AL 5</w:t>
      </w:r>
      <w:r w:rsidRPr="00994F76" w:rsidR="0083425E">
        <w:rPr>
          <w:rFonts w:ascii="Palatino Linotype" w:hAnsi="Palatino Linotype" w:eastAsia="Palatino Linotype" w:cs="Times New Roman"/>
          <w:bCs/>
          <w:color w:val="000000" w:themeColor="text1"/>
          <w:kern w:val="0"/>
          <w14:ligatures w14:val="none"/>
        </w:rPr>
        <w:t>19</w:t>
      </w:r>
      <w:r w:rsidRPr="00994F76" w:rsidR="00114426">
        <w:rPr>
          <w:rFonts w:ascii="Palatino Linotype" w:hAnsi="Palatino Linotype" w:eastAsia="Palatino Linotype" w:cs="Times New Roman"/>
          <w:bCs/>
          <w:color w:val="000000" w:themeColor="text1"/>
          <w:kern w:val="0"/>
          <w14:ligatures w14:val="none"/>
        </w:rPr>
        <w:t>7</w:t>
      </w:r>
      <w:r w:rsidRPr="00994F76" w:rsidR="0016144D">
        <w:rPr>
          <w:rFonts w:ascii="Palatino Linotype" w:hAnsi="Palatino Linotype" w:eastAsia="Palatino Linotype" w:cs="Times New Roman"/>
          <w:bCs/>
          <w:color w:val="000000" w:themeColor="text1"/>
          <w:kern w:val="0"/>
          <w14:ligatures w14:val="none"/>
        </w:rPr>
        <w:t xml:space="preserve">-G, </w:t>
      </w:r>
      <w:r w:rsidRPr="00994F76" w:rsidR="008F53B2">
        <w:rPr>
          <w:rFonts w:ascii="Palatino Linotype" w:hAnsi="Palatino Linotype" w:eastAsia="Palatino Linotype" w:cs="Times New Roman"/>
          <w:bCs/>
          <w:color w:val="000000" w:themeColor="text1"/>
          <w:kern w:val="0"/>
          <w14:ligatures w14:val="none"/>
        </w:rPr>
        <w:t xml:space="preserve">authorized </w:t>
      </w:r>
      <w:r w:rsidRPr="00994F76" w:rsidR="00D909A9">
        <w:rPr>
          <w:rFonts w:ascii="Palatino Linotype" w:hAnsi="Palatino Linotype" w:eastAsia="Palatino Linotype" w:cs="Times New Roman"/>
          <w:bCs/>
          <w:color w:val="000000" w:themeColor="text1"/>
          <w:kern w:val="0"/>
          <w14:ligatures w14:val="none"/>
        </w:rPr>
        <w:t xml:space="preserve">by D.23-11-069 </w:t>
      </w:r>
      <w:r w:rsidRPr="00994F76" w:rsidR="008F53B2">
        <w:rPr>
          <w:rFonts w:ascii="Palatino Linotype" w:hAnsi="Palatino Linotype" w:eastAsia="Palatino Linotype" w:cs="Times New Roman"/>
          <w:bCs/>
          <w:color w:val="000000" w:themeColor="text1"/>
          <w:kern w:val="0"/>
          <w14:ligatures w14:val="none"/>
        </w:rPr>
        <w:t>at $</w:t>
      </w:r>
      <w:r w:rsidRPr="00994F76" w:rsidR="00114426">
        <w:rPr>
          <w:rFonts w:ascii="Palatino Linotype" w:hAnsi="Palatino Linotype" w:eastAsia="Palatino Linotype" w:cs="Times New Roman"/>
          <w:bCs/>
          <w:color w:val="000000" w:themeColor="text1"/>
          <w:kern w:val="0"/>
          <w14:ligatures w14:val="none"/>
        </w:rPr>
        <w:t>6,700,087</w:t>
      </w:r>
      <w:r w:rsidRPr="00994F76" w:rsidR="001C37A8">
        <w:rPr>
          <w:rStyle w:val="FootnoteReference"/>
          <w:rFonts w:ascii="Palatino Linotype" w:hAnsi="Palatino Linotype" w:eastAsia="Palatino Linotype" w:cs="Times New Roman"/>
          <w:bCs/>
          <w:color w:val="000000" w:themeColor="text1"/>
          <w:kern w:val="0"/>
          <w14:ligatures w14:val="none"/>
        </w:rPr>
        <w:footnoteReference w:id="62"/>
      </w:r>
      <w:r w:rsidRPr="00994F76" w:rsidR="008F53B2">
        <w:rPr>
          <w:rFonts w:ascii="Palatino Linotype" w:hAnsi="Palatino Linotype" w:eastAsia="Palatino Linotype" w:cs="Times New Roman"/>
          <w:bCs/>
          <w:color w:val="000000" w:themeColor="text1"/>
          <w:kern w:val="0"/>
          <w14:ligatures w14:val="none"/>
        </w:rPr>
        <w:t xml:space="preserve"> </w:t>
      </w:r>
      <w:r w:rsidRPr="00994F76" w:rsidR="002B080C">
        <w:rPr>
          <w:rFonts w:ascii="Palatino Linotype" w:hAnsi="Palatino Linotype" w:eastAsia="Palatino Linotype" w:cs="Times New Roman"/>
          <w:bCs/>
          <w:color w:val="000000" w:themeColor="text1"/>
          <w:kern w:val="0"/>
          <w14:ligatures w14:val="none"/>
        </w:rPr>
        <w:t>with</w:t>
      </w:r>
      <w:r w:rsidRPr="00994F76" w:rsidR="0044796D">
        <w:rPr>
          <w:rFonts w:ascii="Palatino Linotype" w:hAnsi="Palatino Linotype" w:eastAsia="Palatino Linotype" w:cs="Times New Roman"/>
          <w:bCs/>
          <w:color w:val="000000" w:themeColor="text1"/>
          <w:kern w:val="0"/>
          <w14:ligatures w14:val="none"/>
        </w:rPr>
        <w:t xml:space="preserve"> the following proposed budget allocations to various Initiatives:</w:t>
      </w:r>
    </w:p>
    <w:p w:rsidRPr="00994F76" w:rsidR="00A61A02" w:rsidP="00361AB6" w:rsidRDefault="00A61A02" w14:paraId="4749F06B" w14:textId="77777777">
      <w:pPr>
        <w:spacing w:after="0" w:line="276" w:lineRule="auto"/>
        <w:rPr>
          <w:rFonts w:ascii="Palatino Linotype" w:hAnsi="Palatino Linotype" w:eastAsia="Palatino Linotype" w:cs="Times New Roman"/>
          <w:bCs/>
          <w:color w:val="000000" w:themeColor="text1"/>
          <w:kern w:val="0"/>
          <w14:ligatures w14:val="none"/>
        </w:rPr>
      </w:pPr>
    </w:p>
    <w:tbl>
      <w:tblPr>
        <w:tblStyle w:val="TableGrid"/>
        <w:tblW w:w="8905" w:type="dxa"/>
        <w:tblLook w:val="04A0" w:firstRow="1" w:lastRow="0" w:firstColumn="1" w:lastColumn="0" w:noHBand="0" w:noVBand="1"/>
      </w:tblPr>
      <w:tblGrid>
        <w:gridCol w:w="2321"/>
        <w:gridCol w:w="4557"/>
        <w:gridCol w:w="326"/>
        <w:gridCol w:w="1701"/>
      </w:tblGrid>
      <w:tr w:rsidRPr="00994F76" w:rsidR="00BE63F1" w14:paraId="60395292" w14:textId="77777777">
        <w:trPr>
          <w:trHeight w:val="314"/>
        </w:trPr>
        <w:tc>
          <w:tcPr>
            <w:tcW w:w="8905" w:type="dxa"/>
            <w:gridSpan w:val="4"/>
            <w:tcBorders>
              <w:top w:val="single" w:color="auto" w:sz="4" w:space="0"/>
              <w:left w:val="single" w:color="auto" w:sz="4" w:space="0"/>
              <w:bottom w:val="single" w:color="auto" w:sz="4" w:space="0"/>
              <w:right w:val="single" w:color="auto" w:sz="4" w:space="0"/>
            </w:tcBorders>
          </w:tcPr>
          <w:p w:rsidRPr="00994F76" w:rsidR="00BE63F1" w:rsidP="002E39DD" w:rsidRDefault="00BE63F1" w14:paraId="19BF7006" w14:textId="60504787">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t xml:space="preserve">Table </w:t>
            </w:r>
            <w:r>
              <w:rPr>
                <w:rFonts w:ascii="Palatino Linotype" w:hAnsi="Palatino Linotype"/>
                <w:b/>
                <w:bCs w:val="0"/>
                <w:color w:val="000000" w:themeColor="text1"/>
              </w:rPr>
              <w:t>4</w:t>
            </w:r>
            <w:r w:rsidRPr="0013406B">
              <w:rPr>
                <w:rFonts w:ascii="Palatino Linotype" w:hAnsi="Palatino Linotype"/>
                <w:b/>
                <w:bCs w:val="0"/>
                <w:color w:val="000000" w:themeColor="text1"/>
              </w:rPr>
              <w:t xml:space="preserve">: </w:t>
            </w:r>
            <w:r w:rsidRPr="0013406B" w:rsidR="009B55F0">
              <w:rPr>
                <w:rFonts w:ascii="Palatino Linotype" w:hAnsi="Palatino Linotype"/>
                <w:b/>
                <w:bCs w:val="0"/>
                <w:color w:val="000000" w:themeColor="text1"/>
              </w:rPr>
              <w:t xml:space="preserve">Revised </w:t>
            </w:r>
            <w:r w:rsidRPr="00994F76">
              <w:rPr>
                <w:rFonts w:ascii="Palatino Linotype" w:hAnsi="Palatino Linotype"/>
                <w:b/>
                <w:bCs w:val="0"/>
                <w:color w:val="000000" w:themeColor="text1"/>
              </w:rPr>
              <w:t>2025 Gas RD&amp;D Plan Proposed Budget</w:t>
            </w:r>
            <w:r w:rsidRPr="00994F76">
              <w:rPr>
                <w:rStyle w:val="FootnoteReference"/>
                <w:rFonts w:ascii="Palatino Linotype" w:hAnsi="Palatino Linotype"/>
                <w:b/>
                <w:bCs w:val="0"/>
                <w:color w:val="000000" w:themeColor="text1"/>
              </w:rPr>
              <w:footnoteReference w:id="63"/>
            </w:r>
          </w:p>
        </w:tc>
      </w:tr>
      <w:tr w:rsidRPr="00994F76" w:rsidR="00845807" w:rsidTr="00845807" w14:paraId="198025C4" w14:textId="77777777">
        <w:tc>
          <w:tcPr>
            <w:tcW w:w="2321" w:type="dxa"/>
            <w:tcBorders>
              <w:top w:val="single" w:color="auto" w:sz="4" w:space="0"/>
              <w:left w:val="single" w:color="auto" w:sz="4" w:space="0"/>
              <w:bottom w:val="single" w:color="auto" w:sz="4" w:space="0"/>
              <w:right w:val="single" w:color="auto" w:sz="4" w:space="0"/>
            </w:tcBorders>
          </w:tcPr>
          <w:p w:rsidRPr="00994F76" w:rsidR="00845807" w:rsidP="002E39DD" w:rsidRDefault="00845807" w14:paraId="12219451"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Investment Theme</w:t>
            </w:r>
          </w:p>
        </w:tc>
        <w:tc>
          <w:tcPr>
            <w:tcW w:w="4557" w:type="dxa"/>
            <w:tcBorders>
              <w:top w:val="single" w:color="auto" w:sz="4" w:space="0"/>
              <w:left w:val="single" w:color="auto" w:sz="4" w:space="0"/>
              <w:bottom w:val="single" w:color="auto" w:sz="4" w:space="0"/>
              <w:right w:val="single" w:color="auto" w:sz="4" w:space="0"/>
            </w:tcBorders>
          </w:tcPr>
          <w:p w:rsidRPr="00994F76" w:rsidR="00845807" w:rsidP="002E39DD" w:rsidRDefault="00845807" w14:paraId="2D43A2C5"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Initiative Title</w:t>
            </w:r>
          </w:p>
        </w:tc>
        <w:tc>
          <w:tcPr>
            <w:tcW w:w="2027" w:type="dxa"/>
            <w:gridSpan w:val="2"/>
            <w:tcBorders>
              <w:top w:val="single" w:color="auto" w:sz="4" w:space="0"/>
              <w:left w:val="single" w:color="auto" w:sz="4" w:space="0"/>
              <w:bottom w:val="single" w:color="auto" w:sz="4" w:space="0"/>
              <w:right w:val="single" w:color="auto" w:sz="4" w:space="0"/>
            </w:tcBorders>
          </w:tcPr>
          <w:p w:rsidRPr="00994F76" w:rsidR="00845807" w:rsidP="002E39DD" w:rsidRDefault="00845807" w14:paraId="16C83403" w14:textId="3D8A64CC">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2025 Plan Budget</w:t>
            </w:r>
          </w:p>
        </w:tc>
      </w:tr>
      <w:tr w:rsidRPr="00994F76" w:rsidR="00BE63F1" w:rsidTr="00845807" w14:paraId="4E3F7199" w14:textId="77777777">
        <w:tc>
          <w:tcPr>
            <w:tcW w:w="2321" w:type="dxa"/>
            <w:vMerge w:val="restart"/>
            <w:tcBorders>
              <w:top w:val="single" w:color="auto" w:sz="4" w:space="0"/>
              <w:left w:val="single" w:color="auto" w:sz="4" w:space="0"/>
              <w:right w:val="single" w:color="auto" w:sz="4" w:space="0"/>
            </w:tcBorders>
          </w:tcPr>
          <w:p w:rsidRPr="00994F76" w:rsidR="00BE63F1" w:rsidP="002E39DD" w:rsidRDefault="00BE63F1" w14:paraId="2939F827" w14:textId="524AA79B">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System Integrity</w:t>
            </w:r>
          </w:p>
        </w:tc>
        <w:tc>
          <w:tcPr>
            <w:tcW w:w="4557"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2FF1C25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Innovative and Cost-Effective Integrity Management</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5249853D" w14:textId="33BAB3F2">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68BA4D96" w14:textId="4FBEA591">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3,270,000</w:t>
            </w:r>
          </w:p>
        </w:tc>
      </w:tr>
      <w:tr w:rsidRPr="00994F76" w:rsidR="00BE63F1" w:rsidTr="00845807" w14:paraId="109A4BA1" w14:textId="77777777">
        <w:tc>
          <w:tcPr>
            <w:tcW w:w="2321" w:type="dxa"/>
            <w:vMerge/>
            <w:tcBorders>
              <w:left w:val="single" w:color="auto" w:sz="4" w:space="0"/>
              <w:bottom w:val="single" w:color="auto" w:sz="4" w:space="0"/>
              <w:right w:val="single" w:color="auto" w:sz="4" w:space="0"/>
            </w:tcBorders>
          </w:tcPr>
          <w:p w:rsidRPr="00994F76" w:rsidR="00BE63F1" w:rsidP="002E39DD" w:rsidRDefault="00BE63F1" w14:paraId="7B65805E" w14:textId="77777777">
            <w:pPr>
              <w:keepNext/>
              <w:keepLines/>
              <w:spacing w:line="276" w:lineRule="auto"/>
              <w:rPr>
                <w:rFonts w:ascii="Palatino Linotype" w:hAnsi="Palatino Linotype"/>
                <w:color w:val="000000" w:themeColor="text1"/>
                <w:sz w:val="22"/>
                <w:szCs w:val="22"/>
              </w:rPr>
            </w:pPr>
          </w:p>
        </w:tc>
        <w:tc>
          <w:tcPr>
            <w:tcW w:w="4557" w:type="dxa"/>
            <w:tcBorders>
              <w:top w:val="single" w:color="auto" w:sz="4" w:space="0"/>
              <w:left w:val="single" w:color="auto" w:sz="4" w:space="0"/>
              <w:bottom w:val="single" w:color="auto" w:sz="4" w:space="0"/>
              <w:right w:val="single" w:color="auto" w:sz="4" w:space="0"/>
            </w:tcBorders>
          </w:tcPr>
          <w:p w:rsidRPr="00994F76" w:rsidR="00BE63F1" w:rsidP="000B56CA" w:rsidRDefault="00BE63F1" w14:paraId="7FFA923A" w14:textId="5D616896">
            <w:pPr>
              <w:rPr>
                <w:rFonts w:ascii="Palatino Linotype" w:hAnsi="Palatino Linotype"/>
                <w:color w:val="000000" w:themeColor="text1"/>
                <w:sz w:val="21"/>
                <w:szCs w:val="21"/>
              </w:rPr>
            </w:pPr>
            <w:r w:rsidRPr="00994F76">
              <w:rPr>
                <w:rFonts w:ascii="Palatino Linotype" w:hAnsi="Palatino Linotype"/>
                <w:color w:val="000000" w:themeColor="text1"/>
                <w:sz w:val="21"/>
                <w:szCs w:val="21"/>
              </w:rPr>
              <w:t>Integrated Planning Tools to Enable Scaled Up Gas Decommissioning and Electrification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54849798" w14:textId="1C96238F">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4AC8B37B" w14:textId="5FE28151">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2,100,000</w:t>
            </w:r>
          </w:p>
        </w:tc>
      </w:tr>
      <w:tr w:rsidRPr="00994F76" w:rsidR="00BE63F1" w:rsidTr="00845807" w14:paraId="5D0D7DA2" w14:textId="77777777">
        <w:tc>
          <w:tcPr>
            <w:tcW w:w="2321"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7EFBE56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Decarbonization</w:t>
            </w:r>
          </w:p>
        </w:tc>
        <w:tc>
          <w:tcPr>
            <w:tcW w:w="4557"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209DA599"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Clean Fuels Integration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2F0CAC19" w14:textId="46DED3DB">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5AE6A324" w14:textId="0F87F1DF">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150,000</w:t>
            </w:r>
          </w:p>
        </w:tc>
      </w:tr>
      <w:tr w:rsidRPr="00994F76" w:rsidR="00BE63F1" w:rsidTr="00845807" w14:paraId="6F3CF1C3"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57499EED"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RD&amp;D Database Development</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1E5C384E" w14:textId="6D724728">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3E62CC1B" w14:textId="6D56ABA3">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56,987</w:t>
            </w:r>
          </w:p>
        </w:tc>
      </w:tr>
      <w:tr w:rsidRPr="00994F76" w:rsidR="00BE63F1" w:rsidTr="00845807" w14:paraId="25AB011B"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2DD644DA" w14:textId="1964627E">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1"/>
                <w:szCs w:val="21"/>
              </w:rPr>
              <w:t>Program Evaluation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761EF881" w14:textId="5420B820">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101C385D" w14:textId="31036BD3">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294,400</w:t>
            </w:r>
          </w:p>
        </w:tc>
      </w:tr>
      <w:tr w:rsidRPr="00994F76" w:rsidR="00BE63F1" w:rsidTr="00845807" w14:paraId="144D489A"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1013AA66"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Administrative</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6CA6A097" w14:textId="0644815D">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5D7CB58A" w14:textId="6B4C4ECC">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826,700</w:t>
            </w:r>
          </w:p>
        </w:tc>
      </w:tr>
      <w:tr w:rsidRPr="00994F76" w:rsidR="00BE63F1" w:rsidTr="00845807" w14:paraId="5D6F9F73" w14:textId="77777777">
        <w:tc>
          <w:tcPr>
            <w:tcW w:w="6878" w:type="dxa"/>
            <w:gridSpan w:val="2"/>
            <w:tcBorders>
              <w:top w:val="single" w:color="auto" w:sz="4" w:space="0"/>
              <w:left w:val="single" w:color="auto" w:sz="4" w:space="0"/>
              <w:bottom w:val="single" w:color="auto" w:sz="4" w:space="0"/>
              <w:right w:val="single" w:color="auto" w:sz="4" w:space="0"/>
            </w:tcBorders>
            <w:vAlign w:val="center"/>
          </w:tcPr>
          <w:p w:rsidRPr="00994F76" w:rsidR="00BE63F1" w:rsidP="009B55F0" w:rsidRDefault="00BE63F1" w14:paraId="73E6EAC6" w14:textId="77777777">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ANNUAL TOTAL:</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04C2D696" w14:textId="0D23892E">
            <w:pPr>
              <w:keepNext/>
              <w:keepLines/>
              <w:spacing w:line="276" w:lineRule="auto"/>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7CC99BEC" w14:textId="6977DD72">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color w:val="000000" w:themeColor="text1"/>
                <w:sz w:val="21"/>
                <w:szCs w:val="21"/>
              </w:rPr>
              <w:t>6,700,087</w:t>
            </w:r>
          </w:p>
        </w:tc>
      </w:tr>
    </w:tbl>
    <w:p w:rsidRPr="00994F76" w:rsidR="007630D4" w:rsidP="00361AB6" w:rsidRDefault="007630D4" w14:paraId="14676B41"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912614" w:rsidP="00361AB6" w:rsidRDefault="00912614" w14:paraId="5E756AD2"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 xml:space="preserve">Gas System Integrity Theme Proposed Initiatives </w:t>
      </w:r>
    </w:p>
    <w:p w:rsidRPr="00994F76" w:rsidR="00912614" w:rsidP="009A1C35" w:rsidRDefault="00912614" w14:paraId="77AF9CFC" w14:textId="45334767">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Initiatives within the Gas System Integrity Theme to advance technologies to improve gas system integrity and reduce methane emissions.</w:t>
      </w:r>
      <w:r w:rsidRPr="00994F76">
        <w:rPr>
          <w:rStyle w:val="FootnoteReference"/>
          <w:rFonts w:ascii="Palatino Linotype" w:hAnsi="Palatino Linotype" w:eastAsia="Palatino Linotype" w:cs="Times New Roman"/>
          <w:bCs/>
          <w:color w:val="000000" w:themeColor="text1"/>
          <w:kern w:val="0"/>
          <w14:ligatures w14:val="none"/>
        </w:rPr>
        <w:footnoteReference w:id="64"/>
      </w:r>
      <w:r w:rsidRPr="00994F76">
        <w:rPr>
          <w:rFonts w:ascii="Palatino Linotype" w:hAnsi="Palatino Linotype" w:eastAsia="Palatino Linotype" w:cs="Times New Roman"/>
          <w:bCs/>
          <w:color w:val="000000" w:themeColor="text1"/>
          <w:kern w:val="0"/>
          <w14:ligatures w14:val="none"/>
        </w:rPr>
        <w:t xml:space="preserve"> </w:t>
      </w:r>
    </w:p>
    <w:p w:rsidRPr="00994F76" w:rsidR="00912614" w:rsidP="00836A28" w:rsidRDefault="00912614" w14:paraId="14A9E1CE" w14:textId="34EBFB6A">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Innova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and Cost-Effec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Integrity Management</w:t>
      </w:r>
    </w:p>
    <w:p w:rsidRPr="00994F76" w:rsidR="00912614" w:rsidP="007E7238" w:rsidRDefault="00912614" w14:paraId="54484BDD" w14:textId="30B9BD43">
      <w:pPr>
        <w:spacing w:after="0" w:line="276" w:lineRule="auto"/>
        <w:ind w:left="720"/>
        <w:rPr>
          <w:rFonts w:ascii="Palatino Linotype" w:hAnsi="Palatino Linotype" w:eastAsia="Palatino Linotype" w:cs="Times New Roman"/>
          <w:bCs/>
          <w:color w:val="000000" w:themeColor="text1"/>
          <w:kern w:val="0"/>
          <w:u w:val="single"/>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projects within the Innova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and Cost-Effec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Integrity Management Initiative to advance a new genera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 of integrity management tools and prac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ces by integra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ng 3D mapping, </w:t>
      </w:r>
      <w:r w:rsidR="00023BA9">
        <w:rPr>
          <w:rFonts w:ascii="Palatino Linotype" w:hAnsi="Palatino Linotype" w:eastAsia="Palatino Linotype" w:cs="Times New Roman"/>
          <w:bCs/>
          <w:color w:val="000000" w:themeColor="text1"/>
          <w:kern w:val="0"/>
          <w14:ligatures w14:val="none"/>
        </w:rPr>
        <w:br/>
      </w:r>
      <w:r w:rsidRPr="00994F76">
        <w:rPr>
          <w:rFonts w:ascii="Palatino Linotype" w:hAnsi="Palatino Linotype" w:eastAsia="Palatino Linotype" w:cs="Times New Roman"/>
          <w:bCs/>
          <w:color w:val="000000" w:themeColor="text1"/>
          <w:kern w:val="0"/>
          <w14:ligatures w14:val="none"/>
        </w:rPr>
        <w:t>AI-enabled sensors, on-demand and/or real-time monitoring solu</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ons. </w:t>
      </w:r>
      <w:r w:rsidRPr="00994F76" w:rsidR="0048249E">
        <w:rPr>
          <w:rFonts w:ascii="Palatino Linotype" w:hAnsi="Palatino Linotype" w:eastAsia="Palatino Linotype" w:cs="Times New Roman"/>
          <w:bCs/>
          <w:color w:val="000000" w:themeColor="text1"/>
          <w:kern w:val="0"/>
          <w14:ligatures w14:val="none"/>
        </w:rPr>
        <w:t>PG&amp;E states that it intends to enhance safety, reduce maintenance costs, ensure transferable methods and analyses to address federal and state regula</w:t>
      </w:r>
      <w:r w:rsidRPr="00994F76" w:rsidR="0048249E">
        <w:rPr>
          <w:rFonts w:ascii="Palatino Linotype" w:hAnsi="Palatino Linotype" w:eastAsia="Palatino Linotype" w:cs="Palatino Linotype"/>
          <w:bCs/>
          <w:color w:val="000000" w:themeColor="text1"/>
          <w:kern w:val="0"/>
          <w14:ligatures w14:val="none"/>
        </w:rPr>
        <w:t>ti</w:t>
      </w:r>
      <w:r w:rsidRPr="00994F76" w:rsidR="0048249E">
        <w:rPr>
          <w:rFonts w:ascii="Palatino Linotype" w:hAnsi="Palatino Linotype" w:eastAsia="Palatino Linotype" w:cs="Times New Roman"/>
          <w:bCs/>
          <w:color w:val="000000" w:themeColor="text1"/>
          <w:kern w:val="0"/>
          <w14:ligatures w14:val="none"/>
        </w:rPr>
        <w:t>ons, and improve opera</w:t>
      </w:r>
      <w:r w:rsidRPr="00994F76" w:rsidR="0048249E">
        <w:rPr>
          <w:rFonts w:ascii="Palatino Linotype" w:hAnsi="Palatino Linotype" w:eastAsia="Palatino Linotype" w:cs="Palatino Linotype"/>
          <w:bCs/>
          <w:color w:val="000000" w:themeColor="text1"/>
          <w:kern w:val="0"/>
          <w14:ligatures w14:val="none"/>
        </w:rPr>
        <w:t>ti</w:t>
      </w:r>
      <w:r w:rsidRPr="00994F76" w:rsidR="0048249E">
        <w:rPr>
          <w:rFonts w:ascii="Palatino Linotype" w:hAnsi="Palatino Linotype" w:eastAsia="Palatino Linotype" w:cs="Times New Roman"/>
          <w:bCs/>
          <w:color w:val="000000" w:themeColor="text1"/>
          <w:kern w:val="0"/>
          <w14:ligatures w14:val="none"/>
        </w:rPr>
        <w:t>onal efficiency</w:t>
      </w:r>
      <w:r w:rsidRPr="00994F76">
        <w:rPr>
          <w:rFonts w:ascii="Palatino Linotype" w:hAnsi="Palatino Linotype" w:eastAsia="Palatino Linotype" w:cs="Times New Roman"/>
          <w:bCs/>
          <w:color w:val="000000" w:themeColor="text1"/>
          <w:kern w:val="0"/>
          <w14:ligatures w14:val="none"/>
        </w:rPr>
        <w:t xml:space="preserve">. PG&amp;E proposes to allocate </w:t>
      </w:r>
      <w:r w:rsidRPr="00994F76" w:rsidR="005940BF">
        <w:rPr>
          <w:rFonts w:ascii="Palatino Linotype" w:hAnsi="Palatino Linotype" w:eastAsia="Palatino Linotype" w:cs="Times New Roman"/>
          <w:bCs/>
          <w:color w:val="000000" w:themeColor="text1"/>
          <w:kern w:val="0"/>
          <w14:ligatures w14:val="none"/>
        </w:rPr>
        <w:t>$</w:t>
      </w:r>
      <w:r w:rsidRPr="00994F76" w:rsidR="00E71B47">
        <w:rPr>
          <w:rFonts w:ascii="Palatino Linotype" w:hAnsi="Palatino Linotype" w:eastAsia="Palatino Linotype" w:cs="Times New Roman"/>
          <w:bCs/>
          <w:color w:val="000000" w:themeColor="text1"/>
          <w:kern w:val="0"/>
          <w14:ligatures w14:val="none"/>
        </w:rPr>
        <w:t>3,270,000</w:t>
      </w:r>
      <w:r w:rsidRPr="00994F76">
        <w:rPr>
          <w:rFonts w:ascii="Palatino Linotype" w:hAnsi="Palatino Linotype" w:eastAsia="Palatino Linotype" w:cs="Times New Roman"/>
          <w:bCs/>
          <w:color w:val="000000" w:themeColor="text1"/>
          <w:kern w:val="0"/>
          <w14:ligatures w14:val="none"/>
        </w:rPr>
        <w:t xml:space="preserve"> in its 2025 Plan to this initiative.</w:t>
      </w:r>
      <w:r w:rsidRPr="00994F76">
        <w:rPr>
          <w:rStyle w:val="FootnoteReference"/>
          <w:rFonts w:ascii="Palatino Linotype" w:hAnsi="Palatino Linotype" w:eastAsia="Palatino Linotype" w:cs="Times New Roman"/>
          <w:bCs/>
          <w:color w:val="000000" w:themeColor="text1"/>
          <w:kern w:val="0"/>
          <w14:ligatures w14:val="none"/>
        </w:rPr>
        <w:footnoteReference w:id="65"/>
      </w:r>
    </w:p>
    <w:p w:rsidRPr="00994F76" w:rsidR="00912614" w:rsidP="007E7238" w:rsidRDefault="00912614" w14:paraId="749347AE" w14:textId="77777777">
      <w:pPr>
        <w:spacing w:after="0" w:line="276" w:lineRule="auto"/>
        <w:ind w:left="720"/>
        <w:rPr>
          <w:rFonts w:ascii="Palatino Linotype" w:hAnsi="Palatino Linotype" w:eastAsia="Palatino Linotype" w:cs="Times New Roman"/>
          <w:bCs/>
          <w:color w:val="000000" w:themeColor="text1"/>
          <w:kern w:val="0"/>
          <w14:ligatures w14:val="none"/>
        </w:rPr>
      </w:pPr>
    </w:p>
    <w:p w:rsidRPr="00994F76" w:rsidR="00791D87" w:rsidP="00197037" w:rsidRDefault="00A94748" w14:paraId="22A5F66E" w14:textId="461E3B37">
      <w:pPr>
        <w:pStyle w:val="ListParagraph"/>
        <w:numPr>
          <w:ilvl w:val="0"/>
          <w:numId w:val="1"/>
        </w:numPr>
        <w:spacing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Integrated Planning Tools to Enable Scaled Up Gas Decommissioning and Electrification</w:t>
      </w:r>
    </w:p>
    <w:p w:rsidRPr="00994F76" w:rsidR="00197037" w:rsidP="00DD600D" w:rsidRDefault="00197037" w14:paraId="0558100B" w14:textId="33A6D68C">
      <w:pPr>
        <w:spacing w:after="0" w:line="276" w:lineRule="auto"/>
        <w:ind w:left="72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lastRenderedPageBreak/>
        <w:t xml:space="preserve">PG&amp;E states that it seeks to develop projects within the Integrated Planning Tools to Enable Scaled Up Gas Decommissioning and Electrification Initiative to </w:t>
      </w:r>
      <w:r w:rsidRPr="00994F76" w:rsidR="006C3C39">
        <w:rPr>
          <w:rFonts w:ascii="Palatino Linotype" w:hAnsi="Palatino Linotype" w:eastAsia="Palatino Linotype" w:cs="Times New Roman"/>
          <w:color w:val="000000" w:themeColor="text1"/>
        </w:rPr>
        <w:t>target structured translation from policy signals to analytical inputs; analytical</w:t>
      </w:r>
      <w:r w:rsidRPr="00994F76" w:rsidR="007E5E6B">
        <w:rPr>
          <w:rFonts w:ascii="Palatino Linotype" w:hAnsi="Palatino Linotype" w:eastAsia="Palatino Linotype" w:cs="Times New Roman"/>
          <w:color w:val="000000" w:themeColor="text1"/>
        </w:rPr>
        <w:t xml:space="preserve">ly </w:t>
      </w:r>
      <w:r w:rsidRPr="00994F76" w:rsidR="006C3C39">
        <w:rPr>
          <w:rFonts w:ascii="Palatino Linotype" w:hAnsi="Palatino Linotype" w:eastAsia="Palatino Linotype" w:cs="Times New Roman"/>
          <w:color w:val="000000" w:themeColor="text1"/>
        </w:rPr>
        <w:t>decompos</w:t>
      </w:r>
      <w:r w:rsidRPr="00994F76" w:rsidR="007E5E6B">
        <w:rPr>
          <w:rFonts w:ascii="Palatino Linotype" w:hAnsi="Palatino Linotype" w:eastAsia="Palatino Linotype" w:cs="Times New Roman"/>
          <w:color w:val="000000" w:themeColor="text1"/>
        </w:rPr>
        <w:t xml:space="preserve">e </w:t>
      </w:r>
      <w:r w:rsidRPr="00994F76" w:rsidR="006C3C39">
        <w:rPr>
          <w:rFonts w:ascii="Palatino Linotype" w:hAnsi="Palatino Linotype" w:eastAsia="Palatino Linotype" w:cs="Times New Roman"/>
          <w:color w:val="000000" w:themeColor="text1"/>
        </w:rPr>
        <w:t xml:space="preserve">complex system questions; and </w:t>
      </w:r>
      <w:r w:rsidRPr="00994F76" w:rsidR="007E5E6B">
        <w:rPr>
          <w:rFonts w:ascii="Palatino Linotype" w:hAnsi="Palatino Linotype" w:eastAsia="Palatino Linotype" w:cs="Times New Roman"/>
          <w:color w:val="000000" w:themeColor="text1"/>
        </w:rPr>
        <w:t xml:space="preserve">frame </w:t>
      </w:r>
      <w:r w:rsidRPr="00994F76" w:rsidR="006C3C39">
        <w:rPr>
          <w:rFonts w:ascii="Palatino Linotype" w:hAnsi="Palatino Linotype" w:eastAsia="Palatino Linotype" w:cs="Times New Roman"/>
          <w:color w:val="000000" w:themeColor="text1"/>
        </w:rPr>
        <w:t>scenario-based analytic</w:t>
      </w:r>
      <w:r w:rsidRPr="00994F76" w:rsidR="00E40209">
        <w:rPr>
          <w:rFonts w:ascii="Palatino Linotype" w:hAnsi="Palatino Linotype" w:eastAsia="Palatino Linotype" w:cs="Times New Roman"/>
          <w:color w:val="000000" w:themeColor="text1"/>
        </w:rPr>
        <w:t>s</w:t>
      </w:r>
      <w:r w:rsidRPr="00994F76" w:rsidR="006C3C39">
        <w:rPr>
          <w:rFonts w:ascii="Palatino Linotype" w:hAnsi="Palatino Linotype" w:eastAsia="Palatino Linotype" w:cs="Times New Roman"/>
          <w:color w:val="000000" w:themeColor="text1"/>
        </w:rPr>
        <w:t xml:space="preserve"> </w:t>
      </w:r>
      <w:r w:rsidRPr="00994F76" w:rsidR="007E5E6B">
        <w:rPr>
          <w:rFonts w:ascii="Palatino Linotype" w:hAnsi="Palatino Linotype" w:eastAsia="Palatino Linotype" w:cs="Times New Roman"/>
          <w:color w:val="000000" w:themeColor="text1"/>
        </w:rPr>
        <w:t xml:space="preserve">and synthesize </w:t>
      </w:r>
      <w:r w:rsidRPr="00994F76" w:rsidR="006C3C39">
        <w:rPr>
          <w:rFonts w:ascii="Palatino Linotype" w:hAnsi="Palatino Linotype" w:eastAsia="Palatino Linotype" w:cs="Times New Roman"/>
          <w:color w:val="000000" w:themeColor="text1"/>
        </w:rPr>
        <w:t xml:space="preserve">structured learning. </w:t>
      </w:r>
      <w:r w:rsidRPr="00994F76" w:rsidR="00E40209">
        <w:rPr>
          <w:rFonts w:ascii="Palatino Linotype" w:hAnsi="Palatino Linotype" w:eastAsia="Palatino Linotype" w:cs="Times New Roman"/>
          <w:color w:val="000000" w:themeColor="text1"/>
        </w:rPr>
        <w:t xml:space="preserve">PG&amp;E states that it intends to </w:t>
      </w:r>
      <w:r w:rsidRPr="00994F76" w:rsidR="00DD600D">
        <w:rPr>
          <w:rFonts w:ascii="Palatino Linotype" w:hAnsi="Palatino Linotype" w:eastAsia="Palatino Linotype" w:cs="Times New Roman"/>
          <w:color w:val="000000" w:themeColor="text1"/>
        </w:rPr>
        <w:t>avoid inefficient planning cycles that can drive unnecessary analysis costs and downstream ratepayer exposure. PG&amp;E proposes to allocate $2,100,000 in its 2025 Plan to this Initiative.</w:t>
      </w:r>
      <w:r w:rsidRPr="00994F76" w:rsidR="00DD600D">
        <w:rPr>
          <w:rStyle w:val="FootnoteReference"/>
          <w:rFonts w:ascii="Palatino Linotype" w:hAnsi="Palatino Linotype" w:eastAsia="Palatino Linotype" w:cs="Times New Roman"/>
          <w:color w:val="000000" w:themeColor="text1"/>
        </w:rPr>
        <w:footnoteReference w:id="66"/>
      </w:r>
    </w:p>
    <w:p w:rsidRPr="00994F76" w:rsidR="619E4E53" w:rsidP="619E4E53" w:rsidRDefault="619E4E53" w14:paraId="10E5DAFC" w14:textId="23E342E7">
      <w:pPr>
        <w:spacing w:after="0" w:line="276" w:lineRule="auto"/>
        <w:rPr>
          <w:rFonts w:ascii="Palatino Linotype" w:hAnsi="Palatino Linotype" w:eastAsia="Palatino Linotype" w:cs="Times New Roman"/>
          <w:color w:val="000000" w:themeColor="text1"/>
        </w:rPr>
      </w:pPr>
    </w:p>
    <w:p w:rsidRPr="00994F76" w:rsidR="00912614" w:rsidP="00361AB6" w:rsidRDefault="00912614" w14:paraId="050A6738" w14:textId="6FEB84B6">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Decarbonization Theme</w:t>
      </w:r>
      <w:r w:rsidRPr="00994F76" w:rsidR="00666D68">
        <w:rPr>
          <w:rFonts w:ascii="Palatino Linotype" w:hAnsi="Palatino Linotype" w:eastAsia="Palatino Linotype" w:cs="Times New Roman"/>
          <w:i/>
          <w:color w:val="000000" w:themeColor="text1"/>
          <w:kern w:val="0"/>
          <w14:ligatures w14:val="none"/>
        </w:rPr>
        <w:t xml:space="preserve"> Proposed Initiatives</w:t>
      </w:r>
    </w:p>
    <w:p w:rsidRPr="00E15257" w:rsidR="00912614" w:rsidP="00361AB6" w:rsidRDefault="00912614" w14:paraId="10C464E6" w14:textId="6210DB9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Initiatives within the Decarbonization Theme to develop or advance technologies to decarbonize the gas system by conducting founda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onal research that better informs the industry’s understanding of the challenges and impacts of integra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ng cleaner fuels into exis</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ng pipelines and system assets, as well as into customer applica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ons and end uses.</w:t>
      </w:r>
      <w:r w:rsidRPr="00994F76">
        <w:rPr>
          <w:rStyle w:val="FootnoteReference"/>
          <w:rFonts w:ascii="Palatino Linotype" w:hAnsi="Palatino Linotype" w:eastAsia="Palatino Linotype" w:cs="Times New Roman"/>
          <w:bCs/>
          <w:color w:val="000000" w:themeColor="text1"/>
          <w:kern w:val="0"/>
          <w14:ligatures w14:val="none"/>
        </w:rPr>
        <w:footnoteReference w:id="67"/>
      </w:r>
    </w:p>
    <w:p w:rsidRPr="00994F76" w:rsidR="00912614" w:rsidP="00E15257" w:rsidRDefault="00912614" w14:paraId="595F7E21" w14:textId="77777777">
      <w:pPr>
        <w:pStyle w:val="ListParagraph"/>
        <w:numPr>
          <w:ilvl w:val="0"/>
          <w:numId w:val="1"/>
        </w:numPr>
        <w:spacing w:before="24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Clean Fuels Integra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 xml:space="preserve">on </w:t>
      </w:r>
    </w:p>
    <w:p w:rsidRPr="00994F76" w:rsidR="00912614" w:rsidP="007558F1" w:rsidRDefault="00912614" w14:paraId="3F76A921" w14:textId="3B34F3E9">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w:t>
      </w:r>
      <w:proofErr w:type="gramStart"/>
      <w:r w:rsidRPr="00994F76">
        <w:rPr>
          <w:rFonts w:ascii="Palatino Linotype" w:hAnsi="Palatino Linotype" w:eastAsia="Palatino Linotype" w:cs="Times New Roman"/>
          <w:bCs/>
          <w:color w:val="000000" w:themeColor="text1"/>
          <w:kern w:val="0"/>
          <w14:ligatures w14:val="none"/>
        </w:rPr>
        <w:t>E states that it</w:t>
      </w:r>
      <w:proofErr w:type="gramEnd"/>
      <w:r w:rsidRPr="00994F76">
        <w:rPr>
          <w:rFonts w:ascii="Palatino Linotype" w:hAnsi="Palatino Linotype" w:eastAsia="Palatino Linotype" w:cs="Times New Roman"/>
          <w:bCs/>
          <w:color w:val="000000" w:themeColor="text1"/>
          <w:kern w:val="0"/>
          <w14:ligatures w14:val="none"/>
        </w:rPr>
        <w:t xml:space="preserve"> seeks to develop projects within the Clean Fuels Integration Initiative to </w:t>
      </w:r>
      <w:r w:rsidRPr="00994F76" w:rsidR="007558F1">
        <w:rPr>
          <w:rFonts w:ascii="Palatino Linotype" w:hAnsi="Palatino Linotype" w:eastAsia="Palatino Linotype" w:cs="Times New Roman"/>
          <w:bCs/>
          <w:color w:val="000000" w:themeColor="text1"/>
          <w:kern w:val="0"/>
          <w14:ligatures w14:val="none"/>
        </w:rPr>
        <w:t>reduce</w:t>
      </w:r>
      <w:r w:rsidRPr="00994F76">
        <w:rPr>
          <w:rFonts w:ascii="Palatino Linotype" w:hAnsi="Palatino Linotype" w:eastAsia="Palatino Linotype" w:cs="Times New Roman"/>
          <w:bCs/>
          <w:color w:val="000000" w:themeColor="text1"/>
          <w:kern w:val="0"/>
          <w14:ligatures w14:val="none"/>
        </w:rPr>
        <w:t xml:space="preserve"> the technical, opera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onal, and </w:t>
      </w:r>
      <w:r w:rsidRPr="00994F76" w:rsidR="007558F1">
        <w:rPr>
          <w:rFonts w:ascii="Palatino Linotype" w:hAnsi="Palatino Linotype" w:eastAsia="Palatino Linotype" w:cs="Times New Roman"/>
          <w:bCs/>
          <w:color w:val="000000" w:themeColor="text1"/>
          <w:kern w:val="0"/>
          <w14:ligatures w14:val="none"/>
        </w:rPr>
        <w:t xml:space="preserve">interconnection costs that currently limit broader renewable natural gas adoption. </w:t>
      </w:r>
      <w:r w:rsidRPr="00994F76">
        <w:rPr>
          <w:rFonts w:ascii="Palatino Linotype" w:hAnsi="Palatino Linotype" w:eastAsia="Palatino Linotype" w:cs="Times New Roman"/>
          <w:bCs/>
          <w:color w:val="000000" w:themeColor="text1"/>
          <w:kern w:val="0"/>
          <w14:ligatures w14:val="none"/>
        </w:rPr>
        <w:t>PG&amp;E states that</w:t>
      </w:r>
      <w:r w:rsidRPr="00994F76" w:rsidR="00A749CF">
        <w:rPr>
          <w:rFonts w:ascii="Palatino Linotype" w:hAnsi="Palatino Linotype" w:eastAsia="Palatino Linotype" w:cs="Times New Roman"/>
          <w:bCs/>
          <w:color w:val="000000" w:themeColor="text1"/>
          <w:kern w:val="0"/>
          <w14:ligatures w14:val="none"/>
        </w:rPr>
        <w:t xml:space="preserve"> it</w:t>
      </w:r>
      <w:r w:rsidRPr="00994F76">
        <w:rPr>
          <w:rFonts w:ascii="Palatino Linotype" w:hAnsi="Palatino Linotype" w:eastAsia="Palatino Linotype" w:cs="Times New Roman"/>
          <w:bCs/>
          <w:color w:val="000000" w:themeColor="text1"/>
          <w:kern w:val="0"/>
          <w14:ligatures w14:val="none"/>
        </w:rPr>
        <w:t xml:space="preserve"> intends to support carbon reduction, system reliability, and energy affordability. PG&amp;E proposes </w:t>
      </w:r>
      <w:proofErr w:type="gramStart"/>
      <w:r w:rsidRPr="00994F76">
        <w:rPr>
          <w:rFonts w:ascii="Palatino Linotype" w:hAnsi="Palatino Linotype" w:eastAsia="Palatino Linotype" w:cs="Times New Roman"/>
          <w:bCs/>
          <w:color w:val="000000" w:themeColor="text1"/>
          <w:kern w:val="0"/>
          <w14:ligatures w14:val="none"/>
        </w:rPr>
        <w:t>to allocate</w:t>
      </w:r>
      <w:proofErr w:type="gramEnd"/>
      <w:r w:rsidRPr="00994F76">
        <w:rPr>
          <w:rFonts w:ascii="Palatino Linotype" w:hAnsi="Palatino Linotype" w:eastAsia="Palatino Linotype" w:cs="Times New Roman"/>
          <w:bCs/>
          <w:color w:val="000000" w:themeColor="text1"/>
          <w:kern w:val="0"/>
          <w14:ligatures w14:val="none"/>
        </w:rPr>
        <w:t xml:space="preserve"> $1</w:t>
      </w:r>
      <w:r w:rsidRPr="00994F76" w:rsidR="005065E2">
        <w:rPr>
          <w:rFonts w:ascii="Palatino Linotype" w:hAnsi="Palatino Linotype" w:eastAsia="Palatino Linotype" w:cs="Times New Roman"/>
          <w:bCs/>
          <w:color w:val="000000" w:themeColor="text1"/>
          <w:kern w:val="0"/>
          <w14:ligatures w14:val="none"/>
        </w:rPr>
        <w:t>50,000</w:t>
      </w:r>
      <w:r w:rsidRPr="00994F76">
        <w:rPr>
          <w:rFonts w:ascii="Palatino Linotype" w:hAnsi="Palatino Linotype" w:eastAsia="Palatino Linotype" w:cs="Times New Roman"/>
          <w:bCs/>
          <w:color w:val="000000" w:themeColor="text1"/>
          <w:kern w:val="0"/>
          <w14:ligatures w14:val="none"/>
        </w:rPr>
        <w:t xml:space="preserve"> in its 2025 Plan to this initiative.</w:t>
      </w:r>
      <w:r w:rsidRPr="00994F76">
        <w:rPr>
          <w:rStyle w:val="FootnoteReference"/>
          <w:rFonts w:ascii="Palatino Linotype" w:hAnsi="Palatino Linotype" w:eastAsia="Palatino Linotype" w:cs="Times New Roman"/>
          <w:bCs/>
          <w:color w:val="000000" w:themeColor="text1"/>
          <w:kern w:val="0"/>
          <w14:ligatures w14:val="none"/>
        </w:rPr>
        <w:footnoteReference w:id="68"/>
      </w:r>
    </w:p>
    <w:p w:rsidRPr="00994F76" w:rsidR="00912614" w:rsidP="00361AB6" w:rsidRDefault="00912614" w14:paraId="46433B78"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912614" w:rsidP="00361AB6" w:rsidRDefault="00912614" w14:paraId="1C4D3453"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912614" w:rsidP="00361AB6" w:rsidRDefault="00912614" w14:paraId="05EC89F7" w14:textId="0A80874F">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proposes to allocate </w:t>
      </w:r>
      <w:r w:rsidRPr="00994F76" w:rsidR="00CF26C0">
        <w:rPr>
          <w:rFonts w:ascii="Palatino Linotype" w:hAnsi="Palatino Linotype" w:eastAsia="Palatino Linotype" w:cs="Times New Roman"/>
          <w:bCs/>
          <w:color w:val="000000" w:themeColor="text1"/>
          <w:kern w:val="0"/>
          <w14:ligatures w14:val="none"/>
        </w:rPr>
        <w:t>$826,700 in its 2025 Plan to administrative costs</w:t>
      </w:r>
      <w:r w:rsidRPr="00994F76">
        <w:rPr>
          <w:rFonts w:ascii="Palatino Linotype" w:hAnsi="Palatino Linotype" w:eastAsia="Palatino Linotype" w:cs="Times New Roman"/>
          <w:bCs/>
          <w:color w:val="000000" w:themeColor="text1"/>
          <w:kern w:val="0"/>
          <w14:ligatures w14:val="none"/>
        </w:rPr>
        <w:t>.</w:t>
      </w:r>
      <w:r w:rsidRPr="00994F76">
        <w:rPr>
          <w:rStyle w:val="FootnoteReference"/>
          <w:rFonts w:ascii="Palatino Linotype" w:hAnsi="Palatino Linotype" w:eastAsia="Palatino Linotype" w:cs="Times New Roman"/>
          <w:bCs/>
          <w:color w:val="000000" w:themeColor="text1"/>
          <w:kern w:val="0"/>
          <w14:ligatures w14:val="none"/>
        </w:rPr>
        <w:footnoteReference w:id="69"/>
      </w:r>
    </w:p>
    <w:p w:rsidRPr="00994F76" w:rsidR="00CB728B" w:rsidP="00361AB6" w:rsidRDefault="00CB728B" w14:paraId="0A92E5E9"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CB728B" w:rsidP="00CB728B" w:rsidRDefault="00CB728B" w14:paraId="3652B456"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Evaluation</w:t>
      </w:r>
    </w:p>
    <w:p w:rsidR="00311637" w:rsidP="000C58D8" w:rsidRDefault="00CB728B" w14:paraId="34EC5BEA" w14:textId="7624BF31">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lastRenderedPageBreak/>
        <w:t>PG&amp;E proposes to allocate $294,400 in its 2025 Plan for its proportional share of a comprehensive Gas RD&amp;D Program Evaluation to be conducted by Energy Division.</w:t>
      </w:r>
      <w:r w:rsidRPr="00994F76">
        <w:rPr>
          <w:rStyle w:val="FootnoteReference"/>
          <w:rFonts w:ascii="Palatino Linotype" w:hAnsi="Palatino Linotype" w:eastAsia="Palatino Linotype" w:cs="Times New Roman"/>
          <w:bCs/>
          <w:color w:val="000000" w:themeColor="text1"/>
          <w:kern w:val="0"/>
          <w14:ligatures w14:val="none"/>
        </w:rPr>
        <w:footnoteReference w:id="70"/>
      </w:r>
    </w:p>
    <w:p w:rsidR="009A1C35" w:rsidP="00A9114E" w:rsidRDefault="009A1C35" w14:paraId="6B28E8A8"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311637" w:rsidP="00361AB6" w:rsidRDefault="00311637" w14:paraId="0F89F386" w14:textId="71145ACD">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 xml:space="preserve">Gas RD&amp;D Database Development </w:t>
      </w:r>
    </w:p>
    <w:p w:rsidRPr="00994F76" w:rsidR="00F305F8" w:rsidP="00CB728B" w:rsidRDefault="00311637" w14:paraId="61CA702A" w14:textId="7745644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11BBB">
        <w:rPr>
          <w:rFonts w:ascii="Palatino Linotype" w:hAnsi="Palatino Linotype" w:eastAsia="Palatino Linotype" w:cs="Times New Roman"/>
          <w:bCs/>
          <w:color w:val="000000" w:themeColor="text1"/>
          <w:kern w:val="0"/>
          <w14:ligatures w14:val="none"/>
        </w:rPr>
        <w:t xml:space="preserve">proposes to </w:t>
      </w:r>
      <w:r w:rsidRPr="00994F76">
        <w:rPr>
          <w:rFonts w:ascii="Palatino Linotype" w:hAnsi="Palatino Linotype" w:eastAsia="Palatino Linotype" w:cs="Times New Roman"/>
          <w:bCs/>
          <w:color w:val="000000" w:themeColor="text1"/>
          <w:kern w:val="0"/>
          <w14:ligatures w14:val="none"/>
        </w:rPr>
        <w:t xml:space="preserve">allocate $56,987 in its 2025 Plan </w:t>
      </w:r>
      <w:r w:rsidRPr="00994F76" w:rsidR="003F771B">
        <w:rPr>
          <w:rFonts w:ascii="Palatino Linotype" w:hAnsi="Palatino Linotype" w:eastAsia="Palatino Linotype" w:cs="Times New Roman"/>
          <w:bCs/>
          <w:color w:val="000000" w:themeColor="text1"/>
          <w:kern w:val="0"/>
          <w14:ligatures w14:val="none"/>
        </w:rPr>
        <w:t>for</w:t>
      </w:r>
      <w:r w:rsidRPr="00994F76" w:rsidR="00D5234E">
        <w:rPr>
          <w:rFonts w:ascii="Palatino Linotype" w:hAnsi="Palatino Linotype" w:eastAsia="Palatino Linotype" w:cs="Times New Roman"/>
          <w:bCs/>
          <w:color w:val="000000" w:themeColor="text1"/>
          <w:kern w:val="0"/>
          <w14:ligatures w14:val="none"/>
        </w:rPr>
        <w:t xml:space="preserve"> its proportional share </w:t>
      </w:r>
      <w:r w:rsidRPr="00994F76" w:rsidR="003F771B">
        <w:rPr>
          <w:rFonts w:ascii="Palatino Linotype" w:hAnsi="Palatino Linotype" w:eastAsia="Palatino Linotype" w:cs="Times New Roman"/>
          <w:bCs/>
          <w:color w:val="000000" w:themeColor="text1"/>
          <w:kern w:val="0"/>
          <w14:ligatures w14:val="none"/>
        </w:rPr>
        <w:t>of</w:t>
      </w:r>
      <w:r w:rsidRPr="00994F76" w:rsidR="00D5234E">
        <w:rPr>
          <w:rFonts w:ascii="Palatino Linotype" w:hAnsi="Palatino Linotype" w:eastAsia="Palatino Linotype" w:cs="Times New Roman"/>
          <w:bCs/>
          <w:color w:val="000000" w:themeColor="text1"/>
          <w:kern w:val="0"/>
          <w14:ligatures w14:val="none"/>
        </w:rPr>
        <w:t xml:space="preserve"> </w:t>
      </w:r>
      <w:r w:rsidRPr="00994F76">
        <w:rPr>
          <w:rFonts w:ascii="Palatino Linotype" w:hAnsi="Palatino Linotype" w:eastAsia="Palatino Linotype" w:cs="Times New Roman"/>
          <w:bCs/>
          <w:color w:val="000000" w:themeColor="text1"/>
          <w:kern w:val="0"/>
          <w14:ligatures w14:val="none"/>
        </w:rPr>
        <w:t xml:space="preserve">developing </w:t>
      </w:r>
      <w:r w:rsidRPr="00994F76" w:rsidR="00531E6C">
        <w:rPr>
          <w:rFonts w:ascii="Palatino Linotype" w:hAnsi="Palatino Linotype" w:eastAsia="Palatino Linotype" w:cs="Times New Roman"/>
          <w:bCs/>
          <w:color w:val="000000" w:themeColor="text1"/>
          <w:kern w:val="0"/>
          <w14:ligatures w14:val="none"/>
        </w:rPr>
        <w:t xml:space="preserve">a </w:t>
      </w:r>
      <w:r w:rsidRPr="00994F76" w:rsidR="00A11BBB">
        <w:rPr>
          <w:rFonts w:ascii="Palatino Linotype" w:hAnsi="Palatino Linotype" w:eastAsia="Palatino Linotype" w:cs="Times New Roman"/>
          <w:bCs/>
          <w:color w:val="000000" w:themeColor="text1"/>
          <w:kern w:val="0"/>
          <w14:ligatures w14:val="none"/>
        </w:rPr>
        <w:t>comprehensive</w:t>
      </w:r>
      <w:r w:rsidRPr="00994F76">
        <w:rPr>
          <w:rFonts w:ascii="Palatino Linotype" w:hAnsi="Palatino Linotype" w:eastAsia="Palatino Linotype" w:cs="Times New Roman"/>
          <w:bCs/>
          <w:color w:val="000000" w:themeColor="text1"/>
          <w:kern w:val="0"/>
          <w14:ligatures w14:val="none"/>
        </w:rPr>
        <w:t xml:space="preserve"> Gas RD&amp;D Database.</w:t>
      </w:r>
      <w:r w:rsidRPr="00994F76">
        <w:rPr>
          <w:rStyle w:val="FootnoteReference"/>
          <w:rFonts w:ascii="Palatino Linotype" w:hAnsi="Palatino Linotype" w:eastAsia="Palatino Linotype" w:cs="Times New Roman"/>
          <w:bCs/>
          <w:color w:val="000000" w:themeColor="text1"/>
          <w:kern w:val="0"/>
          <w14:ligatures w14:val="none"/>
        </w:rPr>
        <w:footnoteReference w:id="71"/>
      </w:r>
      <w:r w:rsidRPr="00994F76">
        <w:rPr>
          <w:rFonts w:ascii="Palatino Linotype" w:hAnsi="Palatino Linotype" w:eastAsia="Palatino Linotype" w:cs="Times New Roman"/>
          <w:bCs/>
          <w:color w:val="000000" w:themeColor="text1"/>
          <w:kern w:val="0"/>
          <w14:ligatures w14:val="none"/>
        </w:rPr>
        <w:t xml:space="preserve"> </w:t>
      </w:r>
    </w:p>
    <w:p w:rsidR="0022505D" w:rsidP="009A1C35" w:rsidRDefault="0022505D" w14:paraId="1E0B0867" w14:textId="77777777">
      <w:pPr>
        <w:spacing w:after="0" w:line="276" w:lineRule="auto"/>
        <w:rPr>
          <w:rFonts w:ascii="Palatino Linotype" w:hAnsi="Palatino Linotype" w:eastAsia="Palatino Linotype" w:cs="Times New Roman"/>
          <w:bCs/>
          <w:color w:val="000000" w:themeColor="text1"/>
          <w:kern w:val="0"/>
          <w14:ligatures w14:val="none"/>
        </w:rPr>
      </w:pPr>
    </w:p>
    <w:p w:rsidR="00676FCA" w:rsidP="00361AB6" w:rsidRDefault="00676FCA" w14:paraId="74A18405" w14:textId="7EA6DED5">
      <w:pPr>
        <w:spacing w:after="0" w:line="276" w:lineRule="auto"/>
        <w:rPr>
          <w:rFonts w:ascii="Palatino Linotype" w:hAnsi="Palatino Linotype" w:eastAsia="Palatino Linotype" w:cs="Times New Roman"/>
          <w:b/>
          <w:color w:val="000000" w:themeColor="text1"/>
          <w:kern w:val="0"/>
          <w14:ligatures w14:val="none"/>
        </w:rPr>
      </w:pPr>
      <w:r w:rsidRPr="00BF2858">
        <w:rPr>
          <w:rFonts w:ascii="Palatino Linotype" w:hAnsi="Palatino Linotype" w:eastAsia="Palatino Linotype" w:cs="Times New Roman"/>
          <w:b/>
          <w:kern w:val="0"/>
          <w14:ligatures w14:val="none"/>
        </w:rPr>
        <w:t xml:space="preserve">Summary of PG&amp;E’s Advice </w:t>
      </w:r>
      <w:r w:rsidRPr="00BF2858">
        <w:rPr>
          <w:rFonts w:ascii="Palatino Linotype" w:hAnsi="Palatino Linotype" w:eastAsia="Palatino Linotype" w:cs="Times New Roman"/>
          <w:b/>
          <w:color w:val="000000" w:themeColor="text1"/>
          <w:kern w:val="0"/>
          <w14:ligatures w14:val="none"/>
        </w:rPr>
        <w:t>Letter</w:t>
      </w:r>
      <w:r w:rsidRPr="00BF2858" w:rsidR="00BF2858">
        <w:rPr>
          <w:rFonts w:ascii="Palatino Linotype" w:hAnsi="Palatino Linotype" w:eastAsia="Palatino Linotype" w:cs="Times New Roman"/>
          <w:b/>
          <w:color w:val="000000" w:themeColor="text1"/>
          <w:kern w:val="0"/>
          <w14:ligatures w14:val="none"/>
        </w:rPr>
        <w:t xml:space="preserve"> 5222-</w:t>
      </w:r>
      <w:r w:rsidRPr="00BF2858">
        <w:rPr>
          <w:rFonts w:ascii="Palatino Linotype" w:hAnsi="Palatino Linotype" w:eastAsia="Palatino Linotype" w:cs="Times New Roman"/>
          <w:b/>
          <w:color w:val="000000" w:themeColor="text1"/>
          <w:kern w:val="0"/>
          <w14:ligatures w14:val="none"/>
        </w:rPr>
        <w:t>G: 2026 Gas RD&amp;D Plan</w:t>
      </w:r>
    </w:p>
    <w:p w:rsidR="00676FCA" w:rsidP="00361AB6" w:rsidRDefault="00676FCA" w14:paraId="41DC1656" w14:textId="77777777">
      <w:pPr>
        <w:spacing w:after="0" w:line="276" w:lineRule="auto"/>
        <w:rPr>
          <w:rFonts w:ascii="Palatino Linotype" w:hAnsi="Palatino Linotype" w:eastAsia="Palatino Linotype" w:cs="Times New Roman"/>
          <w:b/>
          <w:color w:val="000000" w:themeColor="text1"/>
          <w:kern w:val="0"/>
          <w14:ligatures w14:val="none"/>
        </w:rPr>
      </w:pPr>
    </w:p>
    <w:p w:rsidR="00107CE2" w:rsidP="00361AB6" w:rsidRDefault="00BF2858" w14:paraId="081A2148" w14:textId="478B52EF">
      <w:pPr>
        <w:spacing w:after="0" w:line="276" w:lineRule="auto"/>
        <w:rPr>
          <w:rFonts w:ascii="Palatino Linotype" w:hAnsi="Palatino Linotype" w:eastAsia="Palatino Linotype" w:cs="Times New Roman"/>
          <w:b/>
          <w:color w:val="000000" w:themeColor="text1"/>
          <w:kern w:val="0"/>
          <w14:ligatures w14:val="none"/>
        </w:rPr>
      </w:pPr>
      <w:r w:rsidRPr="00994F76">
        <w:rPr>
          <w:rFonts w:ascii="Palatino Linotype" w:hAnsi="Palatino Linotype" w:eastAsia="Palatino Linotype" w:cs="Times New Roman"/>
          <w:color w:val="000000" w:themeColor="text1"/>
        </w:rPr>
        <w:t>PG&amp;E submitted its proposed 202</w:t>
      </w:r>
      <w:r>
        <w:rPr>
          <w:rFonts w:ascii="Palatino Linotype" w:hAnsi="Palatino Linotype" w:eastAsia="Palatino Linotype" w:cs="Times New Roman"/>
          <w:color w:val="000000" w:themeColor="text1"/>
        </w:rPr>
        <w:t>6</w:t>
      </w:r>
      <w:r w:rsidRPr="00994F76">
        <w:rPr>
          <w:rFonts w:ascii="Palatino Linotype" w:hAnsi="Palatino Linotype" w:eastAsia="Palatino Linotype" w:cs="Times New Roman"/>
          <w:color w:val="000000" w:themeColor="text1"/>
        </w:rPr>
        <w:t xml:space="preserve"> Plan via Tier 3 AL 5</w:t>
      </w:r>
      <w:r>
        <w:rPr>
          <w:rFonts w:ascii="Palatino Linotype" w:hAnsi="Palatino Linotype" w:eastAsia="Palatino Linotype" w:cs="Times New Roman"/>
          <w:color w:val="000000" w:themeColor="text1"/>
        </w:rPr>
        <w:t>222</w:t>
      </w:r>
      <w:r w:rsidRPr="00994F76">
        <w:rPr>
          <w:rFonts w:ascii="Palatino Linotype" w:hAnsi="Palatino Linotype" w:eastAsia="Palatino Linotype" w:cs="Times New Roman"/>
          <w:color w:val="000000" w:themeColor="text1"/>
        </w:rPr>
        <w:t xml:space="preserve">-G on </w:t>
      </w:r>
      <w:r>
        <w:rPr>
          <w:rFonts w:ascii="Palatino Linotype" w:hAnsi="Palatino Linotype" w:eastAsia="Palatino Linotype" w:cs="Times New Roman"/>
          <w:color w:val="000000" w:themeColor="text1"/>
        </w:rPr>
        <w:t>June 1, 2026</w:t>
      </w:r>
      <w:r w:rsidRPr="00994F76">
        <w:rPr>
          <w:rFonts w:ascii="Palatino Linotype" w:hAnsi="Palatino Linotype" w:eastAsia="Palatino Linotype" w:cs="Times New Roman"/>
          <w:color w:val="000000" w:themeColor="text1"/>
        </w:rPr>
        <w:t>.</w:t>
      </w:r>
    </w:p>
    <w:p w:rsidR="00016A4F" w:rsidP="00361AB6" w:rsidRDefault="00016A4F" w14:paraId="76515C75" w14:textId="77777777">
      <w:pPr>
        <w:spacing w:after="0" w:line="276" w:lineRule="auto"/>
        <w:rPr>
          <w:rFonts w:ascii="Palatino Linotype" w:hAnsi="Palatino Linotype" w:eastAsia="Palatino Linotype" w:cs="Times New Roman"/>
          <w:bCs/>
          <w:color w:val="000000" w:themeColor="text1"/>
          <w:kern w:val="0"/>
          <w:u w:val="single"/>
          <w14:ligatures w14:val="none"/>
        </w:rPr>
      </w:pPr>
    </w:p>
    <w:p w:rsidR="00B90258" w:rsidP="009A1C35" w:rsidRDefault="00676FCA" w14:paraId="2DDA183C" w14:textId="1C7C9F94">
      <w:pPr>
        <w:spacing w:after="0" w:line="276" w:lineRule="auto"/>
        <w:rPr>
          <w:rFonts w:ascii="Palatino Linotype" w:hAnsi="Palatino Linotype" w:eastAsia="Palatino Linotype" w:cs="Times New Roman"/>
          <w:bCs/>
          <w:color w:val="000000" w:themeColor="text1"/>
          <w:kern w:val="0"/>
          <w:u w:val="single"/>
          <w14:ligatures w14:val="none"/>
        </w:rPr>
      </w:pPr>
      <w:r w:rsidRPr="00A5114A">
        <w:rPr>
          <w:rFonts w:ascii="Palatino Linotype" w:hAnsi="Palatino Linotype" w:eastAsia="Palatino Linotype" w:cs="Times New Roman"/>
          <w:bCs/>
          <w:color w:val="000000" w:themeColor="text1"/>
          <w:kern w:val="0"/>
          <w:u w:val="single"/>
          <w14:ligatures w14:val="none"/>
        </w:rPr>
        <w:t>PG&amp;E’s Request for 2026 Gas RD&amp;D Plan</w:t>
      </w:r>
      <w:r w:rsidRPr="00676FCA">
        <w:rPr>
          <w:rFonts w:ascii="Palatino Linotype" w:hAnsi="Palatino Linotype" w:eastAsia="Palatino Linotype" w:cs="Times New Roman"/>
          <w:bCs/>
          <w:color w:val="000000" w:themeColor="text1"/>
          <w:kern w:val="0"/>
          <w:u w:val="single"/>
          <w14:ligatures w14:val="none"/>
        </w:rPr>
        <w:t xml:space="preserve"> </w:t>
      </w:r>
    </w:p>
    <w:p w:rsidRPr="00CB4C18" w:rsidR="009A1C35" w:rsidP="009A1C35" w:rsidRDefault="009A1C35" w14:paraId="28E153EC" w14:textId="77777777">
      <w:pPr>
        <w:spacing w:after="0" w:line="276" w:lineRule="auto"/>
        <w:rPr>
          <w:rFonts w:ascii="Palatino Linotype" w:hAnsi="Palatino Linotype" w:eastAsia="Palatino Linotype" w:cs="Times New Roman"/>
          <w:bCs/>
          <w:color w:val="000000" w:themeColor="text1"/>
          <w:kern w:val="0"/>
          <w:u w:val="single"/>
          <w14:ligatures w14:val="none"/>
        </w:rPr>
      </w:pPr>
    </w:p>
    <w:p w:rsidR="000D7EE1" w:rsidP="000D7EE1" w:rsidRDefault="000D7EE1" w14:paraId="262DD23A" w14:textId="5B7BD872">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seeks approval of its proposed Gas RD&amp;D Investment Plan for Calendar Year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in AL</w:t>
      </w:r>
      <w:r w:rsidR="00BF2858">
        <w:rPr>
          <w:rFonts w:ascii="Palatino Linotype" w:hAnsi="Palatino Linotype" w:eastAsia="Palatino Linotype" w:cs="Times New Roman"/>
          <w:bCs/>
          <w:color w:val="000000" w:themeColor="text1"/>
          <w:kern w:val="0"/>
          <w14:ligatures w14:val="none"/>
        </w:rPr>
        <w:t xml:space="preserve"> 5222-</w:t>
      </w:r>
      <w:r w:rsidRPr="00994F76">
        <w:rPr>
          <w:rFonts w:ascii="Palatino Linotype" w:hAnsi="Palatino Linotype" w:eastAsia="Palatino Linotype" w:cs="Times New Roman"/>
          <w:bCs/>
          <w:color w:val="000000" w:themeColor="text1"/>
          <w:kern w:val="0"/>
          <w14:ligatures w14:val="none"/>
        </w:rPr>
        <w:t xml:space="preserve">G, authorized by D.23-11-069 at </w:t>
      </w:r>
      <w:r w:rsidR="00E31E70">
        <w:rPr>
          <w:rFonts w:ascii="Palatino Linotype" w:hAnsi="Palatino Linotype" w:eastAsia="Palatino Linotype" w:cs="Times New Roman"/>
          <w:bCs/>
          <w:color w:val="000000" w:themeColor="text1"/>
          <w:kern w:val="0"/>
          <w14:ligatures w14:val="none"/>
        </w:rPr>
        <w:t>$8,267,000</w:t>
      </w:r>
      <w:r w:rsidRPr="00994F76">
        <w:rPr>
          <w:rStyle w:val="FootnoteReference"/>
          <w:rFonts w:ascii="Palatino Linotype" w:hAnsi="Palatino Linotype" w:eastAsia="Palatino Linotype" w:cs="Times New Roman"/>
          <w:bCs/>
          <w:color w:val="000000" w:themeColor="text1"/>
          <w:kern w:val="0"/>
          <w14:ligatures w14:val="none"/>
        </w:rPr>
        <w:footnoteReference w:id="72"/>
      </w:r>
      <w:r w:rsidRPr="00994F76">
        <w:rPr>
          <w:rFonts w:ascii="Palatino Linotype" w:hAnsi="Palatino Linotype" w:eastAsia="Palatino Linotype" w:cs="Times New Roman"/>
          <w:bCs/>
          <w:color w:val="000000" w:themeColor="text1"/>
          <w:kern w:val="0"/>
          <w14:ligatures w14:val="none"/>
        </w:rPr>
        <w:t xml:space="preserve"> with the following proposed budget allocations to various Initiatives: </w:t>
      </w:r>
    </w:p>
    <w:p w:rsidRPr="009877A8" w:rsidR="009877A8" w:rsidP="000D7EE1" w:rsidRDefault="009877A8" w14:paraId="50B7BF33" w14:textId="77777777">
      <w:pPr>
        <w:spacing w:after="0" w:line="276" w:lineRule="auto"/>
        <w:rPr>
          <w:rFonts w:ascii="Palatino Linotype" w:hAnsi="Palatino Linotype" w:eastAsia="Palatino Linotype" w:cs="Times New Roman"/>
          <w:bCs/>
          <w:color w:val="000000" w:themeColor="text1"/>
          <w:kern w:val="0"/>
          <w14:ligatures w14:val="none"/>
        </w:rPr>
      </w:pPr>
    </w:p>
    <w:tbl>
      <w:tblPr>
        <w:tblStyle w:val="TableGrid"/>
        <w:tblW w:w="0" w:type="auto"/>
        <w:tblLook w:val="04A0" w:firstRow="1" w:lastRow="0" w:firstColumn="1" w:lastColumn="0" w:noHBand="0" w:noVBand="1"/>
      </w:tblPr>
      <w:tblGrid>
        <w:gridCol w:w="2335"/>
        <w:gridCol w:w="4644"/>
        <w:gridCol w:w="2371"/>
      </w:tblGrid>
      <w:tr w:rsidRPr="00994F76" w:rsidR="000D7EE1" w14:paraId="1FAB2A05" w14:textId="77777777">
        <w:trPr>
          <w:trHeight w:val="350"/>
        </w:trPr>
        <w:tc>
          <w:tcPr>
            <w:tcW w:w="9350" w:type="dxa"/>
            <w:gridSpan w:val="3"/>
            <w:tcBorders>
              <w:top w:val="single" w:color="auto" w:sz="4" w:space="0"/>
              <w:left w:val="single" w:color="auto" w:sz="4" w:space="0"/>
              <w:bottom w:val="single" w:color="auto" w:sz="4" w:space="0"/>
              <w:right w:val="single" w:color="auto" w:sz="4" w:space="0"/>
            </w:tcBorders>
          </w:tcPr>
          <w:p w:rsidRPr="00994F76" w:rsidR="000D7EE1" w:rsidRDefault="000D7EE1" w14:paraId="46E6CF4A" w14:textId="6D0B721B">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lastRenderedPageBreak/>
              <w:t xml:space="preserve">Table </w:t>
            </w:r>
            <w:r w:rsidR="00CB4C18">
              <w:rPr>
                <w:rFonts w:ascii="Palatino Linotype" w:hAnsi="Palatino Linotype"/>
                <w:b/>
                <w:bCs w:val="0"/>
                <w:color w:val="000000" w:themeColor="text1"/>
              </w:rPr>
              <w:t>5</w:t>
            </w:r>
            <w:r w:rsidRPr="00994F76">
              <w:rPr>
                <w:rFonts w:ascii="Palatino Linotype" w:hAnsi="Palatino Linotype"/>
                <w:b/>
                <w:bCs w:val="0"/>
                <w:color w:val="000000" w:themeColor="text1"/>
              </w:rPr>
              <w:t>: 202</w:t>
            </w:r>
            <w:r>
              <w:rPr>
                <w:rFonts w:ascii="Palatino Linotype" w:hAnsi="Palatino Linotype"/>
                <w:b/>
                <w:bCs w:val="0"/>
                <w:color w:val="000000" w:themeColor="text1"/>
              </w:rPr>
              <w:t>6</w:t>
            </w:r>
            <w:r w:rsidRPr="00994F76">
              <w:rPr>
                <w:rFonts w:ascii="Palatino Linotype" w:hAnsi="Palatino Linotype"/>
                <w:b/>
                <w:bCs w:val="0"/>
                <w:color w:val="000000" w:themeColor="text1"/>
              </w:rPr>
              <w:t xml:space="preserve"> Gas RD&amp;D Plan Proposed Budget</w:t>
            </w:r>
            <w:r w:rsidRPr="00994F76">
              <w:rPr>
                <w:rStyle w:val="FootnoteReference"/>
                <w:rFonts w:ascii="Palatino Linotype" w:hAnsi="Palatino Linotype" w:eastAsia="Palatino Linotype" w:cs="Times New Roman"/>
                <w:color w:val="000000" w:themeColor="text1"/>
              </w:rPr>
              <w:footnoteReference w:id="73"/>
            </w:r>
          </w:p>
        </w:tc>
      </w:tr>
      <w:tr w:rsidRPr="00994F76" w:rsidR="000D7EE1" w:rsidTr="003364E8" w14:paraId="2ED292BB" w14:textId="77777777">
        <w:tc>
          <w:tcPr>
            <w:tcW w:w="2335" w:type="dxa"/>
            <w:tcBorders>
              <w:top w:val="single" w:color="auto" w:sz="4" w:space="0"/>
              <w:left w:val="single" w:color="auto" w:sz="4" w:space="0"/>
              <w:bottom w:val="single" w:color="auto" w:sz="4" w:space="0"/>
              <w:right w:val="single" w:color="auto" w:sz="4" w:space="0"/>
            </w:tcBorders>
          </w:tcPr>
          <w:p w:rsidRPr="003364E8" w:rsidR="000D7EE1" w:rsidRDefault="000D7EE1" w14:paraId="0477B705" w14:textId="77777777">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Investment Theme</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0D7EE1" w14:paraId="7FB4ECF1" w14:textId="77777777">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Initiative Title</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5AF2C73F" w14:textId="25153682">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2026 Plan Budget</w:t>
            </w:r>
          </w:p>
        </w:tc>
      </w:tr>
      <w:tr w:rsidRPr="00994F76" w:rsidR="00A73D18" w:rsidTr="003364E8" w14:paraId="0F9CBACB" w14:textId="77777777">
        <w:tc>
          <w:tcPr>
            <w:tcW w:w="2335" w:type="dxa"/>
            <w:vMerge w:val="restart"/>
            <w:tcBorders>
              <w:top w:val="single" w:color="auto" w:sz="4" w:space="0"/>
              <w:left w:val="single" w:color="auto" w:sz="4" w:space="0"/>
              <w:right w:val="single" w:color="auto" w:sz="4" w:space="0"/>
            </w:tcBorders>
          </w:tcPr>
          <w:p w:rsidRPr="003364E8" w:rsidR="000D7EE1" w:rsidRDefault="000D7EE1" w14:paraId="5F53D76A"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Gas System Integrity</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2E7BE24A" w14:textId="0DE4C87F">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Innovative and Cost-Effective Integrity Management</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61A4F01F" w14:textId="7D6C024E">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$3,036,913</w:t>
            </w:r>
          </w:p>
        </w:tc>
      </w:tr>
      <w:tr w:rsidRPr="00994F76" w:rsidR="00A73D18" w:rsidTr="003364E8" w14:paraId="53F5F67D" w14:textId="77777777">
        <w:tc>
          <w:tcPr>
            <w:tcW w:w="2335" w:type="dxa"/>
            <w:vMerge/>
            <w:tcBorders>
              <w:left w:val="single" w:color="auto" w:sz="4" w:space="0"/>
              <w:bottom w:val="single" w:color="auto" w:sz="4" w:space="0"/>
              <w:right w:val="single" w:color="auto" w:sz="4" w:space="0"/>
            </w:tcBorders>
          </w:tcPr>
          <w:p w:rsidRPr="003364E8" w:rsidR="000D7EE1" w:rsidRDefault="000D7EE1" w14:paraId="0AB6B5F2" w14:textId="77777777">
            <w:pPr>
              <w:keepNext/>
              <w:keepLines/>
              <w:spacing w:line="276" w:lineRule="auto"/>
              <w:rPr>
                <w:rFonts w:ascii="Palatino Linotype" w:hAnsi="Palatino Linotype"/>
                <w:color w:val="000000" w:themeColor="text1"/>
                <w:sz w:val="22"/>
                <w:szCs w:val="22"/>
              </w:rPr>
            </w:pP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1E6EC13C" w14:textId="24E59ACF">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Integrated Planning Tools to Enable Scaled Up Gas Decommissioning and Electrification</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19F7D6BE" w14:textId="78759DD9">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$1,050,000</w:t>
            </w:r>
          </w:p>
        </w:tc>
      </w:tr>
      <w:tr w:rsidRPr="00994F76" w:rsidR="000D7EE1" w:rsidTr="003364E8" w14:paraId="51F8DC3D" w14:textId="77777777">
        <w:tc>
          <w:tcPr>
            <w:tcW w:w="2335" w:type="dxa"/>
            <w:tcBorders>
              <w:top w:val="single" w:color="auto" w:sz="4" w:space="0"/>
              <w:left w:val="single" w:color="auto" w:sz="4" w:space="0"/>
              <w:right w:val="single" w:color="auto" w:sz="4" w:space="0"/>
            </w:tcBorders>
          </w:tcPr>
          <w:p w:rsidRPr="003364E8" w:rsidR="000D7EE1" w:rsidRDefault="000D7EE1" w14:paraId="1DFDED7B"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Decarbonization</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318C59E2" w14:textId="0C98AD92">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Clean Fuels Integration</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7060F08A" w14:textId="04FF8DAE">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w:t>
            </w:r>
            <w:r w:rsidRPr="003364E8" w:rsidR="003364E8">
              <w:rPr>
                <w:rFonts w:ascii="Palatino Linotype" w:hAnsi="Palatino Linotype"/>
                <w:color w:val="000000" w:themeColor="text1"/>
                <w:sz w:val="22"/>
                <w:szCs w:val="22"/>
              </w:rPr>
              <w:t>3,000,000</w:t>
            </w:r>
          </w:p>
        </w:tc>
      </w:tr>
      <w:tr w:rsidRPr="00994F76" w:rsidR="003364E8" w14:paraId="28EA765E"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3364E8" w:rsidP="003364E8" w:rsidRDefault="003364E8" w14:paraId="44E7EB34" w14:textId="3A4CFB06">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Gas RD&amp;D Database Development</w:t>
            </w:r>
          </w:p>
        </w:tc>
        <w:tc>
          <w:tcPr>
            <w:tcW w:w="2371" w:type="dxa"/>
            <w:tcBorders>
              <w:top w:val="single" w:color="auto" w:sz="4" w:space="0"/>
              <w:left w:val="single" w:color="auto" w:sz="4" w:space="0"/>
              <w:bottom w:val="single" w:color="auto" w:sz="4" w:space="0"/>
              <w:right w:val="single" w:color="auto" w:sz="4" w:space="0"/>
            </w:tcBorders>
          </w:tcPr>
          <w:p w:rsidRPr="003364E8" w:rsidR="003364E8" w:rsidP="003364E8" w:rsidRDefault="003364E8" w14:paraId="1036FF3D" w14:textId="3646F1CB">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$56,987</w:t>
            </w:r>
          </w:p>
        </w:tc>
      </w:tr>
      <w:tr w:rsidRPr="00994F76" w:rsidR="003364E8" w14:paraId="7F1AF784"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3364E8" w:rsidP="003364E8" w:rsidRDefault="003364E8" w14:paraId="1804AA5B" w14:textId="5AB6BFB4">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Program Evaluation</w:t>
            </w:r>
          </w:p>
        </w:tc>
        <w:tc>
          <w:tcPr>
            <w:tcW w:w="2371" w:type="dxa"/>
            <w:tcBorders>
              <w:top w:val="single" w:color="auto" w:sz="4" w:space="0"/>
              <w:left w:val="single" w:color="auto" w:sz="4" w:space="0"/>
              <w:bottom w:val="single" w:color="auto" w:sz="4" w:space="0"/>
              <w:right w:val="single" w:color="auto" w:sz="4" w:space="0"/>
            </w:tcBorders>
          </w:tcPr>
          <w:p w:rsidRPr="003364E8" w:rsidR="003364E8" w:rsidP="003364E8" w:rsidRDefault="003364E8" w14:paraId="06081504" w14:textId="2FE536C1">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$294,400</w:t>
            </w:r>
          </w:p>
        </w:tc>
      </w:tr>
      <w:tr w:rsidRPr="00994F76" w:rsidR="000D7EE1" w14:paraId="388C677E"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0D7EE1" w:rsidRDefault="000D7EE1" w14:paraId="5325DE9C"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Administrative</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6ED9E754" w14:textId="21678FB6">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w:t>
            </w:r>
            <w:r w:rsidRPr="003364E8" w:rsidR="003364E8">
              <w:rPr>
                <w:rFonts w:ascii="Palatino Linotype" w:hAnsi="Palatino Linotype"/>
                <w:color w:val="000000" w:themeColor="text1"/>
                <w:sz w:val="22"/>
                <w:szCs w:val="22"/>
              </w:rPr>
              <w:t>826,700</w:t>
            </w:r>
          </w:p>
        </w:tc>
      </w:tr>
      <w:tr w:rsidRPr="00994F76" w:rsidR="000D7EE1" w14:paraId="2CDC471E" w14:textId="77777777">
        <w:tc>
          <w:tcPr>
            <w:tcW w:w="6979" w:type="dxa"/>
            <w:gridSpan w:val="2"/>
            <w:tcBorders>
              <w:top w:val="single" w:color="auto" w:sz="4" w:space="0"/>
              <w:left w:val="single" w:color="auto" w:sz="4" w:space="0"/>
              <w:bottom w:val="single" w:color="auto" w:sz="4" w:space="0"/>
              <w:right w:val="single" w:color="auto" w:sz="4" w:space="0"/>
            </w:tcBorders>
            <w:vAlign w:val="center"/>
          </w:tcPr>
          <w:p w:rsidRPr="003364E8" w:rsidR="000D7EE1" w:rsidRDefault="000D7EE1" w14:paraId="7D6B2EDA" w14:textId="77777777">
            <w:pPr>
              <w:keepNext/>
              <w:keepLines/>
              <w:spacing w:line="276" w:lineRule="auto"/>
              <w:jc w:val="right"/>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ANNUAL TOTAL:</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13F1587C" w14:textId="73EBC62F">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$8,267,000</w:t>
            </w:r>
          </w:p>
        </w:tc>
      </w:tr>
    </w:tbl>
    <w:p w:rsidR="00EB5082" w:rsidP="00EB5082" w:rsidRDefault="00EB5082" w14:paraId="7FA9AEC3" w14:textId="77777777">
      <w:pPr>
        <w:pStyle w:val="10sp0"/>
        <w:spacing w:after="0" w:line="276" w:lineRule="auto"/>
        <w:rPr>
          <w:rFonts w:ascii="Palatino Linotype" w:hAnsi="Palatino Linotype"/>
          <w:i/>
          <w:iCs/>
          <w:color w:val="000000" w:themeColor="text1"/>
        </w:rPr>
      </w:pPr>
    </w:p>
    <w:p w:rsidR="000F6276" w:rsidP="000F6276" w:rsidRDefault="00BF2858" w14:paraId="0C29ECD0" w14:textId="65DD8E51">
      <w:pPr>
        <w:pStyle w:val="10sp0"/>
        <w:spacing w:line="276" w:lineRule="auto"/>
        <w:rPr>
          <w:rFonts w:ascii="Palatino Linotype" w:hAnsi="Palatino Linotype"/>
          <w:i/>
          <w:iCs/>
          <w:color w:val="000000" w:themeColor="text1"/>
        </w:rPr>
      </w:pPr>
      <w:r w:rsidRPr="00BF2858">
        <w:rPr>
          <w:rFonts w:ascii="Palatino Linotype" w:hAnsi="Palatino Linotype"/>
          <w:i/>
          <w:iCs/>
          <w:color w:val="000000" w:themeColor="text1"/>
        </w:rPr>
        <w:t>Gas System Integrity Theme Proposed Initiatives</w:t>
      </w:r>
    </w:p>
    <w:p w:rsidRPr="00AE4618" w:rsidR="00E31E70" w:rsidP="00AE4618" w:rsidRDefault="00C90A2E" w14:paraId="15EE297B" w14:textId="16E569A2">
      <w:pPr>
        <w:spacing w:line="276" w:lineRule="auto"/>
        <w:rPr>
          <w:rFonts w:ascii="Palatino Linotype" w:hAnsi="Palatino Linotype" w:eastAsia="Palatino Linotype" w:cs="Times New Roman"/>
          <w:bCs/>
          <w:color w:val="000000" w:themeColor="text1"/>
          <w:kern w:val="0"/>
          <w14:ligatures w14:val="none"/>
        </w:rPr>
      </w:pPr>
      <w:r w:rsidRPr="00E31E70">
        <w:rPr>
          <w:rFonts w:ascii="Palatino Linotype" w:hAnsi="Palatino Linotype" w:eastAsia="Palatino Linotype" w:cs="Times New Roman"/>
          <w:bCs/>
          <w:color w:val="000000" w:themeColor="text1"/>
          <w:kern w:val="0"/>
          <w14:ligatures w14:val="none"/>
        </w:rPr>
        <w:t xml:space="preserve">PG&amp;E states that it seeks to develop Initiatives within the Gas System Integrity Theme </w:t>
      </w:r>
      <w:r w:rsidR="00A347F5">
        <w:rPr>
          <w:rFonts w:ascii="Palatino Linotype" w:hAnsi="Palatino Linotype" w:eastAsia="Palatino Linotype" w:cs="Times New Roman"/>
          <w:bCs/>
          <w:color w:val="000000" w:themeColor="text1"/>
          <w:kern w:val="0"/>
          <w14:ligatures w14:val="none"/>
        </w:rPr>
        <w:t>to research, validate, and analyze technologies and strategies related to gas safety, leak reduction, and long-term gas plannin</w:t>
      </w:r>
      <w:r w:rsidRPr="00A347F5" w:rsidR="00A347F5">
        <w:rPr>
          <w:rFonts w:ascii="Palatino Linotype" w:hAnsi="Palatino Linotype" w:eastAsia="Palatino Linotype" w:cs="Times New Roman"/>
          <w:bCs/>
          <w:color w:val="000000" w:themeColor="text1"/>
          <w:kern w:val="0"/>
          <w14:ligatures w14:val="none"/>
        </w:rPr>
        <w:t>g</w:t>
      </w:r>
      <w:r w:rsidRPr="00A347F5">
        <w:rPr>
          <w:rFonts w:ascii="Palatino Linotype" w:hAnsi="Palatino Linotype" w:eastAsia="Palatino Linotype" w:cs="Times New Roman"/>
          <w:bCs/>
          <w:color w:val="000000" w:themeColor="text1"/>
          <w:kern w:val="0"/>
          <w14:ligatures w14:val="none"/>
        </w:rPr>
        <w:t>.</w:t>
      </w:r>
      <w:r w:rsidRPr="00A347F5">
        <w:rPr>
          <w:rStyle w:val="FootnoteReference"/>
          <w:rFonts w:ascii="Palatino Linotype" w:hAnsi="Palatino Linotype" w:eastAsia="Palatino Linotype" w:cs="Times New Roman"/>
          <w:bCs/>
          <w:color w:val="000000" w:themeColor="text1"/>
          <w:kern w:val="0"/>
          <w14:ligatures w14:val="none"/>
        </w:rPr>
        <w:footnoteReference w:id="74"/>
      </w:r>
      <w:r w:rsidRPr="00A347F5">
        <w:rPr>
          <w:rFonts w:ascii="Palatino Linotype" w:hAnsi="Palatino Linotype" w:eastAsia="Palatino Linotype" w:cs="Times New Roman"/>
          <w:bCs/>
          <w:color w:val="000000" w:themeColor="text1"/>
          <w:kern w:val="0"/>
          <w14:ligatures w14:val="none"/>
        </w:rPr>
        <w:t xml:space="preserve"> </w:t>
      </w:r>
    </w:p>
    <w:p w:rsidRPr="00E31E70" w:rsidR="00E31E70" w:rsidP="00E31E70" w:rsidRDefault="00E31E70" w14:paraId="6CBA1937"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E31E70">
        <w:rPr>
          <w:rFonts w:ascii="Palatino Linotype" w:hAnsi="Palatino Linotype" w:eastAsia="Palatino Linotype" w:cs="Times New Roman"/>
          <w:color w:val="000000" w:themeColor="text1"/>
          <w:kern w:val="0"/>
          <w14:ligatures w14:val="none"/>
        </w:rPr>
        <w:t>Innova</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ve and Cost-Effec</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ve Integrity Management</w:t>
      </w:r>
    </w:p>
    <w:p w:rsidRPr="0035279A" w:rsidR="00E31E70" w:rsidP="0035279A" w:rsidRDefault="00E31E70" w14:paraId="3A664266" w14:textId="609E8DB4">
      <w:pPr>
        <w:spacing w:after="0" w:line="276" w:lineRule="auto"/>
        <w:ind w:left="720"/>
        <w:rPr>
          <w:rFonts w:ascii="Palatino Linotype" w:hAnsi="Palatino Linotype" w:eastAsia="Palatino Linotype" w:cs="Times New Roman"/>
          <w:bCs/>
          <w:color w:val="A6A6A6" w:themeColor="background1" w:themeShade="A6"/>
          <w:kern w:val="0"/>
          <w14:ligatures w14:val="none"/>
        </w:rPr>
      </w:pPr>
      <w:r w:rsidRPr="00A347F5">
        <w:rPr>
          <w:rFonts w:ascii="Palatino Linotype" w:hAnsi="Palatino Linotype" w:eastAsia="Palatino Linotype" w:cs="Times New Roman"/>
          <w:bCs/>
          <w:color w:val="000000" w:themeColor="text1"/>
          <w:kern w:val="0"/>
          <w14:ligatures w14:val="none"/>
        </w:rPr>
        <w:t>PG&amp;E states that it seeks to develop projects within the Innova</w:t>
      </w:r>
      <w:r w:rsidRPr="00A347F5">
        <w:rPr>
          <w:rFonts w:ascii="Palatino Linotype" w:hAnsi="Palatino Linotype" w:eastAsia="Palatino Linotype" w:cs="Palatino Linotype"/>
          <w:bCs/>
          <w:color w:val="000000" w:themeColor="text1"/>
          <w:kern w:val="0"/>
          <w14:ligatures w14:val="none"/>
        </w:rPr>
        <w:t>ti</w:t>
      </w:r>
      <w:r w:rsidRPr="00A347F5">
        <w:rPr>
          <w:rFonts w:ascii="Palatino Linotype" w:hAnsi="Palatino Linotype" w:eastAsia="Palatino Linotype" w:cs="Times New Roman"/>
          <w:bCs/>
          <w:color w:val="000000" w:themeColor="text1"/>
          <w:kern w:val="0"/>
          <w14:ligatures w14:val="none"/>
        </w:rPr>
        <w:t xml:space="preserve">ve and </w:t>
      </w:r>
      <w:r w:rsidR="00023BA9">
        <w:rPr>
          <w:rFonts w:ascii="Palatino Linotype" w:hAnsi="Palatino Linotype" w:eastAsia="Palatino Linotype" w:cs="Times New Roman"/>
          <w:bCs/>
          <w:color w:val="000000" w:themeColor="text1"/>
          <w:kern w:val="0"/>
          <w14:ligatures w14:val="none"/>
        </w:rPr>
        <w:br/>
      </w:r>
      <w:r w:rsidRPr="00A347F5">
        <w:rPr>
          <w:rFonts w:ascii="Palatino Linotype" w:hAnsi="Palatino Linotype" w:eastAsia="Palatino Linotype" w:cs="Times New Roman"/>
          <w:bCs/>
          <w:color w:val="000000" w:themeColor="text1"/>
          <w:kern w:val="0"/>
          <w14:ligatures w14:val="none"/>
        </w:rPr>
        <w:t>Cost-Effec</w:t>
      </w:r>
      <w:r w:rsidRPr="00A347F5">
        <w:rPr>
          <w:rFonts w:ascii="Palatino Linotype" w:hAnsi="Palatino Linotype" w:eastAsia="Palatino Linotype" w:cs="Palatino Linotype"/>
          <w:bCs/>
          <w:color w:val="000000" w:themeColor="text1"/>
          <w:kern w:val="0"/>
          <w14:ligatures w14:val="none"/>
        </w:rPr>
        <w:t>ti</w:t>
      </w:r>
      <w:r w:rsidRPr="00A347F5">
        <w:rPr>
          <w:rFonts w:ascii="Palatino Linotype" w:hAnsi="Palatino Linotype" w:eastAsia="Palatino Linotype" w:cs="Times New Roman"/>
          <w:bCs/>
          <w:color w:val="000000" w:themeColor="text1"/>
          <w:kern w:val="0"/>
          <w14:ligatures w14:val="none"/>
        </w:rPr>
        <w:t xml:space="preserve">ve Integrity Management Initiative to </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address</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 xml:space="preserve"> utility-specific integrity management needs where conventional methods can be intrusive, costly, or technically limited</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 xml:space="preserve"> focused on two research areas: fiber-optic monitoring and AI/ML-enabled analytics for underground storage well integrity, and assessment methods for stress corrosion cracking (SCC) in cased pipeline crossings.</w:t>
      </w:r>
      <w:r w:rsidR="0035279A">
        <w:rPr>
          <w:rFonts w:ascii="Palatino Linotype" w:hAnsi="Palatino Linotype" w:eastAsia="Palatino Linotype" w:cs="Times New Roman"/>
          <w:bCs/>
          <w:color w:val="000000" w:themeColor="text1"/>
          <w:kern w:val="0"/>
          <w14:ligatures w14:val="none"/>
        </w:rPr>
        <w:t>”</w:t>
      </w:r>
      <w:r w:rsidR="0035279A">
        <w:rPr>
          <w:rFonts w:ascii="Palatino Linotype" w:hAnsi="Palatino Linotype" w:eastAsia="Palatino Linotype" w:cs="Times New Roman"/>
          <w:bCs/>
          <w:color w:val="A6A6A6" w:themeColor="background1" w:themeShade="A6"/>
          <w:kern w:val="0"/>
          <w14:ligatures w14:val="none"/>
        </w:rPr>
        <w:t xml:space="preserve"> </w:t>
      </w:r>
      <w:r w:rsidRPr="00A347F5">
        <w:rPr>
          <w:rFonts w:ascii="Palatino Linotype" w:hAnsi="Palatino Linotype" w:eastAsia="Palatino Linotype" w:cs="Times New Roman"/>
          <w:bCs/>
          <w:color w:val="000000" w:themeColor="text1"/>
          <w:kern w:val="0"/>
          <w14:ligatures w14:val="none"/>
        </w:rPr>
        <w:t xml:space="preserve">PG&amp;E proposes to allocate </w:t>
      </w:r>
      <w:r w:rsidRPr="00A347F5" w:rsidR="00A347F5">
        <w:rPr>
          <w:rFonts w:ascii="Palatino Linotype" w:hAnsi="Palatino Linotype" w:cs="Segoe UI"/>
          <w:color w:val="000000" w:themeColor="text1"/>
          <w:sz w:val="22"/>
          <w:szCs w:val="22"/>
        </w:rPr>
        <w:t xml:space="preserve">$3,036,913 </w:t>
      </w:r>
      <w:r w:rsidRPr="00A347F5">
        <w:rPr>
          <w:rFonts w:ascii="Palatino Linotype" w:hAnsi="Palatino Linotype" w:eastAsia="Palatino Linotype" w:cs="Times New Roman"/>
          <w:bCs/>
          <w:color w:val="000000" w:themeColor="text1"/>
          <w:kern w:val="0"/>
          <w14:ligatures w14:val="none"/>
        </w:rPr>
        <w:t>in its 202</w:t>
      </w:r>
      <w:r w:rsidRPr="00A347F5" w:rsidR="00A347F5">
        <w:rPr>
          <w:rFonts w:ascii="Palatino Linotype" w:hAnsi="Palatino Linotype" w:eastAsia="Palatino Linotype" w:cs="Times New Roman"/>
          <w:bCs/>
          <w:color w:val="000000" w:themeColor="text1"/>
          <w:kern w:val="0"/>
          <w14:ligatures w14:val="none"/>
        </w:rPr>
        <w:t>6</w:t>
      </w:r>
      <w:r w:rsidRPr="00A347F5">
        <w:rPr>
          <w:rFonts w:ascii="Palatino Linotype" w:hAnsi="Palatino Linotype" w:eastAsia="Palatino Linotype" w:cs="Times New Roman"/>
          <w:bCs/>
          <w:color w:val="000000" w:themeColor="text1"/>
          <w:kern w:val="0"/>
          <w14:ligatures w14:val="none"/>
        </w:rPr>
        <w:t xml:space="preserve"> Plan to this initiative.</w:t>
      </w:r>
      <w:r w:rsidRPr="006260F8">
        <w:rPr>
          <w:rStyle w:val="FootnoteReference"/>
          <w:rFonts w:ascii="Palatino Linotype" w:hAnsi="Palatino Linotype" w:eastAsia="Palatino Linotype" w:cs="Times New Roman"/>
          <w:bCs/>
          <w:color w:val="000000" w:themeColor="text1"/>
          <w:kern w:val="0"/>
          <w14:ligatures w14:val="none"/>
        </w:rPr>
        <w:footnoteReference w:id="75"/>
      </w:r>
    </w:p>
    <w:p w:rsidRPr="00E31E70" w:rsidR="00E31E70" w:rsidP="00E31E70" w:rsidRDefault="00E31E70" w14:paraId="000E20CB" w14:textId="77777777">
      <w:pPr>
        <w:spacing w:after="0" w:line="276" w:lineRule="auto"/>
        <w:ind w:left="720"/>
        <w:rPr>
          <w:rFonts w:ascii="Palatino Linotype" w:hAnsi="Palatino Linotype" w:eastAsia="Palatino Linotype" w:cs="Times New Roman"/>
          <w:bCs/>
          <w:color w:val="A6A6A6" w:themeColor="background1" w:themeShade="A6"/>
          <w:kern w:val="0"/>
          <w14:ligatures w14:val="none"/>
        </w:rPr>
      </w:pPr>
    </w:p>
    <w:p w:rsidRPr="00E31E70" w:rsidR="00E31E70" w:rsidP="00E31E70" w:rsidRDefault="00E31E70" w14:paraId="390CC824" w14:textId="77777777">
      <w:pPr>
        <w:pStyle w:val="ListParagraph"/>
        <w:numPr>
          <w:ilvl w:val="0"/>
          <w:numId w:val="1"/>
        </w:numPr>
        <w:spacing w:line="276" w:lineRule="auto"/>
        <w:rPr>
          <w:rFonts w:ascii="Palatino Linotype" w:hAnsi="Palatino Linotype" w:eastAsia="Palatino Linotype" w:cs="Times New Roman"/>
          <w:color w:val="000000" w:themeColor="text1"/>
        </w:rPr>
      </w:pPr>
      <w:r w:rsidRPr="00E31E70">
        <w:rPr>
          <w:rFonts w:ascii="Palatino Linotype" w:hAnsi="Palatino Linotype" w:eastAsia="Palatino Linotype" w:cs="Times New Roman"/>
          <w:color w:val="000000" w:themeColor="text1"/>
        </w:rPr>
        <w:t>Integrated Planning Tools to Enable Scaled Up Gas Decommissioning and Electrification</w:t>
      </w:r>
    </w:p>
    <w:p w:rsidR="00AE4618" w:rsidP="00EB5082" w:rsidRDefault="00E31E70" w14:paraId="54ECA094" w14:textId="6B965AFB">
      <w:pPr>
        <w:spacing w:after="0" w:line="276" w:lineRule="auto"/>
        <w:ind w:left="720"/>
        <w:rPr>
          <w:rFonts w:ascii="Palatino Linotype" w:hAnsi="Palatino Linotype" w:eastAsia="Palatino Linotype" w:cs="Times New Roman"/>
          <w:color w:val="000000" w:themeColor="text1"/>
        </w:rPr>
      </w:pPr>
      <w:r w:rsidRPr="0035279A">
        <w:rPr>
          <w:rFonts w:ascii="Palatino Linotype" w:hAnsi="Palatino Linotype" w:eastAsia="Palatino Linotype" w:cs="Times New Roman"/>
          <w:color w:val="000000" w:themeColor="text1"/>
        </w:rPr>
        <w:lastRenderedPageBreak/>
        <w:t xml:space="preserve">PG&amp;E states that it seeks to develop projects within the Integrated Planning Tools to Enable Scaled Up Gas Decommissioning and Electrification Initiative to </w:t>
      </w:r>
      <w:r w:rsidR="0035279A">
        <w:rPr>
          <w:rFonts w:ascii="Palatino Linotype" w:hAnsi="Palatino Linotype" w:eastAsia="Palatino Linotype" w:cs="Times New Roman"/>
          <w:color w:val="000000" w:themeColor="text1"/>
        </w:rPr>
        <w:t>support “</w:t>
      </w:r>
      <w:r w:rsidRPr="0035279A" w:rsidR="0035279A">
        <w:rPr>
          <w:rFonts w:ascii="Palatino Linotype" w:hAnsi="Palatino Linotype" w:eastAsia="Palatino Linotype" w:cs="Times New Roman"/>
          <w:color w:val="000000" w:themeColor="text1"/>
        </w:rPr>
        <w:t>three core functions: (1) translating policy direction and electric-side planning outputs into consistent, clearly documented inputs that define where and under what conditions gas infrastructure can be considered for decommissioning; (2) structuring complex decommissioning questions into discrete cost, risk, constraint, and feasibility components so tradeoffs can be evaluated transparently across system segments; and (3) applying scenario-based framing and structured learning to capture uncertainty, compare outcomes across different future conditions, and reuse results across planning studies and proceedings.</w:t>
      </w:r>
      <w:r w:rsidR="0035279A">
        <w:rPr>
          <w:rFonts w:ascii="Palatino Linotype" w:hAnsi="Palatino Linotype" w:eastAsia="Palatino Linotype" w:cs="Times New Roman"/>
          <w:color w:val="000000" w:themeColor="text1"/>
        </w:rPr>
        <w:t>”</w:t>
      </w:r>
      <w:r w:rsidR="0035279A">
        <w:rPr>
          <w:rFonts w:ascii="Palatino Linotype" w:hAnsi="Palatino Linotype" w:eastAsia="Palatino Linotype" w:cs="Times New Roman"/>
          <w:color w:val="A6A6A6" w:themeColor="background1" w:themeShade="A6"/>
        </w:rPr>
        <w:t xml:space="preserve"> </w:t>
      </w:r>
      <w:r w:rsidRPr="0035279A">
        <w:rPr>
          <w:rFonts w:ascii="Palatino Linotype" w:hAnsi="Palatino Linotype" w:eastAsia="Palatino Linotype" w:cs="Times New Roman"/>
          <w:color w:val="000000" w:themeColor="text1"/>
        </w:rPr>
        <w:t>PG&amp;E proposes to allocate $</w:t>
      </w:r>
      <w:r w:rsidRPr="0035279A" w:rsidR="0035279A">
        <w:rPr>
          <w:rFonts w:ascii="Palatino Linotype" w:hAnsi="Palatino Linotype" w:eastAsia="Palatino Linotype" w:cs="Times New Roman"/>
          <w:color w:val="000000" w:themeColor="text1"/>
        </w:rPr>
        <w:t>1,050,000</w:t>
      </w:r>
      <w:r w:rsidRPr="0035279A">
        <w:rPr>
          <w:rFonts w:ascii="Palatino Linotype" w:hAnsi="Palatino Linotype" w:eastAsia="Palatino Linotype" w:cs="Times New Roman"/>
          <w:color w:val="000000" w:themeColor="text1"/>
        </w:rPr>
        <w:t xml:space="preserve"> in its 202</w:t>
      </w:r>
      <w:r w:rsidRPr="0035279A" w:rsidR="0035279A">
        <w:rPr>
          <w:rFonts w:ascii="Palatino Linotype" w:hAnsi="Palatino Linotype" w:eastAsia="Palatino Linotype" w:cs="Times New Roman"/>
          <w:color w:val="000000" w:themeColor="text1"/>
        </w:rPr>
        <w:t>6</w:t>
      </w:r>
      <w:r w:rsidRPr="0035279A">
        <w:rPr>
          <w:rFonts w:ascii="Palatino Linotype" w:hAnsi="Palatino Linotype" w:eastAsia="Palatino Linotype" w:cs="Times New Roman"/>
          <w:color w:val="000000" w:themeColor="text1"/>
        </w:rPr>
        <w:t xml:space="preserve"> Plan to this Initiative.</w:t>
      </w:r>
      <w:r w:rsidRPr="0035279A">
        <w:rPr>
          <w:rStyle w:val="FootnoteReference"/>
          <w:rFonts w:ascii="Palatino Linotype" w:hAnsi="Palatino Linotype" w:eastAsia="Palatino Linotype" w:cs="Times New Roman"/>
          <w:color w:val="000000" w:themeColor="text1"/>
        </w:rPr>
        <w:footnoteReference w:id="76"/>
      </w:r>
    </w:p>
    <w:p w:rsidRPr="00EB5082" w:rsidR="00EB5082" w:rsidP="00EB5082" w:rsidRDefault="00EB5082" w14:paraId="1DD5AB87" w14:textId="77777777">
      <w:pPr>
        <w:spacing w:after="0" w:line="276" w:lineRule="auto"/>
        <w:ind w:left="720"/>
        <w:rPr>
          <w:rFonts w:ascii="Palatino Linotype" w:hAnsi="Palatino Linotype" w:eastAsia="Palatino Linotype" w:cs="Times New Roman"/>
          <w:color w:val="A6A6A6" w:themeColor="background1" w:themeShade="A6"/>
        </w:rPr>
      </w:pPr>
    </w:p>
    <w:p w:rsidRPr="00BF2858" w:rsidR="00BF2858" w:rsidP="000F6276" w:rsidRDefault="00BF2858" w14:paraId="4187E791" w14:textId="08E85AB6">
      <w:pPr>
        <w:pStyle w:val="10sp0"/>
        <w:spacing w:line="276" w:lineRule="auto"/>
        <w:rPr>
          <w:rFonts w:ascii="Palatino Linotype" w:hAnsi="Palatino Linotype"/>
          <w:i/>
          <w:iCs/>
          <w:color w:val="000000" w:themeColor="text1"/>
        </w:rPr>
      </w:pPr>
      <w:r w:rsidRPr="00BF2858">
        <w:rPr>
          <w:rFonts w:ascii="Palatino Linotype" w:hAnsi="Palatino Linotype"/>
          <w:i/>
          <w:iCs/>
          <w:color w:val="000000" w:themeColor="text1"/>
        </w:rPr>
        <w:t xml:space="preserve">Decarbonization Theme Proposed Initiatives </w:t>
      </w:r>
    </w:p>
    <w:p w:rsidRPr="00AE4618" w:rsidR="00E31E70" w:rsidP="00AE4618" w:rsidRDefault="00E31E70" w14:paraId="1C64B119" w14:textId="71120579">
      <w:pPr>
        <w:spacing w:line="276" w:lineRule="auto"/>
        <w:rPr>
          <w:rFonts w:ascii="Palatino Linotype" w:hAnsi="Palatino Linotype" w:eastAsia="Palatino Linotype" w:cs="Times New Roman"/>
          <w:bCs/>
          <w:color w:val="000000" w:themeColor="text1"/>
          <w:kern w:val="0"/>
          <w14:ligatures w14:val="none"/>
        </w:rPr>
      </w:pPr>
      <w:r w:rsidRPr="00E31E70">
        <w:rPr>
          <w:rFonts w:ascii="Palatino Linotype" w:hAnsi="Palatino Linotype" w:eastAsia="Palatino Linotype" w:cs="Times New Roman"/>
          <w:bCs/>
          <w:color w:val="000000" w:themeColor="text1"/>
          <w:kern w:val="0"/>
          <w14:ligatures w14:val="none"/>
        </w:rPr>
        <w:t>PG&amp;E states that it seeks to develop Initiatives within the Decarbonization Theme</w:t>
      </w:r>
      <w:r w:rsidR="0035279A">
        <w:rPr>
          <w:rFonts w:ascii="Palatino Linotype" w:hAnsi="Palatino Linotype" w:eastAsia="Palatino Linotype" w:cs="Times New Roman"/>
          <w:bCs/>
          <w:color w:val="000000" w:themeColor="text1"/>
          <w:kern w:val="0"/>
          <w14:ligatures w14:val="none"/>
        </w:rPr>
        <w:t xml:space="preserve"> to develop “</w:t>
      </w:r>
      <w:r w:rsidRPr="0035279A" w:rsidR="0035279A">
        <w:rPr>
          <w:rFonts w:ascii="Palatino Linotype" w:hAnsi="Palatino Linotype" w:eastAsia="Palatino Linotype" w:cs="Times New Roman"/>
          <w:bCs/>
          <w:color w:val="000000" w:themeColor="text1"/>
          <w:kern w:val="0"/>
          <w14:ligatures w14:val="none"/>
        </w:rPr>
        <w:t>validation data, analytical methods, and decision-support capabilities that clarify key uncertainties, reduce cost drivers, and support consistent assessment of cleaner fuel pathways across planning and regulatory contexts</w:t>
      </w:r>
      <w:r w:rsidRP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w:t>
      </w:r>
      <w:r w:rsidRPr="0035279A">
        <w:rPr>
          <w:rStyle w:val="FootnoteReference"/>
          <w:rFonts w:ascii="Palatino Linotype" w:hAnsi="Palatino Linotype" w:eastAsia="Palatino Linotype" w:cs="Times New Roman"/>
          <w:bCs/>
          <w:color w:val="000000" w:themeColor="text1"/>
          <w:kern w:val="0"/>
          <w14:ligatures w14:val="none"/>
        </w:rPr>
        <w:footnoteReference w:id="77"/>
      </w:r>
    </w:p>
    <w:p w:rsidRPr="00E31E70" w:rsidR="00E31E70" w:rsidP="00E31E70" w:rsidRDefault="00E31E70" w14:paraId="5DEAC626"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E31E70">
        <w:rPr>
          <w:rFonts w:ascii="Palatino Linotype" w:hAnsi="Palatino Linotype" w:eastAsia="Palatino Linotype" w:cs="Times New Roman"/>
          <w:color w:val="000000" w:themeColor="text1"/>
          <w:kern w:val="0"/>
          <w14:ligatures w14:val="none"/>
        </w:rPr>
        <w:t>Clean Fuels Integra</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 xml:space="preserve">on </w:t>
      </w:r>
    </w:p>
    <w:p w:rsidRPr="00B178EC" w:rsidR="00C90A2E" w:rsidP="00B178EC" w:rsidRDefault="00E31E70" w14:paraId="2CC97542" w14:textId="101E919C">
      <w:pPr>
        <w:spacing w:after="0" w:line="276" w:lineRule="auto"/>
        <w:ind w:left="720"/>
        <w:rPr>
          <w:rFonts w:ascii="Palatino Linotype" w:hAnsi="Palatino Linotype" w:eastAsia="Palatino Linotype" w:cs="Times New Roman"/>
          <w:bCs/>
          <w:color w:val="000000" w:themeColor="text1"/>
          <w:kern w:val="0"/>
          <w14:ligatures w14:val="none"/>
        </w:rPr>
      </w:pPr>
      <w:r w:rsidRPr="0035279A">
        <w:rPr>
          <w:rFonts w:ascii="Palatino Linotype" w:hAnsi="Palatino Linotype" w:eastAsia="Palatino Linotype" w:cs="Times New Roman"/>
          <w:bCs/>
          <w:color w:val="000000" w:themeColor="text1"/>
          <w:kern w:val="0"/>
          <w14:ligatures w14:val="none"/>
        </w:rPr>
        <w:t>PG&amp;E states that it seeks to develop projects within the Clean Fuels Integration Initiative to</w:t>
      </w:r>
      <w:r w:rsidR="00B178EC">
        <w:rPr>
          <w:rFonts w:ascii="Palatino Linotype" w:hAnsi="Palatino Linotype" w:eastAsia="Palatino Linotype" w:cs="Times New Roman"/>
          <w:bCs/>
          <w:color w:val="000000" w:themeColor="text1"/>
          <w:kern w:val="0"/>
          <w14:ligatures w14:val="none"/>
        </w:rPr>
        <w:t xml:space="preserve"> conduct “applied testing and validation </w:t>
      </w:r>
      <w:r w:rsidRPr="00B178EC" w:rsidR="00B178EC">
        <w:rPr>
          <w:rFonts w:ascii="Palatino Linotype" w:hAnsi="Palatino Linotype" w:eastAsia="Palatino Linotype" w:cs="Times New Roman"/>
          <w:bCs/>
          <w:color w:val="000000" w:themeColor="text1"/>
          <w:kern w:val="0"/>
          <w14:ligatures w14:val="none"/>
        </w:rPr>
        <w:t>that can support more consistent gas quality analysis, clearer treatment of trace constituents, and more repeatable interconnection practices where feasibl</w:t>
      </w:r>
      <w:r w:rsidR="00B178EC">
        <w:rPr>
          <w:rFonts w:ascii="Palatino Linotype" w:hAnsi="Palatino Linotype" w:eastAsia="Palatino Linotype" w:cs="Times New Roman"/>
          <w:bCs/>
          <w:color w:val="000000" w:themeColor="text1"/>
          <w:kern w:val="0"/>
          <w14:ligatures w14:val="none"/>
        </w:rPr>
        <w:t>e” and “</w:t>
      </w:r>
      <w:r w:rsidRPr="00B178EC" w:rsidR="00B178EC">
        <w:rPr>
          <w:rFonts w:ascii="Palatino Linotype" w:hAnsi="Palatino Linotype" w:eastAsia="Palatino Linotype" w:cs="Times New Roman"/>
          <w:bCs/>
          <w:color w:val="000000" w:themeColor="text1"/>
          <w:kern w:val="0"/>
          <w14:ligatures w14:val="none"/>
        </w:rPr>
        <w:t>planning-support research on biomass-to-RNG</w:t>
      </w:r>
      <w:r w:rsidR="00E61C16">
        <w:rPr>
          <w:rStyle w:val="FootnoteReference"/>
          <w:rFonts w:ascii="Palatino Linotype" w:hAnsi="Palatino Linotype" w:eastAsia="Palatino Linotype" w:cs="Times New Roman"/>
          <w:bCs/>
          <w:color w:val="000000" w:themeColor="text1"/>
          <w:kern w:val="0"/>
          <w14:ligatures w14:val="none"/>
        </w:rPr>
        <w:footnoteReference w:id="78"/>
      </w:r>
      <w:r w:rsidRPr="00B178EC" w:rsidR="00B178EC">
        <w:rPr>
          <w:rFonts w:ascii="Palatino Linotype" w:hAnsi="Palatino Linotype" w:eastAsia="Palatino Linotype" w:cs="Times New Roman"/>
          <w:bCs/>
          <w:color w:val="000000" w:themeColor="text1"/>
          <w:kern w:val="0"/>
          <w14:ligatures w14:val="none"/>
        </w:rPr>
        <w:t xml:space="preserve"> pathways</w:t>
      </w:r>
      <w:r w:rsidR="00B178EC">
        <w:rPr>
          <w:rFonts w:ascii="Palatino Linotype" w:hAnsi="Palatino Linotype" w:eastAsia="Palatino Linotype" w:cs="Times New Roman"/>
          <w:bCs/>
          <w:color w:val="000000" w:themeColor="text1"/>
          <w:kern w:val="0"/>
          <w14:ligatures w14:val="none"/>
        </w:rPr>
        <w:t xml:space="preserve">.” </w:t>
      </w:r>
      <w:r w:rsidRPr="0035279A">
        <w:rPr>
          <w:rFonts w:ascii="Palatino Linotype" w:hAnsi="Palatino Linotype" w:eastAsia="Palatino Linotype" w:cs="Times New Roman"/>
          <w:bCs/>
          <w:color w:val="000000" w:themeColor="text1"/>
          <w:kern w:val="0"/>
          <w14:ligatures w14:val="none"/>
        </w:rPr>
        <w:t xml:space="preserve">PG&amp;E proposes to allocate </w:t>
      </w:r>
      <w:r w:rsidRPr="0035279A" w:rsidR="0035279A">
        <w:rPr>
          <w:rFonts w:ascii="Palatino Linotype" w:hAnsi="Palatino Linotype"/>
          <w:color w:val="000000" w:themeColor="text1"/>
        </w:rPr>
        <w:t xml:space="preserve">$3,000,000 </w:t>
      </w:r>
      <w:r w:rsidRPr="0035279A">
        <w:rPr>
          <w:rFonts w:ascii="Palatino Linotype" w:hAnsi="Palatino Linotype" w:eastAsia="Palatino Linotype" w:cs="Times New Roman"/>
          <w:bCs/>
          <w:color w:val="000000" w:themeColor="text1"/>
          <w:kern w:val="0"/>
          <w14:ligatures w14:val="none"/>
        </w:rPr>
        <w:t>in its 202</w:t>
      </w:r>
      <w:r w:rsidRPr="0035279A" w:rsidR="0035279A">
        <w:rPr>
          <w:rFonts w:ascii="Palatino Linotype" w:hAnsi="Palatino Linotype" w:eastAsia="Palatino Linotype" w:cs="Times New Roman"/>
          <w:bCs/>
          <w:color w:val="000000" w:themeColor="text1"/>
          <w:kern w:val="0"/>
          <w14:ligatures w14:val="none"/>
        </w:rPr>
        <w:t>6</w:t>
      </w:r>
      <w:r w:rsidRPr="0035279A">
        <w:rPr>
          <w:rFonts w:ascii="Palatino Linotype" w:hAnsi="Palatino Linotype" w:eastAsia="Palatino Linotype" w:cs="Times New Roman"/>
          <w:bCs/>
          <w:color w:val="000000" w:themeColor="text1"/>
          <w:kern w:val="0"/>
          <w14:ligatures w14:val="none"/>
        </w:rPr>
        <w:t xml:space="preserve"> Plan to this initiative.</w:t>
      </w:r>
      <w:r w:rsidRPr="0035279A">
        <w:rPr>
          <w:rStyle w:val="FootnoteReference"/>
          <w:rFonts w:ascii="Palatino Linotype" w:hAnsi="Palatino Linotype" w:eastAsia="Palatino Linotype" w:cs="Times New Roman"/>
          <w:bCs/>
          <w:color w:val="000000" w:themeColor="text1"/>
          <w:kern w:val="0"/>
          <w14:ligatures w14:val="none"/>
        </w:rPr>
        <w:footnoteReference w:id="79"/>
      </w:r>
    </w:p>
    <w:p w:rsidR="003364E8" w:rsidP="003364E8" w:rsidRDefault="003364E8" w14:paraId="59AE32C9"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3364E8" w:rsidP="003364E8" w:rsidRDefault="003364E8" w14:paraId="7938A09E"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Evaluation</w:t>
      </w:r>
    </w:p>
    <w:p w:rsidR="003364E8" w:rsidP="003364E8" w:rsidRDefault="003364E8" w14:paraId="0C76C9A2" w14:textId="38434C0C">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lastRenderedPageBreak/>
        <w:t>PG&amp;E proposes to allocate $294,400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for its proportional share of a comprehensive </w:t>
      </w:r>
      <w:proofErr w:type="gramStart"/>
      <w:r w:rsidRPr="00994F76">
        <w:rPr>
          <w:rFonts w:ascii="Palatino Linotype" w:hAnsi="Palatino Linotype" w:eastAsia="Palatino Linotype" w:cs="Times New Roman"/>
          <w:bCs/>
          <w:color w:val="000000" w:themeColor="text1"/>
          <w:kern w:val="0"/>
          <w14:ligatures w14:val="none"/>
        </w:rPr>
        <w:t>Gas RD&amp;D</w:t>
      </w:r>
      <w:proofErr w:type="gramEnd"/>
      <w:r w:rsidRPr="00994F76">
        <w:rPr>
          <w:rFonts w:ascii="Palatino Linotype" w:hAnsi="Palatino Linotype" w:eastAsia="Palatino Linotype" w:cs="Times New Roman"/>
          <w:bCs/>
          <w:color w:val="000000" w:themeColor="text1"/>
          <w:kern w:val="0"/>
          <w14:ligatures w14:val="none"/>
        </w:rPr>
        <w:t xml:space="preserve"> Program Evaluation to be conducted by Energy Division.</w:t>
      </w:r>
      <w:r w:rsidRPr="00B178EC">
        <w:rPr>
          <w:rStyle w:val="FootnoteReference"/>
          <w:rFonts w:ascii="Palatino Linotype" w:hAnsi="Palatino Linotype" w:eastAsia="Palatino Linotype" w:cs="Times New Roman"/>
          <w:bCs/>
          <w:color w:val="000000" w:themeColor="text1"/>
          <w:kern w:val="0"/>
          <w14:ligatures w14:val="none"/>
        </w:rPr>
        <w:footnoteReference w:id="80"/>
      </w:r>
    </w:p>
    <w:p w:rsidR="003364E8" w:rsidP="003364E8" w:rsidRDefault="003364E8" w14:paraId="44220579" w14:textId="77777777">
      <w:pPr>
        <w:spacing w:after="0" w:line="276" w:lineRule="auto"/>
        <w:rPr>
          <w:rFonts w:ascii="Palatino Linotype" w:hAnsi="Palatino Linotype" w:eastAsia="Palatino Linotype" w:cs="Times New Roman"/>
          <w:bCs/>
          <w:color w:val="000000" w:themeColor="text1"/>
          <w:kern w:val="0"/>
          <w14:ligatures w14:val="none"/>
        </w:rPr>
      </w:pPr>
    </w:p>
    <w:p w:rsidRPr="000C58D8" w:rsidR="00EB5082" w:rsidP="003364E8" w:rsidRDefault="00EB5082" w14:paraId="1B33E712"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3364E8" w:rsidP="003364E8" w:rsidRDefault="003364E8" w14:paraId="6838C095"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 xml:space="preserve">Gas RD&amp;D Database Development </w:t>
      </w:r>
    </w:p>
    <w:p w:rsidRPr="00994F76" w:rsidR="003364E8" w:rsidP="003364E8" w:rsidRDefault="003364E8" w14:paraId="6440F4DC" w14:textId="75E2C41D">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$56,987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for its proportional share of developing a comprehensive Gas RD&amp;D Database</w:t>
      </w:r>
      <w:r w:rsidRPr="00B178EC">
        <w:rPr>
          <w:rFonts w:ascii="Palatino Linotype" w:hAnsi="Palatino Linotype" w:eastAsia="Palatino Linotype" w:cs="Times New Roman"/>
          <w:bCs/>
          <w:color w:val="000000" w:themeColor="text1"/>
          <w:kern w:val="0"/>
          <w14:ligatures w14:val="none"/>
        </w:rPr>
        <w:t>.</w:t>
      </w:r>
      <w:r w:rsidRPr="00B178EC">
        <w:rPr>
          <w:rStyle w:val="FootnoteReference"/>
          <w:rFonts w:ascii="Palatino Linotype" w:hAnsi="Palatino Linotype" w:eastAsia="Palatino Linotype" w:cs="Times New Roman"/>
          <w:bCs/>
          <w:color w:val="000000" w:themeColor="text1"/>
          <w:kern w:val="0"/>
          <w14:ligatures w14:val="none"/>
        </w:rPr>
        <w:footnoteReference w:id="81"/>
      </w:r>
      <w:r w:rsidRPr="00994F76">
        <w:rPr>
          <w:rFonts w:ascii="Palatino Linotype" w:hAnsi="Palatino Linotype" w:eastAsia="Palatino Linotype" w:cs="Times New Roman"/>
          <w:bCs/>
          <w:color w:val="000000" w:themeColor="text1"/>
          <w:kern w:val="0"/>
          <w14:ligatures w14:val="none"/>
        </w:rPr>
        <w:t xml:space="preserve"> </w:t>
      </w:r>
    </w:p>
    <w:p w:rsidR="003364E8" w:rsidP="00E31E70" w:rsidRDefault="003364E8" w14:paraId="2EB9130B"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BF2858" w:rsidP="00BF2858" w:rsidRDefault="00BF2858" w14:paraId="7F53E2EB" w14:textId="0ADF2C74">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BF2858" w:rsidP="00BF2858" w:rsidRDefault="00BF2858" w14:paraId="5035400A" w14:textId="658998D5">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w:t>
      </w:r>
      <w:r w:rsidR="003364E8">
        <w:rPr>
          <w:rFonts w:ascii="Palatino Linotype" w:hAnsi="Palatino Linotype" w:eastAsia="Palatino Linotype" w:cs="Times New Roman"/>
          <w:bCs/>
          <w:color w:val="000000" w:themeColor="text1"/>
          <w:kern w:val="0"/>
          <w14:ligatures w14:val="none"/>
        </w:rPr>
        <w:t>826,700</w:t>
      </w:r>
      <w:r w:rsidRPr="00994F76">
        <w:rPr>
          <w:rFonts w:ascii="Palatino Linotype" w:hAnsi="Palatino Linotype" w:eastAsia="Palatino Linotype" w:cs="Times New Roman"/>
          <w:bCs/>
          <w:color w:val="000000" w:themeColor="text1"/>
          <w:kern w:val="0"/>
          <w14:ligatures w14:val="none"/>
        </w:rPr>
        <w:t xml:space="preserve">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to administrative costs</w:t>
      </w:r>
      <w:r w:rsidRPr="00B178EC">
        <w:rPr>
          <w:rFonts w:ascii="Palatino Linotype" w:hAnsi="Palatino Linotype" w:eastAsia="Palatino Linotype" w:cs="Times New Roman"/>
          <w:bCs/>
          <w:color w:val="000000" w:themeColor="text1"/>
          <w:kern w:val="0"/>
          <w14:ligatures w14:val="none"/>
        </w:rPr>
        <w:t>.</w:t>
      </w:r>
      <w:r w:rsidRPr="00B178EC">
        <w:rPr>
          <w:rStyle w:val="FootnoteReference"/>
          <w:rFonts w:ascii="Palatino Linotype" w:hAnsi="Palatino Linotype" w:eastAsia="Palatino Linotype" w:cs="Times New Roman"/>
          <w:bCs/>
          <w:color w:val="000000" w:themeColor="text1"/>
          <w:kern w:val="0"/>
          <w14:ligatures w14:val="none"/>
        </w:rPr>
        <w:footnoteReference w:id="82"/>
      </w:r>
    </w:p>
    <w:p w:rsidR="00BF2858" w:rsidP="000F6276" w:rsidRDefault="00BF2858" w14:paraId="583834F1" w14:textId="77777777">
      <w:pPr>
        <w:pStyle w:val="10sp0"/>
        <w:spacing w:line="276" w:lineRule="auto"/>
        <w:rPr>
          <w:rFonts w:ascii="Palatino Linotype" w:hAnsi="Palatino Linotype"/>
          <w:b/>
          <w:bCs/>
          <w:color w:val="000000" w:themeColor="text1"/>
        </w:rPr>
      </w:pPr>
    </w:p>
    <w:p w:rsidRPr="001942D0" w:rsidR="00527D13" w:rsidP="00527D13" w:rsidRDefault="00527D13" w14:paraId="36D1A260" w14:textId="77777777">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Pr="00994F76" w:rsidR="00527D13" w:rsidP="00527D13" w:rsidRDefault="00527D13" w14:paraId="234EFE4A" w14:textId="259F2CE9">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 xml:space="preserve">Notice of Advice Letters 5196-G and 5197-G were made by publication on the Commission’s Daily Calendar on April 8th, 2026. </w:t>
      </w:r>
      <w:r>
        <w:rPr>
          <w:rFonts w:ascii="Palatino Linotype" w:hAnsi="Palatino Linotype" w:eastAsia="Palatino Linotype" w:cs="Times New Roman"/>
          <w:color w:val="000000" w:themeColor="text1"/>
          <w:kern w:val="0"/>
          <w14:ligatures w14:val="none"/>
        </w:rPr>
        <w:t xml:space="preserve">Notice of Advice Letter </w:t>
      </w:r>
      <w:r w:rsidRPr="0075777D" w:rsidR="0075777D">
        <w:rPr>
          <w:rFonts w:ascii="Palatino Linotype" w:hAnsi="Palatino Linotype" w:eastAsia="Palatino Linotype" w:cs="Times New Roman"/>
          <w:color w:val="000000" w:themeColor="text1"/>
          <w:kern w:val="0"/>
          <w14:ligatures w14:val="none"/>
        </w:rPr>
        <w:t>5222-</w:t>
      </w:r>
      <w:r>
        <w:rPr>
          <w:rFonts w:ascii="Palatino Linotype" w:hAnsi="Palatino Linotype" w:eastAsia="Palatino Linotype" w:cs="Times New Roman"/>
          <w:color w:val="000000" w:themeColor="text1"/>
          <w:kern w:val="0"/>
          <w14:ligatures w14:val="none"/>
        </w:rPr>
        <w:t xml:space="preserve">G was </w:t>
      </w:r>
      <w:r w:rsidRPr="00994F76">
        <w:rPr>
          <w:rFonts w:ascii="Palatino Linotype" w:hAnsi="Palatino Linotype" w:eastAsia="Palatino Linotype" w:cs="Times New Roman"/>
          <w:color w:val="000000" w:themeColor="text1"/>
          <w:kern w:val="0"/>
          <w14:ligatures w14:val="none"/>
        </w:rPr>
        <w:t>made by publication on the Commission’s Daily Calendar on</w:t>
      </w:r>
      <w:r w:rsidR="00933DAD">
        <w:rPr>
          <w:rFonts w:ascii="Palatino Linotype" w:hAnsi="Palatino Linotype" w:eastAsia="Palatino Linotype" w:cs="Times New Roman"/>
          <w:color w:val="000000" w:themeColor="text1"/>
          <w:kern w:val="0"/>
          <w14:ligatures w14:val="none"/>
        </w:rPr>
        <w:t xml:space="preserve"> June 8, 2026. </w:t>
      </w:r>
      <w:r w:rsidRPr="00994F76">
        <w:rPr>
          <w:rFonts w:ascii="Palatino Linotype" w:hAnsi="Palatino Linotype" w:eastAsia="Palatino Linotype" w:cs="Times New Roman"/>
          <w:color w:val="000000" w:themeColor="text1"/>
          <w:kern w:val="0"/>
          <w14:ligatures w14:val="none"/>
        </w:rPr>
        <w:t xml:space="preserve">PG&amp;E states that copies of the Advice Letters were mailed and distributed in accordance with Section 4 of General Order 96-B. </w:t>
      </w:r>
    </w:p>
    <w:p w:rsidRPr="001942D0" w:rsidR="00527D13" w:rsidP="00527D13" w:rsidRDefault="00527D13" w14:paraId="287E2650" w14:textId="77777777">
      <w:pPr>
        <w:spacing w:after="0" w:line="276" w:lineRule="auto"/>
        <w:rPr>
          <w:rFonts w:ascii="Palatino Linotype" w:hAnsi="Palatino Linotype" w:eastAsia="Palatino Linotype" w:cs="Times New Roman"/>
          <w:kern w:val="0"/>
          <w14:ligatures w14:val="none"/>
        </w:rPr>
      </w:pPr>
    </w:p>
    <w:p w:rsidR="00527D13" w:rsidP="00527D13" w:rsidRDefault="00527D13" w14:paraId="0A90A534" w14:textId="77777777">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Protests</w:t>
      </w:r>
    </w:p>
    <w:p w:rsidR="00016A4F" w:rsidP="008C77A3" w:rsidRDefault="00527D13" w14:paraId="56A57B58" w14:textId="007F5356">
      <w:pPr>
        <w:spacing w:after="0" w:line="276"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Advice </w:t>
      </w:r>
      <w:r w:rsidRPr="00994F76">
        <w:rPr>
          <w:rFonts w:ascii="Palatino Linotype" w:hAnsi="Palatino Linotype" w:eastAsia="Palatino Linotype" w:cs="Times New Roman"/>
          <w:color w:val="000000" w:themeColor="text1"/>
          <w:kern w:val="0"/>
          <w14:ligatures w14:val="none"/>
        </w:rPr>
        <w:t>Letters 5196-G, 5197-G</w:t>
      </w:r>
      <w:r>
        <w:rPr>
          <w:rFonts w:ascii="Palatino Linotype" w:hAnsi="Palatino Linotype" w:eastAsia="Palatino Linotype" w:cs="Times New Roman"/>
          <w:color w:val="000000" w:themeColor="text1"/>
          <w:kern w:val="0"/>
          <w14:ligatures w14:val="none"/>
        </w:rPr>
        <w:t>, and</w:t>
      </w:r>
      <w:r w:rsidR="0075777D">
        <w:rPr>
          <w:rFonts w:ascii="Palatino Linotype" w:hAnsi="Palatino Linotype" w:eastAsia="Palatino Linotype" w:cs="Times New Roman"/>
          <w:color w:val="000000" w:themeColor="text1"/>
          <w:kern w:val="0"/>
          <w14:ligatures w14:val="none"/>
        </w:rPr>
        <w:t xml:space="preserve"> 5222</w:t>
      </w:r>
      <w:r>
        <w:rPr>
          <w:rFonts w:ascii="Palatino Linotype" w:hAnsi="Palatino Linotype" w:eastAsia="Palatino Linotype" w:cs="Times New Roman"/>
          <w:color w:val="000000" w:themeColor="text1"/>
          <w:kern w:val="0"/>
          <w14:ligatures w14:val="none"/>
        </w:rPr>
        <w:t>-G</w:t>
      </w:r>
      <w:r w:rsidRPr="00031496">
        <w:rPr>
          <w:rFonts w:ascii="Palatino Linotype" w:hAnsi="Palatino Linotype" w:eastAsia="Palatino Linotype" w:cs="Times New Roman"/>
          <w:color w:val="000000" w:themeColor="text1"/>
          <w:kern w:val="0"/>
          <w14:ligatures w14:val="none"/>
        </w:rPr>
        <w:t xml:space="preserve"> </w:t>
      </w:r>
      <w:r w:rsidRPr="00D47BCD">
        <w:rPr>
          <w:rFonts w:ascii="Palatino Linotype" w:hAnsi="Palatino Linotype" w:eastAsia="Palatino Linotype" w:cs="Times New Roman"/>
          <w:color w:val="000000" w:themeColor="text1"/>
          <w:kern w:val="0"/>
          <w14:ligatures w14:val="none"/>
        </w:rPr>
        <w:t>were not protested.</w:t>
      </w:r>
    </w:p>
    <w:p w:rsidRPr="008C77A3" w:rsidR="008C77A3" w:rsidP="008C77A3" w:rsidRDefault="008C77A3" w14:paraId="32A782B8" w14:textId="77777777">
      <w:pPr>
        <w:spacing w:after="0" w:line="276" w:lineRule="auto"/>
        <w:rPr>
          <w:rFonts w:ascii="Palatino Linotype" w:hAnsi="Palatino Linotype" w:eastAsia="Palatino Linotype" w:cs="Times New Roman"/>
          <w:kern w:val="0"/>
          <w14:ligatures w14:val="none"/>
        </w:rPr>
      </w:pPr>
    </w:p>
    <w:p w:rsidRPr="00527D13" w:rsidR="00527D13" w:rsidP="00527D13" w:rsidRDefault="00527D13" w14:paraId="514DF58A" w14:textId="408F94C3">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Pr="00C0754A" w:rsidR="000F6276" w:rsidP="000F6276" w:rsidRDefault="000F6276" w14:paraId="5C4FB2DF" w14:textId="684A79A7">
      <w:pPr>
        <w:pStyle w:val="10sp0"/>
        <w:spacing w:line="276" w:lineRule="auto"/>
        <w:rPr>
          <w:rFonts w:ascii="Palatino Linotype" w:hAnsi="Palatino Linotype"/>
          <w:b/>
          <w:bCs/>
          <w:color w:val="000000" w:themeColor="text1"/>
        </w:rPr>
      </w:pPr>
      <w:r w:rsidRPr="00C0754A">
        <w:rPr>
          <w:rFonts w:ascii="Palatino Linotype" w:hAnsi="Palatino Linotype"/>
          <w:b/>
          <w:bCs/>
          <w:color w:val="000000" w:themeColor="text1"/>
        </w:rPr>
        <w:t xml:space="preserve">Compliance Assessment of </w:t>
      </w:r>
      <w:r w:rsidRPr="00D661E3">
        <w:rPr>
          <w:rFonts w:ascii="Palatino Linotype" w:hAnsi="Palatino Linotype"/>
          <w:b/>
          <w:bCs/>
          <w:color w:val="000000" w:themeColor="text1"/>
        </w:rPr>
        <w:t xml:space="preserve">AL 5196-G </w:t>
      </w:r>
      <w:r w:rsidRPr="00C0754A">
        <w:rPr>
          <w:rFonts w:ascii="Palatino Linotype" w:hAnsi="Palatino Linotype"/>
          <w:b/>
          <w:bCs/>
          <w:color w:val="000000" w:themeColor="text1"/>
        </w:rPr>
        <w:t>- 2024 Gas RD&amp;D Plan</w:t>
      </w:r>
    </w:p>
    <w:p w:rsidR="002415E7" w:rsidP="004550BF" w:rsidRDefault="000F6276" w14:paraId="6E88D91E" w14:textId="281E69B6">
      <w:pPr>
        <w:pStyle w:val="10sp0"/>
        <w:spacing w:after="0" w:line="276" w:lineRule="auto"/>
        <w:rPr>
          <w:rFonts w:ascii="Palatino Linotype" w:hAnsi="Palatino Linotype"/>
          <w:color w:val="000000" w:themeColor="text1"/>
        </w:rPr>
      </w:pPr>
      <w:r>
        <w:rPr>
          <w:rFonts w:ascii="Palatino Linotype" w:hAnsi="Palatino Linotype"/>
        </w:rPr>
        <w:t xml:space="preserve">The Commission conducted a compliance assessment of PG&amp;E’s AL </w:t>
      </w:r>
      <w:r w:rsidRPr="00D661E3">
        <w:rPr>
          <w:rFonts w:ascii="Palatino Linotype" w:hAnsi="Palatino Linotype"/>
          <w:color w:val="000000" w:themeColor="text1"/>
        </w:rPr>
        <w:t>5196-G</w:t>
      </w:r>
      <w:r w:rsidRPr="00D661E3">
        <w:rPr>
          <w:rStyle w:val="FootnoteReference"/>
          <w:rFonts w:ascii="Palatino Linotype" w:hAnsi="Palatino Linotype"/>
          <w:color w:val="000000" w:themeColor="text1"/>
        </w:rPr>
        <w:footnoteReference w:id="83"/>
      </w:r>
      <w:r w:rsidRPr="00D661E3">
        <w:rPr>
          <w:rFonts w:ascii="Palatino Linotype" w:hAnsi="Palatino Linotype"/>
          <w:color w:val="000000" w:themeColor="text1"/>
        </w:rPr>
        <w:t xml:space="preserve"> proposing its 2024 Gas RD&amp;D Investment Plan. As described above, staff assessed PG&amp;E’s 2024 </w:t>
      </w:r>
      <w:r w:rsidRPr="00D661E3">
        <w:rPr>
          <w:rFonts w:ascii="Palatino Linotype" w:hAnsi="Palatino Linotype"/>
          <w:color w:val="000000" w:themeColor="text1"/>
        </w:rPr>
        <w:lastRenderedPageBreak/>
        <w:t>Plan based on consistency with requirements set in D.23-11-069</w:t>
      </w:r>
      <w:r w:rsidR="0064594E">
        <w:rPr>
          <w:rFonts w:ascii="Palatino Linotype" w:hAnsi="Palatino Linotype"/>
          <w:color w:val="000000" w:themeColor="text1"/>
        </w:rPr>
        <w:t xml:space="preserve">, </w:t>
      </w:r>
      <w:r w:rsidRPr="00D661E3">
        <w:rPr>
          <w:rFonts w:ascii="Palatino Linotype" w:hAnsi="Palatino Linotype"/>
          <w:color w:val="000000" w:themeColor="text1"/>
        </w:rPr>
        <w:t xml:space="preserve">Public Utilities Code 740.1, </w:t>
      </w:r>
      <w:r w:rsidR="0064594E">
        <w:rPr>
          <w:rFonts w:ascii="Palatino Linotype" w:hAnsi="Palatino Linotype"/>
          <w:color w:val="000000" w:themeColor="text1"/>
        </w:rPr>
        <w:t>and Resolution G-3618,</w:t>
      </w:r>
      <w:r w:rsidR="0064594E">
        <w:rPr>
          <w:rStyle w:val="FootnoteReference"/>
          <w:rFonts w:ascii="Palatino Linotype" w:hAnsi="Palatino Linotype"/>
          <w:color w:val="000000" w:themeColor="text1"/>
        </w:rPr>
        <w:footnoteReference w:id="84"/>
      </w:r>
      <w:r w:rsidR="0064594E">
        <w:rPr>
          <w:rFonts w:ascii="Palatino Linotype" w:hAnsi="Palatino Linotype"/>
          <w:color w:val="000000" w:themeColor="text1"/>
        </w:rPr>
        <w:t xml:space="preserve"> </w:t>
      </w:r>
      <w:r w:rsidRPr="00D661E3">
        <w:rPr>
          <w:rFonts w:ascii="Palatino Linotype" w:hAnsi="Palatino Linotype"/>
          <w:color w:val="000000" w:themeColor="text1"/>
        </w:rPr>
        <w:t>among other Commission guidance.</w:t>
      </w:r>
      <w:r w:rsidRPr="00D661E3">
        <w:rPr>
          <w:rStyle w:val="FootnoteReference"/>
          <w:rFonts w:ascii="Palatino Linotype" w:hAnsi="Palatino Linotype"/>
          <w:color w:val="000000" w:themeColor="text1"/>
        </w:rPr>
        <w:footnoteReference w:id="85"/>
      </w:r>
      <w:r w:rsidRPr="00D661E3">
        <w:rPr>
          <w:rFonts w:ascii="Palatino Linotype" w:hAnsi="Palatino Linotype"/>
          <w:color w:val="000000" w:themeColor="text1"/>
        </w:rPr>
        <w:t xml:space="preserve"> </w:t>
      </w:r>
      <w:r w:rsidR="002415E7">
        <w:rPr>
          <w:rFonts w:ascii="Palatino Linotype" w:hAnsi="Palatino Linotype"/>
          <w:color w:val="000000" w:themeColor="text1"/>
        </w:rPr>
        <w:t xml:space="preserve">As part of the Commission’s compliance assessment of PG&amp;E’s </w:t>
      </w:r>
      <w:r w:rsidRPr="0013406B" w:rsidR="009945B5">
        <w:rPr>
          <w:rFonts w:ascii="Palatino Linotype" w:hAnsi="Palatino Linotype"/>
          <w:color w:val="000000" w:themeColor="text1"/>
        </w:rPr>
        <w:t xml:space="preserve">revised </w:t>
      </w:r>
      <w:r w:rsidRPr="0013406B" w:rsidR="002415E7">
        <w:rPr>
          <w:rFonts w:ascii="Palatino Linotype" w:hAnsi="Palatino Linotype"/>
          <w:color w:val="000000" w:themeColor="text1"/>
        </w:rPr>
        <w:t xml:space="preserve">2024 </w:t>
      </w:r>
      <w:r w:rsidR="002415E7">
        <w:rPr>
          <w:rFonts w:ascii="Palatino Linotype" w:hAnsi="Palatino Linotype"/>
          <w:color w:val="000000" w:themeColor="text1"/>
        </w:rPr>
        <w:t xml:space="preserve">Plan, Energy Division requested PG&amp;E </w:t>
      </w:r>
      <w:r w:rsidR="00CA661A">
        <w:rPr>
          <w:rFonts w:ascii="Palatino Linotype" w:hAnsi="Palatino Linotype"/>
          <w:color w:val="000000" w:themeColor="text1"/>
        </w:rPr>
        <w:t xml:space="preserve">to </w:t>
      </w:r>
      <w:r w:rsidR="002415E7">
        <w:rPr>
          <w:rFonts w:ascii="Palatino Linotype" w:hAnsi="Palatino Linotype"/>
          <w:color w:val="000000" w:themeColor="text1"/>
        </w:rPr>
        <w:t xml:space="preserve">provide information via </w:t>
      </w:r>
      <w:r w:rsidR="0045561A">
        <w:rPr>
          <w:rFonts w:ascii="Palatino Linotype" w:hAnsi="Palatino Linotype"/>
          <w:color w:val="000000" w:themeColor="text1"/>
        </w:rPr>
        <w:t>a d</w:t>
      </w:r>
      <w:r w:rsidR="002415E7">
        <w:rPr>
          <w:rFonts w:ascii="Palatino Linotype" w:hAnsi="Palatino Linotype"/>
          <w:color w:val="000000" w:themeColor="text1"/>
        </w:rPr>
        <w:t xml:space="preserve">ata </w:t>
      </w:r>
      <w:r w:rsidR="0045561A">
        <w:rPr>
          <w:rFonts w:ascii="Palatino Linotype" w:hAnsi="Palatino Linotype"/>
          <w:color w:val="000000" w:themeColor="text1"/>
        </w:rPr>
        <w:t>r</w:t>
      </w:r>
      <w:r w:rsidR="002415E7">
        <w:rPr>
          <w:rFonts w:ascii="Palatino Linotype" w:hAnsi="Palatino Linotype"/>
          <w:color w:val="000000" w:themeColor="text1"/>
        </w:rPr>
        <w:t>equest in April 2026</w:t>
      </w:r>
      <w:r w:rsidR="00B23B0E">
        <w:rPr>
          <w:rFonts w:ascii="Palatino Linotype" w:hAnsi="Palatino Linotype"/>
          <w:color w:val="000000" w:themeColor="text1"/>
        </w:rPr>
        <w:t xml:space="preserve"> as</w:t>
      </w:r>
      <w:r w:rsidR="002415E7">
        <w:rPr>
          <w:rFonts w:ascii="Palatino Linotype" w:hAnsi="Palatino Linotype"/>
          <w:color w:val="000000" w:themeColor="text1"/>
        </w:rPr>
        <w:t xml:space="preserve"> summarized below: </w:t>
      </w:r>
    </w:p>
    <w:p w:rsidR="00B6664B" w:rsidP="00B6664B" w:rsidRDefault="00B6664B" w14:paraId="515AEC71" w14:textId="77777777">
      <w:pPr>
        <w:pStyle w:val="10sp0"/>
        <w:spacing w:after="0" w:line="276" w:lineRule="auto"/>
        <w:rPr>
          <w:rFonts w:ascii="Palatino Linotype" w:hAnsi="Palatino Linotype"/>
          <w:i/>
          <w:iCs/>
          <w:color w:val="000000" w:themeColor="text1"/>
          <w:u w:val="single"/>
        </w:rPr>
      </w:pPr>
    </w:p>
    <w:p w:rsidRPr="00655021" w:rsidR="00655021" w:rsidP="00B6664B" w:rsidRDefault="00B6664B" w14:paraId="71CF4624" w14:textId="119C3512">
      <w:pPr>
        <w:pStyle w:val="10sp0"/>
        <w:spacing w:line="276" w:lineRule="auto"/>
        <w:rPr>
          <w:rFonts w:ascii="Palatino Linotype" w:hAnsi="Palatino Linotype"/>
          <w:color w:val="000000" w:themeColor="text1"/>
        </w:rPr>
      </w:pPr>
      <w:r w:rsidRPr="00655021">
        <w:rPr>
          <w:rFonts w:ascii="Palatino Linotype" w:hAnsi="Palatino Linotype"/>
          <w:color w:val="000000" w:themeColor="text1"/>
          <w:u w:val="single"/>
        </w:rPr>
        <w:t>Energy Division</w:t>
      </w:r>
      <w:r w:rsidR="00655F15">
        <w:rPr>
          <w:rFonts w:ascii="Palatino Linotype" w:hAnsi="Palatino Linotype"/>
          <w:color w:val="000000" w:themeColor="text1"/>
          <w:u w:val="single"/>
        </w:rPr>
        <w:t xml:space="preserve"> Data</w:t>
      </w:r>
      <w:r w:rsidRPr="00655021">
        <w:rPr>
          <w:rFonts w:ascii="Palatino Linotype" w:hAnsi="Palatino Linotype"/>
          <w:color w:val="000000" w:themeColor="text1"/>
          <w:u w:val="single"/>
        </w:rPr>
        <w:t xml:space="preserve"> Request</w:t>
      </w:r>
    </w:p>
    <w:p w:rsidRPr="00EB5082" w:rsidR="00655021" w:rsidP="00EB5082" w:rsidRDefault="00F038F8" w14:paraId="5E8F9480" w14:textId="119015FE">
      <w:pPr>
        <w:pStyle w:val="10sp0"/>
        <w:spacing w:line="276" w:lineRule="auto"/>
        <w:rPr>
          <w:rFonts w:ascii="Palatino Linotype" w:hAnsi="Palatino Linotype" w:eastAsia="Palatino Linotype"/>
          <w:i/>
          <w:iCs/>
          <w:color w:val="000000" w:themeColor="text1"/>
        </w:rPr>
      </w:pPr>
      <w:r>
        <w:rPr>
          <w:rFonts w:ascii="Palatino Linotype" w:hAnsi="Palatino Linotype"/>
          <w:i/>
          <w:iCs/>
          <w:color w:val="000000" w:themeColor="text1"/>
        </w:rPr>
        <w:t xml:space="preserve">1. </w:t>
      </w:r>
      <w:r w:rsidRPr="00A32ED3" w:rsidR="00B6664B">
        <w:rPr>
          <w:rFonts w:ascii="Palatino Linotype" w:hAnsi="Palatino Linotype"/>
          <w:i/>
          <w:iCs/>
          <w:color w:val="000000" w:themeColor="text1"/>
        </w:rPr>
        <w:t>Clarify how the $1,945,797 in prospective (unspent) funds requested in AL 5196-G relate to the $1,945,797 in actual expenditures recorded (spent) in 2025 as reported in PG&amp;E’s 2025 Annual Report.</w:t>
      </w:r>
    </w:p>
    <w:p w:rsidRPr="0013406B" w:rsidR="00655021" w:rsidP="00915E98" w:rsidRDefault="00655021" w14:paraId="36CF92CC" w14:textId="17C5B0F4">
      <w:pPr>
        <w:pStyle w:val="ListParagraph"/>
        <w:numPr>
          <w:ilvl w:val="0"/>
          <w:numId w:val="1"/>
        </w:numPr>
        <w:spacing w:line="276" w:lineRule="auto"/>
        <w:rPr>
          <w:rFonts w:ascii="Palatino Linotype" w:hAnsi="Palatino Linotype" w:eastAsia="Times New Roman" w:cs="Calibri"/>
          <w:color w:val="000000" w:themeColor="text1"/>
          <w:kern w:val="0"/>
          <w14:ligatures w14:val="none"/>
        </w:rPr>
      </w:pPr>
      <w:r w:rsidRPr="0013406B">
        <w:rPr>
          <w:rFonts w:ascii="Palatino Linotype" w:hAnsi="Palatino Linotype" w:eastAsia="Times New Roman" w:cs="Calibri"/>
          <w:color w:val="000000" w:themeColor="text1"/>
          <w:kern w:val="0"/>
          <w14:ligatures w14:val="none"/>
        </w:rPr>
        <w:t>Background</w:t>
      </w:r>
    </w:p>
    <w:p w:rsidRPr="0013406B" w:rsidR="00B6664B" w:rsidP="00915E98" w:rsidRDefault="00B6664B" w14:paraId="1A041B4C" w14:textId="69E5FAB3">
      <w:pPr>
        <w:spacing w:after="0" w:line="276" w:lineRule="auto"/>
        <w:ind w:left="720"/>
        <w:rPr>
          <w:rFonts w:ascii="Palatino Linotype" w:hAnsi="Palatino Linotype" w:eastAsia="Palatino Linotype" w:cs="Times New Roman"/>
          <w:color w:val="000000" w:themeColor="text1"/>
          <w:kern w:val="0"/>
          <w14:ligatures w14:val="none"/>
        </w:rPr>
      </w:pPr>
      <w:r w:rsidRPr="0013406B">
        <w:rPr>
          <w:rFonts w:ascii="Palatino Linotype" w:hAnsi="Palatino Linotype" w:eastAsia="Times New Roman" w:cs="Calibri"/>
          <w:color w:val="000000" w:themeColor="text1"/>
          <w:kern w:val="0"/>
          <w14:ligatures w14:val="none"/>
        </w:rPr>
        <w:t>I</w:t>
      </w:r>
      <w:r w:rsidRPr="0013406B">
        <w:rPr>
          <w:rFonts w:ascii="Palatino Linotype" w:hAnsi="Palatino Linotype" w:eastAsia="Palatino Linotype" w:cs="Times New Roman"/>
          <w:color w:val="000000" w:themeColor="text1"/>
          <w:kern w:val="0"/>
          <w14:ligatures w14:val="none"/>
        </w:rPr>
        <w:t>n</w:t>
      </w:r>
      <w:r w:rsidRPr="0013406B">
        <w:rPr>
          <w:rFonts w:ascii="Palatino Linotype" w:hAnsi="Palatino Linotype" w:eastAsia="Palatino Linotype" w:cs="Times New Roman"/>
          <w:color w:val="000000" w:themeColor="text1"/>
        </w:rPr>
        <w:t xml:space="preserve"> its 2025 Gas RD&amp;D Report, PG&amp;E states: “Total Gas RD&amp;D spending reported for RY2025 ($4,645,</w:t>
      </w:r>
      <w:r w:rsidRPr="35051AC6">
        <w:rPr>
          <w:rFonts w:ascii="Palatino Linotype" w:hAnsi="Palatino Linotype" w:eastAsia="Palatino Linotype" w:cs="Times New Roman"/>
          <w:color w:val="000000" w:themeColor="text1"/>
        </w:rPr>
        <w:t xml:space="preserve">704) reflects actual expenditures incurred during the reporting year, including $3,508,949 in administrative costs 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w:t>
      </w:r>
      <w:r w:rsidRPr="0013406B">
        <w:rPr>
          <w:rFonts w:ascii="Palatino Linotype" w:hAnsi="Palatino Linotype" w:eastAsia="Palatino Linotype" w:cs="Times New Roman"/>
          <w:color w:val="000000" w:themeColor="text1"/>
        </w:rPr>
        <w:t>amount adopted in D.23-11-069. If the 2024 Gas RD&amp;D Plan is approved as proposed, ratepayers would be funding $1,945,797 of the $3,508,949 of the 2025 Spending.”</w:t>
      </w:r>
      <w:r w:rsidRPr="0013406B">
        <w:rPr>
          <w:rFonts w:ascii="Palatino Linotype" w:hAnsi="Palatino Linotype" w:eastAsia="Palatino Linotype" w:cs="Times New Roman"/>
          <w:color w:val="000000" w:themeColor="text1"/>
          <w:kern w:val="0"/>
          <w:vertAlign w:val="superscript"/>
          <w14:ligatures w14:val="none"/>
        </w:rPr>
        <w:footnoteReference w:id="86"/>
      </w:r>
      <w:r w:rsidRPr="0013406B">
        <w:rPr>
          <w:rFonts w:ascii="Palatino Linotype" w:hAnsi="Palatino Linotype" w:eastAsia="Palatino Linotype" w:cs="Times New Roman"/>
          <w:color w:val="000000" w:themeColor="text1"/>
          <w:kern w:val="0"/>
          <w14:ligatures w14:val="none"/>
        </w:rPr>
        <w:t xml:space="preserve"> </w:t>
      </w:r>
    </w:p>
    <w:p w:rsidRPr="0013406B" w:rsidR="00542D4D" w:rsidP="00915E98" w:rsidRDefault="00542D4D" w14:paraId="7742C4F1"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13406B" w:rsidR="000D0622" w:rsidP="00542D4D" w:rsidRDefault="00300E99" w14:paraId="5E01F9D0" w14:textId="65763D67">
      <w:pPr>
        <w:pStyle w:val="ListParagraph"/>
        <w:numPr>
          <w:ilvl w:val="0"/>
          <w:numId w:val="1"/>
        </w:numPr>
        <w:spacing w:after="0" w:line="276" w:lineRule="auto"/>
        <w:rPr>
          <w:rFonts w:ascii="Palatino Linotype" w:hAnsi="Palatino Linotype" w:eastAsia="Palatino Linotype" w:cs="Times New Roman"/>
          <w:color w:val="000000" w:themeColor="text1"/>
          <w:kern w:val="0"/>
          <w14:ligatures w14:val="none"/>
        </w:rPr>
      </w:pPr>
      <w:r w:rsidRPr="0013406B">
        <w:rPr>
          <w:rFonts w:ascii="Palatino Linotype" w:hAnsi="Palatino Linotype" w:eastAsia="Palatino Linotype" w:cs="Times New Roman"/>
          <w:color w:val="000000" w:themeColor="text1"/>
          <w:kern w:val="0"/>
          <w14:ligatures w14:val="none"/>
        </w:rPr>
        <w:t>Staff</w:t>
      </w:r>
      <w:r w:rsidR="0067225C">
        <w:rPr>
          <w:rFonts w:ascii="Palatino Linotype" w:hAnsi="Palatino Linotype" w:eastAsia="Palatino Linotype" w:cs="Times New Roman"/>
          <w:color w:val="000000" w:themeColor="text1"/>
          <w:kern w:val="0"/>
          <w14:ligatures w14:val="none"/>
        </w:rPr>
        <w:t>’s</w:t>
      </w:r>
      <w:r w:rsidRPr="0013406B">
        <w:rPr>
          <w:rFonts w:ascii="Palatino Linotype" w:hAnsi="Palatino Linotype" w:eastAsia="Palatino Linotype" w:cs="Times New Roman"/>
          <w:color w:val="000000" w:themeColor="text1"/>
          <w:kern w:val="0"/>
          <w14:ligatures w14:val="none"/>
        </w:rPr>
        <w:t xml:space="preserve"> Assessment of </w:t>
      </w:r>
      <w:r w:rsidRPr="0013406B" w:rsidR="000D0622">
        <w:rPr>
          <w:rFonts w:ascii="Palatino Linotype" w:hAnsi="Palatino Linotype" w:eastAsia="Palatino Linotype" w:cs="Times New Roman"/>
          <w:color w:val="000000" w:themeColor="text1"/>
          <w:kern w:val="0"/>
          <w14:ligatures w14:val="none"/>
        </w:rPr>
        <w:t>PG&amp;E</w:t>
      </w:r>
      <w:r w:rsidRPr="0013406B">
        <w:rPr>
          <w:rFonts w:ascii="Palatino Linotype" w:hAnsi="Palatino Linotype" w:eastAsia="Palatino Linotype" w:cs="Times New Roman"/>
          <w:color w:val="000000" w:themeColor="text1"/>
          <w:kern w:val="0"/>
          <w14:ligatures w14:val="none"/>
        </w:rPr>
        <w:t>’s</w:t>
      </w:r>
      <w:r w:rsidRPr="0013406B" w:rsidR="000D0622">
        <w:rPr>
          <w:rFonts w:ascii="Palatino Linotype" w:hAnsi="Palatino Linotype" w:eastAsia="Palatino Linotype" w:cs="Times New Roman"/>
          <w:color w:val="000000" w:themeColor="text1"/>
          <w:kern w:val="0"/>
          <w14:ligatures w14:val="none"/>
        </w:rPr>
        <w:t xml:space="preserve"> Response</w:t>
      </w:r>
    </w:p>
    <w:p w:rsidR="00B6664B" w:rsidP="00542D4D" w:rsidRDefault="00B6664B" w14:paraId="2A97EBEE" w14:textId="08354116">
      <w:pPr>
        <w:spacing w:before="240" w:after="0" w:line="276" w:lineRule="auto"/>
        <w:ind w:left="720"/>
        <w:rPr>
          <w:rFonts w:ascii="Palatino Linotype" w:hAnsi="Palatino Linotype" w:eastAsia="Palatino Linotype" w:cs="Times New Roman"/>
          <w:color w:val="0070C0"/>
          <w:kern w:val="0"/>
          <w14:ligatures w14:val="none"/>
        </w:rPr>
      </w:pPr>
      <w:r w:rsidRPr="0013406B">
        <w:rPr>
          <w:rFonts w:ascii="Palatino Linotype" w:hAnsi="Palatino Linotype" w:eastAsia="Palatino Linotype" w:cs="Times New Roman"/>
          <w:color w:val="000000" w:themeColor="text1"/>
          <w:kern w:val="0"/>
          <w14:ligatures w14:val="none"/>
        </w:rPr>
        <w:t>PG&amp;E stated: “Resolution G-3618 authorized PG</w:t>
      </w:r>
      <w:r w:rsidRPr="002375A5">
        <w:rPr>
          <w:rFonts w:ascii="Palatino Linotype" w:hAnsi="Palatino Linotype" w:eastAsia="Palatino Linotype" w:cs="Times New Roman"/>
          <w:color w:val="000000" w:themeColor="text1"/>
          <w:kern w:val="0"/>
          <w14:ligatures w14:val="none"/>
        </w:rPr>
        <w:t xml:space="preserve">&amp;E to refile its 2024 Gas RD&amp;D Plan via Advice Letter. Consistent with that authorization, the refiled 2024 Plan (See AL 5196-G) was prepared and submitted as a prospective planning </w:t>
      </w:r>
      <w:r w:rsidRPr="002375A5">
        <w:rPr>
          <w:rFonts w:ascii="Palatino Linotype" w:hAnsi="Palatino Linotype" w:eastAsia="Palatino Linotype" w:cs="Times New Roman"/>
          <w:color w:val="000000" w:themeColor="text1"/>
          <w:kern w:val="0"/>
          <w14:ligatures w14:val="none"/>
        </w:rPr>
        <w:lastRenderedPageBreak/>
        <w:t xml:space="preserve">document, reflecting the funding status as of the period when the Plan would originally have been filed. As such, the Plan characterizes certain funds as </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proposed</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 xml:space="preserve"> or </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unspent</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 xml:space="preserve"> at the time of filing. By contrast, PG&amp;E’s 2025 Annual Report is, by requirement, a retrospective report that reflects actual expenditures incurred during calendar year 2025. The $1,945,797 identified as prospective (unspent) Gas RD&amp;D funds in AL 5196-G corresponds to expenditures incurred during 2025 and therefore appears in the 2025 Annual Report as $1,945,797 in actual Gas RD&amp;D expenditures spent in that year. In short, the same dollar amount is reflected in two different filings based on the purpose and timing of those filings: as a prospective amount in the refiled 2024 Plan, and as an actual expenditure in the 2025 Annual Report. The difference reflects the prospective planning perspective of the 2024 Plan and the retrospective, expense-based reporting requirements applicable to the Annual Report.</w:t>
      </w:r>
      <w:r>
        <w:rPr>
          <w:rFonts w:ascii="Palatino Linotype" w:hAnsi="Palatino Linotype" w:eastAsia="Palatino Linotype" w:cs="Times New Roman"/>
          <w:color w:val="000000" w:themeColor="text1"/>
          <w:kern w:val="0"/>
          <w14:ligatures w14:val="none"/>
        </w:rPr>
        <w:t xml:space="preserve">” </w:t>
      </w:r>
      <w:r w:rsidRPr="009332B5">
        <w:rPr>
          <w:rFonts w:ascii="Palatino Linotype" w:hAnsi="Palatino Linotype" w:eastAsia="Palatino Linotype" w:cs="Times New Roman"/>
          <w:color w:val="000000" w:themeColor="text1"/>
          <w:kern w:val="0"/>
          <w14:ligatures w14:val="none"/>
        </w:rPr>
        <w:t xml:space="preserve">PG&amp;E details </w:t>
      </w:r>
      <w:r w:rsidRPr="009332B5">
        <w:rPr>
          <w:rFonts w:ascii="Palatino Linotype" w:hAnsi="Palatino Linotype" w:eastAsia="Calibri" w:cs="Calibri"/>
          <w:color w:val="000000" w:themeColor="text1"/>
          <w:kern w:val="0"/>
          <w14:ligatures w14:val="none"/>
        </w:rPr>
        <w:t>$2,369,300 for the Gas System Integrity theme</w:t>
      </w:r>
      <w:r w:rsidRPr="009332B5">
        <w:rPr>
          <w:rFonts w:ascii="Palatino Linotype" w:hAnsi="Palatino Linotype" w:eastAsia="Calibri" w:cs="Calibri"/>
          <w:color w:val="000000" w:themeColor="text1"/>
          <w:kern w:val="0"/>
          <w:vertAlign w:val="superscript"/>
          <w14:ligatures w14:val="none"/>
        </w:rPr>
        <w:footnoteReference w:id="87"/>
      </w:r>
      <w:r w:rsidRPr="009332B5">
        <w:rPr>
          <w:rFonts w:ascii="Palatino Linotype" w:hAnsi="Palatino Linotype" w:eastAsia="Calibri" w:cs="Calibri"/>
          <w:color w:val="000000" w:themeColor="text1"/>
          <w:kern w:val="0"/>
          <w14:ligatures w14:val="none"/>
        </w:rPr>
        <w:t xml:space="preserve"> and $201,152 for the Decarbonization theme</w:t>
      </w:r>
      <w:r w:rsidRPr="009332B5">
        <w:rPr>
          <w:rFonts w:ascii="Palatino Linotype" w:hAnsi="Palatino Linotype" w:eastAsia="Calibri" w:cs="Calibri"/>
          <w:color w:val="000000" w:themeColor="text1"/>
          <w:kern w:val="0"/>
          <w:vertAlign w:val="superscript"/>
          <w14:ligatures w14:val="none"/>
        </w:rPr>
        <w:footnoteReference w:id="88"/>
      </w:r>
      <w:r w:rsidRPr="009332B5">
        <w:rPr>
          <w:rFonts w:ascii="Palatino Linotype" w:hAnsi="Palatino Linotype" w:eastAsia="Calibri" w:cs="Calibri"/>
          <w:color w:val="000000" w:themeColor="text1"/>
          <w:kern w:val="0"/>
          <w14:ligatures w14:val="none"/>
        </w:rPr>
        <w:t xml:space="preserve"> in Funds Encumbered of the proposed 2024 Plan-year estimated spending.</w:t>
      </w:r>
      <w:r w:rsidRPr="009332B5">
        <w:rPr>
          <w:rStyle w:val="FootnoteReference"/>
          <w:rFonts w:ascii="Palatino Linotype" w:hAnsi="Palatino Linotype" w:eastAsia="Calibri" w:cs="Calibri"/>
          <w:color w:val="000000" w:themeColor="text1"/>
          <w:kern w:val="0"/>
          <w14:ligatures w14:val="none"/>
        </w:rPr>
        <w:footnoteReference w:id="89"/>
      </w:r>
      <w:r w:rsidRPr="009332B5">
        <w:rPr>
          <w:rFonts w:ascii="Palatino Linotype" w:hAnsi="Palatino Linotype" w:eastAsia="Palatino Linotype" w:cs="Times New Roman"/>
          <w:color w:val="000000" w:themeColor="text1"/>
          <w:kern w:val="0"/>
          <w14:ligatures w14:val="none"/>
        </w:rPr>
        <w:t xml:space="preserve"> However, PG&amp;E’s response affirms that its requested funding at the time the 2024 Plan was resubmitted (April 2026) was retrospective rather than prospective as presented in the Plan.</w:t>
      </w:r>
    </w:p>
    <w:p w:rsidR="00D119B4" w:rsidP="004550BF" w:rsidRDefault="00D119B4" w14:paraId="3E8DB791" w14:textId="77777777">
      <w:pPr>
        <w:pStyle w:val="10sp0"/>
        <w:spacing w:after="0" w:line="276" w:lineRule="auto"/>
        <w:rPr>
          <w:rFonts w:ascii="Palatino Linotype" w:hAnsi="Palatino Linotype"/>
          <w:color w:val="000000" w:themeColor="text1"/>
        </w:rPr>
      </w:pPr>
    </w:p>
    <w:p w:rsidRPr="0013406B" w:rsidR="001C28FD" w:rsidP="001C28FD" w:rsidRDefault="00F038F8" w14:paraId="3A80DF6F" w14:textId="64E57534">
      <w:pPr>
        <w:pStyle w:val="10sp0"/>
        <w:spacing w:line="276" w:lineRule="auto"/>
        <w:rPr>
          <w:rFonts w:ascii="Palatino Linotype" w:hAnsi="Palatino Linotype"/>
          <w:i/>
          <w:color w:val="000000" w:themeColor="text1"/>
        </w:rPr>
      </w:pPr>
      <w:r>
        <w:rPr>
          <w:rFonts w:ascii="Palatino Linotype" w:hAnsi="Palatino Linotype"/>
          <w:i/>
          <w:iCs/>
          <w:color w:val="000000" w:themeColor="text1"/>
        </w:rPr>
        <w:t xml:space="preserve">2. </w:t>
      </w:r>
      <w:r w:rsidRPr="0040208E" w:rsidR="001C28FD">
        <w:rPr>
          <w:rFonts w:ascii="Palatino Linotype" w:hAnsi="Palatino Linotype"/>
          <w:i/>
          <w:iCs/>
          <w:color w:val="000000" w:themeColor="text1"/>
        </w:rPr>
        <w:t xml:space="preserve">Provide contractual agreements for reported encumbered Gas RD&amp;D funds for which PG&amp;E states it has terms which define potential consequences for not fulfilling contractual obligations, particularly those for </w:t>
      </w:r>
      <w:r w:rsidRPr="0040208E" w:rsidR="006072D9">
        <w:rPr>
          <w:rFonts w:ascii="Palatino Linotype" w:hAnsi="Palatino Linotype"/>
          <w:i/>
          <w:iCs/>
          <w:color w:val="000000" w:themeColor="text1"/>
        </w:rPr>
        <w:t xml:space="preserve">consortia </w:t>
      </w:r>
      <w:r w:rsidRPr="0040208E" w:rsidR="001C28FD">
        <w:rPr>
          <w:rFonts w:ascii="Palatino Linotype" w:hAnsi="Palatino Linotype"/>
          <w:i/>
          <w:iCs/>
          <w:color w:val="000000" w:themeColor="text1"/>
        </w:rPr>
        <w:t xml:space="preserve">projects that are not located in the State of California and not affiliated with a </w:t>
      </w:r>
      <w:r w:rsidRPr="0013406B" w:rsidR="001C28FD">
        <w:rPr>
          <w:rFonts w:ascii="Palatino Linotype" w:hAnsi="Palatino Linotype"/>
          <w:i/>
          <w:iCs/>
          <w:color w:val="000000" w:themeColor="text1"/>
        </w:rPr>
        <w:t>federal lab. </w:t>
      </w:r>
    </w:p>
    <w:p w:rsidRPr="0013406B" w:rsidR="00915E98" w:rsidP="00915E98" w:rsidRDefault="00915E98" w14:paraId="36B7A055" w14:textId="165C2682">
      <w:pPr>
        <w:pStyle w:val="ListParagraph"/>
        <w:numPr>
          <w:ilvl w:val="0"/>
          <w:numId w:val="1"/>
        </w:numPr>
        <w:spacing w:line="276" w:lineRule="auto"/>
        <w:rPr>
          <w:rFonts w:ascii="Palatino Linotype" w:hAnsi="Palatino Linotype" w:eastAsia="Times New Roman" w:cs="Calibri"/>
          <w:color w:val="000000" w:themeColor="text1"/>
          <w:kern w:val="0"/>
          <w14:ligatures w14:val="none"/>
        </w:rPr>
      </w:pPr>
      <w:r w:rsidRPr="0013406B">
        <w:rPr>
          <w:rFonts w:ascii="Palatino Linotype" w:hAnsi="Palatino Linotype" w:eastAsia="Times New Roman" w:cs="Calibri"/>
          <w:color w:val="000000" w:themeColor="text1"/>
          <w:kern w:val="0"/>
          <w14:ligatures w14:val="none"/>
        </w:rPr>
        <w:t>Background</w:t>
      </w:r>
    </w:p>
    <w:p w:rsidRPr="005474E5" w:rsidR="001C28FD" w:rsidP="00F70BB4" w:rsidRDefault="001C28FD" w14:paraId="7D0879C4" w14:textId="2C847068">
      <w:pPr>
        <w:spacing w:line="276" w:lineRule="auto"/>
        <w:ind w:left="720"/>
        <w:rPr>
          <w:rFonts w:ascii="Palatino Linotype" w:hAnsi="Palatino Linotype" w:eastAsia="Times New Roman" w:cs="Calibri"/>
          <w:color w:val="000000" w:themeColor="text1"/>
          <w:kern w:val="0"/>
          <w14:ligatures w14:val="none"/>
        </w:rPr>
      </w:pPr>
      <w:r w:rsidRPr="005474E5">
        <w:rPr>
          <w:rFonts w:ascii="Palatino Linotype" w:hAnsi="Palatino Linotype" w:eastAsia="Times New Roman" w:cs="Calibri"/>
          <w:color w:val="000000" w:themeColor="text1"/>
          <w:kern w:val="0"/>
          <w14:ligatures w14:val="none"/>
        </w:rPr>
        <w:t>In PG&amp;E’s previously proposed 2024 Gas RD&amp;D Plan submitted via Tier 3 AL 5077-G-A, PG&amp;E stated that it “</w:t>
      </w:r>
      <w:r w:rsidRPr="005474E5" w:rsidR="002C7B1D">
        <w:rPr>
          <w:rFonts w:ascii="Palatino Linotype" w:hAnsi="Palatino Linotype" w:eastAsia="Times New Roman" w:cs="Calibri"/>
          <w:color w:val="000000" w:themeColor="text1"/>
          <w:kern w:val="0"/>
          <w14:ligatures w14:val="none"/>
        </w:rPr>
        <w:t>[</w:t>
      </w:r>
      <w:r w:rsidRPr="005474E5">
        <w:rPr>
          <w:rFonts w:ascii="Palatino Linotype" w:hAnsi="Palatino Linotype" w:eastAsia="Times New Roman" w:cs="Calibri"/>
          <w:color w:val="000000" w:themeColor="text1"/>
          <w:kern w:val="0"/>
          <w14:ligatures w14:val="none"/>
        </w:rPr>
        <w:t>plan</w:t>
      </w:r>
      <w:r w:rsidRPr="005474E5" w:rsidR="002C7B1D">
        <w:rPr>
          <w:rFonts w:ascii="Palatino Linotype" w:hAnsi="Palatino Linotype" w:eastAsia="Times New Roman" w:cs="Calibri"/>
          <w:color w:val="000000" w:themeColor="text1"/>
          <w:kern w:val="0"/>
          <w14:ligatures w14:val="none"/>
        </w:rPr>
        <w:t>ned]</w:t>
      </w:r>
      <w:r w:rsidRPr="005474E5">
        <w:rPr>
          <w:rFonts w:ascii="Palatino Linotype" w:hAnsi="Palatino Linotype" w:eastAsia="Times New Roman" w:cs="Calibri"/>
          <w:color w:val="000000" w:themeColor="text1"/>
          <w:kern w:val="0"/>
          <w14:ligatures w14:val="none"/>
        </w:rPr>
        <w:t xml:space="preserve"> on renewing its membership in six research consortia to wrap-up research efforts outside of California to comply with CPUC Resolution G-3601” and proposed projects not eligible under this </w:t>
      </w:r>
      <w:r w:rsidRPr="005474E5">
        <w:rPr>
          <w:rFonts w:ascii="Palatino Linotype" w:hAnsi="Palatino Linotype" w:eastAsia="Times New Roman" w:cs="Calibri"/>
          <w:color w:val="000000" w:themeColor="text1"/>
          <w:kern w:val="0"/>
          <w14:ligatures w14:val="none"/>
        </w:rPr>
        <w:lastRenderedPageBreak/>
        <w:t>requirement.</w:t>
      </w:r>
      <w:r w:rsidRPr="005474E5">
        <w:rPr>
          <w:rFonts w:ascii="Palatino Linotype" w:hAnsi="Palatino Linotype" w:eastAsia="Times New Roman" w:cs="Calibri"/>
          <w:color w:val="000000" w:themeColor="text1"/>
          <w:kern w:val="0"/>
          <w:vertAlign w:val="superscript"/>
          <w14:ligatures w14:val="none"/>
        </w:rPr>
        <w:footnoteReference w:id="90"/>
      </w:r>
      <w:r w:rsidRPr="005474E5">
        <w:rPr>
          <w:rFonts w:ascii="Palatino Linotype" w:hAnsi="Palatino Linotype" w:eastAsia="Times New Roman" w:cs="Calibri"/>
          <w:color w:val="000000" w:themeColor="text1"/>
          <w:kern w:val="0"/>
          <w14:ligatures w14:val="none"/>
        </w:rPr>
        <w:t xml:space="preserve"> In turn, the Commission found PG&amp;E was not consistent with Commission policy guidance provided via Resolution G-3601</w:t>
      </w:r>
      <w:r w:rsidRPr="005474E5" w:rsidR="00307F19">
        <w:rPr>
          <w:rFonts w:ascii="Palatino Linotype" w:hAnsi="Palatino Linotype" w:eastAsia="Times New Roman" w:cs="Calibri"/>
          <w:color w:val="000000" w:themeColor="text1"/>
          <w:kern w:val="0"/>
          <w14:ligatures w14:val="none"/>
        </w:rPr>
        <w:t>,</w:t>
      </w:r>
      <w:r w:rsidRPr="005474E5" w:rsidR="00C57E55">
        <w:rPr>
          <w:rFonts w:ascii="Palatino Linotype" w:hAnsi="Palatino Linotype" w:eastAsia="Times New Roman" w:cs="Calibri"/>
          <w:color w:val="000000" w:themeColor="text1"/>
          <w:kern w:val="0"/>
          <w:vertAlign w:val="superscript"/>
          <w14:ligatures w14:val="none"/>
        </w:rPr>
        <w:t xml:space="preserve"> </w:t>
      </w:r>
      <w:r w:rsidRPr="005474E5" w:rsidR="00C57E55">
        <w:rPr>
          <w:rFonts w:ascii="Palatino Linotype" w:hAnsi="Palatino Linotype" w:eastAsia="Times New Roman" w:cs="Calibri"/>
          <w:color w:val="000000" w:themeColor="text1"/>
          <w:kern w:val="0"/>
          <w:vertAlign w:val="superscript"/>
          <w14:ligatures w14:val="none"/>
        </w:rPr>
        <w:footnoteReference w:id="91"/>
      </w:r>
      <w:r w:rsidRPr="005474E5" w:rsidR="00C57E55">
        <w:rPr>
          <w:rFonts w:ascii="Palatino Linotype" w:hAnsi="Palatino Linotype" w:eastAsia="Times New Roman" w:cs="Calibri"/>
          <w:color w:val="000000" w:themeColor="text1"/>
          <w:kern w:val="0"/>
          <w14:ligatures w14:val="none"/>
        </w:rPr>
        <w:t xml:space="preserve"> </w:t>
      </w:r>
      <w:r w:rsidRPr="005474E5">
        <w:rPr>
          <w:rFonts w:ascii="Palatino Linotype" w:hAnsi="Palatino Linotype" w:eastAsia="Times New Roman" w:cs="Calibri"/>
          <w:color w:val="000000" w:themeColor="text1"/>
          <w:kern w:val="0"/>
          <w14:ligatures w14:val="none"/>
        </w:rPr>
        <w:t>nor compliant with requirements to demonstrate ratepayer benefit</w:t>
      </w:r>
      <w:r w:rsidRPr="005474E5" w:rsidR="00307F19">
        <w:rPr>
          <w:rFonts w:ascii="Palatino Linotype" w:hAnsi="Palatino Linotype" w:eastAsia="Times New Roman" w:cs="Calibri"/>
          <w:color w:val="000000" w:themeColor="text1"/>
          <w:kern w:val="0"/>
          <w14:ligatures w14:val="none"/>
        </w:rPr>
        <w:t>,</w:t>
      </w:r>
      <w:r w:rsidRPr="005474E5">
        <w:rPr>
          <w:rFonts w:ascii="Palatino Linotype" w:hAnsi="Palatino Linotype" w:eastAsia="Times New Roman" w:cs="Calibri"/>
          <w:color w:val="000000" w:themeColor="text1"/>
          <w:kern w:val="0"/>
          <w:vertAlign w:val="superscript"/>
          <w14:ligatures w14:val="none"/>
        </w:rPr>
        <w:footnoteReference w:id="92"/>
      </w:r>
      <w:r w:rsidRPr="005474E5">
        <w:rPr>
          <w:rFonts w:ascii="Palatino Linotype" w:hAnsi="Palatino Linotype" w:eastAsia="Times New Roman" w:cs="Calibri"/>
          <w:color w:val="000000" w:themeColor="text1"/>
          <w:kern w:val="0"/>
          <w14:ligatures w14:val="none"/>
        </w:rPr>
        <w:t xml:space="preserve"> and directed PG&amp;E to submit revised Plans addressin</w:t>
      </w:r>
      <w:r w:rsidRPr="005474E5" w:rsidR="005D22C6">
        <w:rPr>
          <w:rFonts w:ascii="Palatino Linotype" w:hAnsi="Palatino Linotype" w:eastAsia="Times New Roman" w:cs="Calibri"/>
          <w:color w:val="000000" w:themeColor="text1"/>
          <w:kern w:val="0"/>
          <w14:ligatures w14:val="none"/>
        </w:rPr>
        <w:t xml:space="preserve">g this and other </w:t>
      </w:r>
      <w:r w:rsidRPr="005474E5" w:rsidR="00D41B7E">
        <w:rPr>
          <w:rFonts w:ascii="Palatino Linotype" w:hAnsi="Palatino Linotype" w:eastAsia="Times New Roman" w:cs="Calibri"/>
          <w:color w:val="000000" w:themeColor="text1"/>
          <w:kern w:val="0"/>
          <w14:ligatures w14:val="none"/>
        </w:rPr>
        <w:t>identified</w:t>
      </w:r>
      <w:r w:rsidRPr="005474E5">
        <w:rPr>
          <w:rFonts w:ascii="Palatino Linotype" w:hAnsi="Palatino Linotype" w:eastAsia="Times New Roman" w:cs="Calibri"/>
          <w:color w:val="000000" w:themeColor="text1"/>
          <w:kern w:val="0"/>
          <w14:ligatures w14:val="none"/>
        </w:rPr>
        <w:t xml:space="preserve"> compliance issues for further Commission consideration.</w:t>
      </w:r>
      <w:r w:rsidRPr="005474E5">
        <w:rPr>
          <w:rFonts w:ascii="Palatino Linotype" w:hAnsi="Palatino Linotype" w:eastAsia="Times New Roman" w:cs="Calibri"/>
          <w:color w:val="000000" w:themeColor="text1"/>
          <w:kern w:val="0"/>
          <w:vertAlign w:val="superscript"/>
          <w14:ligatures w14:val="none"/>
        </w:rPr>
        <w:footnoteReference w:id="93"/>
      </w:r>
      <w:r w:rsidRPr="005474E5">
        <w:rPr>
          <w:rFonts w:ascii="Palatino Linotype" w:hAnsi="Palatino Linotype" w:eastAsia="Times New Roman" w:cs="Calibri"/>
          <w:color w:val="000000" w:themeColor="text1"/>
          <w:kern w:val="0"/>
          <w14:ligatures w14:val="none"/>
        </w:rPr>
        <w:t xml:space="preserve"> </w:t>
      </w:r>
    </w:p>
    <w:p w:rsidRPr="0013406B" w:rsidR="001C28FD" w:rsidP="00F70BB4" w:rsidRDefault="001C28FD" w14:paraId="4934493E" w14:textId="1DEE06F8">
      <w:pPr>
        <w:spacing w:after="0" w:line="276" w:lineRule="auto"/>
        <w:ind w:left="720"/>
        <w:rPr>
          <w:rFonts w:ascii="Palatino Linotype" w:hAnsi="Palatino Linotype" w:eastAsia="Palatino Linotype" w:cs="Times New Roman"/>
          <w:color w:val="000000" w:themeColor="text1"/>
          <w:kern w:val="0"/>
          <w14:ligatures w14:val="none"/>
        </w:rPr>
      </w:pPr>
      <w:r w:rsidRPr="005474E5">
        <w:rPr>
          <w:rFonts w:ascii="Palatino Linotype" w:hAnsi="Palatino Linotype" w:eastAsia="Calibri" w:cs="Times New Roman"/>
          <w:color w:val="000000" w:themeColor="text1"/>
          <w:kern w:val="0"/>
          <w14:ligatures w14:val="none"/>
        </w:rPr>
        <w:t>In AL 5196-G, PG&amp;E states it “revised the Plan to remove gas RD&amp;D projects located outside of California, except where projects are affiliated with a federal laboratory.”</w:t>
      </w:r>
      <w:r w:rsidRPr="005474E5">
        <w:rPr>
          <w:rFonts w:ascii="Palatino Linotype" w:hAnsi="Palatino Linotype" w:eastAsia="Calibri" w:cs="Times New Roman"/>
          <w:color w:val="000000" w:themeColor="text1"/>
          <w:kern w:val="0"/>
          <w:vertAlign w:val="superscript"/>
          <w14:ligatures w14:val="none"/>
        </w:rPr>
        <w:footnoteReference w:id="94"/>
      </w:r>
      <w:r w:rsidRPr="005474E5">
        <w:rPr>
          <w:rFonts w:ascii="Palatino Linotype" w:hAnsi="Palatino Linotype" w:eastAsia="Calibri" w:cs="Times New Roman"/>
          <w:color w:val="000000" w:themeColor="text1"/>
          <w:kern w:val="0"/>
          <w14:ligatures w14:val="none"/>
        </w:rPr>
        <w:t xml:space="preserve"> However, </w:t>
      </w:r>
      <w:r w:rsidRPr="005474E5">
        <w:rPr>
          <w:rFonts w:ascii="Palatino Linotype" w:hAnsi="Palatino Linotype" w:eastAsia="Palatino Linotype" w:cs="Times New Roman"/>
          <w:color w:val="000000" w:themeColor="text1"/>
          <w:kern w:val="0"/>
          <w14:ligatures w14:val="none"/>
        </w:rPr>
        <w:t>the revised Project List includes nine projects which are</w:t>
      </w:r>
      <w:r w:rsidRPr="005474E5">
        <w:rPr>
          <w:rFonts w:ascii="Palatino Linotype" w:hAnsi="Palatino Linotype" w:eastAsia="Times New Roman" w:cs="Times New Roman"/>
          <w:color w:val="000000" w:themeColor="text1"/>
          <w:kern w:val="0"/>
          <w14:ligatures w14:val="none"/>
        </w:rPr>
        <w:t xml:space="preserve"> neither located in the State of California nor affiliated with a federal lab, amounting to approximately $579,000</w:t>
      </w:r>
      <w:r w:rsidRPr="005474E5" w:rsidR="00201C45">
        <w:rPr>
          <w:rFonts w:ascii="Palatino Linotype" w:hAnsi="Palatino Linotype" w:eastAsia="Times New Roman" w:cs="Times New Roman"/>
          <w:color w:val="000000" w:themeColor="text1"/>
          <w:kern w:val="0"/>
          <w14:ligatures w14:val="none"/>
        </w:rPr>
        <w:t>,</w:t>
      </w:r>
      <w:r w:rsidRPr="005474E5">
        <w:rPr>
          <w:rFonts w:ascii="Palatino Linotype" w:hAnsi="Palatino Linotype" w:eastAsia="Palatino Linotype" w:cs="Times New Roman"/>
          <w:color w:val="000000" w:themeColor="text1"/>
          <w:kern w:val="0"/>
          <w:vertAlign w:val="superscript"/>
          <w14:ligatures w14:val="none"/>
        </w:rPr>
        <w:footnoteReference w:id="95"/>
      </w:r>
      <w:r w:rsidRPr="005474E5">
        <w:rPr>
          <w:rFonts w:ascii="Palatino Linotype" w:hAnsi="Palatino Linotype" w:eastAsia="Times New Roman" w:cs="Times New Roman"/>
          <w:color w:val="000000" w:themeColor="text1"/>
          <w:kern w:val="0"/>
          <w14:ligatures w14:val="none"/>
        </w:rPr>
        <w:t xml:space="preserve"> </w:t>
      </w:r>
      <w:r w:rsidRPr="005474E5">
        <w:rPr>
          <w:rFonts w:ascii="Palatino Linotype" w:hAnsi="Palatino Linotype" w:eastAsia="Calibri" w:cs="Times New Roman"/>
          <w:color w:val="000000" w:themeColor="text1"/>
          <w:kern w:val="0"/>
          <w14:ligatures w14:val="none"/>
        </w:rPr>
        <w:t>and PG&amp;E states that the</w:t>
      </w:r>
      <w:r w:rsidRPr="005474E5">
        <w:rPr>
          <w:rFonts w:ascii="Palatino Linotype" w:hAnsi="Palatino Linotype" w:eastAsia="Palatino Linotype" w:cs="Times New Roman"/>
          <w:color w:val="000000" w:themeColor="text1"/>
          <w:kern w:val="0"/>
          <w14:ligatures w14:val="none"/>
        </w:rPr>
        <w:t xml:space="preserve"> “plan includes on-going multi-year work in collaboration with consortia that began prior to the 2023 GRC decision.”</w:t>
      </w:r>
      <w:r w:rsidRPr="005474E5">
        <w:rPr>
          <w:rFonts w:ascii="Palatino Linotype" w:hAnsi="Palatino Linotype" w:eastAsia="Palatino Linotype" w:cs="Times New Roman"/>
          <w:color w:val="000000" w:themeColor="text1"/>
          <w:kern w:val="0"/>
          <w:vertAlign w:val="superscript"/>
          <w14:ligatures w14:val="none"/>
        </w:rPr>
        <w:footnoteReference w:id="96"/>
      </w:r>
      <w:r w:rsidRPr="005474E5">
        <w:rPr>
          <w:rFonts w:ascii="Palatino Linotype" w:hAnsi="Palatino Linotype" w:eastAsia="Palatino Linotype" w:cs="Times New Roman"/>
          <w:color w:val="000000" w:themeColor="text1"/>
          <w:kern w:val="0"/>
          <w14:ligatures w14:val="none"/>
        </w:rPr>
        <w:t xml:space="preserve"> “Consortia activities outside of California are included only to the extent necessary to fulfill existing contractual obligations and to avoid near-term financial and operational risk to ratepayers. Removal of these remaining consortia activities would result in a loss of value to customers and could adversely affect customer affordability and safety over the long term by eliminating opportunities to leverage shared learnings, mitigate technical and operational risks, and avoid higher future costs.”</w:t>
      </w:r>
      <w:r w:rsidRPr="005474E5">
        <w:rPr>
          <w:rFonts w:ascii="Palatino Linotype" w:hAnsi="Palatino Linotype" w:eastAsia="Palatino Linotype" w:cs="Times New Roman"/>
          <w:color w:val="000000" w:themeColor="text1"/>
          <w:kern w:val="0"/>
          <w:vertAlign w:val="superscript"/>
          <w14:ligatures w14:val="none"/>
        </w:rPr>
        <w:footnoteReference w:id="97"/>
      </w:r>
      <w:r w:rsidRPr="005474E5">
        <w:rPr>
          <w:rFonts w:ascii="Palatino Linotype" w:hAnsi="Palatino Linotype" w:eastAsia="Calibri" w:cs="Calibri"/>
          <w:color w:val="000000" w:themeColor="text1"/>
          <w:kern w:val="0"/>
          <w14:ligatures w14:val="none"/>
        </w:rPr>
        <w:t xml:space="preserve"> </w:t>
      </w:r>
      <w:r w:rsidRPr="005474E5">
        <w:rPr>
          <w:rFonts w:ascii="Palatino Linotype" w:hAnsi="Palatino Linotype" w:eastAsia="Palatino Linotype" w:cs="Times New Roman"/>
          <w:color w:val="000000" w:themeColor="text1"/>
          <w:kern w:val="0"/>
          <w14:ligatures w14:val="none"/>
        </w:rPr>
        <w:t xml:space="preserve">“Where collaboration involves consortia or external partners, PG&amp;E’s participation is limited to research activities that provide </w:t>
      </w:r>
      <w:r w:rsidRPr="0013406B">
        <w:rPr>
          <w:rFonts w:ascii="Palatino Linotype" w:hAnsi="Palatino Linotype" w:eastAsia="Palatino Linotype" w:cs="Times New Roman"/>
          <w:color w:val="000000" w:themeColor="text1"/>
          <w:kern w:val="0"/>
          <w14:ligatures w14:val="none"/>
        </w:rPr>
        <w:t>identifiable California ratepayer benefits.”</w:t>
      </w:r>
      <w:r w:rsidRPr="0013406B">
        <w:rPr>
          <w:rFonts w:ascii="Palatino Linotype" w:hAnsi="Palatino Linotype" w:eastAsia="Palatino Linotype" w:cs="Times New Roman"/>
          <w:color w:val="000000" w:themeColor="text1"/>
          <w:kern w:val="0"/>
          <w:vertAlign w:val="superscript"/>
          <w14:ligatures w14:val="none"/>
        </w:rPr>
        <w:footnoteReference w:id="98"/>
      </w:r>
      <w:r w:rsidRPr="0013406B">
        <w:rPr>
          <w:rFonts w:ascii="Palatino Linotype" w:hAnsi="Palatino Linotype" w:eastAsia="Palatino Linotype" w:cs="Times New Roman"/>
          <w:color w:val="000000" w:themeColor="text1"/>
          <w:kern w:val="0"/>
          <w14:ligatures w14:val="none"/>
        </w:rPr>
        <w:t xml:space="preserve"> </w:t>
      </w:r>
    </w:p>
    <w:p w:rsidRPr="0013406B" w:rsidR="00F70BB4" w:rsidP="00F70BB4" w:rsidRDefault="00F70BB4" w14:paraId="2264E7D4"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13406B" w:rsidR="00F70BB4" w:rsidP="00F70BB4" w:rsidRDefault="00300E99" w14:paraId="398BB05E" w14:textId="40BBCDDE">
      <w:pPr>
        <w:pStyle w:val="ListParagraph"/>
        <w:numPr>
          <w:ilvl w:val="0"/>
          <w:numId w:val="1"/>
        </w:numPr>
        <w:spacing w:line="276" w:lineRule="auto"/>
        <w:rPr>
          <w:rFonts w:ascii="Palatino Linotype" w:hAnsi="Palatino Linotype" w:eastAsia="Calibri" w:cs="Calibri"/>
          <w:color w:val="000000" w:themeColor="text1"/>
          <w:kern w:val="0"/>
          <w14:ligatures w14:val="none"/>
        </w:rPr>
      </w:pPr>
      <w:r w:rsidRPr="0013406B">
        <w:rPr>
          <w:rFonts w:ascii="Palatino Linotype" w:hAnsi="Palatino Linotype" w:eastAsia="Calibri" w:cs="Calibri"/>
          <w:color w:val="000000" w:themeColor="text1"/>
          <w:kern w:val="0"/>
          <w14:ligatures w14:val="none"/>
        </w:rPr>
        <w:t>Staff</w:t>
      </w:r>
      <w:r w:rsidR="00174835">
        <w:rPr>
          <w:rFonts w:ascii="Palatino Linotype" w:hAnsi="Palatino Linotype" w:eastAsia="Calibri" w:cs="Calibri"/>
          <w:color w:val="000000" w:themeColor="text1"/>
          <w:kern w:val="0"/>
          <w14:ligatures w14:val="none"/>
        </w:rPr>
        <w:t>’s</w:t>
      </w:r>
      <w:r w:rsidRPr="0013406B">
        <w:rPr>
          <w:rFonts w:ascii="Palatino Linotype" w:hAnsi="Palatino Linotype" w:eastAsia="Calibri" w:cs="Calibri"/>
          <w:color w:val="000000" w:themeColor="text1"/>
          <w:kern w:val="0"/>
          <w14:ligatures w14:val="none"/>
        </w:rPr>
        <w:t xml:space="preserve"> Assessment of </w:t>
      </w:r>
      <w:r w:rsidRPr="0013406B" w:rsidR="00F70BB4">
        <w:rPr>
          <w:rFonts w:ascii="Palatino Linotype" w:hAnsi="Palatino Linotype" w:eastAsia="Calibri" w:cs="Calibri"/>
          <w:color w:val="000000" w:themeColor="text1"/>
          <w:kern w:val="0"/>
          <w14:ligatures w14:val="none"/>
        </w:rPr>
        <w:t>PG&amp;E</w:t>
      </w:r>
      <w:r w:rsidRPr="0013406B">
        <w:rPr>
          <w:rFonts w:ascii="Palatino Linotype" w:hAnsi="Palatino Linotype" w:eastAsia="Calibri" w:cs="Calibri"/>
          <w:color w:val="000000" w:themeColor="text1"/>
          <w:kern w:val="0"/>
          <w14:ligatures w14:val="none"/>
        </w:rPr>
        <w:t>’s</w:t>
      </w:r>
      <w:r w:rsidRPr="0013406B" w:rsidR="00F70BB4">
        <w:rPr>
          <w:rFonts w:ascii="Palatino Linotype" w:hAnsi="Palatino Linotype" w:eastAsia="Calibri" w:cs="Calibri"/>
          <w:color w:val="000000" w:themeColor="text1"/>
          <w:kern w:val="0"/>
          <w14:ligatures w14:val="none"/>
        </w:rPr>
        <w:t xml:space="preserve"> Respons</w:t>
      </w:r>
      <w:r w:rsidRPr="0013406B" w:rsidR="00B21F7D">
        <w:rPr>
          <w:rFonts w:ascii="Palatino Linotype" w:hAnsi="Palatino Linotype" w:eastAsia="Calibri" w:cs="Calibri"/>
          <w:color w:val="000000" w:themeColor="text1"/>
          <w:kern w:val="0"/>
          <w14:ligatures w14:val="none"/>
        </w:rPr>
        <w:t>e</w:t>
      </w:r>
    </w:p>
    <w:p w:rsidRPr="0013406B" w:rsidR="002D07BF" w:rsidP="00F70BB4" w:rsidRDefault="001C28FD" w14:paraId="7190200C" w14:textId="3DAF0E7A">
      <w:pPr>
        <w:spacing w:after="0" w:line="276" w:lineRule="auto"/>
        <w:ind w:left="720"/>
        <w:rPr>
          <w:rFonts w:ascii="Palatino Linotype" w:hAnsi="Palatino Linotype" w:eastAsia="Calibri" w:cs="Calibri"/>
          <w:color w:val="000000" w:themeColor="text1"/>
          <w:kern w:val="0"/>
          <w14:ligatures w14:val="none"/>
        </w:rPr>
      </w:pPr>
      <w:r w:rsidRPr="0013406B">
        <w:rPr>
          <w:rFonts w:ascii="Palatino Linotype" w:hAnsi="Palatino Linotype" w:eastAsia="Calibri" w:cs="Calibri"/>
          <w:color w:val="000000" w:themeColor="text1"/>
        </w:rPr>
        <w:lastRenderedPageBreak/>
        <w:t>PG&amp;E provided contractual agreements</w:t>
      </w:r>
      <w:r w:rsidRPr="0013406B" w:rsidR="002311F5">
        <w:rPr>
          <w:rFonts w:ascii="Palatino Linotype" w:hAnsi="Palatino Linotype" w:eastAsia="Calibri" w:cs="Calibri"/>
          <w:color w:val="000000" w:themeColor="text1"/>
        </w:rPr>
        <w:t xml:space="preserve">, many of which include terms rendering memorandums of commitment null and void if parties decline to participate or if the funding commitment of a participant </w:t>
      </w:r>
      <w:proofErr w:type="gramStart"/>
      <w:r w:rsidRPr="0013406B" w:rsidR="002311F5">
        <w:rPr>
          <w:rFonts w:ascii="Palatino Linotype" w:hAnsi="Palatino Linotype" w:eastAsia="Calibri" w:cs="Calibri"/>
          <w:color w:val="000000" w:themeColor="text1"/>
        </w:rPr>
        <w:t>changes</w:t>
      </w:r>
      <w:proofErr w:type="gramEnd"/>
      <w:r w:rsidRPr="0013406B" w:rsidR="002311F5">
        <w:rPr>
          <w:rFonts w:ascii="Palatino Linotype" w:hAnsi="Palatino Linotype" w:eastAsia="Calibri" w:cs="Calibri"/>
          <w:color w:val="000000" w:themeColor="text1"/>
        </w:rPr>
        <w:t>.</w:t>
      </w:r>
      <w:r w:rsidRPr="0013406B" w:rsidR="00E14493">
        <w:rPr>
          <w:rFonts w:ascii="Palatino Linotype" w:hAnsi="Palatino Linotype" w:eastAsia="Calibri" w:cs="Calibri"/>
          <w:color w:val="000000" w:themeColor="text1"/>
        </w:rPr>
        <w:t xml:space="preserve"> </w:t>
      </w:r>
      <w:r w:rsidRPr="0013406B" w:rsidR="0048109B">
        <w:rPr>
          <w:rFonts w:ascii="Palatino Linotype" w:hAnsi="Palatino Linotype" w:eastAsia="Calibri" w:cs="Calibri"/>
          <w:color w:val="000000" w:themeColor="text1"/>
        </w:rPr>
        <w:t>M</w:t>
      </w:r>
      <w:r w:rsidRPr="0013406B" w:rsidR="00325317">
        <w:rPr>
          <w:rFonts w:ascii="Palatino Linotype" w:hAnsi="Palatino Linotype" w:eastAsia="Calibri" w:cs="Calibri"/>
          <w:color w:val="000000" w:themeColor="text1"/>
        </w:rPr>
        <w:t xml:space="preserve">ost </w:t>
      </w:r>
      <w:r w:rsidRPr="0013406B">
        <w:rPr>
          <w:rFonts w:ascii="Palatino Linotype" w:hAnsi="Palatino Linotype" w:eastAsia="Calibri" w:cs="Calibri"/>
          <w:color w:val="000000" w:themeColor="text1"/>
        </w:rPr>
        <w:t xml:space="preserve">of the defined </w:t>
      </w:r>
      <w:r w:rsidRPr="0013406B" w:rsidR="0048109B">
        <w:rPr>
          <w:rFonts w:ascii="Palatino Linotype" w:hAnsi="Palatino Linotype" w:eastAsia="Calibri" w:cs="Calibri"/>
          <w:color w:val="000000" w:themeColor="text1"/>
        </w:rPr>
        <w:t xml:space="preserve">contract </w:t>
      </w:r>
      <w:r w:rsidRPr="0013406B">
        <w:rPr>
          <w:rFonts w:ascii="Palatino Linotype" w:hAnsi="Palatino Linotype" w:eastAsia="Calibri" w:cs="Calibri"/>
          <w:color w:val="000000" w:themeColor="text1"/>
        </w:rPr>
        <w:t>end dates have passed</w:t>
      </w:r>
      <w:r w:rsidRPr="0013406B" w:rsidR="0048109B">
        <w:rPr>
          <w:rFonts w:ascii="Palatino Linotype" w:hAnsi="Palatino Linotype" w:eastAsia="Calibri" w:cs="Calibri"/>
          <w:color w:val="000000" w:themeColor="text1"/>
          <w:kern w:val="0"/>
          <w14:ligatures w14:val="none"/>
        </w:rPr>
        <w:t xml:space="preserve">, with only </w:t>
      </w:r>
      <w:r w:rsidRPr="0013406B" w:rsidR="00A2679E">
        <w:rPr>
          <w:rFonts w:ascii="Palatino Linotype" w:hAnsi="Palatino Linotype" w:eastAsia="Calibri" w:cs="Calibri"/>
          <w:color w:val="000000" w:themeColor="text1"/>
          <w:kern w:val="0"/>
          <w14:ligatures w14:val="none"/>
        </w:rPr>
        <w:t xml:space="preserve">three contracts currently in effect, </w:t>
      </w:r>
      <w:r w:rsidRPr="0013406B" w:rsidR="00382D9A">
        <w:rPr>
          <w:rFonts w:ascii="Palatino Linotype" w:hAnsi="Palatino Linotype" w:eastAsia="Calibri" w:cs="Calibri"/>
          <w:color w:val="000000" w:themeColor="text1"/>
          <w:kern w:val="0"/>
          <w14:ligatures w14:val="none"/>
        </w:rPr>
        <w:t>in which there is either a</w:t>
      </w:r>
      <w:r w:rsidRPr="0013406B" w:rsidR="008A792C">
        <w:rPr>
          <w:rFonts w:ascii="Palatino Linotype" w:hAnsi="Palatino Linotype" w:eastAsia="Calibri" w:cs="Calibri"/>
          <w:color w:val="000000" w:themeColor="text1"/>
          <w:kern w:val="0"/>
          <w14:ligatures w14:val="none"/>
        </w:rPr>
        <w:t xml:space="preserve">n explicit provision allowing PG&amp;E to withdraw or there </w:t>
      </w:r>
      <w:r w:rsidRPr="0013406B" w:rsidR="00DE5F8E">
        <w:rPr>
          <w:rFonts w:ascii="Palatino Linotype" w:hAnsi="Palatino Linotype" w:eastAsia="Calibri" w:cs="Calibri"/>
          <w:color w:val="000000" w:themeColor="text1"/>
          <w:kern w:val="0"/>
          <w14:ligatures w14:val="none"/>
        </w:rPr>
        <w:t xml:space="preserve">is </w:t>
      </w:r>
      <w:r w:rsidRPr="0013406B" w:rsidR="008A792C">
        <w:rPr>
          <w:rFonts w:ascii="Palatino Linotype" w:hAnsi="Palatino Linotype" w:eastAsia="Calibri" w:cs="Calibri"/>
          <w:color w:val="000000" w:themeColor="text1"/>
          <w:kern w:val="0"/>
          <w14:ligatures w14:val="none"/>
        </w:rPr>
        <w:t xml:space="preserve">no </w:t>
      </w:r>
      <w:r w:rsidRPr="0013406B" w:rsidR="00B77B9A">
        <w:rPr>
          <w:rFonts w:ascii="Palatino Linotype" w:hAnsi="Palatino Linotype" w:eastAsia="Calibri" w:cs="Calibri"/>
          <w:color w:val="000000" w:themeColor="text1"/>
          <w:kern w:val="0"/>
          <w14:ligatures w14:val="none"/>
        </w:rPr>
        <w:t>inclusion of</w:t>
      </w:r>
      <w:r w:rsidRPr="0013406B" w:rsidR="00FA693C">
        <w:rPr>
          <w:rFonts w:ascii="Palatino Linotype" w:hAnsi="Palatino Linotype" w:eastAsia="Calibri" w:cs="Calibri"/>
          <w:color w:val="000000" w:themeColor="text1"/>
          <w:kern w:val="0"/>
          <w14:ligatures w14:val="none"/>
        </w:rPr>
        <w:t xml:space="preserve"> </w:t>
      </w:r>
      <w:r w:rsidRPr="0013406B" w:rsidR="008A792C">
        <w:rPr>
          <w:rFonts w:ascii="Palatino Linotype" w:hAnsi="Palatino Linotype" w:eastAsia="Calibri" w:cs="Calibri"/>
          <w:color w:val="000000" w:themeColor="text1"/>
          <w:kern w:val="0"/>
          <w14:ligatures w14:val="none"/>
        </w:rPr>
        <w:t>liquidated damages provisions for early termination.</w:t>
      </w:r>
      <w:r w:rsidRPr="0013406B" w:rsidR="00B91235">
        <w:rPr>
          <w:rFonts w:ascii="Palatino Linotype" w:hAnsi="Palatino Linotype" w:eastAsia="Calibri" w:cs="Calibri"/>
          <w:color w:val="000000" w:themeColor="text1"/>
          <w:kern w:val="0"/>
          <w14:ligatures w14:val="none"/>
        </w:rPr>
        <w:t xml:space="preserve"> </w:t>
      </w:r>
      <w:r w:rsidRPr="0013406B" w:rsidR="009F464C">
        <w:rPr>
          <w:rFonts w:ascii="Palatino Linotype" w:hAnsi="Palatino Linotype" w:eastAsia="Calibri" w:cs="Calibri"/>
          <w:color w:val="000000" w:themeColor="text1"/>
        </w:rPr>
        <w:t>Therefore</w:t>
      </w:r>
      <w:r w:rsidRPr="058FA7A4" w:rsidR="009F464C">
        <w:rPr>
          <w:rFonts w:ascii="Palatino Linotype" w:hAnsi="Palatino Linotype" w:eastAsia="Calibri" w:cs="Calibri"/>
          <w:color w:val="000000" w:themeColor="text1"/>
        </w:rPr>
        <w:t xml:space="preserve">, </w:t>
      </w:r>
      <w:r w:rsidRPr="058FA7A4" w:rsidR="0048109B">
        <w:rPr>
          <w:rFonts w:ascii="Palatino Linotype" w:hAnsi="Palatino Linotype" w:eastAsia="Calibri" w:cs="Calibri"/>
          <w:color w:val="000000" w:themeColor="text1"/>
        </w:rPr>
        <w:t xml:space="preserve">the provided contracts do not demonstrate explicit contractual consequences beyond </w:t>
      </w:r>
      <w:r w:rsidRPr="058FA7A4" w:rsidR="008D0F05">
        <w:rPr>
          <w:rFonts w:ascii="Palatino Linotype" w:hAnsi="Palatino Linotype" w:eastAsia="Calibri" w:cs="Calibri"/>
          <w:color w:val="000000" w:themeColor="text1"/>
        </w:rPr>
        <w:t xml:space="preserve">the </w:t>
      </w:r>
      <w:r w:rsidRPr="058FA7A4" w:rsidR="0048109B">
        <w:rPr>
          <w:rFonts w:ascii="Palatino Linotype" w:hAnsi="Palatino Linotype" w:eastAsia="Calibri" w:cs="Calibri"/>
          <w:color w:val="000000" w:themeColor="text1"/>
        </w:rPr>
        <w:t xml:space="preserve">more general </w:t>
      </w:r>
      <w:r w:rsidRPr="058FA7A4" w:rsidR="00EF3B40">
        <w:rPr>
          <w:rFonts w:ascii="Palatino Linotype" w:hAnsi="Palatino Linotype" w:eastAsia="Calibri" w:cs="Calibri"/>
          <w:color w:val="000000" w:themeColor="text1"/>
        </w:rPr>
        <w:t>loss of value for ratepayers</w:t>
      </w:r>
      <w:r w:rsidRPr="058FA7A4" w:rsidR="0048109B">
        <w:rPr>
          <w:rFonts w:ascii="Palatino Linotype" w:hAnsi="Palatino Linotype" w:eastAsia="Calibri" w:cs="Calibri"/>
          <w:color w:val="000000" w:themeColor="text1"/>
        </w:rPr>
        <w:t xml:space="preserve"> </w:t>
      </w:r>
      <w:r w:rsidRPr="058FA7A4" w:rsidR="00435E49">
        <w:rPr>
          <w:rFonts w:ascii="Palatino Linotype" w:hAnsi="Palatino Linotype" w:eastAsia="Calibri" w:cs="Calibri"/>
          <w:color w:val="000000" w:themeColor="text1"/>
        </w:rPr>
        <w:t xml:space="preserve">argued </w:t>
      </w:r>
      <w:r w:rsidRPr="058FA7A4" w:rsidR="0048109B">
        <w:rPr>
          <w:rFonts w:ascii="Palatino Linotype" w:hAnsi="Palatino Linotype" w:eastAsia="Calibri" w:cs="Calibri"/>
          <w:color w:val="000000" w:themeColor="text1"/>
        </w:rPr>
        <w:t xml:space="preserve">in </w:t>
      </w:r>
      <w:r w:rsidR="00F3791B">
        <w:rPr>
          <w:rFonts w:ascii="Palatino Linotype" w:hAnsi="Palatino Linotype" w:eastAsia="Calibri" w:cs="Calibri"/>
          <w:color w:val="000000" w:themeColor="text1"/>
        </w:rPr>
        <w:t>PG&amp;E’s</w:t>
      </w:r>
      <w:r w:rsidRPr="058FA7A4" w:rsidR="0048109B">
        <w:rPr>
          <w:rFonts w:ascii="Palatino Linotype" w:hAnsi="Palatino Linotype" w:eastAsia="Calibri" w:cs="Calibri"/>
          <w:color w:val="000000" w:themeColor="text1"/>
        </w:rPr>
        <w:t xml:space="preserve"> Plans. </w:t>
      </w:r>
      <w:proofErr w:type="gramStart"/>
      <w:r w:rsidRPr="058FA7A4" w:rsidR="002D07BF">
        <w:rPr>
          <w:rFonts w:ascii="Palatino Linotype" w:hAnsi="Palatino Linotype" w:eastAsia="Calibri" w:cs="Calibri"/>
          <w:color w:val="000000" w:themeColor="text1"/>
        </w:rPr>
        <w:t>In particular,</w:t>
      </w:r>
      <w:r w:rsidRPr="058FA7A4" w:rsidR="005745E2">
        <w:rPr>
          <w:rFonts w:ascii="Palatino Linotype" w:hAnsi="Palatino Linotype" w:eastAsia="Calibri" w:cs="Calibri"/>
          <w:color w:val="000000" w:themeColor="text1"/>
        </w:rPr>
        <w:t xml:space="preserve"> </w:t>
      </w:r>
      <w:r w:rsidRPr="058FA7A4" w:rsidR="009F464C">
        <w:rPr>
          <w:rFonts w:ascii="Palatino Linotype" w:hAnsi="Palatino Linotype" w:eastAsia="Calibri" w:cs="Calibri"/>
          <w:color w:val="000000" w:themeColor="text1"/>
        </w:rPr>
        <w:t>PG&amp;E</w:t>
      </w:r>
      <w:proofErr w:type="gramEnd"/>
      <w:r w:rsidRPr="058FA7A4" w:rsidR="009F464C">
        <w:rPr>
          <w:rFonts w:ascii="Palatino Linotype" w:hAnsi="Palatino Linotype" w:eastAsia="Calibri" w:cs="Calibri"/>
          <w:color w:val="000000" w:themeColor="text1"/>
        </w:rPr>
        <w:t xml:space="preserve"> has not demonstrated </w:t>
      </w:r>
      <w:r w:rsidRPr="0013406B" w:rsidR="009F464C">
        <w:rPr>
          <w:rFonts w:ascii="Palatino Linotype" w:hAnsi="Palatino Linotype" w:eastAsia="Calibri" w:cs="Calibri"/>
          <w:color w:val="000000" w:themeColor="text1"/>
        </w:rPr>
        <w:t xml:space="preserve">that proposed consortia projects outside of California nor affiliated with a federal lab </w:t>
      </w:r>
      <w:r w:rsidRPr="0013406B" w:rsidR="000852B7">
        <w:rPr>
          <w:rFonts w:ascii="Palatino Linotype" w:hAnsi="Palatino Linotype" w:eastAsia="Calibri" w:cs="Calibri"/>
          <w:color w:val="000000" w:themeColor="text1"/>
        </w:rPr>
        <w:t xml:space="preserve">fulfill Commission requirements, including to demonstrate clear California ratepayer benefit. </w:t>
      </w:r>
      <w:r w:rsidRPr="0013406B" w:rsidR="002D07BF">
        <w:rPr>
          <w:rFonts w:ascii="Palatino Linotype" w:hAnsi="Palatino Linotype" w:eastAsia="Calibri" w:cs="Calibri"/>
          <w:color w:val="000000" w:themeColor="text1"/>
          <w:kern w:val="0"/>
          <w14:ligatures w14:val="none"/>
        </w:rPr>
        <w:t xml:space="preserve">Further, though PG&amp;E provided contracts for which the end dates have not passed, </w:t>
      </w:r>
      <w:r w:rsidR="00023BA9">
        <w:rPr>
          <w:rFonts w:ascii="Palatino Linotype" w:hAnsi="Palatino Linotype" w:eastAsia="Calibri" w:cs="Calibri"/>
          <w:color w:val="000000" w:themeColor="text1"/>
          <w:kern w:val="0"/>
          <w14:ligatures w14:val="none"/>
        </w:rPr>
        <w:br/>
      </w:r>
      <w:r w:rsidRPr="0013406B" w:rsidR="002D07BF">
        <w:rPr>
          <w:rFonts w:ascii="Palatino Linotype" w:hAnsi="Palatino Linotype" w:eastAsia="Calibri" w:cs="Calibri"/>
          <w:color w:val="000000" w:themeColor="text1"/>
          <w:kern w:val="0"/>
          <w14:ligatures w14:val="none"/>
        </w:rPr>
        <w:t xml:space="preserve">PG&amp;E’s response detailed above </w:t>
      </w:r>
      <w:r w:rsidRPr="0013406B" w:rsidR="002D07BF">
        <w:rPr>
          <w:rFonts w:ascii="Palatino Linotype" w:hAnsi="Palatino Linotype" w:eastAsia="Palatino Linotype" w:cs="Times New Roman"/>
          <w:color w:val="000000" w:themeColor="text1"/>
          <w:kern w:val="0"/>
          <w14:ligatures w14:val="none"/>
        </w:rPr>
        <w:t>affirms that its requested funding at the time the 2024 Plan was resubmitted (April 2026) was retrospective rather than prospective as presented in the Plan.</w:t>
      </w:r>
    </w:p>
    <w:p w:rsidRPr="002E6A00" w:rsidR="00D16D51" w:rsidP="00D16D51" w:rsidRDefault="00D16D51" w14:paraId="1121BFC4" w14:textId="77777777">
      <w:pPr>
        <w:spacing w:after="0" w:line="276" w:lineRule="auto"/>
        <w:rPr>
          <w:rFonts w:ascii="Palatino Linotype" w:hAnsi="Palatino Linotype" w:eastAsia="Palatino Linotype" w:cs="Times New Roman"/>
          <w:color w:val="000000" w:themeColor="text1"/>
          <w:kern w:val="0"/>
          <w14:ligatures w14:val="none"/>
        </w:rPr>
      </w:pPr>
    </w:p>
    <w:p w:rsidR="004550BF" w:rsidP="004550BF" w:rsidRDefault="000F6276" w14:paraId="637D956F" w14:textId="3237402D">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 xml:space="preserve">In summary, the Commission finds that PG&amp;E is not compliant </w:t>
      </w:r>
      <w:r w:rsidRPr="004550BF">
        <w:rPr>
          <w:rFonts w:ascii="Palatino Linotype" w:hAnsi="Palatino Linotype"/>
          <w:color w:val="000000" w:themeColor="text1"/>
        </w:rPr>
        <w:t xml:space="preserve">with </w:t>
      </w:r>
      <w:r w:rsidR="00E11E0D">
        <w:rPr>
          <w:rFonts w:ascii="Palatino Linotype" w:hAnsi="Palatino Linotype"/>
          <w:color w:val="000000" w:themeColor="text1"/>
        </w:rPr>
        <w:t>Commission</w:t>
      </w:r>
      <w:r w:rsidRPr="004550BF">
        <w:rPr>
          <w:rFonts w:ascii="Palatino Linotype" w:hAnsi="Palatino Linotype"/>
          <w:color w:val="000000" w:themeColor="text1"/>
        </w:rPr>
        <w:t xml:space="preserve"> requirements in AL 5196-G for the following reasons (see Appendix </w:t>
      </w:r>
      <w:r w:rsidR="002E0514">
        <w:rPr>
          <w:rFonts w:ascii="Palatino Linotype" w:hAnsi="Palatino Linotype"/>
          <w:color w:val="000000" w:themeColor="text1"/>
        </w:rPr>
        <w:t>E</w:t>
      </w:r>
      <w:r w:rsidRPr="004550BF">
        <w:rPr>
          <w:rFonts w:ascii="Palatino Linotype" w:hAnsi="Palatino Linotype"/>
          <w:color w:val="000000" w:themeColor="text1"/>
        </w:rPr>
        <w:t xml:space="preserve"> for details):  </w:t>
      </w:r>
    </w:p>
    <w:p w:rsidRPr="0013406B" w:rsidR="004550BF" w:rsidP="00D60F9F" w:rsidRDefault="00A75F68" w14:paraId="4C6EA445" w14:textId="7646A488">
      <w:pPr>
        <w:pStyle w:val="10sp0"/>
        <w:numPr>
          <w:ilvl w:val="0"/>
          <w:numId w:val="15"/>
        </w:numPr>
        <w:spacing w:after="0" w:line="276" w:lineRule="auto"/>
        <w:rPr>
          <w:rFonts w:ascii="Palatino Linotype" w:hAnsi="Palatino Linotype"/>
          <w:color w:val="000000" w:themeColor="text1"/>
        </w:rPr>
      </w:pPr>
      <w:r>
        <w:rPr>
          <w:rFonts w:ascii="Palatino Linotype" w:hAnsi="Palatino Linotype"/>
          <w:color w:val="000000" w:themeColor="text1"/>
        </w:rPr>
        <w:t>Based on data provided by</w:t>
      </w:r>
      <w:r w:rsidRPr="004550BF" w:rsidR="0038376A">
        <w:rPr>
          <w:rFonts w:ascii="Palatino Linotype" w:hAnsi="Palatino Linotype" w:eastAsia="Palatino Linotype"/>
          <w:color w:val="000000" w:themeColor="text1"/>
        </w:rPr>
        <w:t xml:space="preserve"> PG&amp;E </w:t>
      </w:r>
      <w:r w:rsidR="002F5B7A">
        <w:rPr>
          <w:rFonts w:ascii="Palatino Linotype" w:hAnsi="Palatino Linotype" w:eastAsia="Palatino Linotype"/>
          <w:color w:val="000000" w:themeColor="text1"/>
        </w:rPr>
        <w:t xml:space="preserve">in its </w:t>
      </w:r>
      <w:r w:rsidRPr="004550BF" w:rsidR="0038376A">
        <w:rPr>
          <w:rFonts w:ascii="Palatino Linotype" w:hAnsi="Palatino Linotype" w:eastAsia="Palatino Linotype"/>
          <w:color w:val="000000" w:themeColor="text1"/>
        </w:rPr>
        <w:t xml:space="preserve">2025 </w:t>
      </w:r>
      <w:r w:rsidRPr="0013406B" w:rsidR="0038376A">
        <w:rPr>
          <w:rFonts w:ascii="Palatino Linotype" w:hAnsi="Palatino Linotype" w:eastAsia="Palatino Linotype"/>
          <w:color w:val="000000" w:themeColor="text1"/>
        </w:rPr>
        <w:t>Annual Report and response to Energy Division’s April 2026</w:t>
      </w:r>
      <w:r w:rsidR="002F25E7">
        <w:rPr>
          <w:rFonts w:ascii="Palatino Linotype" w:hAnsi="Palatino Linotype" w:eastAsia="Palatino Linotype"/>
          <w:color w:val="000000" w:themeColor="text1"/>
        </w:rPr>
        <w:t xml:space="preserve"> d</w:t>
      </w:r>
      <w:r w:rsidRPr="0013406B" w:rsidR="0038376A">
        <w:rPr>
          <w:rFonts w:ascii="Palatino Linotype" w:hAnsi="Palatino Linotype" w:eastAsia="Palatino Linotype"/>
          <w:color w:val="000000" w:themeColor="text1"/>
        </w:rPr>
        <w:t xml:space="preserve">ata </w:t>
      </w:r>
      <w:r w:rsidR="002F25E7">
        <w:rPr>
          <w:rFonts w:ascii="Palatino Linotype" w:hAnsi="Palatino Linotype" w:eastAsia="Palatino Linotype"/>
          <w:color w:val="000000" w:themeColor="text1"/>
        </w:rPr>
        <w:t>r</w:t>
      </w:r>
      <w:r w:rsidRPr="0013406B" w:rsidR="0038376A">
        <w:rPr>
          <w:rFonts w:ascii="Palatino Linotype" w:hAnsi="Palatino Linotype" w:eastAsia="Palatino Linotype"/>
          <w:color w:val="000000" w:themeColor="text1"/>
        </w:rPr>
        <w:t>equest,</w:t>
      </w:r>
      <w:r w:rsidRPr="0013406B" w:rsidR="00E2281E">
        <w:rPr>
          <w:rFonts w:ascii="Palatino Linotype" w:hAnsi="Palatino Linotype"/>
          <w:color w:val="000000" w:themeColor="text1"/>
        </w:rPr>
        <w:t xml:space="preserve"> </w:t>
      </w:r>
      <w:r w:rsidRPr="0013406B" w:rsidR="001760D8">
        <w:rPr>
          <w:rFonts w:ascii="Palatino Linotype" w:hAnsi="Palatino Linotype"/>
          <w:color w:val="000000" w:themeColor="text1"/>
        </w:rPr>
        <w:t xml:space="preserve">PG&amp;E </w:t>
      </w:r>
      <w:r w:rsidRPr="0013406B" w:rsidR="00D40DD2">
        <w:rPr>
          <w:rFonts w:ascii="Palatino Linotype" w:hAnsi="Palatino Linotype"/>
          <w:color w:val="000000" w:themeColor="text1"/>
        </w:rPr>
        <w:t>inaccurately reports the balances of e</w:t>
      </w:r>
      <w:r w:rsidRPr="0013406B" w:rsidR="00E2281E">
        <w:rPr>
          <w:rFonts w:ascii="Palatino Linotype" w:hAnsi="Palatino Linotype"/>
          <w:color w:val="000000" w:themeColor="text1"/>
        </w:rPr>
        <w:t xml:space="preserve">ncumbered, spent, and unspent funds at the time of </w:t>
      </w:r>
      <w:r w:rsidRPr="0013406B" w:rsidR="3449714B">
        <w:rPr>
          <w:rFonts w:ascii="Palatino Linotype" w:hAnsi="Palatino Linotype"/>
          <w:color w:val="000000" w:themeColor="text1"/>
        </w:rPr>
        <w:t xml:space="preserve">2024 </w:t>
      </w:r>
      <w:r w:rsidRPr="0013406B" w:rsidR="00E2281E">
        <w:rPr>
          <w:rFonts w:ascii="Palatino Linotype" w:hAnsi="Palatino Linotype"/>
          <w:color w:val="000000" w:themeColor="text1"/>
        </w:rPr>
        <w:t>Plan resubmittal, citing balances from when the 2024 Gas RD&amp;D Plan was originally due in mid-2024 which have since changed.</w:t>
      </w:r>
      <w:r w:rsidRPr="0013406B" w:rsidR="000D1B8B">
        <w:rPr>
          <w:rFonts w:ascii="Palatino Linotype" w:hAnsi="Palatino Linotype"/>
          <w:color w:val="000000" w:themeColor="text1"/>
        </w:rPr>
        <w:t xml:space="preserve"> PG&amp;E</w:t>
      </w:r>
      <w:r w:rsidRPr="0013406B" w:rsidR="00D60F9F">
        <w:rPr>
          <w:rFonts w:ascii="Palatino Linotype" w:hAnsi="Palatino Linotype"/>
          <w:color w:val="000000" w:themeColor="text1"/>
        </w:rPr>
        <w:t xml:space="preserve"> </w:t>
      </w:r>
      <w:r w:rsidRPr="0013406B" w:rsidR="00E8762D">
        <w:rPr>
          <w:rFonts w:ascii="Palatino Linotype" w:hAnsi="Palatino Linotype"/>
          <w:color w:val="000000" w:themeColor="text1"/>
        </w:rPr>
        <w:t>request</w:t>
      </w:r>
      <w:r w:rsidRPr="0013406B" w:rsidR="00D60F9F">
        <w:rPr>
          <w:rFonts w:ascii="Palatino Linotype" w:hAnsi="Palatino Linotype"/>
          <w:color w:val="000000" w:themeColor="text1"/>
        </w:rPr>
        <w:t>s</w:t>
      </w:r>
      <w:r w:rsidRPr="0013406B" w:rsidR="00E8762D">
        <w:rPr>
          <w:rFonts w:ascii="Palatino Linotype" w:hAnsi="Palatino Linotype"/>
          <w:color w:val="000000" w:themeColor="text1"/>
        </w:rPr>
        <w:t xml:space="preserve"> to recover </w:t>
      </w:r>
      <w:r w:rsidRPr="0013406B" w:rsidR="00FA35A6">
        <w:rPr>
          <w:rFonts w:ascii="Palatino Linotype" w:hAnsi="Palatino Linotype"/>
          <w:color w:val="000000" w:themeColor="text1"/>
        </w:rPr>
        <w:t xml:space="preserve">$1,945,797 in actual Gas RD&amp;D </w:t>
      </w:r>
      <w:proofErr w:type="gramStart"/>
      <w:r w:rsidRPr="0013406B" w:rsidR="00FA35A6">
        <w:rPr>
          <w:rFonts w:ascii="Palatino Linotype" w:hAnsi="Palatino Linotype"/>
          <w:color w:val="000000" w:themeColor="text1"/>
        </w:rPr>
        <w:t>expenditures</w:t>
      </w:r>
      <w:proofErr w:type="gramEnd"/>
      <w:r w:rsidRPr="0013406B" w:rsidR="00FA35A6">
        <w:rPr>
          <w:rFonts w:ascii="Palatino Linotype" w:hAnsi="Palatino Linotype"/>
          <w:color w:val="000000" w:themeColor="text1"/>
        </w:rPr>
        <w:t xml:space="preserve"> spent in 2025</w:t>
      </w:r>
      <w:r w:rsidRPr="0013406B" w:rsidR="00695224">
        <w:rPr>
          <w:rFonts w:ascii="Palatino Linotype" w:hAnsi="Palatino Linotype"/>
          <w:color w:val="000000" w:themeColor="text1"/>
        </w:rPr>
        <w:t>, however,</w:t>
      </w:r>
      <w:r w:rsidRPr="0013406B" w:rsidR="00D60F9F">
        <w:rPr>
          <w:rFonts w:ascii="Palatino Linotype" w:hAnsi="Palatino Linotype"/>
          <w:color w:val="000000" w:themeColor="text1"/>
        </w:rPr>
        <w:t xml:space="preserve"> </w:t>
      </w:r>
      <w:r w:rsidRPr="0013406B" w:rsidR="00A06079">
        <w:rPr>
          <w:rFonts w:ascii="Palatino Linotype" w:hAnsi="Palatino Linotype"/>
          <w:color w:val="000000" w:themeColor="text1"/>
        </w:rPr>
        <w:t>D.23</w:t>
      </w:r>
      <w:r w:rsidRPr="0013406B" w:rsidR="003F5EB9">
        <w:rPr>
          <w:rFonts w:ascii="Palatino Linotype" w:hAnsi="Palatino Linotype"/>
          <w:color w:val="000000" w:themeColor="text1"/>
        </w:rPr>
        <w:t>-11-069 clearly states that PG&amp;E must have Commission approval of its</w:t>
      </w:r>
      <w:r w:rsidRPr="0013406B" w:rsidR="001A0785">
        <w:rPr>
          <w:rFonts w:ascii="Palatino Linotype" w:hAnsi="Palatino Linotype"/>
          <w:color w:val="000000" w:themeColor="text1"/>
        </w:rPr>
        <w:t xml:space="preserve"> P</w:t>
      </w:r>
      <w:r w:rsidRPr="0013406B" w:rsidR="003F5EB9">
        <w:rPr>
          <w:rFonts w:ascii="Palatino Linotype" w:hAnsi="Palatino Linotype"/>
          <w:color w:val="000000" w:themeColor="text1"/>
        </w:rPr>
        <w:t xml:space="preserve">lan before </w:t>
      </w:r>
      <w:r w:rsidRPr="0013406B" w:rsidR="008D2D48">
        <w:rPr>
          <w:rFonts w:ascii="Palatino Linotype" w:hAnsi="Palatino Linotype"/>
          <w:color w:val="000000" w:themeColor="text1"/>
        </w:rPr>
        <w:t>reco</w:t>
      </w:r>
      <w:r w:rsidRPr="0013406B" w:rsidR="001A0785">
        <w:rPr>
          <w:rFonts w:ascii="Palatino Linotype" w:hAnsi="Palatino Linotype"/>
          <w:color w:val="000000" w:themeColor="text1"/>
        </w:rPr>
        <w:t>rding</w:t>
      </w:r>
      <w:r w:rsidRPr="0013406B" w:rsidR="008D2D48">
        <w:rPr>
          <w:rFonts w:ascii="Palatino Linotype" w:hAnsi="Palatino Linotype"/>
          <w:color w:val="000000" w:themeColor="text1"/>
        </w:rPr>
        <w:t xml:space="preserve"> </w:t>
      </w:r>
      <w:r w:rsidRPr="0013406B" w:rsidR="00DE135E">
        <w:rPr>
          <w:rFonts w:ascii="Palatino Linotype" w:hAnsi="Palatino Linotype"/>
          <w:color w:val="000000" w:themeColor="text1"/>
        </w:rPr>
        <w:t>expenses</w:t>
      </w:r>
      <w:r w:rsidRPr="0013406B" w:rsidR="008D2D48">
        <w:rPr>
          <w:rFonts w:ascii="Palatino Linotype" w:hAnsi="Palatino Linotype"/>
          <w:color w:val="000000" w:themeColor="text1"/>
        </w:rPr>
        <w:t xml:space="preserve"> in a one-way balancing account</w:t>
      </w:r>
      <w:r w:rsidRPr="0013406B" w:rsidR="0038376A">
        <w:rPr>
          <w:rFonts w:ascii="Palatino Linotype" w:hAnsi="Palatino Linotype" w:eastAsia="Palatino Linotype"/>
          <w:color w:val="000000" w:themeColor="text1"/>
        </w:rPr>
        <w:t>.</w:t>
      </w:r>
      <w:r w:rsidRPr="0013406B" w:rsidR="00241CFB">
        <w:rPr>
          <w:rStyle w:val="FootnoteReference"/>
          <w:rFonts w:ascii="Palatino Linotype" w:hAnsi="Palatino Linotype" w:eastAsia="Palatino Linotype"/>
          <w:color w:val="000000" w:themeColor="text1"/>
        </w:rPr>
        <w:footnoteReference w:id="99"/>
      </w:r>
    </w:p>
    <w:p w:rsidRPr="00AF0BE4" w:rsidR="004550BF" w:rsidP="00AF0BE4" w:rsidRDefault="00E055E9" w14:paraId="2A83FFD7" w14:textId="38E16CEC">
      <w:pPr>
        <w:pStyle w:val="10sp0"/>
        <w:numPr>
          <w:ilvl w:val="0"/>
          <w:numId w:val="15"/>
        </w:numPr>
        <w:spacing w:after="0" w:line="276" w:lineRule="auto"/>
        <w:rPr>
          <w:rFonts w:ascii="Palatino Linotype" w:hAnsi="Palatino Linotype"/>
          <w:color w:val="000000" w:themeColor="text1"/>
        </w:rPr>
      </w:pPr>
      <w:r w:rsidRPr="0013406B">
        <w:rPr>
          <w:rFonts w:ascii="Palatino Linotype" w:hAnsi="Palatino Linotype" w:eastAsia="Palatino Linotype"/>
          <w:color w:val="000000" w:themeColor="text1"/>
        </w:rPr>
        <w:t>PG&amp;E’s proposal for hydrogen projects</w:t>
      </w:r>
      <w:r w:rsidRPr="0013406B" w:rsidR="00FF0C7F">
        <w:rPr>
          <w:rStyle w:val="FootnoteReference"/>
          <w:rFonts w:ascii="Palatino Linotype" w:hAnsi="Palatino Linotype" w:eastAsia="Palatino Linotype"/>
          <w:color w:val="000000" w:themeColor="text1"/>
        </w:rPr>
        <w:footnoteReference w:id="100"/>
      </w:r>
      <w:r w:rsidRPr="0013406B" w:rsidR="00FF0C7F">
        <w:rPr>
          <w:rFonts w:ascii="Palatino Linotype" w:hAnsi="Palatino Linotype" w:eastAsia="Palatino Linotype"/>
          <w:color w:val="000000" w:themeColor="text1"/>
        </w:rPr>
        <w:t xml:space="preserve"> </w:t>
      </w:r>
      <w:r w:rsidRPr="0013406B">
        <w:rPr>
          <w:rFonts w:ascii="Palatino Linotype" w:hAnsi="Palatino Linotype" w:eastAsia="Palatino Linotype"/>
          <w:color w:val="000000" w:themeColor="text1"/>
        </w:rPr>
        <w:t>d</w:t>
      </w:r>
      <w:r w:rsidRPr="0013406B" w:rsidR="00FF0C7F">
        <w:rPr>
          <w:rFonts w:ascii="Palatino Linotype" w:hAnsi="Palatino Linotype" w:eastAsia="Palatino Linotype"/>
          <w:color w:val="000000" w:themeColor="text1"/>
        </w:rPr>
        <w:t>oes</w:t>
      </w:r>
      <w:r w:rsidRPr="0013406B">
        <w:rPr>
          <w:rFonts w:ascii="Palatino Linotype" w:hAnsi="Palatino Linotype" w:eastAsia="Palatino Linotype"/>
          <w:color w:val="000000" w:themeColor="text1"/>
        </w:rPr>
        <w:t xml:space="preserve"> not align with </w:t>
      </w:r>
      <w:r w:rsidRPr="0013406B" w:rsidR="00AE040A">
        <w:rPr>
          <w:rFonts w:ascii="Palatino Linotype" w:hAnsi="Palatino Linotype" w:eastAsia="Palatino Linotype"/>
          <w:color w:val="000000" w:themeColor="text1"/>
        </w:rPr>
        <w:t xml:space="preserve">feedback from Commission staff to align </w:t>
      </w:r>
      <w:r w:rsidRPr="0013406B" w:rsidR="00D81CE4">
        <w:rPr>
          <w:rFonts w:ascii="Palatino Linotype" w:hAnsi="Palatino Linotype" w:eastAsia="Palatino Linotype"/>
          <w:color w:val="000000" w:themeColor="text1"/>
        </w:rPr>
        <w:t xml:space="preserve">investments </w:t>
      </w:r>
      <w:r w:rsidRPr="0013406B" w:rsidR="00AE040A">
        <w:rPr>
          <w:rFonts w:ascii="Palatino Linotype" w:hAnsi="Palatino Linotype" w:eastAsia="Palatino Linotype"/>
          <w:color w:val="000000" w:themeColor="text1"/>
        </w:rPr>
        <w:t xml:space="preserve">with </w:t>
      </w:r>
      <w:r w:rsidRPr="0013406B">
        <w:rPr>
          <w:rFonts w:ascii="Palatino Linotype" w:hAnsi="Palatino Linotype" w:eastAsia="Palatino Linotype"/>
          <w:color w:val="000000" w:themeColor="text1"/>
        </w:rPr>
        <w:t xml:space="preserve">Commission </w:t>
      </w:r>
      <w:r w:rsidRPr="00F770E8">
        <w:rPr>
          <w:rFonts w:ascii="Palatino Linotype" w:hAnsi="Palatino Linotype" w:eastAsia="Palatino Linotype"/>
          <w:color w:val="000000" w:themeColor="text1"/>
        </w:rPr>
        <w:t xml:space="preserve">policies and </w:t>
      </w:r>
      <w:r w:rsidRPr="00F770E8">
        <w:rPr>
          <w:rFonts w:ascii="Palatino Linotype" w:hAnsi="Palatino Linotype" w:eastAsia="Palatino Linotype"/>
          <w:color w:val="000000" w:themeColor="text1"/>
        </w:rPr>
        <w:lastRenderedPageBreak/>
        <w:t>proceedings</w:t>
      </w:r>
      <w:r w:rsidRPr="00F770E8" w:rsidR="007E44AD">
        <w:rPr>
          <w:rStyle w:val="FootnoteReference"/>
          <w:rFonts w:ascii="Palatino Linotype" w:hAnsi="Palatino Linotype" w:eastAsia="Palatino Linotype"/>
          <w:color w:val="000000" w:themeColor="text1"/>
        </w:rPr>
        <w:footnoteReference w:id="101"/>
      </w:r>
      <w:r w:rsidRPr="00F770E8">
        <w:rPr>
          <w:rFonts w:ascii="Palatino Linotype" w:hAnsi="Palatino Linotype" w:eastAsia="Palatino Linotype"/>
          <w:color w:val="000000" w:themeColor="text1"/>
        </w:rPr>
        <w:t xml:space="preserve"> </w:t>
      </w:r>
      <w:r w:rsidRPr="00F770E8" w:rsidR="00921AD4">
        <w:rPr>
          <w:rFonts w:ascii="Palatino Linotype" w:hAnsi="Palatino Linotype" w:eastAsia="Palatino Linotype"/>
          <w:color w:val="000000" w:themeColor="text1"/>
        </w:rPr>
        <w:t>and</w:t>
      </w:r>
      <w:r w:rsidRPr="00F770E8">
        <w:rPr>
          <w:rFonts w:ascii="Palatino Linotype" w:hAnsi="Palatino Linotype" w:eastAsia="Palatino Linotype"/>
          <w:color w:val="000000" w:themeColor="text1"/>
        </w:rPr>
        <w:t xml:space="preserve"> support ratepayer benefit</w:t>
      </w:r>
      <w:r w:rsidRPr="00F770E8" w:rsidR="00FF0C7F">
        <w:rPr>
          <w:rFonts w:ascii="Palatino Linotype" w:hAnsi="Palatino Linotype" w:eastAsia="Palatino Linotype"/>
          <w:color w:val="000000" w:themeColor="text1"/>
        </w:rPr>
        <w:t>.</w:t>
      </w:r>
      <w:r w:rsidRPr="00AF0BE4" w:rsidR="007E44AD">
        <w:rPr>
          <w:rFonts w:ascii="Palatino Linotype" w:hAnsi="Palatino Linotype" w:eastAsia="Palatino Linotype"/>
          <w:color w:val="000000" w:themeColor="text1"/>
        </w:rPr>
        <w:t xml:space="preserve"> The </w:t>
      </w:r>
      <w:r w:rsidRPr="007E44AD" w:rsidR="000F6276">
        <w:rPr>
          <w:rFonts w:ascii="Palatino Linotype" w:hAnsi="Palatino Linotype"/>
          <w:color w:val="000000" w:themeColor="text1"/>
        </w:rPr>
        <w:t>Commission has not provided guidance on the appropriate role of gas ratepayers in funding hydrogen RD&amp;D, particularly as these projects would have further implications for ratepayer funding, including in future Gas RD&amp;D Plans</w:t>
      </w:r>
      <w:r w:rsidRPr="007E44AD" w:rsidR="000F6276">
        <w:rPr>
          <w:rFonts w:ascii="Palatino Linotype" w:hAnsi="Palatino Linotype" w:eastAsia="Palatino Linotype"/>
          <w:color w:val="000000" w:themeColor="text1"/>
        </w:rPr>
        <w:t>.</w:t>
      </w:r>
    </w:p>
    <w:p w:rsidR="004550BF" w:rsidP="00801EA4" w:rsidRDefault="000F6276" w14:paraId="1745CCD1" w14:textId="1436DD94">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eastAsia="Palatino Linotype"/>
          <w:color w:val="000000" w:themeColor="text1"/>
        </w:rPr>
        <w:t>PG&amp;E</w:t>
      </w:r>
      <w:r w:rsidR="001511E5">
        <w:rPr>
          <w:rFonts w:ascii="Palatino Linotype" w:hAnsi="Palatino Linotype" w:eastAsia="Palatino Linotype"/>
          <w:color w:val="000000" w:themeColor="text1"/>
        </w:rPr>
        <w:t>’s</w:t>
      </w:r>
      <w:r w:rsidRPr="004550BF">
        <w:rPr>
          <w:rFonts w:ascii="Palatino Linotype" w:hAnsi="Palatino Linotype" w:eastAsia="Palatino Linotype"/>
          <w:color w:val="000000" w:themeColor="text1"/>
        </w:rPr>
        <w:t xml:space="preserve"> propose</w:t>
      </w:r>
      <w:r w:rsidR="001511E5">
        <w:rPr>
          <w:rFonts w:ascii="Palatino Linotype" w:hAnsi="Palatino Linotype" w:eastAsia="Palatino Linotype"/>
          <w:color w:val="000000" w:themeColor="text1"/>
        </w:rPr>
        <w:t>d</w:t>
      </w:r>
      <w:r w:rsidRPr="004550BF">
        <w:rPr>
          <w:rFonts w:ascii="Palatino Linotype" w:hAnsi="Palatino Linotype" w:eastAsia="Palatino Linotype"/>
          <w:color w:val="000000" w:themeColor="text1"/>
        </w:rPr>
        <w:t xml:space="preserve"> Program Administrative budget </w:t>
      </w:r>
      <w:r w:rsidR="00175479">
        <w:rPr>
          <w:rFonts w:ascii="Palatino Linotype" w:hAnsi="Palatino Linotype" w:eastAsia="Palatino Linotype"/>
          <w:color w:val="000000" w:themeColor="text1"/>
        </w:rPr>
        <w:t xml:space="preserve">does not comply with </w:t>
      </w:r>
      <w:r w:rsidRPr="004550BF">
        <w:rPr>
          <w:rFonts w:ascii="Palatino Linotype" w:hAnsi="Palatino Linotype" w:eastAsia="Palatino Linotype"/>
          <w:color w:val="000000" w:themeColor="text1"/>
        </w:rPr>
        <w:t xml:space="preserve">the 10% cap of </w:t>
      </w:r>
      <w:r w:rsidR="00175479">
        <w:rPr>
          <w:rFonts w:ascii="Palatino Linotype" w:hAnsi="Palatino Linotype" w:eastAsia="Palatino Linotype"/>
          <w:color w:val="000000" w:themeColor="text1"/>
        </w:rPr>
        <w:t>its</w:t>
      </w:r>
      <w:r w:rsidRPr="004550BF" w:rsidR="00175479">
        <w:rPr>
          <w:rFonts w:ascii="Palatino Linotype" w:hAnsi="Palatino Linotype" w:eastAsia="Palatino Linotype"/>
          <w:color w:val="000000" w:themeColor="text1"/>
        </w:rPr>
        <w:t xml:space="preserve"> </w:t>
      </w:r>
      <w:r w:rsidRPr="004550BF">
        <w:rPr>
          <w:rFonts w:ascii="Palatino Linotype" w:hAnsi="Palatino Linotype" w:eastAsia="Palatino Linotype"/>
          <w:color w:val="000000" w:themeColor="text1"/>
        </w:rPr>
        <w:t>total proposed budget.</w:t>
      </w:r>
      <w:r w:rsidRPr="00D661E3">
        <w:rPr>
          <w:rStyle w:val="FootnoteReference"/>
          <w:rFonts w:ascii="Palatino Linotype" w:hAnsi="Palatino Linotype" w:eastAsia="Palatino Linotype"/>
          <w:color w:val="000000" w:themeColor="text1"/>
        </w:rPr>
        <w:footnoteReference w:id="102"/>
      </w:r>
    </w:p>
    <w:p w:rsidR="004550BF" w:rsidP="00801EA4" w:rsidRDefault="000F6276" w14:paraId="330316AE" w14:textId="52B18EC7">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color w:val="000000" w:themeColor="text1"/>
          <w:szCs w:val="24"/>
        </w:rPr>
        <w:t>PG&amp;E does not demonstrate clear ratepayer benefit</w:t>
      </w:r>
      <w:r w:rsidRPr="00D661E3">
        <w:rPr>
          <w:rStyle w:val="FootnoteReference"/>
          <w:rFonts w:ascii="Palatino Linotype" w:hAnsi="Palatino Linotype"/>
          <w:color w:val="000000" w:themeColor="text1"/>
          <w:szCs w:val="24"/>
        </w:rPr>
        <w:footnoteReference w:id="103"/>
      </w:r>
      <w:r w:rsidRPr="004550BF">
        <w:rPr>
          <w:rFonts w:ascii="Palatino Linotype" w:hAnsi="Palatino Linotype"/>
          <w:color w:val="000000" w:themeColor="text1"/>
          <w:szCs w:val="24"/>
        </w:rPr>
        <w:t xml:space="preserve"> from </w:t>
      </w:r>
      <w:r w:rsidRPr="00784D32" w:rsidR="00A72685">
        <w:rPr>
          <w:rFonts w:ascii="Palatino Linotype" w:hAnsi="Palatino Linotype"/>
          <w:color w:val="000000" w:themeColor="text1"/>
          <w:szCs w:val="24"/>
        </w:rPr>
        <w:t xml:space="preserve">consortia </w:t>
      </w:r>
      <w:r w:rsidRPr="004550BF">
        <w:rPr>
          <w:rFonts w:ascii="Palatino Linotype" w:hAnsi="Palatino Linotype"/>
          <w:color w:val="000000" w:themeColor="text1"/>
        </w:rPr>
        <w:t>projects it proposes which are neither located in the State of California nor affiliated with a federal lab,</w:t>
      </w:r>
      <w:r w:rsidRPr="00D661E3">
        <w:rPr>
          <w:rStyle w:val="FootnoteReference"/>
          <w:rFonts w:ascii="Palatino Linotype" w:hAnsi="Palatino Linotype"/>
          <w:color w:val="000000" w:themeColor="text1"/>
        </w:rPr>
        <w:footnoteReference w:id="104"/>
      </w:r>
      <w:r w:rsidRPr="004550BF">
        <w:rPr>
          <w:rFonts w:ascii="Palatino Linotype" w:hAnsi="Palatino Linotype"/>
          <w:color w:val="000000" w:themeColor="text1"/>
        </w:rPr>
        <w:t xml:space="preserve"> including</w:t>
      </w:r>
      <w:r w:rsidRPr="004550BF">
        <w:rPr>
          <w:color w:val="000000" w:themeColor="text1"/>
        </w:rPr>
        <w:t xml:space="preserve"> </w:t>
      </w:r>
      <w:r w:rsidRPr="004550BF">
        <w:rPr>
          <w:rFonts w:ascii="Palatino Linotype" w:hAnsi="Palatino Linotype"/>
          <w:color w:val="000000" w:themeColor="text1"/>
        </w:rPr>
        <w:t>M2020-007 Ph2c 4"NDE Sensor Robotic, JCAS-01 Pipeline Integrity Tool Ext., and M2021-011 Ph2 Battery Feasibility Study.</w:t>
      </w:r>
      <w:r w:rsidRPr="00D661E3">
        <w:rPr>
          <w:rStyle w:val="FootnoteReference"/>
          <w:rFonts w:ascii="Palatino Linotype" w:hAnsi="Palatino Linotype"/>
          <w:color w:val="000000" w:themeColor="text1"/>
        </w:rPr>
        <w:footnoteReference w:id="105"/>
      </w:r>
      <w:r w:rsidRPr="004550BF">
        <w:rPr>
          <w:rFonts w:ascii="Palatino Linotype" w:hAnsi="Palatino Linotype"/>
          <w:color w:val="000000" w:themeColor="text1"/>
        </w:rPr>
        <w:t xml:space="preserve"> </w:t>
      </w:r>
    </w:p>
    <w:p w:rsidRPr="004550BF" w:rsidR="000F6276" w:rsidP="00801EA4" w:rsidRDefault="000F6276" w14:paraId="3E859BB6" w14:textId="1E0EA600">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color w:val="000000" w:themeColor="text1"/>
        </w:rPr>
        <w:t>PG&amp;E does not demonstrate that Initiatives are complementary and not duplicative of RD&amp;D currently, previously, or imminently underway,</w:t>
      </w:r>
      <w:r w:rsidRPr="00D661E3">
        <w:rPr>
          <w:rStyle w:val="FootnoteReference"/>
          <w:rFonts w:ascii="Palatino Linotype" w:hAnsi="Palatino Linotype"/>
          <w:color w:val="000000" w:themeColor="text1"/>
        </w:rPr>
        <w:footnoteReference w:id="106"/>
      </w:r>
      <w:r w:rsidRPr="004550BF">
        <w:rPr>
          <w:rFonts w:ascii="Palatino Linotype" w:hAnsi="Palatino Linotype"/>
          <w:color w:val="000000" w:themeColor="text1"/>
        </w:rPr>
        <w:t xml:space="preserve"> particularly by d</w:t>
      </w:r>
      <w:r w:rsidRPr="004550BF">
        <w:rPr>
          <w:rFonts w:ascii="Palatino Linotype" w:hAnsi="Palatino Linotype"/>
          <w:color w:val="000000" w:themeColor="text1"/>
          <w:szCs w:val="24"/>
        </w:rPr>
        <w:t xml:space="preserve">ifferentiating similar RD&amp;D led by other Gas RD&amp;D administrators, including: </w:t>
      </w:r>
    </w:p>
    <w:p w:rsidRPr="00D661E3" w:rsidR="000F6276" w:rsidP="000F6276" w:rsidRDefault="000F6276" w14:paraId="26B35854" w14:textId="7FCB4139">
      <w:pPr>
        <w:pStyle w:val="10sp0"/>
        <w:numPr>
          <w:ilvl w:val="1"/>
          <w:numId w:val="10"/>
        </w:numPr>
        <w:spacing w:after="0"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 xml:space="preserve">Innovative and Cost-Effective Integrity Management from </w:t>
      </w:r>
      <w:r w:rsidR="00023BA9">
        <w:rPr>
          <w:rFonts w:ascii="Palatino Linotype" w:hAnsi="Palatino Linotype" w:cs="Segoe UI"/>
          <w:bCs/>
          <w:color w:val="000000" w:themeColor="text1"/>
          <w:szCs w:val="24"/>
        </w:rPr>
        <w:br/>
      </w:r>
      <w:r w:rsidRPr="00D661E3">
        <w:rPr>
          <w:rFonts w:ascii="Palatino Linotype" w:hAnsi="Palatino Linotype" w:cs="Segoe UI"/>
          <w:bCs/>
          <w:color w:val="000000" w:themeColor="text1"/>
          <w:szCs w:val="24"/>
        </w:rPr>
        <w:t>S</w:t>
      </w:r>
      <w:r w:rsidR="00137BCF">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Operations Technology and System Inspection &amp; Monitoring Initiatives. </w:t>
      </w:r>
    </w:p>
    <w:p w:rsidRPr="00D661E3" w:rsidR="000F6276" w:rsidP="000F6276" w:rsidRDefault="000F6276" w14:paraId="12BC504B" w14:textId="279CED2B">
      <w:pPr>
        <w:pStyle w:val="10sp0"/>
        <w:numPr>
          <w:ilvl w:val="1"/>
          <w:numId w:val="10"/>
        </w:numPr>
        <w:spacing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 xml:space="preserve">Clean Fuel Integration from </w:t>
      </w:r>
      <w:r w:rsidRPr="00D661E3" w:rsidR="00137BCF">
        <w:rPr>
          <w:rFonts w:ascii="Palatino Linotype" w:hAnsi="Palatino Linotype" w:cs="Segoe UI"/>
          <w:bCs/>
          <w:color w:val="000000" w:themeColor="text1"/>
          <w:szCs w:val="24"/>
        </w:rPr>
        <w:t>S</w:t>
      </w:r>
      <w:r w:rsidR="00137BCF">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System Design &amp; Materials, RNG Infrastructure Optimization, Low Carbon Fuels Technology, and Low Carbon Fuels Integration Initiatives. </w:t>
      </w:r>
    </w:p>
    <w:p w:rsidR="000F6276" w:rsidP="00FA6672" w:rsidRDefault="000F6276" w14:paraId="2C26D30D" w14:textId="50DCD3F6">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lastRenderedPageBreak/>
        <w:t>This Resolution does not authorize PG&amp;E to resubmit its 2024 Gas RD&amp;D Plan for further Commission consideration</w:t>
      </w:r>
      <w:r w:rsidR="009B068C">
        <w:rPr>
          <w:rFonts w:ascii="Palatino Linotype" w:hAnsi="Palatino Linotype"/>
          <w:color w:val="000000" w:themeColor="text1"/>
        </w:rPr>
        <w:t xml:space="preserve"> </w:t>
      </w:r>
      <w:r w:rsidRPr="0066194B" w:rsidR="00E0422C">
        <w:rPr>
          <w:rFonts w:ascii="Palatino Linotype" w:hAnsi="Palatino Linotype"/>
          <w:color w:val="000000" w:themeColor="text1"/>
        </w:rPr>
        <w:t xml:space="preserve">due to PG&amp;E having already spent requested funds, which cannot be remedied via a revised 2024 Plan submitted via Tier 2 AL. </w:t>
      </w:r>
      <w:r w:rsidRPr="0066194B" w:rsidR="00810EC5">
        <w:rPr>
          <w:rFonts w:ascii="Palatino Linotype" w:hAnsi="Palatino Linotype"/>
          <w:color w:val="000000" w:themeColor="text1"/>
        </w:rPr>
        <w:t xml:space="preserve">Further, </w:t>
      </w:r>
      <w:r w:rsidR="00831D6F">
        <w:rPr>
          <w:rFonts w:ascii="Palatino Linotype" w:hAnsi="Palatino Linotype"/>
          <w:color w:val="000000" w:themeColor="text1"/>
        </w:rPr>
        <w:t>AL 5196-G was PG&amp;E’s fourth proposed 2024 Plan submitted via Tier 3 A</w:t>
      </w:r>
      <w:r w:rsidRPr="0097607F" w:rsidR="00831D6F">
        <w:rPr>
          <w:rFonts w:ascii="Palatino Linotype" w:hAnsi="Palatino Linotype"/>
          <w:color w:val="000000" w:themeColor="text1"/>
        </w:rPr>
        <w:t>L</w:t>
      </w:r>
      <w:r w:rsidRPr="0097607F" w:rsidR="003A174D">
        <w:rPr>
          <w:rFonts w:ascii="Palatino Linotype" w:hAnsi="Palatino Linotype"/>
          <w:color w:val="000000" w:themeColor="text1"/>
        </w:rPr>
        <w:t>.</w:t>
      </w:r>
      <w:r w:rsidRPr="0097607F" w:rsidR="003A174D">
        <w:rPr>
          <w:rStyle w:val="FootnoteReference"/>
          <w:rFonts w:ascii="Palatino Linotype" w:hAnsi="Palatino Linotype"/>
          <w:color w:val="000000" w:themeColor="text1"/>
        </w:rPr>
        <w:footnoteReference w:id="107"/>
      </w:r>
      <w:r w:rsidRPr="0097607F" w:rsidR="003A174D">
        <w:rPr>
          <w:rFonts w:ascii="Palatino Linotype" w:hAnsi="Palatino Linotype"/>
          <w:color w:val="000000" w:themeColor="text1"/>
        </w:rPr>
        <w:t xml:space="preserve"> </w:t>
      </w:r>
    </w:p>
    <w:p w:rsidRPr="00FA6672" w:rsidR="00EB5082" w:rsidP="001A49A5" w:rsidRDefault="00EB5082" w14:paraId="39D548EA" w14:textId="77777777">
      <w:pPr>
        <w:pStyle w:val="10sp0"/>
        <w:spacing w:after="0" w:line="276" w:lineRule="auto"/>
        <w:rPr>
          <w:rFonts w:ascii="Palatino Linotype" w:hAnsi="Palatino Linotype"/>
          <w:color w:val="000000" w:themeColor="text1"/>
        </w:rPr>
      </w:pPr>
    </w:p>
    <w:p w:rsidR="00527781" w:rsidP="001A49A5" w:rsidRDefault="00527781" w14:paraId="7382C000" w14:textId="6537E93E">
      <w:pPr>
        <w:pStyle w:val="10sp0"/>
        <w:spacing w:after="0" w:line="276" w:lineRule="auto"/>
        <w:rPr>
          <w:rFonts w:ascii="Palatino Linotype" w:hAnsi="Palatino Linotype"/>
          <w:b/>
          <w:bCs/>
          <w:color w:val="000000" w:themeColor="text1"/>
        </w:rPr>
      </w:pPr>
      <w:r w:rsidRPr="00D661E3">
        <w:rPr>
          <w:rFonts w:ascii="Palatino Linotype" w:hAnsi="Palatino Linotype"/>
          <w:b/>
          <w:bCs/>
          <w:color w:val="000000" w:themeColor="text1"/>
        </w:rPr>
        <w:t>Compliance Assessment of AL 5</w:t>
      </w:r>
      <w:r w:rsidRPr="00D661E3" w:rsidR="00106966">
        <w:rPr>
          <w:rFonts w:ascii="Palatino Linotype" w:hAnsi="Palatino Linotype"/>
          <w:b/>
          <w:bCs/>
          <w:color w:val="000000" w:themeColor="text1"/>
        </w:rPr>
        <w:t>197</w:t>
      </w:r>
      <w:r w:rsidRPr="00D661E3">
        <w:rPr>
          <w:rFonts w:ascii="Palatino Linotype" w:hAnsi="Palatino Linotype"/>
          <w:b/>
          <w:bCs/>
          <w:color w:val="000000" w:themeColor="text1"/>
        </w:rPr>
        <w:t xml:space="preserve">-G </w:t>
      </w:r>
      <w:r w:rsidRPr="00D661E3" w:rsidR="00067ABF">
        <w:rPr>
          <w:rFonts w:ascii="Palatino Linotype" w:hAnsi="Palatino Linotype"/>
          <w:b/>
          <w:bCs/>
          <w:color w:val="000000" w:themeColor="text1"/>
        </w:rPr>
        <w:t>– 2025 Gas RD&amp;D Plan</w:t>
      </w:r>
    </w:p>
    <w:p w:rsidRPr="00D661E3" w:rsidR="001A49A5" w:rsidP="001A49A5" w:rsidRDefault="001A49A5" w14:paraId="51C50BF8" w14:textId="77777777">
      <w:pPr>
        <w:pStyle w:val="10sp0"/>
        <w:spacing w:after="0" w:line="276" w:lineRule="auto"/>
        <w:rPr>
          <w:rFonts w:ascii="Palatino Linotype" w:hAnsi="Palatino Linotype"/>
          <w:b/>
          <w:bCs/>
          <w:color w:val="000000" w:themeColor="text1"/>
        </w:rPr>
      </w:pPr>
    </w:p>
    <w:p w:rsidRPr="00E22E8D" w:rsidR="004931F9" w:rsidP="004931F9" w:rsidRDefault="00527781" w14:paraId="55F03448" w14:textId="79798F48">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The Commission conducted a compliance assessment of PG&amp;E’s AL 5</w:t>
      </w:r>
      <w:r w:rsidRPr="00D661E3" w:rsidR="0041786A">
        <w:rPr>
          <w:rFonts w:ascii="Palatino Linotype" w:hAnsi="Palatino Linotype"/>
          <w:color w:val="000000" w:themeColor="text1"/>
        </w:rPr>
        <w:t>197</w:t>
      </w:r>
      <w:r w:rsidRPr="00D661E3">
        <w:rPr>
          <w:rFonts w:ascii="Palatino Linotype" w:hAnsi="Palatino Linotype"/>
          <w:color w:val="000000" w:themeColor="text1"/>
        </w:rPr>
        <w:t>-G</w:t>
      </w:r>
      <w:r w:rsidRPr="00D661E3">
        <w:rPr>
          <w:rStyle w:val="FootnoteReference"/>
          <w:rFonts w:ascii="Palatino Linotype" w:hAnsi="Palatino Linotype"/>
          <w:color w:val="000000" w:themeColor="text1"/>
        </w:rPr>
        <w:footnoteReference w:id="108"/>
      </w:r>
      <w:r w:rsidRPr="00D661E3">
        <w:rPr>
          <w:rFonts w:ascii="Palatino Linotype" w:hAnsi="Palatino Linotype"/>
          <w:color w:val="000000" w:themeColor="text1"/>
        </w:rPr>
        <w:t xml:space="preserve"> </w:t>
      </w:r>
      <w:r w:rsidRPr="00D661E3" w:rsidR="00F443F3">
        <w:rPr>
          <w:rFonts w:ascii="Palatino Linotype" w:hAnsi="Palatino Linotype"/>
          <w:color w:val="000000" w:themeColor="text1"/>
        </w:rPr>
        <w:t xml:space="preserve">proposing </w:t>
      </w:r>
      <w:r w:rsidRPr="00D661E3">
        <w:rPr>
          <w:rFonts w:ascii="Palatino Linotype" w:hAnsi="Palatino Linotype"/>
          <w:color w:val="000000" w:themeColor="text1"/>
        </w:rPr>
        <w:t xml:space="preserve">its </w:t>
      </w:r>
      <w:r w:rsidR="00357E88">
        <w:rPr>
          <w:rFonts w:ascii="Palatino Linotype" w:hAnsi="Palatino Linotype"/>
          <w:color w:val="000000" w:themeColor="text1"/>
        </w:rPr>
        <w:t xml:space="preserve">revised </w:t>
      </w:r>
      <w:r w:rsidRPr="00D661E3">
        <w:rPr>
          <w:rFonts w:ascii="Palatino Linotype" w:hAnsi="Palatino Linotype"/>
          <w:color w:val="000000" w:themeColor="text1"/>
        </w:rPr>
        <w:t>2025 Gas RD&amp;D Investment Plan</w:t>
      </w:r>
      <w:r w:rsidRPr="00D661E3" w:rsidR="196BDD62">
        <w:rPr>
          <w:rFonts w:ascii="Palatino Linotype" w:hAnsi="Palatino Linotype"/>
          <w:color w:val="000000" w:themeColor="text1"/>
        </w:rPr>
        <w:t>.</w:t>
      </w:r>
      <w:r w:rsidRPr="00D661E3">
        <w:rPr>
          <w:rFonts w:ascii="Palatino Linotype" w:hAnsi="Palatino Linotype"/>
          <w:color w:val="000000" w:themeColor="text1"/>
        </w:rPr>
        <w:t xml:space="preserve"> </w:t>
      </w:r>
      <w:r w:rsidRPr="00D661E3" w:rsidR="196BDD62">
        <w:rPr>
          <w:rFonts w:ascii="Palatino Linotype" w:hAnsi="Palatino Linotype"/>
          <w:color w:val="000000" w:themeColor="text1"/>
        </w:rPr>
        <w:t>As described above, staff assessed PG&amp;</w:t>
      </w:r>
      <w:proofErr w:type="gramStart"/>
      <w:r w:rsidRPr="00D661E3" w:rsidR="196BDD62">
        <w:rPr>
          <w:rFonts w:ascii="Palatino Linotype" w:hAnsi="Palatino Linotype"/>
          <w:color w:val="000000" w:themeColor="text1"/>
        </w:rPr>
        <w:t>E‘</w:t>
      </w:r>
      <w:proofErr w:type="gramEnd"/>
      <w:r w:rsidRPr="00D661E3" w:rsidR="196BDD62">
        <w:rPr>
          <w:rFonts w:ascii="Palatino Linotype" w:hAnsi="Palatino Linotype"/>
          <w:color w:val="000000" w:themeColor="text1"/>
        </w:rPr>
        <w:t>s 2025 Plan</w:t>
      </w:r>
      <w:r w:rsidRPr="00D661E3">
        <w:rPr>
          <w:rFonts w:ascii="Palatino Linotype" w:hAnsi="Palatino Linotype"/>
          <w:color w:val="000000" w:themeColor="text1"/>
        </w:rPr>
        <w:t xml:space="preserve"> based on consistency with requirements set in D.23-11-069</w:t>
      </w:r>
      <w:r w:rsidR="00F77CEB">
        <w:rPr>
          <w:rFonts w:ascii="Palatino Linotype" w:hAnsi="Palatino Linotype"/>
          <w:color w:val="000000" w:themeColor="text1"/>
        </w:rPr>
        <w:t xml:space="preserve">, </w:t>
      </w:r>
      <w:r w:rsidRPr="00D661E3">
        <w:rPr>
          <w:rFonts w:ascii="Palatino Linotype" w:hAnsi="Palatino Linotype"/>
          <w:color w:val="000000" w:themeColor="text1"/>
        </w:rPr>
        <w:t>Public Utilities Code 740.1,</w:t>
      </w:r>
      <w:r w:rsidRPr="00D661E3" w:rsidR="00A736D6">
        <w:rPr>
          <w:rStyle w:val="FootnoteReference"/>
          <w:rFonts w:ascii="Palatino Linotype" w:hAnsi="Palatino Linotype"/>
          <w:color w:val="000000" w:themeColor="text1"/>
        </w:rPr>
        <w:footnoteReference w:id="109"/>
      </w:r>
      <w:r w:rsidRPr="00D661E3">
        <w:rPr>
          <w:rFonts w:ascii="Palatino Linotype" w:hAnsi="Palatino Linotype"/>
          <w:color w:val="000000" w:themeColor="text1"/>
        </w:rPr>
        <w:t xml:space="preserve"> </w:t>
      </w:r>
      <w:r w:rsidRPr="00D661E3" w:rsidR="00F77CEB">
        <w:rPr>
          <w:rFonts w:ascii="Palatino Linotype" w:hAnsi="Palatino Linotype"/>
          <w:color w:val="000000" w:themeColor="text1"/>
        </w:rPr>
        <w:t>and Resolution G-3618,</w:t>
      </w:r>
      <w:r w:rsidRPr="00D661E3" w:rsidR="00F77CEB">
        <w:rPr>
          <w:rStyle w:val="FootnoteReference"/>
          <w:rFonts w:ascii="Palatino Linotype" w:hAnsi="Palatino Linotype"/>
          <w:color w:val="000000" w:themeColor="text1"/>
        </w:rPr>
        <w:footnoteReference w:id="110"/>
      </w:r>
      <w:r w:rsidRPr="00D661E3" w:rsidR="00F77CEB">
        <w:rPr>
          <w:rFonts w:ascii="Palatino Linotype" w:hAnsi="Palatino Linotype"/>
          <w:color w:val="000000" w:themeColor="text1"/>
        </w:rPr>
        <w:t xml:space="preserve"> </w:t>
      </w:r>
      <w:r w:rsidRPr="00D661E3">
        <w:rPr>
          <w:rFonts w:ascii="Palatino Linotype" w:hAnsi="Palatino Linotype"/>
          <w:color w:val="000000" w:themeColor="text1"/>
        </w:rPr>
        <w:t xml:space="preserve">among </w:t>
      </w:r>
      <w:r w:rsidRPr="00D661E3" w:rsidR="00851E7E">
        <w:rPr>
          <w:rFonts w:ascii="Palatino Linotype" w:hAnsi="Palatino Linotype"/>
          <w:color w:val="000000" w:themeColor="text1"/>
        </w:rPr>
        <w:t>other</w:t>
      </w:r>
      <w:r w:rsidRPr="00D661E3">
        <w:rPr>
          <w:rFonts w:ascii="Palatino Linotype" w:hAnsi="Palatino Linotype"/>
          <w:color w:val="000000" w:themeColor="text1"/>
        </w:rPr>
        <w:t xml:space="preserve"> Commission guidance.</w:t>
      </w:r>
      <w:r w:rsidRPr="00D661E3">
        <w:rPr>
          <w:rStyle w:val="FootnoteReference"/>
          <w:rFonts w:ascii="Palatino Linotype" w:hAnsi="Palatino Linotype"/>
          <w:color w:val="000000" w:themeColor="text1"/>
        </w:rPr>
        <w:footnoteReference w:id="111"/>
      </w:r>
      <w:r w:rsidRPr="00D661E3">
        <w:rPr>
          <w:rFonts w:ascii="Palatino Linotype" w:hAnsi="Palatino Linotype"/>
          <w:color w:val="000000" w:themeColor="text1"/>
        </w:rPr>
        <w:t xml:space="preserve"> </w:t>
      </w:r>
      <w:r w:rsidRPr="00D661E3" w:rsidR="00E636DC">
        <w:rPr>
          <w:rFonts w:ascii="Palatino Linotype" w:hAnsi="Palatino Linotype"/>
          <w:color w:val="000000" w:themeColor="text1"/>
        </w:rPr>
        <w:t>In summary, t</w:t>
      </w:r>
      <w:r w:rsidRPr="00D661E3" w:rsidR="004931F9">
        <w:rPr>
          <w:rFonts w:ascii="Palatino Linotype" w:hAnsi="Palatino Linotype"/>
          <w:color w:val="000000" w:themeColor="text1"/>
        </w:rPr>
        <w:t>he Commission finds that PG&amp;E is not compliant with these requirements in AL 5</w:t>
      </w:r>
      <w:r w:rsidR="00934DAD">
        <w:rPr>
          <w:rFonts w:ascii="Palatino Linotype" w:hAnsi="Palatino Linotype"/>
          <w:color w:val="000000" w:themeColor="text1"/>
        </w:rPr>
        <w:t>1</w:t>
      </w:r>
      <w:r w:rsidRPr="00D661E3" w:rsidR="004931F9">
        <w:rPr>
          <w:rFonts w:ascii="Palatino Linotype" w:hAnsi="Palatino Linotype"/>
          <w:color w:val="000000" w:themeColor="text1"/>
        </w:rPr>
        <w:t>6</w:t>
      </w:r>
      <w:r w:rsidRPr="00D661E3" w:rsidR="00A76294">
        <w:rPr>
          <w:rFonts w:ascii="Palatino Linotype" w:hAnsi="Palatino Linotype"/>
          <w:color w:val="000000" w:themeColor="text1"/>
        </w:rPr>
        <w:t>7</w:t>
      </w:r>
      <w:r w:rsidRPr="00D661E3" w:rsidR="004931F9">
        <w:rPr>
          <w:rFonts w:ascii="Palatino Linotype" w:hAnsi="Palatino Linotype"/>
          <w:color w:val="000000" w:themeColor="text1"/>
        </w:rPr>
        <w:t xml:space="preserve">-G </w:t>
      </w:r>
      <w:r w:rsidRPr="00E22E8D" w:rsidR="00A80377">
        <w:rPr>
          <w:rFonts w:ascii="Palatino Linotype" w:hAnsi="Palatino Linotype"/>
          <w:color w:val="000000" w:themeColor="text1"/>
        </w:rPr>
        <w:t>for the following reasons</w:t>
      </w:r>
      <w:r w:rsidRPr="00E22E8D" w:rsidR="00593C50">
        <w:rPr>
          <w:rFonts w:ascii="Palatino Linotype" w:hAnsi="Palatino Linotype"/>
          <w:color w:val="000000" w:themeColor="text1"/>
        </w:rPr>
        <w:t xml:space="preserve"> and must</w:t>
      </w:r>
      <w:r w:rsidRPr="00E22E8D" w:rsidR="00A267AD">
        <w:rPr>
          <w:rFonts w:ascii="Palatino Linotype" w:hAnsi="Palatino Linotype"/>
          <w:color w:val="000000" w:themeColor="text1"/>
        </w:rPr>
        <w:t xml:space="preserve"> </w:t>
      </w:r>
      <w:r w:rsidRPr="00E22E8D" w:rsidR="00005176">
        <w:rPr>
          <w:rFonts w:ascii="Palatino Linotype" w:hAnsi="Palatino Linotype"/>
          <w:color w:val="000000" w:themeColor="text1"/>
        </w:rPr>
        <w:t xml:space="preserve">address </w:t>
      </w:r>
      <w:r w:rsidRPr="00E22E8D" w:rsidR="7DA3C159">
        <w:rPr>
          <w:rFonts w:ascii="Palatino Linotype" w:hAnsi="Palatino Linotype"/>
          <w:color w:val="000000" w:themeColor="text1"/>
        </w:rPr>
        <w:t xml:space="preserve">the deficiencies </w:t>
      </w:r>
      <w:r w:rsidRPr="00E22E8D" w:rsidR="00005176">
        <w:rPr>
          <w:rFonts w:ascii="Palatino Linotype" w:hAnsi="Palatino Linotype"/>
          <w:color w:val="000000" w:themeColor="text1"/>
        </w:rPr>
        <w:t xml:space="preserve">in </w:t>
      </w:r>
      <w:r w:rsidRPr="00E22E8D" w:rsidR="4C80C628">
        <w:rPr>
          <w:rFonts w:ascii="Palatino Linotype" w:hAnsi="Palatino Linotype"/>
          <w:color w:val="000000" w:themeColor="text1"/>
        </w:rPr>
        <w:t>a subsequent</w:t>
      </w:r>
      <w:r w:rsidRPr="00E22E8D" w:rsidR="00005176">
        <w:rPr>
          <w:rFonts w:ascii="Palatino Linotype" w:hAnsi="Palatino Linotype"/>
          <w:color w:val="000000" w:themeColor="text1"/>
        </w:rPr>
        <w:t xml:space="preserve"> Tier 2 AL </w:t>
      </w:r>
      <w:r w:rsidRPr="00E22E8D" w:rsidR="00A267AD">
        <w:rPr>
          <w:rFonts w:ascii="Palatino Linotype" w:hAnsi="Palatino Linotype"/>
          <w:color w:val="000000" w:themeColor="text1"/>
        </w:rPr>
        <w:t xml:space="preserve">(See Appendix </w:t>
      </w:r>
      <w:r w:rsidRPr="00E22E8D" w:rsidR="002E0514">
        <w:rPr>
          <w:rFonts w:ascii="Palatino Linotype" w:hAnsi="Palatino Linotype"/>
          <w:color w:val="000000" w:themeColor="text1"/>
        </w:rPr>
        <w:t>F</w:t>
      </w:r>
      <w:r w:rsidRPr="00E22E8D" w:rsidR="00A267AD">
        <w:rPr>
          <w:rFonts w:ascii="Palatino Linotype" w:hAnsi="Palatino Linotype"/>
          <w:color w:val="000000" w:themeColor="text1"/>
        </w:rPr>
        <w:t xml:space="preserve"> for details)</w:t>
      </w:r>
      <w:r w:rsidRPr="00E22E8D" w:rsidR="00A80377">
        <w:rPr>
          <w:rFonts w:ascii="Palatino Linotype" w:hAnsi="Palatino Linotype"/>
          <w:color w:val="000000" w:themeColor="text1"/>
        </w:rPr>
        <w:t xml:space="preserve">: </w:t>
      </w:r>
    </w:p>
    <w:p w:rsidRPr="00E22E8D" w:rsidR="001511E5" w:rsidP="002A59FC" w:rsidRDefault="001511E5" w14:paraId="11293C1A" w14:textId="7EEFE5C0">
      <w:pPr>
        <w:pStyle w:val="10sp0"/>
        <w:numPr>
          <w:ilvl w:val="0"/>
          <w:numId w:val="11"/>
        </w:numPr>
        <w:spacing w:after="0" w:line="276" w:lineRule="auto"/>
        <w:rPr>
          <w:rFonts w:ascii="Palatino Linotype" w:hAnsi="Palatino Linotype"/>
          <w:color w:val="000000" w:themeColor="text1"/>
        </w:rPr>
      </w:pPr>
      <w:r w:rsidRPr="00E22E8D">
        <w:rPr>
          <w:rFonts w:ascii="Palatino Linotype" w:hAnsi="Palatino Linotype" w:eastAsia="Palatino Linotype"/>
          <w:color w:val="000000" w:themeColor="text1"/>
        </w:rPr>
        <w:t>PG&amp;E’s proposed Program Administrative budget does not comply with the 10% cap of its total proposed budget.</w:t>
      </w:r>
      <w:r w:rsidRPr="00E22E8D">
        <w:rPr>
          <w:rStyle w:val="FootnoteReference"/>
          <w:rFonts w:ascii="Palatino Linotype" w:hAnsi="Palatino Linotype" w:eastAsia="Palatino Linotype"/>
          <w:color w:val="000000" w:themeColor="text1"/>
        </w:rPr>
        <w:footnoteReference w:id="112"/>
      </w:r>
    </w:p>
    <w:p w:rsidRPr="00E22E8D" w:rsidR="00C710D8" w:rsidP="00410D58" w:rsidRDefault="00C710D8" w14:paraId="7DDDA40C" w14:textId="08161154">
      <w:pPr>
        <w:pStyle w:val="10sp0"/>
        <w:numPr>
          <w:ilvl w:val="0"/>
          <w:numId w:val="11"/>
        </w:numPr>
        <w:spacing w:after="0" w:line="276" w:lineRule="auto"/>
        <w:rPr>
          <w:rFonts w:ascii="Palatino Linotype" w:hAnsi="Palatino Linotype"/>
          <w:color w:val="000000" w:themeColor="text1"/>
        </w:rPr>
      </w:pPr>
      <w:r w:rsidRPr="00E22E8D">
        <w:rPr>
          <w:rFonts w:ascii="Palatino Linotype" w:hAnsi="Palatino Linotype"/>
          <w:color w:val="000000" w:themeColor="text1"/>
        </w:rPr>
        <w:t xml:space="preserve">PG&amp;E does not demonstrate that Initiatives are complementary </w:t>
      </w:r>
      <w:r w:rsidRPr="00E22E8D" w:rsidR="0080047A">
        <w:rPr>
          <w:rFonts w:ascii="Palatino Linotype" w:hAnsi="Palatino Linotype"/>
          <w:color w:val="000000" w:themeColor="text1"/>
        </w:rPr>
        <w:t xml:space="preserve">and </w:t>
      </w:r>
      <w:r w:rsidRPr="00E22E8D">
        <w:rPr>
          <w:rFonts w:ascii="Palatino Linotype" w:hAnsi="Palatino Linotype"/>
          <w:color w:val="000000" w:themeColor="text1"/>
        </w:rPr>
        <w:t>not duplicative of RD&amp;D currently, previously, or imminently underway,</w:t>
      </w:r>
      <w:r w:rsidRPr="00E22E8D">
        <w:rPr>
          <w:rStyle w:val="FootnoteReference"/>
          <w:rFonts w:ascii="Palatino Linotype" w:hAnsi="Palatino Linotype"/>
          <w:color w:val="000000" w:themeColor="text1"/>
        </w:rPr>
        <w:footnoteReference w:id="113"/>
      </w:r>
      <w:r w:rsidRPr="00E22E8D">
        <w:rPr>
          <w:rFonts w:ascii="Palatino Linotype" w:hAnsi="Palatino Linotype"/>
          <w:color w:val="000000" w:themeColor="text1"/>
        </w:rPr>
        <w:t xml:space="preserve"> </w:t>
      </w:r>
      <w:r w:rsidRPr="00E22E8D" w:rsidR="002E199F">
        <w:rPr>
          <w:rFonts w:ascii="Palatino Linotype" w:hAnsi="Palatino Linotype"/>
          <w:color w:val="000000" w:themeColor="text1"/>
        </w:rPr>
        <w:t>particularly</w:t>
      </w:r>
      <w:r w:rsidRPr="00E22E8D">
        <w:rPr>
          <w:rFonts w:ascii="Palatino Linotype" w:hAnsi="Palatino Linotype"/>
          <w:color w:val="000000" w:themeColor="text1"/>
        </w:rPr>
        <w:t xml:space="preserve"> by: </w:t>
      </w:r>
    </w:p>
    <w:p w:rsidRPr="00D661E3" w:rsidR="00074ADD" w:rsidP="000A4520" w:rsidRDefault="008018A5" w14:paraId="33BE9347" w14:textId="7BDF4385">
      <w:pPr>
        <w:pStyle w:val="10sp0"/>
        <w:numPr>
          <w:ilvl w:val="1"/>
          <w:numId w:val="11"/>
        </w:numPr>
        <w:spacing w:after="0" w:line="276" w:lineRule="auto"/>
        <w:rPr>
          <w:rFonts w:ascii="Palatino Linotype" w:hAnsi="Palatino Linotype"/>
          <w:color w:val="000000" w:themeColor="text1"/>
        </w:rPr>
      </w:pPr>
      <w:r w:rsidRPr="35051AC6">
        <w:rPr>
          <w:rFonts w:ascii="Palatino Linotype" w:hAnsi="Palatino Linotype"/>
          <w:color w:val="000000" w:themeColor="text1"/>
        </w:rPr>
        <w:lastRenderedPageBreak/>
        <w:t xml:space="preserve">Demonstrating incremental value added </w:t>
      </w:r>
      <w:r w:rsidRPr="35051AC6" w:rsidR="000A4520">
        <w:rPr>
          <w:rFonts w:ascii="Palatino Linotype" w:hAnsi="Palatino Linotype"/>
          <w:color w:val="000000" w:themeColor="text1"/>
        </w:rPr>
        <w:t xml:space="preserve">through multi-year (2024 and 2025 Plan) funding for the </w:t>
      </w:r>
      <w:r w:rsidRPr="35051AC6" w:rsidR="00336FD9">
        <w:rPr>
          <w:rFonts w:ascii="Palatino Linotype" w:hAnsi="Palatino Linotype" w:eastAsia="Palatino Linotype"/>
          <w:color w:val="000000" w:themeColor="text1"/>
        </w:rPr>
        <w:t>Innovative and Cost-Effective Integrity Management</w:t>
      </w:r>
      <w:r w:rsidRPr="35051AC6" w:rsidR="00C710D8">
        <w:rPr>
          <w:rFonts w:ascii="Palatino Linotype" w:hAnsi="Palatino Linotype"/>
          <w:color w:val="000000" w:themeColor="text1"/>
        </w:rPr>
        <w:t xml:space="preserve"> Initiative</w:t>
      </w:r>
      <w:r w:rsidRPr="35051AC6" w:rsidR="000A4520">
        <w:rPr>
          <w:rFonts w:ascii="Palatino Linotype" w:hAnsi="Palatino Linotype"/>
          <w:color w:val="000000" w:themeColor="text1"/>
        </w:rPr>
        <w:t>.</w:t>
      </w:r>
    </w:p>
    <w:p w:rsidRPr="00D661E3" w:rsidR="00EA19B1" w:rsidP="00EA19B1" w:rsidRDefault="00074ADD" w14:paraId="0CEDE1AF" w14:textId="52996F79">
      <w:pPr>
        <w:pStyle w:val="10sp0"/>
        <w:numPr>
          <w:ilvl w:val="1"/>
          <w:numId w:val="11"/>
        </w:numPr>
        <w:spacing w:after="0" w:line="276" w:lineRule="auto"/>
        <w:rPr>
          <w:rFonts w:ascii="Palatino Linotype" w:hAnsi="Palatino Linotype"/>
          <w:color w:val="000000" w:themeColor="text1"/>
        </w:rPr>
      </w:pPr>
      <w:r w:rsidRPr="35051AC6">
        <w:rPr>
          <w:rFonts w:ascii="Palatino Linotype" w:hAnsi="Palatino Linotype"/>
          <w:color w:val="000000" w:themeColor="text1"/>
        </w:rPr>
        <w:t xml:space="preserve">Differentiating </w:t>
      </w:r>
      <w:r w:rsidRPr="35051AC6" w:rsidR="004D1AE6">
        <w:rPr>
          <w:rFonts w:ascii="Palatino Linotype" w:hAnsi="Palatino Linotype"/>
          <w:color w:val="000000" w:themeColor="text1"/>
        </w:rPr>
        <w:t xml:space="preserve">similar RD&amp;D led by other Gas RD&amp;D administrators, including: </w:t>
      </w:r>
    </w:p>
    <w:p w:rsidRPr="00D661E3" w:rsidR="00EA19B1" w:rsidP="00EA19B1" w:rsidRDefault="008D1F62" w14:paraId="20F37FEE" w14:textId="0A36B54A">
      <w:pPr>
        <w:pStyle w:val="10sp0"/>
        <w:numPr>
          <w:ilvl w:val="2"/>
          <w:numId w:val="11"/>
        </w:numPr>
        <w:spacing w:after="0"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Innovative and Cost-Effective Integrity Management from S</w:t>
      </w:r>
      <w:r w:rsidR="003B74E3">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w:t>
      </w:r>
      <w:r w:rsidRPr="00D661E3" w:rsidR="00EA19B1">
        <w:rPr>
          <w:rFonts w:ascii="Palatino Linotype" w:hAnsi="Palatino Linotype" w:cs="Segoe UI"/>
          <w:bCs/>
          <w:color w:val="000000" w:themeColor="text1"/>
          <w:szCs w:val="24"/>
        </w:rPr>
        <w:t xml:space="preserve"> </w:t>
      </w:r>
      <w:r w:rsidRPr="00D661E3">
        <w:rPr>
          <w:rFonts w:ascii="Palatino Linotype" w:hAnsi="Palatino Linotype" w:cs="Segoe UI"/>
          <w:bCs/>
          <w:color w:val="000000" w:themeColor="text1"/>
          <w:szCs w:val="24"/>
        </w:rPr>
        <w:t xml:space="preserve">Operations Technology </w:t>
      </w:r>
      <w:r w:rsidRPr="00D661E3" w:rsidR="00EA19B1">
        <w:rPr>
          <w:rFonts w:ascii="Palatino Linotype" w:hAnsi="Palatino Linotype" w:cs="Segoe UI"/>
          <w:bCs/>
          <w:color w:val="000000" w:themeColor="text1"/>
          <w:szCs w:val="24"/>
        </w:rPr>
        <w:t xml:space="preserve">and </w:t>
      </w:r>
      <w:r w:rsidRPr="00D661E3">
        <w:rPr>
          <w:rFonts w:ascii="Palatino Linotype" w:hAnsi="Palatino Linotype" w:cs="Segoe UI"/>
          <w:bCs/>
          <w:color w:val="000000" w:themeColor="text1"/>
          <w:szCs w:val="24"/>
        </w:rPr>
        <w:t xml:space="preserve">System Inspection &amp; Monitoring Initiatives. </w:t>
      </w:r>
    </w:p>
    <w:p w:rsidRPr="001A49A5" w:rsidR="00F146DD" w:rsidP="001A49A5" w:rsidRDefault="00EA19B1" w14:paraId="5A4F9CDD" w14:textId="1E95EF7B">
      <w:pPr>
        <w:pStyle w:val="10sp0"/>
        <w:numPr>
          <w:ilvl w:val="2"/>
          <w:numId w:val="11"/>
        </w:numPr>
        <w:spacing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Clean Fuel Integration from S</w:t>
      </w:r>
      <w:r w:rsidR="003B74E3">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System Design &amp; Materials, RNG Infrastructure Optimization, Low Carbon Fuels Technology, and Low Carbon Fuels Integration Initiatives. </w:t>
      </w:r>
    </w:p>
    <w:p w:rsidRPr="0097607F" w:rsidR="00F146DD" w:rsidP="00F146DD" w:rsidRDefault="22AAE7A8" w14:paraId="350122B2" w14:textId="08A10058">
      <w:pPr>
        <w:pStyle w:val="10sp0"/>
        <w:spacing w:after="0" w:line="276" w:lineRule="auto"/>
        <w:rPr>
          <w:rFonts w:ascii="Palatino Linotype" w:hAnsi="Palatino Linotype"/>
          <w:color w:val="000000" w:themeColor="text1"/>
        </w:rPr>
      </w:pPr>
      <w:r w:rsidRPr="00B565A5">
        <w:rPr>
          <w:rFonts w:ascii="Palatino Linotype" w:hAnsi="Palatino Linotype"/>
          <w:color w:val="000000" w:themeColor="text1"/>
        </w:rPr>
        <w:t>Additionally</w:t>
      </w:r>
      <w:r w:rsidRPr="00B565A5" w:rsidR="5FE98B1C">
        <w:rPr>
          <w:rFonts w:ascii="Palatino Linotype" w:hAnsi="Palatino Linotype"/>
          <w:color w:val="000000" w:themeColor="text1"/>
        </w:rPr>
        <w:t xml:space="preserve">, </w:t>
      </w:r>
      <w:r w:rsidRPr="00B565A5" w:rsidR="00B674D7">
        <w:rPr>
          <w:rFonts w:ascii="Palatino Linotype" w:hAnsi="Palatino Linotype"/>
          <w:color w:val="000000" w:themeColor="text1"/>
        </w:rPr>
        <w:t>t</w:t>
      </w:r>
      <w:r w:rsidRPr="00B565A5" w:rsidR="00F146DD">
        <w:rPr>
          <w:rFonts w:ascii="Palatino Linotype" w:hAnsi="Palatino Linotype"/>
          <w:color w:val="000000" w:themeColor="text1"/>
        </w:rPr>
        <w:t xml:space="preserve">he </w:t>
      </w:r>
      <w:r w:rsidRPr="0097607F" w:rsidR="00F146DD">
        <w:rPr>
          <w:rFonts w:ascii="Palatino Linotype" w:hAnsi="Palatino Linotype"/>
          <w:color w:val="000000" w:themeColor="text1"/>
        </w:rPr>
        <w:t xml:space="preserve">Commission denies PG&amp;E’s proposed budget allocations of </w:t>
      </w:r>
      <w:r w:rsidRPr="0097607F" w:rsidR="00F146DD">
        <w:rPr>
          <w:rFonts w:ascii="Palatino Linotype" w:hAnsi="Palatino Linotype" w:eastAsia="Palatino Linotype"/>
          <w:color w:val="000000" w:themeColor="text1"/>
        </w:rPr>
        <w:t>$294,400 for its proportional share of a Gas RD&amp;D Program Evaluation</w:t>
      </w:r>
      <w:r w:rsidRPr="0097607F" w:rsidR="00F146DD">
        <w:rPr>
          <w:rStyle w:val="FootnoteReference"/>
          <w:rFonts w:ascii="Palatino Linotype" w:hAnsi="Palatino Linotype" w:eastAsia="Palatino Linotype"/>
          <w:color w:val="000000" w:themeColor="text1"/>
        </w:rPr>
        <w:footnoteReference w:id="114"/>
      </w:r>
      <w:r w:rsidRPr="0097607F" w:rsidR="00F146DD">
        <w:rPr>
          <w:rFonts w:ascii="Palatino Linotype" w:hAnsi="Palatino Linotype" w:eastAsia="Palatino Linotype"/>
          <w:color w:val="000000" w:themeColor="text1"/>
        </w:rPr>
        <w:t xml:space="preserve"> and $56,987 for its proportional share of developing a comprehensive Gas RD&amp;D Database</w:t>
      </w:r>
      <w:r w:rsidRPr="35051AC6" w:rsidR="00F146DD">
        <w:rPr>
          <w:rFonts w:ascii="Palatino Linotype" w:hAnsi="Palatino Linotype" w:eastAsia="Palatino Linotype"/>
          <w:color w:val="000000" w:themeColor="text1"/>
        </w:rPr>
        <w:t>.</w:t>
      </w:r>
      <w:r w:rsidRPr="35051AC6" w:rsidR="00F146DD">
        <w:rPr>
          <w:rStyle w:val="FootnoteReference"/>
          <w:rFonts w:ascii="Palatino Linotype" w:hAnsi="Palatino Linotype" w:eastAsia="Palatino Linotype"/>
          <w:color w:val="000000" w:themeColor="text1"/>
        </w:rPr>
        <w:footnoteReference w:id="115"/>
      </w:r>
      <w:r w:rsidRPr="35051AC6" w:rsidR="00F146DD">
        <w:rPr>
          <w:rFonts w:ascii="Palatino Linotype" w:hAnsi="Palatino Linotype" w:eastAsia="Palatino Linotype"/>
          <w:color w:val="000000" w:themeColor="text1"/>
        </w:rPr>
        <w:t xml:space="preserve"> Instead</w:t>
      </w:r>
      <w:r w:rsidRPr="0097607F"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 xml:space="preserve">the Commission </w:t>
      </w:r>
      <w:r w:rsidRPr="004F12F7" w:rsidR="004F12F7">
        <w:rPr>
          <w:rFonts w:ascii="Palatino Linotype" w:hAnsi="Palatino Linotype" w:eastAsia="Palatino Linotype"/>
          <w:bCs/>
          <w:color w:val="000000" w:themeColor="text1"/>
        </w:rPr>
        <w:t xml:space="preserve">will determine a process </w:t>
      </w:r>
      <w:r w:rsidRPr="004F12F7" w:rsidR="00F146DD">
        <w:rPr>
          <w:rFonts w:ascii="Palatino Linotype" w:hAnsi="Palatino Linotype" w:eastAsia="Palatino Linotype"/>
          <w:color w:val="000000" w:themeColor="text1"/>
        </w:rPr>
        <w:t xml:space="preserve">to establish holistic </w:t>
      </w:r>
      <w:r w:rsidRPr="004F12F7" w:rsidR="004F12F7">
        <w:rPr>
          <w:rFonts w:ascii="Palatino Linotype" w:hAnsi="Palatino Linotype" w:eastAsia="Palatino Linotype"/>
          <w:bCs/>
          <w:color w:val="000000" w:themeColor="text1"/>
        </w:rPr>
        <w:t xml:space="preserve">oversight across all Gas RD&amp;D administrators </w:t>
      </w:r>
      <w:r w:rsidRPr="004F12F7" w:rsidR="00F146DD">
        <w:rPr>
          <w:rFonts w:ascii="Palatino Linotype" w:hAnsi="Palatino Linotype" w:eastAsia="Palatino Linotype"/>
          <w:color w:val="000000" w:themeColor="text1"/>
        </w:rPr>
        <w:t xml:space="preserve">for </w:t>
      </w:r>
      <w:r w:rsidRPr="004F12F7" w:rsidR="004F12F7">
        <w:rPr>
          <w:rFonts w:ascii="Palatino Linotype" w:hAnsi="Palatino Linotype" w:eastAsia="Palatino Linotype"/>
          <w:bCs/>
          <w:color w:val="000000" w:themeColor="text1"/>
        </w:rPr>
        <w:t xml:space="preserve">efficiency and effectiveness in </w:t>
      </w:r>
      <w:r w:rsidRPr="004F12F7" w:rsidR="00F146DD">
        <w:rPr>
          <w:rFonts w:ascii="Palatino Linotype" w:hAnsi="Palatino Linotype" w:eastAsia="Palatino Linotype"/>
          <w:color w:val="000000" w:themeColor="text1"/>
        </w:rPr>
        <w:t>the allocation of funds</w:t>
      </w:r>
      <w:r w:rsidRPr="004F12F7" w:rsidDel="008046B4"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conduct</w:t>
      </w:r>
      <w:r w:rsidRPr="004F12F7" w:rsidDel="008046B4" w:rsidR="00F146DD">
        <w:rPr>
          <w:rFonts w:ascii="Palatino Linotype" w:hAnsi="Palatino Linotype" w:eastAsia="Palatino Linotype"/>
          <w:color w:val="000000" w:themeColor="text1"/>
        </w:rPr>
        <w:t>ing</w:t>
      </w:r>
      <w:r w:rsidRPr="004F12F7" w:rsidR="00F146DD">
        <w:rPr>
          <w:rFonts w:ascii="Palatino Linotype" w:hAnsi="Palatino Linotype" w:eastAsia="Palatino Linotype"/>
          <w:color w:val="000000" w:themeColor="text1"/>
        </w:rPr>
        <w:t xml:space="preserve"> the </w:t>
      </w:r>
      <w:r w:rsidRPr="5CFAD929" w:rsidR="00F146DD">
        <w:rPr>
          <w:rFonts w:ascii="Palatino Linotype" w:hAnsi="Palatino Linotype" w:eastAsia="Palatino Linotype"/>
          <w:color w:val="000000" w:themeColor="text1"/>
        </w:rPr>
        <w:t>evaluation</w:t>
      </w:r>
      <w:r w:rsidRPr="004F12F7" w:rsidDel="00AB6BC5"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 xml:space="preserve">and </w:t>
      </w:r>
      <w:r w:rsidRPr="5CFAD929" w:rsidR="00F146DD">
        <w:rPr>
          <w:rFonts w:ascii="Palatino Linotype" w:hAnsi="Palatino Linotype" w:eastAsia="Palatino Linotype"/>
          <w:color w:val="000000" w:themeColor="text1"/>
        </w:rPr>
        <w:t xml:space="preserve">developing </w:t>
      </w:r>
      <w:r w:rsidRPr="004F12F7" w:rsidR="00F146DD">
        <w:rPr>
          <w:rFonts w:ascii="Palatino Linotype" w:hAnsi="Palatino Linotype" w:eastAsia="Palatino Linotype"/>
          <w:color w:val="000000" w:themeColor="text1"/>
        </w:rPr>
        <w:t>the database.</w:t>
      </w:r>
    </w:p>
    <w:p w:rsidRPr="00D661E3" w:rsidR="005D44A8" w:rsidP="004D1AE6" w:rsidRDefault="005D44A8" w14:paraId="269191F1" w14:textId="77777777">
      <w:pPr>
        <w:spacing w:after="0" w:line="276" w:lineRule="auto"/>
        <w:ind w:left="720"/>
        <w:contextualSpacing/>
        <w:rPr>
          <w:rFonts w:ascii="Palatino Linotype" w:hAnsi="Palatino Linotype" w:eastAsia="Palatino Linotype" w:cs="Times New Roman"/>
          <w:color w:val="000000" w:themeColor="text1"/>
          <w:kern w:val="0"/>
          <w14:ligatures w14:val="none"/>
        </w:rPr>
      </w:pPr>
    </w:p>
    <w:p w:rsidR="0030309F" w:rsidP="00BF56F9" w:rsidRDefault="00AA1E6F" w14:paraId="7E3DD2CA" w14:textId="363FB4C6">
      <w:pPr>
        <w:spacing w:after="0" w:line="276" w:lineRule="auto"/>
        <w:rPr>
          <w:rFonts w:ascii="Palatino Linotype" w:hAnsi="Palatino Linotype" w:eastAsia="Palatino Linotype" w:cs="Times New Roman"/>
          <w:iCs/>
          <w:color w:val="000000" w:themeColor="text1"/>
          <w:u w:val="single"/>
        </w:rPr>
      </w:pPr>
      <w:r w:rsidRPr="00D661E3">
        <w:rPr>
          <w:rFonts w:ascii="Palatino Linotype" w:hAnsi="Palatino Linotype" w:eastAsia="Palatino Linotype" w:cs="Times New Roman"/>
          <w:iCs/>
          <w:color w:val="000000" w:themeColor="text1"/>
          <w:u w:val="single"/>
        </w:rPr>
        <w:t>Submittal</w:t>
      </w:r>
      <w:r w:rsidRPr="00D661E3" w:rsidR="0030309F">
        <w:rPr>
          <w:rFonts w:ascii="Palatino Linotype" w:hAnsi="Palatino Linotype" w:eastAsia="Palatino Linotype" w:cs="Times New Roman"/>
          <w:iCs/>
          <w:color w:val="000000" w:themeColor="text1"/>
          <w:u w:val="single"/>
        </w:rPr>
        <w:t xml:space="preserve"> of PG&amp;E’s </w:t>
      </w:r>
      <w:r w:rsidRPr="00D661E3" w:rsidR="00854A1A">
        <w:rPr>
          <w:rFonts w:ascii="Palatino Linotype" w:hAnsi="Palatino Linotype" w:eastAsia="Palatino Linotype" w:cs="Times New Roman"/>
          <w:iCs/>
          <w:color w:val="000000" w:themeColor="text1"/>
          <w:u w:val="single"/>
        </w:rPr>
        <w:t xml:space="preserve">Revised </w:t>
      </w:r>
      <w:r w:rsidRPr="00D661E3" w:rsidR="0030309F">
        <w:rPr>
          <w:rFonts w:ascii="Palatino Linotype" w:hAnsi="Palatino Linotype" w:eastAsia="Palatino Linotype" w:cs="Times New Roman"/>
          <w:iCs/>
          <w:color w:val="000000" w:themeColor="text1"/>
          <w:u w:val="single"/>
        </w:rPr>
        <w:t>2025 Plan</w:t>
      </w:r>
    </w:p>
    <w:p w:rsidRPr="00D661E3" w:rsidR="00BF56F9" w:rsidP="00BF56F9" w:rsidRDefault="00BF56F9" w14:paraId="0B0707DB" w14:textId="77777777">
      <w:pPr>
        <w:spacing w:after="0" w:line="276" w:lineRule="auto"/>
        <w:rPr>
          <w:rFonts w:ascii="Palatino Linotype" w:hAnsi="Palatino Linotype" w:eastAsia="Palatino Linotype" w:cs="Times New Roman"/>
          <w:color w:val="000000" w:themeColor="text1"/>
          <w:kern w:val="0"/>
          <w14:ligatures w14:val="none"/>
        </w:rPr>
      </w:pPr>
    </w:p>
    <w:p w:rsidR="005F46BC" w:rsidP="005F46BC" w:rsidRDefault="00985D5D" w14:paraId="70BD3F52" w14:textId="63950161">
      <w:pPr>
        <w:pStyle w:val="10sp0"/>
        <w:spacing w:after="0" w:line="276" w:lineRule="auto"/>
        <w:rPr>
          <w:rFonts w:ascii="Palatino Linotype" w:hAnsi="Palatino Linotype" w:eastAsia="Palatino Linotype"/>
          <w:color w:val="000000" w:themeColor="text1"/>
        </w:rPr>
      </w:pPr>
      <w:r w:rsidRPr="006E1B3E">
        <w:rPr>
          <w:rFonts w:ascii="Palatino Linotype" w:hAnsi="Palatino Linotype" w:eastAsia="Palatino Linotype"/>
          <w:color w:val="000000" w:themeColor="text1"/>
        </w:rPr>
        <w:t xml:space="preserve">The Commission authorizes a budget of </w:t>
      </w:r>
      <w:r w:rsidRPr="006E1B3E" w:rsidR="003616F8">
        <w:rPr>
          <w:rFonts w:ascii="Palatino Linotype" w:hAnsi="Palatino Linotype" w:eastAsia="Palatino Linotype"/>
          <w:color w:val="000000" w:themeColor="text1"/>
        </w:rPr>
        <w:t>$6</w:t>
      </w:r>
      <w:r w:rsidRPr="006E1B3E" w:rsidR="005A234F">
        <w:rPr>
          <w:rFonts w:ascii="Palatino Linotype" w:hAnsi="Palatino Linotype" w:eastAsia="Palatino Linotype"/>
          <w:color w:val="000000" w:themeColor="text1"/>
        </w:rPr>
        <w:t>,133,333</w:t>
      </w:r>
      <w:r w:rsidRPr="006E1B3E" w:rsidR="00C32097">
        <w:rPr>
          <w:rFonts w:ascii="Palatino Linotype" w:hAnsi="Palatino Linotype" w:eastAsia="Palatino Linotype"/>
          <w:color w:val="000000" w:themeColor="text1"/>
        </w:rPr>
        <w:t xml:space="preserve"> for PG&amp;E’s 2025 Plan </w:t>
      </w:r>
      <w:r w:rsidRPr="006E1B3E" w:rsidR="00AE2349">
        <w:rPr>
          <w:rFonts w:ascii="Palatino Linotype" w:hAnsi="Palatino Linotype" w:eastAsia="Palatino Linotype"/>
          <w:color w:val="000000" w:themeColor="text1"/>
        </w:rPr>
        <w:t>as detailed in Appendix B</w:t>
      </w:r>
      <w:r w:rsidRPr="006E1B3E" w:rsidR="00A56196">
        <w:rPr>
          <w:rFonts w:ascii="Palatino Linotype" w:hAnsi="Palatino Linotype" w:eastAsia="Palatino Linotype"/>
          <w:color w:val="000000" w:themeColor="text1"/>
        </w:rPr>
        <w:t xml:space="preserve">, including a Program Administration </w:t>
      </w:r>
      <w:r w:rsidRPr="008B17A9" w:rsidR="00A56196">
        <w:rPr>
          <w:rFonts w:ascii="Palatino Linotype" w:hAnsi="Palatino Linotype" w:eastAsia="Palatino Linotype"/>
          <w:color w:val="000000" w:themeColor="text1"/>
        </w:rPr>
        <w:t xml:space="preserve">budget of </w:t>
      </w:r>
      <w:r w:rsidRPr="008B17A9" w:rsidR="00C11420">
        <w:rPr>
          <w:rFonts w:ascii="Palatino Linotype" w:hAnsi="Palatino Linotype" w:eastAsia="Palatino Linotype"/>
          <w:color w:val="000000" w:themeColor="text1"/>
        </w:rPr>
        <w:t>$613,333.</w:t>
      </w:r>
      <w:r w:rsidRPr="008B17A9" w:rsidR="00AE2349">
        <w:rPr>
          <w:rFonts w:ascii="Palatino Linotype" w:hAnsi="Palatino Linotype" w:eastAsia="Palatino Linotype"/>
          <w:color w:val="000000" w:themeColor="text1"/>
        </w:rPr>
        <w:t xml:space="preserve"> </w:t>
      </w:r>
      <w:r w:rsidRPr="008B17A9" w:rsidR="005F46BC">
        <w:rPr>
          <w:rFonts w:ascii="Palatino Linotype" w:hAnsi="Palatino Linotype" w:eastAsia="Palatino Linotype"/>
          <w:color w:val="000000" w:themeColor="text1"/>
        </w:rPr>
        <w:t xml:space="preserve">The Commission’s authorization of PG&amp;E’s 2025 Gas RD&amp;D Plan </w:t>
      </w:r>
      <w:r w:rsidRPr="008B17A9" w:rsidR="00420B85">
        <w:rPr>
          <w:rFonts w:ascii="Palatino Linotype" w:hAnsi="Palatino Linotype" w:eastAsia="Palatino Linotype"/>
          <w:color w:val="000000" w:themeColor="text1"/>
        </w:rPr>
        <w:t xml:space="preserve">budget </w:t>
      </w:r>
      <w:r w:rsidR="000012C9">
        <w:rPr>
          <w:rFonts w:ascii="Palatino Linotype" w:hAnsi="Palatino Linotype" w:eastAsia="Palatino Linotype"/>
          <w:color w:val="000000" w:themeColor="text1"/>
        </w:rPr>
        <w:t xml:space="preserve">level </w:t>
      </w:r>
      <w:r w:rsidRPr="008B17A9" w:rsidR="006D0C7E">
        <w:rPr>
          <w:rFonts w:ascii="Palatino Linotype" w:hAnsi="Palatino Linotype" w:eastAsia="Palatino Linotype"/>
          <w:color w:val="000000" w:themeColor="text1"/>
        </w:rPr>
        <w:t xml:space="preserve">requires PG&amp;E to submit </w:t>
      </w:r>
      <w:r w:rsidRPr="008B17A9" w:rsidR="005F46BC">
        <w:rPr>
          <w:rFonts w:ascii="Palatino Linotype" w:hAnsi="Palatino Linotype" w:eastAsia="Palatino Linotype"/>
          <w:color w:val="000000" w:themeColor="text1"/>
        </w:rPr>
        <w:t xml:space="preserve">a revised </w:t>
      </w:r>
      <w:r w:rsidRPr="008B17A9" w:rsidR="6486FE1B">
        <w:rPr>
          <w:rFonts w:ascii="Palatino Linotype" w:hAnsi="Palatino Linotype" w:eastAsia="Palatino Linotype"/>
          <w:color w:val="000000" w:themeColor="text1"/>
        </w:rPr>
        <w:t xml:space="preserve">2025 </w:t>
      </w:r>
      <w:r w:rsidRPr="008B17A9" w:rsidR="005F46BC">
        <w:rPr>
          <w:rFonts w:ascii="Palatino Linotype" w:hAnsi="Palatino Linotype" w:eastAsia="Palatino Linotype"/>
          <w:color w:val="000000" w:themeColor="text1"/>
        </w:rPr>
        <w:t xml:space="preserve">Plan via Tier 2 AL within 60 days </w:t>
      </w:r>
      <w:r w:rsidRPr="008B17A9" w:rsidR="00820DAE">
        <w:rPr>
          <w:rFonts w:ascii="Palatino Linotype" w:hAnsi="Palatino Linotype" w:eastAsia="Palatino Linotype"/>
          <w:color w:val="000000" w:themeColor="text1"/>
        </w:rPr>
        <w:t xml:space="preserve">reflecting denied funds and </w:t>
      </w:r>
      <w:r w:rsidRPr="008B17A9" w:rsidR="005F46BC">
        <w:rPr>
          <w:rFonts w:ascii="Palatino Linotype" w:hAnsi="Palatino Linotype" w:eastAsia="Palatino Linotype"/>
          <w:color w:val="000000" w:themeColor="text1"/>
        </w:rPr>
        <w:t xml:space="preserve">addressing the </w:t>
      </w:r>
      <w:r w:rsidRPr="008B17A9" w:rsidR="004E596C">
        <w:rPr>
          <w:rFonts w:ascii="Palatino Linotype" w:hAnsi="Palatino Linotype" w:eastAsia="Palatino Linotype"/>
          <w:color w:val="000000" w:themeColor="text1"/>
        </w:rPr>
        <w:t>identified c</w:t>
      </w:r>
      <w:r w:rsidRPr="008B17A9" w:rsidR="005F46BC">
        <w:rPr>
          <w:rFonts w:ascii="Palatino Linotype" w:hAnsi="Palatino Linotype" w:eastAsia="Palatino Linotype"/>
          <w:color w:val="000000" w:themeColor="text1"/>
        </w:rPr>
        <w:t xml:space="preserve">ompliance </w:t>
      </w:r>
      <w:r w:rsidRPr="008B17A9" w:rsidR="006D0C7E">
        <w:rPr>
          <w:rFonts w:ascii="Palatino Linotype" w:hAnsi="Palatino Linotype" w:eastAsia="Palatino Linotype"/>
          <w:color w:val="000000" w:themeColor="text1"/>
        </w:rPr>
        <w:t>issues</w:t>
      </w:r>
      <w:r w:rsidRPr="008B17A9" w:rsidR="005F46BC">
        <w:rPr>
          <w:rFonts w:ascii="Palatino Linotype" w:hAnsi="Palatino Linotype" w:eastAsia="Palatino Linotype"/>
          <w:color w:val="000000" w:themeColor="text1"/>
        </w:rPr>
        <w:t xml:space="preserve"> </w:t>
      </w:r>
      <w:r w:rsidRPr="008B17A9" w:rsidR="004B5536">
        <w:rPr>
          <w:rFonts w:ascii="Palatino Linotype" w:hAnsi="Palatino Linotype" w:eastAsia="Palatino Linotype"/>
          <w:color w:val="000000" w:themeColor="text1"/>
        </w:rPr>
        <w:t>requiring modifications.</w:t>
      </w:r>
      <w:r w:rsidRPr="008B17A9" w:rsidR="006D0C7E">
        <w:rPr>
          <w:rStyle w:val="FootnoteReference"/>
          <w:rFonts w:ascii="Palatino Linotype" w:hAnsi="Palatino Linotype" w:eastAsia="Palatino Linotype"/>
          <w:color w:val="000000" w:themeColor="text1"/>
        </w:rPr>
        <w:t xml:space="preserve"> </w:t>
      </w:r>
      <w:r w:rsidRPr="008B17A9" w:rsidR="006D0C7E">
        <w:rPr>
          <w:rStyle w:val="FootnoteReference"/>
          <w:rFonts w:ascii="Palatino Linotype" w:hAnsi="Palatino Linotype" w:eastAsia="Palatino Linotype"/>
          <w:color w:val="000000" w:themeColor="text1"/>
        </w:rPr>
        <w:footnoteReference w:id="116"/>
      </w:r>
    </w:p>
    <w:p w:rsidR="00023BA9" w:rsidP="005F46BC" w:rsidRDefault="00023BA9" w14:paraId="07B8F6EA" w14:textId="77777777">
      <w:pPr>
        <w:pStyle w:val="10sp0"/>
        <w:spacing w:after="0" w:line="276" w:lineRule="auto"/>
        <w:rPr>
          <w:rFonts w:ascii="Palatino Linotype" w:hAnsi="Palatino Linotype" w:eastAsia="Palatino Linotype"/>
          <w:color w:val="000000" w:themeColor="text1"/>
        </w:rPr>
      </w:pPr>
    </w:p>
    <w:p w:rsidR="00023BA9" w:rsidP="005F46BC" w:rsidRDefault="00023BA9" w14:paraId="3AC1DCB6" w14:textId="77777777">
      <w:pPr>
        <w:pStyle w:val="10sp0"/>
        <w:spacing w:after="0" w:line="276" w:lineRule="auto"/>
        <w:rPr>
          <w:rFonts w:ascii="Palatino Linotype" w:hAnsi="Palatino Linotype" w:eastAsia="Palatino Linotype"/>
          <w:color w:val="000000" w:themeColor="text1"/>
        </w:rPr>
      </w:pPr>
    </w:p>
    <w:p w:rsidR="00023BA9" w:rsidP="005F46BC" w:rsidRDefault="00023BA9" w14:paraId="51097E4F" w14:textId="77777777">
      <w:pPr>
        <w:pStyle w:val="10sp0"/>
        <w:spacing w:after="0" w:line="276" w:lineRule="auto"/>
        <w:rPr>
          <w:rFonts w:ascii="Palatino Linotype" w:hAnsi="Palatino Linotype" w:eastAsia="Palatino Linotype"/>
          <w:color w:val="000000" w:themeColor="text1"/>
        </w:rPr>
      </w:pPr>
    </w:p>
    <w:p w:rsidR="00023BA9" w:rsidP="005F46BC" w:rsidRDefault="00023BA9" w14:paraId="407A0BE7" w14:textId="77777777">
      <w:pPr>
        <w:pStyle w:val="10sp0"/>
        <w:spacing w:after="0" w:line="276" w:lineRule="auto"/>
        <w:rPr>
          <w:rFonts w:ascii="Palatino Linotype" w:hAnsi="Palatino Linotype" w:eastAsia="Palatino Linotype"/>
          <w:color w:val="000000" w:themeColor="text1"/>
        </w:rPr>
      </w:pPr>
    </w:p>
    <w:p w:rsidR="00B90258" w:rsidP="0030309F" w:rsidRDefault="00B90258" w14:paraId="61D5AEAD" w14:textId="77777777">
      <w:pPr>
        <w:pStyle w:val="10sp0"/>
        <w:spacing w:after="0" w:line="276" w:lineRule="auto"/>
        <w:rPr>
          <w:rFonts w:ascii="Palatino Linotype" w:hAnsi="Palatino Linotype" w:eastAsia="Palatino Linotype"/>
          <w:color w:val="0070C0"/>
        </w:rPr>
      </w:pPr>
    </w:p>
    <w:p w:rsidR="000F6276" w:rsidP="00BF56F9" w:rsidRDefault="000F6276" w14:paraId="39990224" w14:textId="1F487FAD">
      <w:pPr>
        <w:pStyle w:val="10sp0"/>
        <w:spacing w:after="0" w:line="276" w:lineRule="auto"/>
        <w:rPr>
          <w:rFonts w:ascii="Palatino Linotype" w:hAnsi="Palatino Linotype"/>
          <w:b/>
          <w:bCs/>
          <w:color w:val="000000" w:themeColor="text1"/>
        </w:rPr>
      </w:pPr>
      <w:r w:rsidRPr="009329A1">
        <w:rPr>
          <w:rFonts w:ascii="Palatino Linotype" w:hAnsi="Palatino Linotype"/>
          <w:b/>
          <w:bCs/>
          <w:color w:val="000000" w:themeColor="text1"/>
        </w:rPr>
        <w:lastRenderedPageBreak/>
        <w:t xml:space="preserve">Compliance Assessment of AL </w:t>
      </w:r>
      <w:r w:rsidRPr="009329A1" w:rsidR="0075777D">
        <w:rPr>
          <w:rFonts w:ascii="Palatino Linotype" w:hAnsi="Palatino Linotype"/>
          <w:b/>
          <w:bCs/>
          <w:color w:val="000000" w:themeColor="text1"/>
        </w:rPr>
        <w:t>5222-</w:t>
      </w:r>
      <w:r w:rsidRPr="009329A1">
        <w:rPr>
          <w:rFonts w:ascii="Palatino Linotype" w:hAnsi="Palatino Linotype"/>
          <w:b/>
          <w:bCs/>
          <w:color w:val="000000" w:themeColor="text1"/>
        </w:rPr>
        <w:t>G – 2026 Gas RD&amp;D Plan</w:t>
      </w:r>
    </w:p>
    <w:p w:rsidRPr="00D661E3" w:rsidR="00BF56F9" w:rsidP="00BF56F9" w:rsidRDefault="00BF56F9" w14:paraId="072E2D3D" w14:textId="77777777">
      <w:pPr>
        <w:pStyle w:val="10sp0"/>
        <w:spacing w:after="0" w:line="276" w:lineRule="auto"/>
        <w:rPr>
          <w:rFonts w:ascii="Palatino Linotype" w:hAnsi="Palatino Linotype"/>
          <w:b/>
          <w:bCs/>
          <w:color w:val="000000" w:themeColor="text1"/>
        </w:rPr>
      </w:pPr>
    </w:p>
    <w:p w:rsidRPr="00D661E3" w:rsidR="000F6276" w:rsidP="000F6276" w:rsidRDefault="000F6276" w14:paraId="7284434E" w14:textId="7E0C933E">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The Commission conducted a compliance assessment of PG&amp;E’s AL</w:t>
      </w:r>
      <w:r w:rsidR="0075777D">
        <w:rPr>
          <w:rFonts w:ascii="Palatino Linotype" w:hAnsi="Palatino Linotype"/>
          <w:color w:val="000000" w:themeColor="text1"/>
        </w:rPr>
        <w:t xml:space="preserve"> 5222-</w:t>
      </w:r>
      <w:r w:rsidRPr="00D661E3">
        <w:rPr>
          <w:rFonts w:ascii="Palatino Linotype" w:hAnsi="Palatino Linotype"/>
          <w:color w:val="000000" w:themeColor="text1"/>
        </w:rPr>
        <w:t>G</w:t>
      </w:r>
      <w:r w:rsidRPr="00D661E3">
        <w:rPr>
          <w:rStyle w:val="FootnoteReference"/>
          <w:rFonts w:ascii="Palatino Linotype" w:hAnsi="Palatino Linotype"/>
          <w:color w:val="000000" w:themeColor="text1"/>
        </w:rPr>
        <w:footnoteReference w:id="117"/>
      </w:r>
      <w:r w:rsidRPr="00D661E3">
        <w:rPr>
          <w:rFonts w:ascii="Palatino Linotype" w:hAnsi="Palatino Linotype"/>
          <w:color w:val="000000" w:themeColor="text1"/>
        </w:rPr>
        <w:t xml:space="preserve"> proposing its 2026 Gas RD&amp;D Investment Plan. As described above, staff assessed PG&amp;</w:t>
      </w:r>
      <w:proofErr w:type="gramStart"/>
      <w:r w:rsidRPr="00D661E3">
        <w:rPr>
          <w:rFonts w:ascii="Palatino Linotype" w:hAnsi="Palatino Linotype"/>
          <w:color w:val="000000" w:themeColor="text1"/>
        </w:rPr>
        <w:t>E‘</w:t>
      </w:r>
      <w:proofErr w:type="gramEnd"/>
      <w:r w:rsidRPr="00D661E3">
        <w:rPr>
          <w:rFonts w:ascii="Palatino Linotype" w:hAnsi="Palatino Linotype"/>
          <w:color w:val="000000" w:themeColor="text1"/>
        </w:rPr>
        <w:t>s 202</w:t>
      </w:r>
      <w:r w:rsidR="00C648A2">
        <w:rPr>
          <w:rFonts w:ascii="Palatino Linotype" w:hAnsi="Palatino Linotype"/>
          <w:color w:val="000000" w:themeColor="text1"/>
        </w:rPr>
        <w:t>6</w:t>
      </w:r>
      <w:r w:rsidRPr="00D661E3">
        <w:rPr>
          <w:rFonts w:ascii="Palatino Linotype" w:hAnsi="Palatino Linotype"/>
          <w:color w:val="000000" w:themeColor="text1"/>
        </w:rPr>
        <w:t xml:space="preserve"> Plan based on consistency with requirements set in D.23-11-069</w:t>
      </w:r>
      <w:r w:rsidRPr="00D661E3" w:rsidR="005F35B1">
        <w:rPr>
          <w:rFonts w:ascii="Palatino Linotype" w:hAnsi="Palatino Linotype"/>
          <w:color w:val="000000" w:themeColor="text1"/>
        </w:rPr>
        <w:t xml:space="preserve">, </w:t>
      </w:r>
      <w:r w:rsidRPr="00D661E3">
        <w:rPr>
          <w:rFonts w:ascii="Palatino Linotype" w:hAnsi="Palatino Linotype"/>
          <w:color w:val="000000" w:themeColor="text1"/>
        </w:rPr>
        <w:t xml:space="preserve">Public Utilities Code 740.1, </w:t>
      </w:r>
      <w:r w:rsidRPr="00D661E3" w:rsidR="005F35B1">
        <w:rPr>
          <w:rFonts w:ascii="Palatino Linotype" w:hAnsi="Palatino Linotype"/>
          <w:color w:val="000000" w:themeColor="text1"/>
        </w:rPr>
        <w:t>and Resolution G-3618,</w:t>
      </w:r>
      <w:r w:rsidRPr="00D661E3" w:rsidR="005F35B1">
        <w:rPr>
          <w:rStyle w:val="FootnoteReference"/>
          <w:rFonts w:ascii="Palatino Linotype" w:hAnsi="Palatino Linotype"/>
          <w:color w:val="000000" w:themeColor="text1"/>
        </w:rPr>
        <w:footnoteReference w:id="118"/>
      </w:r>
      <w:r w:rsidRPr="00D661E3" w:rsidR="005F35B1">
        <w:rPr>
          <w:rFonts w:ascii="Palatino Linotype" w:hAnsi="Palatino Linotype"/>
          <w:color w:val="000000" w:themeColor="text1"/>
        </w:rPr>
        <w:t xml:space="preserve"> </w:t>
      </w:r>
      <w:r w:rsidRPr="00D661E3">
        <w:rPr>
          <w:rFonts w:ascii="Palatino Linotype" w:hAnsi="Palatino Linotype"/>
          <w:color w:val="000000" w:themeColor="text1"/>
        </w:rPr>
        <w:t>among other Commission guidance.</w:t>
      </w:r>
      <w:r w:rsidRPr="00D661E3">
        <w:rPr>
          <w:rStyle w:val="FootnoteReference"/>
          <w:rFonts w:ascii="Palatino Linotype" w:hAnsi="Palatino Linotype"/>
          <w:color w:val="000000" w:themeColor="text1"/>
        </w:rPr>
        <w:footnoteReference w:id="119"/>
      </w:r>
      <w:r w:rsidRPr="00D661E3">
        <w:rPr>
          <w:rFonts w:ascii="Palatino Linotype" w:hAnsi="Palatino Linotype"/>
          <w:color w:val="000000" w:themeColor="text1"/>
        </w:rPr>
        <w:t xml:space="preserve"> In summary, the Commission finds that PG&amp;E is </w:t>
      </w:r>
      <w:r w:rsidR="0086650D">
        <w:rPr>
          <w:rFonts w:ascii="Palatino Linotype" w:hAnsi="Palatino Linotype"/>
          <w:color w:val="000000" w:themeColor="text1"/>
        </w:rPr>
        <w:t xml:space="preserve">generally </w:t>
      </w:r>
      <w:r w:rsidRPr="00D661E3">
        <w:rPr>
          <w:rFonts w:ascii="Palatino Linotype" w:hAnsi="Palatino Linotype"/>
          <w:color w:val="000000" w:themeColor="text1"/>
        </w:rPr>
        <w:t>compliant with these requirements in AL</w:t>
      </w:r>
      <w:r w:rsidR="0075777D">
        <w:rPr>
          <w:rFonts w:ascii="Palatino Linotype" w:hAnsi="Palatino Linotype"/>
          <w:color w:val="000000" w:themeColor="text1"/>
        </w:rPr>
        <w:t xml:space="preserve"> 5222-</w:t>
      </w:r>
      <w:r w:rsidRPr="00D661E3">
        <w:rPr>
          <w:rFonts w:ascii="Palatino Linotype" w:hAnsi="Palatino Linotype"/>
          <w:color w:val="000000" w:themeColor="text1"/>
        </w:rPr>
        <w:t>G</w:t>
      </w:r>
      <w:r w:rsidR="00674568">
        <w:rPr>
          <w:rFonts w:ascii="Palatino Linotype" w:hAnsi="Palatino Linotype"/>
          <w:color w:val="000000" w:themeColor="text1"/>
        </w:rPr>
        <w:t xml:space="preserve"> </w:t>
      </w:r>
      <w:r w:rsidR="003707F7">
        <w:rPr>
          <w:rFonts w:ascii="Palatino Linotype" w:hAnsi="Palatino Linotype"/>
          <w:color w:val="000000" w:themeColor="text1"/>
        </w:rPr>
        <w:t xml:space="preserve">but </w:t>
      </w:r>
      <w:r w:rsidR="0014328B">
        <w:rPr>
          <w:rFonts w:ascii="Palatino Linotype" w:hAnsi="Palatino Linotype"/>
          <w:color w:val="000000" w:themeColor="text1"/>
        </w:rPr>
        <w:t>identifies the following co</w:t>
      </w:r>
      <w:r w:rsidRPr="008B17A9" w:rsidR="0014328B">
        <w:rPr>
          <w:rFonts w:ascii="Palatino Linotype" w:hAnsi="Palatino Linotype"/>
          <w:color w:val="000000" w:themeColor="text1"/>
        </w:rPr>
        <w:t>mpliance areas requir</w:t>
      </w:r>
      <w:r w:rsidRPr="008B17A9" w:rsidR="131F53F8">
        <w:rPr>
          <w:rFonts w:ascii="Palatino Linotype" w:hAnsi="Palatino Linotype"/>
          <w:color w:val="000000" w:themeColor="text1"/>
        </w:rPr>
        <w:t>e</w:t>
      </w:r>
      <w:r w:rsidRPr="008B17A9" w:rsidR="0014328B">
        <w:rPr>
          <w:rFonts w:ascii="Palatino Linotype" w:hAnsi="Palatino Linotype"/>
          <w:color w:val="000000" w:themeColor="text1"/>
        </w:rPr>
        <w:t xml:space="preserve"> </w:t>
      </w:r>
      <w:r w:rsidRPr="008B17A9" w:rsidR="0086650D">
        <w:rPr>
          <w:rFonts w:ascii="Palatino Linotype" w:hAnsi="Palatino Linotype"/>
          <w:color w:val="000000" w:themeColor="text1"/>
        </w:rPr>
        <w:t>greater clarity</w:t>
      </w:r>
      <w:r w:rsidRPr="008B17A9" w:rsidR="00DB0337">
        <w:rPr>
          <w:rFonts w:ascii="Palatino Linotype" w:hAnsi="Palatino Linotype"/>
          <w:color w:val="000000" w:themeColor="text1"/>
        </w:rPr>
        <w:t xml:space="preserve"> to align with requirements,</w:t>
      </w:r>
      <w:r w:rsidRPr="008B17A9" w:rsidR="0086650D">
        <w:rPr>
          <w:rFonts w:ascii="Palatino Linotype" w:hAnsi="Palatino Linotype"/>
          <w:color w:val="000000" w:themeColor="text1"/>
        </w:rPr>
        <w:t xml:space="preserve"> </w:t>
      </w:r>
      <w:r w:rsidRPr="008B17A9" w:rsidR="00A34331">
        <w:rPr>
          <w:rFonts w:ascii="Palatino Linotype" w:hAnsi="Palatino Linotype"/>
          <w:color w:val="000000" w:themeColor="text1"/>
        </w:rPr>
        <w:t xml:space="preserve">which PG&amp;E must address </w:t>
      </w:r>
      <w:r w:rsidRPr="008B17A9" w:rsidR="00BB54E6">
        <w:rPr>
          <w:rFonts w:ascii="Palatino Linotype" w:hAnsi="Palatino Linotype"/>
          <w:color w:val="000000" w:themeColor="text1"/>
        </w:rPr>
        <w:t xml:space="preserve">in </w:t>
      </w:r>
      <w:r w:rsidRPr="008B17A9" w:rsidR="00C82BC7">
        <w:rPr>
          <w:rFonts w:ascii="Palatino Linotype" w:hAnsi="Palatino Linotype"/>
          <w:color w:val="000000" w:themeColor="text1"/>
        </w:rPr>
        <w:t>a</w:t>
      </w:r>
      <w:r w:rsidRPr="008B17A9" w:rsidR="00BB54E6">
        <w:rPr>
          <w:rFonts w:ascii="Palatino Linotype" w:hAnsi="Palatino Linotype"/>
          <w:color w:val="000000" w:themeColor="text1"/>
        </w:rPr>
        <w:t xml:space="preserve"> </w:t>
      </w:r>
      <w:r w:rsidRPr="008B17A9" w:rsidR="0F876E05">
        <w:rPr>
          <w:rFonts w:ascii="Palatino Linotype" w:hAnsi="Palatino Linotype"/>
          <w:color w:val="000000" w:themeColor="text1"/>
        </w:rPr>
        <w:t xml:space="preserve">subsequent </w:t>
      </w:r>
      <w:r w:rsidRPr="008B17A9" w:rsidR="00BB54E6">
        <w:rPr>
          <w:rFonts w:ascii="Palatino Linotype" w:hAnsi="Palatino Linotype"/>
          <w:color w:val="000000" w:themeColor="text1"/>
        </w:rPr>
        <w:t xml:space="preserve">Tier </w:t>
      </w:r>
      <w:r w:rsidR="00BB54E6">
        <w:rPr>
          <w:rFonts w:ascii="Palatino Linotype" w:hAnsi="Palatino Linotype"/>
          <w:color w:val="000000" w:themeColor="text1"/>
        </w:rPr>
        <w:t>2 AL</w:t>
      </w:r>
      <w:r w:rsidRPr="00D661E3">
        <w:rPr>
          <w:rFonts w:ascii="Palatino Linotype" w:hAnsi="Palatino Linotype"/>
          <w:color w:val="000000" w:themeColor="text1"/>
        </w:rPr>
        <w:t xml:space="preserve"> (See Appendix</w:t>
      </w:r>
      <w:r w:rsidR="00EF150B">
        <w:rPr>
          <w:rFonts w:ascii="Palatino Linotype" w:hAnsi="Palatino Linotype"/>
          <w:color w:val="000000" w:themeColor="text1"/>
        </w:rPr>
        <w:t xml:space="preserve"> </w:t>
      </w:r>
      <w:r w:rsidR="00E91740">
        <w:rPr>
          <w:rFonts w:ascii="Palatino Linotype" w:hAnsi="Palatino Linotype"/>
          <w:color w:val="000000" w:themeColor="text1"/>
        </w:rPr>
        <w:t>G</w:t>
      </w:r>
      <w:r w:rsidR="00EF150B">
        <w:rPr>
          <w:rFonts w:ascii="Palatino Linotype" w:hAnsi="Palatino Linotype"/>
          <w:color w:val="000000" w:themeColor="text1"/>
        </w:rPr>
        <w:t xml:space="preserve"> </w:t>
      </w:r>
      <w:r w:rsidRPr="00D661E3">
        <w:rPr>
          <w:rFonts w:ascii="Palatino Linotype" w:hAnsi="Palatino Linotype"/>
          <w:color w:val="000000" w:themeColor="text1"/>
        </w:rPr>
        <w:t xml:space="preserve">for details): </w:t>
      </w:r>
    </w:p>
    <w:p w:rsidRPr="00374BB2" w:rsidR="00033A44" w:rsidP="00801EA4" w:rsidRDefault="00612DE9" w14:paraId="22F88E19" w14:textId="67D3EA5B">
      <w:pPr>
        <w:pStyle w:val="10sp0"/>
        <w:numPr>
          <w:ilvl w:val="0"/>
          <w:numId w:val="14"/>
        </w:numPr>
        <w:spacing w:after="0" w:line="276" w:lineRule="auto"/>
        <w:rPr>
          <w:rFonts w:ascii="Palatino Linotype" w:hAnsi="Palatino Linotype"/>
          <w:color w:val="000000" w:themeColor="text1"/>
        </w:rPr>
      </w:pPr>
      <w:r>
        <w:rPr>
          <w:rFonts w:ascii="Palatino Linotype" w:hAnsi="Palatino Linotype"/>
          <w:szCs w:val="24"/>
        </w:rPr>
        <w:t>P</w:t>
      </w:r>
      <w:r w:rsidRPr="00945431" w:rsidR="00945431">
        <w:rPr>
          <w:rFonts w:ascii="Palatino Linotype" w:hAnsi="Palatino Linotype"/>
          <w:szCs w:val="24"/>
        </w:rPr>
        <w:t>lanned methodologies for tracking and evaluating quantitative impacts from</w:t>
      </w:r>
      <w:r w:rsidR="002067F1">
        <w:rPr>
          <w:rFonts w:ascii="Palatino Linotype" w:hAnsi="Palatino Linotype"/>
          <w:szCs w:val="24"/>
        </w:rPr>
        <w:t xml:space="preserve"> each Initiative</w:t>
      </w:r>
      <w:r w:rsidRPr="00945431" w:rsidR="00945431">
        <w:rPr>
          <w:rFonts w:ascii="Palatino Linotype" w:hAnsi="Palatino Linotype"/>
          <w:szCs w:val="24"/>
        </w:rPr>
        <w:t xml:space="preserve"> </w:t>
      </w:r>
      <w:r w:rsidR="00945431">
        <w:rPr>
          <w:rFonts w:ascii="Palatino Linotype" w:hAnsi="Palatino Linotype"/>
          <w:szCs w:val="24"/>
        </w:rPr>
        <w:t xml:space="preserve">via specific metrics for each </w:t>
      </w:r>
      <w:r w:rsidR="004E2324">
        <w:rPr>
          <w:rFonts w:ascii="Palatino Linotype" w:hAnsi="Palatino Linotype"/>
          <w:szCs w:val="24"/>
        </w:rPr>
        <w:t>targeted</w:t>
      </w:r>
      <w:r w:rsidR="00945431">
        <w:rPr>
          <w:rFonts w:ascii="Palatino Linotype" w:hAnsi="Palatino Linotype"/>
          <w:szCs w:val="24"/>
        </w:rPr>
        <w:t xml:space="preserve"> benefit,</w:t>
      </w:r>
      <w:r w:rsidR="00A53672">
        <w:rPr>
          <w:rStyle w:val="FootnoteReference"/>
          <w:rFonts w:ascii="Palatino Linotype" w:hAnsi="Palatino Linotype"/>
          <w:szCs w:val="24"/>
        </w:rPr>
        <w:footnoteReference w:id="120"/>
      </w:r>
      <w:r w:rsidR="00945431">
        <w:rPr>
          <w:rFonts w:ascii="Palatino Linotype" w:hAnsi="Palatino Linotype"/>
          <w:szCs w:val="24"/>
        </w:rPr>
        <w:t xml:space="preserve"> including </w:t>
      </w:r>
      <w:r w:rsidR="0038579F">
        <w:rPr>
          <w:rFonts w:ascii="Palatino Linotype" w:hAnsi="Palatino Linotype"/>
          <w:szCs w:val="24"/>
        </w:rPr>
        <w:t xml:space="preserve">affordability, safety, reliability, </w:t>
      </w:r>
      <w:r w:rsidR="004E2324">
        <w:rPr>
          <w:rFonts w:ascii="Palatino Linotype" w:hAnsi="Palatino Linotype"/>
          <w:szCs w:val="24"/>
        </w:rPr>
        <w:t>equity, and environmental</w:t>
      </w:r>
      <w:r w:rsidR="00D03462">
        <w:rPr>
          <w:rFonts w:ascii="Palatino Linotype" w:hAnsi="Palatino Linotype"/>
          <w:szCs w:val="24"/>
        </w:rPr>
        <w:t>.</w:t>
      </w:r>
      <w:r w:rsidR="00D16F37">
        <w:rPr>
          <w:rStyle w:val="FootnoteReference"/>
          <w:rFonts w:ascii="Palatino Linotype" w:hAnsi="Palatino Linotype"/>
          <w:szCs w:val="24"/>
        </w:rPr>
        <w:footnoteReference w:id="121"/>
      </w:r>
    </w:p>
    <w:p w:rsidRPr="00D03462" w:rsidR="00374BB2" w:rsidP="00801EA4" w:rsidRDefault="00374BB2" w14:paraId="665DF488" w14:textId="7EF2FF7D">
      <w:pPr>
        <w:pStyle w:val="10sp0"/>
        <w:numPr>
          <w:ilvl w:val="1"/>
          <w:numId w:val="14"/>
        </w:numPr>
        <w:spacing w:after="0" w:line="276" w:lineRule="auto"/>
        <w:rPr>
          <w:rFonts w:ascii="Palatino Linotype" w:hAnsi="Palatino Linotype"/>
          <w:color w:val="000000" w:themeColor="text1"/>
        </w:rPr>
      </w:pPr>
      <w:r>
        <w:rPr>
          <w:rFonts w:ascii="Palatino Linotype" w:hAnsi="Palatino Linotype"/>
          <w:color w:val="000000" w:themeColor="text1"/>
        </w:rPr>
        <w:t xml:space="preserve">For the </w:t>
      </w:r>
      <w:r w:rsidRPr="00A07637">
        <w:rPr>
          <w:rFonts w:ascii="Palatino Linotype" w:hAnsi="Palatino Linotype"/>
          <w:color w:val="000000" w:themeColor="text1"/>
        </w:rPr>
        <w:t>Innovative and Cost-Effective Integrity Management</w:t>
      </w:r>
      <w:r>
        <w:rPr>
          <w:rFonts w:ascii="Palatino Linotype" w:hAnsi="Palatino Linotype"/>
          <w:color w:val="000000" w:themeColor="text1"/>
        </w:rPr>
        <w:t xml:space="preserve"> Initiative, </w:t>
      </w:r>
      <w:r w:rsidR="00612DE9">
        <w:rPr>
          <w:rFonts w:ascii="Palatino Linotype" w:hAnsi="Palatino Linotype"/>
          <w:color w:val="000000" w:themeColor="text1"/>
        </w:rPr>
        <w:t>demonstration that PG&amp;E</w:t>
      </w:r>
      <w:r w:rsidRPr="00817D53">
        <w:rPr>
          <w:rFonts w:ascii="Palatino Linotype" w:hAnsi="Palatino Linotype"/>
          <w:szCs w:val="24"/>
        </w:rPr>
        <w:t xml:space="preserve"> will account for the full costs associated with AI/ML applications</w:t>
      </w:r>
      <w:r>
        <w:rPr>
          <w:rFonts w:ascii="Palatino Linotype" w:hAnsi="Palatino Linotype"/>
          <w:szCs w:val="24"/>
        </w:rPr>
        <w:t xml:space="preserve"> when assessing impacts</w:t>
      </w:r>
      <w:r w:rsidRPr="00817D53">
        <w:rPr>
          <w:rFonts w:ascii="Palatino Linotype" w:hAnsi="Palatino Linotype"/>
          <w:szCs w:val="24"/>
        </w:rPr>
        <w:t>, including increased energy consumption, cloud services, data storage, and processing requirements</w:t>
      </w:r>
      <w:r>
        <w:rPr>
          <w:rFonts w:ascii="Palatino Linotype" w:hAnsi="Palatino Linotype"/>
          <w:szCs w:val="24"/>
        </w:rPr>
        <w:t>,</w:t>
      </w:r>
      <w:r w:rsidRPr="00817D53">
        <w:rPr>
          <w:rFonts w:ascii="Palatino Linotype" w:hAnsi="Palatino Linotype"/>
          <w:szCs w:val="24"/>
        </w:rPr>
        <w:t xml:space="preserve"> </w:t>
      </w:r>
      <w:r w:rsidR="007E0D05">
        <w:rPr>
          <w:rFonts w:ascii="Palatino Linotype" w:hAnsi="Palatino Linotype"/>
          <w:szCs w:val="24"/>
        </w:rPr>
        <w:t>and</w:t>
      </w:r>
      <w:r w:rsidRPr="00817D53">
        <w:rPr>
          <w:rFonts w:ascii="Palatino Linotype" w:hAnsi="Palatino Linotype"/>
          <w:szCs w:val="24"/>
        </w:rPr>
        <w:t xml:space="preserve"> that human decision-making authority will be retained per CPUC staff feedback</w:t>
      </w:r>
      <w:r>
        <w:rPr>
          <w:rFonts w:ascii="Palatino Linotype" w:hAnsi="Palatino Linotype"/>
          <w:szCs w:val="24"/>
        </w:rPr>
        <w:t>.</w:t>
      </w:r>
    </w:p>
    <w:p w:rsidRPr="00D119B4" w:rsidR="0021729B" w:rsidP="00D119B4" w:rsidRDefault="00612DE9" w14:paraId="568443F4" w14:textId="22DF0D9E">
      <w:pPr>
        <w:pStyle w:val="10sp0"/>
        <w:numPr>
          <w:ilvl w:val="0"/>
          <w:numId w:val="14"/>
        </w:numPr>
        <w:spacing w:line="276" w:lineRule="auto"/>
        <w:rPr>
          <w:rFonts w:ascii="Palatino Linotype" w:hAnsi="Palatino Linotype"/>
          <w:color w:val="000000" w:themeColor="text1"/>
        </w:rPr>
      </w:pPr>
      <w:r>
        <w:rPr>
          <w:rFonts w:ascii="Palatino Linotype" w:hAnsi="Palatino Linotype"/>
          <w:color w:val="000000" w:themeColor="text1"/>
        </w:rPr>
        <w:t xml:space="preserve">Justification of </w:t>
      </w:r>
      <w:r w:rsidRPr="0029278B" w:rsidR="0029278B">
        <w:rPr>
          <w:rFonts w:ascii="Palatino Linotype" w:hAnsi="Palatino Linotype"/>
          <w:color w:val="000000" w:themeColor="text1"/>
        </w:rPr>
        <w:t>the total proposed budget amount with specific citations including page numbers referring to Commission approved budgets and/or escalation factors</w:t>
      </w:r>
      <w:r w:rsidR="0029278B">
        <w:rPr>
          <w:rFonts w:ascii="Palatino Linotype" w:hAnsi="Palatino Linotype"/>
          <w:color w:val="000000" w:themeColor="text1"/>
        </w:rPr>
        <w:t>.</w:t>
      </w:r>
      <w:r w:rsidR="00CB70B0">
        <w:rPr>
          <w:rStyle w:val="FootnoteReference"/>
          <w:rFonts w:ascii="Palatino Linotype" w:hAnsi="Palatino Linotype"/>
          <w:color w:val="000000" w:themeColor="text1"/>
        </w:rPr>
        <w:footnoteReference w:id="122"/>
      </w:r>
    </w:p>
    <w:p w:rsidRPr="008F7A95" w:rsidR="00822B49" w:rsidP="00046E0C" w:rsidRDefault="00933184" w14:paraId="44969759" w14:textId="405309FF">
      <w:pPr>
        <w:pStyle w:val="10sp0"/>
        <w:spacing w:line="276" w:lineRule="auto"/>
        <w:rPr>
          <w:rFonts w:ascii="Palatino Linotype" w:hAnsi="Palatino Linotype"/>
          <w:color w:val="0070C0"/>
        </w:rPr>
      </w:pPr>
      <w:r w:rsidRPr="5CFAD929">
        <w:rPr>
          <w:rFonts w:ascii="Palatino Linotype" w:hAnsi="Palatino Linotype"/>
          <w:color w:val="000000" w:themeColor="text1"/>
        </w:rPr>
        <w:lastRenderedPageBreak/>
        <w:t>Regarding PG&amp;E’s proposed Clean Fuels Integration Initiatives, t</w:t>
      </w:r>
      <w:r w:rsidRPr="5CFAD929" w:rsidR="00822B49">
        <w:rPr>
          <w:rFonts w:ascii="Palatino Linotype" w:hAnsi="Palatino Linotype"/>
          <w:color w:val="000000" w:themeColor="text1"/>
        </w:rPr>
        <w:t xml:space="preserve">he Commission notes concerns voiced by </w:t>
      </w:r>
      <w:r w:rsidRPr="5CFAD929" w:rsidR="006B4B45">
        <w:rPr>
          <w:rFonts w:ascii="Palatino Linotype" w:hAnsi="Palatino Linotype"/>
          <w:color w:val="000000" w:themeColor="text1"/>
        </w:rPr>
        <w:t>stakeholders</w:t>
      </w:r>
      <w:r w:rsidRPr="5CFAD929" w:rsidR="00822B49">
        <w:rPr>
          <w:rFonts w:ascii="Palatino Linotype" w:hAnsi="Palatino Linotype"/>
          <w:color w:val="000000" w:themeColor="text1"/>
        </w:rPr>
        <w:t xml:space="preserve"> during the February 2026 Joint Administrator Workshop</w:t>
      </w:r>
      <w:r w:rsidRPr="5CFAD929" w:rsidR="004120B6">
        <w:rPr>
          <w:rFonts w:ascii="Palatino Linotype" w:hAnsi="Palatino Linotype"/>
          <w:color w:val="000000" w:themeColor="text1"/>
        </w:rPr>
        <w:t xml:space="preserve"> related to </w:t>
      </w:r>
      <w:r w:rsidRPr="008B17A9" w:rsidR="00142B68">
        <w:rPr>
          <w:rFonts w:ascii="Palatino Linotype" w:hAnsi="Palatino Linotype"/>
          <w:color w:val="000000" w:themeColor="text1"/>
        </w:rPr>
        <w:t xml:space="preserve">biomethane </w:t>
      </w:r>
      <w:r w:rsidRPr="008B17A9" w:rsidR="00001175">
        <w:rPr>
          <w:rFonts w:ascii="Palatino Linotype" w:hAnsi="Palatino Linotype"/>
          <w:color w:val="000000" w:themeColor="text1"/>
        </w:rPr>
        <w:t>and</w:t>
      </w:r>
      <w:r w:rsidRPr="008B17A9" w:rsidR="00142B68">
        <w:rPr>
          <w:rFonts w:ascii="Palatino Linotype" w:hAnsi="Palatino Linotype"/>
          <w:color w:val="000000" w:themeColor="text1"/>
        </w:rPr>
        <w:t xml:space="preserve"> </w:t>
      </w:r>
      <w:r w:rsidRPr="008B17A9" w:rsidR="48D36E23">
        <w:rPr>
          <w:rFonts w:ascii="Palatino Linotype" w:hAnsi="Palatino Linotype"/>
          <w:color w:val="000000" w:themeColor="text1"/>
        </w:rPr>
        <w:t xml:space="preserve">renewable natural gas </w:t>
      </w:r>
      <w:r w:rsidRPr="5CFAD929" w:rsidR="48D36E23">
        <w:rPr>
          <w:rFonts w:ascii="Palatino Linotype" w:hAnsi="Palatino Linotype"/>
          <w:color w:val="000000" w:themeColor="text1"/>
        </w:rPr>
        <w:t>(</w:t>
      </w:r>
      <w:r w:rsidRPr="5CFAD929" w:rsidR="00E61C16">
        <w:rPr>
          <w:rFonts w:ascii="Palatino Linotype" w:hAnsi="Palatino Linotype"/>
          <w:color w:val="000000" w:themeColor="text1"/>
        </w:rPr>
        <w:t>RNG</w:t>
      </w:r>
      <w:r w:rsidR="00820DAE">
        <w:rPr>
          <w:rFonts w:ascii="Palatino Linotype" w:hAnsi="Palatino Linotype"/>
          <w:color w:val="000000" w:themeColor="text1"/>
        </w:rPr>
        <w:t>)</w:t>
      </w:r>
      <w:r w:rsidRPr="5CFAD929" w:rsidR="00E61C16">
        <w:rPr>
          <w:rFonts w:ascii="Palatino Linotype" w:hAnsi="Palatino Linotype"/>
          <w:color w:val="000000" w:themeColor="text1"/>
        </w:rPr>
        <w:t xml:space="preserve"> RD&amp;D</w:t>
      </w:r>
      <w:r w:rsidRPr="5CFAD929" w:rsidR="005146AC">
        <w:rPr>
          <w:rFonts w:ascii="Palatino Linotype" w:hAnsi="Palatino Linotype"/>
          <w:color w:val="000000" w:themeColor="text1"/>
        </w:rPr>
        <w:t xml:space="preserve"> activities</w:t>
      </w:r>
      <w:r w:rsidRPr="5CFAD929" w:rsidR="004120B6">
        <w:rPr>
          <w:rFonts w:ascii="Palatino Linotype" w:hAnsi="Palatino Linotype"/>
          <w:color w:val="000000" w:themeColor="text1"/>
        </w:rPr>
        <w:t xml:space="preserve">. </w:t>
      </w:r>
      <w:r w:rsidRPr="5CFAD929" w:rsidR="00160224">
        <w:rPr>
          <w:rFonts w:ascii="Palatino Linotype" w:hAnsi="Palatino Linotype"/>
          <w:color w:val="000000" w:themeColor="text1"/>
        </w:rPr>
        <w:t xml:space="preserve">The Commission </w:t>
      </w:r>
      <w:r w:rsidRPr="5CFAD929" w:rsidR="00B433DF">
        <w:rPr>
          <w:rFonts w:ascii="Palatino Linotype" w:hAnsi="Palatino Linotype"/>
          <w:color w:val="000000" w:themeColor="text1"/>
        </w:rPr>
        <w:t xml:space="preserve">requires </w:t>
      </w:r>
      <w:r w:rsidRPr="5CFAD929" w:rsidR="00BB657B">
        <w:rPr>
          <w:rFonts w:ascii="Palatino Linotype" w:hAnsi="Palatino Linotype"/>
          <w:color w:val="000000" w:themeColor="text1"/>
        </w:rPr>
        <w:t>PG&amp;E</w:t>
      </w:r>
      <w:r w:rsidRPr="5CFAD929" w:rsidR="00B433DF">
        <w:rPr>
          <w:rFonts w:ascii="Palatino Linotype" w:hAnsi="Palatino Linotype"/>
          <w:color w:val="000000" w:themeColor="text1"/>
        </w:rPr>
        <w:t xml:space="preserve"> </w:t>
      </w:r>
      <w:r w:rsidRPr="5CFAD929" w:rsidR="009963E0">
        <w:rPr>
          <w:rFonts w:ascii="Palatino Linotype" w:hAnsi="Palatino Linotype"/>
          <w:color w:val="000000" w:themeColor="text1"/>
        </w:rPr>
        <w:t xml:space="preserve">to seek </w:t>
      </w:r>
      <w:r w:rsidRPr="5CFAD929" w:rsidR="000F49A0">
        <w:rPr>
          <w:rFonts w:ascii="Palatino Linotype" w:hAnsi="Palatino Linotype"/>
          <w:color w:val="000000" w:themeColor="text1"/>
        </w:rPr>
        <w:t xml:space="preserve">out </w:t>
      </w:r>
      <w:r w:rsidRPr="5CFAD929" w:rsidR="009963E0">
        <w:rPr>
          <w:rFonts w:ascii="Palatino Linotype" w:hAnsi="Palatino Linotype"/>
          <w:color w:val="000000" w:themeColor="text1"/>
        </w:rPr>
        <w:t xml:space="preserve">and </w:t>
      </w:r>
      <w:r w:rsidRPr="5CFAD929" w:rsidR="00B433DF">
        <w:rPr>
          <w:rFonts w:ascii="Palatino Linotype" w:hAnsi="Palatino Linotype"/>
          <w:color w:val="000000" w:themeColor="text1"/>
        </w:rPr>
        <w:t>consider</w:t>
      </w:r>
      <w:r w:rsidRPr="5CFAD929" w:rsidR="00AC32E3">
        <w:rPr>
          <w:rFonts w:ascii="Palatino Linotype" w:hAnsi="Palatino Linotype"/>
          <w:color w:val="000000" w:themeColor="text1"/>
        </w:rPr>
        <w:t xml:space="preserve"> input from </w:t>
      </w:r>
      <w:r w:rsidRPr="5CFAD929" w:rsidR="00E16594">
        <w:rPr>
          <w:rFonts w:ascii="Palatino Linotype" w:hAnsi="Palatino Linotype"/>
          <w:color w:val="000000" w:themeColor="text1"/>
        </w:rPr>
        <w:t xml:space="preserve">environmental and social justice (ESJ) communities </w:t>
      </w:r>
      <w:r w:rsidRPr="5CFAD929" w:rsidR="001D5F19">
        <w:rPr>
          <w:rFonts w:ascii="Palatino Linotype" w:hAnsi="Palatino Linotype"/>
          <w:color w:val="000000" w:themeColor="text1"/>
        </w:rPr>
        <w:t xml:space="preserve">in its strategic planning </w:t>
      </w:r>
      <w:r w:rsidRPr="5CFAD929" w:rsidR="00865A80">
        <w:rPr>
          <w:rFonts w:ascii="Palatino Linotype" w:hAnsi="Palatino Linotype"/>
          <w:color w:val="000000" w:themeColor="text1"/>
        </w:rPr>
        <w:t xml:space="preserve">as well as in assessing and </w:t>
      </w:r>
      <w:r w:rsidRPr="5CFAD929" w:rsidR="00BD4DB2">
        <w:rPr>
          <w:rFonts w:ascii="Palatino Linotype" w:hAnsi="Palatino Linotype"/>
          <w:color w:val="000000" w:themeColor="text1"/>
        </w:rPr>
        <w:t>demonstrat</w:t>
      </w:r>
      <w:r w:rsidRPr="5CFAD929" w:rsidR="009963E0">
        <w:rPr>
          <w:rFonts w:ascii="Palatino Linotype" w:hAnsi="Palatino Linotype"/>
          <w:color w:val="000000" w:themeColor="text1"/>
        </w:rPr>
        <w:t>ing</w:t>
      </w:r>
      <w:r w:rsidRPr="5CFAD929" w:rsidR="00BD4DB2">
        <w:rPr>
          <w:rFonts w:ascii="Palatino Linotype" w:hAnsi="Palatino Linotype"/>
          <w:color w:val="000000" w:themeColor="text1"/>
        </w:rPr>
        <w:t xml:space="preserve"> </w:t>
      </w:r>
      <w:r w:rsidRPr="5CFAD929" w:rsidR="004D192A">
        <w:rPr>
          <w:rFonts w:ascii="Palatino Linotype" w:hAnsi="Palatino Linotype"/>
          <w:color w:val="000000" w:themeColor="text1"/>
        </w:rPr>
        <w:t>benefits to these communities</w:t>
      </w:r>
      <w:r w:rsidRPr="5CFAD929" w:rsidR="008F7A95">
        <w:rPr>
          <w:rFonts w:ascii="Palatino Linotype" w:hAnsi="Palatino Linotype"/>
          <w:color w:val="000000" w:themeColor="text1"/>
        </w:rPr>
        <w:t xml:space="preserve"> from RD&amp;D investments</w:t>
      </w:r>
      <w:r w:rsidRPr="5CFAD929" w:rsidR="00BD4DB2">
        <w:rPr>
          <w:rFonts w:ascii="Palatino Linotype" w:hAnsi="Palatino Linotype"/>
          <w:color w:val="000000" w:themeColor="text1"/>
        </w:rPr>
        <w:t>.</w:t>
      </w:r>
      <w:r w:rsidRPr="5CFAD929" w:rsidR="00453751">
        <w:rPr>
          <w:rStyle w:val="FootnoteReference"/>
          <w:rFonts w:ascii="Palatino Linotype" w:hAnsi="Palatino Linotype"/>
          <w:color w:val="000000" w:themeColor="text1"/>
        </w:rPr>
        <w:footnoteReference w:id="123"/>
      </w:r>
      <w:r w:rsidRPr="5CFAD929" w:rsidR="004D192A">
        <w:rPr>
          <w:rFonts w:ascii="Palatino Linotype" w:hAnsi="Palatino Linotype"/>
          <w:color w:val="000000" w:themeColor="text1"/>
        </w:rPr>
        <w:t xml:space="preserve"> </w:t>
      </w:r>
      <w:r w:rsidRPr="5CFAD929" w:rsidR="00B03ACB">
        <w:rPr>
          <w:rFonts w:ascii="Palatino Linotype" w:hAnsi="Palatino Linotype"/>
          <w:color w:val="000000" w:themeColor="text1"/>
        </w:rPr>
        <w:t>Th</w:t>
      </w:r>
      <w:r w:rsidRPr="5CFAD929" w:rsidR="00FF476F">
        <w:rPr>
          <w:rFonts w:ascii="Palatino Linotype" w:hAnsi="Palatino Linotype"/>
          <w:color w:val="000000" w:themeColor="text1"/>
        </w:rPr>
        <w:t>us, the Commission</w:t>
      </w:r>
      <w:r w:rsidRPr="5CFAD929" w:rsidR="00B03ACB">
        <w:rPr>
          <w:rFonts w:ascii="Palatino Linotype" w:hAnsi="Palatino Linotype"/>
          <w:color w:val="000000" w:themeColor="text1"/>
        </w:rPr>
        <w:t xml:space="preserve"> </w:t>
      </w:r>
      <w:r w:rsidRPr="5CFAD929" w:rsidR="00822B49">
        <w:rPr>
          <w:rFonts w:ascii="Palatino Linotype" w:hAnsi="Palatino Linotype"/>
          <w:color w:val="000000" w:themeColor="text1"/>
        </w:rPr>
        <w:t>direct</w:t>
      </w:r>
      <w:r w:rsidRPr="5CFAD929" w:rsidDel="00B03ACB" w:rsidR="00822B49">
        <w:rPr>
          <w:rFonts w:ascii="Palatino Linotype" w:hAnsi="Palatino Linotype"/>
          <w:color w:val="000000" w:themeColor="text1"/>
        </w:rPr>
        <w:t>s</w:t>
      </w:r>
      <w:r w:rsidRPr="5CFAD929" w:rsidR="00822B49">
        <w:rPr>
          <w:rFonts w:ascii="Palatino Linotype" w:hAnsi="Palatino Linotype"/>
          <w:color w:val="000000" w:themeColor="text1"/>
        </w:rPr>
        <w:t xml:space="preserve"> PG&amp;E</w:t>
      </w:r>
      <w:r w:rsidRPr="5CFAD929" w:rsidR="00865A80">
        <w:rPr>
          <w:rFonts w:ascii="Palatino Linotype" w:hAnsi="Palatino Linotype"/>
          <w:color w:val="000000" w:themeColor="text1"/>
        </w:rPr>
        <w:t>, and any project contractor,</w:t>
      </w:r>
      <w:r w:rsidRPr="5CFAD929" w:rsidR="00822B49">
        <w:rPr>
          <w:rFonts w:ascii="Palatino Linotype" w:hAnsi="Palatino Linotype"/>
          <w:color w:val="000000" w:themeColor="text1"/>
        </w:rPr>
        <w:t xml:space="preserve"> to consult vulnerable communities, such as workers, tenants, &amp; frontline communities near gas facilities, on project siting to prevent exacerbating existing issues and inequities, particularly from projects with unknown impacts. </w:t>
      </w:r>
      <w:r w:rsidRPr="5CFAD929" w:rsidR="0051171F">
        <w:rPr>
          <w:rFonts w:ascii="Palatino Linotype" w:hAnsi="Palatino Linotype"/>
          <w:color w:val="000000" w:themeColor="text1"/>
        </w:rPr>
        <w:t>PG&amp;E should</w:t>
      </w:r>
      <w:r w:rsidRPr="5CFAD929" w:rsidR="00160ABD">
        <w:rPr>
          <w:rFonts w:ascii="Palatino Linotype" w:hAnsi="Palatino Linotype"/>
          <w:color w:val="000000" w:themeColor="text1"/>
        </w:rPr>
        <w:t xml:space="preserve"> </w:t>
      </w:r>
      <w:r w:rsidRPr="5CFAD929" w:rsidR="0051171F">
        <w:rPr>
          <w:rFonts w:ascii="Palatino Linotype" w:hAnsi="Palatino Linotype"/>
          <w:color w:val="000000" w:themeColor="text1"/>
        </w:rPr>
        <w:t>educat</w:t>
      </w:r>
      <w:r w:rsidRPr="5CFAD929" w:rsidR="0042464C">
        <w:rPr>
          <w:rFonts w:ascii="Palatino Linotype" w:hAnsi="Palatino Linotype"/>
          <w:color w:val="000000" w:themeColor="text1"/>
        </w:rPr>
        <w:t>e</w:t>
      </w:r>
      <w:r w:rsidRPr="5CFAD929" w:rsidR="0051171F">
        <w:rPr>
          <w:rFonts w:ascii="Palatino Linotype" w:hAnsi="Palatino Linotype"/>
          <w:color w:val="000000" w:themeColor="text1"/>
        </w:rPr>
        <w:t xml:space="preserve"> </w:t>
      </w:r>
      <w:r w:rsidRPr="5CFAD929" w:rsidR="00F508C1">
        <w:rPr>
          <w:rFonts w:ascii="Palatino Linotype" w:hAnsi="Palatino Linotype"/>
          <w:color w:val="000000" w:themeColor="text1"/>
        </w:rPr>
        <w:t xml:space="preserve">vulnerable communities on technologies as </w:t>
      </w:r>
      <w:r w:rsidRPr="5CFAD929" w:rsidR="009D7D29">
        <w:rPr>
          <w:rFonts w:ascii="Palatino Linotype" w:hAnsi="Palatino Linotype"/>
          <w:color w:val="000000" w:themeColor="text1"/>
        </w:rPr>
        <w:t>appropriate</w:t>
      </w:r>
      <w:r w:rsidRPr="5CFAD929" w:rsidR="00F508C1">
        <w:rPr>
          <w:rFonts w:ascii="Palatino Linotype" w:hAnsi="Palatino Linotype"/>
          <w:color w:val="000000" w:themeColor="text1"/>
        </w:rPr>
        <w:t xml:space="preserve"> to address community concerns</w:t>
      </w:r>
      <w:r w:rsidRPr="5CFAD929" w:rsidR="009B38D1">
        <w:rPr>
          <w:rFonts w:ascii="Palatino Linotype" w:hAnsi="Palatino Linotype"/>
          <w:color w:val="000000" w:themeColor="text1"/>
        </w:rPr>
        <w:t xml:space="preserve">. Further, PG&amp;E should </w:t>
      </w:r>
      <w:r w:rsidRPr="5CFAD929" w:rsidR="008D0E51">
        <w:rPr>
          <w:rFonts w:ascii="Palatino Linotype" w:hAnsi="Palatino Linotype"/>
          <w:color w:val="000000" w:themeColor="text1"/>
        </w:rPr>
        <w:t xml:space="preserve">summarize </w:t>
      </w:r>
      <w:r w:rsidRPr="5CFAD929" w:rsidR="00760C3D">
        <w:rPr>
          <w:rFonts w:ascii="Palatino Linotype" w:hAnsi="Palatino Linotype"/>
          <w:color w:val="000000" w:themeColor="text1"/>
        </w:rPr>
        <w:t xml:space="preserve">the </w:t>
      </w:r>
      <w:r w:rsidRPr="5CFAD929" w:rsidR="008D0E51">
        <w:rPr>
          <w:rFonts w:ascii="Palatino Linotype" w:hAnsi="Palatino Linotype"/>
          <w:color w:val="000000" w:themeColor="text1"/>
        </w:rPr>
        <w:t xml:space="preserve">concerns of communities and </w:t>
      </w:r>
      <w:r w:rsidRPr="5CFAD929" w:rsidR="00FB71A9">
        <w:rPr>
          <w:rFonts w:ascii="Palatino Linotype" w:hAnsi="Palatino Linotype"/>
          <w:color w:val="000000" w:themeColor="text1"/>
        </w:rPr>
        <w:t xml:space="preserve">describe </w:t>
      </w:r>
      <w:r w:rsidRPr="5CFAD929" w:rsidR="002E0AEA">
        <w:rPr>
          <w:rFonts w:ascii="Palatino Linotype" w:hAnsi="Palatino Linotype"/>
          <w:color w:val="000000" w:themeColor="text1"/>
        </w:rPr>
        <w:t xml:space="preserve">how </w:t>
      </w:r>
      <w:r w:rsidRPr="5CFAD929" w:rsidR="0064045D">
        <w:rPr>
          <w:rFonts w:ascii="Palatino Linotype" w:hAnsi="Palatino Linotype"/>
          <w:color w:val="000000" w:themeColor="text1"/>
        </w:rPr>
        <w:t xml:space="preserve">these </w:t>
      </w:r>
      <w:r w:rsidRPr="5CFAD929" w:rsidR="004F554C">
        <w:rPr>
          <w:rFonts w:ascii="Palatino Linotype" w:hAnsi="Palatino Linotype"/>
          <w:color w:val="000000" w:themeColor="text1"/>
        </w:rPr>
        <w:t>concerns</w:t>
      </w:r>
      <w:r w:rsidRPr="5CFAD929" w:rsidR="001F242C">
        <w:rPr>
          <w:rFonts w:ascii="Palatino Linotype" w:hAnsi="Palatino Linotype"/>
          <w:color w:val="000000" w:themeColor="text1"/>
        </w:rPr>
        <w:t xml:space="preserve"> </w:t>
      </w:r>
      <w:r w:rsidRPr="5CFAD929" w:rsidR="004F554C">
        <w:rPr>
          <w:rFonts w:ascii="Palatino Linotype" w:hAnsi="Palatino Linotype"/>
          <w:color w:val="000000" w:themeColor="text1"/>
        </w:rPr>
        <w:t>are</w:t>
      </w:r>
      <w:r w:rsidRPr="5CFAD929" w:rsidR="00962AA6">
        <w:rPr>
          <w:rFonts w:ascii="Palatino Linotype" w:hAnsi="Palatino Linotype"/>
          <w:color w:val="000000" w:themeColor="text1"/>
        </w:rPr>
        <w:t xml:space="preserve"> addressed in </w:t>
      </w:r>
      <w:r w:rsidRPr="5CFAD929" w:rsidR="004F554C">
        <w:rPr>
          <w:rFonts w:ascii="Palatino Linotype" w:hAnsi="Palatino Linotype"/>
          <w:color w:val="000000" w:themeColor="text1"/>
        </w:rPr>
        <w:t>Annual Plans</w:t>
      </w:r>
      <w:r w:rsidRPr="5CFAD929" w:rsidR="003D2DEB">
        <w:rPr>
          <w:rFonts w:ascii="Palatino Linotype" w:hAnsi="Palatino Linotype"/>
          <w:color w:val="000000" w:themeColor="text1"/>
        </w:rPr>
        <w:t xml:space="preserve"> and </w:t>
      </w:r>
      <w:r w:rsidR="00906902">
        <w:rPr>
          <w:rFonts w:ascii="Palatino Linotype" w:hAnsi="Palatino Linotype"/>
          <w:color w:val="000000" w:themeColor="text1"/>
        </w:rPr>
        <w:t xml:space="preserve">correlated </w:t>
      </w:r>
      <w:r w:rsidRPr="5CFAD929" w:rsidR="003D2DEB">
        <w:rPr>
          <w:rFonts w:ascii="Palatino Linotype" w:hAnsi="Palatino Linotype"/>
          <w:color w:val="000000" w:themeColor="text1"/>
        </w:rPr>
        <w:t>Annual Reports</w:t>
      </w:r>
      <w:r w:rsidRPr="5CFAD929" w:rsidR="008D0E51">
        <w:rPr>
          <w:rFonts w:ascii="Palatino Linotype" w:hAnsi="Palatino Linotype"/>
          <w:color w:val="000000" w:themeColor="text1"/>
        </w:rPr>
        <w:t>.</w:t>
      </w:r>
      <w:r w:rsidRPr="5CFAD929" w:rsidDel="002D240F" w:rsidR="00822B49">
        <w:rPr>
          <w:rFonts w:ascii="Palatino Linotype" w:hAnsi="Palatino Linotype"/>
          <w:color w:val="000000" w:themeColor="text1"/>
        </w:rPr>
        <w:t xml:space="preserve"> </w:t>
      </w:r>
      <w:r w:rsidRPr="5CFAD929" w:rsidR="002D240F">
        <w:rPr>
          <w:rFonts w:ascii="Palatino Linotype" w:hAnsi="Palatino Linotype"/>
          <w:color w:val="000000" w:themeColor="text1"/>
        </w:rPr>
        <w:t xml:space="preserve">Through this process, the </w:t>
      </w:r>
      <w:r w:rsidRPr="5CFAD929" w:rsidR="00822B49">
        <w:rPr>
          <w:rFonts w:ascii="Palatino Linotype" w:hAnsi="Palatino Linotype"/>
          <w:color w:val="000000" w:themeColor="text1"/>
        </w:rPr>
        <w:t xml:space="preserve">Commission seeks to strategically leverage RD&amp;D funding to balance policy imperatives </w:t>
      </w:r>
      <w:r w:rsidRPr="5CFAD929" w:rsidR="002D240F">
        <w:rPr>
          <w:rFonts w:ascii="Palatino Linotype" w:hAnsi="Palatino Linotype"/>
          <w:color w:val="000000" w:themeColor="text1"/>
        </w:rPr>
        <w:t>of innovation</w:t>
      </w:r>
      <w:r w:rsidRPr="5CFAD929" w:rsidDel="002D240F" w:rsidR="00B00C6C">
        <w:rPr>
          <w:rFonts w:ascii="Palatino Linotype" w:hAnsi="Palatino Linotype"/>
          <w:color w:val="000000" w:themeColor="text1"/>
        </w:rPr>
        <w:t xml:space="preserve"> with </w:t>
      </w:r>
      <w:r w:rsidRPr="5CFAD929" w:rsidR="00B00C6C">
        <w:rPr>
          <w:rFonts w:ascii="Palatino Linotype" w:hAnsi="Palatino Linotype"/>
          <w:color w:val="000000" w:themeColor="text1"/>
        </w:rPr>
        <w:t>community concerns</w:t>
      </w:r>
      <w:r w:rsidRPr="5CFAD929" w:rsidR="00F6620E">
        <w:rPr>
          <w:rFonts w:ascii="Palatino Linotype" w:hAnsi="Palatino Linotype"/>
          <w:color w:val="000000" w:themeColor="text1"/>
        </w:rPr>
        <w:t xml:space="preserve"> and benefits</w:t>
      </w:r>
      <w:r w:rsidRPr="5CFAD929" w:rsidR="002D240F">
        <w:rPr>
          <w:rFonts w:ascii="Palatino Linotype" w:hAnsi="Palatino Linotype"/>
          <w:color w:val="000000" w:themeColor="text1"/>
        </w:rPr>
        <w:t xml:space="preserve">, </w:t>
      </w:r>
      <w:r w:rsidRPr="5CFAD929" w:rsidR="00822B49">
        <w:rPr>
          <w:rFonts w:ascii="Palatino Linotype" w:hAnsi="Palatino Linotype"/>
          <w:color w:val="000000" w:themeColor="text1"/>
        </w:rPr>
        <w:t>including in the CPUC’s Biomethane Procurement Cost Allocation proceeding</w:t>
      </w:r>
      <w:r w:rsidRPr="5CFAD929" w:rsidR="00FF53B7">
        <w:rPr>
          <w:rFonts w:ascii="Palatino Linotype" w:hAnsi="Palatino Linotype"/>
          <w:color w:val="000000" w:themeColor="text1"/>
        </w:rPr>
        <w:t>.</w:t>
      </w:r>
      <w:r w:rsidRPr="5CFAD929" w:rsidR="00822B49">
        <w:rPr>
          <w:rStyle w:val="FootnoteReference"/>
          <w:rFonts w:ascii="Palatino Linotype" w:hAnsi="Palatino Linotype"/>
          <w:color w:val="000000" w:themeColor="text1"/>
        </w:rPr>
        <w:footnoteReference w:id="124"/>
      </w:r>
    </w:p>
    <w:p w:rsidRPr="004F12F7" w:rsidR="0086202E" w:rsidP="0021729B" w:rsidRDefault="64A3D14A" w14:paraId="236887DA" w14:textId="66EE1B36">
      <w:pPr>
        <w:pStyle w:val="10sp0"/>
        <w:spacing w:after="0" w:line="276" w:lineRule="auto"/>
        <w:rPr>
          <w:rFonts w:ascii="Palatino Linotype" w:hAnsi="Palatino Linotype"/>
          <w:color w:val="000000" w:themeColor="text1"/>
        </w:rPr>
      </w:pPr>
      <w:r w:rsidRPr="0086202E">
        <w:rPr>
          <w:rFonts w:ascii="Palatino Linotype" w:hAnsi="Palatino Linotype"/>
          <w:color w:val="000000" w:themeColor="text1"/>
        </w:rPr>
        <w:t xml:space="preserve">Additionally, </w:t>
      </w:r>
      <w:r w:rsidR="00B674D7">
        <w:rPr>
          <w:rFonts w:ascii="Palatino Linotype" w:hAnsi="Palatino Linotype"/>
          <w:color w:val="000000" w:themeColor="text1"/>
        </w:rPr>
        <w:t>t</w:t>
      </w:r>
      <w:r w:rsidRPr="5CFAD929" w:rsidR="0086202E">
        <w:rPr>
          <w:rFonts w:ascii="Palatino Linotype" w:hAnsi="Palatino Linotype"/>
          <w:color w:val="000000" w:themeColor="text1"/>
        </w:rPr>
        <w:t>he</w:t>
      </w:r>
      <w:r w:rsidRPr="0086202E" w:rsidR="0086202E">
        <w:rPr>
          <w:rFonts w:ascii="Palatino Linotype" w:hAnsi="Palatino Linotype"/>
          <w:color w:val="000000" w:themeColor="text1"/>
        </w:rPr>
        <w:t xml:space="preserve"> Commission denies PG&amp;E’s proposed budget allocations of </w:t>
      </w:r>
      <w:r w:rsidRPr="0086202E" w:rsidR="0086202E">
        <w:rPr>
          <w:rFonts w:ascii="Palatino Linotype" w:hAnsi="Palatino Linotype" w:eastAsia="Palatino Linotype"/>
          <w:bCs/>
          <w:color w:val="000000" w:themeColor="text1"/>
        </w:rPr>
        <w:t>$294,400 for its proportional share of a Gas RD&amp;D Program Evaluation</w:t>
      </w:r>
      <w:r w:rsidRPr="0086202E" w:rsidR="0086202E">
        <w:rPr>
          <w:rStyle w:val="FootnoteReference"/>
          <w:rFonts w:ascii="Palatino Linotype" w:hAnsi="Palatino Linotype" w:eastAsia="Palatino Linotype"/>
          <w:bCs/>
          <w:color w:val="000000" w:themeColor="text1"/>
        </w:rPr>
        <w:footnoteReference w:id="125"/>
      </w:r>
      <w:r w:rsidRPr="0086202E" w:rsidR="0086202E">
        <w:rPr>
          <w:rFonts w:ascii="Palatino Linotype" w:hAnsi="Palatino Linotype" w:eastAsia="Palatino Linotype"/>
          <w:bCs/>
          <w:color w:val="000000" w:themeColor="text1"/>
        </w:rPr>
        <w:t xml:space="preserve"> </w:t>
      </w:r>
      <w:r w:rsidRPr="004F12F7" w:rsidR="0086202E">
        <w:rPr>
          <w:rFonts w:ascii="Palatino Linotype" w:hAnsi="Palatino Linotype" w:eastAsia="Palatino Linotype"/>
          <w:bCs/>
          <w:color w:val="000000" w:themeColor="text1"/>
        </w:rPr>
        <w:t>and $56,987 for its proportional share of developing a comprehensive Gas RD&amp;D Database.</w:t>
      </w:r>
      <w:r w:rsidRPr="004F12F7" w:rsidR="0086202E">
        <w:rPr>
          <w:rStyle w:val="FootnoteReference"/>
          <w:rFonts w:ascii="Palatino Linotype" w:hAnsi="Palatino Linotype" w:eastAsia="Palatino Linotype"/>
          <w:bCs/>
          <w:color w:val="000000" w:themeColor="text1"/>
        </w:rPr>
        <w:footnoteReference w:id="126"/>
      </w:r>
      <w:r w:rsidRPr="004F12F7" w:rsidR="0086202E">
        <w:rPr>
          <w:rFonts w:ascii="Palatino Linotype" w:hAnsi="Palatino Linotype" w:eastAsia="Palatino Linotype"/>
          <w:bCs/>
          <w:color w:val="000000" w:themeColor="text1"/>
        </w:rPr>
        <w:t xml:space="preserve"> </w:t>
      </w:r>
      <w:r w:rsidRPr="004F12F7" w:rsidR="004F12F7">
        <w:rPr>
          <w:rFonts w:ascii="Palatino Linotype" w:hAnsi="Palatino Linotype" w:eastAsia="Palatino Linotype"/>
          <w:bCs/>
          <w:color w:val="000000" w:themeColor="text1"/>
        </w:rPr>
        <w:t xml:space="preserve">As described above, the Commission will </w:t>
      </w:r>
      <w:r w:rsidR="00CB187F">
        <w:rPr>
          <w:rFonts w:ascii="Palatino Linotype" w:hAnsi="Palatino Linotype" w:eastAsia="Palatino Linotype"/>
          <w:bCs/>
          <w:color w:val="000000" w:themeColor="text1"/>
        </w:rPr>
        <w:t xml:space="preserve">instead </w:t>
      </w:r>
      <w:r w:rsidRPr="004F12F7" w:rsidR="004F12F7">
        <w:rPr>
          <w:rFonts w:ascii="Palatino Linotype" w:hAnsi="Palatino Linotype" w:eastAsia="Palatino Linotype"/>
          <w:bCs/>
          <w:color w:val="000000" w:themeColor="text1"/>
        </w:rPr>
        <w:t xml:space="preserve">determine a process to establish holistic oversight across all Gas RD&amp;D administrators for efficiency and effectiveness in the allocation of funds, conducting the </w:t>
      </w:r>
      <w:r w:rsidRPr="5CFAD929" w:rsidR="004F12F7">
        <w:rPr>
          <w:rFonts w:ascii="Palatino Linotype" w:hAnsi="Palatino Linotype" w:eastAsia="Palatino Linotype"/>
          <w:color w:val="000000" w:themeColor="text1"/>
        </w:rPr>
        <w:t>evaluation</w:t>
      </w:r>
      <w:r w:rsidRPr="004F12F7" w:rsidR="004F12F7">
        <w:rPr>
          <w:rFonts w:ascii="Palatino Linotype" w:hAnsi="Palatino Linotype" w:eastAsia="Palatino Linotype"/>
          <w:bCs/>
          <w:color w:val="000000" w:themeColor="text1"/>
        </w:rPr>
        <w:t>, and developing the database.</w:t>
      </w:r>
    </w:p>
    <w:p w:rsidRPr="00D661E3" w:rsidR="000F6276" w:rsidP="0030309F" w:rsidRDefault="000F6276" w14:paraId="65604737" w14:textId="77777777">
      <w:pPr>
        <w:pStyle w:val="10sp0"/>
        <w:spacing w:after="0" w:line="276" w:lineRule="auto"/>
        <w:rPr>
          <w:rFonts w:ascii="Palatino Linotype" w:hAnsi="Palatino Linotype" w:eastAsia="Palatino Linotype"/>
          <w:color w:val="000000" w:themeColor="text1"/>
        </w:rPr>
      </w:pPr>
    </w:p>
    <w:p w:rsidRPr="009329A1" w:rsidR="000F6276" w:rsidP="000F6276" w:rsidRDefault="000F6276" w14:paraId="6A06B83D" w14:textId="0386CFF4">
      <w:pPr>
        <w:spacing w:line="276" w:lineRule="auto"/>
        <w:rPr>
          <w:rFonts w:ascii="Palatino Linotype" w:hAnsi="Palatino Linotype" w:eastAsia="Palatino Linotype" w:cs="Times New Roman"/>
          <w:color w:val="000000" w:themeColor="text1"/>
          <w:kern w:val="0"/>
          <w14:ligatures w14:val="none"/>
        </w:rPr>
      </w:pPr>
      <w:r w:rsidRPr="009329A1">
        <w:rPr>
          <w:rFonts w:ascii="Palatino Linotype" w:hAnsi="Palatino Linotype" w:eastAsia="Palatino Linotype" w:cs="Times New Roman"/>
          <w:iCs/>
          <w:color w:val="000000" w:themeColor="text1"/>
          <w:u w:val="single"/>
        </w:rPr>
        <w:t>Submittal of PG&amp;E’s Revised 202</w:t>
      </w:r>
      <w:r w:rsidRPr="009329A1" w:rsidR="00BD2DF9">
        <w:rPr>
          <w:rFonts w:ascii="Palatino Linotype" w:hAnsi="Palatino Linotype" w:eastAsia="Palatino Linotype" w:cs="Times New Roman"/>
          <w:iCs/>
          <w:color w:val="000000" w:themeColor="text1"/>
          <w:u w:val="single"/>
        </w:rPr>
        <w:t>6</w:t>
      </w:r>
      <w:r w:rsidRPr="009329A1">
        <w:rPr>
          <w:rFonts w:ascii="Palatino Linotype" w:hAnsi="Palatino Linotype" w:eastAsia="Palatino Linotype" w:cs="Times New Roman"/>
          <w:iCs/>
          <w:color w:val="000000" w:themeColor="text1"/>
          <w:u w:val="single"/>
        </w:rPr>
        <w:t xml:space="preserve"> Plan</w:t>
      </w:r>
    </w:p>
    <w:p w:rsidRPr="0071127C" w:rsidR="00D05515" w:rsidP="009F7D25" w:rsidRDefault="00AE2349" w14:paraId="29570285" w14:textId="278FDEB9">
      <w:pPr>
        <w:pStyle w:val="10sp0"/>
        <w:spacing w:after="0" w:line="276" w:lineRule="auto"/>
        <w:rPr>
          <w:rFonts w:ascii="Palatino Linotype" w:hAnsi="Palatino Linotype"/>
          <w:color w:val="000000" w:themeColor="text1"/>
        </w:rPr>
      </w:pPr>
      <w:r w:rsidRPr="00F6363F">
        <w:rPr>
          <w:rFonts w:ascii="Palatino Linotype" w:hAnsi="Palatino Linotype" w:eastAsia="Palatino Linotype"/>
          <w:color w:val="000000" w:themeColor="text1"/>
        </w:rPr>
        <w:t xml:space="preserve">The Commission approves </w:t>
      </w:r>
      <w:r w:rsidRPr="00F6363F" w:rsidR="004A7984">
        <w:rPr>
          <w:rFonts w:ascii="Palatino Linotype" w:hAnsi="Palatino Linotype" w:eastAsia="Palatino Linotype"/>
          <w:color w:val="000000" w:themeColor="text1"/>
        </w:rPr>
        <w:t xml:space="preserve">PG&amp;E’s 2026 Plan with a </w:t>
      </w:r>
      <w:r w:rsidRPr="00F6363F">
        <w:rPr>
          <w:rFonts w:ascii="Palatino Linotype" w:hAnsi="Palatino Linotype" w:eastAsia="Palatino Linotype"/>
          <w:color w:val="000000" w:themeColor="text1"/>
        </w:rPr>
        <w:t>budget of $</w:t>
      </w:r>
      <w:r w:rsidRPr="00F6363F" w:rsidR="00541ADD">
        <w:rPr>
          <w:rFonts w:ascii="Palatino Linotype" w:hAnsi="Palatino Linotype" w:eastAsia="Palatino Linotype"/>
          <w:color w:val="000000" w:themeColor="text1"/>
        </w:rPr>
        <w:t>7,874,</w:t>
      </w:r>
      <w:r w:rsidRPr="00F6363F" w:rsidR="004A7984">
        <w:rPr>
          <w:rFonts w:ascii="Palatino Linotype" w:hAnsi="Palatino Linotype" w:eastAsia="Palatino Linotype"/>
          <w:color w:val="000000" w:themeColor="text1"/>
        </w:rPr>
        <w:t>348</w:t>
      </w:r>
      <w:r w:rsidRPr="00F6363F">
        <w:rPr>
          <w:rFonts w:ascii="Palatino Linotype" w:hAnsi="Palatino Linotype" w:eastAsia="Palatino Linotype"/>
          <w:color w:val="000000" w:themeColor="text1"/>
        </w:rPr>
        <w:t xml:space="preserve"> as detailed in Appendix B</w:t>
      </w:r>
      <w:r w:rsidRPr="00F6363F" w:rsidR="00951E68">
        <w:rPr>
          <w:rFonts w:ascii="Palatino Linotype" w:hAnsi="Palatino Linotype" w:eastAsia="Palatino Linotype"/>
          <w:color w:val="000000" w:themeColor="text1"/>
        </w:rPr>
        <w:t xml:space="preserve">, including a </w:t>
      </w:r>
      <w:r w:rsidRPr="008B17A9" w:rsidR="00951E68">
        <w:rPr>
          <w:rFonts w:ascii="Palatino Linotype" w:hAnsi="Palatino Linotype" w:eastAsia="Palatino Linotype"/>
          <w:color w:val="000000" w:themeColor="text1"/>
        </w:rPr>
        <w:t>Program Administration budget of $787,435.</w:t>
      </w:r>
      <w:r w:rsidRPr="008B17A9">
        <w:rPr>
          <w:rFonts w:ascii="Palatino Linotype" w:hAnsi="Palatino Linotype" w:eastAsia="Palatino Linotype"/>
          <w:color w:val="000000" w:themeColor="text1"/>
        </w:rPr>
        <w:t xml:space="preserve"> </w:t>
      </w:r>
      <w:r w:rsidRPr="008B17A9" w:rsidR="002A2E38">
        <w:rPr>
          <w:rFonts w:ascii="Palatino Linotype" w:hAnsi="Palatino Linotype" w:eastAsia="Palatino Linotype"/>
          <w:color w:val="000000" w:themeColor="text1"/>
        </w:rPr>
        <w:t xml:space="preserve">The Commission’s approval of PG&amp;E’s 2026 Gas RD&amp;D Plan is contingent upon the </w:t>
      </w:r>
      <w:r w:rsidRPr="008B17A9" w:rsidR="000F6276">
        <w:rPr>
          <w:rFonts w:ascii="Palatino Linotype" w:hAnsi="Palatino Linotype" w:eastAsia="Palatino Linotype"/>
          <w:color w:val="000000" w:themeColor="text1"/>
        </w:rPr>
        <w:t>submit</w:t>
      </w:r>
      <w:r w:rsidRPr="008B17A9" w:rsidR="002A2E38">
        <w:rPr>
          <w:rFonts w:ascii="Palatino Linotype" w:hAnsi="Palatino Linotype" w:eastAsia="Palatino Linotype"/>
          <w:color w:val="000000" w:themeColor="text1"/>
        </w:rPr>
        <w:t>tal of</w:t>
      </w:r>
      <w:r w:rsidRPr="008B17A9" w:rsidR="000F6276">
        <w:rPr>
          <w:rFonts w:ascii="Palatino Linotype" w:hAnsi="Palatino Linotype" w:eastAsia="Palatino Linotype"/>
          <w:color w:val="000000" w:themeColor="text1"/>
        </w:rPr>
        <w:t xml:space="preserve"> a revised </w:t>
      </w:r>
      <w:r w:rsidRPr="008B17A9" w:rsidR="2ABC4DA8">
        <w:rPr>
          <w:rFonts w:ascii="Palatino Linotype" w:hAnsi="Palatino Linotype" w:eastAsia="Palatino Linotype"/>
          <w:color w:val="000000" w:themeColor="text1"/>
        </w:rPr>
        <w:t xml:space="preserve">2026 </w:t>
      </w:r>
      <w:r w:rsidRPr="008B17A9" w:rsidR="00637825">
        <w:rPr>
          <w:rFonts w:ascii="Palatino Linotype" w:hAnsi="Palatino Linotype" w:eastAsia="Palatino Linotype"/>
          <w:color w:val="000000" w:themeColor="text1"/>
        </w:rPr>
        <w:t xml:space="preserve">Plan via </w:t>
      </w:r>
      <w:r w:rsidRPr="008B17A9" w:rsidR="000F6276">
        <w:rPr>
          <w:rFonts w:ascii="Palatino Linotype" w:hAnsi="Palatino Linotype" w:eastAsia="Palatino Linotype"/>
          <w:color w:val="000000" w:themeColor="text1"/>
        </w:rPr>
        <w:t xml:space="preserve">Tier 2 AL within 60 days </w:t>
      </w:r>
      <w:r w:rsidRPr="008B17A9" w:rsidR="00820DAE">
        <w:rPr>
          <w:rFonts w:ascii="Palatino Linotype" w:hAnsi="Palatino Linotype" w:eastAsia="Palatino Linotype"/>
          <w:color w:val="000000" w:themeColor="text1"/>
        </w:rPr>
        <w:t xml:space="preserve">reflecting denied funds </w:t>
      </w:r>
      <w:r w:rsidRPr="008B17A9" w:rsidR="00820DAE">
        <w:rPr>
          <w:rFonts w:ascii="Palatino Linotype" w:hAnsi="Palatino Linotype" w:eastAsia="Palatino Linotype"/>
          <w:color w:val="000000" w:themeColor="text1"/>
        </w:rPr>
        <w:lastRenderedPageBreak/>
        <w:t xml:space="preserve">and </w:t>
      </w:r>
      <w:r w:rsidRPr="008B17A9" w:rsidR="000F6276">
        <w:rPr>
          <w:rFonts w:ascii="Palatino Linotype" w:hAnsi="Palatino Linotype" w:eastAsia="Palatino Linotype"/>
          <w:color w:val="000000" w:themeColor="text1"/>
        </w:rPr>
        <w:t>addressing t</w:t>
      </w:r>
      <w:r w:rsidRPr="008B17A9" w:rsidR="00C11228">
        <w:rPr>
          <w:rFonts w:ascii="Palatino Linotype" w:hAnsi="Palatino Linotype" w:eastAsia="Palatino Linotype"/>
          <w:color w:val="000000" w:themeColor="text1"/>
        </w:rPr>
        <w:t xml:space="preserve">he </w:t>
      </w:r>
      <w:r w:rsidRPr="008B17A9" w:rsidR="00C11228">
        <w:rPr>
          <w:rFonts w:ascii="Palatino Linotype" w:hAnsi="Palatino Linotype"/>
          <w:color w:val="000000" w:themeColor="text1"/>
        </w:rPr>
        <w:t>identified compliance areas requiring greater clarity to align with requirements</w:t>
      </w:r>
      <w:r w:rsidRPr="008B17A9" w:rsidR="000F6276">
        <w:rPr>
          <w:rFonts w:ascii="Palatino Linotype" w:hAnsi="Palatino Linotype" w:eastAsia="Palatino Linotype"/>
          <w:color w:val="000000" w:themeColor="text1"/>
        </w:rPr>
        <w:t>.</w:t>
      </w:r>
      <w:r w:rsidRPr="008B17A9" w:rsidR="000F6276">
        <w:rPr>
          <w:rStyle w:val="FootnoteReference"/>
          <w:rFonts w:ascii="Palatino Linotype" w:hAnsi="Palatino Linotype" w:eastAsia="Palatino Linotype"/>
          <w:color w:val="000000" w:themeColor="text1"/>
        </w:rPr>
        <w:footnoteReference w:id="127"/>
      </w:r>
    </w:p>
    <w:p w:rsidR="00B80B03" w:rsidP="00361AB6" w:rsidRDefault="00B80B03" w14:paraId="6E23D38B" w14:textId="77777777">
      <w:pPr>
        <w:spacing w:after="0" w:line="276" w:lineRule="auto"/>
        <w:rPr>
          <w:rFonts w:ascii="Palatino Linotype" w:hAnsi="Palatino Linotype" w:eastAsia="Palatino Linotype" w:cs="Times New Roman"/>
          <w:color w:val="808080" w:themeColor="background1" w:themeShade="80"/>
        </w:rPr>
      </w:pPr>
    </w:p>
    <w:p w:rsidR="00A76F4A" w:rsidP="00820DAE" w:rsidRDefault="00A76F4A" w14:paraId="3D85FD64" w14:textId="63A5DED9">
      <w:pPr>
        <w:keepNext/>
        <w:spacing w:before="120" w:after="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Pr="00644FCA" w:rsidR="00820DAE" w:rsidP="00820DAE" w:rsidRDefault="00820DAE" w14:paraId="4FEA4F70" w14:textId="77777777">
      <w:pPr>
        <w:keepNext/>
        <w:spacing w:after="0" w:line="276" w:lineRule="auto"/>
        <w:outlineLvl w:val="0"/>
        <w:rPr>
          <w:rFonts w:ascii="Palatino Linotype" w:hAnsi="Palatino Linotype" w:eastAsia="Palatino Linotype" w:cs="Times New Roman"/>
          <w:b/>
          <w:caps/>
          <w:kern w:val="28"/>
          <w:u w:val="single"/>
          <w14:ligatures w14:val="none"/>
        </w:rPr>
      </w:pPr>
    </w:p>
    <w:p w:rsidR="003B7CA9" w:rsidP="00EB5082" w:rsidRDefault="00A76F4A" w14:paraId="7155229F" w14:textId="4AF6FA8A">
      <w:pPr>
        <w:spacing w:after="0" w:line="276" w:lineRule="auto"/>
        <w:rPr>
          <w:rFonts w:ascii="Palatino Linotype" w:hAnsi="Palatino Linotype" w:eastAsia="Palatino Linotype" w:cs="Times New Roman"/>
          <w:color w:val="000000" w:themeColor="text1"/>
          <w:kern w:val="0"/>
          <w14:ligatures w14:val="none"/>
        </w:rPr>
      </w:pPr>
      <w:r w:rsidRPr="001942D0">
        <w:rPr>
          <w:rFonts w:ascii="Palatino Linotype" w:hAnsi="Palatino Linotype" w:eastAsia="Palatino Linotype" w:cs="Times New Roman"/>
          <w:kern w:val="0"/>
          <w14:ligatures w14:val="non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r w:rsidRPr="00230F2C">
        <w:rPr>
          <w:rFonts w:ascii="Palatino Linotype" w:hAnsi="Palatino Linotype" w:eastAsia="Palatino Linotype" w:cs="Times New Roman"/>
          <w:color w:val="000000" w:themeColor="text1"/>
          <w:kern w:val="0"/>
          <w14:ligatures w14:val="none"/>
        </w:rPr>
        <w:t xml:space="preserve"> </w:t>
      </w:r>
      <w:r w:rsidRPr="00230F2C" w:rsidR="008457B6">
        <w:rPr>
          <w:rFonts w:ascii="Palatino Linotype" w:hAnsi="Palatino Linotype" w:eastAsia="Palatino Linotype" w:cs="Times New Roman"/>
          <w:color w:val="000000" w:themeColor="text1"/>
          <w:kern w:val="0"/>
          <w14:ligatures w14:val="none"/>
        </w:rPr>
        <w:t>Comments must be limited to 10 pages or less.</w:t>
      </w:r>
    </w:p>
    <w:p w:rsidRPr="00EB5082" w:rsidR="00EB5082" w:rsidP="00EB5082" w:rsidRDefault="00EB5082" w14:paraId="28DAF7A6" w14:textId="77777777">
      <w:pPr>
        <w:spacing w:after="0" w:line="276" w:lineRule="auto"/>
        <w:rPr>
          <w:rFonts w:ascii="Palatino Linotype" w:hAnsi="Palatino Linotype" w:eastAsia="Palatino Linotype" w:cs="Times New Roman"/>
          <w:kern w:val="0"/>
          <w14:ligatures w14:val="none"/>
        </w:rPr>
      </w:pPr>
    </w:p>
    <w:p w:rsidRPr="008D16FA" w:rsidR="00A76F4A" w:rsidP="00361AB6" w:rsidRDefault="00A76F4A" w14:paraId="46563B5C" w14:textId="77B4E228">
      <w:pPr>
        <w:keepNext/>
        <w:spacing w:before="120" w:after="240" w:line="276" w:lineRule="auto"/>
        <w:outlineLvl w:val="0"/>
        <w:rPr>
          <w:rFonts w:ascii="Palatino Linotype" w:hAnsi="Palatino Linotype" w:eastAsia="Palatino Linotype" w:cs="Times New Roman"/>
          <w:b/>
          <w:caps/>
          <w:color w:val="000000" w:themeColor="text1"/>
          <w:kern w:val="28"/>
          <w:u w:val="single"/>
          <w14:ligatures w14:val="none"/>
        </w:rPr>
      </w:pPr>
      <w:r w:rsidRPr="008D16FA">
        <w:rPr>
          <w:rFonts w:ascii="Palatino Linotype" w:hAnsi="Palatino Linotype" w:eastAsia="Palatino Linotype" w:cs="Times New Roman"/>
          <w:b/>
          <w:caps/>
          <w:color w:val="000000" w:themeColor="text1"/>
          <w:kern w:val="28"/>
          <w:u w:val="single"/>
          <w14:ligatures w14:val="none"/>
        </w:rPr>
        <w:t>Findings AND CONCLUSIONS</w:t>
      </w:r>
    </w:p>
    <w:p w:rsidRPr="008D16FA" w:rsidR="00393A08" w:rsidP="00FF1910" w:rsidRDefault="00393A08" w14:paraId="5F45A2B2" w14:textId="4D7050BA">
      <w:pPr>
        <w:pStyle w:val="ListParagraph"/>
        <w:numPr>
          <w:ilvl w:val="0"/>
          <w:numId w:val="6"/>
        </w:numPr>
        <w:spacing w:line="276" w:lineRule="auto"/>
        <w:rPr>
          <w:rFonts w:ascii="Palatino Linotype" w:hAnsi="Palatino Linotype" w:eastAsia="Palatino Linotype" w:cs="Times New Roman"/>
          <w:color w:val="000000" w:themeColor="text1"/>
          <w:kern w:val="0"/>
          <w14:ligatures w14:val="none"/>
        </w:rPr>
      </w:pPr>
      <w:r w:rsidRPr="00230F2C">
        <w:rPr>
          <w:rFonts w:ascii="Palatino Linotype" w:hAnsi="Palatino Linotype" w:eastAsia="Palatino Linotype" w:cs="Times New Roman"/>
          <w:color w:val="000000" w:themeColor="text1"/>
          <w:kern w:val="0"/>
          <w14:ligatures w14:val="none"/>
        </w:rPr>
        <w:t>The Pacific Gas &amp; Electric Company (PG&amp;E) filed its Calendar Years 2024 (AL 5</w:t>
      </w:r>
      <w:r w:rsidRPr="00230F2C" w:rsidR="002317EC">
        <w:rPr>
          <w:rFonts w:ascii="Palatino Linotype" w:hAnsi="Palatino Linotype" w:eastAsia="Palatino Linotype" w:cs="Times New Roman"/>
          <w:color w:val="000000" w:themeColor="text1"/>
          <w:kern w:val="0"/>
          <w14:ligatures w14:val="none"/>
        </w:rPr>
        <w:t>196-G</w:t>
      </w:r>
      <w:r w:rsidRPr="00230F2C">
        <w:rPr>
          <w:rFonts w:ascii="Palatino Linotype" w:hAnsi="Palatino Linotype" w:eastAsia="Palatino Linotype" w:cs="Times New Roman"/>
          <w:color w:val="000000" w:themeColor="text1"/>
          <w:kern w:val="0"/>
          <w14:ligatures w14:val="none"/>
        </w:rPr>
        <w:t>)</w:t>
      </w:r>
      <w:r w:rsidRPr="00230F2C" w:rsidR="00230F2C">
        <w:rPr>
          <w:rFonts w:ascii="Palatino Linotype" w:hAnsi="Palatino Linotype" w:eastAsia="Palatino Linotype" w:cs="Times New Roman"/>
          <w:color w:val="000000" w:themeColor="text1"/>
          <w:kern w:val="0"/>
          <w14:ligatures w14:val="none"/>
        </w:rPr>
        <w:t xml:space="preserve">, </w:t>
      </w:r>
      <w:r w:rsidRPr="00230F2C">
        <w:rPr>
          <w:rFonts w:ascii="Palatino Linotype" w:hAnsi="Palatino Linotype" w:eastAsia="Palatino Linotype" w:cs="Times New Roman"/>
          <w:color w:val="000000" w:themeColor="text1"/>
          <w:kern w:val="0"/>
          <w14:ligatures w14:val="none"/>
        </w:rPr>
        <w:t>2025 (AL 5</w:t>
      </w:r>
      <w:r w:rsidRPr="00230F2C" w:rsidR="002317EC">
        <w:rPr>
          <w:rFonts w:ascii="Palatino Linotype" w:hAnsi="Palatino Linotype" w:eastAsia="Palatino Linotype" w:cs="Times New Roman"/>
          <w:color w:val="000000" w:themeColor="text1"/>
          <w:kern w:val="0"/>
          <w14:ligatures w14:val="none"/>
        </w:rPr>
        <w:t>197</w:t>
      </w:r>
      <w:r w:rsidRPr="00230F2C">
        <w:rPr>
          <w:rFonts w:ascii="Palatino Linotype" w:hAnsi="Palatino Linotype" w:eastAsia="Palatino Linotype" w:cs="Times New Roman"/>
          <w:color w:val="000000" w:themeColor="text1"/>
          <w:kern w:val="0"/>
          <w14:ligatures w14:val="none"/>
        </w:rPr>
        <w:t>-G</w:t>
      </w:r>
      <w:r w:rsidRPr="008D16FA">
        <w:rPr>
          <w:rFonts w:ascii="Palatino Linotype" w:hAnsi="Palatino Linotype" w:eastAsia="Palatino Linotype" w:cs="Times New Roman"/>
          <w:color w:val="000000" w:themeColor="text1"/>
          <w:kern w:val="0"/>
          <w14:ligatures w14:val="none"/>
        </w:rPr>
        <w:t>)</w:t>
      </w:r>
      <w:r w:rsidR="00230F2C">
        <w:rPr>
          <w:rFonts w:ascii="Palatino Linotype" w:hAnsi="Palatino Linotype" w:eastAsia="Palatino Linotype" w:cs="Times New Roman"/>
          <w:color w:val="000000" w:themeColor="text1"/>
          <w:kern w:val="0"/>
          <w14:ligatures w14:val="none"/>
        </w:rPr>
        <w:t>, and 2026 (</w:t>
      </w:r>
      <w:r w:rsidR="0075777D">
        <w:rPr>
          <w:rFonts w:ascii="Palatino Linotype" w:hAnsi="Palatino Linotype" w:eastAsia="Palatino Linotype" w:cs="Times New Roman"/>
          <w:color w:val="000000" w:themeColor="text1"/>
          <w:kern w:val="0"/>
          <w14:ligatures w14:val="none"/>
        </w:rPr>
        <w:t>AL 5222-</w:t>
      </w:r>
      <w:r w:rsidR="00230F2C">
        <w:rPr>
          <w:rFonts w:ascii="Palatino Linotype" w:hAnsi="Palatino Linotype" w:eastAsia="Palatino Linotype" w:cs="Times New Roman"/>
          <w:color w:val="000000" w:themeColor="text1"/>
          <w:kern w:val="0"/>
          <w14:ligatures w14:val="none"/>
        </w:rPr>
        <w:t>G)</w:t>
      </w:r>
      <w:r w:rsidRPr="008D16FA">
        <w:rPr>
          <w:rFonts w:ascii="Palatino Linotype" w:hAnsi="Palatino Linotype" w:eastAsia="Palatino Linotype" w:cs="Times New Roman"/>
          <w:color w:val="000000" w:themeColor="text1"/>
          <w:kern w:val="0"/>
          <w14:ligatures w14:val="none"/>
        </w:rPr>
        <w:t xml:space="preserve"> Gas Research, Development, and Demonstration (RD&amp;D) Investment Plans, pursuant to Decision (D.)23-11-069.</w:t>
      </w:r>
    </w:p>
    <w:p w:rsidRPr="00230F2C" w:rsidR="00466005" w:rsidP="00466005" w:rsidRDefault="00466005" w14:paraId="3996284E" w14:textId="6CE3B6C5">
      <w:pPr>
        <w:pStyle w:val="ListParagraph"/>
        <w:numPr>
          <w:ilvl w:val="0"/>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 xml:space="preserve">D.23-11-069 does not provide a mechanism for cost recovery </w:t>
      </w:r>
      <w:r w:rsidR="0064796E">
        <w:rPr>
          <w:rFonts w:ascii="Palatino Linotype" w:hAnsi="Palatino Linotype"/>
          <w:color w:val="000000" w:themeColor="text1"/>
          <w:kern w:val="0"/>
          <w14:ligatures w14:val="none"/>
        </w:rPr>
        <w:t xml:space="preserve">via Resolution </w:t>
      </w:r>
      <w:r w:rsidRPr="00230F2C">
        <w:rPr>
          <w:rFonts w:ascii="Palatino Linotype" w:hAnsi="Palatino Linotype"/>
          <w:color w:val="000000" w:themeColor="text1"/>
          <w:kern w:val="0"/>
          <w14:ligatures w14:val="none"/>
        </w:rPr>
        <w:t>without an approved Gas R&amp;D Plan in advance.</w:t>
      </w:r>
    </w:p>
    <w:p w:rsidRPr="002A7539" w:rsidR="005607F9" w:rsidP="5D7FEC20" w:rsidRDefault="002260CA" w14:paraId="29546EA4" w14:textId="25276B38">
      <w:pPr>
        <w:pStyle w:val="ListParagraph"/>
        <w:numPr>
          <w:ilvl w:val="0"/>
          <w:numId w:val="6"/>
        </w:numPr>
        <w:spacing w:line="276" w:lineRule="auto"/>
        <w:rPr>
          <w:rFonts w:ascii="Palatino Linotype" w:hAnsi="Palatino Linotype"/>
          <w:color w:val="000000" w:themeColor="text1"/>
          <w:kern w:val="0"/>
          <w14:ligatures w14:val="none"/>
        </w:rPr>
      </w:pPr>
      <w:r w:rsidRPr="000476D4">
        <w:rPr>
          <w:rFonts w:ascii="Palatino Linotype" w:hAnsi="Palatino Linotype" w:eastAsia="Palatino Linotype" w:cs="Times New Roman"/>
          <w:color w:val="000000" w:themeColor="text1"/>
          <w:kern w:val="0"/>
          <w14:ligatures w14:val="none"/>
        </w:rPr>
        <w:t>PG&amp;E</w:t>
      </w:r>
      <w:r w:rsidRPr="000476D4" w:rsidR="5BEC5E61">
        <w:rPr>
          <w:rFonts w:ascii="Palatino Linotype" w:hAnsi="Palatino Linotype" w:eastAsia="Palatino Linotype" w:cs="Times New Roman"/>
          <w:color w:val="000000" w:themeColor="text1"/>
          <w:kern w:val="0"/>
          <w14:ligatures w14:val="none"/>
        </w:rPr>
        <w:t xml:space="preserve"> </w:t>
      </w:r>
      <w:r w:rsidR="002039FD">
        <w:rPr>
          <w:rFonts w:ascii="Palatino Linotype" w:hAnsi="Palatino Linotype" w:eastAsia="Palatino Linotype" w:cs="Times New Roman"/>
          <w:color w:val="000000" w:themeColor="text1"/>
          <w:kern w:val="0"/>
          <w14:ligatures w14:val="none"/>
        </w:rPr>
        <w:t xml:space="preserve">does not </w:t>
      </w:r>
      <w:r w:rsidRPr="000476D4" w:rsidR="5BEC5E61">
        <w:rPr>
          <w:rFonts w:ascii="Palatino Linotype" w:hAnsi="Palatino Linotype" w:eastAsia="Palatino Linotype" w:cs="Times New Roman"/>
          <w:color w:val="000000" w:themeColor="text1"/>
          <w:kern w:val="0"/>
          <w14:ligatures w14:val="none"/>
        </w:rPr>
        <w:t xml:space="preserve">demonstrate compliance </w:t>
      </w:r>
      <w:r w:rsidRPr="000476D4" w:rsidR="5BEC5E61">
        <w:rPr>
          <w:rFonts w:ascii="Palatino Linotype" w:hAnsi="Palatino Linotype" w:eastAsia="Palatino Linotype" w:cs="Times New Roman"/>
          <w:color w:val="000000" w:themeColor="text1"/>
        </w:rPr>
        <w:t xml:space="preserve">with the requirements set forth </w:t>
      </w:r>
      <w:r w:rsidRPr="000476D4" w:rsidR="02803689">
        <w:rPr>
          <w:rFonts w:ascii="Palatino Linotype" w:hAnsi="Palatino Linotype" w:eastAsia="Palatino Linotype" w:cs="Times New Roman"/>
          <w:color w:val="000000" w:themeColor="text1"/>
        </w:rPr>
        <w:t>by</w:t>
      </w:r>
      <w:r w:rsidRPr="000476D4" w:rsidR="5BEC5E61">
        <w:rPr>
          <w:rFonts w:ascii="Palatino Linotype" w:hAnsi="Palatino Linotype" w:eastAsia="Palatino Linotype" w:cs="Times New Roman"/>
          <w:color w:val="000000" w:themeColor="text1"/>
        </w:rPr>
        <w:t xml:space="preserve"> </w:t>
      </w:r>
      <w:r w:rsidR="00023BA9">
        <w:rPr>
          <w:rFonts w:ascii="Palatino Linotype" w:hAnsi="Palatino Linotype" w:eastAsia="Palatino Linotype" w:cs="Times New Roman"/>
          <w:color w:val="000000" w:themeColor="text1"/>
        </w:rPr>
        <w:br/>
      </w:r>
      <w:r w:rsidRPr="000476D4" w:rsidR="5BEC5E61">
        <w:rPr>
          <w:rFonts w:ascii="Palatino Linotype" w:hAnsi="Palatino Linotype" w:eastAsia="Palatino Linotype" w:cs="Times New Roman"/>
          <w:color w:val="000000" w:themeColor="text1"/>
        </w:rPr>
        <w:t xml:space="preserve">D.23-11-069 and Public Utilities Code 740.1 in its </w:t>
      </w:r>
      <w:r w:rsidRPr="000476D4">
        <w:rPr>
          <w:rFonts w:ascii="Palatino Linotype" w:hAnsi="Palatino Linotype" w:eastAsia="Palatino Linotype" w:cs="Times New Roman"/>
          <w:color w:val="000000" w:themeColor="text1"/>
          <w:kern w:val="0"/>
          <w14:ligatures w14:val="none"/>
        </w:rPr>
        <w:t>proposed 2024 Gas RD&amp;D Investment Plan</w:t>
      </w:r>
      <w:r w:rsidRPr="000476D4" w:rsidR="00B62850">
        <w:rPr>
          <w:rFonts w:ascii="Palatino Linotype" w:hAnsi="Palatino Linotype" w:eastAsia="Palatino Linotype" w:cs="Times New Roman"/>
          <w:color w:val="000000" w:themeColor="text1"/>
          <w:kern w:val="0"/>
          <w14:ligatures w14:val="none"/>
        </w:rPr>
        <w:t xml:space="preserve"> submitted via Tier 3 </w:t>
      </w:r>
      <w:r w:rsidRPr="00230F2C" w:rsidR="00B62850">
        <w:rPr>
          <w:rFonts w:ascii="Palatino Linotype" w:hAnsi="Palatino Linotype" w:eastAsia="Palatino Linotype" w:cs="Times New Roman"/>
          <w:color w:val="000000" w:themeColor="text1"/>
          <w:kern w:val="0"/>
          <w14:ligatures w14:val="none"/>
        </w:rPr>
        <w:t>AL 5</w:t>
      </w:r>
      <w:r w:rsidRPr="00230F2C" w:rsidR="000476D4">
        <w:rPr>
          <w:rFonts w:ascii="Palatino Linotype" w:hAnsi="Palatino Linotype" w:eastAsia="Palatino Linotype" w:cs="Times New Roman"/>
          <w:color w:val="000000" w:themeColor="text1"/>
          <w:kern w:val="0"/>
          <w14:ligatures w14:val="none"/>
        </w:rPr>
        <w:t>196-</w:t>
      </w:r>
      <w:r w:rsidRPr="000476D4" w:rsidR="000476D4">
        <w:rPr>
          <w:rFonts w:ascii="Palatino Linotype" w:hAnsi="Palatino Linotype" w:eastAsia="Palatino Linotype" w:cs="Times New Roman"/>
          <w:color w:val="000000" w:themeColor="text1"/>
          <w:kern w:val="0"/>
          <w14:ligatures w14:val="none"/>
        </w:rPr>
        <w:t>G</w:t>
      </w:r>
      <w:r w:rsidRPr="000476D4" w:rsidR="00B62850">
        <w:rPr>
          <w:rFonts w:ascii="Palatino Linotype" w:hAnsi="Palatino Linotype" w:eastAsia="Palatino Linotype" w:cs="Times New Roman"/>
          <w:color w:val="000000" w:themeColor="text1"/>
          <w:kern w:val="0"/>
          <w14:ligatures w14:val="none"/>
        </w:rPr>
        <w:t xml:space="preserve"> </w:t>
      </w:r>
      <w:proofErr w:type="gramStart"/>
      <w:r w:rsidRPr="000476D4" w:rsidR="00AE308C">
        <w:rPr>
          <w:rFonts w:ascii="Palatino Linotype" w:hAnsi="Palatino Linotype" w:eastAsia="Palatino Linotype" w:cs="Times New Roman"/>
          <w:color w:val="000000" w:themeColor="text1"/>
          <w:kern w:val="0"/>
          <w14:ligatures w14:val="none"/>
        </w:rPr>
        <w:t>where</w:t>
      </w:r>
      <w:proofErr w:type="gramEnd"/>
      <w:r w:rsidRPr="000476D4" w:rsidR="00AE308C">
        <w:rPr>
          <w:rFonts w:ascii="Palatino Linotype" w:hAnsi="Palatino Linotype" w:eastAsia="Palatino Linotype" w:cs="Times New Roman"/>
          <w:color w:val="000000" w:themeColor="text1"/>
          <w:kern w:val="0"/>
          <w14:ligatures w14:val="none"/>
        </w:rPr>
        <w:t xml:space="preserve"> noted in </w:t>
      </w:r>
      <w:r w:rsidRPr="000476D4" w:rsidR="00C731C8">
        <w:rPr>
          <w:rFonts w:ascii="Palatino Linotype" w:hAnsi="Palatino Linotype"/>
          <w:color w:val="000000" w:themeColor="text1"/>
        </w:rPr>
        <w:t>Appendix</w:t>
      </w:r>
      <w:r w:rsidRPr="000476D4" w:rsidR="009D09F7">
        <w:rPr>
          <w:rFonts w:ascii="Palatino Linotype" w:hAnsi="Palatino Linotype"/>
          <w:color w:val="000000" w:themeColor="text1"/>
        </w:rPr>
        <w:t xml:space="preserve"> </w:t>
      </w:r>
      <w:r w:rsidR="000624CC">
        <w:rPr>
          <w:rFonts w:ascii="Palatino Linotype" w:hAnsi="Palatino Linotype"/>
          <w:color w:val="000000" w:themeColor="text1"/>
        </w:rPr>
        <w:t>E</w:t>
      </w:r>
      <w:r w:rsidR="002039FD">
        <w:rPr>
          <w:rFonts w:ascii="Palatino Linotype" w:hAnsi="Palatino Linotype"/>
          <w:color w:val="000000" w:themeColor="text1"/>
        </w:rPr>
        <w:t xml:space="preserve">, particularly due to PG&amp;E: </w:t>
      </w:r>
    </w:p>
    <w:p w:rsidRPr="0014328B" w:rsidR="00E37284" w:rsidP="00E37284" w:rsidRDefault="00E37284" w14:paraId="1B75AE2E" w14:textId="12D18D06">
      <w:pPr>
        <w:pStyle w:val="ListParagraph"/>
        <w:numPr>
          <w:ilvl w:val="1"/>
          <w:numId w:val="6"/>
        </w:numPr>
        <w:rPr>
          <w:rFonts w:ascii="Palatino Linotype" w:hAnsi="Palatino Linotype"/>
          <w:color w:val="000000" w:themeColor="text1"/>
          <w:kern w:val="0"/>
          <w14:ligatures w14:val="none"/>
        </w:rPr>
      </w:pPr>
      <w:proofErr w:type="gramStart"/>
      <w:r w:rsidRPr="0014328B">
        <w:rPr>
          <w:rFonts w:ascii="Palatino Linotype" w:hAnsi="Palatino Linotype"/>
          <w:color w:val="000000" w:themeColor="text1"/>
          <w:kern w:val="0"/>
          <w14:ligatures w14:val="none"/>
        </w:rPr>
        <w:t>Requesting</w:t>
      </w:r>
      <w:proofErr w:type="gramEnd"/>
      <w:r w:rsidRPr="0014328B">
        <w:rPr>
          <w:rFonts w:ascii="Palatino Linotype" w:hAnsi="Palatino Linotype"/>
          <w:color w:val="000000" w:themeColor="text1"/>
          <w:kern w:val="0"/>
          <w14:ligatures w14:val="none"/>
        </w:rPr>
        <w:t xml:space="preserve"> to recover $1,945,797 in actual Gas RD&amp;D expenditures spent in 2025.</w:t>
      </w:r>
    </w:p>
    <w:p w:rsidRPr="00230F2C" w:rsidR="000C7E7E" w:rsidP="002A7539" w:rsidRDefault="002039FD" w14:paraId="7B2E85B1" w14:textId="4671BA4C">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P</w:t>
      </w:r>
      <w:r w:rsidRPr="00230F2C" w:rsidR="004019F6">
        <w:rPr>
          <w:rFonts w:ascii="Palatino Linotype" w:hAnsi="Palatino Linotype"/>
          <w:color w:val="000000" w:themeColor="text1"/>
          <w:kern w:val="0"/>
          <w14:ligatures w14:val="none"/>
        </w:rPr>
        <w:t>ropos</w:t>
      </w:r>
      <w:r w:rsidRPr="00230F2C">
        <w:rPr>
          <w:rFonts w:ascii="Palatino Linotype" w:hAnsi="Palatino Linotype"/>
          <w:color w:val="000000" w:themeColor="text1"/>
          <w:kern w:val="0"/>
          <w14:ligatures w14:val="none"/>
        </w:rPr>
        <w:t>ing</w:t>
      </w:r>
      <w:r w:rsidRPr="00230F2C" w:rsidR="004019F6">
        <w:rPr>
          <w:rFonts w:ascii="Palatino Linotype" w:hAnsi="Palatino Linotype"/>
          <w:color w:val="000000" w:themeColor="text1"/>
          <w:kern w:val="0"/>
          <w14:ligatures w14:val="none"/>
        </w:rPr>
        <w:t xml:space="preserve"> hydrogen-specific activities though the Commission has not provided guidance on the appropriate role of gas ratepayers in funding hydrogen RD&amp;D, particularly as these projects would have further implications for ratepayer funding, including in future Gas RD&amp;D Plans.</w:t>
      </w:r>
    </w:p>
    <w:p w:rsidRPr="00230F2C" w:rsidR="002A7539" w:rsidP="002A7539" w:rsidRDefault="002039FD" w14:paraId="36765941" w14:textId="3C050B28">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lastRenderedPageBreak/>
        <w:t>Proposing</w:t>
      </w:r>
      <w:r w:rsidRPr="00230F2C" w:rsidR="0065400F">
        <w:rPr>
          <w:rFonts w:ascii="Palatino Linotype" w:hAnsi="Palatino Linotype"/>
          <w:color w:val="000000" w:themeColor="text1"/>
          <w:kern w:val="0"/>
          <w14:ligatures w14:val="none"/>
        </w:rPr>
        <w:t xml:space="preserve"> a Program Administrative budget greater than the 10% cap of the total proposed budget.</w:t>
      </w:r>
    </w:p>
    <w:p w:rsidRPr="00230F2C" w:rsidR="000C7E7E" w:rsidP="002A7539" w:rsidRDefault="002039FD" w14:paraId="178348BE" w14:textId="2F20CF79">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Not</w:t>
      </w:r>
      <w:r w:rsidRPr="00230F2C" w:rsidR="000C7E7E">
        <w:rPr>
          <w:rFonts w:ascii="Palatino Linotype" w:hAnsi="Palatino Linotype"/>
          <w:color w:val="000000" w:themeColor="text1"/>
          <w:kern w:val="0"/>
          <w14:ligatures w14:val="none"/>
        </w:rPr>
        <w:t xml:space="preserve"> demonstrat</w:t>
      </w:r>
      <w:r w:rsidRPr="00230F2C">
        <w:rPr>
          <w:rFonts w:ascii="Palatino Linotype" w:hAnsi="Palatino Linotype"/>
          <w:color w:val="000000" w:themeColor="text1"/>
          <w:kern w:val="0"/>
          <w14:ligatures w14:val="none"/>
        </w:rPr>
        <w:t>ing</w:t>
      </w:r>
      <w:r w:rsidRPr="00230F2C" w:rsidR="000C7E7E">
        <w:rPr>
          <w:rFonts w:ascii="Palatino Linotype" w:hAnsi="Palatino Linotype"/>
          <w:color w:val="000000" w:themeColor="text1"/>
          <w:kern w:val="0"/>
          <w14:ligatures w14:val="none"/>
        </w:rPr>
        <w:t xml:space="preserve"> clear ratepayer </w:t>
      </w:r>
      <w:proofErr w:type="gramStart"/>
      <w:r w:rsidRPr="00230F2C" w:rsidR="000C7E7E">
        <w:rPr>
          <w:rFonts w:ascii="Palatino Linotype" w:hAnsi="Palatino Linotype"/>
          <w:color w:val="000000" w:themeColor="text1"/>
          <w:kern w:val="0"/>
          <w14:ligatures w14:val="none"/>
        </w:rPr>
        <w:t>benefit</w:t>
      </w:r>
      <w:proofErr w:type="gramEnd"/>
      <w:r w:rsidRPr="00230F2C" w:rsidR="000C7E7E">
        <w:rPr>
          <w:rFonts w:ascii="Palatino Linotype" w:hAnsi="Palatino Linotype"/>
          <w:color w:val="000000" w:themeColor="text1"/>
          <w:kern w:val="0"/>
          <w14:ligatures w14:val="none"/>
        </w:rPr>
        <w:t xml:space="preserve"> from </w:t>
      </w:r>
      <w:proofErr w:type="gramStart"/>
      <w:r w:rsidRPr="00230F2C" w:rsidR="000C7E7E">
        <w:rPr>
          <w:rFonts w:ascii="Palatino Linotype" w:hAnsi="Palatino Linotype"/>
          <w:color w:val="000000" w:themeColor="text1"/>
          <w:kern w:val="0"/>
          <w14:ligatures w14:val="none"/>
        </w:rPr>
        <w:t>projects</w:t>
      </w:r>
      <w:proofErr w:type="gramEnd"/>
      <w:r w:rsidRPr="00230F2C" w:rsidR="000C7E7E">
        <w:rPr>
          <w:rFonts w:ascii="Palatino Linotype" w:hAnsi="Palatino Linotype"/>
          <w:color w:val="000000" w:themeColor="text1"/>
          <w:kern w:val="0"/>
          <w14:ligatures w14:val="none"/>
        </w:rPr>
        <w:t xml:space="preserve"> it proposes which are neither located in the State of California nor affiliated with a federal lab.</w:t>
      </w:r>
    </w:p>
    <w:p w:rsidRPr="008B17A9" w:rsidR="00260AB2" w:rsidP="002A7539" w:rsidRDefault="002039FD" w14:paraId="495DCB20" w14:textId="1DB45543">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w:t>
      </w:r>
      <w:r w:rsidRPr="00230F2C" w:rsidR="00260AB2">
        <w:rPr>
          <w:rFonts w:ascii="Palatino Linotype" w:hAnsi="Palatino Linotype"/>
          <w:color w:val="000000" w:themeColor="text1"/>
          <w:kern w:val="0"/>
          <w14:ligatures w14:val="none"/>
        </w:rPr>
        <w:t>ot demonstrat</w:t>
      </w:r>
      <w:r w:rsidRPr="00230F2C">
        <w:rPr>
          <w:rFonts w:ascii="Palatino Linotype" w:hAnsi="Palatino Linotype"/>
          <w:color w:val="000000" w:themeColor="text1"/>
          <w:kern w:val="0"/>
          <w14:ligatures w14:val="none"/>
        </w:rPr>
        <w:t>ing</w:t>
      </w:r>
      <w:r w:rsidRPr="00230F2C" w:rsidR="00260AB2">
        <w:rPr>
          <w:rFonts w:ascii="Palatino Linotype" w:hAnsi="Palatino Linotype"/>
          <w:color w:val="000000" w:themeColor="text1"/>
          <w:kern w:val="0"/>
          <w14:ligatures w14:val="none"/>
        </w:rPr>
        <w:t xml:space="preserve"> that </w:t>
      </w:r>
      <w:r w:rsidRPr="00230F2C" w:rsidR="00405B87">
        <w:rPr>
          <w:rFonts w:ascii="Palatino Linotype" w:hAnsi="Palatino Linotype"/>
          <w:color w:val="000000" w:themeColor="text1"/>
          <w:kern w:val="0"/>
          <w14:ligatures w14:val="none"/>
        </w:rPr>
        <w:t xml:space="preserve">the Innovative and Cost-Effective Integrity Management </w:t>
      </w:r>
      <w:r w:rsidRPr="00230F2C" w:rsidR="003D4CA2">
        <w:rPr>
          <w:rFonts w:ascii="Palatino Linotype" w:hAnsi="Palatino Linotype"/>
          <w:color w:val="000000" w:themeColor="text1"/>
          <w:kern w:val="0"/>
          <w14:ligatures w14:val="none"/>
        </w:rPr>
        <w:t xml:space="preserve">and Clean Fuel Integration </w:t>
      </w:r>
      <w:r w:rsidRPr="00230F2C" w:rsidR="00260AB2">
        <w:rPr>
          <w:rFonts w:ascii="Palatino Linotype" w:hAnsi="Palatino Linotype"/>
          <w:color w:val="000000" w:themeColor="text1"/>
          <w:kern w:val="0"/>
          <w14:ligatures w14:val="none"/>
        </w:rPr>
        <w:t xml:space="preserve">Initiatives are complementary and not duplicative of RD&amp;D currently, previously, or imminently </w:t>
      </w:r>
      <w:r w:rsidRPr="008B17A9" w:rsidR="00260AB2">
        <w:rPr>
          <w:rFonts w:ascii="Palatino Linotype" w:hAnsi="Palatino Linotype"/>
          <w:color w:val="000000" w:themeColor="text1"/>
          <w:kern w:val="0"/>
          <w14:ligatures w14:val="none"/>
        </w:rPr>
        <w:t>underway</w:t>
      </w:r>
      <w:r w:rsidRPr="008B17A9" w:rsidR="003D4CA2">
        <w:rPr>
          <w:rFonts w:ascii="Palatino Linotype" w:hAnsi="Palatino Linotype"/>
          <w:color w:val="000000" w:themeColor="text1"/>
          <w:kern w:val="0"/>
          <w14:ligatures w14:val="none"/>
        </w:rPr>
        <w:t>.</w:t>
      </w:r>
    </w:p>
    <w:p w:rsidRPr="008B17A9" w:rsidR="000461AA" w:rsidP="000461AA" w:rsidRDefault="000461AA" w14:paraId="6E093326" w14:textId="3FB2B83B">
      <w:pPr>
        <w:pStyle w:val="ListParagraph"/>
        <w:numPr>
          <w:ilvl w:val="0"/>
          <w:numId w:val="6"/>
        </w:numPr>
        <w:spacing w:line="276" w:lineRule="auto"/>
        <w:rPr>
          <w:rFonts w:ascii="Palatino Linotype" w:hAnsi="Palatino Linotype"/>
          <w:color w:val="000000" w:themeColor="text1"/>
        </w:rPr>
      </w:pPr>
      <w:r w:rsidRPr="008B17A9">
        <w:rPr>
          <w:rFonts w:ascii="Palatino Linotype" w:hAnsi="Palatino Linotype"/>
          <w:color w:val="000000" w:themeColor="text1"/>
        </w:rPr>
        <w:t>PG&amp;E has filed four versions of its proposed 2024 Gas RD&amp;D Plan</w:t>
      </w:r>
      <w:r w:rsidRPr="008B17A9" w:rsidR="00583053">
        <w:rPr>
          <w:rFonts w:ascii="Palatino Linotype" w:hAnsi="Palatino Linotype"/>
          <w:color w:val="000000" w:themeColor="text1"/>
        </w:rPr>
        <w:t xml:space="preserve"> via Tier 3 AL</w:t>
      </w:r>
      <w:r w:rsidRPr="008B17A9">
        <w:rPr>
          <w:rFonts w:ascii="Palatino Linotype" w:hAnsi="Palatino Linotype"/>
          <w:color w:val="000000" w:themeColor="text1"/>
        </w:rPr>
        <w:t>.</w:t>
      </w:r>
      <w:r w:rsidRPr="008B17A9" w:rsidR="003E4DAC">
        <w:rPr>
          <w:rStyle w:val="FootnoteReference"/>
          <w:rFonts w:ascii="Palatino Linotype" w:hAnsi="Palatino Linotype"/>
          <w:color w:val="000000" w:themeColor="text1"/>
        </w:rPr>
        <w:footnoteReference w:id="128"/>
      </w:r>
    </w:p>
    <w:p w:rsidRPr="00230F2C" w:rsidR="005607F9" w:rsidP="50EBED96" w:rsidRDefault="11FD3EE0" w14:paraId="24BF19D2" w14:textId="74491610">
      <w:pPr>
        <w:pStyle w:val="ListParagraph"/>
        <w:numPr>
          <w:ilvl w:val="0"/>
          <w:numId w:val="6"/>
        </w:numPr>
        <w:spacing w:line="276" w:lineRule="auto"/>
        <w:rPr>
          <w:rFonts w:ascii="Palatino Linotype" w:hAnsi="Palatino Linotype"/>
          <w:color w:val="000000" w:themeColor="text1"/>
          <w:kern w:val="0"/>
          <w14:ligatures w14:val="none"/>
        </w:rPr>
      </w:pPr>
      <w:r w:rsidRPr="000476D4">
        <w:rPr>
          <w:rFonts w:ascii="Palatino Linotype" w:hAnsi="Palatino Linotype" w:eastAsia="Palatino Linotype" w:cs="Times New Roman"/>
          <w:color w:val="000000" w:themeColor="text1"/>
        </w:rPr>
        <w:t xml:space="preserve">PG&amp;E </w:t>
      </w:r>
      <w:r w:rsidR="006B1426">
        <w:rPr>
          <w:rFonts w:ascii="Palatino Linotype" w:hAnsi="Palatino Linotype" w:eastAsia="Palatino Linotype" w:cs="Times New Roman"/>
          <w:color w:val="000000" w:themeColor="text1"/>
        </w:rPr>
        <w:t xml:space="preserve">does not </w:t>
      </w:r>
      <w:r w:rsidRPr="000476D4">
        <w:rPr>
          <w:rFonts w:ascii="Palatino Linotype" w:hAnsi="Palatino Linotype" w:eastAsia="Palatino Linotype" w:cs="Times New Roman"/>
          <w:color w:val="000000" w:themeColor="text1"/>
        </w:rPr>
        <w:t xml:space="preserve">demonstrate compliance with the requirements set forth </w:t>
      </w:r>
      <w:r w:rsidRPr="000476D4" w:rsidR="5D9A8EAA">
        <w:rPr>
          <w:rFonts w:ascii="Palatino Linotype" w:hAnsi="Palatino Linotype" w:eastAsia="Palatino Linotype" w:cs="Times New Roman"/>
          <w:color w:val="000000" w:themeColor="text1"/>
        </w:rPr>
        <w:t>by</w:t>
      </w:r>
      <w:r w:rsidRPr="000476D4">
        <w:rPr>
          <w:rFonts w:ascii="Palatino Linotype" w:hAnsi="Palatino Linotype" w:eastAsia="Palatino Linotype" w:cs="Times New Roman"/>
          <w:color w:val="000000" w:themeColor="text1"/>
        </w:rPr>
        <w:t xml:space="preserve"> </w:t>
      </w:r>
      <w:r w:rsidR="00023BA9">
        <w:rPr>
          <w:rFonts w:ascii="Palatino Linotype" w:hAnsi="Palatino Linotype" w:eastAsia="Palatino Linotype" w:cs="Times New Roman"/>
          <w:color w:val="000000" w:themeColor="text1"/>
        </w:rPr>
        <w:br/>
      </w:r>
      <w:r w:rsidRPr="000476D4">
        <w:rPr>
          <w:rFonts w:ascii="Palatino Linotype" w:hAnsi="Palatino Linotype" w:eastAsia="Palatino Linotype" w:cs="Times New Roman"/>
          <w:color w:val="000000" w:themeColor="text1"/>
        </w:rPr>
        <w:t xml:space="preserve">D.23-11-069 and Public Utilities Code 740.1 in its proposed 2025 Gas RD&amp;D Investment Plan submitted via Tier 3 </w:t>
      </w:r>
      <w:r w:rsidRPr="00230F2C">
        <w:rPr>
          <w:rFonts w:ascii="Palatino Linotype" w:hAnsi="Palatino Linotype" w:eastAsia="Palatino Linotype" w:cs="Times New Roman"/>
          <w:color w:val="000000" w:themeColor="text1"/>
        </w:rPr>
        <w:t>AL 5</w:t>
      </w:r>
      <w:r w:rsidRPr="00230F2C" w:rsidR="000476D4">
        <w:rPr>
          <w:rFonts w:ascii="Palatino Linotype" w:hAnsi="Palatino Linotype" w:eastAsia="Palatino Linotype" w:cs="Times New Roman"/>
          <w:color w:val="000000" w:themeColor="text1"/>
        </w:rPr>
        <w:t>197</w:t>
      </w:r>
      <w:r w:rsidRPr="00230F2C">
        <w:rPr>
          <w:rFonts w:ascii="Palatino Linotype" w:hAnsi="Palatino Linotype" w:eastAsia="Palatino Linotype" w:cs="Times New Roman"/>
          <w:color w:val="000000" w:themeColor="text1"/>
        </w:rPr>
        <w:t>-</w:t>
      </w:r>
      <w:r w:rsidRPr="000476D4">
        <w:rPr>
          <w:rFonts w:ascii="Palatino Linotype" w:hAnsi="Palatino Linotype" w:eastAsia="Palatino Linotype" w:cs="Times New Roman"/>
          <w:color w:val="000000" w:themeColor="text1"/>
        </w:rPr>
        <w:t xml:space="preserve">G </w:t>
      </w:r>
      <w:proofErr w:type="gramStart"/>
      <w:r w:rsidRPr="000476D4">
        <w:rPr>
          <w:rFonts w:ascii="Palatino Linotype" w:hAnsi="Palatino Linotype" w:eastAsia="Palatino Linotype" w:cs="Times New Roman"/>
          <w:color w:val="000000" w:themeColor="text1"/>
        </w:rPr>
        <w:t>where</w:t>
      </w:r>
      <w:proofErr w:type="gramEnd"/>
      <w:r w:rsidRPr="000476D4">
        <w:rPr>
          <w:rFonts w:ascii="Palatino Linotype" w:hAnsi="Palatino Linotype" w:eastAsia="Palatino Linotype" w:cs="Times New Roman"/>
          <w:color w:val="000000" w:themeColor="text1"/>
        </w:rPr>
        <w:t xml:space="preserve"> noted in </w:t>
      </w:r>
      <w:r w:rsidRPr="000476D4">
        <w:rPr>
          <w:rFonts w:ascii="Palatino Linotype" w:hAnsi="Palatino Linotype"/>
          <w:color w:val="000000" w:themeColor="text1"/>
        </w:rPr>
        <w:t xml:space="preserve">Appendix </w:t>
      </w:r>
      <w:r w:rsidR="000624CC">
        <w:rPr>
          <w:rFonts w:ascii="Palatino Linotype" w:hAnsi="Palatino Linotype"/>
          <w:color w:val="000000" w:themeColor="text1"/>
        </w:rPr>
        <w:t>F</w:t>
      </w:r>
      <w:r w:rsidRPr="008A2002" w:rsidR="008A2002">
        <w:rPr>
          <w:rFonts w:ascii="Palatino Linotype" w:hAnsi="Palatino Linotype"/>
          <w:color w:val="000000" w:themeColor="text1"/>
        </w:rPr>
        <w:t>,</w:t>
      </w:r>
      <w:r w:rsidRPr="008A2002" w:rsidR="006B1426">
        <w:rPr>
          <w:rFonts w:ascii="Palatino Linotype" w:hAnsi="Palatino Linotype"/>
          <w:color w:val="000000" w:themeColor="text1"/>
        </w:rPr>
        <w:t xml:space="preserve"> </w:t>
      </w:r>
      <w:r w:rsidRPr="00230F2C" w:rsidR="006B1426">
        <w:rPr>
          <w:rFonts w:ascii="Palatino Linotype" w:hAnsi="Palatino Linotype"/>
          <w:color w:val="000000" w:themeColor="text1"/>
        </w:rPr>
        <w:t>particularly due to PG&amp;E:</w:t>
      </w:r>
    </w:p>
    <w:p w:rsidRPr="00230F2C" w:rsidR="0065400F" w:rsidP="0065400F" w:rsidRDefault="006B1426" w14:paraId="4F507797" w14:textId="110C0DE3">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Proposing a</w:t>
      </w:r>
      <w:r w:rsidRPr="00230F2C" w:rsidR="0065400F">
        <w:rPr>
          <w:rFonts w:ascii="Palatino Linotype" w:hAnsi="Palatino Linotype"/>
          <w:color w:val="000000" w:themeColor="text1"/>
          <w:kern w:val="0"/>
          <w14:ligatures w14:val="none"/>
        </w:rPr>
        <w:t xml:space="preserve"> Program Administrative budget greater than the 10% cap of the total proposed budget.</w:t>
      </w:r>
    </w:p>
    <w:p w:rsidRPr="00230F2C" w:rsidR="00135A85" w:rsidP="0065400F" w:rsidRDefault="006B1426" w14:paraId="25D7BD1F" w14:textId="605B1B3F">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Not</w:t>
      </w:r>
      <w:r w:rsidRPr="00230F2C" w:rsidR="00E3170F">
        <w:rPr>
          <w:rFonts w:ascii="Palatino Linotype" w:hAnsi="Palatino Linotype"/>
          <w:color w:val="000000" w:themeColor="text1"/>
          <w:kern w:val="0"/>
          <w14:ligatures w14:val="none"/>
        </w:rPr>
        <w:t> demonstrat</w:t>
      </w:r>
      <w:r w:rsidRPr="00230F2C">
        <w:rPr>
          <w:rFonts w:ascii="Palatino Linotype" w:hAnsi="Palatino Linotype"/>
          <w:color w:val="000000" w:themeColor="text1"/>
          <w:kern w:val="0"/>
          <w14:ligatures w14:val="none"/>
        </w:rPr>
        <w:t>ing</w:t>
      </w:r>
      <w:r w:rsidRPr="00230F2C" w:rsidR="00E3170F">
        <w:rPr>
          <w:rFonts w:ascii="Palatino Linotype" w:hAnsi="Palatino Linotype"/>
          <w:color w:val="000000" w:themeColor="text1"/>
          <w:kern w:val="0"/>
          <w14:ligatures w14:val="none"/>
        </w:rPr>
        <w:t> that Initiatives are complementary and not duplicative of RD&amp;D currently, previously, or imminently underway,</w:t>
      </w:r>
      <w:r w:rsidRPr="00230F2C" w:rsidR="00E3170F">
        <w:rPr>
          <w:rFonts w:ascii="Palatino Linotype" w:hAnsi="Palatino Linotype"/>
          <w:color w:val="000000" w:themeColor="text1"/>
          <w:kern w:val="0"/>
          <w:vertAlign w:val="superscript"/>
          <w14:ligatures w14:val="none"/>
        </w:rPr>
        <w:t xml:space="preserve"> </w:t>
      </w:r>
      <w:r w:rsidRPr="00230F2C" w:rsidR="00E3170F">
        <w:rPr>
          <w:rFonts w:ascii="Palatino Linotype" w:hAnsi="Palatino Linotype"/>
          <w:color w:val="000000" w:themeColor="text1"/>
          <w:kern w:val="0"/>
          <w14:ligatures w14:val="none"/>
        </w:rPr>
        <w:t xml:space="preserve">including by: </w:t>
      </w:r>
    </w:p>
    <w:p w:rsidRPr="00230F2C" w:rsidR="00B60DB1" w:rsidP="00B60DB1" w:rsidRDefault="000931C8" w14:paraId="483C4BBB" w14:textId="1E3C88BB">
      <w:pPr>
        <w:pStyle w:val="ListParagraph"/>
        <w:numPr>
          <w:ilvl w:val="2"/>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Demonstrating incremental value added through multi-year (2024 and 2025 Plan) funding for the Innovative and Cost-Effective Integrity Management Initiative. </w:t>
      </w:r>
    </w:p>
    <w:p w:rsidR="00B60DB1" w:rsidP="00B60DB1" w:rsidRDefault="00B60DB1" w14:paraId="1AC4E1D4" w14:textId="0793B2BA">
      <w:pPr>
        <w:pStyle w:val="ListParagraph"/>
        <w:numPr>
          <w:ilvl w:val="2"/>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 xml:space="preserve">Differentiating </w:t>
      </w:r>
      <w:r w:rsidRPr="00230F2C" w:rsidR="00135A85">
        <w:rPr>
          <w:rFonts w:ascii="Palatino Linotype" w:hAnsi="Palatino Linotype"/>
          <w:color w:val="000000" w:themeColor="text1"/>
          <w:kern w:val="0"/>
          <w14:ligatures w14:val="none"/>
        </w:rPr>
        <w:t>the Innovative and Cost-Effective Integrity Management and Clean Fuel Integration Initiatives</w:t>
      </w:r>
      <w:r w:rsidRPr="00230F2C">
        <w:rPr>
          <w:rFonts w:ascii="Palatino Linotype" w:hAnsi="Palatino Linotype"/>
          <w:color w:val="000000" w:themeColor="text1"/>
          <w:kern w:val="0"/>
          <w14:ligatures w14:val="none"/>
        </w:rPr>
        <w:t xml:space="preserve"> from similar </w:t>
      </w:r>
      <w:r w:rsidRPr="0075777D">
        <w:rPr>
          <w:rFonts w:ascii="Palatino Linotype" w:hAnsi="Palatino Linotype"/>
          <w:color w:val="000000" w:themeColor="text1"/>
          <w:kern w:val="0"/>
          <w14:ligatures w14:val="none"/>
        </w:rPr>
        <w:t>RD&amp;D led by other Gas RD&amp;D administrators.</w:t>
      </w:r>
    </w:p>
    <w:p w:rsidRPr="00F93EDB" w:rsidR="008A4F4B" w:rsidP="00EF3000" w:rsidRDefault="008A4F4B" w14:paraId="184381FB" w14:textId="29E3E97D">
      <w:pPr>
        <w:pStyle w:val="ListParagraph"/>
        <w:numPr>
          <w:ilvl w:val="0"/>
          <w:numId w:val="6"/>
        </w:numPr>
        <w:spacing w:line="276" w:lineRule="auto"/>
        <w:rPr>
          <w:rFonts w:ascii="Palatino Linotype" w:hAnsi="Palatino Linotype"/>
          <w:color w:val="000000" w:themeColor="text1"/>
          <w:kern w:val="0"/>
          <w14:ligatures w14:val="none"/>
        </w:rPr>
      </w:pPr>
      <w:r w:rsidRPr="1B656BFA">
        <w:rPr>
          <w:rFonts w:ascii="Palatino Linotype" w:hAnsi="Palatino Linotype" w:eastAsia="Palatino Linotype" w:cs="Times New Roman"/>
          <w:color w:val="000000" w:themeColor="text1"/>
        </w:rPr>
        <w:t>PG&amp;E demonstrate</w:t>
      </w:r>
      <w:r w:rsidRPr="1B656BFA" w:rsidR="00D970BD">
        <w:rPr>
          <w:rFonts w:ascii="Palatino Linotype" w:hAnsi="Palatino Linotype" w:eastAsia="Palatino Linotype" w:cs="Times New Roman"/>
          <w:color w:val="000000" w:themeColor="text1"/>
        </w:rPr>
        <w:t>s</w:t>
      </w:r>
      <w:r w:rsidRPr="1B656BFA">
        <w:rPr>
          <w:rFonts w:ascii="Palatino Linotype" w:hAnsi="Palatino Linotype" w:eastAsia="Palatino Linotype" w:cs="Times New Roman"/>
          <w:color w:val="000000" w:themeColor="text1"/>
        </w:rPr>
        <w:t xml:space="preserve"> compliance with the requirements set forth by D.23-11-069, Public Utilities Code 740.1, and Resolution G-3618 in its proposed 2026 Gas </w:t>
      </w:r>
      <w:r w:rsidRPr="1B656BFA">
        <w:rPr>
          <w:rFonts w:ascii="Palatino Linotype" w:hAnsi="Palatino Linotype" w:eastAsia="Palatino Linotype" w:cs="Times New Roman"/>
          <w:color w:val="000000" w:themeColor="text1"/>
        </w:rPr>
        <w:lastRenderedPageBreak/>
        <w:t>RD&amp;D Investment Plan submitted via Tier 3 AL</w:t>
      </w:r>
      <w:r w:rsidRPr="1B656BFA" w:rsidR="0075777D">
        <w:rPr>
          <w:rFonts w:ascii="Palatino Linotype" w:hAnsi="Palatino Linotype" w:eastAsia="Palatino Linotype" w:cs="Times New Roman"/>
          <w:color w:val="A6A6A6" w:themeColor="background1" w:themeShade="A6"/>
        </w:rPr>
        <w:t xml:space="preserve"> </w:t>
      </w:r>
      <w:r w:rsidRPr="1B656BFA" w:rsidR="0075777D">
        <w:rPr>
          <w:rFonts w:ascii="Palatino Linotype" w:hAnsi="Palatino Linotype" w:eastAsia="Palatino Linotype" w:cs="Times New Roman"/>
          <w:color w:val="000000" w:themeColor="text1"/>
        </w:rPr>
        <w:t>5222-</w:t>
      </w:r>
      <w:r w:rsidRPr="1B656BFA">
        <w:rPr>
          <w:rFonts w:ascii="Palatino Linotype" w:hAnsi="Palatino Linotype" w:eastAsia="Palatino Linotype" w:cs="Times New Roman"/>
          <w:color w:val="000000" w:themeColor="text1"/>
        </w:rPr>
        <w:t>G</w:t>
      </w:r>
      <w:r w:rsidRPr="1B656BFA" w:rsidR="00D970BD">
        <w:rPr>
          <w:rFonts w:ascii="Palatino Linotype" w:hAnsi="Palatino Linotype" w:eastAsia="Palatino Linotype" w:cs="Times New Roman"/>
          <w:color w:val="000000" w:themeColor="text1"/>
        </w:rPr>
        <w:t xml:space="preserve">, however, </w:t>
      </w:r>
      <w:r w:rsidRPr="1B656BFA" w:rsidR="00EF3000">
        <w:rPr>
          <w:rFonts w:ascii="Palatino Linotype" w:hAnsi="Palatino Linotype" w:eastAsia="Palatino Linotype" w:cs="Times New Roman"/>
          <w:color w:val="000000" w:themeColor="text1"/>
        </w:rPr>
        <w:t xml:space="preserve">the following compliance areas require improvement </w:t>
      </w:r>
      <w:r w:rsidRPr="1B656BFA" w:rsidR="00733707">
        <w:rPr>
          <w:rFonts w:ascii="Palatino Linotype" w:hAnsi="Palatino Linotype" w:eastAsia="Palatino Linotype" w:cs="Times New Roman"/>
          <w:color w:val="000000" w:themeColor="text1"/>
        </w:rPr>
        <w:t>as</w:t>
      </w:r>
      <w:r w:rsidRPr="1B656BFA">
        <w:rPr>
          <w:rFonts w:ascii="Palatino Linotype" w:hAnsi="Palatino Linotype" w:eastAsia="Palatino Linotype" w:cs="Times New Roman"/>
          <w:color w:val="000000" w:themeColor="text1"/>
        </w:rPr>
        <w:t xml:space="preserve"> noted in </w:t>
      </w:r>
      <w:r w:rsidRPr="1B656BFA">
        <w:rPr>
          <w:rFonts w:ascii="Palatino Linotype" w:hAnsi="Palatino Linotype"/>
          <w:color w:val="000000" w:themeColor="text1"/>
        </w:rPr>
        <w:t>Appendix</w:t>
      </w:r>
      <w:r w:rsidRPr="1B656BFA" w:rsidR="008A2002">
        <w:rPr>
          <w:rFonts w:ascii="Palatino Linotype" w:hAnsi="Palatino Linotype"/>
          <w:color w:val="000000" w:themeColor="text1"/>
        </w:rPr>
        <w:t xml:space="preserve"> </w:t>
      </w:r>
      <w:r w:rsidR="000624CC">
        <w:rPr>
          <w:rFonts w:ascii="Palatino Linotype" w:hAnsi="Palatino Linotype"/>
          <w:color w:val="000000" w:themeColor="text1"/>
        </w:rPr>
        <w:t>G</w:t>
      </w:r>
      <w:r w:rsidRPr="1B656BFA" w:rsidR="00733707">
        <w:rPr>
          <w:rFonts w:ascii="Palatino Linotype" w:hAnsi="Palatino Linotype"/>
          <w:color w:val="000000" w:themeColor="text1"/>
        </w:rPr>
        <w:t>:</w:t>
      </w:r>
    </w:p>
    <w:p w:rsidRPr="008A4F4B" w:rsidR="008A4F4B" w:rsidP="008A4F4B" w:rsidRDefault="2A059E7C" w14:paraId="4E406A86" w14:textId="2A5C2743">
      <w:pPr>
        <w:pStyle w:val="ListParagraph"/>
        <w:numPr>
          <w:ilvl w:val="1"/>
          <w:numId w:val="6"/>
        </w:numPr>
        <w:spacing w:line="276" w:lineRule="auto"/>
        <w:rPr>
          <w:rFonts w:ascii="Palatino Linotype" w:hAnsi="Palatino Linotype"/>
          <w:color w:val="000000" w:themeColor="text1"/>
          <w:kern w:val="0"/>
          <w14:ligatures w14:val="none"/>
        </w:rPr>
      </w:pPr>
      <w:r w:rsidRPr="3FA06644">
        <w:rPr>
          <w:rFonts w:ascii="Palatino Linotype" w:hAnsi="Palatino Linotype"/>
          <w:color w:val="000000" w:themeColor="text1"/>
        </w:rPr>
        <w:t>Planned methodologies for tracking and evaluating quantitative impacts from each Initiative via specific metrics for each targeted benefit</w:t>
      </w:r>
      <w:r w:rsidRPr="545D0948">
        <w:rPr>
          <w:rFonts w:ascii="Palatino Linotype" w:hAnsi="Palatino Linotype"/>
          <w:color w:val="000000" w:themeColor="text1"/>
        </w:rPr>
        <w:t>,</w:t>
      </w:r>
      <w:r w:rsidRPr="3FA06644">
        <w:rPr>
          <w:rFonts w:ascii="Palatino Linotype" w:hAnsi="Palatino Linotype"/>
          <w:color w:val="000000" w:themeColor="text1"/>
        </w:rPr>
        <w:t xml:space="preserve"> including affordability, safety, reliability, equity, and environmental</w:t>
      </w:r>
      <w:r w:rsidRPr="545D0948">
        <w:rPr>
          <w:rFonts w:ascii="Palatino Linotype" w:hAnsi="Palatino Linotype"/>
          <w:color w:val="000000" w:themeColor="text1"/>
        </w:rPr>
        <w:t>.</w:t>
      </w:r>
    </w:p>
    <w:p w:rsidR="2A059E7C" w:rsidP="2DB7E302" w:rsidRDefault="2A059E7C" w14:paraId="039C8C15" w14:textId="4D48115A">
      <w:pPr>
        <w:pStyle w:val="ListParagraph"/>
        <w:numPr>
          <w:ilvl w:val="2"/>
          <w:numId w:val="6"/>
        </w:numPr>
        <w:spacing w:line="276" w:lineRule="auto"/>
        <w:rPr>
          <w:rFonts w:ascii="Palatino Linotype" w:hAnsi="Palatino Linotype"/>
          <w:color w:val="000000" w:themeColor="text1"/>
        </w:rPr>
      </w:pPr>
      <w:r w:rsidRPr="2DB7E302">
        <w:rPr>
          <w:rFonts w:ascii="Palatino Linotype" w:hAnsi="Palatino Linotype"/>
          <w:color w:val="000000" w:themeColor="text1"/>
        </w:rPr>
        <w:t xml:space="preserve">For the Innovative and Cost-Effective Integrity Management Initiative, </w:t>
      </w:r>
      <w:r w:rsidRPr="3D1B8937">
        <w:rPr>
          <w:rFonts w:ascii="Palatino Linotype" w:hAnsi="Palatino Linotype"/>
          <w:color w:val="000000" w:themeColor="text1"/>
        </w:rPr>
        <w:t>demonstration</w:t>
      </w:r>
      <w:r w:rsidRPr="2DB7E302">
        <w:rPr>
          <w:rFonts w:ascii="Palatino Linotype" w:hAnsi="Palatino Linotype"/>
          <w:color w:val="000000" w:themeColor="text1"/>
        </w:rPr>
        <w:t xml:space="preserve"> that </w:t>
      </w:r>
      <w:r w:rsidRPr="166C02E8">
        <w:rPr>
          <w:rFonts w:ascii="Palatino Linotype" w:hAnsi="Palatino Linotype"/>
          <w:color w:val="000000" w:themeColor="text1"/>
        </w:rPr>
        <w:t>PG&amp;E</w:t>
      </w:r>
      <w:r w:rsidRPr="2DB7E302">
        <w:rPr>
          <w:rFonts w:ascii="Palatino Linotype" w:hAnsi="Palatino Linotype"/>
          <w:color w:val="000000" w:themeColor="text1"/>
        </w:rPr>
        <w:t xml:space="preserve"> will account for the full costs associated with AI/ML applications when assessing impacts, including increased energy consumption, cloud services, data storage, and processing requirements, </w:t>
      </w:r>
      <w:r w:rsidRPr="36794B6C">
        <w:rPr>
          <w:rFonts w:ascii="Palatino Linotype" w:hAnsi="Palatino Linotype"/>
          <w:color w:val="000000" w:themeColor="text1"/>
        </w:rPr>
        <w:t>and</w:t>
      </w:r>
      <w:r w:rsidRPr="2DB7E302">
        <w:rPr>
          <w:rFonts w:ascii="Palatino Linotype" w:hAnsi="Palatino Linotype"/>
          <w:color w:val="000000" w:themeColor="text1"/>
        </w:rPr>
        <w:t xml:space="preserve"> that human decision-making authority will be retained per CPUC staff feedback.</w:t>
      </w:r>
    </w:p>
    <w:p w:rsidR="545D0948" w:rsidP="545D0948" w:rsidRDefault="2A059E7C" w14:paraId="0422BED4" w14:textId="792EB34E">
      <w:pPr>
        <w:pStyle w:val="ListParagraph"/>
        <w:numPr>
          <w:ilvl w:val="1"/>
          <w:numId w:val="6"/>
        </w:numPr>
        <w:spacing w:line="276" w:lineRule="auto"/>
        <w:rPr>
          <w:rFonts w:ascii="Palatino Linotype" w:hAnsi="Palatino Linotype"/>
          <w:color w:val="000000" w:themeColor="text1"/>
        </w:rPr>
      </w:pPr>
      <w:r w:rsidRPr="3C38DCF6">
        <w:rPr>
          <w:rFonts w:ascii="Palatino Linotype" w:hAnsi="Palatino Linotype"/>
          <w:color w:val="000000" w:themeColor="text1"/>
        </w:rPr>
        <w:t>Justification of</w:t>
      </w:r>
      <w:r w:rsidRPr="0CBC3662">
        <w:rPr>
          <w:rFonts w:ascii="Palatino Linotype" w:hAnsi="Palatino Linotype"/>
          <w:color w:val="000000" w:themeColor="text1"/>
        </w:rPr>
        <w:t xml:space="preserve"> the total proposed budget amount </w:t>
      </w:r>
      <w:r w:rsidRPr="3C38DCF6">
        <w:rPr>
          <w:rFonts w:ascii="Palatino Linotype" w:hAnsi="Palatino Linotype"/>
          <w:color w:val="000000" w:themeColor="text1"/>
        </w:rPr>
        <w:t>via</w:t>
      </w:r>
      <w:r w:rsidRPr="0CBC3662">
        <w:rPr>
          <w:rFonts w:ascii="Palatino Linotype" w:hAnsi="Palatino Linotype"/>
          <w:color w:val="000000" w:themeColor="text1"/>
        </w:rPr>
        <w:t xml:space="preserve"> specific citations including page numbers referring to Commission approved budgets and/or escalation factors.</w:t>
      </w:r>
    </w:p>
    <w:p w:rsidRPr="00230F2C" w:rsidR="00626925" w:rsidP="50EBED96" w:rsidRDefault="00952663" w14:paraId="5401374B" w14:textId="2AEA0542">
      <w:pPr>
        <w:pStyle w:val="ListParagraph"/>
        <w:numPr>
          <w:ilvl w:val="0"/>
          <w:numId w:val="6"/>
        </w:numPr>
        <w:spacing w:line="276" w:lineRule="auto"/>
        <w:rPr>
          <w:rFonts w:ascii="Palatino Linotype" w:hAnsi="Palatino Linotype"/>
          <w:color w:val="000000" w:themeColor="text1"/>
          <w:kern w:val="0"/>
          <w14:ligatures w14:val="none"/>
        </w:rPr>
      </w:pPr>
      <w:r w:rsidRPr="00230F2C">
        <w:rPr>
          <w:rFonts w:ascii="Palatino Linotype" w:hAnsi="Palatino Linotype" w:eastAsia="Palatino Linotype" w:cs="Times New Roman"/>
          <w:color w:val="000000" w:themeColor="text1"/>
        </w:rPr>
        <w:t xml:space="preserve">PG&amp;E responded to </w:t>
      </w:r>
      <w:r w:rsidRPr="5CFAD929" w:rsidR="49025561">
        <w:rPr>
          <w:rFonts w:ascii="Palatino Linotype" w:hAnsi="Palatino Linotype" w:eastAsia="Palatino Linotype" w:cs="Times New Roman"/>
          <w:color w:val="000000" w:themeColor="text1"/>
        </w:rPr>
        <w:t>Energy Division</w:t>
      </w:r>
      <w:r w:rsidRPr="5CFAD929" w:rsidR="001276B3">
        <w:rPr>
          <w:rFonts w:ascii="Palatino Linotype" w:hAnsi="Palatino Linotype" w:eastAsia="Palatino Linotype" w:cs="Times New Roman"/>
          <w:color w:val="000000" w:themeColor="text1"/>
        </w:rPr>
        <w:t>’s</w:t>
      </w:r>
      <w:r w:rsidRPr="00230F2C" w:rsidR="001276B3">
        <w:rPr>
          <w:rFonts w:ascii="Palatino Linotype" w:hAnsi="Palatino Linotype" w:eastAsia="Palatino Linotype" w:cs="Times New Roman"/>
          <w:color w:val="000000" w:themeColor="text1"/>
        </w:rPr>
        <w:t xml:space="preserve"> </w:t>
      </w:r>
      <w:r w:rsidRPr="00230F2C" w:rsidR="001019A9">
        <w:rPr>
          <w:rFonts w:ascii="Palatino Linotype" w:hAnsi="Palatino Linotype" w:eastAsia="Palatino Linotype" w:cs="Times New Roman"/>
          <w:color w:val="000000" w:themeColor="text1"/>
        </w:rPr>
        <w:t>April 28, 2026, Data Request about</w:t>
      </w:r>
      <w:r w:rsidRPr="00230F2C" w:rsidR="00626925">
        <w:rPr>
          <w:rFonts w:ascii="Palatino Linotype" w:hAnsi="Palatino Linotype" w:eastAsia="Palatino Linotype" w:cs="Times New Roman"/>
          <w:color w:val="000000" w:themeColor="text1"/>
        </w:rPr>
        <w:t>:</w:t>
      </w:r>
    </w:p>
    <w:p w:rsidRPr="008A4F4B" w:rsidR="000C5500" w:rsidP="000C5500" w:rsidRDefault="000C5500" w14:paraId="2A843FE6" w14:textId="32E05208">
      <w:pPr>
        <w:pStyle w:val="ListParagraph"/>
        <w:numPr>
          <w:ilvl w:val="1"/>
          <w:numId w:val="6"/>
        </w:numPr>
        <w:spacing w:line="276" w:lineRule="auto"/>
        <w:rPr>
          <w:rFonts w:ascii="Palatino Linotype" w:hAnsi="Palatino Linotype"/>
          <w:color w:val="000000" w:themeColor="text1"/>
          <w:kern w:val="0"/>
          <w14:ligatures w14:val="none"/>
        </w:rPr>
      </w:pPr>
      <w:r w:rsidRPr="008A4F4B">
        <w:rPr>
          <w:rFonts w:ascii="Palatino Linotype" w:hAnsi="Palatino Linotype" w:eastAsia="Palatino Linotype" w:cs="Times New Roman"/>
          <w:color w:val="000000" w:themeColor="text1"/>
        </w:rPr>
        <w:t xml:space="preserve">How the $1,945,797 in prospective (unspent) funds requested in AL </w:t>
      </w:r>
      <w:r w:rsidR="00023BA9">
        <w:rPr>
          <w:rFonts w:ascii="Palatino Linotype" w:hAnsi="Palatino Linotype" w:eastAsia="Palatino Linotype" w:cs="Times New Roman"/>
          <w:color w:val="000000" w:themeColor="text1"/>
        </w:rPr>
        <w:br/>
      </w:r>
      <w:r w:rsidRPr="008A4F4B">
        <w:rPr>
          <w:rFonts w:ascii="Palatino Linotype" w:hAnsi="Palatino Linotype" w:eastAsia="Palatino Linotype" w:cs="Times New Roman"/>
          <w:color w:val="000000" w:themeColor="text1"/>
        </w:rPr>
        <w:t>5196-G relate to the $1,945,797 in actual expenditures recorded (spent) in 2025 as reported in PG&amp;E’s 2025 Annual Report.</w:t>
      </w:r>
    </w:p>
    <w:p w:rsidRPr="00EB5082" w:rsidR="00A76F4A" w:rsidP="00EB5082" w:rsidRDefault="00626925" w14:paraId="21CF1B88" w14:textId="798360BD">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eastAsia="Palatino Linotype" w:cs="Times New Roman"/>
          <w:color w:val="000000" w:themeColor="text1"/>
        </w:rPr>
        <w:t>F</w:t>
      </w:r>
      <w:r w:rsidRPr="00230F2C" w:rsidR="002B4FD6">
        <w:rPr>
          <w:rFonts w:ascii="Palatino Linotype" w:hAnsi="Palatino Linotype" w:eastAsia="Palatino Linotype" w:cs="Times New Roman"/>
          <w:color w:val="000000" w:themeColor="text1"/>
        </w:rPr>
        <w:t xml:space="preserve">unds encumbered through contractual agreements </w:t>
      </w:r>
      <w:r w:rsidRPr="00230F2C" w:rsidR="00853BE7">
        <w:rPr>
          <w:rFonts w:ascii="Palatino Linotype" w:hAnsi="Palatino Linotype" w:eastAsia="Palatino Linotype" w:cs="Times New Roman"/>
          <w:color w:val="000000" w:themeColor="text1"/>
        </w:rPr>
        <w:t xml:space="preserve">for consortia activities outside of California, which PG&amp;E states </w:t>
      </w:r>
      <w:r w:rsidRPr="00230F2C" w:rsidR="00A61E14">
        <w:rPr>
          <w:rFonts w:ascii="Palatino Linotype" w:hAnsi="Palatino Linotype" w:eastAsia="Palatino Linotype" w:cs="Times New Roman"/>
          <w:color w:val="000000" w:themeColor="text1"/>
        </w:rPr>
        <w:t xml:space="preserve">it </w:t>
      </w:r>
      <w:r w:rsidRPr="00230F2C" w:rsidR="00853BE7">
        <w:rPr>
          <w:rFonts w:ascii="Palatino Linotype" w:hAnsi="Palatino Linotype" w:eastAsia="Palatino Linotype" w:cs="Times New Roman"/>
          <w:color w:val="000000" w:themeColor="text1"/>
        </w:rPr>
        <w:t>request</w:t>
      </w:r>
      <w:r w:rsidRPr="00230F2C" w:rsidR="00A61E14">
        <w:rPr>
          <w:rFonts w:ascii="Palatino Linotype" w:hAnsi="Palatino Linotype" w:eastAsia="Palatino Linotype" w:cs="Times New Roman"/>
          <w:color w:val="000000" w:themeColor="text1"/>
        </w:rPr>
        <w:t>s</w:t>
      </w:r>
      <w:r w:rsidRPr="00230F2C" w:rsidR="00853BE7">
        <w:rPr>
          <w:rFonts w:ascii="Palatino Linotype" w:hAnsi="Palatino Linotype" w:eastAsia="Palatino Linotype" w:cs="Times New Roman"/>
          <w:color w:val="000000" w:themeColor="text1"/>
        </w:rPr>
        <w:t xml:space="preserve"> to </w:t>
      </w:r>
      <w:r w:rsidRPr="00230F2C" w:rsidR="00743F92">
        <w:rPr>
          <w:rFonts w:ascii="Palatino Linotype" w:hAnsi="Palatino Linotype" w:eastAsia="Palatino Linotype" w:cs="Times New Roman"/>
          <w:color w:val="000000" w:themeColor="text1"/>
        </w:rPr>
        <w:t xml:space="preserve">“to fulfill existing contractual obligations and to avoid near-term financial and operational risk to </w:t>
      </w:r>
      <w:r w:rsidRPr="008A4F4B" w:rsidR="00743F92">
        <w:rPr>
          <w:rFonts w:ascii="Palatino Linotype" w:hAnsi="Palatino Linotype" w:eastAsia="Palatino Linotype" w:cs="Times New Roman"/>
          <w:color w:val="000000" w:themeColor="text1"/>
        </w:rPr>
        <w:t>ratepayers.”</w:t>
      </w:r>
      <w:r w:rsidRPr="008A4F4B" w:rsidR="00743F92">
        <w:rPr>
          <w:rStyle w:val="FootnoteReference"/>
          <w:rFonts w:ascii="Palatino Linotype" w:hAnsi="Palatino Linotype" w:eastAsia="Palatino Linotype" w:cs="Times New Roman"/>
          <w:color w:val="000000" w:themeColor="text1"/>
        </w:rPr>
        <w:footnoteReference w:id="129"/>
      </w:r>
    </w:p>
    <w:p w:rsidRPr="00EB5082" w:rsidR="00EB5082" w:rsidP="00EB5082" w:rsidRDefault="00EB5082" w14:paraId="21071E2C" w14:textId="77777777">
      <w:pPr>
        <w:pStyle w:val="ListParagraph"/>
        <w:spacing w:line="276" w:lineRule="auto"/>
        <w:ind w:left="1440"/>
        <w:rPr>
          <w:rFonts w:ascii="Palatino Linotype" w:hAnsi="Palatino Linotype"/>
          <w:color w:val="000000" w:themeColor="text1"/>
          <w:kern w:val="0"/>
          <w14:ligatures w14:val="none"/>
        </w:rPr>
      </w:pPr>
    </w:p>
    <w:p w:rsidRPr="00ED41B2" w:rsidR="00A76F4A" w:rsidP="00361AB6" w:rsidRDefault="00A76F4A" w14:paraId="215FEFCC" w14:textId="4900AB08">
      <w:pPr>
        <w:keepNext/>
        <w:spacing w:before="120" w:after="240" w:line="276" w:lineRule="auto"/>
        <w:outlineLvl w:val="0"/>
        <w:rPr>
          <w:rFonts w:ascii="Palatino Linotype" w:hAnsi="Palatino Linotype" w:eastAsia="Palatino Linotype" w:cs="Times New Roman"/>
          <w:b/>
          <w:caps/>
          <w:color w:val="000000" w:themeColor="text1"/>
          <w:kern w:val="28"/>
          <w:u w:val="single"/>
          <w14:ligatures w14:val="none"/>
        </w:rPr>
      </w:pPr>
      <w:r w:rsidRPr="00ED41B2">
        <w:rPr>
          <w:rFonts w:ascii="Palatino Linotype" w:hAnsi="Palatino Linotype" w:eastAsia="Palatino Linotype" w:cs="Times New Roman"/>
          <w:b/>
          <w:caps/>
          <w:color w:val="000000" w:themeColor="text1"/>
          <w:kern w:val="28"/>
          <w:u w:val="single"/>
          <w14:ligatures w14:val="none"/>
        </w:rPr>
        <w:t>Therefore</w:t>
      </w:r>
      <w:r w:rsidRPr="00ED41B2" w:rsidR="006E3061">
        <w:rPr>
          <w:rFonts w:ascii="Palatino Linotype" w:hAnsi="Palatino Linotype" w:eastAsia="Palatino Linotype" w:cs="Times New Roman"/>
          <w:b/>
          <w:caps/>
          <w:color w:val="000000" w:themeColor="text1"/>
          <w:kern w:val="28"/>
          <w:u w:val="single"/>
          <w14:ligatures w14:val="none"/>
        </w:rPr>
        <w:t>,</w:t>
      </w:r>
      <w:r w:rsidRPr="00ED41B2">
        <w:rPr>
          <w:rFonts w:ascii="Palatino Linotype" w:hAnsi="Palatino Linotype" w:eastAsia="Palatino Linotype" w:cs="Times New Roman"/>
          <w:b/>
          <w:caps/>
          <w:color w:val="000000" w:themeColor="text1"/>
          <w:kern w:val="28"/>
          <w:u w:val="single"/>
          <w14:ligatures w14:val="none"/>
        </w:rPr>
        <w:t xml:space="preserve"> it is ordered that:</w:t>
      </w:r>
    </w:p>
    <w:p w:rsidRPr="005F1540" w:rsidR="005F1540" w:rsidP="005F1540" w:rsidRDefault="48FA59E1" w14:paraId="2A9CD6E3" w14:textId="5CA70465">
      <w:pPr>
        <w:pStyle w:val="10spHanging05"/>
        <w:numPr>
          <w:ilvl w:val="0"/>
          <w:numId w:val="7"/>
        </w:numPr>
        <w:spacing w:after="0" w:line="276" w:lineRule="auto"/>
        <w:rPr>
          <w:rFonts w:ascii="Palatino Linotype" w:hAnsi="Palatino Linotype" w:eastAsia="Palatino Linotype" w:cs="Palatino Linotype"/>
          <w:color w:val="000000" w:themeColor="text1"/>
        </w:rPr>
      </w:pPr>
      <w:r w:rsidRPr="332A396E">
        <w:rPr>
          <w:rFonts w:ascii="Palatino Linotype" w:hAnsi="Palatino Linotype"/>
          <w:color w:val="000000" w:themeColor="text1"/>
        </w:rPr>
        <w:t xml:space="preserve">PG&amp;E’s Advice Letter </w:t>
      </w:r>
      <w:r w:rsidR="00E72FED">
        <w:rPr>
          <w:rFonts w:ascii="Palatino Linotype" w:hAnsi="Palatino Linotype"/>
          <w:color w:val="000000" w:themeColor="text1"/>
        </w:rPr>
        <w:t xml:space="preserve">(AL) </w:t>
      </w:r>
      <w:r w:rsidRPr="332A396E">
        <w:rPr>
          <w:rFonts w:ascii="Palatino Linotype" w:hAnsi="Palatino Linotype"/>
          <w:color w:val="000000" w:themeColor="text1"/>
        </w:rPr>
        <w:t>5</w:t>
      </w:r>
      <w:r w:rsidRPr="332A396E" w:rsidR="2AA38391">
        <w:rPr>
          <w:rFonts w:ascii="Palatino Linotype" w:hAnsi="Palatino Linotype"/>
          <w:color w:val="000000" w:themeColor="text1"/>
        </w:rPr>
        <w:t>196-G</w:t>
      </w:r>
      <w:r w:rsidRPr="332A396E">
        <w:rPr>
          <w:rFonts w:ascii="Palatino Linotype" w:hAnsi="Palatino Linotype"/>
          <w:color w:val="000000" w:themeColor="text1"/>
        </w:rPr>
        <w:t xml:space="preserve"> proposing for PG&amp;E to record up to $</w:t>
      </w:r>
      <w:r w:rsidRPr="332A396E" w:rsidR="7F608F02">
        <w:rPr>
          <w:rFonts w:ascii="Palatino Linotype" w:hAnsi="Palatino Linotype"/>
          <w:color w:val="000000" w:themeColor="text1"/>
        </w:rPr>
        <w:t>1,945,797</w:t>
      </w:r>
      <w:r w:rsidRPr="332A396E">
        <w:rPr>
          <w:rFonts w:ascii="Palatino Linotype" w:hAnsi="Palatino Linotype"/>
          <w:color w:val="000000" w:themeColor="text1"/>
        </w:rPr>
        <w:t xml:space="preserve"> in Gas RD&amp;D expenses to implement its 2024 Plan </w:t>
      </w:r>
      <w:r w:rsidRPr="332A396E" w:rsidR="4E3B9E98">
        <w:rPr>
          <w:rFonts w:ascii="Palatino Linotype" w:hAnsi="Palatino Linotype"/>
          <w:color w:val="000000" w:themeColor="text1"/>
        </w:rPr>
        <w:t xml:space="preserve">is </w:t>
      </w:r>
      <w:r w:rsidRPr="332A396E" w:rsidR="0FF6B266">
        <w:rPr>
          <w:rFonts w:ascii="Palatino Linotype" w:hAnsi="Palatino Linotype"/>
          <w:color w:val="000000" w:themeColor="text1"/>
        </w:rPr>
        <w:t>denied.</w:t>
      </w:r>
      <w:r w:rsidRPr="166A0DF1" w:rsidR="1461111D">
        <w:rPr>
          <w:rFonts w:ascii="Palatino Linotype" w:hAnsi="Palatino Linotype"/>
          <w:color w:val="000000" w:themeColor="text1"/>
        </w:rPr>
        <w:t xml:space="preserve"> </w:t>
      </w:r>
      <w:r w:rsidRPr="332A396E" w:rsidR="1461111D">
        <w:rPr>
          <w:rFonts w:ascii="Palatino Linotype" w:hAnsi="Palatino Linotype" w:eastAsia="Palatino Linotype" w:cs="Palatino Linotype"/>
          <w:color w:val="000000" w:themeColor="text1"/>
        </w:rPr>
        <w:t>T</w:t>
      </w:r>
      <w:r w:rsidRPr="332A396E" w:rsidR="1461111D">
        <w:rPr>
          <w:rFonts w:ascii="Palatino Linotype" w:hAnsi="Palatino Linotype" w:eastAsia="Palatino Linotype" w:cs="Palatino Linotype"/>
        </w:rPr>
        <w:t xml:space="preserve">his Resolution does not authorize PG&amp;E to resubmit its 2024 Gas RD&amp;D Plan for further Commission </w:t>
      </w:r>
      <w:r w:rsidRPr="00C308A7" w:rsidR="1461111D">
        <w:rPr>
          <w:rFonts w:ascii="Palatino Linotype" w:hAnsi="Palatino Linotype" w:eastAsia="Palatino Linotype" w:cs="Palatino Linotype"/>
          <w:color w:val="000000" w:themeColor="text1"/>
        </w:rPr>
        <w:t>consideration</w:t>
      </w:r>
      <w:r w:rsidR="005F1540">
        <w:rPr>
          <w:rFonts w:ascii="Palatino Linotype" w:hAnsi="Palatino Linotype" w:eastAsia="Palatino Linotype" w:cs="Palatino Linotype"/>
          <w:color w:val="000000" w:themeColor="text1"/>
        </w:rPr>
        <w:t xml:space="preserve"> </w:t>
      </w:r>
      <w:r w:rsidRPr="005F1540" w:rsidR="005F1540">
        <w:rPr>
          <w:rFonts w:ascii="Palatino Linotype" w:hAnsi="Palatino Linotype"/>
          <w:color w:val="000000" w:themeColor="text1"/>
        </w:rPr>
        <w:t>due to PG&amp;E having already spent requested funds, which cannot be remedied via a revised 2024 Plan submitted via Tier 2 AL</w:t>
      </w:r>
      <w:r w:rsidR="005F1540">
        <w:rPr>
          <w:rFonts w:ascii="Palatino Linotype" w:hAnsi="Palatino Linotype"/>
          <w:color w:val="000000" w:themeColor="text1"/>
        </w:rPr>
        <w:t>.</w:t>
      </w:r>
    </w:p>
    <w:p w:rsidR="00C308A7" w:rsidP="00C308A7" w:rsidRDefault="00130778" w14:paraId="1A7D0DBB" w14:textId="6C5902C7">
      <w:pPr>
        <w:pStyle w:val="10spHanging05"/>
        <w:numPr>
          <w:ilvl w:val="0"/>
          <w:numId w:val="7"/>
        </w:numPr>
        <w:spacing w:after="0" w:line="276" w:lineRule="auto"/>
        <w:rPr>
          <w:rFonts w:ascii="Palatino Linotype" w:hAnsi="Palatino Linotype" w:eastAsia="Times New Roman"/>
          <w:color w:val="000000" w:themeColor="text1"/>
        </w:rPr>
      </w:pPr>
      <w:r w:rsidRPr="00C308A7">
        <w:rPr>
          <w:rFonts w:ascii="Palatino Linotype" w:hAnsi="Palatino Linotype"/>
          <w:color w:val="000000" w:themeColor="text1"/>
        </w:rPr>
        <w:lastRenderedPageBreak/>
        <w:t xml:space="preserve">PG&amp;E’s Advice Letter 5197-G proposing for PG&amp;E </w:t>
      </w:r>
      <w:proofErr w:type="gramStart"/>
      <w:r w:rsidRPr="00C308A7">
        <w:rPr>
          <w:rFonts w:ascii="Palatino Linotype" w:hAnsi="Palatino Linotype"/>
          <w:color w:val="000000" w:themeColor="text1"/>
        </w:rPr>
        <w:t>to record</w:t>
      </w:r>
      <w:proofErr w:type="gramEnd"/>
      <w:r w:rsidRPr="00C308A7">
        <w:rPr>
          <w:rFonts w:ascii="Palatino Linotype" w:hAnsi="Palatino Linotype"/>
          <w:color w:val="000000" w:themeColor="text1"/>
        </w:rPr>
        <w:t xml:space="preserve"> up to $</w:t>
      </w:r>
      <w:r w:rsidRPr="00C308A7" w:rsidR="00CF63C8">
        <w:rPr>
          <w:rFonts w:ascii="Palatino Linotype" w:hAnsi="Palatino Linotype"/>
          <w:color w:val="000000" w:themeColor="text1"/>
        </w:rPr>
        <w:t>6,700,000</w:t>
      </w:r>
      <w:r w:rsidRPr="00C308A7">
        <w:rPr>
          <w:rFonts w:ascii="Palatino Linotype" w:hAnsi="Palatino Linotype"/>
          <w:color w:val="000000" w:themeColor="text1"/>
        </w:rPr>
        <w:t xml:space="preserve"> in Gas RD&amp;D expenses to implement its 202</w:t>
      </w:r>
      <w:r w:rsidRPr="00C308A7" w:rsidR="00CF63C8">
        <w:rPr>
          <w:rFonts w:ascii="Palatino Linotype" w:hAnsi="Palatino Linotype"/>
          <w:color w:val="000000" w:themeColor="text1"/>
        </w:rPr>
        <w:t>5</w:t>
      </w:r>
      <w:r w:rsidRPr="00C308A7">
        <w:rPr>
          <w:rFonts w:ascii="Palatino Linotype" w:hAnsi="Palatino Linotype"/>
          <w:color w:val="000000" w:themeColor="text1"/>
        </w:rPr>
        <w:t xml:space="preserve"> Plan is </w:t>
      </w:r>
      <w:r w:rsidRPr="00C308A7" w:rsidR="00ED41B2">
        <w:rPr>
          <w:rFonts w:ascii="Palatino Linotype" w:hAnsi="Palatino Linotype"/>
          <w:color w:val="000000" w:themeColor="text1"/>
        </w:rPr>
        <w:t>approved in part</w:t>
      </w:r>
      <w:r w:rsidRPr="00C308A7" w:rsidR="00CF63C8">
        <w:rPr>
          <w:rFonts w:ascii="Palatino Linotype" w:hAnsi="Palatino Linotype"/>
          <w:color w:val="000000" w:themeColor="text1"/>
        </w:rPr>
        <w:t>.</w:t>
      </w:r>
      <w:r w:rsidRPr="00C308A7" w:rsidR="38AD131A">
        <w:rPr>
          <w:rFonts w:ascii="Palatino Linotype" w:hAnsi="Palatino Linotype"/>
          <w:color w:val="000000" w:themeColor="text1"/>
        </w:rPr>
        <w:t xml:space="preserve"> </w:t>
      </w:r>
      <w:r w:rsidRPr="00756372" w:rsidR="004B5536">
        <w:rPr>
          <w:rFonts w:ascii="Palatino Linotype" w:hAnsi="Palatino Linotype" w:eastAsia="Palatino Linotype"/>
          <w:color w:val="000000" w:themeColor="text1"/>
        </w:rPr>
        <w:t>The Commission authorizes a budget of $6,133,333 for PG&amp;E’s 2025 Plan as detailed in Appendix B, including a Program Administration budget of $613,333.</w:t>
      </w:r>
      <w:r w:rsidRPr="005521FB" w:rsidR="004B5536">
        <w:rPr>
          <w:rFonts w:ascii="Palatino Linotype" w:hAnsi="Palatino Linotype" w:eastAsia="Palatino Linotype"/>
          <w:color w:val="000000" w:themeColor="text1"/>
        </w:rPr>
        <w:t xml:space="preserve"> The Commission’s authorization of PG&amp;E’s 2025 Gas RD&amp;D Plan budget requires PG&amp;E to submit a revised </w:t>
      </w:r>
      <w:r w:rsidRPr="3FD8CBD5" w:rsidR="420A0269">
        <w:rPr>
          <w:rFonts w:ascii="Palatino Linotype" w:hAnsi="Palatino Linotype" w:eastAsia="Palatino Linotype"/>
          <w:color w:val="000000" w:themeColor="text1"/>
        </w:rPr>
        <w:t xml:space="preserve">2025 </w:t>
      </w:r>
      <w:r w:rsidRPr="005521FB" w:rsidR="004B5536">
        <w:rPr>
          <w:rFonts w:ascii="Palatino Linotype" w:hAnsi="Palatino Linotype" w:eastAsia="Palatino Linotype"/>
          <w:color w:val="000000" w:themeColor="text1"/>
        </w:rPr>
        <w:t xml:space="preserve">Plan via Tier 2 AL </w:t>
      </w:r>
      <w:r w:rsidRPr="71C410E9" w:rsidR="004B5536">
        <w:rPr>
          <w:rFonts w:ascii="Palatino Linotype" w:hAnsi="Palatino Linotype" w:eastAsia="Palatino Linotype"/>
          <w:color w:val="000000" w:themeColor="text1"/>
        </w:rPr>
        <w:t>within</w:t>
      </w:r>
      <w:r w:rsidRPr="005521FB" w:rsidR="004B5536">
        <w:rPr>
          <w:rFonts w:ascii="Palatino Linotype" w:hAnsi="Palatino Linotype" w:eastAsia="Palatino Linotype"/>
          <w:color w:val="000000" w:themeColor="text1"/>
        </w:rPr>
        <w:t xml:space="preserve"> 60 days addressing the identified compliance issues requiring modificati</w:t>
      </w:r>
      <w:r w:rsidRPr="007405DD" w:rsidR="004B5536">
        <w:rPr>
          <w:rFonts w:ascii="Palatino Linotype" w:hAnsi="Palatino Linotype" w:eastAsia="Palatino Linotype"/>
          <w:color w:val="000000" w:themeColor="text1"/>
        </w:rPr>
        <w:t>ons.</w:t>
      </w:r>
      <w:r w:rsidRPr="007405DD" w:rsidR="004B5536">
        <w:rPr>
          <w:rStyle w:val="FootnoteReference"/>
          <w:rFonts w:ascii="Palatino Linotype" w:hAnsi="Palatino Linotype" w:eastAsia="Palatino Linotype"/>
          <w:color w:val="000000" w:themeColor="text1"/>
        </w:rPr>
        <w:footnoteReference w:id="130"/>
      </w:r>
      <w:r w:rsidRPr="007405DD" w:rsidR="001B1C28">
        <w:rPr>
          <w:rFonts w:ascii="Palatino Linotype" w:hAnsi="Palatino Linotype" w:eastAsia="Times New Roman"/>
          <w:color w:val="000000" w:themeColor="text1"/>
        </w:rPr>
        <w:t xml:space="preserve"> </w:t>
      </w:r>
      <w:r w:rsidRPr="007405DD" w:rsidR="75C8F66F">
        <w:rPr>
          <w:rFonts w:ascii="Palatino Linotype" w:hAnsi="Palatino Linotype" w:eastAsia="Times New Roman"/>
          <w:color w:val="000000" w:themeColor="text1"/>
        </w:rPr>
        <w:t xml:space="preserve">PG&amp;E shall </w:t>
      </w:r>
      <w:r w:rsidRPr="5CFAD929" w:rsidR="2D272F3D">
        <w:rPr>
          <w:rFonts w:ascii="Palatino Linotype" w:hAnsi="Palatino Linotype" w:eastAsia="Times New Roman"/>
          <w:color w:val="000000" w:themeColor="text1"/>
        </w:rPr>
        <w:t xml:space="preserve">include </w:t>
      </w:r>
      <w:r w:rsidR="00CB6E86">
        <w:rPr>
          <w:rFonts w:ascii="Palatino Linotype" w:hAnsi="Palatino Linotype" w:eastAsia="Times New Roman"/>
          <w:color w:val="000000" w:themeColor="text1"/>
        </w:rPr>
        <w:t xml:space="preserve">in </w:t>
      </w:r>
      <w:r w:rsidRPr="5CFAD929" w:rsidR="2D272F3D">
        <w:rPr>
          <w:rFonts w:ascii="Palatino Linotype" w:hAnsi="Palatino Linotype" w:eastAsia="Times New Roman"/>
          <w:color w:val="000000" w:themeColor="text1"/>
        </w:rPr>
        <w:t xml:space="preserve">this Tier 2 </w:t>
      </w:r>
      <w:r w:rsidR="00CB6E86">
        <w:rPr>
          <w:rFonts w:ascii="Palatino Linotype" w:hAnsi="Palatino Linotype" w:eastAsia="Times New Roman"/>
          <w:color w:val="000000" w:themeColor="text1"/>
        </w:rPr>
        <w:t>AL</w:t>
      </w:r>
      <w:r w:rsidRPr="007405DD" w:rsidR="0E5D305C">
        <w:rPr>
          <w:rFonts w:ascii="Palatino Linotype" w:hAnsi="Palatino Linotype" w:eastAsia="Times New Roman"/>
          <w:color w:val="000000" w:themeColor="text1"/>
        </w:rPr>
        <w:t xml:space="preserve">: 1) a track-change version of its original </w:t>
      </w:r>
      <w:r w:rsidRPr="0DEC6C93" w:rsidR="0FB379C2">
        <w:rPr>
          <w:rFonts w:ascii="Palatino Linotype" w:hAnsi="Palatino Linotype" w:eastAsia="Times New Roman"/>
          <w:color w:val="000000" w:themeColor="text1"/>
        </w:rPr>
        <w:t xml:space="preserve">2025 </w:t>
      </w:r>
      <w:r w:rsidRPr="007405DD" w:rsidR="0E5D305C">
        <w:rPr>
          <w:rFonts w:ascii="Palatino Linotype" w:hAnsi="Palatino Linotype" w:eastAsia="Times New Roman"/>
          <w:color w:val="000000" w:themeColor="text1"/>
        </w:rPr>
        <w:t xml:space="preserve">Plan; 2) a clean version of its updated </w:t>
      </w:r>
      <w:r w:rsidRPr="56FB06A9" w:rsidR="561EF1E5">
        <w:rPr>
          <w:rFonts w:ascii="Palatino Linotype" w:hAnsi="Palatino Linotype" w:eastAsia="Times New Roman"/>
          <w:color w:val="000000" w:themeColor="text1"/>
        </w:rPr>
        <w:t xml:space="preserve">2025 </w:t>
      </w:r>
      <w:r w:rsidRPr="007405DD" w:rsidR="0E5D305C">
        <w:rPr>
          <w:rFonts w:ascii="Palatino Linotype" w:hAnsi="Palatino Linotype" w:eastAsia="Times New Roman"/>
          <w:color w:val="000000" w:themeColor="text1"/>
        </w:rPr>
        <w:t xml:space="preserve">Plan; </w:t>
      </w:r>
      <w:r w:rsidRPr="007405DD" w:rsidR="227133FD">
        <w:rPr>
          <w:rFonts w:ascii="Palatino Linotype" w:hAnsi="Palatino Linotype" w:eastAsia="Times New Roman"/>
          <w:color w:val="000000" w:themeColor="text1"/>
        </w:rPr>
        <w:t xml:space="preserve">and </w:t>
      </w:r>
      <w:r w:rsidRPr="007405DD" w:rsidR="0E5D305C">
        <w:rPr>
          <w:rFonts w:ascii="Palatino Linotype" w:hAnsi="Palatino Linotype" w:eastAsia="Times New Roman"/>
          <w:color w:val="000000" w:themeColor="text1"/>
        </w:rPr>
        <w:t xml:space="preserve">3) a table describing </w:t>
      </w:r>
      <w:r w:rsidRPr="00C308A7" w:rsidR="0E5D305C">
        <w:rPr>
          <w:rFonts w:ascii="Palatino Linotype" w:hAnsi="Palatino Linotype" w:eastAsia="Times New Roman"/>
          <w:color w:val="000000" w:themeColor="text1"/>
        </w:rPr>
        <w:t>the</w:t>
      </w:r>
      <w:r w:rsidRPr="00C308A7" w:rsidR="007405DD">
        <w:rPr>
          <w:rFonts w:ascii="Palatino Linotype" w:hAnsi="Palatino Linotype" w:eastAsia="Times New Roman"/>
          <w:color w:val="000000" w:themeColor="text1"/>
        </w:rPr>
        <w:t>se</w:t>
      </w:r>
      <w:r w:rsidRPr="00C308A7" w:rsidR="0E5D305C">
        <w:rPr>
          <w:rFonts w:ascii="Palatino Linotype" w:hAnsi="Palatino Linotype" w:eastAsia="Times New Roman"/>
          <w:color w:val="000000" w:themeColor="text1"/>
        </w:rPr>
        <w:t xml:space="preserve"> </w:t>
      </w:r>
      <w:r w:rsidRPr="00C308A7" w:rsidR="30CCAD50">
        <w:rPr>
          <w:rFonts w:ascii="Palatino Linotype" w:hAnsi="Palatino Linotype" w:eastAsia="Times New Roman"/>
          <w:color w:val="000000" w:themeColor="text1"/>
        </w:rPr>
        <w:t>modifications</w:t>
      </w:r>
      <w:r w:rsidRPr="00C308A7" w:rsidR="24D605B6">
        <w:rPr>
          <w:rFonts w:ascii="Palatino Linotype" w:hAnsi="Palatino Linotype" w:eastAsia="Times New Roman"/>
          <w:color w:val="000000" w:themeColor="text1"/>
        </w:rPr>
        <w:t>.</w:t>
      </w:r>
    </w:p>
    <w:p w:rsidRPr="00C308A7" w:rsidR="00842BB2" w:rsidP="00C308A7" w:rsidRDefault="2B5B57EF" w14:paraId="7FE75501" w14:textId="500C28A1">
      <w:pPr>
        <w:pStyle w:val="10spHanging05"/>
        <w:numPr>
          <w:ilvl w:val="0"/>
          <w:numId w:val="7"/>
        </w:numPr>
        <w:spacing w:after="0" w:line="276" w:lineRule="auto"/>
        <w:rPr>
          <w:rFonts w:ascii="Palatino Linotype" w:hAnsi="Palatino Linotype" w:eastAsia="Times New Roman"/>
          <w:color w:val="000000" w:themeColor="text1"/>
        </w:rPr>
      </w:pPr>
      <w:r w:rsidRPr="00C308A7">
        <w:rPr>
          <w:rFonts w:ascii="Palatino Linotype" w:hAnsi="Palatino Linotype"/>
          <w:color w:val="000000" w:themeColor="text1"/>
        </w:rPr>
        <w:t xml:space="preserve">PG&amp;E’s Advice Letter 5222-G proposing for PG&amp;E </w:t>
      </w:r>
      <w:proofErr w:type="gramStart"/>
      <w:r w:rsidRPr="00C308A7">
        <w:rPr>
          <w:rFonts w:ascii="Palatino Linotype" w:hAnsi="Palatino Linotype"/>
          <w:color w:val="000000" w:themeColor="text1"/>
        </w:rPr>
        <w:t>to record</w:t>
      </w:r>
      <w:proofErr w:type="gramEnd"/>
      <w:r w:rsidRPr="00C308A7">
        <w:rPr>
          <w:rFonts w:ascii="Palatino Linotype" w:hAnsi="Palatino Linotype"/>
          <w:color w:val="000000" w:themeColor="text1"/>
        </w:rPr>
        <w:t xml:space="preserve"> up to $8,267,000 in Gas RD&amp;D expenses to implement its 2026 Plan is approved with modifications.</w:t>
      </w:r>
      <w:r w:rsidRPr="00C308A7" w:rsidR="00315150">
        <w:rPr>
          <w:rFonts w:ascii="Palatino Linotype" w:hAnsi="Palatino Linotype"/>
          <w:color w:val="000000" w:themeColor="text1"/>
        </w:rPr>
        <w:t xml:space="preserve"> </w:t>
      </w:r>
      <w:r w:rsidRPr="00756372" w:rsidR="007A7F54">
        <w:rPr>
          <w:rFonts w:ascii="Palatino Linotype" w:hAnsi="Palatino Linotype" w:eastAsia="Palatino Linotype"/>
          <w:color w:val="000000" w:themeColor="text1"/>
        </w:rPr>
        <w:t xml:space="preserve">The Commission approves PG&amp;E’s 2026 Plan with a budget of $7,874,348 as detailed in Appendix B, including a Program Administration budget of $787,435. </w:t>
      </w:r>
      <w:r w:rsidRPr="00C308A7" w:rsidR="007A7F54">
        <w:rPr>
          <w:rFonts w:ascii="Palatino Linotype" w:hAnsi="Palatino Linotype" w:eastAsia="Palatino Linotype"/>
          <w:color w:val="000000" w:themeColor="text1"/>
        </w:rPr>
        <w:t xml:space="preserve">The Commission’s approval of PG&amp;E’s 2026 Gas RD&amp;D Plan is contingent upon the submittal of a revised </w:t>
      </w:r>
      <w:r w:rsidRPr="5CFAD929" w:rsidR="6DDB41E9">
        <w:rPr>
          <w:rFonts w:ascii="Palatino Linotype" w:hAnsi="Palatino Linotype" w:eastAsia="Palatino Linotype"/>
          <w:color w:val="000000" w:themeColor="text1"/>
        </w:rPr>
        <w:t xml:space="preserve">2026 </w:t>
      </w:r>
      <w:r w:rsidRPr="00C308A7" w:rsidR="007A7F54">
        <w:rPr>
          <w:rFonts w:ascii="Palatino Linotype" w:hAnsi="Palatino Linotype" w:eastAsia="Palatino Linotype"/>
          <w:color w:val="000000" w:themeColor="text1"/>
        </w:rPr>
        <w:t xml:space="preserve">Plan via Tier 2 </w:t>
      </w:r>
      <w:r w:rsidR="00CB6E86">
        <w:rPr>
          <w:rFonts w:ascii="Palatino Linotype" w:hAnsi="Palatino Linotype" w:eastAsia="Palatino Linotype"/>
          <w:color w:val="000000" w:themeColor="text1"/>
        </w:rPr>
        <w:t xml:space="preserve">AL </w:t>
      </w:r>
      <w:r w:rsidRPr="00C308A7" w:rsidR="007A7F54">
        <w:rPr>
          <w:rFonts w:ascii="Palatino Linotype" w:hAnsi="Palatino Linotype" w:eastAsia="Palatino Linotype"/>
          <w:color w:val="000000" w:themeColor="text1"/>
        </w:rPr>
        <w:t xml:space="preserve">within 60 days addressing the </w:t>
      </w:r>
      <w:r w:rsidRPr="00C308A7" w:rsidR="007A7F54">
        <w:rPr>
          <w:rFonts w:ascii="Palatino Linotype" w:hAnsi="Palatino Linotype"/>
          <w:color w:val="000000" w:themeColor="text1"/>
        </w:rPr>
        <w:t>identified compliance areas requiring greater clarity to align with requirements</w:t>
      </w:r>
      <w:r w:rsidRPr="00C308A7" w:rsidR="007A7F54">
        <w:rPr>
          <w:rFonts w:ascii="Palatino Linotype" w:hAnsi="Palatino Linotype" w:eastAsia="Palatino Linotype"/>
          <w:color w:val="000000" w:themeColor="text1"/>
        </w:rPr>
        <w:t>.</w:t>
      </w:r>
      <w:r w:rsidRPr="00315150" w:rsidR="007A7F54">
        <w:rPr>
          <w:rStyle w:val="FootnoteReference"/>
          <w:rFonts w:ascii="Palatino Linotype" w:hAnsi="Palatino Linotype" w:eastAsia="Palatino Linotype"/>
          <w:color w:val="000000" w:themeColor="text1"/>
        </w:rPr>
        <w:footnoteReference w:id="131"/>
      </w:r>
      <w:r w:rsidRPr="00C308A7" w:rsidR="00FE17B7">
        <w:rPr>
          <w:rFonts w:ascii="Palatino Linotype" w:hAnsi="Palatino Linotype" w:eastAsia="Palatino Linotype"/>
          <w:color w:val="000000" w:themeColor="text1"/>
        </w:rPr>
        <w:t xml:space="preserve"> </w:t>
      </w:r>
      <w:r w:rsidRPr="00C308A7">
        <w:rPr>
          <w:rFonts w:ascii="Palatino Linotype" w:hAnsi="Palatino Linotype" w:eastAsia="Times New Roman"/>
          <w:color w:val="000000" w:themeColor="text1"/>
        </w:rPr>
        <w:t xml:space="preserve">PG&amp;E shall </w:t>
      </w:r>
      <w:r w:rsidRPr="5CFAD929" w:rsidR="60A03372">
        <w:rPr>
          <w:rFonts w:ascii="Palatino Linotype" w:hAnsi="Palatino Linotype" w:eastAsia="Times New Roman"/>
          <w:color w:val="000000" w:themeColor="text1"/>
        </w:rPr>
        <w:t>include in this</w:t>
      </w:r>
      <w:r w:rsidRPr="00C308A7">
        <w:rPr>
          <w:rFonts w:ascii="Palatino Linotype" w:hAnsi="Palatino Linotype" w:eastAsia="Times New Roman"/>
          <w:color w:val="000000" w:themeColor="text1"/>
        </w:rPr>
        <w:t xml:space="preserve"> Tier 2 </w:t>
      </w:r>
      <w:r w:rsidR="00CB6E86">
        <w:rPr>
          <w:rFonts w:ascii="Palatino Linotype" w:hAnsi="Palatino Linotype" w:eastAsia="Times New Roman"/>
          <w:color w:val="000000" w:themeColor="text1"/>
        </w:rPr>
        <w:t>AL</w:t>
      </w:r>
      <w:r w:rsidRPr="00C308A7">
        <w:rPr>
          <w:rFonts w:ascii="Palatino Linotype" w:hAnsi="Palatino Linotype" w:eastAsia="Times New Roman"/>
          <w:color w:val="000000" w:themeColor="text1"/>
        </w:rPr>
        <w:t xml:space="preserve">: 1) a track-change version of its original </w:t>
      </w:r>
      <w:r w:rsidRPr="6375E232" w:rsidR="3BC2FFF7">
        <w:rPr>
          <w:rFonts w:ascii="Palatino Linotype" w:hAnsi="Palatino Linotype" w:eastAsia="Times New Roman"/>
          <w:color w:val="000000" w:themeColor="text1"/>
        </w:rPr>
        <w:t xml:space="preserve">2026 </w:t>
      </w:r>
      <w:r w:rsidRPr="6375E232">
        <w:rPr>
          <w:rFonts w:ascii="Palatino Linotype" w:hAnsi="Palatino Linotype" w:eastAsia="Times New Roman"/>
          <w:color w:val="000000" w:themeColor="text1"/>
        </w:rPr>
        <w:t>Plan</w:t>
      </w:r>
      <w:r w:rsidRPr="00C308A7">
        <w:rPr>
          <w:rFonts w:ascii="Palatino Linotype" w:hAnsi="Palatino Linotype" w:eastAsia="Times New Roman"/>
          <w:color w:val="000000" w:themeColor="text1"/>
        </w:rPr>
        <w:t xml:space="preserve">; 2) a clean version of its updated </w:t>
      </w:r>
      <w:r w:rsidRPr="6375E232" w:rsidR="08CACCF7">
        <w:rPr>
          <w:rFonts w:ascii="Palatino Linotype" w:hAnsi="Palatino Linotype" w:eastAsia="Times New Roman"/>
          <w:color w:val="000000" w:themeColor="text1"/>
        </w:rPr>
        <w:t xml:space="preserve">2026 </w:t>
      </w:r>
      <w:r w:rsidRPr="00C308A7">
        <w:rPr>
          <w:rFonts w:ascii="Palatino Linotype" w:hAnsi="Palatino Linotype" w:eastAsia="Times New Roman"/>
          <w:color w:val="000000" w:themeColor="text1"/>
        </w:rPr>
        <w:t>Plan; and 3) a table describing the</w:t>
      </w:r>
      <w:r w:rsidRPr="00C308A7" w:rsidR="00315150">
        <w:rPr>
          <w:rFonts w:ascii="Palatino Linotype" w:hAnsi="Palatino Linotype" w:eastAsia="Times New Roman"/>
          <w:color w:val="000000" w:themeColor="text1"/>
        </w:rPr>
        <w:t>se</w:t>
      </w:r>
      <w:r w:rsidRPr="00C308A7">
        <w:rPr>
          <w:rFonts w:ascii="Palatino Linotype" w:hAnsi="Palatino Linotype" w:eastAsia="Times New Roman"/>
          <w:color w:val="000000" w:themeColor="text1"/>
        </w:rPr>
        <w:t xml:space="preserve"> modifications.</w:t>
      </w:r>
    </w:p>
    <w:p w:rsidRPr="008805E3" w:rsidR="007C4C8B" w:rsidP="008805E3" w:rsidRDefault="007C4C8B" w14:paraId="5AE3E17F" w14:textId="37DB24CE">
      <w:pPr>
        <w:pStyle w:val="10spHanging05"/>
        <w:numPr>
          <w:ilvl w:val="0"/>
          <w:numId w:val="7"/>
        </w:numPr>
        <w:spacing w:after="0" w:line="276" w:lineRule="auto"/>
        <w:rPr>
          <w:rFonts w:ascii="Palatino Linotype" w:hAnsi="Palatino Linotype" w:eastAsia="Times New Roman"/>
          <w:color w:val="000000" w:themeColor="text1"/>
        </w:rPr>
      </w:pPr>
      <w:r w:rsidRPr="008805E3">
        <w:rPr>
          <w:rFonts w:ascii="Palatino Linotype" w:hAnsi="Palatino Linotype"/>
          <w:color w:val="000000" w:themeColor="text1"/>
        </w:rPr>
        <w:t xml:space="preserve">The Commission denies PG&amp;E’s proposed budget allocations in its </w:t>
      </w:r>
      <w:r w:rsidR="00DA3BC0">
        <w:rPr>
          <w:rFonts w:ascii="Palatino Linotype" w:hAnsi="Palatino Linotype"/>
          <w:color w:val="000000" w:themeColor="text1"/>
        </w:rPr>
        <w:t xml:space="preserve">2025 and </w:t>
      </w:r>
      <w:r w:rsidRPr="008805E3">
        <w:rPr>
          <w:rFonts w:ascii="Palatino Linotype" w:hAnsi="Palatino Linotype"/>
          <w:color w:val="000000" w:themeColor="text1"/>
        </w:rPr>
        <w:t xml:space="preserve">2026 Plan of </w:t>
      </w:r>
      <w:r w:rsidRPr="008805E3">
        <w:rPr>
          <w:rFonts w:ascii="Palatino Linotype" w:hAnsi="Palatino Linotype" w:eastAsia="Palatino Linotype"/>
          <w:color w:val="000000" w:themeColor="text1"/>
        </w:rPr>
        <w:t xml:space="preserve">$294,400 for its proportional share of a Gas RD&amp;D Program Evaluation and $56,987 for its proportional share of developing a comprehensive Gas RD&amp;D Database. Instead, the Commission </w:t>
      </w:r>
      <w:r w:rsidRPr="008805E3" w:rsidR="00756372">
        <w:rPr>
          <w:rFonts w:ascii="Palatino Linotype" w:hAnsi="Palatino Linotype" w:eastAsia="Palatino Linotype"/>
          <w:bCs/>
          <w:color w:val="000000" w:themeColor="text1"/>
        </w:rPr>
        <w:t>will determine a process</w:t>
      </w:r>
      <w:r w:rsidRPr="008805E3">
        <w:rPr>
          <w:rFonts w:ascii="Palatino Linotype" w:hAnsi="Palatino Linotype" w:eastAsia="Palatino Linotype"/>
          <w:color w:val="000000" w:themeColor="text1"/>
        </w:rPr>
        <w:t xml:space="preserve"> to establish holistic </w:t>
      </w:r>
      <w:r w:rsidRPr="008805E3" w:rsidR="00756372">
        <w:rPr>
          <w:rFonts w:ascii="Palatino Linotype" w:hAnsi="Palatino Linotype" w:eastAsia="Palatino Linotype"/>
          <w:bCs/>
          <w:color w:val="000000" w:themeColor="text1"/>
        </w:rPr>
        <w:t>oversight across all Gas RD&amp;D administrators for efficiency and effectiveness in</w:t>
      </w:r>
      <w:r w:rsidRPr="008805E3">
        <w:rPr>
          <w:rFonts w:ascii="Palatino Linotype" w:hAnsi="Palatino Linotype" w:eastAsia="Palatino Linotype"/>
          <w:color w:val="000000" w:themeColor="text1"/>
        </w:rPr>
        <w:t xml:space="preserve"> the allocation of funds, conducting the evaluation, and developing the database.</w:t>
      </w:r>
    </w:p>
    <w:p w:rsidRPr="009F7D25" w:rsidR="00060BE0" w:rsidP="00DE63EC" w:rsidRDefault="000B6310" w14:paraId="08641911" w14:textId="7BC1840F">
      <w:pPr>
        <w:pStyle w:val="10spHanging05"/>
        <w:numPr>
          <w:ilvl w:val="0"/>
          <w:numId w:val="7"/>
        </w:numPr>
        <w:spacing w:after="0" w:line="276" w:lineRule="auto"/>
        <w:rPr>
          <w:rFonts w:ascii="Palatino Linotype" w:hAnsi="Palatino Linotype" w:eastAsia="Times New Roman"/>
          <w:color w:val="000000" w:themeColor="text1"/>
        </w:rPr>
      </w:pPr>
      <w:r w:rsidRPr="009F7D25">
        <w:rPr>
          <w:rFonts w:ascii="Palatino Linotype" w:hAnsi="Palatino Linotype" w:eastAsia="Times New Roman"/>
          <w:color w:val="000000" w:themeColor="text1"/>
        </w:rPr>
        <w:t>Unspent Gas RD&amp;D funds shall be returned to ratepayers at the end of the GRC D.23-11-069 funding cycle, consistent with the PG&amp;E Gas Preliminary Statement.</w:t>
      </w:r>
      <w:r w:rsidRPr="009F7D25">
        <w:rPr>
          <w:rStyle w:val="FootnoteReference"/>
          <w:rFonts w:ascii="Palatino Linotype" w:hAnsi="Palatino Linotype" w:eastAsia="Times New Roman"/>
          <w:color w:val="000000" w:themeColor="text1"/>
        </w:rPr>
        <w:footnoteReference w:id="132"/>
      </w:r>
      <w:r w:rsidRPr="009F7D25" w:rsidR="00AC737F">
        <w:rPr>
          <w:rFonts w:ascii="Palatino Linotype" w:hAnsi="Palatino Linotype" w:eastAsia="Times New Roman"/>
          <w:color w:val="000000" w:themeColor="text1"/>
        </w:rPr>
        <w:t xml:space="preserve"> </w:t>
      </w:r>
      <w:r w:rsidRPr="009F7D25" w:rsidR="00AC737F">
        <w:rPr>
          <w:rFonts w:ascii="Palatino Linotype" w:hAnsi="Palatino Linotype"/>
          <w:color w:val="000000" w:themeColor="text1"/>
        </w:rPr>
        <w:t xml:space="preserve">Funds explicitly approved via Resolution which PG&amp;E has committed, contracted out, or otherwise encumbered shall not be returned at the </w:t>
      </w:r>
      <w:r w:rsidRPr="009F7D25" w:rsidR="00AC737F">
        <w:rPr>
          <w:rFonts w:ascii="Palatino Linotype" w:hAnsi="Palatino Linotype"/>
          <w:color w:val="000000" w:themeColor="text1"/>
        </w:rPr>
        <w:lastRenderedPageBreak/>
        <w:t xml:space="preserve">close of the GRC cycle to allow for the completion of work in progress. If contracts are terminated after the </w:t>
      </w:r>
      <w:proofErr w:type="gramStart"/>
      <w:r w:rsidRPr="009F7D25" w:rsidR="00AC737F">
        <w:rPr>
          <w:rFonts w:ascii="Palatino Linotype" w:hAnsi="Palatino Linotype"/>
          <w:color w:val="000000" w:themeColor="text1"/>
        </w:rPr>
        <w:t>close</w:t>
      </w:r>
      <w:proofErr w:type="gramEnd"/>
      <w:r w:rsidRPr="009F7D25" w:rsidR="00AC737F">
        <w:rPr>
          <w:rFonts w:ascii="Palatino Linotype" w:hAnsi="Palatino Linotype"/>
          <w:color w:val="000000" w:themeColor="text1"/>
        </w:rPr>
        <w:t xml:space="preserve"> of the GRC cycle, uncommitted or disencumbered funds shall be returned to ratepayers. PG&amp;E may spend its approved 2025 </w:t>
      </w:r>
      <w:r w:rsidR="00A83563">
        <w:rPr>
          <w:rFonts w:ascii="Palatino Linotype" w:hAnsi="Palatino Linotype"/>
          <w:color w:val="000000" w:themeColor="text1"/>
        </w:rPr>
        <w:t>and 2026</w:t>
      </w:r>
      <w:r w:rsidRPr="009F7D25" w:rsidR="00AC737F">
        <w:rPr>
          <w:rFonts w:ascii="Palatino Linotype" w:hAnsi="Palatino Linotype"/>
          <w:color w:val="000000" w:themeColor="text1"/>
        </w:rPr>
        <w:t xml:space="preserve"> Gas RD&amp;D Plan funding in the following calendar years </w:t>
      </w:r>
      <w:r w:rsidRPr="009F7D25" w:rsidR="008F074C">
        <w:rPr>
          <w:rFonts w:ascii="Palatino Linotype" w:hAnsi="Palatino Linotype"/>
          <w:color w:val="000000" w:themeColor="text1"/>
        </w:rPr>
        <w:t>according to these terms.</w:t>
      </w:r>
      <w:r w:rsidRPr="009F7D25" w:rsidR="008F074C">
        <w:rPr>
          <w:rStyle w:val="FootnoteReference"/>
          <w:rFonts w:ascii="Palatino Linotype" w:hAnsi="Palatino Linotype"/>
          <w:color w:val="000000" w:themeColor="text1"/>
        </w:rPr>
        <w:footnoteReference w:id="133"/>
      </w:r>
    </w:p>
    <w:p w:rsidRPr="001942D0" w:rsidR="00A76F4A" w:rsidP="00361AB6" w:rsidRDefault="00A76F4A" w14:paraId="6B9B735A" w14:textId="77777777">
      <w:pPr>
        <w:keepNext/>
        <w:tabs>
          <w:tab w:val="left" w:pos="720"/>
          <w:tab w:val="left" w:pos="1296"/>
          <w:tab w:val="left" w:pos="2016"/>
          <w:tab w:val="left" w:pos="2736"/>
          <w:tab w:val="left" w:pos="3456"/>
          <w:tab w:val="left" w:pos="4176"/>
          <w:tab w:val="left" w:pos="5760"/>
        </w:tabs>
        <w:spacing w:before="240"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361AB6" w:rsidRDefault="00A76F4A" w14:paraId="45A541E0"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6FDD03B7"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Pr="00D936B6" w:rsidR="00A76F4A" w:rsidP="00361AB6" w:rsidRDefault="00A76F4A" w14:paraId="0CE47F6A"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p>
    <w:p w:rsidRPr="00D936B6" w:rsidR="00A76F4A" w:rsidP="00361AB6" w:rsidRDefault="00A76F4A" w14:paraId="34F8C9C5" w14:textId="5992551D">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t xml:space="preserve">Commissioner Signature blocks to be added </w:t>
      </w:r>
    </w:p>
    <w:p w:rsidRPr="00D936B6" w:rsidR="00A76F4A" w:rsidP="00361AB6" w:rsidRDefault="00A76F4A" w14:paraId="47615040" w14:textId="2F1F29C6">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t xml:space="preserve">upon adoption of the </w:t>
      </w:r>
      <w:r w:rsidRPr="00D936B6" w:rsidR="7946FEA7">
        <w:rPr>
          <w:rFonts w:ascii="Palatino Linotype" w:hAnsi="Palatino Linotype" w:eastAsia="Palatino Linotype" w:cs="Times New Roman"/>
          <w:color w:val="000000" w:themeColor="text1"/>
          <w:kern w:val="0"/>
          <w14:ligatures w14:val="none"/>
        </w:rPr>
        <w:t>R</w:t>
      </w:r>
      <w:r w:rsidRPr="00D936B6">
        <w:rPr>
          <w:rFonts w:ascii="Palatino Linotype" w:hAnsi="Palatino Linotype" w:eastAsia="Palatino Linotype" w:cs="Times New Roman"/>
          <w:color w:val="000000" w:themeColor="text1"/>
          <w:kern w:val="0"/>
          <w14:ligatures w14:val="none"/>
        </w:rPr>
        <w:t>esolution</w:t>
      </w:r>
      <w:r w:rsidRPr="00D936B6" w:rsidR="00CD2149">
        <w:rPr>
          <w:rFonts w:ascii="Palatino Linotype" w:hAnsi="Palatino Linotype" w:eastAsia="Palatino Linotype" w:cs="Times New Roman"/>
          <w:color w:val="000000" w:themeColor="text1"/>
          <w:kern w:val="0"/>
          <w14:ligatures w14:val="none"/>
        </w:rPr>
        <w:t>.</w:t>
      </w:r>
    </w:p>
    <w:p w:rsidR="00A76F4A" w:rsidP="00361AB6" w:rsidRDefault="00A76F4A" w14:paraId="7B507E3D"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5A07E5F1"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7C0D2B15"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Pr="0051493D" w:rsidR="00A76F4A" w:rsidP="00361AB6" w:rsidRDefault="00A76F4A" w14:paraId="203AD159" w14:textId="2AD9511F">
      <w:pPr>
        <w:pStyle w:val="10sp0"/>
        <w:spacing w:after="480" w:line="276" w:lineRule="auto"/>
        <w:rPr>
          <w:rFonts w:ascii="Palatino Linotype" w:hAnsi="Palatino Linotype"/>
        </w:rPr>
      </w:pPr>
      <w:r>
        <w:rPr>
          <w:rFonts w:ascii="Palatino Linotype" w:hAnsi="Palatino Linotype"/>
        </w:rPr>
        <w:t>T</w:t>
      </w:r>
      <w:r w:rsidRPr="0051493D">
        <w:rPr>
          <w:rFonts w:ascii="Palatino Linotype" w:hAnsi="Palatino Linotype"/>
        </w:rPr>
        <w:t xml:space="preserve">he foregoing </w:t>
      </w:r>
      <w:r w:rsidRPr="64B651D6" w:rsidR="57A09E5D">
        <w:rPr>
          <w:rFonts w:ascii="Palatino Linotype" w:hAnsi="Palatino Linotype"/>
        </w:rPr>
        <w:t>R</w:t>
      </w:r>
      <w:r w:rsidRPr="64B651D6">
        <w:rPr>
          <w:rFonts w:ascii="Palatino Linotype" w:hAnsi="Palatino Linotype"/>
        </w:rPr>
        <w:t>esolution</w:t>
      </w:r>
      <w:r w:rsidRPr="0051493D">
        <w:rPr>
          <w:rFonts w:ascii="Palatino Linotype" w:hAnsi="Palatino Linotype"/>
        </w:rPr>
        <w:t xml:space="preserve"> was duly introduced, passed and adopted at a conference of the Public Utilities Commission of the State of California held on </w:t>
      </w:r>
      <w:r w:rsidR="00082E14">
        <w:rPr>
          <w:rFonts w:ascii="Palatino Linotype" w:hAnsi="Palatino Linotype"/>
        </w:rPr>
        <w:t>September 17</w:t>
      </w:r>
      <w:r w:rsidRPr="0081066A" w:rsidR="00B065CE">
        <w:rPr>
          <w:rFonts w:ascii="Palatino Linotype" w:hAnsi="Palatino Linotype"/>
        </w:rPr>
        <w:t>, 2026</w:t>
      </w:r>
      <w:r w:rsidR="00B065CE">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00A76F4A" w:rsidRDefault="00A76F4A" w14:paraId="0B7DFB9B"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C62484" w:rsidRDefault="00D936B6" w14:paraId="56057D69" w14:textId="722824D1">
      <w:pPr>
        <w:rPr>
          <w:rFonts w:ascii="Palatino Linotype" w:hAnsi="Palatino Linotype" w:eastAsia="Palatino Linotype" w:cs="Times New Roman"/>
        </w:rPr>
      </w:pPr>
      <w:r w:rsidRPr="00D936B6">
        <w:rPr>
          <w:rFonts w:ascii="Palatino Linotype" w:hAnsi="Palatino Linotype" w:eastAsia="Palatino Linotype" w:cs="Times New Roman"/>
        </w:rPr>
        <w:t>Dated September 17, 2026, at San Marcos City Council Chambers, California</w:t>
      </w:r>
      <w:r w:rsidRPr="00D936B6">
        <w:rPr>
          <w:rFonts w:ascii="Palatino Linotype" w:hAnsi="Palatino Linotype" w:eastAsia="Palatino Linotype" w:cs="Times New Roman"/>
        </w:rPr>
        <w:tab/>
      </w:r>
      <w:r w:rsidRPr="00D936B6">
        <w:rPr>
          <w:rFonts w:ascii="Palatino Linotype" w:hAnsi="Palatino Linotype" w:eastAsia="Palatino Linotype" w:cs="Times New Roman"/>
        </w:rPr>
        <w:t> </w:t>
      </w:r>
      <w:r w:rsidR="00C62484">
        <w:rPr>
          <w:rFonts w:ascii="Palatino Linotype" w:hAnsi="Palatino Linotype" w:eastAsia="Palatino Linotype" w:cs="Times New Roman"/>
        </w:rPr>
        <w:br w:type="page"/>
      </w:r>
    </w:p>
    <w:p w:rsidR="00380CB2" w:rsidP="3F29867F" w:rsidRDefault="00380CB2" w14:paraId="41B114BB" w14:textId="77777777">
      <w:pPr>
        <w:keepNext/>
        <w:spacing w:after="240" w:line="240" w:lineRule="auto"/>
        <w:rPr>
          <w:rFonts w:ascii="Palatino Linotype" w:hAnsi="Palatino Linotype" w:eastAsia="Palatino Linotype" w:cs="Times New Roman"/>
          <w:b/>
        </w:rPr>
        <w:sectPr w:rsidR="00380CB2" w:rsidSect="00C5341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A76F4A" w:rsidP="3F29867F" w:rsidRDefault="61DF6D9F" w14:paraId="2C40B714" w14:textId="65A0BFD6">
      <w:pPr>
        <w:keepNext/>
        <w:spacing w:after="24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lastRenderedPageBreak/>
        <w:t>APPENDIX</w:t>
      </w:r>
      <w:r w:rsidRPr="3F29867F">
        <w:rPr>
          <w:rFonts w:ascii="Palatino Linotype" w:hAnsi="Palatino Linotype" w:eastAsia="Palatino Linotype" w:cs="Times New Roman"/>
          <w:b/>
          <w:color w:val="000000" w:themeColor="text1"/>
        </w:rPr>
        <w:t xml:space="preserve"> A</w:t>
      </w:r>
      <w:r w:rsidRPr="3F29867F">
        <w:rPr>
          <w:rFonts w:ascii="Palatino Linotype" w:hAnsi="Palatino Linotype" w:eastAsia="Palatino Linotype" w:cs="Times New Roman"/>
          <w:b/>
        </w:rPr>
        <w:t>: PG&amp;E’s 2024-2026 Plans Proposed Budgets</w:t>
      </w:r>
    </w:p>
    <w:tbl>
      <w:tblPr>
        <w:tblStyle w:val="TableGrid1"/>
        <w:tblW w:w="9265" w:type="dxa"/>
        <w:tblLayout w:type="fixed"/>
        <w:tblLook w:val="04A0" w:firstRow="1" w:lastRow="0" w:firstColumn="1" w:lastColumn="0" w:noHBand="0" w:noVBand="1"/>
      </w:tblPr>
      <w:tblGrid>
        <w:gridCol w:w="1751"/>
        <w:gridCol w:w="3194"/>
        <w:gridCol w:w="270"/>
        <w:gridCol w:w="1080"/>
        <w:gridCol w:w="270"/>
        <w:gridCol w:w="1260"/>
        <w:gridCol w:w="270"/>
        <w:gridCol w:w="1170"/>
      </w:tblGrid>
      <w:tr w:rsidRPr="00BE5786" w:rsidR="00F01246" w:rsidTr="00F01246" w14:paraId="4B5D1746"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0572A9B4"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Investment Theme</w:t>
            </w:r>
          </w:p>
        </w:tc>
        <w:tc>
          <w:tcPr>
            <w:tcW w:w="3194"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1AE521FB"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Initiative Title</w:t>
            </w:r>
          </w:p>
        </w:tc>
        <w:tc>
          <w:tcPr>
            <w:tcW w:w="1350" w:type="dxa"/>
            <w:gridSpan w:val="2"/>
            <w:tcBorders>
              <w:top w:val="single" w:color="auto" w:sz="4" w:space="0"/>
              <w:left w:val="single" w:color="auto" w:sz="4" w:space="0"/>
              <w:bottom w:val="single" w:color="auto" w:sz="4" w:space="0"/>
              <w:right w:val="single" w:color="auto" w:sz="4" w:space="0"/>
            </w:tcBorders>
          </w:tcPr>
          <w:p w:rsidRPr="005906F9" w:rsidR="00F01246" w:rsidRDefault="00F01246" w14:paraId="63554783" w14:textId="3C2D6A06">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2024 Plan Budget</w:t>
            </w:r>
            <w:r w:rsidRPr="00886E64">
              <w:rPr>
                <w:rStyle w:val="FootnoteReference"/>
                <w:rFonts w:ascii="Palatino Linotype" w:hAnsi="Palatino Linotype"/>
                <w:b/>
                <w:color w:val="000000" w:themeColor="text1"/>
                <w:sz w:val="21"/>
                <w:szCs w:val="21"/>
              </w:rPr>
              <w:footnoteReference w:id="134"/>
            </w:r>
          </w:p>
        </w:tc>
        <w:tc>
          <w:tcPr>
            <w:tcW w:w="153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59A568AB" w14:textId="33E69608">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2025 Plan Budge</w:t>
            </w:r>
            <w:r w:rsidRPr="00886E64">
              <w:rPr>
                <w:rFonts w:ascii="Palatino Linotype" w:hAnsi="Palatino Linotype"/>
                <w:b/>
                <w:color w:val="000000" w:themeColor="text1"/>
                <w:sz w:val="21"/>
                <w:szCs w:val="21"/>
              </w:rPr>
              <w:t>t</w:t>
            </w:r>
            <w:r w:rsidRPr="00886E64">
              <w:rPr>
                <w:rStyle w:val="FootnoteReference"/>
                <w:rFonts w:ascii="Palatino Linotype" w:hAnsi="Palatino Linotype"/>
                <w:b/>
                <w:color w:val="000000" w:themeColor="text1"/>
                <w:sz w:val="21"/>
                <w:szCs w:val="21"/>
              </w:rPr>
              <w:footnoteReference w:id="135"/>
            </w:r>
          </w:p>
        </w:tc>
        <w:tc>
          <w:tcPr>
            <w:tcW w:w="144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39AD6088" w14:textId="77777777">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2026 Plan Budget</w:t>
            </w:r>
            <w:r w:rsidRPr="00391568">
              <w:rPr>
                <w:rStyle w:val="FootnoteReference"/>
                <w:rFonts w:ascii="Palatino Linotype" w:hAnsi="Palatino Linotype"/>
                <w:b/>
                <w:color w:val="000000" w:themeColor="text1"/>
                <w:sz w:val="21"/>
                <w:szCs w:val="21"/>
              </w:rPr>
              <w:footnoteReference w:id="136"/>
            </w:r>
          </w:p>
        </w:tc>
      </w:tr>
      <w:tr w:rsidRPr="002B23E2" w:rsidR="00380CB2" w:rsidTr="00F01246" w14:paraId="5F67923B" w14:textId="77777777">
        <w:trPr>
          <w:trHeight w:val="432"/>
        </w:trPr>
        <w:tc>
          <w:tcPr>
            <w:tcW w:w="1751" w:type="dxa"/>
            <w:vMerge w:val="restart"/>
            <w:tcBorders>
              <w:top w:val="single" w:color="auto" w:sz="4" w:space="0"/>
              <w:left w:val="single" w:color="auto" w:sz="4" w:space="0"/>
              <w:bottom w:val="single" w:color="auto" w:sz="4" w:space="0"/>
            </w:tcBorders>
            <w:vAlign w:val="center"/>
          </w:tcPr>
          <w:p w:rsidRPr="002B23E2" w:rsidR="00380CB2" w:rsidRDefault="00380CB2" w14:paraId="73895DD9" w14:textId="67833EAF">
            <w:pPr>
              <w:rPr>
                <w:rFonts w:ascii="Palatino Linotype" w:hAnsi="Palatino Linotype"/>
                <w:color w:val="000000" w:themeColor="text1"/>
                <w:sz w:val="22"/>
                <w:szCs w:val="22"/>
              </w:rPr>
            </w:pPr>
            <w:r>
              <w:rPr>
                <w:rFonts w:ascii="Palatino Linotype" w:hAnsi="Palatino Linotype"/>
                <w:color w:val="000000" w:themeColor="text1"/>
                <w:sz w:val="22"/>
                <w:szCs w:val="22"/>
              </w:rPr>
              <w:t>Gas System Integrity</w:t>
            </w: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77E25320"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Innovative and Cost-Effective Integrity Management</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0F6AC61D" w14:textId="226DAB2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409BF839" w14:textId="0E3F677E">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893,830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23FDC225" w14:textId="3159A23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A8E7774" w14:textId="75989B73">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3,270,000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10021707" w14:textId="76089DA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06896154" w14:textId="4A904715">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3,036,913 </w:t>
            </w:r>
          </w:p>
        </w:tc>
      </w:tr>
      <w:tr w:rsidRPr="002B23E2" w:rsidR="00380CB2" w:rsidTr="00F01246" w14:paraId="1F490201" w14:textId="77777777">
        <w:trPr>
          <w:trHeight w:val="432"/>
        </w:trPr>
        <w:tc>
          <w:tcPr>
            <w:tcW w:w="1751" w:type="dxa"/>
            <w:vMerge/>
            <w:tcBorders>
              <w:top w:val="single" w:color="auto" w:sz="4" w:space="0"/>
              <w:left w:val="single" w:color="auto" w:sz="4" w:space="0"/>
              <w:bottom w:val="single" w:color="auto" w:sz="4" w:space="0"/>
            </w:tcBorders>
            <w:vAlign w:val="center"/>
          </w:tcPr>
          <w:p w:rsidRPr="002B23E2" w:rsidR="00380CB2" w:rsidRDefault="00380CB2" w14:paraId="2361BC8C"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778B1BE6"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Advanced Leak Detection and Repair</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79B7A3E8" w14:textId="644BCF4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2EBA4CFA" w14:textId="31720113">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61,615</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15C7FD35" w14:textId="56B02351">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C27E791" w14:textId="7A906EE1">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70250A5D" w14:textId="439514AA">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61EB69DC" w14:textId="1C03C766">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r>
      <w:tr w:rsidRPr="002B23E2" w:rsidR="00380CB2" w:rsidTr="00F01246" w14:paraId="37E92875" w14:textId="77777777">
        <w:trPr>
          <w:trHeight w:val="432"/>
        </w:trPr>
        <w:tc>
          <w:tcPr>
            <w:tcW w:w="1751" w:type="dxa"/>
            <w:vMerge/>
            <w:tcBorders>
              <w:top w:val="single" w:color="auto" w:sz="4" w:space="0"/>
              <w:left w:val="single" w:color="auto" w:sz="4" w:space="0"/>
              <w:bottom w:val="single" w:color="auto" w:sz="4" w:space="0"/>
            </w:tcBorders>
            <w:vAlign w:val="center"/>
          </w:tcPr>
          <w:p w:rsidRPr="002B23E2" w:rsidR="00380CB2" w:rsidRDefault="00380CB2" w14:paraId="4EDE951D"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4C0B4E94"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Integrated Planning Tools to Enable Scaled Up Gas Decommissioning and Electrification</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511ACFD3" w14:textId="4B5BEE5F">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68D263D2" w14:textId="7DA0077F">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4E7AE9BC" w14:textId="3E47BB6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6A4C6A3E" w14:textId="11FAA15B">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2,100,000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730B738F" w14:textId="4946A77B">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1094CF80" w14:textId="58055491">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1,050,000 </w:t>
            </w:r>
          </w:p>
        </w:tc>
      </w:tr>
      <w:tr w:rsidRPr="002B23E2" w:rsidR="00380CB2" w:rsidTr="00F01246" w14:paraId="4A7FB34A"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2073ABEC"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Decarbonization</w:t>
            </w:r>
          </w:p>
        </w:tc>
        <w:tc>
          <w:tcPr>
            <w:tcW w:w="3194" w:type="dxa"/>
            <w:tcBorders>
              <w:top w:val="single" w:color="auto" w:sz="4" w:space="0"/>
              <w:left w:val="single" w:color="auto" w:sz="4" w:space="0"/>
              <w:bottom w:val="single" w:color="auto" w:sz="4" w:space="0"/>
              <w:right w:val="single" w:color="auto" w:sz="4" w:space="0"/>
            </w:tcBorders>
            <w:vAlign w:val="center"/>
          </w:tcPr>
          <w:p w:rsidRPr="00191132" w:rsidR="00380CB2" w:rsidRDefault="00380CB2" w14:paraId="10974917" w14:textId="77777777">
            <w:pPr>
              <w:rPr>
                <w:rFonts w:ascii="Palatino Linotype" w:hAnsi="Palatino Linotype"/>
                <w:color w:val="000000" w:themeColor="text1"/>
                <w:sz w:val="21"/>
                <w:szCs w:val="21"/>
              </w:rPr>
            </w:pPr>
            <w:r w:rsidRPr="00191132">
              <w:rPr>
                <w:rFonts w:ascii="Palatino Linotype" w:hAnsi="Palatino Linotype"/>
                <w:color w:val="000000" w:themeColor="text1"/>
                <w:sz w:val="21"/>
                <w:szCs w:val="21"/>
              </w:rPr>
              <w:t>Clean Fuels Integration</w:t>
            </w:r>
          </w:p>
        </w:tc>
        <w:tc>
          <w:tcPr>
            <w:tcW w:w="270" w:type="dxa"/>
            <w:tcBorders>
              <w:top w:val="single" w:color="auto" w:sz="4" w:space="0"/>
              <w:left w:val="single" w:color="auto" w:sz="4" w:space="0"/>
              <w:bottom w:val="single" w:color="auto" w:sz="4" w:space="0"/>
            </w:tcBorders>
            <w:vAlign w:val="center"/>
          </w:tcPr>
          <w:p w:rsidRPr="00191132" w:rsidR="00380CB2" w:rsidP="00F01246" w:rsidRDefault="00380CB2" w14:paraId="2777C37F" w14:textId="20D49DF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191132" w:rsidR="00380CB2" w:rsidP="00F01246" w:rsidRDefault="00380CB2" w14:paraId="16DBAE5B" w14:textId="7F4C8BEB">
            <w:pPr>
              <w:jc w:val="right"/>
              <w:rPr>
                <w:rFonts w:ascii="Palatino Linotype" w:hAnsi="Palatino Linotype"/>
                <w:color w:val="000000" w:themeColor="text1"/>
                <w:sz w:val="21"/>
                <w:szCs w:val="21"/>
              </w:rPr>
            </w:pPr>
            <w:r w:rsidRPr="00191132">
              <w:rPr>
                <w:rFonts w:ascii="Palatino Linotype" w:hAnsi="Palatino Linotype"/>
                <w:color w:val="000000" w:themeColor="text1"/>
                <w:sz w:val="21"/>
                <w:szCs w:val="21"/>
              </w:rPr>
              <w:t>181,152</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456B5A58" w14:textId="60EC7A1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04BC98FA" w14:textId="570CDE06">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150,000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44119BA2" w14:textId="3693FED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52455FF9" w14:textId="5F8A2793">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3,000,000</w:t>
            </w:r>
          </w:p>
        </w:tc>
      </w:tr>
      <w:tr w:rsidRPr="002B23E2" w:rsidR="00380CB2" w:rsidTr="00F01246" w14:paraId="4E701CF4"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200E03F0"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Gas RD&amp;D Database Development</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31925732" w14:textId="17BCABFA">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54B9D0CC" w14:textId="36A0AF15">
            <w:pPr>
              <w:jc w:val="right"/>
              <w:rPr>
                <w:rFonts w:ascii="Palatino Linotype" w:hAnsi="Palatino Linotype"/>
                <w:color w:val="000000" w:themeColor="text1"/>
                <w:sz w:val="21"/>
                <w:szCs w:val="21"/>
                <w:highlight w:val="red"/>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380CB2" w14:paraId="2AA2175D" w14:textId="6B1495E0">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380CB2" w:rsidP="00F01246" w:rsidRDefault="00380CB2" w14:paraId="778C0E4E" w14:textId="23AE6E56">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56,987</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C54FC03" w14:textId="66A439D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530DAB43" w14:textId="521D17A1">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56,987</w:t>
            </w:r>
          </w:p>
        </w:tc>
      </w:tr>
      <w:tr w:rsidRPr="002B23E2" w:rsidR="00380CB2" w:rsidTr="00F01246" w14:paraId="5E129668"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3E13A0E5"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Program Evaluation</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280D655E" w14:textId="3C1E65D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12104C62" w14:textId="4D698415">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380CB2" w14:paraId="4CAF8214" w14:textId="0FC6A43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380CB2" w:rsidP="00F01246" w:rsidRDefault="00380CB2" w14:paraId="164F0141" w14:textId="75CBB121">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294,400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B5FE836" w14:textId="454B2493">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6FEFD02F" w14:textId="4120648A">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294,400</w:t>
            </w:r>
          </w:p>
        </w:tc>
      </w:tr>
      <w:tr w:rsidRPr="002B23E2" w:rsidR="00380CB2" w:rsidTr="00F01246" w14:paraId="5B2A8B8E"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0A20ED06"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Administrative</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32600FC9" w14:textId="7535E901">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2C31BF78" w14:textId="63FCF018">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809,200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24D7CDEA" w14:textId="5295C25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0B8B3298" w14:textId="225741AA">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826,700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02AB115" w14:textId="6EC6FBD5">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76209615" w14:textId="12BDCEF0">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826,700</w:t>
            </w:r>
          </w:p>
        </w:tc>
      </w:tr>
      <w:tr w:rsidRPr="002B23E2" w:rsidR="00380CB2" w:rsidTr="00F01246" w14:paraId="692036E0"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0A389E08" w14:textId="77777777">
            <w:pPr>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ANNUAL TOTAL:</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120AAF9E" w14:textId="3038CDE4">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39134B69" w14:textId="7993BA15">
            <w:pPr>
              <w:jc w:val="right"/>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1,945,797</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3A04EA99" w14:textId="564D7BF0">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440BEF5" w14:textId="087EE835">
            <w:pPr>
              <w:jc w:val="right"/>
              <w:rPr>
                <w:rFonts w:ascii="Palatino Linotype" w:hAnsi="Palatino Linotype"/>
                <w:color w:val="000000" w:themeColor="text1"/>
                <w:sz w:val="21"/>
                <w:szCs w:val="21"/>
              </w:rPr>
            </w:pPr>
            <w:r w:rsidRPr="00391568">
              <w:rPr>
                <w:rFonts w:ascii="Palatino Linotype" w:hAnsi="Palatino Linotype"/>
                <w:b/>
                <w:color w:val="000000" w:themeColor="text1"/>
                <w:sz w:val="21"/>
                <w:szCs w:val="21"/>
              </w:rPr>
              <w:t>6,700,087</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78A3A7C4" w14:textId="62B811D0">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32EA7F3E" w14:textId="16B887A2">
            <w:pPr>
              <w:jc w:val="right"/>
              <w:rPr>
                <w:rFonts w:ascii="Palatino Linotype" w:hAnsi="Palatino Linotype"/>
                <w:b/>
                <w:bCs w:val="0"/>
                <w:color w:val="000000" w:themeColor="text1"/>
                <w:sz w:val="21"/>
                <w:szCs w:val="21"/>
              </w:rPr>
            </w:pPr>
            <w:r w:rsidRPr="00491644">
              <w:rPr>
                <w:rFonts w:ascii="Palatino Linotype" w:hAnsi="Palatino Linotype"/>
                <w:b/>
                <w:bCs w:val="0"/>
                <w:color w:val="000000" w:themeColor="text1"/>
                <w:sz w:val="21"/>
                <w:szCs w:val="21"/>
              </w:rPr>
              <w:t>8,267,000</w:t>
            </w:r>
          </w:p>
        </w:tc>
      </w:tr>
    </w:tbl>
    <w:p w:rsidR="00A76F4A" w:rsidP="3F29867F" w:rsidRDefault="61DF6D9F" w14:paraId="4D01494E" w14:textId="22F27387">
      <w:pPr>
        <w:keepNext/>
        <w:spacing w:after="0" w:line="240" w:lineRule="auto"/>
        <w:rPr>
          <w:rFonts w:ascii="Palatino Linotype" w:hAnsi="Palatino Linotype" w:eastAsia="Palatino Linotype" w:cs="Times New Roman"/>
        </w:rPr>
      </w:pPr>
      <w:r w:rsidRPr="3F29867F">
        <w:rPr>
          <w:rFonts w:ascii="Palatino Linotype" w:hAnsi="Palatino Linotype" w:eastAsia="Palatino Linotype" w:cs="Times New Roman"/>
        </w:rPr>
        <w:t xml:space="preserve"> </w:t>
      </w:r>
    </w:p>
    <w:p w:rsidR="00A76F4A" w:rsidP="3F29867F" w:rsidRDefault="61DF6D9F" w14:paraId="6B662BD0" w14:textId="5A3F70E8">
      <w:pPr>
        <w:keepNext/>
        <w:spacing w:after="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t xml:space="preserve"> </w:t>
      </w:r>
    </w:p>
    <w:p w:rsidR="00A76F4A" w:rsidP="3F29867F" w:rsidRDefault="00A76F4A" w14:paraId="58BB9DE7" w14:textId="37B0CB35">
      <w:pPr>
        <w:keepNext/>
        <w:spacing w:after="0" w:line="240" w:lineRule="auto"/>
        <w:rPr>
          <w:rFonts w:ascii="Palatino Linotype" w:hAnsi="Palatino Linotype" w:eastAsia="Palatino Linotype" w:cs="Times New Roman"/>
        </w:rPr>
      </w:pPr>
    </w:p>
    <w:p w:rsidR="00A76F4A" w:rsidP="3F29867F" w:rsidRDefault="61DF6D9F" w14:paraId="0054FB6E" w14:textId="2839CDD7">
      <w:pPr>
        <w:keepNext/>
        <w:spacing w:after="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t xml:space="preserve"> </w:t>
      </w:r>
    </w:p>
    <w:p w:rsidR="00A76F4A" w:rsidP="3F29867F" w:rsidRDefault="00A76F4A" w14:paraId="6534974F" w14:textId="317F3319">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43CFC206" w14:textId="002EDD87">
      <w:pPr>
        <w:keepNext/>
        <w:spacing w:before="240" w:line="276"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3F29867F" w:rsidRDefault="61DF6D9F" w14:paraId="165D5E0C" w14:textId="11AABDC4">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APPENDIX B: PG&amp;E’s 2024-2026 Plans Commission-Modified Budgets</w:t>
      </w:r>
    </w:p>
    <w:p w:rsidR="00F44EF5" w:rsidP="3F29867F" w:rsidRDefault="00F44EF5" w14:paraId="1C4ADC39" w14:textId="77777777">
      <w:pPr>
        <w:keepNext/>
        <w:spacing w:after="0" w:line="240" w:lineRule="auto"/>
        <w:rPr>
          <w:rFonts w:ascii="Palatino Linotype" w:hAnsi="Palatino Linotype" w:eastAsia="Palatino Linotype" w:cs="Times New Roman"/>
          <w:i/>
          <w:color w:val="000000" w:themeColor="text1"/>
        </w:rPr>
      </w:pPr>
    </w:p>
    <w:tbl>
      <w:tblPr>
        <w:tblStyle w:val="TableGrid1"/>
        <w:tblW w:w="9265" w:type="dxa"/>
        <w:tblLayout w:type="fixed"/>
        <w:tblLook w:val="04A0" w:firstRow="1" w:lastRow="0" w:firstColumn="1" w:lastColumn="0" w:noHBand="0" w:noVBand="1"/>
      </w:tblPr>
      <w:tblGrid>
        <w:gridCol w:w="1751"/>
        <w:gridCol w:w="3194"/>
        <w:gridCol w:w="270"/>
        <w:gridCol w:w="1080"/>
        <w:gridCol w:w="270"/>
        <w:gridCol w:w="1260"/>
        <w:gridCol w:w="270"/>
        <w:gridCol w:w="1170"/>
      </w:tblGrid>
      <w:tr w:rsidRPr="00BE5786" w:rsidR="00F01246" w:rsidTr="00C527A6" w14:paraId="10112B93"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5CF28F6F"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Investment Theme</w:t>
            </w:r>
          </w:p>
        </w:tc>
        <w:tc>
          <w:tcPr>
            <w:tcW w:w="3194"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60757DB3"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Initiative Title</w:t>
            </w:r>
          </w:p>
        </w:tc>
        <w:tc>
          <w:tcPr>
            <w:tcW w:w="1350" w:type="dxa"/>
            <w:gridSpan w:val="2"/>
            <w:tcBorders>
              <w:top w:val="single" w:color="auto" w:sz="4" w:space="0"/>
              <w:left w:val="single" w:color="auto" w:sz="4" w:space="0"/>
              <w:bottom w:val="single" w:color="auto" w:sz="4" w:space="0"/>
              <w:right w:val="single" w:color="auto" w:sz="4" w:space="0"/>
            </w:tcBorders>
          </w:tcPr>
          <w:p w:rsidRPr="005906F9" w:rsidR="00F01246" w:rsidRDefault="00F01246" w14:paraId="166416D8" w14:textId="554B806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2024 Plan Budget</w:t>
            </w:r>
          </w:p>
        </w:tc>
        <w:tc>
          <w:tcPr>
            <w:tcW w:w="153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18CD15A4" w14:textId="2BD02B5D">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2025 Plan Budge</w:t>
            </w:r>
            <w:r w:rsidRPr="00886E64">
              <w:rPr>
                <w:rFonts w:ascii="Palatino Linotype" w:hAnsi="Palatino Linotype"/>
                <w:b/>
                <w:color w:val="000000" w:themeColor="text1"/>
                <w:sz w:val="21"/>
                <w:szCs w:val="21"/>
              </w:rPr>
              <w:t>t</w:t>
            </w:r>
            <w:r w:rsidR="00446B17">
              <w:rPr>
                <w:rFonts w:ascii="Palatino Linotype" w:hAnsi="Palatino Linotype"/>
                <w:b/>
                <w:color w:val="000000" w:themeColor="text1"/>
                <w:sz w:val="21"/>
                <w:szCs w:val="21"/>
              </w:rPr>
              <w:t>*</w:t>
            </w:r>
          </w:p>
        </w:tc>
        <w:tc>
          <w:tcPr>
            <w:tcW w:w="144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0EC3FEC3" w14:textId="249DE244">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2026 Plan Budget</w:t>
            </w:r>
            <w:r w:rsidR="00C527A6">
              <w:rPr>
                <w:rFonts w:ascii="Palatino Linotype" w:hAnsi="Palatino Linotype"/>
                <w:b/>
                <w:color w:val="000000" w:themeColor="text1"/>
                <w:sz w:val="21"/>
                <w:szCs w:val="21"/>
              </w:rPr>
              <w:t>**</w:t>
            </w:r>
          </w:p>
        </w:tc>
      </w:tr>
      <w:tr w:rsidRPr="002B23E2" w:rsidR="00F01246" w14:paraId="040F6298" w14:textId="77777777">
        <w:trPr>
          <w:trHeight w:val="432"/>
        </w:trPr>
        <w:tc>
          <w:tcPr>
            <w:tcW w:w="1751" w:type="dxa"/>
            <w:vMerge w:val="restart"/>
            <w:tcBorders>
              <w:top w:val="single" w:color="auto" w:sz="4" w:space="0"/>
              <w:left w:val="single" w:color="auto" w:sz="4" w:space="0"/>
              <w:bottom w:val="single" w:color="auto" w:sz="4" w:space="0"/>
            </w:tcBorders>
            <w:vAlign w:val="center"/>
          </w:tcPr>
          <w:p w:rsidRPr="002B23E2" w:rsidR="00F01246" w:rsidRDefault="00F01246" w14:paraId="7DC16ABC" w14:textId="77777777">
            <w:pPr>
              <w:rPr>
                <w:rFonts w:ascii="Palatino Linotype" w:hAnsi="Palatino Linotype"/>
                <w:color w:val="000000" w:themeColor="text1"/>
                <w:sz w:val="22"/>
                <w:szCs w:val="22"/>
              </w:rPr>
            </w:pPr>
            <w:r>
              <w:rPr>
                <w:rFonts w:ascii="Palatino Linotype" w:hAnsi="Palatino Linotype"/>
                <w:color w:val="000000" w:themeColor="text1"/>
                <w:sz w:val="22"/>
                <w:szCs w:val="22"/>
              </w:rPr>
              <w:t>Gas System Integrity</w:t>
            </w: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0028A151"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Innovative and Cost-Effective Integrity Management</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31C14D02"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5FB4227D" w14:textId="12CD1C4C">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1C9BF8B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26A06BA1"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3,270,000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34DC458" w14:textId="7777777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09726167" w14:textId="77777777">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3,036,913 </w:t>
            </w:r>
          </w:p>
        </w:tc>
      </w:tr>
      <w:tr w:rsidRPr="002B23E2" w:rsidR="00F01246" w:rsidTr="00C527A6" w14:paraId="51EEEAE7" w14:textId="77777777">
        <w:trPr>
          <w:trHeight w:val="432"/>
        </w:trPr>
        <w:tc>
          <w:tcPr>
            <w:tcW w:w="1751" w:type="dxa"/>
            <w:vMerge/>
            <w:tcBorders>
              <w:left w:val="single" w:color="auto" w:sz="4" w:space="0"/>
              <w:bottom w:val="single" w:color="auto" w:sz="4" w:space="0"/>
            </w:tcBorders>
            <w:vAlign w:val="center"/>
          </w:tcPr>
          <w:p w:rsidRPr="002B23E2" w:rsidR="00F01246" w:rsidRDefault="00F01246" w14:paraId="5D462135"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674CCBD"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Advanced Leak Detection and Repair</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29DF4A6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763504F0" w14:textId="3730024A">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6B0B50A3"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2C217B52"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1B84C73E"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4FDC4FD1"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r>
      <w:tr w:rsidRPr="002B23E2" w:rsidR="00F01246" w:rsidTr="00C527A6" w14:paraId="0876070C" w14:textId="77777777">
        <w:trPr>
          <w:trHeight w:val="432"/>
        </w:trPr>
        <w:tc>
          <w:tcPr>
            <w:tcW w:w="1751" w:type="dxa"/>
            <w:vMerge/>
            <w:tcBorders>
              <w:left w:val="single" w:color="auto" w:sz="4" w:space="0"/>
              <w:bottom w:val="single" w:color="auto" w:sz="4" w:space="0"/>
            </w:tcBorders>
            <w:vAlign w:val="center"/>
          </w:tcPr>
          <w:p w:rsidRPr="002B23E2" w:rsidR="00F01246" w:rsidRDefault="00F01246" w14:paraId="55B681EC"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55A32B0D"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Integrated Planning Tools to Enable Scaled Up Gas Decommissioning and Electrification</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6FB7764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6C41527D" w14:textId="77777777">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2106776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01E825B"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2,100,000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D7BA6C9" w14:textId="7777777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0BBA6309" w14:textId="77777777">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1,050,000 </w:t>
            </w:r>
          </w:p>
        </w:tc>
      </w:tr>
      <w:tr w:rsidRPr="002B23E2" w:rsidR="00F01246" w:rsidTr="00C527A6" w14:paraId="0B33B5DC"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32F9025F"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Decarbonization</w:t>
            </w:r>
          </w:p>
        </w:tc>
        <w:tc>
          <w:tcPr>
            <w:tcW w:w="3194" w:type="dxa"/>
            <w:tcBorders>
              <w:top w:val="single" w:color="auto" w:sz="4" w:space="0"/>
              <w:left w:val="single" w:color="auto" w:sz="4" w:space="0"/>
              <w:bottom w:val="single" w:color="auto" w:sz="4" w:space="0"/>
              <w:right w:val="single" w:color="auto" w:sz="4" w:space="0"/>
            </w:tcBorders>
            <w:vAlign w:val="center"/>
          </w:tcPr>
          <w:p w:rsidRPr="00191132" w:rsidR="00F01246" w:rsidRDefault="00F01246" w14:paraId="15DCB408" w14:textId="77777777">
            <w:pPr>
              <w:rPr>
                <w:rFonts w:ascii="Palatino Linotype" w:hAnsi="Palatino Linotype"/>
                <w:color w:val="000000" w:themeColor="text1"/>
                <w:sz w:val="21"/>
                <w:szCs w:val="21"/>
              </w:rPr>
            </w:pPr>
            <w:r w:rsidRPr="00191132">
              <w:rPr>
                <w:rFonts w:ascii="Palatino Linotype" w:hAnsi="Palatino Linotype"/>
                <w:color w:val="000000" w:themeColor="text1"/>
                <w:sz w:val="21"/>
                <w:szCs w:val="21"/>
              </w:rPr>
              <w:t>Clean Fuels Integration</w:t>
            </w:r>
          </w:p>
        </w:tc>
        <w:tc>
          <w:tcPr>
            <w:tcW w:w="270" w:type="dxa"/>
            <w:tcBorders>
              <w:top w:val="single" w:color="auto" w:sz="4" w:space="0"/>
              <w:left w:val="single" w:color="auto" w:sz="4" w:space="0"/>
              <w:bottom w:val="single" w:color="auto" w:sz="4" w:space="0"/>
            </w:tcBorders>
            <w:vAlign w:val="center"/>
          </w:tcPr>
          <w:p w:rsidRPr="00191132" w:rsidR="00F01246" w:rsidRDefault="00F01246" w14:paraId="4EF34F4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191132" w:rsidR="00F01246" w:rsidRDefault="00F01246" w14:paraId="67343ADD" w14:textId="42088B03">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59C330B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30309CB2"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150,000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53F825B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71CAC6A6" w14:textId="77777777">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3,000,000</w:t>
            </w:r>
          </w:p>
        </w:tc>
      </w:tr>
      <w:tr w:rsidRPr="002B23E2" w:rsidR="00F01246" w14:paraId="7FCB5A8A"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59D46D98"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Gas RD&amp;D Database Development</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457D54A8"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74259535" w14:textId="77777777">
            <w:pPr>
              <w:jc w:val="right"/>
              <w:rPr>
                <w:rFonts w:ascii="Palatino Linotype" w:hAnsi="Palatino Linotype"/>
                <w:color w:val="000000" w:themeColor="text1"/>
                <w:sz w:val="21"/>
                <w:szCs w:val="21"/>
                <w:highlight w:val="red"/>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60DA0CD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F01246" w:rsidRDefault="00F01246" w14:paraId="282B4DE1" w14:textId="74F96E3C">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205765F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53EE80AD" w14:textId="4430682A">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r>
      <w:tr w:rsidRPr="002B23E2" w:rsidR="00F01246" w14:paraId="66F559B0"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375D5D57"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Program Evaluation</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13D29A2A"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117102A5" w14:textId="77777777">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77F2F1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F01246" w:rsidRDefault="00F01246" w14:paraId="253D385B" w14:textId="0B4CE281">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8A7AFBC"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40D8D60" w14:textId="294F329B">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r>
      <w:tr w:rsidRPr="002B23E2" w:rsidR="00F01246" w14:paraId="7E5028EB"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D7EAF85"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Administrative</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30206173"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6547546A" w14:textId="44BB19F8">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C7E45F7"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34EFE4F" w14:textId="0D161394">
            <w:pPr>
              <w:jc w:val="right"/>
              <w:rPr>
                <w:rFonts w:ascii="Palatino Linotype" w:hAnsi="Palatino Linotype"/>
                <w:color w:val="000000" w:themeColor="text1"/>
                <w:sz w:val="21"/>
                <w:szCs w:val="21"/>
              </w:rPr>
            </w:pPr>
            <w:r w:rsidRPr="003747A8">
              <w:rPr>
                <w:rFonts w:ascii="Palatino Linotype" w:hAnsi="Palatino Linotype"/>
                <w:color w:val="000000" w:themeColor="text1"/>
                <w:sz w:val="21"/>
                <w:szCs w:val="21"/>
              </w:rPr>
              <w:t>613,333</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587ECDA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3A3646B" w14:textId="1D0A7C50">
            <w:pPr>
              <w:jc w:val="right"/>
              <w:rPr>
                <w:rFonts w:ascii="Palatino Linotype" w:hAnsi="Palatino Linotype"/>
                <w:color w:val="000000" w:themeColor="text1"/>
                <w:sz w:val="21"/>
                <w:szCs w:val="21"/>
              </w:rPr>
            </w:pPr>
            <w:r w:rsidRPr="003747A8">
              <w:rPr>
                <w:rFonts w:ascii="Palatino Linotype" w:hAnsi="Palatino Linotype"/>
                <w:color w:val="000000" w:themeColor="text1"/>
                <w:sz w:val="21"/>
                <w:szCs w:val="21"/>
              </w:rPr>
              <w:t>787,435</w:t>
            </w:r>
          </w:p>
        </w:tc>
      </w:tr>
      <w:tr w:rsidRPr="002B23E2" w:rsidR="00F01246" w14:paraId="0F511266"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43ECD95" w14:textId="77777777">
            <w:pPr>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ANNUAL TOTAL:</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5861C40A"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39AA9796" w14:textId="2848F913">
            <w:pPr>
              <w:jc w:val="right"/>
              <w:rPr>
                <w:rFonts w:ascii="Palatino Linotype" w:hAnsi="Palatino Linotype"/>
                <w:color w:val="000000" w:themeColor="text1"/>
                <w:sz w:val="21"/>
                <w:szCs w:val="21"/>
              </w:rPr>
            </w:pPr>
            <w:r>
              <w:rPr>
                <w:rFonts w:ascii="Palatino Linotype" w:hAnsi="Palatino Linotype"/>
                <w:b/>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60863B2B"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898CD1F" w14:textId="0C31649B">
            <w:pPr>
              <w:jc w:val="right"/>
              <w:rPr>
                <w:rFonts w:ascii="Palatino Linotype" w:hAnsi="Palatino Linotype"/>
                <w:color w:val="000000" w:themeColor="text1"/>
                <w:sz w:val="21"/>
                <w:szCs w:val="21"/>
              </w:rPr>
            </w:pPr>
            <w:r w:rsidRPr="003747A8">
              <w:rPr>
                <w:rFonts w:ascii="Palatino Linotype" w:hAnsi="Palatino Linotype"/>
                <w:b/>
                <w:color w:val="000000" w:themeColor="text1"/>
                <w:sz w:val="21"/>
                <w:szCs w:val="21"/>
              </w:rPr>
              <w:t>6,133,333</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901D256"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5EF104D" w14:textId="38709594">
            <w:pPr>
              <w:jc w:val="right"/>
              <w:rPr>
                <w:rFonts w:ascii="Palatino Linotype" w:hAnsi="Palatino Linotype"/>
                <w:b/>
                <w:bCs w:val="0"/>
                <w:color w:val="000000" w:themeColor="text1"/>
                <w:sz w:val="21"/>
                <w:szCs w:val="21"/>
              </w:rPr>
            </w:pPr>
            <w:r w:rsidRPr="003747A8">
              <w:rPr>
                <w:rFonts w:ascii="Palatino Linotype" w:hAnsi="Palatino Linotype"/>
                <w:b/>
                <w:bCs w:val="0"/>
                <w:color w:val="000000" w:themeColor="text1"/>
                <w:sz w:val="21"/>
                <w:szCs w:val="21"/>
              </w:rPr>
              <w:t>7,874,348</w:t>
            </w:r>
          </w:p>
        </w:tc>
      </w:tr>
    </w:tbl>
    <w:p w:rsidR="00F01246" w:rsidP="3F29867F" w:rsidRDefault="00F01246" w14:paraId="5FD72D52" w14:textId="77777777">
      <w:pPr>
        <w:keepNext/>
        <w:spacing w:after="0" w:line="240" w:lineRule="auto"/>
        <w:rPr>
          <w:rFonts w:ascii="Palatino Linotype" w:hAnsi="Palatino Linotype" w:eastAsia="Palatino Linotype" w:cs="Times New Roman"/>
          <w:i/>
          <w:color w:val="000000" w:themeColor="text1"/>
        </w:rPr>
      </w:pPr>
    </w:p>
    <w:p w:rsidR="00A76F4A" w:rsidP="00FC4ABE" w:rsidRDefault="61DF6D9F" w14:paraId="245D70F4" w14:textId="07266891">
      <w:pPr>
        <w:keepNext/>
        <w:spacing w:line="240" w:lineRule="auto"/>
        <w:rPr>
          <w:rFonts w:ascii="Palatino Linotype" w:hAnsi="Palatino Linotype" w:eastAsia="Palatino Linotype" w:cs="Times New Roman"/>
          <w:i/>
          <w:color w:val="000000" w:themeColor="text1"/>
          <w:sz w:val="20"/>
          <w:szCs w:val="20"/>
        </w:rPr>
      </w:pPr>
      <w:r w:rsidRPr="00BA224B">
        <w:rPr>
          <w:rFonts w:ascii="Palatino Linotype" w:hAnsi="Palatino Linotype" w:eastAsia="Palatino Linotype" w:cs="Times New Roman"/>
          <w:i/>
          <w:color w:val="000000" w:themeColor="text1"/>
          <w:sz w:val="20"/>
          <w:szCs w:val="20"/>
        </w:rPr>
        <w:t>*Pending Commission approval of PG&amp;E’s revised 2025 Plan required via Tier 2 AL to verify compliance with Public Utilities Code 740.1 at (d).</w:t>
      </w:r>
    </w:p>
    <w:p w:rsidRPr="00FF4886" w:rsidR="00C527A6" w:rsidP="3F29867F" w:rsidRDefault="00C527A6" w14:paraId="49A4D300" w14:textId="66B3D107">
      <w:pPr>
        <w:keepNext/>
        <w:spacing w:after="0" w:line="240" w:lineRule="auto"/>
        <w:rPr>
          <w:rFonts w:ascii="Palatino Linotype" w:hAnsi="Palatino Linotype" w:eastAsia="Palatino Linotype" w:cs="Times New Roman"/>
          <w:i/>
          <w:color w:val="000000" w:themeColor="text1"/>
          <w:sz w:val="20"/>
          <w:szCs w:val="20"/>
        </w:rPr>
      </w:pPr>
      <w:r w:rsidRPr="00FF4886">
        <w:rPr>
          <w:rFonts w:ascii="Palatino Linotype" w:hAnsi="Palatino Linotype" w:eastAsia="Palatino Linotype" w:cs="Times New Roman"/>
          <w:i/>
          <w:color w:val="000000" w:themeColor="text1"/>
          <w:sz w:val="20"/>
          <w:szCs w:val="20"/>
        </w:rPr>
        <w:t>*</w:t>
      </w:r>
      <w:r w:rsidRPr="00FF4886" w:rsidR="00FC4ABE">
        <w:rPr>
          <w:rFonts w:ascii="Palatino Linotype" w:hAnsi="Palatino Linotype" w:eastAsia="Palatino Linotype" w:cs="Times New Roman"/>
          <w:i/>
          <w:color w:val="000000" w:themeColor="text1"/>
          <w:sz w:val="20"/>
          <w:szCs w:val="20"/>
        </w:rPr>
        <w:t>*</w:t>
      </w:r>
      <w:r w:rsidRPr="00FF4886" w:rsidR="00AA25AF">
        <w:rPr>
          <w:rFonts w:ascii="Palatino Linotype" w:hAnsi="Palatino Linotype" w:eastAsia="Palatino Linotype" w:cs="Times New Roman"/>
          <w:i/>
          <w:color w:val="000000" w:themeColor="text1"/>
          <w:sz w:val="20"/>
          <w:szCs w:val="20"/>
        </w:rPr>
        <w:t>Approved with modifications</w:t>
      </w:r>
      <w:r w:rsidRPr="00FF4886" w:rsidR="00D06B06">
        <w:rPr>
          <w:rFonts w:ascii="Palatino Linotype" w:hAnsi="Palatino Linotype" w:eastAsia="Palatino Linotype" w:cs="Times New Roman"/>
          <w:i/>
          <w:color w:val="000000" w:themeColor="text1"/>
          <w:sz w:val="20"/>
          <w:szCs w:val="20"/>
        </w:rPr>
        <w:t xml:space="preserve"> upon adoption of this Resolution</w:t>
      </w:r>
      <w:r w:rsidRPr="00FF4886" w:rsidR="00AA25AF">
        <w:rPr>
          <w:rFonts w:ascii="Palatino Linotype" w:hAnsi="Palatino Linotype" w:eastAsia="Palatino Linotype" w:cs="Times New Roman"/>
          <w:i/>
          <w:color w:val="000000" w:themeColor="text1"/>
          <w:sz w:val="20"/>
          <w:szCs w:val="20"/>
        </w:rPr>
        <w:t xml:space="preserve">, requiring </w:t>
      </w:r>
      <w:r w:rsidRPr="00FF4886" w:rsidR="00D06B06">
        <w:rPr>
          <w:rFonts w:ascii="Palatino Linotype" w:hAnsi="Palatino Linotype" w:eastAsia="Palatino Linotype" w:cs="Times New Roman"/>
          <w:i/>
          <w:color w:val="000000" w:themeColor="text1"/>
          <w:sz w:val="20"/>
          <w:szCs w:val="20"/>
        </w:rPr>
        <w:t>the submittal of a revised 2026 Plan via Tier 2 AL addressing the identified compliance areas requiring greater clarity to align with requirements</w:t>
      </w:r>
      <w:r w:rsidRPr="00FF4886" w:rsidR="00FC4ABE">
        <w:rPr>
          <w:rFonts w:ascii="Palatino Linotype" w:hAnsi="Palatino Linotype" w:eastAsia="Palatino Linotype" w:cs="Times New Roman"/>
          <w:i/>
          <w:color w:val="000000" w:themeColor="text1"/>
          <w:sz w:val="20"/>
          <w:szCs w:val="20"/>
        </w:rPr>
        <w:t xml:space="preserve">. </w:t>
      </w:r>
    </w:p>
    <w:p w:rsidR="00AA25AF" w:rsidP="3F29867F" w:rsidRDefault="00AA25AF" w14:paraId="29DBAB25" w14:textId="77777777">
      <w:pPr>
        <w:keepNext/>
        <w:spacing w:after="0" w:line="240" w:lineRule="auto"/>
        <w:rPr>
          <w:rFonts w:ascii="Palatino Linotype" w:hAnsi="Palatino Linotype" w:eastAsia="Palatino Linotype" w:cs="Times New Roman"/>
          <w:i/>
          <w:color w:val="0070C0"/>
          <w:sz w:val="20"/>
          <w:szCs w:val="20"/>
        </w:rPr>
      </w:pPr>
    </w:p>
    <w:p w:rsidRPr="00FC4ABE" w:rsidR="00AA25AF" w:rsidP="3F29867F" w:rsidRDefault="00AA25AF" w14:paraId="478E7D18" w14:textId="00BD32CF">
      <w:pPr>
        <w:keepNext/>
        <w:spacing w:after="0" w:line="240" w:lineRule="auto"/>
        <w:rPr>
          <w:rFonts w:ascii="Palatino Linotype" w:hAnsi="Palatino Linotype" w:eastAsia="Palatino Linotype" w:cs="Times New Roman"/>
          <w:i/>
          <w:color w:val="0070C0"/>
          <w:sz w:val="20"/>
          <w:szCs w:val="20"/>
        </w:rPr>
      </w:pPr>
    </w:p>
    <w:p w:rsidR="00A76F4A" w:rsidP="3F29867F" w:rsidRDefault="00A76F4A" w14:paraId="79846ACA" w14:textId="1A3DFE67">
      <w:pPr>
        <w:keepNext/>
        <w:spacing w:after="0" w:line="240" w:lineRule="auto"/>
        <w:rPr>
          <w:rFonts w:ascii="Palatino Linotype" w:hAnsi="Palatino Linotype" w:eastAsia="Palatino Linotype" w:cs="Times New Roman"/>
        </w:rPr>
      </w:pPr>
    </w:p>
    <w:p w:rsidR="00A76F4A" w:rsidP="3F29867F" w:rsidRDefault="00A76F4A" w14:paraId="615E5D71" w14:textId="0551BA51">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5E2FEC57" w14:textId="62AE93B3">
      <w:pPr>
        <w:keepNext/>
        <w:spacing w:line="276"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3F29867F" w:rsidRDefault="61DF6D9F" w14:paraId="7B336844" w14:textId="1457768D">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APPENDIX C: Administrative Budget Cost Categories</w:t>
      </w:r>
    </w:p>
    <w:p w:rsidR="00A76F4A" w:rsidP="3F29867F" w:rsidRDefault="00A76F4A" w14:paraId="1F03BDA6" w14:textId="0F4A104A">
      <w:pPr>
        <w:keepNext/>
        <w:spacing w:after="0" w:line="240" w:lineRule="auto"/>
        <w:rPr>
          <w:rFonts w:ascii="Palatino Linotype" w:hAnsi="Palatino Linotype" w:eastAsia="Palatino Linotype" w:cs="Times New Roman"/>
        </w:rPr>
      </w:pPr>
    </w:p>
    <w:tbl>
      <w:tblPr>
        <w:tblStyle w:val="TableGrid1"/>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5"/>
        <w:gridCol w:w="2430"/>
      </w:tblGrid>
      <w:tr w:rsidRPr="001A59F6" w:rsidR="00DB67F7" w14:paraId="6E7F00EF" w14:textId="77777777">
        <w:trPr>
          <w:trHeight w:val="432"/>
        </w:trPr>
        <w:tc>
          <w:tcPr>
            <w:tcW w:w="6925" w:type="dxa"/>
            <w:vAlign w:val="center"/>
          </w:tcPr>
          <w:p w:rsidRPr="001A59F6" w:rsidR="00DB67F7" w:rsidRDefault="00DB67F7" w14:paraId="06AF0BDB"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Program Administrative Cost Budget Item</w:t>
            </w:r>
          </w:p>
        </w:tc>
        <w:tc>
          <w:tcPr>
            <w:tcW w:w="2430" w:type="dxa"/>
            <w:vAlign w:val="center"/>
          </w:tcPr>
          <w:p w:rsidRPr="001A59F6" w:rsidR="00DB67F7" w:rsidRDefault="00DB67F7" w14:paraId="0466956C"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Calendar Year ($)</w:t>
            </w:r>
          </w:p>
        </w:tc>
      </w:tr>
      <w:tr w:rsidRPr="001A59F6" w:rsidR="00DB67F7" w14:paraId="568BC686" w14:textId="77777777">
        <w:trPr>
          <w:trHeight w:val="432"/>
        </w:trPr>
        <w:tc>
          <w:tcPr>
            <w:tcW w:w="6925" w:type="dxa"/>
            <w:vAlign w:val="center"/>
          </w:tcPr>
          <w:p w:rsidRPr="001A59F6" w:rsidR="00DB67F7" w:rsidRDefault="00DB67F7" w14:paraId="1953D394"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Investment Plan Development</w:t>
            </w:r>
          </w:p>
        </w:tc>
        <w:tc>
          <w:tcPr>
            <w:tcW w:w="2430" w:type="dxa"/>
            <w:vAlign w:val="center"/>
          </w:tcPr>
          <w:p w:rsidRPr="001A59F6" w:rsidR="00DB67F7" w:rsidRDefault="00DB67F7" w14:paraId="3FE886E5" w14:textId="77777777">
            <w:pPr>
              <w:spacing w:line="276" w:lineRule="auto"/>
              <w:rPr>
                <w:rFonts w:ascii="Palatino Linotype" w:hAnsi="Palatino Linotype"/>
                <w:b/>
                <w:color w:val="000000" w:themeColor="text1"/>
                <w:sz w:val="22"/>
                <w:szCs w:val="22"/>
              </w:rPr>
            </w:pPr>
          </w:p>
        </w:tc>
      </w:tr>
      <w:tr w:rsidRPr="001A59F6" w:rsidR="00DB67F7" w14:paraId="5B6D56AC" w14:textId="77777777">
        <w:trPr>
          <w:trHeight w:val="432"/>
        </w:trPr>
        <w:tc>
          <w:tcPr>
            <w:tcW w:w="6925" w:type="dxa"/>
            <w:vAlign w:val="center"/>
          </w:tcPr>
          <w:p w:rsidRPr="001A59F6" w:rsidR="00DB67F7" w:rsidRDefault="00DB67F7" w14:paraId="4B4BD985"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 xml:space="preserve">Project Planning and Initiation </w:t>
            </w:r>
          </w:p>
        </w:tc>
        <w:tc>
          <w:tcPr>
            <w:tcW w:w="2430" w:type="dxa"/>
            <w:vAlign w:val="center"/>
          </w:tcPr>
          <w:p w:rsidRPr="001A59F6" w:rsidR="00DB67F7" w:rsidRDefault="00DB67F7" w14:paraId="37E4B129" w14:textId="77777777">
            <w:pPr>
              <w:spacing w:line="276" w:lineRule="auto"/>
              <w:rPr>
                <w:rFonts w:ascii="Palatino Linotype" w:hAnsi="Palatino Linotype"/>
                <w:b/>
                <w:color w:val="000000" w:themeColor="text1"/>
                <w:sz w:val="22"/>
                <w:szCs w:val="22"/>
              </w:rPr>
            </w:pPr>
          </w:p>
        </w:tc>
      </w:tr>
      <w:tr w:rsidRPr="001A59F6" w:rsidR="00DB67F7" w14:paraId="1FF453E1" w14:textId="77777777">
        <w:trPr>
          <w:trHeight w:val="432"/>
        </w:trPr>
        <w:tc>
          <w:tcPr>
            <w:tcW w:w="6925" w:type="dxa"/>
            <w:vAlign w:val="center"/>
          </w:tcPr>
          <w:p w:rsidRPr="001A59F6" w:rsidR="00DB67F7" w:rsidRDefault="00DB67F7" w14:paraId="0CA2EA17"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Project Oversight and Governance</w:t>
            </w:r>
          </w:p>
        </w:tc>
        <w:tc>
          <w:tcPr>
            <w:tcW w:w="2430" w:type="dxa"/>
            <w:vAlign w:val="center"/>
          </w:tcPr>
          <w:p w:rsidRPr="001A59F6" w:rsidR="00DB67F7" w:rsidRDefault="00DB67F7" w14:paraId="60FB3385" w14:textId="77777777">
            <w:pPr>
              <w:spacing w:line="276" w:lineRule="auto"/>
              <w:rPr>
                <w:rFonts w:ascii="Palatino Linotype" w:hAnsi="Palatino Linotype"/>
                <w:b/>
                <w:color w:val="000000" w:themeColor="text1"/>
                <w:sz w:val="22"/>
                <w:szCs w:val="22"/>
              </w:rPr>
            </w:pPr>
          </w:p>
        </w:tc>
      </w:tr>
      <w:tr w:rsidRPr="001A59F6" w:rsidR="00DB67F7" w14:paraId="4189C428" w14:textId="77777777">
        <w:trPr>
          <w:trHeight w:val="432"/>
        </w:trPr>
        <w:tc>
          <w:tcPr>
            <w:tcW w:w="6925" w:type="dxa"/>
            <w:vAlign w:val="center"/>
          </w:tcPr>
          <w:p w:rsidRPr="001A59F6" w:rsidR="00DB67F7" w:rsidRDefault="00DB67F7" w14:paraId="7B429B0D"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Stakeholder Communication, Engagement, and Outreach</w:t>
            </w:r>
          </w:p>
        </w:tc>
        <w:tc>
          <w:tcPr>
            <w:tcW w:w="2430" w:type="dxa"/>
            <w:vAlign w:val="center"/>
          </w:tcPr>
          <w:p w:rsidRPr="001A59F6" w:rsidR="00DB67F7" w:rsidRDefault="00DB67F7" w14:paraId="45434A64" w14:textId="77777777">
            <w:pPr>
              <w:spacing w:line="276" w:lineRule="auto"/>
              <w:rPr>
                <w:rFonts w:ascii="Palatino Linotype" w:hAnsi="Palatino Linotype"/>
                <w:b/>
                <w:color w:val="000000" w:themeColor="text1"/>
                <w:sz w:val="22"/>
                <w:szCs w:val="22"/>
              </w:rPr>
            </w:pPr>
          </w:p>
        </w:tc>
      </w:tr>
      <w:tr w:rsidRPr="001A59F6" w:rsidR="00DB67F7" w14:paraId="14E28CE3" w14:textId="77777777">
        <w:trPr>
          <w:trHeight w:val="432"/>
        </w:trPr>
        <w:tc>
          <w:tcPr>
            <w:tcW w:w="6925" w:type="dxa"/>
            <w:vAlign w:val="center"/>
          </w:tcPr>
          <w:p w:rsidRPr="001A59F6" w:rsidR="00DB67F7" w:rsidRDefault="00DB67F7" w14:paraId="5D370699"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Regulatory Support Compliance</w:t>
            </w:r>
          </w:p>
        </w:tc>
        <w:tc>
          <w:tcPr>
            <w:tcW w:w="2430" w:type="dxa"/>
            <w:vAlign w:val="center"/>
          </w:tcPr>
          <w:p w:rsidRPr="001A59F6" w:rsidR="00DB67F7" w:rsidRDefault="00DB67F7" w14:paraId="23051425" w14:textId="77777777">
            <w:pPr>
              <w:spacing w:line="276" w:lineRule="auto"/>
              <w:rPr>
                <w:rFonts w:ascii="Palatino Linotype" w:hAnsi="Palatino Linotype"/>
                <w:b/>
                <w:color w:val="000000" w:themeColor="text1"/>
                <w:sz w:val="22"/>
                <w:szCs w:val="22"/>
              </w:rPr>
            </w:pPr>
          </w:p>
        </w:tc>
      </w:tr>
      <w:tr w:rsidRPr="001A59F6" w:rsidR="00DB67F7" w14:paraId="57380D28" w14:textId="77777777">
        <w:trPr>
          <w:trHeight w:val="432"/>
        </w:trPr>
        <w:tc>
          <w:tcPr>
            <w:tcW w:w="6925" w:type="dxa"/>
            <w:vAlign w:val="center"/>
          </w:tcPr>
          <w:p w:rsidRPr="001A59F6" w:rsidR="00DB67F7" w:rsidRDefault="00DB67F7" w14:paraId="524391D8"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Internal Management Coordination</w:t>
            </w:r>
          </w:p>
        </w:tc>
        <w:tc>
          <w:tcPr>
            <w:tcW w:w="2430" w:type="dxa"/>
            <w:vAlign w:val="center"/>
          </w:tcPr>
          <w:p w:rsidRPr="001A59F6" w:rsidR="00DB67F7" w:rsidRDefault="00DB67F7" w14:paraId="053ED9D9" w14:textId="77777777">
            <w:pPr>
              <w:spacing w:line="276" w:lineRule="auto"/>
              <w:rPr>
                <w:rFonts w:ascii="Palatino Linotype" w:hAnsi="Palatino Linotype"/>
                <w:b/>
                <w:color w:val="000000" w:themeColor="text1"/>
                <w:sz w:val="22"/>
                <w:szCs w:val="22"/>
              </w:rPr>
            </w:pPr>
          </w:p>
        </w:tc>
      </w:tr>
      <w:tr w:rsidRPr="001A59F6" w:rsidR="00DB67F7" w14:paraId="7A2F95BC" w14:textId="77777777">
        <w:trPr>
          <w:trHeight w:val="432"/>
        </w:trPr>
        <w:tc>
          <w:tcPr>
            <w:tcW w:w="6925" w:type="dxa"/>
            <w:vAlign w:val="center"/>
          </w:tcPr>
          <w:p w:rsidRPr="001A59F6" w:rsidR="00DB67F7" w:rsidRDefault="00DB67F7" w14:paraId="1C5DA1A2"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Program and Process Coordination and Improvement</w:t>
            </w:r>
          </w:p>
        </w:tc>
        <w:tc>
          <w:tcPr>
            <w:tcW w:w="2430" w:type="dxa"/>
            <w:vAlign w:val="center"/>
          </w:tcPr>
          <w:p w:rsidRPr="001A59F6" w:rsidR="00DB67F7" w:rsidRDefault="00DB67F7" w14:paraId="4F0E7F1F" w14:textId="77777777">
            <w:pPr>
              <w:spacing w:line="276" w:lineRule="auto"/>
              <w:rPr>
                <w:rFonts w:ascii="Palatino Linotype" w:hAnsi="Palatino Linotype"/>
                <w:b/>
                <w:color w:val="000000" w:themeColor="text1"/>
                <w:sz w:val="22"/>
                <w:szCs w:val="22"/>
              </w:rPr>
            </w:pPr>
          </w:p>
        </w:tc>
      </w:tr>
      <w:tr w:rsidRPr="001A59F6" w:rsidR="00DB67F7" w14:paraId="2300E486" w14:textId="77777777">
        <w:trPr>
          <w:trHeight w:val="432"/>
        </w:trPr>
        <w:tc>
          <w:tcPr>
            <w:tcW w:w="6925" w:type="dxa"/>
            <w:vAlign w:val="center"/>
          </w:tcPr>
          <w:p w:rsidRPr="001A59F6" w:rsidR="00DB67F7" w:rsidRDefault="00DB67F7" w14:paraId="0E904676"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Administrative Activities</w:t>
            </w:r>
          </w:p>
        </w:tc>
        <w:tc>
          <w:tcPr>
            <w:tcW w:w="2430" w:type="dxa"/>
            <w:vAlign w:val="center"/>
          </w:tcPr>
          <w:p w:rsidRPr="001A59F6" w:rsidR="00DB67F7" w:rsidRDefault="00DB67F7" w14:paraId="4FEBC567" w14:textId="77777777">
            <w:pPr>
              <w:spacing w:line="276" w:lineRule="auto"/>
              <w:rPr>
                <w:rFonts w:ascii="Palatino Linotype" w:hAnsi="Palatino Linotype"/>
                <w:b/>
                <w:color w:val="000000" w:themeColor="text1"/>
                <w:sz w:val="22"/>
                <w:szCs w:val="22"/>
              </w:rPr>
            </w:pPr>
          </w:p>
        </w:tc>
      </w:tr>
      <w:tr w:rsidRPr="001A59F6" w:rsidR="00DB67F7" w14:paraId="6FF1FAD1" w14:textId="77777777">
        <w:trPr>
          <w:trHeight w:val="432"/>
        </w:trPr>
        <w:tc>
          <w:tcPr>
            <w:tcW w:w="6925" w:type="dxa"/>
            <w:vAlign w:val="center"/>
          </w:tcPr>
          <w:p w:rsidRPr="001A59F6" w:rsidR="00DB67F7" w:rsidRDefault="00DB67F7" w14:paraId="744BB5EE"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Supervision and Personnel</w:t>
            </w:r>
          </w:p>
        </w:tc>
        <w:tc>
          <w:tcPr>
            <w:tcW w:w="2430" w:type="dxa"/>
            <w:vAlign w:val="center"/>
          </w:tcPr>
          <w:p w:rsidRPr="001A59F6" w:rsidR="00DB67F7" w:rsidRDefault="00DB67F7" w14:paraId="178F4FB8" w14:textId="77777777">
            <w:pPr>
              <w:spacing w:line="276" w:lineRule="auto"/>
              <w:rPr>
                <w:rFonts w:ascii="Palatino Linotype" w:hAnsi="Palatino Linotype"/>
                <w:b/>
                <w:color w:val="000000" w:themeColor="text1"/>
                <w:sz w:val="22"/>
                <w:szCs w:val="22"/>
              </w:rPr>
            </w:pPr>
          </w:p>
        </w:tc>
      </w:tr>
      <w:tr w:rsidRPr="001A59F6" w:rsidR="00DB67F7" w14:paraId="29412E00" w14:textId="77777777">
        <w:trPr>
          <w:trHeight w:val="432"/>
        </w:trPr>
        <w:tc>
          <w:tcPr>
            <w:tcW w:w="6925" w:type="dxa"/>
            <w:vAlign w:val="center"/>
          </w:tcPr>
          <w:p w:rsidRPr="001A59F6" w:rsidR="00DB67F7" w:rsidRDefault="00DB67F7" w14:paraId="31300DE0"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Training and Development</w:t>
            </w:r>
          </w:p>
        </w:tc>
        <w:tc>
          <w:tcPr>
            <w:tcW w:w="2430" w:type="dxa"/>
            <w:vAlign w:val="center"/>
          </w:tcPr>
          <w:p w:rsidRPr="001A59F6" w:rsidR="00DB67F7" w:rsidRDefault="00DB67F7" w14:paraId="1B911E39" w14:textId="77777777">
            <w:pPr>
              <w:spacing w:line="276" w:lineRule="auto"/>
              <w:rPr>
                <w:rFonts w:ascii="Palatino Linotype" w:hAnsi="Palatino Linotype"/>
                <w:b/>
                <w:color w:val="000000" w:themeColor="text1"/>
                <w:sz w:val="22"/>
                <w:szCs w:val="22"/>
              </w:rPr>
            </w:pPr>
          </w:p>
        </w:tc>
      </w:tr>
      <w:tr w:rsidRPr="001A59F6" w:rsidR="00DB67F7" w14:paraId="3F81B315" w14:textId="77777777">
        <w:trPr>
          <w:trHeight w:val="432"/>
        </w:trPr>
        <w:tc>
          <w:tcPr>
            <w:tcW w:w="6925" w:type="dxa"/>
            <w:vAlign w:val="center"/>
          </w:tcPr>
          <w:p w:rsidRPr="001A59F6" w:rsidR="00DB67F7" w:rsidRDefault="00DB67F7" w14:paraId="448E7FCE"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Total</w:t>
            </w:r>
          </w:p>
        </w:tc>
        <w:tc>
          <w:tcPr>
            <w:tcW w:w="2430" w:type="dxa"/>
            <w:vAlign w:val="center"/>
          </w:tcPr>
          <w:p w:rsidRPr="001A59F6" w:rsidR="00DB67F7" w:rsidRDefault="00DB67F7" w14:paraId="29C9D874" w14:textId="77777777">
            <w:pPr>
              <w:spacing w:line="276" w:lineRule="auto"/>
              <w:rPr>
                <w:rFonts w:ascii="Palatino Linotype" w:hAnsi="Palatino Linotype"/>
                <w:b/>
                <w:color w:val="000000" w:themeColor="text1"/>
                <w:sz w:val="22"/>
                <w:szCs w:val="22"/>
              </w:rPr>
            </w:pPr>
          </w:p>
        </w:tc>
      </w:tr>
    </w:tbl>
    <w:p w:rsidR="00DB67F7" w:rsidP="3F29867F" w:rsidRDefault="00DB67F7" w14:paraId="4BE76233" w14:textId="77777777">
      <w:pPr>
        <w:keepNext/>
        <w:spacing w:after="0" w:line="240" w:lineRule="auto"/>
        <w:rPr>
          <w:rFonts w:ascii="Palatino Linotype" w:hAnsi="Palatino Linotype" w:eastAsia="Palatino Linotype" w:cs="Times New Roman"/>
        </w:rPr>
      </w:pPr>
    </w:p>
    <w:p w:rsidR="00A76F4A" w:rsidP="3F29867F" w:rsidRDefault="00A76F4A" w14:paraId="33EED9C8" w14:textId="05FF7360">
      <w:pPr>
        <w:keepNext/>
        <w:spacing w:after="0" w:line="240" w:lineRule="auto"/>
        <w:rPr>
          <w:rFonts w:ascii="Palatino Linotype" w:hAnsi="Palatino Linotype" w:eastAsia="Palatino Linotype" w:cs="Times New Roman"/>
          <w:b/>
          <w:bCs/>
          <w:color w:val="000000" w:themeColor="text1"/>
        </w:rPr>
      </w:pPr>
    </w:p>
    <w:p w:rsidRPr="004C4BEB" w:rsidR="00A76F4A" w:rsidP="004C4BEB" w:rsidRDefault="00A76F4A" w14:paraId="41A51F3A" w14:textId="0DE64885">
      <w:pPr>
        <w:keepNext/>
        <w:spacing w:line="276" w:lineRule="auto"/>
        <w:rPr>
          <w:rFonts w:ascii="Palatino Linotype" w:hAnsi="Palatino Linotype" w:eastAsia="Palatino Linotype" w:cs="Palatino Linotype"/>
          <w:b/>
          <w:bCs/>
          <w:color w:val="000000" w:themeColor="text1"/>
        </w:rPr>
      </w:pPr>
    </w:p>
    <w:p w:rsidR="00A76F4A" w:rsidP="3F29867F" w:rsidRDefault="00A76F4A" w14:paraId="3C72C355" w14:textId="30772475">
      <w:pPr>
        <w:keepNext/>
        <w:spacing w:after="0" w:line="240" w:lineRule="auto"/>
        <w:rPr>
          <w:rFonts w:ascii="Palatino Linotype" w:hAnsi="Palatino Linotype" w:eastAsia="Palatino Linotype" w:cs="Times New Roman"/>
        </w:rPr>
      </w:pPr>
    </w:p>
    <w:p w:rsidR="00A76F4A" w:rsidP="3F29867F" w:rsidRDefault="00A76F4A" w14:paraId="2BC0C570" w14:textId="370C0630">
      <w:pPr>
        <w:keepNext/>
        <w:spacing w:after="0" w:line="240" w:lineRule="auto"/>
        <w:rPr>
          <w:rFonts w:ascii="Palatino Linotype" w:hAnsi="Palatino Linotype" w:eastAsia="Palatino Linotype" w:cs="Times New Roman"/>
        </w:rPr>
      </w:pPr>
    </w:p>
    <w:p w:rsidR="00A76F4A" w:rsidP="3F29867F" w:rsidRDefault="00A76F4A" w14:paraId="6E80906C" w14:textId="31DC6879">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6955FA96" w14:textId="0B860A52">
      <w:pPr>
        <w:keepNext/>
        <w:spacing w:after="0" w:line="240"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7D4174D5" w:rsidRDefault="61DF6D9F" w14:paraId="14988B29" w14:textId="690B9E3F">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 xml:space="preserve">APPENDIX </w:t>
      </w:r>
      <w:r w:rsidR="004C4BEB">
        <w:rPr>
          <w:rFonts w:ascii="Palatino Linotype" w:hAnsi="Palatino Linotype" w:eastAsia="Palatino Linotype" w:cs="Times New Roman"/>
          <w:b/>
          <w:color w:val="000000" w:themeColor="text1"/>
        </w:rPr>
        <w:t>D</w:t>
      </w:r>
      <w:r w:rsidRPr="3F29867F">
        <w:rPr>
          <w:rFonts w:ascii="Palatino Linotype" w:hAnsi="Palatino Linotype" w:eastAsia="Palatino Linotype" w:cs="Times New Roman"/>
          <w:b/>
          <w:color w:val="000000" w:themeColor="text1"/>
        </w:rPr>
        <w:t>: RD&amp;D Program Areas from EPIC</w:t>
      </w:r>
    </w:p>
    <w:p w:rsidRPr="004049D0" w:rsidR="00A76F4A" w:rsidP="3F29867F" w:rsidRDefault="0F7E04EF" w14:paraId="7DFD5E0D" w14:textId="0162FF97">
      <w:pPr>
        <w:keepNext/>
        <w:spacing w:before="240" w:after="0" w:line="240" w:lineRule="auto"/>
        <w:rPr>
          <w:rFonts w:ascii="Palatino Linotype" w:hAnsi="Palatino Linotype" w:eastAsia="Palatino Linotype" w:cs="Times New Roman"/>
          <w:color w:val="000000" w:themeColor="text1"/>
          <w:u w:val="single"/>
          <w:vertAlign w:val="superscript"/>
        </w:rPr>
      </w:pPr>
      <w:r w:rsidRPr="004049D0">
        <w:rPr>
          <w:rFonts w:ascii="Palatino Linotype" w:hAnsi="Palatino Linotype" w:eastAsia="Palatino Linotype" w:cs="Times New Roman"/>
          <w:color w:val="000000" w:themeColor="text1"/>
        </w:rPr>
        <w:t>The Commission identified the following program areas across the product development cycle for EPIC:</w:t>
      </w:r>
    </w:p>
    <w:p w:rsidR="00A76F4A" w:rsidP="7D4174D5" w:rsidRDefault="00A76F4A" w14:paraId="3A91999F" w14:textId="2672BE0A">
      <w:pPr>
        <w:keepNext/>
        <w:spacing w:after="0" w:line="240" w:lineRule="auto"/>
        <w:rPr>
          <w:rFonts w:ascii="Palatino Linotype" w:hAnsi="Palatino Linotype" w:eastAsia="Palatino Linotype" w:cs="Times New Roman"/>
          <w:b/>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05"/>
        <w:gridCol w:w="6745"/>
      </w:tblGrid>
      <w:tr w:rsidR="7D4174D5" w:rsidTr="00DA763C" w14:paraId="156635DC" w14:textId="77777777">
        <w:trPr>
          <w:trHeight w:val="300"/>
        </w:trPr>
        <w:tc>
          <w:tcPr>
            <w:tcW w:w="2605" w:type="dxa"/>
            <w:tcMar>
              <w:left w:w="108" w:type="dxa"/>
              <w:right w:w="108" w:type="dxa"/>
            </w:tcMar>
          </w:tcPr>
          <w:p w:rsidRPr="00DA763C" w:rsidR="7D4174D5" w:rsidP="7D4174D5" w:rsidRDefault="7D4174D5" w14:paraId="128FC497" w14:textId="7AECFA01">
            <w:pPr>
              <w:rPr>
                <w:sz w:val="20"/>
                <w:szCs w:val="20"/>
              </w:rPr>
            </w:pPr>
            <w:r w:rsidRPr="00DA763C">
              <w:rPr>
                <w:rFonts w:ascii="Palatino Linotype" w:hAnsi="Palatino Linotype" w:eastAsia="Palatino Linotype" w:cs="Palatino Linotype"/>
                <w:b/>
                <w:color w:val="000000" w:themeColor="text1"/>
                <w:sz w:val="20"/>
                <w:szCs w:val="20"/>
              </w:rPr>
              <w:t>Program Area</w:t>
            </w:r>
          </w:p>
        </w:tc>
        <w:tc>
          <w:tcPr>
            <w:tcW w:w="6745" w:type="dxa"/>
            <w:tcMar>
              <w:left w:w="108" w:type="dxa"/>
              <w:right w:w="108" w:type="dxa"/>
            </w:tcMar>
          </w:tcPr>
          <w:p w:rsidRPr="00DA763C" w:rsidR="7D4174D5" w:rsidP="7D4174D5" w:rsidRDefault="7D4174D5" w14:paraId="6970D995" w14:textId="52E958D8">
            <w:pPr>
              <w:rPr>
                <w:sz w:val="20"/>
                <w:szCs w:val="20"/>
              </w:rPr>
            </w:pPr>
            <w:r w:rsidRPr="00DA763C">
              <w:rPr>
                <w:rFonts w:ascii="Palatino Linotype" w:hAnsi="Palatino Linotype" w:eastAsia="Palatino Linotype" w:cs="Palatino Linotype"/>
                <w:b/>
                <w:color w:val="000000" w:themeColor="text1"/>
                <w:sz w:val="20"/>
                <w:szCs w:val="20"/>
              </w:rPr>
              <w:t>Description</w:t>
            </w:r>
          </w:p>
        </w:tc>
      </w:tr>
      <w:tr w:rsidR="7D4174D5" w:rsidTr="00DA763C" w14:paraId="7090D35E" w14:textId="77777777">
        <w:trPr>
          <w:trHeight w:val="300"/>
        </w:trPr>
        <w:tc>
          <w:tcPr>
            <w:tcW w:w="2605" w:type="dxa"/>
            <w:tcMar>
              <w:left w:w="108" w:type="dxa"/>
              <w:right w:w="108" w:type="dxa"/>
            </w:tcMar>
          </w:tcPr>
          <w:p w:rsidRPr="00DA763C" w:rsidR="7D4174D5" w:rsidP="7D4174D5" w:rsidRDefault="7D4174D5" w14:paraId="5180F63B" w14:textId="022248E3">
            <w:pPr>
              <w:rPr>
                <w:sz w:val="20"/>
                <w:szCs w:val="20"/>
              </w:rPr>
            </w:pPr>
            <w:r w:rsidRPr="00DA763C">
              <w:rPr>
                <w:rFonts w:ascii="Palatino Linotype" w:hAnsi="Palatino Linotype" w:eastAsia="Palatino Linotype" w:cs="Palatino Linotype"/>
                <w:color w:val="000000" w:themeColor="text1"/>
                <w:sz w:val="20"/>
                <w:szCs w:val="20"/>
              </w:rPr>
              <w:t>Applied Research and Development (R&amp;D)</w:t>
            </w:r>
          </w:p>
        </w:tc>
        <w:tc>
          <w:tcPr>
            <w:tcW w:w="6745" w:type="dxa"/>
            <w:tcMar>
              <w:left w:w="108" w:type="dxa"/>
              <w:right w:w="108" w:type="dxa"/>
            </w:tcMar>
          </w:tcPr>
          <w:p w:rsidRPr="00DA763C" w:rsidR="7D4174D5" w:rsidP="7D4174D5" w:rsidRDefault="7D4174D5" w14:paraId="7EC870CB" w14:textId="676C39FA">
            <w:pPr>
              <w:rPr>
                <w:sz w:val="20"/>
                <w:szCs w:val="20"/>
              </w:rPr>
            </w:pPr>
            <w:r w:rsidRPr="00DA763C">
              <w:rPr>
                <w:rFonts w:ascii="Palatino Linotype" w:hAnsi="Palatino Linotype" w:eastAsia="Palatino Linotype" w:cs="Palatino Linotype"/>
                <w:color w:val="000000" w:themeColor="text1"/>
                <w:sz w:val="20"/>
                <w:szCs w:val="20"/>
              </w:rPr>
              <w:t>Applied science and technology designed to solve specific problems in the gas sector that provide public benefits but for which there is no current clear business case for deployment of private capital and gas benefits for pre-commercial activities and technologies.</w:t>
            </w:r>
          </w:p>
        </w:tc>
      </w:tr>
      <w:tr w:rsidR="7D4174D5" w:rsidTr="00DA763C" w14:paraId="4E5F5BD7" w14:textId="77777777">
        <w:trPr>
          <w:trHeight w:val="300"/>
        </w:trPr>
        <w:tc>
          <w:tcPr>
            <w:tcW w:w="2605" w:type="dxa"/>
            <w:tcMar>
              <w:left w:w="108" w:type="dxa"/>
              <w:right w:w="108" w:type="dxa"/>
            </w:tcMar>
          </w:tcPr>
          <w:p w:rsidRPr="00DA763C" w:rsidR="7D4174D5" w:rsidP="7D4174D5" w:rsidRDefault="7D4174D5" w14:paraId="05ECA4F1" w14:textId="325B06E9">
            <w:pPr>
              <w:rPr>
                <w:sz w:val="20"/>
                <w:szCs w:val="20"/>
              </w:rPr>
            </w:pPr>
            <w:r w:rsidRPr="00DA763C">
              <w:rPr>
                <w:rFonts w:ascii="Palatino Linotype" w:hAnsi="Palatino Linotype" w:eastAsia="Palatino Linotype" w:cs="Palatino Linotype"/>
                <w:color w:val="000000" w:themeColor="text1"/>
                <w:sz w:val="20"/>
                <w:szCs w:val="20"/>
              </w:rPr>
              <w:t>Technology Demonstration and Deployment (TD&amp;D)</w:t>
            </w:r>
          </w:p>
        </w:tc>
        <w:tc>
          <w:tcPr>
            <w:tcW w:w="6745" w:type="dxa"/>
            <w:tcMar>
              <w:left w:w="108" w:type="dxa"/>
              <w:right w:w="108" w:type="dxa"/>
            </w:tcMar>
          </w:tcPr>
          <w:p w:rsidRPr="00DA763C" w:rsidR="7D4174D5" w:rsidP="7D4174D5" w:rsidRDefault="7D4174D5" w14:paraId="0CCF39E3" w14:textId="1E04E141">
            <w:pPr>
              <w:rPr>
                <w:sz w:val="20"/>
                <w:szCs w:val="20"/>
              </w:rPr>
            </w:pPr>
            <w:r w:rsidRPr="00DA763C">
              <w:rPr>
                <w:rFonts w:ascii="Palatino Linotype" w:hAnsi="Palatino Linotype" w:eastAsia="Palatino Linotype" w:cs="Palatino Linotype"/>
                <w:color w:val="000000" w:themeColor="text1"/>
                <w:sz w:val="20"/>
                <w:szCs w:val="20"/>
              </w:rPr>
              <w:t>The installation and operation of pre-commercial technologies at a scale sufficiently large and in conditions sufficiently reflective of anticipated actual operating environments, to enable the financial community to effectively appraise the operational and performance characteristics of a given technology and the financial risks it presents; supports assisting technology development through the “valley of death” and toward commercialization.</w:t>
            </w:r>
          </w:p>
        </w:tc>
      </w:tr>
      <w:tr w:rsidR="7D4174D5" w:rsidTr="00DA763C" w14:paraId="4F5D932D" w14:textId="77777777">
        <w:trPr>
          <w:trHeight w:val="300"/>
        </w:trPr>
        <w:tc>
          <w:tcPr>
            <w:tcW w:w="2605" w:type="dxa"/>
            <w:tcMar>
              <w:left w:w="108" w:type="dxa"/>
              <w:right w:w="108" w:type="dxa"/>
            </w:tcMar>
          </w:tcPr>
          <w:p w:rsidRPr="00DA763C" w:rsidR="7D4174D5" w:rsidP="7D4174D5" w:rsidRDefault="7D4174D5" w14:paraId="7FB82EAB" w14:textId="27C454C5">
            <w:pPr>
              <w:rPr>
                <w:sz w:val="20"/>
                <w:szCs w:val="20"/>
              </w:rPr>
            </w:pPr>
            <w:r w:rsidRPr="00DA763C">
              <w:rPr>
                <w:rFonts w:ascii="Palatino Linotype" w:hAnsi="Palatino Linotype" w:eastAsia="Palatino Linotype" w:cs="Palatino Linotype"/>
                <w:color w:val="000000" w:themeColor="text1"/>
                <w:sz w:val="20"/>
                <w:szCs w:val="20"/>
              </w:rPr>
              <w:t>Market Facilitation</w:t>
            </w:r>
          </w:p>
        </w:tc>
        <w:tc>
          <w:tcPr>
            <w:tcW w:w="6745" w:type="dxa"/>
            <w:tcMar>
              <w:left w:w="108" w:type="dxa"/>
              <w:right w:w="108" w:type="dxa"/>
            </w:tcMar>
          </w:tcPr>
          <w:p w:rsidRPr="00DA763C" w:rsidR="7D4174D5" w:rsidP="7D4174D5" w:rsidRDefault="7D4174D5" w14:paraId="4EA9901B" w14:textId="2C535597">
            <w:pPr>
              <w:rPr>
                <w:sz w:val="20"/>
                <w:szCs w:val="20"/>
              </w:rPr>
            </w:pPr>
            <w:r w:rsidRPr="00DA763C">
              <w:rPr>
                <w:rFonts w:ascii="Palatino Linotype" w:hAnsi="Palatino Linotype" w:eastAsia="Palatino Linotype" w:cs="Palatino Linotype"/>
                <w:color w:val="000000" w:themeColor="text1"/>
                <w:sz w:val="20"/>
                <w:szCs w:val="20"/>
              </w:rPr>
              <w:t>Activities to address non-price barriers to adoption of clean technologies, such as regulatory barriers and lack of information, as well as supporting market research and tracking of results; activities including program tracking, market research, education and outreach, regulatory assistance and streamlining, and workforce development to support clean energy technology and strategy deployment.</w:t>
            </w:r>
          </w:p>
        </w:tc>
      </w:tr>
    </w:tbl>
    <w:p w:rsidR="00A76F4A" w:rsidP="7D4174D5" w:rsidRDefault="00A76F4A" w14:paraId="1EB37320" w14:textId="204FAA2A">
      <w:pPr>
        <w:keepNext/>
        <w:spacing w:after="0" w:line="240" w:lineRule="auto"/>
        <w:rPr>
          <w:rFonts w:ascii="Palatino Linotype" w:hAnsi="Palatino Linotype" w:eastAsia="Palatino Linotype" w:cs="Times New Roman"/>
        </w:rPr>
      </w:pPr>
    </w:p>
    <w:p w:rsidR="00FA09E4" w:rsidP="004C4BEB" w:rsidRDefault="00FA09E4" w14:paraId="33640A6C" w14:textId="77777777">
      <w:pPr>
        <w:sectPr w:rsidR="00FA09E4" w:rsidSect="00446B17">
          <w:pgSz w:w="12240" w:h="15840"/>
          <w:pgMar w:top="1440" w:right="1440" w:bottom="1440" w:left="1440" w:header="720" w:footer="720" w:gutter="0"/>
          <w:cols w:space="720"/>
          <w:titlePg/>
          <w:docGrid w:linePitch="360"/>
        </w:sectPr>
      </w:pPr>
    </w:p>
    <w:p w:rsidRPr="00AA4E99" w:rsidR="00FA09E4" w:rsidP="00FA09E4" w:rsidRDefault="00FA09E4" w14:paraId="1FF08DEE" w14:textId="77777777">
      <w:pPr>
        <w:spacing w:after="0" w:line="240" w:lineRule="auto"/>
        <w:rPr>
          <w:rFonts w:ascii="Palatino Linotype" w:hAnsi="Palatino Linotype"/>
          <w:b/>
          <w:bCs/>
          <w:color w:val="000000" w:themeColor="text1"/>
        </w:rPr>
      </w:pPr>
      <w:r w:rsidRPr="00027DE1">
        <w:rPr>
          <w:rFonts w:ascii="Palatino Linotype" w:hAnsi="Palatino Linotype"/>
          <w:b/>
          <w:color w:val="000000" w:themeColor="text1"/>
        </w:rPr>
        <w:lastRenderedPageBreak/>
        <w:t>APPENDIX E: Compliance Assessment of PG&amp;E’s 2024 Plan Submitted via Advice Letter 5196-G</w:t>
      </w:r>
      <w:r w:rsidRPr="00AA4E99">
        <w:rPr>
          <w:rFonts w:ascii="Palatino Linotype" w:hAnsi="Palatino Linotype"/>
          <w:b/>
          <w:bCs/>
          <w:color w:val="000000" w:themeColor="text1"/>
        </w:rPr>
        <w:t xml:space="preserve"> </w:t>
      </w:r>
    </w:p>
    <w:p w:rsidRPr="00AA4E99" w:rsidR="00FA09E4" w:rsidP="00FA09E4" w:rsidRDefault="00FA09E4" w14:paraId="6A819BE1" w14:textId="77777777">
      <w:pPr>
        <w:spacing w:line="240" w:lineRule="auto"/>
        <w:rPr>
          <w:rFonts w:ascii="Palatino Linotype" w:hAnsi="Palatino Linotype"/>
          <w:i/>
          <w:iCs/>
          <w:color w:val="000000" w:themeColor="text1"/>
          <w:sz w:val="20"/>
          <w:szCs w:val="20"/>
        </w:rPr>
      </w:pPr>
      <w:r w:rsidRPr="00AA4E99">
        <w:rPr>
          <w:rFonts w:ascii="Palatino Linotype" w:hAnsi="Palatino Linotype"/>
          <w:i/>
          <w:iCs/>
          <w:color w:val="000000" w:themeColor="text1"/>
          <w:sz w:val="20"/>
          <w:szCs w:val="20"/>
        </w:rPr>
        <w:t xml:space="preserve">Pursuant to </w:t>
      </w:r>
      <w:hyperlink w:history="1" r:id="rId15">
        <w:r w:rsidRPr="004E7DE6">
          <w:rPr>
            <w:rStyle w:val="Hyperlink"/>
            <w:rFonts w:ascii="Palatino Linotype" w:hAnsi="Palatino Linotype"/>
            <w:i/>
            <w:iCs/>
            <w:sz w:val="20"/>
            <w:szCs w:val="20"/>
          </w:rPr>
          <w:t>Resolution G-3618</w:t>
        </w:r>
      </w:hyperlink>
      <w:r w:rsidRPr="00AA4E99">
        <w:rPr>
          <w:rFonts w:ascii="Palatino Linotype" w:hAnsi="Palatino Linotype"/>
          <w:i/>
          <w:iCs/>
          <w:color w:val="000000" w:themeColor="text1"/>
          <w:sz w:val="20"/>
          <w:szCs w:val="20"/>
        </w:rPr>
        <w:t xml:space="preserve"> at OP 3, PG&amp;E resubmitted its proposed 2024 Gas RD&amp;D Plan on April 3, 2026, for further Commission consideration, including Attachment C: Describing Modifications Detailed in Appendix F, </w:t>
      </w:r>
      <w:hyperlink w:history="1" r:id="rId16">
        <w:r w:rsidRPr="004E7DE6">
          <w:rPr>
            <w:rStyle w:val="Hyperlink"/>
            <w:rFonts w:ascii="Palatino Linotype" w:hAnsi="Palatino Linotype"/>
            <w:i/>
            <w:iCs/>
            <w:sz w:val="20"/>
            <w:szCs w:val="20"/>
          </w:rPr>
          <w:t>Resolution G-3618</w:t>
        </w:r>
      </w:hyperlink>
      <w:r w:rsidRPr="00AA4E99">
        <w:rPr>
          <w:rFonts w:ascii="Palatino Linotype" w:hAnsi="Palatino Linotype"/>
          <w:i/>
          <w:iCs/>
          <w:color w:val="000000" w:themeColor="text1"/>
          <w:sz w:val="20"/>
          <w:szCs w:val="20"/>
        </w:rPr>
        <w:t>.</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4770"/>
        <w:gridCol w:w="4140"/>
      </w:tblGrid>
      <w:tr w:rsidR="00801EA4" w:rsidTr="00917561" w14:paraId="32B9C64A" w14:textId="77777777">
        <w:trPr>
          <w:trHeight w:val="394"/>
          <w:tblHeader/>
        </w:trPr>
        <w:tc>
          <w:tcPr>
            <w:tcW w:w="3865" w:type="dxa"/>
            <w:vAlign w:val="center"/>
          </w:tcPr>
          <w:p w:rsidRPr="00841E84" w:rsidR="00801EA4" w:rsidRDefault="00801EA4" w14:paraId="1B8AB157"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4770" w:type="dxa"/>
            <w:vAlign w:val="center"/>
          </w:tcPr>
          <w:p w:rsidRPr="00FB1ACE" w:rsidR="00801EA4" w:rsidRDefault="00801EA4" w14:paraId="32C21519" w14:textId="77777777">
            <w:pPr>
              <w:rPr>
                <w:rFonts w:ascii="Palatino Linotype" w:hAnsi="Palatino Linotype"/>
                <w:b/>
                <w:bCs w:val="0"/>
                <w:sz w:val="20"/>
                <w:szCs w:val="20"/>
              </w:rPr>
            </w:pPr>
            <w:r>
              <w:rPr>
                <w:rFonts w:ascii="Palatino Linotype" w:hAnsi="Palatino Linotype"/>
                <w:b/>
                <w:bCs w:val="0"/>
                <w:sz w:val="20"/>
                <w:szCs w:val="20"/>
              </w:rPr>
              <w:t xml:space="preserve">PG&amp;E Response in </w:t>
            </w:r>
            <w:r w:rsidRPr="00FB1ACE">
              <w:rPr>
                <w:rFonts w:ascii="Palatino Linotype" w:hAnsi="Palatino Linotype"/>
                <w:b/>
                <w:bCs w:val="0"/>
                <w:sz w:val="20"/>
                <w:szCs w:val="20"/>
              </w:rPr>
              <w:t xml:space="preserve">AL </w:t>
            </w:r>
            <w:r w:rsidRPr="003816F2">
              <w:rPr>
                <w:rFonts w:ascii="Palatino Linotype" w:hAnsi="Palatino Linotype"/>
                <w:b/>
                <w:bCs w:val="0"/>
                <w:color w:val="000000" w:themeColor="text1"/>
                <w:sz w:val="20"/>
                <w:szCs w:val="20"/>
              </w:rPr>
              <w:t>5196-G</w:t>
            </w:r>
          </w:p>
        </w:tc>
        <w:tc>
          <w:tcPr>
            <w:tcW w:w="4140" w:type="dxa"/>
            <w:vAlign w:val="center"/>
          </w:tcPr>
          <w:p w:rsidRPr="00FB1ACE" w:rsidR="00801EA4" w:rsidRDefault="00801EA4" w14:paraId="5AB0264A" w14:textId="77777777">
            <w:pPr>
              <w:rPr>
                <w:rFonts w:ascii="Palatino Linotype" w:hAnsi="Palatino Linotype"/>
                <w:b/>
                <w:bCs w:val="0"/>
                <w:color w:val="EE0000"/>
                <w:sz w:val="20"/>
                <w:szCs w:val="20"/>
              </w:rPr>
            </w:pPr>
            <w:r w:rsidRPr="00496A95">
              <w:rPr>
                <w:rFonts w:ascii="Palatino Linotype" w:hAnsi="Palatino Linotype"/>
                <w:b/>
                <w:bCs w:val="0"/>
                <w:sz w:val="20"/>
                <w:szCs w:val="20"/>
              </w:rPr>
              <w:t>Compliance Assessment</w:t>
            </w:r>
          </w:p>
        </w:tc>
      </w:tr>
      <w:tr w:rsidR="00801EA4" w:rsidTr="00917561" w14:paraId="52C5494D" w14:textId="77777777">
        <w:tc>
          <w:tcPr>
            <w:tcW w:w="3865" w:type="dxa"/>
          </w:tcPr>
          <w:p w:rsidRPr="00877841" w:rsidR="00801EA4" w:rsidRDefault="00801EA4" w14:paraId="1BF8E3D2" w14:textId="77777777">
            <w:pPr>
              <w:rPr>
                <w:rFonts w:ascii="Palatino Linotype" w:hAnsi="Palatino Linotype"/>
                <w:sz w:val="20"/>
                <w:szCs w:val="20"/>
              </w:rPr>
            </w:pPr>
            <w:hyperlink w:history="1" r:id="rId17">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p. 217-218.</w:t>
            </w:r>
            <w:r>
              <w:t xml:space="preserve"> </w:t>
            </w:r>
            <w:r w:rsidRPr="004153BC">
              <w:rPr>
                <w:rFonts w:ascii="Palatino Linotype" w:hAnsi="Palatino Linotype"/>
                <w:i/>
                <w:iCs/>
                <w:sz w:val="20"/>
                <w:szCs w:val="20"/>
              </w:rPr>
              <w:t xml:space="preserve">PG&amp;E shall not record any Gas [RD&amp;D] </w:t>
            </w:r>
            <w:r w:rsidRPr="00877841">
              <w:rPr>
                <w:rFonts w:ascii="Palatino Linotype" w:hAnsi="Palatino Linotype"/>
                <w:i/>
                <w:iCs/>
                <w:sz w:val="20"/>
                <w:szCs w:val="20"/>
              </w:rPr>
              <w:t xml:space="preserve">program expenses in a one-way balancing account until an annual Tier 3 Advice </w:t>
            </w:r>
            <w:r w:rsidRPr="00877841">
              <w:rPr>
                <w:rFonts w:ascii="Palatino Linotype" w:hAnsi="Palatino Linotype"/>
                <w:i/>
                <w:iCs/>
                <w:color w:val="000000" w:themeColor="text1"/>
                <w:sz w:val="20"/>
                <w:szCs w:val="20"/>
              </w:rPr>
              <w:t xml:space="preserve">Letter [AL] </w:t>
            </w:r>
            <w:r w:rsidRPr="00877841">
              <w:rPr>
                <w:rFonts w:ascii="Palatino Linotype" w:hAnsi="Palatino Linotype"/>
                <w:i/>
                <w:iCs/>
                <w:sz w:val="20"/>
                <w:szCs w:val="20"/>
              </w:rPr>
              <w:t>outlining its Gas RD&amp;D budget plan is approved.</w:t>
            </w:r>
            <w:r w:rsidRPr="00877841">
              <w:rPr>
                <w:rStyle w:val="FootnoteReference"/>
                <w:rFonts w:ascii="Palatino Linotype" w:hAnsi="Palatino Linotype"/>
              </w:rPr>
              <w:footnoteReference w:id="137"/>
            </w:r>
            <w:r w:rsidRPr="00877841">
              <w:rPr>
                <w:rFonts w:ascii="Palatino Linotype" w:hAnsi="Palatino Linotype"/>
                <w:sz w:val="20"/>
                <w:szCs w:val="20"/>
              </w:rPr>
              <w:t xml:space="preserve"> </w:t>
            </w:r>
          </w:p>
          <w:p w:rsidRPr="00877841" w:rsidR="00801EA4" w:rsidRDefault="00801EA4" w14:paraId="3648A816" w14:textId="77777777">
            <w:pPr>
              <w:rPr>
                <w:rFonts w:ascii="Palatino Linotype" w:hAnsi="Palatino Linotype"/>
                <w:sz w:val="20"/>
                <w:szCs w:val="20"/>
              </w:rPr>
            </w:pPr>
          </w:p>
          <w:p w:rsidRPr="0075283D" w:rsidR="00801EA4" w:rsidRDefault="00801EA4" w14:paraId="1C6521B2" w14:textId="77777777">
            <w:pPr>
              <w:rPr>
                <w:rFonts w:ascii="Palatino Linotype" w:hAnsi="Palatino Linotype" w:eastAsia="Palatino Linotype" w:cs="Times New Roman"/>
                <w:color w:val="000000" w:themeColor="text1"/>
                <w:sz w:val="20"/>
                <w:szCs w:val="20"/>
              </w:rPr>
            </w:pPr>
            <w:r w:rsidRPr="00877841">
              <w:rPr>
                <w:rFonts w:ascii="Palatino Linotype" w:hAnsi="Palatino Linotype" w:eastAsia="Palatino Linotype" w:cs="Times New Roman"/>
                <w:color w:val="000000" w:themeColor="text1"/>
                <w:sz w:val="20"/>
                <w:szCs w:val="20"/>
              </w:rPr>
              <w:t>D.23-11-069 approved a Test Year 2023 Gas RD&amp;D budget of $7.414</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and escalation factor authorizing a</w:t>
            </w:r>
            <w:r>
              <w:rPr>
                <w:rFonts w:ascii="Palatino Linotype" w:hAnsi="Palatino Linotype" w:eastAsia="Palatino Linotype" w:cs="Times New Roman"/>
                <w:color w:val="000000" w:themeColor="text1"/>
                <w:sz w:val="20"/>
                <w:szCs w:val="20"/>
              </w:rPr>
              <w:t>n</w:t>
            </w:r>
            <w:r w:rsidRPr="00877841">
              <w:rPr>
                <w:rFonts w:ascii="Palatino Linotype" w:hAnsi="Palatino Linotype" w:eastAsia="Palatino Linotype" w:cs="Times New Roman"/>
                <w:color w:val="000000" w:themeColor="text1"/>
                <w:sz w:val="20"/>
                <w:szCs w:val="20"/>
              </w:rPr>
              <w:t xml:space="preserve"> $8.09</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annual budget</w:t>
            </w:r>
            <w:r w:rsidRPr="00841E84">
              <w:rPr>
                <w:rFonts w:ascii="Palatino Linotype" w:hAnsi="Palatino Linotype" w:eastAsia="Palatino Linotype" w:cs="Times New Roman"/>
                <w:color w:val="000000" w:themeColor="text1"/>
                <w:sz w:val="20"/>
                <w:szCs w:val="20"/>
              </w:rPr>
              <w:t xml:space="preserve"> cap </w:t>
            </w:r>
            <w:r w:rsidRPr="00877841">
              <w:rPr>
                <w:rFonts w:ascii="Palatino Linotype" w:hAnsi="Palatino Linotype" w:eastAsia="Palatino Linotype" w:cs="Times New Roman"/>
                <w:color w:val="000000" w:themeColor="text1"/>
                <w:sz w:val="20"/>
                <w:szCs w:val="20"/>
              </w:rPr>
              <w:t>for PG&amp;E’s 2024 Plan, pending Commission approval.</w:t>
            </w:r>
            <w:r w:rsidRPr="00877841">
              <w:rPr>
                <w:rStyle w:val="FootnoteReference"/>
                <w:rFonts w:ascii="Palatino Linotype" w:hAnsi="Palatino Linotype" w:eastAsia="Palatino Linotype" w:cs="Times New Roman"/>
                <w:color w:val="000000" w:themeColor="text1"/>
                <w:sz w:val="20"/>
                <w:szCs w:val="20"/>
              </w:rPr>
              <w:footnoteReference w:id="138"/>
            </w:r>
            <w:r w:rsidRPr="00EA0A28">
              <w:rPr>
                <w:rFonts w:ascii="Palatino Linotype" w:hAnsi="Palatino Linotype" w:eastAsia="Palatino Linotype" w:cs="Times New Roman"/>
                <w:color w:val="000000" w:themeColor="text1"/>
                <w:sz w:val="20"/>
                <w:szCs w:val="20"/>
              </w:rPr>
              <w:t xml:space="preserve"> </w:t>
            </w:r>
          </w:p>
        </w:tc>
        <w:tc>
          <w:tcPr>
            <w:tcW w:w="4770" w:type="dxa"/>
          </w:tcPr>
          <w:p w:rsidRPr="003816F2" w:rsidR="00801EA4" w:rsidRDefault="00801EA4" w14:paraId="6ECA6B00"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PG&amp;E first submitted a Tier 3 Advice Letter (AL) with its originally proposed 2024 Gas RD&amp;D Plan on July 1st, 2024. PG&amp;E later withdrew this AL on May 12th, 2025, after consultation with CPUC staff. PG&amp;E resubmitted its 2024 Plan (AL 5077-G) on June 25th, 2025, and a supplement to this Plan (AL 5077-G-A) on August 18th, 2025. CPUC denied AL 5077-G-A via Resolution G-3618, issued January 15, 2026. PG&amp;E resubmitted its 2024 Plan (AL 5196-G) on April 3, 2026, requesting a $1,945,797 budget.</w:t>
            </w:r>
            <w:r w:rsidRPr="003816F2">
              <w:rPr>
                <w:rStyle w:val="FootnoteReference"/>
                <w:rFonts w:ascii="Palatino Linotype" w:hAnsi="Palatino Linotype" w:eastAsia="Palatino Linotype" w:cs="Times New Roman"/>
                <w:color w:val="000000" w:themeColor="text1"/>
                <w:sz w:val="20"/>
                <w:szCs w:val="20"/>
              </w:rPr>
              <w:footnoteReference w:id="139"/>
            </w:r>
          </w:p>
          <w:p w:rsidRPr="003816F2" w:rsidR="00801EA4" w:rsidRDefault="00801EA4" w14:paraId="6677C7D3" w14:textId="77777777">
            <w:pPr>
              <w:rPr>
                <w:rFonts w:ascii="Palatino Linotype" w:hAnsi="Palatino Linotype" w:eastAsia="Palatino Linotype" w:cs="Times New Roman"/>
                <w:color w:val="000000" w:themeColor="text1"/>
                <w:sz w:val="20"/>
                <w:szCs w:val="20"/>
              </w:rPr>
            </w:pPr>
          </w:p>
          <w:p w:rsidRPr="003816F2" w:rsidR="00801EA4" w:rsidRDefault="00801EA4" w14:paraId="1C39C7FD"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PG&amp;E states that this Plan does “do not imply implementation, deployment, or capital</w:t>
            </w:r>
          </w:p>
          <w:p w:rsidRPr="003816F2" w:rsidR="00801EA4" w:rsidRDefault="00801EA4" w14:paraId="6FBA02AF"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investment absent separate Commission authorization.”</w:t>
            </w:r>
            <w:r w:rsidRPr="003816F2">
              <w:rPr>
                <w:rStyle w:val="FootnoteReference"/>
                <w:rFonts w:ascii="Palatino Linotype" w:hAnsi="Palatino Linotype" w:eastAsia="Palatino Linotype" w:cs="Times New Roman"/>
                <w:color w:val="000000" w:themeColor="text1"/>
                <w:sz w:val="20"/>
                <w:szCs w:val="20"/>
              </w:rPr>
              <w:footnoteReference w:id="140"/>
            </w:r>
            <w:r w:rsidRPr="003816F2">
              <w:rPr>
                <w:rFonts w:ascii="Palatino Linotype" w:hAnsi="Palatino Linotype" w:eastAsia="Palatino Linotype" w:cs="Times New Roman"/>
                <w:color w:val="000000" w:themeColor="text1"/>
                <w:sz w:val="20"/>
                <w:szCs w:val="20"/>
              </w:rPr>
              <w:t xml:space="preserve"> However, in its 2025 Annual Report, PG&amp;E states: “Total Gas RD&amp;D spending reported for RY2025 ($4,645,704) reflects actual expenditures incurred during the reporting year, including $3,508,949 in administrative costs </w:t>
            </w:r>
            <w:r w:rsidRPr="003816F2">
              <w:rPr>
                <w:rFonts w:ascii="Palatino Linotype" w:hAnsi="Palatino Linotype" w:eastAsia="Palatino Linotype" w:cs="Times New Roman"/>
                <w:color w:val="000000" w:themeColor="text1"/>
                <w:sz w:val="20"/>
                <w:szCs w:val="20"/>
              </w:rPr>
              <w:lastRenderedPageBreak/>
              <w:t>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amount adopted in D.23</w:t>
            </w:r>
            <w:r w:rsidRPr="003816F2">
              <w:rPr>
                <w:rFonts w:ascii="Palatino Linotype" w:hAnsi="Palatino Linotype" w:eastAsia="Palatino Linotype" w:cs="Times New Roman"/>
                <w:color w:val="000000" w:themeColor="text1"/>
                <w:sz w:val="20"/>
                <w:szCs w:val="20"/>
              </w:rPr>
              <w:noBreakHyphen/>
              <w:t>11</w:t>
            </w:r>
            <w:r w:rsidRPr="003816F2">
              <w:rPr>
                <w:rFonts w:ascii="Palatino Linotype" w:hAnsi="Palatino Linotype" w:eastAsia="Palatino Linotype" w:cs="Times New Roman"/>
                <w:color w:val="000000" w:themeColor="text1"/>
                <w:sz w:val="20"/>
                <w:szCs w:val="20"/>
              </w:rPr>
              <w:noBreakHyphen/>
              <w:t>069. If the 2024 Gas RD&amp;D Plan is approved as proposed, rate payer would be funding $1,945,797 of the $3,508,949 of the 2025 Spending.”</w:t>
            </w:r>
            <w:r w:rsidRPr="003816F2">
              <w:rPr>
                <w:rStyle w:val="FootnoteReference"/>
                <w:rFonts w:ascii="Palatino Linotype" w:hAnsi="Palatino Linotype" w:eastAsia="Palatino Linotype" w:cs="Times New Roman"/>
                <w:color w:val="000000" w:themeColor="text1"/>
                <w:sz w:val="20"/>
                <w:szCs w:val="20"/>
              </w:rPr>
              <w:footnoteReference w:id="141"/>
            </w:r>
            <w:r w:rsidRPr="003816F2">
              <w:rPr>
                <w:rFonts w:ascii="Palatino Linotype" w:hAnsi="Palatino Linotype" w:eastAsia="Palatino Linotype" w:cs="Times New Roman"/>
                <w:color w:val="000000" w:themeColor="text1"/>
                <w:sz w:val="20"/>
                <w:szCs w:val="20"/>
              </w:rPr>
              <w:t xml:space="preserve"> In PG&amp;E’s response to CPUC’s April 28, 2026, Data Request, PG&amp;E stated that “the refiled 2024 Plan (See AL 5196-G) was prepared and submitted as a prospective planning document, reflecting the funding status as of the period when the Plan would originally have been filed. As such, the Plan characterizes certain funds as ‘proposed’ or ‘unspent’ at the time of filing. By contrast, PG&amp;E’s 2025 Annual Report is, by requirement, a retrospective report that reflects actual expenditures incurred during calendar year 2025. The $1,945,797 identified as prospective (unspent) Gas RD&amp;D funds in AL 5196-G corresponds to expenditures incurred during 2025 and therefore appears in the 2025 Annual Report as $1,945,797 in actual Gas RD&amp;D expenditures spent in that year. In short, the same dollar amount is reflected in two different filings based on the purpose and timing of those filings: as a prospective amount in the refiled 2024 Plan, and as </w:t>
            </w:r>
            <w:r w:rsidRPr="003816F2">
              <w:rPr>
                <w:rFonts w:ascii="Palatino Linotype" w:hAnsi="Palatino Linotype" w:eastAsia="Palatino Linotype" w:cs="Times New Roman"/>
                <w:color w:val="000000" w:themeColor="text1"/>
                <w:sz w:val="20"/>
                <w:szCs w:val="20"/>
              </w:rPr>
              <w:lastRenderedPageBreak/>
              <w:t>an actual expenditure in the 2025 Annual Report. The difference reflects the prospective planning perspective of the 2024 Plan and the retrospective, expense-based reporting requirements applicable to the Annual Report.”</w:t>
            </w:r>
          </w:p>
        </w:tc>
        <w:tc>
          <w:tcPr>
            <w:tcW w:w="4140" w:type="dxa"/>
          </w:tcPr>
          <w:p w:rsidRPr="003A0482" w:rsidR="00801EA4" w:rsidRDefault="00801EA4" w14:paraId="4E05E23E" w14:textId="6F0611CB">
            <w:pPr>
              <w:rPr>
                <w:rFonts w:ascii="Palatino Linotype" w:hAnsi="Palatino Linotype"/>
                <w:color w:val="000000" w:themeColor="text1"/>
                <w:sz w:val="20"/>
                <w:szCs w:val="20"/>
              </w:rPr>
            </w:pPr>
            <w:r w:rsidRPr="003816F2">
              <w:rPr>
                <w:rFonts w:ascii="Palatino Linotype" w:hAnsi="Palatino Linotype"/>
                <w:color w:val="000000" w:themeColor="text1"/>
                <w:sz w:val="20"/>
                <w:szCs w:val="20"/>
              </w:rPr>
              <w:lastRenderedPageBreak/>
              <w:t>PG&amp;E is compliant with Resolution G-3618</w:t>
            </w:r>
            <w:r w:rsidRPr="003816F2">
              <w:rPr>
                <w:rStyle w:val="FootnoteReference"/>
                <w:rFonts w:ascii="Palatino Linotype" w:hAnsi="Palatino Linotype"/>
                <w:color w:val="000000" w:themeColor="text1"/>
                <w:sz w:val="20"/>
                <w:szCs w:val="20"/>
              </w:rPr>
              <w:footnoteReference w:id="142"/>
            </w:r>
            <w:r w:rsidRPr="003816F2">
              <w:rPr>
                <w:rFonts w:ascii="Palatino Linotype" w:hAnsi="Palatino Linotype"/>
                <w:color w:val="000000" w:themeColor="text1"/>
                <w:sz w:val="20"/>
                <w:szCs w:val="20"/>
              </w:rPr>
              <w:t xml:space="preserve"> in having removed its request to recover $7,207,712 in 2023 and 2024 expenses</w:t>
            </w:r>
            <w:r w:rsidRPr="003816F2">
              <w:rPr>
                <w:rStyle w:val="FootnoteReference"/>
                <w:rFonts w:ascii="Palatino Linotype" w:hAnsi="Palatino Linotype"/>
                <w:color w:val="000000" w:themeColor="text1"/>
                <w:sz w:val="20"/>
                <w:szCs w:val="20"/>
              </w:rPr>
              <w:footnoteReference w:id="143"/>
            </w:r>
            <w:r w:rsidRPr="003816F2">
              <w:rPr>
                <w:rFonts w:ascii="Palatino Linotype" w:hAnsi="Palatino Linotype"/>
                <w:color w:val="000000" w:themeColor="text1"/>
                <w:sz w:val="20"/>
                <w:szCs w:val="20"/>
              </w:rPr>
              <w:t xml:space="preserve"> from its 2024 Plan.</w:t>
            </w:r>
            <w:r w:rsidRPr="003816F2">
              <w:rPr>
                <w:rStyle w:val="FootnoteReference"/>
                <w:rFonts w:ascii="Palatino Linotype" w:hAnsi="Palatino Linotype"/>
                <w:color w:val="000000" w:themeColor="text1"/>
                <w:sz w:val="20"/>
                <w:szCs w:val="20"/>
              </w:rPr>
              <w:footnoteReference w:id="144"/>
            </w:r>
            <w:r w:rsidRPr="003816F2">
              <w:rPr>
                <w:rFonts w:ascii="Palatino Linotype" w:hAnsi="Palatino Linotype"/>
                <w:color w:val="000000" w:themeColor="text1"/>
                <w:sz w:val="20"/>
                <w:szCs w:val="20"/>
              </w:rPr>
              <w:t xml:space="preserve"> PG&amp;E’s request for approval of its 2024 Plan submitted via Tier 3 AL with an annual budget of $1.946M is within the $8.09M authorized budget. However, though PG&amp;E states its $1.946M proposed budget was prospective when the Plan would have originally been filed (May 2024), its Annual Report reflects that this amount was spent in 2025, and D.23-11-069 does not provide a mechanism for cost recovery </w:t>
            </w:r>
            <w:r w:rsidR="001E63D1">
              <w:rPr>
                <w:rFonts w:ascii="Palatino Linotype" w:hAnsi="Palatino Linotype"/>
                <w:color w:val="000000" w:themeColor="text1"/>
                <w:sz w:val="20"/>
                <w:szCs w:val="20"/>
              </w:rPr>
              <w:t xml:space="preserve">via Resolution </w:t>
            </w:r>
            <w:r w:rsidRPr="003816F2">
              <w:rPr>
                <w:rFonts w:ascii="Palatino Linotype" w:hAnsi="Palatino Linotype"/>
                <w:color w:val="000000" w:themeColor="text1"/>
                <w:sz w:val="20"/>
                <w:szCs w:val="20"/>
              </w:rPr>
              <w:t xml:space="preserve">without an </w:t>
            </w:r>
            <w:r w:rsidRPr="00027DE1">
              <w:rPr>
                <w:rFonts w:ascii="Palatino Linotype" w:hAnsi="Palatino Linotype"/>
                <w:color w:val="000000" w:themeColor="text1"/>
                <w:sz w:val="20"/>
                <w:szCs w:val="20"/>
              </w:rPr>
              <w:t xml:space="preserve">approved Gas R&amp;D Plan in advance. </w:t>
            </w:r>
            <w:r w:rsidRPr="00027DE1">
              <w:rPr>
                <w:rFonts w:ascii="Palatino Linotype" w:hAnsi="Palatino Linotype"/>
                <w:b/>
                <w:bCs w:val="0"/>
                <w:color w:val="000000" w:themeColor="text1"/>
                <w:sz w:val="20"/>
                <w:szCs w:val="20"/>
              </w:rPr>
              <w:t>PG&amp;E is</w:t>
            </w:r>
            <w:r w:rsidRPr="00027DE1">
              <w:rPr>
                <w:rFonts w:ascii="Palatino Linotype" w:hAnsi="Palatino Linotype"/>
                <w:b/>
                <w:bCs w:val="0"/>
                <w:i/>
                <w:iCs/>
                <w:color w:val="000000" w:themeColor="text1"/>
                <w:sz w:val="20"/>
                <w:szCs w:val="20"/>
              </w:rPr>
              <w:t xml:space="preserve"> not</w:t>
            </w:r>
            <w:r w:rsidRPr="00027DE1">
              <w:rPr>
                <w:rFonts w:ascii="Palatino Linotype" w:hAnsi="Palatino Linotype"/>
                <w:b/>
                <w:bCs w:val="0"/>
                <w:color w:val="000000" w:themeColor="text1"/>
                <w:sz w:val="20"/>
                <w:szCs w:val="20"/>
              </w:rPr>
              <w:t xml:space="preserve"> compliant with this</w:t>
            </w:r>
            <w:r w:rsidRPr="00027DE1" w:rsidR="4E17E552">
              <w:rPr>
                <w:rFonts w:ascii="Palatino Linotype" w:hAnsi="Palatino Linotype"/>
                <w:b/>
                <w:color w:val="000000" w:themeColor="text1"/>
                <w:sz w:val="20"/>
                <w:szCs w:val="20"/>
              </w:rPr>
              <w:t xml:space="preserve"> </w:t>
            </w:r>
            <w:r w:rsidRPr="00027DE1">
              <w:rPr>
                <w:rFonts w:ascii="Palatino Linotype" w:hAnsi="Palatino Linotype"/>
                <w:b/>
                <w:bCs w:val="0"/>
                <w:color w:val="000000" w:themeColor="text1"/>
                <w:sz w:val="20"/>
                <w:szCs w:val="20"/>
              </w:rPr>
              <w:t>requirement</w:t>
            </w:r>
            <w:r w:rsidRPr="00027DE1" w:rsidR="00024A05">
              <w:rPr>
                <w:rFonts w:ascii="Palatino Linotype" w:hAnsi="Palatino Linotype"/>
                <w:b/>
                <w:bCs w:val="0"/>
                <w:color w:val="000000" w:themeColor="text1"/>
                <w:sz w:val="20"/>
                <w:szCs w:val="20"/>
              </w:rPr>
              <w:t xml:space="preserve"> and </w:t>
            </w:r>
            <w:r w:rsidR="004C0BB7">
              <w:rPr>
                <w:rFonts w:ascii="Palatino Linotype" w:hAnsi="Palatino Linotype"/>
                <w:b/>
                <w:bCs w:val="0"/>
                <w:color w:val="000000" w:themeColor="text1"/>
                <w:sz w:val="20"/>
                <w:szCs w:val="20"/>
              </w:rPr>
              <w:t xml:space="preserve">therefore </w:t>
            </w:r>
            <w:r w:rsidRPr="00027DE1" w:rsidR="00024A05">
              <w:rPr>
                <w:rFonts w:ascii="Palatino Linotype" w:hAnsi="Palatino Linotype"/>
                <w:b/>
                <w:bCs w:val="0"/>
                <w:color w:val="000000" w:themeColor="text1"/>
                <w:sz w:val="20"/>
                <w:szCs w:val="20"/>
              </w:rPr>
              <w:t xml:space="preserve">no funding </w:t>
            </w:r>
            <w:r w:rsidR="00027DE1">
              <w:rPr>
                <w:rFonts w:ascii="Palatino Linotype" w:hAnsi="Palatino Linotype"/>
                <w:b/>
                <w:bCs w:val="0"/>
                <w:color w:val="000000" w:themeColor="text1"/>
                <w:sz w:val="20"/>
                <w:szCs w:val="20"/>
              </w:rPr>
              <w:t>is</w:t>
            </w:r>
            <w:r w:rsidRPr="00027DE1" w:rsidR="00024A05">
              <w:rPr>
                <w:rFonts w:ascii="Palatino Linotype" w:hAnsi="Palatino Linotype"/>
                <w:b/>
                <w:bCs w:val="0"/>
                <w:color w:val="000000" w:themeColor="text1"/>
                <w:sz w:val="20"/>
                <w:szCs w:val="20"/>
              </w:rPr>
              <w:t xml:space="preserve"> approved for PG&amp;E’s 2024 Plan.</w:t>
            </w:r>
          </w:p>
        </w:tc>
      </w:tr>
      <w:tr w:rsidR="00801EA4" w:rsidTr="00917561" w14:paraId="6B6E742D" w14:textId="77777777">
        <w:tc>
          <w:tcPr>
            <w:tcW w:w="3865" w:type="dxa"/>
          </w:tcPr>
          <w:p w:rsidR="00801EA4" w:rsidRDefault="00801EA4" w14:paraId="7599F493" w14:textId="77777777">
            <w:pPr>
              <w:rPr>
                <w:rFonts w:ascii="Palatino Linotype" w:hAnsi="Palatino Linotype"/>
                <w:i/>
                <w:iCs/>
                <w:sz w:val="20"/>
                <w:szCs w:val="20"/>
              </w:rPr>
            </w:pPr>
            <w:hyperlink w:history="1" r:id="rId18">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(1) </w:t>
            </w:r>
            <w:r w:rsidRPr="004153BC">
              <w:rPr>
                <w:rFonts w:ascii="Palatino Linotype" w:hAnsi="Palatino Linotype"/>
                <w:i/>
                <w:iCs/>
                <w:sz w:val="20"/>
                <w:szCs w:val="20"/>
              </w:rPr>
              <w:t>The annual research plan should detail</w:t>
            </w:r>
            <w:r w:rsidRPr="007B0EE4">
              <w:rPr>
                <w:rFonts w:ascii="Palatino Linotype" w:hAnsi="Palatino Linotype"/>
                <w:i/>
                <w:iCs/>
                <w:sz w:val="20"/>
                <w:szCs w:val="20"/>
              </w:rPr>
              <w:t xml:space="preserve"> budgets broken</w:t>
            </w:r>
            <w:r w:rsidRPr="00FB1ACE">
              <w:rPr>
                <w:rFonts w:ascii="Palatino Linotype" w:hAnsi="Palatino Linotype"/>
                <w:i/>
                <w:iCs/>
                <w:sz w:val="20"/>
                <w:szCs w:val="20"/>
              </w:rPr>
              <w:t xml:space="preserve"> </w:t>
            </w:r>
            <w:r w:rsidRPr="007B0EE4">
              <w:rPr>
                <w:rFonts w:ascii="Palatino Linotype" w:hAnsi="Palatino Linotype"/>
                <w:i/>
                <w:iCs/>
                <w:sz w:val="20"/>
                <w:szCs w:val="20"/>
              </w:rPr>
              <w:t>down by research</w:t>
            </w:r>
            <w:r w:rsidRPr="00FB1ACE">
              <w:rPr>
                <w:rFonts w:ascii="Palatino Linotype" w:hAnsi="Palatino Linotype"/>
                <w:i/>
                <w:iCs/>
                <w:sz w:val="20"/>
                <w:szCs w:val="20"/>
              </w:rPr>
              <w:t xml:space="preserve"> </w:t>
            </w:r>
            <w:r w:rsidRPr="007B0EE4">
              <w:rPr>
                <w:rFonts w:ascii="Palatino Linotype" w:hAnsi="Palatino Linotype"/>
                <w:i/>
                <w:iCs/>
                <w:sz w:val="20"/>
                <w:szCs w:val="20"/>
              </w:rPr>
              <w:t>sub-program area and</w:t>
            </w:r>
            <w:r w:rsidRPr="00FB1ACE">
              <w:rPr>
                <w:rFonts w:ascii="Palatino Linotype" w:hAnsi="Palatino Linotype"/>
                <w:i/>
                <w:iCs/>
                <w:sz w:val="20"/>
                <w:szCs w:val="20"/>
              </w:rPr>
              <w:t xml:space="preserve"> </w:t>
            </w:r>
            <w:r w:rsidRPr="007B0EE4">
              <w:rPr>
                <w:rFonts w:ascii="Palatino Linotype" w:hAnsi="Palatino Linotype"/>
                <w:i/>
                <w:iCs/>
                <w:sz w:val="20"/>
                <w:szCs w:val="20"/>
              </w:rPr>
              <w:t>explain how the</w:t>
            </w:r>
            <w:r w:rsidRPr="00FB1ACE">
              <w:rPr>
                <w:rFonts w:ascii="Palatino Linotype" w:hAnsi="Palatino Linotype"/>
                <w:i/>
                <w:iCs/>
                <w:sz w:val="20"/>
                <w:szCs w:val="20"/>
              </w:rPr>
              <w:t xml:space="preserve"> </w:t>
            </w:r>
            <w:r w:rsidRPr="007B0EE4">
              <w:rPr>
                <w:rFonts w:ascii="Palatino Linotype" w:hAnsi="Palatino Linotype"/>
                <w:i/>
                <w:iCs/>
                <w:sz w:val="20"/>
                <w:szCs w:val="20"/>
              </w:rPr>
              <w:t>projects</w:t>
            </w:r>
            <w:r w:rsidRPr="00FB1ACE">
              <w:rPr>
                <w:rFonts w:ascii="Palatino Linotype" w:hAnsi="Palatino Linotype"/>
                <w:i/>
                <w:iCs/>
                <w:sz w:val="20"/>
                <w:szCs w:val="20"/>
              </w:rPr>
              <w:t xml:space="preserve"> </w:t>
            </w:r>
            <w:r w:rsidRPr="007B0EE4">
              <w:rPr>
                <w:rFonts w:ascii="Palatino Linotype" w:hAnsi="Palatino Linotype"/>
                <w:i/>
                <w:iCs/>
                <w:sz w:val="20"/>
                <w:szCs w:val="20"/>
              </w:rPr>
              <w:t>improve reliability, safety,</w:t>
            </w:r>
            <w:r w:rsidRPr="00FB1ACE">
              <w:rPr>
                <w:rFonts w:ascii="Palatino Linotype" w:hAnsi="Palatino Linotype"/>
                <w:i/>
                <w:iCs/>
                <w:sz w:val="20"/>
                <w:szCs w:val="20"/>
              </w:rPr>
              <w:t xml:space="preserve"> </w:t>
            </w:r>
            <w:r w:rsidRPr="007B0EE4">
              <w:rPr>
                <w:rFonts w:ascii="Palatino Linotype" w:hAnsi="Palatino Linotype"/>
                <w:i/>
                <w:iCs/>
                <w:sz w:val="20"/>
                <w:szCs w:val="20"/>
              </w:rPr>
              <w:t>equity,</w:t>
            </w:r>
            <w:r>
              <w:rPr>
                <w:rFonts w:ascii="Palatino Linotype" w:hAnsi="Palatino Linotype"/>
                <w:i/>
                <w:iCs/>
                <w:sz w:val="20"/>
                <w:szCs w:val="20"/>
              </w:rPr>
              <w:t xml:space="preserve"> </w:t>
            </w:r>
            <w:r w:rsidRPr="007B0EE4">
              <w:rPr>
                <w:rFonts w:ascii="Palatino Linotype" w:hAnsi="Palatino Linotype"/>
                <w:i/>
                <w:iCs/>
                <w:sz w:val="20"/>
                <w:szCs w:val="20"/>
              </w:rPr>
              <w:t>affordability,</w:t>
            </w:r>
            <w:r w:rsidRPr="00FB1ACE">
              <w:rPr>
                <w:rFonts w:ascii="Palatino Linotype" w:hAnsi="Palatino Linotype"/>
                <w:i/>
                <w:iCs/>
                <w:sz w:val="20"/>
                <w:szCs w:val="20"/>
              </w:rPr>
              <w:t xml:space="preserve"> </w:t>
            </w:r>
            <w:r w:rsidRPr="007B0EE4">
              <w:rPr>
                <w:rFonts w:ascii="Palatino Linotype" w:hAnsi="Palatino Linotype"/>
                <w:i/>
                <w:iCs/>
                <w:sz w:val="20"/>
                <w:szCs w:val="20"/>
              </w:rPr>
              <w:t>and</w:t>
            </w:r>
            <w:r w:rsidRPr="00FB1ACE">
              <w:rPr>
                <w:rFonts w:ascii="Palatino Linotype" w:hAnsi="Palatino Linotype"/>
                <w:i/>
                <w:iCs/>
                <w:sz w:val="20"/>
                <w:szCs w:val="20"/>
              </w:rPr>
              <w:t xml:space="preserve"> </w:t>
            </w:r>
            <w:r w:rsidRPr="007B0EE4">
              <w:rPr>
                <w:rFonts w:ascii="Palatino Linotype" w:hAnsi="Palatino Linotype"/>
                <w:i/>
                <w:iCs/>
                <w:sz w:val="20"/>
                <w:szCs w:val="20"/>
              </w:rPr>
              <w:t>environmental benefits,</w:t>
            </w:r>
            <w:r w:rsidRPr="00FB1ACE">
              <w:rPr>
                <w:rFonts w:ascii="Palatino Linotype" w:hAnsi="Palatino Linotype"/>
                <w:i/>
                <w:iCs/>
                <w:sz w:val="20"/>
                <w:szCs w:val="20"/>
              </w:rPr>
              <w:t xml:space="preserve"> </w:t>
            </w:r>
            <w:r w:rsidRPr="00554A92">
              <w:rPr>
                <w:rFonts w:ascii="Palatino Linotype" w:hAnsi="Palatino Linotype"/>
                <w:i/>
                <w:iCs/>
                <w:sz w:val="20"/>
                <w:szCs w:val="20"/>
              </w:rPr>
              <w:t xml:space="preserve">and </w:t>
            </w:r>
            <w:proofErr w:type="gramStart"/>
            <w:r w:rsidRPr="00554A92">
              <w:rPr>
                <w:rFonts w:ascii="Palatino Linotype" w:hAnsi="Palatino Linotype"/>
                <w:i/>
                <w:iCs/>
                <w:sz w:val="20"/>
                <w:szCs w:val="20"/>
              </w:rPr>
              <w:t>incorporates</w:t>
            </w:r>
            <w:proofErr w:type="gramEnd"/>
            <w:r w:rsidRPr="00554A92">
              <w:rPr>
                <w:rFonts w:ascii="Palatino Linotype" w:hAnsi="Palatino Linotype"/>
                <w:i/>
                <w:iCs/>
                <w:sz w:val="20"/>
                <w:szCs w:val="20"/>
              </w:rPr>
              <w:t xml:space="preserve"> input from key stakeholders</w:t>
            </w:r>
            <w:r w:rsidRPr="007B0EE4">
              <w:rPr>
                <w:rFonts w:ascii="Palatino Linotype" w:hAnsi="Palatino Linotype"/>
                <w:i/>
                <w:iCs/>
                <w:sz w:val="20"/>
                <w:szCs w:val="20"/>
              </w:rPr>
              <w:t>,</w:t>
            </w:r>
            <w:r w:rsidRPr="00FB1ACE">
              <w:rPr>
                <w:rFonts w:ascii="Palatino Linotype" w:hAnsi="Palatino Linotype"/>
                <w:i/>
                <w:iCs/>
                <w:sz w:val="20"/>
                <w:szCs w:val="20"/>
              </w:rPr>
              <w:t xml:space="preserve"> </w:t>
            </w:r>
            <w:r w:rsidRPr="007B0EE4">
              <w:rPr>
                <w:rFonts w:ascii="Palatino Linotype" w:hAnsi="Palatino Linotype"/>
                <w:i/>
                <w:iCs/>
                <w:sz w:val="20"/>
                <w:szCs w:val="20"/>
              </w:rPr>
              <w:t>such as the Disadvantaged</w:t>
            </w:r>
            <w:r w:rsidRPr="00FB1ACE">
              <w:rPr>
                <w:rFonts w:ascii="Palatino Linotype" w:hAnsi="Palatino Linotype"/>
                <w:i/>
                <w:iCs/>
                <w:sz w:val="20"/>
                <w:szCs w:val="20"/>
              </w:rPr>
              <w:t xml:space="preserve"> Communities Advisory Group</w:t>
            </w:r>
            <w:r>
              <w:rPr>
                <w:rFonts w:ascii="Palatino Linotype" w:hAnsi="Palatino Linotype"/>
                <w:i/>
                <w:iCs/>
                <w:sz w:val="20"/>
                <w:szCs w:val="20"/>
              </w:rPr>
              <w:t>.</w:t>
            </w:r>
            <w:r>
              <w:rPr>
                <w:rStyle w:val="FootnoteReference"/>
                <w:rFonts w:ascii="Palatino Linotype" w:hAnsi="Palatino Linotype"/>
                <w:i/>
                <w:iCs/>
                <w:sz w:val="20"/>
                <w:szCs w:val="20"/>
              </w:rPr>
              <w:footnoteReference w:id="145"/>
            </w:r>
          </w:p>
          <w:p w:rsidRPr="00637336" w:rsidR="00801EA4" w:rsidRDefault="00801EA4" w14:paraId="2E4890EE" w14:textId="77777777">
            <w:pPr>
              <w:rPr>
                <w:rFonts w:ascii="Palatino Linotype" w:hAnsi="Palatino Linotype"/>
                <w:sz w:val="20"/>
                <w:szCs w:val="20"/>
              </w:rPr>
            </w:pPr>
          </w:p>
        </w:tc>
        <w:tc>
          <w:tcPr>
            <w:tcW w:w="4770" w:type="dxa"/>
          </w:tcPr>
          <w:p w:rsidRPr="00F358EB" w:rsidR="00801EA4" w:rsidRDefault="00801EA4" w14:paraId="30ECD919" w14:textId="77777777">
            <w:pPr>
              <w:rPr>
                <w:rFonts w:ascii="Palatino Linotype" w:hAnsi="Palatino Linotype"/>
                <w:color w:val="000000" w:themeColor="text1"/>
                <w:sz w:val="20"/>
                <w:szCs w:val="20"/>
              </w:rPr>
            </w:pPr>
            <w:r w:rsidRPr="00F358EB">
              <w:rPr>
                <w:rFonts w:ascii="Palatino Linotype" w:hAnsi="Palatino Linotype"/>
                <w:color w:val="000000" w:themeColor="text1"/>
                <w:sz w:val="20"/>
                <w:szCs w:val="20"/>
              </w:rPr>
              <w:t>PG&amp;E proposes budget allocations broken down by Initiatives within each Investment Theme:</w:t>
            </w:r>
            <w:r w:rsidRPr="00F358EB">
              <w:rPr>
                <w:rStyle w:val="FootnoteReference"/>
                <w:rFonts w:ascii="Palatino Linotype" w:hAnsi="Palatino Linotype"/>
                <w:color w:val="000000" w:themeColor="text1"/>
                <w:sz w:val="20"/>
                <w:szCs w:val="20"/>
              </w:rPr>
              <w:footnoteReference w:id="146"/>
            </w:r>
            <w:r w:rsidRPr="00F358EB">
              <w:rPr>
                <w:rFonts w:ascii="Palatino Linotype" w:hAnsi="Palatino Linotype"/>
                <w:color w:val="000000" w:themeColor="text1"/>
                <w:sz w:val="20"/>
                <w:szCs w:val="20"/>
              </w:rPr>
              <w:t xml:space="preserve"> Gas System Integrity and Decarbonization. PG&amp;E describes how it seeks to provide reliability, safety, equity, affordability, and environmental benefits through projects at the portfolio level</w:t>
            </w:r>
            <w:r w:rsidRPr="00F358EB">
              <w:rPr>
                <w:rStyle w:val="FootnoteReference"/>
                <w:rFonts w:ascii="Palatino Linotype" w:hAnsi="Palatino Linotype"/>
                <w:color w:val="000000" w:themeColor="text1"/>
                <w:sz w:val="20"/>
                <w:szCs w:val="20"/>
              </w:rPr>
              <w:footnoteReference w:id="147"/>
            </w:r>
            <w:r w:rsidRPr="00F358EB">
              <w:rPr>
                <w:rFonts w:ascii="Palatino Linotype" w:hAnsi="Palatino Linotype"/>
                <w:color w:val="000000" w:themeColor="text1"/>
                <w:sz w:val="20"/>
                <w:szCs w:val="20"/>
              </w:rPr>
              <w:t xml:space="preserve"> and for each Initiative.</w:t>
            </w:r>
            <w:r w:rsidRPr="00F358EB">
              <w:rPr>
                <w:rStyle w:val="FootnoteReference"/>
                <w:rFonts w:ascii="Palatino Linotype" w:hAnsi="Palatino Linotype"/>
                <w:color w:val="000000" w:themeColor="text1"/>
                <w:sz w:val="20"/>
                <w:szCs w:val="20"/>
              </w:rPr>
              <w:footnoteReference w:id="148"/>
            </w:r>
            <w:r w:rsidRPr="00F358EB">
              <w:rPr>
                <w:rFonts w:ascii="Palatino Linotype" w:hAnsi="Palatino Linotype"/>
                <w:color w:val="000000" w:themeColor="text1"/>
                <w:sz w:val="20"/>
                <w:szCs w:val="20"/>
              </w:rPr>
              <w:t xml:space="preserve"> PG&amp;E states that, though not able to secure a meeting with the DACAG in calendar year 2024, representatives presented and solicited input on the proposed 2024 Plan on April 18, 2025,</w:t>
            </w:r>
            <w:r w:rsidRPr="00F358EB">
              <w:rPr>
                <w:rStyle w:val="FootnoteReference"/>
                <w:rFonts w:ascii="Palatino Linotype" w:hAnsi="Palatino Linotype"/>
                <w:color w:val="000000" w:themeColor="text1"/>
                <w:sz w:val="20"/>
                <w:szCs w:val="20"/>
              </w:rPr>
              <w:footnoteReference w:id="149"/>
            </w:r>
            <w:r w:rsidRPr="00F358EB">
              <w:rPr>
                <w:rFonts w:ascii="Palatino Linotype" w:hAnsi="Palatino Linotype"/>
                <w:color w:val="000000" w:themeColor="text1"/>
                <w:sz w:val="20"/>
                <w:szCs w:val="20"/>
              </w:rPr>
              <w:t xml:space="preserve"> and describes two questions posed by the DACAG which the representatives answered verbally.</w:t>
            </w:r>
            <w:r w:rsidRPr="00F358EB">
              <w:rPr>
                <w:rStyle w:val="FootnoteReference"/>
                <w:rFonts w:ascii="Palatino Linotype" w:hAnsi="Palatino Linotype"/>
                <w:color w:val="000000" w:themeColor="text1"/>
                <w:sz w:val="20"/>
                <w:szCs w:val="20"/>
              </w:rPr>
              <w:footnoteReference w:id="150"/>
            </w:r>
            <w:r w:rsidRPr="00F358EB">
              <w:rPr>
                <w:rFonts w:ascii="Palatino Linotype" w:hAnsi="Palatino Linotype"/>
                <w:color w:val="000000" w:themeColor="text1"/>
                <w:sz w:val="20"/>
                <w:szCs w:val="20"/>
              </w:rPr>
              <w:t xml:space="preserve"> PG&amp;E includes high-level summaries from stakeholder interviews and incorporation strategies.</w:t>
            </w:r>
            <w:r w:rsidRPr="00F358EB">
              <w:rPr>
                <w:rStyle w:val="FootnoteReference"/>
                <w:rFonts w:ascii="Palatino Linotype" w:hAnsi="Palatino Linotype"/>
                <w:color w:val="000000" w:themeColor="text1"/>
                <w:sz w:val="20"/>
                <w:szCs w:val="20"/>
              </w:rPr>
              <w:footnoteReference w:id="151"/>
            </w:r>
            <w:r w:rsidRPr="00F358EB">
              <w:rPr>
                <w:rFonts w:ascii="Palatino Linotype" w:hAnsi="Palatino Linotype"/>
                <w:color w:val="000000" w:themeColor="text1"/>
                <w:sz w:val="20"/>
                <w:szCs w:val="20"/>
              </w:rPr>
              <w:t xml:space="preserve"> PG&amp;E discusses guidance from CPUC staff, including an Attachment C: Table Describing the Modifications Detailed in Appendix F, Resolution G-3618, and correlated alignment with </w:t>
            </w:r>
            <w:r w:rsidRPr="00F358EB">
              <w:rPr>
                <w:rFonts w:ascii="Palatino Linotype" w:hAnsi="Palatino Linotype"/>
                <w:color w:val="000000" w:themeColor="text1"/>
                <w:sz w:val="20"/>
                <w:szCs w:val="20"/>
              </w:rPr>
              <w:lastRenderedPageBreak/>
              <w:t>CPUC proceedings and policies</w:t>
            </w:r>
            <w:r w:rsidRPr="007F1C6A">
              <w:rPr>
                <w:rFonts w:ascii="Palatino Linotype" w:hAnsi="Palatino Linotype"/>
                <w:color w:val="000000" w:themeColor="text1"/>
                <w:sz w:val="20"/>
                <w:szCs w:val="20"/>
              </w:rPr>
              <w:t>.</w:t>
            </w:r>
            <w:r w:rsidRPr="007F1C6A">
              <w:rPr>
                <w:rStyle w:val="FootnoteReference"/>
                <w:rFonts w:ascii="Palatino Linotype" w:hAnsi="Palatino Linotype"/>
                <w:color w:val="000000" w:themeColor="text1"/>
                <w:sz w:val="20"/>
                <w:szCs w:val="20"/>
              </w:rPr>
              <w:footnoteReference w:id="152"/>
            </w:r>
            <w:r w:rsidRPr="00F358EB">
              <w:rPr>
                <w:rFonts w:ascii="Palatino Linotype" w:hAnsi="Palatino Linotype"/>
                <w:color w:val="000000" w:themeColor="text1"/>
                <w:sz w:val="20"/>
                <w:szCs w:val="20"/>
              </w:rPr>
              <w:t xml:space="preserve"> PG&amp;E still includes renewable hydrogen as a clean fuel targeted within the Decarbonization theme.</w:t>
            </w:r>
            <w:r w:rsidRPr="00F358EB">
              <w:rPr>
                <w:rStyle w:val="FootnoteReference"/>
                <w:rFonts w:ascii="Palatino Linotype" w:hAnsi="Palatino Linotype"/>
                <w:color w:val="000000" w:themeColor="text1"/>
                <w:sz w:val="20"/>
                <w:szCs w:val="20"/>
              </w:rPr>
              <w:footnoteReference w:id="153"/>
            </w:r>
          </w:p>
        </w:tc>
        <w:tc>
          <w:tcPr>
            <w:tcW w:w="4140" w:type="dxa"/>
          </w:tcPr>
          <w:p w:rsidRPr="00711B05" w:rsidR="00801EA4" w:rsidRDefault="008F3187" w14:paraId="10918F56" w14:textId="738D9B76">
            <w:pPr>
              <w:rPr>
                <w:rFonts w:ascii="Palatino Linotype" w:hAnsi="Palatino Linotype"/>
                <w:b/>
                <w:color w:val="000000" w:themeColor="text1"/>
                <w:sz w:val="20"/>
                <w:szCs w:val="20"/>
              </w:rPr>
            </w:pPr>
            <w:r>
              <w:rPr>
                <w:rFonts w:ascii="Palatino Linotype" w:hAnsi="Palatino Linotype"/>
                <w:color w:val="000000" w:themeColor="text1"/>
                <w:sz w:val="20"/>
                <w:szCs w:val="20"/>
              </w:rPr>
              <w:lastRenderedPageBreak/>
              <w:t>PG&amp;E</w:t>
            </w:r>
            <w:r w:rsidR="00FA7CDD">
              <w:rPr>
                <w:rFonts w:ascii="Palatino Linotype" w:hAnsi="Palatino Linotype"/>
                <w:color w:val="000000" w:themeColor="text1"/>
                <w:sz w:val="20"/>
                <w:szCs w:val="20"/>
              </w:rPr>
              <w:t xml:space="preserve"> delineates its proposed budget by Initiative. </w:t>
            </w:r>
            <w:r w:rsidRPr="00711B05" w:rsidR="00801EA4">
              <w:rPr>
                <w:rFonts w:ascii="Palatino Linotype" w:hAnsi="Palatino Linotype"/>
                <w:color w:val="000000" w:themeColor="text1"/>
                <w:sz w:val="20"/>
                <w:szCs w:val="20"/>
              </w:rPr>
              <w:t>PG&amp;E made several modifications in its resubmittal of its 2024 Plan in alignment with Commission guidance provided via Resolution G-3618,</w:t>
            </w:r>
            <w:r w:rsidRPr="00711B05" w:rsidR="00801EA4">
              <w:rPr>
                <w:rFonts w:ascii="Palatino Linotype" w:hAnsi="Palatino Linotype"/>
                <w:bCs w:val="0"/>
                <w:color w:val="000000" w:themeColor="text1"/>
                <w:sz w:val="20"/>
                <w:szCs w:val="20"/>
              </w:rPr>
              <w:t xml:space="preserve"> </w:t>
            </w:r>
            <w:r w:rsidR="00CA5CC4">
              <w:rPr>
                <w:rFonts w:ascii="Palatino Linotype" w:hAnsi="Palatino Linotype"/>
                <w:bCs w:val="0"/>
                <w:color w:val="000000" w:themeColor="text1"/>
                <w:sz w:val="20"/>
                <w:szCs w:val="20"/>
              </w:rPr>
              <w:t>and as a result</w:t>
            </w:r>
            <w:r w:rsidRPr="00711B05" w:rsidR="00801EA4">
              <w:rPr>
                <w:rFonts w:ascii="Palatino Linotype" w:hAnsi="Palatino Linotype"/>
                <w:bCs w:val="0"/>
                <w:color w:val="000000" w:themeColor="text1"/>
                <w:sz w:val="20"/>
                <w:szCs w:val="20"/>
              </w:rPr>
              <w:t xml:space="preserve">, </w:t>
            </w:r>
            <w:r w:rsidRPr="00711B05" w:rsidR="00801EA4">
              <w:rPr>
                <w:rFonts w:ascii="Palatino Linotype" w:hAnsi="Palatino Linotype"/>
                <w:b/>
                <w:bCs w:val="0"/>
                <w:color w:val="000000" w:themeColor="text1"/>
                <w:sz w:val="20"/>
                <w:szCs w:val="20"/>
              </w:rPr>
              <w:t xml:space="preserve">PG&amp;E is </w:t>
            </w:r>
            <w:r w:rsidRPr="00711B05" w:rsidR="00801EA4">
              <w:rPr>
                <w:rFonts w:ascii="Palatino Linotype" w:hAnsi="Palatino Linotype"/>
                <w:b/>
                <w:i/>
                <w:color w:val="000000" w:themeColor="text1"/>
                <w:sz w:val="20"/>
                <w:szCs w:val="20"/>
              </w:rPr>
              <w:t>partially</w:t>
            </w:r>
            <w:r w:rsidRPr="00711B05" w:rsidR="00801EA4">
              <w:rPr>
                <w:rFonts w:ascii="Palatino Linotype" w:hAnsi="Palatino Linotype"/>
                <w:b/>
                <w:bCs w:val="0"/>
                <w:color w:val="000000" w:themeColor="text1"/>
                <w:sz w:val="20"/>
                <w:szCs w:val="20"/>
              </w:rPr>
              <w:t xml:space="preserve"> compliant with this requirement. </w:t>
            </w:r>
            <w:r w:rsidRPr="00711B05" w:rsidR="00A563FB">
              <w:rPr>
                <w:rFonts w:ascii="Palatino Linotype" w:hAnsi="Palatino Linotype"/>
                <w:color w:val="000000" w:themeColor="text1"/>
                <w:sz w:val="20"/>
                <w:szCs w:val="20"/>
              </w:rPr>
              <w:t>Note:</w:t>
            </w:r>
            <w:r w:rsidRPr="00711B05" w:rsidR="00A563FB">
              <w:rPr>
                <w:rFonts w:ascii="Palatino Linotype" w:hAnsi="Palatino Linotype"/>
                <w:b/>
                <w:bCs w:val="0"/>
                <w:color w:val="000000" w:themeColor="text1"/>
                <w:sz w:val="20"/>
                <w:szCs w:val="20"/>
              </w:rPr>
              <w:t xml:space="preserve"> </w:t>
            </w:r>
            <w:r w:rsidRPr="00711B05" w:rsidR="00801EA4">
              <w:rPr>
                <w:rFonts w:ascii="Palatino Linotype" w:hAnsi="Palatino Linotype"/>
                <w:color w:val="000000" w:themeColor="text1"/>
                <w:sz w:val="20"/>
                <w:szCs w:val="20"/>
              </w:rPr>
              <w:t xml:space="preserve">PG&amp;E </w:t>
            </w:r>
            <w:r w:rsidRPr="00711B05" w:rsidR="007B3C92">
              <w:rPr>
                <w:rFonts w:ascii="Palatino Linotype" w:hAnsi="Palatino Linotype"/>
                <w:color w:val="000000" w:themeColor="text1"/>
                <w:sz w:val="20"/>
                <w:szCs w:val="20"/>
              </w:rPr>
              <w:t>should not include</w:t>
            </w:r>
            <w:r w:rsidRPr="00711B05" w:rsidR="00801EA4">
              <w:rPr>
                <w:rFonts w:ascii="Palatino Linotype" w:hAnsi="Palatino Linotype"/>
                <w:bCs w:val="0"/>
                <w:color w:val="000000" w:themeColor="text1"/>
                <w:sz w:val="20"/>
                <w:szCs w:val="20"/>
              </w:rPr>
              <w:t xml:space="preserve"> </w:t>
            </w:r>
            <w:r w:rsidR="0049262E">
              <w:rPr>
                <w:rFonts w:ascii="Palatino Linotype" w:hAnsi="Palatino Linotype"/>
                <w:bCs w:val="0"/>
                <w:color w:val="000000" w:themeColor="text1"/>
                <w:sz w:val="20"/>
                <w:szCs w:val="20"/>
              </w:rPr>
              <w:t xml:space="preserve">information on </w:t>
            </w:r>
            <w:r w:rsidRPr="00711B05" w:rsidR="00801EA4">
              <w:rPr>
                <w:rFonts w:ascii="Palatino Linotype" w:hAnsi="Palatino Linotype"/>
                <w:bCs w:val="0"/>
                <w:color w:val="000000" w:themeColor="text1"/>
                <w:sz w:val="20"/>
                <w:szCs w:val="20"/>
              </w:rPr>
              <w:t xml:space="preserve">Initiatives it is </w:t>
            </w:r>
            <w:r w:rsidRPr="00711B05" w:rsidR="007B3C92">
              <w:rPr>
                <w:rFonts w:ascii="Palatino Linotype" w:hAnsi="Palatino Linotype"/>
                <w:bCs w:val="0"/>
                <w:color w:val="000000" w:themeColor="text1"/>
                <w:sz w:val="20"/>
                <w:szCs w:val="20"/>
              </w:rPr>
              <w:t xml:space="preserve">not </w:t>
            </w:r>
            <w:r w:rsidRPr="00711B05" w:rsidR="00801EA4">
              <w:rPr>
                <w:rFonts w:ascii="Palatino Linotype" w:hAnsi="Palatino Linotype"/>
                <w:bCs w:val="0"/>
                <w:color w:val="000000" w:themeColor="text1"/>
                <w:sz w:val="20"/>
                <w:szCs w:val="20"/>
              </w:rPr>
              <w:t>proposing funding for</w:t>
            </w:r>
            <w:r w:rsidRPr="00711B05" w:rsidR="007B3C92">
              <w:rPr>
                <w:rFonts w:ascii="Palatino Linotype" w:hAnsi="Palatino Linotype"/>
                <w:bCs w:val="0"/>
                <w:color w:val="000000" w:themeColor="text1"/>
                <w:sz w:val="20"/>
                <w:szCs w:val="20"/>
              </w:rPr>
              <w:t xml:space="preserve"> in its Plans</w:t>
            </w:r>
            <w:r w:rsidRPr="00711B05" w:rsidR="00801EA4">
              <w:rPr>
                <w:rFonts w:ascii="Palatino Linotype" w:hAnsi="Palatino Linotype"/>
                <w:bCs w:val="0"/>
                <w:color w:val="000000" w:themeColor="text1"/>
                <w:sz w:val="20"/>
                <w:szCs w:val="20"/>
              </w:rPr>
              <w:t>.</w:t>
            </w:r>
            <w:r w:rsidRPr="00711B05" w:rsidR="00801EA4">
              <w:rPr>
                <w:rStyle w:val="FootnoteReference"/>
                <w:rFonts w:ascii="Palatino Linotype" w:hAnsi="Palatino Linotype"/>
                <w:bCs w:val="0"/>
                <w:color w:val="000000" w:themeColor="text1"/>
                <w:sz w:val="20"/>
                <w:szCs w:val="20"/>
              </w:rPr>
              <w:footnoteReference w:id="154"/>
            </w:r>
          </w:p>
          <w:p w:rsidRPr="00711B05" w:rsidR="00801EA4" w:rsidP="002023D5" w:rsidRDefault="00801EA4" w14:paraId="3B349615" w14:textId="0CBFB0FB">
            <w:pPr>
              <w:spacing w:before="240"/>
              <w:rPr>
                <w:rFonts w:ascii="Palatino Linotype" w:hAnsi="Palatino Linotype" w:eastAsia="Palatino Linotype" w:cs="Times New Roman"/>
                <w:color w:val="000000" w:themeColor="text1"/>
                <w:sz w:val="20"/>
                <w:szCs w:val="20"/>
              </w:rPr>
            </w:pPr>
            <w:r w:rsidRPr="00711B05">
              <w:rPr>
                <w:rFonts w:ascii="Palatino Linotype" w:hAnsi="Palatino Linotype"/>
                <w:bCs w:val="0"/>
                <w:color w:val="000000" w:themeColor="text1"/>
                <w:sz w:val="20"/>
                <w:szCs w:val="20"/>
              </w:rPr>
              <w:t>H</w:t>
            </w:r>
            <w:r w:rsidRPr="00711B05">
              <w:rPr>
                <w:rFonts w:ascii="Palatino Linotype" w:hAnsi="Palatino Linotype"/>
                <w:color w:val="000000" w:themeColor="text1"/>
                <w:sz w:val="20"/>
                <w:szCs w:val="20"/>
              </w:rPr>
              <w:t>owever, PG&amp;E did not sufficiently incorporate input on the Clean Fuels Integration Initiative.</w:t>
            </w:r>
            <w:r w:rsidRPr="00711B05">
              <w:rPr>
                <w:rFonts w:ascii="Palatino Linotype" w:hAnsi="Palatino Linotype" w:eastAsia="Palatino Linotype" w:cs="Times New Roman"/>
                <w:color w:val="000000" w:themeColor="text1"/>
                <w:sz w:val="20"/>
                <w:szCs w:val="20"/>
              </w:rPr>
              <w:t xml:space="preserve"> PG&amp;E does not justify investment in hydrogen-related RD&amp;D by demonstrating alignment with CPUC proceedings. In D.26-04-034, the Commission denied S</w:t>
            </w:r>
            <w:r w:rsidRPr="00711B05" w:rsidR="00137BCF">
              <w:rPr>
                <w:rFonts w:ascii="Palatino Linotype" w:hAnsi="Palatino Linotype" w:eastAsia="Palatino Linotype" w:cs="Times New Roman"/>
                <w:color w:val="000000" w:themeColor="text1"/>
                <w:sz w:val="20"/>
                <w:szCs w:val="20"/>
              </w:rPr>
              <w:t>oCalGas</w:t>
            </w:r>
            <w:r w:rsidRPr="00711B05">
              <w:rPr>
                <w:rFonts w:ascii="Palatino Linotype" w:hAnsi="Palatino Linotype" w:eastAsia="Palatino Linotype" w:cs="Times New Roman"/>
                <w:color w:val="000000" w:themeColor="text1"/>
                <w:sz w:val="20"/>
                <w:szCs w:val="20"/>
              </w:rPr>
              <w:t xml:space="preserve">’ application </w:t>
            </w:r>
            <w:r w:rsidRPr="00711B05">
              <w:rPr>
                <w:rFonts w:ascii="Palatino Linotype" w:hAnsi="Palatino Linotype" w:eastAsia="Palatino Linotype" w:cs="Times New Roman"/>
                <w:color w:val="000000" w:themeColor="text1"/>
                <w:sz w:val="20"/>
                <w:szCs w:val="20"/>
              </w:rPr>
              <w:lastRenderedPageBreak/>
              <w:t>for ratepayer funding for Phase II of the Angeles Link hydrogen project and established it raised severe affordability concerns while failing to demonstrate clear and comprehensive ratepayer benefit.</w:t>
            </w:r>
            <w:r w:rsidRPr="00711B05">
              <w:rPr>
                <w:rStyle w:val="FootnoteReference"/>
                <w:rFonts w:ascii="Palatino Linotype" w:hAnsi="Palatino Linotype" w:eastAsia="Palatino Linotype" w:cs="Times New Roman"/>
                <w:color w:val="000000" w:themeColor="text1"/>
                <w:sz w:val="20"/>
                <w:szCs w:val="20"/>
              </w:rPr>
              <w:footnoteReference w:id="155"/>
            </w:r>
            <w:r w:rsidRPr="00711B05">
              <w:rPr>
                <w:rFonts w:ascii="Palatino Linotype" w:hAnsi="Palatino Linotype" w:eastAsia="Palatino Linotype" w:cs="Times New Roman"/>
                <w:color w:val="000000" w:themeColor="text1"/>
                <w:sz w:val="20"/>
                <w:szCs w:val="20"/>
              </w:rPr>
              <w:t xml:space="preserve"> Further, a</w:t>
            </w:r>
            <w:r w:rsidRPr="00711B05">
              <w:rPr>
                <w:rFonts w:ascii="Palatino Linotype" w:hAnsi="Palatino Linotype" w:eastAsia="Palatino Linotype"/>
                <w:color w:val="000000" w:themeColor="text1"/>
                <w:sz w:val="20"/>
                <w:szCs w:val="20"/>
              </w:rPr>
              <w:t>s discussed in Resolution G-3618, t</w:t>
            </w:r>
            <w:r w:rsidRPr="00711B05">
              <w:rPr>
                <w:rFonts w:ascii="Palatino Linotype" w:hAnsi="Palatino Linotype"/>
                <w:color w:val="000000" w:themeColor="text1"/>
                <w:sz w:val="20"/>
                <w:szCs w:val="20"/>
              </w:rPr>
              <w:t xml:space="preserve">he Commission has not provided guidance on the appropriate role of gas ratepayers in funding hydrogen RD&amp;D. For the Clean Fuels Integration Initiative, </w:t>
            </w:r>
            <w:r w:rsidRPr="00711B05">
              <w:rPr>
                <w:rFonts w:ascii="Palatino Linotype" w:hAnsi="Palatino Linotype"/>
                <w:b/>
                <w:bCs w:val="0"/>
                <w:color w:val="000000" w:themeColor="text1"/>
                <w:sz w:val="20"/>
                <w:szCs w:val="20"/>
              </w:rPr>
              <w:t>PG&amp;E is</w:t>
            </w:r>
            <w:r w:rsidRPr="00711B05">
              <w:rPr>
                <w:rFonts w:ascii="Palatino Linotype" w:hAnsi="Palatino Linotype"/>
                <w:b/>
                <w:bCs w:val="0"/>
                <w:i/>
                <w:iCs/>
                <w:color w:val="000000" w:themeColor="text1"/>
                <w:sz w:val="20"/>
                <w:szCs w:val="20"/>
              </w:rPr>
              <w:t xml:space="preserve"> not </w:t>
            </w:r>
            <w:r w:rsidRPr="00711B05">
              <w:rPr>
                <w:rFonts w:ascii="Palatino Linotype" w:hAnsi="Palatino Linotype"/>
                <w:b/>
                <w:bCs w:val="0"/>
                <w:color w:val="000000" w:themeColor="text1"/>
                <w:sz w:val="20"/>
                <w:szCs w:val="20"/>
              </w:rPr>
              <w:t xml:space="preserve">compliant with this </w:t>
            </w:r>
            <w:r w:rsidRPr="00711B05" w:rsidR="4E17E552">
              <w:rPr>
                <w:rFonts w:ascii="Palatino Linotype" w:hAnsi="Palatino Linotype"/>
                <w:b/>
                <w:color w:val="000000" w:themeColor="text1"/>
                <w:sz w:val="20"/>
                <w:szCs w:val="20"/>
              </w:rPr>
              <w:t>requirement</w:t>
            </w:r>
            <w:r w:rsidRPr="00711B05">
              <w:rPr>
                <w:rFonts w:ascii="Palatino Linotype" w:hAnsi="Palatino Linotype"/>
                <w:b/>
                <w:bCs w:val="0"/>
                <w:color w:val="000000" w:themeColor="text1"/>
                <w:sz w:val="20"/>
                <w:szCs w:val="20"/>
              </w:rPr>
              <w:t xml:space="preserve">. </w:t>
            </w:r>
          </w:p>
        </w:tc>
      </w:tr>
      <w:tr w:rsidR="00801EA4" w:rsidTr="00917561" w14:paraId="1BA887B2" w14:textId="77777777">
        <w:tc>
          <w:tcPr>
            <w:tcW w:w="3865" w:type="dxa"/>
          </w:tcPr>
          <w:p w:rsidRPr="00C8324D" w:rsidR="00801EA4" w:rsidRDefault="00801EA4" w14:paraId="076BC64E" w14:textId="77777777">
            <w:pPr>
              <w:rPr>
                <w:rFonts w:ascii="Palatino Linotype" w:hAnsi="Palatino Linotype"/>
                <w:sz w:val="20"/>
                <w:szCs w:val="20"/>
              </w:rPr>
            </w:pPr>
            <w:hyperlink w:history="1" r:id="rId19">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(2)</w:t>
            </w:r>
            <w:r w:rsidRPr="004153BC">
              <w:rPr>
                <w:rFonts w:ascii="Palatino Linotype" w:hAnsi="Palatino Linotype"/>
                <w:i/>
                <w:iCs/>
                <w:sz w:val="20"/>
                <w:szCs w:val="20"/>
              </w:rPr>
              <w:t xml:space="preserve"> The annual research plan should include</w:t>
            </w:r>
            <w:r w:rsidRPr="00347453">
              <w:rPr>
                <w:rFonts w:ascii="Palatino Linotype" w:hAnsi="Palatino Linotype"/>
                <w:i/>
                <w:iCs/>
                <w:sz w:val="20"/>
                <w:szCs w:val="20"/>
              </w:rPr>
              <w:t xml:space="preserve"> a proposed</w:t>
            </w:r>
            <w:r w:rsidRPr="00FB1ACE">
              <w:rPr>
                <w:rFonts w:ascii="Palatino Linotype" w:hAnsi="Palatino Linotype"/>
                <w:i/>
                <w:iCs/>
                <w:sz w:val="20"/>
                <w:szCs w:val="20"/>
              </w:rPr>
              <w:t xml:space="preserve"> benefits analysis framework, created in consultation with Energy Division staff. This framework should provide </w:t>
            </w:r>
            <w:r w:rsidRPr="00347453">
              <w:rPr>
                <w:rFonts w:ascii="Palatino Linotype" w:hAnsi="Palatino Linotype"/>
                <w:i/>
                <w:iCs/>
                <w:sz w:val="20"/>
                <w:szCs w:val="20"/>
              </w:rPr>
              <w:t>sufficient quantitative estimates of potential safety,</w:t>
            </w:r>
            <w:r w:rsidRPr="00FB1ACE">
              <w:rPr>
                <w:rFonts w:ascii="Palatino Linotype" w:hAnsi="Palatino Linotype"/>
                <w:i/>
                <w:iCs/>
                <w:sz w:val="20"/>
                <w:szCs w:val="20"/>
              </w:rPr>
              <w:t xml:space="preserve"> </w:t>
            </w:r>
            <w:r w:rsidRPr="00347453">
              <w:rPr>
                <w:rFonts w:ascii="Palatino Linotype" w:hAnsi="Palatino Linotype"/>
                <w:i/>
                <w:iCs/>
                <w:sz w:val="20"/>
                <w:szCs w:val="20"/>
              </w:rPr>
              <w:t>reliability, operational efficiency, improved</w:t>
            </w:r>
            <w:r w:rsidRPr="00FB1ACE">
              <w:rPr>
                <w:rFonts w:ascii="Palatino Linotype" w:hAnsi="Palatino Linotype"/>
                <w:i/>
                <w:iCs/>
                <w:sz w:val="20"/>
                <w:szCs w:val="20"/>
              </w:rPr>
              <w:t xml:space="preserve"> </w:t>
            </w:r>
            <w:r w:rsidRPr="00347453">
              <w:rPr>
                <w:rFonts w:ascii="Palatino Linotype" w:hAnsi="Palatino Linotype"/>
                <w:i/>
                <w:iCs/>
                <w:sz w:val="20"/>
                <w:szCs w:val="20"/>
              </w:rPr>
              <w:t>affordability,</w:t>
            </w:r>
            <w:r w:rsidRPr="00FB1ACE">
              <w:rPr>
                <w:rFonts w:ascii="Palatino Linotype" w:hAnsi="Palatino Linotype"/>
                <w:i/>
                <w:iCs/>
                <w:sz w:val="20"/>
                <w:szCs w:val="20"/>
              </w:rPr>
              <w:t xml:space="preserve"> </w:t>
            </w:r>
            <w:r w:rsidRPr="00347453">
              <w:rPr>
                <w:rFonts w:ascii="Palatino Linotype" w:hAnsi="Palatino Linotype"/>
                <w:i/>
                <w:iCs/>
                <w:sz w:val="20"/>
                <w:szCs w:val="20"/>
              </w:rPr>
              <w:t>environmental-related benefits, benefits to underserved</w:t>
            </w:r>
            <w:r>
              <w:rPr>
                <w:rFonts w:ascii="Palatino Linotype" w:hAnsi="Palatino Linotype"/>
                <w:i/>
                <w:iCs/>
                <w:sz w:val="20"/>
                <w:szCs w:val="20"/>
              </w:rPr>
              <w:t xml:space="preserve"> </w:t>
            </w:r>
            <w:r w:rsidRPr="00347453">
              <w:rPr>
                <w:rFonts w:ascii="Palatino Linotype" w:hAnsi="Palatino Linotype"/>
                <w:i/>
                <w:iCs/>
                <w:sz w:val="20"/>
                <w:szCs w:val="20"/>
              </w:rPr>
              <w:t>communities, and numeric targets or a specified numeric</w:t>
            </w:r>
            <w:r w:rsidRPr="00FB1ACE">
              <w:rPr>
                <w:rFonts w:ascii="Palatino Linotype" w:hAnsi="Palatino Linotype"/>
                <w:i/>
                <w:iCs/>
                <w:sz w:val="20"/>
                <w:szCs w:val="20"/>
              </w:rPr>
              <w:t xml:space="preserve"> range of potential benefits for projects</w:t>
            </w:r>
            <w:r>
              <w:rPr>
                <w:rFonts w:ascii="Palatino Linotype" w:hAnsi="Palatino Linotype"/>
                <w:i/>
                <w:iCs/>
                <w:sz w:val="20"/>
                <w:szCs w:val="20"/>
              </w:rPr>
              <w:t>.</w:t>
            </w:r>
            <w:r>
              <w:rPr>
                <w:rStyle w:val="FootnoteReference"/>
                <w:rFonts w:ascii="Palatino Linotype" w:hAnsi="Palatino Linotype"/>
                <w:i/>
                <w:iCs/>
                <w:sz w:val="20"/>
                <w:szCs w:val="20"/>
              </w:rPr>
              <w:footnoteReference w:id="156"/>
            </w:r>
            <w:r w:rsidRPr="00FB1ACE">
              <w:rPr>
                <w:rFonts w:ascii="Palatino Linotype" w:hAnsi="Palatino Linotype"/>
                <w:sz w:val="20"/>
                <w:szCs w:val="20"/>
              </w:rPr>
              <w:t xml:space="preserve"> </w:t>
            </w:r>
          </w:p>
        </w:tc>
        <w:tc>
          <w:tcPr>
            <w:tcW w:w="4770" w:type="dxa"/>
          </w:tcPr>
          <w:p w:rsidRPr="00F358EB" w:rsidR="00801EA4" w:rsidRDefault="00801EA4" w14:paraId="4CA35DCD" w14:textId="77777777">
            <w:pPr>
              <w:rPr>
                <w:rFonts w:ascii="Palatino Linotype" w:hAnsi="Palatino Linotype"/>
                <w:color w:val="000000" w:themeColor="text1"/>
                <w:sz w:val="20"/>
                <w:szCs w:val="20"/>
              </w:rPr>
            </w:pPr>
            <w:r w:rsidRPr="00F358EB">
              <w:rPr>
                <w:rFonts w:ascii="Palatino Linotype" w:hAnsi="Palatino Linotype" w:eastAsia="Palatino Linotype" w:cs="Times New Roman"/>
                <w:color w:val="000000" w:themeColor="text1"/>
                <w:sz w:val="20"/>
                <w:szCs w:val="20"/>
              </w:rPr>
              <w:t>PG&amp;E describes intended benefits from the Gas System Integrity and Decarbonization Themes</w:t>
            </w:r>
            <w:r w:rsidRPr="00F358EB">
              <w:rPr>
                <w:rFonts w:ascii="Palatino Linotype" w:hAnsi="Palatino Linotype"/>
                <w:color w:val="000000" w:themeColor="text1"/>
                <w:sz w:val="20"/>
                <w:szCs w:val="20"/>
              </w:rPr>
              <w:t xml:space="preserve"> and proposes a framework with suggested metrics related to reliability; safety; equity; operational efficiency and improved affordability; reduced greenhouse gas (GHG) emissions; improved air quality; effectiveness of information sharing; adoption of Gas RD&amp;D technology; technology development progress; and informed industry and/or company standards.</w:t>
            </w:r>
            <w:r w:rsidRPr="00F358EB">
              <w:rPr>
                <w:rStyle w:val="FootnoteReference"/>
                <w:rFonts w:ascii="Palatino Linotype" w:hAnsi="Palatino Linotype"/>
                <w:color w:val="000000" w:themeColor="text1"/>
                <w:sz w:val="20"/>
                <w:szCs w:val="20"/>
              </w:rPr>
              <w:footnoteReference w:id="157"/>
            </w:r>
            <w:r w:rsidRPr="00F358EB">
              <w:rPr>
                <w:rFonts w:ascii="Palatino Linotype" w:hAnsi="Palatino Linotype"/>
                <w:color w:val="000000" w:themeColor="text1"/>
                <w:sz w:val="20"/>
                <w:szCs w:val="20"/>
              </w:rPr>
              <w:t xml:space="preserve"> </w:t>
            </w:r>
            <w:r w:rsidRPr="00F358EB">
              <w:rPr>
                <w:rFonts w:ascii="Palatino Linotype" w:hAnsi="Palatino Linotype" w:eastAsia="Palatino Linotype" w:cs="Times New Roman"/>
                <w:color w:val="000000" w:themeColor="text1"/>
                <w:sz w:val="20"/>
                <w:szCs w:val="20"/>
              </w:rPr>
              <w:t xml:space="preserve">PG&amp;E describes specific metrics for assessing ratepayer benefits at </w:t>
            </w:r>
            <w:r w:rsidRPr="00F358EB">
              <w:rPr>
                <w:rFonts w:ascii="Palatino Linotype" w:hAnsi="Palatino Linotype" w:eastAsia="Palatino Linotype" w:cs="Times New Roman"/>
                <w:color w:val="000000" w:themeColor="text1"/>
                <w:sz w:val="20"/>
                <w:szCs w:val="20"/>
              </w:rPr>
              <w:lastRenderedPageBreak/>
              <w:t>the Initiative level.</w:t>
            </w:r>
            <w:r w:rsidRPr="00F358EB">
              <w:rPr>
                <w:rStyle w:val="FootnoteReference"/>
                <w:rFonts w:ascii="Palatino Linotype" w:hAnsi="Palatino Linotype" w:eastAsia="Palatino Linotype" w:cs="Times New Roman"/>
                <w:color w:val="000000" w:themeColor="text1"/>
                <w:sz w:val="20"/>
                <w:szCs w:val="20"/>
              </w:rPr>
              <w:footnoteReference w:id="158"/>
            </w:r>
            <w:r w:rsidRPr="00F358EB">
              <w:rPr>
                <w:rFonts w:ascii="Palatino Linotype" w:hAnsi="Palatino Linotype" w:eastAsia="Palatino Linotype" w:cs="Times New Roman"/>
                <w:color w:val="000000" w:themeColor="text1"/>
                <w:sz w:val="20"/>
                <w:szCs w:val="20"/>
              </w:rPr>
              <w:t xml:space="preserve"> PG&amp;E includes a benefits assessment of PG&amp;E’s Gas RD&amp;D Projects, stating “[e]</w:t>
            </w:r>
            <w:proofErr w:type="spellStart"/>
            <w:r w:rsidRPr="00F358EB">
              <w:rPr>
                <w:rFonts w:ascii="Palatino Linotype" w:hAnsi="Palatino Linotype" w:eastAsia="Palatino Linotype" w:cs="Times New Roman"/>
                <w:color w:val="000000" w:themeColor="text1"/>
                <w:sz w:val="20"/>
                <w:szCs w:val="20"/>
              </w:rPr>
              <w:t>stimated</w:t>
            </w:r>
            <w:proofErr w:type="spellEnd"/>
            <w:r w:rsidRPr="00F358EB">
              <w:rPr>
                <w:rFonts w:ascii="Palatino Linotype" w:hAnsi="Palatino Linotype" w:eastAsia="Palatino Linotype" w:cs="Times New Roman"/>
                <w:color w:val="000000" w:themeColor="text1"/>
                <w:sz w:val="20"/>
                <w:szCs w:val="20"/>
              </w:rPr>
              <w:t xml:space="preserve"> Annual Benefits reflect projected gross system-level benefits under modeled deployment scenarios. Final reported impacts will be evaluated using the Uniform Impact Framework and will reflect incremental, attributable benefits relative to defined baseline conditions. Gas RD&amp;D staff estimate annual savings of $48,122,516.”</w:t>
            </w:r>
            <w:r w:rsidRPr="00F358EB">
              <w:rPr>
                <w:rStyle w:val="FootnoteReference"/>
                <w:rFonts w:ascii="Palatino Linotype" w:hAnsi="Palatino Linotype" w:eastAsia="Palatino Linotype" w:cs="Times New Roman"/>
                <w:color w:val="000000" w:themeColor="text1"/>
                <w:sz w:val="20"/>
                <w:szCs w:val="20"/>
              </w:rPr>
              <w:footnoteReference w:id="159"/>
            </w:r>
            <w:r w:rsidRPr="00F358EB">
              <w:rPr>
                <w:rFonts w:ascii="Palatino Linotype" w:hAnsi="Palatino Linotype" w:eastAsia="Palatino Linotype" w:cs="Times New Roman"/>
                <w:color w:val="000000" w:themeColor="text1"/>
                <w:sz w:val="20"/>
                <w:szCs w:val="20"/>
              </w:rPr>
              <w:t xml:space="preserve"> </w:t>
            </w:r>
            <w:r w:rsidRPr="00F358EB">
              <w:rPr>
                <w:rFonts w:ascii="Palatino Linotype" w:hAnsi="Palatino Linotype"/>
                <w:color w:val="000000" w:themeColor="text1"/>
                <w:sz w:val="20"/>
                <w:szCs w:val="20"/>
              </w:rPr>
              <w:t>PG&amp;E states that “each project proposal will include a structured impact assessment section that identifies: (1) the expected causal pathway from RD&amp;D activity to ratepayer benefit; (2) measurable indicators aligned with Uniform Impact metrics; (3) the anticipated timeframe for realization of outcomes and impacts; and (4) a justification for why the proposed benefits would not otherwise occur absent Gas RD&amp;D investment.”</w:t>
            </w:r>
            <w:r w:rsidRPr="00F358EB">
              <w:rPr>
                <w:rStyle w:val="FootnoteReference"/>
                <w:rFonts w:ascii="Palatino Linotype" w:hAnsi="Palatino Linotype"/>
                <w:color w:val="000000" w:themeColor="text1"/>
                <w:sz w:val="20"/>
                <w:szCs w:val="20"/>
              </w:rPr>
              <w:footnoteReference w:id="160"/>
            </w:r>
            <w:r w:rsidRPr="00F358EB">
              <w:rPr>
                <w:rFonts w:ascii="Palatino Linotype" w:hAnsi="Palatino Linotype"/>
                <w:color w:val="000000" w:themeColor="text1"/>
                <w:sz w:val="20"/>
                <w:szCs w:val="20"/>
              </w:rPr>
              <w:t xml:space="preserve"> PG&amp;E updated its Assumptions section in its resubmitted 2024 Plan, stating: “Reported impacts will reflect incremental, attributable benefits associated with Gas RD&amp;D funding and will exclude benefits reasonably expected to occur absent the RD&amp;D investment due to regulatory mandates, compliance activities, or independent market trends.”</w:t>
            </w:r>
            <w:r w:rsidRPr="00F358EB">
              <w:rPr>
                <w:rStyle w:val="FootnoteReference"/>
                <w:rFonts w:ascii="Palatino Linotype" w:hAnsi="Palatino Linotype"/>
                <w:color w:val="000000" w:themeColor="text1"/>
                <w:sz w:val="20"/>
                <w:szCs w:val="20"/>
              </w:rPr>
              <w:footnoteReference w:id="161"/>
            </w:r>
            <w:r w:rsidRPr="00F358EB">
              <w:rPr>
                <w:rFonts w:ascii="Palatino Linotype" w:hAnsi="Palatino Linotype"/>
                <w:color w:val="000000" w:themeColor="text1"/>
                <w:sz w:val="20"/>
                <w:szCs w:val="20"/>
              </w:rPr>
              <w:t xml:space="preserve"> PG&amp;E updated its Net Impacts section in its resubmitted 2024 Plan </w:t>
            </w:r>
            <w:r w:rsidRPr="00F358EB">
              <w:rPr>
                <w:rFonts w:ascii="Palatino Linotype" w:hAnsi="Palatino Linotype"/>
                <w:color w:val="000000" w:themeColor="text1"/>
                <w:sz w:val="20"/>
                <w:szCs w:val="20"/>
              </w:rPr>
              <w:lastRenderedPageBreak/>
              <w:t>to clarify that “Gas RD&amp;D activities do not fund or replace operational compliance activities.”</w:t>
            </w:r>
            <w:r w:rsidRPr="00F358EB">
              <w:rPr>
                <w:rStyle w:val="FootnoteReference"/>
                <w:rFonts w:ascii="Palatino Linotype" w:hAnsi="Palatino Linotype"/>
                <w:color w:val="000000" w:themeColor="text1"/>
                <w:sz w:val="20"/>
                <w:szCs w:val="20"/>
              </w:rPr>
              <w:footnoteReference w:id="162"/>
            </w:r>
            <w:r w:rsidRPr="00F358EB">
              <w:rPr>
                <w:rFonts w:ascii="Palatino Linotype" w:hAnsi="Palatino Linotype"/>
                <w:color w:val="000000" w:themeColor="text1"/>
                <w:sz w:val="20"/>
                <w:szCs w:val="20"/>
              </w:rPr>
              <w:t xml:space="preserve"> In particular, for the Innovative and Cost-Effective Integrity Management Initiative, PG&amp;E clarifies that, “while compliance obligations under the PHMSA Mega Rule and </w:t>
            </w:r>
            <w:proofErr w:type="spellStart"/>
            <w:r w:rsidRPr="00F358EB">
              <w:rPr>
                <w:rFonts w:ascii="Palatino Linotype" w:hAnsi="Palatino Linotype"/>
                <w:color w:val="000000" w:themeColor="text1"/>
                <w:sz w:val="20"/>
                <w:szCs w:val="20"/>
              </w:rPr>
              <w:t>CalGEM</w:t>
            </w:r>
            <w:proofErr w:type="spellEnd"/>
            <w:r w:rsidRPr="00F358EB">
              <w:rPr>
                <w:rFonts w:ascii="Palatino Linotype" w:hAnsi="Palatino Linotype"/>
                <w:color w:val="000000" w:themeColor="text1"/>
                <w:sz w:val="20"/>
                <w:szCs w:val="20"/>
              </w:rPr>
              <w:t xml:space="preserve"> mandates drive baseline safety and environmental outcomes, this initiative focuses on developing more cost-effective, less intrusive, and more operationally efficient methods of achieving those required outcomes during the energy transition.”</w:t>
            </w:r>
            <w:r w:rsidRPr="00F358EB">
              <w:rPr>
                <w:rStyle w:val="FootnoteReference"/>
                <w:rFonts w:ascii="Palatino Linotype" w:hAnsi="Palatino Linotype"/>
                <w:color w:val="000000" w:themeColor="text1"/>
                <w:sz w:val="20"/>
                <w:szCs w:val="20"/>
              </w:rPr>
              <w:footnoteReference w:id="163"/>
            </w:r>
          </w:p>
        </w:tc>
        <w:tc>
          <w:tcPr>
            <w:tcW w:w="4140" w:type="dxa"/>
          </w:tcPr>
          <w:p w:rsidRPr="00711B05" w:rsidR="00801EA4" w:rsidRDefault="00801EA4" w14:paraId="3252558B"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The Commission’s Uniform Impact Analysis Foundational Principles outline </w:t>
            </w:r>
            <w:r w:rsidRPr="00711B05">
              <w:rPr>
                <w:rFonts w:ascii="Palatino Linotype" w:hAnsi="Palatino Linotype"/>
                <w:color w:val="000000" w:themeColor="text1"/>
                <w:sz w:val="20"/>
                <w:szCs w:val="20"/>
              </w:rPr>
              <w:t xml:space="preserve">criteria for </w:t>
            </w:r>
            <w:r w:rsidRPr="00711B05">
              <w:rPr>
                <w:rFonts w:ascii="Palatino Linotype" w:hAnsi="Palatino Linotype" w:eastAsia="Century Gothic" w:cs="Century Gothic"/>
                <w:color w:val="000000" w:themeColor="text1"/>
                <w:sz w:val="20"/>
                <w:szCs w:val="20"/>
              </w:rPr>
              <w:t xml:space="preserve">demonstrating impacts </w:t>
            </w:r>
            <w:r w:rsidRPr="00711B05">
              <w:rPr>
                <w:rFonts w:ascii="Palatino Linotype" w:hAnsi="Palatino Linotype" w:eastAsia="Palatino Linotype" w:cs="Times New Roman"/>
                <w:color w:val="000000" w:themeColor="text1"/>
                <w:sz w:val="20"/>
                <w:szCs w:val="20"/>
              </w:rPr>
              <w:t>attributable to each distinct RD&amp;D investment,</w:t>
            </w:r>
            <w:r w:rsidRPr="00711B05">
              <w:rPr>
                <w:rStyle w:val="FootnoteReference"/>
                <w:rFonts w:ascii="Palatino Linotype" w:hAnsi="Palatino Linotype" w:eastAsia="Palatino Linotype" w:cs="Times New Roman"/>
                <w:color w:val="000000" w:themeColor="text1"/>
                <w:sz w:val="20"/>
                <w:szCs w:val="20"/>
              </w:rPr>
              <w:footnoteReference w:id="164"/>
            </w:r>
            <w:r w:rsidRPr="00711B05">
              <w:rPr>
                <w:rFonts w:ascii="Palatino Linotype" w:hAnsi="Palatino Linotype" w:eastAsia="Palatino Linotype" w:cs="Times New Roman"/>
                <w:color w:val="000000" w:themeColor="text1"/>
                <w:sz w:val="20"/>
                <w:szCs w:val="20"/>
              </w:rPr>
              <w:t xml:space="preserve"> which must otherwise not be expected to occur.</w:t>
            </w:r>
            <w:r w:rsidRPr="00711B05">
              <w:rPr>
                <w:rStyle w:val="FootnoteReference"/>
                <w:rFonts w:ascii="Palatino Linotype" w:hAnsi="Palatino Linotype" w:eastAsia="Palatino Linotype" w:cs="Times New Roman"/>
                <w:color w:val="000000" w:themeColor="text1"/>
                <w:sz w:val="20"/>
                <w:szCs w:val="20"/>
              </w:rPr>
              <w:footnoteReference w:id="165"/>
            </w:r>
            <w:r w:rsidRPr="00711B05">
              <w:rPr>
                <w:rFonts w:ascii="Palatino Linotype" w:hAnsi="Palatino Linotype" w:eastAsia="Palatino Linotype" w:cs="Times New Roman"/>
                <w:color w:val="000000" w:themeColor="text1"/>
                <w:sz w:val="20"/>
                <w:szCs w:val="20"/>
              </w:rPr>
              <w:t xml:space="preserve"> PG&amp;E demonstrates anticipated impacts are attributable to each Initiative through discussion on baseline scenarios. </w:t>
            </w:r>
            <w:r w:rsidRPr="00711B05">
              <w:rPr>
                <w:rFonts w:ascii="Palatino Linotype" w:hAnsi="Palatino Linotype" w:eastAsia="Palatino Linotype" w:cs="Times New Roman"/>
                <w:b/>
                <w:bCs w:val="0"/>
                <w:color w:val="000000" w:themeColor="text1"/>
                <w:sz w:val="20"/>
                <w:szCs w:val="20"/>
              </w:rPr>
              <w:t>PG&amp;E is compliant with this requirement.</w:t>
            </w:r>
          </w:p>
        </w:tc>
      </w:tr>
      <w:tr w:rsidR="00801EA4" w:rsidTr="00917561" w14:paraId="50C6C08B" w14:textId="77777777">
        <w:tc>
          <w:tcPr>
            <w:tcW w:w="3865" w:type="dxa"/>
          </w:tcPr>
          <w:p w:rsidR="00801EA4" w:rsidRDefault="00801EA4" w14:paraId="2B6A751B" w14:textId="77777777">
            <w:pPr>
              <w:rPr>
                <w:rFonts w:ascii="Palatino Linotype" w:hAnsi="Palatino Linotype"/>
                <w:i/>
                <w:iCs/>
                <w:sz w:val="20"/>
                <w:szCs w:val="20"/>
              </w:rPr>
            </w:pPr>
            <w:hyperlink w:history="1" r:id="rId20">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proofErr w:type="gramStart"/>
            <w:r w:rsidRPr="00DB1752">
              <w:rPr>
                <w:rFonts w:ascii="Palatino Linotype" w:hAnsi="Palatino Linotype"/>
                <w:i/>
                <w:iCs/>
                <w:sz w:val="20"/>
                <w:szCs w:val="20"/>
              </w:rPr>
              <w:t>detail</w:t>
            </w:r>
            <w:proofErr w:type="gramEnd"/>
            <w:r w:rsidRPr="00DB1752">
              <w:rPr>
                <w:rFonts w:ascii="Palatino Linotype" w:hAnsi="Palatino Linotype"/>
                <w:i/>
                <w:iCs/>
                <w:sz w:val="20"/>
                <w:szCs w:val="20"/>
              </w:rPr>
              <w:t xml:space="preserve">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footnoteReference w:id="166"/>
            </w:r>
          </w:p>
          <w:p w:rsidR="00801EA4" w:rsidRDefault="00801EA4" w14:paraId="2E1B648D" w14:textId="77777777">
            <w:pPr>
              <w:rPr>
                <w:rFonts w:ascii="Palatino Linotype" w:hAnsi="Palatino Linotype"/>
                <w:i/>
                <w:iCs/>
                <w:sz w:val="20"/>
                <w:szCs w:val="20"/>
              </w:rPr>
            </w:pPr>
          </w:p>
          <w:p w:rsidRPr="00AF6D02" w:rsidR="00801EA4" w:rsidRDefault="00801EA4" w14:paraId="6BED4398" w14:textId="77777777">
            <w:pPr>
              <w:rPr>
                <w:rFonts w:ascii="Palatino Linotype" w:hAnsi="Palatino Linotype"/>
                <w:i/>
                <w:iCs/>
                <w:sz w:val="20"/>
                <w:szCs w:val="20"/>
              </w:rPr>
            </w:pPr>
            <w:r w:rsidRPr="00D13FD1">
              <w:rPr>
                <w:rFonts w:ascii="Palatino Linotype" w:hAnsi="Palatino Linotype"/>
                <w:sz w:val="20"/>
                <w:szCs w:val="20"/>
              </w:rPr>
              <w:t>See also:</w:t>
            </w:r>
            <w:r>
              <w:rPr>
                <w:rFonts w:ascii="Palatino Linotype" w:hAnsi="Palatino Linotype"/>
                <w:i/>
                <w:iCs/>
                <w:sz w:val="20"/>
                <w:szCs w:val="20"/>
              </w:rPr>
              <w:t xml:space="preserve"> </w:t>
            </w:r>
            <w:r w:rsidRPr="00877841">
              <w:rPr>
                <w:rFonts w:ascii="Palatino Linotype" w:hAnsi="Palatino Linotype" w:eastAsia="Palatino Linotype" w:cs="Times New Roman"/>
                <w:color w:val="000000" w:themeColor="text1"/>
                <w:sz w:val="20"/>
                <w:szCs w:val="20"/>
              </w:rPr>
              <w:t>D.23-11-069 approved a Test Year 2023 Gas RD&amp;D budget of $7.414</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and escalation factor authorizing a</w:t>
            </w:r>
            <w:r>
              <w:rPr>
                <w:rFonts w:ascii="Palatino Linotype" w:hAnsi="Palatino Linotype" w:eastAsia="Palatino Linotype" w:cs="Times New Roman"/>
                <w:color w:val="000000" w:themeColor="text1"/>
                <w:sz w:val="20"/>
                <w:szCs w:val="20"/>
              </w:rPr>
              <w:t>n</w:t>
            </w:r>
            <w:r w:rsidRPr="00877841">
              <w:rPr>
                <w:rFonts w:ascii="Palatino Linotype" w:hAnsi="Palatino Linotype" w:eastAsia="Palatino Linotype" w:cs="Times New Roman"/>
                <w:color w:val="000000" w:themeColor="text1"/>
                <w:sz w:val="20"/>
                <w:szCs w:val="20"/>
              </w:rPr>
              <w:t xml:space="preserve"> $8.09</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annual bud</w:t>
            </w:r>
            <w:r w:rsidRPr="00F358EB">
              <w:rPr>
                <w:rFonts w:ascii="Palatino Linotype" w:hAnsi="Palatino Linotype" w:eastAsia="Palatino Linotype" w:cs="Times New Roman"/>
                <w:color w:val="000000" w:themeColor="text1"/>
                <w:sz w:val="20"/>
                <w:szCs w:val="20"/>
              </w:rPr>
              <w:t xml:space="preserve">get cap </w:t>
            </w:r>
            <w:r w:rsidRPr="00877841">
              <w:rPr>
                <w:rFonts w:ascii="Palatino Linotype" w:hAnsi="Palatino Linotype" w:eastAsia="Palatino Linotype" w:cs="Times New Roman"/>
                <w:color w:val="000000" w:themeColor="text1"/>
                <w:sz w:val="20"/>
                <w:szCs w:val="20"/>
              </w:rPr>
              <w:t xml:space="preserve">for PG&amp;E’s </w:t>
            </w:r>
            <w:r w:rsidRPr="00877841">
              <w:rPr>
                <w:rFonts w:ascii="Palatino Linotype" w:hAnsi="Palatino Linotype" w:eastAsia="Palatino Linotype" w:cs="Times New Roman"/>
                <w:color w:val="000000" w:themeColor="text1"/>
                <w:sz w:val="20"/>
                <w:szCs w:val="20"/>
              </w:rPr>
              <w:lastRenderedPageBreak/>
              <w:t>2024 Plan, pending Commission approval.</w:t>
            </w:r>
            <w:r w:rsidRPr="00877841">
              <w:rPr>
                <w:rStyle w:val="FootnoteReference"/>
                <w:rFonts w:ascii="Palatino Linotype" w:hAnsi="Palatino Linotype" w:eastAsia="Palatino Linotype" w:cs="Times New Roman"/>
                <w:color w:val="000000" w:themeColor="text1"/>
                <w:sz w:val="20"/>
                <w:szCs w:val="20"/>
              </w:rPr>
              <w:footnoteReference w:id="167"/>
            </w:r>
          </w:p>
        </w:tc>
        <w:tc>
          <w:tcPr>
            <w:tcW w:w="4770" w:type="dxa"/>
          </w:tcPr>
          <w:p w:rsidRPr="00F358EB" w:rsidR="00801EA4" w:rsidRDefault="00801EA4" w14:paraId="08471E46" w14:textId="77777777">
            <w:pPr>
              <w:rPr>
                <w:rFonts w:ascii="Palatino Linotype" w:hAnsi="Palatino Linotype" w:eastAsia="Palatino Linotype" w:cs="Times New Roman"/>
                <w:color w:val="000000" w:themeColor="text1"/>
                <w:sz w:val="20"/>
                <w:szCs w:val="20"/>
              </w:rPr>
            </w:pPr>
            <w:r w:rsidRPr="00F358EB">
              <w:rPr>
                <w:rFonts w:ascii="Palatino Linotype" w:hAnsi="Palatino Linotype" w:eastAsia="Palatino Linotype" w:cs="Times New Roman"/>
                <w:color w:val="000000" w:themeColor="text1"/>
                <w:sz w:val="20"/>
                <w:szCs w:val="20"/>
              </w:rPr>
              <w:lastRenderedPageBreak/>
              <w:t xml:space="preserve">PG&amp;E proposes a total budget of $1,945,797 for its 2024 Plan, including $1,136,597 for Initiatives and </w:t>
            </w:r>
          </w:p>
          <w:p w:rsidRPr="00F358EB" w:rsidR="00801EA4" w:rsidRDefault="00801EA4" w14:paraId="2B61273E" w14:textId="77777777">
            <w:pPr>
              <w:rPr>
                <w:rFonts w:ascii="Palatino Linotype" w:hAnsi="Palatino Linotype" w:eastAsia="Palatino Linotype" w:cs="Times New Roman"/>
                <w:color w:val="000000" w:themeColor="text1"/>
                <w:sz w:val="20"/>
                <w:szCs w:val="20"/>
              </w:rPr>
            </w:pPr>
            <w:r w:rsidRPr="00F358EB">
              <w:rPr>
                <w:rFonts w:ascii="Palatino Linotype" w:hAnsi="Palatino Linotype" w:eastAsia="Palatino Linotype" w:cs="Times New Roman"/>
                <w:color w:val="000000" w:themeColor="text1"/>
                <w:sz w:val="20"/>
                <w:szCs w:val="20"/>
              </w:rPr>
              <w:t>$809,200 for Program Administrative costs.</w:t>
            </w:r>
            <w:r w:rsidRPr="00F358EB">
              <w:rPr>
                <w:rStyle w:val="FootnoteReference"/>
                <w:rFonts w:ascii="Palatino Linotype" w:hAnsi="Palatino Linotype" w:eastAsia="Palatino Linotype" w:cs="Times New Roman"/>
                <w:color w:val="000000" w:themeColor="text1"/>
                <w:sz w:val="20"/>
                <w:szCs w:val="20"/>
              </w:rPr>
              <w:footnoteReference w:id="168"/>
            </w:r>
            <w:r w:rsidRPr="00F358EB">
              <w:rPr>
                <w:rFonts w:ascii="Palatino Linotype" w:hAnsi="Palatino Linotype" w:eastAsia="Palatino Linotype" w:cs="Times New Roman"/>
                <w:color w:val="000000" w:themeColor="text1"/>
                <w:sz w:val="20"/>
                <w:szCs w:val="20"/>
              </w:rPr>
              <w:t xml:space="preserve"> PG&amp;E further delineates administrative costs into activity categories by percentage.</w:t>
            </w:r>
            <w:r w:rsidRPr="00F358EB">
              <w:rPr>
                <w:rStyle w:val="FootnoteReference"/>
                <w:rFonts w:ascii="Palatino Linotype" w:hAnsi="Palatino Linotype" w:eastAsia="Palatino Linotype" w:cs="Times New Roman"/>
                <w:color w:val="000000" w:themeColor="text1"/>
                <w:sz w:val="20"/>
                <w:szCs w:val="20"/>
              </w:rPr>
              <w:footnoteReference w:id="169"/>
            </w:r>
            <w:r w:rsidRPr="00F358EB">
              <w:rPr>
                <w:rFonts w:ascii="Palatino Linotype" w:hAnsi="Palatino Linotype" w:eastAsia="Palatino Linotype" w:cs="Times New Roman"/>
                <w:color w:val="000000" w:themeColor="text1"/>
                <w:sz w:val="20"/>
                <w:szCs w:val="20"/>
              </w:rPr>
              <w:t xml:space="preserve"> </w:t>
            </w:r>
          </w:p>
        </w:tc>
        <w:tc>
          <w:tcPr>
            <w:tcW w:w="4140" w:type="dxa"/>
          </w:tcPr>
          <w:p w:rsidRPr="00711B05" w:rsidR="00801EA4" w:rsidRDefault="00801EA4" w14:paraId="492B37C3" w14:textId="77777777">
            <w:pPr>
              <w:rPr>
                <w:rFonts w:ascii="Palatino Linotype" w:hAnsi="Palatino Linotype"/>
                <w:b/>
                <w:bCs w:val="0"/>
                <w:color w:val="000000" w:themeColor="text1"/>
                <w:sz w:val="20"/>
                <w:szCs w:val="20"/>
              </w:rPr>
            </w:pPr>
            <w:r w:rsidRPr="00F358EB">
              <w:rPr>
                <w:rFonts w:ascii="Palatino Linotype" w:hAnsi="Palatino Linotype"/>
                <w:color w:val="000000" w:themeColor="text1"/>
                <w:sz w:val="20"/>
                <w:szCs w:val="20"/>
              </w:rPr>
              <w:t xml:space="preserve">PG&amp;E allocates proposed Program Administrative costs to specific categories using </w:t>
            </w:r>
            <w:r w:rsidRPr="00711B05">
              <w:rPr>
                <w:rFonts w:ascii="Palatino Linotype" w:hAnsi="Palatino Linotype"/>
                <w:color w:val="000000" w:themeColor="text1"/>
                <w:sz w:val="20"/>
                <w:szCs w:val="20"/>
              </w:rPr>
              <w:t>the required Administrative Budget template.</w:t>
            </w:r>
            <w:r w:rsidRPr="00711B05">
              <w:rPr>
                <w:rFonts w:ascii="Palatino Linotype" w:hAnsi="Palatino Linotype"/>
                <w:bCs w:val="0"/>
                <w:color w:val="000000" w:themeColor="text1"/>
                <w:sz w:val="20"/>
                <w:szCs w:val="20"/>
              </w:rPr>
              <w:t xml:space="preserve"> </w:t>
            </w:r>
            <w:r w:rsidRPr="00711B05">
              <w:rPr>
                <w:rFonts w:ascii="Palatino Linotype" w:hAnsi="Palatino Linotype"/>
                <w:b/>
                <w:color w:val="000000" w:themeColor="text1"/>
                <w:sz w:val="20"/>
                <w:szCs w:val="20"/>
              </w:rPr>
              <w:t>PG</w:t>
            </w:r>
            <w:r w:rsidRPr="00711B05">
              <w:rPr>
                <w:rFonts w:ascii="Palatino Linotype" w:hAnsi="Palatino Linotype"/>
                <w:b/>
                <w:bCs w:val="0"/>
                <w:color w:val="000000" w:themeColor="text1"/>
                <w:sz w:val="20"/>
                <w:szCs w:val="20"/>
              </w:rPr>
              <w:t>&amp;E is compliant with this requirement.</w:t>
            </w:r>
          </w:p>
          <w:p w:rsidRPr="00711B05" w:rsidR="00801EA4" w:rsidRDefault="00801EA4" w14:paraId="1A06FD33" w14:textId="77777777">
            <w:pPr>
              <w:rPr>
                <w:rFonts w:ascii="Palatino Linotype" w:hAnsi="Palatino Linotype"/>
                <w:bCs w:val="0"/>
                <w:color w:val="000000" w:themeColor="text1"/>
                <w:sz w:val="20"/>
                <w:szCs w:val="20"/>
              </w:rPr>
            </w:pPr>
          </w:p>
          <w:p w:rsidRPr="00F358EB" w:rsidR="00801EA4" w:rsidRDefault="00801EA4" w14:paraId="192C3A56" w14:textId="72782403">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PG&amp;E’s request for a Program Administrative budget of $809,200 is greater than 10 percent of its proposed total budget.</w:t>
            </w:r>
            <w:r w:rsidRPr="00711B05" w:rsidR="00213989">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 xml:space="preserve">PG&amp;E is </w:t>
            </w:r>
            <w:r w:rsidRPr="00711B05">
              <w:rPr>
                <w:rFonts w:ascii="Palatino Linotype" w:hAnsi="Palatino Linotype"/>
                <w:b/>
                <w:bCs w:val="0"/>
                <w:i/>
                <w:iCs/>
                <w:color w:val="000000" w:themeColor="text1"/>
                <w:sz w:val="20"/>
                <w:szCs w:val="20"/>
              </w:rPr>
              <w:t>not</w:t>
            </w:r>
            <w:r w:rsidRPr="00711B05">
              <w:rPr>
                <w:rFonts w:ascii="Palatino Linotype" w:hAnsi="Palatino Linotype"/>
                <w:b/>
                <w:bCs w:val="0"/>
                <w:color w:val="000000" w:themeColor="text1"/>
                <w:sz w:val="20"/>
                <w:szCs w:val="20"/>
              </w:rPr>
              <w:t xml:space="preserve"> compliant with this</w:t>
            </w:r>
            <w:r w:rsidRPr="00711B05" w:rsidR="4E17E552">
              <w:rPr>
                <w:rFonts w:ascii="Palatino Linotype" w:hAnsi="Palatino Linotype"/>
                <w:b/>
                <w:color w:val="000000" w:themeColor="text1"/>
                <w:sz w:val="20"/>
                <w:szCs w:val="20"/>
              </w:rPr>
              <w:t xml:space="preserve"> </w:t>
            </w:r>
            <w:r w:rsidRPr="00711B05">
              <w:rPr>
                <w:rFonts w:ascii="Palatino Linotype" w:hAnsi="Palatino Linotype"/>
                <w:b/>
                <w:bCs w:val="0"/>
                <w:color w:val="000000" w:themeColor="text1"/>
                <w:sz w:val="20"/>
                <w:szCs w:val="20"/>
              </w:rPr>
              <w:t>requirement.</w:t>
            </w:r>
          </w:p>
        </w:tc>
      </w:tr>
      <w:tr w:rsidR="00801EA4" w:rsidTr="00917561" w14:paraId="5C19098A" w14:textId="77777777">
        <w:tc>
          <w:tcPr>
            <w:tcW w:w="3865" w:type="dxa"/>
          </w:tcPr>
          <w:p w:rsidRPr="00AD173B" w:rsidR="00801EA4" w:rsidRDefault="00801EA4" w14:paraId="73D58363" w14:textId="77777777">
            <w:pPr>
              <w:rPr>
                <w:rFonts w:ascii="Palatino Linotype" w:hAnsi="Palatino Linotype"/>
                <w:color w:val="000000" w:themeColor="text1"/>
                <w:sz w:val="20"/>
                <w:szCs w:val="20"/>
              </w:rPr>
            </w:pPr>
            <w:hyperlink w:history="1" r:id="rId21">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(4)</w:t>
            </w:r>
            <w:r w:rsidRPr="007B3378">
              <w:rPr>
                <w:rFonts w:ascii="Palatino Linotype" w:hAnsi="Palatino Linotype"/>
                <w:i/>
                <w:iCs/>
                <w:color w:val="000000" w:themeColor="text1"/>
                <w:sz w:val="20"/>
                <w:szCs w:val="20"/>
              </w:rPr>
              <w:t xml:space="preserve"> In its annual research plan, PG&amp;E should explain how its proposals for low carbon research projects (rather than zero/no carbon projects) support the State’s aggressive zero-carbon goals</w:t>
            </w:r>
            <w:r w:rsidRPr="007B3378">
              <w:rPr>
                <w:rFonts w:ascii="Palatino Linotype" w:hAnsi="Palatino Linotype"/>
                <w:color w:val="000000" w:themeColor="text1"/>
                <w:sz w:val="20"/>
                <w:szCs w:val="20"/>
              </w:rPr>
              <w:t>.</w:t>
            </w:r>
            <w:r w:rsidRPr="007B3378">
              <w:rPr>
                <w:rStyle w:val="FootnoteReference"/>
                <w:rFonts w:ascii="Palatino Linotype" w:hAnsi="Palatino Linotype"/>
                <w:color w:val="000000" w:themeColor="text1"/>
                <w:sz w:val="20"/>
                <w:szCs w:val="20"/>
              </w:rPr>
              <w:footnoteReference w:id="170"/>
            </w:r>
          </w:p>
        </w:tc>
        <w:tc>
          <w:tcPr>
            <w:tcW w:w="4770" w:type="dxa"/>
          </w:tcPr>
          <w:p w:rsidRPr="00535F37" w:rsidR="00801EA4" w:rsidRDefault="00801EA4" w14:paraId="611E6692"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PG&amp;E states that “low-carbon RD&amp;D projects can play a crucial role in supporting California's aggressive zero carbon goals by acting as a transitional bridge between the current energy landscape and a zero- or -low carbon future. Consistent with CPUC guidance, these investments are structured to align with active Commission proceedings and to prioritize affordability for ratepayers, particularly with respect to RNG, while carefully evaluating the appropriate role of gas ratepayers in funding hydrogen-related RD&amp;D. These projects can address immediate emission reductions while laying the groundwork for more comprehensive, long-term decarbonization strategies.” PG&amp;E argues that: </w:t>
            </w:r>
          </w:p>
          <w:p w:rsidRPr="00535F37" w:rsidR="00801EA4" w:rsidP="00801EA4" w:rsidRDefault="00801EA4" w14:paraId="6651E7BF"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Low-carbon projects which provide incremental methane emissions reductions from existing gas infrastructure and operations “still represent a substantial improvement over current emission </w:t>
            </w:r>
            <w:proofErr w:type="gramStart"/>
            <w:r w:rsidRPr="00535F37">
              <w:rPr>
                <w:rFonts w:ascii="Palatino Linotype" w:hAnsi="Palatino Linotype" w:eastAsia="Palatino Linotype" w:cs="Times New Roman"/>
                <w:color w:val="000000" w:themeColor="text1"/>
                <w:sz w:val="20"/>
                <w:szCs w:val="20"/>
              </w:rPr>
              <w:t>levels</w:t>
            </w:r>
            <w:proofErr w:type="gramEnd"/>
            <w:r w:rsidRPr="00535F37">
              <w:rPr>
                <w:rFonts w:ascii="Palatino Linotype" w:hAnsi="Palatino Linotype" w:eastAsia="Palatino Linotype" w:cs="Times New Roman"/>
                <w:color w:val="000000" w:themeColor="text1"/>
                <w:sz w:val="20"/>
                <w:szCs w:val="20"/>
              </w:rPr>
              <w:t>.”</w:t>
            </w:r>
          </w:p>
          <w:p w:rsidRPr="00535F37" w:rsidR="00801EA4" w:rsidP="00801EA4" w:rsidRDefault="00801EA4" w14:paraId="6F347C20"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fuels can be integrated into the existing gas infrastructure, providing an immediate reduction in emissions while maintaining energy reliability and affordability.”</w:t>
            </w:r>
          </w:p>
          <w:p w:rsidRPr="00535F37" w:rsidR="00801EA4" w:rsidP="00801EA4" w:rsidRDefault="00801EA4" w14:paraId="4B8ACD7D"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“By developing low-carbon solutions that can be implemented within the existing energy framework, utilities can attempt to avoid economic disruption that might accompany a rapid shift to zero-carbon technologies.”</w:t>
            </w:r>
          </w:p>
          <w:p w:rsidRPr="00535F37" w:rsidR="00801EA4" w:rsidP="00801EA4" w:rsidRDefault="00801EA4" w14:paraId="26FA039C"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projects can “allow for the gradual adaptation of infrastructure, market mechanisms, and consumer behavior.”</w:t>
            </w:r>
          </w:p>
          <w:p w:rsidRPr="00535F37" w:rsidR="00801EA4" w:rsidP="00801EA4" w:rsidRDefault="00801EA4" w14:paraId="60695149"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R&amp;D projects align with state policies that mandate gradual emission reductions and support for renewable energy sources.”</w:t>
            </w:r>
            <w:r w:rsidRPr="00535F37">
              <w:rPr>
                <w:rStyle w:val="FootnoteReference"/>
                <w:rFonts w:ascii="Palatino Linotype" w:hAnsi="Palatino Linotype" w:eastAsia="Palatino Linotype" w:cs="Times New Roman"/>
                <w:color w:val="000000" w:themeColor="text1"/>
                <w:sz w:val="20"/>
                <w:szCs w:val="20"/>
              </w:rPr>
              <w:footnoteReference w:id="171"/>
            </w:r>
          </w:p>
          <w:p w:rsidRPr="00535F37" w:rsidR="00801EA4" w:rsidRDefault="00801EA4" w14:paraId="436040A6"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Per Resolution G-3618,</w:t>
            </w:r>
            <w:r w:rsidRPr="00535F37">
              <w:rPr>
                <w:rStyle w:val="FootnoteReference"/>
                <w:rFonts w:ascii="Palatino Linotype" w:hAnsi="Palatino Linotype" w:eastAsia="Palatino Linotype" w:cs="Times New Roman"/>
                <w:color w:val="000000" w:themeColor="text1"/>
                <w:sz w:val="20"/>
                <w:szCs w:val="20"/>
              </w:rPr>
              <w:footnoteReference w:id="172"/>
            </w:r>
            <w:r w:rsidRPr="00535F37">
              <w:rPr>
                <w:rFonts w:ascii="Palatino Linotype" w:hAnsi="Palatino Linotype" w:eastAsia="Palatino Linotype" w:cs="Times New Roman"/>
                <w:color w:val="000000" w:themeColor="text1"/>
                <w:sz w:val="20"/>
                <w:szCs w:val="20"/>
              </w:rPr>
              <w:t xml:space="preserve"> PG&amp;E states that it “[c]</w:t>
            </w:r>
            <w:proofErr w:type="spellStart"/>
            <w:r w:rsidRPr="00535F37">
              <w:rPr>
                <w:rFonts w:ascii="Palatino Linotype" w:hAnsi="Palatino Linotype" w:eastAsia="Palatino Linotype" w:cs="Times New Roman"/>
                <w:color w:val="000000" w:themeColor="text1"/>
                <w:sz w:val="20"/>
                <w:szCs w:val="20"/>
              </w:rPr>
              <w:t>larified</w:t>
            </w:r>
            <w:proofErr w:type="spellEnd"/>
            <w:r w:rsidRPr="00535F37">
              <w:rPr>
                <w:rFonts w:ascii="Palatino Linotype" w:hAnsi="Palatino Linotype" w:eastAsia="Palatino Linotype" w:cs="Times New Roman"/>
                <w:color w:val="000000" w:themeColor="text1"/>
                <w:sz w:val="20"/>
                <w:szCs w:val="20"/>
              </w:rPr>
              <w:t xml:space="preserve"> and strengthened narrative alignment with California’s zero-carbon end state by explicitly addressing low-carbon RD&amp;D as a near- and medium-term transitional strategy that delivers immediate emissions reductions while enabling infrastructure, market, and system readiness for a zero-carbon future.”</w:t>
            </w:r>
            <w:r w:rsidRPr="00535F37">
              <w:rPr>
                <w:rStyle w:val="FootnoteReference"/>
                <w:rFonts w:ascii="Palatino Linotype" w:hAnsi="Palatino Linotype" w:eastAsia="Palatino Linotype" w:cs="Times New Roman"/>
                <w:color w:val="000000" w:themeColor="text1"/>
                <w:sz w:val="20"/>
                <w:szCs w:val="20"/>
              </w:rPr>
              <w:footnoteReference w:id="173"/>
            </w:r>
          </w:p>
        </w:tc>
        <w:tc>
          <w:tcPr>
            <w:tcW w:w="4140" w:type="dxa"/>
          </w:tcPr>
          <w:p w:rsidRPr="00535F37" w:rsidR="00801EA4" w:rsidRDefault="00801EA4" w14:paraId="5E9D060E" w14:textId="79AF5F67">
            <w:pPr>
              <w:rPr>
                <w:rFonts w:ascii="Palatino Linotype" w:hAnsi="Palatino Linotype"/>
                <w:b/>
                <w:bCs w:val="0"/>
                <w:color w:val="000000" w:themeColor="text1"/>
                <w:sz w:val="20"/>
                <w:szCs w:val="20"/>
              </w:rPr>
            </w:pPr>
            <w:r w:rsidRPr="00535F37">
              <w:rPr>
                <w:rFonts w:ascii="Palatino Linotype" w:hAnsi="Palatino Linotype"/>
                <w:color w:val="000000" w:themeColor="text1"/>
                <w:sz w:val="20"/>
                <w:szCs w:val="20"/>
              </w:rPr>
              <w:lastRenderedPageBreak/>
              <w:t>PG&amp;E sufficiently articulates how it seeks to develop low-carbon projects to support California’s zero-carbon goals while providing ratepayer benefit</w:t>
            </w:r>
            <w:r w:rsidR="00B70991">
              <w:rPr>
                <w:rFonts w:ascii="Palatino Linotype" w:hAnsi="Palatino Linotype"/>
                <w:color w:val="000000" w:themeColor="text1"/>
                <w:sz w:val="20"/>
                <w:szCs w:val="20"/>
              </w:rPr>
              <w:t>s</w:t>
            </w:r>
            <w:r w:rsidRPr="00535F37">
              <w:rPr>
                <w:rFonts w:ascii="Palatino Linotype" w:hAnsi="Palatino Linotype"/>
                <w:color w:val="000000" w:themeColor="text1"/>
                <w:sz w:val="20"/>
                <w:szCs w:val="20"/>
              </w:rPr>
              <w:t xml:space="preserve"> such as reliability and affordability</w:t>
            </w:r>
            <w:r w:rsidRPr="00711B05">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this requirement.</w:t>
            </w:r>
          </w:p>
          <w:p w:rsidRPr="00535F37" w:rsidR="00801EA4" w:rsidRDefault="00801EA4" w14:paraId="48FE3A8D" w14:textId="77777777">
            <w:pPr>
              <w:rPr>
                <w:rFonts w:ascii="Palatino Linotype" w:hAnsi="Palatino Linotype"/>
                <w:color w:val="000000" w:themeColor="text1"/>
                <w:sz w:val="20"/>
                <w:szCs w:val="20"/>
              </w:rPr>
            </w:pPr>
          </w:p>
        </w:tc>
      </w:tr>
      <w:tr w:rsidR="00801EA4" w:rsidTr="00917561" w14:paraId="603AD4EE" w14:textId="77777777">
        <w:tc>
          <w:tcPr>
            <w:tcW w:w="3865" w:type="dxa"/>
          </w:tcPr>
          <w:p w:rsidR="00801EA4" w:rsidRDefault="00801EA4" w14:paraId="478FD690" w14:textId="77777777">
            <w:pPr>
              <w:rPr>
                <w:rFonts w:ascii="Palatino Linotype" w:hAnsi="Palatino Linotype"/>
                <w:i/>
                <w:iCs/>
                <w:color w:val="EE0000"/>
                <w:sz w:val="20"/>
                <w:szCs w:val="20"/>
              </w:rPr>
            </w:pPr>
            <w:hyperlink w:history="1" r:id="rId22">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(5)</w:t>
            </w:r>
            <w:r>
              <w:rPr>
                <w:rFonts w:ascii="Palatino Linotype" w:hAnsi="Palatino Linotype"/>
                <w:i/>
                <w:iCs/>
                <w:color w:val="000000" w:themeColor="text1"/>
                <w:sz w:val="20"/>
                <w:szCs w:val="20"/>
              </w:rPr>
              <w:t xml:space="preserve"> </w:t>
            </w:r>
            <w:r w:rsidRPr="00B97E19">
              <w:rPr>
                <w:rFonts w:ascii="Palatino Linotype" w:hAnsi="Palatino Linotype"/>
                <w:i/>
                <w:iCs/>
                <w:color w:val="000000" w:themeColor="text1"/>
                <w:sz w:val="20"/>
                <w:szCs w:val="20"/>
              </w:rPr>
              <w:t xml:space="preserve">The annual research plan should include information on funds encumbered, spent, and unspent. The plan should also outline co-funding and collaborative partners and explain how P&amp;GE engages with diverse academic </w:t>
            </w:r>
            <w:r w:rsidRPr="00B97E19">
              <w:rPr>
                <w:rFonts w:ascii="Palatino Linotype" w:hAnsi="Palatino Linotype"/>
                <w:i/>
                <w:iCs/>
                <w:color w:val="000000" w:themeColor="text1"/>
                <w:sz w:val="20"/>
                <w:szCs w:val="20"/>
              </w:rPr>
              <w:lastRenderedPageBreak/>
              <w:t>populations. Further, PG&amp;E should describe how its research plan will benefit underserved communities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74"/>
            </w:r>
            <w:r w:rsidRPr="00FB1ACE">
              <w:rPr>
                <w:rFonts w:ascii="Palatino Linotype" w:hAnsi="Palatino Linotype"/>
                <w:i/>
                <w:iCs/>
                <w:color w:val="EE0000"/>
                <w:sz w:val="20"/>
                <w:szCs w:val="20"/>
              </w:rPr>
              <w:t xml:space="preserve"> </w:t>
            </w:r>
          </w:p>
          <w:p w:rsidRPr="00E02309" w:rsidR="00801EA4" w:rsidRDefault="00801EA4" w14:paraId="74272D93" w14:textId="77777777">
            <w:pPr>
              <w:rPr>
                <w:rFonts w:ascii="Palatino Linotype" w:hAnsi="Palatino Linotype"/>
                <w:sz w:val="20"/>
                <w:szCs w:val="20"/>
              </w:rPr>
            </w:pPr>
          </w:p>
        </w:tc>
        <w:tc>
          <w:tcPr>
            <w:tcW w:w="4770" w:type="dxa"/>
          </w:tcPr>
          <w:p w:rsidRPr="00535F37" w:rsidR="00801EA4" w:rsidRDefault="00801EA4" w14:paraId="1E0C4363"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PG&amp;E conducted targeted interviews with 18 different organizations in 2024, including University of California Riverside, Irvine, Berkeley, and Los Angeles; Stanford; and Colorado State University.</w:t>
            </w:r>
            <w:r w:rsidRPr="00535F37">
              <w:rPr>
                <w:rStyle w:val="FootnoteReference"/>
                <w:rFonts w:ascii="Palatino Linotype" w:hAnsi="Palatino Linotype" w:eastAsia="Palatino Linotype" w:cs="Times New Roman"/>
                <w:color w:val="000000" w:themeColor="text1"/>
                <w:sz w:val="20"/>
                <w:szCs w:val="20"/>
              </w:rPr>
              <w:footnoteReference w:id="175"/>
            </w:r>
            <w:r w:rsidRPr="00535F37">
              <w:rPr>
                <w:rFonts w:ascii="Palatino Linotype" w:hAnsi="Palatino Linotype" w:eastAsia="Palatino Linotype" w:cs="Times New Roman"/>
                <w:color w:val="000000" w:themeColor="text1"/>
                <w:sz w:val="20"/>
                <w:szCs w:val="20"/>
              </w:rPr>
              <w:t xml:space="preserve"> PG&amp;E describes its collaborative partners, including public agencies, research </w:t>
            </w:r>
            <w:r w:rsidRPr="00535F37">
              <w:rPr>
                <w:rFonts w:ascii="Palatino Linotype" w:hAnsi="Palatino Linotype" w:eastAsia="Palatino Linotype" w:cs="Times New Roman"/>
                <w:color w:val="000000" w:themeColor="text1"/>
                <w:sz w:val="20"/>
                <w:szCs w:val="20"/>
              </w:rPr>
              <w:lastRenderedPageBreak/>
              <w:t>consortia, national laboratories, and universities.</w:t>
            </w:r>
            <w:r w:rsidRPr="00535F37">
              <w:rPr>
                <w:rStyle w:val="FootnoteReference"/>
                <w:rFonts w:ascii="Palatino Linotype" w:hAnsi="Palatino Linotype" w:eastAsia="Palatino Linotype" w:cs="Times New Roman"/>
                <w:color w:val="000000" w:themeColor="text1"/>
                <w:sz w:val="20"/>
                <w:szCs w:val="20"/>
              </w:rPr>
              <w:footnoteReference w:id="176"/>
            </w:r>
            <w:r w:rsidRPr="00535F37">
              <w:rPr>
                <w:rFonts w:ascii="Palatino Linotype" w:hAnsi="Palatino Linotype" w:eastAsia="Palatino Linotype" w:cs="Times New Roman"/>
                <w:color w:val="000000" w:themeColor="text1"/>
                <w:sz w:val="20"/>
                <w:szCs w:val="20"/>
              </w:rPr>
              <w:t xml:space="preserve"> PG&amp;E describes its coordination with Gas RD&amp;D administrators, including bi-weekly coordination meetings,</w:t>
            </w:r>
            <w:r w:rsidRPr="00535F37">
              <w:rPr>
                <w:rStyle w:val="FootnoteReference"/>
                <w:rFonts w:ascii="Palatino Linotype" w:hAnsi="Palatino Linotype" w:eastAsia="Palatino Linotype" w:cs="Times New Roman"/>
                <w:color w:val="000000" w:themeColor="text1"/>
                <w:sz w:val="20"/>
                <w:szCs w:val="20"/>
              </w:rPr>
              <w:footnoteReference w:id="177"/>
            </w:r>
            <w:r w:rsidRPr="00535F37">
              <w:rPr>
                <w:rFonts w:ascii="Palatino Linotype" w:hAnsi="Palatino Linotype" w:eastAsia="Palatino Linotype" w:cs="Times New Roman"/>
                <w:color w:val="000000" w:themeColor="text1"/>
                <w:sz w:val="20"/>
                <w:szCs w:val="20"/>
              </w:rPr>
              <w:t xml:space="preserve"> and states that “[c]</w:t>
            </w:r>
            <w:proofErr w:type="spellStart"/>
            <w:r w:rsidRPr="00535F37">
              <w:rPr>
                <w:rFonts w:ascii="Palatino Linotype" w:hAnsi="Palatino Linotype" w:eastAsia="Palatino Linotype" w:cs="Times New Roman"/>
                <w:color w:val="000000" w:themeColor="text1"/>
                <w:sz w:val="20"/>
                <w:szCs w:val="20"/>
              </w:rPr>
              <w:t>oordination</w:t>
            </w:r>
            <w:proofErr w:type="spellEnd"/>
            <w:r w:rsidRPr="00535F37">
              <w:rPr>
                <w:rFonts w:ascii="Palatino Linotype" w:hAnsi="Palatino Linotype" w:eastAsia="Palatino Linotype" w:cs="Times New Roman"/>
                <w:color w:val="000000" w:themeColor="text1"/>
                <w:sz w:val="20"/>
                <w:szCs w:val="20"/>
              </w:rPr>
              <w:t xml:space="preserve"> outcomes directly informed scope refinement, initiative removals, and prioritization decisions reflected in this Plan, including the removal of duplicative initiatives and narrowing of proposed research scopes.”</w:t>
            </w:r>
            <w:r w:rsidRPr="00535F37">
              <w:rPr>
                <w:rStyle w:val="FootnoteReference"/>
                <w:rFonts w:ascii="Palatino Linotype" w:hAnsi="Palatino Linotype" w:eastAsia="Palatino Linotype" w:cs="Times New Roman"/>
                <w:color w:val="000000" w:themeColor="text1"/>
                <w:sz w:val="20"/>
                <w:szCs w:val="20"/>
              </w:rPr>
              <w:footnoteReference w:id="178"/>
            </w:r>
            <w:r w:rsidRPr="00535F37">
              <w:rPr>
                <w:rFonts w:ascii="Palatino Linotype" w:hAnsi="Palatino Linotype" w:eastAsia="Palatino Linotype" w:cs="Times New Roman"/>
                <w:color w:val="000000" w:themeColor="text1"/>
                <w:sz w:val="20"/>
                <w:szCs w:val="20"/>
              </w:rPr>
              <w:t xml:space="preserve"> In its Project List Appendix, PG&amp;E specifies its intended role for each project within each Initiative, including funding, lead, and technical advisory committee. The proposed project budgets account for and correlate with the total proposed Initiative budgets and PG&amp;E identifies one of the following funding mechanisms for each:  </w:t>
            </w:r>
          </w:p>
          <w:p w:rsidRPr="00535F37" w:rsidR="00801EA4" w:rsidP="00801EA4" w:rsidRDefault="00801EA4" w14:paraId="5781DE7E"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“1 Admin: Projects identified as single‑administrator are led and fully funded by PG&amp;E.</w:t>
            </w:r>
          </w:p>
          <w:p w:rsidRPr="00535F37" w:rsidR="00801EA4" w:rsidP="00801EA4" w:rsidRDefault="00801EA4" w14:paraId="2C416416"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2+ Admin: Projects identified as multi- administrator are led and fully funded by administrators through funding mechanisms that reflect the level of collaboration and cost‑sharing associated with each project.</w:t>
            </w:r>
          </w:p>
          <w:p w:rsidRPr="00535F37" w:rsidR="00801EA4" w:rsidP="00801EA4" w:rsidRDefault="00801EA4" w14:paraId="63A97170"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Consortium: Projects listed under consortia are typically co‑funded through PG&amp;E’s participation in industry research </w:t>
            </w:r>
            <w:r w:rsidRPr="00535F37">
              <w:rPr>
                <w:rFonts w:ascii="Palatino Linotype" w:hAnsi="Palatino Linotype" w:eastAsia="Palatino Linotype" w:cs="Times New Roman"/>
                <w:color w:val="000000" w:themeColor="text1"/>
                <w:sz w:val="20"/>
                <w:szCs w:val="20"/>
              </w:rPr>
              <w:lastRenderedPageBreak/>
              <w:t>organizations or agency‑sponsored collaborations, where project costs are shared among participating member companies or institutions and PG&amp;E contributes as one of several funding participants.”</w:t>
            </w:r>
            <w:r w:rsidRPr="00535F37">
              <w:rPr>
                <w:rStyle w:val="FootnoteReference"/>
                <w:rFonts w:ascii="Palatino Linotype" w:hAnsi="Palatino Linotype" w:eastAsia="Palatino Linotype" w:cs="Times New Roman"/>
                <w:color w:val="000000" w:themeColor="text1"/>
                <w:sz w:val="20"/>
                <w:szCs w:val="20"/>
              </w:rPr>
              <w:footnoteReference w:id="179"/>
            </w:r>
          </w:p>
          <w:p w:rsidRPr="00535F37" w:rsidR="00801EA4" w:rsidRDefault="00801EA4" w14:paraId="7671C088"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color w:val="000000" w:themeColor="text1"/>
                <w:sz w:val="20"/>
                <w:szCs w:val="20"/>
              </w:rPr>
              <w:t xml:space="preserve">See PG&amp;E Response in AL 5196-G to </w:t>
            </w:r>
            <w:hyperlink r:id="rId23">
              <w:r w:rsidRPr="00535F37">
                <w:rPr>
                  <w:rStyle w:val="Hyperlink"/>
                  <w:rFonts w:ascii="Palatino Linotype" w:hAnsi="Palatino Linotype"/>
                  <w:color w:val="000000" w:themeColor="text1"/>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 xml:space="preserve">at (2) for information on intended benefits from each Initiative, </w:t>
            </w:r>
            <w:proofErr w:type="gramStart"/>
            <w:r w:rsidRPr="00535F37">
              <w:rPr>
                <w:rFonts w:ascii="Palatino Linotype" w:hAnsi="Palatino Linotype"/>
                <w:color w:val="000000" w:themeColor="text1"/>
                <w:sz w:val="20"/>
                <w:szCs w:val="20"/>
              </w:rPr>
              <w:t>including to</w:t>
            </w:r>
            <w:proofErr w:type="gramEnd"/>
            <w:r w:rsidRPr="00535F37">
              <w:rPr>
                <w:rFonts w:ascii="Palatino Linotype" w:hAnsi="Palatino Linotype"/>
                <w:color w:val="000000" w:themeColor="text1"/>
                <w:sz w:val="20"/>
                <w:szCs w:val="20"/>
              </w:rPr>
              <w:t xml:space="preserve"> underserved communities.</w:t>
            </w:r>
          </w:p>
        </w:tc>
        <w:tc>
          <w:tcPr>
            <w:tcW w:w="4140" w:type="dxa"/>
          </w:tcPr>
          <w:p w:rsidR="00801EA4" w:rsidRDefault="00801EA4" w14:paraId="04F4225D" w14:textId="77777777">
            <w:pPr>
              <w:rPr>
                <w:rFonts w:ascii="Palatino Linotype" w:hAnsi="Palatino Linotype"/>
                <w:color w:val="000000" w:themeColor="text1"/>
                <w:sz w:val="20"/>
                <w:szCs w:val="20"/>
              </w:rPr>
            </w:pPr>
            <w:r w:rsidRPr="00535F37">
              <w:rPr>
                <w:rFonts w:ascii="Palatino Linotype" w:hAnsi="Palatino Linotype"/>
                <w:color w:val="000000" w:themeColor="text1"/>
                <w:sz w:val="20"/>
                <w:szCs w:val="20"/>
              </w:rPr>
              <w:lastRenderedPageBreak/>
              <w:t xml:space="preserve">PG&amp;E details co-funding and collaboration with other Gas RD&amp;D administrators and entities. PG&amp;E includes </w:t>
            </w:r>
            <w:proofErr w:type="gramStart"/>
            <w:r w:rsidRPr="00535F37">
              <w:rPr>
                <w:rFonts w:ascii="Palatino Linotype" w:hAnsi="Palatino Linotype"/>
                <w:color w:val="000000" w:themeColor="text1"/>
                <w:sz w:val="20"/>
                <w:szCs w:val="20"/>
              </w:rPr>
              <w:t>detail</w:t>
            </w:r>
            <w:proofErr w:type="gramEnd"/>
            <w:r w:rsidRPr="00535F37">
              <w:rPr>
                <w:rFonts w:ascii="Palatino Linotype" w:hAnsi="Palatino Linotype"/>
                <w:color w:val="000000" w:themeColor="text1"/>
                <w:sz w:val="20"/>
                <w:szCs w:val="20"/>
              </w:rPr>
              <w:t xml:space="preserve"> at the Initiative level on its intended role for each project. PG&amp;E discusses anticipated benefits to underserved communities for each </w:t>
            </w:r>
            <w:r w:rsidRPr="00535F37">
              <w:rPr>
                <w:rFonts w:ascii="Palatino Linotype" w:hAnsi="Palatino Linotype"/>
                <w:color w:val="000000" w:themeColor="text1"/>
                <w:sz w:val="20"/>
                <w:szCs w:val="20"/>
              </w:rPr>
              <w:lastRenderedPageBreak/>
              <w:t xml:space="preserve">Initiative: See Compliance Assessment of </w:t>
            </w:r>
            <w:hyperlink r:id="rId24">
              <w:r w:rsidRPr="009318F7">
                <w:rPr>
                  <w:rStyle w:val="Hyperlink"/>
                  <w:rFonts w:ascii="Palatino Linotype" w:hAnsi="Palatino Linotype" w:cstheme="minorBidi"/>
                  <w:bCs w:val="0"/>
                  <w:kern w:val="2"/>
                  <w:sz w:val="20"/>
                  <w:szCs w:val="20"/>
                  <w14:ligatures w14:val="standardContextual"/>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at (2</w:t>
            </w:r>
            <w:r w:rsidRPr="00711B05">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these requirements.</w:t>
            </w:r>
          </w:p>
          <w:p w:rsidR="00801EA4" w:rsidP="00711B05" w:rsidRDefault="00801EA4" w14:paraId="24D6EE21" w14:textId="7CF50489">
            <w:pPr>
              <w:spacing w:before="240"/>
              <w:rPr>
                <w:rFonts w:ascii="Palatino Linotype" w:hAnsi="Palatino Linotype"/>
                <w:b/>
                <w:bCs w:val="0"/>
                <w:color w:val="000000" w:themeColor="text1"/>
                <w:sz w:val="20"/>
                <w:szCs w:val="20"/>
              </w:rPr>
            </w:pPr>
            <w:r w:rsidRPr="00535F37">
              <w:rPr>
                <w:rFonts w:ascii="Palatino Linotype" w:hAnsi="Palatino Linotype"/>
                <w:color w:val="000000" w:themeColor="text1"/>
                <w:sz w:val="20"/>
                <w:szCs w:val="20"/>
              </w:rPr>
              <w:t xml:space="preserve">PG&amp;E has not had any Gas RD&amp;D funding approved via Resolution since D.23-11-069 was issued and therefore </w:t>
            </w:r>
            <w:r>
              <w:rPr>
                <w:rFonts w:ascii="Palatino Linotype" w:hAnsi="Palatino Linotype"/>
                <w:color w:val="000000" w:themeColor="text1"/>
                <w:sz w:val="20"/>
                <w:szCs w:val="20"/>
              </w:rPr>
              <w:t xml:space="preserve">appears to </w:t>
            </w:r>
            <w:r w:rsidRPr="00535F37">
              <w:rPr>
                <w:rFonts w:ascii="Palatino Linotype" w:hAnsi="Palatino Linotype"/>
                <w:color w:val="000000" w:themeColor="text1"/>
                <w:sz w:val="20"/>
                <w:szCs w:val="20"/>
              </w:rPr>
              <w:t xml:space="preserve">appropriately report $0 in spent funds. </w:t>
            </w:r>
            <w:r>
              <w:rPr>
                <w:rFonts w:ascii="Palatino Linotype" w:hAnsi="Palatino Linotype"/>
                <w:color w:val="000000" w:themeColor="text1"/>
                <w:sz w:val="20"/>
                <w:szCs w:val="20"/>
              </w:rPr>
              <w:t>However, PG&amp;E’s 2025</w:t>
            </w:r>
            <w:r w:rsidRPr="003816F2">
              <w:rPr>
                <w:rFonts w:ascii="Palatino Linotype" w:hAnsi="Palatino Linotype"/>
                <w:color w:val="000000" w:themeColor="text1"/>
                <w:sz w:val="20"/>
                <w:szCs w:val="20"/>
              </w:rPr>
              <w:t xml:space="preserve"> Annual Report reflects that th</w:t>
            </w:r>
            <w:r>
              <w:rPr>
                <w:rFonts w:ascii="Palatino Linotype" w:hAnsi="Palatino Linotype"/>
                <w:color w:val="000000" w:themeColor="text1"/>
                <w:sz w:val="20"/>
                <w:szCs w:val="20"/>
              </w:rPr>
              <w:t xml:space="preserve">e amounts reported as unspent and encumbered at the time the 2024 Plan was originally due (May 2024) were actually spent </w:t>
            </w:r>
            <w:r w:rsidRPr="003816F2">
              <w:rPr>
                <w:rFonts w:ascii="Palatino Linotype" w:hAnsi="Palatino Linotype"/>
                <w:color w:val="000000" w:themeColor="text1"/>
                <w:sz w:val="20"/>
                <w:szCs w:val="20"/>
              </w:rPr>
              <w:t xml:space="preserve">in 2025, and D.23-11-069 does not provide a mechanism for cost recovery </w:t>
            </w:r>
            <w:r w:rsidR="007056C4">
              <w:rPr>
                <w:rFonts w:ascii="Palatino Linotype" w:hAnsi="Palatino Linotype"/>
                <w:color w:val="000000" w:themeColor="text1"/>
                <w:sz w:val="20"/>
                <w:szCs w:val="20"/>
              </w:rPr>
              <w:t xml:space="preserve">via Resolution </w:t>
            </w:r>
            <w:r w:rsidRPr="003816F2">
              <w:rPr>
                <w:rFonts w:ascii="Palatino Linotype" w:hAnsi="Palatino Linotype"/>
                <w:color w:val="000000" w:themeColor="text1"/>
                <w:sz w:val="20"/>
                <w:szCs w:val="20"/>
              </w:rPr>
              <w:t>without an approved Gas R&amp;D Plan in advance</w:t>
            </w:r>
            <w:r>
              <w:rPr>
                <w:rFonts w:ascii="Palatino Linotype" w:hAnsi="Palatino Linotype"/>
                <w:color w:val="000000" w:themeColor="text1"/>
                <w:sz w:val="20"/>
                <w:szCs w:val="20"/>
              </w:rPr>
              <w:t>. PG&amp;E does not accurately report balances of encumbered, spent, and unspent fu</w:t>
            </w:r>
            <w:r w:rsidRPr="00711B05">
              <w:rPr>
                <w:rFonts w:ascii="Palatino Linotype" w:hAnsi="Palatino Linotype"/>
                <w:color w:val="000000" w:themeColor="text1"/>
                <w:sz w:val="20"/>
                <w:szCs w:val="20"/>
              </w:rPr>
              <w:t xml:space="preserve">nds at the time of its most recent Plan submittal. </w:t>
            </w:r>
            <w:r w:rsidRPr="00711B05">
              <w:rPr>
                <w:rFonts w:ascii="Palatino Linotype" w:hAnsi="Palatino Linotype"/>
                <w:b/>
                <w:bCs w:val="0"/>
                <w:color w:val="000000" w:themeColor="text1"/>
                <w:sz w:val="20"/>
                <w:szCs w:val="20"/>
              </w:rPr>
              <w:t xml:space="preserve">PG&amp;E 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this requirement.</w:t>
            </w:r>
          </w:p>
          <w:p w:rsidR="00801EA4" w:rsidRDefault="00801EA4" w14:paraId="647A1F22" w14:textId="77777777">
            <w:pPr>
              <w:rPr>
                <w:rFonts w:ascii="Palatino Linotype" w:hAnsi="Palatino Linotype"/>
                <w:b/>
                <w:bCs w:val="0"/>
                <w:color w:val="000000" w:themeColor="text1"/>
                <w:sz w:val="20"/>
                <w:szCs w:val="20"/>
              </w:rPr>
            </w:pPr>
          </w:p>
          <w:p w:rsidR="00801EA4" w:rsidRDefault="00801EA4" w14:paraId="3C094F91" w14:textId="77777777">
            <w:pPr>
              <w:rPr>
                <w:rFonts w:ascii="Palatino Linotype" w:hAnsi="Palatino Linotype"/>
                <w:b/>
                <w:bCs w:val="0"/>
                <w:color w:val="000000" w:themeColor="text1"/>
                <w:sz w:val="20"/>
                <w:szCs w:val="20"/>
              </w:rPr>
            </w:pPr>
          </w:p>
          <w:p w:rsidR="00801EA4" w:rsidRDefault="00801EA4" w14:paraId="4C3E3CF3" w14:textId="77777777">
            <w:pPr>
              <w:rPr>
                <w:rFonts w:ascii="Palatino Linotype" w:hAnsi="Palatino Linotype"/>
                <w:b/>
                <w:bCs w:val="0"/>
                <w:color w:val="000000" w:themeColor="text1"/>
                <w:sz w:val="20"/>
                <w:szCs w:val="20"/>
              </w:rPr>
            </w:pPr>
          </w:p>
          <w:p w:rsidRPr="00D947C1" w:rsidR="00801EA4" w:rsidRDefault="00801EA4" w14:paraId="0AB516DD" w14:textId="77777777">
            <w:pPr>
              <w:jc w:val="right"/>
              <w:rPr>
                <w:rFonts w:ascii="Palatino Linotype" w:hAnsi="Palatino Linotype"/>
                <w:sz w:val="20"/>
                <w:szCs w:val="20"/>
              </w:rPr>
            </w:pPr>
          </w:p>
        </w:tc>
      </w:tr>
      <w:tr w:rsidR="00801EA4" w:rsidTr="00917561" w14:paraId="45296E5C" w14:textId="77777777">
        <w:tc>
          <w:tcPr>
            <w:tcW w:w="3865" w:type="dxa"/>
          </w:tcPr>
          <w:p w:rsidRPr="00B97E19" w:rsidR="00801EA4" w:rsidRDefault="00801EA4" w14:paraId="4C079496" w14:textId="77777777">
            <w:pPr>
              <w:rPr>
                <w:rFonts w:ascii="Palatino Linotype" w:hAnsi="Palatino Linotype"/>
                <w:i/>
                <w:iCs/>
                <w:color w:val="000000" w:themeColor="text1"/>
                <w:sz w:val="20"/>
                <w:szCs w:val="20"/>
              </w:rPr>
            </w:pPr>
            <w:hyperlink w:history="1" r:id="rId25">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(6)</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hold an annual workshop prior to submitting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its Tier 3 Advice Letter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Investment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Plan and shall consult with Energy Division to develop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the workshop agenda. The annual workshop shall be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held at least 90 days before submitting its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research plan to the CPUC to allow sufficient time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to incorporate stakeholder feedback. At these workshops,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present the results of the previous year’s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program and obtain input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regarding its proposed</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spending for the following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calendar year. The workshop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shall follow the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guidance of D.19-09-051 Ordering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Paragraph 30</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80"/>
            </w:r>
            <w:r>
              <w:rPr>
                <w:rFonts w:ascii="Palatino Linotype" w:hAnsi="Palatino Linotype"/>
                <w:i/>
                <w:iCs/>
                <w:color w:val="000000" w:themeColor="text1"/>
                <w:sz w:val="20"/>
                <w:szCs w:val="20"/>
              </w:rPr>
              <w:t xml:space="preserve"> </w:t>
            </w:r>
          </w:p>
        </w:tc>
        <w:tc>
          <w:tcPr>
            <w:tcW w:w="4770" w:type="dxa"/>
          </w:tcPr>
          <w:p w:rsidRPr="0032527A" w:rsidR="00801EA4" w:rsidRDefault="00801EA4" w14:paraId="59DC2E6F" w14:textId="77777777">
            <w:pPr>
              <w:rPr>
                <w:rFonts w:ascii="Palatino Linotype" w:hAnsi="Palatino Linotype" w:eastAsia="Palatino Linotype" w:cs="Times New Roman"/>
                <w:sz w:val="20"/>
                <w:szCs w:val="20"/>
              </w:rPr>
            </w:pPr>
            <w:r w:rsidRPr="0032527A">
              <w:rPr>
                <w:rFonts w:ascii="Palatino Linotype" w:hAnsi="Palatino Linotype" w:eastAsia="Palatino Linotype" w:cs="Times New Roman"/>
                <w:sz w:val="20"/>
                <w:szCs w:val="20"/>
              </w:rPr>
              <w:t xml:space="preserve">PG&amp;E held </w:t>
            </w:r>
            <w:r>
              <w:rPr>
                <w:rFonts w:ascii="Palatino Linotype" w:hAnsi="Palatino Linotype" w:eastAsia="Palatino Linotype" w:cs="Times New Roman"/>
                <w:sz w:val="20"/>
                <w:szCs w:val="20"/>
              </w:rPr>
              <w:t xml:space="preserve">an </w:t>
            </w:r>
            <w:r w:rsidRPr="0032527A">
              <w:rPr>
                <w:rFonts w:ascii="Palatino Linotype" w:hAnsi="Palatino Linotype" w:eastAsia="Palatino Linotype" w:cs="Times New Roman"/>
                <w:sz w:val="20"/>
                <w:szCs w:val="20"/>
              </w:rPr>
              <w:t xml:space="preserve">annual </w:t>
            </w:r>
            <w:r w:rsidRPr="009A290C">
              <w:rPr>
                <w:rFonts w:ascii="Palatino Linotype" w:hAnsi="Palatino Linotype" w:eastAsia="Palatino Linotype" w:cs="Times New Roman"/>
                <w:color w:val="000000" w:themeColor="text1"/>
                <w:sz w:val="20"/>
                <w:szCs w:val="20"/>
              </w:rPr>
              <w:t xml:space="preserve">workshop prior to submitting its 2024 Plan on April 29, 2024, presenting </w:t>
            </w:r>
            <w:r w:rsidRPr="0032527A">
              <w:rPr>
                <w:rFonts w:ascii="Palatino Linotype" w:hAnsi="Palatino Linotype" w:eastAsia="Palatino Linotype" w:cs="Times New Roman"/>
                <w:sz w:val="20"/>
                <w:szCs w:val="20"/>
              </w:rPr>
              <w:t xml:space="preserve">the results of the previous year’s program and obtaining input regarding its proposed funding allocations for the following year. </w:t>
            </w:r>
            <w:r w:rsidRPr="00EE0B1E">
              <w:rPr>
                <w:rFonts w:ascii="Palatino Linotype" w:hAnsi="Palatino Linotype"/>
                <w:color w:val="000000" w:themeColor="text1"/>
                <w:sz w:val="20"/>
                <w:szCs w:val="20"/>
              </w:rPr>
              <w:t>PG&amp;E includes high-level summaries from stakeholder interviews and incorporation strategies.</w:t>
            </w:r>
            <w:r w:rsidRPr="00EE0B1E">
              <w:rPr>
                <w:rStyle w:val="FootnoteReference"/>
                <w:rFonts w:ascii="Palatino Linotype" w:hAnsi="Palatino Linotype"/>
                <w:color w:val="000000" w:themeColor="text1"/>
                <w:sz w:val="20"/>
                <w:szCs w:val="20"/>
              </w:rPr>
              <w:footnoteReference w:id="181"/>
            </w:r>
          </w:p>
        </w:tc>
        <w:tc>
          <w:tcPr>
            <w:tcW w:w="4140" w:type="dxa"/>
          </w:tcPr>
          <w:p w:rsidRPr="00711B05" w:rsidR="00801EA4" w:rsidRDefault="00801EA4" w14:paraId="6EEE4066"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t xml:space="preserve">CPUC granted PG&amp;E an extension to hold the workshop less than 90 days in advance of Plan submittal. </w:t>
            </w:r>
            <w:r w:rsidRPr="00711B05">
              <w:rPr>
                <w:rFonts w:ascii="Palatino Linotype" w:hAnsi="Palatino Linotype"/>
                <w:b/>
                <w:bCs w:val="0"/>
                <w:color w:val="000000" w:themeColor="text1"/>
                <w:sz w:val="20"/>
                <w:szCs w:val="20"/>
              </w:rPr>
              <w:t>PG&amp;E is compliant with this requirement.</w:t>
            </w:r>
          </w:p>
        </w:tc>
      </w:tr>
      <w:tr w:rsidR="00801EA4" w:rsidTr="00917561" w14:paraId="5457FD50" w14:textId="77777777">
        <w:tc>
          <w:tcPr>
            <w:tcW w:w="3865" w:type="dxa"/>
          </w:tcPr>
          <w:p w:rsidR="00801EA4" w:rsidRDefault="00801EA4" w14:paraId="617B8913" w14:textId="77777777">
            <w:pPr>
              <w:rPr>
                <w:rFonts w:ascii="Palatino Linotype" w:hAnsi="Palatino Linotype"/>
                <w:i/>
                <w:iCs/>
                <w:color w:val="000000" w:themeColor="text1"/>
                <w:sz w:val="20"/>
                <w:szCs w:val="20"/>
              </w:rPr>
            </w:pPr>
            <w:hyperlink w:history="1" r:id="rId26">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(7)</w:t>
            </w:r>
            <w:r w:rsidRPr="007C6D7D">
              <w:rPr>
                <w:rFonts w:ascii="Palatino Linotype" w:hAnsi="Palatino Linotype"/>
                <w:i/>
                <w:iCs/>
                <w:color w:val="000000" w:themeColor="text1"/>
                <w:sz w:val="20"/>
                <w:szCs w:val="20"/>
              </w:rPr>
              <w:t xml:space="preserve"> Prior to the workshop, PG&amp;E should submit its RD&amp;D annual report to Energy Division staff </w:t>
            </w:r>
            <w:r w:rsidRPr="004C5B53">
              <w:rPr>
                <w:rFonts w:ascii="Palatino Linotype" w:hAnsi="Palatino Linotype"/>
                <w:i/>
                <w:iCs/>
                <w:color w:val="000000" w:themeColor="text1"/>
                <w:sz w:val="20"/>
                <w:szCs w:val="20"/>
              </w:rPr>
              <w:t xml:space="preserve">describing prior years’ RD&amp;D program including a </w:t>
            </w:r>
            <w:r w:rsidRPr="004C5B53">
              <w:rPr>
                <w:rFonts w:ascii="Palatino Linotype" w:hAnsi="Palatino Linotype"/>
                <w:i/>
                <w:iCs/>
                <w:color w:val="000000" w:themeColor="text1"/>
                <w:sz w:val="20"/>
                <w:szCs w:val="20"/>
              </w:rPr>
              <w:lastRenderedPageBreak/>
              <w:t>summary of ongoing and completed projects; funds expended, funding recipients, and leveraged funding;</w:t>
            </w:r>
            <w:r w:rsidRPr="007C6D7D">
              <w:rPr>
                <w:rFonts w:ascii="Palatino Linotype" w:hAnsi="Palatino Linotype"/>
                <w:i/>
                <w:iCs/>
                <w:color w:val="000000" w:themeColor="text1"/>
                <w:sz w:val="20"/>
                <w:szCs w:val="20"/>
              </w:rPr>
              <w:t xml:space="preserve"> and an explanation of the process used for selecting RD&amp;D project areas as well as the structure of PG&amp;E’s RD&amp;D portfoli</w:t>
            </w:r>
            <w:r>
              <w:rPr>
                <w:rFonts w:ascii="Palatino Linotype" w:hAnsi="Palatino Linotype"/>
                <w:i/>
                <w:iCs/>
                <w:color w:val="000000" w:themeColor="text1"/>
                <w:sz w:val="20"/>
                <w:szCs w:val="20"/>
              </w:rPr>
              <w:t>o.</w:t>
            </w:r>
            <w:r>
              <w:rPr>
                <w:rStyle w:val="FootnoteReference"/>
                <w:rFonts w:ascii="Palatino Linotype" w:hAnsi="Palatino Linotype"/>
                <w:i/>
                <w:iCs/>
                <w:color w:val="000000" w:themeColor="text1"/>
                <w:sz w:val="20"/>
                <w:szCs w:val="20"/>
              </w:rPr>
              <w:footnoteReference w:id="182"/>
            </w:r>
          </w:p>
          <w:p w:rsidR="00801EA4" w:rsidRDefault="00801EA4" w14:paraId="5B468CF2" w14:textId="77777777">
            <w:pPr>
              <w:rPr>
                <w:rFonts w:ascii="Palatino Linotype" w:hAnsi="Palatino Linotype"/>
                <w:i/>
                <w:iCs/>
                <w:color w:val="000000" w:themeColor="text1"/>
                <w:sz w:val="20"/>
                <w:szCs w:val="20"/>
              </w:rPr>
            </w:pPr>
          </w:p>
          <w:p w:rsidR="00801EA4" w:rsidRDefault="00801EA4" w14:paraId="3C9A0119" w14:textId="77777777">
            <w:pPr>
              <w:rPr>
                <w:rFonts w:ascii="Palatino Linotype" w:hAnsi="Palatino Linotype"/>
                <w:i/>
                <w:iCs/>
                <w:color w:val="000000" w:themeColor="text1"/>
                <w:sz w:val="20"/>
                <w:szCs w:val="20"/>
              </w:rPr>
            </w:pPr>
            <w:r>
              <w:rPr>
                <w:rFonts w:ascii="Palatino Linotype" w:hAnsi="Palatino Linotype"/>
                <w:bCs w:val="0"/>
                <w:color w:val="000000" w:themeColor="text1"/>
                <w:sz w:val="20"/>
                <w:szCs w:val="20"/>
              </w:rPr>
              <w:t xml:space="preserve">See also: </w:t>
            </w:r>
            <w:hyperlink w:history="1" r:id="rId27">
              <w:r w:rsidRPr="00201D67">
                <w:rPr>
                  <w:rStyle w:val="Hyperlink"/>
                  <w:rFonts w:ascii="Palatino Linotype" w:hAnsi="Palatino Linotype" w:cstheme="minorBidi"/>
                  <w:bCs w:val="0"/>
                  <w:kern w:val="2"/>
                  <w:sz w:val="20"/>
                  <w:szCs w:val="20"/>
                  <w14:ligatures w14:val="standardContextual"/>
                </w:rPr>
                <w:t>Resolution G-3618</w:t>
              </w:r>
            </w:hyperlink>
            <w:r w:rsidRPr="00837D7A">
              <w:rPr>
                <w:rFonts w:ascii="Palatino Linotype" w:hAnsi="Palatino Linotype"/>
                <w:color w:val="000000" w:themeColor="text1"/>
                <w:sz w:val="20"/>
                <w:szCs w:val="20"/>
              </w:rPr>
              <w:t xml:space="preserve"> at p. 19:</w:t>
            </w:r>
            <w:r>
              <w:rPr>
                <w:rFonts w:ascii="Palatino Linotype" w:hAnsi="Palatino Linotype"/>
                <w:i/>
                <w:iCs/>
                <w:color w:val="000000" w:themeColor="text1"/>
                <w:sz w:val="20"/>
                <w:szCs w:val="20"/>
              </w:rPr>
              <w:t xml:space="preserve"> </w:t>
            </w:r>
            <w:r w:rsidRPr="00837D7A">
              <w:rPr>
                <w:rFonts w:ascii="Palatino Linotype" w:hAnsi="Palatino Linotype"/>
                <w:i/>
                <w:iCs/>
                <w:color w:val="000000" w:themeColor="text1"/>
                <w:sz w:val="20"/>
                <w:szCs w:val="20"/>
              </w:rPr>
              <w:t>For clarity in reporting, PG&amp;E shall indicate which projects have been funded via previous GRC cycles or other funding mechanisms as these are not affiliated with Investment Plans approved within this Gas RD&amp;D Program</w:t>
            </w:r>
            <w:r>
              <w:rPr>
                <w:rFonts w:ascii="Palatino Linotype" w:hAnsi="Palatino Linotype"/>
                <w:i/>
                <w:iCs/>
                <w:color w:val="000000" w:themeColor="text1"/>
                <w:sz w:val="20"/>
                <w:szCs w:val="20"/>
              </w:rPr>
              <w:t>.</w:t>
            </w:r>
          </w:p>
        </w:tc>
        <w:tc>
          <w:tcPr>
            <w:tcW w:w="4770" w:type="dxa"/>
          </w:tcPr>
          <w:p w:rsidRPr="00535F37" w:rsidR="00801EA4" w:rsidRDefault="00801EA4" w14:paraId="7B28E61C"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 xml:space="preserve">PG&amp;E submitted its 2023 Gas RD&amp;D Annual Report on March 28, 2024, prior to holding its Annual Workshop on April 29, 2024. PG&amp;E provided a summary of ongoing and completed </w:t>
            </w:r>
            <w:r w:rsidRPr="00535F37">
              <w:rPr>
                <w:rFonts w:ascii="Palatino Linotype" w:hAnsi="Palatino Linotype" w:eastAsia="Palatino Linotype" w:cs="Times New Roman"/>
                <w:color w:val="000000" w:themeColor="text1"/>
                <w:sz w:val="20"/>
                <w:szCs w:val="20"/>
              </w:rPr>
              <w:lastRenderedPageBreak/>
              <w:t>projects,</w:t>
            </w:r>
            <w:r w:rsidRPr="00535F37">
              <w:rPr>
                <w:rStyle w:val="FootnoteReference"/>
                <w:rFonts w:ascii="Palatino Linotype" w:hAnsi="Palatino Linotype" w:eastAsia="Palatino Linotype" w:cs="Times New Roman"/>
                <w:color w:val="000000" w:themeColor="text1"/>
                <w:sz w:val="20"/>
                <w:szCs w:val="20"/>
              </w:rPr>
              <w:footnoteReference w:id="183"/>
            </w:r>
            <w:r w:rsidRPr="00535F37">
              <w:rPr>
                <w:rFonts w:ascii="Palatino Linotype" w:hAnsi="Palatino Linotype" w:eastAsia="Palatino Linotype" w:cs="Times New Roman"/>
                <w:color w:val="000000" w:themeColor="text1"/>
                <w:sz w:val="20"/>
                <w:szCs w:val="20"/>
              </w:rPr>
              <w:t xml:space="preserve"> detailed $1,159,675 in funds expended,</w:t>
            </w:r>
            <w:r w:rsidRPr="00535F37">
              <w:rPr>
                <w:rStyle w:val="FootnoteReference"/>
                <w:rFonts w:ascii="Palatino Linotype" w:hAnsi="Palatino Linotype" w:eastAsia="Palatino Linotype" w:cs="Times New Roman"/>
                <w:color w:val="000000" w:themeColor="text1"/>
                <w:sz w:val="20"/>
                <w:szCs w:val="20"/>
              </w:rPr>
              <w:footnoteReference w:id="184"/>
            </w:r>
            <w:r w:rsidRPr="00535F37">
              <w:rPr>
                <w:rFonts w:ascii="Palatino Linotype" w:hAnsi="Palatino Linotype" w:eastAsia="Palatino Linotype" w:cs="Times New Roman"/>
                <w:color w:val="000000" w:themeColor="text1"/>
                <w:sz w:val="20"/>
                <w:szCs w:val="20"/>
              </w:rPr>
              <w:t xml:space="preserve"> listed 2023 funding recipients,</w:t>
            </w:r>
            <w:r w:rsidRPr="00535F37">
              <w:rPr>
                <w:rStyle w:val="FootnoteReference"/>
                <w:rFonts w:ascii="Palatino Linotype" w:hAnsi="Palatino Linotype" w:eastAsia="Palatino Linotype" w:cs="Times New Roman"/>
                <w:color w:val="000000" w:themeColor="text1"/>
                <w:sz w:val="20"/>
                <w:szCs w:val="20"/>
              </w:rPr>
              <w:footnoteReference w:id="185"/>
            </w:r>
            <w:r w:rsidRPr="00535F37">
              <w:rPr>
                <w:rFonts w:ascii="Palatino Linotype" w:hAnsi="Palatino Linotype" w:eastAsia="Palatino Linotype" w:cs="Times New Roman"/>
                <w:color w:val="000000" w:themeColor="text1"/>
                <w:sz w:val="20"/>
                <w:szCs w:val="20"/>
              </w:rPr>
              <w:t xml:space="preserve"> and described the process used for selecting projects</w:t>
            </w:r>
            <w:r w:rsidRPr="00535F37">
              <w:rPr>
                <w:rStyle w:val="FootnoteReference"/>
                <w:rFonts w:ascii="Palatino Linotype" w:hAnsi="Palatino Linotype" w:eastAsia="Palatino Linotype" w:cs="Times New Roman"/>
                <w:color w:val="000000" w:themeColor="text1"/>
                <w:sz w:val="20"/>
                <w:szCs w:val="20"/>
              </w:rPr>
              <w:footnoteReference w:id="186"/>
            </w:r>
            <w:r w:rsidRPr="00535F37">
              <w:rPr>
                <w:rFonts w:ascii="Palatino Linotype" w:hAnsi="Palatino Linotype" w:eastAsia="Palatino Linotype" w:cs="Times New Roman"/>
                <w:color w:val="000000" w:themeColor="text1"/>
                <w:sz w:val="20"/>
                <w:szCs w:val="20"/>
              </w:rPr>
              <w:t xml:space="preserve"> and structure of PG&amp;E’s Gas RD&amp;D portfolio.</w:t>
            </w:r>
            <w:r w:rsidRPr="00535F37">
              <w:rPr>
                <w:rStyle w:val="FootnoteReference"/>
                <w:rFonts w:ascii="Palatino Linotype" w:hAnsi="Palatino Linotype" w:eastAsia="Palatino Linotype" w:cs="Times New Roman"/>
                <w:color w:val="000000" w:themeColor="text1"/>
                <w:sz w:val="20"/>
                <w:szCs w:val="20"/>
              </w:rPr>
              <w:footnoteReference w:id="187"/>
            </w:r>
            <w:r w:rsidRPr="00535F37">
              <w:rPr>
                <w:rFonts w:ascii="Palatino Linotype" w:hAnsi="Palatino Linotype" w:eastAsia="Palatino Linotype" w:cs="Times New Roman"/>
                <w:color w:val="000000" w:themeColor="text1"/>
                <w:sz w:val="20"/>
                <w:szCs w:val="20"/>
              </w:rPr>
              <w:t xml:space="preserve"> PG&amp;E stated that “on average, every dollar of Gas R&amp;D funding expended on projects was matched by $20.50 of funding from other sources in 2023.”</w:t>
            </w:r>
            <w:r w:rsidRPr="00535F37">
              <w:rPr>
                <w:rStyle w:val="FootnoteReference"/>
                <w:rFonts w:ascii="Palatino Linotype" w:hAnsi="Palatino Linotype" w:eastAsia="Palatino Linotype" w:cs="Times New Roman"/>
                <w:color w:val="000000" w:themeColor="text1"/>
                <w:sz w:val="20"/>
                <w:szCs w:val="20"/>
              </w:rPr>
              <w:footnoteReference w:id="188"/>
            </w:r>
            <w:r w:rsidRPr="00535F37">
              <w:rPr>
                <w:rFonts w:ascii="Palatino Linotype" w:hAnsi="Palatino Linotype" w:eastAsia="Palatino Linotype" w:cs="Times New Roman"/>
                <w:color w:val="000000" w:themeColor="text1"/>
                <w:sz w:val="20"/>
                <w:szCs w:val="20"/>
              </w:rPr>
              <w:t xml:space="preserve"> </w:t>
            </w:r>
          </w:p>
          <w:p w:rsidRPr="00535F37" w:rsidR="00801EA4" w:rsidRDefault="00801EA4" w14:paraId="6B10ABB1"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However, in its 2024 Plan, PG&amp;E states that “this resubmission seeks approval of $1.952 million for incurred costs, structured around two principal investment themes—Gas System Integrity and Decarbonization—that are in alignment with CPUC guidance and the positions of other California Gas RD&amp;D administrators, funding for projects was not covered by previous GRCs or programs outside of Gas RD&amp;D.”</w:t>
            </w:r>
            <w:r w:rsidRPr="00535F37">
              <w:rPr>
                <w:rStyle w:val="FootnoteReference"/>
                <w:rFonts w:ascii="Palatino Linotype" w:hAnsi="Palatino Linotype" w:eastAsia="Palatino Linotype" w:cs="Times New Roman"/>
                <w:color w:val="000000" w:themeColor="text1"/>
                <w:sz w:val="20"/>
                <w:szCs w:val="20"/>
              </w:rPr>
              <w:footnoteReference w:id="189"/>
            </w:r>
            <w:r w:rsidRPr="00535F37">
              <w:rPr>
                <w:rFonts w:ascii="Palatino Linotype" w:hAnsi="Palatino Linotype" w:eastAsia="Palatino Linotype" w:cs="Times New Roman"/>
                <w:color w:val="000000" w:themeColor="text1"/>
                <w:sz w:val="20"/>
                <w:szCs w:val="20"/>
              </w:rPr>
              <w:t xml:space="preserve"> PG&amp;E states that it “separately allocates, tracks, and reports Gas RD&amp;D expenditures using a centralized project-level database that records ratepayer-funded research, development, and demonstration activities. The system provides project- and</w:t>
            </w:r>
          </w:p>
          <w:p w:rsidRPr="00535F37" w:rsidR="00801EA4" w:rsidRDefault="00801EA4" w14:paraId="79979850"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portfolio-level visibility into approved budgets, forecasts, actual expenditures, and unspent </w:t>
            </w:r>
            <w:r w:rsidRPr="00535F37">
              <w:rPr>
                <w:rFonts w:ascii="Palatino Linotype" w:hAnsi="Palatino Linotype" w:eastAsia="Palatino Linotype" w:cs="Times New Roman"/>
                <w:color w:val="000000" w:themeColor="text1"/>
                <w:sz w:val="20"/>
                <w:szCs w:val="20"/>
              </w:rPr>
              <w:lastRenderedPageBreak/>
              <w:t>balances, and supports transparent reporting and oversight processes used to demonstrate compliance with Commission-adopted spending limits.”</w:t>
            </w:r>
            <w:r w:rsidRPr="00535F37">
              <w:rPr>
                <w:rStyle w:val="FootnoteReference"/>
                <w:rFonts w:ascii="Palatino Linotype" w:hAnsi="Palatino Linotype" w:eastAsia="Palatino Linotype" w:cs="Times New Roman"/>
                <w:color w:val="000000" w:themeColor="text1"/>
                <w:sz w:val="20"/>
                <w:szCs w:val="20"/>
              </w:rPr>
              <w:footnoteReference w:id="190"/>
            </w:r>
          </w:p>
        </w:tc>
        <w:tc>
          <w:tcPr>
            <w:tcW w:w="4140" w:type="dxa"/>
          </w:tcPr>
          <w:p w:rsidRPr="00711B05" w:rsidR="00801EA4" w:rsidRDefault="00801EA4" w14:paraId="72EECF58" w14:textId="4C31DE25">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PG&amp;E submitted its 2023 Gas RD&amp;D Annual Report on March 28, 2024, prior to holding its Annual Workshop on April 29, 2024. In its Annual Report, PG&amp;E </w:t>
            </w:r>
            <w:r w:rsidRPr="00711B05">
              <w:rPr>
                <w:rFonts w:ascii="Palatino Linotype" w:hAnsi="Palatino Linotype" w:eastAsia="Palatino Linotype" w:cs="Times New Roman"/>
                <w:color w:val="000000" w:themeColor="text1"/>
                <w:sz w:val="20"/>
                <w:szCs w:val="20"/>
              </w:rPr>
              <w:lastRenderedPageBreak/>
              <w:t xml:space="preserve">summarizes ongoing and completed projects, leveraged funding, and its project selection process as required. </w:t>
            </w:r>
            <w:r w:rsidRPr="00711B05">
              <w:rPr>
                <w:rFonts w:ascii="Palatino Linotype" w:hAnsi="Palatino Linotype"/>
                <w:b/>
                <w:bCs w:val="0"/>
                <w:color w:val="000000" w:themeColor="text1"/>
                <w:sz w:val="20"/>
                <w:szCs w:val="20"/>
              </w:rPr>
              <w:t>PG&amp;E is compliant with this requirement.</w:t>
            </w:r>
            <w:r w:rsidRPr="00711B05">
              <w:rPr>
                <w:rFonts w:ascii="Palatino Linotype" w:hAnsi="Palatino Linotype" w:eastAsia="Palatino Linotype" w:cs="Times New Roman"/>
                <w:color w:val="000000" w:themeColor="text1"/>
                <w:sz w:val="20"/>
                <w:szCs w:val="20"/>
              </w:rPr>
              <w:t xml:space="preserve"> </w:t>
            </w:r>
          </w:p>
          <w:p w:rsidRPr="00711B05" w:rsidR="00801EA4" w:rsidP="00FC69E7" w:rsidRDefault="00801EA4" w14:paraId="4E956532" w14:textId="77777777">
            <w:pPr>
              <w:spacing w:before="240"/>
              <w:contextualSpacing/>
              <w:rPr>
                <w:rFonts w:ascii="Palatino Linotype" w:hAnsi="Palatino Linotype"/>
                <w:color w:val="000000" w:themeColor="text1"/>
                <w:sz w:val="20"/>
                <w:szCs w:val="20"/>
              </w:rPr>
            </w:pPr>
            <w:r w:rsidRPr="00711B05">
              <w:rPr>
                <w:rFonts w:ascii="Palatino Linotype" w:hAnsi="Palatino Linotype" w:eastAsia="Palatino Linotype" w:cs="Times New Roman"/>
                <w:color w:val="000000" w:themeColor="text1"/>
                <w:sz w:val="20"/>
                <w:szCs w:val="20"/>
              </w:rPr>
              <w:t xml:space="preserve">However, </w:t>
            </w:r>
            <w:r w:rsidRPr="00711B05">
              <w:rPr>
                <w:rFonts w:ascii="Palatino Linotype" w:hAnsi="Palatino Linotype"/>
                <w:color w:val="000000" w:themeColor="text1"/>
                <w:sz w:val="20"/>
                <w:szCs w:val="20"/>
              </w:rPr>
              <w:t xml:space="preserve">PG&amp;E has not had any Gas RD&amp;D funding approved via Resolution since D.23-11-069 was issued and therefore should clarify the authorized Gas RD&amp;D funding sources relevant to its Annual Reports. PG&amp;E should also reflect key information from its </w:t>
            </w:r>
            <w:r w:rsidRPr="00711B05">
              <w:rPr>
                <w:rFonts w:ascii="Palatino Linotype" w:hAnsi="Palatino Linotype" w:eastAsia="Palatino Linotype" w:cs="Times New Roman"/>
                <w:color w:val="000000" w:themeColor="text1"/>
                <w:sz w:val="20"/>
                <w:szCs w:val="20"/>
              </w:rPr>
              <w:t>centralized project-level database.</w:t>
            </w:r>
          </w:p>
        </w:tc>
      </w:tr>
      <w:tr w:rsidR="00801EA4" w:rsidTr="00917561" w14:paraId="689CA13F" w14:textId="77777777">
        <w:tc>
          <w:tcPr>
            <w:tcW w:w="3865" w:type="dxa"/>
          </w:tcPr>
          <w:p w:rsidR="00801EA4" w:rsidRDefault="00801EA4" w14:paraId="4E9DD136" w14:textId="77777777">
            <w:pPr>
              <w:rPr>
                <w:rFonts w:ascii="Palatino Linotype" w:hAnsi="Palatino Linotype"/>
                <w:i/>
                <w:iCs/>
                <w:color w:val="000000" w:themeColor="text1"/>
                <w:sz w:val="20"/>
                <w:szCs w:val="20"/>
              </w:rPr>
            </w:pPr>
            <w:hyperlink w:history="1" r:id="rId28">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materials as well as</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documentation on stakeholders consulted in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development of RD&amp;D projects, both 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 xml:space="preserve">p. </w:t>
            </w:r>
          </w:p>
          <w:p w:rsidR="00801EA4" w:rsidRDefault="00801EA4" w14:paraId="176FD4B8" w14:textId="77777777">
            <w:pPr>
              <w:rPr>
                <w:rFonts w:ascii="Palatino Linotype" w:hAnsi="Palatino Linotype"/>
                <w:i/>
                <w:iCs/>
                <w:color w:val="000000" w:themeColor="text1"/>
                <w:sz w:val="20"/>
                <w:szCs w:val="20"/>
              </w:rPr>
            </w:pPr>
          </w:p>
          <w:p w:rsidRPr="00BD5790" w:rsidR="00801EA4" w:rsidRDefault="00801EA4" w14:paraId="384050FD" w14:textId="77777777">
            <w:pPr>
              <w:rPr>
                <w:rFonts w:ascii="Palatino Linotype" w:hAnsi="Palatino Linotype"/>
                <w:i/>
                <w:iCs/>
                <w:color w:val="000000" w:themeColor="text1"/>
                <w:sz w:val="20"/>
                <w:szCs w:val="20"/>
              </w:rPr>
            </w:pPr>
            <w:hyperlink w:history="1" r:id="rId29">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(9)</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PG&amp;E shall engage relevant stakeholders to encourage</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their attendance at the workshop, such</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as the California</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Energy Commission, the Disadvantaged Communities</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Advisory Group,</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 U.S. Department of Energy,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other organizations engaged in gas research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development</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91"/>
            </w:r>
          </w:p>
        </w:tc>
        <w:tc>
          <w:tcPr>
            <w:tcW w:w="4770" w:type="dxa"/>
          </w:tcPr>
          <w:p w:rsidRPr="00BD7EDA" w:rsidR="00801EA4" w:rsidRDefault="00801EA4" w14:paraId="166FD1F4" w14:textId="77777777">
            <w:pPr>
              <w:rPr>
                <w:rFonts w:ascii="Palatino Linotype" w:hAnsi="Palatino Linotype" w:eastAsia="Palatino Linotype" w:cs="Times New Roman"/>
                <w:color w:val="000000" w:themeColor="text1"/>
                <w:sz w:val="20"/>
                <w:szCs w:val="20"/>
              </w:rPr>
            </w:pPr>
            <w:r w:rsidRPr="0032527A">
              <w:rPr>
                <w:rFonts w:ascii="Palatino Linotype" w:hAnsi="Palatino Linotype" w:eastAsia="Palatino Linotype" w:cs="Times New Roman"/>
                <w:sz w:val="20"/>
                <w:szCs w:val="20"/>
              </w:rPr>
              <w:t xml:space="preserve">PG&amp;E </w:t>
            </w:r>
            <w:r>
              <w:rPr>
                <w:rFonts w:ascii="Palatino Linotype" w:hAnsi="Palatino Linotype" w:eastAsia="Palatino Linotype" w:cs="Times New Roman"/>
                <w:sz w:val="20"/>
                <w:szCs w:val="20"/>
              </w:rPr>
              <w:t xml:space="preserve">states that it </w:t>
            </w:r>
            <w:r w:rsidRPr="0032527A">
              <w:rPr>
                <w:rFonts w:ascii="Palatino Linotype" w:hAnsi="Palatino Linotype" w:eastAsia="Palatino Linotype" w:cs="Times New Roman"/>
                <w:sz w:val="20"/>
                <w:szCs w:val="20"/>
              </w:rPr>
              <w:t xml:space="preserve">leveraged its Gas RD&amp;D website, CPUC proceeding service lists, and its </w:t>
            </w:r>
            <w:r w:rsidRPr="0032527A">
              <w:rPr>
                <w:rFonts w:ascii="Palatino Linotype" w:hAnsi="Palatino Linotype" w:eastAsia="Palatino Linotype" w:cs="Times New Roman"/>
                <w:color w:val="000000" w:themeColor="text1"/>
                <w:sz w:val="20"/>
                <w:szCs w:val="20"/>
              </w:rPr>
              <w:t xml:space="preserve">Diversity Equity Inclusion &amp; Belonging (DEIB) team to notice the workshop, ultimately engaging attendees </w:t>
            </w:r>
            <w:r w:rsidRPr="009A290C">
              <w:rPr>
                <w:rFonts w:ascii="Palatino Linotype" w:hAnsi="Palatino Linotype" w:eastAsia="Palatino Linotype" w:cs="Times New Roman"/>
                <w:color w:val="000000" w:themeColor="text1"/>
                <w:sz w:val="20"/>
                <w:szCs w:val="20"/>
              </w:rPr>
              <w:t xml:space="preserve">from 100 different </w:t>
            </w:r>
            <w:r w:rsidRPr="0032527A">
              <w:rPr>
                <w:rFonts w:ascii="Palatino Linotype" w:hAnsi="Palatino Linotype" w:eastAsia="Palatino Linotype" w:cs="Times New Roman"/>
                <w:color w:val="000000" w:themeColor="text1"/>
                <w:sz w:val="20"/>
                <w:szCs w:val="20"/>
              </w:rPr>
              <w:t>organizations in 20</w:t>
            </w:r>
            <w:r w:rsidRPr="00DA2688">
              <w:rPr>
                <w:rFonts w:ascii="Palatino Linotype" w:hAnsi="Palatino Linotype" w:eastAsia="Palatino Linotype" w:cs="Times New Roman"/>
                <w:color w:val="0D0D0D" w:themeColor="text1" w:themeTint="F2"/>
                <w:sz w:val="20"/>
                <w:szCs w:val="20"/>
              </w:rPr>
              <w:t>24.</w:t>
            </w:r>
            <w:r w:rsidRPr="00DA2688">
              <w:rPr>
                <w:rStyle w:val="FootnoteReference"/>
                <w:rFonts w:ascii="Palatino Linotype" w:hAnsi="Palatino Linotype" w:eastAsia="Palatino Linotype" w:cs="Times New Roman"/>
                <w:color w:val="0D0D0D" w:themeColor="text1" w:themeTint="F2"/>
                <w:sz w:val="20"/>
                <w:szCs w:val="20"/>
              </w:rPr>
              <w:footnoteReference w:id="192"/>
            </w:r>
            <w:r w:rsidRPr="00DA2688">
              <w:rPr>
                <w:rFonts w:ascii="Palatino Linotype" w:hAnsi="Palatino Linotype" w:eastAsia="Palatino Linotype" w:cs="Times New Roman"/>
                <w:color w:val="0D0D0D" w:themeColor="text1" w:themeTint="F2"/>
                <w:sz w:val="20"/>
                <w:szCs w:val="20"/>
              </w:rPr>
              <w:t xml:space="preserve"> </w:t>
            </w:r>
            <w:r w:rsidRPr="00EE0B1E">
              <w:rPr>
                <w:rFonts w:ascii="Palatino Linotype" w:hAnsi="Palatino Linotype"/>
                <w:color w:val="000000" w:themeColor="text1"/>
                <w:sz w:val="20"/>
                <w:szCs w:val="20"/>
              </w:rPr>
              <w:t>PG&amp;E includes high-level summaries from stakeholder interviews and incorporation strategie</w:t>
            </w:r>
            <w:r>
              <w:rPr>
                <w:rFonts w:ascii="Palatino Linotype" w:hAnsi="Palatino Linotype"/>
                <w:color w:val="000000" w:themeColor="text1"/>
                <w:sz w:val="20"/>
                <w:szCs w:val="20"/>
              </w:rPr>
              <w:t>s</w:t>
            </w:r>
            <w:r w:rsidRPr="00EE0B1E">
              <w:rPr>
                <w:rStyle w:val="FootnoteReference"/>
                <w:rFonts w:ascii="Palatino Linotype" w:hAnsi="Palatino Linotype"/>
                <w:color w:val="000000" w:themeColor="text1"/>
                <w:sz w:val="20"/>
                <w:szCs w:val="20"/>
              </w:rPr>
              <w:footnoteReference w:id="193"/>
            </w:r>
            <w:r>
              <w:rPr>
                <w:rFonts w:ascii="Palatino Linotype" w:hAnsi="Palatino Linotype"/>
                <w:color w:val="0D0D0D" w:themeColor="text1" w:themeTint="F2"/>
                <w:sz w:val="20"/>
                <w:szCs w:val="20"/>
              </w:rPr>
              <w:t xml:space="preserve"> and details </w:t>
            </w:r>
            <w:r>
              <w:rPr>
                <w:rFonts w:ascii="Palatino Linotype" w:hAnsi="Palatino Linotype" w:eastAsia="Palatino Linotype" w:cs="Times New Roman"/>
                <w:color w:val="000000" w:themeColor="text1"/>
                <w:sz w:val="20"/>
                <w:szCs w:val="20"/>
              </w:rPr>
              <w:t>an</w:t>
            </w:r>
            <w:r w:rsidRPr="0032527A">
              <w:rPr>
                <w:rFonts w:ascii="Palatino Linotype" w:hAnsi="Palatino Linotype" w:eastAsia="Palatino Linotype" w:cs="Times New Roman"/>
                <w:color w:val="000000" w:themeColor="text1"/>
                <w:sz w:val="20"/>
                <w:szCs w:val="20"/>
              </w:rPr>
              <w:t xml:space="preserve"> Annual Stakeholder Workshop Attendee Organization List, which include</w:t>
            </w:r>
            <w:r>
              <w:rPr>
                <w:rFonts w:ascii="Palatino Linotype" w:hAnsi="Palatino Linotype" w:eastAsia="Palatino Linotype" w:cs="Times New Roman"/>
                <w:color w:val="000000" w:themeColor="text1"/>
                <w:sz w:val="20"/>
                <w:szCs w:val="20"/>
              </w:rPr>
              <w:t>s</w:t>
            </w:r>
            <w:r w:rsidRPr="0032527A">
              <w:rPr>
                <w:rFonts w:ascii="Palatino Linotype" w:hAnsi="Palatino Linotype" w:eastAsia="Palatino Linotype" w:cs="Times New Roman"/>
                <w:color w:val="000000" w:themeColor="text1"/>
                <w:sz w:val="20"/>
                <w:szCs w:val="20"/>
              </w:rPr>
              <w:t xml:space="preserve">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onal laboratories, public agencies, industry organiza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universi</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es, minority-serving organizations (MSIs), community-based organizations (CBOs), Tribal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and private companies</w:t>
            </w:r>
            <w:r w:rsidRPr="0032527A">
              <w:rPr>
                <w:rFonts w:ascii="Palatino Linotype" w:hAnsi="Palatino Linotype" w:eastAsia="Palatino Linotype" w:cs="Times New Roman"/>
                <w:sz w:val="20"/>
                <w:szCs w:val="20"/>
              </w:rPr>
              <w:t>.</w:t>
            </w:r>
            <w:r w:rsidRPr="0032527A">
              <w:rPr>
                <w:rStyle w:val="FootnoteReference"/>
                <w:rFonts w:ascii="Palatino Linotype" w:hAnsi="Palatino Linotype" w:eastAsia="Palatino Linotype" w:cs="Times New Roman"/>
                <w:sz w:val="20"/>
                <w:szCs w:val="20"/>
              </w:rPr>
              <w:footnoteReference w:id="194"/>
            </w:r>
          </w:p>
        </w:tc>
        <w:tc>
          <w:tcPr>
            <w:tcW w:w="4140" w:type="dxa"/>
          </w:tcPr>
          <w:p w:rsidRPr="004442B5" w:rsidR="00801EA4" w:rsidRDefault="00801EA4" w14:paraId="5AD64186" w14:textId="14555955">
            <w:pPr>
              <w:contextualSpacing/>
              <w:rPr>
                <w:rFonts w:ascii="Palatino Linotype" w:hAnsi="Palatino Linotype" w:eastAsia="Palatino Linotype" w:cs="Times New Roman"/>
                <w:b/>
                <w:bCs w:val="0"/>
                <w:color w:val="0070C0"/>
                <w:sz w:val="20"/>
                <w:szCs w:val="20"/>
              </w:rPr>
            </w:pPr>
            <w:r w:rsidRPr="0082297A">
              <w:rPr>
                <w:rFonts w:ascii="Palatino Linotype" w:hAnsi="Palatino Linotype" w:eastAsia="Palatino Linotype" w:cs="Times New Roman"/>
                <w:sz w:val="20"/>
                <w:szCs w:val="20"/>
              </w:rPr>
              <w:t xml:space="preserve">PG&amp;E engaged relevant, diverse stakeholders in its Annual Workshop held on April 29, 2024. </w:t>
            </w:r>
            <w:r w:rsidRPr="00711B05">
              <w:rPr>
                <w:rFonts w:ascii="Palatino Linotype" w:hAnsi="Palatino Linotype" w:eastAsia="Palatino Linotype" w:cs="Times New Roman"/>
                <w:b/>
                <w:bCs w:val="0"/>
                <w:sz w:val="20"/>
                <w:szCs w:val="20"/>
              </w:rPr>
              <w:t>PG&amp;E is compliant with th</w:t>
            </w:r>
            <w:r w:rsidR="0034351D">
              <w:rPr>
                <w:rFonts w:ascii="Palatino Linotype" w:hAnsi="Palatino Linotype" w:eastAsia="Palatino Linotype" w:cs="Times New Roman"/>
                <w:b/>
                <w:bCs w:val="0"/>
                <w:sz w:val="20"/>
                <w:szCs w:val="20"/>
              </w:rPr>
              <w:t>is</w:t>
            </w:r>
            <w:r w:rsidRPr="00711B05">
              <w:rPr>
                <w:rFonts w:ascii="Palatino Linotype" w:hAnsi="Palatino Linotype" w:eastAsia="Palatino Linotype" w:cs="Times New Roman"/>
                <w:b/>
                <w:bCs w:val="0"/>
                <w:sz w:val="20"/>
                <w:szCs w:val="20"/>
              </w:rPr>
              <w:t xml:space="preserve"> requirement.</w:t>
            </w:r>
          </w:p>
        </w:tc>
      </w:tr>
      <w:tr w:rsidR="00801EA4" w:rsidTr="00917561" w14:paraId="242F377B" w14:textId="77777777">
        <w:tc>
          <w:tcPr>
            <w:tcW w:w="3865" w:type="dxa"/>
          </w:tcPr>
          <w:p w:rsidRPr="00841E84" w:rsidR="00801EA4" w:rsidRDefault="00801EA4" w14:paraId="5BE2D97B" w14:textId="77777777">
            <w:pPr>
              <w:rPr>
                <w:rFonts w:ascii="Palatino Linotype" w:hAnsi="Palatino Linotype"/>
                <w:color w:val="000000" w:themeColor="text1"/>
                <w:sz w:val="20"/>
                <w:szCs w:val="20"/>
              </w:rPr>
            </w:pPr>
            <w:r w:rsidRPr="00841E84">
              <w:rPr>
                <w:rFonts w:ascii="Palatino Linotype" w:hAnsi="Palatino Linotype"/>
                <w:sz w:val="20"/>
                <w:szCs w:val="20"/>
              </w:rPr>
              <w:t>Public Utilities Code 740.1</w:t>
            </w:r>
            <w:r>
              <w:rPr>
                <w:rStyle w:val="FootnoteReference"/>
                <w:rFonts w:ascii="Palatino Linotype" w:hAnsi="Palatino Linotype"/>
                <w:sz w:val="20"/>
                <w:szCs w:val="20"/>
              </w:rPr>
              <w:footnoteReference w:id="195"/>
            </w:r>
            <w:r w:rsidRPr="00841E84">
              <w:rPr>
                <w:rFonts w:ascii="Palatino Linotype" w:hAnsi="Palatino Linotype"/>
                <w:sz w:val="20"/>
                <w:szCs w:val="20"/>
              </w:rPr>
              <w:t xml:space="preserve"> at</w:t>
            </w:r>
            <w:r>
              <w:rPr>
                <w:rFonts w:ascii="Palatino Linotype" w:hAnsi="Palatino Linotype"/>
                <w:sz w:val="20"/>
                <w:szCs w:val="20"/>
              </w:rPr>
              <w:t>:</w:t>
            </w:r>
            <w:r w:rsidRPr="00841E84">
              <w:rPr>
                <w:rFonts w:ascii="Palatino Linotype" w:hAnsi="Palatino Linotype"/>
                <w:sz w:val="20"/>
                <w:szCs w:val="20"/>
              </w:rPr>
              <w:t xml:space="preserve"> </w:t>
            </w:r>
          </w:p>
          <w:p w:rsidR="00801EA4" w:rsidRDefault="00801EA4" w14:paraId="28BE3D98" w14:textId="77777777">
            <w:pPr>
              <w:rPr>
                <w:rFonts w:ascii="Palatino Linotype" w:hAnsi="Palatino Linotype"/>
                <w:i/>
                <w:iCs/>
                <w:color w:val="000000" w:themeColor="text1"/>
                <w:sz w:val="20"/>
                <w:szCs w:val="20"/>
              </w:rPr>
            </w:pPr>
            <w:r w:rsidRPr="00841E84">
              <w:rPr>
                <w:rFonts w:ascii="Palatino Linotype" w:hAnsi="Palatino Linotype"/>
                <w:color w:val="000000" w:themeColor="text1"/>
                <w:sz w:val="20"/>
                <w:szCs w:val="20"/>
              </w:rPr>
              <w:t>(a)</w:t>
            </w:r>
            <w:r>
              <w:rPr>
                <w:rFonts w:ascii="Palatino Linotype" w:hAnsi="Palatino Linotype"/>
                <w:i/>
                <w:iCs/>
                <w:color w:val="000000" w:themeColor="text1"/>
                <w:sz w:val="20"/>
                <w:szCs w:val="20"/>
              </w:rPr>
              <w:t xml:space="preserve"> </w:t>
            </w:r>
            <w:r w:rsidRPr="00DE3CB6">
              <w:rPr>
                <w:rFonts w:ascii="Palatino Linotype" w:hAnsi="Palatino Linotype"/>
                <w:i/>
                <w:iCs/>
                <w:color w:val="000000" w:themeColor="text1"/>
                <w:sz w:val="20"/>
                <w:szCs w:val="20"/>
              </w:rPr>
              <w:t>Projects should offer a reasonable probability of providing benefits to ratepayers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96"/>
            </w:r>
            <w:r>
              <w:rPr>
                <w:rFonts w:ascii="Palatino Linotype" w:hAnsi="Palatino Linotype"/>
                <w:i/>
                <w:iCs/>
                <w:color w:val="000000" w:themeColor="text1"/>
                <w:sz w:val="20"/>
                <w:szCs w:val="20"/>
              </w:rPr>
              <w:t xml:space="preserve"> </w:t>
            </w:r>
          </w:p>
          <w:p w:rsidRPr="00841E84" w:rsidR="00801EA4" w:rsidRDefault="00801EA4" w14:paraId="254DB801" w14:textId="77777777">
            <w:pPr>
              <w:rPr>
                <w:rFonts w:ascii="Palatino Linotype" w:hAnsi="Palatino Linotype"/>
                <w:sz w:val="20"/>
                <w:szCs w:val="20"/>
              </w:rPr>
            </w:pPr>
            <w:r w:rsidRPr="00841E84">
              <w:rPr>
                <w:rFonts w:ascii="Palatino Linotype" w:hAnsi="Palatino Linotype"/>
                <w:color w:val="000000" w:themeColor="text1"/>
                <w:sz w:val="20"/>
                <w:szCs w:val="20"/>
              </w:rPr>
              <w:lastRenderedPageBreak/>
              <w:t>(b)</w:t>
            </w:r>
            <w:r>
              <w:rPr>
                <w:rFonts w:ascii="Palatino Linotype" w:hAnsi="Palatino Linotype"/>
                <w:i/>
                <w:iCs/>
                <w:color w:val="000000" w:themeColor="text1"/>
                <w:sz w:val="20"/>
                <w:szCs w:val="20"/>
              </w:rPr>
              <w:t xml:space="preserve"> </w:t>
            </w:r>
            <w:r w:rsidRPr="00704498">
              <w:rPr>
                <w:rFonts w:ascii="Palatino Linotype" w:hAnsi="Palatino Linotype"/>
                <w:i/>
                <w:iCs/>
                <w:color w:val="000000" w:themeColor="text1"/>
                <w:sz w:val="20"/>
                <w:szCs w:val="20"/>
              </w:rPr>
              <w:t>Expenditures on projects which have a low probability for success should be minimized.</w:t>
            </w:r>
            <w:r>
              <w:rPr>
                <w:rStyle w:val="FootnoteReference"/>
                <w:rFonts w:ascii="Palatino Linotype" w:hAnsi="Palatino Linotype"/>
                <w:i/>
                <w:iCs/>
                <w:color w:val="000000" w:themeColor="text1"/>
                <w:sz w:val="20"/>
                <w:szCs w:val="20"/>
              </w:rPr>
              <w:footnoteReference w:id="197"/>
            </w:r>
          </w:p>
        </w:tc>
        <w:tc>
          <w:tcPr>
            <w:tcW w:w="4770" w:type="dxa"/>
          </w:tcPr>
          <w:p w:rsidRPr="00535F37" w:rsidR="00801EA4" w:rsidRDefault="00801EA4" w14:paraId="3198B24A"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color w:val="000000" w:themeColor="text1"/>
                <w:sz w:val="20"/>
                <w:szCs w:val="20"/>
              </w:rPr>
              <w:lastRenderedPageBreak/>
              <w:t xml:space="preserve">See PG&amp;E Response in AL 5196-G to </w:t>
            </w:r>
            <w:hyperlink w:history="1" r:id="rId30">
              <w:r w:rsidRPr="00535F37">
                <w:rPr>
                  <w:rStyle w:val="Hyperlink"/>
                  <w:rFonts w:ascii="Palatino Linotype" w:hAnsi="Palatino Linotype"/>
                  <w:color w:val="000000" w:themeColor="text1"/>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at (2) for information on intended benefits from each Initiative.</w:t>
            </w:r>
            <w:r w:rsidRPr="00535F37">
              <w:rPr>
                <w:rFonts w:ascii="Palatino Linotype" w:hAnsi="Palatino Linotype" w:eastAsia="Palatino Linotype" w:cs="Times New Roman"/>
                <w:color w:val="000000" w:themeColor="text1"/>
                <w:sz w:val="20"/>
                <w:szCs w:val="20"/>
              </w:rPr>
              <w:t xml:space="preserve"> PG&amp;E states that “[p]</w:t>
            </w:r>
            <w:proofErr w:type="spellStart"/>
            <w:r w:rsidRPr="00535F37">
              <w:rPr>
                <w:rFonts w:ascii="Palatino Linotype" w:hAnsi="Palatino Linotype" w:eastAsia="Palatino Linotype" w:cs="Times New Roman"/>
                <w:color w:val="000000" w:themeColor="text1"/>
                <w:sz w:val="20"/>
                <w:szCs w:val="20"/>
              </w:rPr>
              <w:t>roject</w:t>
            </w:r>
            <w:proofErr w:type="spellEnd"/>
            <w:r w:rsidRPr="00535F37">
              <w:rPr>
                <w:rFonts w:ascii="Palatino Linotype" w:hAnsi="Palatino Linotype" w:eastAsia="Palatino Linotype" w:cs="Times New Roman"/>
                <w:color w:val="000000" w:themeColor="text1"/>
                <w:sz w:val="20"/>
                <w:szCs w:val="20"/>
              </w:rPr>
              <w:t xml:space="preserve"> proposals are evaluated using defined technical milestones, </w:t>
            </w:r>
            <w:r w:rsidRPr="00535F37">
              <w:rPr>
                <w:rFonts w:ascii="Palatino Linotype" w:hAnsi="Palatino Linotype" w:eastAsia="Palatino Linotype" w:cs="Times New Roman"/>
                <w:color w:val="000000" w:themeColor="text1"/>
                <w:sz w:val="20"/>
                <w:szCs w:val="20"/>
              </w:rPr>
              <w:lastRenderedPageBreak/>
              <w:t>probability-of-success screening criteria, and stage-gated funding controls to minimize expenditures on projects with low likelihood of success.”</w:t>
            </w:r>
            <w:r w:rsidRPr="00535F37">
              <w:rPr>
                <w:rStyle w:val="FootnoteReference"/>
                <w:rFonts w:ascii="Palatino Linotype" w:hAnsi="Palatino Linotype" w:eastAsia="Palatino Linotype" w:cs="Times New Roman"/>
                <w:color w:val="000000" w:themeColor="text1"/>
                <w:sz w:val="20"/>
                <w:szCs w:val="20"/>
              </w:rPr>
              <w:footnoteReference w:id="198"/>
            </w:r>
          </w:p>
          <w:p w:rsidRPr="00535F37" w:rsidR="00801EA4" w:rsidRDefault="00801EA4" w14:paraId="49FC9600" w14:textId="77777777">
            <w:pPr>
              <w:rPr>
                <w:rFonts w:ascii="Palatino Linotype" w:hAnsi="Palatino Linotype" w:eastAsia="Palatino Linotype" w:cs="Times New Roman"/>
                <w:color w:val="000000" w:themeColor="text1"/>
                <w:sz w:val="20"/>
                <w:szCs w:val="20"/>
              </w:rPr>
            </w:pPr>
          </w:p>
          <w:p w:rsidRPr="00535F37" w:rsidR="00801EA4" w:rsidRDefault="00801EA4" w14:paraId="7A136506"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PG&amp;E states</w:t>
            </w:r>
            <w:r w:rsidRPr="00535F37">
              <w:rPr>
                <w:rFonts w:ascii="Palatino Linotype" w:hAnsi="Palatino Linotype"/>
                <w:color w:val="000000" w:themeColor="text1"/>
                <w:sz w:val="20"/>
                <w:szCs w:val="20"/>
              </w:rPr>
              <w:t xml:space="preserve"> that it “plans on renewing its membership in six research consortia to wrap-up research efforts outside of California to comply with CPUC Resolution G-3601”, amounting to </w:t>
            </w:r>
            <w:r w:rsidRPr="00535F37">
              <w:rPr>
                <w:rFonts w:ascii="Palatino Linotype" w:hAnsi="Palatino Linotype" w:eastAsia="Palatino Linotype" w:cs="Times New Roman"/>
                <w:color w:val="000000" w:themeColor="text1"/>
                <w:sz w:val="20"/>
                <w:szCs w:val="20"/>
              </w:rPr>
              <w:t>$</w:t>
            </w:r>
            <w:r w:rsidRPr="00535F37">
              <w:rPr>
                <w:rFonts w:ascii="Palatino Linotype" w:hAnsi="Palatino Linotype"/>
                <w:color w:val="000000" w:themeColor="text1"/>
                <w:sz w:val="20"/>
                <w:szCs w:val="20"/>
              </w:rPr>
              <w:t>1,449,680 in calendar year 2025.</w:t>
            </w:r>
            <w:r w:rsidRPr="00535F37">
              <w:rPr>
                <w:rStyle w:val="FootnoteReference"/>
                <w:rFonts w:ascii="Palatino Linotype" w:hAnsi="Palatino Linotype"/>
                <w:color w:val="000000" w:themeColor="text1"/>
                <w:sz w:val="20"/>
                <w:szCs w:val="20"/>
              </w:rPr>
              <w:footnoteReference w:id="199"/>
            </w:r>
            <w:r w:rsidRPr="00535F37">
              <w:rPr>
                <w:rFonts w:ascii="Palatino Linotype" w:hAnsi="Palatino Linotype"/>
                <w:color w:val="000000" w:themeColor="text1"/>
                <w:sz w:val="20"/>
                <w:szCs w:val="20"/>
              </w:rPr>
              <w:t xml:space="preserve"> “Membership costs are being provided for reference that will allow on-going projects to be wrapped up and</w:t>
            </w:r>
            <w:r w:rsidRPr="00535F37">
              <w:rPr>
                <w:rFonts w:ascii="Palatino Linotype" w:hAnsi="Palatino Linotype"/>
                <w:b/>
                <w:bCs w:val="0"/>
                <w:color w:val="000000" w:themeColor="text1"/>
                <w:sz w:val="20"/>
                <w:szCs w:val="20"/>
              </w:rPr>
              <w:t xml:space="preserve"> </w:t>
            </w:r>
            <w:r w:rsidRPr="00535F37">
              <w:rPr>
                <w:rFonts w:ascii="Palatino Linotype" w:hAnsi="Palatino Linotype"/>
                <w:color w:val="000000" w:themeColor="text1"/>
                <w:sz w:val="20"/>
                <w:szCs w:val="20"/>
              </w:rPr>
              <w:t>will not be part of cost recovery for MAT GZA.”</w:t>
            </w:r>
            <w:r w:rsidRPr="00535F37">
              <w:rPr>
                <w:rStyle w:val="FootnoteReference"/>
                <w:rFonts w:ascii="Palatino Linotype" w:hAnsi="Palatino Linotype"/>
                <w:color w:val="000000" w:themeColor="text1"/>
                <w:sz w:val="20"/>
                <w:szCs w:val="20"/>
              </w:rPr>
              <w:footnoteReference w:id="200"/>
            </w:r>
            <w:r w:rsidRPr="00535F37">
              <w:rPr>
                <w:rFonts w:ascii="Palatino Linotype" w:hAnsi="Palatino Linotype"/>
                <w:color w:val="000000" w:themeColor="text1"/>
                <w:sz w:val="20"/>
                <w:szCs w:val="20"/>
              </w:rPr>
              <w:t xml:space="preserve"> </w:t>
            </w:r>
            <w:r w:rsidRPr="00535F37">
              <w:rPr>
                <w:rFonts w:ascii="Palatino Linotype" w:hAnsi="Palatino Linotype" w:eastAsia="Palatino Linotype" w:cs="Times New Roman"/>
                <w:color w:val="000000" w:themeColor="text1"/>
                <w:sz w:val="20"/>
                <w:szCs w:val="20"/>
              </w:rPr>
              <w:t>PG&amp;E states that “[c]</w:t>
            </w:r>
            <w:proofErr w:type="spellStart"/>
            <w:r w:rsidRPr="00535F37">
              <w:rPr>
                <w:rFonts w:ascii="Palatino Linotype" w:hAnsi="Palatino Linotype" w:eastAsia="Palatino Linotype" w:cs="Times New Roman"/>
                <w:color w:val="000000" w:themeColor="text1"/>
                <w:sz w:val="20"/>
                <w:szCs w:val="20"/>
              </w:rPr>
              <w:t>onsortia</w:t>
            </w:r>
            <w:proofErr w:type="spellEnd"/>
            <w:r w:rsidRPr="00535F37">
              <w:rPr>
                <w:rFonts w:ascii="Palatino Linotype" w:hAnsi="Palatino Linotype" w:eastAsia="Palatino Linotype" w:cs="Times New Roman"/>
                <w:color w:val="000000" w:themeColor="text1"/>
                <w:sz w:val="20"/>
                <w:szCs w:val="20"/>
              </w:rPr>
              <w:t xml:space="preserve"> membership dues are categorized as Administrative Activities under Program Administrative costs”</w:t>
            </w:r>
            <w:r w:rsidRPr="00535F37">
              <w:rPr>
                <w:rStyle w:val="FootnoteReference"/>
                <w:rFonts w:ascii="Palatino Linotype" w:hAnsi="Palatino Linotype" w:eastAsia="Palatino Linotype" w:cs="Times New Roman"/>
                <w:color w:val="000000" w:themeColor="text1"/>
                <w:sz w:val="20"/>
                <w:szCs w:val="20"/>
              </w:rPr>
              <w:footnoteReference w:id="201"/>
            </w:r>
            <w:r w:rsidRPr="00535F37">
              <w:rPr>
                <w:rFonts w:ascii="Palatino Linotype" w:hAnsi="Palatino Linotype" w:eastAsia="Palatino Linotype" w:cs="Times New Roman"/>
                <w:color w:val="000000" w:themeColor="text1"/>
                <w:sz w:val="20"/>
                <w:szCs w:val="20"/>
              </w:rPr>
              <w:t xml:space="preserve"> and “provide access to technical studies, field demonstrations, </w:t>
            </w:r>
            <w:r w:rsidRPr="00535F37">
              <w:rPr>
                <w:rFonts w:ascii="Palatino Linotype" w:hAnsi="Palatino Linotype" w:eastAsia="Palatino Linotype" w:cs="Times New Roman"/>
                <w:color w:val="000000" w:themeColor="text1"/>
                <w:sz w:val="20"/>
                <w:szCs w:val="20"/>
              </w:rPr>
              <w:lastRenderedPageBreak/>
              <w:t>data sets, and subject matter expertise that directly support California-specific safety, reliability, methane reduction, and affordability objectives. PG&amp;E evaluates consortia participation annually to ensure that membership dues result in identifiable ratepayer value, including avoided standalone research costs, accelerated technology validation, and improved operational efficiency.”</w:t>
            </w:r>
            <w:r w:rsidRPr="00535F37">
              <w:rPr>
                <w:rStyle w:val="FootnoteReference"/>
                <w:rFonts w:ascii="Palatino Linotype" w:hAnsi="Palatino Linotype" w:eastAsia="Palatino Linotype" w:cs="Times New Roman"/>
                <w:color w:val="000000" w:themeColor="text1"/>
                <w:sz w:val="20"/>
                <w:szCs w:val="20"/>
              </w:rPr>
              <w:footnoteReference w:id="202"/>
            </w:r>
            <w:r w:rsidRPr="00535F37">
              <w:rPr>
                <w:rFonts w:ascii="Palatino Linotype" w:hAnsi="Palatino Linotype" w:eastAsia="Palatino Linotype" w:cs="Times New Roman"/>
                <w:color w:val="000000" w:themeColor="text1"/>
                <w:sz w:val="20"/>
                <w:szCs w:val="20"/>
              </w:rPr>
              <w:t xml:space="preserve"> </w:t>
            </w:r>
          </w:p>
          <w:p w:rsidRPr="00535F37" w:rsidR="00801EA4" w:rsidRDefault="00801EA4" w14:paraId="55178E04" w14:textId="77777777">
            <w:pPr>
              <w:rPr>
                <w:rFonts w:ascii="Palatino Linotype" w:hAnsi="Palatino Linotype" w:eastAsia="Palatino Linotype" w:cs="Times New Roman"/>
                <w:color w:val="000000" w:themeColor="text1"/>
                <w:sz w:val="20"/>
                <w:szCs w:val="20"/>
              </w:rPr>
            </w:pPr>
          </w:p>
          <w:p w:rsidRPr="00535F37" w:rsidR="00801EA4" w:rsidP="005E7A46" w:rsidRDefault="00801EA4" w14:paraId="13DFCE3B" w14:textId="5A51F691">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In one place, PG&amp;E states that in its resubmittal it “revised the Plan to remove gas RD&amp;D projects located outside of California, except where projects are affiliated with a federal laboratory.”</w:t>
            </w:r>
            <w:r w:rsidRPr="00535F37">
              <w:rPr>
                <w:rStyle w:val="FootnoteReference"/>
                <w:rFonts w:ascii="Palatino Linotype" w:hAnsi="Palatino Linotype" w:eastAsia="Palatino Linotype" w:cs="Times New Roman"/>
                <w:color w:val="000000" w:themeColor="text1"/>
                <w:sz w:val="20"/>
                <w:szCs w:val="20"/>
              </w:rPr>
              <w:footnoteReference w:id="203"/>
            </w:r>
            <w:r w:rsidRPr="00535F37">
              <w:rPr>
                <w:rFonts w:ascii="Palatino Linotype" w:hAnsi="Palatino Linotype" w:eastAsia="Palatino Linotype" w:cs="Times New Roman"/>
                <w:color w:val="000000" w:themeColor="text1"/>
                <w:sz w:val="20"/>
                <w:szCs w:val="20"/>
              </w:rPr>
              <w:t xml:space="preserve"> PG&amp;E also states that the “proactive geohazard risk management and emissions reduction activities and refined reporting initiatives have been removed from the plan due to collaborative efforts being outside of California with no current research opportunities in California.”</w:t>
            </w:r>
            <w:r w:rsidRPr="00535F37">
              <w:rPr>
                <w:rStyle w:val="FootnoteReference"/>
                <w:rFonts w:ascii="Palatino Linotype" w:hAnsi="Palatino Linotype" w:eastAsia="Palatino Linotype" w:cs="Times New Roman"/>
                <w:color w:val="000000" w:themeColor="text1"/>
                <w:sz w:val="20"/>
                <w:szCs w:val="20"/>
              </w:rPr>
              <w:footnoteReference w:id="204"/>
            </w:r>
            <w:r w:rsidRPr="00535F37">
              <w:rPr>
                <w:rFonts w:ascii="Palatino Linotype" w:hAnsi="Palatino Linotype" w:eastAsia="Palatino Linotype" w:cs="Times New Roman"/>
                <w:color w:val="000000" w:themeColor="text1"/>
                <w:sz w:val="20"/>
                <w:szCs w:val="20"/>
              </w:rPr>
              <w:t xml:space="preserve"> However, PG&amp;E also states that the “plan includes on-going multi-year work in collaboration with consortia that began prior to the 2023 GRC decision.”</w:t>
            </w:r>
            <w:r w:rsidRPr="00535F37">
              <w:rPr>
                <w:rStyle w:val="FootnoteReference"/>
                <w:rFonts w:ascii="Palatino Linotype" w:hAnsi="Palatino Linotype" w:eastAsia="Palatino Linotype" w:cs="Times New Roman"/>
                <w:color w:val="000000" w:themeColor="text1"/>
                <w:sz w:val="20"/>
                <w:szCs w:val="20"/>
              </w:rPr>
              <w:footnoteReference w:id="205"/>
            </w:r>
            <w:r w:rsidRPr="00535F37">
              <w:rPr>
                <w:rFonts w:ascii="Palatino Linotype" w:hAnsi="Palatino Linotype" w:eastAsia="Palatino Linotype" w:cs="Times New Roman"/>
                <w:color w:val="000000" w:themeColor="text1"/>
                <w:sz w:val="20"/>
                <w:szCs w:val="20"/>
              </w:rPr>
              <w:t xml:space="preserve"> “Consortia activities outside of California are included only to the extent necessary to fulfill existing contractual obligations and to avoid near-term financial and operational risk to ratepayers. Removal of these remaining consortia activities </w:t>
            </w:r>
            <w:r w:rsidRPr="00535F37">
              <w:rPr>
                <w:rFonts w:ascii="Palatino Linotype" w:hAnsi="Palatino Linotype" w:eastAsia="Palatino Linotype" w:cs="Times New Roman"/>
                <w:color w:val="000000" w:themeColor="text1"/>
                <w:sz w:val="20"/>
                <w:szCs w:val="20"/>
              </w:rPr>
              <w:lastRenderedPageBreak/>
              <w:t>would result in a loss of value to customers and could adversely affect customer affordability and safety over the long term by eliminating opportunities to leverage shared learnings, mitigate technical and operational risks, and avoid higher future costs. In addition, if PG&amp;E does not participate in these consortia research efforts, it would lose visibility into emerging technologies and industry developments, increasing the risk that new and potentially beneficial technologies are identified later or at higher cost. Consortia work enables RD&amp;D to be done at a lower unit cost by pooling multiple utilities’ funds into a single project, some of which can have high unit costs. Withdrawing would lower the number of important projects that could be covered by the authorized amounts from the Commission. Where collaboration involves consortia or external partners, PG&amp;E’s participation is limited to research activities that provide identifiable California ratepayer benefits; associated administrative costs are managed consistent with Commission guidance.”</w:t>
            </w:r>
            <w:r w:rsidRPr="00535F37">
              <w:rPr>
                <w:rStyle w:val="FootnoteReference"/>
                <w:rFonts w:ascii="Palatino Linotype" w:hAnsi="Palatino Linotype" w:eastAsia="Palatino Linotype" w:cs="Times New Roman"/>
                <w:color w:val="000000" w:themeColor="text1"/>
                <w:sz w:val="20"/>
                <w:szCs w:val="20"/>
              </w:rPr>
              <w:footnoteReference w:id="206"/>
            </w:r>
            <w:r w:rsidRPr="00535F37">
              <w:rPr>
                <w:rFonts w:ascii="Palatino Linotype" w:hAnsi="Palatino Linotype" w:eastAsia="Palatino Linotype" w:cs="Times New Roman"/>
                <w:color w:val="000000" w:themeColor="text1"/>
                <w:sz w:val="20"/>
                <w:szCs w:val="20"/>
              </w:rPr>
              <w:t xml:space="preserve"> PG&amp;E’s Gas RD&amp;D Project List includes nine projects which are</w:t>
            </w:r>
            <w:r w:rsidRPr="00535F37">
              <w:rPr>
                <w:rFonts w:ascii="Palatino Linotype" w:hAnsi="Palatino Linotype"/>
                <w:color w:val="000000" w:themeColor="text1"/>
                <w:sz w:val="20"/>
                <w:szCs w:val="20"/>
              </w:rPr>
              <w:t xml:space="preserve"> neither located in the State of California nor affiliated with a federal lab, amounting to approximately $579,000.</w:t>
            </w:r>
            <w:r w:rsidRPr="00535F37">
              <w:rPr>
                <w:rStyle w:val="FootnoteReference"/>
                <w:rFonts w:ascii="Palatino Linotype" w:hAnsi="Palatino Linotype" w:eastAsia="Palatino Linotype" w:cs="Times New Roman"/>
                <w:color w:val="000000" w:themeColor="text1"/>
                <w:sz w:val="20"/>
                <w:szCs w:val="20"/>
              </w:rPr>
              <w:footnoteReference w:id="207"/>
            </w:r>
            <w:r w:rsidRPr="00535F37">
              <w:rPr>
                <w:rFonts w:ascii="Palatino Linotype" w:hAnsi="Palatino Linotype" w:eastAsia="Palatino Linotype" w:cs="Times New Roman"/>
                <w:color w:val="000000" w:themeColor="text1"/>
                <w:sz w:val="20"/>
                <w:szCs w:val="20"/>
              </w:rPr>
              <w:t xml:space="preserve"> </w:t>
            </w:r>
          </w:p>
          <w:p w:rsidRPr="00535F37" w:rsidR="00801EA4" w:rsidP="005E7A46" w:rsidRDefault="00801EA4" w14:paraId="0BF76AF4" w14:textId="77777777">
            <w:pPr>
              <w:spacing w:before="240"/>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In its 2025 Gas RD&amp;D Report, PG&amp;E states: “Total Gas RD&amp;D spending reported for RY2025 ($4,645,704) reflects actual expenditures incurred during the reporting year, including $3,508,949 in administrative costs 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amount adopted in D.23-11-069. If the 2024 Gas RD&amp;D Plan is approved as proposed, rate payer would be funding $1,945,797 of the $3,508,949 of the 2025 Spending.”</w:t>
            </w:r>
            <w:r w:rsidRPr="00535F37">
              <w:rPr>
                <w:rStyle w:val="FootnoteReference"/>
                <w:rFonts w:ascii="Palatino Linotype" w:hAnsi="Palatino Linotype" w:eastAsia="Palatino Linotype" w:cs="Times New Roman"/>
                <w:color w:val="000000" w:themeColor="text1"/>
                <w:sz w:val="20"/>
                <w:szCs w:val="20"/>
              </w:rPr>
              <w:footnoteReference w:id="208"/>
            </w:r>
          </w:p>
        </w:tc>
        <w:tc>
          <w:tcPr>
            <w:tcW w:w="4140" w:type="dxa"/>
          </w:tcPr>
          <w:p w:rsidRPr="00535F37" w:rsidR="00801EA4" w:rsidRDefault="00801EA4" w14:paraId="714E1629" w14:textId="50F2B245">
            <w:pPr>
              <w:rPr>
                <w:rFonts w:ascii="Palatino Linotype" w:hAnsi="Palatino Linotype"/>
                <w:color w:val="000000" w:themeColor="text1"/>
                <w:sz w:val="20"/>
                <w:szCs w:val="20"/>
              </w:rPr>
            </w:pPr>
            <w:r w:rsidRPr="00535F37">
              <w:rPr>
                <w:rFonts w:ascii="Palatino Linotype" w:hAnsi="Palatino Linotype"/>
                <w:color w:val="000000" w:themeColor="text1"/>
                <w:sz w:val="20"/>
                <w:szCs w:val="20"/>
              </w:rPr>
              <w:lastRenderedPageBreak/>
              <w:t xml:space="preserve">PG&amp;E largely demonstrates ratepayer benefit for each Initiative: See Compliance Assessment of </w:t>
            </w:r>
            <w:hyperlink r:id="rId31">
              <w:r w:rsidRPr="00535F37">
                <w:rPr>
                  <w:rStyle w:val="Hyperlink"/>
                  <w:rFonts w:ascii="Palatino Linotype" w:hAnsi="Palatino Linotype"/>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 xml:space="preserve">at (2). </w:t>
            </w:r>
            <w:r w:rsidR="008E4169">
              <w:rPr>
                <w:rFonts w:ascii="Palatino Linotype" w:hAnsi="Palatino Linotype"/>
                <w:color w:val="000000" w:themeColor="text1"/>
                <w:sz w:val="20"/>
                <w:szCs w:val="20"/>
              </w:rPr>
              <w:t>F</w:t>
            </w:r>
            <w:r w:rsidRPr="00535F37">
              <w:rPr>
                <w:rFonts w:ascii="Palatino Linotype" w:hAnsi="Palatino Linotype"/>
                <w:color w:val="000000" w:themeColor="text1"/>
                <w:sz w:val="20"/>
                <w:szCs w:val="20"/>
              </w:rPr>
              <w:t xml:space="preserve">unding for membership dues is appropriately </w:t>
            </w:r>
            <w:r w:rsidRPr="00711B05">
              <w:rPr>
                <w:rFonts w:ascii="Palatino Linotype" w:hAnsi="Palatino Linotype"/>
                <w:color w:val="000000" w:themeColor="text1"/>
                <w:sz w:val="20"/>
                <w:szCs w:val="20"/>
              </w:rPr>
              <w:lastRenderedPageBreak/>
              <w:t xml:space="preserve">captured in PG&amp;E’s Administrative Activities under Program Administrative costs. </w:t>
            </w:r>
            <w:r w:rsidRPr="00711B05">
              <w:rPr>
                <w:rFonts w:ascii="Palatino Linotype" w:hAnsi="Palatino Linotype"/>
                <w:b/>
                <w:bCs w:val="0"/>
                <w:color w:val="000000" w:themeColor="text1"/>
                <w:sz w:val="20"/>
                <w:szCs w:val="20"/>
              </w:rPr>
              <w:t>PG&amp;E is compliant with th</w:t>
            </w:r>
            <w:r w:rsidR="0034351D">
              <w:rPr>
                <w:rFonts w:ascii="Palatino Linotype" w:hAnsi="Palatino Linotype"/>
                <w:b/>
                <w:bCs w:val="0"/>
                <w:color w:val="000000" w:themeColor="text1"/>
                <w:sz w:val="20"/>
                <w:szCs w:val="20"/>
              </w:rPr>
              <w:t>is</w:t>
            </w:r>
            <w:r w:rsidRPr="00711B05">
              <w:rPr>
                <w:rFonts w:ascii="Palatino Linotype" w:hAnsi="Palatino Linotype"/>
                <w:b/>
                <w:bCs w:val="0"/>
                <w:color w:val="000000" w:themeColor="text1"/>
                <w:sz w:val="20"/>
                <w:szCs w:val="20"/>
              </w:rPr>
              <w:t xml:space="preserve"> requirement.</w:t>
            </w:r>
          </w:p>
          <w:p w:rsidRPr="00535F37" w:rsidR="00801EA4" w:rsidP="0034351D" w:rsidRDefault="00801EA4" w14:paraId="5BB52352" w14:textId="292332FD">
            <w:pPr>
              <w:spacing w:before="240"/>
              <w:rPr>
                <w:rFonts w:ascii="Palatino Linotype" w:hAnsi="Palatino Linotype"/>
                <w:color w:val="000000" w:themeColor="text1"/>
                <w:sz w:val="20"/>
                <w:szCs w:val="20"/>
              </w:rPr>
            </w:pPr>
            <w:r w:rsidRPr="00535F37">
              <w:rPr>
                <w:rFonts w:ascii="Palatino Linotype" w:hAnsi="Palatino Linotype"/>
                <w:color w:val="000000" w:themeColor="text1"/>
                <w:sz w:val="20"/>
                <w:szCs w:val="20"/>
              </w:rPr>
              <w:t>However, PG&amp;E’s request to recover consortia project costs for which PG&amp;E assumed contractual obligations</w:t>
            </w:r>
            <w:r w:rsidR="0052106F">
              <w:rPr>
                <w:rFonts w:ascii="Palatino Linotype" w:hAnsi="Palatino Linotype"/>
                <w:color w:val="000000" w:themeColor="text1"/>
                <w:sz w:val="20"/>
                <w:szCs w:val="20"/>
              </w:rPr>
              <w:t xml:space="preserve"> and </w:t>
            </w:r>
            <w:r w:rsidR="007A5B4B">
              <w:rPr>
                <w:rFonts w:ascii="Palatino Linotype" w:hAnsi="Palatino Linotype"/>
                <w:color w:val="000000" w:themeColor="text1"/>
                <w:sz w:val="20"/>
                <w:szCs w:val="20"/>
              </w:rPr>
              <w:t>spent funds</w:t>
            </w:r>
            <w:r w:rsidRPr="00535F37">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t>prior to Commission approval of a Gas RD&amp;D Plan</w:t>
            </w:r>
            <w:r w:rsidR="00DB2B3F">
              <w:rPr>
                <w:rFonts w:ascii="Palatino Linotype" w:hAnsi="Palatino Linotype"/>
                <w:color w:val="000000" w:themeColor="text1"/>
                <w:sz w:val="20"/>
                <w:szCs w:val="20"/>
              </w:rPr>
              <w:t xml:space="preserve">, particularly </w:t>
            </w:r>
            <w:r w:rsidRPr="00535F37">
              <w:rPr>
                <w:rFonts w:ascii="Palatino Linotype" w:hAnsi="Palatino Linotype"/>
                <w:color w:val="000000" w:themeColor="text1"/>
                <w:sz w:val="20"/>
                <w:szCs w:val="20"/>
              </w:rPr>
              <w:t xml:space="preserve">for projects neither located in the </w:t>
            </w:r>
            <w:r w:rsidR="00650A48">
              <w:rPr>
                <w:rFonts w:ascii="Palatino Linotype" w:hAnsi="Palatino Linotype"/>
                <w:color w:val="000000" w:themeColor="text1"/>
                <w:sz w:val="20"/>
                <w:szCs w:val="20"/>
              </w:rPr>
              <w:t>S</w:t>
            </w:r>
            <w:r w:rsidRPr="00535F37">
              <w:rPr>
                <w:rFonts w:ascii="Palatino Linotype" w:hAnsi="Palatino Linotype"/>
                <w:color w:val="000000" w:themeColor="text1"/>
                <w:sz w:val="20"/>
                <w:szCs w:val="20"/>
              </w:rPr>
              <w:t>tate of California nor affiliated with a federal lab</w:t>
            </w:r>
            <w:r w:rsidR="00DB2B3F">
              <w:rPr>
                <w:rFonts w:ascii="Palatino Linotype" w:hAnsi="Palatino Linotype"/>
                <w:color w:val="000000" w:themeColor="text1"/>
                <w:sz w:val="20"/>
                <w:szCs w:val="20"/>
              </w:rPr>
              <w:t>,</w:t>
            </w:r>
            <w:r w:rsidRPr="00535F37">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 xml:space="preserve">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Commission guidance</w:t>
            </w:r>
            <w:r w:rsidRPr="00711B05">
              <w:rPr>
                <w:rFonts w:ascii="Palatino Linotype" w:hAnsi="Palatino Linotype"/>
                <w:color w:val="000000" w:themeColor="text1"/>
                <w:sz w:val="20"/>
                <w:szCs w:val="20"/>
              </w:rPr>
              <w:t>.</w:t>
            </w:r>
            <w:r w:rsidRPr="00711B05">
              <w:rPr>
                <w:rStyle w:val="FootnoteReference"/>
                <w:rFonts w:ascii="Palatino Linotype" w:hAnsi="Palatino Linotype"/>
                <w:color w:val="000000" w:themeColor="text1"/>
                <w:sz w:val="20"/>
                <w:szCs w:val="20"/>
              </w:rPr>
              <w:footnoteReference w:id="209"/>
            </w:r>
            <w:r w:rsidRPr="00535F37">
              <w:rPr>
                <w:rFonts w:ascii="Palatino Linotype" w:hAnsi="Palatino Linotype"/>
                <w:color w:val="000000" w:themeColor="text1"/>
                <w:sz w:val="20"/>
                <w:szCs w:val="20"/>
              </w:rPr>
              <w:t xml:space="preserve"> </w:t>
            </w:r>
          </w:p>
          <w:p w:rsidRPr="00535F37" w:rsidR="00801EA4" w:rsidRDefault="00801EA4" w14:paraId="4F18E784" w14:textId="77777777">
            <w:pPr>
              <w:rPr>
                <w:rFonts w:ascii="Palatino Linotype" w:hAnsi="Palatino Linotype"/>
                <w:color w:val="000000" w:themeColor="text1"/>
                <w:sz w:val="20"/>
                <w:szCs w:val="20"/>
              </w:rPr>
            </w:pPr>
          </w:p>
          <w:p w:rsidRPr="00535F37" w:rsidR="00801EA4" w:rsidRDefault="00801EA4" w14:paraId="09768DEB" w14:textId="77777777">
            <w:pPr>
              <w:contextualSpacing/>
              <w:rPr>
                <w:rFonts w:ascii="Palatino Linotype" w:hAnsi="Palatino Linotype" w:eastAsia="Palatino Linotype" w:cs="Times New Roman"/>
                <w:color w:val="000000" w:themeColor="text1"/>
                <w:sz w:val="20"/>
                <w:szCs w:val="20"/>
              </w:rPr>
            </w:pPr>
          </w:p>
        </w:tc>
      </w:tr>
      <w:tr w:rsidR="00801EA4" w:rsidTr="00917561" w14:paraId="41CB545B" w14:textId="77777777">
        <w:tc>
          <w:tcPr>
            <w:tcW w:w="3865" w:type="dxa"/>
          </w:tcPr>
          <w:p w:rsidRPr="00841E84" w:rsidR="00801EA4" w:rsidRDefault="00801EA4" w14:paraId="42702B9F" w14:textId="77777777">
            <w:pPr>
              <w:rPr>
                <w:rFonts w:ascii="Palatino Linotype" w:hAnsi="Palatino Linotype"/>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 (d) </w:t>
            </w:r>
            <w:r w:rsidRPr="007C534E">
              <w:rPr>
                <w:rFonts w:ascii="Palatino Linotype" w:hAnsi="Palatino Linotype"/>
                <w:i/>
                <w:iCs/>
                <w:color w:val="000000" w:themeColor="text1"/>
                <w:sz w:val="20"/>
                <w:szCs w:val="20"/>
              </w:rPr>
              <w:t>Projects should not unnecessarily duplicate research currently, previously, or imminently undertaken by other electrical or gas corporations or research organizatio</w:t>
            </w:r>
            <w:r>
              <w:rPr>
                <w:rFonts w:ascii="Palatino Linotype" w:hAnsi="Palatino Linotype"/>
                <w:i/>
                <w:iCs/>
                <w:color w:val="000000" w:themeColor="text1"/>
                <w:sz w:val="20"/>
                <w:szCs w:val="20"/>
              </w:rPr>
              <w:t>ns</w:t>
            </w:r>
            <w:r w:rsidRPr="007C534E">
              <w:rPr>
                <w:rFonts w:ascii="Palatino Linotype" w:hAnsi="Palatino Linotype"/>
                <w:sz w:val="20"/>
                <w:szCs w:val="20"/>
              </w:rPr>
              <w:t>.</w:t>
            </w:r>
            <w:r>
              <w:rPr>
                <w:rStyle w:val="FootnoteReference"/>
                <w:rFonts w:ascii="Palatino Linotype" w:hAnsi="Palatino Linotype"/>
                <w:sz w:val="20"/>
                <w:szCs w:val="20"/>
              </w:rPr>
              <w:footnoteReference w:id="210"/>
            </w:r>
          </w:p>
        </w:tc>
        <w:tc>
          <w:tcPr>
            <w:tcW w:w="4770" w:type="dxa"/>
          </w:tcPr>
          <w:p w:rsidRPr="00913AE4" w:rsidR="00801EA4" w:rsidRDefault="00801EA4" w14:paraId="6446469B"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PG&amp;E discusses high-level coordination with other Gas RD&amp;D administrators</w:t>
            </w:r>
            <w:r w:rsidRPr="00913AE4">
              <w:rPr>
                <w:rStyle w:val="FootnoteReference"/>
                <w:rFonts w:ascii="Palatino Linotype" w:hAnsi="Palatino Linotype"/>
                <w:color w:val="000000" w:themeColor="text1"/>
                <w:sz w:val="20"/>
                <w:szCs w:val="20"/>
              </w:rPr>
              <w:footnoteReference w:id="211"/>
            </w:r>
            <w:r w:rsidRPr="00913AE4">
              <w:rPr>
                <w:rFonts w:ascii="Palatino Linotype" w:hAnsi="Palatino Linotype"/>
                <w:color w:val="000000" w:themeColor="text1"/>
                <w:sz w:val="20"/>
                <w:szCs w:val="20"/>
              </w:rPr>
              <w:t xml:space="preserve"> and states broadly for each initiative that it plans to “convene regularly with the other Gas R&amp;D Administrators to proactively identify potential areas of overlap and explore opportunities for collaboration and synergy across their respective portfolios.”</w:t>
            </w:r>
            <w:r w:rsidRPr="00913AE4">
              <w:rPr>
                <w:rStyle w:val="FootnoteReference"/>
                <w:rFonts w:ascii="Palatino Linotype" w:hAnsi="Palatino Linotype"/>
                <w:color w:val="000000" w:themeColor="text1"/>
                <w:sz w:val="20"/>
                <w:szCs w:val="20"/>
              </w:rPr>
              <w:footnoteReference w:id="212"/>
            </w:r>
            <w:r w:rsidRPr="00913AE4">
              <w:rPr>
                <w:rFonts w:ascii="Palatino Linotype" w:hAnsi="Palatino Linotype"/>
                <w:color w:val="000000" w:themeColor="text1"/>
                <w:sz w:val="20"/>
                <w:szCs w:val="20"/>
              </w:rPr>
              <w:t xml:space="preserve"> As compared to existing Gas RD&amp;D activities conducted by other administrators, PG&amp;E states that there is no duplication as it is prioritizing the </w:t>
            </w:r>
            <w:r w:rsidRPr="00913AE4">
              <w:rPr>
                <w:rFonts w:ascii="Palatino Linotype" w:hAnsi="Palatino Linotype"/>
                <w:color w:val="000000" w:themeColor="text1"/>
                <w:sz w:val="20"/>
                <w:szCs w:val="20"/>
              </w:rPr>
              <w:lastRenderedPageBreak/>
              <w:t>specific needs of PG&amp;E.</w:t>
            </w:r>
            <w:r w:rsidRPr="00913AE4">
              <w:rPr>
                <w:rStyle w:val="FootnoteReference"/>
                <w:rFonts w:ascii="Palatino Linotype" w:hAnsi="Palatino Linotype"/>
                <w:color w:val="000000" w:themeColor="text1"/>
                <w:sz w:val="20"/>
                <w:szCs w:val="20"/>
              </w:rPr>
              <w:footnoteReference w:id="213"/>
            </w:r>
            <w:r w:rsidRPr="00913AE4">
              <w:rPr>
                <w:rFonts w:ascii="Palatino Linotype" w:hAnsi="Palatino Linotype"/>
                <w:color w:val="000000" w:themeColor="text1"/>
                <w:sz w:val="20"/>
                <w:szCs w:val="20"/>
              </w:rPr>
              <w:t xml:space="preserve"> </w:t>
            </w:r>
            <w:r w:rsidRPr="00913AE4">
              <w:rPr>
                <w:rFonts w:ascii="Palatino Linotype" w:hAnsi="Palatino Linotype" w:eastAsia="Palatino Linotype" w:cs="Times New Roman"/>
                <w:color w:val="000000" w:themeColor="text1"/>
                <w:sz w:val="20"/>
                <w:szCs w:val="20"/>
              </w:rPr>
              <w:t xml:space="preserve">In its Project List Appendix, PG&amp;E specifies its intended role for each project within each Initiative, including funding, lead, and technical advisory committee. </w:t>
            </w:r>
            <w:r w:rsidRPr="00913AE4">
              <w:rPr>
                <w:rFonts w:ascii="Palatino Linotype" w:hAnsi="Palatino Linotype"/>
                <w:color w:val="000000" w:themeColor="text1"/>
                <w:sz w:val="20"/>
                <w:szCs w:val="20"/>
              </w:rPr>
              <w:t xml:space="preserve">PG&amp;E also provides Initiative-level </w:t>
            </w:r>
            <w:proofErr w:type="gramStart"/>
            <w:r w:rsidRPr="00913AE4">
              <w:rPr>
                <w:rFonts w:ascii="Palatino Linotype" w:hAnsi="Palatino Linotype"/>
                <w:color w:val="000000" w:themeColor="text1"/>
                <w:sz w:val="20"/>
                <w:szCs w:val="20"/>
              </w:rPr>
              <w:t>detail</w:t>
            </w:r>
            <w:proofErr w:type="gramEnd"/>
            <w:r w:rsidRPr="00913AE4">
              <w:rPr>
                <w:rFonts w:ascii="Palatino Linotype" w:hAnsi="Palatino Linotype"/>
                <w:color w:val="000000" w:themeColor="text1"/>
                <w:sz w:val="20"/>
                <w:szCs w:val="20"/>
              </w:rPr>
              <w:t xml:space="preserve">: </w:t>
            </w:r>
          </w:p>
          <w:p w:rsidRPr="00913AE4" w:rsidR="00801EA4" w:rsidP="00801EA4" w:rsidRDefault="00801EA4" w14:paraId="770F8BF6" w14:textId="77777777">
            <w:pPr>
              <w:pStyle w:val="ListParagraph"/>
              <w:numPr>
                <w:ilvl w:val="0"/>
                <w:numId w:val="18"/>
              </w:num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Innovative and Cost-Effective Integrity Management: PG&amp;E states that this Initiative “leverages prior industry research and existing PG&amp;E integrity programs, advancing them through California-specific validation, refined modeling, and operational integration to ensure distinct and measurable system-level benefits.”</w:t>
            </w:r>
            <w:r w:rsidRPr="00913AE4">
              <w:rPr>
                <w:rStyle w:val="FootnoteReference"/>
                <w:rFonts w:ascii="Palatino Linotype" w:hAnsi="Palatino Linotype"/>
                <w:color w:val="000000" w:themeColor="text1"/>
                <w:sz w:val="20"/>
                <w:szCs w:val="20"/>
              </w:rPr>
              <w:footnoteReference w:id="214"/>
            </w:r>
          </w:p>
          <w:p w:rsidRPr="00913AE4" w:rsidR="00801EA4" w:rsidP="00801EA4" w:rsidRDefault="00801EA4" w14:paraId="2A794C89" w14:textId="77777777">
            <w:pPr>
              <w:pStyle w:val="ListParagraph"/>
              <w:numPr>
                <w:ilvl w:val="0"/>
                <w:numId w:val="18"/>
              </w:num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Advanced Leak Detection &amp; Repair: PG&amp;E states this Initiative “is not intended to fund compliance-driven leak repair or implementation activities under the NGLA Program. Rather, Gas RD&amp;D investments are limited to research, controlled pilot validation, and performance evaluation of emerging detection technologies to determine their accuracy, cost efficiency, and operational scalability within PG&amp;E’s California service territory.”</w:t>
            </w:r>
            <w:r w:rsidRPr="00913AE4">
              <w:rPr>
                <w:rStyle w:val="FootnoteReference"/>
                <w:rFonts w:ascii="Palatino Linotype" w:hAnsi="Palatino Linotype"/>
                <w:color w:val="000000" w:themeColor="text1"/>
                <w:sz w:val="20"/>
                <w:szCs w:val="20"/>
              </w:rPr>
              <w:footnoteReference w:id="215"/>
            </w:r>
            <w:r w:rsidRPr="00913AE4">
              <w:rPr>
                <w:rFonts w:ascii="Palatino Linotype" w:hAnsi="Palatino Linotype"/>
                <w:color w:val="000000" w:themeColor="text1"/>
                <w:sz w:val="20"/>
                <w:szCs w:val="20"/>
              </w:rPr>
              <w:t xml:space="preserve"> “Where similar technologies are being explored by other administrators, PG&amp;E’s role is limited to California-specific validation, integration analysis, and cost-performance evaluation to ensure distinct </w:t>
            </w:r>
            <w:r w:rsidRPr="00913AE4">
              <w:rPr>
                <w:rFonts w:ascii="Palatino Linotype" w:hAnsi="Palatino Linotype"/>
                <w:color w:val="000000" w:themeColor="text1"/>
                <w:sz w:val="20"/>
                <w:szCs w:val="20"/>
              </w:rPr>
              <w:lastRenderedPageBreak/>
              <w:t>system-level value and avoid duplicative deployment efforts.”</w:t>
            </w:r>
            <w:r w:rsidRPr="00913AE4">
              <w:rPr>
                <w:rStyle w:val="FootnoteReference"/>
                <w:rFonts w:ascii="Palatino Linotype" w:hAnsi="Palatino Linotype"/>
                <w:color w:val="000000" w:themeColor="text1"/>
                <w:sz w:val="20"/>
                <w:szCs w:val="20"/>
              </w:rPr>
              <w:footnoteReference w:id="216"/>
            </w:r>
          </w:p>
          <w:p w:rsidRPr="00913AE4" w:rsidR="00801EA4" w:rsidRDefault="00801EA4" w14:paraId="0A79FA77"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Clean Fuels Integration: PG&amp;E states that the Alliance for Renewable Clean Hydrogen Energy Systems (ARCHES) “is designed to accelerate commercial-scale hydrogen infrastructure and market adoption—not to fund fundamental research or innovation projects.”</w:t>
            </w:r>
            <w:r w:rsidRPr="00913AE4">
              <w:rPr>
                <w:rStyle w:val="FootnoteReference"/>
                <w:rFonts w:ascii="Palatino Linotype" w:hAnsi="Palatino Linotype"/>
                <w:color w:val="000000" w:themeColor="text1"/>
                <w:sz w:val="20"/>
                <w:szCs w:val="20"/>
              </w:rPr>
              <w:footnoteReference w:id="217"/>
            </w:r>
            <w:r w:rsidRPr="00913AE4">
              <w:rPr>
                <w:rFonts w:ascii="Palatino Linotype" w:hAnsi="Palatino Linotype"/>
                <w:color w:val="000000" w:themeColor="text1"/>
                <w:sz w:val="20"/>
                <w:szCs w:val="20"/>
              </w:rPr>
              <w:t xml:space="preserve"> This proposed “Gas RD&amp;D work provides the analytical and experimental basis that de-risks and informs the proposed [hydrogen blending] pilot deployments, while the pilots in A.22-09-006 provide the field-level validation necessary to confirm and refine those findings at scale.”</w:t>
            </w:r>
            <w:r w:rsidRPr="00913AE4">
              <w:rPr>
                <w:rStyle w:val="FootnoteReference"/>
                <w:rFonts w:ascii="Palatino Linotype" w:hAnsi="Palatino Linotype"/>
                <w:color w:val="000000" w:themeColor="text1"/>
                <w:sz w:val="20"/>
                <w:szCs w:val="20"/>
              </w:rPr>
              <w:footnoteReference w:id="218"/>
            </w:r>
            <w:r w:rsidRPr="00913AE4">
              <w:rPr>
                <w:rFonts w:ascii="Palatino Linotype" w:hAnsi="Palatino Linotype"/>
                <w:color w:val="000000" w:themeColor="text1"/>
                <w:sz w:val="20"/>
                <w:szCs w:val="20"/>
              </w:rPr>
              <w:t xml:space="preserve"> </w:t>
            </w:r>
            <w:r w:rsidRPr="00913AE4">
              <w:rPr>
                <w:rFonts w:ascii="Palatino Linotype" w:hAnsi="Palatino Linotype" w:eastAsia="Palatino Linotype" w:cs="Times New Roman"/>
                <w:color w:val="000000" w:themeColor="text1"/>
                <w:sz w:val="20"/>
                <w:szCs w:val="20"/>
              </w:rPr>
              <w:t>“PG&amp;E’s Gas RD&amp;D activities concentrate on system-specific validation within PG&amp;E’s service territory, including infrastructure compatibility testing, operational modeling, safety assessments, and cost analysis [while] CEC-funded efforts focus on broader statewide deployment strategy, demonstration funding, or market transformation activities.</w:t>
            </w:r>
            <w:r w:rsidRPr="00913AE4">
              <w:rPr>
                <w:rStyle w:val="FootnoteReference"/>
                <w:rFonts w:ascii="Palatino Linotype" w:hAnsi="Palatino Linotype" w:eastAsia="Palatino Linotype" w:cs="Times New Roman"/>
                <w:color w:val="000000" w:themeColor="text1"/>
                <w:sz w:val="20"/>
                <w:szCs w:val="20"/>
              </w:rPr>
              <w:footnoteReference w:id="219"/>
            </w:r>
          </w:p>
        </w:tc>
        <w:tc>
          <w:tcPr>
            <w:tcW w:w="4140" w:type="dxa"/>
          </w:tcPr>
          <w:p w:rsidRPr="00913AE4" w:rsidR="00801EA4" w:rsidRDefault="00801EA4" w14:paraId="048A60C8"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lastRenderedPageBreak/>
              <w:t xml:space="preserve">PG&amp;E does not sufficiently demonstrate that </w:t>
            </w:r>
            <w:r w:rsidRPr="00913AE4">
              <w:rPr>
                <w:rFonts w:ascii="Palatino Linotype" w:hAnsi="Palatino Linotype" w:eastAsia="Palatino Linotype" w:cs="Times New Roman"/>
                <w:color w:val="000000" w:themeColor="text1"/>
                <w:sz w:val="20"/>
                <w:szCs w:val="20"/>
              </w:rPr>
              <w:t xml:space="preserve">proposed investments do not unnecessarily duplicate research currently, previously, or imminently undertaken by differentiating similar RD&amp;D led by other Gas RD&amp;D administrators, including: </w:t>
            </w:r>
          </w:p>
          <w:p w:rsidRPr="00913AE4" w:rsidR="00801EA4" w:rsidP="00801EA4" w:rsidRDefault="00801EA4" w14:paraId="4BAF78F3" w14:textId="04F00EB2">
            <w:pPr>
              <w:pStyle w:val="ListParagraph"/>
              <w:numPr>
                <w:ilvl w:val="0"/>
                <w:numId w:val="19"/>
              </w:num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t>Innovative and Cost-Effective Integrity Management</w:t>
            </w:r>
            <w:r w:rsidRPr="00913AE4">
              <w:rPr>
                <w:rFonts w:ascii="Palatino Linotype" w:hAnsi="Palatino Linotype" w:eastAsia="Palatino Linotype" w:cs="Times New Roman"/>
                <w:color w:val="000000" w:themeColor="text1"/>
                <w:sz w:val="20"/>
                <w:szCs w:val="20"/>
              </w:rPr>
              <w:t xml:space="preserve"> from S</w:t>
            </w:r>
            <w:r w:rsidR="00137BCF">
              <w:rPr>
                <w:rFonts w:ascii="Palatino Linotype" w:hAnsi="Palatino Linotype" w:eastAsia="Palatino Linotype" w:cs="Times New Roman"/>
                <w:color w:val="000000" w:themeColor="text1"/>
                <w:sz w:val="20"/>
                <w:szCs w:val="20"/>
              </w:rPr>
              <w:t>oCalGas</w:t>
            </w:r>
            <w:r w:rsidRPr="00913AE4">
              <w:rPr>
                <w:rFonts w:ascii="Palatino Linotype" w:hAnsi="Palatino Linotype" w:eastAsia="Palatino Linotype" w:cs="Times New Roman"/>
                <w:color w:val="000000" w:themeColor="text1"/>
                <w:sz w:val="20"/>
                <w:szCs w:val="20"/>
              </w:rPr>
              <w:t>’ (i) Operations Technology &amp; (ii) System Inspection &amp; Monitoring Initiatives.</w:t>
            </w:r>
          </w:p>
          <w:p w:rsidRPr="00711B05" w:rsidR="00801EA4" w:rsidP="00801EA4" w:rsidRDefault="00801EA4" w14:paraId="25BFE722" w14:textId="457F996D">
            <w:pPr>
              <w:pStyle w:val="ListParagraph"/>
              <w:numPr>
                <w:ilvl w:val="0"/>
                <w:numId w:val="19"/>
              </w:num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lastRenderedPageBreak/>
              <w:t>Clean Fuel Integration from S</w:t>
            </w:r>
            <w:r w:rsidR="00137BCF">
              <w:rPr>
                <w:rFonts w:ascii="Palatino Linotype" w:hAnsi="Palatino Linotype"/>
                <w:color w:val="000000" w:themeColor="text1"/>
                <w:sz w:val="20"/>
                <w:szCs w:val="20"/>
              </w:rPr>
              <w:t>oCalGas</w:t>
            </w:r>
            <w:r w:rsidRPr="00913AE4">
              <w:rPr>
                <w:rFonts w:ascii="Palatino Linotype" w:hAnsi="Palatino Linotype"/>
                <w:color w:val="000000" w:themeColor="text1"/>
                <w:sz w:val="20"/>
                <w:szCs w:val="20"/>
              </w:rPr>
              <w:t xml:space="preserve">’ (i) System Design &amp; Materials, (ii) RNG Infrastructure Optimization, (iii) Low Carbon Fuels Technology, and (iv) Low </w:t>
            </w:r>
            <w:r w:rsidRPr="00711B05">
              <w:rPr>
                <w:rFonts w:ascii="Palatino Linotype" w:hAnsi="Palatino Linotype"/>
                <w:color w:val="000000" w:themeColor="text1"/>
                <w:sz w:val="20"/>
                <w:szCs w:val="20"/>
              </w:rPr>
              <w:t>Carbon Fuels Integration Initiatives.</w:t>
            </w:r>
          </w:p>
          <w:p w:rsidRPr="00913AE4" w:rsidR="00801EA4" w:rsidRDefault="00801EA4" w14:paraId="4E12C98F" w14:textId="77777777">
            <w:pPr>
              <w:rPr>
                <w:rFonts w:ascii="Palatino Linotype" w:hAnsi="Palatino Linotype"/>
                <w:color w:val="000000" w:themeColor="text1"/>
                <w:sz w:val="20"/>
                <w:szCs w:val="20"/>
              </w:rPr>
            </w:pPr>
            <w:r w:rsidRPr="00711B05">
              <w:rPr>
                <w:rFonts w:ascii="Palatino Linotype" w:hAnsi="Palatino Linotype"/>
                <w:b/>
                <w:bCs w:val="0"/>
                <w:color w:val="000000" w:themeColor="text1"/>
                <w:sz w:val="20"/>
                <w:szCs w:val="20"/>
              </w:rPr>
              <w:t xml:space="preserve">PG&amp;E </w:t>
            </w:r>
            <w:r w:rsidRPr="00711B05">
              <w:rPr>
                <w:rFonts w:ascii="Palatino Linotype" w:hAnsi="Palatino Linotype" w:eastAsia="Palatino Linotype" w:cs="Times New Roman"/>
                <w:b/>
                <w:bCs w:val="0"/>
                <w:color w:val="000000" w:themeColor="text1"/>
                <w:sz w:val="20"/>
                <w:szCs w:val="20"/>
              </w:rPr>
              <w:t>is</w:t>
            </w:r>
            <w:r w:rsidRPr="00711B05">
              <w:rPr>
                <w:rFonts w:ascii="Palatino Linotype" w:hAnsi="Palatino Linotype" w:eastAsia="Palatino Linotype" w:cs="Times New Roman"/>
                <w:b/>
                <w:bCs w:val="0"/>
                <w:i/>
                <w:iCs/>
                <w:color w:val="000000" w:themeColor="text1"/>
                <w:sz w:val="20"/>
                <w:szCs w:val="20"/>
              </w:rPr>
              <w:t xml:space="preserve"> not </w:t>
            </w:r>
            <w:r w:rsidRPr="00711B05">
              <w:rPr>
                <w:rFonts w:ascii="Palatino Linotype" w:hAnsi="Palatino Linotype" w:eastAsia="Palatino Linotype" w:cs="Times New Roman"/>
                <w:b/>
                <w:bCs w:val="0"/>
                <w:color w:val="000000" w:themeColor="text1"/>
                <w:sz w:val="20"/>
                <w:szCs w:val="20"/>
              </w:rPr>
              <w:t xml:space="preserve">compliant </w:t>
            </w:r>
            <w:r w:rsidRPr="00711B05">
              <w:rPr>
                <w:rFonts w:ascii="Palatino Linotype" w:hAnsi="Palatino Linotype"/>
                <w:b/>
                <w:bCs w:val="0"/>
                <w:color w:val="000000" w:themeColor="text1"/>
                <w:sz w:val="20"/>
                <w:szCs w:val="20"/>
              </w:rPr>
              <w:t>with this requirement.</w:t>
            </w:r>
            <w:r w:rsidRPr="00913AE4">
              <w:rPr>
                <w:rFonts w:ascii="Palatino Linotype" w:hAnsi="Palatino Linotype"/>
                <w:color w:val="000000" w:themeColor="text1"/>
                <w:sz w:val="20"/>
                <w:szCs w:val="20"/>
              </w:rPr>
              <w:t xml:space="preserve"> </w:t>
            </w:r>
          </w:p>
        </w:tc>
      </w:tr>
      <w:tr w:rsidR="00801EA4" w:rsidTr="00917561" w14:paraId="7C649D92" w14:textId="77777777">
        <w:tc>
          <w:tcPr>
            <w:tcW w:w="3865" w:type="dxa"/>
          </w:tcPr>
          <w:p w:rsidRPr="00E21015" w:rsidR="00801EA4" w:rsidRDefault="00801EA4" w14:paraId="307005FE" w14:textId="77777777">
            <w:pPr>
              <w:rPr>
                <w:rFonts w:ascii="Palatino Linotype" w:hAnsi="Palatino Linotype" w:eastAsia="Palatino Linotype" w:cs="Times New Roman"/>
                <w:bCs w:val="0"/>
                <w:i/>
                <w:iCs/>
                <w:color w:val="000000" w:themeColor="text1"/>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 </w:t>
            </w:r>
            <w:r w:rsidRPr="00841E84">
              <w:rPr>
                <w:rFonts w:ascii="Palatino Linotype" w:hAnsi="Palatino Linotype" w:eastAsia="Palatino Linotype" w:cs="Times New Roman"/>
                <w:color w:val="000000" w:themeColor="text1"/>
                <w:sz w:val="20"/>
                <w:szCs w:val="20"/>
              </w:rPr>
              <w:t>(e)</w:t>
            </w:r>
            <w:r w:rsidRPr="00E21015">
              <w:rPr>
                <w:rFonts w:ascii="Palatino Linotype" w:hAnsi="Palatino Linotype" w:eastAsia="Palatino Linotype" w:cs="Times New Roman"/>
                <w:i/>
                <w:iCs/>
                <w:color w:val="000000" w:themeColor="text1"/>
                <w:sz w:val="20"/>
                <w:szCs w:val="20"/>
              </w:rPr>
              <w:t xml:space="preserve"> Each project should also support one or more of the following objectives:</w:t>
            </w:r>
          </w:p>
          <w:p w:rsidRPr="00E21015" w:rsidR="00801EA4" w:rsidRDefault="00801EA4" w14:paraId="54A2C06E"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(1) Environmental improvement.</w:t>
            </w:r>
          </w:p>
          <w:p w:rsidRPr="00E21015" w:rsidR="00801EA4" w:rsidRDefault="00801EA4" w14:paraId="02BD3007"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lastRenderedPageBreak/>
              <w:t xml:space="preserve">  </w:t>
            </w:r>
            <w:r w:rsidRPr="00E21015">
              <w:rPr>
                <w:rFonts w:ascii="Palatino Linotype" w:hAnsi="Palatino Linotype" w:eastAsia="Palatino Linotype" w:cs="Times New Roman"/>
                <w:i/>
                <w:iCs/>
                <w:color w:val="000000" w:themeColor="text1"/>
                <w:sz w:val="20"/>
                <w:szCs w:val="20"/>
              </w:rPr>
              <w:t>(2) Public and employee safety.</w:t>
            </w:r>
          </w:p>
          <w:p w:rsidRPr="00E21015" w:rsidR="00801EA4" w:rsidRDefault="00801EA4" w14:paraId="2EE83DE2"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(3) Conservation by efficient resource use or by reducing or shifting system load.</w:t>
            </w:r>
          </w:p>
          <w:p w:rsidRPr="00E21015" w:rsidR="00801EA4" w:rsidRDefault="00801EA4" w14:paraId="1E9AC991"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(4) Development of new resources and processes, particularly renewable resources and processes which further supply technologies.</w:t>
            </w:r>
          </w:p>
          <w:p w:rsidRPr="00841E84" w:rsidR="00801EA4" w:rsidRDefault="00801EA4" w14:paraId="33338E94" w14:textId="77777777">
            <w:pPr>
              <w:rPr>
                <w:rFonts w:ascii="Palatino Linotype" w:hAnsi="Palatino Linotype"/>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(5) Improve operating efficiency and reliability or otherwise reduce operating costs.</w:t>
            </w:r>
            <w:r>
              <w:rPr>
                <w:rStyle w:val="FootnoteReference"/>
                <w:rFonts w:ascii="Palatino Linotype" w:hAnsi="Palatino Linotype" w:eastAsia="Palatino Linotype" w:cs="Times New Roman"/>
                <w:i/>
                <w:iCs/>
                <w:color w:val="000000" w:themeColor="text1"/>
                <w:sz w:val="20"/>
                <w:szCs w:val="20"/>
              </w:rPr>
              <w:footnoteReference w:id="220"/>
            </w:r>
          </w:p>
        </w:tc>
        <w:tc>
          <w:tcPr>
            <w:tcW w:w="4770" w:type="dxa"/>
          </w:tcPr>
          <w:p w:rsidRPr="00763630" w:rsidR="00801EA4" w:rsidRDefault="00801EA4" w14:paraId="5BF18181"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lastRenderedPageBreak/>
              <w:t>PG&amp;E lists Public Utilities Code 740.1 at (e) under Regulatory and Policy Drivers.</w:t>
            </w:r>
            <w:r w:rsidRPr="00913AE4">
              <w:rPr>
                <w:rStyle w:val="FootnoteReference"/>
                <w:rFonts w:ascii="Palatino Linotype" w:hAnsi="Palatino Linotype"/>
                <w:color w:val="000000" w:themeColor="text1"/>
                <w:sz w:val="20"/>
                <w:szCs w:val="20"/>
              </w:rPr>
              <w:footnoteReference w:id="221"/>
            </w:r>
            <w:r w:rsidRPr="00913AE4">
              <w:rPr>
                <w:rFonts w:ascii="Palatino Linotype" w:hAnsi="Palatino Linotype"/>
                <w:color w:val="000000" w:themeColor="text1"/>
                <w:sz w:val="20"/>
                <w:szCs w:val="20"/>
              </w:rPr>
              <w:t xml:space="preserve"> </w:t>
            </w:r>
            <w:r w:rsidRPr="004A6DF8">
              <w:rPr>
                <w:rFonts w:ascii="Palatino Linotype" w:hAnsi="Palatino Linotype"/>
                <w:sz w:val="20"/>
                <w:szCs w:val="20"/>
              </w:rPr>
              <w:t>PG&amp;E proposes budget allocations broken down by Initiatives within each Investment Theme</w:t>
            </w:r>
            <w:r>
              <w:rPr>
                <w:rFonts w:ascii="Palatino Linotype" w:hAnsi="Palatino Linotype"/>
                <w:sz w:val="20"/>
                <w:szCs w:val="20"/>
              </w:rPr>
              <w:t>:</w:t>
            </w:r>
            <w:r>
              <w:rPr>
                <w:rStyle w:val="FootnoteReference"/>
                <w:rFonts w:ascii="Palatino Linotype" w:hAnsi="Palatino Linotype"/>
                <w:sz w:val="20"/>
                <w:szCs w:val="20"/>
              </w:rPr>
              <w:footnoteReference w:id="222"/>
            </w:r>
            <w:r w:rsidRPr="004A6DF8">
              <w:rPr>
                <w:rFonts w:ascii="Palatino Linotype" w:hAnsi="Palatino Linotype"/>
                <w:sz w:val="20"/>
                <w:szCs w:val="20"/>
              </w:rPr>
              <w:t xml:space="preserve"> Gas System </w:t>
            </w:r>
            <w:r w:rsidRPr="004A6DF8">
              <w:rPr>
                <w:rFonts w:ascii="Palatino Linotype" w:hAnsi="Palatino Linotype"/>
                <w:sz w:val="20"/>
                <w:szCs w:val="20"/>
              </w:rPr>
              <w:lastRenderedPageBreak/>
              <w:t>Integrity and Decarbonization.</w:t>
            </w:r>
            <w:r w:rsidRPr="0023376A">
              <w:rPr>
                <w:rFonts w:ascii="Palatino Linotype" w:hAnsi="Palatino Linotype"/>
                <w:color w:val="000000" w:themeColor="text1"/>
                <w:sz w:val="20"/>
                <w:szCs w:val="20"/>
              </w:rPr>
              <w:t xml:space="preserve"> </w:t>
            </w:r>
            <w:r w:rsidRPr="00EE5711">
              <w:rPr>
                <w:rFonts w:ascii="Palatino Linotype" w:hAnsi="Palatino Linotype"/>
                <w:color w:val="000000" w:themeColor="text1"/>
                <w:sz w:val="20"/>
                <w:szCs w:val="20"/>
              </w:rPr>
              <w:t xml:space="preserve">Initiatives within the Gas System Integrity </w:t>
            </w:r>
            <w:r>
              <w:rPr>
                <w:rFonts w:ascii="Palatino Linotype" w:hAnsi="Palatino Linotype"/>
                <w:color w:val="000000" w:themeColor="text1"/>
                <w:sz w:val="20"/>
                <w:szCs w:val="20"/>
              </w:rPr>
              <w:t>T</w:t>
            </w:r>
            <w:r w:rsidRPr="00EE5711">
              <w:rPr>
                <w:rFonts w:ascii="Palatino Linotype" w:hAnsi="Palatino Linotype"/>
                <w:color w:val="000000" w:themeColor="text1"/>
                <w:sz w:val="20"/>
                <w:szCs w:val="20"/>
              </w:rPr>
              <w:t>heme</w:t>
            </w:r>
            <w:r>
              <w:rPr>
                <w:rFonts w:ascii="Palatino Linotype" w:hAnsi="Palatino Linotype"/>
                <w:color w:val="000000" w:themeColor="text1"/>
                <w:sz w:val="20"/>
                <w:szCs w:val="20"/>
              </w:rPr>
              <w:t xml:space="preserve"> include </w:t>
            </w:r>
            <w:r w:rsidRPr="00985070">
              <w:rPr>
                <w:rFonts w:ascii="Palatino Linotype" w:hAnsi="Palatino Linotype"/>
                <w:color w:val="000000" w:themeColor="text1"/>
                <w:sz w:val="20"/>
                <w:szCs w:val="20"/>
              </w:rPr>
              <w:t>Innovative and Cost-Effective Integrity Management</w:t>
            </w:r>
            <w:r>
              <w:rPr>
                <w:rFonts w:ascii="Palatino Linotype" w:hAnsi="Palatino Linotype"/>
                <w:color w:val="000000" w:themeColor="text1"/>
                <w:sz w:val="20"/>
                <w:szCs w:val="20"/>
              </w:rPr>
              <w:t xml:space="preserve"> and </w:t>
            </w:r>
            <w:r w:rsidRPr="00D41688">
              <w:rPr>
                <w:rFonts w:ascii="Palatino Linotype" w:hAnsi="Palatino Linotype"/>
                <w:color w:val="000000" w:themeColor="text1"/>
                <w:sz w:val="20"/>
                <w:szCs w:val="20"/>
              </w:rPr>
              <w:t>Advanced Leak Detection and Repair</w:t>
            </w:r>
            <w:r>
              <w:rPr>
                <w:rFonts w:ascii="Palatino Linotype" w:hAnsi="Palatino Linotype"/>
                <w:color w:val="000000" w:themeColor="text1"/>
                <w:sz w:val="20"/>
                <w:szCs w:val="20"/>
              </w:rPr>
              <w:t xml:space="preserve">. PG&amp;E also proposes a </w:t>
            </w:r>
            <w:r w:rsidRPr="009145B4">
              <w:rPr>
                <w:rFonts w:ascii="Palatino Linotype" w:hAnsi="Palatino Linotype"/>
                <w:color w:val="000000" w:themeColor="text1"/>
                <w:sz w:val="20"/>
                <w:szCs w:val="20"/>
              </w:rPr>
              <w:t>Clean Fuels Integration</w:t>
            </w:r>
            <w:r>
              <w:rPr>
                <w:rFonts w:ascii="Palatino Linotype" w:hAnsi="Palatino Linotype"/>
                <w:color w:val="000000" w:themeColor="text1"/>
                <w:sz w:val="20"/>
                <w:szCs w:val="20"/>
              </w:rPr>
              <w:t xml:space="preserve"> Initiative within the Decarbonization Theme. </w:t>
            </w:r>
          </w:p>
        </w:tc>
        <w:tc>
          <w:tcPr>
            <w:tcW w:w="4140" w:type="dxa"/>
          </w:tcPr>
          <w:p w:rsidRPr="00CE486A" w:rsidR="00801EA4" w:rsidRDefault="00801EA4" w14:paraId="5B02257A" w14:textId="77777777">
            <w:pPr>
              <w:rPr>
                <w:rFonts w:ascii="Palatino Linotype" w:hAnsi="Palatino Linotype"/>
                <w:b/>
                <w:bCs w:val="0"/>
                <w:color w:val="000000" w:themeColor="text1"/>
                <w:sz w:val="20"/>
                <w:szCs w:val="20"/>
              </w:rPr>
            </w:pPr>
            <w:r w:rsidRPr="00CF66F4">
              <w:rPr>
                <w:rFonts w:ascii="Palatino Linotype" w:hAnsi="Palatino Linotype"/>
                <w:color w:val="000000" w:themeColor="text1"/>
                <w:sz w:val="20"/>
                <w:szCs w:val="20"/>
              </w:rPr>
              <w:lastRenderedPageBreak/>
              <w:t xml:space="preserve">Each of PG&amp;E’s proposed Initiatives supports </w:t>
            </w:r>
            <w:r w:rsidRPr="00711B05">
              <w:rPr>
                <w:rFonts w:ascii="Palatino Linotype" w:hAnsi="Palatino Linotype"/>
                <w:color w:val="000000" w:themeColor="text1"/>
                <w:sz w:val="20"/>
                <w:szCs w:val="20"/>
              </w:rPr>
              <w:t>one or more of the required objectives.</w:t>
            </w:r>
            <w:r w:rsidRPr="00711B05">
              <w:rPr>
                <w:rFonts w:ascii="Palatino Linotype" w:hAnsi="Palatino Linotype"/>
                <w:b/>
                <w:bCs w:val="0"/>
                <w:color w:val="000000" w:themeColor="text1"/>
                <w:sz w:val="20"/>
                <w:szCs w:val="20"/>
              </w:rPr>
              <w:t xml:space="preserve"> PG&amp;E is compliant with this requirement.</w:t>
            </w:r>
            <w:r w:rsidRPr="00CF66F4">
              <w:rPr>
                <w:rFonts w:ascii="Palatino Linotype" w:hAnsi="Palatino Linotype"/>
                <w:b/>
                <w:bCs w:val="0"/>
                <w:color w:val="000000" w:themeColor="text1"/>
                <w:sz w:val="20"/>
                <w:szCs w:val="20"/>
              </w:rPr>
              <w:t xml:space="preserve"> </w:t>
            </w:r>
          </w:p>
        </w:tc>
      </w:tr>
    </w:tbl>
    <w:p w:rsidR="00801EA4" w:rsidRDefault="00801EA4" w14:paraId="2A5FB381" w14:textId="77777777">
      <w:r>
        <w:br w:type="page"/>
      </w:r>
    </w:p>
    <w:p w:rsidRPr="00E71854" w:rsidR="004C7F47" w:rsidP="004C7F47" w:rsidRDefault="004C7F47" w14:paraId="0DA708AE" w14:textId="77777777">
      <w:pPr>
        <w:spacing w:after="0" w:line="240" w:lineRule="auto"/>
        <w:rPr>
          <w:rFonts w:ascii="Palatino Linotype" w:hAnsi="Palatino Linotype"/>
          <w:b/>
          <w:bCs/>
          <w:color w:val="000000" w:themeColor="text1"/>
        </w:rPr>
      </w:pPr>
      <w:r w:rsidRPr="00711B05">
        <w:rPr>
          <w:rFonts w:ascii="Palatino Linotype" w:hAnsi="Palatino Linotype"/>
          <w:b/>
          <w:color w:val="000000" w:themeColor="text1"/>
        </w:rPr>
        <w:lastRenderedPageBreak/>
        <w:t>APPENDIX G: Compliance Assessment of PG&amp;E’s 2025 Plan Submitted via Advice Letter 5197-G</w:t>
      </w:r>
    </w:p>
    <w:p w:rsidRPr="00E71854" w:rsidR="004C7F47" w:rsidP="004C7F47" w:rsidRDefault="004C7F47" w14:paraId="5C04B282" w14:textId="77777777">
      <w:pPr>
        <w:spacing w:line="240" w:lineRule="auto"/>
        <w:rPr>
          <w:rFonts w:ascii="Palatino Linotype" w:hAnsi="Palatino Linotype"/>
          <w:i/>
          <w:iCs/>
          <w:color w:val="000000" w:themeColor="text1"/>
          <w:sz w:val="20"/>
          <w:szCs w:val="20"/>
        </w:rPr>
      </w:pPr>
      <w:r w:rsidRPr="00E71854">
        <w:rPr>
          <w:rFonts w:ascii="Palatino Linotype" w:hAnsi="Palatino Linotype"/>
          <w:i/>
          <w:iCs/>
          <w:color w:val="000000" w:themeColor="text1"/>
          <w:sz w:val="20"/>
          <w:szCs w:val="20"/>
        </w:rPr>
        <w:t xml:space="preserve">Pursuant to </w:t>
      </w:r>
      <w:hyperlink w:history="1" r:id="rId32">
        <w:r w:rsidRPr="00121F2F">
          <w:rPr>
            <w:rStyle w:val="Hyperlink"/>
            <w:rFonts w:ascii="Palatino Linotype" w:hAnsi="Palatino Linotype"/>
            <w:i/>
            <w:iCs/>
            <w:sz w:val="20"/>
            <w:szCs w:val="20"/>
          </w:rPr>
          <w:t>Resolution G-3618</w:t>
        </w:r>
      </w:hyperlink>
      <w:r w:rsidRPr="00E71854">
        <w:rPr>
          <w:rFonts w:ascii="Palatino Linotype" w:hAnsi="Palatino Linotype"/>
          <w:i/>
          <w:iCs/>
          <w:color w:val="000000" w:themeColor="text1"/>
          <w:sz w:val="20"/>
          <w:szCs w:val="20"/>
        </w:rPr>
        <w:t xml:space="preserve"> at OP 4, PG&amp;E resubmitted its proposed 2025 Gas RD&amp;D Plan on April 3, 2026, for further Commission consideration, including Attachment C: Describing Modifications Detailed in Appendix F, </w:t>
      </w:r>
      <w:hyperlink w:history="1" r:id="rId33">
        <w:r w:rsidRPr="00121F2F">
          <w:rPr>
            <w:rStyle w:val="Hyperlink"/>
            <w:rFonts w:ascii="Palatino Linotype" w:hAnsi="Palatino Linotype"/>
            <w:i/>
            <w:iCs/>
            <w:sz w:val="20"/>
            <w:szCs w:val="20"/>
          </w:rPr>
          <w:t>Resolution G-3618</w:t>
        </w:r>
      </w:hyperlink>
      <w:r w:rsidRPr="00E71854">
        <w:rPr>
          <w:rFonts w:ascii="Palatino Linotype" w:hAnsi="Palatino Linotype"/>
          <w:i/>
          <w:iCs/>
          <w:color w:val="000000" w:themeColor="text1"/>
          <w:sz w:val="20"/>
          <w:szCs w:val="20"/>
        </w:rPr>
        <w:t>.</w:t>
      </w:r>
    </w:p>
    <w:tbl>
      <w:tblPr>
        <w:tblStyle w:val="TableGrid"/>
        <w:tblW w:w="12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75"/>
        <w:gridCol w:w="4599"/>
        <w:gridCol w:w="4681"/>
      </w:tblGrid>
      <w:tr w:rsidR="00F84F28" w:rsidTr="00917561" w14:paraId="58F3D4DC" w14:textId="77777777">
        <w:trPr>
          <w:tblHeader/>
        </w:trPr>
        <w:tc>
          <w:tcPr>
            <w:tcW w:w="3675" w:type="dxa"/>
            <w:vAlign w:val="center"/>
          </w:tcPr>
          <w:p w:rsidRPr="00FB1ACE" w:rsidR="00F84F28" w:rsidRDefault="00F84F28" w14:paraId="7E7C2CAD"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4599" w:type="dxa"/>
            <w:vAlign w:val="center"/>
          </w:tcPr>
          <w:p w:rsidRPr="00FB1ACE" w:rsidR="00F84F28" w:rsidRDefault="00F84F28" w14:paraId="7CCAD8B6" w14:textId="77777777">
            <w:pPr>
              <w:rPr>
                <w:rFonts w:ascii="Palatino Linotype" w:hAnsi="Palatino Linotype"/>
                <w:b/>
                <w:bCs w:val="0"/>
                <w:sz w:val="20"/>
                <w:szCs w:val="20"/>
              </w:rPr>
            </w:pPr>
            <w:r>
              <w:rPr>
                <w:rFonts w:ascii="Palatino Linotype" w:hAnsi="Palatino Linotype"/>
                <w:b/>
                <w:bCs w:val="0"/>
                <w:sz w:val="20"/>
                <w:szCs w:val="20"/>
              </w:rPr>
              <w:t xml:space="preserve">PG&amp;E Response in </w:t>
            </w:r>
            <w:r w:rsidRPr="00913AE4">
              <w:rPr>
                <w:rFonts w:ascii="Palatino Linotype" w:hAnsi="Palatino Linotype"/>
                <w:b/>
                <w:bCs w:val="0"/>
                <w:color w:val="000000" w:themeColor="text1"/>
                <w:sz w:val="20"/>
                <w:szCs w:val="20"/>
              </w:rPr>
              <w:t>AL 5197-G</w:t>
            </w:r>
          </w:p>
        </w:tc>
        <w:tc>
          <w:tcPr>
            <w:tcW w:w="4681" w:type="dxa"/>
            <w:vAlign w:val="center"/>
          </w:tcPr>
          <w:p w:rsidRPr="00FB1ACE" w:rsidR="00F84F28" w:rsidRDefault="00F84F28" w14:paraId="0CE8C5AA" w14:textId="77777777">
            <w:pPr>
              <w:rPr>
                <w:rFonts w:ascii="Palatino Linotype" w:hAnsi="Palatino Linotype"/>
                <w:b/>
                <w:bCs w:val="0"/>
                <w:color w:val="EE0000"/>
                <w:sz w:val="20"/>
                <w:szCs w:val="20"/>
              </w:rPr>
            </w:pPr>
            <w:r>
              <w:rPr>
                <w:rFonts w:ascii="Palatino Linotype" w:hAnsi="Palatino Linotype"/>
                <w:b/>
                <w:bCs w:val="0"/>
                <w:color w:val="000000" w:themeColor="text1"/>
                <w:sz w:val="20"/>
                <w:szCs w:val="20"/>
              </w:rPr>
              <w:t xml:space="preserve">Compliance </w:t>
            </w:r>
            <w:r w:rsidRPr="00CD3F71">
              <w:rPr>
                <w:rFonts w:ascii="Palatino Linotype" w:hAnsi="Palatino Linotype"/>
                <w:b/>
                <w:bCs w:val="0"/>
                <w:color w:val="000000" w:themeColor="text1"/>
                <w:sz w:val="20"/>
                <w:szCs w:val="20"/>
              </w:rPr>
              <w:t>Assessment</w:t>
            </w:r>
          </w:p>
        </w:tc>
      </w:tr>
      <w:tr w:rsidR="00F84F28" w:rsidTr="00917561" w14:paraId="3DDAEA9F" w14:textId="77777777">
        <w:tc>
          <w:tcPr>
            <w:tcW w:w="3675" w:type="dxa"/>
          </w:tcPr>
          <w:p w:rsidRPr="00913AE4" w:rsidR="00F84F28" w:rsidRDefault="00F84F28" w14:paraId="1D39EE6A" w14:textId="77777777">
            <w:pPr>
              <w:rPr>
                <w:rFonts w:ascii="Palatino Linotype" w:hAnsi="Palatino Linotype"/>
                <w:color w:val="000000" w:themeColor="text1"/>
                <w:sz w:val="20"/>
                <w:szCs w:val="20"/>
              </w:rPr>
            </w:pPr>
            <w:hyperlink w:history="1" r:id="rId34">
              <w:r w:rsidRPr="00135075">
                <w:rPr>
                  <w:rStyle w:val="Hyperlink"/>
                  <w:rFonts w:ascii="Palatino Linotype" w:hAnsi="Palatino Linotype" w:cstheme="minorBidi"/>
                  <w:bCs w:val="0"/>
                  <w:kern w:val="2"/>
                  <w:sz w:val="20"/>
                  <w:szCs w:val="20"/>
                  <w14:ligatures w14:val="standardContextual"/>
                </w:rPr>
                <w:t>D.23-11-069</w:t>
              </w:r>
            </w:hyperlink>
            <w:r w:rsidRPr="00913AE4">
              <w:rPr>
                <w:rFonts w:ascii="Palatino Linotype" w:hAnsi="Palatino Linotype"/>
                <w:color w:val="000000" w:themeColor="text1"/>
                <w:sz w:val="20"/>
                <w:szCs w:val="20"/>
              </w:rPr>
              <w:t xml:space="preserve"> at p. 217-218</w:t>
            </w:r>
            <w:r w:rsidRPr="00913AE4">
              <w:rPr>
                <w:color w:val="000000" w:themeColor="text1"/>
              </w:rPr>
              <w:t xml:space="preserve">. </w:t>
            </w:r>
            <w:r w:rsidRPr="00913AE4">
              <w:rPr>
                <w:rFonts w:ascii="Palatino Linotype" w:hAnsi="Palatino Linotype"/>
                <w:i/>
                <w:iCs/>
                <w:color w:val="000000" w:themeColor="text1"/>
                <w:sz w:val="20"/>
                <w:szCs w:val="20"/>
              </w:rPr>
              <w:t>PG&amp;E shall not record any Gas [RD&amp;D] program expenses in a one-way balancing account until an annual Tier 3 Advice Letter [AL] outlining its Gas RD&amp;D budget plan is approved.</w:t>
            </w:r>
            <w:r w:rsidRPr="00913AE4">
              <w:rPr>
                <w:rStyle w:val="FootnoteReference"/>
                <w:rFonts w:ascii="Palatino Linotype" w:hAnsi="Palatino Linotype"/>
                <w:color w:val="000000" w:themeColor="text1"/>
              </w:rPr>
              <w:footnoteReference w:id="223"/>
            </w:r>
            <w:r w:rsidRPr="00913AE4">
              <w:rPr>
                <w:rFonts w:ascii="Palatino Linotype" w:hAnsi="Palatino Linotype"/>
                <w:color w:val="000000" w:themeColor="text1"/>
                <w:sz w:val="20"/>
                <w:szCs w:val="20"/>
              </w:rPr>
              <w:t xml:space="preserve"> </w:t>
            </w:r>
          </w:p>
          <w:p w:rsidRPr="00913AE4" w:rsidR="00F84F28" w:rsidRDefault="00F84F28" w14:paraId="527C20F6" w14:textId="77777777">
            <w:pPr>
              <w:rPr>
                <w:rFonts w:ascii="Palatino Linotype" w:hAnsi="Palatino Linotype"/>
                <w:color w:val="000000" w:themeColor="text1"/>
                <w:sz w:val="20"/>
                <w:szCs w:val="20"/>
              </w:rPr>
            </w:pPr>
          </w:p>
          <w:p w:rsidRPr="00913AE4" w:rsidR="00F84F28" w:rsidRDefault="00F84F28" w14:paraId="7F097001" w14:textId="77777777">
            <w:pPr>
              <w:rPr>
                <w:rFonts w:ascii="Palatino Linotype" w:hAnsi="Palatino Linotype"/>
                <w:color w:val="000000" w:themeColor="text1"/>
                <w:sz w:val="20"/>
                <w:szCs w:val="20"/>
              </w:rPr>
            </w:pPr>
            <w:r w:rsidRPr="00913AE4">
              <w:rPr>
                <w:rFonts w:ascii="Palatino Linotype" w:hAnsi="Palatino Linotype" w:eastAsia="Palatino Linotype" w:cs="Times New Roman"/>
                <w:color w:val="000000" w:themeColor="text1"/>
                <w:sz w:val="20"/>
                <w:szCs w:val="20"/>
              </w:rPr>
              <w:t>D.23-11-069 approved a Test Year 2023 Gas RD&amp;D budget of $7.414 million and escalation factor authorizing a $8.267 million annual budget cap for PG&amp;E’s 2025 Plan, pending Commission approval.</w:t>
            </w:r>
            <w:r w:rsidRPr="00913AE4">
              <w:rPr>
                <w:rStyle w:val="FootnoteReference"/>
                <w:rFonts w:ascii="Palatino Linotype" w:hAnsi="Palatino Linotype" w:eastAsia="Palatino Linotype" w:cs="Times New Roman"/>
                <w:color w:val="000000" w:themeColor="text1"/>
                <w:sz w:val="20"/>
                <w:szCs w:val="20"/>
              </w:rPr>
              <w:footnoteReference w:id="224"/>
            </w:r>
          </w:p>
        </w:tc>
        <w:tc>
          <w:tcPr>
            <w:tcW w:w="4599" w:type="dxa"/>
          </w:tcPr>
          <w:p w:rsidRPr="00913AE4" w:rsidR="00F84F28" w:rsidRDefault="00F84F28" w14:paraId="281AD31F"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PG&amp;E first submitted Tier 3 Advice Letter (AL) 5069-G with its originally proposed 2025 Plan on May 30</w:t>
            </w:r>
            <w:r w:rsidRPr="00913AE4">
              <w:rPr>
                <w:rFonts w:ascii="Palatino Linotype" w:hAnsi="Palatino Linotype" w:eastAsia="Palatino Linotype" w:cs="Times New Roman"/>
                <w:color w:val="000000" w:themeColor="text1"/>
                <w:sz w:val="20"/>
                <w:szCs w:val="20"/>
                <w:vertAlign w:val="superscript"/>
              </w:rPr>
              <w:t>th</w:t>
            </w:r>
            <w:r w:rsidRPr="00913AE4">
              <w:rPr>
                <w:rFonts w:ascii="Palatino Linotype" w:hAnsi="Palatino Linotype" w:eastAsia="Palatino Linotype" w:cs="Times New Roman"/>
                <w:color w:val="000000" w:themeColor="text1"/>
                <w:sz w:val="20"/>
                <w:szCs w:val="20"/>
              </w:rPr>
              <w:t>, 2025. CPUC denied AL 5069-G via Resolution G-3618, issued January 15, 2026. PG&amp;E resubmitted its 2025 Plan (AL 5197-G) on April 3, 2026, requesting a $6,700,087 budget.</w:t>
            </w:r>
            <w:r w:rsidRPr="00913AE4">
              <w:rPr>
                <w:rStyle w:val="FootnoteReference"/>
                <w:rFonts w:ascii="Palatino Linotype" w:hAnsi="Palatino Linotype" w:eastAsia="Palatino Linotype" w:cs="Times New Roman"/>
                <w:color w:val="000000" w:themeColor="text1"/>
                <w:sz w:val="20"/>
                <w:szCs w:val="20"/>
              </w:rPr>
              <w:footnoteReference w:id="225"/>
            </w:r>
          </w:p>
        </w:tc>
        <w:tc>
          <w:tcPr>
            <w:tcW w:w="4681" w:type="dxa"/>
          </w:tcPr>
          <w:p w:rsidRPr="00711B05" w:rsidR="00F84F28" w:rsidRDefault="00F84F28" w14:paraId="36F7933B"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PG&amp;E’s request for approval of its 2025 Plan submitted via Tier 3 AL with an annual budget of $6.7M is within the $8.267M authorized budget.</w:t>
            </w:r>
            <w:r w:rsidRPr="00711B05">
              <w:rPr>
                <w:rFonts w:ascii="Palatino Linotype" w:hAnsi="Palatino Linotype"/>
                <w:b/>
                <w:bCs w:val="0"/>
                <w:color w:val="000000" w:themeColor="text1"/>
                <w:sz w:val="20"/>
                <w:szCs w:val="20"/>
              </w:rPr>
              <w:t xml:space="preserve"> PG&amp;E is compliant with </w:t>
            </w:r>
            <w:r w:rsidRPr="00711B05">
              <w:rPr>
                <w:rFonts w:ascii="Palatino Linotype" w:hAnsi="Palatino Linotype"/>
                <w:b/>
                <w:color w:val="000000" w:themeColor="text1"/>
                <w:sz w:val="20"/>
                <w:szCs w:val="20"/>
              </w:rPr>
              <w:t>this requirement</w:t>
            </w:r>
            <w:r w:rsidRPr="00711B05">
              <w:rPr>
                <w:rFonts w:ascii="Palatino Linotype" w:hAnsi="Palatino Linotype"/>
                <w:color w:val="000000" w:themeColor="text1"/>
                <w:sz w:val="20"/>
                <w:szCs w:val="20"/>
              </w:rPr>
              <w:t xml:space="preserve">. </w:t>
            </w:r>
          </w:p>
          <w:p w:rsidRPr="00711B05" w:rsidR="00213989" w:rsidRDefault="00213989" w14:paraId="471C879E" w14:textId="77777777">
            <w:pPr>
              <w:rPr>
                <w:rFonts w:ascii="Palatino Linotype" w:hAnsi="Palatino Linotype"/>
                <w:color w:val="000000" w:themeColor="text1"/>
                <w:sz w:val="20"/>
                <w:szCs w:val="20"/>
              </w:rPr>
            </w:pPr>
          </w:p>
          <w:p w:rsidRPr="00711B05" w:rsidR="00213989" w:rsidRDefault="00213989" w14:paraId="28221060" w14:textId="608D041E">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the Commission authorizes a budget of</w:t>
            </w:r>
            <w:r w:rsidRPr="00711B05" w:rsidR="003861CD">
              <w:rPr>
                <w:rFonts w:ascii="Palatino Linotype" w:hAnsi="Palatino Linotype"/>
                <w:color w:val="000000" w:themeColor="text1"/>
                <w:sz w:val="20"/>
                <w:szCs w:val="20"/>
              </w:rPr>
              <w:t xml:space="preserve"> $6,133,333 for PG&amp;E’s 2025 Plan as outlined in Appendix B.</w:t>
            </w:r>
            <w:r w:rsidRPr="00711B05">
              <w:rPr>
                <w:rFonts w:ascii="Palatino Linotype" w:hAnsi="Palatino Linotype"/>
                <w:color w:val="000000" w:themeColor="text1"/>
                <w:sz w:val="20"/>
                <w:szCs w:val="20"/>
              </w:rPr>
              <w:t xml:space="preserve"> </w:t>
            </w:r>
          </w:p>
        </w:tc>
      </w:tr>
      <w:tr w:rsidR="00F84F28" w14:paraId="14C88836" w14:textId="77777777">
        <w:tc>
          <w:tcPr>
            <w:tcW w:w="3675" w:type="dxa"/>
          </w:tcPr>
          <w:p w:rsidRPr="00913AE4" w:rsidR="00F84F28" w:rsidRDefault="00F84F28" w14:paraId="1267B500" w14:textId="77777777">
            <w:pPr>
              <w:rPr>
                <w:rFonts w:ascii="Palatino Linotype" w:hAnsi="Palatino Linotype"/>
                <w:color w:val="000000" w:themeColor="text1"/>
                <w:sz w:val="20"/>
                <w:szCs w:val="20"/>
              </w:rPr>
            </w:pPr>
            <w:hyperlink w:history="1" r:id="rId35">
              <w:r w:rsidRPr="00135075">
                <w:rPr>
                  <w:rStyle w:val="Hyperlink"/>
                  <w:rFonts w:ascii="Palatino Linotype" w:hAnsi="Palatino Linotype" w:cstheme="minorBidi"/>
                  <w:bCs w:val="0"/>
                  <w:kern w:val="2"/>
                  <w:sz w:val="20"/>
                  <w:szCs w:val="20"/>
                  <w14:ligatures w14:val="standardContextual"/>
                </w:rPr>
                <w:t>D.23-11-069</w:t>
              </w:r>
            </w:hyperlink>
            <w:r w:rsidRPr="00913AE4">
              <w:rPr>
                <w:rFonts w:ascii="Palatino Linotype" w:hAnsi="Palatino Linotype"/>
                <w:color w:val="000000" w:themeColor="text1"/>
                <w:sz w:val="20"/>
                <w:szCs w:val="20"/>
              </w:rPr>
              <w:t xml:space="preserve"> at (1)</w:t>
            </w:r>
            <w:r w:rsidRPr="00913AE4">
              <w:rPr>
                <w:rFonts w:ascii="Palatino Linotype" w:hAnsi="Palatino Linotype"/>
                <w:i/>
                <w:iCs/>
                <w:color w:val="000000" w:themeColor="text1"/>
                <w:sz w:val="20"/>
                <w:szCs w:val="20"/>
              </w:rPr>
              <w:t xml:space="preserve"> The annual research plan should detail budgets broken down by research sub-program area and explain how the projects improve reliability, safety, equity, affordability, and environmental benefits, and </w:t>
            </w:r>
            <w:proofErr w:type="gramStart"/>
            <w:r w:rsidRPr="00913AE4">
              <w:rPr>
                <w:rFonts w:ascii="Palatino Linotype" w:hAnsi="Palatino Linotype"/>
                <w:i/>
                <w:iCs/>
                <w:color w:val="000000" w:themeColor="text1"/>
                <w:sz w:val="20"/>
                <w:szCs w:val="20"/>
              </w:rPr>
              <w:t>incorporates</w:t>
            </w:r>
            <w:proofErr w:type="gramEnd"/>
            <w:r w:rsidRPr="00913AE4">
              <w:rPr>
                <w:rFonts w:ascii="Palatino Linotype" w:hAnsi="Palatino Linotype"/>
                <w:i/>
                <w:iCs/>
                <w:color w:val="000000" w:themeColor="text1"/>
                <w:sz w:val="20"/>
                <w:szCs w:val="20"/>
              </w:rPr>
              <w:t xml:space="preserve"> input from key </w:t>
            </w:r>
            <w:r w:rsidRPr="00913AE4">
              <w:rPr>
                <w:rFonts w:ascii="Palatino Linotype" w:hAnsi="Palatino Linotype"/>
                <w:i/>
                <w:iCs/>
                <w:color w:val="000000" w:themeColor="text1"/>
                <w:sz w:val="20"/>
                <w:szCs w:val="20"/>
              </w:rPr>
              <w:lastRenderedPageBreak/>
              <w:t>stakeholders, such as the Disadvantaged Communities Advisory Group.</w:t>
            </w:r>
            <w:r w:rsidRPr="00913AE4">
              <w:rPr>
                <w:rStyle w:val="FootnoteReference"/>
                <w:rFonts w:ascii="Palatino Linotype" w:hAnsi="Palatino Linotype"/>
                <w:i/>
                <w:iCs/>
                <w:color w:val="000000" w:themeColor="text1"/>
                <w:sz w:val="20"/>
                <w:szCs w:val="20"/>
              </w:rPr>
              <w:footnoteReference w:id="226"/>
            </w:r>
            <w:r w:rsidRPr="00913AE4">
              <w:rPr>
                <w:rFonts w:ascii="Palatino Linotype" w:hAnsi="Palatino Linotype"/>
                <w:color w:val="000000" w:themeColor="text1"/>
                <w:sz w:val="20"/>
                <w:szCs w:val="20"/>
              </w:rPr>
              <w:t xml:space="preserve"> </w:t>
            </w:r>
          </w:p>
        </w:tc>
        <w:tc>
          <w:tcPr>
            <w:tcW w:w="4599" w:type="dxa"/>
          </w:tcPr>
          <w:p w:rsidRPr="00913AE4" w:rsidR="00F84F28" w:rsidRDefault="00F84F28" w14:paraId="2F976F4F"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lastRenderedPageBreak/>
              <w:t>PG&amp;E proposes budget allocations broken down by Initiatives within each Investment Theme:</w:t>
            </w:r>
            <w:r w:rsidRPr="00913AE4">
              <w:rPr>
                <w:rStyle w:val="FootnoteReference"/>
                <w:rFonts w:ascii="Palatino Linotype" w:hAnsi="Palatino Linotype"/>
                <w:color w:val="000000" w:themeColor="text1"/>
                <w:sz w:val="20"/>
                <w:szCs w:val="20"/>
              </w:rPr>
              <w:footnoteReference w:id="227"/>
            </w:r>
            <w:r w:rsidRPr="00913AE4">
              <w:rPr>
                <w:rFonts w:ascii="Palatino Linotype" w:hAnsi="Palatino Linotype"/>
                <w:color w:val="000000" w:themeColor="text1"/>
                <w:sz w:val="20"/>
                <w:szCs w:val="20"/>
              </w:rPr>
              <w:t xml:space="preserve"> Gas System Integrity and Decarbonization. PG&amp;E describes how it seeks to provide reliability, safety, equity, affordability, and environmental benefits through projects at the portfolio level</w:t>
            </w:r>
            <w:r w:rsidRPr="00913AE4">
              <w:rPr>
                <w:rStyle w:val="FootnoteReference"/>
                <w:rFonts w:ascii="Palatino Linotype" w:hAnsi="Palatino Linotype"/>
                <w:color w:val="000000" w:themeColor="text1"/>
                <w:sz w:val="20"/>
                <w:szCs w:val="20"/>
              </w:rPr>
              <w:footnoteReference w:id="228"/>
            </w:r>
            <w:r w:rsidRPr="00913AE4">
              <w:rPr>
                <w:rFonts w:ascii="Palatino Linotype" w:hAnsi="Palatino Linotype"/>
                <w:color w:val="000000" w:themeColor="text1"/>
                <w:sz w:val="20"/>
                <w:szCs w:val="20"/>
              </w:rPr>
              <w:t xml:space="preserve"> and for each Initiative.</w:t>
            </w:r>
            <w:r w:rsidRPr="00913AE4">
              <w:rPr>
                <w:rStyle w:val="FootnoteReference"/>
                <w:rFonts w:ascii="Palatino Linotype" w:hAnsi="Palatino Linotype"/>
                <w:color w:val="000000" w:themeColor="text1"/>
                <w:sz w:val="20"/>
                <w:szCs w:val="20"/>
              </w:rPr>
              <w:footnoteReference w:id="229"/>
            </w:r>
            <w:r w:rsidRPr="00913AE4">
              <w:rPr>
                <w:rFonts w:ascii="Palatino Linotype" w:hAnsi="Palatino Linotype"/>
                <w:color w:val="000000" w:themeColor="text1"/>
                <w:sz w:val="20"/>
                <w:szCs w:val="20"/>
              </w:rPr>
              <w:t xml:space="preserve"> PG&amp;E states that representatives presented and </w:t>
            </w:r>
            <w:r w:rsidRPr="00913AE4">
              <w:rPr>
                <w:rFonts w:ascii="Palatino Linotype" w:hAnsi="Palatino Linotype"/>
                <w:color w:val="000000" w:themeColor="text1"/>
                <w:sz w:val="20"/>
                <w:szCs w:val="20"/>
              </w:rPr>
              <w:lastRenderedPageBreak/>
              <w:t>solicited input on the proposed 2025 Plan on April 18, 2025, and describes two questions posed by the DACAG which the representatives answered verbally.</w:t>
            </w:r>
            <w:r w:rsidRPr="00913AE4">
              <w:rPr>
                <w:rStyle w:val="FootnoteReference"/>
                <w:rFonts w:ascii="Palatino Linotype" w:hAnsi="Palatino Linotype"/>
                <w:color w:val="000000" w:themeColor="text1"/>
                <w:sz w:val="20"/>
                <w:szCs w:val="20"/>
              </w:rPr>
              <w:footnoteReference w:id="230"/>
            </w:r>
            <w:r w:rsidRPr="00913AE4">
              <w:rPr>
                <w:rFonts w:ascii="Palatino Linotype" w:hAnsi="Palatino Linotype"/>
                <w:color w:val="000000" w:themeColor="text1"/>
                <w:sz w:val="20"/>
                <w:szCs w:val="20"/>
              </w:rPr>
              <w:t xml:space="preserve"> PG&amp;E includes high-level summaries from stakeholder interviews and incorporation strategies.</w:t>
            </w:r>
            <w:r w:rsidRPr="00913AE4">
              <w:rPr>
                <w:rStyle w:val="FootnoteReference"/>
                <w:rFonts w:ascii="Palatino Linotype" w:hAnsi="Palatino Linotype"/>
                <w:color w:val="000000" w:themeColor="text1"/>
                <w:sz w:val="20"/>
                <w:szCs w:val="20"/>
              </w:rPr>
              <w:footnoteReference w:id="231"/>
            </w:r>
            <w:r w:rsidRPr="00913AE4">
              <w:rPr>
                <w:rFonts w:ascii="Palatino Linotype" w:hAnsi="Palatino Linotype"/>
                <w:color w:val="000000" w:themeColor="text1"/>
                <w:sz w:val="20"/>
                <w:szCs w:val="20"/>
              </w:rPr>
              <w:t xml:space="preserve"> PG&amp;E discusses feedback integrated from CPUC staff and lists related meetings held between February and May 2025, spanning briefings, feedback, and the subsequent alignment with CPUC proceedings and policies.</w:t>
            </w:r>
            <w:r w:rsidRPr="00913AE4">
              <w:rPr>
                <w:rStyle w:val="FootnoteReference"/>
                <w:rFonts w:ascii="Palatino Linotype" w:hAnsi="Palatino Linotype"/>
                <w:color w:val="000000" w:themeColor="text1"/>
                <w:sz w:val="20"/>
                <w:szCs w:val="20"/>
              </w:rPr>
              <w:footnoteReference w:id="232"/>
            </w:r>
            <w:r w:rsidRPr="00913AE4">
              <w:rPr>
                <w:rFonts w:ascii="Palatino Linotype" w:hAnsi="Palatino Linotype"/>
                <w:color w:val="000000" w:themeColor="text1"/>
                <w:sz w:val="20"/>
                <w:szCs w:val="20"/>
              </w:rPr>
              <w:t xml:space="preserve"> PG&amp;E also includes Attachment C: Table Describing the Modifications Detailed in Appendix G, Resolution G-3618; PG&amp;E details how it revised the Clean Fuels Integration Initiative to prioritize RD&amp;D related to renewable natural gas (RNG) rather than hydrogen per Commission guidance.</w:t>
            </w:r>
          </w:p>
        </w:tc>
        <w:tc>
          <w:tcPr>
            <w:tcW w:w="4681" w:type="dxa"/>
          </w:tcPr>
          <w:p w:rsidRPr="00711B05" w:rsidR="00F84F28" w:rsidRDefault="000C53F2" w14:paraId="0D4B1729" w14:textId="0DD80579">
            <w:pPr>
              <w:rPr>
                <w:rFonts w:ascii="Palatino Linotype" w:hAnsi="Palatino Linotype"/>
                <w:color w:val="000000" w:themeColor="text1"/>
                <w:sz w:val="20"/>
                <w:szCs w:val="20"/>
              </w:rPr>
            </w:pPr>
            <w:r>
              <w:rPr>
                <w:rFonts w:ascii="Palatino Linotype" w:hAnsi="Palatino Linotype"/>
                <w:color w:val="000000" w:themeColor="text1"/>
                <w:sz w:val="20"/>
                <w:szCs w:val="20"/>
              </w:rPr>
              <w:lastRenderedPageBreak/>
              <w:t xml:space="preserve">PG&amp;E delineates its proposed budget by Initiative. </w:t>
            </w:r>
            <w:r w:rsidRPr="00711B05">
              <w:rPr>
                <w:rFonts w:ascii="Palatino Linotype" w:hAnsi="Palatino Linotype"/>
                <w:color w:val="000000" w:themeColor="text1"/>
                <w:sz w:val="20"/>
                <w:szCs w:val="20"/>
              </w:rPr>
              <w:t>PG&amp;E made several modifications in its resubmittal of its 202</w:t>
            </w:r>
            <w:r>
              <w:rPr>
                <w:rFonts w:ascii="Palatino Linotype" w:hAnsi="Palatino Linotype"/>
                <w:color w:val="000000" w:themeColor="text1"/>
                <w:sz w:val="20"/>
                <w:szCs w:val="20"/>
              </w:rPr>
              <w:t>5</w:t>
            </w:r>
            <w:r w:rsidRPr="00711B05">
              <w:rPr>
                <w:rFonts w:ascii="Palatino Linotype" w:hAnsi="Palatino Linotype"/>
                <w:color w:val="000000" w:themeColor="text1"/>
                <w:sz w:val="20"/>
                <w:szCs w:val="20"/>
              </w:rPr>
              <w:t xml:space="preserve"> Plan in alignment with Commission guidance provided via Resolution G-3618,</w:t>
            </w:r>
            <w:r w:rsidRPr="00711B05">
              <w:rPr>
                <w:rFonts w:ascii="Palatino Linotype" w:hAnsi="Palatino Linotype"/>
                <w:bCs w:val="0"/>
                <w:color w:val="000000" w:themeColor="text1"/>
                <w:sz w:val="20"/>
                <w:szCs w:val="20"/>
              </w:rPr>
              <w:t xml:space="preserve"> </w:t>
            </w:r>
            <w:r>
              <w:rPr>
                <w:rFonts w:ascii="Palatino Linotype" w:hAnsi="Palatino Linotype"/>
                <w:bCs w:val="0"/>
                <w:color w:val="000000" w:themeColor="text1"/>
                <w:sz w:val="20"/>
                <w:szCs w:val="20"/>
              </w:rPr>
              <w:t>and as a result</w:t>
            </w:r>
            <w:r w:rsidRPr="00711B05">
              <w:rPr>
                <w:rFonts w:ascii="Palatino Linotype" w:hAnsi="Palatino Linotype"/>
                <w:bCs w:val="0"/>
                <w:color w:val="000000" w:themeColor="text1"/>
                <w:sz w:val="20"/>
                <w:szCs w:val="20"/>
              </w:rPr>
              <w:t>,</w:t>
            </w:r>
            <w:r>
              <w:rPr>
                <w:rFonts w:ascii="Palatino Linotype" w:hAnsi="Palatino Linotype"/>
                <w:color w:val="000000" w:themeColor="text1"/>
                <w:sz w:val="20"/>
                <w:szCs w:val="20"/>
              </w:rPr>
              <w:t xml:space="preserve"> </w:t>
            </w:r>
            <w:r w:rsidRPr="00711B05" w:rsidR="00F84F28">
              <w:rPr>
                <w:rFonts w:ascii="Palatino Linotype" w:hAnsi="Palatino Linotype"/>
                <w:b/>
                <w:color w:val="000000" w:themeColor="text1"/>
                <w:sz w:val="20"/>
                <w:szCs w:val="20"/>
              </w:rPr>
              <w:t>PG&amp;E is compliant with this requirement.</w:t>
            </w:r>
            <w:r w:rsidRPr="00711B05" w:rsidR="00F84F28">
              <w:rPr>
                <w:rFonts w:ascii="Palatino Linotype" w:hAnsi="Palatino Linotype"/>
                <w:color w:val="000000" w:themeColor="text1"/>
                <w:sz w:val="20"/>
                <w:szCs w:val="20"/>
              </w:rPr>
              <w:t xml:space="preserve"> </w:t>
            </w:r>
          </w:p>
          <w:p w:rsidRPr="00711B05" w:rsidR="0024404B" w:rsidRDefault="0024404B" w14:paraId="457DBA7C" w14:textId="77777777">
            <w:pPr>
              <w:rPr>
                <w:rFonts w:ascii="Palatino Linotype" w:hAnsi="Palatino Linotype" w:eastAsia="Palatino Linotype"/>
                <w:color w:val="000000" w:themeColor="text1"/>
                <w:sz w:val="20"/>
                <w:szCs w:val="20"/>
              </w:rPr>
            </w:pPr>
          </w:p>
          <w:p w:rsidRPr="00711B05" w:rsidR="0024404B" w:rsidRDefault="0024404B" w14:paraId="5F95E6EA" w14:textId="7AE0E470">
            <w:pPr>
              <w:rPr>
                <w:rFonts w:ascii="Palatino Linotype" w:hAnsi="Palatino Linotype" w:eastAsia="Palatino Linotype" w:cs="Times New Roman"/>
                <w:color w:val="000000" w:themeColor="text1"/>
                <w:sz w:val="20"/>
                <w:szCs w:val="20"/>
              </w:rPr>
            </w:pPr>
          </w:p>
        </w:tc>
      </w:tr>
      <w:tr w:rsidR="00F84F28" w14:paraId="608AA594" w14:textId="77777777">
        <w:tc>
          <w:tcPr>
            <w:tcW w:w="3675" w:type="dxa"/>
          </w:tcPr>
          <w:p w:rsidRPr="00F36153" w:rsidR="00F84F28" w:rsidRDefault="00F84F28" w14:paraId="6C1E33FD" w14:textId="77777777">
            <w:pPr>
              <w:rPr>
                <w:rFonts w:ascii="Palatino Linotype" w:hAnsi="Palatino Linotype"/>
                <w:i/>
                <w:iCs/>
                <w:sz w:val="20"/>
                <w:szCs w:val="20"/>
              </w:rPr>
            </w:pPr>
            <w:hyperlink w:history="1" r:id="rId36">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(2)</w:t>
            </w:r>
            <w:r>
              <w:rPr>
                <w:rFonts w:ascii="Palatino Linotype" w:hAnsi="Palatino Linotype"/>
                <w:i/>
                <w:iCs/>
                <w:sz w:val="20"/>
                <w:szCs w:val="20"/>
              </w:rPr>
              <w:t xml:space="preserve"> </w:t>
            </w:r>
            <w:r w:rsidRPr="00347453">
              <w:rPr>
                <w:rFonts w:ascii="Palatino Linotype" w:hAnsi="Palatino Linotype"/>
                <w:i/>
                <w:iCs/>
                <w:sz w:val="20"/>
                <w:szCs w:val="20"/>
              </w:rPr>
              <w:t>The annual research plan should include a proposed</w:t>
            </w:r>
            <w:r w:rsidRPr="00FB1ACE">
              <w:rPr>
                <w:rFonts w:ascii="Palatino Linotype" w:hAnsi="Palatino Linotype"/>
                <w:i/>
                <w:iCs/>
                <w:sz w:val="20"/>
                <w:szCs w:val="20"/>
              </w:rPr>
              <w:t xml:space="preserve"> benefits analysis framework, created in consultation with Energy Division staff. This framework should provide </w:t>
            </w:r>
            <w:r w:rsidRPr="00347453">
              <w:rPr>
                <w:rFonts w:ascii="Palatino Linotype" w:hAnsi="Palatino Linotype"/>
                <w:i/>
                <w:iCs/>
                <w:sz w:val="20"/>
                <w:szCs w:val="20"/>
              </w:rPr>
              <w:t xml:space="preserve">sufficient </w:t>
            </w:r>
            <w:r w:rsidRPr="00B467B2">
              <w:rPr>
                <w:rFonts w:ascii="Palatino Linotype" w:hAnsi="Palatino Linotype"/>
                <w:i/>
                <w:iCs/>
                <w:sz w:val="20"/>
                <w:szCs w:val="20"/>
              </w:rPr>
              <w:t xml:space="preserve">quantitative </w:t>
            </w:r>
            <w:r w:rsidRPr="00347453">
              <w:rPr>
                <w:rFonts w:ascii="Palatino Linotype" w:hAnsi="Palatino Linotype"/>
                <w:i/>
                <w:iCs/>
                <w:sz w:val="20"/>
                <w:szCs w:val="20"/>
              </w:rPr>
              <w:t>estimates of potential safety,</w:t>
            </w:r>
            <w:r w:rsidRPr="00FB1ACE">
              <w:rPr>
                <w:rFonts w:ascii="Palatino Linotype" w:hAnsi="Palatino Linotype"/>
                <w:i/>
                <w:iCs/>
                <w:sz w:val="20"/>
                <w:szCs w:val="20"/>
              </w:rPr>
              <w:t xml:space="preserve"> </w:t>
            </w:r>
            <w:r w:rsidRPr="00347453">
              <w:rPr>
                <w:rFonts w:ascii="Palatino Linotype" w:hAnsi="Palatino Linotype"/>
                <w:i/>
                <w:iCs/>
                <w:sz w:val="20"/>
                <w:szCs w:val="20"/>
              </w:rPr>
              <w:lastRenderedPageBreak/>
              <w:t>reliability, operational efficiency, improved</w:t>
            </w:r>
            <w:r w:rsidRPr="00FB1ACE">
              <w:rPr>
                <w:rFonts w:ascii="Palatino Linotype" w:hAnsi="Palatino Linotype"/>
                <w:i/>
                <w:iCs/>
                <w:sz w:val="20"/>
                <w:szCs w:val="20"/>
              </w:rPr>
              <w:t xml:space="preserve"> </w:t>
            </w:r>
            <w:r w:rsidRPr="00347453">
              <w:rPr>
                <w:rFonts w:ascii="Palatino Linotype" w:hAnsi="Palatino Linotype"/>
                <w:i/>
                <w:iCs/>
                <w:sz w:val="20"/>
                <w:szCs w:val="20"/>
              </w:rPr>
              <w:t>affordability,</w:t>
            </w:r>
            <w:r w:rsidRPr="00FB1ACE">
              <w:rPr>
                <w:rFonts w:ascii="Palatino Linotype" w:hAnsi="Palatino Linotype"/>
                <w:i/>
                <w:iCs/>
                <w:sz w:val="20"/>
                <w:szCs w:val="20"/>
              </w:rPr>
              <w:t xml:space="preserve"> </w:t>
            </w:r>
            <w:r w:rsidRPr="00347453">
              <w:rPr>
                <w:rFonts w:ascii="Palatino Linotype" w:hAnsi="Palatino Linotype"/>
                <w:i/>
                <w:iCs/>
                <w:sz w:val="20"/>
                <w:szCs w:val="20"/>
              </w:rPr>
              <w:t>environmental-related benefits, benefits to underserved</w:t>
            </w:r>
            <w:r>
              <w:rPr>
                <w:rFonts w:ascii="Palatino Linotype" w:hAnsi="Palatino Linotype"/>
                <w:i/>
                <w:iCs/>
                <w:sz w:val="20"/>
                <w:szCs w:val="20"/>
              </w:rPr>
              <w:t xml:space="preserve"> </w:t>
            </w:r>
            <w:r w:rsidRPr="00347453">
              <w:rPr>
                <w:rFonts w:ascii="Palatino Linotype" w:hAnsi="Palatino Linotype"/>
                <w:i/>
                <w:iCs/>
                <w:sz w:val="20"/>
                <w:szCs w:val="20"/>
              </w:rPr>
              <w:t>communities, and numeric targets or a specified numeric</w:t>
            </w:r>
            <w:r w:rsidRPr="00FB1ACE">
              <w:rPr>
                <w:rFonts w:ascii="Palatino Linotype" w:hAnsi="Palatino Linotype"/>
                <w:i/>
                <w:iCs/>
                <w:sz w:val="20"/>
                <w:szCs w:val="20"/>
              </w:rPr>
              <w:t xml:space="preserve"> range of potential benefits for projects</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233"/>
            </w:r>
          </w:p>
        </w:tc>
        <w:tc>
          <w:tcPr>
            <w:tcW w:w="4599" w:type="dxa"/>
          </w:tcPr>
          <w:p w:rsidRPr="00913AE4" w:rsidR="00F84F28" w:rsidRDefault="00F84F28" w14:paraId="5DBD6FD6"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lastRenderedPageBreak/>
              <w:t>PG&amp;E describes intended benefits from the Gas System Integrity</w:t>
            </w:r>
            <w:r w:rsidRPr="00913AE4">
              <w:rPr>
                <w:color w:val="000000" w:themeColor="text1"/>
              </w:rPr>
              <w:t xml:space="preserve"> </w:t>
            </w:r>
            <w:r w:rsidRPr="00913AE4">
              <w:rPr>
                <w:rFonts w:ascii="Palatino Linotype" w:hAnsi="Palatino Linotype" w:eastAsia="Palatino Linotype" w:cs="Times New Roman"/>
                <w:color w:val="000000" w:themeColor="text1"/>
                <w:sz w:val="20"/>
                <w:szCs w:val="20"/>
              </w:rPr>
              <w:t>and Decarbonization Themes and</w:t>
            </w:r>
            <w:r w:rsidRPr="00913AE4">
              <w:rPr>
                <w:rFonts w:ascii="Palatino Linotype" w:hAnsi="Palatino Linotype"/>
                <w:color w:val="000000" w:themeColor="text1"/>
                <w:sz w:val="20"/>
                <w:szCs w:val="20"/>
              </w:rPr>
              <w:t xml:space="preserve"> proposes a framework with suggested metrics related to reliability; safety; equity; operational efficiency and improved affordability; reduced GHG emissions; improved </w:t>
            </w:r>
            <w:r w:rsidRPr="00913AE4">
              <w:rPr>
                <w:rFonts w:ascii="Palatino Linotype" w:hAnsi="Palatino Linotype"/>
                <w:color w:val="000000" w:themeColor="text1"/>
                <w:sz w:val="20"/>
                <w:szCs w:val="20"/>
              </w:rPr>
              <w:lastRenderedPageBreak/>
              <w:t>air quality; effectiveness of information sharing; adoption of Gas RD&amp;D technology; technology development progress; and informed industry and/or company standards.</w:t>
            </w:r>
            <w:r w:rsidRPr="00913AE4">
              <w:rPr>
                <w:rStyle w:val="FootnoteReference"/>
                <w:rFonts w:ascii="Palatino Linotype" w:hAnsi="Palatino Linotype"/>
                <w:color w:val="000000" w:themeColor="text1"/>
                <w:sz w:val="20"/>
                <w:szCs w:val="20"/>
              </w:rPr>
              <w:footnoteReference w:id="234"/>
            </w:r>
            <w:r w:rsidRPr="00913AE4">
              <w:rPr>
                <w:rFonts w:ascii="Palatino Linotype" w:hAnsi="Palatino Linotype"/>
                <w:color w:val="000000" w:themeColor="text1"/>
                <w:sz w:val="20"/>
                <w:szCs w:val="20"/>
              </w:rPr>
              <w:t xml:space="preserve"> PG&amp;E describes</w:t>
            </w:r>
            <w:r w:rsidRPr="00913AE4">
              <w:rPr>
                <w:rFonts w:ascii="Palatino Linotype" w:hAnsi="Palatino Linotype" w:eastAsia="Palatino Linotype" w:cs="Times New Roman"/>
                <w:color w:val="000000" w:themeColor="text1"/>
                <w:sz w:val="20"/>
                <w:szCs w:val="20"/>
              </w:rPr>
              <w:t xml:space="preserve"> specific metrics for assessing ratepayer benefits at the Initiative level.</w:t>
            </w:r>
            <w:r w:rsidRPr="00913AE4">
              <w:rPr>
                <w:rStyle w:val="FootnoteReference"/>
                <w:rFonts w:ascii="Palatino Linotype" w:hAnsi="Palatino Linotype" w:eastAsia="Palatino Linotype" w:cs="Times New Roman"/>
                <w:color w:val="000000" w:themeColor="text1"/>
                <w:sz w:val="20"/>
                <w:szCs w:val="20"/>
              </w:rPr>
              <w:footnoteReference w:id="235"/>
            </w:r>
            <w:r w:rsidRPr="00913AE4">
              <w:rPr>
                <w:rFonts w:ascii="Palatino Linotype" w:hAnsi="Palatino Linotype" w:eastAsia="Palatino Linotype" w:cs="Times New Roman"/>
                <w:color w:val="000000" w:themeColor="text1"/>
                <w:sz w:val="20"/>
                <w:szCs w:val="20"/>
              </w:rPr>
              <w:t xml:space="preserve"> </w:t>
            </w:r>
          </w:p>
          <w:p w:rsidRPr="00913AE4" w:rsidR="00F84F28" w:rsidP="000B6D13" w:rsidRDefault="00F84F28" w14:paraId="4778598E" w14:textId="77777777">
            <w:pPr>
              <w:spacing w:before="240"/>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PG&amp;E describes “[t]</w:t>
            </w:r>
            <w:proofErr w:type="spellStart"/>
            <w:r w:rsidRPr="00913AE4">
              <w:rPr>
                <w:rFonts w:ascii="Palatino Linotype" w:hAnsi="Palatino Linotype" w:eastAsia="Palatino Linotype" w:cs="Times New Roman"/>
                <w:color w:val="000000" w:themeColor="text1"/>
                <w:sz w:val="20"/>
                <w:szCs w:val="20"/>
              </w:rPr>
              <w:t>hree</w:t>
            </w:r>
            <w:proofErr w:type="spellEnd"/>
            <w:r w:rsidRPr="00913AE4">
              <w:rPr>
                <w:rFonts w:ascii="Palatino Linotype" w:hAnsi="Palatino Linotype" w:eastAsia="Palatino Linotype" w:cs="Times New Roman"/>
                <w:color w:val="000000" w:themeColor="text1"/>
                <w:sz w:val="20"/>
                <w:szCs w:val="20"/>
              </w:rPr>
              <w:t xml:space="preserve"> economic metrics which help provide valuable insights into the savings opportunities and realistic market share that a company can achieve”—Total </w:t>
            </w:r>
            <w:r w:rsidRPr="00913AE4">
              <w:rPr>
                <w:rFonts w:ascii="Palatino Linotype" w:hAnsi="Palatino Linotype"/>
                <w:color w:val="000000" w:themeColor="text1"/>
                <w:sz w:val="20"/>
                <w:szCs w:val="20"/>
              </w:rPr>
              <w:t>Addressable Market (TAM); Serviceable Addressable Market (SAM); and Serviceable Obtainable Market (SOM) metrics</w:t>
            </w:r>
            <w:r w:rsidRPr="00913AE4">
              <w:rPr>
                <w:rStyle w:val="FootnoteReference"/>
                <w:rFonts w:ascii="Palatino Linotype" w:hAnsi="Palatino Linotype"/>
                <w:color w:val="000000" w:themeColor="text1"/>
                <w:sz w:val="20"/>
                <w:szCs w:val="20"/>
              </w:rPr>
              <w:footnoteReference w:id="236"/>
            </w:r>
            <w:r w:rsidRPr="00913AE4">
              <w:rPr>
                <w:rFonts w:ascii="Palatino Linotype" w:hAnsi="Palatino Linotype" w:eastAsia="Palatino Linotype" w:cs="Times New Roman"/>
                <w:color w:val="000000" w:themeColor="text1"/>
                <w:sz w:val="20"/>
                <w:szCs w:val="20"/>
              </w:rPr>
              <w:t>—and estimate annual savings of $32,490,000, delineated by project.</w:t>
            </w:r>
            <w:r w:rsidRPr="00913AE4">
              <w:rPr>
                <w:rStyle w:val="FootnoteReference"/>
                <w:rFonts w:ascii="Palatino Linotype" w:hAnsi="Palatino Linotype" w:eastAsia="Palatino Linotype" w:cs="Times New Roman"/>
                <w:color w:val="000000" w:themeColor="text1"/>
                <w:sz w:val="20"/>
                <w:szCs w:val="20"/>
              </w:rPr>
              <w:footnoteReference w:id="237"/>
            </w:r>
            <w:r w:rsidRPr="00913AE4">
              <w:rPr>
                <w:rFonts w:ascii="Palatino Linotype" w:hAnsi="Palatino Linotype" w:eastAsia="Palatino Linotype" w:cs="Times New Roman"/>
                <w:color w:val="000000" w:themeColor="text1"/>
                <w:sz w:val="20"/>
                <w:szCs w:val="20"/>
              </w:rPr>
              <w:t> PG&amp;E states that “each project proposal will include a structured impact assessment section that identifies: (1) the expected causal pathway from RD&amp;D activity to ratepayer benefit; (2) measurable indicators aligned with Uniform Impact metrics; (3) the anticipated timeframe for realization of outcomes and impacts; and (4) a justification for why the proposed benefits would not otherwise occur absent Gas RD&amp;D investment.”</w:t>
            </w:r>
            <w:r w:rsidRPr="00913AE4">
              <w:rPr>
                <w:rStyle w:val="FootnoteReference"/>
                <w:rFonts w:ascii="Palatino Linotype" w:hAnsi="Palatino Linotype" w:eastAsia="Palatino Linotype" w:cs="Times New Roman"/>
                <w:color w:val="000000" w:themeColor="text1"/>
                <w:sz w:val="20"/>
                <w:szCs w:val="20"/>
              </w:rPr>
              <w:footnoteReference w:id="238"/>
            </w:r>
            <w:r w:rsidRPr="00913AE4">
              <w:rPr>
                <w:rFonts w:ascii="Palatino Linotype" w:hAnsi="Palatino Linotype" w:eastAsia="Palatino Linotype" w:cs="Times New Roman"/>
                <w:color w:val="000000" w:themeColor="text1"/>
                <w:sz w:val="20"/>
                <w:szCs w:val="20"/>
              </w:rPr>
              <w:t xml:space="preserve"> PG&amp;E updated </w:t>
            </w:r>
            <w:r w:rsidRPr="00913AE4">
              <w:rPr>
                <w:rFonts w:ascii="Palatino Linotype" w:hAnsi="Palatino Linotype" w:eastAsia="Palatino Linotype" w:cs="Times New Roman"/>
                <w:color w:val="000000" w:themeColor="text1"/>
                <w:sz w:val="20"/>
                <w:szCs w:val="20"/>
              </w:rPr>
              <w:lastRenderedPageBreak/>
              <w:t>its Assumptions section in its resubmitted 2025 Plan, stating: “Reported impacts will reflect incremental, attributable benefits associated with Gas RD&amp;D funding and will exclude benefits reasonably expected to occur absent the RD&amp;D investment due to regulatory mandates, compliance activities, or independent market trends.”</w:t>
            </w:r>
            <w:r w:rsidRPr="00913AE4">
              <w:rPr>
                <w:rStyle w:val="FootnoteReference"/>
                <w:rFonts w:ascii="Palatino Linotype" w:hAnsi="Palatino Linotype" w:eastAsia="Palatino Linotype" w:cs="Times New Roman"/>
                <w:color w:val="000000" w:themeColor="text1"/>
                <w:sz w:val="20"/>
                <w:szCs w:val="20"/>
              </w:rPr>
              <w:footnoteReference w:id="239"/>
            </w:r>
            <w:r w:rsidRPr="00913AE4">
              <w:rPr>
                <w:rFonts w:ascii="Palatino Linotype" w:hAnsi="Palatino Linotype" w:eastAsia="Palatino Linotype" w:cs="Times New Roman"/>
                <w:color w:val="000000" w:themeColor="text1"/>
                <w:sz w:val="20"/>
                <w:szCs w:val="20"/>
              </w:rPr>
              <w:t> In particular, PG&amp;E states that the Integrated Planning Tools to Enable Scaled-Up Gas Decommissioning and Electrification Initiative would “[create] a defensible analytical foundation for downstream benefit evaluation” and “[produce] reusable analytical methods that do not reliably exist absent RD&amp;D”</w:t>
            </w:r>
            <w:r w:rsidRPr="00913AE4">
              <w:rPr>
                <w:rStyle w:val="FootnoteReference"/>
                <w:rFonts w:ascii="Palatino Linotype" w:hAnsi="Palatino Linotype" w:eastAsia="Palatino Linotype" w:cs="Times New Roman"/>
                <w:color w:val="000000" w:themeColor="text1"/>
                <w:sz w:val="20"/>
                <w:szCs w:val="20"/>
              </w:rPr>
              <w:footnoteReference w:id="240"/>
            </w:r>
            <w:r w:rsidRPr="00913AE4">
              <w:rPr>
                <w:rFonts w:ascii="Palatino Linotype" w:hAnsi="Palatino Linotype" w:eastAsia="Palatino Linotype" w:cs="Times New Roman"/>
                <w:color w:val="000000" w:themeColor="text1"/>
                <w:sz w:val="20"/>
                <w:szCs w:val="20"/>
              </w:rPr>
              <w:t xml:space="preserve"> and details Initiative outputs, associated near-term analytical benefits, benefit theories, metrics, and what this opportunity would enable in the future.</w:t>
            </w:r>
            <w:r w:rsidRPr="00913AE4">
              <w:rPr>
                <w:rStyle w:val="FootnoteReference"/>
                <w:rFonts w:ascii="Palatino Linotype" w:hAnsi="Palatino Linotype" w:eastAsia="Palatino Linotype" w:cs="Times New Roman"/>
                <w:color w:val="000000" w:themeColor="text1"/>
                <w:sz w:val="20"/>
                <w:szCs w:val="20"/>
              </w:rPr>
              <w:footnoteReference w:id="241"/>
            </w:r>
            <w:r w:rsidRPr="00913AE4">
              <w:rPr>
                <w:rFonts w:ascii="Palatino Linotype" w:hAnsi="Palatino Linotype" w:eastAsia="Palatino Linotype" w:cs="Times New Roman"/>
                <w:color w:val="000000" w:themeColor="text1"/>
                <w:sz w:val="20"/>
                <w:szCs w:val="20"/>
              </w:rPr>
              <w:t xml:space="preserve"> </w:t>
            </w:r>
          </w:p>
        </w:tc>
        <w:tc>
          <w:tcPr>
            <w:tcW w:w="4681" w:type="dxa"/>
          </w:tcPr>
          <w:p w:rsidRPr="00913AE4" w:rsidR="00F84F28" w:rsidRDefault="00F84F28" w14:paraId="6F107D3E" w14:textId="77777777">
            <w:pPr>
              <w:contextualSpacing/>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lastRenderedPageBreak/>
              <w:t xml:space="preserve">The Commission’s Uniform Impact Analysis Foundational Principles </w:t>
            </w:r>
            <w:r w:rsidRPr="00913AE4">
              <w:rPr>
                <w:rFonts w:ascii="Palatino Linotype" w:hAnsi="Palatino Linotype"/>
                <w:color w:val="000000" w:themeColor="text1"/>
                <w:sz w:val="20"/>
                <w:szCs w:val="20"/>
              </w:rPr>
              <w:t xml:space="preserve">outline criteria for </w:t>
            </w:r>
            <w:r w:rsidRPr="00913AE4">
              <w:rPr>
                <w:rFonts w:ascii="Palatino Linotype" w:hAnsi="Palatino Linotype" w:eastAsia="Century Gothic" w:cs="Century Gothic"/>
                <w:color w:val="000000" w:themeColor="text1"/>
                <w:sz w:val="20"/>
                <w:szCs w:val="20"/>
              </w:rPr>
              <w:t xml:space="preserve">demonstrating impacts </w:t>
            </w:r>
            <w:r w:rsidRPr="00913AE4">
              <w:rPr>
                <w:rFonts w:ascii="Palatino Linotype" w:hAnsi="Palatino Linotype" w:eastAsia="Palatino Linotype" w:cs="Times New Roman"/>
                <w:color w:val="000000" w:themeColor="text1"/>
                <w:sz w:val="20"/>
                <w:szCs w:val="20"/>
              </w:rPr>
              <w:t>attributable to each distinct RD&amp;D investment,</w:t>
            </w:r>
            <w:r w:rsidRPr="00913AE4">
              <w:rPr>
                <w:rStyle w:val="FootnoteReference"/>
                <w:rFonts w:ascii="Palatino Linotype" w:hAnsi="Palatino Linotype" w:eastAsia="Palatino Linotype" w:cs="Times New Roman"/>
                <w:color w:val="000000" w:themeColor="text1"/>
                <w:sz w:val="20"/>
                <w:szCs w:val="20"/>
              </w:rPr>
              <w:footnoteReference w:id="242"/>
            </w:r>
            <w:r w:rsidRPr="00913AE4">
              <w:rPr>
                <w:rFonts w:ascii="Palatino Linotype" w:hAnsi="Palatino Linotype" w:eastAsia="Palatino Linotype" w:cs="Times New Roman"/>
                <w:color w:val="000000" w:themeColor="text1"/>
                <w:sz w:val="20"/>
                <w:szCs w:val="20"/>
              </w:rPr>
              <w:t xml:space="preserve"> which must otherwise not be expected to occur.</w:t>
            </w:r>
            <w:r w:rsidRPr="00913AE4">
              <w:rPr>
                <w:rStyle w:val="FootnoteReference"/>
                <w:rFonts w:ascii="Palatino Linotype" w:hAnsi="Palatino Linotype" w:eastAsia="Palatino Linotype" w:cs="Times New Roman"/>
                <w:color w:val="000000" w:themeColor="text1"/>
                <w:sz w:val="20"/>
                <w:szCs w:val="20"/>
              </w:rPr>
              <w:footnoteReference w:id="243"/>
            </w:r>
            <w:r w:rsidRPr="00913AE4">
              <w:rPr>
                <w:rFonts w:ascii="Palatino Linotype" w:hAnsi="Palatino Linotype" w:eastAsia="Palatino Linotype" w:cs="Times New Roman"/>
                <w:color w:val="000000" w:themeColor="text1"/>
                <w:sz w:val="20"/>
                <w:szCs w:val="20"/>
              </w:rPr>
              <w:t xml:space="preserve"> PG&amp;E demonstrates anticipated impacts are attributable </w:t>
            </w:r>
            <w:r w:rsidRPr="00913AE4">
              <w:rPr>
                <w:rFonts w:ascii="Palatino Linotype" w:hAnsi="Palatino Linotype" w:eastAsia="Palatino Linotype" w:cs="Times New Roman"/>
                <w:color w:val="000000" w:themeColor="text1"/>
                <w:sz w:val="20"/>
                <w:szCs w:val="20"/>
              </w:rPr>
              <w:lastRenderedPageBreak/>
              <w:t xml:space="preserve">to each Initiative through discussion on baseline </w:t>
            </w:r>
            <w:r w:rsidRPr="00711B05">
              <w:rPr>
                <w:rFonts w:ascii="Palatino Linotype" w:hAnsi="Palatino Linotype" w:eastAsia="Palatino Linotype" w:cs="Times New Roman"/>
                <w:color w:val="000000" w:themeColor="text1"/>
                <w:sz w:val="20"/>
                <w:szCs w:val="20"/>
              </w:rPr>
              <w:t xml:space="preserve">scenarios. </w:t>
            </w:r>
            <w:r w:rsidRPr="00711B05">
              <w:rPr>
                <w:rFonts w:ascii="Palatino Linotype" w:hAnsi="Palatino Linotype" w:eastAsia="Palatino Linotype" w:cs="Times New Roman"/>
                <w:b/>
                <w:bCs w:val="0"/>
                <w:color w:val="000000" w:themeColor="text1"/>
                <w:sz w:val="20"/>
                <w:szCs w:val="20"/>
              </w:rPr>
              <w:t>PG&amp;E is compliant with this requirement.</w:t>
            </w:r>
          </w:p>
          <w:p w:rsidRPr="00913AE4" w:rsidR="00F84F28" w:rsidRDefault="00F84F28" w14:paraId="66A19980" w14:textId="77777777">
            <w:pPr>
              <w:contextualSpacing/>
              <w:rPr>
                <w:rFonts w:ascii="Palatino Linotype" w:hAnsi="Palatino Linotype" w:eastAsia="Palatino Linotype" w:cs="Times New Roman"/>
                <w:color w:val="000000" w:themeColor="text1"/>
                <w:sz w:val="20"/>
                <w:szCs w:val="20"/>
              </w:rPr>
            </w:pPr>
          </w:p>
        </w:tc>
      </w:tr>
      <w:tr w:rsidR="00F84F28" w14:paraId="5B648CA3" w14:textId="77777777">
        <w:tc>
          <w:tcPr>
            <w:tcW w:w="3675" w:type="dxa"/>
          </w:tcPr>
          <w:p w:rsidRPr="00CF6323" w:rsidR="00F84F28" w:rsidRDefault="00F84F28" w14:paraId="41FF160D" w14:textId="77777777">
            <w:pPr>
              <w:rPr>
                <w:rFonts w:ascii="Palatino Linotype" w:hAnsi="Palatino Linotype"/>
                <w:i/>
                <w:iCs/>
                <w:sz w:val="20"/>
                <w:szCs w:val="20"/>
              </w:rPr>
            </w:pPr>
            <w:hyperlink w:history="1" r:id="rId37">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proofErr w:type="gramStart"/>
            <w:r w:rsidRPr="00DB1752">
              <w:rPr>
                <w:rFonts w:ascii="Palatino Linotype" w:hAnsi="Palatino Linotype"/>
                <w:i/>
                <w:iCs/>
                <w:sz w:val="20"/>
                <w:szCs w:val="20"/>
              </w:rPr>
              <w:t>detail</w:t>
            </w:r>
            <w:proofErr w:type="gramEnd"/>
            <w:r w:rsidRPr="00DB1752">
              <w:rPr>
                <w:rFonts w:ascii="Palatino Linotype" w:hAnsi="Palatino Linotype"/>
                <w:i/>
                <w:iCs/>
                <w:sz w:val="20"/>
                <w:szCs w:val="20"/>
              </w:rPr>
              <w:t xml:space="preserve">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244"/>
            </w:r>
            <w:r w:rsidRPr="00FB1ACE">
              <w:rPr>
                <w:rFonts w:ascii="Palatino Linotype" w:hAnsi="Palatino Linotype"/>
                <w:i/>
                <w:iCs/>
                <w:sz w:val="20"/>
                <w:szCs w:val="20"/>
              </w:rPr>
              <w:t xml:space="preserve"> </w:t>
            </w:r>
          </w:p>
        </w:tc>
        <w:tc>
          <w:tcPr>
            <w:tcW w:w="4599" w:type="dxa"/>
          </w:tcPr>
          <w:p w:rsidRPr="00913AE4" w:rsidR="00F84F28" w:rsidRDefault="00F84F28" w14:paraId="71FDD127"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PG&amp;E proposes a total budget of $6,700,087 for its 2025 Plan, including $5,873,387 for Initiatives, Database Development, and a Program Evaluation in addition to $826,700 in </w:t>
            </w:r>
            <w:proofErr w:type="gramStart"/>
            <w:r w:rsidRPr="00913AE4">
              <w:rPr>
                <w:rFonts w:ascii="Palatino Linotype" w:hAnsi="Palatino Linotype" w:eastAsia="Palatino Linotype" w:cs="Times New Roman"/>
                <w:color w:val="000000" w:themeColor="text1"/>
                <w:sz w:val="20"/>
                <w:szCs w:val="20"/>
              </w:rPr>
              <w:t>Administrative</w:t>
            </w:r>
            <w:proofErr w:type="gramEnd"/>
            <w:r w:rsidRPr="00913AE4">
              <w:rPr>
                <w:rFonts w:ascii="Palatino Linotype" w:hAnsi="Palatino Linotype" w:eastAsia="Palatino Linotype" w:cs="Times New Roman"/>
                <w:color w:val="000000" w:themeColor="text1"/>
                <w:sz w:val="20"/>
                <w:szCs w:val="20"/>
              </w:rPr>
              <w:t xml:space="preserve"> costs.</w:t>
            </w:r>
            <w:r w:rsidRPr="00913AE4">
              <w:rPr>
                <w:rStyle w:val="FootnoteReference"/>
                <w:rFonts w:ascii="Palatino Linotype" w:hAnsi="Palatino Linotype" w:eastAsia="Palatino Linotype" w:cs="Times New Roman"/>
                <w:color w:val="000000" w:themeColor="text1"/>
                <w:sz w:val="20"/>
                <w:szCs w:val="20"/>
              </w:rPr>
              <w:footnoteReference w:id="245"/>
            </w:r>
            <w:r w:rsidRPr="00913AE4">
              <w:rPr>
                <w:rFonts w:ascii="Palatino Linotype" w:hAnsi="Palatino Linotype" w:eastAsia="Palatino Linotype" w:cs="Times New Roman"/>
                <w:color w:val="000000" w:themeColor="text1"/>
                <w:sz w:val="20"/>
                <w:szCs w:val="20"/>
              </w:rPr>
              <w:t xml:space="preserve"> PG&amp;E further delineates </w:t>
            </w:r>
            <w:r w:rsidRPr="00913AE4">
              <w:rPr>
                <w:rFonts w:ascii="Palatino Linotype" w:hAnsi="Palatino Linotype" w:eastAsia="Palatino Linotype" w:cs="Times New Roman"/>
                <w:color w:val="000000" w:themeColor="text1"/>
                <w:sz w:val="20"/>
                <w:szCs w:val="20"/>
              </w:rPr>
              <w:lastRenderedPageBreak/>
              <w:t>administrative costs into activity categories by percentage.</w:t>
            </w:r>
            <w:r w:rsidRPr="00913AE4">
              <w:rPr>
                <w:rStyle w:val="FootnoteReference"/>
                <w:rFonts w:ascii="Palatino Linotype" w:hAnsi="Palatino Linotype" w:eastAsia="Palatino Linotype" w:cs="Times New Roman"/>
                <w:color w:val="000000" w:themeColor="text1"/>
                <w:sz w:val="20"/>
                <w:szCs w:val="20"/>
              </w:rPr>
              <w:footnoteReference w:id="246"/>
            </w:r>
          </w:p>
          <w:p w:rsidRPr="00913AE4" w:rsidR="00F84F28" w:rsidRDefault="00F84F28" w14:paraId="314DBC9B" w14:textId="77777777">
            <w:pPr>
              <w:rPr>
                <w:rFonts w:ascii="Palatino Linotype" w:hAnsi="Palatino Linotype"/>
                <w:color w:val="000000" w:themeColor="text1"/>
                <w:sz w:val="20"/>
                <w:szCs w:val="20"/>
              </w:rPr>
            </w:pPr>
          </w:p>
          <w:p w:rsidRPr="00913AE4" w:rsidR="00F84F28" w:rsidRDefault="00F84F28" w14:paraId="0E494E78"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Conflictingly, PG&amp;E states that this “plan clarifies a total budget of $6.7 million, implying approximately $670,000 in administrative costs at the same 10 percent limit.”</w:t>
            </w:r>
            <w:r w:rsidRPr="00913AE4">
              <w:rPr>
                <w:rStyle w:val="FootnoteReference"/>
                <w:rFonts w:ascii="Palatino Linotype" w:hAnsi="Palatino Linotype" w:eastAsia="Palatino Linotype" w:cs="Times New Roman"/>
                <w:color w:val="000000" w:themeColor="text1"/>
                <w:sz w:val="20"/>
                <w:szCs w:val="20"/>
              </w:rPr>
              <w:footnoteReference w:id="247"/>
            </w:r>
          </w:p>
        </w:tc>
        <w:tc>
          <w:tcPr>
            <w:tcW w:w="4681" w:type="dxa"/>
          </w:tcPr>
          <w:p w:rsidRPr="00711B05" w:rsidR="00F84F28" w:rsidRDefault="00F84F28" w14:paraId="2D540200"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lastRenderedPageBreak/>
              <w:t>PG&amp;E allocates proposed Program Administrative costs to specific categories using the required Administrative Budget template.</w:t>
            </w:r>
            <w:r w:rsidRPr="00711B05">
              <w:rPr>
                <w:rStyle w:val="FootnoteReference"/>
                <w:rFonts w:ascii="Palatino Linotype" w:hAnsi="Palatino Linotype"/>
                <w:color w:val="000000" w:themeColor="text1"/>
                <w:sz w:val="20"/>
                <w:szCs w:val="20"/>
              </w:rPr>
              <w:footnoteReference w:id="248"/>
            </w:r>
            <w:r w:rsidRPr="00711B05">
              <w:rPr>
                <w:rFonts w:ascii="Palatino Linotype" w:hAnsi="Palatino Linotype"/>
                <w:color w:val="000000" w:themeColor="text1"/>
                <w:sz w:val="20"/>
                <w:szCs w:val="20"/>
              </w:rPr>
              <w:t> </w:t>
            </w:r>
            <w:r w:rsidRPr="00711B05">
              <w:rPr>
                <w:rFonts w:ascii="Palatino Linotype" w:hAnsi="Palatino Linotype"/>
                <w:b/>
                <w:bCs w:val="0"/>
                <w:color w:val="000000" w:themeColor="text1"/>
                <w:sz w:val="20"/>
                <w:szCs w:val="20"/>
              </w:rPr>
              <w:t>PG&amp;E is compliant with this requirement. </w:t>
            </w:r>
          </w:p>
          <w:p w:rsidRPr="00711B05" w:rsidR="00615A4C" w:rsidRDefault="00615A4C" w14:paraId="1FBBF677" w14:textId="77777777">
            <w:pPr>
              <w:rPr>
                <w:rFonts w:ascii="Palatino Linotype" w:hAnsi="Palatino Linotype"/>
                <w:color w:val="0070C0"/>
                <w:sz w:val="20"/>
                <w:szCs w:val="20"/>
              </w:rPr>
            </w:pPr>
          </w:p>
          <w:p w:rsidRPr="00711B05" w:rsidR="00F84F28" w:rsidRDefault="00F84F28" w14:paraId="4B1E53E9" w14:textId="400ABEC2">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lastRenderedPageBreak/>
              <w:t xml:space="preserve">However, PG&amp;E’s request for a Program Administrative budget of $809,200 is greater than 10 percent of its proposed total budget. Given PG&amp;E’s proposed Initiative, Database Development, and Program Evaluation costs amount to </w:t>
            </w:r>
            <w:r w:rsidRPr="00711B05">
              <w:rPr>
                <w:rFonts w:ascii="Palatino Linotype" w:hAnsi="Palatino Linotype" w:eastAsia="Palatino Linotype" w:cs="Times New Roman"/>
                <w:color w:val="000000" w:themeColor="text1"/>
                <w:sz w:val="20"/>
                <w:szCs w:val="20"/>
              </w:rPr>
              <w:t xml:space="preserve">$5,873,387, PG&amp;E </w:t>
            </w:r>
            <w:r w:rsidRPr="00711B05" w:rsidR="008C3A61">
              <w:rPr>
                <w:rFonts w:ascii="Palatino Linotype" w:hAnsi="Palatino Linotype" w:eastAsia="Palatino Linotype" w:cs="Times New Roman"/>
                <w:color w:val="000000" w:themeColor="text1"/>
                <w:sz w:val="20"/>
                <w:szCs w:val="20"/>
              </w:rPr>
              <w:t xml:space="preserve">would be required to </w:t>
            </w:r>
            <w:r w:rsidRPr="00711B05">
              <w:rPr>
                <w:rFonts w:ascii="Palatino Linotype" w:hAnsi="Palatino Linotype" w:eastAsia="Palatino Linotype" w:cs="Times New Roman"/>
                <w:color w:val="000000" w:themeColor="text1"/>
                <w:sz w:val="20"/>
                <w:szCs w:val="20"/>
              </w:rPr>
              <w:t>cap its administrative costs at approximately $652,599 for an annual total of approximately $6,525,986.</w:t>
            </w:r>
            <w:r w:rsidRPr="00711B05">
              <w:rPr>
                <w:rFonts w:ascii="Palatino Linotype" w:hAnsi="Palatino Linotype" w:eastAsia="Palatino Linotype"/>
                <w:color w:val="000000" w:themeColor="text1"/>
                <w:sz w:val="20"/>
                <w:szCs w:val="20"/>
              </w:rPr>
              <w:t xml:space="preserve"> </w:t>
            </w:r>
            <w:r w:rsidRPr="00711B05">
              <w:rPr>
                <w:rFonts w:ascii="Palatino Linotype" w:hAnsi="Palatino Linotype"/>
                <w:b/>
                <w:color w:val="000000" w:themeColor="text1"/>
                <w:sz w:val="20"/>
                <w:szCs w:val="20"/>
              </w:rPr>
              <w:t>PG&amp;E is </w:t>
            </w:r>
            <w:r w:rsidRPr="00711B05">
              <w:rPr>
                <w:rFonts w:ascii="Palatino Linotype" w:hAnsi="Palatino Linotype"/>
                <w:b/>
                <w:i/>
                <w:iCs/>
                <w:color w:val="000000" w:themeColor="text1"/>
                <w:sz w:val="20"/>
                <w:szCs w:val="20"/>
              </w:rPr>
              <w:t>not</w:t>
            </w:r>
            <w:r w:rsidRPr="00711B05">
              <w:rPr>
                <w:rFonts w:ascii="Palatino Linotype" w:hAnsi="Palatino Linotype"/>
                <w:b/>
                <w:color w:val="000000" w:themeColor="text1"/>
                <w:sz w:val="20"/>
                <w:szCs w:val="20"/>
              </w:rPr>
              <w:t> compliant with this requirement.</w:t>
            </w:r>
            <w:r w:rsidRPr="00711B05">
              <w:rPr>
                <w:rFonts w:ascii="Palatino Linotype" w:hAnsi="Palatino Linotype"/>
                <w:color w:val="000000" w:themeColor="text1"/>
                <w:sz w:val="20"/>
                <w:szCs w:val="20"/>
              </w:rPr>
              <w:t> </w:t>
            </w:r>
          </w:p>
          <w:p w:rsidRPr="00711B05" w:rsidR="00A41FFC" w:rsidRDefault="00A41FFC" w14:paraId="60092A4D" w14:textId="77777777">
            <w:pPr>
              <w:rPr>
                <w:rFonts w:ascii="Palatino Linotype" w:hAnsi="Palatino Linotype"/>
                <w:color w:val="000000" w:themeColor="text1"/>
                <w:sz w:val="20"/>
                <w:szCs w:val="20"/>
              </w:rPr>
            </w:pPr>
          </w:p>
          <w:p w:rsidRPr="00711B05" w:rsidR="00A41FFC" w:rsidRDefault="008C3A61" w14:paraId="6DB1DC7D" w14:textId="56BE4470">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w:t>
            </w:r>
            <w:r w:rsidRPr="00711B05" w:rsidR="00A41FFC">
              <w:rPr>
                <w:rFonts w:ascii="Palatino Linotype" w:hAnsi="Palatino Linotype"/>
                <w:color w:val="000000" w:themeColor="text1"/>
                <w:sz w:val="20"/>
                <w:szCs w:val="20"/>
              </w:rPr>
              <w:t xml:space="preserve"> </w:t>
            </w:r>
            <w:r w:rsidRPr="00711B05" w:rsidR="00506822">
              <w:rPr>
                <w:rFonts w:ascii="Palatino Linotype" w:hAnsi="Palatino Linotype"/>
                <w:color w:val="000000" w:themeColor="text1"/>
                <w:sz w:val="20"/>
                <w:szCs w:val="20"/>
              </w:rPr>
              <w:t xml:space="preserve">in this Resolution, </w:t>
            </w:r>
            <w:r w:rsidRPr="00711B05" w:rsidR="00A41FFC">
              <w:rPr>
                <w:rFonts w:ascii="Palatino Linotype" w:hAnsi="Palatino Linotype"/>
                <w:color w:val="000000" w:themeColor="text1"/>
                <w:sz w:val="20"/>
                <w:szCs w:val="20"/>
              </w:rPr>
              <w:t xml:space="preserve">the Commission authorizes an </w:t>
            </w:r>
            <w:proofErr w:type="gramStart"/>
            <w:r w:rsidRPr="00711B05" w:rsidR="00A41FFC">
              <w:rPr>
                <w:rFonts w:ascii="Palatino Linotype" w:hAnsi="Palatino Linotype"/>
                <w:color w:val="000000" w:themeColor="text1"/>
                <w:sz w:val="20"/>
                <w:szCs w:val="20"/>
              </w:rPr>
              <w:t>Administrative</w:t>
            </w:r>
            <w:proofErr w:type="gramEnd"/>
            <w:r w:rsidRPr="00711B05" w:rsidR="00A41FFC">
              <w:rPr>
                <w:rFonts w:ascii="Palatino Linotype" w:hAnsi="Palatino Linotype"/>
                <w:color w:val="000000" w:themeColor="text1"/>
                <w:sz w:val="20"/>
                <w:szCs w:val="20"/>
              </w:rPr>
              <w:t xml:space="preserve"> budget of $613,333 for PG&amp;E’s 2025 Plan as outlined in Appendix B.  </w:t>
            </w:r>
          </w:p>
        </w:tc>
      </w:tr>
      <w:tr w:rsidR="00F84F28" w14:paraId="63F401E4" w14:textId="77777777">
        <w:tc>
          <w:tcPr>
            <w:tcW w:w="3675" w:type="dxa"/>
          </w:tcPr>
          <w:p w:rsidRPr="00141BD5" w:rsidR="00F84F28" w:rsidRDefault="00F84F28" w14:paraId="3B743257" w14:textId="77777777">
            <w:pPr>
              <w:rPr>
                <w:rFonts w:ascii="Palatino Linotype" w:hAnsi="Palatino Linotype"/>
                <w:color w:val="000000" w:themeColor="text1"/>
                <w:sz w:val="20"/>
                <w:szCs w:val="20"/>
              </w:rPr>
            </w:pPr>
            <w:hyperlink w:history="1" r:id="rId38">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(4)</w:t>
            </w:r>
            <w:r w:rsidRPr="00141BD5">
              <w:rPr>
                <w:rFonts w:ascii="Palatino Linotype" w:hAnsi="Palatino Linotype"/>
                <w:i/>
                <w:iCs/>
                <w:color w:val="000000" w:themeColor="text1"/>
                <w:sz w:val="20"/>
                <w:szCs w:val="20"/>
              </w:rPr>
              <w:t xml:space="preserve"> In its annual research plan, PG&amp;E should explain how its proposals for low carbon research projects (rather than zero/no carbon projects) support the State’s aggressive zero-carbon goals</w:t>
            </w:r>
            <w:r w:rsidRPr="00141BD5">
              <w:rPr>
                <w:rFonts w:ascii="Palatino Linotype" w:hAnsi="Palatino Linotype"/>
                <w:color w:val="000000" w:themeColor="text1"/>
                <w:sz w:val="20"/>
                <w:szCs w:val="20"/>
              </w:rPr>
              <w:t>.</w:t>
            </w:r>
            <w:r w:rsidRPr="00141BD5">
              <w:rPr>
                <w:rStyle w:val="FootnoteReference"/>
                <w:rFonts w:ascii="Palatino Linotype" w:hAnsi="Palatino Linotype"/>
                <w:color w:val="000000" w:themeColor="text1"/>
                <w:sz w:val="20"/>
                <w:szCs w:val="20"/>
              </w:rPr>
              <w:footnoteReference w:id="249"/>
            </w:r>
          </w:p>
        </w:tc>
        <w:tc>
          <w:tcPr>
            <w:tcW w:w="4599" w:type="dxa"/>
          </w:tcPr>
          <w:p w:rsidRPr="00913AE4" w:rsidR="00F84F28" w:rsidRDefault="00F84F28" w14:paraId="73BC075F"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PG&amp;E states that “low-carbon RD&amp;D projects can play a crucial role in supporting California's aggressive zero carbon goals by acting as a transitional bridge between the current energy landscape and a zero- or -low carbon future. Consistent with CPUC guidance, these investments are structured to align with active Commission proceedings and to prioritize affordability for ratepayers, particularly with respect to RNG, while carefully evaluating the appropriate role of gas ratepayers in funding hydrogen-related RD&amp;D. These projects can </w:t>
            </w:r>
            <w:r w:rsidRPr="00913AE4">
              <w:rPr>
                <w:rFonts w:ascii="Palatino Linotype" w:hAnsi="Palatino Linotype" w:eastAsia="Palatino Linotype" w:cs="Times New Roman"/>
                <w:color w:val="000000" w:themeColor="text1"/>
                <w:sz w:val="20"/>
                <w:szCs w:val="20"/>
              </w:rPr>
              <w:lastRenderedPageBreak/>
              <w:t xml:space="preserve">address immediate emission reductions while laying the groundwork for more comprehensive, long-term decarbonization strategies.” PG&amp;E argues that: </w:t>
            </w:r>
          </w:p>
          <w:p w:rsidRPr="00913AE4" w:rsidR="00F84F28" w:rsidP="00F84F28" w:rsidRDefault="00F84F28" w14:paraId="0F73CA91"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Low-carbon projects which provide incremental methane emissions reductions from existing gas infrastructure and operations “still represent a substantial improvement over current emission </w:t>
            </w:r>
            <w:proofErr w:type="gramStart"/>
            <w:r w:rsidRPr="00913AE4">
              <w:rPr>
                <w:rFonts w:ascii="Palatino Linotype" w:hAnsi="Palatino Linotype" w:eastAsia="Palatino Linotype" w:cs="Times New Roman"/>
                <w:color w:val="000000" w:themeColor="text1"/>
                <w:sz w:val="20"/>
                <w:szCs w:val="20"/>
              </w:rPr>
              <w:t>levels</w:t>
            </w:r>
            <w:proofErr w:type="gramEnd"/>
            <w:r w:rsidRPr="00913AE4">
              <w:rPr>
                <w:rFonts w:ascii="Palatino Linotype" w:hAnsi="Palatino Linotype" w:eastAsia="Palatino Linotype" w:cs="Times New Roman"/>
                <w:color w:val="000000" w:themeColor="text1"/>
                <w:sz w:val="20"/>
                <w:szCs w:val="20"/>
              </w:rPr>
              <w:t>.”</w:t>
            </w:r>
          </w:p>
          <w:p w:rsidRPr="00913AE4" w:rsidR="00F84F28" w:rsidP="00F84F28" w:rsidRDefault="00F84F28" w14:paraId="682EC450"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fuels can be integrated into the existing gas infrastructure, providing an immediate reduction in emissions while maintaining energy reliability and affordability.”</w:t>
            </w:r>
          </w:p>
          <w:p w:rsidRPr="00913AE4" w:rsidR="00F84F28" w:rsidP="00F84F28" w:rsidRDefault="00F84F28" w14:paraId="652E0E45"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“By developing low-carbon solutions that can be implemented within the existing energy framework, utilities can attempt to avoid economic disruption that might accompany a rapid shift to zero-carbon technologies.”</w:t>
            </w:r>
          </w:p>
          <w:p w:rsidRPr="00913AE4" w:rsidR="00F84F28" w:rsidP="00F84F28" w:rsidRDefault="00F84F28" w14:paraId="32E66BC5"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projects can “allow for the gradual adaptation of infrastructure, market mechanisms, and consumer behavior.”</w:t>
            </w:r>
          </w:p>
          <w:p w:rsidRPr="00913AE4" w:rsidR="00F84F28" w:rsidP="00F84F28" w:rsidRDefault="00F84F28" w14:paraId="4CC14453"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R&amp;D projects align with state policies that mandate gradual emission reductions and support for renewable energy sources.”</w:t>
            </w:r>
            <w:r w:rsidRPr="00913AE4">
              <w:rPr>
                <w:rStyle w:val="FootnoteReference"/>
                <w:rFonts w:ascii="Palatino Linotype" w:hAnsi="Palatino Linotype" w:eastAsia="Palatino Linotype" w:cs="Times New Roman"/>
                <w:color w:val="000000" w:themeColor="text1"/>
                <w:sz w:val="20"/>
                <w:szCs w:val="20"/>
              </w:rPr>
              <w:footnoteReference w:id="250"/>
            </w:r>
          </w:p>
        </w:tc>
        <w:tc>
          <w:tcPr>
            <w:tcW w:w="4681" w:type="dxa"/>
          </w:tcPr>
          <w:p w:rsidRPr="00711B05" w:rsidR="00F84F28" w:rsidRDefault="00F84F28" w14:paraId="2D67033D" w14:textId="06243EAE">
            <w:pPr>
              <w:rPr>
                <w:rFonts w:ascii="Palatino Linotype" w:hAnsi="Palatino Linotype"/>
                <w:b/>
                <w:bCs w:val="0"/>
                <w:color w:val="A6A6A6" w:themeColor="background1" w:themeShade="A6"/>
                <w:sz w:val="20"/>
                <w:szCs w:val="20"/>
              </w:rPr>
            </w:pPr>
            <w:r w:rsidRPr="00711B05">
              <w:rPr>
                <w:rFonts w:ascii="Palatino Linotype" w:hAnsi="Palatino Linotype"/>
                <w:color w:val="000000" w:themeColor="text1"/>
                <w:sz w:val="20"/>
                <w:szCs w:val="20"/>
              </w:rPr>
              <w:lastRenderedPageBreak/>
              <w:t>PG&amp;E sufficiently articulates how it seeks to develop low-carbon projects to support California’s zero-carbon goals while providing ratepayer benefit</w:t>
            </w:r>
            <w:r w:rsidR="000864DF">
              <w:rPr>
                <w:rFonts w:ascii="Palatino Linotype" w:hAnsi="Palatino Linotype"/>
                <w:color w:val="000000" w:themeColor="text1"/>
                <w:sz w:val="20"/>
                <w:szCs w:val="20"/>
              </w:rPr>
              <w:t>s</w:t>
            </w:r>
            <w:r w:rsidRPr="00711B05">
              <w:rPr>
                <w:rFonts w:ascii="Palatino Linotype" w:hAnsi="Palatino Linotype"/>
                <w:color w:val="000000" w:themeColor="text1"/>
                <w:sz w:val="20"/>
                <w:szCs w:val="20"/>
              </w:rPr>
              <w:t xml:space="preserve"> such as reliability and affordability. </w:t>
            </w:r>
            <w:r w:rsidRPr="00711B05">
              <w:rPr>
                <w:rFonts w:ascii="Palatino Linotype" w:hAnsi="Palatino Linotype"/>
                <w:b/>
                <w:bCs w:val="0"/>
                <w:color w:val="000000" w:themeColor="text1"/>
                <w:sz w:val="20"/>
                <w:szCs w:val="20"/>
              </w:rPr>
              <w:t>PG&amp;E is compliant with this requirement.</w:t>
            </w:r>
          </w:p>
        </w:tc>
      </w:tr>
      <w:tr w:rsidR="00F84F28" w14:paraId="4DE2C0DD" w14:textId="77777777">
        <w:tc>
          <w:tcPr>
            <w:tcW w:w="3675" w:type="dxa"/>
          </w:tcPr>
          <w:p w:rsidRPr="00E832E8" w:rsidR="00F84F28" w:rsidRDefault="00F84F28" w14:paraId="22F973A7" w14:textId="77777777">
            <w:pPr>
              <w:rPr>
                <w:rFonts w:ascii="Palatino Linotype" w:hAnsi="Palatino Linotype"/>
                <w:i/>
                <w:iCs/>
                <w:color w:val="000000" w:themeColor="text1"/>
                <w:sz w:val="20"/>
                <w:szCs w:val="20"/>
              </w:rPr>
            </w:pPr>
            <w:hyperlink w:history="1" r:id="rId39">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(5)</w:t>
            </w:r>
            <w:r>
              <w:rPr>
                <w:rFonts w:ascii="Palatino Linotype" w:hAnsi="Palatino Linotype"/>
                <w:i/>
                <w:iCs/>
                <w:color w:val="000000" w:themeColor="text1"/>
                <w:sz w:val="20"/>
                <w:szCs w:val="20"/>
              </w:rPr>
              <w:t xml:space="preserve"> </w:t>
            </w:r>
            <w:r w:rsidRPr="00B97E19">
              <w:rPr>
                <w:rFonts w:ascii="Palatino Linotype" w:hAnsi="Palatino Linotype"/>
                <w:i/>
                <w:iCs/>
                <w:color w:val="000000" w:themeColor="text1"/>
                <w:sz w:val="20"/>
                <w:szCs w:val="20"/>
              </w:rPr>
              <w:t>The annual research plan should include information on funds encumbered, spent, and unspent. The plan should also outline co-funding and collaborative partners and explain how P&amp;GE engages with diverse academic populations. Further, PG&amp;E should describe how its research plan will benefit underserved communities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251"/>
            </w:r>
          </w:p>
        </w:tc>
        <w:tc>
          <w:tcPr>
            <w:tcW w:w="4599" w:type="dxa"/>
          </w:tcPr>
          <w:p w:rsidRPr="00913AE4" w:rsidR="00F84F28" w:rsidRDefault="00F84F28" w14:paraId="56D68FC1" w14:textId="77777777">
            <w:pPr>
              <w:rPr>
                <w:rFonts w:ascii="Palatino Linotype" w:hAnsi="Palatino Linotype"/>
                <w:color w:val="000000" w:themeColor="text1"/>
                <w:sz w:val="20"/>
                <w:szCs w:val="20"/>
              </w:rPr>
            </w:pPr>
            <w:r w:rsidRPr="00913AE4">
              <w:rPr>
                <w:rFonts w:ascii="Palatino Linotype" w:hAnsi="Palatino Linotype" w:eastAsia="Palatino Linotype" w:cs="Times New Roman"/>
                <w:color w:val="000000" w:themeColor="text1"/>
                <w:sz w:val="20"/>
                <w:szCs w:val="20"/>
              </w:rPr>
              <w:t>PG&amp;E conducted targeted interviews with six different organizations in 2025, including University of California Riverside and Irvine.</w:t>
            </w:r>
            <w:r w:rsidRPr="00913AE4">
              <w:rPr>
                <w:rStyle w:val="FootnoteReference"/>
                <w:rFonts w:ascii="Palatino Linotype" w:hAnsi="Palatino Linotype" w:eastAsia="Palatino Linotype" w:cs="Times New Roman"/>
                <w:color w:val="000000" w:themeColor="text1"/>
                <w:sz w:val="20"/>
                <w:szCs w:val="20"/>
              </w:rPr>
              <w:footnoteReference w:id="252"/>
            </w:r>
            <w:r w:rsidRPr="00913AE4">
              <w:rPr>
                <w:rFonts w:ascii="Palatino Linotype" w:hAnsi="Palatino Linotype" w:eastAsia="Palatino Linotype" w:cs="Times New Roman"/>
                <w:color w:val="000000" w:themeColor="text1"/>
                <w:sz w:val="20"/>
                <w:szCs w:val="20"/>
              </w:rPr>
              <w:t xml:space="preserve"> PG&amp;E describes its collaborative partners, including public agencies, research consortia, national laboratories, and universities.</w:t>
            </w:r>
            <w:r w:rsidRPr="00913AE4">
              <w:rPr>
                <w:rStyle w:val="FootnoteReference"/>
                <w:rFonts w:ascii="Palatino Linotype" w:hAnsi="Palatino Linotype" w:eastAsia="Palatino Linotype" w:cs="Times New Roman"/>
                <w:color w:val="000000" w:themeColor="text1"/>
                <w:sz w:val="20"/>
                <w:szCs w:val="20"/>
              </w:rPr>
              <w:footnoteReference w:id="253"/>
            </w:r>
            <w:r w:rsidRPr="00913AE4">
              <w:rPr>
                <w:rFonts w:ascii="Palatino Linotype" w:hAnsi="Palatino Linotype" w:eastAsia="Palatino Linotype" w:cs="Times New Roman"/>
                <w:color w:val="000000" w:themeColor="text1"/>
                <w:sz w:val="20"/>
                <w:szCs w:val="20"/>
              </w:rPr>
              <w:t xml:space="preserve"> PG&amp;E describes its coordination with Gas RD&amp;D administrators, including bi-weekly coordination meetings,</w:t>
            </w:r>
            <w:r w:rsidRPr="00913AE4">
              <w:rPr>
                <w:rStyle w:val="FootnoteReference"/>
                <w:rFonts w:ascii="Palatino Linotype" w:hAnsi="Palatino Linotype" w:eastAsia="Palatino Linotype" w:cs="Times New Roman"/>
                <w:color w:val="000000" w:themeColor="text1"/>
                <w:sz w:val="20"/>
                <w:szCs w:val="20"/>
              </w:rPr>
              <w:footnoteReference w:id="254"/>
            </w:r>
            <w:r w:rsidRPr="00913AE4">
              <w:rPr>
                <w:rFonts w:ascii="Palatino Linotype" w:hAnsi="Palatino Linotype" w:eastAsia="Palatino Linotype" w:cs="Times New Roman"/>
                <w:color w:val="000000" w:themeColor="text1"/>
                <w:sz w:val="20"/>
                <w:szCs w:val="20"/>
              </w:rPr>
              <w:t> and describes “engagements [which] informed how the proposed Gas RD&amp;D research can appropriately leverage, translate, and build upon existing electrification and gas decommissioning analyses supported by the Commission and the CEC, while maintaining PG&amp;E’s role as a downstream analytical contributor and avoiding duplication of Commission- or CEC-administered research activities.”</w:t>
            </w:r>
            <w:r w:rsidRPr="00913AE4">
              <w:rPr>
                <w:rStyle w:val="FootnoteReference"/>
                <w:rFonts w:ascii="Palatino Linotype" w:hAnsi="Palatino Linotype" w:eastAsia="Palatino Linotype" w:cs="Times New Roman"/>
                <w:color w:val="000000" w:themeColor="text1"/>
                <w:sz w:val="20"/>
                <w:szCs w:val="20"/>
              </w:rPr>
              <w:footnoteReference w:id="255"/>
            </w:r>
            <w:r w:rsidRPr="00913AE4">
              <w:rPr>
                <w:rFonts w:ascii="Palatino Linotype" w:hAnsi="Palatino Linotype" w:eastAsia="Palatino Linotype" w:cs="Times New Roman"/>
                <w:color w:val="000000" w:themeColor="text1"/>
                <w:sz w:val="20"/>
                <w:szCs w:val="20"/>
              </w:rPr>
              <w:t xml:space="preserve"> </w:t>
            </w:r>
            <w:r w:rsidRPr="00913AE4">
              <w:rPr>
                <w:rFonts w:ascii="Palatino Linotype" w:hAnsi="Palatino Linotype"/>
                <w:color w:val="000000" w:themeColor="text1"/>
                <w:sz w:val="20"/>
                <w:szCs w:val="20"/>
              </w:rPr>
              <w:t>PG&amp;E states that it intends to lead and fully fund each project in its Project List.</w:t>
            </w:r>
            <w:r w:rsidRPr="00913AE4">
              <w:rPr>
                <w:rStyle w:val="FootnoteReference"/>
                <w:rFonts w:ascii="Palatino Linotype" w:hAnsi="Palatino Linotype"/>
                <w:color w:val="000000" w:themeColor="text1"/>
                <w:sz w:val="20"/>
                <w:szCs w:val="20"/>
              </w:rPr>
              <w:footnoteReference w:id="256"/>
            </w:r>
            <w:r w:rsidRPr="00913AE4">
              <w:rPr>
                <w:rFonts w:ascii="Palatino Linotype" w:hAnsi="Palatino Linotype" w:eastAsia="Palatino Linotype" w:cs="Times New Roman"/>
                <w:color w:val="000000" w:themeColor="text1"/>
                <w:sz w:val="20"/>
                <w:szCs w:val="20"/>
              </w:rPr>
              <w:t xml:space="preserve"> See PG&amp;E Response in AL 5197-G to </w:t>
            </w:r>
            <w:hyperlink w:tgtFrame="_blank" w:history="1" r:id="rId40">
              <w:r w:rsidRPr="00913AE4">
                <w:rPr>
                  <w:rStyle w:val="Hyperlink"/>
                  <w:rFonts w:ascii="Palatino Linotype" w:hAnsi="Palatino Linotype" w:eastAsia="Palatino Linotype" w:cs="Times New Roman"/>
                  <w:bCs w:val="0"/>
                  <w:color w:val="000000" w:themeColor="text1"/>
                  <w:sz w:val="20"/>
                  <w:szCs w:val="20"/>
                </w:rPr>
                <w:t>D.23-11-069</w:t>
              </w:r>
            </w:hyperlink>
            <w:r w:rsidRPr="00913AE4">
              <w:rPr>
                <w:rFonts w:ascii="Palatino Linotype" w:hAnsi="Palatino Linotype" w:eastAsia="Palatino Linotype" w:cs="Times New Roman"/>
                <w:color w:val="000000" w:themeColor="text1"/>
                <w:sz w:val="20"/>
                <w:szCs w:val="20"/>
              </w:rPr>
              <w:t> at (2) for information on intended benefits from each Initiative, including to underserved communities.</w:t>
            </w:r>
          </w:p>
        </w:tc>
        <w:tc>
          <w:tcPr>
            <w:tcW w:w="4681" w:type="dxa"/>
          </w:tcPr>
          <w:p w:rsidRPr="00711B05" w:rsidR="00F84F28" w:rsidRDefault="00F84F28" w14:paraId="0055C0E6" w14:textId="715B5415">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 xml:space="preserve">PG&amp;E details collaboration with other Gas RD&amp;D administrators and entities. PG&amp;E includes </w:t>
            </w:r>
            <w:proofErr w:type="gramStart"/>
            <w:r w:rsidRPr="00711B05">
              <w:rPr>
                <w:rFonts w:ascii="Palatino Linotype" w:hAnsi="Palatino Linotype"/>
                <w:color w:val="000000" w:themeColor="text1"/>
                <w:sz w:val="20"/>
                <w:szCs w:val="20"/>
              </w:rPr>
              <w:t>detail</w:t>
            </w:r>
            <w:proofErr w:type="gramEnd"/>
            <w:r w:rsidRPr="00711B05">
              <w:rPr>
                <w:rFonts w:ascii="Palatino Linotype" w:hAnsi="Palatino Linotype"/>
                <w:color w:val="000000" w:themeColor="text1"/>
                <w:sz w:val="20"/>
                <w:szCs w:val="20"/>
              </w:rPr>
              <w:t xml:space="preserve"> at the Initiative level on its intended role for each project. PG&amp;E has not had any Gas RD&amp;D funding approved via Resolution since D.23-11-069 was issued and therefore appropriately reports $0 in spent</w:t>
            </w:r>
            <w:r w:rsidR="00EB1554">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funds. PG&amp;E discusses anticipated benefits to underserved communities for each Initiative: See Compliance Assessment of </w:t>
            </w:r>
            <w:hyperlink w:tgtFrame="_blank" w:history="1" r:id="rId41">
              <w:r w:rsidRPr="00711B05">
                <w:rPr>
                  <w:rStyle w:val="Hyperlink"/>
                  <w:rFonts w:ascii="Palatino Linotype" w:hAnsi="Palatino Linotype"/>
                  <w:sz w:val="20"/>
                  <w:szCs w:val="20"/>
                </w:rPr>
                <w:t>D.23-11-069</w:t>
              </w:r>
            </w:hyperlink>
            <w:r w:rsidRPr="00711B05">
              <w:rPr>
                <w:rFonts w:ascii="Palatino Linotype" w:hAnsi="Palatino Linotype"/>
                <w:color w:val="000000" w:themeColor="text1"/>
                <w:sz w:val="20"/>
                <w:szCs w:val="20"/>
              </w:rPr>
              <w:t xml:space="preserve"> at (2). </w:t>
            </w:r>
            <w:r w:rsidRPr="00711B05">
              <w:rPr>
                <w:rFonts w:ascii="Palatino Linotype" w:hAnsi="Palatino Linotype"/>
                <w:b/>
                <w:color w:val="000000" w:themeColor="text1"/>
                <w:sz w:val="20"/>
                <w:szCs w:val="20"/>
              </w:rPr>
              <w:t>PG&amp;E is compliant with this requirement.</w:t>
            </w:r>
          </w:p>
          <w:p w:rsidRPr="00711B05" w:rsidR="00F84F28" w:rsidRDefault="00F84F28" w14:paraId="74D5EC9A" w14:textId="77777777">
            <w:pPr>
              <w:rPr>
                <w:rFonts w:ascii="Palatino Linotype" w:hAnsi="Palatino Linotype"/>
                <w:color w:val="000000" w:themeColor="text1"/>
                <w:sz w:val="20"/>
                <w:szCs w:val="20"/>
              </w:rPr>
            </w:pPr>
          </w:p>
        </w:tc>
      </w:tr>
      <w:tr w:rsidR="00F84F28" w14:paraId="76CB9D7C" w14:textId="77777777">
        <w:tc>
          <w:tcPr>
            <w:tcW w:w="3675" w:type="dxa"/>
          </w:tcPr>
          <w:p w:rsidRPr="00B97E19" w:rsidR="00F84F28" w:rsidRDefault="00F84F28" w14:paraId="0F0DBC53" w14:textId="77777777">
            <w:pPr>
              <w:rPr>
                <w:rFonts w:ascii="Palatino Linotype" w:hAnsi="Palatino Linotype"/>
                <w:i/>
                <w:iCs/>
                <w:color w:val="000000" w:themeColor="text1"/>
                <w:sz w:val="20"/>
                <w:szCs w:val="20"/>
              </w:rPr>
            </w:pPr>
            <w:hyperlink w:history="1" r:id="rId42">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(6)</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hold an annual workshop prior to submitting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 xml:space="preserve">its </w:t>
            </w:r>
            <w:r w:rsidRPr="00340B6D">
              <w:rPr>
                <w:rFonts w:ascii="Palatino Linotype" w:hAnsi="Palatino Linotype"/>
                <w:i/>
                <w:iCs/>
                <w:color w:val="000000" w:themeColor="text1"/>
                <w:sz w:val="20"/>
                <w:szCs w:val="20"/>
              </w:rPr>
              <w:lastRenderedPageBreak/>
              <w:t>Tier 3 Advice Letter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Investment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Plan and shall consult with Energy Division to develop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the workshop agenda. The annual workshop shall be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held at least 90 days before submitting its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research plan to the CPUC to allow sufficient time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to incorporate stakeholder feedback. At these workshops,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present the results of the previous year’s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program and obtain input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regarding its proposed</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spending for the following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calendar year. The workshop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shall follow the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guidance of D.19-09-051 Ordering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Paragraph 30</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t xml:space="preserve"> </w:t>
            </w:r>
            <w:r>
              <w:rPr>
                <w:rStyle w:val="FootnoteReference"/>
                <w:rFonts w:ascii="Palatino Linotype" w:hAnsi="Palatino Linotype"/>
                <w:i/>
                <w:iCs/>
                <w:color w:val="000000" w:themeColor="text1"/>
                <w:sz w:val="20"/>
                <w:szCs w:val="20"/>
              </w:rPr>
              <w:footnoteReference w:id="257"/>
            </w:r>
          </w:p>
        </w:tc>
        <w:tc>
          <w:tcPr>
            <w:tcW w:w="4599" w:type="dxa"/>
          </w:tcPr>
          <w:p w:rsidR="00F84F28" w:rsidRDefault="00F84F28" w14:paraId="1CFE6E0F" w14:textId="77777777">
            <w:pPr>
              <w:rPr>
                <w:rFonts w:ascii="Palatino Linotype" w:hAnsi="Palatino Linotype"/>
                <w:sz w:val="20"/>
                <w:szCs w:val="20"/>
              </w:rPr>
            </w:pPr>
            <w:r w:rsidRPr="0032527A">
              <w:rPr>
                <w:rFonts w:ascii="Palatino Linotype" w:hAnsi="Palatino Linotype" w:eastAsia="Palatino Linotype" w:cs="Times New Roman"/>
                <w:sz w:val="20"/>
                <w:szCs w:val="20"/>
              </w:rPr>
              <w:lastRenderedPageBreak/>
              <w:t xml:space="preserve">PG&amp;E held </w:t>
            </w:r>
            <w:r>
              <w:rPr>
                <w:rFonts w:ascii="Palatino Linotype" w:hAnsi="Palatino Linotype" w:eastAsia="Palatino Linotype" w:cs="Times New Roman"/>
                <w:sz w:val="20"/>
                <w:szCs w:val="20"/>
              </w:rPr>
              <w:t xml:space="preserve">an </w:t>
            </w:r>
            <w:r w:rsidRPr="00164C5A">
              <w:rPr>
                <w:rFonts w:ascii="Palatino Linotype" w:hAnsi="Palatino Linotype" w:eastAsia="Palatino Linotype" w:cs="Times New Roman"/>
                <w:color w:val="000000" w:themeColor="text1"/>
                <w:sz w:val="20"/>
                <w:szCs w:val="20"/>
              </w:rPr>
              <w:t xml:space="preserve">annual workshop prior to submitting its 2025 Plan on April 15, 2025, </w:t>
            </w:r>
            <w:r w:rsidRPr="00164C5A">
              <w:rPr>
                <w:rFonts w:ascii="Palatino Linotype" w:hAnsi="Palatino Linotype" w:eastAsia="Palatino Linotype" w:cs="Times New Roman"/>
                <w:color w:val="000000" w:themeColor="text1"/>
                <w:sz w:val="20"/>
                <w:szCs w:val="20"/>
              </w:rPr>
              <w:lastRenderedPageBreak/>
              <w:t xml:space="preserve">presenting </w:t>
            </w:r>
            <w:r w:rsidRPr="0032527A">
              <w:rPr>
                <w:rFonts w:ascii="Palatino Linotype" w:hAnsi="Palatino Linotype" w:eastAsia="Palatino Linotype" w:cs="Times New Roman"/>
                <w:sz w:val="20"/>
                <w:szCs w:val="20"/>
              </w:rPr>
              <w:t>the results of the previous year’s program and obtaining input regarding its proposed funding allocations for the following year.</w:t>
            </w:r>
            <w:r w:rsidRPr="008D213B">
              <w:rPr>
                <w:rFonts w:ascii="Palatino Linotype" w:hAnsi="Palatino Linotype"/>
                <w:color w:val="000000" w:themeColor="text1"/>
                <w:sz w:val="20"/>
                <w:szCs w:val="20"/>
              </w:rPr>
              <w:t xml:space="preserve"> PG&amp;E includes high-level summaries from interviews and incorporation strategies</w:t>
            </w:r>
            <w:r w:rsidRPr="005925C3">
              <w:rPr>
                <w:rFonts w:ascii="Palatino Linotype" w:hAnsi="Palatino Linotype"/>
                <w:sz w:val="20"/>
                <w:szCs w:val="20"/>
              </w:rPr>
              <w:t>.</w:t>
            </w:r>
            <w:r>
              <w:rPr>
                <w:rStyle w:val="FootnoteReference"/>
                <w:rFonts w:ascii="Palatino Linotype" w:hAnsi="Palatino Linotype"/>
                <w:sz w:val="20"/>
                <w:szCs w:val="20"/>
              </w:rPr>
              <w:footnoteReference w:id="258"/>
            </w:r>
          </w:p>
          <w:p w:rsidRPr="0032527A" w:rsidR="00F84F28" w:rsidRDefault="00F84F28" w14:paraId="67D0E7E0" w14:textId="77777777">
            <w:pPr>
              <w:rPr>
                <w:rFonts w:ascii="Palatino Linotype" w:hAnsi="Palatino Linotype" w:eastAsia="Palatino Linotype" w:cs="Times New Roman"/>
                <w:sz w:val="20"/>
                <w:szCs w:val="20"/>
              </w:rPr>
            </w:pPr>
          </w:p>
        </w:tc>
        <w:tc>
          <w:tcPr>
            <w:tcW w:w="4681" w:type="dxa"/>
          </w:tcPr>
          <w:p w:rsidRPr="00711B05" w:rsidR="00F84F28" w:rsidRDefault="00F84F28" w14:paraId="545C5F94"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CPUC granted PG&amp;E an extension to hold the workshop less than 90 days in advance of Plan </w:t>
            </w:r>
            <w:r w:rsidRPr="00711B05">
              <w:rPr>
                <w:rFonts w:ascii="Palatino Linotype" w:hAnsi="Palatino Linotype" w:eastAsia="Palatino Linotype" w:cs="Times New Roman"/>
                <w:color w:val="000000" w:themeColor="text1"/>
                <w:sz w:val="20"/>
                <w:szCs w:val="20"/>
              </w:rPr>
              <w:lastRenderedPageBreak/>
              <w:t xml:space="preserve">submittal. PG&amp;E engaged relevant, diverse stakeholders in its Annual Workshop held on March 31, 2025. </w:t>
            </w:r>
            <w:r w:rsidRPr="00711B05">
              <w:rPr>
                <w:rFonts w:ascii="Palatino Linotype" w:hAnsi="Palatino Linotype"/>
                <w:b/>
                <w:bCs w:val="0"/>
                <w:color w:val="000000" w:themeColor="text1"/>
                <w:sz w:val="20"/>
                <w:szCs w:val="20"/>
              </w:rPr>
              <w:t>PG&amp;E is compliant with this requirement.</w:t>
            </w:r>
          </w:p>
        </w:tc>
      </w:tr>
      <w:tr w:rsidR="00F84F28" w14:paraId="60891AE6" w14:textId="77777777">
        <w:tc>
          <w:tcPr>
            <w:tcW w:w="3675" w:type="dxa"/>
          </w:tcPr>
          <w:p w:rsidR="00F84F28" w:rsidRDefault="00F84F28" w14:paraId="7C658D63" w14:textId="77777777">
            <w:pPr>
              <w:rPr>
                <w:rFonts w:ascii="Palatino Linotype" w:hAnsi="Palatino Linotype"/>
                <w:i/>
                <w:iCs/>
                <w:color w:val="000000" w:themeColor="text1"/>
                <w:sz w:val="20"/>
                <w:szCs w:val="20"/>
              </w:rPr>
            </w:pPr>
            <w:hyperlink w:history="1" r:id="rId43">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(7)</w:t>
            </w:r>
            <w:r w:rsidRPr="00DE44B1">
              <w:rPr>
                <w:rFonts w:ascii="Palatino Linotype" w:hAnsi="Palatino Linotype"/>
                <w:i/>
                <w:iCs/>
                <w:color w:val="000000" w:themeColor="text1"/>
                <w:sz w:val="20"/>
                <w:szCs w:val="20"/>
              </w:rPr>
              <w:t xml:space="preserve"> Prior to the workshop, PG&amp;E should submit its RD&amp;D annual report to Energy Division staff describing prior years’ RD&amp;D program including a summary of ongoing and completed projects; funds expended, funding recipients, and leveraged funding; and an explanation of the process used for selecting RD&amp;D project areas as well as </w:t>
            </w:r>
            <w:r w:rsidRPr="00DE44B1">
              <w:rPr>
                <w:rFonts w:ascii="Palatino Linotype" w:hAnsi="Palatino Linotype"/>
                <w:i/>
                <w:iCs/>
                <w:color w:val="000000" w:themeColor="text1"/>
                <w:sz w:val="20"/>
                <w:szCs w:val="20"/>
              </w:rPr>
              <w:lastRenderedPageBreak/>
              <w:t>the structure of PG&amp;E’s RD&amp;D portfolio.</w:t>
            </w:r>
            <w:r w:rsidRPr="00DE44B1">
              <w:rPr>
                <w:rStyle w:val="FootnoteReference"/>
                <w:rFonts w:ascii="Palatino Linotype" w:hAnsi="Palatino Linotype"/>
                <w:i/>
                <w:iCs/>
                <w:color w:val="000000" w:themeColor="text1"/>
                <w:sz w:val="20"/>
                <w:szCs w:val="20"/>
              </w:rPr>
              <w:footnoteReference w:id="259"/>
            </w:r>
            <w:r>
              <w:rPr>
                <w:rFonts w:ascii="Palatino Linotype" w:hAnsi="Palatino Linotype"/>
                <w:i/>
                <w:iCs/>
                <w:color w:val="000000" w:themeColor="text1"/>
                <w:sz w:val="20"/>
                <w:szCs w:val="20"/>
              </w:rPr>
              <w:t xml:space="preserve"> </w:t>
            </w:r>
          </w:p>
          <w:p w:rsidR="00F84F28" w:rsidRDefault="00F84F28" w14:paraId="5EEE0C2B" w14:textId="77777777">
            <w:pPr>
              <w:rPr>
                <w:rFonts w:ascii="Palatino Linotype" w:hAnsi="Palatino Linotype"/>
                <w:i/>
                <w:iCs/>
                <w:color w:val="000000" w:themeColor="text1"/>
                <w:sz w:val="20"/>
                <w:szCs w:val="20"/>
              </w:rPr>
            </w:pPr>
          </w:p>
          <w:p w:rsidR="00F84F28" w:rsidRDefault="00F84F28" w14:paraId="6D55BB8A" w14:textId="77777777">
            <w:pPr>
              <w:rPr>
                <w:rFonts w:ascii="Palatino Linotype" w:hAnsi="Palatino Linotype"/>
                <w:i/>
                <w:iCs/>
                <w:color w:val="000000" w:themeColor="text1"/>
                <w:sz w:val="20"/>
                <w:szCs w:val="20"/>
              </w:rPr>
            </w:pPr>
            <w:r w:rsidRPr="00AB697C">
              <w:rPr>
                <w:rFonts w:ascii="Palatino Linotype" w:hAnsi="Palatino Linotype"/>
                <w:color w:val="000000" w:themeColor="text1"/>
                <w:sz w:val="20"/>
                <w:szCs w:val="20"/>
              </w:rPr>
              <w:t>See also: </w:t>
            </w:r>
            <w:hyperlink w:tgtFrame="_blank" w:history="1" r:id="rId44">
              <w:r w:rsidRPr="00AB697C">
                <w:rPr>
                  <w:rStyle w:val="Hyperlink"/>
                  <w:rFonts w:ascii="Palatino Linotype" w:hAnsi="Palatino Linotype"/>
                  <w:bCs w:val="0"/>
                  <w:sz w:val="20"/>
                  <w:szCs w:val="20"/>
                </w:rPr>
                <w:t>Resolution G-3618</w:t>
              </w:r>
            </w:hyperlink>
            <w:r w:rsidRPr="00AB697C">
              <w:rPr>
                <w:rFonts w:ascii="Palatino Linotype" w:hAnsi="Palatino Linotype"/>
                <w:color w:val="000000" w:themeColor="text1"/>
                <w:sz w:val="20"/>
                <w:szCs w:val="20"/>
              </w:rPr>
              <w:t> at p. 19:</w:t>
            </w:r>
            <w:r w:rsidRPr="00AB697C">
              <w:rPr>
                <w:rFonts w:ascii="Palatino Linotype" w:hAnsi="Palatino Linotype"/>
                <w:i/>
                <w:iCs/>
                <w:color w:val="000000" w:themeColor="text1"/>
                <w:sz w:val="20"/>
                <w:szCs w:val="20"/>
              </w:rPr>
              <w:t> For clarity in reporting, PG&amp;E</w:t>
            </w:r>
            <w:r>
              <w:rPr>
                <w:rFonts w:ascii="Palatino Linotype" w:hAnsi="Palatino Linotype"/>
                <w:i/>
                <w:iCs/>
                <w:color w:val="000000" w:themeColor="text1"/>
                <w:sz w:val="20"/>
                <w:szCs w:val="20"/>
              </w:rPr>
              <w:t xml:space="preserve"> </w:t>
            </w:r>
            <w:r w:rsidRPr="00AB697C">
              <w:rPr>
                <w:rFonts w:ascii="Palatino Linotype" w:hAnsi="Palatino Linotype"/>
                <w:i/>
                <w:iCs/>
                <w:color w:val="000000" w:themeColor="text1"/>
                <w:sz w:val="20"/>
                <w:szCs w:val="20"/>
              </w:rPr>
              <w:t>shall indicate which projects have been funded via previous GRC cycles or other funding mechanisms as these are not affiliated with Investment Plans approved within this Gas RD&amp;D Program. </w:t>
            </w:r>
          </w:p>
        </w:tc>
        <w:tc>
          <w:tcPr>
            <w:tcW w:w="4599" w:type="dxa"/>
          </w:tcPr>
          <w:p w:rsidRPr="00C029EB" w:rsidR="00F84F28" w:rsidRDefault="00F84F28" w14:paraId="0D0888E2"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lastRenderedPageBreak/>
              <w:t>PG&amp;E submitted its 2024 Gas RD&amp;D Annual Report on March 31, 2025, prior to holding its Annual Workshop on April 15, 2025. PG&amp;E provided a summary of ongoing and completed projects,</w:t>
            </w:r>
            <w:r w:rsidRPr="00C029EB">
              <w:rPr>
                <w:rStyle w:val="FootnoteReference"/>
                <w:rFonts w:ascii="Palatino Linotype" w:hAnsi="Palatino Linotype" w:eastAsia="Palatino Linotype" w:cs="Times New Roman"/>
                <w:color w:val="000000" w:themeColor="text1"/>
                <w:sz w:val="20"/>
                <w:szCs w:val="20"/>
              </w:rPr>
              <w:footnoteReference w:id="260"/>
            </w:r>
            <w:r w:rsidRPr="00C029EB">
              <w:rPr>
                <w:rFonts w:ascii="Palatino Linotype" w:hAnsi="Palatino Linotype" w:eastAsia="Palatino Linotype" w:cs="Times New Roman"/>
                <w:color w:val="000000" w:themeColor="text1"/>
                <w:sz w:val="20"/>
                <w:szCs w:val="20"/>
              </w:rPr>
              <w:t xml:space="preserve"> detailed $1,863,639 in funds expended,</w:t>
            </w:r>
            <w:r w:rsidRPr="00C029EB">
              <w:rPr>
                <w:rStyle w:val="FootnoteReference"/>
                <w:rFonts w:ascii="Palatino Linotype" w:hAnsi="Palatino Linotype" w:eastAsia="Palatino Linotype" w:cs="Times New Roman"/>
                <w:color w:val="000000" w:themeColor="text1"/>
                <w:sz w:val="20"/>
                <w:szCs w:val="20"/>
              </w:rPr>
              <w:footnoteReference w:id="261"/>
            </w:r>
            <w:r w:rsidRPr="00C029EB">
              <w:rPr>
                <w:rFonts w:ascii="Palatino Linotype" w:hAnsi="Palatino Linotype" w:eastAsia="Palatino Linotype" w:cs="Times New Roman"/>
                <w:color w:val="000000" w:themeColor="text1"/>
                <w:sz w:val="20"/>
                <w:szCs w:val="20"/>
              </w:rPr>
              <w:t xml:space="preserve"> listed 2024 funding recipients,</w:t>
            </w:r>
            <w:r w:rsidRPr="00C029EB">
              <w:rPr>
                <w:rStyle w:val="FootnoteReference"/>
                <w:rFonts w:ascii="Palatino Linotype" w:hAnsi="Palatino Linotype" w:eastAsia="Palatino Linotype" w:cs="Times New Roman"/>
                <w:color w:val="000000" w:themeColor="text1"/>
                <w:sz w:val="20"/>
                <w:szCs w:val="20"/>
              </w:rPr>
              <w:footnoteReference w:id="262"/>
            </w:r>
            <w:r w:rsidRPr="00C029EB">
              <w:rPr>
                <w:rFonts w:ascii="Palatino Linotype" w:hAnsi="Palatino Linotype" w:eastAsia="Palatino Linotype" w:cs="Times New Roman"/>
                <w:color w:val="000000" w:themeColor="text1"/>
                <w:sz w:val="20"/>
                <w:szCs w:val="20"/>
              </w:rPr>
              <w:t xml:space="preserve"> and described the process used for selecting projects</w:t>
            </w:r>
            <w:r w:rsidRPr="00C029EB">
              <w:rPr>
                <w:rStyle w:val="FootnoteReference"/>
                <w:rFonts w:ascii="Palatino Linotype" w:hAnsi="Palatino Linotype" w:eastAsia="Palatino Linotype" w:cs="Times New Roman"/>
                <w:color w:val="000000" w:themeColor="text1"/>
                <w:sz w:val="20"/>
                <w:szCs w:val="20"/>
              </w:rPr>
              <w:footnoteReference w:id="263"/>
            </w:r>
            <w:r w:rsidRPr="00C029EB">
              <w:rPr>
                <w:rFonts w:ascii="Palatino Linotype" w:hAnsi="Palatino Linotype" w:eastAsia="Palatino Linotype" w:cs="Times New Roman"/>
                <w:color w:val="000000" w:themeColor="text1"/>
                <w:sz w:val="20"/>
                <w:szCs w:val="20"/>
              </w:rPr>
              <w:t xml:space="preserve"> and structure of PG&amp;E’s Gas RD&amp;D portfolio.</w:t>
            </w:r>
            <w:r w:rsidRPr="00C029EB">
              <w:rPr>
                <w:rStyle w:val="FootnoteReference"/>
                <w:rFonts w:ascii="Palatino Linotype" w:hAnsi="Palatino Linotype" w:eastAsia="Palatino Linotype" w:cs="Times New Roman"/>
                <w:color w:val="000000" w:themeColor="text1"/>
                <w:sz w:val="20"/>
                <w:szCs w:val="20"/>
              </w:rPr>
              <w:footnoteReference w:id="264"/>
            </w:r>
            <w:r w:rsidRPr="00C029EB">
              <w:rPr>
                <w:rFonts w:ascii="Palatino Linotype" w:hAnsi="Palatino Linotype" w:eastAsia="Palatino Linotype" w:cs="Times New Roman"/>
                <w:color w:val="000000" w:themeColor="text1"/>
                <w:sz w:val="20"/>
                <w:szCs w:val="20"/>
              </w:rPr>
              <w:t xml:space="preserve"> PG&amp;E stated that “on average, every dollar of Gas RD&amp;D funding expended on </w:t>
            </w:r>
            <w:r w:rsidRPr="00C029EB">
              <w:rPr>
                <w:rFonts w:ascii="Palatino Linotype" w:hAnsi="Palatino Linotype" w:eastAsia="Palatino Linotype" w:cs="Times New Roman"/>
                <w:color w:val="000000" w:themeColor="text1"/>
                <w:sz w:val="20"/>
                <w:szCs w:val="20"/>
              </w:rPr>
              <w:lastRenderedPageBreak/>
              <w:t>projects is matched by $22 of funding from other sources in 2024.”</w:t>
            </w:r>
            <w:r w:rsidRPr="00C029EB">
              <w:rPr>
                <w:rStyle w:val="FootnoteReference"/>
                <w:rFonts w:ascii="Palatino Linotype" w:hAnsi="Palatino Linotype" w:eastAsia="Palatino Linotype" w:cs="Times New Roman"/>
                <w:color w:val="000000" w:themeColor="text1"/>
                <w:sz w:val="20"/>
                <w:szCs w:val="20"/>
              </w:rPr>
              <w:footnoteReference w:id="265"/>
            </w:r>
          </w:p>
          <w:p w:rsidRPr="00C029EB" w:rsidR="00F84F28" w:rsidRDefault="00F84F28" w14:paraId="1B78015F"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In its 2025 Plan, PG&amp;E states that it “separately allocates, tracks, and reports Gas RD&amp;D expenditures using a centralized project-level database that records ratepayer-funded research, development, and demonstration activities. The system provides project- and portfolio-level visibility into approved budgets, forecasts, actual expenditures, and unspent balances, and supports transparent reporting and oversight processes used to demonstrate compliance with Commission-adopted spending limits.”</w:t>
            </w:r>
            <w:r w:rsidRPr="00C029EB">
              <w:rPr>
                <w:rStyle w:val="FootnoteReference"/>
                <w:rFonts w:ascii="Palatino Linotype" w:hAnsi="Palatino Linotype" w:eastAsia="Palatino Linotype" w:cs="Times New Roman"/>
                <w:color w:val="000000" w:themeColor="text1"/>
                <w:sz w:val="20"/>
                <w:szCs w:val="20"/>
              </w:rPr>
              <w:footnoteReference w:id="266"/>
            </w:r>
          </w:p>
        </w:tc>
        <w:tc>
          <w:tcPr>
            <w:tcW w:w="4681" w:type="dxa"/>
          </w:tcPr>
          <w:p w:rsidRPr="00C029EB" w:rsidR="00F84F28" w:rsidRDefault="00F84F28" w14:paraId="65D966FC" w14:textId="77777777">
            <w:pPr>
              <w:contextualSpacing/>
              <w:rPr>
                <w:rFonts w:ascii="Palatino Linotype" w:hAnsi="Palatino Linotype"/>
                <w:b/>
                <w:bCs w:val="0"/>
                <w:color w:val="000000" w:themeColor="text1"/>
                <w:sz w:val="20"/>
                <w:szCs w:val="20"/>
              </w:rPr>
            </w:pPr>
            <w:r w:rsidRPr="00C029EB">
              <w:rPr>
                <w:rFonts w:ascii="Palatino Linotype" w:hAnsi="Palatino Linotype" w:eastAsia="Palatino Linotype" w:cs="Times New Roman"/>
                <w:color w:val="000000" w:themeColor="text1"/>
                <w:sz w:val="20"/>
                <w:szCs w:val="20"/>
              </w:rPr>
              <w:lastRenderedPageBreak/>
              <w:t xml:space="preserve">PG&amp;E submitted its 2024 Gas RD&amp;D Annual Report on March 31, 2025, prior to holding its Annual Workshop on April 15, 2025. In its Annual Report, PG&amp;E summarizes ongoing and completed projects, leveraged </w:t>
            </w:r>
            <w:r w:rsidRPr="00711B05">
              <w:rPr>
                <w:rFonts w:ascii="Palatino Linotype" w:hAnsi="Palatino Linotype" w:eastAsia="Palatino Linotype" w:cs="Times New Roman"/>
                <w:color w:val="000000" w:themeColor="text1"/>
                <w:sz w:val="20"/>
                <w:szCs w:val="20"/>
              </w:rPr>
              <w:t xml:space="preserve">funding, and its project selection process as required. </w:t>
            </w:r>
            <w:r w:rsidRPr="00711B05">
              <w:rPr>
                <w:rFonts w:ascii="Palatino Linotype" w:hAnsi="Palatino Linotype"/>
                <w:b/>
                <w:bCs w:val="0"/>
                <w:color w:val="000000" w:themeColor="text1"/>
                <w:sz w:val="20"/>
                <w:szCs w:val="20"/>
              </w:rPr>
              <w:t>PG&amp;E is compliant with this requirement.</w:t>
            </w:r>
          </w:p>
          <w:p w:rsidRPr="00C029EB" w:rsidR="00F84F28" w:rsidRDefault="00F84F28" w14:paraId="6050CAB4" w14:textId="77777777">
            <w:pPr>
              <w:contextualSpacing/>
              <w:rPr>
                <w:rFonts w:ascii="Palatino Linotype" w:hAnsi="Palatino Linotype" w:eastAsia="Palatino Linotype"/>
                <w:b/>
                <w:color w:val="000000" w:themeColor="text1"/>
                <w:sz w:val="20"/>
                <w:szCs w:val="20"/>
              </w:rPr>
            </w:pPr>
          </w:p>
          <w:p w:rsidRPr="00C029EB" w:rsidR="00F84F28" w:rsidRDefault="00F84F28" w14:paraId="167D5095" w14:textId="77777777">
            <w:pPr>
              <w:contextualSpacing/>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However, PG&amp;E has not had any Gas RD&amp;D funding approved via Resolution since D.23-11-</w:t>
            </w:r>
            <w:r w:rsidRPr="00C029EB">
              <w:rPr>
                <w:rFonts w:ascii="Palatino Linotype" w:hAnsi="Palatino Linotype" w:eastAsia="Palatino Linotype" w:cs="Times New Roman"/>
                <w:color w:val="000000" w:themeColor="text1"/>
                <w:sz w:val="20"/>
                <w:szCs w:val="20"/>
              </w:rPr>
              <w:lastRenderedPageBreak/>
              <w:t>069 was issued and therefore should clarify the authorized Gas RD&amp;D funding sources relevant to its Annual Reports. PG&amp;E should also reflect key information from its centralized project-level database. </w:t>
            </w:r>
          </w:p>
        </w:tc>
      </w:tr>
      <w:tr w:rsidR="00F84F28" w14:paraId="1AA9AABD" w14:textId="77777777">
        <w:tc>
          <w:tcPr>
            <w:tcW w:w="3675" w:type="dxa"/>
          </w:tcPr>
          <w:p w:rsidR="00F84F28" w:rsidRDefault="00F84F28" w14:paraId="06D9E14B" w14:textId="77777777">
            <w:pPr>
              <w:rPr>
                <w:rFonts w:ascii="Palatino Linotype" w:hAnsi="Palatino Linotype"/>
                <w:sz w:val="20"/>
                <w:szCs w:val="20"/>
              </w:rPr>
            </w:pPr>
            <w:hyperlink w:history="1" r:id="rId45">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w:t>
            </w:r>
            <w:r>
              <w:rPr>
                <w:rFonts w:ascii="Palatino Linotype" w:hAnsi="Palatino Linotype"/>
                <w:sz w:val="20"/>
                <w:szCs w:val="20"/>
              </w:rPr>
              <w:t>:</w:t>
            </w:r>
          </w:p>
          <w:p w:rsidRPr="00E42104" w:rsidR="00F84F28" w:rsidRDefault="00F84F28" w14:paraId="6FA4B7C2"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materials as well as</w:t>
            </w:r>
          </w:p>
          <w:p w:rsidR="00F84F28" w:rsidRDefault="00F84F28" w14:paraId="1D2A928D" w14:textId="77777777">
            <w:pPr>
              <w:rPr>
                <w:rFonts w:ascii="Palatino Linotype" w:hAnsi="Palatino Linotype"/>
                <w:i/>
                <w:iCs/>
                <w:color w:val="000000" w:themeColor="text1"/>
                <w:sz w:val="20"/>
                <w:szCs w:val="20"/>
              </w:rPr>
            </w:pPr>
            <w:r w:rsidRPr="00E42104">
              <w:rPr>
                <w:rFonts w:ascii="Palatino Linotype" w:hAnsi="Palatino Linotype"/>
                <w:i/>
                <w:iCs/>
                <w:color w:val="000000" w:themeColor="text1"/>
                <w:sz w:val="20"/>
                <w:szCs w:val="20"/>
              </w:rPr>
              <w:t xml:space="preserve">documentation on stakeholders consulted </w:t>
            </w:r>
            <w:proofErr w:type="gramStart"/>
            <w:r w:rsidRPr="00E42104">
              <w:rPr>
                <w:rFonts w:ascii="Palatino Linotype" w:hAnsi="Palatino Linotype"/>
                <w:i/>
                <w:iCs/>
                <w:color w:val="000000" w:themeColor="text1"/>
                <w:sz w:val="20"/>
                <w:szCs w:val="20"/>
              </w:rPr>
              <w:t>in</w:t>
            </w:r>
            <w:proofErr w:type="gramEnd"/>
            <w:r w:rsidRPr="00E42104">
              <w:rPr>
                <w:rFonts w:ascii="Palatino Linotype" w:hAnsi="Palatino Linotype"/>
                <w:i/>
                <w:iCs/>
                <w:color w:val="000000" w:themeColor="text1"/>
                <w:sz w:val="20"/>
                <w:szCs w:val="20"/>
              </w:rPr>
              <w:t xml:space="preserve">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development of RD&amp;D projects, both 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p.</w:t>
            </w:r>
          </w:p>
          <w:p w:rsidRPr="00EC7C04" w:rsidR="00F84F28" w:rsidRDefault="00F84F28" w14:paraId="0544F57B"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(9)</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PG&amp;E shall engage relevant stakeholders to encourage</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their attendance at the workshop, such</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as the California</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Energy Commission, the Disadvantaged Communities</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Advisory Group,</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 U.S. Department of Energy,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 xml:space="preserve">other </w:t>
            </w:r>
            <w:r w:rsidRPr="00915C7C">
              <w:rPr>
                <w:rFonts w:ascii="Palatino Linotype" w:hAnsi="Palatino Linotype"/>
                <w:i/>
                <w:iCs/>
                <w:color w:val="000000" w:themeColor="text1"/>
                <w:sz w:val="20"/>
                <w:szCs w:val="20"/>
              </w:rPr>
              <w:lastRenderedPageBreak/>
              <w:t>organizations engaged in gas research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development</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267"/>
            </w:r>
          </w:p>
        </w:tc>
        <w:tc>
          <w:tcPr>
            <w:tcW w:w="4599" w:type="dxa"/>
          </w:tcPr>
          <w:p w:rsidRPr="00B97E19" w:rsidR="00F84F28" w:rsidRDefault="00F84F28" w14:paraId="418A2362" w14:textId="77777777">
            <w:pPr>
              <w:rPr>
                <w:rFonts w:ascii="Palatino Linotype" w:hAnsi="Palatino Linotype"/>
                <w:color w:val="000000" w:themeColor="text1"/>
                <w:sz w:val="20"/>
                <w:szCs w:val="20"/>
              </w:rPr>
            </w:pPr>
            <w:r w:rsidRPr="0032527A">
              <w:rPr>
                <w:rFonts w:ascii="Palatino Linotype" w:hAnsi="Palatino Linotype" w:eastAsia="Palatino Linotype" w:cs="Times New Roman"/>
                <w:sz w:val="20"/>
                <w:szCs w:val="20"/>
              </w:rPr>
              <w:lastRenderedPageBreak/>
              <w:t xml:space="preserve">PG&amp;E </w:t>
            </w:r>
            <w:r>
              <w:rPr>
                <w:rFonts w:ascii="Palatino Linotype" w:hAnsi="Palatino Linotype" w:eastAsia="Palatino Linotype" w:cs="Times New Roman"/>
                <w:sz w:val="20"/>
                <w:szCs w:val="20"/>
              </w:rPr>
              <w:t xml:space="preserve">states that it </w:t>
            </w:r>
            <w:r w:rsidRPr="0032527A">
              <w:rPr>
                <w:rFonts w:ascii="Palatino Linotype" w:hAnsi="Palatino Linotype" w:eastAsia="Palatino Linotype" w:cs="Times New Roman"/>
                <w:sz w:val="20"/>
                <w:szCs w:val="20"/>
              </w:rPr>
              <w:t xml:space="preserve">leveraged its Gas RD&amp;D website, CPUC proceeding service lists, and its </w:t>
            </w:r>
            <w:r w:rsidRPr="0032527A">
              <w:rPr>
                <w:rFonts w:ascii="Palatino Linotype" w:hAnsi="Palatino Linotype" w:eastAsia="Palatino Linotype" w:cs="Times New Roman"/>
                <w:color w:val="000000" w:themeColor="text1"/>
                <w:sz w:val="20"/>
                <w:szCs w:val="20"/>
              </w:rPr>
              <w:t>Diversity Equity Inclusion &amp; Belonging (DEIB) team to notice the workshop, ultimately engaging attendees from</w:t>
            </w:r>
            <w:r w:rsidRPr="00164C5A">
              <w:rPr>
                <w:rFonts w:ascii="Palatino Linotype" w:hAnsi="Palatino Linotype" w:eastAsia="Palatino Linotype" w:cs="Times New Roman"/>
                <w:color w:val="000000" w:themeColor="text1"/>
                <w:sz w:val="20"/>
                <w:szCs w:val="20"/>
              </w:rPr>
              <w:t xml:space="preserve"> 39 </w:t>
            </w:r>
            <w:r w:rsidRPr="0032527A">
              <w:rPr>
                <w:rFonts w:ascii="Palatino Linotype" w:hAnsi="Palatino Linotype" w:eastAsia="Palatino Linotype" w:cs="Times New Roman"/>
                <w:color w:val="000000" w:themeColor="text1"/>
                <w:sz w:val="20"/>
                <w:szCs w:val="20"/>
              </w:rPr>
              <w:t>different organizations in 202</w:t>
            </w:r>
            <w:r>
              <w:rPr>
                <w:rFonts w:ascii="Palatino Linotype" w:hAnsi="Palatino Linotype" w:eastAsia="Palatino Linotype" w:cs="Times New Roman"/>
                <w:color w:val="000000" w:themeColor="text1"/>
                <w:sz w:val="20"/>
                <w:szCs w:val="20"/>
              </w:rPr>
              <w:t>5</w:t>
            </w:r>
            <w:r w:rsidRPr="0032527A">
              <w:rPr>
                <w:rFonts w:ascii="Palatino Linotype" w:hAnsi="Palatino Linotype" w:eastAsia="Palatino Linotype" w:cs="Times New Roman"/>
                <w:color w:val="000000" w:themeColor="text1"/>
                <w:sz w:val="20"/>
                <w:szCs w:val="20"/>
              </w:rPr>
              <w:t>.</w:t>
            </w:r>
            <w:r>
              <w:rPr>
                <w:rStyle w:val="FootnoteReference"/>
                <w:rFonts w:ascii="Palatino Linotype" w:hAnsi="Palatino Linotype" w:eastAsia="Palatino Linotype" w:cs="Times New Roman"/>
                <w:color w:val="000000" w:themeColor="text1"/>
                <w:sz w:val="20"/>
                <w:szCs w:val="20"/>
              </w:rPr>
              <w:footnoteReference w:id="268"/>
            </w:r>
            <w:r w:rsidRPr="0032527A">
              <w:rPr>
                <w:rFonts w:ascii="Palatino Linotype" w:hAnsi="Palatino Linotype" w:eastAsia="Palatino Linotype" w:cs="Times New Roman"/>
                <w:color w:val="000000" w:themeColor="text1"/>
                <w:sz w:val="20"/>
                <w:szCs w:val="20"/>
              </w:rPr>
              <w:t xml:space="preserve"> </w:t>
            </w:r>
            <w:r w:rsidRPr="008D213B">
              <w:rPr>
                <w:rFonts w:ascii="Palatino Linotype" w:hAnsi="Palatino Linotype"/>
                <w:color w:val="000000" w:themeColor="text1"/>
                <w:sz w:val="20"/>
                <w:szCs w:val="20"/>
              </w:rPr>
              <w:t>PG&amp;E includes high-level summaries from interviews and incorporation strategies</w:t>
            </w:r>
            <w:r>
              <w:rPr>
                <w:rStyle w:val="FootnoteReference"/>
                <w:rFonts w:ascii="Palatino Linotype" w:hAnsi="Palatino Linotype"/>
                <w:sz w:val="20"/>
                <w:szCs w:val="20"/>
              </w:rPr>
              <w:footnoteReference w:id="269"/>
            </w:r>
            <w:r>
              <w:rPr>
                <w:rFonts w:ascii="Palatino Linotype" w:hAnsi="Palatino Linotype"/>
                <w:sz w:val="20"/>
                <w:szCs w:val="20"/>
              </w:rPr>
              <w:t xml:space="preserve"> a</w:t>
            </w:r>
            <w:r>
              <w:rPr>
                <w:rFonts w:ascii="Palatino Linotype" w:hAnsi="Palatino Linotype"/>
                <w:color w:val="000000" w:themeColor="text1"/>
                <w:sz w:val="20"/>
                <w:szCs w:val="20"/>
              </w:rPr>
              <w:t xml:space="preserve">nd details </w:t>
            </w:r>
            <w:r>
              <w:rPr>
                <w:rFonts w:ascii="Palatino Linotype" w:hAnsi="Palatino Linotype" w:eastAsia="Palatino Linotype" w:cs="Times New Roman"/>
                <w:color w:val="000000" w:themeColor="text1"/>
                <w:sz w:val="20"/>
                <w:szCs w:val="20"/>
              </w:rPr>
              <w:t>an</w:t>
            </w:r>
            <w:r w:rsidRPr="0032527A">
              <w:rPr>
                <w:rFonts w:ascii="Palatino Linotype" w:hAnsi="Palatino Linotype" w:eastAsia="Palatino Linotype" w:cs="Times New Roman"/>
                <w:color w:val="000000" w:themeColor="text1"/>
                <w:sz w:val="20"/>
                <w:szCs w:val="20"/>
              </w:rPr>
              <w:t xml:space="preserve"> Annual Stakeholder Workshop Attendee Organization List, which include</w:t>
            </w:r>
            <w:r>
              <w:rPr>
                <w:rFonts w:ascii="Palatino Linotype" w:hAnsi="Palatino Linotype" w:eastAsia="Palatino Linotype" w:cs="Times New Roman"/>
                <w:color w:val="000000" w:themeColor="text1"/>
                <w:sz w:val="20"/>
                <w:szCs w:val="20"/>
              </w:rPr>
              <w:t>s</w:t>
            </w:r>
            <w:r w:rsidRPr="0032527A">
              <w:rPr>
                <w:rFonts w:ascii="Palatino Linotype" w:hAnsi="Palatino Linotype" w:eastAsia="Palatino Linotype" w:cs="Times New Roman"/>
                <w:color w:val="000000" w:themeColor="text1"/>
                <w:sz w:val="20"/>
                <w:szCs w:val="20"/>
              </w:rPr>
              <w:t xml:space="preserve">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onal laboratories, public agencies, industry organiza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universi</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 xml:space="preserve">es, minority-serving organizations (MSIs), </w:t>
            </w:r>
            <w:r w:rsidRPr="0032527A">
              <w:rPr>
                <w:rFonts w:ascii="Palatino Linotype" w:hAnsi="Palatino Linotype" w:eastAsia="Palatino Linotype" w:cs="Times New Roman"/>
                <w:color w:val="000000" w:themeColor="text1"/>
                <w:sz w:val="20"/>
                <w:szCs w:val="20"/>
              </w:rPr>
              <w:lastRenderedPageBreak/>
              <w:t>community-based organizations (CBOs), Tribal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and private companies</w:t>
            </w:r>
            <w:r w:rsidRPr="0032527A">
              <w:rPr>
                <w:rFonts w:ascii="Palatino Linotype" w:hAnsi="Palatino Linotype" w:eastAsia="Palatino Linotype" w:cs="Times New Roman"/>
                <w:sz w:val="20"/>
                <w:szCs w:val="20"/>
              </w:rPr>
              <w:t>.</w:t>
            </w:r>
            <w:r w:rsidRPr="0032527A">
              <w:rPr>
                <w:rStyle w:val="FootnoteReference"/>
                <w:rFonts w:ascii="Palatino Linotype" w:hAnsi="Palatino Linotype" w:eastAsia="Palatino Linotype" w:cs="Times New Roman"/>
                <w:sz w:val="20"/>
                <w:szCs w:val="20"/>
              </w:rPr>
              <w:footnoteReference w:id="270"/>
            </w:r>
            <w:r w:rsidRPr="0032527A">
              <w:rPr>
                <w:rFonts w:ascii="Palatino Linotype" w:hAnsi="Palatino Linotype" w:eastAsia="Palatino Linotype" w:cs="Times New Roman"/>
                <w:sz w:val="20"/>
                <w:szCs w:val="20"/>
              </w:rPr>
              <w:t xml:space="preserve"> </w:t>
            </w:r>
          </w:p>
        </w:tc>
        <w:tc>
          <w:tcPr>
            <w:tcW w:w="4681" w:type="dxa"/>
          </w:tcPr>
          <w:p w:rsidRPr="00711B05" w:rsidR="00F84F28" w:rsidRDefault="00F84F28" w14:paraId="6B7C4D2D" w14:textId="1159CD19">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PG&amp;E engaged relevant, diverse stakeholders in its Annual Workshop held on April 15, 2025. </w:t>
            </w:r>
            <w:r w:rsidRPr="00711B05">
              <w:rPr>
                <w:rFonts w:ascii="Palatino Linotype" w:hAnsi="Palatino Linotype"/>
                <w:b/>
                <w:bCs w:val="0"/>
                <w:color w:val="000000" w:themeColor="text1"/>
                <w:sz w:val="20"/>
                <w:szCs w:val="20"/>
              </w:rPr>
              <w:t>PG&amp;E is compliant with th</w:t>
            </w:r>
            <w:r w:rsidR="00205A43">
              <w:rPr>
                <w:rFonts w:ascii="Palatino Linotype" w:hAnsi="Palatino Linotype"/>
                <w:b/>
                <w:bCs w:val="0"/>
                <w:color w:val="000000" w:themeColor="text1"/>
                <w:sz w:val="20"/>
                <w:szCs w:val="20"/>
              </w:rPr>
              <w:t>is</w:t>
            </w:r>
            <w:r w:rsidRPr="00711B05">
              <w:rPr>
                <w:rFonts w:ascii="Palatino Linotype" w:hAnsi="Palatino Linotype"/>
                <w:b/>
                <w:bCs w:val="0"/>
                <w:color w:val="000000" w:themeColor="text1"/>
                <w:sz w:val="20"/>
                <w:szCs w:val="20"/>
              </w:rPr>
              <w:t xml:space="preserve"> requirement.</w:t>
            </w:r>
          </w:p>
        </w:tc>
      </w:tr>
      <w:tr w:rsidR="00F84F28" w14:paraId="3072C775" w14:textId="77777777">
        <w:tc>
          <w:tcPr>
            <w:tcW w:w="3675" w:type="dxa"/>
          </w:tcPr>
          <w:p w:rsidRPr="00164C5A" w:rsidR="00F84F28" w:rsidRDefault="00F84F28" w14:paraId="7A07E402" w14:textId="77777777">
            <w:pPr>
              <w:rPr>
                <w:rFonts w:ascii="Palatino Linotype" w:hAnsi="Palatino Linotype"/>
                <w:i/>
                <w:iCs/>
                <w:color w:val="000000" w:themeColor="text1"/>
                <w:sz w:val="20"/>
                <w:szCs w:val="20"/>
              </w:rPr>
            </w:pPr>
            <w:hyperlink w:history="1" r:id="rId46">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(10)</w:t>
            </w:r>
            <w:r w:rsidRPr="009A290C">
              <w:rPr>
                <w:rFonts w:ascii="Palatino Linotype" w:hAnsi="Palatino Linotype"/>
                <w:i/>
                <w:iCs/>
                <w:color w:val="000000" w:themeColor="text1"/>
                <w:sz w:val="20"/>
                <w:szCs w:val="20"/>
              </w:rPr>
              <w:t xml:space="preserve"> PG&amp;E’s research plan should allocate approximately $296,400 to an evaluation or audit.</w:t>
            </w:r>
            <w:r w:rsidRPr="009A290C">
              <w:rPr>
                <w:rStyle w:val="FootnoteReference"/>
                <w:rFonts w:ascii="Palatino Linotype" w:hAnsi="Palatino Linotype"/>
                <w:i/>
                <w:iCs/>
                <w:color w:val="000000" w:themeColor="text1"/>
                <w:sz w:val="20"/>
                <w:szCs w:val="20"/>
              </w:rPr>
              <w:footnoteReference w:id="271"/>
            </w:r>
          </w:p>
        </w:tc>
        <w:tc>
          <w:tcPr>
            <w:tcW w:w="4599" w:type="dxa"/>
          </w:tcPr>
          <w:p w:rsidRPr="00E9421C" w:rsidR="00F84F28" w:rsidRDefault="00F84F28" w14:paraId="1BC30848" w14:textId="77777777">
            <w:pPr>
              <w:rPr>
                <w:rFonts w:ascii="Palatino Linotype" w:hAnsi="Palatino Linotype" w:eastAsia="Palatino Linotype" w:cs="Times New Roman"/>
                <w:sz w:val="20"/>
                <w:szCs w:val="20"/>
              </w:rPr>
            </w:pPr>
            <w:r w:rsidRPr="00E9421C">
              <w:rPr>
                <w:rFonts w:ascii="Palatino Linotype" w:hAnsi="Palatino Linotype" w:eastAsia="Palatino Linotype" w:cs="Times New Roman"/>
                <w:sz w:val="20"/>
                <w:szCs w:val="20"/>
              </w:rPr>
              <w:t>PG&amp;E proposes to allocate $294,400 towards its proportional share of a comprehensive Gas RD&amp;D Program Evaluation.</w:t>
            </w:r>
            <w:r w:rsidRPr="00E9421C">
              <w:rPr>
                <w:rStyle w:val="FootnoteReference"/>
                <w:rFonts w:ascii="Palatino Linotype" w:hAnsi="Palatino Linotype" w:eastAsia="Palatino Linotype" w:cs="Times New Roman"/>
                <w:sz w:val="20"/>
                <w:szCs w:val="20"/>
              </w:rPr>
              <w:footnoteReference w:id="272"/>
            </w:r>
            <w:r w:rsidRPr="00E9421C">
              <w:rPr>
                <w:rFonts w:ascii="Palatino Linotype" w:hAnsi="Palatino Linotype" w:eastAsia="Palatino Linotype" w:cs="Times New Roman"/>
                <w:sz w:val="20"/>
                <w:szCs w:val="20"/>
              </w:rPr>
              <w:t xml:space="preserve"> </w:t>
            </w:r>
          </w:p>
        </w:tc>
        <w:tc>
          <w:tcPr>
            <w:tcW w:w="4681" w:type="dxa"/>
          </w:tcPr>
          <w:p w:rsidRPr="00711B05" w:rsidR="003F609F" w:rsidP="003F609F" w:rsidRDefault="00F84F28" w14:paraId="5F8C3718" w14:textId="1DF0E3D0">
            <w:pPr>
              <w:spacing w:after="160"/>
              <w:rPr>
                <w:rFonts w:ascii="Palatino Linotype" w:hAnsi="Palatino Linotype" w:eastAsia="Palatino Linotype" w:cs="Times New Roman"/>
                <w:bCs w:val="0"/>
                <w:sz w:val="20"/>
                <w:szCs w:val="20"/>
              </w:rPr>
            </w:pPr>
            <w:r w:rsidRPr="00711B05">
              <w:rPr>
                <w:rFonts w:ascii="Palatino Linotype" w:hAnsi="Palatino Linotype" w:eastAsia="Palatino Linotype" w:cs="Times New Roman"/>
                <w:sz w:val="20"/>
                <w:szCs w:val="20"/>
              </w:rPr>
              <w:t>PG&amp;E allocated $296,400 to a comprehensive Gas RD&amp;D Program Evaluation.</w:t>
            </w:r>
            <w:r w:rsidRPr="00711B05">
              <w:rPr>
                <w:rFonts w:ascii="Palatino Linotype" w:hAnsi="Palatino Linotype" w:eastAsia="Palatino Linotype" w:cs="Times New Roman"/>
                <w:b/>
                <w:bCs w:val="0"/>
                <w:sz w:val="20"/>
                <w:szCs w:val="20"/>
              </w:rPr>
              <w:t xml:space="preserve"> PG&amp;E is compliant with this requirement. </w:t>
            </w:r>
          </w:p>
          <w:p w:rsidRPr="00711B05" w:rsidR="003F609F" w:rsidRDefault="003F609F" w14:paraId="242166D5" w14:textId="153D3C2F">
            <w:pPr>
              <w:rPr>
                <w:rFonts w:ascii="Palatino Linotype" w:hAnsi="Palatino Linotype"/>
                <w:sz w:val="20"/>
                <w:szCs w:val="20"/>
              </w:rPr>
            </w:pPr>
            <w:r w:rsidRPr="00711B05">
              <w:rPr>
                <w:rFonts w:ascii="Palatino Linotype" w:hAnsi="Palatino Linotype"/>
                <w:color w:val="000000" w:themeColor="text1"/>
                <w:sz w:val="20"/>
                <w:szCs w:val="20"/>
              </w:rPr>
              <w:t>However, the Commission denies PG&amp;E’s proposed budget allocation in its 2025 Plan of</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$294,400 for its proportional share of a Gas RD&amp;D Program Evaluation.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Instead, the Commission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seeks</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to</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establish</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 holistic process for</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allocating</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the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funds</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and</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conducting</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the evaluation.</w:t>
            </w:r>
            <w:r w:rsidRPr="00711B05">
              <w:rPr>
                <w:rFonts w:ascii="Times New Roman" w:hAnsi="Times New Roman" w:cs="Times New Roman"/>
                <w:color w:val="000000" w:themeColor="text1"/>
                <w:sz w:val="20"/>
                <w:szCs w:val="20"/>
              </w:rPr>
              <w:t> </w:t>
            </w:r>
            <w:r w:rsidRPr="00711B05">
              <w:rPr>
                <w:rFonts w:ascii="Palatino Linotype" w:hAnsi="Palatino Linotype" w:cs="Palatino Linotype"/>
                <w:color w:val="000000" w:themeColor="text1"/>
                <w:sz w:val="20"/>
                <w:szCs w:val="20"/>
              </w:rPr>
              <w:t> </w:t>
            </w:r>
          </w:p>
        </w:tc>
      </w:tr>
      <w:tr w:rsidR="00F84F28" w:rsidTr="00917561" w14:paraId="136A327D" w14:textId="77777777">
        <w:tc>
          <w:tcPr>
            <w:tcW w:w="3675" w:type="dxa"/>
          </w:tcPr>
          <w:p w:rsidRPr="00164C5A" w:rsidR="00F84F28" w:rsidRDefault="00F84F28" w14:paraId="3E5A9152" w14:textId="77777777">
            <w:pPr>
              <w:rPr>
                <w:rFonts w:ascii="Palatino Linotype" w:hAnsi="Palatino Linotype"/>
                <w:i/>
                <w:iCs/>
                <w:color w:val="000000" w:themeColor="text1"/>
                <w:sz w:val="20"/>
                <w:szCs w:val="20"/>
              </w:rPr>
            </w:pPr>
            <w:hyperlink w:history="1" r:id="rId47">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 xml:space="preserve">(11) </w:t>
            </w:r>
            <w:r w:rsidRPr="00164C5A">
              <w:rPr>
                <w:rFonts w:ascii="Palatino Linotype" w:hAnsi="Palatino Linotype"/>
                <w:i/>
                <w:iCs/>
                <w:color w:val="000000" w:themeColor="text1"/>
                <w:sz w:val="20"/>
                <w:szCs w:val="20"/>
              </w:rPr>
              <w:t>PG&amp;E’s research plan may separately allocate and track funds for gas research development and deployment in one database that tracks all ratepayer-funded R&amp;D and Development projects across these industries.</w:t>
            </w:r>
            <w:r w:rsidRPr="00164C5A">
              <w:rPr>
                <w:rStyle w:val="FootnoteReference"/>
                <w:rFonts w:ascii="Palatino Linotype" w:hAnsi="Palatino Linotype"/>
                <w:i/>
                <w:iCs/>
                <w:color w:val="000000" w:themeColor="text1"/>
                <w:sz w:val="20"/>
                <w:szCs w:val="20"/>
              </w:rPr>
              <w:footnoteReference w:id="273"/>
            </w:r>
            <w:r w:rsidRPr="00164C5A">
              <w:rPr>
                <w:rFonts w:ascii="Palatino Linotype" w:hAnsi="Palatino Linotype"/>
                <w:i/>
                <w:iCs/>
                <w:color w:val="000000" w:themeColor="text1"/>
                <w:sz w:val="20"/>
                <w:szCs w:val="20"/>
              </w:rPr>
              <w:t xml:space="preserve"> </w:t>
            </w:r>
          </w:p>
        </w:tc>
        <w:tc>
          <w:tcPr>
            <w:tcW w:w="4599" w:type="dxa"/>
          </w:tcPr>
          <w:p w:rsidRPr="00164C5A" w:rsidR="00F84F28" w:rsidRDefault="00F84F28" w14:paraId="3385CB02" w14:textId="77777777">
            <w:pPr>
              <w:rPr>
                <w:rFonts w:ascii="Palatino Linotype" w:hAnsi="Palatino Linotype" w:eastAsia="Palatino Linotype" w:cs="Times New Roman"/>
                <w:bCs w:val="0"/>
                <w:color w:val="000000" w:themeColor="text1"/>
                <w:sz w:val="20"/>
                <w:szCs w:val="20"/>
              </w:rPr>
            </w:pPr>
            <w:r w:rsidRPr="00164C5A">
              <w:rPr>
                <w:rFonts w:ascii="Palatino Linotype" w:hAnsi="Palatino Linotype" w:eastAsia="Palatino Linotype" w:cs="Times New Roman"/>
                <w:color w:val="000000" w:themeColor="text1"/>
                <w:sz w:val="20"/>
                <w:szCs w:val="20"/>
              </w:rPr>
              <w:t>PG&amp;E proposes to allocate $56,987 towards its proportional share of developing a comprehensive Gas RD&amp;D Database.</w:t>
            </w:r>
            <w:r w:rsidRPr="00164C5A">
              <w:rPr>
                <w:rStyle w:val="FootnoteReference"/>
                <w:rFonts w:ascii="Palatino Linotype" w:hAnsi="Palatino Linotype" w:eastAsia="Palatino Linotype" w:cs="Times New Roman"/>
                <w:color w:val="000000" w:themeColor="text1"/>
                <w:sz w:val="20"/>
                <w:szCs w:val="20"/>
              </w:rPr>
              <w:footnoteReference w:id="274"/>
            </w:r>
            <w:r w:rsidRPr="00164C5A">
              <w:rPr>
                <w:rFonts w:ascii="Palatino Linotype" w:hAnsi="Palatino Linotype" w:eastAsia="Palatino Linotype" w:cs="Times New Roman"/>
                <w:color w:val="000000" w:themeColor="text1"/>
                <w:sz w:val="20"/>
                <w:szCs w:val="20"/>
              </w:rPr>
              <w:t xml:space="preserve"> </w:t>
            </w:r>
          </w:p>
        </w:tc>
        <w:tc>
          <w:tcPr>
            <w:tcW w:w="4681" w:type="dxa"/>
          </w:tcPr>
          <w:p w:rsidRPr="00711B05" w:rsidR="00570004" w:rsidP="00570004" w:rsidRDefault="00F84F28" w14:paraId="5C528F74" w14:textId="417239A9">
            <w:pPr>
              <w:rPr>
                <w:rFonts w:ascii="Palatino Linotype" w:hAnsi="Palatino Linotype" w:eastAsia="Palatino Linotype" w:cs="Times New Roman"/>
                <w:bCs w:val="0"/>
                <w:sz w:val="20"/>
                <w:szCs w:val="20"/>
              </w:rPr>
            </w:pPr>
            <w:r w:rsidRPr="00711B05">
              <w:rPr>
                <w:rFonts w:ascii="Palatino Linotype" w:hAnsi="Palatino Linotype"/>
                <w:color w:val="000000" w:themeColor="text1"/>
                <w:sz w:val="20"/>
                <w:szCs w:val="20"/>
              </w:rPr>
              <w:t>PG&amp;E allocated funds for a Gas RD&amp;D Database.</w:t>
            </w:r>
            <w:r w:rsidRPr="00711B05">
              <w:rPr>
                <w:rFonts w:ascii="Palatino Linotype" w:hAnsi="Palatino Linotype"/>
                <w:b/>
                <w:bCs w:val="0"/>
                <w:color w:val="000000" w:themeColor="text1"/>
                <w:sz w:val="20"/>
                <w:szCs w:val="20"/>
              </w:rPr>
              <w:t xml:space="preserve"> PG&amp;E is compliant with this requirement. </w:t>
            </w:r>
          </w:p>
          <w:p w:rsidRPr="00711B05" w:rsidR="00570004" w:rsidP="00570004" w:rsidRDefault="00570004" w14:paraId="2EC9EBDC" w14:textId="0B758D77">
            <w:pPr>
              <w:spacing w:before="240"/>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the Commission denies PG&amp;E’s proposed budget allocation in its 202</w:t>
            </w:r>
            <w:r w:rsidRPr="00711B05" w:rsidR="0014278D">
              <w:rPr>
                <w:rFonts w:ascii="Palatino Linotype" w:hAnsi="Palatino Linotype"/>
                <w:color w:val="000000" w:themeColor="text1"/>
                <w:sz w:val="20"/>
                <w:szCs w:val="20"/>
              </w:rPr>
              <w:t>5</w:t>
            </w:r>
            <w:r w:rsidRPr="00711B05">
              <w:rPr>
                <w:rFonts w:ascii="Palatino Linotype" w:hAnsi="Palatino Linotype"/>
                <w:color w:val="000000" w:themeColor="text1"/>
                <w:sz w:val="20"/>
                <w:szCs w:val="20"/>
              </w:rPr>
              <w:t> Plan of</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$56,987</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for its proportional share of</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developing a comprehensive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Gas RD&amp;D Database.</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Instead, the Commission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seeks</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to</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establish</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 holistic process</w:t>
            </w:r>
            <w:r w:rsidRPr="00711B05" w:rsidR="004D2B52">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for</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allocating</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the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funds</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and</w:t>
            </w:r>
            <w:r w:rsidRPr="00711B05">
              <w:rPr>
                <w:rFonts w:ascii="Times New Roman" w:hAnsi="Times New Roman" w:cs="Times New Roman"/>
                <w:color w:val="000000" w:themeColor="text1"/>
                <w:sz w:val="20"/>
                <w:szCs w:val="20"/>
              </w:rPr>
              <w:t> </w:t>
            </w:r>
            <w:r w:rsidRPr="00711B05" w:rsidR="004D2B52">
              <w:rPr>
                <w:rFonts w:ascii="Palatino Linotype" w:hAnsi="Palatino Linotype"/>
                <w:color w:val="000000" w:themeColor="text1"/>
                <w:sz w:val="20"/>
                <w:szCs w:val="20"/>
              </w:rPr>
              <w:t>developing the database.</w:t>
            </w:r>
          </w:p>
        </w:tc>
      </w:tr>
      <w:tr w:rsidR="00F84F28" w:rsidTr="00917561" w14:paraId="7E1B9C68" w14:textId="77777777">
        <w:tc>
          <w:tcPr>
            <w:tcW w:w="3675" w:type="dxa"/>
          </w:tcPr>
          <w:p w:rsidR="00F84F28" w:rsidRDefault="00F84F28" w14:paraId="6C1F9789" w14:textId="77777777">
            <w:pPr>
              <w:rPr>
                <w:rFonts w:ascii="Palatino Linotype" w:hAnsi="Palatino Linotype"/>
                <w:i/>
                <w:iCs/>
                <w:color w:val="000000" w:themeColor="text1"/>
                <w:sz w:val="20"/>
                <w:szCs w:val="20"/>
              </w:rPr>
            </w:pPr>
            <w:r w:rsidRPr="00841E84">
              <w:rPr>
                <w:rFonts w:ascii="Palatino Linotype" w:hAnsi="Palatino Linotype"/>
                <w:sz w:val="20"/>
                <w:szCs w:val="20"/>
              </w:rPr>
              <w:lastRenderedPageBreak/>
              <w:t>Public Utilities Code 740.1</w:t>
            </w:r>
            <w:r>
              <w:rPr>
                <w:rStyle w:val="FootnoteReference"/>
                <w:rFonts w:ascii="Palatino Linotype" w:hAnsi="Palatino Linotype"/>
                <w:sz w:val="20"/>
                <w:szCs w:val="20"/>
              </w:rPr>
              <w:footnoteReference w:id="275"/>
            </w:r>
            <w:r w:rsidRPr="00841E84">
              <w:rPr>
                <w:rFonts w:ascii="Palatino Linotype" w:hAnsi="Palatino Linotype"/>
                <w:color w:val="000000" w:themeColor="text1"/>
                <w:sz w:val="20"/>
                <w:szCs w:val="20"/>
              </w:rPr>
              <w:t xml:space="preserve"> at</w:t>
            </w:r>
            <w:r w:rsidRPr="00876218">
              <w:rPr>
                <w:rFonts w:ascii="Palatino Linotype" w:hAnsi="Palatino Linotype"/>
                <w:color w:val="000000" w:themeColor="text1"/>
                <w:sz w:val="20"/>
                <w:szCs w:val="20"/>
              </w:rPr>
              <w:t>:</w:t>
            </w:r>
          </w:p>
          <w:p w:rsidRPr="00876218" w:rsidR="00F84F28" w:rsidRDefault="00F84F28" w14:paraId="13055078"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(a)</w:t>
            </w:r>
            <w:r>
              <w:rPr>
                <w:rFonts w:ascii="Palatino Linotype" w:hAnsi="Palatino Linotype"/>
                <w:i/>
                <w:iCs/>
                <w:color w:val="000000" w:themeColor="text1"/>
                <w:sz w:val="20"/>
                <w:szCs w:val="20"/>
              </w:rPr>
              <w:t xml:space="preserve"> </w:t>
            </w:r>
            <w:r w:rsidRPr="00DE3CB6">
              <w:rPr>
                <w:rFonts w:ascii="Palatino Linotype" w:hAnsi="Palatino Linotype"/>
                <w:i/>
                <w:iCs/>
                <w:color w:val="000000" w:themeColor="text1"/>
                <w:sz w:val="20"/>
                <w:szCs w:val="20"/>
              </w:rPr>
              <w:t>Projects should offer a reasonable probability of providing benefits to ratepayers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t xml:space="preserve"> </w:t>
            </w:r>
            <w:r>
              <w:rPr>
                <w:rStyle w:val="FootnoteReference"/>
                <w:rFonts w:ascii="Palatino Linotype" w:hAnsi="Palatino Linotype"/>
                <w:i/>
                <w:iCs/>
                <w:color w:val="000000" w:themeColor="text1"/>
                <w:sz w:val="20"/>
                <w:szCs w:val="20"/>
              </w:rPr>
              <w:footnoteReference w:id="276"/>
            </w:r>
            <w:r w:rsidRPr="00DE3CB6">
              <w:rPr>
                <w:rFonts w:ascii="Palatino Linotype" w:hAnsi="Palatino Linotype"/>
                <w:i/>
                <w:iCs/>
                <w:color w:val="000000" w:themeColor="text1"/>
                <w:sz w:val="20"/>
                <w:szCs w:val="20"/>
              </w:rPr>
              <w:t xml:space="preserve"> </w:t>
            </w:r>
          </w:p>
          <w:p w:rsidRPr="00164C5A" w:rsidR="00F84F28" w:rsidRDefault="00F84F28" w14:paraId="4DECBC12"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(b)</w:t>
            </w:r>
            <w:r>
              <w:rPr>
                <w:rFonts w:ascii="Palatino Linotype" w:hAnsi="Palatino Linotype"/>
                <w:i/>
                <w:iCs/>
                <w:color w:val="000000" w:themeColor="text1"/>
                <w:sz w:val="20"/>
                <w:szCs w:val="20"/>
              </w:rPr>
              <w:t xml:space="preserve"> </w:t>
            </w:r>
            <w:r w:rsidRPr="00704498">
              <w:rPr>
                <w:rFonts w:ascii="Palatino Linotype" w:hAnsi="Palatino Linotype"/>
                <w:i/>
                <w:iCs/>
                <w:color w:val="000000" w:themeColor="text1"/>
                <w:sz w:val="20"/>
                <w:szCs w:val="20"/>
              </w:rPr>
              <w:t>Expenditures on projects which have a low probability for success should be minimized.</w:t>
            </w:r>
            <w:r>
              <w:rPr>
                <w:rStyle w:val="FootnoteReference"/>
                <w:rFonts w:ascii="Palatino Linotype" w:hAnsi="Palatino Linotype"/>
                <w:i/>
                <w:iCs/>
                <w:color w:val="000000" w:themeColor="text1"/>
                <w:sz w:val="20"/>
                <w:szCs w:val="20"/>
              </w:rPr>
              <w:footnoteReference w:id="277"/>
            </w:r>
          </w:p>
        </w:tc>
        <w:tc>
          <w:tcPr>
            <w:tcW w:w="4599" w:type="dxa"/>
          </w:tcPr>
          <w:p w:rsidRPr="00C029EB" w:rsidR="00F84F28" w:rsidRDefault="00F84F28" w14:paraId="0DF7EC63" w14:textId="77777777">
            <w:pPr>
              <w:contextualSpacing/>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See PG&amp;E Response in AL 5197-G to </w:t>
            </w:r>
            <w:hyperlink w:tgtFrame="_blank" w:history="1" r:id="rId48">
              <w:r w:rsidRPr="00C029EB">
                <w:rPr>
                  <w:rStyle w:val="Hyperlink"/>
                  <w:rFonts w:ascii="Palatino Linotype" w:hAnsi="Palatino Linotype" w:cstheme="minorBidi"/>
                  <w:bCs w:val="0"/>
                  <w:kern w:val="2"/>
                  <w:sz w:val="20"/>
                  <w:szCs w:val="20"/>
                  <w14:ligatures w14:val="standardContextual"/>
                </w:rPr>
                <w:t>D.23-11-069</w:t>
              </w:r>
            </w:hyperlink>
            <w:r w:rsidRPr="00C029EB">
              <w:rPr>
                <w:rFonts w:ascii="Palatino Linotype" w:hAnsi="Palatino Linotype" w:eastAsia="Palatino Linotype" w:cs="Times New Roman"/>
                <w:color w:val="000000" w:themeColor="text1"/>
                <w:sz w:val="20"/>
                <w:szCs w:val="20"/>
              </w:rPr>
              <w:t> at (2) for information on intended benefits from each Initiative. PG&amp;E states that “[p]</w:t>
            </w:r>
            <w:proofErr w:type="spellStart"/>
            <w:r w:rsidRPr="00C029EB">
              <w:rPr>
                <w:rFonts w:ascii="Palatino Linotype" w:hAnsi="Palatino Linotype" w:eastAsia="Palatino Linotype" w:cs="Times New Roman"/>
                <w:color w:val="000000" w:themeColor="text1"/>
                <w:sz w:val="20"/>
                <w:szCs w:val="20"/>
              </w:rPr>
              <w:t>roject</w:t>
            </w:r>
            <w:proofErr w:type="spellEnd"/>
            <w:r w:rsidRPr="00C029EB">
              <w:rPr>
                <w:rFonts w:ascii="Palatino Linotype" w:hAnsi="Palatino Linotype" w:eastAsia="Palatino Linotype" w:cs="Times New Roman"/>
                <w:color w:val="000000" w:themeColor="text1"/>
                <w:sz w:val="20"/>
                <w:szCs w:val="20"/>
              </w:rPr>
              <w:t> proposals are evaluated using defined technical milestones, probability-of-success screening criteria, and stage-gated funding controls to minimize expenditures on projects with low likelihood of success.”</w:t>
            </w:r>
            <w:r w:rsidRPr="00C029EB">
              <w:rPr>
                <w:rStyle w:val="FootnoteReference"/>
                <w:rFonts w:ascii="Palatino Linotype" w:hAnsi="Palatino Linotype" w:eastAsia="Palatino Linotype" w:cs="Times New Roman"/>
                <w:color w:val="000000" w:themeColor="text1"/>
                <w:sz w:val="20"/>
                <w:szCs w:val="20"/>
              </w:rPr>
              <w:footnoteReference w:id="278"/>
            </w:r>
          </w:p>
          <w:p w:rsidRPr="00C029EB" w:rsidR="00F84F28" w:rsidRDefault="00F84F28" w14:paraId="7B345060" w14:textId="77777777">
            <w:pPr>
              <w:contextualSpacing/>
              <w:rPr>
                <w:rFonts w:ascii="Palatino Linotype" w:hAnsi="Palatino Linotype" w:eastAsia="Palatino Linotype" w:cs="Times New Roman"/>
                <w:color w:val="000000" w:themeColor="text1"/>
                <w:sz w:val="20"/>
                <w:szCs w:val="20"/>
              </w:rPr>
            </w:pPr>
          </w:p>
          <w:p w:rsidRPr="00C029EB" w:rsidR="00F84F28" w:rsidRDefault="00F84F28" w14:paraId="20FC7ED8"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PG&amp;E states that it plans to renew its membership in three research consortia”, amounting to $364,868 in calendar year 2026.</w:t>
            </w:r>
            <w:r w:rsidRPr="00C029EB">
              <w:rPr>
                <w:rStyle w:val="FootnoteReference"/>
                <w:rFonts w:ascii="Palatino Linotype" w:hAnsi="Palatino Linotype" w:eastAsia="Palatino Linotype" w:cs="Times New Roman"/>
                <w:color w:val="000000" w:themeColor="text1"/>
                <w:sz w:val="20"/>
                <w:szCs w:val="20"/>
              </w:rPr>
              <w:footnoteReference w:id="279"/>
            </w:r>
            <w:r w:rsidRPr="00C029EB">
              <w:rPr>
                <w:rFonts w:ascii="Palatino Linotype" w:hAnsi="Palatino Linotype" w:eastAsia="Palatino Linotype" w:cs="Times New Roman"/>
                <w:color w:val="000000" w:themeColor="text1"/>
                <w:sz w:val="20"/>
                <w:szCs w:val="20"/>
              </w:rPr>
              <w:t xml:space="preserve"> PG&amp;E states that “[c]</w:t>
            </w:r>
            <w:proofErr w:type="spellStart"/>
            <w:r w:rsidRPr="00C029EB">
              <w:rPr>
                <w:rFonts w:ascii="Palatino Linotype" w:hAnsi="Palatino Linotype" w:eastAsia="Palatino Linotype" w:cs="Times New Roman"/>
                <w:color w:val="000000" w:themeColor="text1"/>
                <w:sz w:val="20"/>
                <w:szCs w:val="20"/>
              </w:rPr>
              <w:t>onsortia</w:t>
            </w:r>
            <w:proofErr w:type="spellEnd"/>
            <w:r w:rsidRPr="00C029EB">
              <w:rPr>
                <w:rFonts w:ascii="Palatino Linotype" w:hAnsi="Palatino Linotype" w:eastAsia="Palatino Linotype" w:cs="Times New Roman"/>
                <w:color w:val="000000" w:themeColor="text1"/>
                <w:sz w:val="20"/>
                <w:szCs w:val="20"/>
              </w:rPr>
              <w:t> membership dues are categorized as Administrative Activities under Program Administrative costs.”</w:t>
            </w:r>
            <w:r w:rsidRPr="00C029EB">
              <w:rPr>
                <w:rStyle w:val="FootnoteReference"/>
                <w:rFonts w:ascii="Palatino Linotype" w:hAnsi="Palatino Linotype" w:eastAsia="Palatino Linotype" w:cs="Times New Roman"/>
                <w:color w:val="000000" w:themeColor="text1"/>
                <w:sz w:val="20"/>
                <w:szCs w:val="20"/>
              </w:rPr>
              <w:footnoteReference w:id="280"/>
            </w:r>
          </w:p>
        </w:tc>
        <w:tc>
          <w:tcPr>
            <w:tcW w:w="4681" w:type="dxa"/>
          </w:tcPr>
          <w:p w:rsidRPr="00711B05" w:rsidR="00F84F28" w:rsidRDefault="00F84F28" w14:paraId="119AE3A3"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PG&amp;E largely demonstrates ratepayer benefit for each Initiative: See Compliance Assessment of </w:t>
            </w:r>
            <w:hyperlink w:tgtFrame="_blank" w:history="1" r:id="rId49">
              <w:r w:rsidRPr="00711B05">
                <w:rPr>
                  <w:rStyle w:val="Hyperlink"/>
                  <w:rFonts w:ascii="Palatino Linotype" w:hAnsi="Palatino Linotype" w:cstheme="minorBidi"/>
                  <w:bCs w:val="0"/>
                  <w:kern w:val="2"/>
                  <w:sz w:val="20"/>
                  <w:szCs w:val="20"/>
                  <w14:ligatures w14:val="standardContextual"/>
                </w:rPr>
                <w:t>D.23-11-069</w:t>
              </w:r>
            </w:hyperlink>
            <w:r w:rsidRPr="00711B05">
              <w:rPr>
                <w:rFonts w:ascii="Palatino Linotype" w:hAnsi="Palatino Linotype"/>
                <w:color w:val="000000" w:themeColor="text1"/>
                <w:sz w:val="20"/>
                <w:szCs w:val="20"/>
              </w:rPr>
              <w:t> at (2). Prospective funding for membership dues is appropriately captured in PG&amp;E’s Administrative Activities under Program Administrative costs. </w:t>
            </w:r>
            <w:r w:rsidRPr="00711B05">
              <w:rPr>
                <w:rFonts w:ascii="Palatino Linotype" w:hAnsi="Palatino Linotype"/>
                <w:b/>
                <w:color w:val="000000" w:themeColor="text1"/>
                <w:sz w:val="20"/>
                <w:szCs w:val="20"/>
              </w:rPr>
              <w:t>PG&amp;E is compliant with these requirements.</w:t>
            </w:r>
          </w:p>
        </w:tc>
      </w:tr>
      <w:tr w:rsidR="00F84F28" w14:paraId="0CE811E2" w14:textId="77777777">
        <w:tc>
          <w:tcPr>
            <w:tcW w:w="3675" w:type="dxa"/>
          </w:tcPr>
          <w:p w:rsidRPr="00164C5A" w:rsidR="00F84F28" w:rsidRDefault="00F84F28" w14:paraId="044C4AD4" w14:textId="77777777">
            <w:pPr>
              <w:rPr>
                <w:rFonts w:ascii="Palatino Linotype" w:hAnsi="Palatino Linotype"/>
                <w:i/>
                <w:iCs/>
                <w:color w:val="000000" w:themeColor="text1"/>
                <w:sz w:val="20"/>
                <w:szCs w:val="20"/>
              </w:rPr>
            </w:pPr>
            <w:r w:rsidRPr="00841E84">
              <w:rPr>
                <w:rFonts w:ascii="Palatino Linotype" w:hAnsi="Palatino Linotype"/>
                <w:sz w:val="20"/>
                <w:szCs w:val="20"/>
              </w:rPr>
              <w:t xml:space="preserve">Public Utilities Code </w:t>
            </w:r>
            <w:proofErr w:type="gramStart"/>
            <w:r w:rsidRPr="00841E84">
              <w:rPr>
                <w:rFonts w:ascii="Palatino Linotype" w:hAnsi="Palatino Linotype"/>
                <w:sz w:val="20"/>
                <w:szCs w:val="20"/>
              </w:rPr>
              <w:t>740.1</w:t>
            </w:r>
            <w:r w:rsidRPr="00841E84">
              <w:rPr>
                <w:rFonts w:ascii="Palatino Linotype" w:hAnsi="Palatino Linotype"/>
                <w:color w:val="000000" w:themeColor="text1"/>
                <w:sz w:val="20"/>
                <w:szCs w:val="20"/>
              </w:rPr>
              <w:t xml:space="preserve"> at</w:t>
            </w:r>
            <w:proofErr w:type="gramEnd"/>
            <w:r w:rsidRPr="00876218">
              <w:rPr>
                <w:rFonts w:ascii="Palatino Linotype" w:hAnsi="Palatino Linotype"/>
                <w:color w:val="000000" w:themeColor="text1"/>
                <w:sz w:val="20"/>
                <w:szCs w:val="20"/>
              </w:rPr>
              <w:t xml:space="preserve"> (d) </w:t>
            </w:r>
            <w:r w:rsidRPr="007C534E">
              <w:rPr>
                <w:rFonts w:ascii="Palatino Linotype" w:hAnsi="Palatino Linotype"/>
                <w:i/>
                <w:iCs/>
                <w:color w:val="000000" w:themeColor="text1"/>
                <w:sz w:val="20"/>
                <w:szCs w:val="20"/>
              </w:rPr>
              <w:t xml:space="preserve">Projects should not unnecessarily duplicate research currently, previously, </w:t>
            </w:r>
            <w:proofErr w:type="gramStart"/>
            <w:r w:rsidRPr="007C534E">
              <w:rPr>
                <w:rFonts w:ascii="Palatino Linotype" w:hAnsi="Palatino Linotype"/>
                <w:i/>
                <w:iCs/>
                <w:color w:val="000000" w:themeColor="text1"/>
                <w:sz w:val="20"/>
                <w:szCs w:val="20"/>
              </w:rPr>
              <w:t>or imminently</w:t>
            </w:r>
            <w:proofErr w:type="gramEnd"/>
            <w:r w:rsidRPr="007C534E">
              <w:rPr>
                <w:rFonts w:ascii="Palatino Linotype" w:hAnsi="Palatino Linotype"/>
                <w:i/>
                <w:iCs/>
                <w:color w:val="000000" w:themeColor="text1"/>
                <w:sz w:val="20"/>
                <w:szCs w:val="20"/>
              </w:rPr>
              <w:t xml:space="preserve"> undertaken by other electrical or gas corporations or research organizations</w:t>
            </w:r>
            <w:r>
              <w:rPr>
                <w:rFonts w:ascii="Palatino Linotype" w:hAnsi="Palatino Linotype"/>
                <w:i/>
                <w:iCs/>
                <w:color w:val="000000" w:themeColor="text1"/>
                <w:sz w:val="20"/>
                <w:szCs w:val="20"/>
              </w:rPr>
              <w:t>.</w:t>
            </w:r>
            <w:r>
              <w:rPr>
                <w:rStyle w:val="FootnoteReference"/>
                <w:rFonts w:ascii="Palatino Linotype" w:hAnsi="Palatino Linotype"/>
                <w:sz w:val="20"/>
                <w:szCs w:val="20"/>
              </w:rPr>
              <w:footnoteReference w:id="281"/>
            </w:r>
            <w:r w:rsidRPr="007C534E">
              <w:rPr>
                <w:rFonts w:ascii="Palatino Linotype" w:hAnsi="Palatino Linotype"/>
                <w:color w:val="000000" w:themeColor="text1"/>
                <w:sz w:val="20"/>
                <w:szCs w:val="20"/>
              </w:rPr>
              <w:t xml:space="preserve"> </w:t>
            </w:r>
          </w:p>
        </w:tc>
        <w:tc>
          <w:tcPr>
            <w:tcW w:w="4599" w:type="dxa"/>
          </w:tcPr>
          <w:p w:rsidRPr="00C029EB" w:rsidR="00F84F28" w:rsidRDefault="00F84F28" w14:paraId="7DDF6308"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PG&amp;E discusses high-level coordination with other Gas RD&amp;D administrators.</w:t>
            </w:r>
            <w:r w:rsidRPr="00C029EB">
              <w:rPr>
                <w:rStyle w:val="FootnoteReference"/>
                <w:rFonts w:ascii="Palatino Linotype" w:hAnsi="Palatino Linotype"/>
                <w:color w:val="000000" w:themeColor="text1"/>
                <w:sz w:val="20"/>
                <w:szCs w:val="20"/>
              </w:rPr>
              <w:footnoteReference w:id="282"/>
            </w:r>
            <w:r w:rsidRPr="00C029EB">
              <w:rPr>
                <w:rFonts w:ascii="Palatino Linotype" w:hAnsi="Palatino Linotype"/>
                <w:color w:val="000000" w:themeColor="text1"/>
                <w:sz w:val="20"/>
                <w:szCs w:val="20"/>
              </w:rPr>
              <w:t xml:space="preserve"> In its resubmittal of its 2025 Plan, PG&amp;E states it removed the Sustainable Energy Solutions Initiative because “proposed projects were deemed duplicative to efforts led by the </w:t>
            </w:r>
            <w:r w:rsidRPr="00C029EB">
              <w:rPr>
                <w:rFonts w:ascii="Palatino Linotype" w:hAnsi="Palatino Linotype"/>
                <w:color w:val="000000" w:themeColor="text1"/>
                <w:sz w:val="20"/>
                <w:szCs w:val="20"/>
              </w:rPr>
              <w:lastRenderedPageBreak/>
              <w:t>California Energy Commission.”</w:t>
            </w:r>
            <w:r w:rsidRPr="00C029EB">
              <w:rPr>
                <w:rStyle w:val="FootnoteReference"/>
                <w:rFonts w:ascii="Palatino Linotype" w:hAnsi="Palatino Linotype"/>
                <w:color w:val="000000" w:themeColor="text1"/>
                <w:sz w:val="20"/>
                <w:szCs w:val="20"/>
              </w:rPr>
              <w:footnoteReference w:id="283"/>
            </w:r>
            <w:r w:rsidRPr="00C029EB">
              <w:rPr>
                <w:rFonts w:ascii="Palatino Linotype" w:hAnsi="Palatino Linotype"/>
                <w:color w:val="000000" w:themeColor="text1"/>
                <w:sz w:val="20"/>
                <w:szCs w:val="20"/>
              </w:rPr>
              <w:t xml:space="preserve"> PG&amp;E states its intended role for each project is the lead</w:t>
            </w:r>
            <w:r w:rsidRPr="00C029EB">
              <w:rPr>
                <w:rStyle w:val="FootnoteReference"/>
                <w:rFonts w:ascii="Palatino Linotype" w:hAnsi="Palatino Linotype"/>
                <w:color w:val="000000" w:themeColor="text1"/>
                <w:sz w:val="20"/>
                <w:szCs w:val="20"/>
              </w:rPr>
              <w:footnoteReference w:id="284"/>
            </w:r>
            <w:r w:rsidRPr="00C029EB">
              <w:rPr>
                <w:rFonts w:ascii="Palatino Linotype" w:hAnsi="Palatino Linotype"/>
                <w:color w:val="000000" w:themeColor="text1"/>
                <w:sz w:val="20"/>
                <w:szCs w:val="20"/>
              </w:rPr>
              <w:t xml:space="preserve"> and provides Initiative-level detail:  </w:t>
            </w:r>
          </w:p>
          <w:p w:rsidRPr="00C029EB" w:rsidR="00F84F28" w:rsidP="00F84F28" w:rsidRDefault="00F84F28" w14:paraId="7DE716B3" w14:textId="77777777">
            <w:pPr>
              <w:pStyle w:val="ListParagraph"/>
              <w:numPr>
                <w:ilvl w:val="0"/>
                <w:numId w:val="21"/>
              </w:numPr>
              <w:rPr>
                <w:rFonts w:ascii="Palatino Linotype" w:hAnsi="Palatino Linotype"/>
                <w:color w:val="000000" w:themeColor="text1"/>
                <w:sz w:val="20"/>
                <w:szCs w:val="20"/>
              </w:rPr>
            </w:pPr>
            <w:r w:rsidRPr="00C029EB">
              <w:rPr>
                <w:rFonts w:ascii="Palatino Linotype" w:hAnsi="Palatino Linotype" w:eastAsia="Palatino Linotype" w:cs="Times New Roman"/>
                <w:color w:val="000000" w:themeColor="text1"/>
                <w:sz w:val="20"/>
                <w:szCs w:val="20"/>
              </w:rPr>
              <w:t>Innovative and Cost-Effective Integrity Management: Identical in its 2025 Plan</w:t>
            </w:r>
            <w:r w:rsidRPr="00C029EB">
              <w:rPr>
                <w:rStyle w:val="FootnoteReference"/>
                <w:rFonts w:ascii="Palatino Linotype" w:hAnsi="Palatino Linotype" w:eastAsia="Palatino Linotype" w:cs="Times New Roman"/>
                <w:color w:val="000000" w:themeColor="text1"/>
                <w:sz w:val="20"/>
                <w:szCs w:val="20"/>
              </w:rPr>
              <w:footnoteReference w:id="285"/>
            </w:r>
            <w:r w:rsidRPr="00C029EB">
              <w:rPr>
                <w:rFonts w:ascii="Palatino Linotype" w:hAnsi="Palatino Linotype" w:eastAsia="Palatino Linotype" w:cs="Times New Roman"/>
                <w:color w:val="000000" w:themeColor="text1"/>
                <w:sz w:val="20"/>
                <w:szCs w:val="20"/>
              </w:rPr>
              <w:t xml:space="preserve"> to its proposal in its 2024 Plan,</w:t>
            </w:r>
            <w:r w:rsidRPr="00C029EB">
              <w:rPr>
                <w:rStyle w:val="FootnoteReference"/>
                <w:rFonts w:ascii="Palatino Linotype" w:hAnsi="Palatino Linotype" w:eastAsia="Palatino Linotype" w:cs="Times New Roman"/>
                <w:color w:val="000000" w:themeColor="text1"/>
                <w:sz w:val="20"/>
                <w:szCs w:val="20"/>
              </w:rPr>
              <w:footnoteReference w:id="286"/>
            </w:r>
            <w:r w:rsidRPr="00C029EB">
              <w:rPr>
                <w:rFonts w:ascii="Palatino Linotype" w:hAnsi="Palatino Linotype" w:eastAsia="Palatino Linotype" w:cs="Times New Roman"/>
                <w:color w:val="000000" w:themeColor="text1"/>
                <w:sz w:val="20"/>
                <w:szCs w:val="20"/>
              </w:rPr>
              <w:t xml:space="preserve"> however, the projects proposed in each Plan differ.</w:t>
            </w:r>
            <w:r w:rsidRPr="00C029EB">
              <w:rPr>
                <w:rStyle w:val="FootnoteReference"/>
                <w:rFonts w:ascii="Palatino Linotype" w:hAnsi="Palatino Linotype" w:eastAsia="Palatino Linotype" w:cs="Times New Roman"/>
                <w:color w:val="000000" w:themeColor="text1"/>
                <w:sz w:val="20"/>
                <w:szCs w:val="20"/>
              </w:rPr>
              <w:footnoteReference w:id="287"/>
            </w:r>
            <w:r w:rsidRPr="00C029EB">
              <w:rPr>
                <w:rFonts w:ascii="Palatino Linotype" w:hAnsi="Palatino Linotype" w:eastAsia="Palatino Linotype" w:cs="Times New Roman"/>
                <w:color w:val="000000" w:themeColor="text1"/>
                <w:sz w:val="20"/>
                <w:szCs w:val="20"/>
              </w:rPr>
              <w:t xml:space="preserve"> </w:t>
            </w:r>
            <w:r w:rsidRPr="00C029EB">
              <w:rPr>
                <w:rFonts w:ascii="Palatino Linotype" w:hAnsi="Palatino Linotype"/>
                <w:color w:val="000000" w:themeColor="text1"/>
                <w:sz w:val="20"/>
                <w:szCs w:val="20"/>
              </w:rPr>
              <w:t>As compared to existing Gas RD&amp;D activities conducted by other administrators, PG&amp;E states that there is no duplication as it is prioritizing the specific needs of PG&amp;E.</w:t>
            </w:r>
            <w:r w:rsidRPr="00C029EB">
              <w:rPr>
                <w:rStyle w:val="FootnoteReference"/>
                <w:rFonts w:ascii="Palatino Linotype" w:hAnsi="Palatino Linotype"/>
                <w:color w:val="000000" w:themeColor="text1"/>
                <w:sz w:val="20"/>
                <w:szCs w:val="20"/>
              </w:rPr>
              <w:footnoteReference w:id="288"/>
            </w:r>
            <w:r w:rsidRPr="00C029EB">
              <w:rPr>
                <w:rFonts w:ascii="Palatino Linotype" w:hAnsi="Palatino Linotype"/>
                <w:color w:val="000000" w:themeColor="text1"/>
                <w:sz w:val="20"/>
                <w:szCs w:val="20"/>
              </w:rPr>
              <w:t xml:space="preserve"> PG&amp;E states that it plans to “convene regularly with the other Gas R&amp;D Administrators to proactively identify potential areas of overlap and explore opportunities for collaboration and synergy across their respective portfolios.”</w:t>
            </w:r>
            <w:r w:rsidRPr="00C029EB">
              <w:rPr>
                <w:rStyle w:val="FootnoteReference"/>
                <w:rFonts w:ascii="Palatino Linotype" w:hAnsi="Palatino Linotype"/>
                <w:color w:val="000000" w:themeColor="text1"/>
                <w:sz w:val="20"/>
                <w:szCs w:val="20"/>
              </w:rPr>
              <w:footnoteReference w:id="289"/>
            </w:r>
            <w:r w:rsidRPr="00C029EB">
              <w:rPr>
                <w:rFonts w:ascii="Palatino Linotype" w:hAnsi="Palatino Linotype" w:eastAsia="Palatino Linotype" w:cs="Times New Roman"/>
                <w:color w:val="000000" w:themeColor="text1"/>
                <w:sz w:val="20"/>
                <w:szCs w:val="20"/>
              </w:rPr>
              <w:t xml:space="preserve"> </w:t>
            </w:r>
          </w:p>
          <w:p w:rsidRPr="00C029EB" w:rsidR="00F84F28" w:rsidP="00F84F28" w:rsidRDefault="00F84F28" w14:paraId="255EC757" w14:textId="77777777">
            <w:pPr>
              <w:pStyle w:val="ListParagraph"/>
              <w:numPr>
                <w:ilvl w:val="0"/>
                <w:numId w:val="21"/>
              </w:numPr>
              <w:rPr>
                <w:rFonts w:ascii="Palatino Linotype" w:hAnsi="Palatino Linotype"/>
                <w:color w:val="000000" w:themeColor="text1"/>
                <w:sz w:val="20"/>
                <w:szCs w:val="20"/>
              </w:rPr>
            </w:pPr>
            <w:r w:rsidRPr="00C029EB">
              <w:rPr>
                <w:rFonts w:ascii="Palatino Linotype" w:hAnsi="Palatino Linotype" w:eastAsia="Palatino Linotype" w:cs="Times New Roman"/>
                <w:color w:val="000000" w:themeColor="text1"/>
                <w:sz w:val="20"/>
                <w:szCs w:val="20"/>
              </w:rPr>
              <w:t xml:space="preserve">Integrated Planning Tools to Enable Scaled-Up Gas Decommissioning and Electrification: PG&amp;E states it avoids duplication by “[consuming] authoritative external outputs as inputs” and details prior ecosystem activity, </w:t>
            </w:r>
            <w:r w:rsidRPr="00C029EB">
              <w:rPr>
                <w:rFonts w:ascii="Palatino Linotype" w:hAnsi="Palatino Linotype" w:eastAsia="Palatino Linotype" w:cs="Times New Roman"/>
                <w:color w:val="000000" w:themeColor="text1"/>
                <w:sz w:val="20"/>
                <w:szCs w:val="20"/>
              </w:rPr>
              <w:lastRenderedPageBreak/>
              <w:t>what that work established, how it feeds this opportunity, and the targeted Gas RD&amp;D opportunity.</w:t>
            </w:r>
            <w:r w:rsidRPr="00C029EB">
              <w:rPr>
                <w:rStyle w:val="FootnoteReference"/>
                <w:rFonts w:ascii="Palatino Linotype" w:hAnsi="Palatino Linotype" w:eastAsia="Palatino Linotype" w:cs="Times New Roman"/>
                <w:color w:val="000000" w:themeColor="text1"/>
                <w:sz w:val="20"/>
                <w:szCs w:val="20"/>
              </w:rPr>
              <w:footnoteReference w:id="290"/>
            </w:r>
            <w:r w:rsidRPr="00C029EB">
              <w:rPr>
                <w:rFonts w:ascii="Palatino Linotype" w:hAnsi="Palatino Linotype" w:eastAsia="Palatino Linotype" w:cs="Times New Roman"/>
                <w:color w:val="000000" w:themeColor="text1"/>
                <w:sz w:val="20"/>
                <w:szCs w:val="20"/>
              </w:rPr>
              <w:t xml:space="preserve"> </w:t>
            </w:r>
          </w:p>
          <w:p w:rsidRPr="00C029EB" w:rsidR="00F84F28" w:rsidRDefault="00F84F28" w14:paraId="40122740"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color w:val="000000" w:themeColor="text1"/>
                <w:sz w:val="20"/>
                <w:szCs w:val="20"/>
              </w:rPr>
              <w:t>Clean Fuels Integration: As compared to existing Gas RD&amp;D activities conducted by other administrators, PG&amp;E states that “RNG analyzer testing will take place in PG&amp;E’s territory. PG&amp;E Gas RD&amp;D's expected role is to lead the research for new technology development, evaluation, fi industry.”</w:t>
            </w:r>
            <w:r w:rsidRPr="00C029EB">
              <w:rPr>
                <w:rStyle w:val="FootnoteReference"/>
                <w:rFonts w:ascii="Palatino Linotype" w:hAnsi="Palatino Linotype"/>
                <w:color w:val="000000" w:themeColor="text1"/>
                <w:sz w:val="20"/>
                <w:szCs w:val="20"/>
              </w:rPr>
              <w:footnoteReference w:id="291"/>
            </w:r>
            <w:r w:rsidRPr="00C029EB">
              <w:rPr>
                <w:rFonts w:ascii="Palatino Linotype" w:hAnsi="Palatino Linotype"/>
                <w:color w:val="000000" w:themeColor="text1"/>
                <w:sz w:val="20"/>
                <w:szCs w:val="20"/>
              </w:rPr>
              <w:t xml:space="preserve"> PG&amp;E states that it plans to “convene regularly with the other Gas R&amp;D Administrators to proactively identify potential areas of overlap and explore opportunities for collaboration and synergy across their respective portfolios.”</w:t>
            </w:r>
            <w:r w:rsidRPr="00C029EB">
              <w:rPr>
                <w:rStyle w:val="FootnoteReference"/>
                <w:rFonts w:ascii="Palatino Linotype" w:hAnsi="Palatino Linotype"/>
                <w:color w:val="000000" w:themeColor="text1"/>
                <w:sz w:val="20"/>
                <w:szCs w:val="20"/>
              </w:rPr>
              <w:footnoteReference w:id="292"/>
            </w:r>
            <w:r w:rsidRPr="00C029EB">
              <w:rPr>
                <w:rFonts w:ascii="Palatino Linotype" w:hAnsi="Palatino Linotype"/>
                <w:color w:val="000000" w:themeColor="text1"/>
                <w:sz w:val="20"/>
                <w:szCs w:val="20"/>
              </w:rPr>
              <w:t xml:space="preserve"> </w:t>
            </w:r>
          </w:p>
        </w:tc>
        <w:tc>
          <w:tcPr>
            <w:tcW w:w="4681" w:type="dxa"/>
          </w:tcPr>
          <w:p w:rsidRPr="00C029EB" w:rsidR="00F84F28" w:rsidRDefault="00F84F28" w14:paraId="1378A981"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lastRenderedPageBreak/>
              <w:t xml:space="preserve">For </w:t>
            </w:r>
            <w:r w:rsidRPr="00C029EB">
              <w:rPr>
                <w:rFonts w:ascii="Palatino Linotype" w:hAnsi="Palatino Linotype" w:eastAsia="Palatino Linotype" w:cs="Times New Roman"/>
                <w:color w:val="000000" w:themeColor="text1"/>
                <w:sz w:val="20"/>
                <w:szCs w:val="20"/>
              </w:rPr>
              <w:t>Integrated Planning Tools to Enable Scaled-Up Gas Decommissioning and Electrification</w:t>
            </w:r>
            <w:r w:rsidRPr="00C029EB">
              <w:rPr>
                <w:rFonts w:ascii="Palatino Linotype" w:hAnsi="Palatino Linotype" w:eastAsia="Palatino Linotype"/>
                <w:color w:val="000000" w:themeColor="text1"/>
                <w:sz w:val="20"/>
                <w:szCs w:val="20"/>
              </w:rPr>
              <w:t xml:space="preserve">, </w:t>
            </w:r>
            <w:r w:rsidRPr="00C029EB">
              <w:rPr>
                <w:rFonts w:ascii="Palatino Linotype" w:hAnsi="Palatino Linotype"/>
                <w:color w:val="000000" w:themeColor="text1"/>
                <w:sz w:val="20"/>
                <w:szCs w:val="20"/>
              </w:rPr>
              <w:t xml:space="preserve">PG&amp;E thoroughly demonstrates that proposed investments do not unnecessarily duplicate research currently, </w:t>
            </w:r>
            <w:r w:rsidRPr="00711B05">
              <w:rPr>
                <w:rFonts w:ascii="Palatino Linotype" w:hAnsi="Palatino Linotype"/>
                <w:color w:val="000000" w:themeColor="text1"/>
                <w:sz w:val="20"/>
                <w:szCs w:val="20"/>
              </w:rPr>
              <w:t xml:space="preserve">previously, or imminently </w:t>
            </w:r>
            <w:r w:rsidRPr="00711B05">
              <w:rPr>
                <w:rFonts w:ascii="Palatino Linotype" w:hAnsi="Palatino Linotype"/>
                <w:color w:val="000000" w:themeColor="text1"/>
                <w:sz w:val="20"/>
                <w:szCs w:val="20"/>
              </w:rPr>
              <w:lastRenderedPageBreak/>
              <w:t xml:space="preserve">undertaken. For this Initiative, </w:t>
            </w:r>
            <w:r w:rsidRPr="00711B05">
              <w:rPr>
                <w:rFonts w:ascii="Palatino Linotype" w:hAnsi="Palatino Linotype"/>
                <w:b/>
                <w:bCs w:val="0"/>
                <w:color w:val="000000" w:themeColor="text1"/>
                <w:sz w:val="20"/>
                <w:szCs w:val="20"/>
              </w:rPr>
              <w:t>PG&amp;E is compliant with this requirement.</w:t>
            </w:r>
          </w:p>
          <w:p w:rsidRPr="00C029EB" w:rsidR="00F84F28" w:rsidRDefault="00F84F28" w14:paraId="170B78E1" w14:textId="77777777">
            <w:pPr>
              <w:rPr>
                <w:rFonts w:ascii="Palatino Linotype" w:hAnsi="Palatino Linotype"/>
                <w:color w:val="000000" w:themeColor="text1"/>
                <w:sz w:val="20"/>
                <w:szCs w:val="20"/>
              </w:rPr>
            </w:pPr>
          </w:p>
          <w:p w:rsidRPr="00C029EB" w:rsidR="00F84F28" w:rsidRDefault="00F84F28" w14:paraId="2E29205D"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 xml:space="preserve">However, for the following two Initiatives, PG&amp;E does not sufficiently demonstrate that proposed investments do not unnecessarily duplicate research currently, previously, or imminently undertaken by differentiating similar RD&amp;D led by other Gas RD&amp;D administrators, including:  </w:t>
            </w:r>
          </w:p>
          <w:p w:rsidRPr="00C029EB" w:rsidR="00F84F28" w:rsidP="00F84F28" w:rsidRDefault="00F84F28" w14:paraId="7ACB5457" w14:textId="28580B98">
            <w:pPr>
              <w:pStyle w:val="ListParagraph"/>
              <w:numPr>
                <w:ilvl w:val="0"/>
                <w:numId w:val="22"/>
              </w:num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Innovative and Cost-Effective Integrity Management from S</w:t>
            </w:r>
            <w:r w:rsidR="00137BCF">
              <w:rPr>
                <w:rFonts w:ascii="Palatino Linotype" w:hAnsi="Palatino Linotype"/>
                <w:color w:val="000000" w:themeColor="text1"/>
                <w:sz w:val="20"/>
                <w:szCs w:val="20"/>
              </w:rPr>
              <w:t>oCalGas</w:t>
            </w:r>
            <w:r w:rsidRPr="00C029EB">
              <w:rPr>
                <w:rFonts w:ascii="Palatino Linotype" w:hAnsi="Palatino Linotype"/>
                <w:color w:val="000000" w:themeColor="text1"/>
                <w:sz w:val="20"/>
                <w:szCs w:val="20"/>
              </w:rPr>
              <w:t xml:space="preserve">’ (i) Operations Technology &amp; (ii) System Inspection &amp; Monitoring Initiatives. </w:t>
            </w:r>
          </w:p>
          <w:p w:rsidRPr="00711B05" w:rsidR="00F84F28" w:rsidP="00F84F28" w:rsidRDefault="00F84F28" w14:paraId="656F9586" w14:textId="27EF9FD2">
            <w:pPr>
              <w:pStyle w:val="ListParagraph"/>
              <w:numPr>
                <w:ilvl w:val="0"/>
                <w:numId w:val="22"/>
              </w:num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Clean Fuel Integration from S</w:t>
            </w:r>
            <w:r w:rsidR="00137BCF">
              <w:rPr>
                <w:rFonts w:ascii="Palatino Linotype" w:hAnsi="Palatino Linotype"/>
                <w:color w:val="000000" w:themeColor="text1"/>
                <w:sz w:val="20"/>
                <w:szCs w:val="20"/>
              </w:rPr>
              <w:t>oCalGas</w:t>
            </w:r>
            <w:r w:rsidRPr="00C029EB">
              <w:rPr>
                <w:rFonts w:ascii="Palatino Linotype" w:hAnsi="Palatino Linotype"/>
                <w:color w:val="000000" w:themeColor="text1"/>
                <w:sz w:val="20"/>
                <w:szCs w:val="20"/>
              </w:rPr>
              <w:t xml:space="preserve">’ (i) System Design &amp; Materials, (ii) RNG Infrastructure Optimization, (iii) Low Carbon Fuels Technology, and (iv) Low Carbon Fuels Integration </w:t>
            </w:r>
            <w:r w:rsidRPr="00711B05">
              <w:rPr>
                <w:rFonts w:ascii="Palatino Linotype" w:hAnsi="Palatino Linotype"/>
                <w:color w:val="000000" w:themeColor="text1"/>
                <w:sz w:val="20"/>
                <w:szCs w:val="20"/>
              </w:rPr>
              <w:t xml:space="preserve">Initiatives. </w:t>
            </w:r>
          </w:p>
          <w:p w:rsidRPr="00C029EB" w:rsidR="00F84F28" w:rsidRDefault="00F84F28" w14:paraId="04C822B4"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For these two Initiatives,</w:t>
            </w:r>
            <w:r w:rsidRPr="00711B05">
              <w:rPr>
                <w:rFonts w:ascii="Palatino Linotype" w:hAnsi="Palatino Linotype"/>
                <w:b/>
                <w:bCs w:val="0"/>
                <w:color w:val="000000" w:themeColor="text1"/>
                <w:sz w:val="20"/>
                <w:szCs w:val="20"/>
              </w:rPr>
              <w:t xml:space="preserve"> PG&amp;E 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this requirement.</w:t>
            </w:r>
          </w:p>
        </w:tc>
      </w:tr>
      <w:tr w:rsidR="00F84F28" w:rsidTr="00917561" w14:paraId="3A0A392A" w14:textId="77777777">
        <w:tc>
          <w:tcPr>
            <w:tcW w:w="3675" w:type="dxa"/>
          </w:tcPr>
          <w:p w:rsidRPr="00E21015" w:rsidR="00F84F28" w:rsidRDefault="00F84F28" w14:paraId="3E02D14F" w14:textId="77777777">
            <w:pPr>
              <w:rPr>
                <w:rFonts w:ascii="Palatino Linotype" w:hAnsi="Palatino Linotype" w:eastAsia="Palatino Linotype" w:cs="Times New Roman"/>
                <w:bCs w:val="0"/>
                <w:i/>
                <w:iCs/>
                <w:color w:val="000000" w:themeColor="text1"/>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w:t>
            </w:r>
            <w:r w:rsidRPr="00876218">
              <w:rPr>
                <w:rFonts w:ascii="Palatino Linotype" w:hAnsi="Palatino Linotype"/>
                <w:color w:val="000000" w:themeColor="text1"/>
                <w:sz w:val="20"/>
                <w:szCs w:val="20"/>
              </w:rPr>
              <w:t xml:space="preserve"> </w:t>
            </w:r>
            <w:r w:rsidRPr="00876218">
              <w:rPr>
                <w:rFonts w:ascii="Palatino Linotype" w:hAnsi="Palatino Linotype" w:eastAsia="Palatino Linotype" w:cs="Times New Roman"/>
                <w:color w:val="000000" w:themeColor="text1"/>
                <w:sz w:val="20"/>
                <w:szCs w:val="20"/>
              </w:rPr>
              <w:t>(e)</w:t>
            </w:r>
            <w:r w:rsidRPr="00E21015">
              <w:rPr>
                <w:rFonts w:ascii="Palatino Linotype" w:hAnsi="Palatino Linotype" w:eastAsia="Palatino Linotype" w:cs="Times New Roman"/>
                <w:i/>
                <w:iCs/>
                <w:color w:val="000000" w:themeColor="text1"/>
                <w:sz w:val="20"/>
                <w:szCs w:val="20"/>
              </w:rPr>
              <w:t xml:space="preserve"> Each project should also support one or more of the following objectives:</w:t>
            </w:r>
          </w:p>
          <w:p w:rsidRPr="00E21015" w:rsidR="00F84F28" w:rsidRDefault="00F84F28" w14:paraId="0D24A51C"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(1)</w:t>
            </w:r>
            <w:r w:rsidRPr="00E21015">
              <w:rPr>
                <w:rFonts w:ascii="Palatino Linotype" w:hAnsi="Palatino Linotype" w:eastAsia="Palatino Linotype" w:cs="Times New Roman"/>
                <w:i/>
                <w:iCs/>
                <w:color w:val="000000" w:themeColor="text1"/>
                <w:sz w:val="20"/>
                <w:szCs w:val="20"/>
              </w:rPr>
              <w:t xml:space="preserve"> Environmental improvement.</w:t>
            </w:r>
          </w:p>
          <w:p w:rsidRPr="00E21015" w:rsidR="00F84F28" w:rsidRDefault="00F84F28" w14:paraId="51DEDBBE"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(2)</w:t>
            </w:r>
            <w:r w:rsidRPr="00E21015">
              <w:rPr>
                <w:rFonts w:ascii="Palatino Linotype" w:hAnsi="Palatino Linotype" w:eastAsia="Palatino Linotype" w:cs="Times New Roman"/>
                <w:i/>
                <w:iCs/>
                <w:color w:val="000000" w:themeColor="text1"/>
                <w:sz w:val="20"/>
                <w:szCs w:val="20"/>
              </w:rPr>
              <w:t xml:space="preserve"> Public and employee safety.</w:t>
            </w:r>
          </w:p>
          <w:p w:rsidRPr="00E21015" w:rsidR="00F84F28" w:rsidRDefault="00F84F28" w14:paraId="6DA0E72E"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(3)</w:t>
            </w:r>
            <w:r w:rsidRPr="00E21015">
              <w:rPr>
                <w:rFonts w:ascii="Palatino Linotype" w:hAnsi="Palatino Linotype" w:eastAsia="Palatino Linotype" w:cs="Times New Roman"/>
                <w:i/>
                <w:iCs/>
                <w:color w:val="000000" w:themeColor="text1"/>
                <w:sz w:val="20"/>
                <w:szCs w:val="20"/>
              </w:rPr>
              <w:t xml:space="preserve"> Conservation by efficient resource use or by reducing or shifting system load.</w:t>
            </w:r>
          </w:p>
          <w:p w:rsidRPr="00E21015" w:rsidR="00F84F28" w:rsidRDefault="00F84F28" w14:paraId="50D1C3C6"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(4)</w:t>
            </w:r>
            <w:r w:rsidRPr="00E21015">
              <w:rPr>
                <w:rFonts w:ascii="Palatino Linotype" w:hAnsi="Palatino Linotype" w:eastAsia="Palatino Linotype" w:cs="Times New Roman"/>
                <w:i/>
                <w:iCs/>
                <w:color w:val="000000" w:themeColor="text1"/>
                <w:sz w:val="20"/>
                <w:szCs w:val="20"/>
              </w:rPr>
              <w:t xml:space="preserve"> Development of new resources and processes, particularly renewable resources and processes which further supply technologies.</w:t>
            </w:r>
          </w:p>
          <w:p w:rsidRPr="00CE486A" w:rsidR="00F84F28" w:rsidRDefault="00F84F28" w14:paraId="1A506AB5" w14:textId="77777777">
            <w:pPr>
              <w:rPr>
                <w:rFonts w:ascii="Palatino Linotype" w:hAnsi="Palatino Linotype" w:eastAsia="Palatino Linotype" w:cs="Times New Roman"/>
                <w:i/>
                <w:iCs/>
                <w:color w:val="000000" w:themeColor="text1"/>
                <w:sz w:val="20"/>
                <w:szCs w:val="20"/>
              </w:rPr>
            </w:pPr>
            <w:r w:rsidRPr="00876218">
              <w:rPr>
                <w:rFonts w:ascii="Palatino Linotype" w:hAnsi="Palatino Linotype" w:eastAsia="Palatino Linotype" w:cs="Times New Roman"/>
                <w:color w:val="000000" w:themeColor="text1"/>
                <w:sz w:val="20"/>
                <w:szCs w:val="20"/>
              </w:rPr>
              <w:lastRenderedPageBreak/>
              <w:t xml:space="preserve">  (5)</w:t>
            </w:r>
            <w:r w:rsidRPr="00E21015">
              <w:rPr>
                <w:rFonts w:ascii="Palatino Linotype" w:hAnsi="Palatino Linotype" w:eastAsia="Palatino Linotype" w:cs="Times New Roman"/>
                <w:i/>
                <w:iCs/>
                <w:color w:val="000000" w:themeColor="text1"/>
                <w:sz w:val="20"/>
                <w:szCs w:val="20"/>
              </w:rPr>
              <w:t xml:space="preserve"> Improve operating efficiency and reliability or otherwise reduce operating costs.</w:t>
            </w:r>
            <w:r>
              <w:rPr>
                <w:rStyle w:val="FootnoteReference"/>
                <w:rFonts w:ascii="Palatino Linotype" w:hAnsi="Palatino Linotype" w:eastAsia="Palatino Linotype" w:cs="Times New Roman"/>
                <w:i/>
                <w:iCs/>
                <w:color w:val="000000" w:themeColor="text1"/>
                <w:sz w:val="20"/>
                <w:szCs w:val="20"/>
              </w:rPr>
              <w:footnoteReference w:id="293"/>
            </w:r>
          </w:p>
        </w:tc>
        <w:tc>
          <w:tcPr>
            <w:tcW w:w="4599" w:type="dxa"/>
          </w:tcPr>
          <w:p w:rsidRPr="00164C5A" w:rsidR="00F84F28" w:rsidRDefault="00F84F28" w14:paraId="1A1A6B30" w14:textId="77777777">
            <w:pPr>
              <w:rPr>
                <w:rFonts w:ascii="Palatino Linotype" w:hAnsi="Palatino Linotype" w:eastAsia="Palatino Linotype" w:cs="Times New Roman"/>
                <w:color w:val="000000" w:themeColor="text1"/>
                <w:sz w:val="20"/>
                <w:szCs w:val="20"/>
              </w:rPr>
            </w:pPr>
            <w:r w:rsidRPr="004A6DF8">
              <w:rPr>
                <w:rFonts w:ascii="Palatino Linotype" w:hAnsi="Palatino Linotype"/>
                <w:sz w:val="20"/>
                <w:szCs w:val="20"/>
              </w:rPr>
              <w:lastRenderedPageBreak/>
              <w:t>PG&amp;E proposes budget allocations broken down by Initiatives within each Investment Theme</w:t>
            </w:r>
            <w:r>
              <w:rPr>
                <w:rFonts w:ascii="Palatino Linotype" w:hAnsi="Palatino Linotype"/>
                <w:sz w:val="20"/>
                <w:szCs w:val="20"/>
              </w:rPr>
              <w:t>:</w:t>
            </w:r>
            <w:r>
              <w:rPr>
                <w:rStyle w:val="FootnoteReference"/>
                <w:rFonts w:ascii="Palatino Linotype" w:hAnsi="Palatino Linotype"/>
                <w:sz w:val="20"/>
                <w:szCs w:val="20"/>
              </w:rPr>
              <w:footnoteReference w:id="294"/>
            </w:r>
            <w:r w:rsidRPr="004A6DF8">
              <w:rPr>
                <w:rFonts w:ascii="Palatino Linotype" w:hAnsi="Palatino Linotype"/>
                <w:sz w:val="20"/>
                <w:szCs w:val="20"/>
              </w:rPr>
              <w:t xml:space="preserve"> Gas System Integrity and </w:t>
            </w:r>
            <w:r w:rsidRPr="00C668F3">
              <w:rPr>
                <w:rFonts w:ascii="Palatino Linotype" w:hAnsi="Palatino Linotype"/>
                <w:color w:val="000000" w:themeColor="text1"/>
                <w:sz w:val="20"/>
                <w:szCs w:val="20"/>
              </w:rPr>
              <w:t>Decarbonization.</w:t>
            </w:r>
            <w:r>
              <w:t xml:space="preserve"> </w:t>
            </w:r>
            <w:r w:rsidRPr="00EE5711">
              <w:rPr>
                <w:rFonts w:ascii="Palatino Linotype" w:hAnsi="Palatino Linotype"/>
                <w:color w:val="000000" w:themeColor="text1"/>
                <w:sz w:val="20"/>
                <w:szCs w:val="20"/>
              </w:rPr>
              <w:t xml:space="preserve"> Initiatives within the Gas System Integrity </w:t>
            </w:r>
            <w:r>
              <w:rPr>
                <w:rFonts w:ascii="Palatino Linotype" w:hAnsi="Palatino Linotype"/>
                <w:color w:val="000000" w:themeColor="text1"/>
                <w:sz w:val="20"/>
                <w:szCs w:val="20"/>
              </w:rPr>
              <w:t>T</w:t>
            </w:r>
            <w:r w:rsidRPr="00EE5711">
              <w:rPr>
                <w:rFonts w:ascii="Palatino Linotype" w:hAnsi="Palatino Linotype"/>
                <w:color w:val="000000" w:themeColor="text1"/>
                <w:sz w:val="20"/>
                <w:szCs w:val="20"/>
              </w:rPr>
              <w:t>heme</w:t>
            </w:r>
            <w:r>
              <w:rPr>
                <w:rFonts w:ascii="Palatino Linotype" w:hAnsi="Palatino Linotype"/>
                <w:color w:val="000000" w:themeColor="text1"/>
                <w:sz w:val="20"/>
                <w:szCs w:val="20"/>
              </w:rPr>
              <w:t xml:space="preserve"> include </w:t>
            </w:r>
            <w:r w:rsidRPr="00C029EB">
              <w:rPr>
                <w:rFonts w:ascii="Palatino Linotype" w:hAnsi="Palatino Linotype"/>
                <w:color w:val="000000" w:themeColor="text1"/>
                <w:sz w:val="20"/>
                <w:szCs w:val="20"/>
              </w:rPr>
              <w:t xml:space="preserve">Innovative and Cost-Effective Integrity Management and </w:t>
            </w:r>
            <w:r w:rsidRPr="00C029EB">
              <w:rPr>
                <w:rFonts w:ascii="Palatino Linotype" w:hAnsi="Palatino Linotype" w:eastAsia="Palatino Linotype" w:cs="Times New Roman"/>
                <w:color w:val="000000" w:themeColor="text1"/>
                <w:sz w:val="20"/>
                <w:szCs w:val="20"/>
              </w:rPr>
              <w:t>Integrated Planning Tools to Enable Scaled-Up Gas Decommissioning and Electrification</w:t>
            </w:r>
            <w:r w:rsidRPr="00C029EB">
              <w:rPr>
                <w:rFonts w:ascii="Palatino Linotype" w:hAnsi="Palatino Linotype"/>
                <w:color w:val="000000" w:themeColor="text1"/>
                <w:sz w:val="20"/>
                <w:szCs w:val="20"/>
              </w:rPr>
              <w:t xml:space="preserve">. PG&amp;E also proposes a Clean Fuels Integration Initiative within </w:t>
            </w:r>
            <w:r w:rsidRPr="009E3927">
              <w:rPr>
                <w:rFonts w:ascii="Palatino Linotype" w:hAnsi="Palatino Linotype"/>
                <w:color w:val="000000" w:themeColor="text1"/>
                <w:sz w:val="20"/>
                <w:szCs w:val="20"/>
              </w:rPr>
              <w:t>the Decarbonization Theme</w:t>
            </w:r>
            <w:r>
              <w:rPr>
                <w:rFonts w:ascii="Palatino Linotype" w:hAnsi="Palatino Linotype"/>
                <w:color w:val="000000" w:themeColor="text1"/>
                <w:sz w:val="20"/>
                <w:szCs w:val="20"/>
              </w:rPr>
              <w:t>.</w:t>
            </w:r>
          </w:p>
        </w:tc>
        <w:tc>
          <w:tcPr>
            <w:tcW w:w="4681" w:type="dxa"/>
          </w:tcPr>
          <w:p w:rsidRPr="00DD4793" w:rsidR="00F84F28" w:rsidRDefault="00F84F28" w14:paraId="028EC438" w14:textId="77777777">
            <w:pPr>
              <w:rPr>
                <w:rFonts w:ascii="Palatino Linotype" w:hAnsi="Palatino Linotype"/>
                <w:color w:val="000000" w:themeColor="text1"/>
                <w:sz w:val="20"/>
                <w:szCs w:val="20"/>
              </w:rPr>
            </w:pPr>
            <w:r w:rsidRPr="00B42BCE">
              <w:rPr>
                <w:rFonts w:ascii="Palatino Linotype" w:hAnsi="Palatino Linotype"/>
                <w:color w:val="000000" w:themeColor="text1"/>
                <w:sz w:val="20"/>
                <w:szCs w:val="20"/>
              </w:rPr>
              <w:t>Each of PG&amp;E’s proposed Initiatives supports one or more of the required objec</w:t>
            </w:r>
            <w:r w:rsidRPr="00711B05">
              <w:rPr>
                <w:rFonts w:ascii="Palatino Linotype" w:hAnsi="Palatino Linotype"/>
                <w:color w:val="000000" w:themeColor="text1"/>
                <w:sz w:val="20"/>
                <w:szCs w:val="20"/>
              </w:rPr>
              <w:t>tives.</w:t>
            </w:r>
            <w:r w:rsidRPr="00711B05">
              <w:rPr>
                <w:rFonts w:ascii="Palatino Linotype" w:hAnsi="Palatino Linotype"/>
                <w:b/>
                <w:bCs w:val="0"/>
                <w:color w:val="000000" w:themeColor="text1"/>
                <w:sz w:val="20"/>
                <w:szCs w:val="20"/>
              </w:rPr>
              <w:t xml:space="preserve"> PG&amp;E is compliant with this requirement.</w:t>
            </w:r>
            <w:r w:rsidRPr="00B42BCE">
              <w:rPr>
                <w:rFonts w:ascii="Palatino Linotype" w:hAnsi="Palatino Linotype"/>
                <w:b/>
                <w:bCs w:val="0"/>
                <w:color w:val="000000" w:themeColor="text1"/>
                <w:sz w:val="20"/>
                <w:szCs w:val="20"/>
              </w:rPr>
              <w:t xml:space="preserve"> </w:t>
            </w:r>
          </w:p>
        </w:tc>
      </w:tr>
    </w:tbl>
    <w:p w:rsidR="00F84F28" w:rsidP="004C4BEB" w:rsidRDefault="00F84F28" w14:paraId="1F1F8DAE" w14:textId="77777777"/>
    <w:p w:rsidR="00F84F28" w:rsidRDefault="00F84F28" w14:paraId="08555AAD" w14:textId="77777777">
      <w:r>
        <w:br w:type="page"/>
      </w:r>
    </w:p>
    <w:p w:rsidRPr="00A90ABB" w:rsidR="005B37B5" w:rsidP="005B37B5" w:rsidRDefault="005B37B5" w14:paraId="5931E777" w14:textId="77777777">
      <w:pPr>
        <w:spacing w:line="240" w:lineRule="auto"/>
        <w:rPr>
          <w:rFonts w:ascii="Palatino Linotype" w:hAnsi="Palatino Linotype"/>
          <w:b/>
          <w:bCs/>
          <w:color w:val="000000" w:themeColor="text1"/>
        </w:rPr>
      </w:pPr>
      <w:r w:rsidRPr="00711B05">
        <w:rPr>
          <w:rFonts w:ascii="Palatino Linotype" w:hAnsi="Palatino Linotype"/>
          <w:b/>
          <w:color w:val="000000" w:themeColor="text1"/>
        </w:rPr>
        <w:lastRenderedPageBreak/>
        <w:t>APPENDIX H: Compliance Assessment of PG&amp;E’s 2026 Plan Submitted via Advice Letter 5222-G</w:t>
      </w:r>
      <w:r w:rsidRPr="004034DE">
        <w:rPr>
          <w:rFonts w:ascii="Palatino Linotype" w:hAnsi="Palatino Linotype"/>
          <w:b/>
          <w:bCs/>
          <w:color w:val="000000" w:themeColor="text1"/>
        </w:rPr>
        <w:t xml:space="preserve"> </w:t>
      </w:r>
    </w:p>
    <w:tbl>
      <w:tblPr>
        <w:tblStyle w:val="TableGrid"/>
        <w:tblW w:w="13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5472"/>
        <w:gridCol w:w="3888"/>
      </w:tblGrid>
      <w:tr w:rsidRPr="00FB1ACE" w:rsidR="00010951" w:rsidTr="00917561" w14:paraId="23926AED" w14:textId="77777777">
        <w:trPr>
          <w:tblHeader/>
        </w:trPr>
        <w:tc>
          <w:tcPr>
            <w:tcW w:w="3865" w:type="dxa"/>
            <w:vAlign w:val="center"/>
          </w:tcPr>
          <w:p w:rsidRPr="00FB1ACE" w:rsidR="00010951" w:rsidRDefault="00010951" w14:paraId="56C0AC28"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5472" w:type="dxa"/>
          </w:tcPr>
          <w:p w:rsidR="00010951" w:rsidRDefault="00010951" w14:paraId="38996322" w14:textId="77777777">
            <w:pPr>
              <w:rPr>
                <w:rFonts w:ascii="Palatino Linotype" w:hAnsi="Palatino Linotype"/>
                <w:b/>
                <w:sz w:val="20"/>
                <w:szCs w:val="20"/>
              </w:rPr>
            </w:pPr>
            <w:r>
              <w:rPr>
                <w:rFonts w:ascii="Palatino Linotype" w:hAnsi="Palatino Linotype"/>
                <w:b/>
                <w:sz w:val="20"/>
                <w:szCs w:val="20"/>
              </w:rPr>
              <w:t>PG&amp;E Response in AL 5222-G</w:t>
            </w:r>
          </w:p>
        </w:tc>
        <w:tc>
          <w:tcPr>
            <w:tcW w:w="3888" w:type="dxa"/>
          </w:tcPr>
          <w:p w:rsidR="00010951" w:rsidRDefault="00010951" w14:paraId="6F7CD8B4" w14:textId="77777777">
            <w:pPr>
              <w:rPr>
                <w:rFonts w:ascii="Palatino Linotype" w:hAnsi="Palatino Linotype"/>
                <w:b/>
                <w:sz w:val="20"/>
                <w:szCs w:val="20"/>
              </w:rPr>
            </w:pPr>
            <w:r>
              <w:rPr>
                <w:rFonts w:ascii="Palatino Linotype" w:hAnsi="Palatino Linotype"/>
                <w:b/>
                <w:sz w:val="20"/>
                <w:szCs w:val="20"/>
              </w:rPr>
              <w:t>Compliance Assessment</w:t>
            </w:r>
          </w:p>
        </w:tc>
      </w:tr>
      <w:tr w:rsidRPr="0088466A" w:rsidR="00010951" w:rsidTr="00917561" w14:paraId="0BF95829" w14:textId="77777777">
        <w:tc>
          <w:tcPr>
            <w:tcW w:w="3865" w:type="dxa"/>
          </w:tcPr>
          <w:p w:rsidRPr="0088466A" w:rsidR="00010951" w:rsidRDefault="00010951" w14:paraId="431CD18D" w14:textId="77777777">
            <w:pPr>
              <w:rPr>
                <w:rFonts w:ascii="Palatino Linotype" w:hAnsi="Palatino Linotype"/>
                <w:color w:val="000000" w:themeColor="text1"/>
                <w:sz w:val="20"/>
                <w:szCs w:val="20"/>
              </w:rPr>
            </w:pPr>
            <w:r w:rsidRPr="001221C0">
              <w:rPr>
                <w:rFonts w:ascii="Palatino Linotype" w:hAnsi="Palatino Linotype"/>
                <w:b/>
                <w:bCs w:val="0"/>
                <w:sz w:val="20"/>
                <w:szCs w:val="20"/>
              </w:rPr>
              <w:t xml:space="preserve">[1] </w:t>
            </w:r>
            <w:hyperlink w:history="1" r:id="rId50">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p. 217-218</w:t>
            </w:r>
            <w:r>
              <w:t xml:space="preserve">. </w:t>
            </w:r>
            <w:r w:rsidRPr="0088466A">
              <w:rPr>
                <w:rFonts w:ascii="Palatino Linotype" w:hAnsi="Palatino Linotype"/>
                <w:i/>
                <w:iCs/>
                <w:color w:val="000000" w:themeColor="text1"/>
                <w:sz w:val="20"/>
                <w:szCs w:val="20"/>
              </w:rPr>
              <w:t>PG&amp;E shall not record any Gas [RD&amp;D] program expenses in a one-way balancing account until an annual Tier 3 Advice Letter [AL] outlining its Gas RD&amp;D budget plan is approved.</w:t>
            </w:r>
            <w:r w:rsidRPr="0088466A">
              <w:rPr>
                <w:rStyle w:val="FootnoteReference"/>
                <w:rFonts w:ascii="Palatino Linotype" w:hAnsi="Palatino Linotype"/>
                <w:color w:val="000000" w:themeColor="text1"/>
              </w:rPr>
              <w:footnoteReference w:id="295"/>
            </w:r>
            <w:r w:rsidRPr="0088466A">
              <w:rPr>
                <w:rFonts w:ascii="Palatino Linotype" w:hAnsi="Palatino Linotype"/>
                <w:color w:val="000000" w:themeColor="text1"/>
                <w:sz w:val="20"/>
                <w:szCs w:val="20"/>
              </w:rPr>
              <w:t xml:space="preserve"> </w:t>
            </w:r>
          </w:p>
          <w:p w:rsidRPr="0088466A" w:rsidR="00010951" w:rsidRDefault="00010951" w14:paraId="439FE4B1" w14:textId="77777777">
            <w:pPr>
              <w:rPr>
                <w:rFonts w:ascii="Palatino Linotype" w:hAnsi="Palatino Linotype"/>
                <w:color w:val="000000" w:themeColor="text1"/>
                <w:sz w:val="20"/>
                <w:szCs w:val="20"/>
              </w:rPr>
            </w:pPr>
          </w:p>
          <w:p w:rsidRPr="0088466A" w:rsidR="00010951" w:rsidRDefault="00010951" w14:paraId="6815254D" w14:textId="056506F3">
            <w:pPr>
              <w:rPr>
                <w:rFonts w:ascii="Palatino Linotype" w:hAnsi="Palatino Linotype"/>
                <w:color w:val="000000" w:themeColor="text1"/>
                <w:sz w:val="20"/>
                <w:szCs w:val="20"/>
              </w:rPr>
            </w:pPr>
            <w:r w:rsidRPr="0088466A">
              <w:rPr>
                <w:rFonts w:ascii="Palatino Linotype" w:hAnsi="Palatino Linotype" w:eastAsia="Palatino Linotype" w:cs="Times New Roman"/>
                <w:color w:val="000000" w:themeColor="text1"/>
                <w:sz w:val="20"/>
                <w:szCs w:val="20"/>
              </w:rPr>
              <w:t>D.23-11-069 approved a Test Year 2023 Gas RD&amp;D budget of $7.414 million and escalation factor authorizi</w:t>
            </w:r>
            <w:r w:rsidRPr="00514311">
              <w:rPr>
                <w:rFonts w:ascii="Palatino Linotype" w:hAnsi="Palatino Linotype" w:eastAsia="Palatino Linotype" w:cs="Times New Roman"/>
                <w:color w:val="000000" w:themeColor="text1"/>
                <w:sz w:val="20"/>
                <w:szCs w:val="20"/>
              </w:rPr>
              <w:t>ng a</w:t>
            </w:r>
            <w:r w:rsidR="0069191B">
              <w:rPr>
                <w:rFonts w:ascii="Palatino Linotype" w:hAnsi="Palatino Linotype" w:eastAsia="Palatino Linotype" w:cs="Times New Roman"/>
                <w:color w:val="000000" w:themeColor="text1"/>
                <w:sz w:val="20"/>
                <w:szCs w:val="20"/>
              </w:rPr>
              <w:t>n</w:t>
            </w:r>
            <w:r w:rsidRPr="00514311">
              <w:rPr>
                <w:rFonts w:ascii="Palatino Linotype" w:hAnsi="Palatino Linotype" w:eastAsia="Palatino Linotype" w:cs="Times New Roman"/>
                <w:color w:val="000000" w:themeColor="text1"/>
                <w:sz w:val="20"/>
                <w:szCs w:val="20"/>
              </w:rPr>
              <w:t xml:space="preserve"> $8,267,000 million annual budget cap for PG&amp;E’s 2026 Plan,</w:t>
            </w:r>
            <w:r w:rsidR="00350376">
              <w:rPr>
                <w:rStyle w:val="FootnoteReference"/>
                <w:rFonts w:ascii="Palatino Linotype" w:hAnsi="Palatino Linotype" w:eastAsia="Palatino Linotype" w:cs="Times New Roman"/>
                <w:color w:val="000000" w:themeColor="text1"/>
                <w:sz w:val="20"/>
                <w:szCs w:val="20"/>
              </w:rPr>
              <w:footnoteReference w:id="296"/>
            </w:r>
            <w:r w:rsidRPr="0088466A">
              <w:rPr>
                <w:rFonts w:ascii="Palatino Linotype" w:hAnsi="Palatino Linotype" w:eastAsia="Palatino Linotype" w:cs="Times New Roman"/>
                <w:color w:val="000000" w:themeColor="text1"/>
                <w:sz w:val="20"/>
                <w:szCs w:val="20"/>
              </w:rPr>
              <w:t xml:space="preserve"> pending Commission approval.</w:t>
            </w:r>
            <w:r w:rsidRPr="0088466A">
              <w:rPr>
                <w:rStyle w:val="FootnoteReference"/>
                <w:rFonts w:ascii="Palatino Linotype" w:hAnsi="Palatino Linotype" w:eastAsia="Palatino Linotype" w:cs="Times New Roman"/>
                <w:color w:val="000000" w:themeColor="text1"/>
                <w:sz w:val="20"/>
                <w:szCs w:val="20"/>
              </w:rPr>
              <w:footnoteReference w:id="297"/>
            </w:r>
          </w:p>
        </w:tc>
        <w:tc>
          <w:tcPr>
            <w:tcW w:w="5472" w:type="dxa"/>
          </w:tcPr>
          <w:p w:rsidRPr="00876218" w:rsidR="00010951" w:rsidRDefault="00010951" w14:paraId="0E44F45C" w14:textId="77777777">
            <w:pPr>
              <w:rPr>
                <w:rFonts w:ascii="Palatino Linotype" w:hAnsi="Palatino Linotype"/>
                <w:sz w:val="20"/>
                <w:szCs w:val="20"/>
              </w:rPr>
            </w:pPr>
            <w:r>
              <w:rPr>
                <w:rFonts w:ascii="Palatino Linotype" w:hAnsi="Palatino Linotype"/>
                <w:sz w:val="20"/>
                <w:szCs w:val="20"/>
              </w:rPr>
              <w:t>PG&amp;E submitted its proposed 2026 Gas RD&amp;D Plan via Tier 3 AL 5222-G on June 1, 2026, requesting an $8,267,000 budget.</w:t>
            </w:r>
            <w:r>
              <w:rPr>
                <w:rStyle w:val="FootnoteReference"/>
                <w:rFonts w:ascii="Palatino Linotype" w:hAnsi="Palatino Linotype"/>
                <w:sz w:val="20"/>
                <w:szCs w:val="20"/>
              </w:rPr>
              <w:footnoteReference w:id="298"/>
            </w:r>
          </w:p>
        </w:tc>
        <w:tc>
          <w:tcPr>
            <w:tcW w:w="3888" w:type="dxa"/>
          </w:tcPr>
          <w:p w:rsidRPr="00711B05" w:rsidR="00010951" w:rsidRDefault="00010951" w14:paraId="54FFA4F6" w14:textId="77777777">
            <w:pPr>
              <w:rPr>
                <w:rFonts w:ascii="Palatino Linotype" w:hAnsi="Palatino Linotype"/>
                <w:b/>
                <w:bCs w:val="0"/>
                <w:sz w:val="20"/>
                <w:szCs w:val="20"/>
              </w:rPr>
            </w:pPr>
            <w:r w:rsidRPr="00711B05">
              <w:rPr>
                <w:rFonts w:ascii="Palatino Linotype" w:hAnsi="Palatino Linotype"/>
                <w:sz w:val="20"/>
                <w:szCs w:val="20"/>
              </w:rPr>
              <w:t xml:space="preserve">PG&amp;E’s request for approval of its 2026 Plan submitted via Tier 3 AL with an annual budget of $8,267,000 is consistent with the authorized budget. </w:t>
            </w:r>
            <w:r w:rsidRPr="00711B05">
              <w:rPr>
                <w:rFonts w:ascii="Palatino Linotype" w:hAnsi="Palatino Linotype"/>
                <w:b/>
                <w:bCs w:val="0"/>
                <w:sz w:val="20"/>
                <w:szCs w:val="20"/>
              </w:rPr>
              <w:t>PG&amp;E is compliant with this requirement.</w:t>
            </w:r>
          </w:p>
          <w:p w:rsidRPr="00711B05" w:rsidR="00C74C14" w:rsidRDefault="00C74C14" w14:paraId="34FCC0B1" w14:textId="77777777">
            <w:pPr>
              <w:rPr>
                <w:rFonts w:ascii="Palatino Linotype" w:hAnsi="Palatino Linotype"/>
                <w:b/>
                <w:sz w:val="20"/>
                <w:szCs w:val="20"/>
              </w:rPr>
            </w:pPr>
          </w:p>
          <w:p w:rsidRPr="00711B05" w:rsidR="00C74C14" w:rsidRDefault="00E8699B" w14:paraId="065F2ACB" w14:textId="0527E684">
            <w:pPr>
              <w:rPr>
                <w:rFonts w:ascii="Palatino Linotype" w:hAnsi="Palatino Linotype"/>
                <w:sz w:val="20"/>
                <w:szCs w:val="20"/>
              </w:rPr>
            </w:pPr>
            <w:r w:rsidRPr="00711B05">
              <w:rPr>
                <w:rFonts w:ascii="Palatino Linotype" w:hAnsi="Palatino Linotype"/>
                <w:color w:val="000000" w:themeColor="text1"/>
                <w:sz w:val="20"/>
                <w:szCs w:val="20"/>
              </w:rPr>
              <w:t>However, the Commission authorizes a budget of </w:t>
            </w:r>
            <w:r w:rsidRPr="00711B05" w:rsidR="00126AB0">
              <w:rPr>
                <w:rFonts w:ascii="Palatino Linotype" w:hAnsi="Palatino Linotype"/>
                <w:color w:val="000000" w:themeColor="text1"/>
                <w:sz w:val="20"/>
                <w:szCs w:val="20"/>
              </w:rPr>
              <w:t xml:space="preserve">$7,874,348 </w:t>
            </w:r>
            <w:r w:rsidRPr="00711B05">
              <w:rPr>
                <w:rFonts w:ascii="Palatino Linotype" w:hAnsi="Palatino Linotype"/>
                <w:color w:val="000000" w:themeColor="text1"/>
                <w:sz w:val="20"/>
                <w:szCs w:val="20"/>
              </w:rPr>
              <w:t>for PG&amp;E’s 202</w:t>
            </w:r>
            <w:r w:rsidRPr="00711B05" w:rsidR="00786496">
              <w:rPr>
                <w:rFonts w:ascii="Palatino Linotype" w:hAnsi="Palatino Linotype"/>
                <w:color w:val="000000" w:themeColor="text1"/>
                <w:sz w:val="20"/>
                <w:szCs w:val="20"/>
              </w:rPr>
              <w:t>6</w:t>
            </w:r>
            <w:r w:rsidRPr="00711B05">
              <w:rPr>
                <w:rFonts w:ascii="Palatino Linotype" w:hAnsi="Palatino Linotype"/>
                <w:color w:val="000000" w:themeColor="text1"/>
                <w:sz w:val="20"/>
                <w:szCs w:val="20"/>
              </w:rPr>
              <w:t xml:space="preserve"> Plan as outlined in Appendix B.  </w:t>
            </w:r>
          </w:p>
        </w:tc>
      </w:tr>
      <w:tr w:rsidRPr="00CF6323" w:rsidR="00010951" w14:paraId="36A4D196" w14:textId="77777777">
        <w:tc>
          <w:tcPr>
            <w:tcW w:w="3865" w:type="dxa"/>
          </w:tcPr>
          <w:p w:rsidRPr="00CF6323" w:rsidR="00010951" w:rsidRDefault="00010951" w14:paraId="77B7C906" w14:textId="77777777">
            <w:pPr>
              <w:rPr>
                <w:rFonts w:ascii="Palatino Linotype" w:hAnsi="Palatino Linotype"/>
                <w:i/>
                <w:iCs/>
                <w:sz w:val="20"/>
                <w:szCs w:val="20"/>
              </w:rPr>
            </w:pPr>
            <w:r w:rsidRPr="001221C0">
              <w:rPr>
                <w:rFonts w:ascii="Palatino Linotype" w:hAnsi="Palatino Linotype"/>
                <w:b/>
                <w:bCs w:val="0"/>
                <w:sz w:val="20"/>
                <w:szCs w:val="20"/>
              </w:rPr>
              <w:t>[</w:t>
            </w:r>
            <w:r>
              <w:rPr>
                <w:rFonts w:ascii="Palatino Linotype" w:hAnsi="Palatino Linotype"/>
                <w:b/>
                <w:bCs w:val="0"/>
                <w:sz w:val="20"/>
                <w:szCs w:val="20"/>
              </w:rPr>
              <w:t>2</w:t>
            </w:r>
            <w:r w:rsidRPr="001221C0">
              <w:rPr>
                <w:rFonts w:ascii="Palatino Linotype" w:hAnsi="Palatino Linotype"/>
                <w:b/>
                <w:bCs w:val="0"/>
                <w:sz w:val="20"/>
                <w:szCs w:val="20"/>
              </w:rPr>
              <w:t xml:space="preserve">] </w:t>
            </w:r>
            <w:hyperlink w:history="1" r:id="rId51">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r w:rsidRPr="00DB1752">
              <w:rPr>
                <w:rFonts w:ascii="Palatino Linotype" w:hAnsi="Palatino Linotype"/>
                <w:i/>
                <w:iCs/>
                <w:sz w:val="20"/>
                <w:szCs w:val="20"/>
              </w:rPr>
              <w:t>detail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299"/>
            </w:r>
            <w:r w:rsidRPr="00FB1ACE">
              <w:rPr>
                <w:rFonts w:ascii="Palatino Linotype" w:hAnsi="Palatino Linotype"/>
                <w:i/>
                <w:iCs/>
                <w:sz w:val="20"/>
                <w:szCs w:val="20"/>
              </w:rPr>
              <w:t xml:space="preserve"> </w:t>
            </w:r>
          </w:p>
        </w:tc>
        <w:tc>
          <w:tcPr>
            <w:tcW w:w="5472" w:type="dxa"/>
          </w:tcPr>
          <w:p w:rsidRPr="00876218" w:rsidR="00010951" w:rsidRDefault="00010951" w14:paraId="60A7EADB" w14:textId="77777777">
            <w:pPr>
              <w:rPr>
                <w:rFonts w:ascii="Palatino Linotype" w:hAnsi="Palatino Linotype"/>
                <w:sz w:val="20"/>
                <w:szCs w:val="20"/>
              </w:rPr>
            </w:pPr>
            <w:r w:rsidRPr="00844A03">
              <w:rPr>
                <w:rFonts w:ascii="Palatino Linotype" w:hAnsi="Palatino Linotype"/>
                <w:sz w:val="20"/>
                <w:szCs w:val="20"/>
              </w:rPr>
              <w:t xml:space="preserve">PG&amp;E proposes a total budget of </w:t>
            </w:r>
            <w:r>
              <w:rPr>
                <w:rFonts w:ascii="Palatino Linotype" w:hAnsi="Palatino Linotype"/>
                <w:sz w:val="20"/>
                <w:szCs w:val="20"/>
              </w:rPr>
              <w:t xml:space="preserve">$8,267,000 </w:t>
            </w:r>
            <w:r w:rsidRPr="00844A03">
              <w:rPr>
                <w:rFonts w:ascii="Palatino Linotype" w:hAnsi="Palatino Linotype"/>
                <w:sz w:val="20"/>
                <w:szCs w:val="20"/>
              </w:rPr>
              <w:t>for its 202</w:t>
            </w:r>
            <w:r>
              <w:rPr>
                <w:rFonts w:ascii="Palatino Linotype" w:hAnsi="Palatino Linotype"/>
                <w:sz w:val="20"/>
                <w:szCs w:val="20"/>
              </w:rPr>
              <w:t>6</w:t>
            </w:r>
            <w:r w:rsidRPr="00844A03">
              <w:rPr>
                <w:rFonts w:ascii="Palatino Linotype" w:hAnsi="Palatino Linotype"/>
                <w:sz w:val="20"/>
                <w:szCs w:val="20"/>
              </w:rPr>
              <w:t xml:space="preserve"> Plan, including $8</w:t>
            </w:r>
            <w:r>
              <w:rPr>
                <w:rFonts w:ascii="Palatino Linotype" w:hAnsi="Palatino Linotype"/>
                <w:sz w:val="20"/>
                <w:szCs w:val="20"/>
              </w:rPr>
              <w:t>26,7</w:t>
            </w:r>
            <w:r w:rsidRPr="00844A03">
              <w:rPr>
                <w:rFonts w:ascii="Palatino Linotype" w:hAnsi="Palatino Linotype"/>
                <w:sz w:val="20"/>
                <w:szCs w:val="20"/>
              </w:rPr>
              <w:t>00 for Program Administrative costs. PG&amp;E further delineates administrative costs into activity categories by percentage.</w:t>
            </w:r>
            <w:r>
              <w:rPr>
                <w:rStyle w:val="FootnoteReference"/>
                <w:rFonts w:ascii="Palatino Linotype" w:hAnsi="Palatino Linotype"/>
                <w:sz w:val="20"/>
                <w:szCs w:val="20"/>
              </w:rPr>
              <w:footnoteReference w:id="300"/>
            </w:r>
          </w:p>
        </w:tc>
        <w:tc>
          <w:tcPr>
            <w:tcW w:w="3888" w:type="dxa"/>
          </w:tcPr>
          <w:p w:rsidRPr="00711B05" w:rsidR="00010951" w:rsidRDefault="00010951" w14:paraId="156C107B" w14:textId="77777777">
            <w:pPr>
              <w:rPr>
                <w:rFonts w:ascii="Palatino Linotype" w:hAnsi="Palatino Linotype"/>
                <w:b/>
                <w:bCs w:val="0"/>
                <w:sz w:val="20"/>
                <w:szCs w:val="20"/>
              </w:rPr>
            </w:pPr>
            <w:r w:rsidRPr="00711B05">
              <w:rPr>
                <w:rFonts w:ascii="Palatino Linotype" w:hAnsi="Palatino Linotype"/>
                <w:sz w:val="20"/>
                <w:szCs w:val="20"/>
              </w:rPr>
              <w:t xml:space="preserve">PG&amp;E’s request for $826,700 for Program Administrative costs, delineated by authorized activities using the provided template, is within the 10% budget cap. </w:t>
            </w:r>
            <w:r w:rsidRPr="00711B05">
              <w:rPr>
                <w:rFonts w:ascii="Palatino Linotype" w:hAnsi="Palatino Linotype"/>
                <w:b/>
                <w:bCs w:val="0"/>
                <w:sz w:val="20"/>
                <w:szCs w:val="20"/>
              </w:rPr>
              <w:t>PG&amp;E is compliant with this requirement.</w:t>
            </w:r>
          </w:p>
          <w:p w:rsidRPr="00711B05" w:rsidR="00786496" w:rsidRDefault="00786496" w14:paraId="20362820" w14:textId="77777777">
            <w:pPr>
              <w:rPr>
                <w:rFonts w:ascii="Palatino Linotype" w:hAnsi="Palatino Linotype"/>
                <w:b/>
                <w:sz w:val="20"/>
                <w:szCs w:val="20"/>
              </w:rPr>
            </w:pPr>
          </w:p>
          <w:p w:rsidRPr="00711B05" w:rsidR="00786496" w:rsidRDefault="00786496" w14:paraId="24E9C12E" w14:textId="44207000">
            <w:pPr>
              <w:rPr>
                <w:rFonts w:ascii="Palatino Linotype" w:hAnsi="Palatino Linotype"/>
                <w:sz w:val="20"/>
                <w:szCs w:val="20"/>
              </w:rPr>
            </w:pPr>
            <w:r w:rsidRPr="00711B05">
              <w:rPr>
                <w:rFonts w:ascii="Palatino Linotype" w:hAnsi="Palatino Linotype"/>
                <w:color w:val="000000" w:themeColor="text1"/>
                <w:sz w:val="20"/>
                <w:szCs w:val="20"/>
              </w:rPr>
              <w:lastRenderedPageBreak/>
              <w:t>However, the Commission authorizes</w:t>
            </w:r>
            <w:r w:rsidRPr="00711B05" w:rsidR="00BA2F89">
              <w:rPr>
                <w:rFonts w:ascii="Palatino Linotype" w:hAnsi="Palatino Linotype"/>
                <w:color w:val="000000" w:themeColor="text1"/>
                <w:sz w:val="20"/>
                <w:szCs w:val="20"/>
              </w:rPr>
              <w:t xml:space="preserve"> an </w:t>
            </w:r>
            <w:proofErr w:type="gramStart"/>
            <w:r w:rsidRPr="00711B05">
              <w:rPr>
                <w:rFonts w:ascii="Palatino Linotype" w:hAnsi="Palatino Linotype"/>
                <w:color w:val="000000" w:themeColor="text1"/>
                <w:sz w:val="20"/>
                <w:szCs w:val="20"/>
              </w:rPr>
              <w:t>Administrati</w:t>
            </w:r>
            <w:r w:rsidRPr="00711B05" w:rsidR="00BA2F89">
              <w:rPr>
                <w:rFonts w:ascii="Palatino Linotype" w:hAnsi="Palatino Linotype"/>
                <w:color w:val="000000" w:themeColor="text1"/>
                <w:sz w:val="20"/>
                <w:szCs w:val="20"/>
              </w:rPr>
              <w:t>ve</w:t>
            </w:r>
            <w:proofErr w:type="gramEnd"/>
            <w:r w:rsidRPr="00711B05">
              <w:rPr>
                <w:rFonts w:ascii="Palatino Linotype" w:hAnsi="Palatino Linotype"/>
                <w:color w:val="000000" w:themeColor="text1"/>
                <w:sz w:val="20"/>
                <w:szCs w:val="20"/>
              </w:rPr>
              <w:t xml:space="preserve"> budget of </w:t>
            </w:r>
            <w:r w:rsidRPr="00711B05" w:rsidR="0046571F">
              <w:rPr>
                <w:rFonts w:ascii="Palatino Linotype" w:hAnsi="Palatino Linotype"/>
                <w:color w:val="000000" w:themeColor="text1"/>
                <w:sz w:val="20"/>
                <w:szCs w:val="20"/>
              </w:rPr>
              <w:t>$787,435</w:t>
            </w:r>
            <w:r w:rsidRPr="00711B05">
              <w:rPr>
                <w:rFonts w:ascii="Palatino Linotype" w:hAnsi="Palatino Linotype"/>
                <w:color w:val="000000" w:themeColor="text1"/>
                <w:sz w:val="20"/>
                <w:szCs w:val="20"/>
              </w:rPr>
              <w:t> for PG&amp;E’s 2026 Plan as outlined in Appendix B.  </w:t>
            </w:r>
          </w:p>
        </w:tc>
      </w:tr>
      <w:tr w:rsidRPr="00CF6323" w:rsidR="00010951" w14:paraId="0FD163BD" w14:textId="77777777">
        <w:tc>
          <w:tcPr>
            <w:tcW w:w="3865" w:type="dxa"/>
          </w:tcPr>
          <w:p w:rsidR="00010951" w:rsidRDefault="00010951" w14:paraId="6C093318" w14:textId="77777777">
            <w:r w:rsidRPr="001221C0">
              <w:rPr>
                <w:rFonts w:ascii="Palatino Linotype" w:hAnsi="Palatino Linotype"/>
                <w:b/>
                <w:bCs w:val="0"/>
                <w:sz w:val="20"/>
                <w:szCs w:val="20"/>
              </w:rPr>
              <w:lastRenderedPageBreak/>
              <w:t>[</w:t>
            </w:r>
            <w:r>
              <w:rPr>
                <w:rFonts w:ascii="Palatino Linotype" w:hAnsi="Palatino Linotype"/>
                <w:b/>
                <w:bCs w:val="0"/>
                <w:sz w:val="20"/>
                <w:szCs w:val="20"/>
              </w:rPr>
              <w:t>3</w:t>
            </w:r>
            <w:r w:rsidRPr="001221C0">
              <w:rPr>
                <w:rFonts w:ascii="Palatino Linotype" w:hAnsi="Palatino Linotype"/>
                <w:b/>
                <w:bCs w:val="0"/>
                <w:sz w:val="20"/>
                <w:szCs w:val="20"/>
              </w:rPr>
              <w:t xml:space="preserve">] </w:t>
            </w:r>
            <w:hyperlink w:history="1" r:id="rId52">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(10)</w:t>
            </w:r>
            <w:r w:rsidRPr="009A290C">
              <w:rPr>
                <w:rFonts w:ascii="Palatino Linotype" w:hAnsi="Palatino Linotype"/>
                <w:i/>
                <w:iCs/>
                <w:color w:val="000000" w:themeColor="text1"/>
                <w:sz w:val="20"/>
                <w:szCs w:val="20"/>
              </w:rPr>
              <w:t xml:space="preserve"> PG&amp;E’s research plan should allocate approximately $296,400 to an evaluation or audit.</w:t>
            </w:r>
            <w:r w:rsidRPr="009A290C">
              <w:rPr>
                <w:rStyle w:val="FootnoteReference"/>
                <w:rFonts w:ascii="Palatino Linotype" w:hAnsi="Palatino Linotype"/>
                <w:i/>
                <w:iCs/>
                <w:color w:val="000000" w:themeColor="text1"/>
                <w:sz w:val="20"/>
                <w:szCs w:val="20"/>
              </w:rPr>
              <w:footnoteReference w:id="301"/>
            </w:r>
          </w:p>
        </w:tc>
        <w:tc>
          <w:tcPr>
            <w:tcW w:w="5472" w:type="dxa"/>
          </w:tcPr>
          <w:p w:rsidRPr="00844A03" w:rsidR="00010951" w:rsidRDefault="00010951" w14:paraId="37FA0420" w14:textId="77777777">
            <w:pPr>
              <w:rPr>
                <w:rFonts w:ascii="Palatino Linotype" w:hAnsi="Palatino Linotype"/>
                <w:sz w:val="20"/>
                <w:szCs w:val="20"/>
              </w:rPr>
            </w:pPr>
            <w:r w:rsidRPr="00E9421C">
              <w:rPr>
                <w:rFonts w:ascii="Palatino Linotype" w:hAnsi="Palatino Linotype" w:eastAsia="Palatino Linotype" w:cs="Times New Roman"/>
                <w:sz w:val="20"/>
                <w:szCs w:val="20"/>
              </w:rPr>
              <w:t>PG&amp;E proposes to allocate $294,400 towards its proportional share of a comprehensive Gas RD&amp;D Program Evaluation</w:t>
            </w:r>
            <w:r w:rsidRPr="007636DF">
              <w:rPr>
                <w:rFonts w:ascii="Palatino Linotype" w:hAnsi="Palatino Linotype" w:eastAsia="Palatino Linotype" w:cs="Times New Roman"/>
                <w:sz w:val="20"/>
                <w:szCs w:val="20"/>
              </w:rPr>
              <w:t>.</w:t>
            </w:r>
            <w:r w:rsidRPr="007636DF">
              <w:rPr>
                <w:rStyle w:val="FootnoteReference"/>
                <w:rFonts w:ascii="Palatino Linotype" w:hAnsi="Palatino Linotype" w:eastAsia="Palatino Linotype" w:cs="Times New Roman"/>
                <w:sz w:val="20"/>
                <w:szCs w:val="20"/>
              </w:rPr>
              <w:footnoteReference w:id="302"/>
            </w:r>
            <w:r w:rsidRPr="00E9421C">
              <w:rPr>
                <w:rFonts w:ascii="Palatino Linotype" w:hAnsi="Palatino Linotype" w:eastAsia="Palatino Linotype" w:cs="Times New Roman"/>
                <w:sz w:val="20"/>
                <w:szCs w:val="20"/>
              </w:rPr>
              <w:t xml:space="preserve"> </w:t>
            </w:r>
          </w:p>
        </w:tc>
        <w:tc>
          <w:tcPr>
            <w:tcW w:w="3888" w:type="dxa"/>
          </w:tcPr>
          <w:p w:rsidRPr="00711B05" w:rsidR="00010951" w:rsidRDefault="00010951" w14:paraId="00048A0A" w14:textId="77777777">
            <w:pPr>
              <w:rPr>
                <w:rFonts w:ascii="Palatino Linotype" w:hAnsi="Palatino Linotype" w:eastAsia="Palatino Linotype" w:cs="Times New Roman"/>
                <w:b/>
                <w:bCs w:val="0"/>
                <w:sz w:val="20"/>
                <w:szCs w:val="20"/>
              </w:rPr>
            </w:pPr>
            <w:r w:rsidRPr="00711B05">
              <w:rPr>
                <w:rFonts w:ascii="Palatino Linotype" w:hAnsi="Palatino Linotype" w:eastAsia="Palatino Linotype" w:cs="Times New Roman"/>
                <w:sz w:val="20"/>
                <w:szCs w:val="20"/>
              </w:rPr>
              <w:t>PG&amp;E allocated $296,400 to a comprehensive Gas RD&amp;D Program Evaluation.</w:t>
            </w:r>
            <w:r w:rsidRPr="00711B05">
              <w:rPr>
                <w:rFonts w:ascii="Palatino Linotype" w:hAnsi="Palatino Linotype" w:eastAsia="Palatino Linotype" w:cs="Times New Roman"/>
                <w:b/>
                <w:bCs w:val="0"/>
                <w:sz w:val="20"/>
                <w:szCs w:val="20"/>
              </w:rPr>
              <w:t xml:space="preserve"> PG&amp;E is compliant with this requirement. </w:t>
            </w:r>
          </w:p>
          <w:p w:rsidRPr="00711B05" w:rsidR="007555B9" w:rsidRDefault="007555B9" w14:paraId="5CCDF566" w14:textId="77777777">
            <w:pPr>
              <w:rPr>
                <w:rFonts w:ascii="Palatino Linotype" w:hAnsi="Palatino Linotype" w:eastAsia="Palatino Linotype" w:cs="Times New Roman"/>
                <w:b/>
                <w:bCs w:val="0"/>
                <w:sz w:val="20"/>
                <w:szCs w:val="20"/>
              </w:rPr>
            </w:pPr>
          </w:p>
          <w:p w:rsidRPr="00711B05" w:rsidR="007555B9" w:rsidRDefault="007555B9" w14:paraId="0D7D0264" w14:textId="19B87327">
            <w:pPr>
              <w:rPr>
                <w:rFonts w:ascii="Palatino Linotype" w:hAnsi="Palatino Linotype" w:eastAsia="Palatino Linotype" w:cs="Times New Roman"/>
                <w:sz w:val="20"/>
                <w:szCs w:val="20"/>
              </w:rPr>
            </w:pPr>
            <w:r w:rsidRPr="00711B05">
              <w:rPr>
                <w:rFonts w:ascii="Palatino Linotype" w:hAnsi="Palatino Linotype" w:eastAsia="Palatino Linotype" w:cs="Times New Roman"/>
                <w:color w:val="000000" w:themeColor="text1"/>
                <w:sz w:val="20"/>
                <w:szCs w:val="20"/>
              </w:rPr>
              <w:t>However, the Commission denies PG&amp;E’s proposed budget allocation in its 202</w:t>
            </w:r>
            <w:r w:rsidRPr="00711B05" w:rsidR="002A4F55">
              <w:rPr>
                <w:rFonts w:ascii="Palatino Linotype" w:hAnsi="Palatino Linotype" w:eastAsia="Palatino Linotype" w:cs="Times New Roman"/>
                <w:color w:val="000000" w:themeColor="text1"/>
                <w:sz w:val="20"/>
                <w:szCs w:val="20"/>
              </w:rPr>
              <w:t>6</w:t>
            </w:r>
            <w:r w:rsidRPr="00711B05">
              <w:rPr>
                <w:rFonts w:ascii="Palatino Linotype" w:hAnsi="Palatino Linotype" w:eastAsia="Palatino Linotype" w:cs="Times New Roman"/>
                <w:color w:val="000000" w:themeColor="text1"/>
                <w:sz w:val="20"/>
                <w:szCs w:val="20"/>
              </w:rPr>
              <w:t xml:space="preserve"> Plan of $294,400 for its proportional share of a Gas RD&amp;D Program Evaluation. Instead, the Commission seeks to establish a holistic process for allocati</w:t>
            </w:r>
            <w:r w:rsidRPr="00711B05" w:rsidR="002A4F55">
              <w:rPr>
                <w:rFonts w:ascii="Palatino Linotype" w:hAnsi="Palatino Linotype" w:eastAsia="Palatino Linotype" w:cs="Times New Roman"/>
                <w:color w:val="000000" w:themeColor="text1"/>
                <w:sz w:val="20"/>
                <w:szCs w:val="20"/>
              </w:rPr>
              <w:t>ng</w:t>
            </w:r>
            <w:r w:rsidRPr="00711B05">
              <w:rPr>
                <w:rFonts w:ascii="Palatino Linotype" w:hAnsi="Palatino Linotype" w:eastAsia="Palatino Linotype" w:cs="Times New Roman"/>
                <w:color w:val="000000" w:themeColor="text1"/>
                <w:sz w:val="20"/>
                <w:szCs w:val="20"/>
              </w:rPr>
              <w:t xml:space="preserve"> </w:t>
            </w:r>
            <w:r w:rsidRPr="00711B05" w:rsidR="002A4F55">
              <w:rPr>
                <w:rFonts w:ascii="Palatino Linotype" w:hAnsi="Palatino Linotype" w:eastAsia="Palatino Linotype" w:cs="Times New Roman"/>
                <w:color w:val="000000" w:themeColor="text1"/>
                <w:sz w:val="20"/>
                <w:szCs w:val="20"/>
              </w:rPr>
              <w:t>the</w:t>
            </w:r>
            <w:r w:rsidRPr="00711B05">
              <w:rPr>
                <w:rFonts w:ascii="Palatino Linotype" w:hAnsi="Palatino Linotype" w:eastAsia="Palatino Linotype" w:cs="Times New Roman"/>
                <w:color w:val="000000" w:themeColor="text1"/>
                <w:sz w:val="20"/>
                <w:szCs w:val="20"/>
              </w:rPr>
              <w:t xml:space="preserve"> funds</w:t>
            </w:r>
            <w:r w:rsidRPr="00711B05" w:rsidR="002A4F55">
              <w:rPr>
                <w:rFonts w:ascii="Palatino Linotype" w:hAnsi="Palatino Linotype" w:eastAsia="Palatino Linotype" w:cs="Times New Roman"/>
                <w:color w:val="000000" w:themeColor="text1"/>
                <w:sz w:val="20"/>
                <w:szCs w:val="20"/>
              </w:rPr>
              <w:t xml:space="preserve"> and</w:t>
            </w:r>
            <w:r w:rsidRPr="00711B05">
              <w:rPr>
                <w:rFonts w:ascii="Palatino Linotype" w:hAnsi="Palatino Linotype" w:eastAsia="Palatino Linotype" w:cs="Times New Roman"/>
                <w:color w:val="000000" w:themeColor="text1"/>
                <w:sz w:val="20"/>
                <w:szCs w:val="20"/>
              </w:rPr>
              <w:t> conducting the evaluation</w:t>
            </w:r>
            <w:r w:rsidRPr="00711B05" w:rsidR="002A4F55">
              <w:rPr>
                <w:rFonts w:ascii="Palatino Linotype" w:hAnsi="Palatino Linotype" w:eastAsia="Palatino Linotype" w:cs="Times New Roman"/>
                <w:color w:val="000000" w:themeColor="text1"/>
                <w:sz w:val="20"/>
                <w:szCs w:val="20"/>
              </w:rPr>
              <w:t>.</w:t>
            </w:r>
            <w:r w:rsidRPr="00711B05">
              <w:rPr>
                <w:rFonts w:ascii="Palatino Linotype" w:hAnsi="Palatino Linotype" w:eastAsia="Palatino Linotype" w:cs="Times New Roman"/>
                <w:color w:val="000000" w:themeColor="text1"/>
                <w:sz w:val="20"/>
                <w:szCs w:val="20"/>
              </w:rPr>
              <w:t> </w:t>
            </w:r>
          </w:p>
        </w:tc>
      </w:tr>
      <w:tr w:rsidRPr="00CF6323" w:rsidR="00010951" w14:paraId="23B96D11" w14:textId="77777777">
        <w:tc>
          <w:tcPr>
            <w:tcW w:w="3865" w:type="dxa"/>
          </w:tcPr>
          <w:p w:rsidR="00010951" w:rsidRDefault="00010951" w14:paraId="6EEBFFFB" w14:textId="77777777">
            <w:r w:rsidRPr="001221C0">
              <w:rPr>
                <w:rFonts w:ascii="Palatino Linotype" w:hAnsi="Palatino Linotype"/>
                <w:b/>
                <w:bCs w:val="0"/>
                <w:sz w:val="20"/>
                <w:szCs w:val="20"/>
              </w:rPr>
              <w:t>[</w:t>
            </w:r>
            <w:r>
              <w:rPr>
                <w:rFonts w:ascii="Palatino Linotype" w:hAnsi="Palatino Linotype"/>
                <w:b/>
                <w:bCs w:val="0"/>
                <w:sz w:val="20"/>
                <w:szCs w:val="20"/>
              </w:rPr>
              <w:t>4</w:t>
            </w:r>
            <w:r w:rsidRPr="001221C0">
              <w:rPr>
                <w:rFonts w:ascii="Palatino Linotype" w:hAnsi="Palatino Linotype"/>
                <w:b/>
                <w:bCs w:val="0"/>
                <w:sz w:val="20"/>
                <w:szCs w:val="20"/>
              </w:rPr>
              <w:t xml:space="preserve">] </w:t>
            </w:r>
            <w:hyperlink w:history="1" r:id="rId53">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 xml:space="preserve">(11) </w:t>
            </w:r>
            <w:r w:rsidRPr="00164C5A">
              <w:rPr>
                <w:rFonts w:ascii="Palatino Linotype" w:hAnsi="Palatino Linotype"/>
                <w:i/>
                <w:iCs/>
                <w:color w:val="000000" w:themeColor="text1"/>
                <w:sz w:val="20"/>
                <w:szCs w:val="20"/>
              </w:rPr>
              <w:t>PG&amp;E’s research plan may separately allocate and track funds for gas research development and deployment in one database that tracks all ratepayer-funded R&amp;D and Development projects across these industries.</w:t>
            </w:r>
            <w:r w:rsidRPr="00164C5A">
              <w:rPr>
                <w:rStyle w:val="FootnoteReference"/>
                <w:rFonts w:ascii="Palatino Linotype" w:hAnsi="Palatino Linotype"/>
                <w:i/>
                <w:iCs/>
                <w:color w:val="000000" w:themeColor="text1"/>
                <w:sz w:val="20"/>
                <w:szCs w:val="20"/>
              </w:rPr>
              <w:footnoteReference w:id="303"/>
            </w:r>
            <w:r w:rsidRPr="00164C5A">
              <w:rPr>
                <w:rFonts w:ascii="Palatino Linotype" w:hAnsi="Palatino Linotype"/>
                <w:i/>
                <w:iCs/>
                <w:color w:val="000000" w:themeColor="text1"/>
                <w:sz w:val="20"/>
                <w:szCs w:val="20"/>
              </w:rPr>
              <w:t xml:space="preserve"> </w:t>
            </w:r>
          </w:p>
        </w:tc>
        <w:tc>
          <w:tcPr>
            <w:tcW w:w="5472" w:type="dxa"/>
          </w:tcPr>
          <w:p w:rsidRPr="00844A03" w:rsidR="00010951" w:rsidRDefault="00010951" w14:paraId="6EC83478" w14:textId="77777777">
            <w:pPr>
              <w:rPr>
                <w:rFonts w:ascii="Palatino Linotype" w:hAnsi="Palatino Linotype"/>
                <w:sz w:val="20"/>
                <w:szCs w:val="20"/>
              </w:rPr>
            </w:pPr>
            <w:r w:rsidRPr="00164C5A">
              <w:rPr>
                <w:rFonts w:ascii="Palatino Linotype" w:hAnsi="Palatino Linotype" w:eastAsia="Palatino Linotype" w:cs="Times New Roman"/>
                <w:color w:val="000000" w:themeColor="text1"/>
                <w:sz w:val="20"/>
                <w:szCs w:val="20"/>
              </w:rPr>
              <w:t>PG&amp;E proposes to allocate $56,987 towards its proportional share of developing a comprehensive Gas RD&amp;D Database</w:t>
            </w:r>
            <w:r w:rsidRPr="007636DF">
              <w:rPr>
                <w:rFonts w:ascii="Palatino Linotype" w:hAnsi="Palatino Linotype" w:eastAsia="Palatino Linotype" w:cs="Times New Roman"/>
                <w:color w:val="000000" w:themeColor="text1"/>
                <w:sz w:val="20"/>
                <w:szCs w:val="20"/>
              </w:rPr>
              <w:t>.</w:t>
            </w:r>
            <w:r w:rsidRPr="007636DF">
              <w:rPr>
                <w:rStyle w:val="FootnoteReference"/>
                <w:rFonts w:ascii="Palatino Linotype" w:hAnsi="Palatino Linotype" w:eastAsia="Palatino Linotype" w:cs="Times New Roman"/>
                <w:color w:val="000000" w:themeColor="text1"/>
                <w:sz w:val="20"/>
                <w:szCs w:val="20"/>
              </w:rPr>
              <w:footnoteReference w:id="304"/>
            </w:r>
            <w:r w:rsidRPr="00164C5A">
              <w:rPr>
                <w:rFonts w:ascii="Palatino Linotype" w:hAnsi="Palatino Linotype" w:eastAsia="Palatino Linotype" w:cs="Times New Roman"/>
                <w:color w:val="000000" w:themeColor="text1"/>
                <w:sz w:val="20"/>
                <w:szCs w:val="20"/>
              </w:rPr>
              <w:t xml:space="preserve"> </w:t>
            </w:r>
          </w:p>
        </w:tc>
        <w:tc>
          <w:tcPr>
            <w:tcW w:w="3888" w:type="dxa"/>
          </w:tcPr>
          <w:p w:rsidRPr="00711B05" w:rsidR="00010951" w:rsidRDefault="00010951" w14:paraId="5D2C1663" w14:textId="77777777">
            <w:pPr>
              <w:rPr>
                <w:rFonts w:ascii="Palatino Linotype" w:hAnsi="Palatino Linotype"/>
                <w:b/>
                <w:bCs w:val="0"/>
                <w:color w:val="000000" w:themeColor="text1"/>
                <w:sz w:val="20"/>
                <w:szCs w:val="20"/>
              </w:rPr>
            </w:pPr>
            <w:r w:rsidRPr="00711B05">
              <w:rPr>
                <w:rFonts w:ascii="Palatino Linotype" w:hAnsi="Palatino Linotype"/>
                <w:color w:val="000000" w:themeColor="text1"/>
                <w:sz w:val="20"/>
                <w:szCs w:val="20"/>
              </w:rPr>
              <w:t>PG&amp;E allocated funds for a Gas RD&amp;D Database.</w:t>
            </w:r>
            <w:r w:rsidRPr="00711B05">
              <w:rPr>
                <w:rFonts w:ascii="Palatino Linotype" w:hAnsi="Palatino Linotype"/>
                <w:b/>
                <w:bCs w:val="0"/>
                <w:color w:val="000000" w:themeColor="text1"/>
                <w:sz w:val="20"/>
                <w:szCs w:val="20"/>
              </w:rPr>
              <w:t xml:space="preserve"> PG&amp;E is compliant with this requirement. </w:t>
            </w:r>
          </w:p>
          <w:p w:rsidRPr="00711B05" w:rsidR="002A4F55" w:rsidRDefault="002A4F55" w14:paraId="31B2DF9B" w14:textId="77777777">
            <w:pPr>
              <w:rPr>
                <w:rFonts w:ascii="Palatino Linotype" w:hAnsi="Palatino Linotype"/>
                <w:b/>
                <w:bCs w:val="0"/>
                <w:color w:val="000000" w:themeColor="text1"/>
                <w:sz w:val="20"/>
                <w:szCs w:val="20"/>
              </w:rPr>
            </w:pPr>
          </w:p>
          <w:p w:rsidRPr="00711B05" w:rsidR="002A4F55" w:rsidRDefault="002A4F55" w14:paraId="1191DC34" w14:textId="3B2E1DBF">
            <w:pPr>
              <w:rPr>
                <w:rFonts w:ascii="Palatino Linotype" w:hAnsi="Palatino Linotype"/>
                <w:b/>
                <w:bCs w:val="0"/>
                <w:color w:val="000000" w:themeColor="text1"/>
                <w:sz w:val="20"/>
                <w:szCs w:val="20"/>
              </w:rPr>
            </w:pPr>
            <w:r w:rsidRPr="00711B05">
              <w:rPr>
                <w:rFonts w:ascii="Palatino Linotype" w:hAnsi="Palatino Linotype" w:eastAsia="Palatino Linotype" w:cs="Times New Roman"/>
                <w:color w:val="000000" w:themeColor="text1"/>
                <w:sz w:val="20"/>
                <w:szCs w:val="20"/>
              </w:rPr>
              <w:t>However, the Commission denies PG&amp;E’s proposed budget allocation in its 2026 Plan of $</w:t>
            </w:r>
            <w:r w:rsidRPr="00711B05" w:rsidR="00886D6D">
              <w:rPr>
                <w:rFonts w:ascii="Palatino Linotype" w:hAnsi="Palatino Linotype" w:eastAsia="Palatino Linotype" w:cs="Times New Roman"/>
                <w:color w:val="000000" w:themeColor="text1"/>
                <w:sz w:val="20"/>
                <w:szCs w:val="20"/>
              </w:rPr>
              <w:t>56,</w:t>
            </w:r>
            <w:r w:rsidRPr="00711B05" w:rsidR="00847B32">
              <w:rPr>
                <w:rFonts w:ascii="Palatino Linotype" w:hAnsi="Palatino Linotype" w:eastAsia="Palatino Linotype" w:cs="Times New Roman"/>
                <w:color w:val="000000" w:themeColor="text1"/>
                <w:sz w:val="20"/>
                <w:szCs w:val="20"/>
              </w:rPr>
              <w:t>987</w:t>
            </w:r>
            <w:r w:rsidRPr="00711B05">
              <w:rPr>
                <w:rFonts w:ascii="Palatino Linotype" w:hAnsi="Palatino Linotype" w:eastAsia="Palatino Linotype" w:cs="Times New Roman"/>
                <w:color w:val="000000" w:themeColor="text1"/>
                <w:sz w:val="20"/>
                <w:szCs w:val="20"/>
              </w:rPr>
              <w:t xml:space="preserve"> for its proportional share of </w:t>
            </w:r>
            <w:r w:rsidRPr="00711B05" w:rsidR="008D0027">
              <w:rPr>
                <w:rFonts w:ascii="Palatino Linotype" w:hAnsi="Palatino Linotype" w:eastAsia="Palatino Linotype" w:cs="Times New Roman"/>
                <w:color w:val="000000" w:themeColor="text1"/>
                <w:sz w:val="20"/>
                <w:szCs w:val="20"/>
              </w:rPr>
              <w:t xml:space="preserve">developing a comprehensive </w:t>
            </w:r>
            <w:r w:rsidRPr="00711B05" w:rsidR="00C33981">
              <w:rPr>
                <w:rFonts w:ascii="Palatino Linotype" w:hAnsi="Palatino Linotype" w:eastAsia="Palatino Linotype" w:cs="Times New Roman"/>
                <w:color w:val="000000" w:themeColor="text1"/>
                <w:sz w:val="20"/>
                <w:szCs w:val="20"/>
              </w:rPr>
              <w:t>Gas RD&amp;D Database</w:t>
            </w:r>
            <w:r w:rsidRPr="00711B05">
              <w:rPr>
                <w:rFonts w:ascii="Palatino Linotype" w:hAnsi="Palatino Linotype" w:eastAsia="Palatino Linotype" w:cs="Times New Roman"/>
                <w:color w:val="000000" w:themeColor="text1"/>
                <w:sz w:val="20"/>
                <w:szCs w:val="20"/>
              </w:rPr>
              <w:t xml:space="preserve">. Instead, the Commission seeks to establish a holistic </w:t>
            </w:r>
            <w:r w:rsidRPr="00711B05">
              <w:rPr>
                <w:rFonts w:ascii="Palatino Linotype" w:hAnsi="Palatino Linotype" w:eastAsia="Palatino Linotype" w:cs="Times New Roman"/>
                <w:color w:val="000000" w:themeColor="text1"/>
                <w:sz w:val="20"/>
                <w:szCs w:val="20"/>
              </w:rPr>
              <w:lastRenderedPageBreak/>
              <w:t>process for allocating the funds and </w:t>
            </w:r>
            <w:r w:rsidRPr="00711B05" w:rsidR="004D2B52">
              <w:rPr>
                <w:rFonts w:ascii="Palatino Linotype" w:hAnsi="Palatino Linotype" w:eastAsia="Palatino Linotype" w:cs="Times New Roman"/>
                <w:color w:val="000000" w:themeColor="text1"/>
                <w:sz w:val="20"/>
                <w:szCs w:val="20"/>
              </w:rPr>
              <w:t>developing the database.</w:t>
            </w:r>
            <w:r w:rsidRPr="00711B05">
              <w:rPr>
                <w:rFonts w:ascii="Palatino Linotype" w:hAnsi="Palatino Linotype" w:eastAsia="Palatino Linotype" w:cs="Times New Roman"/>
                <w:color w:val="000000" w:themeColor="text1"/>
                <w:sz w:val="20"/>
                <w:szCs w:val="20"/>
              </w:rPr>
              <w:t> </w:t>
            </w:r>
          </w:p>
        </w:tc>
      </w:tr>
      <w:tr w:rsidRPr="00164C5A" w:rsidR="00010951" w:rsidTr="00917561" w14:paraId="2FAE8CED" w14:textId="77777777">
        <w:tc>
          <w:tcPr>
            <w:tcW w:w="3865" w:type="dxa"/>
          </w:tcPr>
          <w:p w:rsidRPr="002539AB" w:rsidR="00010951" w:rsidRDefault="00010951" w14:paraId="1B99E52B"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lastRenderedPageBreak/>
              <w:t>[</w:t>
            </w:r>
            <w:r>
              <w:rPr>
                <w:rFonts w:ascii="Palatino Linotype" w:hAnsi="Palatino Linotype"/>
                <w:b/>
                <w:bCs w:val="0"/>
                <w:sz w:val="20"/>
                <w:szCs w:val="20"/>
              </w:rPr>
              <w:t>5</w:t>
            </w:r>
            <w:r w:rsidRPr="001221C0">
              <w:rPr>
                <w:rFonts w:ascii="Palatino Linotype" w:hAnsi="Palatino Linotype"/>
                <w:b/>
                <w:bCs w:val="0"/>
                <w:sz w:val="20"/>
                <w:szCs w:val="20"/>
              </w:rPr>
              <w:t xml:space="preserve">] </w:t>
            </w:r>
            <w:hyperlink w:tgtFrame="_blank" w:history="1" r:id="rId54">
              <w:r w:rsidRPr="00AB697C">
                <w:rPr>
                  <w:rStyle w:val="Hyperlink"/>
                  <w:rFonts w:ascii="Palatino Linotype" w:hAnsi="Palatino Linotype"/>
                  <w:bCs w:val="0"/>
                  <w:sz w:val="20"/>
                  <w:szCs w:val="20"/>
                </w:rPr>
                <w:t>Resolution G-3618</w:t>
              </w:r>
            </w:hyperlink>
            <w:r w:rsidRPr="00E405B9">
              <w:rPr>
                <w:rStyle w:val="FootnoteReference"/>
                <w:rFonts w:ascii="Palatino Linotype" w:hAnsi="Palatino Linotype"/>
                <w:sz w:val="20"/>
                <w:szCs w:val="20"/>
              </w:rPr>
              <w:footnoteReference w:id="305"/>
            </w:r>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19. </w:t>
            </w:r>
            <w:r w:rsidRPr="00F30D1A">
              <w:rPr>
                <w:rFonts w:ascii="Palatino Linotype" w:hAnsi="Palatino Linotype"/>
                <w:i/>
                <w:iCs/>
                <w:color w:val="000000" w:themeColor="text1"/>
                <w:sz w:val="20"/>
                <w:szCs w:val="20"/>
              </w:rPr>
              <w:t>PG&amp;E shall submit its Annual Gas RD&amp;D Reports prior to holding Public Workshops in accordance with D.23-11-069,</w:t>
            </w:r>
            <w:r>
              <w:rPr>
                <w:rStyle w:val="FootnoteReference"/>
                <w:rFonts w:ascii="Palatino Linotype" w:hAnsi="Palatino Linotype"/>
                <w:i/>
                <w:iCs/>
                <w:color w:val="000000" w:themeColor="text1"/>
                <w:sz w:val="20"/>
                <w:szCs w:val="20"/>
              </w:rPr>
              <w:footnoteReference w:id="306"/>
            </w:r>
            <w:r w:rsidRPr="00F30D1A">
              <w:rPr>
                <w:rFonts w:ascii="Palatino Linotype" w:hAnsi="Palatino Linotype"/>
                <w:i/>
                <w:iCs/>
                <w:color w:val="000000" w:themeColor="text1"/>
                <w:sz w:val="20"/>
                <w:szCs w:val="20"/>
              </w:rPr>
              <w:t xml:space="preserve"> each by March 1 annually. PG&amp;E shall include information on all active and recently completed projects.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For clarity in reporting, PG&amp;E shall indicate which projects have been funded via previous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GRC cycles or other funding mechanisms as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these are not affiliated with Investment Plans approved within this Gas RD&amp;D Program.</w:t>
            </w:r>
            <w:r>
              <w:rPr>
                <w:rFonts w:ascii="Palatino Linotype" w:hAnsi="Palatino Linotype"/>
                <w:i/>
                <w:iCs/>
                <w:color w:val="000000" w:themeColor="text1"/>
                <w:sz w:val="20"/>
                <w:szCs w:val="20"/>
              </w:rPr>
              <w:t xml:space="preserve"> </w:t>
            </w:r>
            <w:r w:rsidRPr="00607269">
              <w:rPr>
                <w:rFonts w:ascii="Palatino Linotype" w:hAnsi="Palatino Linotype"/>
                <w:i/>
                <w:iCs/>
                <w:color w:val="000000" w:themeColor="text1"/>
                <w:sz w:val="20"/>
                <w:szCs w:val="20"/>
              </w:rPr>
              <w:t>In future reporting, PG&amp;E shall clearly delineate projects that may be funded within this Gas RD&amp;D Program, including the specific Initiative and approved Investment Plan associated with each project.</w:t>
            </w:r>
            <w:r>
              <w:rPr>
                <w:rStyle w:val="FootnoteReference"/>
                <w:rFonts w:ascii="Palatino Linotype" w:hAnsi="Palatino Linotype"/>
                <w:i/>
                <w:iCs/>
                <w:color w:val="000000" w:themeColor="text1"/>
                <w:sz w:val="20"/>
                <w:szCs w:val="20"/>
              </w:rPr>
              <w:footnoteReference w:id="307"/>
            </w:r>
          </w:p>
        </w:tc>
        <w:tc>
          <w:tcPr>
            <w:tcW w:w="5472" w:type="dxa"/>
          </w:tcPr>
          <w:p w:rsidRPr="00E02B58" w:rsidR="00010951" w:rsidRDefault="00010951" w14:paraId="79F95ABD" w14:textId="77777777">
            <w:pPr>
              <w:rPr>
                <w:rFonts w:ascii="Palatino Linotype" w:hAnsi="Palatino Linotype"/>
                <w:sz w:val="20"/>
                <w:szCs w:val="20"/>
              </w:rPr>
            </w:pPr>
            <w:r>
              <w:rPr>
                <w:rFonts w:ascii="Palatino Linotype" w:hAnsi="Palatino Linotype"/>
                <w:sz w:val="20"/>
                <w:szCs w:val="20"/>
              </w:rPr>
              <w:t xml:space="preserve">PG&amp;E submitted its </w:t>
            </w:r>
            <w:hyperlink w:history="1" r:id="rId55">
              <w:r w:rsidRPr="005E70FD">
                <w:rPr>
                  <w:rStyle w:val="Hyperlink"/>
                  <w:rFonts w:ascii="Palatino Linotype" w:hAnsi="Palatino Linotype" w:cstheme="minorBidi"/>
                  <w:bCs w:val="0"/>
                  <w:kern w:val="2"/>
                  <w:sz w:val="20"/>
                  <w:szCs w:val="20"/>
                  <w14:ligatures w14:val="standardContextual"/>
                </w:rPr>
                <w:t>2025 Gas RD&amp;D Annual Report</w:t>
              </w:r>
            </w:hyperlink>
            <w:r>
              <w:rPr>
                <w:rFonts w:ascii="Palatino Linotype" w:hAnsi="Palatino Linotype"/>
                <w:sz w:val="20"/>
                <w:szCs w:val="20"/>
              </w:rPr>
              <w:t xml:space="preserve"> on March 31, 2026, after receiving an extension requested February 13, 2026, including </w:t>
            </w:r>
            <w:r w:rsidRPr="00197404">
              <w:rPr>
                <w:rFonts w:ascii="Palatino Linotype" w:hAnsi="Palatino Linotype"/>
                <w:sz w:val="20"/>
                <w:szCs w:val="20"/>
              </w:rPr>
              <w:t>Appendix 2: Project Reporting.</w:t>
            </w:r>
            <w:r>
              <w:rPr>
                <w:rFonts w:ascii="Palatino Linotype" w:hAnsi="Palatino Linotype"/>
                <w:sz w:val="20"/>
                <w:szCs w:val="20"/>
              </w:rPr>
              <w:t xml:space="preserve"> PG&amp;E reports investing $1,136,755 in 18 projects in 2025.</w:t>
            </w:r>
            <w:r>
              <w:rPr>
                <w:rStyle w:val="FootnoteReference"/>
                <w:rFonts w:ascii="Palatino Linotype" w:hAnsi="Palatino Linotype"/>
                <w:sz w:val="20"/>
                <w:szCs w:val="20"/>
              </w:rPr>
              <w:footnoteReference w:id="308"/>
            </w:r>
            <w:r>
              <w:rPr>
                <w:rFonts w:ascii="Palatino Linotype" w:hAnsi="Palatino Linotype"/>
                <w:sz w:val="20"/>
                <w:szCs w:val="20"/>
              </w:rPr>
              <w:t xml:space="preserve"> PG&amp;E states that “</w:t>
            </w:r>
            <w:r w:rsidRPr="00936F9E">
              <w:rPr>
                <w:rFonts w:ascii="Palatino Linotype" w:hAnsi="Palatino Linotype"/>
                <w:sz w:val="20"/>
                <w:szCs w:val="20"/>
              </w:rPr>
              <w:t xml:space="preserve">PG&amp;E’s Gas RD&amp;D program operates under the authority of the </w:t>
            </w:r>
            <w:r>
              <w:rPr>
                <w:rFonts w:ascii="Palatino Linotype" w:hAnsi="Palatino Linotype"/>
                <w:sz w:val="20"/>
                <w:szCs w:val="20"/>
              </w:rPr>
              <w:t>[CPUC]</w:t>
            </w:r>
            <w:r w:rsidRPr="00936F9E">
              <w:rPr>
                <w:rFonts w:ascii="Palatino Linotype" w:hAnsi="Palatino Linotype"/>
                <w:sz w:val="20"/>
                <w:szCs w:val="20"/>
              </w:rPr>
              <w:t xml:space="preserve"> and California Public Utilities Code § 740.1, which authorizes the use of</w:t>
            </w:r>
            <w:r>
              <w:rPr>
                <w:rFonts w:ascii="Palatino Linotype" w:hAnsi="Palatino Linotype"/>
                <w:sz w:val="20"/>
                <w:szCs w:val="20"/>
              </w:rPr>
              <w:t xml:space="preserve"> </w:t>
            </w:r>
            <w:r w:rsidRPr="00936F9E">
              <w:rPr>
                <w:rFonts w:ascii="Palatino Linotype" w:hAnsi="Palatino Linotype"/>
                <w:sz w:val="20"/>
                <w:szCs w:val="20"/>
              </w:rPr>
              <w:t>ratepayer funds for research, development, and demonstration activities</w:t>
            </w:r>
            <w:r>
              <w:rPr>
                <w:rFonts w:ascii="Palatino Linotype" w:hAnsi="Palatino Linotype"/>
                <w:sz w:val="20"/>
                <w:szCs w:val="20"/>
              </w:rPr>
              <w:t>… [and]</w:t>
            </w:r>
            <w:r w:rsidRPr="00E02B58">
              <w:rPr>
                <w:rFonts w:ascii="Palatino Linotype" w:hAnsi="Palatino Linotype"/>
                <w:sz w:val="20"/>
                <w:szCs w:val="20"/>
              </w:rPr>
              <w:t xml:space="preserve"> is governed by CPUC decisions, resolutions, and advice letter</w:t>
            </w:r>
          </w:p>
          <w:p w:rsidRPr="00E02B58" w:rsidR="00010951" w:rsidRDefault="00010951" w14:paraId="6E1B06BC" w14:textId="77777777">
            <w:pPr>
              <w:rPr>
                <w:rFonts w:ascii="Palatino Linotype" w:hAnsi="Palatino Linotype"/>
                <w:sz w:val="20"/>
                <w:szCs w:val="20"/>
              </w:rPr>
            </w:pPr>
            <w:r w:rsidRPr="00E02B58">
              <w:rPr>
                <w:rFonts w:ascii="Palatino Linotype" w:hAnsi="Palatino Linotype"/>
                <w:sz w:val="20"/>
                <w:szCs w:val="20"/>
              </w:rPr>
              <w:t>determinations that establish program scope, funding levels, reporting requirements, and oversight</w:t>
            </w:r>
          </w:p>
          <w:p w:rsidR="00010951" w:rsidRDefault="00010951" w14:paraId="1DDE40BA" w14:textId="77777777">
            <w:pPr>
              <w:rPr>
                <w:rFonts w:ascii="Palatino Linotype" w:hAnsi="Palatino Linotype"/>
                <w:sz w:val="20"/>
                <w:szCs w:val="20"/>
              </w:rPr>
            </w:pPr>
            <w:r w:rsidRPr="00E02B58">
              <w:rPr>
                <w:rFonts w:ascii="Palatino Linotype" w:hAnsi="Palatino Linotype"/>
                <w:sz w:val="20"/>
                <w:szCs w:val="20"/>
              </w:rPr>
              <w:t>expectations.</w:t>
            </w:r>
            <w:r>
              <w:rPr>
                <w:rFonts w:ascii="Palatino Linotype" w:hAnsi="Palatino Linotype"/>
                <w:sz w:val="20"/>
                <w:szCs w:val="20"/>
              </w:rPr>
              <w:t>”</w:t>
            </w:r>
            <w:r>
              <w:rPr>
                <w:rStyle w:val="FootnoteReference"/>
                <w:rFonts w:ascii="Palatino Linotype" w:hAnsi="Palatino Linotype"/>
                <w:sz w:val="20"/>
                <w:szCs w:val="20"/>
              </w:rPr>
              <w:footnoteReference w:id="309"/>
            </w:r>
          </w:p>
          <w:p w:rsidRPr="00841E84" w:rsidR="00010951" w:rsidRDefault="00010951" w14:paraId="7265DEBB" w14:textId="77777777">
            <w:pPr>
              <w:spacing w:before="240"/>
              <w:rPr>
                <w:rFonts w:ascii="Palatino Linotype" w:hAnsi="Palatino Linotype"/>
                <w:sz w:val="20"/>
                <w:szCs w:val="20"/>
              </w:rPr>
            </w:pPr>
            <w:r>
              <w:rPr>
                <w:rFonts w:ascii="Palatino Linotype" w:hAnsi="Palatino Linotype"/>
                <w:sz w:val="20"/>
                <w:szCs w:val="20"/>
              </w:rPr>
              <w:t xml:space="preserve">See PG&amp;E Response in </w:t>
            </w:r>
            <w:r w:rsidRPr="00007097">
              <w:rPr>
                <w:rFonts w:ascii="Palatino Linotype" w:hAnsi="Palatino Linotype"/>
                <w:sz w:val="20"/>
                <w:szCs w:val="20"/>
              </w:rPr>
              <w:t xml:space="preserve">AL 5222-G to CPUC Requirement </w:t>
            </w:r>
            <w:r>
              <w:rPr>
                <w:rFonts w:ascii="Palatino Linotype" w:hAnsi="Palatino Linotype"/>
                <w:sz w:val="20"/>
                <w:szCs w:val="20"/>
              </w:rPr>
              <w:t>[</w:t>
            </w:r>
            <w:r w:rsidRPr="00007097">
              <w:rPr>
                <w:rFonts w:ascii="Palatino Linotype" w:hAnsi="Palatino Linotype"/>
                <w:sz w:val="20"/>
                <w:szCs w:val="20"/>
              </w:rPr>
              <w:t>10</w:t>
            </w:r>
            <w:r>
              <w:rPr>
                <w:rFonts w:ascii="Palatino Linotype" w:hAnsi="Palatino Linotype"/>
                <w:sz w:val="20"/>
                <w:szCs w:val="20"/>
              </w:rPr>
              <w:t>]</w:t>
            </w:r>
            <w:r w:rsidRPr="00007097">
              <w:rPr>
                <w:rFonts w:ascii="Palatino Linotype" w:hAnsi="Palatino Linotype"/>
                <w:sz w:val="20"/>
                <w:szCs w:val="20"/>
              </w:rPr>
              <w:t xml:space="preserve"> in this Appendix</w:t>
            </w:r>
            <w:r>
              <w:t xml:space="preserve"> </w:t>
            </w:r>
            <w:r>
              <w:rPr>
                <w:rFonts w:ascii="Palatino Linotype" w:hAnsi="Palatino Linotype"/>
                <w:color w:val="000000" w:themeColor="text1"/>
                <w:sz w:val="20"/>
                <w:szCs w:val="20"/>
              </w:rPr>
              <w:t>for information on PG&amp;E’s Public Workshop.</w:t>
            </w:r>
          </w:p>
        </w:tc>
        <w:tc>
          <w:tcPr>
            <w:tcW w:w="3888" w:type="dxa"/>
          </w:tcPr>
          <w:p w:rsidRPr="00050B36" w:rsidR="00010951" w:rsidRDefault="00010951" w14:paraId="3973A464" w14:textId="42756924">
            <w:pPr>
              <w:rPr>
                <w:rFonts w:ascii="Palatino Linotype" w:hAnsi="Palatino Linotype"/>
                <w:b/>
                <w:bCs w:val="0"/>
                <w:i/>
                <w:iCs/>
                <w:sz w:val="20"/>
                <w:szCs w:val="20"/>
              </w:rPr>
            </w:pPr>
            <w:r w:rsidRPr="004B0FA1">
              <w:rPr>
                <w:rFonts w:ascii="Palatino Linotype" w:hAnsi="Palatino Linotype"/>
                <w:sz w:val="20"/>
                <w:szCs w:val="20"/>
              </w:rPr>
              <w:t>PG&amp;E provided information on active and recently completed projects in its Annual Gas RD&amp;D Report</w:t>
            </w:r>
            <w:r>
              <w:rPr>
                <w:rFonts w:ascii="Palatino Linotype" w:hAnsi="Palatino Linotype"/>
                <w:sz w:val="20"/>
                <w:szCs w:val="20"/>
              </w:rPr>
              <w:t xml:space="preserve">, submitted March 31, 2026, </w:t>
            </w:r>
            <w:proofErr w:type="gramStart"/>
            <w:r>
              <w:rPr>
                <w:rFonts w:ascii="Palatino Linotype" w:hAnsi="Palatino Linotype"/>
                <w:sz w:val="20"/>
                <w:szCs w:val="20"/>
              </w:rPr>
              <w:t>per</w:t>
            </w:r>
            <w:proofErr w:type="gramEnd"/>
            <w:r>
              <w:rPr>
                <w:rFonts w:ascii="Palatino Linotype" w:hAnsi="Palatino Linotype"/>
                <w:sz w:val="20"/>
                <w:szCs w:val="20"/>
              </w:rPr>
              <w:t xml:space="preserve"> </w:t>
            </w:r>
            <w:proofErr w:type="gramStart"/>
            <w:r>
              <w:rPr>
                <w:rFonts w:ascii="Palatino Linotype" w:hAnsi="Palatino Linotype"/>
                <w:sz w:val="20"/>
                <w:szCs w:val="20"/>
              </w:rPr>
              <w:t xml:space="preserve">an </w:t>
            </w:r>
            <w:r w:rsidRPr="00711B05">
              <w:rPr>
                <w:rFonts w:ascii="Palatino Linotype" w:hAnsi="Palatino Linotype"/>
                <w:sz w:val="20"/>
                <w:szCs w:val="20"/>
              </w:rPr>
              <w:t>extension</w:t>
            </w:r>
            <w:proofErr w:type="gramEnd"/>
            <w:r w:rsidRPr="00711B05">
              <w:rPr>
                <w:rFonts w:ascii="Palatino Linotype" w:hAnsi="Palatino Linotype"/>
                <w:sz w:val="20"/>
                <w:szCs w:val="20"/>
              </w:rPr>
              <w:t xml:space="preserve">. </w:t>
            </w:r>
            <w:r w:rsidRPr="00711B05">
              <w:rPr>
                <w:rFonts w:ascii="Palatino Linotype" w:hAnsi="Palatino Linotype"/>
                <w:b/>
                <w:bCs w:val="0"/>
                <w:sz w:val="20"/>
                <w:szCs w:val="20"/>
              </w:rPr>
              <w:t>PG&amp;E is compliant with this requirement.</w:t>
            </w:r>
          </w:p>
          <w:p w:rsidRPr="00213FD5" w:rsidR="00010951" w:rsidP="00050B36" w:rsidRDefault="00010951" w14:paraId="24765A36" w14:textId="77777777">
            <w:pPr>
              <w:spacing w:before="240"/>
              <w:rPr>
                <w:rFonts w:ascii="Palatino Linotype" w:hAnsi="Palatino Linotype"/>
                <w:bCs w:val="0"/>
                <w:sz w:val="20"/>
                <w:szCs w:val="20"/>
              </w:rPr>
            </w:pPr>
            <w:r w:rsidRPr="00213FD5">
              <w:rPr>
                <w:rFonts w:ascii="Palatino Linotype" w:hAnsi="Palatino Linotype"/>
                <w:bCs w:val="0"/>
                <w:sz w:val="20"/>
                <w:szCs w:val="20"/>
              </w:rPr>
              <w:t xml:space="preserve">However, PG&amp;E should clarify in future Annual Reports </w:t>
            </w:r>
            <w:r>
              <w:rPr>
                <w:rFonts w:ascii="Palatino Linotype" w:hAnsi="Palatino Linotype"/>
                <w:bCs w:val="0"/>
                <w:sz w:val="20"/>
                <w:szCs w:val="20"/>
              </w:rPr>
              <w:t>which spending has been funded by ratepayers as authorized via specific Resolutions approving PG&amp;E Annual Gas RD&amp;D Plans.</w:t>
            </w:r>
          </w:p>
          <w:p w:rsidRPr="00841E84" w:rsidR="00010951" w:rsidRDefault="00010951" w14:paraId="6B6F80D6" w14:textId="77777777">
            <w:pPr>
              <w:spacing w:before="240"/>
              <w:rPr>
                <w:rFonts w:ascii="Palatino Linotype" w:hAnsi="Palatino Linotype"/>
                <w:sz w:val="20"/>
                <w:szCs w:val="20"/>
              </w:rPr>
            </w:pPr>
            <w:r w:rsidRPr="006F54C7">
              <w:rPr>
                <w:rFonts w:ascii="Palatino Linotype" w:hAnsi="Palatino Linotype"/>
                <w:sz w:val="20"/>
                <w:szCs w:val="20"/>
              </w:rPr>
              <w:t xml:space="preserve">See the Commission’s Compliance Assessment of AL 5222-G with </w:t>
            </w:r>
            <w:r w:rsidRPr="00007097">
              <w:rPr>
                <w:rFonts w:ascii="Palatino Linotype" w:hAnsi="Palatino Linotype"/>
                <w:sz w:val="20"/>
                <w:szCs w:val="20"/>
              </w:rPr>
              <w:t xml:space="preserve">CPUC Requirement </w:t>
            </w:r>
            <w:r>
              <w:rPr>
                <w:rFonts w:ascii="Palatino Linotype" w:hAnsi="Palatino Linotype"/>
                <w:sz w:val="20"/>
                <w:szCs w:val="20"/>
              </w:rPr>
              <w:t>[</w:t>
            </w:r>
            <w:r w:rsidRPr="00007097">
              <w:rPr>
                <w:rFonts w:ascii="Palatino Linotype" w:hAnsi="Palatino Linotype"/>
                <w:sz w:val="20"/>
                <w:szCs w:val="20"/>
              </w:rPr>
              <w:t>10</w:t>
            </w:r>
            <w:r>
              <w:rPr>
                <w:rFonts w:ascii="Palatino Linotype" w:hAnsi="Palatino Linotype"/>
                <w:sz w:val="20"/>
                <w:szCs w:val="20"/>
              </w:rPr>
              <w:t>]</w:t>
            </w:r>
            <w:r w:rsidRPr="00007097">
              <w:rPr>
                <w:rFonts w:ascii="Palatino Linotype" w:hAnsi="Palatino Linotype"/>
                <w:sz w:val="20"/>
                <w:szCs w:val="20"/>
              </w:rPr>
              <w:t xml:space="preserve"> in this Appendix</w:t>
            </w:r>
            <w:r>
              <w:t xml:space="preserve"> </w:t>
            </w:r>
            <w:r w:rsidRPr="006F54C7">
              <w:rPr>
                <w:rFonts w:ascii="Palatino Linotype" w:hAnsi="Palatino Linotype"/>
                <w:color w:val="000000" w:themeColor="text1"/>
                <w:sz w:val="20"/>
                <w:szCs w:val="20"/>
              </w:rPr>
              <w:t>for</w:t>
            </w:r>
            <w:r>
              <w:rPr>
                <w:rFonts w:ascii="Palatino Linotype" w:hAnsi="Palatino Linotype"/>
                <w:color w:val="000000" w:themeColor="text1"/>
                <w:sz w:val="20"/>
                <w:szCs w:val="20"/>
              </w:rPr>
              <w:t xml:space="preserve"> information on PG&amp;E’s Public Workshop.</w:t>
            </w:r>
          </w:p>
        </w:tc>
      </w:tr>
      <w:tr w:rsidRPr="00164C5A" w:rsidR="00010951" w14:paraId="1EBF9E9B" w14:textId="77777777">
        <w:trPr>
          <w:trHeight w:val="566"/>
        </w:trPr>
        <w:tc>
          <w:tcPr>
            <w:tcW w:w="3865" w:type="dxa"/>
            <w:vMerge w:val="restart"/>
          </w:tcPr>
          <w:p w:rsidRPr="007C564F" w:rsidR="00010951" w:rsidRDefault="00010951" w14:paraId="56612B40" w14:textId="77777777">
            <w:pPr>
              <w:rPr>
                <w:rFonts w:ascii="Palatino Linotype" w:hAnsi="Palatino Linotype"/>
                <w:color w:val="000000" w:themeColor="text1"/>
                <w:sz w:val="20"/>
                <w:szCs w:val="20"/>
              </w:rPr>
            </w:pPr>
            <w:r w:rsidRPr="001221C0">
              <w:rPr>
                <w:rFonts w:ascii="Palatino Linotype" w:hAnsi="Palatino Linotype"/>
                <w:b/>
                <w:bCs w:val="0"/>
                <w:sz w:val="20"/>
                <w:szCs w:val="20"/>
              </w:rPr>
              <w:t>[</w:t>
            </w:r>
            <w:r>
              <w:rPr>
                <w:rFonts w:ascii="Palatino Linotype" w:hAnsi="Palatino Linotype"/>
                <w:b/>
                <w:bCs w:val="0"/>
                <w:sz w:val="20"/>
                <w:szCs w:val="20"/>
              </w:rPr>
              <w:t>6</w:t>
            </w:r>
            <w:r w:rsidRPr="001221C0">
              <w:rPr>
                <w:rFonts w:ascii="Palatino Linotype" w:hAnsi="Palatino Linotype"/>
                <w:b/>
                <w:bCs w:val="0"/>
                <w:sz w:val="20"/>
                <w:szCs w:val="20"/>
              </w:rPr>
              <w:t xml:space="preserve">] </w:t>
            </w:r>
            <w:hyperlink w:tgtFrame="_blank" w:history="1" r:id="rId56">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1. Policy Priority. </w:t>
            </w:r>
            <w:r w:rsidRPr="00DE650D">
              <w:rPr>
                <w:rFonts w:ascii="Palatino Linotype" w:hAnsi="Palatino Linotype"/>
                <w:i/>
                <w:iCs/>
                <w:color w:val="000000" w:themeColor="text1"/>
                <w:sz w:val="20"/>
                <w:szCs w:val="20"/>
              </w:rPr>
              <w:t>[</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demonstrate</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Alignment with and prioritization of critical gaps and needs identified in State goals</w:t>
            </w:r>
            <w:r>
              <w:rPr>
                <w:rStyle w:val="FootnoteReference"/>
                <w:rFonts w:ascii="Palatino Linotype" w:hAnsi="Palatino Linotype"/>
                <w:i/>
                <w:iCs/>
                <w:color w:val="000000" w:themeColor="text1"/>
                <w:sz w:val="20"/>
                <w:szCs w:val="20"/>
              </w:rPr>
              <w:footnoteReference w:id="310"/>
            </w:r>
            <w:r w:rsidRPr="00A40389">
              <w:rPr>
                <w:rFonts w:ascii="Palatino Linotype" w:hAnsi="Palatino Linotype"/>
                <w:i/>
                <w:iCs/>
                <w:color w:val="000000" w:themeColor="text1"/>
                <w:sz w:val="20"/>
                <w:szCs w:val="20"/>
              </w:rPr>
              <w:t xml:space="preserve"> and specific </w:t>
            </w:r>
            <w:r w:rsidRPr="00A40389">
              <w:rPr>
                <w:rFonts w:ascii="Palatino Linotype" w:hAnsi="Palatino Linotype"/>
                <w:i/>
                <w:iCs/>
                <w:color w:val="000000" w:themeColor="text1"/>
                <w:sz w:val="20"/>
                <w:szCs w:val="20"/>
              </w:rPr>
              <w:lastRenderedPageBreak/>
              <w:t>CPUC policies and proceedings</w:t>
            </w:r>
            <w:r>
              <w:rPr>
                <w:rStyle w:val="FootnoteReference"/>
                <w:rFonts w:ascii="Palatino Linotype" w:hAnsi="Palatino Linotype"/>
                <w:i/>
                <w:iCs/>
                <w:color w:val="000000" w:themeColor="text1"/>
                <w:sz w:val="20"/>
                <w:szCs w:val="20"/>
              </w:rPr>
              <w:footnoteReference w:id="311"/>
            </w:r>
            <w:r w:rsidRPr="00A40389">
              <w:rPr>
                <w:rFonts w:ascii="Palatino Linotype" w:hAnsi="Palatino Linotype"/>
                <w:i/>
                <w:iCs/>
                <w:color w:val="000000" w:themeColor="text1"/>
                <w:sz w:val="20"/>
                <w:szCs w:val="20"/>
              </w:rPr>
              <w:t xml:space="preserve"> to demonstrate ratepayer benefit, </w:t>
            </w:r>
            <w:r w:rsidRPr="000A45AD">
              <w:rPr>
                <w:rFonts w:ascii="Palatino Linotype" w:hAnsi="Palatino Linotype"/>
                <w:i/>
                <w:iCs/>
                <w:color w:val="000000" w:themeColor="text1"/>
                <w:sz w:val="20"/>
                <w:szCs w:val="20"/>
              </w:rPr>
              <w:t>informed by consultation with CPUC staff.</w:t>
            </w:r>
            <w:r w:rsidRPr="000A45AD">
              <w:rPr>
                <w:rStyle w:val="FootnoteReference"/>
                <w:rFonts w:ascii="Palatino Linotype" w:hAnsi="Palatino Linotype"/>
                <w:i/>
                <w:iCs/>
                <w:color w:val="000000" w:themeColor="text1"/>
                <w:sz w:val="20"/>
                <w:szCs w:val="20"/>
              </w:rPr>
              <w:footnoteReference w:id="312"/>
            </w:r>
          </w:p>
        </w:tc>
        <w:tc>
          <w:tcPr>
            <w:tcW w:w="5472" w:type="dxa"/>
          </w:tcPr>
          <w:p w:rsidRPr="00E255C9" w:rsidR="00010951" w:rsidRDefault="00010951" w14:paraId="68C51734"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lastRenderedPageBreak/>
              <w:t>Innovative and Cost-Effective Integrity Management</w:t>
            </w:r>
            <w:r>
              <w:rPr>
                <w:rFonts w:ascii="Palatino Linotype" w:hAnsi="Palatino Linotype" w:cs="Segoe UI" w:eastAsiaTheme="minorHAnsi"/>
                <w:color w:val="000000" w:themeColor="text1"/>
                <w:sz w:val="20"/>
                <w:szCs w:val="20"/>
              </w:rPr>
              <w:t>: Addresses two utility-relevant gaps</w:t>
            </w:r>
            <w:r>
              <w:t xml:space="preserve"> </w:t>
            </w:r>
            <w:r w:rsidRPr="00E255C9">
              <w:rPr>
                <w:rFonts w:ascii="Palatino Linotype" w:hAnsi="Palatino Linotype" w:cs="Segoe UI" w:eastAsiaTheme="minorHAnsi"/>
                <w:color w:val="000000" w:themeColor="text1"/>
                <w:sz w:val="20"/>
                <w:szCs w:val="20"/>
              </w:rPr>
              <w:t>relevant to Commissio</w:t>
            </w:r>
            <w:r>
              <w:rPr>
                <w:rFonts w:ascii="Palatino Linotype" w:hAnsi="Palatino Linotype" w:cs="Segoe UI" w:eastAsiaTheme="minorHAnsi"/>
                <w:color w:val="000000" w:themeColor="text1"/>
                <w:sz w:val="20"/>
                <w:szCs w:val="20"/>
              </w:rPr>
              <w:t>n</w:t>
            </w:r>
            <w:r w:rsidRPr="00E255C9">
              <w:rPr>
                <w:rFonts w:ascii="Palatino Linotype" w:hAnsi="Palatino Linotype" w:cs="Segoe UI" w:eastAsiaTheme="minorHAnsi"/>
                <w:color w:val="000000" w:themeColor="text1"/>
                <w:sz w:val="20"/>
                <w:szCs w:val="20"/>
              </w:rPr>
              <w:t xml:space="preserve"> priorities</w:t>
            </w:r>
            <w:r>
              <w:rPr>
                <w:rFonts w:ascii="Palatino Linotype" w:hAnsi="Palatino Linotype" w:cs="Segoe UI" w:eastAsiaTheme="minorHAnsi"/>
                <w:color w:val="000000" w:themeColor="text1"/>
                <w:sz w:val="20"/>
                <w:szCs w:val="20"/>
              </w:rPr>
              <w:t xml:space="preserve"> identified in </w:t>
            </w:r>
            <w:r w:rsidRPr="000E61FD">
              <w:rPr>
                <w:rFonts w:ascii="Palatino Linotype" w:hAnsi="Palatino Linotype" w:cs="Segoe UI" w:eastAsiaTheme="minorHAnsi"/>
                <w:color w:val="000000" w:themeColor="text1"/>
                <w:sz w:val="20"/>
                <w:szCs w:val="20"/>
              </w:rPr>
              <w:t>R.13-11-006</w:t>
            </w:r>
            <w:r>
              <w:rPr>
                <w:rFonts w:ascii="Palatino Linotype" w:hAnsi="Palatino Linotype" w:cs="Segoe UI" w:eastAsiaTheme="minorHAnsi"/>
                <w:color w:val="000000" w:themeColor="text1"/>
                <w:sz w:val="20"/>
                <w:szCs w:val="20"/>
              </w:rPr>
              <w:t xml:space="preserve">, </w:t>
            </w:r>
            <w:r w:rsidRPr="000E61FD">
              <w:rPr>
                <w:rFonts w:ascii="Palatino Linotype" w:hAnsi="Palatino Linotype" w:cs="Segoe UI" w:eastAsiaTheme="minorHAnsi"/>
                <w:color w:val="000000" w:themeColor="text1"/>
                <w:sz w:val="20"/>
                <w:szCs w:val="20"/>
              </w:rPr>
              <w:t>R.15-01-008</w:t>
            </w:r>
            <w:r>
              <w:rPr>
                <w:rFonts w:ascii="Palatino Linotype" w:hAnsi="Palatino Linotype" w:cs="Segoe UI" w:eastAsiaTheme="minorHAnsi"/>
                <w:color w:val="000000" w:themeColor="text1"/>
                <w:sz w:val="20"/>
                <w:szCs w:val="20"/>
              </w:rPr>
              <w:t xml:space="preserve">, </w:t>
            </w:r>
            <w:r w:rsidRPr="008D4FF3">
              <w:rPr>
                <w:rFonts w:ascii="Palatino Linotype" w:hAnsi="Palatino Linotype" w:cs="Segoe UI" w:eastAsiaTheme="minorHAnsi"/>
                <w:color w:val="000000" w:themeColor="text1"/>
                <w:sz w:val="20"/>
                <w:szCs w:val="20"/>
              </w:rPr>
              <w:t>D.15-06-044 / General Order No. 112-F</w:t>
            </w:r>
            <w:r>
              <w:rPr>
                <w:rFonts w:ascii="Palatino Linotype" w:hAnsi="Palatino Linotype" w:cs="Segoe UI" w:eastAsiaTheme="minorHAnsi"/>
                <w:color w:val="000000" w:themeColor="text1"/>
                <w:sz w:val="20"/>
                <w:szCs w:val="20"/>
              </w:rPr>
              <w:t xml:space="preserve">, and </w:t>
            </w:r>
            <w:r w:rsidRPr="000E61FD">
              <w:rPr>
                <w:rFonts w:ascii="Palatino Linotype" w:hAnsi="Palatino Linotype" w:cs="Segoe UI" w:eastAsiaTheme="minorHAnsi"/>
                <w:color w:val="000000" w:themeColor="text1"/>
                <w:sz w:val="20"/>
                <w:szCs w:val="20"/>
              </w:rPr>
              <w:t>R.24-09-</w:t>
            </w:r>
            <w:r w:rsidRPr="000E61FD">
              <w:rPr>
                <w:rFonts w:ascii="Palatino Linotype" w:hAnsi="Palatino Linotype" w:cs="Segoe UI" w:eastAsiaTheme="minorHAnsi"/>
                <w:color w:val="000000" w:themeColor="text1"/>
                <w:sz w:val="20"/>
                <w:szCs w:val="20"/>
              </w:rPr>
              <w:lastRenderedPageBreak/>
              <w:t>012</w:t>
            </w:r>
            <w:r>
              <w:rPr>
                <w:rFonts w:ascii="Palatino Linotype" w:hAnsi="Palatino Linotype" w:cs="Segoe UI" w:eastAsiaTheme="minorHAnsi"/>
                <w:color w:val="000000" w:themeColor="text1"/>
                <w:sz w:val="20"/>
                <w:szCs w:val="20"/>
              </w:rPr>
              <w:t xml:space="preserve"> while describing distinct incremental impacts anticipated from this Initiative:</w:t>
            </w:r>
            <w:r>
              <w:rPr>
                <w:rStyle w:val="FootnoteReference"/>
                <w:rFonts w:ascii="Palatino Linotype" w:hAnsi="Palatino Linotype" w:cs="Segoe UI" w:eastAsiaTheme="minorHAnsi"/>
                <w:color w:val="000000" w:themeColor="text1"/>
                <w:sz w:val="20"/>
                <w:szCs w:val="20"/>
              </w:rPr>
              <w:footnoteReference w:id="313"/>
            </w:r>
          </w:p>
          <w:p w:rsidR="00010951" w:rsidP="00010951" w:rsidRDefault="00010951" w14:paraId="6C1827BD" w14:textId="77777777">
            <w:pPr>
              <w:pStyle w:val="NormalWeb"/>
              <w:numPr>
                <w:ilvl w:val="0"/>
                <w:numId w:val="31"/>
              </w:numPr>
              <w:spacing w:before="0" w:beforeAutospacing="0" w:after="0" w:afterAutospacing="0"/>
              <w:rPr>
                <w:rFonts w:ascii="Palatino Linotype" w:hAnsi="Palatino Linotype" w:cs="Segoe UI"/>
                <w:color w:val="000000" w:themeColor="text1"/>
                <w:sz w:val="20"/>
                <w:szCs w:val="20"/>
              </w:rPr>
            </w:pPr>
            <w:r>
              <w:rPr>
                <w:rFonts w:ascii="Palatino Linotype" w:hAnsi="Palatino Linotype" w:cs="Segoe UI"/>
                <w:color w:val="000000" w:themeColor="text1"/>
                <w:sz w:val="20"/>
                <w:szCs w:val="20"/>
              </w:rPr>
              <w:t>U</w:t>
            </w:r>
            <w:r w:rsidRPr="00A248D8">
              <w:rPr>
                <w:rFonts w:ascii="Palatino Linotype" w:hAnsi="Palatino Linotype" w:cs="Segoe UI"/>
                <w:color w:val="000000" w:themeColor="text1"/>
                <w:sz w:val="20"/>
                <w:szCs w:val="20"/>
              </w:rPr>
              <w:t>nderground storage</w:t>
            </w:r>
            <w:r>
              <w:rPr>
                <w:rFonts w:ascii="Palatino Linotype" w:hAnsi="Palatino Linotype" w:cs="Segoe UI"/>
                <w:color w:val="000000" w:themeColor="text1"/>
                <w:sz w:val="20"/>
                <w:szCs w:val="20"/>
              </w:rPr>
              <w:t xml:space="preserve"> </w:t>
            </w:r>
            <w:r w:rsidRPr="00A248D8">
              <w:rPr>
                <w:rFonts w:ascii="Palatino Linotype" w:hAnsi="Palatino Linotype" w:cs="Segoe UI"/>
                <w:color w:val="000000" w:themeColor="text1"/>
                <w:sz w:val="20"/>
                <w:szCs w:val="20"/>
              </w:rPr>
              <w:t>well integrity management can still rely on costly, intrusive, and periodic inspection methods where</w:t>
            </w:r>
            <w:r>
              <w:rPr>
                <w:rFonts w:ascii="Palatino Linotype" w:hAnsi="Palatino Linotype" w:cs="Segoe UI"/>
                <w:color w:val="000000" w:themeColor="text1"/>
                <w:sz w:val="20"/>
                <w:szCs w:val="20"/>
              </w:rPr>
              <w:t xml:space="preserve"> </w:t>
            </w:r>
            <w:r w:rsidRPr="00A248D8">
              <w:rPr>
                <w:rFonts w:ascii="Palatino Linotype" w:hAnsi="Palatino Linotype" w:cs="Segoe UI"/>
                <w:color w:val="000000" w:themeColor="text1"/>
                <w:sz w:val="20"/>
                <w:szCs w:val="20"/>
              </w:rPr>
              <w:t xml:space="preserve">continuous or on-demand condition monitoring remains limited. </w:t>
            </w:r>
          </w:p>
          <w:p w:rsidRPr="00F84ED8" w:rsidR="00010951" w:rsidP="00010951" w:rsidRDefault="00010951" w14:paraId="75B9758B" w14:textId="77777777">
            <w:pPr>
              <w:pStyle w:val="NormalWeb"/>
              <w:numPr>
                <w:ilvl w:val="0"/>
                <w:numId w:val="31"/>
              </w:numPr>
              <w:spacing w:before="0" w:beforeAutospacing="0" w:after="0" w:afterAutospacing="0"/>
              <w:rPr>
                <w:rFonts w:ascii="Palatino Linotype" w:hAnsi="Palatino Linotype" w:cs="Segoe UI"/>
                <w:color w:val="000000" w:themeColor="text1"/>
                <w:sz w:val="20"/>
                <w:szCs w:val="20"/>
              </w:rPr>
            </w:pPr>
            <w:r w:rsidRPr="00F84ED8">
              <w:rPr>
                <w:rFonts w:ascii="Palatino Linotype" w:hAnsi="Palatino Linotype" w:cs="Segoe UI"/>
                <w:color w:val="000000" w:themeColor="text1"/>
                <w:sz w:val="20"/>
                <w:szCs w:val="20"/>
              </w:rPr>
              <w:t xml:space="preserve">Existing stress corrosion cracking direct assessment (SCCDA) methods face important limitations in cased pipeline crossings, where shielding, restricted access, and signal interference can make assessment difficult and increase reliance </w:t>
            </w:r>
            <w:r w:rsidRPr="00F84ED8">
              <w:rPr>
                <w:rFonts w:ascii="Palatino Linotype" w:hAnsi="Palatino Linotype" w:cs="Segoe UI" w:eastAsiaTheme="minorHAnsi"/>
                <w:color w:val="000000" w:themeColor="text1"/>
                <w:sz w:val="20"/>
                <w:szCs w:val="20"/>
              </w:rPr>
              <w:t>on invasive or costly approaches.</w:t>
            </w:r>
          </w:p>
        </w:tc>
        <w:tc>
          <w:tcPr>
            <w:tcW w:w="3888" w:type="dxa"/>
          </w:tcPr>
          <w:p w:rsidRPr="00841E84" w:rsidR="00010951" w:rsidRDefault="00010951" w14:paraId="66DF474F" w14:textId="77777777">
            <w:pPr>
              <w:rPr>
                <w:rFonts w:ascii="Palatino Linotype" w:hAnsi="Palatino Linotype"/>
                <w:sz w:val="20"/>
                <w:szCs w:val="20"/>
              </w:rPr>
            </w:pPr>
            <w:r>
              <w:rPr>
                <w:rFonts w:ascii="Palatino Linotype" w:hAnsi="Palatino Linotype"/>
                <w:sz w:val="20"/>
                <w:szCs w:val="20"/>
              </w:rPr>
              <w:lastRenderedPageBreak/>
              <w:t xml:space="preserve">PG&amp;E provides detail linking this Initiative to Commission priorities identified in proceedings, particularly to maintain safety and reliability, promote affordability, and provide insights on changing conditions through the gas </w:t>
            </w:r>
            <w:r>
              <w:rPr>
                <w:rFonts w:ascii="Palatino Linotype" w:hAnsi="Palatino Linotype"/>
                <w:sz w:val="20"/>
                <w:szCs w:val="20"/>
              </w:rPr>
              <w:lastRenderedPageBreak/>
              <w:t>transition</w:t>
            </w:r>
            <w:r w:rsidRPr="00F0504B">
              <w:rPr>
                <w:rFonts w:ascii="Palatino Linotype" w:hAnsi="Palatino Linotype"/>
                <w:color w:val="000000" w:themeColor="text1"/>
                <w:sz w:val="20"/>
                <w:szCs w:val="20"/>
              </w:rPr>
              <w:t xml:space="preserve">. PG&amp;E shall continue to coordinate with CPUC staff through Plan </w:t>
            </w:r>
            <w:r w:rsidRPr="00711B05">
              <w:rPr>
                <w:rFonts w:ascii="Palatino Linotype" w:hAnsi="Palatino Linotype"/>
                <w:color w:val="000000" w:themeColor="text1"/>
                <w:sz w:val="20"/>
                <w:szCs w:val="20"/>
              </w:rPr>
              <w:t xml:space="preserve">implementation to ensure ongoing alignment with CPUC proceedings. </w:t>
            </w:r>
            <w:r w:rsidRPr="00711B05">
              <w:rPr>
                <w:rFonts w:ascii="Palatino Linotype" w:hAnsi="Palatino Linotype"/>
                <w:b/>
                <w:bCs w:val="0"/>
                <w:sz w:val="20"/>
                <w:szCs w:val="20"/>
              </w:rPr>
              <w:t>PG&amp;E is compliant with this requirement.</w:t>
            </w:r>
          </w:p>
        </w:tc>
      </w:tr>
      <w:tr w:rsidRPr="00164C5A" w:rsidR="00010951" w14:paraId="5018FBFA" w14:textId="77777777">
        <w:trPr>
          <w:trHeight w:val="800"/>
        </w:trPr>
        <w:tc>
          <w:tcPr>
            <w:tcW w:w="3865" w:type="dxa"/>
            <w:vMerge/>
          </w:tcPr>
          <w:p w:rsidR="00010951" w:rsidRDefault="00010951" w14:paraId="38347248" w14:textId="77777777"/>
        </w:tc>
        <w:tc>
          <w:tcPr>
            <w:tcW w:w="5472" w:type="dxa"/>
          </w:tcPr>
          <w:p w:rsidR="00010951" w:rsidRDefault="00010951" w14:paraId="4F11030E"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t>Integrated Planning Tools to Enable Scaled Up Gas Decommissioning and Electrification</w:t>
            </w:r>
            <w:r>
              <w:rPr>
                <w:rFonts w:ascii="Palatino Linotype" w:hAnsi="Palatino Linotype" w:cs="Segoe UI" w:eastAsiaTheme="minorHAnsi"/>
                <w:color w:val="000000" w:themeColor="text1"/>
                <w:sz w:val="20"/>
                <w:szCs w:val="20"/>
              </w:rPr>
              <w:t xml:space="preserve">: </w:t>
            </w:r>
          </w:p>
          <w:p w:rsidRPr="005C67DF" w:rsidR="00010951" w:rsidRDefault="00010951" w14:paraId="5AAF1430"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831321">
              <w:rPr>
                <w:rFonts w:ascii="Palatino Linotype" w:hAnsi="Palatino Linotype" w:cs="Segoe UI" w:eastAsiaTheme="minorHAnsi"/>
                <w:color w:val="000000" w:themeColor="text1"/>
                <w:sz w:val="20"/>
                <w:szCs w:val="20"/>
              </w:rPr>
              <w:t>R.20-05-003</w:t>
            </w:r>
            <w:r>
              <w:rPr>
                <w:rFonts w:ascii="Palatino Linotype" w:hAnsi="Palatino Linotype" w:cs="Segoe UI" w:eastAsiaTheme="minorHAnsi"/>
                <w:color w:val="000000" w:themeColor="text1"/>
                <w:sz w:val="20"/>
                <w:szCs w:val="20"/>
              </w:rPr>
              <w:t xml:space="preserve">, </w:t>
            </w:r>
            <w:r w:rsidRPr="00FE2E75">
              <w:rPr>
                <w:rFonts w:ascii="Palatino Linotype" w:hAnsi="Palatino Linotype" w:cs="Segoe UI" w:eastAsiaTheme="minorHAnsi"/>
                <w:color w:val="000000" w:themeColor="text1"/>
                <w:sz w:val="20"/>
                <w:szCs w:val="20"/>
              </w:rPr>
              <w:t>R.21-06-017</w:t>
            </w:r>
            <w:r>
              <w:rPr>
                <w:rFonts w:ascii="Palatino Linotype" w:hAnsi="Palatino Linotype" w:cs="Segoe UI" w:eastAsiaTheme="minorHAnsi"/>
                <w:color w:val="000000" w:themeColor="text1"/>
                <w:sz w:val="20"/>
                <w:szCs w:val="20"/>
              </w:rPr>
              <w:t xml:space="preserve">, R.24-01-018, </w:t>
            </w:r>
            <w:r w:rsidRPr="00831321">
              <w:rPr>
                <w:rFonts w:ascii="Palatino Linotype" w:hAnsi="Palatino Linotype" w:cs="Segoe UI" w:eastAsiaTheme="minorHAnsi"/>
                <w:color w:val="000000" w:themeColor="text1"/>
                <w:sz w:val="20"/>
                <w:szCs w:val="20"/>
              </w:rPr>
              <w:t>R.24-09-012</w:t>
            </w:r>
            <w:r>
              <w:rPr>
                <w:rFonts w:ascii="Palatino Linotype" w:hAnsi="Palatino Linotype" w:cs="Segoe UI" w:eastAsiaTheme="minorHAnsi"/>
                <w:color w:val="000000" w:themeColor="text1"/>
                <w:sz w:val="20"/>
                <w:szCs w:val="20"/>
              </w:rPr>
              <w:t xml:space="preserve">, and D.25-12-042 (SB 1221) identify </w:t>
            </w:r>
            <w:r w:rsidRPr="00764D60">
              <w:rPr>
                <w:rFonts w:ascii="Palatino Linotype" w:hAnsi="Palatino Linotype" w:cs="Segoe UI"/>
                <w:color w:val="000000" w:themeColor="text1"/>
                <w:sz w:val="20"/>
                <w:szCs w:val="20"/>
              </w:rPr>
              <w:t>the need for structured, transparent, and</w:t>
            </w:r>
            <w:r>
              <w:rPr>
                <w:rFonts w:ascii="Palatino Linotype" w:hAnsi="Palatino Linotype" w:cs="Segoe UI"/>
                <w:color w:val="000000" w:themeColor="text1"/>
                <w:sz w:val="20"/>
                <w:szCs w:val="20"/>
              </w:rPr>
              <w:t xml:space="preserve"> </w:t>
            </w:r>
            <w:r w:rsidRPr="00764D60">
              <w:rPr>
                <w:rFonts w:ascii="Palatino Linotype" w:hAnsi="Palatino Linotype" w:cs="Segoe UI"/>
                <w:color w:val="000000" w:themeColor="text1"/>
                <w:sz w:val="20"/>
                <w:szCs w:val="20"/>
              </w:rPr>
              <w:t>comparable methods to evaluate gas system transition and decommissioning considerations using input</w:t>
            </w:r>
            <w:r>
              <w:rPr>
                <w:rFonts w:ascii="Palatino Linotype" w:hAnsi="Palatino Linotype" w:cs="Segoe UI"/>
                <w:color w:val="000000" w:themeColor="text1"/>
                <w:sz w:val="20"/>
                <w:szCs w:val="20"/>
              </w:rPr>
              <w:t xml:space="preserve">s </w:t>
            </w:r>
            <w:r w:rsidRPr="00764D60">
              <w:rPr>
                <w:rFonts w:ascii="Palatino Linotype" w:hAnsi="Palatino Linotype" w:cs="Segoe UI" w:eastAsiaTheme="minorHAnsi"/>
                <w:color w:val="000000" w:themeColor="text1"/>
                <w:sz w:val="20"/>
                <w:szCs w:val="20"/>
              </w:rPr>
              <w:t>that originate across multiple planning domains</w:t>
            </w:r>
            <w:r>
              <w:rPr>
                <w:rFonts w:ascii="Palatino Linotype" w:hAnsi="Palatino Linotype" w:cs="Segoe UI" w:eastAsiaTheme="minorHAnsi"/>
                <w:color w:val="000000" w:themeColor="text1"/>
                <w:sz w:val="20"/>
                <w:szCs w:val="20"/>
              </w:rPr>
              <w:t xml:space="preserve">. </w:t>
            </w:r>
            <w:r w:rsidRPr="005C67DF">
              <w:rPr>
                <w:rFonts w:ascii="Palatino Linotype" w:hAnsi="Palatino Linotype" w:cs="Segoe UI"/>
                <w:color w:val="000000" w:themeColor="text1"/>
                <w:sz w:val="20"/>
                <w:szCs w:val="20"/>
              </w:rPr>
              <w:t>Through</w:t>
            </w:r>
            <w:r>
              <w:rPr>
                <w:rFonts w:ascii="Palatino Linotype" w:hAnsi="Palatino Linotype" w:cs="Segoe UI"/>
                <w:color w:val="000000" w:themeColor="text1"/>
                <w:sz w:val="20"/>
                <w:szCs w:val="20"/>
              </w:rPr>
              <w:t xml:space="preserve"> </w:t>
            </w:r>
            <w:r w:rsidRPr="005C67DF">
              <w:rPr>
                <w:rFonts w:ascii="Palatino Linotype" w:hAnsi="Palatino Linotype" w:cs="Segoe UI"/>
                <w:color w:val="000000" w:themeColor="text1"/>
                <w:sz w:val="20"/>
                <w:szCs w:val="20"/>
              </w:rPr>
              <w:t>structured translation of inputs, decomposition of complex planning questions into cost, risk, constraint, and</w:t>
            </w:r>
            <w:r>
              <w:rPr>
                <w:rFonts w:ascii="Palatino Linotype" w:hAnsi="Palatino Linotype" w:cs="Segoe UI"/>
                <w:color w:val="000000" w:themeColor="text1"/>
                <w:sz w:val="20"/>
                <w:szCs w:val="20"/>
              </w:rPr>
              <w:t xml:space="preserve"> </w:t>
            </w:r>
            <w:r w:rsidRPr="005C67DF">
              <w:rPr>
                <w:rFonts w:ascii="Palatino Linotype" w:hAnsi="Palatino Linotype" w:cs="Segoe UI"/>
                <w:color w:val="000000" w:themeColor="text1"/>
                <w:sz w:val="20"/>
                <w:szCs w:val="20"/>
              </w:rPr>
              <w:t>feasibility components, and scenario-based approaches that preserve uncertainty, t</w:t>
            </w:r>
            <w:r>
              <w:rPr>
                <w:rFonts w:ascii="Palatino Linotype" w:hAnsi="Palatino Linotype" w:cs="Segoe UI"/>
                <w:color w:val="000000" w:themeColor="text1"/>
                <w:sz w:val="20"/>
                <w:szCs w:val="20"/>
              </w:rPr>
              <w:t>his I</w:t>
            </w:r>
            <w:r w:rsidRPr="005C67DF">
              <w:rPr>
                <w:rFonts w:ascii="Palatino Linotype" w:hAnsi="Palatino Linotype" w:cs="Segoe UI"/>
                <w:color w:val="000000" w:themeColor="text1"/>
                <w:sz w:val="20"/>
                <w:szCs w:val="20"/>
              </w:rPr>
              <w:t xml:space="preserve">nitiative </w:t>
            </w:r>
            <w:r>
              <w:rPr>
                <w:rFonts w:ascii="Palatino Linotype" w:hAnsi="Palatino Linotype" w:cs="Segoe UI"/>
                <w:color w:val="000000" w:themeColor="text1"/>
                <w:sz w:val="20"/>
                <w:szCs w:val="20"/>
              </w:rPr>
              <w:t xml:space="preserve">provides distinct value by </w:t>
            </w:r>
            <w:r w:rsidRPr="005C67DF">
              <w:rPr>
                <w:rFonts w:ascii="Palatino Linotype" w:hAnsi="Palatino Linotype" w:cs="Segoe UI"/>
                <w:color w:val="000000" w:themeColor="text1"/>
                <w:sz w:val="20"/>
                <w:szCs w:val="20"/>
              </w:rPr>
              <w:t>support</w:t>
            </w:r>
            <w:r>
              <w:rPr>
                <w:rFonts w:ascii="Palatino Linotype" w:hAnsi="Palatino Linotype" w:cs="Segoe UI"/>
                <w:color w:val="000000" w:themeColor="text1"/>
                <w:sz w:val="20"/>
                <w:szCs w:val="20"/>
              </w:rPr>
              <w:t xml:space="preserve">ing </w:t>
            </w:r>
            <w:r w:rsidRPr="005C67DF">
              <w:rPr>
                <w:rFonts w:ascii="Palatino Linotype" w:hAnsi="Palatino Linotype" w:cs="Segoe UI"/>
                <w:color w:val="000000" w:themeColor="text1"/>
                <w:sz w:val="20"/>
                <w:szCs w:val="20"/>
              </w:rPr>
              <w:t xml:space="preserve">consistent, transparent, and repeatable evaluation of gas system </w:t>
            </w:r>
            <w:r w:rsidRPr="005C67DF">
              <w:rPr>
                <w:rFonts w:ascii="Palatino Linotype" w:hAnsi="Palatino Linotype" w:cs="Segoe UI"/>
                <w:color w:val="000000" w:themeColor="text1"/>
                <w:sz w:val="20"/>
                <w:szCs w:val="20"/>
              </w:rPr>
              <w:lastRenderedPageBreak/>
              <w:t>transition questions across system</w:t>
            </w:r>
            <w:r>
              <w:rPr>
                <w:rFonts w:ascii="Palatino Linotype" w:hAnsi="Palatino Linotype" w:cs="Segoe UI"/>
                <w:color w:val="000000" w:themeColor="text1"/>
                <w:sz w:val="20"/>
                <w:szCs w:val="20"/>
              </w:rPr>
              <w:t xml:space="preserve"> </w:t>
            </w:r>
            <w:r w:rsidRPr="005C67DF">
              <w:rPr>
                <w:rFonts w:ascii="Palatino Linotype" w:hAnsi="Palatino Linotype" w:cs="Segoe UI" w:eastAsiaTheme="minorHAnsi"/>
                <w:color w:val="000000" w:themeColor="text1"/>
                <w:sz w:val="20"/>
                <w:szCs w:val="20"/>
              </w:rPr>
              <w:t>segments and future conditions.</w:t>
            </w:r>
            <w:r>
              <w:rPr>
                <w:rStyle w:val="FootnoteReference"/>
                <w:rFonts w:ascii="Palatino Linotype" w:hAnsi="Palatino Linotype" w:cs="Segoe UI" w:eastAsiaTheme="minorHAnsi"/>
                <w:color w:val="000000" w:themeColor="text1"/>
                <w:sz w:val="20"/>
                <w:szCs w:val="20"/>
              </w:rPr>
              <w:footnoteReference w:id="314"/>
            </w:r>
          </w:p>
        </w:tc>
        <w:tc>
          <w:tcPr>
            <w:tcW w:w="3888" w:type="dxa"/>
          </w:tcPr>
          <w:p w:rsidRPr="00711B05" w:rsidR="00010951" w:rsidRDefault="00010951" w14:paraId="09A6690E" w14:textId="77777777">
            <w:pPr>
              <w:rPr>
                <w:rFonts w:ascii="Palatino Linotype" w:hAnsi="Palatino Linotype"/>
                <w:sz w:val="20"/>
                <w:szCs w:val="20"/>
              </w:rPr>
            </w:pPr>
            <w:r w:rsidRPr="00711B05">
              <w:rPr>
                <w:rFonts w:ascii="Palatino Linotype" w:hAnsi="Palatino Linotype"/>
                <w:sz w:val="20"/>
                <w:szCs w:val="20"/>
              </w:rPr>
              <w:lastRenderedPageBreak/>
              <w:t xml:space="preserve">PG&amp;E was responsive to feedback from CPUC staff aimed at aligning Gas RD&amp;D investments with CPUC policies and proceedings by creating this Initiative upon consultation with staff, who emphasized the Commission’s affordability concerns with a shrinking gas rate base. This Initiative is reflective of CPUC priorities by providing insights on </w:t>
            </w:r>
            <w:r w:rsidRPr="00711B05">
              <w:rPr>
                <w:rFonts w:ascii="Palatino Linotype" w:hAnsi="Palatino Linotype"/>
                <w:color w:val="000000" w:themeColor="text1"/>
                <w:sz w:val="20"/>
                <w:szCs w:val="20"/>
              </w:rPr>
              <w:t xml:space="preserve">cost, risk, constraint, and feasibility components to support consistent, transparent, and repeatable evaluation of gas system transition questions across </w:t>
            </w:r>
            <w:r w:rsidRPr="00711B05">
              <w:rPr>
                <w:rFonts w:ascii="Palatino Linotype" w:hAnsi="Palatino Linotype"/>
                <w:color w:val="000000" w:themeColor="text1"/>
                <w:sz w:val="20"/>
                <w:szCs w:val="20"/>
              </w:rPr>
              <w:lastRenderedPageBreak/>
              <w:t xml:space="preserve">system segments and future conditions. PG&amp;E shall continue to coordinate with CPUC staff through Plan implementation to ensure ongoing alignment with CPUC proceedings. </w:t>
            </w:r>
            <w:r w:rsidRPr="00711B05">
              <w:rPr>
                <w:rFonts w:ascii="Palatino Linotype" w:hAnsi="Palatino Linotype"/>
                <w:b/>
                <w:bCs w:val="0"/>
                <w:color w:val="000000" w:themeColor="text1"/>
                <w:sz w:val="20"/>
                <w:szCs w:val="20"/>
              </w:rPr>
              <w:t>PG&amp;E is compliant with this requirement.</w:t>
            </w:r>
            <w:r w:rsidRPr="00711B05">
              <w:rPr>
                <w:rFonts w:ascii="Palatino Linotype" w:hAnsi="Palatino Linotype"/>
                <w:color w:val="000000" w:themeColor="text1"/>
                <w:sz w:val="20"/>
                <w:szCs w:val="20"/>
              </w:rPr>
              <w:t xml:space="preserve"> </w:t>
            </w:r>
          </w:p>
        </w:tc>
      </w:tr>
      <w:tr w:rsidRPr="00164C5A" w:rsidR="00010951" w14:paraId="653FAB4F" w14:textId="77777777">
        <w:tc>
          <w:tcPr>
            <w:tcW w:w="3865" w:type="dxa"/>
            <w:vMerge/>
          </w:tcPr>
          <w:p w:rsidR="00010951" w:rsidRDefault="00010951" w14:paraId="69878101" w14:textId="77777777"/>
        </w:tc>
        <w:tc>
          <w:tcPr>
            <w:tcW w:w="5472" w:type="dxa"/>
          </w:tcPr>
          <w:p w:rsidR="00010951" w:rsidRDefault="00010951" w14:paraId="0E6D05BE"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u w:val="single"/>
              </w:rPr>
              <w:t>:</w:t>
            </w:r>
          </w:p>
          <w:p w:rsidRPr="00841E84" w:rsidR="00010951" w:rsidRDefault="00010951" w14:paraId="0781FF9A" w14:textId="77777777">
            <w:pPr>
              <w:rPr>
                <w:rFonts w:ascii="Palatino Linotype" w:hAnsi="Palatino Linotype"/>
                <w:sz w:val="20"/>
                <w:szCs w:val="20"/>
              </w:rPr>
            </w:pPr>
            <w:r w:rsidRPr="002B53E5">
              <w:rPr>
                <w:rFonts w:ascii="Palatino Linotype" w:hAnsi="Palatino Linotype"/>
                <w:sz w:val="20"/>
                <w:szCs w:val="20"/>
              </w:rPr>
              <w:t>R.13-02-008</w:t>
            </w:r>
            <w:r>
              <w:rPr>
                <w:rFonts w:ascii="Palatino Linotype" w:hAnsi="Palatino Linotype"/>
                <w:sz w:val="20"/>
                <w:szCs w:val="20"/>
              </w:rPr>
              <w:t xml:space="preserve">, </w:t>
            </w:r>
            <w:r w:rsidRPr="00AF2B21">
              <w:rPr>
                <w:rFonts w:ascii="Palatino Linotype" w:hAnsi="Palatino Linotype"/>
                <w:sz w:val="20"/>
                <w:szCs w:val="20"/>
              </w:rPr>
              <w:t>D.22-02-025</w:t>
            </w:r>
            <w:r>
              <w:rPr>
                <w:rFonts w:ascii="Palatino Linotype" w:hAnsi="Palatino Linotype"/>
                <w:sz w:val="20"/>
                <w:szCs w:val="20"/>
              </w:rPr>
              <w:t xml:space="preserve">, </w:t>
            </w:r>
            <w:r w:rsidRPr="00702173">
              <w:rPr>
                <w:rFonts w:ascii="Palatino Linotype" w:hAnsi="Palatino Linotype"/>
                <w:sz w:val="20"/>
                <w:szCs w:val="20"/>
              </w:rPr>
              <w:t>R.22-12-011</w:t>
            </w:r>
            <w:r>
              <w:rPr>
                <w:rFonts w:ascii="Palatino Linotype" w:hAnsi="Palatino Linotype"/>
                <w:sz w:val="20"/>
                <w:szCs w:val="20"/>
              </w:rPr>
              <w:t xml:space="preserve">, </w:t>
            </w:r>
            <w:r w:rsidRPr="00AF2B21">
              <w:rPr>
                <w:rFonts w:ascii="Palatino Linotype" w:hAnsi="Palatino Linotype"/>
                <w:sz w:val="20"/>
                <w:szCs w:val="20"/>
              </w:rPr>
              <w:t>D.22-12-057</w:t>
            </w:r>
            <w:r>
              <w:rPr>
                <w:rFonts w:ascii="Palatino Linotype" w:hAnsi="Palatino Linotype"/>
                <w:sz w:val="20"/>
                <w:szCs w:val="20"/>
              </w:rPr>
              <w:t xml:space="preserve">, </w:t>
            </w:r>
            <w:r w:rsidRPr="00702173">
              <w:rPr>
                <w:rFonts w:ascii="Palatino Linotype" w:hAnsi="Palatino Linotype"/>
                <w:sz w:val="20"/>
                <w:szCs w:val="20"/>
              </w:rPr>
              <w:t>D.23-08-046</w:t>
            </w:r>
            <w:r>
              <w:rPr>
                <w:rFonts w:ascii="Palatino Linotype" w:hAnsi="Palatino Linotype"/>
                <w:sz w:val="20"/>
                <w:szCs w:val="20"/>
              </w:rPr>
              <w:t xml:space="preserve">, </w:t>
            </w:r>
            <w:r w:rsidRPr="00702173">
              <w:rPr>
                <w:rFonts w:ascii="Palatino Linotype" w:hAnsi="Palatino Linotype"/>
                <w:sz w:val="20"/>
                <w:szCs w:val="20"/>
              </w:rPr>
              <w:t>R.24-09-012</w:t>
            </w:r>
            <w:r>
              <w:rPr>
                <w:rFonts w:ascii="Palatino Linotype" w:hAnsi="Palatino Linotype"/>
                <w:sz w:val="20"/>
                <w:szCs w:val="20"/>
              </w:rPr>
              <w:t xml:space="preserve">, and </w:t>
            </w:r>
            <w:r w:rsidRPr="00AF2B21">
              <w:rPr>
                <w:rFonts w:ascii="Palatino Linotype" w:hAnsi="Palatino Linotype"/>
                <w:sz w:val="20"/>
                <w:szCs w:val="20"/>
              </w:rPr>
              <w:t>D.26-04-044</w:t>
            </w:r>
            <w:r>
              <w:rPr>
                <w:rFonts w:ascii="Palatino Linotype" w:hAnsi="Palatino Linotype"/>
                <w:sz w:val="20"/>
                <w:szCs w:val="20"/>
              </w:rPr>
              <w:t xml:space="preserve"> </w:t>
            </w:r>
            <w:r w:rsidRPr="005A52ED">
              <w:rPr>
                <w:rFonts w:ascii="Palatino Linotype" w:hAnsi="Palatino Linotype"/>
                <w:sz w:val="20"/>
                <w:szCs w:val="20"/>
              </w:rPr>
              <w:t>establish a regulatory and planning framework that enables biomethane and other cleaner gaseous fuels</w:t>
            </w:r>
            <w:r>
              <w:rPr>
                <w:rFonts w:ascii="Palatino Linotype" w:hAnsi="Palatino Linotype"/>
                <w:sz w:val="20"/>
                <w:szCs w:val="20"/>
              </w:rPr>
              <w:t xml:space="preserve"> </w:t>
            </w:r>
            <w:r w:rsidRPr="005A52ED">
              <w:rPr>
                <w:rFonts w:ascii="Palatino Linotype" w:hAnsi="Palatino Linotype"/>
                <w:sz w:val="20"/>
                <w:szCs w:val="20"/>
              </w:rPr>
              <w:t>to be evaluated through clearer gas quality requirements, more workable interconnection approaches,</w:t>
            </w:r>
            <w:r>
              <w:rPr>
                <w:rFonts w:ascii="Palatino Linotype" w:hAnsi="Palatino Linotype"/>
                <w:sz w:val="20"/>
                <w:szCs w:val="20"/>
              </w:rPr>
              <w:t xml:space="preserve"> </w:t>
            </w:r>
            <w:r w:rsidRPr="005A52ED">
              <w:rPr>
                <w:rFonts w:ascii="Palatino Linotype" w:hAnsi="Palatino Linotype"/>
                <w:sz w:val="20"/>
                <w:szCs w:val="20"/>
              </w:rPr>
              <w:t>transparent treatment of ratepayer impacts and cost allocation, and more consistent long-term planning</w:t>
            </w:r>
            <w:r>
              <w:rPr>
                <w:rFonts w:ascii="Palatino Linotype" w:hAnsi="Palatino Linotype"/>
                <w:sz w:val="20"/>
                <w:szCs w:val="20"/>
              </w:rPr>
              <w:t xml:space="preserve"> </w:t>
            </w:r>
            <w:r w:rsidRPr="005A52ED">
              <w:rPr>
                <w:rFonts w:ascii="Palatino Linotype" w:hAnsi="Palatino Linotype"/>
                <w:sz w:val="20"/>
                <w:szCs w:val="20"/>
              </w:rPr>
              <w:t>assumptions</w:t>
            </w:r>
            <w:r>
              <w:rPr>
                <w:rFonts w:ascii="Palatino Linotype" w:hAnsi="Palatino Linotype"/>
                <w:sz w:val="20"/>
                <w:szCs w:val="20"/>
              </w:rPr>
              <w:t>.</w:t>
            </w:r>
            <w:r>
              <w:rPr>
                <w:rStyle w:val="FootnoteReference"/>
                <w:rFonts w:ascii="Palatino Linotype" w:hAnsi="Palatino Linotype"/>
                <w:sz w:val="20"/>
                <w:szCs w:val="20"/>
              </w:rPr>
              <w:footnoteReference w:id="315"/>
            </w:r>
          </w:p>
        </w:tc>
        <w:tc>
          <w:tcPr>
            <w:tcW w:w="3888" w:type="dxa"/>
          </w:tcPr>
          <w:p w:rsidRPr="00711B05" w:rsidR="00010951" w:rsidRDefault="00010951" w14:paraId="2137658E" w14:textId="77777777">
            <w:pPr>
              <w:rPr>
                <w:rFonts w:ascii="Palatino Linotype" w:hAnsi="Palatino Linotype"/>
                <w:sz w:val="20"/>
                <w:szCs w:val="20"/>
              </w:rPr>
            </w:pPr>
            <w:r w:rsidRPr="00711B05">
              <w:rPr>
                <w:rFonts w:ascii="Palatino Linotype" w:hAnsi="Palatino Linotype"/>
                <w:sz w:val="20"/>
                <w:szCs w:val="20"/>
              </w:rPr>
              <w:t xml:space="preserve">PG&amp;E states that this Initiative aligns with Commission priorities identified in proceedings and by CPUC staff to lower interconnection costs and other feasibility obstacles specifically related to biomethane. </w:t>
            </w:r>
            <w:r w:rsidRPr="00711B05">
              <w:rPr>
                <w:rFonts w:ascii="Palatino Linotype" w:hAnsi="Palatino Linotype"/>
                <w:color w:val="000000" w:themeColor="text1"/>
                <w:sz w:val="20"/>
                <w:szCs w:val="20"/>
              </w:rPr>
              <w:t xml:space="preserve">PG&amp;E shall continue to coordinate with CPUC staff through Plan implementation to ensure ongoing alignment with CPUC proceedings. </w:t>
            </w:r>
            <w:r w:rsidRPr="00711B05">
              <w:rPr>
                <w:rFonts w:ascii="Palatino Linotype" w:hAnsi="Palatino Linotype"/>
                <w:sz w:val="20"/>
                <w:szCs w:val="20"/>
              </w:rPr>
              <w:t xml:space="preserve"> </w:t>
            </w:r>
            <w:r w:rsidRPr="00711B05">
              <w:rPr>
                <w:rFonts w:ascii="Palatino Linotype" w:hAnsi="Palatino Linotype"/>
                <w:b/>
                <w:bCs w:val="0"/>
                <w:color w:val="000000" w:themeColor="text1"/>
                <w:sz w:val="20"/>
                <w:szCs w:val="20"/>
              </w:rPr>
              <w:t>PG&amp;E is compliant with this requirement.</w:t>
            </w:r>
          </w:p>
        </w:tc>
      </w:tr>
      <w:tr w:rsidRPr="00164C5A" w:rsidR="00010951" w14:paraId="36993BE7" w14:textId="77777777">
        <w:trPr>
          <w:trHeight w:val="881"/>
        </w:trPr>
        <w:tc>
          <w:tcPr>
            <w:tcW w:w="3865" w:type="dxa"/>
            <w:vMerge w:val="restart"/>
          </w:tcPr>
          <w:p w:rsidRPr="00841E84" w:rsidR="00010951" w:rsidRDefault="00010951" w14:paraId="569BF4C7" w14:textId="77777777">
            <w:pPr>
              <w:rPr>
                <w:rFonts w:ascii="Palatino Linotype" w:hAnsi="Palatino Linotype"/>
                <w:sz w:val="20"/>
                <w:szCs w:val="20"/>
              </w:rPr>
            </w:pPr>
            <w:r w:rsidRPr="001221C0">
              <w:rPr>
                <w:rFonts w:ascii="Palatino Linotype" w:hAnsi="Palatino Linotype"/>
                <w:b/>
                <w:bCs w:val="0"/>
                <w:sz w:val="20"/>
                <w:szCs w:val="20"/>
              </w:rPr>
              <w:t>[</w:t>
            </w:r>
            <w:r>
              <w:rPr>
                <w:rFonts w:ascii="Palatino Linotype" w:hAnsi="Palatino Linotype"/>
                <w:b/>
                <w:bCs w:val="0"/>
                <w:sz w:val="20"/>
                <w:szCs w:val="20"/>
              </w:rPr>
              <w:t>7</w:t>
            </w:r>
            <w:r w:rsidRPr="001221C0">
              <w:rPr>
                <w:rFonts w:ascii="Palatino Linotype" w:hAnsi="Palatino Linotype"/>
                <w:b/>
                <w:bCs w:val="0"/>
                <w:sz w:val="20"/>
                <w:szCs w:val="20"/>
              </w:rPr>
              <w:t xml:space="preserve">] </w:t>
            </w:r>
            <w:hyperlink w:tgtFrame="_blank" w:history="1" r:id="rId57">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2. Identified Need.</w:t>
            </w:r>
            <w:r w:rsidRPr="00DE650D">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demonstrate</w:t>
            </w:r>
            <w:r>
              <w:rPr>
                <w:rFonts w:ascii="Palatino Linotype" w:hAnsi="Palatino Linotype"/>
                <w:i/>
                <w:iCs/>
                <w:color w:val="000000" w:themeColor="text1"/>
                <w:sz w:val="20"/>
                <w:szCs w:val="20"/>
              </w:rPr>
              <w:t xml:space="preserve">] </w:t>
            </w:r>
            <w:r w:rsidRPr="00CD7A2E">
              <w:rPr>
                <w:rFonts w:ascii="Palatino Linotype" w:hAnsi="Palatino Linotype"/>
                <w:i/>
                <w:iCs/>
                <w:color w:val="000000" w:themeColor="text1"/>
                <w:sz w:val="20"/>
                <w:szCs w:val="20"/>
              </w:rPr>
              <w:t xml:space="preserve">Innovation and differentiation from existing RD&amp;D activities to support complementary rather than duplicative efforts, informed by </w:t>
            </w:r>
            <w:r w:rsidRPr="002E62A0">
              <w:rPr>
                <w:rFonts w:ascii="Palatino Linotype" w:hAnsi="Palatino Linotype"/>
                <w:i/>
                <w:iCs/>
                <w:color w:val="000000" w:themeColor="text1"/>
                <w:sz w:val="20"/>
                <w:szCs w:val="20"/>
              </w:rPr>
              <w:t>specific consultation with other Gas RD&amp;D Administrators.</w:t>
            </w:r>
            <w:r w:rsidRPr="00CD7A2E">
              <w:rPr>
                <w:rFonts w:ascii="Palatino Linotype" w:hAnsi="Palatino Linotype"/>
                <w:i/>
                <w:iCs/>
                <w:color w:val="000000" w:themeColor="text1"/>
                <w:sz w:val="20"/>
                <w:szCs w:val="20"/>
              </w:rPr>
              <w:t xml:space="preserve"> Demonstrate that the Initiative will leverage </w:t>
            </w:r>
            <w:r w:rsidRPr="00CD7A2E">
              <w:rPr>
                <w:rFonts w:ascii="Palatino Linotype" w:hAnsi="Palatino Linotype"/>
                <w:i/>
                <w:iCs/>
                <w:color w:val="000000" w:themeColor="text1"/>
                <w:sz w:val="20"/>
                <w:szCs w:val="20"/>
              </w:rPr>
              <w:lastRenderedPageBreak/>
              <w:t>existing progress while providing distinct additional value.</w:t>
            </w:r>
            <w:r>
              <w:rPr>
                <w:rStyle w:val="FootnoteReference"/>
                <w:rFonts w:ascii="Palatino Linotype" w:hAnsi="Palatino Linotype"/>
                <w:i/>
                <w:iCs/>
                <w:color w:val="000000" w:themeColor="text1"/>
                <w:sz w:val="20"/>
                <w:szCs w:val="20"/>
              </w:rPr>
              <w:footnoteReference w:id="316"/>
            </w:r>
          </w:p>
        </w:tc>
        <w:tc>
          <w:tcPr>
            <w:tcW w:w="5472" w:type="dxa"/>
          </w:tcPr>
          <w:p w:rsidR="00010951" w:rsidRDefault="00010951" w14:paraId="380A5288"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lastRenderedPageBreak/>
              <w:t>Innovative and Cost-Effective Integrity Management</w:t>
            </w:r>
            <w:r>
              <w:rPr>
                <w:rFonts w:ascii="Palatino Linotype" w:hAnsi="Palatino Linotype"/>
                <w:color w:val="000000" w:themeColor="text1"/>
                <w:sz w:val="20"/>
                <w:szCs w:val="20"/>
                <w:u w:val="single"/>
              </w:rPr>
              <w:t>:</w:t>
            </w:r>
          </w:p>
          <w:p w:rsidR="00010951" w:rsidP="00010951" w:rsidRDefault="00010951" w14:paraId="7F0CF5E2"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DE095F">
              <w:rPr>
                <w:rFonts w:ascii="Palatino Linotype" w:hAnsi="Palatino Linotype" w:cs="Segoe UI" w:eastAsiaTheme="minorHAnsi"/>
                <w:color w:val="000000" w:themeColor="text1"/>
                <w:sz w:val="20"/>
                <w:szCs w:val="20"/>
              </w:rPr>
              <w:t>Integrity management in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hard-to-access or</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constrained operating</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environments remains</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costly, disruptive, and</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difficult to assess using</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conventional methods.</w:t>
            </w:r>
          </w:p>
          <w:p w:rsidR="00010951" w:rsidP="00010951" w:rsidRDefault="00010951" w14:paraId="2F41CE12"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DE095F">
              <w:rPr>
                <w:rFonts w:ascii="Palatino Linotype" w:hAnsi="Palatino Linotype" w:cs="Segoe UI" w:eastAsiaTheme="minorHAnsi"/>
                <w:color w:val="000000" w:themeColor="text1"/>
                <w:sz w:val="20"/>
                <w:szCs w:val="20"/>
              </w:rPr>
              <w:t>Current practices often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rely on intrusive</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 xml:space="preserve">inspections, </w:t>
            </w:r>
            <w:r>
              <w:rPr>
                <w:rFonts w:ascii="Palatino Linotype" w:hAnsi="Palatino Linotype" w:cs="Segoe UI" w:eastAsiaTheme="minorHAnsi"/>
                <w:color w:val="000000" w:themeColor="text1"/>
                <w:sz w:val="20"/>
                <w:szCs w:val="20"/>
              </w:rPr>
              <w:t>limited c</w:t>
            </w:r>
            <w:r w:rsidRPr="00DE095F">
              <w:rPr>
                <w:rFonts w:ascii="Palatino Linotype" w:hAnsi="Palatino Linotype" w:cs="Segoe UI" w:eastAsiaTheme="minorHAnsi"/>
                <w:color w:val="000000" w:themeColor="text1"/>
                <w:sz w:val="20"/>
                <w:szCs w:val="20"/>
              </w:rPr>
              <w:t>ondition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snapshots, or</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resource-intensive field</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activities that can affect</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operations and increase</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uncertainty.</w:t>
            </w:r>
          </w:p>
          <w:p w:rsidR="00010951" w:rsidP="00010951" w:rsidRDefault="00010951" w14:paraId="0A8B62D5"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5140AB">
              <w:rPr>
                <w:rFonts w:ascii="Palatino Linotype" w:hAnsi="Palatino Linotype" w:cs="Segoe UI" w:eastAsiaTheme="minorHAnsi"/>
                <w:color w:val="000000" w:themeColor="text1"/>
                <w:sz w:val="20"/>
                <w:szCs w:val="20"/>
              </w:rPr>
              <w:t xml:space="preserve">Existing approaches provide limited ability to continuously monitor conditions, focus attention on higher-risk locations, or evaluate integrity threats </w:t>
            </w:r>
            <w:r w:rsidRPr="005140AB">
              <w:rPr>
                <w:rFonts w:ascii="Palatino Linotype" w:hAnsi="Palatino Linotype" w:cs="Segoe UI" w:eastAsiaTheme="minorHAnsi"/>
                <w:color w:val="000000" w:themeColor="text1"/>
                <w:sz w:val="20"/>
                <w:szCs w:val="20"/>
              </w:rPr>
              <w:lastRenderedPageBreak/>
              <w:t>where direct access and conventional signals are limited.</w:t>
            </w:r>
            <w:r>
              <w:rPr>
                <w:rStyle w:val="FootnoteReference"/>
                <w:rFonts w:ascii="Palatino Linotype" w:hAnsi="Palatino Linotype" w:cs="Segoe UI" w:eastAsiaTheme="minorHAnsi"/>
                <w:color w:val="000000" w:themeColor="text1"/>
                <w:sz w:val="20"/>
                <w:szCs w:val="20"/>
              </w:rPr>
              <w:footnoteReference w:id="317"/>
            </w:r>
          </w:p>
          <w:p w:rsidR="00010951" w:rsidP="00010951" w:rsidRDefault="00010951" w14:paraId="205B3423"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 xml:space="preserve">Complementary PG&amp;E projects prior to 2026 through 2029 collectively seek to answer: How can underground storage well integrity be monitored in real-time while reducing reliance on costly intrusive inspection that has risk </w:t>
            </w:r>
            <w:proofErr w:type="gramStart"/>
            <w:r>
              <w:rPr>
                <w:rFonts w:ascii="Palatino Linotype" w:hAnsi="Palatino Linotype" w:cs="Segoe UI" w:eastAsiaTheme="minorHAnsi"/>
                <w:color w:val="000000" w:themeColor="text1"/>
                <w:sz w:val="20"/>
                <w:szCs w:val="20"/>
              </w:rPr>
              <w:t>of well</w:t>
            </w:r>
            <w:proofErr w:type="gramEnd"/>
            <w:r>
              <w:rPr>
                <w:rFonts w:ascii="Palatino Linotype" w:hAnsi="Palatino Linotype" w:cs="Segoe UI" w:eastAsiaTheme="minorHAnsi"/>
                <w:color w:val="000000" w:themeColor="text1"/>
                <w:sz w:val="20"/>
                <w:szCs w:val="20"/>
              </w:rPr>
              <w:t xml:space="preserve"> entry damage?</w:t>
            </w:r>
            <w:r>
              <w:rPr>
                <w:rStyle w:val="FootnoteReference"/>
                <w:rFonts w:ascii="Palatino Linotype" w:hAnsi="Palatino Linotype" w:cs="Segoe UI" w:eastAsiaTheme="minorHAnsi"/>
                <w:color w:val="000000" w:themeColor="text1"/>
                <w:sz w:val="20"/>
                <w:szCs w:val="20"/>
              </w:rPr>
              <w:footnoteReference w:id="318"/>
            </w:r>
          </w:p>
          <w:p w:rsidRPr="00D5451C" w:rsidR="00010951" w:rsidP="00010951" w:rsidRDefault="00010951" w14:paraId="65EBE360" w14:textId="77777777">
            <w:pPr>
              <w:pStyle w:val="NormalWeb"/>
              <w:numPr>
                <w:ilvl w:val="0"/>
                <w:numId w:val="25"/>
              </w:numPr>
              <w:rPr>
                <w:rFonts w:ascii="Palatino Linotype" w:hAnsi="Palatino Linotype" w:cs="Segoe UI"/>
                <w:color w:val="000000" w:themeColor="text1"/>
                <w:sz w:val="20"/>
                <w:szCs w:val="20"/>
              </w:rPr>
            </w:pPr>
            <w:r>
              <w:rPr>
                <w:rFonts w:ascii="Palatino Linotype" w:hAnsi="Palatino Linotype" w:cs="Segoe UI" w:eastAsiaTheme="minorHAnsi"/>
                <w:color w:val="000000" w:themeColor="text1"/>
                <w:sz w:val="20"/>
                <w:szCs w:val="20"/>
              </w:rPr>
              <w:t>F</w:t>
            </w:r>
            <w:r w:rsidRPr="004731B5">
              <w:rPr>
                <w:rFonts w:ascii="Palatino Linotype" w:hAnsi="Palatino Linotype" w:cs="Segoe UI" w:eastAsiaTheme="minorHAnsi"/>
                <w:color w:val="000000" w:themeColor="text1"/>
                <w:sz w:val="20"/>
                <w:szCs w:val="20"/>
              </w:rPr>
              <w:t>ocus on applied validation,</w:t>
            </w:r>
            <w:r>
              <w:rPr>
                <w:rFonts w:ascii="Palatino Linotype" w:hAnsi="Palatino Linotype" w:cs="Segoe UI" w:eastAsiaTheme="minorHAnsi"/>
                <w:color w:val="000000" w:themeColor="text1"/>
                <w:sz w:val="20"/>
                <w:szCs w:val="20"/>
              </w:rPr>
              <w:t xml:space="preserve"> </w:t>
            </w:r>
            <w:r w:rsidRPr="004731B5">
              <w:rPr>
                <w:rFonts w:ascii="Palatino Linotype" w:hAnsi="Palatino Linotype" w:cs="Segoe UI" w:eastAsiaTheme="minorHAnsi"/>
                <w:color w:val="000000" w:themeColor="text1"/>
                <w:sz w:val="20"/>
                <w:szCs w:val="20"/>
              </w:rPr>
              <w:t>feasibility assessment, and practical evaluation under PG&amp;E-relevant operating conditions</w:t>
            </w:r>
            <w:r>
              <w:rPr>
                <w:rFonts w:ascii="Palatino Linotype" w:hAnsi="Palatino Linotype" w:cs="Segoe UI" w:eastAsiaTheme="minorHAnsi"/>
                <w:color w:val="000000" w:themeColor="text1"/>
                <w:sz w:val="20"/>
                <w:szCs w:val="20"/>
              </w:rPr>
              <w:t>.</w:t>
            </w:r>
          </w:p>
          <w:p w:rsidRPr="00D5451C" w:rsidR="00010951" w:rsidP="00010951" w:rsidRDefault="00010951" w14:paraId="257ED0B7" w14:textId="77777777">
            <w:pPr>
              <w:pStyle w:val="NormalWeb"/>
              <w:numPr>
                <w:ilvl w:val="0"/>
                <w:numId w:val="25"/>
              </w:numPr>
              <w:rPr>
                <w:rFonts w:ascii="Palatino Linotype" w:hAnsi="Palatino Linotype" w:cs="Segoe UI"/>
                <w:color w:val="000000" w:themeColor="text1"/>
                <w:sz w:val="20"/>
                <w:szCs w:val="20"/>
              </w:rPr>
            </w:pPr>
            <w:r>
              <w:rPr>
                <w:rFonts w:ascii="Palatino Linotype" w:hAnsi="Palatino Linotype" w:cs="Segoe UI" w:eastAsiaTheme="minorHAnsi"/>
                <w:color w:val="000000" w:themeColor="text1"/>
                <w:sz w:val="20"/>
                <w:szCs w:val="20"/>
              </w:rPr>
              <w:t>Completed field demonstration projects by CEC on fiber-optic monitoring research leveraged: “</w:t>
            </w:r>
            <w:r w:rsidRPr="00D5451C">
              <w:rPr>
                <w:rFonts w:ascii="Palatino Linotype" w:hAnsi="Palatino Linotype" w:cs="Segoe UI"/>
                <w:color w:val="000000" w:themeColor="text1"/>
                <w:sz w:val="20"/>
                <w:szCs w:val="20"/>
              </w:rPr>
              <w:t>PG&amp;E’s role in this initiative is the next applied step: field pilot expansion to additional wells, improvement</w:t>
            </w:r>
            <w:r>
              <w:rPr>
                <w:rFonts w:ascii="Palatino Linotype" w:hAnsi="Palatino Linotype" w:cs="Segoe UI"/>
                <w:color w:val="000000" w:themeColor="text1"/>
                <w:sz w:val="20"/>
                <w:szCs w:val="20"/>
              </w:rPr>
              <w:t xml:space="preserve"> </w:t>
            </w:r>
            <w:r w:rsidRPr="00D5451C">
              <w:rPr>
                <w:rFonts w:ascii="Palatino Linotype" w:hAnsi="Palatino Linotype" w:cs="Segoe UI"/>
                <w:color w:val="000000" w:themeColor="text1"/>
                <w:sz w:val="20"/>
                <w:szCs w:val="20"/>
              </w:rPr>
              <w:t>of installation practices, development of AI/ML-enabled analytics, and production of a cost-saving</w:t>
            </w:r>
            <w:r>
              <w:rPr>
                <w:rFonts w:ascii="Palatino Linotype" w:hAnsi="Palatino Linotype" w:cs="Segoe UI"/>
                <w:color w:val="000000" w:themeColor="text1"/>
                <w:sz w:val="20"/>
                <w:szCs w:val="20"/>
              </w:rPr>
              <w:t xml:space="preserve"> </w:t>
            </w:r>
            <w:r w:rsidRPr="00D5451C">
              <w:rPr>
                <w:rFonts w:ascii="Palatino Linotype" w:hAnsi="Palatino Linotype" w:cs="Segoe UI" w:eastAsiaTheme="minorHAnsi"/>
                <w:color w:val="000000" w:themeColor="text1"/>
                <w:sz w:val="20"/>
                <w:szCs w:val="20"/>
              </w:rPr>
              <w:t>quantification tool</w:t>
            </w:r>
            <w:r>
              <w:rPr>
                <w:rFonts w:ascii="Palatino Linotype" w:hAnsi="Palatino Linotype" w:cs="Segoe UI" w:eastAsiaTheme="minorHAnsi"/>
                <w:color w:val="000000" w:themeColor="text1"/>
                <w:sz w:val="20"/>
                <w:szCs w:val="20"/>
              </w:rPr>
              <w:t>.”</w:t>
            </w:r>
          </w:p>
          <w:p w:rsidRPr="00E47581" w:rsidR="00010951" w:rsidP="00010951" w:rsidRDefault="00010951" w14:paraId="0D19B31B" w14:textId="77777777">
            <w:pPr>
              <w:pStyle w:val="NormalWeb"/>
              <w:numPr>
                <w:ilvl w:val="0"/>
                <w:numId w:val="25"/>
              </w:numPr>
              <w:spacing w:after="0" w:afterAutospacing="0"/>
              <w:rPr>
                <w:rFonts w:ascii="Palatino Linotype" w:hAnsi="Palatino Linotype" w:cs="Segoe UI"/>
                <w:color w:val="000000" w:themeColor="text1"/>
                <w:sz w:val="20"/>
                <w:szCs w:val="20"/>
              </w:rPr>
            </w:pPr>
            <w:r>
              <w:rPr>
                <w:rFonts w:ascii="Palatino Linotype" w:hAnsi="Palatino Linotype" w:cs="Segoe UI"/>
                <w:color w:val="000000" w:themeColor="text1"/>
                <w:sz w:val="20"/>
                <w:szCs w:val="20"/>
              </w:rPr>
              <w:t>D</w:t>
            </w:r>
            <w:r w:rsidRPr="00E47581">
              <w:rPr>
                <w:rFonts w:ascii="Palatino Linotype" w:hAnsi="Palatino Linotype" w:cs="Segoe UI"/>
                <w:color w:val="000000" w:themeColor="text1"/>
                <w:sz w:val="20"/>
                <w:szCs w:val="20"/>
              </w:rPr>
              <w:t>efining constraints and requirements, screening candidate methods, validating</w:t>
            </w:r>
            <w:r>
              <w:rPr>
                <w:rFonts w:ascii="Palatino Linotype" w:hAnsi="Palatino Linotype" w:cs="Segoe UI"/>
                <w:color w:val="000000" w:themeColor="text1"/>
                <w:sz w:val="20"/>
                <w:szCs w:val="20"/>
              </w:rPr>
              <w:t xml:space="preserve"> </w:t>
            </w:r>
            <w:r w:rsidRPr="00E47581">
              <w:rPr>
                <w:rFonts w:ascii="Palatino Linotype" w:hAnsi="Palatino Linotype" w:cs="Segoe UI"/>
                <w:color w:val="000000" w:themeColor="text1"/>
                <w:sz w:val="20"/>
                <w:szCs w:val="20"/>
              </w:rPr>
              <w:t>feasibility under representative conditions, and documenting</w:t>
            </w:r>
            <w:r>
              <w:rPr>
                <w:rFonts w:ascii="Palatino Linotype" w:hAnsi="Palatino Linotype" w:cs="Segoe UI"/>
                <w:color w:val="000000" w:themeColor="text1"/>
                <w:sz w:val="20"/>
                <w:szCs w:val="20"/>
              </w:rPr>
              <w:t xml:space="preserve"> approaches will address </w:t>
            </w:r>
            <w:r w:rsidRPr="00E47581">
              <w:rPr>
                <w:rFonts w:ascii="Palatino Linotype" w:hAnsi="Palatino Linotype" w:cs="Segoe UI"/>
                <w:color w:val="000000" w:themeColor="text1"/>
                <w:sz w:val="20"/>
                <w:szCs w:val="20"/>
              </w:rPr>
              <w:t xml:space="preserve">lack of techno-economically </w:t>
            </w:r>
            <w:r w:rsidRPr="00E47581">
              <w:rPr>
                <w:rFonts w:ascii="Palatino Linotype" w:hAnsi="Palatino Linotype" w:cs="Segoe UI"/>
                <w:color w:val="000000" w:themeColor="text1"/>
                <w:sz w:val="20"/>
                <w:szCs w:val="20"/>
              </w:rPr>
              <w:lastRenderedPageBreak/>
              <w:t>viable</w:t>
            </w:r>
            <w:r>
              <w:rPr>
                <w:rFonts w:ascii="Palatino Linotype" w:hAnsi="Palatino Linotype" w:cs="Segoe UI"/>
                <w:color w:val="000000" w:themeColor="text1"/>
                <w:sz w:val="20"/>
                <w:szCs w:val="20"/>
              </w:rPr>
              <w:t xml:space="preserve"> </w:t>
            </w:r>
            <w:r w:rsidRPr="00E47581">
              <w:rPr>
                <w:rFonts w:ascii="Palatino Linotype" w:hAnsi="Palatino Linotype" w:cs="Segoe UI" w:eastAsiaTheme="minorHAnsi"/>
                <w:color w:val="000000" w:themeColor="text1"/>
                <w:sz w:val="20"/>
                <w:szCs w:val="20"/>
              </w:rPr>
              <w:t>assessment methods for stress corrosion cracking in cased crossings</w:t>
            </w:r>
            <w:r>
              <w:rPr>
                <w:rFonts w:ascii="Palatino Linotype" w:hAnsi="Palatino Linotype" w:cs="Segoe UI" w:eastAsiaTheme="minorHAnsi"/>
                <w:color w:val="000000" w:themeColor="text1"/>
                <w:sz w:val="20"/>
                <w:szCs w:val="20"/>
              </w:rPr>
              <w:t>.</w:t>
            </w:r>
            <w:r>
              <w:rPr>
                <w:rStyle w:val="FootnoteReference"/>
                <w:rFonts w:ascii="Palatino Linotype" w:hAnsi="Palatino Linotype" w:cs="Segoe UI" w:eastAsiaTheme="minorHAnsi"/>
                <w:color w:val="000000" w:themeColor="text1"/>
                <w:sz w:val="20"/>
                <w:szCs w:val="20"/>
              </w:rPr>
              <w:t xml:space="preserve"> </w:t>
            </w:r>
            <w:r>
              <w:rPr>
                <w:rStyle w:val="FootnoteReference"/>
                <w:rFonts w:ascii="Palatino Linotype" w:hAnsi="Palatino Linotype" w:cs="Segoe UI" w:eastAsiaTheme="minorHAnsi"/>
                <w:color w:val="000000" w:themeColor="text1"/>
                <w:sz w:val="20"/>
                <w:szCs w:val="20"/>
              </w:rPr>
              <w:footnoteReference w:id="319"/>
            </w:r>
          </w:p>
        </w:tc>
        <w:tc>
          <w:tcPr>
            <w:tcW w:w="3888" w:type="dxa"/>
          </w:tcPr>
          <w:p w:rsidR="00010951" w:rsidRDefault="00010951" w14:paraId="2DF8D63F" w14:textId="6C1663AB">
            <w:pPr>
              <w:rPr>
                <w:rFonts w:ascii="Palatino Linotype" w:hAnsi="Palatino Linotype"/>
                <w:sz w:val="20"/>
                <w:szCs w:val="20"/>
              </w:rPr>
            </w:pPr>
            <w:r>
              <w:rPr>
                <w:rFonts w:ascii="Palatino Linotype" w:hAnsi="Palatino Linotype"/>
                <w:sz w:val="20"/>
                <w:szCs w:val="20"/>
              </w:rPr>
              <w:lastRenderedPageBreak/>
              <w:t xml:space="preserve">PG&amp;E describes its methodology to leverage specific, successive, complementary PG&amp;E projects and those of other administrators, particularly </w:t>
            </w:r>
            <w:r w:rsidR="00C70741">
              <w:rPr>
                <w:rFonts w:ascii="Palatino Linotype" w:hAnsi="Palatino Linotype"/>
                <w:sz w:val="20"/>
                <w:szCs w:val="20"/>
              </w:rPr>
              <w:t xml:space="preserve">the </w:t>
            </w:r>
            <w:r>
              <w:rPr>
                <w:rFonts w:ascii="Palatino Linotype" w:hAnsi="Palatino Linotype"/>
                <w:sz w:val="20"/>
                <w:szCs w:val="20"/>
              </w:rPr>
              <w:t xml:space="preserve">CEC, to address a focused research question </w:t>
            </w:r>
            <w:r w:rsidR="00C70741">
              <w:rPr>
                <w:rFonts w:ascii="Palatino Linotype" w:hAnsi="Palatino Linotype"/>
                <w:sz w:val="20"/>
                <w:szCs w:val="20"/>
              </w:rPr>
              <w:t xml:space="preserve">to reduce resource intensity </w:t>
            </w:r>
            <w:r>
              <w:rPr>
                <w:rFonts w:ascii="Palatino Linotype" w:hAnsi="Palatino Linotype"/>
                <w:sz w:val="20"/>
                <w:szCs w:val="20"/>
              </w:rPr>
              <w:t xml:space="preserve">while moving beyond routine inspection. PG&amp;E provides that the analysis will be </w:t>
            </w:r>
            <w:r w:rsidRPr="00A3470F">
              <w:rPr>
                <w:rFonts w:ascii="Palatino Linotype" w:hAnsi="Palatino Linotype"/>
                <w:sz w:val="20"/>
                <w:szCs w:val="20"/>
              </w:rPr>
              <w:t xml:space="preserve">relative to existing </w:t>
            </w:r>
            <w:r w:rsidRPr="00711B05">
              <w:rPr>
                <w:rFonts w:ascii="Palatino Linotype" w:hAnsi="Palatino Linotype"/>
                <w:sz w:val="20"/>
                <w:szCs w:val="20"/>
              </w:rPr>
              <w:t>inspection and assessment practices.</w:t>
            </w:r>
            <w:r w:rsidRPr="00711B05">
              <w:rPr>
                <w:rFonts w:ascii="Palatino Linotype" w:hAnsi="Palatino Linotype"/>
                <w:b/>
                <w:bCs w:val="0"/>
                <w:sz w:val="20"/>
                <w:szCs w:val="20"/>
              </w:rPr>
              <w:t xml:space="preserve"> PG&amp;E is compliant with this requirement.</w:t>
            </w:r>
          </w:p>
          <w:p w:rsidRPr="00841E84" w:rsidR="00010951" w:rsidRDefault="00010951" w14:paraId="3E3FF4A5" w14:textId="6D975085">
            <w:pPr>
              <w:spacing w:before="240"/>
              <w:rPr>
                <w:rFonts w:ascii="Palatino Linotype" w:hAnsi="Palatino Linotype"/>
                <w:sz w:val="20"/>
                <w:szCs w:val="20"/>
              </w:rPr>
            </w:pPr>
            <w:r>
              <w:rPr>
                <w:rFonts w:ascii="Palatino Linotype" w:hAnsi="Palatino Linotype"/>
                <w:sz w:val="20"/>
                <w:szCs w:val="20"/>
              </w:rPr>
              <w:lastRenderedPageBreak/>
              <w:t>However, PG&amp;E should document coordination with S</w:t>
            </w:r>
            <w:r w:rsidR="00137BCF">
              <w:rPr>
                <w:rFonts w:ascii="Palatino Linotype" w:hAnsi="Palatino Linotype"/>
                <w:sz w:val="20"/>
                <w:szCs w:val="20"/>
              </w:rPr>
              <w:t>oCalGas</w:t>
            </w:r>
            <w:r>
              <w:rPr>
                <w:rFonts w:ascii="Palatino Linotype" w:hAnsi="Palatino Linotype"/>
                <w:sz w:val="20"/>
                <w:szCs w:val="20"/>
              </w:rPr>
              <w:t xml:space="preserve"> and clearly differentiate this Initiative from S</w:t>
            </w:r>
            <w:r w:rsidR="00137BCF">
              <w:rPr>
                <w:rFonts w:ascii="Palatino Linotype" w:hAnsi="Palatino Linotype"/>
                <w:sz w:val="20"/>
                <w:szCs w:val="20"/>
              </w:rPr>
              <w:t>oCalGas</w:t>
            </w:r>
            <w:r>
              <w:rPr>
                <w:rFonts w:ascii="Palatino Linotype" w:hAnsi="Palatino Linotype"/>
                <w:sz w:val="20"/>
                <w:szCs w:val="20"/>
              </w:rPr>
              <w:t>’ specific completed, active, and proposed RD&amp;D projects involving lower-cost inspection and storage well and asset integrity continuous monitoring technologies, particularly involving AI/ML and fiber-optics.</w:t>
            </w:r>
            <w:r w:rsidRPr="00D74CFB">
              <w:rPr>
                <w:rStyle w:val="FootnoteReference"/>
                <w:rFonts w:ascii="Palatino Linotype" w:hAnsi="Palatino Linotype"/>
                <w:color w:val="000000" w:themeColor="text1"/>
                <w:sz w:val="20"/>
                <w:szCs w:val="20"/>
              </w:rPr>
              <w:footnoteReference w:id="320"/>
            </w:r>
            <w:r w:rsidRPr="00D74CFB">
              <w:rPr>
                <w:rFonts w:ascii="Palatino Linotype" w:hAnsi="Palatino Linotype"/>
                <w:color w:val="000000" w:themeColor="text1"/>
                <w:sz w:val="20"/>
                <w:szCs w:val="20"/>
              </w:rPr>
              <w:t xml:space="preserve"> Similar RD&amp;D projects may be justified if activities must be conducted under different specific conditions or demonstrated for fundamentally different applications. </w:t>
            </w:r>
          </w:p>
        </w:tc>
      </w:tr>
      <w:tr w:rsidRPr="00164C5A" w:rsidR="00010951" w14:paraId="1BF173B6" w14:textId="77777777">
        <w:trPr>
          <w:trHeight w:val="1070"/>
        </w:trPr>
        <w:tc>
          <w:tcPr>
            <w:tcW w:w="3865" w:type="dxa"/>
            <w:vMerge/>
          </w:tcPr>
          <w:p w:rsidR="00010951" w:rsidRDefault="00010951" w14:paraId="2F9BDE37" w14:textId="77777777"/>
        </w:tc>
        <w:tc>
          <w:tcPr>
            <w:tcW w:w="5472" w:type="dxa"/>
          </w:tcPr>
          <w:p w:rsidR="00010951" w:rsidRDefault="00010951" w14:paraId="09A8C0E5"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Integrated Planning Tools to Enable Scaled Up Gas Decommissioning and Electrification</w:t>
            </w:r>
            <w:r>
              <w:rPr>
                <w:rFonts w:ascii="Palatino Linotype" w:hAnsi="Palatino Linotype"/>
                <w:color w:val="000000" w:themeColor="text1"/>
                <w:sz w:val="20"/>
                <w:szCs w:val="20"/>
              </w:rPr>
              <w:t>:</w:t>
            </w:r>
          </w:p>
          <w:p w:rsidR="00010951" w:rsidP="00010951" w:rsidRDefault="00010951" w14:paraId="29FCCDA9"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Gas decommissioning and</w:t>
            </w:r>
            <w:r>
              <w:rPr>
                <w:rFonts w:ascii="Palatino Linotype" w:hAnsi="Palatino Linotype"/>
                <w:sz w:val="20"/>
                <w:szCs w:val="20"/>
              </w:rPr>
              <w:t xml:space="preserve"> </w:t>
            </w:r>
            <w:r w:rsidRPr="00D04C4D">
              <w:rPr>
                <w:rFonts w:ascii="Palatino Linotype" w:hAnsi="Palatino Linotype"/>
                <w:sz w:val="20"/>
                <w:szCs w:val="20"/>
              </w:rPr>
              <w:t>electrification planning relies</w:t>
            </w:r>
            <w:r>
              <w:rPr>
                <w:rFonts w:ascii="Palatino Linotype" w:hAnsi="Palatino Linotype"/>
                <w:sz w:val="20"/>
                <w:szCs w:val="20"/>
              </w:rPr>
              <w:t xml:space="preserve"> </w:t>
            </w:r>
            <w:r w:rsidRPr="00D04C4D">
              <w:rPr>
                <w:rFonts w:ascii="Palatino Linotype" w:hAnsi="Palatino Linotype"/>
                <w:sz w:val="20"/>
                <w:szCs w:val="20"/>
              </w:rPr>
              <w:t>on statutes, Commission</w:t>
            </w:r>
            <w:r>
              <w:rPr>
                <w:rFonts w:ascii="Palatino Linotype" w:hAnsi="Palatino Linotype"/>
                <w:sz w:val="20"/>
                <w:szCs w:val="20"/>
              </w:rPr>
              <w:t xml:space="preserve"> </w:t>
            </w:r>
            <w:r w:rsidRPr="00D04C4D">
              <w:rPr>
                <w:rFonts w:ascii="Palatino Linotype" w:hAnsi="Palatino Linotype"/>
                <w:sz w:val="20"/>
                <w:szCs w:val="20"/>
              </w:rPr>
              <w:t>guidance, electric-side</w:t>
            </w:r>
            <w:r>
              <w:rPr>
                <w:rFonts w:ascii="Palatino Linotype" w:hAnsi="Palatino Linotype"/>
                <w:sz w:val="20"/>
                <w:szCs w:val="20"/>
              </w:rPr>
              <w:t xml:space="preserve"> </w:t>
            </w:r>
            <w:r w:rsidRPr="00D04C4D">
              <w:rPr>
                <w:rFonts w:ascii="Palatino Linotype" w:hAnsi="Palatino Linotype"/>
                <w:sz w:val="20"/>
                <w:szCs w:val="20"/>
              </w:rPr>
              <w:t>studies, and third-party</w:t>
            </w:r>
            <w:r>
              <w:rPr>
                <w:rFonts w:ascii="Palatino Linotype" w:hAnsi="Palatino Linotype"/>
                <w:sz w:val="20"/>
                <w:szCs w:val="20"/>
              </w:rPr>
              <w:t xml:space="preserve"> </w:t>
            </w:r>
            <w:r w:rsidRPr="00D04C4D">
              <w:rPr>
                <w:rFonts w:ascii="Palatino Linotype" w:hAnsi="Palatino Linotype"/>
                <w:sz w:val="20"/>
                <w:szCs w:val="20"/>
              </w:rPr>
              <w:t>research that are not</w:t>
            </w:r>
            <w:r>
              <w:rPr>
                <w:rFonts w:ascii="Palatino Linotype" w:hAnsi="Palatino Linotype"/>
                <w:sz w:val="20"/>
                <w:szCs w:val="20"/>
              </w:rPr>
              <w:t xml:space="preserve"> </w:t>
            </w:r>
            <w:r w:rsidRPr="00D04C4D">
              <w:rPr>
                <w:rFonts w:ascii="Palatino Linotype" w:hAnsi="Palatino Linotype"/>
                <w:sz w:val="20"/>
                <w:szCs w:val="20"/>
              </w:rPr>
              <w:t>structured for direct use in</w:t>
            </w:r>
            <w:r>
              <w:rPr>
                <w:rFonts w:ascii="Palatino Linotype" w:hAnsi="Palatino Linotype"/>
                <w:sz w:val="20"/>
                <w:szCs w:val="20"/>
              </w:rPr>
              <w:t xml:space="preserve"> </w:t>
            </w:r>
            <w:r w:rsidRPr="00D04C4D">
              <w:rPr>
                <w:rFonts w:ascii="Palatino Linotype" w:hAnsi="Palatino Linotype"/>
                <w:sz w:val="20"/>
                <w:szCs w:val="20"/>
              </w:rPr>
              <w:t>utility planning. As a result,</w:t>
            </w:r>
            <w:r>
              <w:rPr>
                <w:rFonts w:ascii="Palatino Linotype" w:hAnsi="Palatino Linotype"/>
                <w:sz w:val="20"/>
                <w:szCs w:val="20"/>
              </w:rPr>
              <w:t xml:space="preserve"> </w:t>
            </w:r>
            <w:r w:rsidRPr="00D04C4D">
              <w:rPr>
                <w:rFonts w:ascii="Palatino Linotype" w:hAnsi="Palatino Linotype"/>
                <w:sz w:val="20"/>
                <w:szCs w:val="20"/>
              </w:rPr>
              <w:t>key inputs are often</w:t>
            </w:r>
            <w:r>
              <w:rPr>
                <w:rFonts w:ascii="Palatino Linotype" w:hAnsi="Palatino Linotype"/>
                <w:sz w:val="20"/>
                <w:szCs w:val="20"/>
              </w:rPr>
              <w:t xml:space="preserve"> </w:t>
            </w:r>
            <w:r w:rsidRPr="00D04C4D">
              <w:rPr>
                <w:rFonts w:ascii="Palatino Linotype" w:hAnsi="Palatino Linotype"/>
                <w:sz w:val="20"/>
                <w:szCs w:val="20"/>
              </w:rPr>
              <w:t>interpreted inconsistently</w:t>
            </w:r>
            <w:r>
              <w:rPr>
                <w:rFonts w:ascii="Palatino Linotype" w:hAnsi="Palatino Linotype"/>
                <w:sz w:val="20"/>
                <w:szCs w:val="20"/>
              </w:rPr>
              <w:t xml:space="preserve"> </w:t>
            </w:r>
            <w:r w:rsidRPr="00D04C4D">
              <w:rPr>
                <w:rFonts w:ascii="Palatino Linotype" w:hAnsi="Palatino Linotype"/>
                <w:sz w:val="20"/>
                <w:szCs w:val="20"/>
              </w:rPr>
              <w:t>across studies.</w:t>
            </w:r>
          </w:p>
          <w:p w:rsidR="00010951" w:rsidP="00010951" w:rsidRDefault="00010951" w14:paraId="626A9646"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Feasibility, cost, affordability,</w:t>
            </w:r>
            <w:r>
              <w:rPr>
                <w:rFonts w:ascii="Palatino Linotype" w:hAnsi="Palatino Linotype"/>
                <w:sz w:val="20"/>
                <w:szCs w:val="20"/>
              </w:rPr>
              <w:t xml:space="preserve"> </w:t>
            </w:r>
            <w:r w:rsidRPr="00D04C4D">
              <w:rPr>
                <w:rFonts w:ascii="Palatino Linotype" w:hAnsi="Palatino Linotype"/>
                <w:sz w:val="20"/>
                <w:szCs w:val="20"/>
              </w:rPr>
              <w:t>risk, and timing are often</w:t>
            </w:r>
            <w:r>
              <w:rPr>
                <w:rFonts w:ascii="Palatino Linotype" w:hAnsi="Palatino Linotype"/>
                <w:sz w:val="20"/>
                <w:szCs w:val="20"/>
              </w:rPr>
              <w:t xml:space="preserve"> </w:t>
            </w:r>
            <w:r w:rsidRPr="00D04C4D">
              <w:rPr>
                <w:rFonts w:ascii="Palatino Linotype" w:hAnsi="Palatino Linotype"/>
                <w:sz w:val="20"/>
                <w:szCs w:val="20"/>
              </w:rPr>
              <w:t>evaluated through bundled</w:t>
            </w:r>
            <w:r>
              <w:rPr>
                <w:rFonts w:ascii="Palatino Linotype" w:hAnsi="Palatino Linotype"/>
                <w:sz w:val="20"/>
                <w:szCs w:val="20"/>
              </w:rPr>
              <w:t xml:space="preserve"> </w:t>
            </w:r>
            <w:r w:rsidRPr="00D04C4D">
              <w:rPr>
                <w:rFonts w:ascii="Palatino Linotype" w:hAnsi="Palatino Linotype"/>
                <w:sz w:val="20"/>
                <w:szCs w:val="20"/>
              </w:rPr>
              <w:t>assumptions or single-path</w:t>
            </w:r>
            <w:r>
              <w:rPr>
                <w:rFonts w:ascii="Palatino Linotype" w:hAnsi="Palatino Linotype"/>
                <w:sz w:val="20"/>
                <w:szCs w:val="20"/>
              </w:rPr>
              <w:t xml:space="preserve"> </w:t>
            </w:r>
            <w:r w:rsidRPr="00D04C4D">
              <w:rPr>
                <w:rFonts w:ascii="Palatino Linotype" w:hAnsi="Palatino Linotype"/>
                <w:sz w:val="20"/>
                <w:szCs w:val="20"/>
              </w:rPr>
              <w:t>scenarios, making it difficult</w:t>
            </w:r>
            <w:r>
              <w:rPr>
                <w:rFonts w:ascii="Palatino Linotype" w:hAnsi="Palatino Linotype"/>
                <w:sz w:val="20"/>
                <w:szCs w:val="20"/>
              </w:rPr>
              <w:t xml:space="preserve"> </w:t>
            </w:r>
            <w:r w:rsidRPr="00D04C4D">
              <w:rPr>
                <w:rFonts w:ascii="Palatino Linotype" w:hAnsi="Palatino Linotype"/>
                <w:sz w:val="20"/>
                <w:szCs w:val="20"/>
              </w:rPr>
              <w:t>to understand tradeoffs or</w:t>
            </w:r>
            <w:r>
              <w:rPr>
                <w:rFonts w:ascii="Palatino Linotype" w:hAnsi="Palatino Linotype"/>
                <w:sz w:val="20"/>
                <w:szCs w:val="20"/>
              </w:rPr>
              <w:t xml:space="preserve"> </w:t>
            </w:r>
            <w:r w:rsidRPr="00D04C4D">
              <w:rPr>
                <w:rFonts w:ascii="Palatino Linotype" w:hAnsi="Palatino Linotype"/>
                <w:sz w:val="20"/>
                <w:szCs w:val="20"/>
              </w:rPr>
              <w:t>compare results across</w:t>
            </w:r>
            <w:r>
              <w:rPr>
                <w:rFonts w:ascii="Palatino Linotype" w:hAnsi="Palatino Linotype"/>
                <w:sz w:val="20"/>
                <w:szCs w:val="20"/>
              </w:rPr>
              <w:t xml:space="preserve"> </w:t>
            </w:r>
            <w:r w:rsidRPr="00D04C4D">
              <w:rPr>
                <w:rFonts w:ascii="Palatino Linotype" w:hAnsi="Palatino Linotype"/>
                <w:sz w:val="20"/>
                <w:szCs w:val="20"/>
              </w:rPr>
              <w:t>system segments.</w:t>
            </w:r>
          </w:p>
          <w:p w:rsidR="00010951" w:rsidP="00010951" w:rsidRDefault="00010951" w14:paraId="2E13D904"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Pilot and demonstration</w:t>
            </w:r>
            <w:r>
              <w:rPr>
                <w:rFonts w:ascii="Palatino Linotype" w:hAnsi="Palatino Linotype"/>
                <w:sz w:val="20"/>
                <w:szCs w:val="20"/>
              </w:rPr>
              <w:t xml:space="preserve"> </w:t>
            </w:r>
            <w:r w:rsidRPr="00D04C4D">
              <w:rPr>
                <w:rFonts w:ascii="Palatino Linotype" w:hAnsi="Palatino Linotype"/>
                <w:sz w:val="20"/>
                <w:szCs w:val="20"/>
              </w:rPr>
              <w:t>results are frequently</w:t>
            </w:r>
            <w:r>
              <w:rPr>
                <w:rFonts w:ascii="Palatino Linotype" w:hAnsi="Palatino Linotype"/>
                <w:sz w:val="20"/>
                <w:szCs w:val="20"/>
              </w:rPr>
              <w:t xml:space="preserve"> </w:t>
            </w:r>
            <w:r w:rsidRPr="00D04C4D">
              <w:rPr>
                <w:rFonts w:ascii="Palatino Linotype" w:hAnsi="Palatino Linotype"/>
                <w:sz w:val="20"/>
                <w:szCs w:val="20"/>
              </w:rPr>
              <w:t>captured as one-off program</w:t>
            </w:r>
            <w:r>
              <w:rPr>
                <w:rFonts w:ascii="Palatino Linotype" w:hAnsi="Palatino Linotype"/>
                <w:sz w:val="20"/>
                <w:szCs w:val="20"/>
              </w:rPr>
              <w:t xml:space="preserve"> </w:t>
            </w:r>
            <w:r w:rsidRPr="00D04C4D">
              <w:rPr>
                <w:rFonts w:ascii="Palatino Linotype" w:hAnsi="Palatino Linotype"/>
                <w:sz w:val="20"/>
                <w:szCs w:val="20"/>
              </w:rPr>
              <w:t>outcomes rather than reused</w:t>
            </w:r>
            <w:r>
              <w:rPr>
                <w:rFonts w:ascii="Palatino Linotype" w:hAnsi="Palatino Linotype"/>
                <w:sz w:val="20"/>
                <w:szCs w:val="20"/>
              </w:rPr>
              <w:t xml:space="preserve"> </w:t>
            </w:r>
            <w:r w:rsidRPr="00D04C4D">
              <w:rPr>
                <w:rFonts w:ascii="Palatino Linotype" w:hAnsi="Palatino Linotype"/>
                <w:sz w:val="20"/>
                <w:szCs w:val="20"/>
              </w:rPr>
              <w:t>to inform future planning</w:t>
            </w:r>
            <w:r>
              <w:rPr>
                <w:rFonts w:ascii="Palatino Linotype" w:hAnsi="Palatino Linotype"/>
                <w:sz w:val="20"/>
                <w:szCs w:val="20"/>
              </w:rPr>
              <w:t xml:space="preserve"> </w:t>
            </w:r>
            <w:r w:rsidRPr="00D04C4D">
              <w:rPr>
                <w:rFonts w:ascii="Palatino Linotype" w:hAnsi="Palatino Linotype"/>
                <w:sz w:val="20"/>
                <w:szCs w:val="20"/>
              </w:rPr>
              <w:t>decisions.</w:t>
            </w:r>
          </w:p>
          <w:p w:rsidR="00010951" w:rsidP="00010951" w:rsidRDefault="00010951" w14:paraId="4A794346"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A consistent, non-duplicative</w:t>
            </w:r>
            <w:r>
              <w:rPr>
                <w:rFonts w:ascii="Palatino Linotype" w:hAnsi="Palatino Linotype"/>
                <w:sz w:val="20"/>
                <w:szCs w:val="20"/>
              </w:rPr>
              <w:t xml:space="preserve"> </w:t>
            </w:r>
            <w:r w:rsidRPr="00D04C4D">
              <w:rPr>
                <w:rFonts w:ascii="Palatino Linotype" w:hAnsi="Palatino Linotype"/>
                <w:sz w:val="20"/>
                <w:szCs w:val="20"/>
              </w:rPr>
              <w:t>analytical approach is</w:t>
            </w:r>
            <w:r>
              <w:rPr>
                <w:rFonts w:ascii="Palatino Linotype" w:hAnsi="Palatino Linotype"/>
                <w:sz w:val="20"/>
                <w:szCs w:val="20"/>
              </w:rPr>
              <w:t xml:space="preserve"> </w:t>
            </w:r>
            <w:r w:rsidRPr="00D04C4D">
              <w:rPr>
                <w:rFonts w:ascii="Palatino Linotype" w:hAnsi="Palatino Linotype"/>
                <w:sz w:val="20"/>
                <w:szCs w:val="20"/>
              </w:rPr>
              <w:t>needed to enable clear,</w:t>
            </w:r>
            <w:r>
              <w:rPr>
                <w:rFonts w:ascii="Palatino Linotype" w:hAnsi="Palatino Linotype"/>
                <w:sz w:val="20"/>
                <w:szCs w:val="20"/>
              </w:rPr>
              <w:t xml:space="preserve"> </w:t>
            </w:r>
            <w:r w:rsidRPr="00D04C4D">
              <w:rPr>
                <w:rFonts w:ascii="Palatino Linotype" w:hAnsi="Palatino Linotype"/>
                <w:sz w:val="20"/>
                <w:szCs w:val="20"/>
              </w:rPr>
              <w:t>comparable evaluation of</w:t>
            </w:r>
            <w:r>
              <w:rPr>
                <w:rFonts w:ascii="Palatino Linotype" w:hAnsi="Palatino Linotype"/>
                <w:sz w:val="20"/>
                <w:szCs w:val="20"/>
              </w:rPr>
              <w:t xml:space="preserve"> </w:t>
            </w:r>
            <w:r w:rsidRPr="00D04C4D">
              <w:rPr>
                <w:rFonts w:ascii="Palatino Linotype" w:hAnsi="Palatino Linotype"/>
                <w:sz w:val="20"/>
                <w:szCs w:val="20"/>
              </w:rPr>
              <w:t>decommissioning</w:t>
            </w:r>
            <w:r>
              <w:rPr>
                <w:rFonts w:ascii="Palatino Linotype" w:hAnsi="Palatino Linotype"/>
                <w:sz w:val="20"/>
                <w:szCs w:val="20"/>
              </w:rPr>
              <w:t xml:space="preserve"> </w:t>
            </w:r>
            <w:r w:rsidRPr="007B3E4C">
              <w:rPr>
                <w:rFonts w:ascii="Palatino Linotype" w:hAnsi="Palatino Linotype"/>
                <w:sz w:val="20"/>
                <w:szCs w:val="20"/>
              </w:rPr>
              <w:t>considerations across</w:t>
            </w:r>
            <w:r>
              <w:rPr>
                <w:rFonts w:ascii="Palatino Linotype" w:hAnsi="Palatino Linotype"/>
                <w:sz w:val="20"/>
                <w:szCs w:val="20"/>
              </w:rPr>
              <w:t xml:space="preserve"> s</w:t>
            </w:r>
            <w:r w:rsidRPr="007B3E4C">
              <w:rPr>
                <w:rFonts w:ascii="Palatino Linotype" w:hAnsi="Palatino Linotype"/>
                <w:sz w:val="20"/>
                <w:szCs w:val="20"/>
              </w:rPr>
              <w:t>ystem segments and future</w:t>
            </w:r>
            <w:r>
              <w:rPr>
                <w:rFonts w:ascii="Palatino Linotype" w:hAnsi="Palatino Linotype"/>
                <w:sz w:val="20"/>
                <w:szCs w:val="20"/>
              </w:rPr>
              <w:t xml:space="preserve"> </w:t>
            </w:r>
            <w:r w:rsidRPr="007B3E4C">
              <w:rPr>
                <w:rFonts w:ascii="Palatino Linotype" w:hAnsi="Palatino Linotype"/>
                <w:sz w:val="20"/>
                <w:szCs w:val="20"/>
              </w:rPr>
              <w:t>conditions.</w:t>
            </w:r>
          </w:p>
          <w:p w:rsidRPr="00EC28B5" w:rsidR="00010951" w:rsidP="00010951" w:rsidRDefault="00010951" w14:paraId="29169F96" w14:textId="77777777">
            <w:pPr>
              <w:pStyle w:val="ListParagraph"/>
              <w:numPr>
                <w:ilvl w:val="0"/>
                <w:numId w:val="29"/>
              </w:numPr>
              <w:rPr>
                <w:rFonts w:ascii="Palatino Linotype" w:hAnsi="Palatino Linotype"/>
                <w:sz w:val="20"/>
                <w:szCs w:val="20"/>
              </w:rPr>
            </w:pPr>
            <w:r>
              <w:rPr>
                <w:rFonts w:ascii="Palatino Linotype" w:hAnsi="Palatino Linotype"/>
                <w:color w:val="000000" w:themeColor="text1"/>
                <w:sz w:val="20"/>
                <w:szCs w:val="20"/>
              </w:rPr>
              <w:t>Complementary PG&amp;E projects prior to 2026 through 2029 collectively seek to establish a consistent basis to compare gas decommissioning options.</w:t>
            </w:r>
            <w:r>
              <w:rPr>
                <w:rStyle w:val="FootnoteReference"/>
                <w:rFonts w:ascii="Palatino Linotype" w:hAnsi="Palatino Linotype"/>
                <w:sz w:val="20"/>
                <w:szCs w:val="20"/>
              </w:rPr>
              <w:footnoteReference w:id="321"/>
            </w:r>
          </w:p>
          <w:p w:rsidRPr="00557946" w:rsidR="00010951" w:rsidP="00010951" w:rsidRDefault="00010951" w14:paraId="63F4F816" w14:textId="77777777">
            <w:pPr>
              <w:pStyle w:val="ListParagraph"/>
              <w:numPr>
                <w:ilvl w:val="0"/>
                <w:numId w:val="29"/>
              </w:numPr>
              <w:rPr>
                <w:rFonts w:ascii="Palatino Linotype" w:hAnsi="Palatino Linotype"/>
                <w:sz w:val="20"/>
                <w:szCs w:val="20"/>
              </w:rPr>
            </w:pPr>
            <w:r w:rsidRPr="00557946">
              <w:rPr>
                <w:rFonts w:ascii="Palatino Linotype" w:hAnsi="Palatino Linotype"/>
                <w:sz w:val="20"/>
                <w:szCs w:val="20"/>
              </w:rPr>
              <w:t xml:space="preserve">This Initiative focuses on input translation, </w:t>
            </w:r>
            <w:proofErr w:type="gramStart"/>
            <w:r w:rsidRPr="00557946">
              <w:rPr>
                <w:rFonts w:ascii="Palatino Linotype" w:hAnsi="Palatino Linotype"/>
                <w:sz w:val="20"/>
                <w:szCs w:val="20"/>
              </w:rPr>
              <w:t>including from</w:t>
            </w:r>
            <w:proofErr w:type="gramEnd"/>
            <w:r w:rsidRPr="00557946">
              <w:rPr>
                <w:rFonts w:ascii="Palatino Linotype" w:hAnsi="Palatino Linotype"/>
                <w:sz w:val="20"/>
                <w:szCs w:val="20"/>
              </w:rPr>
              <w:t xml:space="preserve"> CEC</w:t>
            </w:r>
            <w:r>
              <w:rPr>
                <w:rFonts w:ascii="Palatino Linotype" w:hAnsi="Palatino Linotype"/>
                <w:sz w:val="20"/>
                <w:szCs w:val="20"/>
              </w:rPr>
              <w:t>’s</w:t>
            </w:r>
            <w:r w:rsidRPr="00557946">
              <w:rPr>
                <w:rFonts w:ascii="Palatino Linotype" w:hAnsi="Palatino Linotype"/>
                <w:sz w:val="20"/>
                <w:szCs w:val="20"/>
              </w:rPr>
              <w:t xml:space="preserve"> gas decommissioning work, question decomposition, and reusable documentation of results to provide a distinct planning capability that connects </w:t>
            </w:r>
            <w:r w:rsidRPr="00557946">
              <w:rPr>
                <w:rFonts w:ascii="Palatino Linotype" w:hAnsi="Palatino Linotype"/>
                <w:sz w:val="20"/>
                <w:szCs w:val="20"/>
              </w:rPr>
              <w:lastRenderedPageBreak/>
              <w:t>policy direction and external research to utility-specific analysis.</w:t>
            </w:r>
            <w:r>
              <w:rPr>
                <w:rStyle w:val="FootnoteReference"/>
                <w:rFonts w:ascii="Palatino Linotype" w:hAnsi="Palatino Linotype"/>
                <w:sz w:val="20"/>
                <w:szCs w:val="20"/>
              </w:rPr>
              <w:footnoteReference w:id="322"/>
            </w:r>
          </w:p>
        </w:tc>
        <w:tc>
          <w:tcPr>
            <w:tcW w:w="3888" w:type="dxa"/>
          </w:tcPr>
          <w:p w:rsidR="00010951" w:rsidRDefault="00010951" w14:paraId="47DE3F7B" w14:textId="3186559B">
            <w:pPr>
              <w:rPr>
                <w:rFonts w:ascii="Palatino Linotype" w:hAnsi="Palatino Linotype"/>
                <w:sz w:val="20"/>
                <w:szCs w:val="20"/>
              </w:rPr>
            </w:pPr>
            <w:r>
              <w:rPr>
                <w:rFonts w:ascii="Palatino Linotype" w:hAnsi="Palatino Linotype"/>
                <w:sz w:val="20"/>
                <w:szCs w:val="20"/>
              </w:rPr>
              <w:lastRenderedPageBreak/>
              <w:t xml:space="preserve">PG&amp;E describes its targeted methodology to leverage specific, successive, complementary PG&amp;E projects and those of other administrators, particularly </w:t>
            </w:r>
            <w:r w:rsidR="00EF28FC">
              <w:rPr>
                <w:rFonts w:ascii="Palatino Linotype" w:hAnsi="Palatino Linotype"/>
                <w:sz w:val="20"/>
                <w:szCs w:val="20"/>
              </w:rPr>
              <w:t xml:space="preserve">the </w:t>
            </w:r>
            <w:r>
              <w:rPr>
                <w:rFonts w:ascii="Palatino Linotype" w:hAnsi="Palatino Linotype"/>
                <w:sz w:val="20"/>
                <w:szCs w:val="20"/>
              </w:rPr>
              <w:t xml:space="preserve">CEC by integrating external research and policy direction to meet the identified need of a </w:t>
            </w:r>
            <w:r>
              <w:rPr>
                <w:rFonts w:ascii="Palatino Linotype" w:hAnsi="Palatino Linotype"/>
                <w:color w:val="000000" w:themeColor="text1"/>
                <w:sz w:val="20"/>
                <w:szCs w:val="20"/>
              </w:rPr>
              <w:t xml:space="preserve">consistent basis to compare gas decommissioning </w:t>
            </w:r>
            <w:r w:rsidR="00B60AB5">
              <w:rPr>
                <w:rFonts w:ascii="Palatino Linotype" w:hAnsi="Palatino Linotype"/>
                <w:color w:val="000000" w:themeColor="text1"/>
                <w:sz w:val="20"/>
                <w:szCs w:val="20"/>
              </w:rPr>
              <w:t>pathways</w:t>
            </w:r>
            <w:r>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this requirement.</w:t>
            </w:r>
          </w:p>
          <w:p w:rsidRPr="00841E84" w:rsidR="00010951" w:rsidRDefault="00010951" w14:paraId="34362335" w14:textId="77777777">
            <w:pPr>
              <w:rPr>
                <w:rFonts w:ascii="Palatino Linotype" w:hAnsi="Palatino Linotype"/>
                <w:sz w:val="20"/>
                <w:szCs w:val="20"/>
              </w:rPr>
            </w:pPr>
          </w:p>
        </w:tc>
      </w:tr>
      <w:tr w:rsidRPr="00164C5A" w:rsidR="00010951" w14:paraId="0FED935E" w14:textId="77777777">
        <w:tc>
          <w:tcPr>
            <w:tcW w:w="3865" w:type="dxa"/>
            <w:vMerge/>
          </w:tcPr>
          <w:p w:rsidR="00010951" w:rsidRDefault="00010951" w14:paraId="18F0BD39" w14:textId="77777777"/>
        </w:tc>
        <w:tc>
          <w:tcPr>
            <w:tcW w:w="5472" w:type="dxa"/>
          </w:tcPr>
          <w:p w:rsidR="00010951" w:rsidRDefault="00010951" w14:paraId="6697FEB5"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rPr>
              <w:t xml:space="preserve">: </w:t>
            </w:r>
          </w:p>
          <w:p w:rsidR="00010951" w:rsidP="00010951" w:rsidRDefault="00010951" w14:paraId="70135F23" w14:textId="77777777">
            <w:pPr>
              <w:pStyle w:val="ListParagraph"/>
              <w:numPr>
                <w:ilvl w:val="0"/>
                <w:numId w:val="32"/>
              </w:numPr>
              <w:rPr>
                <w:rFonts w:ascii="Palatino Linotype" w:hAnsi="Palatino Linotype"/>
                <w:sz w:val="20"/>
                <w:szCs w:val="20"/>
              </w:rPr>
            </w:pPr>
            <w:r w:rsidRPr="00F42EF3">
              <w:rPr>
                <w:rFonts w:ascii="Palatino Linotype" w:hAnsi="Palatino Linotype"/>
                <w:sz w:val="20"/>
                <w:szCs w:val="20"/>
              </w:rPr>
              <w:t>High cost and long cycle</w:t>
            </w:r>
            <w:r>
              <w:rPr>
                <w:rFonts w:ascii="Palatino Linotype" w:hAnsi="Palatino Linotype"/>
                <w:sz w:val="20"/>
                <w:szCs w:val="20"/>
              </w:rPr>
              <w:t xml:space="preserve"> </w:t>
            </w:r>
            <w:r w:rsidRPr="00F42EF3">
              <w:rPr>
                <w:rFonts w:ascii="Palatino Linotype" w:hAnsi="Palatino Linotype"/>
                <w:sz w:val="20"/>
                <w:szCs w:val="20"/>
              </w:rPr>
              <w:t>times for RNG</w:t>
            </w:r>
            <w:r>
              <w:rPr>
                <w:rFonts w:ascii="Palatino Linotype" w:hAnsi="Palatino Linotype"/>
                <w:sz w:val="20"/>
                <w:szCs w:val="20"/>
              </w:rPr>
              <w:t xml:space="preserve"> </w:t>
            </w:r>
            <w:r w:rsidRPr="00F42EF3">
              <w:rPr>
                <w:rFonts w:ascii="Palatino Linotype" w:hAnsi="Palatino Linotype"/>
                <w:sz w:val="20"/>
                <w:szCs w:val="20"/>
              </w:rPr>
              <w:t>interconnection and</w:t>
            </w:r>
            <w:r>
              <w:rPr>
                <w:rFonts w:ascii="Palatino Linotype" w:hAnsi="Palatino Linotype"/>
                <w:sz w:val="20"/>
                <w:szCs w:val="20"/>
              </w:rPr>
              <w:t xml:space="preserve"> </w:t>
            </w:r>
            <w:r w:rsidRPr="00F42EF3">
              <w:rPr>
                <w:rFonts w:ascii="Palatino Linotype" w:hAnsi="Palatino Linotype"/>
                <w:sz w:val="20"/>
                <w:szCs w:val="20"/>
              </w:rPr>
              <w:t>pipeline injection under</w:t>
            </w:r>
            <w:r>
              <w:rPr>
                <w:rFonts w:ascii="Palatino Linotype" w:hAnsi="Palatino Linotype"/>
                <w:sz w:val="20"/>
                <w:szCs w:val="20"/>
              </w:rPr>
              <w:t xml:space="preserve"> </w:t>
            </w:r>
            <w:r w:rsidRPr="00F42EF3">
              <w:rPr>
                <w:rFonts w:ascii="Palatino Linotype" w:hAnsi="Palatino Linotype"/>
                <w:sz w:val="20"/>
                <w:szCs w:val="20"/>
              </w:rPr>
              <w:t>varying project</w:t>
            </w:r>
            <w:r>
              <w:rPr>
                <w:rFonts w:ascii="Palatino Linotype" w:hAnsi="Palatino Linotype"/>
                <w:sz w:val="20"/>
                <w:szCs w:val="20"/>
              </w:rPr>
              <w:t xml:space="preserve"> </w:t>
            </w:r>
            <w:r w:rsidRPr="00F42EF3">
              <w:rPr>
                <w:rFonts w:ascii="Palatino Linotype" w:hAnsi="Palatino Linotype"/>
                <w:sz w:val="20"/>
                <w:szCs w:val="20"/>
              </w:rPr>
              <w:t>conditions.</w:t>
            </w:r>
          </w:p>
          <w:p w:rsidR="00010951" w:rsidP="00010951" w:rsidRDefault="00010951" w14:paraId="3235A572" w14:textId="77777777">
            <w:pPr>
              <w:pStyle w:val="ListParagraph"/>
              <w:numPr>
                <w:ilvl w:val="0"/>
                <w:numId w:val="32"/>
              </w:numPr>
              <w:rPr>
                <w:rFonts w:ascii="Palatino Linotype" w:hAnsi="Palatino Linotype"/>
                <w:sz w:val="20"/>
                <w:szCs w:val="20"/>
              </w:rPr>
            </w:pPr>
            <w:r w:rsidRPr="00F42EF3">
              <w:rPr>
                <w:rFonts w:ascii="Palatino Linotype" w:hAnsi="Palatino Linotype"/>
                <w:sz w:val="20"/>
                <w:szCs w:val="20"/>
              </w:rPr>
              <w:t>Lack of repeatable, fit</w:t>
            </w:r>
            <w:r>
              <w:rPr>
                <w:rFonts w:ascii="Palatino Linotype" w:hAnsi="Palatino Linotype"/>
                <w:sz w:val="20"/>
                <w:szCs w:val="20"/>
              </w:rPr>
              <w:t>-</w:t>
            </w:r>
            <w:r w:rsidRPr="00F42EF3">
              <w:rPr>
                <w:rFonts w:ascii="Palatino Linotype" w:hAnsi="Palatino Linotype"/>
                <w:sz w:val="20"/>
                <w:szCs w:val="20"/>
              </w:rPr>
              <w:t>for-purpose gas quality</w:t>
            </w:r>
            <w:r>
              <w:rPr>
                <w:rFonts w:ascii="Palatino Linotype" w:hAnsi="Palatino Linotype"/>
                <w:sz w:val="20"/>
                <w:szCs w:val="20"/>
              </w:rPr>
              <w:t xml:space="preserve"> </w:t>
            </w:r>
            <w:r w:rsidRPr="002645C0">
              <w:rPr>
                <w:rFonts w:ascii="Palatino Linotype" w:hAnsi="Palatino Linotype"/>
                <w:sz w:val="20"/>
                <w:szCs w:val="20"/>
              </w:rPr>
              <w:t>analysis and trace constituent</w:t>
            </w:r>
            <w:r>
              <w:rPr>
                <w:rFonts w:ascii="Palatino Linotype" w:hAnsi="Palatino Linotype"/>
                <w:sz w:val="20"/>
                <w:szCs w:val="20"/>
              </w:rPr>
              <w:t xml:space="preserve"> </w:t>
            </w:r>
            <w:r w:rsidRPr="002645C0">
              <w:rPr>
                <w:rFonts w:ascii="Palatino Linotype" w:hAnsi="Palatino Linotype"/>
                <w:sz w:val="20"/>
                <w:szCs w:val="20"/>
              </w:rPr>
              <w:t>monitoring as</w:t>
            </w:r>
            <w:r>
              <w:rPr>
                <w:rFonts w:ascii="Palatino Linotype" w:hAnsi="Palatino Linotype"/>
                <w:sz w:val="20"/>
                <w:szCs w:val="20"/>
              </w:rPr>
              <w:t xml:space="preserve"> </w:t>
            </w:r>
            <w:r w:rsidRPr="002645C0">
              <w:rPr>
                <w:rFonts w:ascii="Palatino Linotype" w:hAnsi="Palatino Linotype"/>
                <w:sz w:val="20"/>
                <w:szCs w:val="20"/>
              </w:rPr>
              <w:t>RNG volumes and</w:t>
            </w:r>
            <w:r>
              <w:rPr>
                <w:rFonts w:ascii="Palatino Linotype" w:hAnsi="Palatino Linotype"/>
                <w:sz w:val="20"/>
                <w:szCs w:val="20"/>
              </w:rPr>
              <w:t xml:space="preserve"> </w:t>
            </w:r>
            <w:r w:rsidRPr="002645C0">
              <w:rPr>
                <w:rFonts w:ascii="Palatino Linotype" w:hAnsi="Palatino Linotype"/>
                <w:sz w:val="20"/>
                <w:szCs w:val="20"/>
              </w:rPr>
              <w:t>feedstocks diversify.</w:t>
            </w:r>
          </w:p>
          <w:p w:rsidR="00010951" w:rsidP="00010951" w:rsidRDefault="00010951" w14:paraId="4F18D743" w14:textId="77777777">
            <w:pPr>
              <w:pStyle w:val="ListParagraph"/>
              <w:numPr>
                <w:ilvl w:val="0"/>
                <w:numId w:val="32"/>
              </w:numPr>
              <w:rPr>
                <w:rFonts w:ascii="Palatino Linotype" w:hAnsi="Palatino Linotype"/>
                <w:sz w:val="20"/>
                <w:szCs w:val="20"/>
              </w:rPr>
            </w:pPr>
            <w:r w:rsidRPr="002645C0">
              <w:rPr>
                <w:rFonts w:ascii="Palatino Linotype" w:hAnsi="Palatino Linotype"/>
                <w:sz w:val="20"/>
                <w:szCs w:val="20"/>
              </w:rPr>
              <w:t>Need for a more</w:t>
            </w:r>
            <w:r>
              <w:rPr>
                <w:rFonts w:ascii="Palatino Linotype" w:hAnsi="Palatino Linotype"/>
                <w:sz w:val="20"/>
                <w:szCs w:val="20"/>
              </w:rPr>
              <w:t xml:space="preserve"> </w:t>
            </w:r>
            <w:r w:rsidRPr="002645C0">
              <w:rPr>
                <w:rFonts w:ascii="Palatino Linotype" w:hAnsi="Palatino Linotype"/>
                <w:sz w:val="20"/>
                <w:szCs w:val="20"/>
              </w:rPr>
              <w:t>consistent planning-level</w:t>
            </w:r>
            <w:r>
              <w:rPr>
                <w:rFonts w:ascii="Palatino Linotype" w:hAnsi="Palatino Linotype"/>
                <w:sz w:val="20"/>
                <w:szCs w:val="20"/>
              </w:rPr>
              <w:t xml:space="preserve"> </w:t>
            </w:r>
            <w:r w:rsidRPr="002645C0">
              <w:rPr>
                <w:rFonts w:ascii="Palatino Linotype" w:hAnsi="Palatino Linotype"/>
                <w:sz w:val="20"/>
                <w:szCs w:val="20"/>
              </w:rPr>
              <w:t>basis to evaluate</w:t>
            </w:r>
            <w:r>
              <w:rPr>
                <w:rFonts w:ascii="Palatino Linotype" w:hAnsi="Palatino Linotype"/>
                <w:sz w:val="20"/>
                <w:szCs w:val="20"/>
              </w:rPr>
              <w:t xml:space="preserve"> </w:t>
            </w:r>
            <w:r w:rsidRPr="002645C0">
              <w:rPr>
                <w:rFonts w:ascii="Palatino Linotype" w:hAnsi="Palatino Linotype"/>
                <w:sz w:val="20"/>
                <w:szCs w:val="20"/>
              </w:rPr>
              <w:t>biomass-to-RNG</w:t>
            </w:r>
            <w:r>
              <w:rPr>
                <w:rFonts w:ascii="Palatino Linotype" w:hAnsi="Palatino Linotype"/>
                <w:sz w:val="20"/>
                <w:szCs w:val="20"/>
              </w:rPr>
              <w:t xml:space="preserve"> </w:t>
            </w:r>
            <w:r w:rsidRPr="002645C0">
              <w:rPr>
                <w:rFonts w:ascii="Palatino Linotype" w:hAnsi="Palatino Linotype"/>
                <w:sz w:val="20"/>
                <w:szCs w:val="20"/>
              </w:rPr>
              <w:t>pathways, including</w:t>
            </w:r>
            <w:r>
              <w:rPr>
                <w:rFonts w:ascii="Palatino Linotype" w:hAnsi="Palatino Linotype"/>
                <w:sz w:val="20"/>
                <w:szCs w:val="20"/>
              </w:rPr>
              <w:t xml:space="preserve"> </w:t>
            </w:r>
            <w:r w:rsidRPr="002645C0">
              <w:rPr>
                <w:rFonts w:ascii="Palatino Linotype" w:hAnsi="Palatino Linotype"/>
                <w:sz w:val="20"/>
                <w:szCs w:val="20"/>
              </w:rPr>
              <w:t>biochar management,</w:t>
            </w:r>
            <w:r>
              <w:rPr>
                <w:rFonts w:ascii="Palatino Linotype" w:hAnsi="Palatino Linotype"/>
                <w:sz w:val="20"/>
                <w:szCs w:val="20"/>
              </w:rPr>
              <w:t xml:space="preserve"> </w:t>
            </w:r>
            <w:r w:rsidRPr="002645C0">
              <w:rPr>
                <w:rFonts w:ascii="Palatino Linotype" w:hAnsi="Palatino Linotype"/>
                <w:sz w:val="20"/>
                <w:szCs w:val="20"/>
              </w:rPr>
              <w:t>life-cycle emissions, and</w:t>
            </w:r>
            <w:r>
              <w:rPr>
                <w:rFonts w:ascii="Palatino Linotype" w:hAnsi="Palatino Linotype"/>
                <w:sz w:val="20"/>
                <w:szCs w:val="20"/>
              </w:rPr>
              <w:t xml:space="preserve"> </w:t>
            </w:r>
            <w:r w:rsidRPr="002645C0">
              <w:rPr>
                <w:rFonts w:ascii="Palatino Linotype" w:hAnsi="Palatino Linotype"/>
                <w:sz w:val="20"/>
                <w:szCs w:val="20"/>
              </w:rPr>
              <w:t>logistics tradeoffs under</w:t>
            </w:r>
            <w:r>
              <w:rPr>
                <w:rFonts w:ascii="Palatino Linotype" w:hAnsi="Palatino Linotype"/>
                <w:sz w:val="20"/>
                <w:szCs w:val="20"/>
              </w:rPr>
              <w:t xml:space="preserve"> </w:t>
            </w:r>
            <w:r w:rsidRPr="002645C0">
              <w:rPr>
                <w:rFonts w:ascii="Palatino Linotype" w:hAnsi="Palatino Linotype"/>
                <w:sz w:val="20"/>
                <w:szCs w:val="20"/>
              </w:rPr>
              <w:t>real operating conditions.</w:t>
            </w:r>
            <w:r>
              <w:rPr>
                <w:rStyle w:val="FootnoteReference"/>
                <w:rFonts w:ascii="Palatino Linotype" w:hAnsi="Palatino Linotype"/>
                <w:sz w:val="20"/>
                <w:szCs w:val="20"/>
              </w:rPr>
              <w:footnoteReference w:id="323"/>
            </w:r>
          </w:p>
          <w:p w:rsidRPr="00F95CE7" w:rsidR="00010951" w:rsidP="00010951" w:rsidRDefault="00010951" w14:paraId="0706FECF" w14:textId="77777777">
            <w:pPr>
              <w:pStyle w:val="ListParagraph"/>
              <w:numPr>
                <w:ilvl w:val="0"/>
                <w:numId w:val="32"/>
              </w:numPr>
              <w:rPr>
                <w:rFonts w:ascii="Palatino Linotype" w:hAnsi="Palatino Linotype"/>
                <w:sz w:val="20"/>
                <w:szCs w:val="20"/>
              </w:rPr>
            </w:pPr>
            <w:r>
              <w:rPr>
                <w:rFonts w:ascii="Palatino Linotype" w:hAnsi="Palatino Linotype"/>
                <w:color w:val="000000" w:themeColor="text1"/>
                <w:sz w:val="20"/>
                <w:szCs w:val="20"/>
              </w:rPr>
              <w:t xml:space="preserve">Complementary PG&amp;E projects prior to 2026 through 2029 collectively seek to answer: </w:t>
            </w:r>
          </w:p>
          <w:p w:rsidRPr="00313F2D" w:rsidR="00010951" w:rsidP="00010951" w:rsidRDefault="00010951" w14:paraId="3269FA08" w14:textId="77777777">
            <w:pPr>
              <w:pStyle w:val="ListParagraph"/>
              <w:numPr>
                <w:ilvl w:val="1"/>
                <w:numId w:val="32"/>
              </w:numPr>
              <w:rPr>
                <w:rFonts w:ascii="Palatino Linotype" w:hAnsi="Palatino Linotype"/>
                <w:sz w:val="20"/>
                <w:szCs w:val="20"/>
              </w:rPr>
            </w:pPr>
            <w:r>
              <w:rPr>
                <w:rFonts w:ascii="Palatino Linotype" w:hAnsi="Palatino Linotype"/>
                <w:color w:val="000000" w:themeColor="text1"/>
                <w:sz w:val="20"/>
                <w:szCs w:val="20"/>
              </w:rPr>
              <w:t xml:space="preserve">What measurable characteristics and threshold ranges define biochar that </w:t>
            </w:r>
            <w:proofErr w:type="gramStart"/>
            <w:r>
              <w:rPr>
                <w:rFonts w:ascii="Palatino Linotype" w:hAnsi="Palatino Linotype"/>
                <w:color w:val="000000" w:themeColor="text1"/>
                <w:sz w:val="20"/>
                <w:szCs w:val="20"/>
              </w:rPr>
              <w:t>is</w:t>
            </w:r>
            <w:proofErr w:type="gramEnd"/>
            <w:r>
              <w:rPr>
                <w:rFonts w:ascii="Palatino Linotype" w:hAnsi="Palatino Linotype"/>
                <w:color w:val="000000" w:themeColor="text1"/>
                <w:sz w:val="20"/>
                <w:szCs w:val="20"/>
              </w:rPr>
              <w:t xml:space="preserve"> safe to handle and suitable for specific end uses?</w:t>
            </w:r>
          </w:p>
          <w:p w:rsidR="00010951" w:rsidP="00010951" w:rsidRDefault="00010951" w14:paraId="26A9CC8A" w14:textId="77777777">
            <w:pPr>
              <w:pStyle w:val="ListParagraph"/>
              <w:numPr>
                <w:ilvl w:val="1"/>
                <w:numId w:val="32"/>
              </w:numPr>
              <w:rPr>
                <w:rFonts w:ascii="Palatino Linotype" w:hAnsi="Palatino Linotype"/>
                <w:sz w:val="20"/>
                <w:szCs w:val="20"/>
              </w:rPr>
            </w:pPr>
            <w:r>
              <w:rPr>
                <w:rFonts w:ascii="Palatino Linotype" w:hAnsi="Palatino Linotype"/>
                <w:sz w:val="20"/>
                <w:szCs w:val="20"/>
              </w:rPr>
              <w:t>How do emissions outcomes change across realistic logistics and operating scenarios and which assumptions drive results?</w:t>
            </w:r>
          </w:p>
          <w:p w:rsidR="00010951" w:rsidP="00010951" w:rsidRDefault="00010951" w14:paraId="5B18967C" w14:textId="77777777">
            <w:pPr>
              <w:pStyle w:val="ListParagraph"/>
              <w:numPr>
                <w:ilvl w:val="0"/>
                <w:numId w:val="32"/>
              </w:numPr>
              <w:rPr>
                <w:rFonts w:ascii="Palatino Linotype" w:hAnsi="Palatino Linotype"/>
                <w:sz w:val="20"/>
                <w:szCs w:val="20"/>
              </w:rPr>
            </w:pPr>
            <w:r>
              <w:rPr>
                <w:rFonts w:ascii="Palatino Linotype" w:hAnsi="Palatino Linotype"/>
                <w:sz w:val="20"/>
                <w:szCs w:val="20"/>
              </w:rPr>
              <w:t xml:space="preserve">Uniquely </w:t>
            </w:r>
            <w:r w:rsidRPr="00482D5A">
              <w:rPr>
                <w:rFonts w:ascii="Palatino Linotype" w:hAnsi="Palatino Linotype"/>
                <w:sz w:val="20"/>
                <w:szCs w:val="20"/>
              </w:rPr>
              <w:t>designed around the practical questions a utility, regulator, or planner may need to</w:t>
            </w:r>
            <w:r>
              <w:rPr>
                <w:rFonts w:ascii="Palatino Linotype" w:hAnsi="Palatino Linotype"/>
                <w:sz w:val="20"/>
                <w:szCs w:val="20"/>
              </w:rPr>
              <w:t xml:space="preserve"> </w:t>
            </w:r>
            <w:r w:rsidRPr="00482D5A">
              <w:rPr>
                <w:rFonts w:ascii="Palatino Linotype" w:hAnsi="Palatino Linotype"/>
                <w:sz w:val="20"/>
                <w:szCs w:val="20"/>
              </w:rPr>
              <w:t xml:space="preserve">answer when comparing how cleaner fuels could </w:t>
            </w:r>
            <w:proofErr w:type="gramStart"/>
            <w:r w:rsidRPr="00482D5A">
              <w:rPr>
                <w:rFonts w:ascii="Palatino Linotype" w:hAnsi="Palatino Linotype"/>
                <w:sz w:val="20"/>
                <w:szCs w:val="20"/>
              </w:rPr>
              <w:t>actually move</w:t>
            </w:r>
            <w:proofErr w:type="gramEnd"/>
            <w:r w:rsidRPr="00482D5A">
              <w:rPr>
                <w:rFonts w:ascii="Palatino Linotype" w:hAnsi="Palatino Linotype"/>
                <w:sz w:val="20"/>
                <w:szCs w:val="20"/>
              </w:rPr>
              <w:t xml:space="preserve"> from concept to integration.</w:t>
            </w:r>
          </w:p>
          <w:p w:rsidR="00010951" w:rsidP="00010951" w:rsidRDefault="00010951" w14:paraId="5951F068" w14:textId="77777777">
            <w:pPr>
              <w:pStyle w:val="ListParagraph"/>
              <w:numPr>
                <w:ilvl w:val="0"/>
                <w:numId w:val="32"/>
              </w:numPr>
              <w:rPr>
                <w:rFonts w:ascii="Palatino Linotype" w:hAnsi="Palatino Linotype"/>
                <w:sz w:val="20"/>
                <w:szCs w:val="20"/>
              </w:rPr>
            </w:pPr>
            <w:r w:rsidRPr="00A904E5">
              <w:rPr>
                <w:rFonts w:ascii="Palatino Linotype" w:hAnsi="Palatino Linotype"/>
                <w:sz w:val="20"/>
                <w:szCs w:val="20"/>
              </w:rPr>
              <w:t>CEC programs,</w:t>
            </w:r>
            <w:r>
              <w:rPr>
                <w:rFonts w:ascii="Palatino Linotype" w:hAnsi="Palatino Linotype"/>
                <w:sz w:val="20"/>
                <w:szCs w:val="20"/>
              </w:rPr>
              <w:t xml:space="preserve"> </w:t>
            </w:r>
            <w:r w:rsidRPr="00A904E5">
              <w:rPr>
                <w:rFonts w:ascii="Palatino Linotype" w:hAnsi="Palatino Linotype"/>
                <w:sz w:val="20"/>
                <w:szCs w:val="20"/>
              </w:rPr>
              <w:t xml:space="preserve">EPIC administrators, national laboratories, industry groups, and market actors often </w:t>
            </w:r>
            <w:r w:rsidRPr="00A904E5">
              <w:rPr>
                <w:rFonts w:ascii="Palatino Linotype" w:hAnsi="Palatino Linotype"/>
                <w:sz w:val="20"/>
                <w:szCs w:val="20"/>
              </w:rPr>
              <w:lastRenderedPageBreak/>
              <w:t>focus on upstream</w:t>
            </w:r>
            <w:r>
              <w:rPr>
                <w:rFonts w:ascii="Palatino Linotype" w:hAnsi="Palatino Linotype"/>
                <w:sz w:val="20"/>
                <w:szCs w:val="20"/>
              </w:rPr>
              <w:t xml:space="preserve"> </w:t>
            </w:r>
            <w:r w:rsidRPr="00A904E5">
              <w:rPr>
                <w:rFonts w:ascii="Palatino Linotype" w:hAnsi="Palatino Linotype"/>
                <w:sz w:val="20"/>
                <w:szCs w:val="20"/>
              </w:rPr>
              <w:t>technology development, field equipment, supply assessments, aggregation models, end-use market</w:t>
            </w:r>
            <w:r>
              <w:rPr>
                <w:rFonts w:ascii="Palatino Linotype" w:hAnsi="Palatino Linotype"/>
                <w:sz w:val="20"/>
                <w:szCs w:val="20"/>
              </w:rPr>
              <w:t xml:space="preserve"> </w:t>
            </w:r>
            <w:r w:rsidRPr="00A904E5">
              <w:rPr>
                <w:rFonts w:ascii="Palatino Linotype" w:hAnsi="Palatino Linotype"/>
                <w:sz w:val="20"/>
                <w:szCs w:val="20"/>
              </w:rPr>
              <w:t>formation, or broader standards development. PG&amp;E’s role here is narrower and more applied: to translate</w:t>
            </w:r>
            <w:r>
              <w:rPr>
                <w:rFonts w:ascii="Palatino Linotype" w:hAnsi="Palatino Linotype"/>
                <w:sz w:val="20"/>
                <w:szCs w:val="20"/>
              </w:rPr>
              <w:t xml:space="preserve"> </w:t>
            </w:r>
            <w:r w:rsidRPr="00A904E5">
              <w:rPr>
                <w:rFonts w:ascii="Palatino Linotype" w:hAnsi="Palatino Linotype"/>
                <w:sz w:val="20"/>
                <w:szCs w:val="20"/>
              </w:rPr>
              <w:t>that broader body of work into utility-relevant validation, comparison methods, and decision-support outputs</w:t>
            </w:r>
            <w:r>
              <w:rPr>
                <w:rFonts w:ascii="Palatino Linotype" w:hAnsi="Palatino Linotype"/>
                <w:sz w:val="20"/>
                <w:szCs w:val="20"/>
              </w:rPr>
              <w:t xml:space="preserve"> </w:t>
            </w:r>
            <w:r w:rsidRPr="00A904E5">
              <w:rPr>
                <w:rFonts w:ascii="Palatino Linotype" w:hAnsi="Palatino Linotype"/>
                <w:sz w:val="20"/>
                <w:szCs w:val="20"/>
              </w:rPr>
              <w:t>that can be used in planning, interconnection evaluation, and regulatory review</w:t>
            </w:r>
            <w:r>
              <w:rPr>
                <w:rFonts w:ascii="Palatino Linotype" w:hAnsi="Palatino Linotype"/>
                <w:sz w:val="20"/>
                <w:szCs w:val="20"/>
              </w:rPr>
              <w:t>.</w:t>
            </w:r>
            <w:r>
              <w:rPr>
                <w:rStyle w:val="FootnoteReference"/>
                <w:rFonts w:ascii="Palatino Linotype" w:hAnsi="Palatino Linotype"/>
                <w:sz w:val="20"/>
                <w:szCs w:val="20"/>
              </w:rPr>
              <w:t xml:space="preserve"> </w:t>
            </w:r>
          </w:p>
          <w:p w:rsidRPr="003B092F" w:rsidR="00010951" w:rsidP="00010951" w:rsidRDefault="00010951" w14:paraId="3780AC0F" w14:textId="77777777">
            <w:pPr>
              <w:pStyle w:val="ListParagraph"/>
              <w:numPr>
                <w:ilvl w:val="1"/>
                <w:numId w:val="32"/>
              </w:numPr>
              <w:rPr>
                <w:rFonts w:ascii="Palatino Linotype" w:hAnsi="Palatino Linotype"/>
                <w:sz w:val="20"/>
                <w:szCs w:val="20"/>
              </w:rPr>
            </w:pPr>
            <w:r>
              <w:rPr>
                <w:rFonts w:ascii="Palatino Linotype" w:hAnsi="Palatino Linotype"/>
                <w:sz w:val="20"/>
                <w:szCs w:val="20"/>
              </w:rPr>
              <w:t xml:space="preserve">Complementary to but distinct from </w:t>
            </w:r>
            <w:r w:rsidRPr="003B092F">
              <w:rPr>
                <w:rFonts w:ascii="Palatino Linotype" w:hAnsi="Palatino Linotype"/>
                <w:sz w:val="20"/>
                <w:szCs w:val="20"/>
              </w:rPr>
              <w:t>EPIC 3.47, Operational Vegetation Management Efficiency Through Novel Onsite</w:t>
            </w:r>
            <w:r>
              <w:rPr>
                <w:rFonts w:ascii="Palatino Linotype" w:hAnsi="Palatino Linotype"/>
                <w:sz w:val="20"/>
                <w:szCs w:val="20"/>
              </w:rPr>
              <w:t xml:space="preserve"> </w:t>
            </w:r>
            <w:r w:rsidRPr="003B092F">
              <w:rPr>
                <w:rFonts w:ascii="Palatino Linotype" w:hAnsi="Palatino Linotype"/>
                <w:sz w:val="20"/>
                <w:szCs w:val="20"/>
              </w:rPr>
              <w:t>Equipment, and EPIC 4.19, Woody Supply Chain</w:t>
            </w:r>
            <w:r>
              <w:rPr>
                <w:rFonts w:ascii="Palatino Linotype" w:hAnsi="Palatino Linotype"/>
                <w:sz w:val="20"/>
                <w:szCs w:val="20"/>
              </w:rPr>
              <w:t>.</w:t>
            </w:r>
            <w:r>
              <w:rPr>
                <w:rStyle w:val="FootnoteReference"/>
                <w:rFonts w:ascii="Palatino Linotype" w:hAnsi="Palatino Linotype"/>
                <w:sz w:val="20"/>
                <w:szCs w:val="20"/>
              </w:rPr>
              <w:t xml:space="preserve"> </w:t>
            </w:r>
            <w:r>
              <w:rPr>
                <w:rStyle w:val="FootnoteReference"/>
                <w:rFonts w:ascii="Palatino Linotype" w:hAnsi="Palatino Linotype"/>
                <w:sz w:val="20"/>
                <w:szCs w:val="20"/>
              </w:rPr>
              <w:footnoteReference w:id="324"/>
            </w:r>
          </w:p>
        </w:tc>
        <w:tc>
          <w:tcPr>
            <w:tcW w:w="3888" w:type="dxa"/>
          </w:tcPr>
          <w:p w:rsidR="00010951" w:rsidRDefault="00010951" w14:paraId="5E5592F7" w14:textId="26A21982">
            <w:pPr>
              <w:rPr>
                <w:rFonts w:ascii="Palatino Linotype" w:hAnsi="Palatino Linotype"/>
                <w:b/>
                <w:bCs w:val="0"/>
                <w:color w:val="000000" w:themeColor="text1"/>
                <w:sz w:val="20"/>
                <w:szCs w:val="20"/>
              </w:rPr>
            </w:pPr>
            <w:r>
              <w:rPr>
                <w:rFonts w:ascii="Palatino Linotype" w:hAnsi="Palatino Linotype"/>
                <w:sz w:val="20"/>
                <w:szCs w:val="20"/>
              </w:rPr>
              <w:lastRenderedPageBreak/>
              <w:t xml:space="preserve">PG&amp;E describes the existing landscape of </w:t>
            </w:r>
            <w:r w:rsidRPr="00A904E5">
              <w:rPr>
                <w:rFonts w:ascii="Palatino Linotype" w:hAnsi="Palatino Linotype"/>
                <w:sz w:val="20"/>
                <w:szCs w:val="20"/>
              </w:rPr>
              <w:t>technology development, field equipment, supply assessments, aggregation models, end-use market</w:t>
            </w:r>
            <w:r>
              <w:rPr>
                <w:rFonts w:ascii="Palatino Linotype" w:hAnsi="Palatino Linotype"/>
                <w:sz w:val="20"/>
                <w:szCs w:val="20"/>
              </w:rPr>
              <w:t xml:space="preserve"> </w:t>
            </w:r>
            <w:r w:rsidRPr="00A904E5">
              <w:rPr>
                <w:rFonts w:ascii="Palatino Linotype" w:hAnsi="Palatino Linotype"/>
                <w:sz w:val="20"/>
                <w:szCs w:val="20"/>
              </w:rPr>
              <w:t>formation,</w:t>
            </w:r>
            <w:r>
              <w:rPr>
                <w:rFonts w:ascii="Palatino Linotype" w:hAnsi="Palatino Linotype"/>
                <w:sz w:val="20"/>
                <w:szCs w:val="20"/>
              </w:rPr>
              <w:t xml:space="preserve"> and</w:t>
            </w:r>
            <w:r w:rsidRPr="00A904E5">
              <w:rPr>
                <w:rFonts w:ascii="Palatino Linotype" w:hAnsi="Palatino Linotype"/>
                <w:sz w:val="20"/>
                <w:szCs w:val="20"/>
              </w:rPr>
              <w:t xml:space="preserve"> broader standards development</w:t>
            </w:r>
            <w:r>
              <w:rPr>
                <w:rFonts w:ascii="Palatino Linotype" w:hAnsi="Palatino Linotype"/>
                <w:sz w:val="20"/>
                <w:szCs w:val="20"/>
              </w:rPr>
              <w:t xml:space="preserve"> conducted by </w:t>
            </w:r>
            <w:r w:rsidR="00AC7CCF">
              <w:rPr>
                <w:rFonts w:ascii="Palatino Linotype" w:hAnsi="Palatino Linotype"/>
                <w:sz w:val="20"/>
                <w:szCs w:val="20"/>
              </w:rPr>
              <w:t xml:space="preserve">the </w:t>
            </w:r>
            <w:r>
              <w:rPr>
                <w:rFonts w:ascii="Palatino Linotype" w:hAnsi="Palatino Linotype"/>
                <w:sz w:val="20"/>
                <w:szCs w:val="20"/>
              </w:rPr>
              <w:t xml:space="preserve">CEC and other research, industry, and market actors. PG&amp;E details specific, successive, complementary PG&amp;E projects and those of other administrators, particularly </w:t>
            </w:r>
            <w:r w:rsidR="00AC7CCF">
              <w:rPr>
                <w:rFonts w:ascii="Palatino Linotype" w:hAnsi="Palatino Linotype"/>
                <w:sz w:val="20"/>
                <w:szCs w:val="20"/>
              </w:rPr>
              <w:t xml:space="preserve">the </w:t>
            </w:r>
            <w:r>
              <w:rPr>
                <w:rFonts w:ascii="Palatino Linotype" w:hAnsi="Palatino Linotype"/>
                <w:sz w:val="20"/>
                <w:szCs w:val="20"/>
              </w:rPr>
              <w:t xml:space="preserve">CEC, and states that funding for this Initiative would play a narrower, distinct role to target the identified need for </w:t>
            </w:r>
            <w:r w:rsidRPr="00A904E5">
              <w:rPr>
                <w:rFonts w:ascii="Palatino Linotype" w:hAnsi="Palatino Linotype"/>
                <w:sz w:val="20"/>
                <w:szCs w:val="20"/>
              </w:rPr>
              <w:t>translat</w:t>
            </w:r>
            <w:r>
              <w:rPr>
                <w:rFonts w:ascii="Palatino Linotype" w:hAnsi="Palatino Linotype"/>
                <w:sz w:val="20"/>
                <w:szCs w:val="20"/>
              </w:rPr>
              <w:t xml:space="preserve">ing </w:t>
            </w:r>
            <w:r w:rsidRPr="00A904E5">
              <w:rPr>
                <w:rFonts w:ascii="Palatino Linotype" w:hAnsi="Palatino Linotype"/>
                <w:sz w:val="20"/>
                <w:szCs w:val="20"/>
              </w:rPr>
              <w:t>th</w:t>
            </w:r>
            <w:r>
              <w:rPr>
                <w:rFonts w:ascii="Palatino Linotype" w:hAnsi="Palatino Linotype"/>
                <w:sz w:val="20"/>
                <w:szCs w:val="20"/>
              </w:rPr>
              <w:t>e</w:t>
            </w:r>
            <w:r w:rsidRPr="00A904E5">
              <w:rPr>
                <w:rFonts w:ascii="Palatino Linotype" w:hAnsi="Palatino Linotype"/>
                <w:sz w:val="20"/>
                <w:szCs w:val="20"/>
              </w:rPr>
              <w:t xml:space="preserve"> broader body of work into utility-relevant validation, comparison methods, and decision-support outputs</w:t>
            </w:r>
            <w:r>
              <w:rPr>
                <w:rFonts w:ascii="Palatino Linotype" w:hAnsi="Palatino Linotype"/>
                <w:sz w:val="20"/>
                <w:szCs w:val="20"/>
              </w:rPr>
              <w:t xml:space="preserve"> </w:t>
            </w:r>
            <w:r w:rsidRPr="00A904E5">
              <w:rPr>
                <w:rFonts w:ascii="Palatino Linotype" w:hAnsi="Palatino Linotype"/>
                <w:sz w:val="20"/>
                <w:szCs w:val="20"/>
              </w:rPr>
              <w:t>that can be used in planning, interconn</w:t>
            </w:r>
            <w:r w:rsidRPr="00711B05">
              <w:rPr>
                <w:rFonts w:ascii="Palatino Linotype" w:hAnsi="Palatino Linotype"/>
                <w:sz w:val="20"/>
                <w:szCs w:val="20"/>
              </w:rPr>
              <w:t xml:space="preserve">ection evaluation, and regulatory review. </w:t>
            </w:r>
            <w:r w:rsidRPr="00711B05">
              <w:rPr>
                <w:rFonts w:ascii="Palatino Linotype" w:hAnsi="Palatino Linotype"/>
                <w:b/>
                <w:bCs w:val="0"/>
                <w:color w:val="000000" w:themeColor="text1"/>
                <w:sz w:val="20"/>
                <w:szCs w:val="20"/>
              </w:rPr>
              <w:t>PG&amp;E is compliant with this requirement.</w:t>
            </w:r>
          </w:p>
          <w:p w:rsidRPr="00841E84" w:rsidR="00010951" w:rsidRDefault="00010951" w14:paraId="13F3ED91" w14:textId="0C36BC78">
            <w:pPr>
              <w:spacing w:before="240"/>
              <w:rPr>
                <w:rFonts w:ascii="Palatino Linotype" w:hAnsi="Palatino Linotype"/>
                <w:sz w:val="20"/>
                <w:szCs w:val="20"/>
              </w:rPr>
            </w:pPr>
            <w:r>
              <w:rPr>
                <w:rFonts w:ascii="Palatino Linotype" w:hAnsi="Palatino Linotype"/>
                <w:sz w:val="20"/>
                <w:szCs w:val="20"/>
              </w:rPr>
              <w:t>PG&amp;E should document and detail plans for ongoing coordination with S</w:t>
            </w:r>
            <w:r w:rsidR="00137BCF">
              <w:rPr>
                <w:rFonts w:ascii="Palatino Linotype" w:hAnsi="Palatino Linotype"/>
                <w:sz w:val="20"/>
                <w:szCs w:val="20"/>
              </w:rPr>
              <w:t>oCalGas</w:t>
            </w:r>
            <w:r>
              <w:rPr>
                <w:rFonts w:ascii="Palatino Linotype" w:hAnsi="Palatino Linotype"/>
                <w:sz w:val="20"/>
                <w:szCs w:val="20"/>
              </w:rPr>
              <w:t xml:space="preserve"> and clearly differentiate this Initiative from S</w:t>
            </w:r>
            <w:r w:rsidR="00137BCF">
              <w:rPr>
                <w:rFonts w:ascii="Palatino Linotype" w:hAnsi="Palatino Linotype"/>
                <w:sz w:val="20"/>
                <w:szCs w:val="20"/>
              </w:rPr>
              <w:t>oCalGas</w:t>
            </w:r>
            <w:r>
              <w:rPr>
                <w:rFonts w:ascii="Palatino Linotype" w:hAnsi="Palatino Linotype"/>
                <w:sz w:val="20"/>
                <w:szCs w:val="20"/>
              </w:rPr>
              <w:t xml:space="preserve">’ specific completed, </w:t>
            </w:r>
            <w:r>
              <w:rPr>
                <w:rFonts w:ascii="Palatino Linotype" w:hAnsi="Palatino Linotype"/>
                <w:sz w:val="20"/>
                <w:szCs w:val="20"/>
              </w:rPr>
              <w:lastRenderedPageBreak/>
              <w:t>active, and proposed RNG-related RD&amp;D projects</w:t>
            </w:r>
            <w:r w:rsidRPr="00D74CFB">
              <w:rPr>
                <w:rStyle w:val="FootnoteReference"/>
                <w:rFonts w:ascii="Palatino Linotype" w:hAnsi="Palatino Linotype"/>
                <w:color w:val="000000" w:themeColor="text1"/>
                <w:sz w:val="20"/>
                <w:szCs w:val="20"/>
              </w:rPr>
              <w:footnoteReference w:id="325"/>
            </w:r>
            <w:r w:rsidRPr="00D74CFB">
              <w:rPr>
                <w:rFonts w:ascii="Palatino Linotype" w:hAnsi="Palatino Linotype"/>
                <w:color w:val="000000" w:themeColor="text1"/>
                <w:sz w:val="20"/>
                <w:szCs w:val="20"/>
              </w:rPr>
              <w:t xml:space="preserve"> </w:t>
            </w:r>
            <w:r>
              <w:rPr>
                <w:rFonts w:ascii="Palatino Linotype" w:hAnsi="Palatino Linotype"/>
                <w:sz w:val="20"/>
                <w:szCs w:val="20"/>
              </w:rPr>
              <w:t>through Plan implementation.</w:t>
            </w:r>
            <w:r w:rsidRPr="00D74CFB">
              <w:rPr>
                <w:rFonts w:ascii="Palatino Linotype" w:hAnsi="Palatino Linotype"/>
                <w:color w:val="000000" w:themeColor="text1"/>
                <w:sz w:val="20"/>
                <w:szCs w:val="20"/>
              </w:rPr>
              <w:t xml:space="preserve"> </w:t>
            </w:r>
          </w:p>
        </w:tc>
      </w:tr>
      <w:tr w:rsidRPr="00164C5A" w:rsidR="00010951" w14:paraId="72336AD5" w14:textId="77777777">
        <w:trPr>
          <w:trHeight w:val="683"/>
        </w:trPr>
        <w:tc>
          <w:tcPr>
            <w:tcW w:w="3865" w:type="dxa"/>
            <w:vMerge w:val="restart"/>
          </w:tcPr>
          <w:p w:rsidRPr="00841E84" w:rsidR="00010951" w:rsidRDefault="00010951" w14:paraId="283B3FC3" w14:textId="77777777">
            <w:pPr>
              <w:rPr>
                <w:rFonts w:ascii="Palatino Linotype" w:hAnsi="Palatino Linotype"/>
                <w:sz w:val="20"/>
                <w:szCs w:val="20"/>
              </w:rPr>
            </w:pPr>
            <w:r w:rsidRPr="001221C0">
              <w:rPr>
                <w:rFonts w:ascii="Palatino Linotype" w:hAnsi="Palatino Linotype"/>
                <w:b/>
                <w:bCs w:val="0"/>
                <w:sz w:val="20"/>
                <w:szCs w:val="20"/>
              </w:rPr>
              <w:lastRenderedPageBreak/>
              <w:t>[</w:t>
            </w:r>
            <w:r>
              <w:rPr>
                <w:rFonts w:ascii="Palatino Linotype" w:hAnsi="Palatino Linotype"/>
                <w:b/>
                <w:bCs w:val="0"/>
                <w:sz w:val="20"/>
                <w:szCs w:val="20"/>
              </w:rPr>
              <w:t>8</w:t>
            </w:r>
            <w:r w:rsidRPr="001221C0">
              <w:rPr>
                <w:rFonts w:ascii="Palatino Linotype" w:hAnsi="Palatino Linotype"/>
                <w:b/>
                <w:bCs w:val="0"/>
                <w:sz w:val="20"/>
                <w:szCs w:val="20"/>
              </w:rPr>
              <w:t xml:space="preserve">] </w:t>
            </w:r>
            <w:hyperlink w:tgtFrame="_blank" w:history="1" r:id="rId58">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3. Proposed Solution. </w:t>
            </w:r>
            <w:r w:rsidRPr="00070C25">
              <w:rPr>
                <w:rFonts w:ascii="Palatino Linotype" w:hAnsi="Palatino Linotype"/>
                <w:i/>
                <w:iCs/>
                <w:color w:val="000000" w:themeColor="text1"/>
                <w:sz w:val="20"/>
                <w:szCs w:val="20"/>
              </w:rPr>
              <w:t>[</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DE650D">
              <w:rPr>
                <w:rFonts w:ascii="Palatino Linotype" w:hAnsi="Palatino Linotype"/>
                <w:i/>
                <w:iCs/>
                <w:color w:val="000000" w:themeColor="text1"/>
                <w:sz w:val="20"/>
                <w:szCs w:val="20"/>
              </w:rPr>
              <w:t>Describe Research Topics, anticipated near-term project outputs commensurate with the proposed funding level, and intended pathways to scale, commercialize, and otherwise utilize results from RD&amp;D activities to promote technology transfer and market facilitation.</w:t>
            </w:r>
          </w:p>
        </w:tc>
        <w:tc>
          <w:tcPr>
            <w:tcW w:w="5472" w:type="dxa"/>
          </w:tcPr>
          <w:p w:rsidR="00010951" w:rsidRDefault="00010951" w14:paraId="0409E1AD"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Innovative and Cost-Effective Integrity Management</w:t>
            </w:r>
            <w:r>
              <w:rPr>
                <w:rFonts w:ascii="Palatino Linotype" w:hAnsi="Palatino Linotype"/>
                <w:color w:val="000000" w:themeColor="text1"/>
                <w:sz w:val="20"/>
                <w:szCs w:val="20"/>
              </w:rPr>
              <w:t>:</w:t>
            </w:r>
          </w:p>
          <w:p w:rsidR="00010951" w:rsidP="00010951" w:rsidRDefault="00010951" w14:paraId="0A23686B" w14:textId="77777777">
            <w:pPr>
              <w:pStyle w:val="ListParagraph"/>
              <w:numPr>
                <w:ilvl w:val="0"/>
                <w:numId w:val="26"/>
              </w:numPr>
              <w:rPr>
                <w:rFonts w:ascii="Palatino Linotype" w:hAnsi="Palatino Linotype"/>
                <w:sz w:val="20"/>
                <w:szCs w:val="20"/>
              </w:rPr>
            </w:pPr>
            <w:r w:rsidRPr="00CD067F">
              <w:rPr>
                <w:rFonts w:ascii="Palatino Linotype" w:hAnsi="Palatino Linotype"/>
                <w:sz w:val="20"/>
                <w:szCs w:val="20"/>
              </w:rPr>
              <w:t>Advance and field</w:t>
            </w:r>
            <w:r>
              <w:rPr>
                <w:rFonts w:ascii="Palatino Linotype" w:hAnsi="Palatino Linotype"/>
                <w:sz w:val="20"/>
                <w:szCs w:val="20"/>
              </w:rPr>
              <w:t>-</w:t>
            </w:r>
            <w:r w:rsidRPr="00CD067F">
              <w:rPr>
                <w:rFonts w:ascii="Palatino Linotype" w:hAnsi="Palatino Linotype"/>
                <w:sz w:val="20"/>
                <w:szCs w:val="20"/>
              </w:rPr>
              <w:t>demonstrate</w:t>
            </w:r>
            <w:r>
              <w:rPr>
                <w:rFonts w:ascii="Palatino Linotype" w:hAnsi="Palatino Linotype"/>
                <w:sz w:val="20"/>
                <w:szCs w:val="20"/>
              </w:rPr>
              <w:t xml:space="preserve"> </w:t>
            </w:r>
            <w:r w:rsidRPr="00CD067F">
              <w:rPr>
                <w:rFonts w:ascii="Palatino Linotype" w:hAnsi="Palatino Linotype"/>
                <w:sz w:val="20"/>
                <w:szCs w:val="20"/>
              </w:rPr>
              <w:t>monitoring and</w:t>
            </w:r>
            <w:r>
              <w:rPr>
                <w:rFonts w:ascii="Palatino Linotype" w:hAnsi="Palatino Linotype"/>
                <w:sz w:val="20"/>
                <w:szCs w:val="20"/>
              </w:rPr>
              <w:t xml:space="preserve"> </w:t>
            </w:r>
            <w:r w:rsidRPr="00CD067F">
              <w:rPr>
                <w:rFonts w:ascii="Palatino Linotype" w:hAnsi="Palatino Linotype"/>
                <w:sz w:val="20"/>
                <w:szCs w:val="20"/>
              </w:rPr>
              <w:t>assessment approaches that</w:t>
            </w:r>
            <w:r>
              <w:rPr>
                <w:rFonts w:ascii="Palatino Linotype" w:hAnsi="Palatino Linotype"/>
                <w:sz w:val="20"/>
                <w:szCs w:val="20"/>
              </w:rPr>
              <w:t xml:space="preserve"> </w:t>
            </w:r>
            <w:r w:rsidRPr="00CD067F">
              <w:rPr>
                <w:rFonts w:ascii="Palatino Linotype" w:hAnsi="Palatino Linotype"/>
                <w:sz w:val="20"/>
                <w:szCs w:val="20"/>
              </w:rPr>
              <w:t>improve visibility into asset</w:t>
            </w:r>
            <w:r>
              <w:rPr>
                <w:rFonts w:ascii="Palatino Linotype" w:hAnsi="Palatino Linotype"/>
                <w:sz w:val="20"/>
                <w:szCs w:val="20"/>
              </w:rPr>
              <w:t xml:space="preserve"> </w:t>
            </w:r>
            <w:proofErr w:type="gramStart"/>
            <w:r w:rsidRPr="00CD067F">
              <w:rPr>
                <w:rFonts w:ascii="Palatino Linotype" w:hAnsi="Palatino Linotype"/>
                <w:sz w:val="20"/>
                <w:szCs w:val="20"/>
              </w:rPr>
              <w:t>condition</w:t>
            </w:r>
            <w:proofErr w:type="gramEnd"/>
            <w:r w:rsidRPr="00CD067F">
              <w:rPr>
                <w:rFonts w:ascii="Palatino Linotype" w:hAnsi="Palatino Linotype"/>
                <w:sz w:val="20"/>
                <w:szCs w:val="20"/>
              </w:rPr>
              <w:t xml:space="preserve"> in constrained</w:t>
            </w:r>
            <w:r>
              <w:rPr>
                <w:rFonts w:ascii="Palatino Linotype" w:hAnsi="Palatino Linotype"/>
                <w:sz w:val="20"/>
                <w:szCs w:val="20"/>
              </w:rPr>
              <w:t xml:space="preserve"> </w:t>
            </w:r>
            <w:r w:rsidRPr="00CD067F">
              <w:rPr>
                <w:rFonts w:ascii="Palatino Linotype" w:hAnsi="Palatino Linotype"/>
                <w:sz w:val="20"/>
                <w:szCs w:val="20"/>
              </w:rPr>
              <w:t>environments.</w:t>
            </w:r>
          </w:p>
          <w:p w:rsidR="00010951" w:rsidP="00010951" w:rsidRDefault="00010951" w14:paraId="0B6977B0" w14:textId="77777777">
            <w:pPr>
              <w:pStyle w:val="ListParagraph"/>
              <w:numPr>
                <w:ilvl w:val="0"/>
                <w:numId w:val="26"/>
              </w:numPr>
              <w:rPr>
                <w:rFonts w:ascii="Palatino Linotype" w:hAnsi="Palatino Linotype"/>
                <w:sz w:val="20"/>
                <w:szCs w:val="20"/>
              </w:rPr>
            </w:pPr>
            <w:r w:rsidRPr="00CD067F">
              <w:rPr>
                <w:rFonts w:ascii="Palatino Linotype" w:hAnsi="Palatino Linotype"/>
                <w:sz w:val="20"/>
                <w:szCs w:val="20"/>
              </w:rPr>
              <w:t>Develop and validate analytic methods that convert monitoring and inspection data into interpretable indicators for integrity assessment and prioritization of field activities.</w:t>
            </w:r>
          </w:p>
          <w:p w:rsidRPr="00A3470F" w:rsidR="00010951" w:rsidP="00010951" w:rsidRDefault="00010951" w14:paraId="682151DC" w14:textId="77777777">
            <w:pPr>
              <w:pStyle w:val="ListParagraph"/>
              <w:numPr>
                <w:ilvl w:val="0"/>
                <w:numId w:val="26"/>
              </w:numPr>
              <w:rPr>
                <w:rFonts w:ascii="Palatino Linotype" w:hAnsi="Palatino Linotype"/>
                <w:sz w:val="20"/>
                <w:szCs w:val="20"/>
              </w:rPr>
            </w:pPr>
            <w:r w:rsidRPr="00A3470F">
              <w:rPr>
                <w:rFonts w:ascii="Palatino Linotype" w:hAnsi="Palatino Linotype"/>
                <w:sz w:val="20"/>
                <w:szCs w:val="20"/>
              </w:rPr>
              <w:t>Evaluate implementation</w:t>
            </w:r>
            <w:r>
              <w:rPr>
                <w:rFonts w:ascii="Palatino Linotype" w:hAnsi="Palatino Linotype"/>
                <w:sz w:val="20"/>
                <w:szCs w:val="20"/>
              </w:rPr>
              <w:t xml:space="preserve"> </w:t>
            </w:r>
            <w:r w:rsidRPr="00A3470F">
              <w:rPr>
                <w:rFonts w:ascii="Palatino Linotype" w:hAnsi="Palatino Linotype"/>
                <w:sz w:val="20"/>
                <w:szCs w:val="20"/>
              </w:rPr>
              <w:t>requirements, technical</w:t>
            </w:r>
            <w:r>
              <w:rPr>
                <w:rFonts w:ascii="Palatino Linotype" w:hAnsi="Palatino Linotype"/>
                <w:sz w:val="20"/>
                <w:szCs w:val="20"/>
              </w:rPr>
              <w:t xml:space="preserve"> </w:t>
            </w:r>
            <w:r w:rsidRPr="00A3470F">
              <w:rPr>
                <w:rFonts w:ascii="Palatino Linotype" w:hAnsi="Palatino Linotype"/>
                <w:sz w:val="20"/>
                <w:szCs w:val="20"/>
              </w:rPr>
              <w:t>performance, and practical</w:t>
            </w:r>
            <w:r>
              <w:rPr>
                <w:rFonts w:ascii="Palatino Linotype" w:hAnsi="Palatino Linotype"/>
                <w:sz w:val="20"/>
                <w:szCs w:val="20"/>
              </w:rPr>
              <w:t xml:space="preserve"> </w:t>
            </w:r>
            <w:r w:rsidRPr="00A3470F">
              <w:rPr>
                <w:rFonts w:ascii="Palatino Linotype" w:hAnsi="Palatino Linotype"/>
                <w:sz w:val="20"/>
                <w:szCs w:val="20"/>
              </w:rPr>
              <w:t>deployment considerations</w:t>
            </w:r>
            <w:r>
              <w:rPr>
                <w:rFonts w:ascii="Palatino Linotype" w:hAnsi="Palatino Linotype"/>
                <w:sz w:val="20"/>
                <w:szCs w:val="20"/>
              </w:rPr>
              <w:t xml:space="preserve"> </w:t>
            </w:r>
            <w:r w:rsidRPr="00A3470F">
              <w:rPr>
                <w:rFonts w:ascii="Palatino Linotype" w:hAnsi="Palatino Linotype"/>
                <w:sz w:val="20"/>
                <w:szCs w:val="20"/>
              </w:rPr>
              <w:t>for non-intrusive or minimally</w:t>
            </w:r>
            <w:r>
              <w:rPr>
                <w:rFonts w:ascii="Palatino Linotype" w:hAnsi="Palatino Linotype"/>
                <w:sz w:val="20"/>
                <w:szCs w:val="20"/>
              </w:rPr>
              <w:t xml:space="preserve"> </w:t>
            </w:r>
            <w:r w:rsidRPr="00A3470F">
              <w:rPr>
                <w:rFonts w:ascii="Palatino Linotype" w:hAnsi="Palatino Linotype"/>
                <w:sz w:val="20"/>
                <w:szCs w:val="20"/>
              </w:rPr>
              <w:t>intrusive approaches.</w:t>
            </w:r>
          </w:p>
          <w:p w:rsidR="00010951" w:rsidP="00010951" w:rsidRDefault="00010951" w14:paraId="614E443B" w14:textId="77777777">
            <w:pPr>
              <w:pStyle w:val="ListParagraph"/>
              <w:numPr>
                <w:ilvl w:val="0"/>
                <w:numId w:val="26"/>
              </w:numPr>
              <w:rPr>
                <w:rFonts w:ascii="Palatino Linotype" w:hAnsi="Palatino Linotype"/>
                <w:sz w:val="20"/>
                <w:szCs w:val="20"/>
              </w:rPr>
            </w:pPr>
            <w:r w:rsidRPr="00A3470F">
              <w:rPr>
                <w:rFonts w:ascii="Palatino Linotype" w:hAnsi="Palatino Linotype"/>
                <w:sz w:val="20"/>
                <w:szCs w:val="20"/>
              </w:rPr>
              <w:t>Establish structured methods</w:t>
            </w:r>
            <w:r>
              <w:rPr>
                <w:rFonts w:ascii="Palatino Linotype" w:hAnsi="Palatino Linotype"/>
                <w:sz w:val="20"/>
                <w:szCs w:val="20"/>
              </w:rPr>
              <w:t xml:space="preserve"> </w:t>
            </w:r>
            <w:r w:rsidRPr="00A3470F">
              <w:rPr>
                <w:rFonts w:ascii="Palatino Linotype" w:hAnsi="Palatino Linotype"/>
                <w:sz w:val="20"/>
                <w:szCs w:val="20"/>
              </w:rPr>
              <w:t>to compare feasibility, cost,</w:t>
            </w:r>
            <w:r>
              <w:rPr>
                <w:rFonts w:ascii="Palatino Linotype" w:hAnsi="Palatino Linotype"/>
                <w:sz w:val="20"/>
                <w:szCs w:val="20"/>
              </w:rPr>
              <w:t xml:space="preserve"> </w:t>
            </w:r>
            <w:r w:rsidRPr="00A3470F">
              <w:rPr>
                <w:rFonts w:ascii="Palatino Linotype" w:hAnsi="Palatino Linotype"/>
                <w:sz w:val="20"/>
                <w:szCs w:val="20"/>
              </w:rPr>
              <w:t>and operational value</w:t>
            </w:r>
            <w:r>
              <w:rPr>
                <w:rFonts w:ascii="Palatino Linotype" w:hAnsi="Palatino Linotype"/>
                <w:sz w:val="20"/>
                <w:szCs w:val="20"/>
              </w:rPr>
              <w:t xml:space="preserve"> </w:t>
            </w:r>
            <w:r w:rsidRPr="00A3470F">
              <w:rPr>
                <w:rFonts w:ascii="Palatino Linotype" w:hAnsi="Palatino Linotype"/>
                <w:sz w:val="20"/>
                <w:szCs w:val="20"/>
              </w:rPr>
              <w:t>relative to existing inspection</w:t>
            </w:r>
            <w:r>
              <w:rPr>
                <w:rFonts w:ascii="Palatino Linotype" w:hAnsi="Palatino Linotype"/>
                <w:sz w:val="20"/>
                <w:szCs w:val="20"/>
              </w:rPr>
              <w:t xml:space="preserve"> </w:t>
            </w:r>
            <w:r w:rsidRPr="00A3470F">
              <w:rPr>
                <w:rFonts w:ascii="Palatino Linotype" w:hAnsi="Palatino Linotype"/>
                <w:sz w:val="20"/>
                <w:szCs w:val="20"/>
              </w:rPr>
              <w:t>and assessment practices.</w:t>
            </w:r>
            <w:r>
              <w:rPr>
                <w:rStyle w:val="FootnoteReference"/>
                <w:rFonts w:ascii="Palatino Linotype" w:hAnsi="Palatino Linotype"/>
                <w:sz w:val="20"/>
                <w:szCs w:val="20"/>
              </w:rPr>
              <w:footnoteReference w:id="326"/>
            </w:r>
          </w:p>
          <w:p w:rsidRPr="00DA1CF1" w:rsidR="00010951" w:rsidP="00010951" w:rsidRDefault="00010951" w14:paraId="129C6713" w14:textId="77777777">
            <w:pPr>
              <w:pStyle w:val="ListParagraph"/>
              <w:numPr>
                <w:ilvl w:val="0"/>
                <w:numId w:val="26"/>
              </w:numPr>
              <w:rPr>
                <w:rFonts w:ascii="Palatino Linotype" w:hAnsi="Palatino Linotype"/>
                <w:sz w:val="20"/>
                <w:szCs w:val="20"/>
              </w:rPr>
            </w:pPr>
            <w:r>
              <w:rPr>
                <w:rFonts w:ascii="Palatino Linotype" w:hAnsi="Palatino Linotype"/>
                <w:sz w:val="20"/>
                <w:szCs w:val="20"/>
              </w:rPr>
              <w:t xml:space="preserve">Inform applications across </w:t>
            </w:r>
            <w:r w:rsidRPr="00D9582E">
              <w:rPr>
                <w:rFonts w:ascii="Palatino Linotype" w:hAnsi="Palatino Linotype"/>
                <w:sz w:val="20"/>
                <w:szCs w:val="20"/>
              </w:rPr>
              <w:t>technology developers, service providers, and other utilities</w:t>
            </w:r>
            <w:r>
              <w:rPr>
                <w:rFonts w:ascii="Palatino Linotype" w:hAnsi="Palatino Linotype"/>
                <w:sz w:val="20"/>
                <w:szCs w:val="20"/>
              </w:rPr>
              <w:t xml:space="preserve"> using </w:t>
            </w:r>
            <w:r w:rsidRPr="00DA1CF1">
              <w:rPr>
                <w:rFonts w:ascii="Palatino Linotype" w:hAnsi="Palatino Linotype"/>
                <w:sz w:val="20"/>
                <w:szCs w:val="20"/>
              </w:rPr>
              <w:t xml:space="preserve">validation </w:t>
            </w:r>
            <w:r w:rsidRPr="00DA1CF1">
              <w:rPr>
                <w:rFonts w:ascii="Palatino Linotype" w:hAnsi="Palatino Linotype"/>
                <w:sz w:val="20"/>
                <w:szCs w:val="20"/>
              </w:rPr>
              <w:lastRenderedPageBreak/>
              <w:t>results, performance benchmarks, feasibility findings, installation and workflow</w:t>
            </w:r>
            <w:r>
              <w:rPr>
                <w:rFonts w:ascii="Palatino Linotype" w:hAnsi="Palatino Linotype"/>
                <w:sz w:val="20"/>
                <w:szCs w:val="20"/>
              </w:rPr>
              <w:t xml:space="preserve"> </w:t>
            </w:r>
            <w:r w:rsidRPr="00DA1CF1">
              <w:rPr>
                <w:rFonts w:ascii="Palatino Linotype" w:hAnsi="Palatino Linotype"/>
                <w:sz w:val="20"/>
                <w:szCs w:val="20"/>
              </w:rPr>
              <w:t>guidance, and cost-quantification tools</w:t>
            </w:r>
            <w:r>
              <w:rPr>
                <w:rFonts w:ascii="Palatino Linotype" w:hAnsi="Palatino Linotype"/>
                <w:sz w:val="20"/>
                <w:szCs w:val="20"/>
              </w:rPr>
              <w:t>.</w:t>
            </w:r>
            <w:r>
              <w:rPr>
                <w:rStyle w:val="FootnoteReference"/>
                <w:rFonts w:ascii="Palatino Linotype" w:hAnsi="Palatino Linotype"/>
                <w:sz w:val="20"/>
                <w:szCs w:val="20"/>
              </w:rPr>
              <w:footnoteReference w:id="327"/>
            </w:r>
          </w:p>
        </w:tc>
        <w:tc>
          <w:tcPr>
            <w:tcW w:w="3888" w:type="dxa"/>
          </w:tcPr>
          <w:p w:rsidRPr="00A00EA3" w:rsidR="00010951" w:rsidRDefault="00010951" w14:paraId="152AFD00" w14:textId="77777777">
            <w:pPr>
              <w:rPr>
                <w:rFonts w:ascii="Palatino Linotype" w:hAnsi="Palatino Linotype"/>
                <w:sz w:val="20"/>
                <w:szCs w:val="20"/>
              </w:rPr>
            </w:pPr>
            <w:r w:rsidRPr="00A00EA3">
              <w:rPr>
                <w:rFonts w:ascii="Palatino Linotype" w:hAnsi="Palatino Linotype"/>
                <w:sz w:val="20"/>
                <w:szCs w:val="20"/>
              </w:rPr>
              <w:lastRenderedPageBreak/>
              <w:t xml:space="preserve">PG&amp;E details </w:t>
            </w:r>
            <w:r>
              <w:rPr>
                <w:rFonts w:ascii="Palatino Linotype" w:hAnsi="Palatino Linotype"/>
                <w:sz w:val="20"/>
                <w:szCs w:val="20"/>
              </w:rPr>
              <w:t xml:space="preserve">structured methods, </w:t>
            </w:r>
            <w:r w:rsidRPr="00A00EA3">
              <w:rPr>
                <w:rFonts w:ascii="Palatino Linotype" w:hAnsi="Palatino Linotype"/>
                <w:sz w:val="20"/>
                <w:szCs w:val="20"/>
              </w:rPr>
              <w:t>validation results, performance benchmarks, feasibility findings, installation and workflow guidance, and cost-quantification tools as</w:t>
            </w:r>
            <w:r>
              <w:rPr>
                <w:rFonts w:ascii="Palatino Linotype" w:hAnsi="Palatino Linotype"/>
                <w:sz w:val="20"/>
                <w:szCs w:val="20"/>
              </w:rPr>
              <w:t xml:space="preserve"> intended</w:t>
            </w:r>
            <w:r w:rsidRPr="00A00EA3">
              <w:rPr>
                <w:rFonts w:ascii="Palatino Linotype" w:hAnsi="Palatino Linotype"/>
                <w:sz w:val="20"/>
                <w:szCs w:val="20"/>
              </w:rPr>
              <w:t xml:space="preserve"> deliverables to be utilized </w:t>
            </w:r>
            <w:r>
              <w:rPr>
                <w:rFonts w:ascii="Palatino Linotype" w:hAnsi="Palatino Linotype"/>
                <w:sz w:val="20"/>
                <w:szCs w:val="20"/>
              </w:rPr>
              <w:t xml:space="preserve">by </w:t>
            </w:r>
            <w:r w:rsidRPr="00D9582E">
              <w:rPr>
                <w:rFonts w:ascii="Palatino Linotype" w:hAnsi="Palatino Linotype"/>
                <w:sz w:val="20"/>
                <w:szCs w:val="20"/>
              </w:rPr>
              <w:t xml:space="preserve">technology developers, service providers, and other </w:t>
            </w:r>
            <w:r w:rsidRPr="00711B05">
              <w:rPr>
                <w:rFonts w:ascii="Palatino Linotype" w:hAnsi="Palatino Linotype"/>
                <w:sz w:val="20"/>
                <w:szCs w:val="20"/>
              </w:rPr>
              <w:t xml:space="preserve">utilities as indicators for integrity assessment and to prioritize of field activities. </w:t>
            </w:r>
            <w:r w:rsidRPr="00711B05">
              <w:rPr>
                <w:rFonts w:ascii="Palatino Linotype" w:hAnsi="Palatino Linotype"/>
                <w:b/>
                <w:bCs w:val="0"/>
                <w:sz w:val="20"/>
                <w:szCs w:val="20"/>
              </w:rPr>
              <w:t>PG&amp;E is compliant with this requirement.</w:t>
            </w:r>
          </w:p>
          <w:p w:rsidRPr="00841E84" w:rsidR="00010951" w:rsidRDefault="00010951" w14:paraId="2D38AC36" w14:textId="77777777">
            <w:pPr>
              <w:rPr>
                <w:rFonts w:ascii="Palatino Linotype" w:hAnsi="Palatino Linotype"/>
                <w:sz w:val="20"/>
                <w:szCs w:val="20"/>
              </w:rPr>
            </w:pPr>
          </w:p>
        </w:tc>
      </w:tr>
      <w:tr w:rsidRPr="00164C5A" w:rsidR="00010951" w14:paraId="0D0D4DDD" w14:textId="77777777">
        <w:trPr>
          <w:trHeight w:val="890"/>
        </w:trPr>
        <w:tc>
          <w:tcPr>
            <w:tcW w:w="3865" w:type="dxa"/>
            <w:vMerge/>
          </w:tcPr>
          <w:p w:rsidR="00010951" w:rsidRDefault="00010951" w14:paraId="399657B4" w14:textId="77777777"/>
        </w:tc>
        <w:tc>
          <w:tcPr>
            <w:tcW w:w="5472" w:type="dxa"/>
          </w:tcPr>
          <w:p w:rsidR="00010951" w:rsidRDefault="00010951" w14:paraId="57AF64A3"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Integrated Planning Tools to Enable Scaled Up Gas Decommissioning and Electrification</w:t>
            </w:r>
            <w:r>
              <w:rPr>
                <w:rFonts w:ascii="Palatino Linotype" w:hAnsi="Palatino Linotype"/>
                <w:color w:val="000000" w:themeColor="text1"/>
                <w:sz w:val="20"/>
                <w:szCs w:val="20"/>
              </w:rPr>
              <w:t xml:space="preserve">: </w:t>
            </w:r>
          </w:p>
          <w:p w:rsidR="00010951" w:rsidP="00010951" w:rsidRDefault="00010951" w14:paraId="7EB4AFA8"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Develop structured</w:t>
            </w:r>
            <w:r>
              <w:rPr>
                <w:rFonts w:ascii="Palatino Linotype" w:hAnsi="Palatino Linotype"/>
                <w:sz w:val="20"/>
                <w:szCs w:val="20"/>
              </w:rPr>
              <w:t xml:space="preserve"> </w:t>
            </w:r>
            <w:r w:rsidRPr="00475601">
              <w:rPr>
                <w:rFonts w:ascii="Palatino Linotype" w:hAnsi="Palatino Linotype"/>
                <w:sz w:val="20"/>
                <w:szCs w:val="20"/>
              </w:rPr>
              <w:t>analytical methods and</w:t>
            </w:r>
            <w:r>
              <w:rPr>
                <w:rFonts w:ascii="Palatino Linotype" w:hAnsi="Palatino Linotype"/>
                <w:sz w:val="20"/>
                <w:szCs w:val="20"/>
              </w:rPr>
              <w:t xml:space="preserve"> </w:t>
            </w:r>
            <w:r w:rsidRPr="00475601">
              <w:rPr>
                <w:rFonts w:ascii="Palatino Linotype" w:hAnsi="Palatino Linotype"/>
                <w:sz w:val="20"/>
                <w:szCs w:val="20"/>
              </w:rPr>
              <w:t>tools that enable</w:t>
            </w:r>
            <w:r>
              <w:rPr>
                <w:rFonts w:ascii="Palatino Linotype" w:hAnsi="Palatino Linotype"/>
                <w:sz w:val="20"/>
                <w:szCs w:val="20"/>
              </w:rPr>
              <w:t xml:space="preserve"> </w:t>
            </w:r>
            <w:r w:rsidRPr="00475601">
              <w:rPr>
                <w:rFonts w:ascii="Palatino Linotype" w:hAnsi="Palatino Linotype"/>
                <w:sz w:val="20"/>
                <w:szCs w:val="20"/>
              </w:rPr>
              <w:t>consistent and transparent</w:t>
            </w:r>
            <w:r>
              <w:rPr>
                <w:rFonts w:ascii="Palatino Linotype" w:hAnsi="Palatino Linotype"/>
                <w:sz w:val="20"/>
                <w:szCs w:val="20"/>
              </w:rPr>
              <w:t xml:space="preserve"> </w:t>
            </w:r>
            <w:r w:rsidRPr="00475601">
              <w:rPr>
                <w:rFonts w:ascii="Palatino Linotype" w:hAnsi="Palatino Linotype"/>
                <w:sz w:val="20"/>
                <w:szCs w:val="20"/>
              </w:rPr>
              <w:t>evaluation of</w:t>
            </w:r>
            <w:r>
              <w:rPr>
                <w:rFonts w:ascii="Palatino Linotype" w:hAnsi="Palatino Linotype"/>
                <w:sz w:val="20"/>
                <w:szCs w:val="20"/>
              </w:rPr>
              <w:t xml:space="preserve"> </w:t>
            </w:r>
            <w:r w:rsidRPr="00475601">
              <w:rPr>
                <w:rFonts w:ascii="Palatino Linotype" w:hAnsi="Palatino Linotype"/>
                <w:sz w:val="20"/>
                <w:szCs w:val="20"/>
              </w:rPr>
              <w:t>decommissioning options</w:t>
            </w:r>
            <w:r>
              <w:rPr>
                <w:rFonts w:ascii="Palatino Linotype" w:hAnsi="Palatino Linotype"/>
                <w:sz w:val="20"/>
                <w:szCs w:val="20"/>
              </w:rPr>
              <w:t xml:space="preserve"> </w:t>
            </w:r>
            <w:r w:rsidRPr="00475601">
              <w:rPr>
                <w:rFonts w:ascii="Palatino Linotype" w:hAnsi="Palatino Linotype"/>
                <w:sz w:val="20"/>
                <w:szCs w:val="20"/>
              </w:rPr>
              <w:t>across PG&amp;E’s system.</w:t>
            </w:r>
          </w:p>
          <w:p w:rsidR="00010951" w:rsidP="00010951" w:rsidRDefault="00010951" w14:paraId="74C3B631" w14:textId="77777777">
            <w:pPr>
              <w:pStyle w:val="ListParagraph"/>
              <w:numPr>
                <w:ilvl w:val="0"/>
                <w:numId w:val="30"/>
              </w:numPr>
              <w:rPr>
                <w:rFonts w:ascii="Palatino Linotype" w:hAnsi="Palatino Linotype"/>
                <w:sz w:val="20"/>
                <w:szCs w:val="20"/>
              </w:rPr>
            </w:pPr>
            <w:r>
              <w:rPr>
                <w:rFonts w:ascii="Palatino Linotype" w:hAnsi="Palatino Linotype"/>
                <w:sz w:val="20"/>
                <w:szCs w:val="20"/>
              </w:rPr>
              <w:t>T</w:t>
            </w:r>
            <w:r w:rsidRPr="00475601">
              <w:rPr>
                <w:rFonts w:ascii="Palatino Linotype" w:hAnsi="Palatino Linotype"/>
                <w:sz w:val="20"/>
                <w:szCs w:val="20"/>
              </w:rPr>
              <w:t>ranslate policy direction</w:t>
            </w:r>
            <w:r>
              <w:rPr>
                <w:rFonts w:ascii="Palatino Linotype" w:hAnsi="Palatino Linotype"/>
                <w:sz w:val="20"/>
                <w:szCs w:val="20"/>
              </w:rPr>
              <w:t xml:space="preserve"> </w:t>
            </w:r>
            <w:r w:rsidRPr="00475601">
              <w:rPr>
                <w:rFonts w:ascii="Palatino Linotype" w:hAnsi="Palatino Linotype"/>
                <w:sz w:val="20"/>
                <w:szCs w:val="20"/>
              </w:rPr>
              <w:t>and electric-side planning</w:t>
            </w:r>
            <w:r>
              <w:rPr>
                <w:rFonts w:ascii="Palatino Linotype" w:hAnsi="Palatino Linotype"/>
                <w:sz w:val="20"/>
                <w:szCs w:val="20"/>
              </w:rPr>
              <w:t xml:space="preserve"> </w:t>
            </w:r>
            <w:r w:rsidRPr="00475601">
              <w:rPr>
                <w:rFonts w:ascii="Palatino Linotype" w:hAnsi="Palatino Linotype"/>
                <w:sz w:val="20"/>
                <w:szCs w:val="20"/>
              </w:rPr>
              <w:t>outputs into clearly</w:t>
            </w:r>
            <w:r>
              <w:rPr>
                <w:rFonts w:ascii="Palatino Linotype" w:hAnsi="Palatino Linotype"/>
                <w:sz w:val="20"/>
                <w:szCs w:val="20"/>
              </w:rPr>
              <w:t xml:space="preserve"> </w:t>
            </w:r>
            <w:r w:rsidRPr="00475601">
              <w:rPr>
                <w:rFonts w:ascii="Palatino Linotype" w:hAnsi="Palatino Linotype"/>
                <w:sz w:val="20"/>
                <w:szCs w:val="20"/>
              </w:rPr>
              <w:t>documented inputs that</w:t>
            </w:r>
            <w:r>
              <w:rPr>
                <w:rFonts w:ascii="Palatino Linotype" w:hAnsi="Palatino Linotype"/>
                <w:sz w:val="20"/>
                <w:szCs w:val="20"/>
              </w:rPr>
              <w:t xml:space="preserve"> </w:t>
            </w:r>
            <w:r w:rsidRPr="00475601">
              <w:rPr>
                <w:rFonts w:ascii="Palatino Linotype" w:hAnsi="Palatino Linotype"/>
                <w:sz w:val="20"/>
                <w:szCs w:val="20"/>
              </w:rPr>
              <w:t>define where and under</w:t>
            </w:r>
            <w:r>
              <w:rPr>
                <w:rFonts w:ascii="Palatino Linotype" w:hAnsi="Palatino Linotype"/>
                <w:sz w:val="20"/>
                <w:szCs w:val="20"/>
              </w:rPr>
              <w:t xml:space="preserve"> </w:t>
            </w:r>
            <w:r w:rsidRPr="00475601">
              <w:rPr>
                <w:rFonts w:ascii="Palatino Linotype" w:hAnsi="Palatino Linotype"/>
                <w:sz w:val="20"/>
                <w:szCs w:val="20"/>
              </w:rPr>
              <w:t>what conditions gas</w:t>
            </w:r>
            <w:r>
              <w:rPr>
                <w:rFonts w:ascii="Palatino Linotype" w:hAnsi="Palatino Linotype"/>
                <w:sz w:val="20"/>
                <w:szCs w:val="20"/>
              </w:rPr>
              <w:t xml:space="preserve"> </w:t>
            </w:r>
            <w:r w:rsidRPr="00475601">
              <w:rPr>
                <w:rFonts w:ascii="Palatino Linotype" w:hAnsi="Palatino Linotype"/>
                <w:sz w:val="20"/>
                <w:szCs w:val="20"/>
              </w:rPr>
              <w:t>infrastructure can be</w:t>
            </w:r>
            <w:r>
              <w:rPr>
                <w:rFonts w:ascii="Palatino Linotype" w:hAnsi="Palatino Linotype"/>
                <w:sz w:val="20"/>
                <w:szCs w:val="20"/>
              </w:rPr>
              <w:t xml:space="preserve"> </w:t>
            </w:r>
            <w:r w:rsidRPr="00475601">
              <w:rPr>
                <w:rFonts w:ascii="Palatino Linotype" w:hAnsi="Palatino Linotype"/>
                <w:sz w:val="20"/>
                <w:szCs w:val="20"/>
              </w:rPr>
              <w:t>considered for</w:t>
            </w:r>
            <w:r>
              <w:rPr>
                <w:rFonts w:ascii="Palatino Linotype" w:hAnsi="Palatino Linotype"/>
                <w:sz w:val="20"/>
                <w:szCs w:val="20"/>
              </w:rPr>
              <w:t xml:space="preserve"> </w:t>
            </w:r>
            <w:r w:rsidRPr="00475601">
              <w:rPr>
                <w:rFonts w:ascii="Palatino Linotype" w:hAnsi="Palatino Linotype"/>
                <w:sz w:val="20"/>
                <w:szCs w:val="20"/>
              </w:rPr>
              <w:t>decommissioning.</w:t>
            </w:r>
          </w:p>
          <w:p w:rsidR="00010951" w:rsidP="00010951" w:rsidRDefault="00010951" w14:paraId="133160E0"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Structure</w:t>
            </w:r>
            <w:r>
              <w:rPr>
                <w:rFonts w:ascii="Palatino Linotype" w:hAnsi="Palatino Linotype"/>
                <w:sz w:val="20"/>
                <w:szCs w:val="20"/>
              </w:rPr>
              <w:t xml:space="preserve"> </w:t>
            </w:r>
            <w:r w:rsidRPr="00475601">
              <w:rPr>
                <w:rFonts w:ascii="Palatino Linotype" w:hAnsi="Palatino Linotype"/>
                <w:sz w:val="20"/>
                <w:szCs w:val="20"/>
              </w:rPr>
              <w:t>decommissioning</w:t>
            </w:r>
            <w:r>
              <w:rPr>
                <w:rFonts w:ascii="Palatino Linotype" w:hAnsi="Palatino Linotype"/>
                <w:sz w:val="20"/>
                <w:szCs w:val="20"/>
              </w:rPr>
              <w:t xml:space="preserve"> </w:t>
            </w:r>
            <w:r w:rsidRPr="00475601">
              <w:rPr>
                <w:rFonts w:ascii="Palatino Linotype" w:hAnsi="Palatino Linotype"/>
                <w:sz w:val="20"/>
                <w:szCs w:val="20"/>
              </w:rPr>
              <w:t>questions into discrete</w:t>
            </w:r>
            <w:r>
              <w:rPr>
                <w:rFonts w:ascii="Palatino Linotype" w:hAnsi="Palatino Linotype"/>
                <w:sz w:val="20"/>
                <w:szCs w:val="20"/>
              </w:rPr>
              <w:t xml:space="preserve"> </w:t>
            </w:r>
            <w:r w:rsidRPr="00475601">
              <w:rPr>
                <w:rFonts w:ascii="Palatino Linotype" w:hAnsi="Palatino Linotype"/>
                <w:sz w:val="20"/>
                <w:szCs w:val="20"/>
              </w:rPr>
              <w:t>cost, risk, constraint, and</w:t>
            </w:r>
            <w:r>
              <w:rPr>
                <w:rFonts w:ascii="Palatino Linotype" w:hAnsi="Palatino Linotype"/>
                <w:sz w:val="20"/>
                <w:szCs w:val="20"/>
              </w:rPr>
              <w:t xml:space="preserve"> </w:t>
            </w:r>
            <w:r w:rsidRPr="00475601">
              <w:rPr>
                <w:rFonts w:ascii="Palatino Linotype" w:hAnsi="Palatino Linotype"/>
                <w:sz w:val="20"/>
                <w:szCs w:val="20"/>
              </w:rPr>
              <w:t>feasibility components so</w:t>
            </w:r>
            <w:r>
              <w:rPr>
                <w:rFonts w:ascii="Palatino Linotype" w:hAnsi="Palatino Linotype"/>
                <w:sz w:val="20"/>
                <w:szCs w:val="20"/>
              </w:rPr>
              <w:t xml:space="preserve"> </w:t>
            </w:r>
            <w:r w:rsidRPr="00475601">
              <w:rPr>
                <w:rFonts w:ascii="Palatino Linotype" w:hAnsi="Palatino Linotype"/>
                <w:sz w:val="20"/>
                <w:szCs w:val="20"/>
              </w:rPr>
              <w:t>tradeoffs can be evaluated</w:t>
            </w:r>
            <w:r>
              <w:rPr>
                <w:rFonts w:ascii="Palatino Linotype" w:hAnsi="Palatino Linotype"/>
                <w:sz w:val="20"/>
                <w:szCs w:val="20"/>
              </w:rPr>
              <w:t xml:space="preserve"> </w:t>
            </w:r>
            <w:r w:rsidRPr="00475601">
              <w:rPr>
                <w:rFonts w:ascii="Palatino Linotype" w:hAnsi="Palatino Linotype"/>
                <w:sz w:val="20"/>
                <w:szCs w:val="20"/>
              </w:rPr>
              <w:t>transparently across</w:t>
            </w:r>
            <w:r>
              <w:rPr>
                <w:rFonts w:ascii="Palatino Linotype" w:hAnsi="Palatino Linotype"/>
                <w:sz w:val="20"/>
                <w:szCs w:val="20"/>
              </w:rPr>
              <w:t xml:space="preserve"> </w:t>
            </w:r>
            <w:r w:rsidRPr="00475601">
              <w:rPr>
                <w:rFonts w:ascii="Palatino Linotype" w:hAnsi="Palatino Linotype"/>
                <w:sz w:val="20"/>
                <w:szCs w:val="20"/>
              </w:rPr>
              <w:t>system segments.</w:t>
            </w:r>
          </w:p>
          <w:p w:rsidRPr="009F3ACF" w:rsidR="00010951" w:rsidP="00010951" w:rsidRDefault="00010951" w14:paraId="685E3A94"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Apply scenario-based</w:t>
            </w:r>
            <w:r>
              <w:rPr>
                <w:rFonts w:ascii="Palatino Linotype" w:hAnsi="Palatino Linotype"/>
                <w:sz w:val="20"/>
                <w:szCs w:val="20"/>
              </w:rPr>
              <w:t xml:space="preserve"> </w:t>
            </w:r>
            <w:r w:rsidRPr="00475601">
              <w:rPr>
                <w:rFonts w:ascii="Palatino Linotype" w:hAnsi="Palatino Linotype"/>
                <w:sz w:val="20"/>
                <w:szCs w:val="20"/>
              </w:rPr>
              <w:t>framing and structured</w:t>
            </w:r>
            <w:r>
              <w:rPr>
                <w:rFonts w:ascii="Palatino Linotype" w:hAnsi="Palatino Linotype"/>
                <w:sz w:val="20"/>
                <w:szCs w:val="20"/>
              </w:rPr>
              <w:t xml:space="preserve"> </w:t>
            </w:r>
            <w:r w:rsidRPr="00475601">
              <w:rPr>
                <w:rFonts w:ascii="Palatino Linotype" w:hAnsi="Palatino Linotype"/>
                <w:sz w:val="20"/>
                <w:szCs w:val="20"/>
              </w:rPr>
              <w:t>learning to compare</w:t>
            </w:r>
            <w:r>
              <w:rPr>
                <w:rFonts w:ascii="Palatino Linotype" w:hAnsi="Palatino Linotype"/>
                <w:sz w:val="20"/>
                <w:szCs w:val="20"/>
              </w:rPr>
              <w:t xml:space="preserve"> </w:t>
            </w:r>
            <w:r w:rsidRPr="00475601">
              <w:rPr>
                <w:rFonts w:ascii="Palatino Linotype" w:hAnsi="Palatino Linotype"/>
                <w:sz w:val="20"/>
                <w:szCs w:val="20"/>
              </w:rPr>
              <w:t>outcomes across different</w:t>
            </w:r>
            <w:r>
              <w:rPr>
                <w:rFonts w:ascii="Palatino Linotype" w:hAnsi="Palatino Linotype"/>
                <w:sz w:val="20"/>
                <w:szCs w:val="20"/>
              </w:rPr>
              <w:t xml:space="preserve"> </w:t>
            </w:r>
            <w:r w:rsidRPr="00475601">
              <w:rPr>
                <w:rFonts w:ascii="Palatino Linotype" w:hAnsi="Palatino Linotype"/>
                <w:sz w:val="20"/>
                <w:szCs w:val="20"/>
              </w:rPr>
              <w:t>future conditions and</w:t>
            </w:r>
            <w:r>
              <w:rPr>
                <w:rFonts w:ascii="Palatino Linotype" w:hAnsi="Palatino Linotype"/>
                <w:sz w:val="20"/>
                <w:szCs w:val="20"/>
              </w:rPr>
              <w:t xml:space="preserve"> </w:t>
            </w:r>
            <w:r w:rsidRPr="009F3ACF">
              <w:rPr>
                <w:rFonts w:ascii="Palatino Linotype" w:hAnsi="Palatino Linotype"/>
                <w:sz w:val="20"/>
                <w:szCs w:val="20"/>
              </w:rPr>
              <w:t>reuse insights from prior</w:t>
            </w:r>
            <w:r>
              <w:rPr>
                <w:rFonts w:ascii="Palatino Linotype" w:hAnsi="Palatino Linotype"/>
                <w:sz w:val="20"/>
                <w:szCs w:val="20"/>
              </w:rPr>
              <w:t xml:space="preserve"> </w:t>
            </w:r>
            <w:r w:rsidRPr="009F3ACF">
              <w:rPr>
                <w:rFonts w:ascii="Palatino Linotype" w:hAnsi="Palatino Linotype"/>
                <w:sz w:val="20"/>
                <w:szCs w:val="20"/>
              </w:rPr>
              <w:t>studies and pilots.</w:t>
            </w:r>
          </w:p>
          <w:p w:rsidR="00010951" w:rsidP="00010951" w:rsidRDefault="00010951" w14:paraId="01FA2B5E" w14:textId="77777777">
            <w:pPr>
              <w:pStyle w:val="ListParagraph"/>
              <w:numPr>
                <w:ilvl w:val="0"/>
                <w:numId w:val="30"/>
              </w:numPr>
              <w:rPr>
                <w:rFonts w:ascii="Palatino Linotype" w:hAnsi="Palatino Linotype"/>
                <w:sz w:val="20"/>
                <w:szCs w:val="20"/>
              </w:rPr>
            </w:pPr>
            <w:r w:rsidRPr="009F3ACF">
              <w:rPr>
                <w:rFonts w:ascii="Palatino Linotype" w:hAnsi="Palatino Linotype"/>
                <w:sz w:val="20"/>
                <w:szCs w:val="20"/>
              </w:rPr>
              <w:t>Provide reusable methods</w:t>
            </w:r>
            <w:r>
              <w:rPr>
                <w:rFonts w:ascii="Palatino Linotype" w:hAnsi="Palatino Linotype"/>
                <w:sz w:val="20"/>
                <w:szCs w:val="20"/>
              </w:rPr>
              <w:t xml:space="preserve"> </w:t>
            </w:r>
            <w:r w:rsidRPr="009F3ACF">
              <w:rPr>
                <w:rFonts w:ascii="Palatino Linotype" w:hAnsi="Palatino Linotype"/>
                <w:sz w:val="20"/>
                <w:szCs w:val="20"/>
              </w:rPr>
              <w:t>and supporting</w:t>
            </w:r>
            <w:r>
              <w:rPr>
                <w:rFonts w:ascii="Palatino Linotype" w:hAnsi="Palatino Linotype"/>
                <w:sz w:val="20"/>
                <w:szCs w:val="20"/>
              </w:rPr>
              <w:t xml:space="preserve"> </w:t>
            </w:r>
            <w:r w:rsidRPr="009F3ACF">
              <w:rPr>
                <w:rFonts w:ascii="Palatino Linotype" w:hAnsi="Palatino Linotype"/>
                <w:sz w:val="20"/>
                <w:szCs w:val="20"/>
              </w:rPr>
              <w:t>materials—including</w:t>
            </w:r>
            <w:r>
              <w:rPr>
                <w:rFonts w:ascii="Palatino Linotype" w:hAnsi="Palatino Linotype"/>
                <w:sz w:val="20"/>
                <w:szCs w:val="20"/>
              </w:rPr>
              <w:t xml:space="preserve"> </w:t>
            </w:r>
            <w:r w:rsidRPr="009F3ACF">
              <w:rPr>
                <w:rFonts w:ascii="Palatino Linotype" w:hAnsi="Palatino Linotype"/>
                <w:sz w:val="20"/>
                <w:szCs w:val="20"/>
              </w:rPr>
              <w:t>structured templates,</w:t>
            </w:r>
            <w:r>
              <w:rPr>
                <w:rFonts w:ascii="Palatino Linotype" w:hAnsi="Palatino Linotype"/>
                <w:sz w:val="20"/>
                <w:szCs w:val="20"/>
              </w:rPr>
              <w:t xml:space="preserve"> </w:t>
            </w:r>
            <w:r w:rsidRPr="009F3ACF">
              <w:rPr>
                <w:rFonts w:ascii="Palatino Linotype" w:hAnsi="Palatino Linotype"/>
                <w:sz w:val="20"/>
                <w:szCs w:val="20"/>
              </w:rPr>
              <w:t>assumption</w:t>
            </w:r>
            <w:r>
              <w:rPr>
                <w:rFonts w:ascii="Palatino Linotype" w:hAnsi="Palatino Linotype"/>
                <w:sz w:val="20"/>
                <w:szCs w:val="20"/>
              </w:rPr>
              <w:t xml:space="preserve"> </w:t>
            </w:r>
            <w:r w:rsidRPr="009F3ACF">
              <w:rPr>
                <w:rFonts w:ascii="Palatino Linotype" w:hAnsi="Palatino Linotype"/>
                <w:sz w:val="20"/>
                <w:szCs w:val="20"/>
              </w:rPr>
              <w:t>documentation, and</w:t>
            </w:r>
            <w:r>
              <w:rPr>
                <w:rFonts w:ascii="Palatino Linotype" w:hAnsi="Palatino Linotype"/>
                <w:sz w:val="20"/>
                <w:szCs w:val="20"/>
              </w:rPr>
              <w:t xml:space="preserve"> </w:t>
            </w:r>
            <w:r w:rsidRPr="009F3ACF">
              <w:rPr>
                <w:rFonts w:ascii="Palatino Linotype" w:hAnsi="Palatino Linotype"/>
                <w:sz w:val="20"/>
                <w:szCs w:val="20"/>
              </w:rPr>
              <w:t>scenario constructs—that</w:t>
            </w:r>
            <w:r>
              <w:rPr>
                <w:rFonts w:ascii="Palatino Linotype" w:hAnsi="Palatino Linotype"/>
                <w:sz w:val="20"/>
                <w:szCs w:val="20"/>
              </w:rPr>
              <w:t xml:space="preserve"> </w:t>
            </w:r>
            <w:r w:rsidRPr="009F3ACF">
              <w:rPr>
                <w:rFonts w:ascii="Palatino Linotype" w:hAnsi="Palatino Linotype"/>
                <w:sz w:val="20"/>
                <w:szCs w:val="20"/>
              </w:rPr>
              <w:t>support consistent</w:t>
            </w:r>
            <w:r>
              <w:rPr>
                <w:rFonts w:ascii="Palatino Linotype" w:hAnsi="Palatino Linotype"/>
                <w:sz w:val="20"/>
                <w:szCs w:val="20"/>
              </w:rPr>
              <w:t xml:space="preserve"> </w:t>
            </w:r>
            <w:r w:rsidRPr="009F3ACF">
              <w:rPr>
                <w:rFonts w:ascii="Palatino Linotype" w:hAnsi="Palatino Linotype"/>
                <w:sz w:val="20"/>
                <w:szCs w:val="20"/>
              </w:rPr>
              <w:t>application across</w:t>
            </w:r>
            <w:r>
              <w:rPr>
                <w:rFonts w:ascii="Palatino Linotype" w:hAnsi="Palatino Linotype"/>
                <w:sz w:val="20"/>
                <w:szCs w:val="20"/>
              </w:rPr>
              <w:t xml:space="preserve"> </w:t>
            </w:r>
            <w:r w:rsidRPr="009F3ACF">
              <w:rPr>
                <w:rFonts w:ascii="Palatino Linotype" w:hAnsi="Palatino Linotype"/>
                <w:sz w:val="20"/>
                <w:szCs w:val="20"/>
              </w:rPr>
              <w:t>planning efforts.</w:t>
            </w:r>
            <w:r>
              <w:rPr>
                <w:rStyle w:val="FootnoteReference"/>
                <w:rFonts w:ascii="Palatino Linotype" w:hAnsi="Palatino Linotype"/>
                <w:sz w:val="20"/>
                <w:szCs w:val="20"/>
              </w:rPr>
              <w:footnoteReference w:id="328"/>
            </w:r>
          </w:p>
          <w:p w:rsidRPr="00274B00" w:rsidR="00010951" w:rsidP="00010951" w:rsidRDefault="00010951" w14:paraId="755E6254" w14:textId="77777777">
            <w:pPr>
              <w:pStyle w:val="ListParagraph"/>
              <w:numPr>
                <w:ilvl w:val="0"/>
                <w:numId w:val="30"/>
              </w:numPr>
              <w:rPr>
                <w:rFonts w:ascii="Palatino Linotype" w:hAnsi="Palatino Linotype"/>
                <w:sz w:val="20"/>
                <w:szCs w:val="20"/>
              </w:rPr>
            </w:pPr>
            <w:r>
              <w:rPr>
                <w:rFonts w:ascii="Palatino Linotype" w:hAnsi="Palatino Linotype"/>
                <w:sz w:val="20"/>
                <w:szCs w:val="20"/>
              </w:rPr>
              <w:t xml:space="preserve">Progress </w:t>
            </w:r>
            <w:r w:rsidRPr="00274B00">
              <w:rPr>
                <w:rFonts w:ascii="Palatino Linotype" w:hAnsi="Palatino Linotype"/>
                <w:sz w:val="20"/>
                <w:szCs w:val="20"/>
              </w:rPr>
              <w:t>from translating policy direction and</w:t>
            </w:r>
            <w:r>
              <w:rPr>
                <w:rFonts w:ascii="Palatino Linotype" w:hAnsi="Palatino Linotype"/>
                <w:sz w:val="20"/>
                <w:szCs w:val="20"/>
              </w:rPr>
              <w:t xml:space="preserve"> </w:t>
            </w:r>
            <w:r w:rsidRPr="00274B00">
              <w:rPr>
                <w:rFonts w:ascii="Palatino Linotype" w:hAnsi="Palatino Linotype"/>
                <w:sz w:val="20"/>
                <w:szCs w:val="20"/>
              </w:rPr>
              <w:t>planning inputs into clearly documented assumptions, to structuring decommissioning questions into cost,</w:t>
            </w:r>
            <w:r>
              <w:rPr>
                <w:rFonts w:ascii="Palatino Linotype" w:hAnsi="Palatino Linotype"/>
                <w:sz w:val="20"/>
                <w:szCs w:val="20"/>
              </w:rPr>
              <w:t xml:space="preserve"> </w:t>
            </w:r>
            <w:r w:rsidRPr="00274B00">
              <w:rPr>
                <w:rFonts w:ascii="Palatino Linotype" w:hAnsi="Palatino Linotype"/>
                <w:sz w:val="20"/>
                <w:szCs w:val="20"/>
              </w:rPr>
              <w:t xml:space="preserve">risk, constraint, and feasibility components, and </w:t>
            </w:r>
            <w:r w:rsidRPr="00274B00">
              <w:rPr>
                <w:rFonts w:ascii="Palatino Linotype" w:hAnsi="Palatino Linotype"/>
                <w:sz w:val="20"/>
                <w:szCs w:val="20"/>
              </w:rPr>
              <w:lastRenderedPageBreak/>
              <w:t>applying scenario-based evaluation to compare outcomes</w:t>
            </w:r>
            <w:r>
              <w:rPr>
                <w:rFonts w:ascii="Palatino Linotype" w:hAnsi="Palatino Linotype"/>
                <w:sz w:val="20"/>
                <w:szCs w:val="20"/>
              </w:rPr>
              <w:t xml:space="preserve"> </w:t>
            </w:r>
            <w:r w:rsidRPr="00274B00">
              <w:rPr>
                <w:rFonts w:ascii="Palatino Linotype" w:hAnsi="Palatino Linotype"/>
                <w:sz w:val="20"/>
                <w:szCs w:val="20"/>
              </w:rPr>
              <w:t>and capture reusable insights.</w:t>
            </w:r>
            <w:r>
              <w:rPr>
                <w:rStyle w:val="FootnoteReference"/>
                <w:rFonts w:ascii="Palatino Linotype" w:hAnsi="Palatino Linotype"/>
                <w:sz w:val="20"/>
                <w:szCs w:val="20"/>
              </w:rPr>
              <w:footnoteReference w:id="329"/>
            </w:r>
            <w:r w:rsidRPr="00274B00">
              <w:rPr>
                <w:rFonts w:ascii="Palatino Linotype" w:hAnsi="Palatino Linotype"/>
                <w:sz w:val="20"/>
                <w:szCs w:val="20"/>
              </w:rPr>
              <w:t xml:space="preserve"> </w:t>
            </w:r>
          </w:p>
        </w:tc>
        <w:tc>
          <w:tcPr>
            <w:tcW w:w="3888" w:type="dxa"/>
          </w:tcPr>
          <w:p w:rsidRPr="000A5D12" w:rsidR="00010951" w:rsidRDefault="00010951" w14:paraId="40EF1EAA" w14:textId="77777777">
            <w:pPr>
              <w:rPr>
                <w:rFonts w:ascii="Palatino Linotype" w:hAnsi="Palatino Linotype"/>
                <w:sz w:val="20"/>
                <w:szCs w:val="20"/>
              </w:rPr>
            </w:pPr>
            <w:r>
              <w:rPr>
                <w:rFonts w:ascii="Palatino Linotype" w:hAnsi="Palatino Linotype"/>
                <w:sz w:val="20"/>
                <w:szCs w:val="20"/>
              </w:rPr>
              <w:lastRenderedPageBreak/>
              <w:t xml:space="preserve">PG&amp;E identifies </w:t>
            </w:r>
            <w:r w:rsidRPr="009F3ACF">
              <w:rPr>
                <w:rFonts w:ascii="Palatino Linotype" w:hAnsi="Palatino Linotype"/>
                <w:sz w:val="20"/>
                <w:szCs w:val="20"/>
              </w:rPr>
              <w:t xml:space="preserve">reusable </w:t>
            </w:r>
            <w:r>
              <w:rPr>
                <w:rFonts w:ascii="Palatino Linotype" w:hAnsi="Palatino Linotype"/>
                <w:sz w:val="20"/>
                <w:szCs w:val="20"/>
              </w:rPr>
              <w:t xml:space="preserve">analytical </w:t>
            </w:r>
            <w:r w:rsidRPr="009F3ACF">
              <w:rPr>
                <w:rFonts w:ascii="Palatino Linotype" w:hAnsi="Palatino Linotype"/>
                <w:sz w:val="20"/>
                <w:szCs w:val="20"/>
              </w:rPr>
              <w:t>methods</w:t>
            </w:r>
            <w:r>
              <w:rPr>
                <w:rFonts w:ascii="Palatino Linotype" w:hAnsi="Palatino Linotype"/>
                <w:sz w:val="20"/>
                <w:szCs w:val="20"/>
              </w:rPr>
              <w:t xml:space="preserve"> </w:t>
            </w:r>
            <w:r w:rsidRPr="009F3ACF">
              <w:rPr>
                <w:rFonts w:ascii="Palatino Linotype" w:hAnsi="Palatino Linotype"/>
                <w:sz w:val="20"/>
                <w:szCs w:val="20"/>
              </w:rPr>
              <w:t>and supporting</w:t>
            </w:r>
            <w:r>
              <w:rPr>
                <w:rFonts w:ascii="Palatino Linotype" w:hAnsi="Palatino Linotype"/>
                <w:sz w:val="20"/>
                <w:szCs w:val="20"/>
              </w:rPr>
              <w:t xml:space="preserve"> </w:t>
            </w:r>
            <w:r w:rsidRPr="009F3ACF">
              <w:rPr>
                <w:rFonts w:ascii="Palatino Linotype" w:hAnsi="Palatino Linotype"/>
                <w:sz w:val="20"/>
                <w:szCs w:val="20"/>
              </w:rPr>
              <w:t>materials</w:t>
            </w:r>
            <w:r>
              <w:rPr>
                <w:rFonts w:ascii="Palatino Linotype" w:hAnsi="Palatino Linotype"/>
                <w:sz w:val="20"/>
                <w:szCs w:val="20"/>
              </w:rPr>
              <w:t xml:space="preserve">, </w:t>
            </w:r>
            <w:r w:rsidRPr="009F3ACF">
              <w:rPr>
                <w:rFonts w:ascii="Palatino Linotype" w:hAnsi="Palatino Linotype"/>
                <w:sz w:val="20"/>
                <w:szCs w:val="20"/>
              </w:rPr>
              <w:t>including</w:t>
            </w:r>
            <w:r>
              <w:rPr>
                <w:rFonts w:ascii="Palatino Linotype" w:hAnsi="Palatino Linotype"/>
                <w:sz w:val="20"/>
                <w:szCs w:val="20"/>
              </w:rPr>
              <w:t xml:space="preserve"> </w:t>
            </w:r>
            <w:r w:rsidRPr="009F3ACF">
              <w:rPr>
                <w:rFonts w:ascii="Palatino Linotype" w:hAnsi="Palatino Linotype"/>
                <w:sz w:val="20"/>
                <w:szCs w:val="20"/>
              </w:rPr>
              <w:t>structured templates,</w:t>
            </w:r>
            <w:r>
              <w:rPr>
                <w:rFonts w:ascii="Palatino Linotype" w:hAnsi="Palatino Linotype"/>
                <w:sz w:val="20"/>
                <w:szCs w:val="20"/>
              </w:rPr>
              <w:t xml:space="preserve"> </w:t>
            </w:r>
            <w:r w:rsidRPr="009F3ACF">
              <w:rPr>
                <w:rFonts w:ascii="Palatino Linotype" w:hAnsi="Palatino Linotype"/>
                <w:sz w:val="20"/>
                <w:szCs w:val="20"/>
              </w:rPr>
              <w:t>assumption</w:t>
            </w:r>
            <w:r>
              <w:rPr>
                <w:rFonts w:ascii="Palatino Linotype" w:hAnsi="Palatino Linotype"/>
                <w:sz w:val="20"/>
                <w:szCs w:val="20"/>
              </w:rPr>
              <w:t xml:space="preserve"> </w:t>
            </w:r>
            <w:r w:rsidRPr="009F3ACF">
              <w:rPr>
                <w:rFonts w:ascii="Palatino Linotype" w:hAnsi="Palatino Linotype"/>
                <w:sz w:val="20"/>
                <w:szCs w:val="20"/>
              </w:rPr>
              <w:t>documentation, and</w:t>
            </w:r>
            <w:r>
              <w:rPr>
                <w:rFonts w:ascii="Palatino Linotype" w:hAnsi="Palatino Linotype"/>
                <w:sz w:val="20"/>
                <w:szCs w:val="20"/>
              </w:rPr>
              <w:t xml:space="preserve"> </w:t>
            </w:r>
            <w:r w:rsidRPr="009F3ACF">
              <w:rPr>
                <w:rFonts w:ascii="Palatino Linotype" w:hAnsi="Palatino Linotype"/>
                <w:sz w:val="20"/>
                <w:szCs w:val="20"/>
              </w:rPr>
              <w:t>scenario constructs</w:t>
            </w:r>
            <w:r>
              <w:rPr>
                <w:rFonts w:ascii="Palatino Linotype" w:hAnsi="Palatino Linotype"/>
                <w:sz w:val="20"/>
                <w:szCs w:val="20"/>
              </w:rPr>
              <w:t xml:space="preserve">, as intended deliverables aimed at </w:t>
            </w:r>
            <w:r>
              <w:rPr>
                <w:rFonts w:ascii="Palatino Linotype" w:hAnsi="Palatino Linotype"/>
                <w:color w:val="000000" w:themeColor="text1"/>
                <w:sz w:val="20"/>
                <w:szCs w:val="20"/>
              </w:rPr>
              <w:t xml:space="preserve">establishing a consistent basis to assess conditions and effectively compare gas decommissioning options. </w:t>
            </w:r>
          </w:p>
          <w:p w:rsidRPr="00841E84" w:rsidR="00010951" w:rsidRDefault="00010951" w14:paraId="30782AC3" w14:textId="77777777">
            <w:pPr>
              <w:rPr>
                <w:rFonts w:ascii="Palatino Linotype" w:hAnsi="Palatino Linotype"/>
                <w:sz w:val="20"/>
                <w:szCs w:val="20"/>
              </w:rPr>
            </w:pPr>
            <w:r>
              <w:rPr>
                <w:rFonts w:ascii="Palatino Linotype" w:hAnsi="Palatino Linotype"/>
                <w:color w:val="000000" w:themeColor="text1"/>
                <w:sz w:val="20"/>
                <w:szCs w:val="20"/>
              </w:rPr>
              <w:t xml:space="preserve">PG&amp;E states that these learnings can be applied </w:t>
            </w:r>
            <w:r w:rsidRPr="00475601">
              <w:rPr>
                <w:rFonts w:ascii="Palatino Linotype" w:hAnsi="Palatino Linotype"/>
                <w:sz w:val="20"/>
                <w:szCs w:val="20"/>
              </w:rPr>
              <w:t>across different</w:t>
            </w:r>
            <w:r>
              <w:rPr>
                <w:rFonts w:ascii="Palatino Linotype" w:hAnsi="Palatino Linotype"/>
                <w:sz w:val="20"/>
                <w:szCs w:val="20"/>
              </w:rPr>
              <w:t xml:space="preserve"> </w:t>
            </w:r>
            <w:r w:rsidRPr="00475601">
              <w:rPr>
                <w:rFonts w:ascii="Palatino Linotype" w:hAnsi="Palatino Linotype"/>
                <w:sz w:val="20"/>
                <w:szCs w:val="20"/>
              </w:rPr>
              <w:t>future conditions</w:t>
            </w:r>
            <w:r>
              <w:rPr>
                <w:rFonts w:ascii="Palatino Linotype" w:hAnsi="Palatino Linotype"/>
                <w:sz w:val="20"/>
                <w:szCs w:val="20"/>
              </w:rPr>
              <w:t xml:space="preserve"> and planning efforts to assess </w:t>
            </w:r>
            <w:r w:rsidRPr="00274B00">
              <w:rPr>
                <w:rFonts w:ascii="Palatino Linotype" w:hAnsi="Palatino Linotype"/>
                <w:sz w:val="20"/>
                <w:szCs w:val="20"/>
              </w:rPr>
              <w:t>cost,</w:t>
            </w:r>
            <w:r>
              <w:rPr>
                <w:rFonts w:ascii="Palatino Linotype" w:hAnsi="Palatino Linotype"/>
                <w:sz w:val="20"/>
                <w:szCs w:val="20"/>
              </w:rPr>
              <w:t xml:space="preserve"> </w:t>
            </w:r>
            <w:r w:rsidRPr="00274B00">
              <w:rPr>
                <w:rFonts w:ascii="Palatino Linotype" w:hAnsi="Palatino Linotype"/>
                <w:sz w:val="20"/>
                <w:szCs w:val="20"/>
              </w:rPr>
              <w:t>risk, constraint, and feasibility components</w:t>
            </w:r>
            <w:r>
              <w:rPr>
                <w:rFonts w:ascii="Palatino Linotype" w:hAnsi="Palatino Linotype"/>
                <w:sz w:val="20"/>
                <w:szCs w:val="20"/>
              </w:rPr>
              <w:t xml:space="preserve">. PG&amp;E defined specific </w:t>
            </w:r>
            <w:r w:rsidRPr="007F1C8D">
              <w:rPr>
                <w:rFonts w:ascii="Palatino Linotype" w:hAnsi="Palatino Linotype"/>
                <w:sz w:val="20"/>
                <w:szCs w:val="20"/>
              </w:rPr>
              <w:t>technical, operational, and cost challenges it seeks to address p</w:t>
            </w:r>
            <w:r w:rsidRPr="00711B05">
              <w:rPr>
                <w:rFonts w:ascii="Palatino Linotype" w:hAnsi="Palatino Linotype"/>
                <w:sz w:val="20"/>
                <w:szCs w:val="20"/>
              </w:rPr>
              <w:t xml:space="preserve">er CPUC staff feedback. </w:t>
            </w:r>
            <w:r w:rsidRPr="00711B05">
              <w:rPr>
                <w:rFonts w:ascii="Palatino Linotype" w:hAnsi="Palatino Linotype"/>
                <w:b/>
                <w:bCs w:val="0"/>
                <w:sz w:val="20"/>
                <w:szCs w:val="20"/>
              </w:rPr>
              <w:t>PG&amp;E is compliant with this requirement.</w:t>
            </w:r>
          </w:p>
        </w:tc>
      </w:tr>
      <w:tr w:rsidRPr="00164C5A" w:rsidR="00010951" w14:paraId="1CC04E60" w14:textId="77777777">
        <w:tc>
          <w:tcPr>
            <w:tcW w:w="3865" w:type="dxa"/>
            <w:vMerge/>
          </w:tcPr>
          <w:p w:rsidR="00010951" w:rsidRDefault="00010951" w14:paraId="5270D4A7" w14:textId="77777777"/>
        </w:tc>
        <w:tc>
          <w:tcPr>
            <w:tcW w:w="5472" w:type="dxa"/>
          </w:tcPr>
          <w:p w:rsidR="00010951" w:rsidRDefault="00010951" w14:paraId="4D9ADB71"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rPr>
              <w:t>:</w:t>
            </w:r>
          </w:p>
          <w:p w:rsidR="00010951" w:rsidP="00010951" w:rsidRDefault="00010951" w14:paraId="48E1508C"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Develop and validate</w:t>
            </w:r>
            <w:r>
              <w:rPr>
                <w:rFonts w:ascii="Palatino Linotype" w:hAnsi="Palatino Linotype"/>
                <w:sz w:val="20"/>
                <w:szCs w:val="20"/>
              </w:rPr>
              <w:t xml:space="preserve"> </w:t>
            </w:r>
            <w:r w:rsidRPr="009152C6">
              <w:rPr>
                <w:rFonts w:ascii="Palatino Linotype" w:hAnsi="Palatino Linotype"/>
                <w:sz w:val="20"/>
                <w:szCs w:val="20"/>
              </w:rPr>
              <w:t>more repeatable, lower</w:t>
            </w:r>
            <w:r>
              <w:rPr>
                <w:rFonts w:ascii="Palatino Linotype" w:hAnsi="Palatino Linotype"/>
                <w:sz w:val="20"/>
                <w:szCs w:val="20"/>
              </w:rPr>
              <w:t xml:space="preserve"> </w:t>
            </w:r>
            <w:r w:rsidRPr="009152C6">
              <w:rPr>
                <w:rFonts w:ascii="Palatino Linotype" w:hAnsi="Palatino Linotype"/>
                <w:sz w:val="20"/>
                <w:szCs w:val="20"/>
              </w:rPr>
              <w:t>cost</w:t>
            </w:r>
            <w:r>
              <w:rPr>
                <w:rFonts w:ascii="Palatino Linotype" w:hAnsi="Palatino Linotype"/>
                <w:sz w:val="20"/>
                <w:szCs w:val="20"/>
              </w:rPr>
              <w:t xml:space="preserve"> </w:t>
            </w:r>
            <w:r w:rsidRPr="009152C6">
              <w:rPr>
                <w:rFonts w:ascii="Palatino Linotype" w:hAnsi="Palatino Linotype"/>
                <w:sz w:val="20"/>
                <w:szCs w:val="20"/>
              </w:rPr>
              <w:t>interconnection and</w:t>
            </w:r>
            <w:r>
              <w:rPr>
                <w:rFonts w:ascii="Palatino Linotype" w:hAnsi="Palatino Linotype"/>
                <w:sz w:val="20"/>
                <w:szCs w:val="20"/>
              </w:rPr>
              <w:t xml:space="preserve"> </w:t>
            </w:r>
            <w:r w:rsidRPr="009152C6">
              <w:rPr>
                <w:rFonts w:ascii="Palatino Linotype" w:hAnsi="Palatino Linotype"/>
                <w:sz w:val="20"/>
                <w:szCs w:val="20"/>
              </w:rPr>
              <w:t>pipeline injection</w:t>
            </w:r>
            <w:r>
              <w:rPr>
                <w:rFonts w:ascii="Palatino Linotype" w:hAnsi="Palatino Linotype"/>
                <w:sz w:val="20"/>
                <w:szCs w:val="20"/>
              </w:rPr>
              <w:t xml:space="preserve"> </w:t>
            </w:r>
            <w:r w:rsidRPr="009152C6">
              <w:rPr>
                <w:rFonts w:ascii="Palatino Linotype" w:hAnsi="Palatino Linotype"/>
                <w:sz w:val="20"/>
                <w:szCs w:val="20"/>
              </w:rPr>
              <w:t xml:space="preserve">approaches </w:t>
            </w:r>
            <w:proofErr w:type="gramStart"/>
            <w:r w:rsidRPr="009152C6">
              <w:rPr>
                <w:rFonts w:ascii="Palatino Linotype" w:hAnsi="Palatino Linotype"/>
                <w:sz w:val="20"/>
                <w:szCs w:val="20"/>
              </w:rPr>
              <w:t>where</w:t>
            </w:r>
            <w:proofErr w:type="gramEnd"/>
            <w:r>
              <w:rPr>
                <w:rFonts w:ascii="Palatino Linotype" w:hAnsi="Palatino Linotype"/>
                <w:sz w:val="20"/>
                <w:szCs w:val="20"/>
              </w:rPr>
              <w:t xml:space="preserve"> </w:t>
            </w:r>
            <w:r w:rsidRPr="009152C6">
              <w:rPr>
                <w:rFonts w:ascii="Palatino Linotype" w:hAnsi="Palatino Linotype"/>
                <w:sz w:val="20"/>
                <w:szCs w:val="20"/>
              </w:rPr>
              <w:t>feasible.</w:t>
            </w:r>
          </w:p>
          <w:p w:rsidR="00010951" w:rsidP="00010951" w:rsidRDefault="00010951" w14:paraId="06DBE42D"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Improve gas quality</w:t>
            </w:r>
            <w:r>
              <w:rPr>
                <w:rFonts w:ascii="Palatino Linotype" w:hAnsi="Palatino Linotype"/>
                <w:sz w:val="20"/>
                <w:szCs w:val="20"/>
              </w:rPr>
              <w:t xml:space="preserve"> </w:t>
            </w:r>
            <w:r w:rsidRPr="009152C6">
              <w:rPr>
                <w:rFonts w:ascii="Palatino Linotype" w:hAnsi="Palatino Linotype"/>
                <w:sz w:val="20"/>
                <w:szCs w:val="20"/>
              </w:rPr>
              <w:t>analysis and trace</w:t>
            </w:r>
            <w:r>
              <w:rPr>
                <w:rFonts w:ascii="Palatino Linotype" w:hAnsi="Palatino Linotype"/>
                <w:sz w:val="20"/>
                <w:szCs w:val="20"/>
              </w:rPr>
              <w:t xml:space="preserve"> </w:t>
            </w:r>
            <w:r w:rsidRPr="009152C6">
              <w:rPr>
                <w:rFonts w:ascii="Palatino Linotype" w:hAnsi="Palatino Linotype"/>
                <w:sz w:val="20"/>
                <w:szCs w:val="20"/>
              </w:rPr>
              <w:t>constituent</w:t>
            </w:r>
            <w:r>
              <w:rPr>
                <w:rFonts w:ascii="Palatino Linotype" w:hAnsi="Palatino Linotype"/>
                <w:sz w:val="20"/>
                <w:szCs w:val="20"/>
              </w:rPr>
              <w:t xml:space="preserve"> </w:t>
            </w:r>
            <w:r w:rsidRPr="009152C6">
              <w:rPr>
                <w:rFonts w:ascii="Palatino Linotype" w:hAnsi="Palatino Linotype"/>
                <w:sz w:val="20"/>
                <w:szCs w:val="20"/>
              </w:rPr>
              <w:t>monitoring</w:t>
            </w:r>
            <w:r>
              <w:rPr>
                <w:rFonts w:ascii="Palatino Linotype" w:hAnsi="Palatino Linotype"/>
                <w:sz w:val="20"/>
                <w:szCs w:val="20"/>
              </w:rPr>
              <w:t xml:space="preserve"> </w:t>
            </w:r>
            <w:r w:rsidRPr="009152C6">
              <w:rPr>
                <w:rFonts w:ascii="Palatino Linotype" w:hAnsi="Palatino Linotype"/>
                <w:sz w:val="20"/>
                <w:szCs w:val="20"/>
              </w:rPr>
              <w:t>through applied testing,</w:t>
            </w:r>
            <w:r>
              <w:rPr>
                <w:rFonts w:ascii="Palatino Linotype" w:hAnsi="Palatino Linotype"/>
                <w:sz w:val="20"/>
                <w:szCs w:val="20"/>
              </w:rPr>
              <w:t xml:space="preserve"> </w:t>
            </w:r>
            <w:r w:rsidRPr="009152C6">
              <w:rPr>
                <w:rFonts w:ascii="Palatino Linotype" w:hAnsi="Palatino Linotype"/>
                <w:sz w:val="20"/>
                <w:szCs w:val="20"/>
              </w:rPr>
              <w:t>validation, and</w:t>
            </w:r>
            <w:r>
              <w:rPr>
                <w:rFonts w:ascii="Palatino Linotype" w:hAnsi="Palatino Linotype"/>
                <w:sz w:val="20"/>
                <w:szCs w:val="20"/>
              </w:rPr>
              <w:t xml:space="preserve"> </w:t>
            </w:r>
            <w:r w:rsidRPr="009152C6">
              <w:rPr>
                <w:rFonts w:ascii="Palatino Linotype" w:hAnsi="Palatino Linotype"/>
                <w:sz w:val="20"/>
                <w:szCs w:val="20"/>
              </w:rPr>
              <w:t>evaluation of fit-for</w:t>
            </w:r>
            <w:r>
              <w:rPr>
                <w:rFonts w:ascii="Palatino Linotype" w:hAnsi="Palatino Linotype"/>
                <w:sz w:val="20"/>
                <w:szCs w:val="20"/>
              </w:rPr>
              <w:t>-</w:t>
            </w:r>
            <w:r w:rsidRPr="009152C6">
              <w:rPr>
                <w:rFonts w:ascii="Palatino Linotype" w:hAnsi="Palatino Linotype"/>
                <w:sz w:val="20"/>
                <w:szCs w:val="20"/>
              </w:rPr>
              <w:t>purpose</w:t>
            </w:r>
            <w:r>
              <w:rPr>
                <w:rFonts w:ascii="Palatino Linotype" w:hAnsi="Palatino Linotype"/>
                <w:sz w:val="20"/>
                <w:szCs w:val="20"/>
              </w:rPr>
              <w:t xml:space="preserve"> </w:t>
            </w:r>
            <w:r w:rsidRPr="009152C6">
              <w:rPr>
                <w:rFonts w:ascii="Palatino Linotype" w:hAnsi="Palatino Linotype"/>
                <w:sz w:val="20"/>
                <w:szCs w:val="20"/>
              </w:rPr>
              <w:t>measurement</w:t>
            </w:r>
            <w:r>
              <w:rPr>
                <w:rFonts w:ascii="Palatino Linotype" w:hAnsi="Palatino Linotype"/>
                <w:sz w:val="20"/>
                <w:szCs w:val="20"/>
              </w:rPr>
              <w:t xml:space="preserve"> </w:t>
            </w:r>
            <w:r w:rsidRPr="009152C6">
              <w:rPr>
                <w:rFonts w:ascii="Palatino Linotype" w:hAnsi="Palatino Linotype"/>
                <w:sz w:val="20"/>
                <w:szCs w:val="20"/>
              </w:rPr>
              <w:t>methods.</w:t>
            </w:r>
          </w:p>
          <w:p w:rsidR="00010951" w:rsidP="00010951" w:rsidRDefault="00010951" w14:paraId="3CCD599B"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Develop planning</w:t>
            </w:r>
            <w:r>
              <w:rPr>
                <w:rFonts w:ascii="Palatino Linotype" w:hAnsi="Palatino Linotype"/>
                <w:sz w:val="20"/>
                <w:szCs w:val="20"/>
              </w:rPr>
              <w:t xml:space="preserve"> </w:t>
            </w:r>
            <w:r w:rsidRPr="009152C6">
              <w:rPr>
                <w:rFonts w:ascii="Palatino Linotype" w:hAnsi="Palatino Linotype"/>
                <w:sz w:val="20"/>
                <w:szCs w:val="20"/>
              </w:rPr>
              <w:t>support</w:t>
            </w:r>
            <w:r>
              <w:rPr>
                <w:rFonts w:ascii="Palatino Linotype" w:hAnsi="Palatino Linotype"/>
                <w:sz w:val="20"/>
                <w:szCs w:val="20"/>
              </w:rPr>
              <w:t xml:space="preserve"> </w:t>
            </w:r>
            <w:r w:rsidRPr="009152C6">
              <w:rPr>
                <w:rFonts w:ascii="Palatino Linotype" w:hAnsi="Palatino Linotype"/>
                <w:sz w:val="20"/>
                <w:szCs w:val="20"/>
              </w:rPr>
              <w:t>methods for</w:t>
            </w:r>
            <w:r>
              <w:rPr>
                <w:rFonts w:ascii="Palatino Linotype" w:hAnsi="Palatino Linotype"/>
                <w:sz w:val="20"/>
                <w:szCs w:val="20"/>
              </w:rPr>
              <w:t xml:space="preserve"> </w:t>
            </w:r>
            <w:r w:rsidRPr="009152C6">
              <w:rPr>
                <w:rFonts w:ascii="Palatino Linotype" w:hAnsi="Palatino Linotype"/>
                <w:sz w:val="20"/>
                <w:szCs w:val="20"/>
              </w:rPr>
              <w:t>biomass-to-RNG</w:t>
            </w:r>
            <w:r>
              <w:rPr>
                <w:rFonts w:ascii="Palatino Linotype" w:hAnsi="Palatino Linotype"/>
                <w:sz w:val="20"/>
                <w:szCs w:val="20"/>
              </w:rPr>
              <w:t xml:space="preserve"> </w:t>
            </w:r>
            <w:r w:rsidRPr="009152C6">
              <w:rPr>
                <w:rFonts w:ascii="Palatino Linotype" w:hAnsi="Palatino Linotype"/>
                <w:sz w:val="20"/>
                <w:szCs w:val="20"/>
              </w:rPr>
              <w:t>pathways, including</w:t>
            </w:r>
            <w:r>
              <w:rPr>
                <w:rFonts w:ascii="Palatino Linotype" w:hAnsi="Palatino Linotype"/>
                <w:sz w:val="20"/>
                <w:szCs w:val="20"/>
              </w:rPr>
              <w:t xml:space="preserve"> </w:t>
            </w:r>
            <w:r w:rsidRPr="009152C6">
              <w:rPr>
                <w:rFonts w:ascii="Palatino Linotype" w:hAnsi="Palatino Linotype"/>
                <w:sz w:val="20"/>
                <w:szCs w:val="20"/>
              </w:rPr>
              <w:t>biochar quality, safety,</w:t>
            </w:r>
            <w:r>
              <w:rPr>
                <w:rFonts w:ascii="Palatino Linotype" w:hAnsi="Palatino Linotype"/>
                <w:sz w:val="20"/>
                <w:szCs w:val="20"/>
              </w:rPr>
              <w:t xml:space="preserve"> </w:t>
            </w:r>
            <w:r w:rsidRPr="009152C6">
              <w:rPr>
                <w:rFonts w:ascii="Palatino Linotype" w:hAnsi="Palatino Linotype"/>
                <w:sz w:val="20"/>
                <w:szCs w:val="20"/>
              </w:rPr>
              <w:t>and usability thresholds</w:t>
            </w:r>
            <w:r>
              <w:rPr>
                <w:rFonts w:ascii="Palatino Linotype" w:hAnsi="Palatino Linotype"/>
                <w:sz w:val="20"/>
                <w:szCs w:val="20"/>
              </w:rPr>
              <w:t xml:space="preserve"> </w:t>
            </w:r>
            <w:r w:rsidRPr="009152C6">
              <w:rPr>
                <w:rFonts w:ascii="Palatino Linotype" w:hAnsi="Palatino Linotype"/>
                <w:sz w:val="20"/>
                <w:szCs w:val="20"/>
              </w:rPr>
              <w:t>and operating-realistic</w:t>
            </w:r>
            <w:r>
              <w:rPr>
                <w:rFonts w:ascii="Palatino Linotype" w:hAnsi="Palatino Linotype"/>
                <w:sz w:val="20"/>
                <w:szCs w:val="20"/>
              </w:rPr>
              <w:t xml:space="preserve"> </w:t>
            </w:r>
            <w:r w:rsidRPr="009152C6">
              <w:rPr>
                <w:rFonts w:ascii="Palatino Linotype" w:hAnsi="Palatino Linotype"/>
                <w:sz w:val="20"/>
                <w:szCs w:val="20"/>
              </w:rPr>
              <w:t>life-cycle emissions and</w:t>
            </w:r>
            <w:r>
              <w:rPr>
                <w:rFonts w:ascii="Palatino Linotype" w:hAnsi="Palatino Linotype"/>
                <w:sz w:val="20"/>
                <w:szCs w:val="20"/>
              </w:rPr>
              <w:t xml:space="preserve"> </w:t>
            </w:r>
            <w:r w:rsidRPr="009152C6">
              <w:rPr>
                <w:rFonts w:ascii="Palatino Linotype" w:hAnsi="Palatino Linotype"/>
                <w:sz w:val="20"/>
                <w:szCs w:val="20"/>
              </w:rPr>
              <w:t>logistics analysis.</w:t>
            </w:r>
            <w:r>
              <w:rPr>
                <w:rStyle w:val="FootnoteReference"/>
                <w:rFonts w:ascii="Palatino Linotype" w:hAnsi="Palatino Linotype"/>
                <w:sz w:val="20"/>
                <w:szCs w:val="20"/>
              </w:rPr>
              <w:footnoteReference w:id="330"/>
            </w:r>
          </w:p>
          <w:p w:rsidRPr="008F7361" w:rsidR="00010951" w:rsidP="00010951" w:rsidRDefault="00010951" w14:paraId="2CF35F2F" w14:textId="77777777">
            <w:pPr>
              <w:pStyle w:val="ListParagraph"/>
              <w:numPr>
                <w:ilvl w:val="0"/>
                <w:numId w:val="33"/>
              </w:numPr>
              <w:rPr>
                <w:rFonts w:ascii="Palatino Linotype" w:hAnsi="Palatino Linotype"/>
                <w:sz w:val="20"/>
                <w:szCs w:val="20"/>
              </w:rPr>
            </w:pPr>
            <w:r>
              <w:rPr>
                <w:rFonts w:ascii="Palatino Linotype" w:hAnsi="Palatino Linotype"/>
                <w:sz w:val="20"/>
                <w:szCs w:val="20"/>
              </w:rPr>
              <w:t>Utilize pathways i</w:t>
            </w:r>
            <w:r w:rsidRPr="008F7361">
              <w:rPr>
                <w:rFonts w:ascii="Palatino Linotype" w:hAnsi="Palatino Linotype"/>
                <w:sz w:val="20"/>
                <w:szCs w:val="20"/>
              </w:rPr>
              <w:t xml:space="preserve">ncluding standardization, validation, integration, and coordination to ensure that RD&amp;D outputs translate into measurable, system-wide benefits. </w:t>
            </w:r>
          </w:p>
        </w:tc>
        <w:tc>
          <w:tcPr>
            <w:tcW w:w="3888" w:type="dxa"/>
          </w:tcPr>
          <w:p w:rsidRPr="00544813" w:rsidR="00010951" w:rsidRDefault="00010951" w14:paraId="0F9759AE" w14:textId="77777777">
            <w:pPr>
              <w:rPr>
                <w:rFonts w:ascii="Palatino Linotype" w:hAnsi="Palatino Linotype"/>
                <w:sz w:val="20"/>
                <w:szCs w:val="20"/>
              </w:rPr>
            </w:pPr>
            <w:r w:rsidRPr="00544813">
              <w:rPr>
                <w:rFonts w:ascii="Palatino Linotype" w:hAnsi="Palatino Linotype"/>
                <w:sz w:val="20"/>
                <w:szCs w:val="20"/>
              </w:rPr>
              <w:t xml:space="preserve">PG&amp;E states that it would </w:t>
            </w:r>
            <w:r>
              <w:rPr>
                <w:rFonts w:ascii="Palatino Linotype" w:hAnsi="Palatino Linotype"/>
                <w:sz w:val="20"/>
                <w:szCs w:val="20"/>
              </w:rPr>
              <w:t>conduct applied</w:t>
            </w:r>
            <w:r w:rsidRPr="00544813">
              <w:rPr>
                <w:rFonts w:ascii="Palatino Linotype" w:hAnsi="Palatino Linotype"/>
                <w:sz w:val="20"/>
                <w:szCs w:val="20"/>
              </w:rPr>
              <w:t xml:space="preserve"> testing, validation, and evaluation of fit-for-purpose measurement methods</w:t>
            </w:r>
            <w:r>
              <w:rPr>
                <w:rFonts w:ascii="Palatino Linotype" w:hAnsi="Palatino Linotype"/>
                <w:sz w:val="20"/>
                <w:szCs w:val="20"/>
              </w:rPr>
              <w:t xml:space="preserve"> to reach the objectives of this Initiative. PG&amp;E describes its intended pathway to scale RD&amp;D outputs via </w:t>
            </w:r>
            <w:r w:rsidRPr="008F7361">
              <w:rPr>
                <w:rFonts w:ascii="Palatino Linotype" w:hAnsi="Palatino Linotype"/>
                <w:sz w:val="20"/>
                <w:szCs w:val="20"/>
              </w:rPr>
              <w:t>standardization, validation, i</w:t>
            </w:r>
            <w:r w:rsidRPr="00711B05">
              <w:rPr>
                <w:rFonts w:ascii="Palatino Linotype" w:hAnsi="Palatino Linotype"/>
                <w:sz w:val="20"/>
                <w:szCs w:val="20"/>
              </w:rPr>
              <w:t xml:space="preserve">ntegration, and coordination. </w:t>
            </w:r>
            <w:r w:rsidRPr="00711B05">
              <w:rPr>
                <w:rFonts w:ascii="Palatino Linotype" w:hAnsi="Palatino Linotype"/>
                <w:b/>
                <w:bCs w:val="0"/>
                <w:sz w:val="20"/>
                <w:szCs w:val="20"/>
              </w:rPr>
              <w:t>PG&amp;E is compliant with this requirement.</w:t>
            </w:r>
            <w:r>
              <w:rPr>
                <w:rFonts w:ascii="Palatino Linotype" w:hAnsi="Palatino Linotype"/>
                <w:sz w:val="20"/>
                <w:szCs w:val="20"/>
              </w:rPr>
              <w:t xml:space="preserve"> </w:t>
            </w:r>
          </w:p>
          <w:p w:rsidRPr="00841E84" w:rsidR="00010951" w:rsidRDefault="00010951" w14:paraId="3C582641" w14:textId="77777777">
            <w:pPr>
              <w:rPr>
                <w:rFonts w:ascii="Palatino Linotype" w:hAnsi="Palatino Linotype"/>
                <w:sz w:val="20"/>
                <w:szCs w:val="20"/>
              </w:rPr>
            </w:pPr>
          </w:p>
        </w:tc>
      </w:tr>
      <w:tr w:rsidRPr="00164C5A" w:rsidR="00010951" w14:paraId="52C8E563" w14:textId="77777777">
        <w:trPr>
          <w:trHeight w:val="827"/>
        </w:trPr>
        <w:tc>
          <w:tcPr>
            <w:tcW w:w="3865" w:type="dxa"/>
            <w:vMerge w:val="restart"/>
          </w:tcPr>
          <w:p w:rsidRPr="00815CFF" w:rsidR="00010951" w:rsidRDefault="00010951" w14:paraId="188B8CA6"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t>[</w:t>
            </w:r>
            <w:r>
              <w:rPr>
                <w:rFonts w:ascii="Palatino Linotype" w:hAnsi="Palatino Linotype"/>
                <w:b/>
                <w:bCs w:val="0"/>
                <w:sz w:val="20"/>
                <w:szCs w:val="20"/>
              </w:rPr>
              <w:t>9</w:t>
            </w:r>
            <w:r w:rsidRPr="001221C0">
              <w:rPr>
                <w:rFonts w:ascii="Palatino Linotype" w:hAnsi="Palatino Linotype"/>
                <w:b/>
                <w:bCs w:val="0"/>
                <w:sz w:val="20"/>
                <w:szCs w:val="20"/>
              </w:rPr>
              <w:t xml:space="preserve">] </w:t>
            </w:r>
            <w:hyperlink w:tgtFrame="_blank" w:history="1" r:id="rId59">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 xml:space="preserve">at p. 20-21. Initiative Criteria </w:t>
            </w:r>
            <w:r>
              <w:rPr>
                <w:rFonts w:ascii="Palatino Linotype" w:hAnsi="Palatino Linotype"/>
                <w:color w:val="000000" w:themeColor="text1"/>
                <w:sz w:val="20"/>
                <w:szCs w:val="20"/>
              </w:rPr>
              <w:t>4</w:t>
            </w:r>
            <w:r w:rsidRPr="00815CFF">
              <w:rPr>
                <w:rFonts w:ascii="Palatino Linotype" w:hAnsi="Palatino Linotype"/>
                <w:color w:val="000000" w:themeColor="text1"/>
                <w:sz w:val="20"/>
                <w:szCs w:val="20"/>
              </w:rPr>
              <w:t>. Anticipated Impacts.</w:t>
            </w:r>
            <w:r w:rsidRPr="00815CFF">
              <w:rPr>
                <w:rFonts w:ascii="Palatino Linotype" w:hAnsi="Palatino Linotype"/>
                <w:i/>
                <w:iCs/>
                <w:color w:val="000000" w:themeColor="text1"/>
                <w:sz w:val="20"/>
                <w:szCs w:val="20"/>
              </w:rPr>
              <w:t xml:space="preserve"> [PG&amp;E shall demonstrate:]</w:t>
            </w:r>
          </w:p>
          <w:p w:rsidR="00010951" w:rsidP="00010951" w:rsidRDefault="00010951" w14:paraId="3C9F72A1" w14:textId="77777777">
            <w:pPr>
              <w:pStyle w:val="ListParagraph"/>
              <w:numPr>
                <w:ilvl w:val="0"/>
                <w:numId w:val="23"/>
              </w:numPr>
              <w:rPr>
                <w:rFonts w:ascii="Palatino Linotype" w:hAnsi="Palatino Linotype"/>
                <w:i/>
                <w:iCs/>
                <w:sz w:val="20"/>
                <w:szCs w:val="20"/>
              </w:rPr>
            </w:pPr>
            <w:r w:rsidRPr="00D65AAE">
              <w:rPr>
                <w:rFonts w:ascii="Palatino Linotype" w:hAnsi="Palatino Linotype"/>
                <w:i/>
                <w:iCs/>
                <w:sz w:val="20"/>
                <w:szCs w:val="20"/>
              </w:rPr>
              <w:t>Reasonable probability of providing California ratepayer benefit</w:t>
            </w:r>
            <w:r>
              <w:rPr>
                <w:rStyle w:val="FootnoteReference"/>
                <w:rFonts w:ascii="Palatino Linotype" w:hAnsi="Palatino Linotype"/>
                <w:i/>
                <w:iCs/>
                <w:sz w:val="20"/>
                <w:szCs w:val="20"/>
              </w:rPr>
              <w:footnoteReference w:id="331"/>
            </w:r>
            <w:r w:rsidRPr="00D65AAE">
              <w:rPr>
                <w:rFonts w:ascii="Palatino Linotype" w:hAnsi="Palatino Linotype"/>
                <w:i/>
                <w:iCs/>
                <w:sz w:val="20"/>
                <w:szCs w:val="20"/>
              </w:rPr>
              <w:t xml:space="preserve"> by locating projects in the State of California</w:t>
            </w:r>
            <w:r>
              <w:rPr>
                <w:rStyle w:val="FootnoteReference"/>
                <w:rFonts w:ascii="Palatino Linotype" w:hAnsi="Palatino Linotype"/>
                <w:i/>
                <w:iCs/>
                <w:sz w:val="20"/>
                <w:szCs w:val="20"/>
              </w:rPr>
              <w:footnoteReference w:id="332"/>
            </w:r>
            <w:r w:rsidRPr="00D65AAE">
              <w:rPr>
                <w:rFonts w:ascii="Palatino Linotype" w:hAnsi="Palatino Linotype"/>
                <w:i/>
                <w:iCs/>
                <w:sz w:val="20"/>
                <w:szCs w:val="20"/>
              </w:rPr>
              <w:t xml:space="preserve"> and detailed planned methodologies for tracking and </w:t>
            </w:r>
            <w:r w:rsidRPr="00D65AAE">
              <w:rPr>
                <w:rFonts w:ascii="Palatino Linotype" w:hAnsi="Palatino Linotype"/>
                <w:i/>
                <w:iCs/>
                <w:sz w:val="20"/>
                <w:szCs w:val="20"/>
              </w:rPr>
              <w:lastRenderedPageBreak/>
              <w:t xml:space="preserve">evaluating quantitative impacts from investments </w:t>
            </w:r>
            <w:proofErr w:type="gramStart"/>
            <w:r w:rsidRPr="00D65AAE">
              <w:rPr>
                <w:rFonts w:ascii="Palatino Linotype" w:hAnsi="Palatino Linotype"/>
                <w:i/>
                <w:iCs/>
                <w:sz w:val="20"/>
                <w:szCs w:val="20"/>
              </w:rPr>
              <w:t>through the use of</w:t>
            </w:r>
            <w:proofErr w:type="gramEnd"/>
            <w:r w:rsidRPr="00D65AAE">
              <w:rPr>
                <w:rFonts w:ascii="Palatino Linotype" w:hAnsi="Palatino Linotype"/>
                <w:i/>
                <w:iCs/>
                <w:sz w:val="20"/>
                <w:szCs w:val="20"/>
              </w:rPr>
              <w:t xml:space="preserve"> the Electric Program Investment Charge (EPIC) Program’s Uniform Impacts Analysis Foundational Principles.</w:t>
            </w:r>
            <w:r>
              <w:rPr>
                <w:rStyle w:val="FootnoteReference"/>
                <w:rFonts w:ascii="Palatino Linotype" w:hAnsi="Palatino Linotype"/>
                <w:i/>
                <w:iCs/>
                <w:sz w:val="20"/>
                <w:szCs w:val="20"/>
              </w:rPr>
              <w:footnoteReference w:id="333"/>
            </w:r>
          </w:p>
          <w:p w:rsidR="00010951" w:rsidP="00010951" w:rsidRDefault="00010951" w14:paraId="4BFD586A" w14:textId="77777777">
            <w:pPr>
              <w:pStyle w:val="ListParagraph"/>
              <w:numPr>
                <w:ilvl w:val="0"/>
                <w:numId w:val="23"/>
              </w:numPr>
              <w:rPr>
                <w:rFonts w:ascii="Palatino Linotype" w:hAnsi="Palatino Linotype"/>
                <w:i/>
                <w:iCs/>
                <w:sz w:val="20"/>
                <w:szCs w:val="20"/>
              </w:rPr>
            </w:pPr>
            <w:r w:rsidRPr="00D65AAE">
              <w:rPr>
                <w:rFonts w:ascii="Palatino Linotype" w:hAnsi="Palatino Linotype"/>
                <w:i/>
                <w:iCs/>
                <w:sz w:val="20"/>
                <w:szCs w:val="20"/>
              </w:rPr>
              <w:t>Cost-effectiveness and protection of affordability to ratepayers.</w:t>
            </w:r>
            <w:r>
              <w:rPr>
                <w:rStyle w:val="FootnoteReference"/>
                <w:rFonts w:ascii="Palatino Linotype" w:hAnsi="Palatino Linotype"/>
                <w:i/>
                <w:iCs/>
                <w:sz w:val="20"/>
                <w:szCs w:val="20"/>
              </w:rPr>
              <w:footnoteReference w:id="334"/>
            </w:r>
          </w:p>
          <w:p w:rsidRPr="002745D3" w:rsidR="00010951" w:rsidP="00010951" w:rsidRDefault="00010951" w14:paraId="5135B0C0" w14:textId="77777777">
            <w:pPr>
              <w:pStyle w:val="ListParagraph"/>
              <w:numPr>
                <w:ilvl w:val="0"/>
                <w:numId w:val="23"/>
              </w:numPr>
              <w:rPr>
                <w:rFonts w:ascii="Palatino Linotype" w:hAnsi="Palatino Linotype"/>
                <w:i/>
                <w:iCs/>
                <w:sz w:val="20"/>
                <w:szCs w:val="20"/>
              </w:rPr>
            </w:pPr>
            <w:r w:rsidRPr="002745D3">
              <w:rPr>
                <w:rFonts w:ascii="Palatino Linotype" w:hAnsi="Palatino Linotype"/>
                <w:i/>
                <w:iCs/>
                <w:sz w:val="20"/>
                <w:szCs w:val="20"/>
              </w:rPr>
              <w:t>Promote equity and provide benefits to Environmental &amp; Social Justice (ESJ) communities</w:t>
            </w:r>
            <w:r w:rsidRPr="005B0167">
              <w:rPr>
                <w:rFonts w:ascii="Palatino Linotype" w:hAnsi="Palatino Linotype"/>
                <w:i/>
                <w:iCs/>
                <w:sz w:val="20"/>
                <w:szCs w:val="20"/>
              </w:rPr>
              <w:t>, informed by consultation with community-based organizations (CBOs)</w:t>
            </w:r>
            <w:r w:rsidRPr="005B0167">
              <w:rPr>
                <w:rStyle w:val="FootnoteReference"/>
                <w:rFonts w:ascii="Palatino Linotype" w:hAnsi="Palatino Linotype"/>
                <w:i/>
                <w:iCs/>
                <w:sz w:val="20"/>
                <w:szCs w:val="20"/>
              </w:rPr>
              <w:footnoteReference w:id="335"/>
            </w:r>
            <w:r w:rsidRPr="002745D3">
              <w:rPr>
                <w:rFonts w:ascii="Palatino Linotype" w:hAnsi="Palatino Linotype"/>
                <w:i/>
                <w:iCs/>
                <w:sz w:val="20"/>
                <w:szCs w:val="20"/>
              </w:rPr>
              <w:t xml:space="preserve"> and the Commission’s most current ESJ Action Plan.</w:t>
            </w:r>
            <w:r>
              <w:rPr>
                <w:rStyle w:val="FootnoteReference"/>
                <w:rFonts w:ascii="Palatino Linotype" w:hAnsi="Palatino Linotype"/>
                <w:i/>
                <w:iCs/>
                <w:sz w:val="20"/>
                <w:szCs w:val="20"/>
              </w:rPr>
              <w:footnoteReference w:id="336"/>
            </w:r>
          </w:p>
        </w:tc>
        <w:tc>
          <w:tcPr>
            <w:tcW w:w="5472" w:type="dxa"/>
          </w:tcPr>
          <w:p w:rsidR="00010951" w:rsidRDefault="00010951" w14:paraId="13CA9237"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u w:val="single"/>
              </w:rPr>
              <w:lastRenderedPageBreak/>
              <w:t>All Initiatives</w:t>
            </w:r>
            <w:r w:rsidRPr="00177024">
              <w:rPr>
                <w:rFonts w:ascii="Palatino Linotype" w:hAnsi="Palatino Linotype" w:cs="Segoe UI" w:eastAsiaTheme="minorHAnsi"/>
                <w:color w:val="000000" w:themeColor="text1"/>
                <w:sz w:val="20"/>
                <w:szCs w:val="20"/>
              </w:rPr>
              <w:t>: Table 4.4</w:t>
            </w:r>
            <w:r>
              <w:rPr>
                <w:rFonts w:ascii="Palatino Linotype" w:hAnsi="Palatino Linotype" w:cs="Segoe UI" w:eastAsiaTheme="minorHAnsi"/>
                <w:color w:val="000000" w:themeColor="text1"/>
                <w:sz w:val="20"/>
                <w:szCs w:val="20"/>
              </w:rPr>
              <w:t xml:space="preserve"> summarizes project-level estimated annual financial benefits, deployment timing, baseline scenarios, and attribution categories. </w:t>
            </w:r>
            <w:r>
              <w:rPr>
                <w:rFonts w:ascii="Palatino Linotype" w:hAnsi="Palatino Linotype" w:cs="Segoe UI"/>
                <w:color w:val="000000" w:themeColor="text1"/>
                <w:sz w:val="20"/>
                <w:szCs w:val="20"/>
              </w:rPr>
              <w:t xml:space="preserve">PG&amp;E </w:t>
            </w:r>
            <w:r w:rsidRPr="00A55B70">
              <w:rPr>
                <w:rFonts w:ascii="Palatino Linotype" w:hAnsi="Palatino Linotype" w:cs="Segoe UI"/>
                <w:color w:val="000000" w:themeColor="text1"/>
                <w:sz w:val="20"/>
                <w:szCs w:val="20"/>
              </w:rPr>
              <w:t>Gas RD&amp;D staff estimates annual savings of $48,240,000 in</w:t>
            </w:r>
            <w:r>
              <w:rPr>
                <w:rFonts w:ascii="Palatino Linotype" w:hAnsi="Palatino Linotype" w:cs="Segoe UI"/>
                <w:color w:val="000000" w:themeColor="text1"/>
                <w:sz w:val="20"/>
                <w:szCs w:val="20"/>
              </w:rPr>
              <w:t xml:space="preserve"> </w:t>
            </w:r>
            <w:r w:rsidRPr="00A55B70">
              <w:rPr>
                <w:rFonts w:ascii="Palatino Linotype" w:hAnsi="Palatino Linotype" w:cs="Segoe UI" w:eastAsiaTheme="minorHAnsi"/>
                <w:color w:val="000000" w:themeColor="text1"/>
                <w:sz w:val="20"/>
                <w:szCs w:val="20"/>
              </w:rPr>
              <w:t xml:space="preserve">ratepayer-funded gas operation costs across </w:t>
            </w:r>
            <w:r>
              <w:rPr>
                <w:rFonts w:ascii="Palatino Linotype" w:hAnsi="Palatino Linotype" w:cs="Segoe UI" w:eastAsiaTheme="minorHAnsi"/>
                <w:color w:val="000000" w:themeColor="text1"/>
                <w:sz w:val="20"/>
                <w:szCs w:val="20"/>
              </w:rPr>
              <w:t xml:space="preserve">proposed </w:t>
            </w:r>
            <w:r w:rsidRPr="00A55B70">
              <w:rPr>
                <w:rFonts w:ascii="Palatino Linotype" w:hAnsi="Palatino Linotype" w:cs="Segoe UI" w:eastAsiaTheme="minorHAnsi"/>
                <w:color w:val="000000" w:themeColor="text1"/>
                <w:sz w:val="20"/>
                <w:szCs w:val="20"/>
              </w:rPr>
              <w:t>projects</w:t>
            </w:r>
            <w:r>
              <w:rPr>
                <w:rFonts w:ascii="Palatino Linotype" w:hAnsi="Palatino Linotype" w:cs="Segoe UI" w:eastAsiaTheme="minorHAnsi"/>
                <w:color w:val="000000" w:themeColor="text1"/>
                <w:sz w:val="20"/>
                <w:szCs w:val="20"/>
              </w:rPr>
              <w:t>, assessed using</w:t>
            </w:r>
            <w:r w:rsidRPr="00A55B70">
              <w:rPr>
                <w:rFonts w:ascii="Palatino Linotype" w:hAnsi="Palatino Linotype" w:cs="Segoe UI" w:eastAsiaTheme="minorHAnsi"/>
                <w:color w:val="000000" w:themeColor="text1"/>
                <w:sz w:val="20"/>
                <w:szCs w:val="20"/>
              </w:rPr>
              <w:t xml:space="preserve"> three economic metrics</w:t>
            </w:r>
            <w:r>
              <w:rPr>
                <w:rFonts w:ascii="Palatino Linotype" w:hAnsi="Palatino Linotype" w:cs="Segoe UI" w:eastAsiaTheme="minorHAnsi"/>
                <w:color w:val="000000" w:themeColor="text1"/>
                <w:sz w:val="20"/>
                <w:szCs w:val="20"/>
              </w:rPr>
              <w:t xml:space="preserve">: </w:t>
            </w:r>
          </w:p>
          <w:p w:rsidRPr="00CB25A3" w:rsidR="00010951" w:rsidP="00010951" w:rsidRDefault="00010951" w14:paraId="5D580100"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t>Total Addressable Market (TAM): The full set of potential applications or use cases for a product,</w:t>
            </w:r>
            <w:r>
              <w:rPr>
                <w:rFonts w:ascii="Palatino Linotype" w:hAnsi="Palatino Linotype" w:cs="Segoe UI" w:eastAsiaTheme="minorHAnsi"/>
                <w:color w:val="000000" w:themeColor="text1"/>
                <w:sz w:val="20"/>
                <w:szCs w:val="20"/>
              </w:rPr>
              <w:t xml:space="preserve"> </w:t>
            </w:r>
            <w:r w:rsidRPr="00CB25A3">
              <w:rPr>
                <w:rFonts w:ascii="Palatino Linotype" w:hAnsi="Palatino Linotype" w:cs="Segoe UI"/>
                <w:color w:val="000000" w:themeColor="text1"/>
                <w:sz w:val="20"/>
                <w:szCs w:val="20"/>
              </w:rPr>
              <w:t>service, or solution.</w:t>
            </w:r>
          </w:p>
          <w:p w:rsidRPr="00CB25A3" w:rsidR="00010951" w:rsidP="00010951" w:rsidRDefault="00010951" w14:paraId="142B3F9C"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lastRenderedPageBreak/>
              <w:t>Serviceable Addressable Market (SAM): The portion of that total opportunity that can realistically</w:t>
            </w:r>
            <w:r>
              <w:rPr>
                <w:rFonts w:ascii="Palatino Linotype" w:hAnsi="Palatino Linotype" w:cs="Segoe UI"/>
                <w:color w:val="000000" w:themeColor="text1"/>
                <w:sz w:val="20"/>
                <w:szCs w:val="20"/>
              </w:rPr>
              <w:t xml:space="preserve"> </w:t>
            </w:r>
            <w:r w:rsidRPr="00CB25A3">
              <w:rPr>
                <w:rFonts w:ascii="Palatino Linotype" w:hAnsi="Palatino Linotype" w:cs="Segoe UI"/>
                <w:color w:val="000000" w:themeColor="text1"/>
                <w:sz w:val="20"/>
                <w:szCs w:val="20"/>
              </w:rPr>
              <w:t>be served within a defined operating context.</w:t>
            </w:r>
          </w:p>
          <w:p w:rsidR="00010951" w:rsidP="00010951" w:rsidRDefault="00010951" w14:paraId="5A33F8A5"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t>Serviceable Obtainable Market (SOM): The portion of the serviceable opportunity that can</w:t>
            </w:r>
            <w:r>
              <w:rPr>
                <w:rFonts w:ascii="Palatino Linotype" w:hAnsi="Palatino Linotype" w:cs="Segoe UI"/>
                <w:color w:val="000000" w:themeColor="text1"/>
                <w:sz w:val="20"/>
                <w:szCs w:val="20"/>
              </w:rPr>
              <w:t xml:space="preserve"> </w:t>
            </w:r>
            <w:r w:rsidRPr="00CB25A3">
              <w:rPr>
                <w:rFonts w:ascii="Palatino Linotype" w:hAnsi="Palatino Linotype" w:cs="Segoe UI" w:eastAsiaTheme="minorHAnsi"/>
                <w:color w:val="000000" w:themeColor="text1"/>
                <w:sz w:val="20"/>
                <w:szCs w:val="20"/>
              </w:rPr>
              <w:t xml:space="preserve">realistically be achieved over a defined </w:t>
            </w:r>
            <w:proofErr w:type="gramStart"/>
            <w:r w:rsidRPr="00CB25A3">
              <w:rPr>
                <w:rFonts w:ascii="Palatino Linotype" w:hAnsi="Palatino Linotype" w:cs="Segoe UI" w:eastAsiaTheme="minorHAnsi"/>
                <w:color w:val="000000" w:themeColor="text1"/>
                <w:sz w:val="20"/>
                <w:szCs w:val="20"/>
              </w:rPr>
              <w:t>period of time</w:t>
            </w:r>
            <w:proofErr w:type="gramEnd"/>
            <w:r w:rsidRPr="00CB25A3">
              <w:rPr>
                <w:rFonts w:ascii="Palatino Linotype" w:hAnsi="Palatino Linotype" w:cs="Segoe UI" w:eastAsiaTheme="minorHAnsi"/>
                <w:color w:val="000000" w:themeColor="text1"/>
                <w:sz w:val="20"/>
                <w:szCs w:val="20"/>
              </w:rPr>
              <w:t>.</w:t>
            </w:r>
            <w:r>
              <w:rPr>
                <w:rFonts w:ascii="Palatino Linotype" w:hAnsi="Palatino Linotype" w:cs="Segoe UI" w:eastAsiaTheme="minorHAnsi"/>
                <w:color w:val="000000" w:themeColor="text1"/>
                <w:sz w:val="20"/>
                <w:szCs w:val="20"/>
              </w:rPr>
              <w:t xml:space="preserve"> </w:t>
            </w:r>
          </w:p>
          <w:p w:rsidRPr="00CB25A3" w:rsidR="00010951" w:rsidRDefault="00010951" w14:paraId="16D6BBE5" w14:textId="77777777">
            <w:pPr>
              <w:pStyle w:val="NormalWeb"/>
              <w:spacing w:before="24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 xml:space="preserve">PG&amp;E coordinated with other Gas RD&amp;D administrators to present its proposed Initiatives and seek input via a public workshop, including community-based organizations and a dedicated ESJ panel, on February 27, 2026: see PG&amp;E Response in AL 5222-G to </w:t>
            </w:r>
            <w:r w:rsidRPr="002D0C49">
              <w:rPr>
                <w:rFonts w:ascii="Palatino Linotype" w:hAnsi="Palatino Linotype" w:cs="Segoe UI" w:eastAsiaTheme="minorHAnsi"/>
                <w:color w:val="000000" w:themeColor="text1"/>
                <w:sz w:val="20"/>
                <w:szCs w:val="20"/>
              </w:rPr>
              <w:t>CPUC Requirement [10] in this Appendix</w:t>
            </w:r>
            <w:r>
              <w:rPr>
                <w:rFonts w:ascii="Palatino Linotype" w:hAnsi="Palatino Linotype" w:cs="Segoe UI" w:eastAsiaTheme="minorHAnsi"/>
                <w:color w:val="000000" w:themeColor="text1"/>
                <w:sz w:val="20"/>
                <w:szCs w:val="20"/>
              </w:rPr>
              <w:t xml:space="preserve"> </w:t>
            </w:r>
            <w:r>
              <w:rPr>
                <w:rFonts w:ascii="Palatino Linotype" w:hAnsi="Palatino Linotype"/>
                <w:color w:val="000000" w:themeColor="text1"/>
                <w:sz w:val="20"/>
                <w:szCs w:val="20"/>
              </w:rPr>
              <w:t xml:space="preserve">for information on PG&amp;E’s Public Workshop. </w:t>
            </w:r>
            <w:r>
              <w:rPr>
                <w:rFonts w:ascii="Palatino Linotype" w:hAnsi="Palatino Linotype" w:cs="Segoe UI" w:eastAsiaTheme="minorHAnsi"/>
                <w:color w:val="000000" w:themeColor="text1"/>
                <w:sz w:val="20"/>
                <w:szCs w:val="20"/>
              </w:rPr>
              <w:t>PG&amp;E also coordinated with other Gas RD&amp;D administrators to present its proposed Initiatives to the Disadvantaged Communities Advisory Group (DACAG) on March 20, 2026.</w:t>
            </w:r>
          </w:p>
        </w:tc>
        <w:tc>
          <w:tcPr>
            <w:tcW w:w="3888" w:type="dxa"/>
          </w:tcPr>
          <w:p w:rsidR="00010951" w:rsidRDefault="00010951" w14:paraId="46F2ED86" w14:textId="77777777">
            <w:pPr>
              <w:rPr>
                <w:rFonts w:ascii="Palatino Linotype" w:hAnsi="Palatino Linotype"/>
                <w:sz w:val="20"/>
                <w:szCs w:val="20"/>
              </w:rPr>
            </w:pPr>
            <w:r>
              <w:rPr>
                <w:rFonts w:ascii="Palatino Linotype" w:hAnsi="Palatino Linotype"/>
                <w:sz w:val="20"/>
                <w:szCs w:val="20"/>
              </w:rPr>
              <w:lastRenderedPageBreak/>
              <w:t xml:space="preserve">PG&amp;E provides detailed planned methodologies for tracking and evaluating economic impacts from investments for each Initiative consistent with the Foundational Principles. However, PG&amp;E must sort the content in the “Attribution Category” column into the RD&amp;D program areas across the product development cycle detailed in </w:t>
            </w:r>
            <w:r>
              <w:rPr>
                <w:rFonts w:ascii="Palatino Linotype" w:hAnsi="Palatino Linotype"/>
                <w:sz w:val="20"/>
                <w:szCs w:val="20"/>
              </w:rPr>
              <w:lastRenderedPageBreak/>
              <w:t>Appendix E of this Resolution for clarity on Proposed Solutions and Anticipated Impacts.</w:t>
            </w:r>
          </w:p>
          <w:p w:rsidR="00010951" w:rsidRDefault="00010951" w14:paraId="708F0365" w14:textId="77777777">
            <w:pPr>
              <w:rPr>
                <w:rFonts w:ascii="Palatino Linotype" w:hAnsi="Palatino Linotype"/>
                <w:sz w:val="20"/>
                <w:szCs w:val="20"/>
              </w:rPr>
            </w:pPr>
          </w:p>
          <w:p w:rsidRPr="00841E84" w:rsidR="00010951" w:rsidRDefault="00010951" w14:paraId="3982321A" w14:textId="77777777">
            <w:pPr>
              <w:rPr>
                <w:rFonts w:ascii="Palatino Linotype" w:hAnsi="Palatino Linotype"/>
                <w:sz w:val="20"/>
                <w:szCs w:val="20"/>
              </w:rPr>
            </w:pPr>
            <w:r>
              <w:rPr>
                <w:rFonts w:ascii="Palatino Linotype" w:hAnsi="Palatino Linotype"/>
                <w:sz w:val="20"/>
                <w:szCs w:val="20"/>
              </w:rPr>
              <w:t>See Initiative-specific compliance assessments below:</w:t>
            </w:r>
          </w:p>
        </w:tc>
      </w:tr>
      <w:tr w:rsidRPr="00164C5A" w:rsidR="00010951" w14:paraId="2504670C" w14:textId="77777777">
        <w:trPr>
          <w:trHeight w:val="827"/>
        </w:trPr>
        <w:tc>
          <w:tcPr>
            <w:tcW w:w="3865" w:type="dxa"/>
            <w:vMerge/>
          </w:tcPr>
          <w:p w:rsidRPr="00D65AAE" w:rsidR="00010951" w:rsidP="00010951" w:rsidRDefault="00010951" w14:paraId="0014EDEC" w14:textId="77777777">
            <w:pPr>
              <w:pStyle w:val="ListParagraph"/>
              <w:numPr>
                <w:ilvl w:val="0"/>
                <w:numId w:val="23"/>
              </w:numPr>
              <w:rPr>
                <w:rFonts w:ascii="Palatino Linotype" w:hAnsi="Palatino Linotype"/>
                <w:i/>
                <w:iCs/>
                <w:sz w:val="20"/>
                <w:szCs w:val="20"/>
              </w:rPr>
            </w:pPr>
          </w:p>
        </w:tc>
        <w:tc>
          <w:tcPr>
            <w:tcW w:w="5472" w:type="dxa"/>
          </w:tcPr>
          <w:p w:rsidR="00010951" w:rsidRDefault="00010951" w14:paraId="3DF819E0"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t>Innovative and Cost-Effective Integrity Management</w:t>
            </w:r>
            <w:r>
              <w:rPr>
                <w:rFonts w:ascii="Palatino Linotype" w:hAnsi="Palatino Linotype" w:cs="Segoe UI" w:eastAsiaTheme="minorHAnsi"/>
                <w:color w:val="000000" w:themeColor="text1"/>
                <w:sz w:val="20"/>
                <w:szCs w:val="20"/>
              </w:rPr>
              <w:t xml:space="preserve">: </w:t>
            </w:r>
          </w:p>
          <w:p w:rsidRPr="00334F07" w:rsidR="00010951" w:rsidP="00010951" w:rsidRDefault="00010951" w14:paraId="7205877B"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00010951" w:rsidP="00010951" w:rsidRDefault="00010951" w14:paraId="592B70BE"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t xml:space="preserve">Affordability: Supports lower integrity management costs by improving </w:t>
            </w:r>
            <w:proofErr w:type="gramStart"/>
            <w:r w:rsidRPr="00334F07">
              <w:rPr>
                <w:rFonts w:ascii="Palatino Linotype" w:hAnsi="Palatino Linotype" w:cs="Segoe UI" w:eastAsiaTheme="minorHAnsi"/>
                <w:color w:val="000000" w:themeColor="text1"/>
                <w:sz w:val="20"/>
                <w:szCs w:val="20"/>
              </w:rPr>
              <w:t>targeting of</w:t>
            </w:r>
            <w:proofErr w:type="gramEnd"/>
            <w:r w:rsidRPr="00334F07">
              <w:rPr>
                <w:rFonts w:ascii="Palatino Linotype" w:hAnsi="Palatino Linotype" w:cs="Segoe UI" w:eastAsiaTheme="minorHAnsi"/>
                <w:color w:val="000000" w:themeColor="text1"/>
                <w:sz w:val="20"/>
                <w:szCs w:val="20"/>
              </w:rPr>
              <w:t xml:space="preserve"> field activities and reducing reliance on unnecessarily invasive inspection practices.</w:t>
            </w:r>
          </w:p>
          <w:p w:rsidR="00010951" w:rsidP="00010951" w:rsidRDefault="00010951" w14:paraId="72911AFD"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t>Safety: Improves identification and prioritization of integrity threats in complex or difficult-to-assess environments, supporting safer evaluation and response.</w:t>
            </w:r>
          </w:p>
          <w:p w:rsidRPr="00334F07" w:rsidR="00010951" w:rsidP="00010951" w:rsidRDefault="00010951" w14:paraId="43C54050"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lastRenderedPageBreak/>
              <w:t xml:space="preserve">Reliability: Reduces avoidable operational </w:t>
            </w:r>
            <w:r w:rsidRPr="00334F07">
              <w:rPr>
                <w:rFonts w:ascii="Palatino Linotype" w:hAnsi="Palatino Linotype" w:cs="Segoe UI"/>
                <w:color w:val="000000" w:themeColor="text1"/>
                <w:sz w:val="20"/>
                <w:szCs w:val="20"/>
              </w:rPr>
              <w:t xml:space="preserve">disruption by enabling earlier insight into asset </w:t>
            </w:r>
            <w:proofErr w:type="gramStart"/>
            <w:r w:rsidRPr="00334F07">
              <w:rPr>
                <w:rFonts w:ascii="Palatino Linotype" w:hAnsi="Palatino Linotype" w:cs="Segoe UI"/>
                <w:color w:val="000000" w:themeColor="text1"/>
                <w:sz w:val="20"/>
                <w:szCs w:val="20"/>
              </w:rPr>
              <w:t>condition</w:t>
            </w:r>
            <w:proofErr w:type="gramEnd"/>
            <w:r w:rsidRPr="00334F07">
              <w:rPr>
                <w:rFonts w:ascii="Palatino Linotype" w:hAnsi="Palatino Linotype" w:cs="Segoe UI"/>
                <w:color w:val="000000" w:themeColor="text1"/>
                <w:sz w:val="20"/>
                <w:szCs w:val="20"/>
              </w:rPr>
              <w:t xml:space="preserve"> and more effective planning of inspection activities.</w:t>
            </w:r>
          </w:p>
          <w:p w:rsidRPr="00334F07" w:rsidR="00010951" w:rsidP="00010951" w:rsidRDefault="00010951" w14:paraId="01412631"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color w:val="000000" w:themeColor="text1"/>
                <w:sz w:val="20"/>
                <w:szCs w:val="20"/>
              </w:rPr>
              <w:t xml:space="preserve">Environmental: Strengthens the ability to identify and evaluate integrity conditions that could contribute to emissions or other </w:t>
            </w:r>
            <w:r w:rsidRPr="00334F07">
              <w:rPr>
                <w:rFonts w:ascii="Palatino Linotype" w:hAnsi="Palatino Linotype" w:cs="Segoe UI" w:eastAsiaTheme="minorHAnsi"/>
                <w:color w:val="000000" w:themeColor="text1"/>
                <w:sz w:val="20"/>
                <w:szCs w:val="20"/>
              </w:rPr>
              <w:t>environmental impacts.</w:t>
            </w:r>
            <w:r>
              <w:rPr>
                <w:rStyle w:val="FootnoteReference"/>
                <w:rFonts w:ascii="Palatino Linotype" w:hAnsi="Palatino Linotype" w:cs="Segoe UI" w:eastAsiaTheme="minorHAnsi"/>
                <w:color w:val="000000" w:themeColor="text1"/>
                <w:sz w:val="20"/>
                <w:szCs w:val="20"/>
              </w:rPr>
              <w:footnoteReference w:id="337"/>
            </w:r>
          </w:p>
          <w:p w:rsidR="00010951" w:rsidP="00010951" w:rsidRDefault="00010951" w14:paraId="3B62D335"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S</w:t>
            </w:r>
            <w:r w:rsidRPr="001C23FF">
              <w:rPr>
                <w:rFonts w:ascii="Palatino Linotype" w:hAnsi="Palatino Linotype" w:cs="Segoe UI" w:eastAsiaTheme="minorHAnsi"/>
                <w:color w:val="000000" w:themeColor="text1"/>
                <w:sz w:val="20"/>
                <w:szCs w:val="20"/>
              </w:rPr>
              <w:t>upport</w:t>
            </w:r>
            <w:r>
              <w:rPr>
                <w:rFonts w:ascii="Palatino Linotype" w:hAnsi="Palatino Linotype" w:cs="Segoe UI" w:eastAsiaTheme="minorHAnsi"/>
                <w:color w:val="000000" w:themeColor="text1"/>
                <w:sz w:val="20"/>
                <w:szCs w:val="20"/>
              </w:rPr>
              <w:t>s</w:t>
            </w:r>
            <w:r w:rsidRPr="001C23FF">
              <w:rPr>
                <w:rFonts w:ascii="Palatino Linotype" w:hAnsi="Palatino Linotype" w:cs="Segoe UI" w:eastAsiaTheme="minorHAnsi"/>
                <w:color w:val="000000" w:themeColor="text1"/>
                <w:sz w:val="20"/>
                <w:szCs w:val="20"/>
              </w:rPr>
              <w:t xml:space="preserve"> cost-effectiveness by improving targeting of high-cost field</w:t>
            </w:r>
            <w:r>
              <w:rPr>
                <w:rFonts w:ascii="Palatino Linotype" w:hAnsi="Palatino Linotype" w:cs="Segoe UI" w:eastAsiaTheme="minorHAnsi"/>
                <w:color w:val="000000" w:themeColor="text1"/>
                <w:sz w:val="20"/>
                <w:szCs w:val="20"/>
              </w:rPr>
              <w:t xml:space="preserve"> </w:t>
            </w:r>
            <w:r w:rsidRPr="001C23FF">
              <w:rPr>
                <w:rFonts w:ascii="Palatino Linotype" w:hAnsi="Palatino Linotype" w:cs="Segoe UI" w:eastAsiaTheme="minorHAnsi"/>
                <w:color w:val="000000" w:themeColor="text1"/>
                <w:sz w:val="20"/>
                <w:szCs w:val="20"/>
              </w:rPr>
              <w:t>activities, reducing unnecessary intrusive work, and enabling more efficient sequencing and prioritization</w:t>
            </w:r>
            <w:r>
              <w:rPr>
                <w:rFonts w:ascii="Palatino Linotype" w:hAnsi="Palatino Linotype" w:cs="Segoe UI" w:eastAsiaTheme="minorHAnsi"/>
                <w:color w:val="000000" w:themeColor="text1"/>
                <w:sz w:val="20"/>
                <w:szCs w:val="20"/>
              </w:rPr>
              <w:t xml:space="preserve"> </w:t>
            </w:r>
            <w:r w:rsidRPr="001C23FF">
              <w:rPr>
                <w:rFonts w:ascii="Palatino Linotype" w:hAnsi="Palatino Linotype" w:cs="Segoe UI" w:eastAsiaTheme="minorHAnsi"/>
                <w:color w:val="000000" w:themeColor="text1"/>
                <w:sz w:val="20"/>
                <w:szCs w:val="20"/>
              </w:rPr>
              <w:t>of integrity-management efforts over time.</w:t>
            </w:r>
            <w:r>
              <w:rPr>
                <w:rStyle w:val="FootnoteReference"/>
                <w:rFonts w:ascii="Palatino Linotype" w:hAnsi="Palatino Linotype" w:cs="Segoe UI" w:eastAsiaTheme="minorHAnsi"/>
                <w:color w:val="000000" w:themeColor="text1"/>
                <w:sz w:val="20"/>
                <w:szCs w:val="20"/>
              </w:rPr>
              <w:footnoteReference w:id="338"/>
            </w:r>
          </w:p>
          <w:p w:rsidRPr="00B10D87" w:rsidR="00010951" w:rsidP="00010951" w:rsidRDefault="00010951" w14:paraId="594D74F1"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sidRPr="00A90801">
              <w:rPr>
                <w:rFonts w:ascii="Palatino Linotype" w:hAnsi="Palatino Linotype" w:cs="Segoe UI"/>
                <w:color w:val="000000" w:themeColor="text1"/>
                <w:sz w:val="20"/>
                <w:szCs w:val="20"/>
              </w:rPr>
              <w:t xml:space="preserve">Seeks to improve safety and how integrity conditions are assessed in ESJ communities, particularly places where conventional methods can be intrusive, disruptive, or limited through more targeted field activity, improved condition awareness near affected assets, and more consistent attention to risk where direct </w:t>
            </w:r>
            <w:r w:rsidRPr="00A90801">
              <w:rPr>
                <w:rFonts w:ascii="Palatino Linotype" w:hAnsi="Palatino Linotype" w:cs="Segoe UI" w:eastAsiaTheme="minorHAnsi"/>
                <w:color w:val="000000" w:themeColor="text1"/>
                <w:sz w:val="20"/>
                <w:szCs w:val="20"/>
              </w:rPr>
              <w:t>assessment is difficult.</w:t>
            </w:r>
            <w:r>
              <w:rPr>
                <w:rStyle w:val="FootnoteReference"/>
                <w:rFonts w:ascii="Palatino Linotype" w:hAnsi="Palatino Linotype" w:cs="Segoe UI" w:eastAsiaTheme="minorHAnsi"/>
                <w:color w:val="000000" w:themeColor="text1"/>
                <w:sz w:val="20"/>
                <w:szCs w:val="20"/>
              </w:rPr>
              <w:footnoteReference w:id="339"/>
            </w:r>
          </w:p>
        </w:tc>
        <w:tc>
          <w:tcPr>
            <w:tcW w:w="3888" w:type="dxa"/>
          </w:tcPr>
          <w:p w:rsidRPr="00711B05" w:rsidR="00010951" w:rsidRDefault="00010951" w14:paraId="0B8C1AF2" w14:textId="77777777">
            <w:pPr>
              <w:rPr>
                <w:rFonts w:ascii="Palatino Linotype" w:hAnsi="Palatino Linotype"/>
                <w:sz w:val="20"/>
                <w:szCs w:val="20"/>
              </w:rPr>
            </w:pPr>
            <w:r w:rsidRPr="00711B05">
              <w:rPr>
                <w:rFonts w:ascii="Palatino Linotype" w:hAnsi="Palatino Linotype"/>
                <w:sz w:val="20"/>
                <w:szCs w:val="20"/>
              </w:rPr>
              <w:lastRenderedPageBreak/>
              <w:t xml:space="preserve">PG&amp;E provides detail on how it intends to move beyond operations and maintenance activities with this Initiative funding </w:t>
            </w:r>
            <w:proofErr w:type="gramStart"/>
            <w:r w:rsidRPr="00711B05">
              <w:rPr>
                <w:rFonts w:ascii="Palatino Linotype" w:hAnsi="Palatino Linotype"/>
                <w:sz w:val="20"/>
                <w:szCs w:val="20"/>
              </w:rPr>
              <w:t>per</w:t>
            </w:r>
            <w:proofErr w:type="gramEnd"/>
            <w:r w:rsidRPr="00711B05">
              <w:rPr>
                <w:rFonts w:ascii="Palatino Linotype" w:hAnsi="Palatino Linotype"/>
                <w:sz w:val="20"/>
                <w:szCs w:val="20"/>
              </w:rPr>
              <w:t xml:space="preserve"> public feedback. PG&amp;E details baseline scenarios and attribution categories related to economic metrics assessed using TAM, SAM, and SOM. PG&amp;E also describes several anticipated benefits and some associated metrics, including lower integrity management </w:t>
            </w:r>
            <w:r w:rsidRPr="00711B05">
              <w:rPr>
                <w:rFonts w:ascii="Palatino Linotype" w:hAnsi="Palatino Linotype"/>
                <w:sz w:val="20"/>
                <w:szCs w:val="20"/>
              </w:rPr>
              <w:lastRenderedPageBreak/>
              <w:t xml:space="preserve">costs and service disruptions associated with affordability and reliability benefits. </w:t>
            </w:r>
          </w:p>
          <w:p w:rsidRPr="00711B05" w:rsidR="00010951" w:rsidRDefault="00010951" w14:paraId="18F25DC7" w14:textId="517CF52C">
            <w:pPr>
              <w:spacing w:before="240"/>
              <w:rPr>
                <w:rFonts w:ascii="Palatino Linotype" w:hAnsi="Palatino Linotype"/>
                <w:sz w:val="20"/>
                <w:szCs w:val="20"/>
              </w:rPr>
            </w:pPr>
            <w:r w:rsidRPr="00711B05">
              <w:rPr>
                <w:rFonts w:ascii="Palatino Linotype" w:hAnsi="Palatino Linotype"/>
                <w:sz w:val="20"/>
                <w:szCs w:val="20"/>
              </w:rPr>
              <w:t xml:space="preserve">However, PG&amp;E does not clearly state metrics to track and evaluate impacts from investments to demonstrate each anticipated benefit upon implementation. PG&amp;E also does not demonstrate that it will account for the full costs associated with AI/ML applications, including increased energy consumption, cloud services, data storage, and processing requirements or that human decision-making authority will be retained per CPUC staff feedback. PG&amp;E must provide further </w:t>
            </w:r>
            <w:proofErr w:type="gramStart"/>
            <w:r w:rsidRPr="00711B05">
              <w:rPr>
                <w:rFonts w:ascii="Palatino Linotype" w:hAnsi="Palatino Linotype"/>
                <w:sz w:val="20"/>
                <w:szCs w:val="20"/>
              </w:rPr>
              <w:t>detail</w:t>
            </w:r>
            <w:proofErr w:type="gramEnd"/>
            <w:r w:rsidRPr="00711B05">
              <w:rPr>
                <w:rFonts w:ascii="Palatino Linotype" w:hAnsi="Palatino Linotype"/>
                <w:sz w:val="20"/>
                <w:szCs w:val="20"/>
              </w:rPr>
              <w:t xml:space="preserve"> on</w:t>
            </w:r>
            <w:r w:rsidRPr="00711B05">
              <w:rPr>
                <w:rFonts w:ascii="Palatino Linotype" w:hAnsi="Palatino Linotype"/>
                <w:i/>
                <w:iCs/>
                <w:sz w:val="20"/>
                <w:szCs w:val="20"/>
              </w:rPr>
              <w:t xml:space="preserve"> </w:t>
            </w:r>
            <w:r w:rsidRPr="00711B05">
              <w:rPr>
                <w:rFonts w:ascii="Palatino Linotype" w:hAnsi="Palatino Linotype"/>
                <w:sz w:val="20"/>
                <w:szCs w:val="20"/>
              </w:rPr>
              <w:t xml:space="preserve">planned methodologies for tracking and evaluating quantitative impacts from investments via specific metrics for each intended benefit as appropriate, particularly reflective of AI/ML full costs.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43DA8229" w14:textId="77777777">
        <w:trPr>
          <w:trHeight w:val="1061"/>
        </w:trPr>
        <w:tc>
          <w:tcPr>
            <w:tcW w:w="3865" w:type="dxa"/>
            <w:vMerge/>
          </w:tcPr>
          <w:p w:rsidR="00010951" w:rsidRDefault="00010951" w14:paraId="34F20356" w14:textId="77777777"/>
        </w:tc>
        <w:tc>
          <w:tcPr>
            <w:tcW w:w="5472" w:type="dxa"/>
          </w:tcPr>
          <w:p w:rsidRPr="0093216F" w:rsidR="00010951" w:rsidRDefault="00010951" w14:paraId="4376DB20"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 xml:space="preserve">Integrated </w:t>
            </w:r>
            <w:r w:rsidRPr="0093216F">
              <w:rPr>
                <w:rFonts w:ascii="Palatino Linotype" w:hAnsi="Palatino Linotype"/>
                <w:color w:val="000000" w:themeColor="text1"/>
                <w:sz w:val="20"/>
                <w:szCs w:val="20"/>
                <w:u w:val="single"/>
              </w:rPr>
              <w:t>Planning Tools to Enable Scaled Up Gas Decommissioning and Electrification</w:t>
            </w:r>
            <w:r w:rsidRPr="0093216F">
              <w:rPr>
                <w:rFonts w:ascii="Palatino Linotype" w:hAnsi="Palatino Linotype"/>
                <w:color w:val="000000" w:themeColor="text1"/>
                <w:sz w:val="20"/>
                <w:szCs w:val="20"/>
              </w:rPr>
              <w:t xml:space="preserve">: </w:t>
            </w:r>
          </w:p>
          <w:p w:rsidRPr="004B7C21" w:rsidR="00010951" w:rsidP="00010951" w:rsidRDefault="00010951" w14:paraId="41C12F25" w14:textId="77777777">
            <w:pPr>
              <w:pStyle w:val="NormalWeb"/>
              <w:numPr>
                <w:ilvl w:val="0"/>
                <w:numId w:val="36"/>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00010951" w:rsidP="00010951" w:rsidRDefault="00010951" w14:paraId="2B3A7416" w14:textId="77777777">
            <w:pPr>
              <w:pStyle w:val="ListParagraph"/>
              <w:numPr>
                <w:ilvl w:val="0"/>
                <w:numId w:val="37"/>
              </w:numPr>
              <w:rPr>
                <w:rFonts w:ascii="Palatino Linotype" w:hAnsi="Palatino Linotype"/>
                <w:color w:val="000000" w:themeColor="text1"/>
                <w:sz w:val="20"/>
                <w:szCs w:val="20"/>
              </w:rPr>
            </w:pPr>
            <w:r w:rsidRPr="0093216F">
              <w:rPr>
                <w:rFonts w:ascii="Palatino Linotype" w:hAnsi="Palatino Linotype"/>
                <w:bCs w:val="0"/>
                <w:color w:val="000000" w:themeColor="text1"/>
                <w:sz w:val="20"/>
                <w:szCs w:val="20"/>
              </w:rPr>
              <w:lastRenderedPageBreak/>
              <w:t>Affordability:</w:t>
            </w:r>
            <w:r w:rsidRPr="0093216F">
              <w:rPr>
                <w:rFonts w:ascii="Palatino Linotype" w:hAnsi="Palatino Linotype"/>
                <w:b/>
                <w:color w:val="000000" w:themeColor="text1"/>
                <w:sz w:val="20"/>
                <w:szCs w:val="20"/>
              </w:rPr>
              <w:t xml:space="preserve"> </w:t>
            </w:r>
            <w:r w:rsidRPr="0093216F">
              <w:rPr>
                <w:rFonts w:ascii="Palatino Linotype" w:hAnsi="Palatino Linotype"/>
                <w:color w:val="000000" w:themeColor="text1"/>
                <w:sz w:val="20"/>
                <w:szCs w:val="20"/>
              </w:rPr>
              <w:t xml:space="preserve">Improves the information used in planning </w:t>
            </w:r>
            <w:r w:rsidRPr="00E6671B">
              <w:rPr>
                <w:rFonts w:ascii="Palatino Linotype" w:hAnsi="Palatino Linotype"/>
                <w:color w:val="000000" w:themeColor="text1"/>
                <w:sz w:val="20"/>
                <w:szCs w:val="20"/>
              </w:rPr>
              <w:t>decisions that influence long-term system costs by enabling clearer comparison of decommissioning pathways, reducing misaligned or duplicative analysis, and supporting more efficient evaluation of future investment options.</w:t>
            </w:r>
          </w:p>
          <w:p w:rsidRPr="00E6671B" w:rsidR="00010951" w:rsidP="00010951" w:rsidRDefault="00010951" w14:paraId="7C843B11" w14:textId="77777777">
            <w:pPr>
              <w:pStyle w:val="ListParagraph"/>
              <w:numPr>
                <w:ilvl w:val="0"/>
                <w:numId w:val="37"/>
              </w:numPr>
              <w:rPr>
                <w:rFonts w:ascii="Palatino Linotype" w:hAnsi="Palatino Linotype"/>
                <w:color w:val="000000" w:themeColor="text1"/>
                <w:sz w:val="20"/>
                <w:szCs w:val="20"/>
              </w:rPr>
            </w:pPr>
            <w:r w:rsidRPr="00E6671B">
              <w:rPr>
                <w:rFonts w:ascii="Palatino Linotype" w:hAnsi="Palatino Linotype"/>
                <w:bCs w:val="0"/>
                <w:color w:val="000000" w:themeColor="text1"/>
                <w:sz w:val="20"/>
                <w:szCs w:val="20"/>
              </w:rPr>
              <w:t>Equity (ESJ considerations):</w:t>
            </w:r>
            <w:r w:rsidRPr="00E6671B">
              <w:rPr>
                <w:rFonts w:ascii="Palatino Linotype" w:hAnsi="Palatino Linotype"/>
                <w:b/>
                <w:color w:val="000000" w:themeColor="text1"/>
                <w:sz w:val="20"/>
                <w:szCs w:val="20"/>
              </w:rPr>
              <w:t xml:space="preserve"> </w:t>
            </w:r>
            <w:r w:rsidRPr="00E6671B">
              <w:rPr>
                <w:rFonts w:ascii="Palatino Linotype" w:hAnsi="Palatino Linotype"/>
                <w:color w:val="000000" w:themeColor="text1"/>
                <w:sz w:val="20"/>
                <w:szCs w:val="20"/>
              </w:rPr>
              <w:t>Enables more consistent and transparent evaluation of how decommissioning considerations apply across communities, supporting clearer understanding of impacts and tradeoffs in ESJ areas. Supports SB 1221 Pilots focused on disadvantaged communities.</w:t>
            </w:r>
          </w:p>
          <w:p w:rsidRPr="00835A30" w:rsidR="00010951" w:rsidP="00010951" w:rsidRDefault="00010951" w14:paraId="77DAFB86"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Environmental Improvement: Supports more comparable evaluation of emissions and environmental tradeoffs by improving how scenarios, assumptions, and system conditions are analyzed across studies.</w:t>
            </w:r>
          </w:p>
          <w:p w:rsidRPr="00835A30" w:rsidR="00010951" w:rsidP="00010951" w:rsidRDefault="00010951" w14:paraId="26F049BA"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Reliability: Improves how reliability constraints, timing dependencies, and cross-sector interactions are evaluated when considering decommissioning across different system segments.</w:t>
            </w:r>
          </w:p>
          <w:p w:rsidRPr="004B7C21" w:rsidR="00010951" w:rsidP="00010951" w:rsidRDefault="00010951" w14:paraId="6B493CC2"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Safety:</w:t>
            </w:r>
            <w:r w:rsidRPr="00835A30">
              <w:rPr>
                <w:rFonts w:ascii="Palatino Linotype" w:hAnsi="Palatino Linotype"/>
                <w:b/>
                <w:color w:val="000000" w:themeColor="text1"/>
                <w:sz w:val="20"/>
                <w:szCs w:val="20"/>
              </w:rPr>
              <w:t xml:space="preserve"> </w:t>
            </w:r>
            <w:r w:rsidRPr="00835A30">
              <w:rPr>
                <w:rFonts w:ascii="Palatino Linotype" w:hAnsi="Palatino Linotype"/>
                <w:color w:val="000000" w:themeColor="text1"/>
                <w:sz w:val="20"/>
                <w:szCs w:val="20"/>
              </w:rPr>
              <w:t>Strengthens how</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safety risks and feasibility</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conditions are identified and</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assessed by making</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assumptions explicit and</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ensuring consistent evaluation</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across planning scenarios</w:t>
            </w:r>
            <w:r w:rsidRPr="006B7E1E">
              <w:rPr>
                <w:rFonts w:ascii="Palatino Linotype" w:hAnsi="Palatino Linotype"/>
                <w:color w:val="000000" w:themeColor="text1"/>
                <w:sz w:val="20"/>
                <w:szCs w:val="20"/>
              </w:rPr>
              <w:t>.</w:t>
            </w:r>
            <w:r w:rsidRPr="006B7E1E">
              <w:rPr>
                <w:rStyle w:val="FootnoteReference"/>
                <w:rFonts w:ascii="Palatino Linotype" w:hAnsi="Palatino Linotype"/>
                <w:color w:val="000000" w:themeColor="text1"/>
                <w:sz w:val="20"/>
                <w:szCs w:val="20"/>
              </w:rPr>
              <w:footnoteReference w:id="340"/>
            </w:r>
          </w:p>
          <w:p w:rsidRPr="004B7C21" w:rsidR="00010951" w:rsidP="00010951" w:rsidRDefault="00010951" w14:paraId="73ACD6A9" w14:textId="77777777">
            <w:pPr>
              <w:pStyle w:val="NormalWeb"/>
              <w:numPr>
                <w:ilvl w:val="0"/>
                <w:numId w:val="36"/>
              </w:numPr>
              <w:spacing w:before="0" w:beforeAutospacing="0" w:after="0" w:afterAutospacing="0"/>
              <w:rPr>
                <w:rFonts w:ascii="Palatino Linotype" w:hAnsi="Palatino Linotype" w:cs="Segoe UI" w:eastAsiaTheme="minorHAnsi"/>
                <w:color w:val="000000" w:themeColor="text1"/>
                <w:sz w:val="20"/>
                <w:szCs w:val="20"/>
              </w:rPr>
            </w:pPr>
            <w:r w:rsidRPr="004B7C21">
              <w:rPr>
                <w:rFonts w:ascii="Palatino Linotype" w:hAnsi="Palatino Linotype" w:cs="Segoe UI"/>
                <w:color w:val="000000" w:themeColor="text1"/>
                <w:sz w:val="20"/>
                <w:szCs w:val="20"/>
              </w:rPr>
              <w:lastRenderedPageBreak/>
              <w:t>Promotes affordability by reducing analytical rework, avoiding conflicting interpretations across studies and proceedings, and organizing decommissioning questions into clear components such as cost, risk, constraints, and feasibility.</w:t>
            </w:r>
            <w:r w:rsidRPr="002222D6">
              <w:rPr>
                <w:rStyle w:val="FootnoteReference"/>
                <w:rFonts w:ascii="Palatino Linotype" w:hAnsi="Palatino Linotype"/>
                <w:color w:val="000000" w:themeColor="text1"/>
                <w:sz w:val="20"/>
                <w:szCs w:val="20"/>
              </w:rPr>
              <w:footnoteReference w:id="341"/>
            </w:r>
          </w:p>
          <w:p w:rsidRPr="00390F29" w:rsidR="00010951" w:rsidP="00010951" w:rsidRDefault="00010951" w14:paraId="48B3F8B8" w14:textId="77777777">
            <w:pPr>
              <w:pStyle w:val="ListParagraph"/>
              <w:numPr>
                <w:ilvl w:val="0"/>
                <w:numId w:val="36"/>
              </w:numPr>
              <w:rPr>
                <w:rFonts w:ascii="Palatino Linotype" w:hAnsi="Palatino Linotype"/>
                <w:color w:val="000000" w:themeColor="text1"/>
                <w:sz w:val="20"/>
                <w:szCs w:val="20"/>
              </w:rPr>
            </w:pPr>
            <w:r w:rsidRPr="00390F29">
              <w:rPr>
                <w:rFonts w:ascii="Palatino Linotype" w:hAnsi="Palatino Linotype"/>
                <w:color w:val="000000" w:themeColor="text1"/>
                <w:sz w:val="20"/>
                <w:szCs w:val="20"/>
              </w:rPr>
              <w:t xml:space="preserve">By improving </w:t>
            </w:r>
            <w:proofErr w:type="gramStart"/>
            <w:r w:rsidRPr="00390F29">
              <w:rPr>
                <w:rFonts w:ascii="Palatino Linotype" w:hAnsi="Palatino Linotype"/>
                <w:color w:val="000000" w:themeColor="text1"/>
                <w:sz w:val="20"/>
                <w:szCs w:val="20"/>
              </w:rPr>
              <w:t>the consistency</w:t>
            </w:r>
            <w:proofErr w:type="gramEnd"/>
            <w:r w:rsidRPr="00390F29">
              <w:rPr>
                <w:rFonts w:ascii="Palatino Linotype" w:hAnsi="Palatino Linotype"/>
                <w:color w:val="000000" w:themeColor="text1"/>
                <w:sz w:val="20"/>
                <w:szCs w:val="20"/>
              </w:rPr>
              <w:t>, transparency, and comparability of</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evaluation, and by directly supporting SB 1221 pilot efforts and related Commission priorities, the work</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strengthens how community impacts are understood and</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incorporated into future gas system transition</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decisions.</w:t>
            </w:r>
            <w:r>
              <w:rPr>
                <w:rStyle w:val="FootnoteReference"/>
                <w:rFonts w:ascii="Palatino Linotype" w:hAnsi="Palatino Linotype"/>
                <w:color w:val="000000" w:themeColor="text1"/>
                <w:sz w:val="20"/>
                <w:szCs w:val="20"/>
              </w:rPr>
              <w:footnoteReference w:id="342"/>
            </w:r>
          </w:p>
        </w:tc>
        <w:tc>
          <w:tcPr>
            <w:tcW w:w="3888" w:type="dxa"/>
          </w:tcPr>
          <w:p w:rsidRPr="00711B05" w:rsidR="00010951" w:rsidRDefault="00010951" w14:paraId="3B599744" w14:textId="77777777">
            <w:pPr>
              <w:rPr>
                <w:rFonts w:ascii="Palatino Linotype" w:hAnsi="Palatino Linotype"/>
                <w:sz w:val="20"/>
                <w:szCs w:val="20"/>
              </w:rPr>
            </w:pPr>
            <w:r w:rsidRPr="00711B05">
              <w:rPr>
                <w:rFonts w:ascii="Palatino Linotype" w:hAnsi="Palatino Linotype"/>
                <w:sz w:val="20"/>
                <w:szCs w:val="20"/>
              </w:rPr>
              <w:lastRenderedPageBreak/>
              <w:t xml:space="preserve">PG&amp;E details baseline scenarios and attribution categories related to economic metrics assessed using TAM, SAM, and SOM. PG&amp;E also describes several </w:t>
            </w:r>
            <w:r w:rsidRPr="00711B05">
              <w:rPr>
                <w:rFonts w:ascii="Palatino Linotype" w:hAnsi="Palatino Linotype"/>
                <w:sz w:val="20"/>
                <w:szCs w:val="20"/>
              </w:rPr>
              <w:lastRenderedPageBreak/>
              <w:t>anticipated benefits and some associated metrics, including emissions reductions associated with environmental benefits.</w:t>
            </w:r>
          </w:p>
          <w:p w:rsidRPr="00711B05" w:rsidR="00010951" w:rsidRDefault="00010951" w14:paraId="770CDF2C" w14:textId="6C1485E9">
            <w:pPr>
              <w:spacing w:before="240"/>
              <w:rPr>
                <w:rFonts w:ascii="Palatino Linotype" w:hAnsi="Palatino Linotype"/>
                <w:sz w:val="20"/>
                <w:szCs w:val="20"/>
              </w:rPr>
            </w:pPr>
            <w:r w:rsidRPr="00711B05">
              <w:rPr>
                <w:rFonts w:ascii="Palatino Linotype" w:hAnsi="Palatino Linotype"/>
                <w:sz w:val="20"/>
                <w:szCs w:val="20"/>
              </w:rPr>
              <w:t>However, PG&amp;E does not clearly state metrics to track and evaluate impacts from investments to demonstrate each anticipated benefit upon implementation. PG&amp;E must provide further detail on</w:t>
            </w:r>
            <w:r w:rsidRPr="00711B05">
              <w:rPr>
                <w:rFonts w:ascii="Palatino Linotype" w:hAnsi="Palatino Linotype"/>
                <w:i/>
                <w:iCs/>
                <w:sz w:val="20"/>
                <w:szCs w:val="20"/>
              </w:rPr>
              <w:t xml:space="preserve"> </w:t>
            </w:r>
            <w:r w:rsidRPr="00711B05">
              <w:rPr>
                <w:rFonts w:ascii="Palatino Linotype" w:hAnsi="Palatino Linotype"/>
                <w:sz w:val="20"/>
                <w:szCs w:val="20"/>
              </w:rPr>
              <w:t xml:space="preserve">planned methodologies for tracking and evaluating quantitative impacts from investments via specific metrics for each intended benefit as appropriate.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37FFC215" w14:textId="77777777">
        <w:tc>
          <w:tcPr>
            <w:tcW w:w="3865" w:type="dxa"/>
            <w:vMerge/>
          </w:tcPr>
          <w:p w:rsidR="00010951" w:rsidRDefault="00010951" w14:paraId="30C03D61" w14:textId="77777777"/>
        </w:tc>
        <w:tc>
          <w:tcPr>
            <w:tcW w:w="5472" w:type="dxa"/>
          </w:tcPr>
          <w:p w:rsidRPr="00DD2FCD" w:rsidR="00010951" w:rsidRDefault="00010951" w14:paraId="59FF8DF3" w14:textId="77777777">
            <w:pPr>
              <w:rPr>
                <w:rFonts w:ascii="Palatino Linotype" w:hAnsi="Palatino Linotype"/>
                <w:sz w:val="20"/>
                <w:szCs w:val="20"/>
              </w:rPr>
            </w:pPr>
            <w:r w:rsidRPr="00DD2FCD">
              <w:rPr>
                <w:rFonts w:ascii="Palatino Linotype" w:hAnsi="Palatino Linotype"/>
                <w:sz w:val="20"/>
                <w:szCs w:val="20"/>
                <w:u w:val="single"/>
              </w:rPr>
              <w:t>Clean Fuels Integration</w:t>
            </w:r>
            <w:r w:rsidRPr="00DD2FCD">
              <w:rPr>
                <w:rFonts w:ascii="Palatino Linotype" w:hAnsi="Palatino Linotype"/>
                <w:sz w:val="20"/>
                <w:szCs w:val="20"/>
              </w:rPr>
              <w:t xml:space="preserve">: </w:t>
            </w:r>
          </w:p>
          <w:p w:rsidRPr="004B7C21" w:rsidR="00010951" w:rsidP="00010951" w:rsidRDefault="00010951" w14:paraId="3BF589B4" w14:textId="77777777">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Pr="00DD2FCD" w:rsidR="00010951" w:rsidP="00010951" w:rsidRDefault="00010951" w14:paraId="55B0A3D8"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Affordability: </w:t>
            </w:r>
            <w:r w:rsidRPr="00DD2FCD">
              <w:rPr>
                <w:rFonts w:ascii="Palatino Linotype" w:hAnsi="Palatino Linotype" w:cs="ArialMT"/>
                <w:sz w:val="20"/>
                <w:szCs w:val="20"/>
              </w:rPr>
              <w:t>Reduced clean fuels integration cost drivers through more repeatable interconnection approaches, improved gas quality monitoring, and better planning-level evaluation of biomass-to-RNG pathways. For woody biomass pathways, research on biochar quality, safety, and usability can help clarify when an unavoidable byproduct may be suitable for beneficial use or other practical outlet pathways, which may reduce management burden and improve overall project economics.</w:t>
            </w:r>
          </w:p>
          <w:p w:rsidRPr="00DD2FCD" w:rsidR="00010951" w:rsidP="00010951" w:rsidRDefault="00010951" w14:paraId="748A6D0F"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Equity: </w:t>
            </w:r>
            <w:r w:rsidRPr="00DD2FCD">
              <w:rPr>
                <w:rFonts w:ascii="Palatino Linotype" w:hAnsi="Palatino Linotype" w:cs="ArialMT"/>
                <w:sz w:val="20"/>
                <w:szCs w:val="20"/>
              </w:rPr>
              <w:t xml:space="preserve">Improved evaluation of clean fuels pathways that may support air quality, reliability, and cost stability benefits for </w:t>
            </w:r>
            <w:r w:rsidRPr="00DD2FCD">
              <w:rPr>
                <w:rFonts w:ascii="Palatino Linotype" w:hAnsi="Palatino Linotype" w:cs="ArialMT"/>
                <w:sz w:val="20"/>
                <w:szCs w:val="20"/>
              </w:rPr>
              <w:lastRenderedPageBreak/>
              <w:t>disadvantaged and ESJ communities, including clearer review of biochar safety, usability, life-cycle emissions, and logistics tradeoffs.</w:t>
            </w:r>
          </w:p>
          <w:p w:rsidRPr="00DD2FCD" w:rsidR="00010951" w:rsidP="00010951" w:rsidRDefault="00010951" w14:paraId="7D86BF3F" w14:textId="6163094F">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Environmental Impact: </w:t>
            </w:r>
            <w:r w:rsidRPr="00DD2FCD">
              <w:rPr>
                <w:rFonts w:ascii="Palatino Linotype" w:hAnsi="Palatino Linotype" w:cs="ArialMT"/>
                <w:sz w:val="20"/>
                <w:szCs w:val="20"/>
              </w:rPr>
              <w:t>Improved evaluation of lower-carbon fuel pathways through better gas quality analysis, operating-realistic life-cycle emissions analysis, logistics tradeoff information, and biochar characterization thresholds for biomass-to-RNG pathways.</w:t>
            </w:r>
          </w:p>
          <w:p w:rsidRPr="00DD2FCD" w:rsidR="00010951" w:rsidP="00010951" w:rsidRDefault="00010951" w14:paraId="3563DC2F"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Reliability: </w:t>
            </w:r>
            <w:r w:rsidRPr="00DD2FCD">
              <w:rPr>
                <w:rFonts w:ascii="Palatino Linotype" w:hAnsi="Palatino Linotype" w:cs="ArialMT"/>
                <w:sz w:val="20"/>
                <w:szCs w:val="20"/>
              </w:rPr>
              <w:t>Improved planning-level understanding of clean fuels integration, including gas quality variability, biomass supply and logistics constraints, biochar handling considerations, and other operating conditions that affect pathway evaluation.</w:t>
            </w:r>
          </w:p>
          <w:p w:rsidRPr="004B7C21" w:rsidR="00010951" w:rsidP="00010951" w:rsidRDefault="00010951" w14:paraId="5302BA22"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Safety: </w:t>
            </w:r>
            <w:r w:rsidRPr="00DD2FCD">
              <w:rPr>
                <w:rFonts w:ascii="Palatino Linotype" w:hAnsi="Palatino Linotype" w:cs="ArialMT"/>
                <w:sz w:val="20"/>
                <w:szCs w:val="20"/>
              </w:rPr>
              <w:t>Safer clean fuels integration through improved gas quality monitoring, clearer treatment of trace constituents, and biochar quality, safety, and usability thresholds relevant to handling, storage, transport, and operational risk evaluation.</w:t>
            </w:r>
            <w:r>
              <w:rPr>
                <w:rStyle w:val="FootnoteReference"/>
                <w:rFonts w:ascii="Palatino Linotype" w:hAnsi="Palatino Linotype" w:cs="ArialMT"/>
                <w:sz w:val="20"/>
                <w:szCs w:val="20"/>
              </w:rPr>
              <w:footnoteReference w:id="343"/>
            </w:r>
          </w:p>
          <w:p w:rsidR="00A30564" w:rsidP="00A30564" w:rsidRDefault="00010951" w14:paraId="1DE2DCA0" w14:textId="7607FB66">
            <w:pPr>
              <w:rPr>
                <w:rFonts w:ascii="Palatino Linotype" w:hAnsi="Palatino Linotype"/>
                <w:sz w:val="20"/>
                <w:szCs w:val="20"/>
              </w:rPr>
            </w:pPr>
            <w:r w:rsidRPr="004B7C21">
              <w:rPr>
                <w:rFonts w:ascii="Palatino Linotype" w:hAnsi="Palatino Linotype"/>
                <w:color w:val="000000" w:themeColor="text1"/>
                <w:sz w:val="20"/>
                <w:szCs w:val="20"/>
              </w:rPr>
              <w:t xml:space="preserve">Promotes affordability by: (1) supporting research that can enable more repeatable interconnection approaches, clearer understanding of where project-specific complexity is driving cost, and more practical evaluation of options for reducing unnecessary burden while maintaining safety and system compatibility; (2) validating fit-for-purpose measurement and analysis methods that improve </w:t>
            </w:r>
            <w:r w:rsidRPr="004B7C21">
              <w:rPr>
                <w:rFonts w:ascii="Palatino Linotype" w:hAnsi="Palatino Linotype"/>
                <w:color w:val="000000" w:themeColor="text1"/>
                <w:sz w:val="20"/>
                <w:szCs w:val="20"/>
              </w:rPr>
              <w:lastRenderedPageBreak/>
              <w:t xml:space="preserve">consistency and reduce unnecessary complexity in gas quality monitoring; (3) enabling a more realistic understanding of those conditions, including when biochar may be suitable for practical outlet pathways that reduce management burden and improve overall pathway </w:t>
            </w:r>
          </w:p>
          <w:p w:rsidRPr="004B7C21" w:rsidR="00010951" w:rsidP="00010951" w:rsidRDefault="00010951" w14:paraId="2AAB99FF" w14:textId="233695C8">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sidRPr="004B7C21">
              <w:rPr>
                <w:rFonts w:ascii="Palatino Linotype" w:hAnsi="Palatino Linotype" w:cs="Segoe UI" w:eastAsiaTheme="minorHAnsi"/>
                <w:color w:val="000000" w:themeColor="text1"/>
                <w:sz w:val="20"/>
                <w:szCs w:val="20"/>
              </w:rPr>
              <w:t>economics.</w:t>
            </w:r>
            <w:r>
              <w:rPr>
                <w:rStyle w:val="FootnoteReference"/>
                <w:rFonts w:ascii="Palatino Linotype" w:hAnsi="Palatino Linotype" w:cs="Segoe UI" w:eastAsiaTheme="minorHAnsi"/>
                <w:color w:val="000000" w:themeColor="text1"/>
                <w:sz w:val="20"/>
                <w:szCs w:val="20"/>
              </w:rPr>
              <w:footnoteReference w:id="344"/>
            </w:r>
          </w:p>
          <w:p w:rsidR="00010951" w:rsidP="00010951" w:rsidRDefault="00010951" w14:paraId="66E69FAB" w14:textId="77777777">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Evaluates key technical and cost inputs across cleaner fuel pathways for more comparable application of requirements across projects and locations. </w:t>
            </w:r>
            <w:r w:rsidRPr="00D22F05">
              <w:rPr>
                <w:rFonts w:ascii="Palatino Linotype" w:hAnsi="Palatino Linotype" w:cs="Segoe UI"/>
                <w:color w:val="000000" w:themeColor="text1"/>
                <w:sz w:val="20"/>
                <w:szCs w:val="20"/>
              </w:rPr>
              <w:t>Improved consistency helps ensure that analytical outcomes are based on clearer, more comparable inputs</w:t>
            </w:r>
            <w:r>
              <w:rPr>
                <w:rFonts w:ascii="Palatino Linotype" w:hAnsi="Palatino Linotype" w:cs="Segoe UI"/>
                <w:color w:val="000000" w:themeColor="text1"/>
                <w:sz w:val="20"/>
                <w:szCs w:val="20"/>
              </w:rPr>
              <w:t xml:space="preserve"> </w:t>
            </w:r>
            <w:r w:rsidRPr="00D22F05">
              <w:rPr>
                <w:rFonts w:ascii="Palatino Linotype" w:hAnsi="Palatino Linotype" w:cs="Segoe UI" w:eastAsiaTheme="minorHAnsi"/>
                <w:color w:val="000000" w:themeColor="text1"/>
                <w:sz w:val="20"/>
                <w:szCs w:val="20"/>
              </w:rPr>
              <w:t>and supports more consistent evaluation of impacts across communities, including ESJ communities.</w:t>
            </w:r>
            <w:r>
              <w:rPr>
                <w:rStyle w:val="FootnoteReference"/>
                <w:rFonts w:ascii="Palatino Linotype" w:hAnsi="Palatino Linotype" w:cs="Segoe UI" w:eastAsiaTheme="minorHAnsi"/>
                <w:color w:val="000000" w:themeColor="text1"/>
                <w:sz w:val="20"/>
                <w:szCs w:val="20"/>
              </w:rPr>
              <w:footnoteReference w:id="345"/>
            </w:r>
          </w:p>
          <w:p w:rsidRPr="00C74C14" w:rsidR="0033431C" w:rsidP="00A30564" w:rsidRDefault="008566A7" w14:paraId="143F97D7" w14:textId="1E0B4902">
            <w:pPr>
              <w:pStyle w:val="NormalWeb"/>
              <w:numPr>
                <w:ilvl w:val="0"/>
                <w:numId w:val="39"/>
              </w:numPr>
              <w:spacing w:before="0" w:beforeAutospacing="0" w:after="0" w:afterAutospacing="0"/>
              <w:rPr>
                <w:rFonts w:ascii="Palatino Linotype" w:hAnsi="Palatino Linotype"/>
                <w:color w:val="000000" w:themeColor="text1"/>
                <w:sz w:val="20"/>
                <w:szCs w:val="20"/>
              </w:rPr>
            </w:pPr>
            <w:r>
              <w:rPr>
                <w:rFonts w:ascii="Palatino Linotype" w:hAnsi="Palatino Linotype" w:cs="Segoe UI" w:eastAsiaTheme="minorHAnsi"/>
                <w:color w:val="000000" w:themeColor="text1"/>
                <w:sz w:val="20"/>
                <w:szCs w:val="20"/>
              </w:rPr>
              <w:t xml:space="preserve">PG&amp;E received feedback from </w:t>
            </w:r>
            <w:r w:rsidRPr="008566A7">
              <w:rPr>
                <w:rFonts w:ascii="Palatino Linotype" w:hAnsi="Palatino Linotype" w:cs="Segoe UI" w:eastAsiaTheme="minorHAnsi"/>
                <w:color w:val="000000" w:themeColor="text1"/>
                <w:sz w:val="20"/>
                <w:szCs w:val="20"/>
              </w:rPr>
              <w:t>Physicians for Social Responsibility LA</w:t>
            </w:r>
            <w:r>
              <w:rPr>
                <w:rFonts w:ascii="Palatino Linotype" w:hAnsi="Palatino Linotype" w:cs="Segoe UI" w:eastAsiaTheme="minorHAnsi"/>
                <w:color w:val="000000" w:themeColor="text1"/>
                <w:sz w:val="20"/>
                <w:szCs w:val="20"/>
              </w:rPr>
              <w:t xml:space="preserve"> and Earth Justice </w:t>
            </w:r>
            <w:r w:rsidR="00C43590">
              <w:rPr>
                <w:rFonts w:ascii="Palatino Linotype" w:hAnsi="Palatino Linotype" w:cs="Segoe UI" w:eastAsiaTheme="minorHAnsi"/>
                <w:color w:val="000000" w:themeColor="text1"/>
                <w:sz w:val="20"/>
                <w:szCs w:val="20"/>
              </w:rPr>
              <w:t xml:space="preserve">regarding </w:t>
            </w:r>
            <w:r w:rsidR="00A777E4">
              <w:rPr>
                <w:rFonts w:ascii="Palatino Linotype" w:hAnsi="Palatino Linotype" w:cs="Segoe UI" w:eastAsiaTheme="minorHAnsi"/>
                <w:color w:val="000000" w:themeColor="text1"/>
                <w:sz w:val="20"/>
                <w:szCs w:val="20"/>
              </w:rPr>
              <w:t>equity and public health concerns from biomethane production and use.</w:t>
            </w:r>
          </w:p>
        </w:tc>
        <w:tc>
          <w:tcPr>
            <w:tcW w:w="3888" w:type="dxa"/>
          </w:tcPr>
          <w:p w:rsidR="00A823A6" w:rsidRDefault="00010951" w14:paraId="46AC234B" w14:textId="30F20B31">
            <w:pPr>
              <w:rPr>
                <w:rFonts w:ascii="Palatino Linotype" w:hAnsi="Palatino Linotype"/>
                <w:sz w:val="20"/>
                <w:szCs w:val="20"/>
              </w:rPr>
            </w:pPr>
            <w:r>
              <w:rPr>
                <w:rFonts w:ascii="Palatino Linotype" w:hAnsi="Palatino Linotype"/>
                <w:sz w:val="20"/>
                <w:szCs w:val="20"/>
              </w:rPr>
              <w:lastRenderedPageBreak/>
              <w:t>PG&amp;E details baseline scenarios and attribution categories related to economic metrics assessed using TAM, SAM, and SOM. PG&amp;E also describes several anticipated benefits and some associated metrics, including anticipated emissions reductions associated with the enabled adoption of clean fuels.</w:t>
            </w:r>
            <w:r w:rsidR="00A823A6">
              <w:rPr>
                <w:rFonts w:ascii="Palatino Linotype" w:hAnsi="Palatino Linotype"/>
                <w:sz w:val="20"/>
                <w:szCs w:val="20"/>
              </w:rPr>
              <w:t xml:space="preserve"> </w:t>
            </w:r>
          </w:p>
          <w:p w:rsidRPr="00FF53B7" w:rsidR="00FF53B7" w:rsidP="00FF53B7" w:rsidRDefault="00010951" w14:paraId="14ABC4B5" w14:textId="2938ADB3">
            <w:pPr>
              <w:spacing w:before="240"/>
              <w:rPr>
                <w:rFonts w:ascii="Palatino Linotype" w:hAnsi="Palatino Linotype"/>
                <w:b/>
                <w:sz w:val="20"/>
                <w:szCs w:val="20"/>
              </w:rPr>
            </w:pPr>
            <w:r>
              <w:rPr>
                <w:rFonts w:ascii="Palatino Linotype" w:hAnsi="Palatino Linotype"/>
                <w:sz w:val="20"/>
                <w:szCs w:val="20"/>
              </w:rPr>
              <w:t>However, PG&amp;E does not clearly state metrics to track and evaluate impacts from investments to demonstrate each anticipated benefit upon implementation. PG&amp;E must provide further detail on</w:t>
            </w:r>
            <w:r w:rsidRPr="00D65AAE">
              <w:rPr>
                <w:rFonts w:ascii="Palatino Linotype" w:hAnsi="Palatino Linotype"/>
                <w:i/>
                <w:iCs/>
                <w:sz w:val="20"/>
                <w:szCs w:val="20"/>
              </w:rPr>
              <w:t xml:space="preserve"> </w:t>
            </w:r>
            <w:r w:rsidRPr="00C77795">
              <w:rPr>
                <w:rFonts w:ascii="Palatino Linotype" w:hAnsi="Palatino Linotype"/>
                <w:sz w:val="20"/>
                <w:szCs w:val="20"/>
              </w:rPr>
              <w:t xml:space="preserve">planned methodologies for tracking and evaluating quantitative impacts from </w:t>
            </w:r>
            <w:r w:rsidRPr="00711B05">
              <w:rPr>
                <w:rFonts w:ascii="Palatino Linotype" w:hAnsi="Palatino Linotype"/>
                <w:sz w:val="20"/>
                <w:szCs w:val="20"/>
              </w:rPr>
              <w:t xml:space="preserve">investments via specific </w:t>
            </w:r>
            <w:r w:rsidRPr="00711B05">
              <w:rPr>
                <w:rFonts w:ascii="Palatino Linotype" w:hAnsi="Palatino Linotype"/>
                <w:sz w:val="20"/>
                <w:szCs w:val="20"/>
              </w:rPr>
              <w:lastRenderedPageBreak/>
              <w:t xml:space="preserve">metrics for each intended benefit as appropriate. </w:t>
            </w:r>
            <w:r w:rsidRPr="00711B05" w:rsidR="00F770A4">
              <w:rPr>
                <w:rFonts w:ascii="Palatino Linotype" w:hAnsi="Palatino Linotype"/>
                <w:b/>
                <w:bCs w:val="0"/>
                <w:sz w:val="20"/>
                <w:szCs w:val="20"/>
              </w:rPr>
              <w:t xml:space="preserve">The Commission requires </w:t>
            </w:r>
            <w:r w:rsidRPr="00711B05" w:rsidR="00F87352">
              <w:rPr>
                <w:rFonts w:ascii="Palatino Linotype" w:hAnsi="Palatino Linotype"/>
                <w:b/>
                <w:bCs w:val="0"/>
                <w:sz w:val="20"/>
                <w:szCs w:val="20"/>
              </w:rPr>
              <w:t>greater clarity</w:t>
            </w:r>
            <w:r w:rsidRPr="00711B05" w:rsidR="00ED615F">
              <w:rPr>
                <w:rFonts w:ascii="Palatino Linotype" w:hAnsi="Palatino Linotype"/>
                <w:b/>
                <w:bCs w:val="0"/>
                <w:sz w:val="20"/>
                <w:szCs w:val="20"/>
              </w:rPr>
              <w:t xml:space="preserve"> from PG&amp;E to align the proposal with requirements</w:t>
            </w:r>
            <w:r w:rsidRPr="00711B05" w:rsidR="00C74C14">
              <w:rPr>
                <w:rFonts w:ascii="Palatino Linotype" w:hAnsi="Palatino Linotype"/>
                <w:b/>
                <w:bCs w:val="0"/>
                <w:sz w:val="20"/>
                <w:szCs w:val="20"/>
              </w:rPr>
              <w:t>.</w:t>
            </w:r>
          </w:p>
          <w:p w:rsidRPr="00FF53B7" w:rsidR="00010951" w:rsidP="00CF3D60" w:rsidRDefault="00FF53B7" w14:paraId="2AEF4390" w14:textId="71210B3B">
            <w:pPr>
              <w:pStyle w:val="10sp0"/>
              <w:spacing w:before="240"/>
              <w:rPr>
                <w:rFonts w:ascii="Palatino Linotype" w:hAnsi="Palatino Linotype"/>
                <w:color w:val="000000" w:themeColor="text1"/>
                <w:sz w:val="20"/>
              </w:rPr>
            </w:pPr>
            <w:r>
              <w:rPr>
                <w:rFonts w:ascii="Palatino Linotype" w:hAnsi="Palatino Linotype"/>
                <w:color w:val="000000" w:themeColor="text1"/>
                <w:sz w:val="20"/>
              </w:rPr>
              <w:t>T</w:t>
            </w:r>
            <w:r w:rsidRPr="00FF53B7">
              <w:rPr>
                <w:rFonts w:ascii="Palatino Linotype" w:hAnsi="Palatino Linotype"/>
                <w:color w:val="000000" w:themeColor="text1"/>
                <w:sz w:val="20"/>
              </w:rPr>
              <w:t xml:space="preserve">he Commission notes concerns voiced by stakeholders during </w:t>
            </w:r>
            <w:proofErr w:type="gramStart"/>
            <w:r w:rsidRPr="00FF53B7">
              <w:rPr>
                <w:rFonts w:ascii="Palatino Linotype" w:hAnsi="Palatino Linotype"/>
                <w:color w:val="000000" w:themeColor="text1"/>
                <w:sz w:val="20"/>
              </w:rPr>
              <w:t>the February</w:t>
            </w:r>
            <w:proofErr w:type="gramEnd"/>
            <w:r w:rsidRPr="00FF53B7">
              <w:rPr>
                <w:rFonts w:ascii="Palatino Linotype" w:hAnsi="Palatino Linotype"/>
                <w:color w:val="000000" w:themeColor="text1"/>
                <w:sz w:val="20"/>
              </w:rPr>
              <w:t xml:space="preserve"> 2026 Joint Administrator Workshop related to biomethane and RNG RD&amp;D activities. The Commission requires PG&amp;E to seek out and consider input from </w:t>
            </w:r>
            <w:r w:rsidR="000C7878">
              <w:rPr>
                <w:rFonts w:ascii="Palatino Linotype" w:hAnsi="Palatino Linotype"/>
                <w:color w:val="000000" w:themeColor="text1"/>
                <w:sz w:val="20"/>
              </w:rPr>
              <w:t>ESJ</w:t>
            </w:r>
            <w:r w:rsidRPr="00FF53B7">
              <w:rPr>
                <w:rFonts w:ascii="Palatino Linotype" w:hAnsi="Palatino Linotype"/>
                <w:color w:val="000000" w:themeColor="text1"/>
                <w:sz w:val="20"/>
              </w:rPr>
              <w:t xml:space="preserve"> communities in its strategic planning as well as in assessing and demonstrating benefits to these communities from RD&amp;D investments.</w:t>
            </w:r>
            <w:r>
              <w:rPr>
                <w:rStyle w:val="FootnoteReference"/>
                <w:rFonts w:ascii="Palatino Linotype" w:hAnsi="Palatino Linotype"/>
                <w:color w:val="000000" w:themeColor="text1"/>
                <w:sz w:val="20"/>
              </w:rPr>
              <w:footnoteReference w:id="346"/>
            </w:r>
            <w:r w:rsidRPr="00FF53B7">
              <w:rPr>
                <w:rFonts w:ascii="Palatino Linotype" w:hAnsi="Palatino Linotype"/>
                <w:color w:val="000000" w:themeColor="text1"/>
                <w:sz w:val="20"/>
              </w:rPr>
              <w:t xml:space="preserve">  Thus, the Commission directs PG&amp;E, and any project contractor, to consult vulnerable communities, such as workers, tenants, &amp; frontline communities near gas facilities, on project siting to prevent exacerbating existing issues and inequities, particularly from projects with unknown impacts. PG&amp;E should educate vulnerable communities on technologies as appropriate to address community concerns. Further, PG&amp;E should summarize the concerns of communities and describe how these concerns are </w:t>
            </w:r>
            <w:r w:rsidRPr="00FF53B7">
              <w:rPr>
                <w:rFonts w:ascii="Palatino Linotype" w:hAnsi="Palatino Linotype"/>
                <w:color w:val="000000" w:themeColor="text1"/>
                <w:sz w:val="20"/>
              </w:rPr>
              <w:lastRenderedPageBreak/>
              <w:t xml:space="preserve">addressed in Annual Plans and </w:t>
            </w:r>
            <w:r w:rsidR="00512D7F">
              <w:rPr>
                <w:rFonts w:ascii="Palatino Linotype" w:hAnsi="Palatino Linotype"/>
                <w:color w:val="000000" w:themeColor="text1"/>
                <w:sz w:val="20"/>
              </w:rPr>
              <w:t xml:space="preserve">correlated </w:t>
            </w:r>
            <w:r w:rsidRPr="00FF53B7">
              <w:rPr>
                <w:rFonts w:ascii="Palatino Linotype" w:hAnsi="Palatino Linotype"/>
                <w:color w:val="000000" w:themeColor="text1"/>
                <w:sz w:val="20"/>
              </w:rPr>
              <w:t>Annual Reports. Through this process, the Commission seeks to strategically leverage RD&amp;D funding to balance policy imperatives of innovation with community concerns and benefits, including in the CPUC’s Biomethane Procurement Cost Allocation proceeding.</w:t>
            </w:r>
            <w:r>
              <w:rPr>
                <w:rStyle w:val="FootnoteReference"/>
                <w:rFonts w:ascii="Palatino Linotype" w:hAnsi="Palatino Linotype"/>
                <w:color w:val="000000" w:themeColor="text1"/>
                <w:sz w:val="20"/>
              </w:rPr>
              <w:footnoteReference w:id="347"/>
            </w:r>
          </w:p>
        </w:tc>
      </w:tr>
      <w:tr w:rsidRPr="00164C5A" w:rsidR="00010951" w14:paraId="42172516" w14:textId="77777777">
        <w:tc>
          <w:tcPr>
            <w:tcW w:w="3865" w:type="dxa"/>
          </w:tcPr>
          <w:p w:rsidR="00010951" w:rsidRDefault="00010951" w14:paraId="69C56024"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lastRenderedPageBreak/>
              <w:t>[1</w:t>
            </w:r>
            <w:r>
              <w:rPr>
                <w:rFonts w:ascii="Palatino Linotype" w:hAnsi="Palatino Linotype"/>
                <w:b/>
                <w:bCs w:val="0"/>
                <w:sz w:val="20"/>
                <w:szCs w:val="20"/>
              </w:rPr>
              <w:t>0</w:t>
            </w:r>
            <w:r w:rsidRPr="001221C0">
              <w:rPr>
                <w:rFonts w:ascii="Palatino Linotype" w:hAnsi="Palatino Linotype"/>
                <w:b/>
                <w:bCs w:val="0"/>
                <w:sz w:val="20"/>
                <w:szCs w:val="20"/>
              </w:rPr>
              <w:t xml:space="preserve">] </w:t>
            </w:r>
            <w:hyperlink r:id="rId60">
              <w:r w:rsidRPr="54AD8C4A">
                <w:rPr>
                  <w:rStyle w:val="Hyperlink"/>
                  <w:rFonts w:ascii="Palatino Linotype" w:hAnsi="Palatino Linotype"/>
                  <w:sz w:val="20"/>
                  <w:szCs w:val="20"/>
                </w:rPr>
                <w:t>Resolution G-3618</w:t>
              </w:r>
            </w:hyperlink>
            <w:r w:rsidRPr="00815CFF">
              <w:rPr>
                <w:rStyle w:val="FootnoteReference"/>
              </w:rPr>
              <w:t> </w:t>
            </w:r>
            <w:r w:rsidRPr="54AD8C4A">
              <w:rPr>
                <w:rStyle w:val="FootnoteReference"/>
              </w:rPr>
              <w:t xml:space="preserve"> </w:t>
            </w:r>
            <w:r w:rsidRPr="00815CFF">
              <w:rPr>
                <w:rFonts w:ascii="Palatino Linotype" w:hAnsi="Palatino Linotype"/>
                <w:color w:val="000000" w:themeColor="text1"/>
                <w:sz w:val="20"/>
                <w:szCs w:val="20"/>
              </w:rPr>
              <w:t>at p. 2</w:t>
            </w:r>
            <w:r>
              <w:rPr>
                <w:rFonts w:ascii="Palatino Linotype" w:hAnsi="Palatino Linotype"/>
                <w:color w:val="000000" w:themeColor="text1"/>
                <w:sz w:val="20"/>
                <w:szCs w:val="20"/>
              </w:rPr>
              <w:t xml:space="preserve">2. </w:t>
            </w:r>
            <w:r w:rsidRPr="001C4789">
              <w:rPr>
                <w:rFonts w:ascii="Palatino Linotype" w:hAnsi="Palatino Linotype"/>
                <w:i/>
                <w:iCs/>
                <w:color w:val="000000" w:themeColor="text1"/>
                <w:sz w:val="20"/>
                <w:szCs w:val="20"/>
              </w:rPr>
              <w:t xml:space="preserve">PG&amp;E shall coordinate with other Gas RD&amp;D administrators to hold an Annual Public Workshop </w:t>
            </w:r>
            <w:r>
              <w:rPr>
                <w:rFonts w:ascii="Palatino Linotype" w:hAnsi="Palatino Linotype"/>
                <w:i/>
                <w:iCs/>
                <w:color w:val="000000" w:themeColor="text1"/>
                <w:sz w:val="20"/>
                <w:szCs w:val="20"/>
              </w:rPr>
              <w:t xml:space="preserve">[by March 1 annually] </w:t>
            </w:r>
            <w:r w:rsidRPr="001C4789">
              <w:rPr>
                <w:rFonts w:ascii="Palatino Linotype" w:hAnsi="Palatino Linotype"/>
                <w:i/>
                <w:iCs/>
                <w:color w:val="000000" w:themeColor="text1"/>
                <w:sz w:val="20"/>
                <w:szCs w:val="20"/>
              </w:rPr>
              <w:t>to obtain broad stakeholder input regarding proposed investments for the upcoming year prior to Plan submittal,</w:t>
            </w:r>
            <w:r>
              <w:rPr>
                <w:rStyle w:val="FootnoteReference"/>
                <w:rFonts w:ascii="Palatino Linotype" w:hAnsi="Palatino Linotype"/>
                <w:i/>
                <w:iCs/>
                <w:color w:val="000000" w:themeColor="text1"/>
                <w:sz w:val="20"/>
                <w:szCs w:val="20"/>
              </w:rPr>
              <w:footnoteReference w:id="348"/>
            </w:r>
            <w:r w:rsidRPr="001C4789">
              <w:rPr>
                <w:rFonts w:ascii="Palatino Linotype" w:hAnsi="Palatino Linotype"/>
                <w:i/>
                <w:iCs/>
                <w:color w:val="000000" w:themeColor="text1"/>
                <w:sz w:val="20"/>
                <w:szCs w:val="20"/>
              </w:rPr>
              <w:t xml:space="preserve"> </w:t>
            </w:r>
            <w:r w:rsidRPr="0041377F">
              <w:rPr>
                <w:rFonts w:ascii="Palatino Linotype" w:hAnsi="Palatino Linotype"/>
                <w:i/>
                <w:iCs/>
                <w:color w:val="000000" w:themeColor="text1"/>
                <w:sz w:val="20"/>
                <w:szCs w:val="20"/>
              </w:rPr>
              <w:t>informed by feedback provided by CPUC staff.</w:t>
            </w:r>
            <w:r w:rsidRPr="001C4789">
              <w:rPr>
                <w:rFonts w:ascii="Palatino Linotype" w:hAnsi="Palatino Linotype"/>
                <w:i/>
                <w:iCs/>
                <w:color w:val="000000" w:themeColor="text1"/>
                <w:sz w:val="20"/>
                <w:szCs w:val="20"/>
              </w:rPr>
              <w:t xml:space="preserve"> PG&amp;E shall consult </w:t>
            </w:r>
            <w:r w:rsidRPr="001C4789">
              <w:rPr>
                <w:rFonts w:ascii="Palatino Linotype" w:hAnsi="Palatino Linotype"/>
                <w:i/>
                <w:iCs/>
                <w:color w:val="000000" w:themeColor="text1"/>
                <w:sz w:val="20"/>
                <w:szCs w:val="20"/>
              </w:rPr>
              <w:lastRenderedPageBreak/>
              <w:t>ED staff on its engagement of diverse relevant stakeholders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349"/>
            </w:r>
            <w:r w:rsidRPr="001C4789">
              <w:rPr>
                <w:rFonts w:ascii="Palatino Linotype" w:hAnsi="Palatino Linotype"/>
                <w:i/>
                <w:iCs/>
                <w:color w:val="000000" w:themeColor="text1"/>
                <w:sz w:val="20"/>
                <w:szCs w:val="20"/>
              </w:rPr>
              <w:t xml:space="preserve"> document feedback from stakeholders, and demonstrate how feedback has been </w:t>
            </w:r>
            <w:r w:rsidRPr="009B62AF">
              <w:rPr>
                <w:rFonts w:ascii="Palatino Linotype" w:hAnsi="Palatino Linotype"/>
                <w:i/>
                <w:iCs/>
                <w:color w:val="000000" w:themeColor="text1"/>
                <w:sz w:val="20"/>
                <w:szCs w:val="20"/>
              </w:rPr>
              <w:t>incorporated at the Initiative level</w:t>
            </w:r>
            <w:r w:rsidRPr="001C4789">
              <w:rPr>
                <w:rFonts w:ascii="Palatino Linotype" w:hAnsi="Palatino Linotype"/>
                <w:i/>
                <w:iCs/>
                <w:color w:val="000000" w:themeColor="text1"/>
                <w:sz w:val="20"/>
                <w:szCs w:val="20"/>
              </w:rPr>
              <w:t xml:space="preserve"> in Plans, including from Environmental and Social Justice (ESJ) and Tribal communities.</w:t>
            </w:r>
            <w:r>
              <w:rPr>
                <w:rStyle w:val="FootnoteReference"/>
                <w:rFonts w:ascii="Palatino Linotype" w:hAnsi="Palatino Linotype"/>
                <w:i/>
                <w:iCs/>
                <w:color w:val="000000" w:themeColor="text1"/>
                <w:sz w:val="20"/>
                <w:szCs w:val="20"/>
              </w:rPr>
              <w:footnoteReference w:id="350"/>
            </w:r>
            <w:r w:rsidRPr="001C4789">
              <w:rPr>
                <w:rFonts w:ascii="Palatino Linotype" w:hAnsi="Palatino Linotype"/>
                <w:i/>
                <w:iCs/>
                <w:color w:val="000000" w:themeColor="text1"/>
                <w:sz w:val="20"/>
                <w:szCs w:val="20"/>
              </w:rPr>
              <w:t xml:space="preserve"> PG&amp;E shall also present on the results from its most recent Annual Report at the workshop.</w:t>
            </w:r>
            <w:r>
              <w:rPr>
                <w:rStyle w:val="FootnoteReference"/>
                <w:rFonts w:ascii="Palatino Linotype" w:hAnsi="Palatino Linotype"/>
                <w:i/>
                <w:iCs/>
                <w:color w:val="000000" w:themeColor="text1"/>
                <w:sz w:val="20"/>
                <w:szCs w:val="20"/>
              </w:rPr>
              <w:footnoteReference w:id="351"/>
            </w:r>
          </w:p>
          <w:p w:rsidR="00010951" w:rsidRDefault="00010951" w14:paraId="54062DFA" w14:textId="77777777">
            <w:pPr>
              <w:rPr>
                <w:rFonts w:ascii="Palatino Linotype" w:hAnsi="Palatino Linotype"/>
                <w:sz w:val="20"/>
                <w:szCs w:val="20"/>
              </w:rPr>
            </w:pPr>
          </w:p>
          <w:p w:rsidRPr="00841E84" w:rsidR="00010951" w:rsidRDefault="00010951" w14:paraId="0C1EB50D" w14:textId="77777777">
            <w:pPr>
              <w:rPr>
                <w:rFonts w:ascii="Palatino Linotype" w:hAnsi="Palatino Linotype"/>
                <w:sz w:val="20"/>
                <w:szCs w:val="20"/>
              </w:rPr>
            </w:pPr>
            <w:r>
              <w:rPr>
                <w:rFonts w:ascii="Palatino Linotype" w:hAnsi="Palatino Linotype"/>
                <w:sz w:val="20"/>
                <w:szCs w:val="20"/>
              </w:rPr>
              <w:t xml:space="preserve">See also: </w:t>
            </w:r>
            <w:hyperlink w:history="1" r:id="rId61">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w:t>
            </w:r>
            <w:r>
              <w:rPr>
                <w:rFonts w:ascii="Palatino Linotype" w:hAnsi="Palatino Linotype"/>
                <w:sz w:val="20"/>
                <w:szCs w:val="20"/>
              </w:rPr>
              <w:t xml:space="preserve"> </w:t>
            </w:r>
            <w:r w:rsidRPr="00876218">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w:t>
            </w:r>
            <w:r>
              <w:rPr>
                <w:rFonts w:ascii="Palatino Linotype" w:hAnsi="Palatino Linotype"/>
                <w:i/>
                <w:iCs/>
                <w:color w:val="000000" w:themeColor="text1"/>
                <w:sz w:val="20"/>
                <w:szCs w:val="20"/>
              </w:rPr>
              <w:t xml:space="preserve">s… </w:t>
            </w:r>
            <w:r w:rsidRPr="00E42104">
              <w:rPr>
                <w:rFonts w:ascii="Palatino Linotype" w:hAnsi="Palatino Linotype"/>
                <w:i/>
                <w:iCs/>
                <w:color w:val="000000" w:themeColor="text1"/>
                <w:sz w:val="20"/>
                <w:szCs w:val="20"/>
              </w:rPr>
              <w:t>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p.</w:t>
            </w:r>
            <w:r>
              <w:rPr>
                <w:rStyle w:val="FootnoteReference"/>
                <w:rFonts w:ascii="Palatino Linotype" w:hAnsi="Palatino Linotype"/>
                <w:i/>
                <w:iCs/>
                <w:color w:val="000000" w:themeColor="text1"/>
                <w:sz w:val="20"/>
                <w:szCs w:val="20"/>
              </w:rPr>
              <w:footnoteReference w:id="352"/>
            </w:r>
          </w:p>
        </w:tc>
        <w:tc>
          <w:tcPr>
            <w:tcW w:w="5472" w:type="dxa"/>
          </w:tcPr>
          <w:p w:rsidR="00010951" w:rsidRDefault="00010951" w14:paraId="11147669" w14:textId="77777777">
            <w:pPr>
              <w:rPr>
                <w:rFonts w:ascii="Palatino Linotype" w:hAnsi="Palatino Linotype"/>
                <w:sz w:val="20"/>
                <w:szCs w:val="20"/>
              </w:rPr>
            </w:pPr>
            <w:r>
              <w:rPr>
                <w:rFonts w:ascii="Palatino Linotype" w:hAnsi="Palatino Linotype"/>
                <w:sz w:val="20"/>
                <w:szCs w:val="20"/>
              </w:rPr>
              <w:lastRenderedPageBreak/>
              <w:t>In AL 5222-G at Appendix 6, PG&amp;E details feedback received during its “</w:t>
            </w:r>
            <w:r w:rsidRPr="00A201DC">
              <w:rPr>
                <w:rFonts w:ascii="Palatino Linotype" w:hAnsi="Palatino Linotype"/>
                <w:sz w:val="20"/>
                <w:szCs w:val="20"/>
              </w:rPr>
              <w:t>Gas Research, Development &amp; Demonstration Program 2026 Joint Research Plan</w:t>
            </w:r>
            <w:r>
              <w:rPr>
                <w:rFonts w:ascii="Palatino Linotype" w:hAnsi="Palatino Linotype"/>
                <w:sz w:val="20"/>
                <w:szCs w:val="20"/>
              </w:rPr>
              <w:t xml:space="preserve"> </w:t>
            </w:r>
            <w:r w:rsidRPr="00A201DC">
              <w:rPr>
                <w:rFonts w:ascii="Palatino Linotype" w:hAnsi="Palatino Linotype"/>
                <w:sz w:val="20"/>
                <w:szCs w:val="20"/>
              </w:rPr>
              <w:t>Workshop</w:t>
            </w:r>
            <w:r>
              <w:rPr>
                <w:rFonts w:ascii="Palatino Linotype" w:hAnsi="Palatino Linotype"/>
                <w:sz w:val="20"/>
                <w:szCs w:val="20"/>
              </w:rPr>
              <w:t>”</w:t>
            </w:r>
            <w:r w:rsidRPr="00A201DC">
              <w:rPr>
                <w:rFonts w:ascii="Palatino Linotype" w:hAnsi="Palatino Linotype"/>
                <w:sz w:val="20"/>
                <w:szCs w:val="20"/>
              </w:rPr>
              <w:t>, held February 27, 2026</w:t>
            </w:r>
            <w:r>
              <w:rPr>
                <w:rFonts w:ascii="Palatino Linotype" w:hAnsi="Palatino Linotype"/>
                <w:sz w:val="20"/>
                <w:szCs w:val="20"/>
              </w:rPr>
              <w:t xml:space="preserve">, with CEC and SoCalGas. PG&amp;E details incorporation strategies related to each comment, affirming that PG&amp;E: </w:t>
            </w:r>
          </w:p>
          <w:p w:rsidR="00010951" w:rsidP="00010951" w:rsidRDefault="00010951" w14:paraId="590F66F2" w14:textId="77777777">
            <w:pPr>
              <w:pStyle w:val="ListParagraph"/>
              <w:numPr>
                <w:ilvl w:val="0"/>
                <w:numId w:val="24"/>
              </w:numPr>
              <w:rPr>
                <w:rFonts w:ascii="Palatino Linotype" w:hAnsi="Palatino Linotype"/>
                <w:sz w:val="20"/>
                <w:szCs w:val="20"/>
              </w:rPr>
            </w:pPr>
            <w:r>
              <w:rPr>
                <w:rFonts w:ascii="Palatino Linotype" w:hAnsi="Palatino Linotype"/>
                <w:sz w:val="20"/>
                <w:szCs w:val="20"/>
              </w:rPr>
              <w:lastRenderedPageBreak/>
              <w:t>F</w:t>
            </w:r>
            <w:r w:rsidRPr="00882D5F">
              <w:rPr>
                <w:rFonts w:ascii="Palatino Linotype" w:hAnsi="Palatino Linotype"/>
                <w:sz w:val="20"/>
                <w:szCs w:val="20"/>
              </w:rPr>
              <w:t>ocuses on funding utility-specific</w:t>
            </w:r>
            <w:r>
              <w:rPr>
                <w:rFonts w:ascii="Palatino Linotype" w:hAnsi="Palatino Linotype"/>
                <w:sz w:val="20"/>
                <w:szCs w:val="20"/>
              </w:rPr>
              <w:t xml:space="preserve"> </w:t>
            </w:r>
            <w:r w:rsidRPr="00882D5F">
              <w:rPr>
                <w:rFonts w:ascii="Palatino Linotype" w:hAnsi="Palatino Linotype"/>
                <w:sz w:val="20"/>
                <w:szCs w:val="20"/>
              </w:rPr>
              <w:t>validation and testing</w:t>
            </w:r>
            <w:r>
              <w:rPr>
                <w:rFonts w:ascii="Palatino Linotype" w:hAnsi="Palatino Linotype"/>
                <w:sz w:val="20"/>
                <w:szCs w:val="20"/>
              </w:rPr>
              <w:t>, limited to projects with identifiable benefits to California ratepayers.</w:t>
            </w:r>
          </w:p>
          <w:p w:rsidR="00010951" w:rsidP="00010951" w:rsidRDefault="00010951" w14:paraId="3EED32B9"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 xml:space="preserve">Collaborates with </w:t>
            </w:r>
            <w:r w:rsidRPr="000B1A94">
              <w:rPr>
                <w:rFonts w:ascii="Palatino Linotype" w:hAnsi="Palatino Linotype"/>
                <w:sz w:val="20"/>
                <w:szCs w:val="20"/>
              </w:rPr>
              <w:t>national laboratories,</w:t>
            </w:r>
            <w:r>
              <w:rPr>
                <w:rFonts w:ascii="Palatino Linotype" w:hAnsi="Palatino Linotype"/>
                <w:sz w:val="20"/>
                <w:szCs w:val="20"/>
              </w:rPr>
              <w:t xml:space="preserve"> </w:t>
            </w:r>
            <w:r w:rsidRPr="000B1A94">
              <w:rPr>
                <w:rFonts w:ascii="Palatino Linotype" w:hAnsi="Palatino Linotype"/>
                <w:sz w:val="20"/>
                <w:szCs w:val="20"/>
              </w:rPr>
              <w:t>universities, technology developers, community-based organizations, and</w:t>
            </w:r>
            <w:r>
              <w:rPr>
                <w:rFonts w:ascii="Palatino Linotype" w:hAnsi="Palatino Linotype"/>
                <w:sz w:val="20"/>
                <w:szCs w:val="20"/>
              </w:rPr>
              <w:t xml:space="preserve"> </w:t>
            </w:r>
            <w:r w:rsidRPr="000B1A94">
              <w:rPr>
                <w:rFonts w:ascii="Palatino Linotype" w:hAnsi="Palatino Linotype"/>
                <w:sz w:val="20"/>
                <w:szCs w:val="20"/>
              </w:rPr>
              <w:t>public agencies</w:t>
            </w:r>
            <w:r>
              <w:rPr>
                <w:rFonts w:ascii="Palatino Linotype" w:hAnsi="Palatino Linotype"/>
                <w:sz w:val="20"/>
                <w:szCs w:val="20"/>
              </w:rPr>
              <w:t xml:space="preserve"> to </w:t>
            </w:r>
            <w:r w:rsidRPr="00553300">
              <w:rPr>
                <w:rFonts w:ascii="Palatino Linotype" w:hAnsi="Palatino Linotype"/>
                <w:sz w:val="20"/>
                <w:szCs w:val="20"/>
              </w:rPr>
              <w:t>access external</w:t>
            </w:r>
            <w:r>
              <w:rPr>
                <w:rFonts w:ascii="Palatino Linotype" w:hAnsi="Palatino Linotype"/>
                <w:sz w:val="20"/>
                <w:szCs w:val="20"/>
              </w:rPr>
              <w:t xml:space="preserve"> </w:t>
            </w:r>
            <w:r w:rsidRPr="00553300">
              <w:rPr>
                <w:rFonts w:ascii="Palatino Linotype" w:hAnsi="Palatino Linotype"/>
                <w:sz w:val="20"/>
                <w:szCs w:val="20"/>
              </w:rPr>
              <w:t>expertise, accelerate learning, and</w:t>
            </w:r>
            <w:r>
              <w:rPr>
                <w:rFonts w:ascii="Palatino Linotype" w:hAnsi="Palatino Linotype"/>
                <w:sz w:val="20"/>
                <w:szCs w:val="20"/>
              </w:rPr>
              <w:t xml:space="preserve"> </w:t>
            </w:r>
            <w:r w:rsidRPr="00553300">
              <w:rPr>
                <w:rFonts w:ascii="Palatino Linotype" w:hAnsi="Palatino Linotype"/>
                <w:sz w:val="20"/>
                <w:szCs w:val="20"/>
              </w:rPr>
              <w:t>avoid duplicating existing research</w:t>
            </w:r>
            <w:r>
              <w:rPr>
                <w:rFonts w:ascii="Palatino Linotype" w:hAnsi="Palatino Linotype"/>
                <w:sz w:val="20"/>
                <w:szCs w:val="20"/>
              </w:rPr>
              <w:t>.</w:t>
            </w:r>
          </w:p>
          <w:p w:rsidR="00010951" w:rsidP="00010951" w:rsidRDefault="00010951" w14:paraId="2CBFB0C2"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Considers research proposals from private and public entities to incorporate external community and technical perspectives in developing its research portfolio.</w:t>
            </w:r>
          </w:p>
          <w:p w:rsidR="00010951" w:rsidP="00010951" w:rsidRDefault="00010951" w14:paraId="50ECDC3D"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Is not currently pursuing hydrogen-related RD&amp;D per Commission guidance provided in Resolution G-3618.</w:t>
            </w:r>
            <w:r>
              <w:rPr>
                <w:rStyle w:val="FootnoteReference"/>
                <w:rFonts w:ascii="Palatino Linotype" w:hAnsi="Palatino Linotype"/>
                <w:sz w:val="20"/>
                <w:szCs w:val="20"/>
              </w:rPr>
              <w:footnoteReference w:id="353"/>
            </w:r>
          </w:p>
          <w:p w:rsidRPr="00667373" w:rsidR="00010951" w:rsidP="00010951" w:rsidRDefault="00010951" w14:paraId="29CA013B"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Coordinates with ESJ communities to turn technical research into a tool for community advocacy, a</w:t>
            </w:r>
            <w:r w:rsidRPr="00667373">
              <w:rPr>
                <w:rFonts w:ascii="Palatino Linotype" w:hAnsi="Palatino Linotype"/>
                <w:sz w:val="20"/>
                <w:szCs w:val="20"/>
              </w:rPr>
              <w:t>lso offering compensation</w:t>
            </w:r>
            <w:r>
              <w:rPr>
                <w:rFonts w:ascii="Palatino Linotype" w:hAnsi="Palatino Linotype"/>
                <w:sz w:val="20"/>
                <w:szCs w:val="20"/>
              </w:rPr>
              <w:t>.</w:t>
            </w:r>
          </w:p>
          <w:p w:rsidRPr="009B62AF" w:rsidR="00010951" w:rsidP="00010951" w:rsidRDefault="00010951" w14:paraId="459DEB95"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Seeks to address the reliability fossil gas currently offers by exploring low-carbon fuels in the energy transition.</w:t>
            </w:r>
          </w:p>
        </w:tc>
        <w:tc>
          <w:tcPr>
            <w:tcW w:w="3888" w:type="dxa"/>
          </w:tcPr>
          <w:p w:rsidRPr="00711B05" w:rsidR="00010951" w:rsidRDefault="00010951" w14:paraId="566380FA" w14:textId="77777777">
            <w:pPr>
              <w:rPr>
                <w:rFonts w:ascii="Palatino Linotype" w:hAnsi="Palatino Linotype"/>
                <w:b/>
                <w:bCs w:val="0"/>
                <w:sz w:val="20"/>
                <w:szCs w:val="20"/>
              </w:rPr>
            </w:pPr>
            <w:r w:rsidRPr="005F5311">
              <w:rPr>
                <w:rFonts w:ascii="Palatino Linotype" w:hAnsi="Palatino Linotype"/>
                <w:sz w:val="20"/>
                <w:szCs w:val="20"/>
              </w:rPr>
              <w:lastRenderedPageBreak/>
              <w:t xml:space="preserve">PG&amp;E hosted a Public Workshop to share results from its most recent Annual Report and </w:t>
            </w:r>
            <w:r>
              <w:rPr>
                <w:rFonts w:ascii="Palatino Linotype" w:hAnsi="Palatino Linotype"/>
                <w:sz w:val="20"/>
                <w:szCs w:val="20"/>
              </w:rPr>
              <w:t xml:space="preserve">obtain stakeholder input on its proposed Gas RD&amp;D Plan. PG&amp;E provided Energy Division staff with workshop materials at least one week prior, which highlighted results from its most recent Annual Report. PG&amp;E </w:t>
            </w:r>
            <w:r>
              <w:rPr>
                <w:rFonts w:ascii="Palatino Linotype" w:hAnsi="Palatino Linotype"/>
                <w:sz w:val="20"/>
                <w:szCs w:val="20"/>
              </w:rPr>
              <w:lastRenderedPageBreak/>
              <w:t xml:space="preserve">documented feedback </w:t>
            </w:r>
            <w:r w:rsidRPr="00711B05">
              <w:rPr>
                <w:rFonts w:ascii="Palatino Linotype" w:hAnsi="Palatino Linotype"/>
                <w:sz w:val="20"/>
                <w:szCs w:val="20"/>
              </w:rPr>
              <w:t xml:space="preserve">from stakeholders and incorporation strategies. </w:t>
            </w:r>
            <w:r w:rsidRPr="00711B05">
              <w:rPr>
                <w:rFonts w:ascii="Palatino Linotype" w:hAnsi="Palatino Linotype"/>
                <w:b/>
                <w:bCs w:val="0"/>
                <w:sz w:val="20"/>
                <w:szCs w:val="20"/>
              </w:rPr>
              <w:t>PG&amp;E is compliant with this requirement.</w:t>
            </w:r>
          </w:p>
          <w:p w:rsidRPr="008028F5" w:rsidR="00010951" w:rsidP="00B14E67" w:rsidRDefault="00010951" w14:paraId="4257EC75" w14:textId="77777777">
            <w:pPr>
              <w:pStyle w:val="NormalWeb"/>
              <w:spacing w:before="240" w:beforeAutospacing="0" w:after="0" w:afterAutospacing="0"/>
              <w:rPr>
                <w:rFonts w:ascii="Palatino Linotype" w:hAnsi="Palatino Linotype"/>
                <w:bCs w:val="0"/>
                <w:sz w:val="20"/>
                <w:szCs w:val="20"/>
              </w:rPr>
            </w:pPr>
            <w:r w:rsidRPr="00711B05">
              <w:rPr>
                <w:rFonts w:ascii="Palatino Linotype" w:hAnsi="Palatino Linotype"/>
                <w:bCs w:val="0"/>
                <w:sz w:val="20"/>
                <w:szCs w:val="20"/>
              </w:rPr>
              <w:t>However, PG&amp;E did not reflect</w:t>
            </w:r>
            <w:r>
              <w:rPr>
                <w:rFonts w:ascii="Palatino Linotype" w:hAnsi="Palatino Linotype"/>
                <w:bCs w:val="0"/>
                <w:sz w:val="20"/>
                <w:szCs w:val="20"/>
              </w:rPr>
              <w:t xml:space="preserve"> all</w:t>
            </w:r>
            <w:r w:rsidRPr="00EB7E9E">
              <w:rPr>
                <w:rFonts w:ascii="Palatino Linotype" w:hAnsi="Palatino Linotype"/>
                <w:bCs w:val="0"/>
                <w:sz w:val="20"/>
                <w:szCs w:val="20"/>
              </w:rPr>
              <w:t xml:space="preserve"> key feedback from the public and CPUC staff in its </w:t>
            </w:r>
            <w:r>
              <w:rPr>
                <w:rFonts w:ascii="Palatino Linotype" w:hAnsi="Palatino Linotype"/>
                <w:bCs w:val="0"/>
                <w:sz w:val="20"/>
                <w:szCs w:val="20"/>
              </w:rPr>
              <w:t>Plan</w:t>
            </w:r>
            <w:r w:rsidRPr="00EB7E9E">
              <w:rPr>
                <w:rFonts w:ascii="Palatino Linotype" w:hAnsi="Palatino Linotype"/>
                <w:bCs w:val="0"/>
                <w:sz w:val="20"/>
                <w:szCs w:val="20"/>
              </w:rPr>
              <w:t xml:space="preserve">: See </w:t>
            </w:r>
            <w:r>
              <w:rPr>
                <w:rFonts w:ascii="Palatino Linotype" w:hAnsi="Palatino Linotype"/>
                <w:bCs w:val="0"/>
                <w:sz w:val="20"/>
                <w:szCs w:val="20"/>
              </w:rPr>
              <w:t xml:space="preserve">the Commission’s Compliance Assessment of AL 5222-G with </w:t>
            </w:r>
            <w:r w:rsidRPr="008028F5">
              <w:rPr>
                <w:rFonts w:ascii="Palatino Linotype" w:hAnsi="Palatino Linotype"/>
                <w:bCs w:val="0"/>
                <w:sz w:val="20"/>
                <w:szCs w:val="20"/>
              </w:rPr>
              <w:t>CPUC Requirement [</w:t>
            </w:r>
            <w:r>
              <w:rPr>
                <w:rFonts w:ascii="Palatino Linotype" w:hAnsi="Palatino Linotype"/>
                <w:bCs w:val="0"/>
                <w:sz w:val="20"/>
                <w:szCs w:val="20"/>
              </w:rPr>
              <w:t>9</w:t>
            </w:r>
            <w:r w:rsidRPr="008028F5">
              <w:rPr>
                <w:rFonts w:ascii="Palatino Linotype" w:hAnsi="Palatino Linotype"/>
                <w:bCs w:val="0"/>
                <w:sz w:val="20"/>
                <w:szCs w:val="20"/>
              </w:rPr>
              <w:t>]</w:t>
            </w:r>
            <w:r w:rsidRPr="00815CFF">
              <w:rPr>
                <w:rFonts w:ascii="Palatino Linotype" w:hAnsi="Palatino Linotype"/>
                <w:color w:val="000000" w:themeColor="text1"/>
                <w:sz w:val="20"/>
                <w:szCs w:val="20"/>
              </w:rPr>
              <w:t xml:space="preserve"> Initiative Criteria </w:t>
            </w:r>
            <w:r>
              <w:rPr>
                <w:rFonts w:ascii="Palatino Linotype" w:hAnsi="Palatino Linotype"/>
                <w:color w:val="000000" w:themeColor="text1"/>
                <w:sz w:val="20"/>
                <w:szCs w:val="20"/>
              </w:rPr>
              <w:t>4</w:t>
            </w:r>
            <w:r w:rsidRPr="00815CFF">
              <w:rPr>
                <w:rFonts w:ascii="Palatino Linotype" w:hAnsi="Palatino Linotype"/>
                <w:color w:val="000000" w:themeColor="text1"/>
                <w:sz w:val="20"/>
                <w:szCs w:val="20"/>
              </w:rPr>
              <w:t>. Anticipated Impacts</w:t>
            </w:r>
            <w:r w:rsidRPr="008028F5">
              <w:rPr>
                <w:rFonts w:ascii="Palatino Linotype" w:hAnsi="Palatino Linotype"/>
                <w:bCs w:val="0"/>
                <w:sz w:val="20"/>
                <w:szCs w:val="20"/>
              </w:rPr>
              <w:t> in this Appendix</w:t>
            </w:r>
            <w:r>
              <w:rPr>
                <w:rFonts w:ascii="Palatino Linotype" w:hAnsi="Palatino Linotype"/>
                <w:bCs w:val="0"/>
                <w:sz w:val="20"/>
                <w:szCs w:val="20"/>
              </w:rPr>
              <w:t xml:space="preserve"> </w:t>
            </w:r>
            <w:r>
              <w:rPr>
                <w:rFonts w:ascii="Palatino Linotype" w:hAnsi="Palatino Linotype"/>
                <w:color w:val="000000" w:themeColor="text1"/>
                <w:sz w:val="20"/>
                <w:szCs w:val="20"/>
              </w:rPr>
              <w:t xml:space="preserve">for </w:t>
            </w:r>
            <w:r w:rsidRPr="009A2F02">
              <w:rPr>
                <w:rFonts w:ascii="Palatino Linotype" w:hAnsi="Palatino Linotype"/>
                <w:color w:val="000000" w:themeColor="text1"/>
                <w:sz w:val="20"/>
                <w:szCs w:val="20"/>
              </w:rPr>
              <w:t xml:space="preserve">the </w:t>
            </w:r>
            <w:r w:rsidRPr="009A2F02">
              <w:rPr>
                <w:rFonts w:ascii="Palatino Linotype" w:hAnsi="Palatino Linotype" w:cs="Segoe UI" w:eastAsiaTheme="minorHAnsi"/>
                <w:color w:val="000000" w:themeColor="text1"/>
                <w:sz w:val="20"/>
                <w:szCs w:val="20"/>
              </w:rPr>
              <w:t>Innovative and Cost-Effective Integrity Management Initiative</w:t>
            </w:r>
            <w:r>
              <w:rPr>
                <w:rFonts w:ascii="Palatino Linotype" w:hAnsi="Palatino Linotype" w:cs="Segoe UI" w:eastAsiaTheme="minorHAnsi"/>
                <w:color w:val="000000" w:themeColor="text1"/>
                <w:sz w:val="20"/>
                <w:szCs w:val="20"/>
              </w:rPr>
              <w:t>.</w:t>
            </w:r>
            <w:r w:rsidRPr="009A2F02">
              <w:rPr>
                <w:rFonts w:ascii="Palatino Linotype" w:hAnsi="Palatino Linotype" w:cs="Segoe UI" w:eastAsiaTheme="minorHAnsi"/>
                <w:color w:val="000000" w:themeColor="text1"/>
                <w:sz w:val="20"/>
                <w:szCs w:val="20"/>
              </w:rPr>
              <w:t xml:space="preserve"> </w:t>
            </w:r>
            <w:r>
              <w:rPr>
                <w:rFonts w:ascii="Palatino Linotype" w:hAnsi="Palatino Linotype"/>
                <w:bCs w:val="0"/>
                <w:sz w:val="20"/>
                <w:szCs w:val="20"/>
              </w:rPr>
              <w:t>PG&amp;E must also detail feedback at the Initiative level to describe the Initiative proposals holistically and transparently, rather than reporting public feedback generically in the appendices of its Plans.</w:t>
            </w:r>
          </w:p>
        </w:tc>
      </w:tr>
      <w:tr w:rsidRPr="00164C5A" w:rsidR="00010951" w14:paraId="72D4F1DE" w14:textId="77777777">
        <w:tc>
          <w:tcPr>
            <w:tcW w:w="3865" w:type="dxa"/>
          </w:tcPr>
          <w:p w:rsidRPr="00815CFF" w:rsidR="00010951" w:rsidRDefault="00010951" w14:paraId="0CF69C01" w14:textId="77777777">
            <w:r w:rsidRPr="001221C0">
              <w:rPr>
                <w:rFonts w:ascii="Palatino Linotype" w:hAnsi="Palatino Linotype"/>
                <w:b/>
                <w:bCs w:val="0"/>
                <w:sz w:val="20"/>
                <w:szCs w:val="20"/>
              </w:rPr>
              <w:lastRenderedPageBreak/>
              <w:t>[1</w:t>
            </w:r>
            <w:r>
              <w:rPr>
                <w:rFonts w:ascii="Palatino Linotype" w:hAnsi="Palatino Linotype"/>
                <w:b/>
                <w:bCs w:val="0"/>
                <w:sz w:val="20"/>
                <w:szCs w:val="20"/>
              </w:rPr>
              <w:t>1</w:t>
            </w:r>
            <w:r w:rsidRPr="001221C0">
              <w:rPr>
                <w:rFonts w:ascii="Palatino Linotype" w:hAnsi="Palatino Linotype"/>
                <w:b/>
                <w:bCs w:val="0"/>
                <w:sz w:val="20"/>
                <w:szCs w:val="20"/>
              </w:rPr>
              <w:t xml:space="preserve">] </w:t>
            </w:r>
            <w:hyperlink w:tgtFrame="_blank" w:history="1" r:id="rId62">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23</w:t>
            </w:r>
            <w:r w:rsidRPr="004A1121">
              <w:rPr>
                <w:rFonts w:ascii="Palatino Linotype" w:hAnsi="Palatino Linotype"/>
                <w:i/>
                <w:iCs/>
                <w:color w:val="000000" w:themeColor="text1"/>
                <w:sz w:val="20"/>
                <w:szCs w:val="20"/>
              </w:rPr>
              <w:t>. PG&amp;E is required to submit proposed Gas RD&amp;D Plans to the Commission via a Tier 3 Advice Letter (AL) by June 1 annually.</w:t>
            </w:r>
            <w:r>
              <w:rPr>
                <w:rStyle w:val="FootnoteReference"/>
                <w:rFonts w:ascii="Palatino Linotype" w:hAnsi="Palatino Linotype"/>
                <w:i/>
                <w:iCs/>
                <w:color w:val="000000" w:themeColor="text1"/>
                <w:sz w:val="20"/>
                <w:szCs w:val="20"/>
              </w:rPr>
              <w:footnoteReference w:id="354"/>
            </w:r>
          </w:p>
        </w:tc>
        <w:tc>
          <w:tcPr>
            <w:tcW w:w="5472" w:type="dxa"/>
          </w:tcPr>
          <w:p w:rsidRPr="00841E84" w:rsidR="00010951" w:rsidRDefault="00010951" w14:paraId="6BCB9220" w14:textId="77777777">
            <w:pPr>
              <w:rPr>
                <w:rFonts w:ascii="Palatino Linotype" w:hAnsi="Palatino Linotype"/>
                <w:sz w:val="20"/>
                <w:szCs w:val="20"/>
              </w:rPr>
            </w:pPr>
            <w:r>
              <w:rPr>
                <w:rFonts w:ascii="Palatino Linotype" w:hAnsi="Palatino Linotype"/>
                <w:sz w:val="20"/>
                <w:szCs w:val="20"/>
              </w:rPr>
              <w:t>PG&amp;E submitted its proposed 2026 Gas RD&amp;D Plan via Tier 3 AL 5222-G on June 1, 2026.</w:t>
            </w:r>
          </w:p>
        </w:tc>
        <w:tc>
          <w:tcPr>
            <w:tcW w:w="3888" w:type="dxa"/>
          </w:tcPr>
          <w:p w:rsidRPr="00711B05" w:rsidR="00010951" w:rsidRDefault="00010951" w14:paraId="7BB1C591" w14:textId="77777777">
            <w:pPr>
              <w:rPr>
                <w:rFonts w:ascii="Palatino Linotype" w:hAnsi="Palatino Linotype"/>
                <w:sz w:val="20"/>
                <w:szCs w:val="20"/>
              </w:rPr>
            </w:pPr>
            <w:r w:rsidRPr="00711B05">
              <w:rPr>
                <w:rFonts w:ascii="Palatino Linotype" w:hAnsi="Palatino Linotype"/>
                <w:sz w:val="20"/>
                <w:szCs w:val="20"/>
              </w:rPr>
              <w:t xml:space="preserve">PG&amp;E submitted its proposed Gas RD&amp;D Plan via Tier 3 AL by June 1. </w:t>
            </w:r>
          </w:p>
          <w:p w:rsidRPr="00711B05" w:rsidR="00010951" w:rsidRDefault="00010951" w14:paraId="6DF533E6" w14:textId="77777777">
            <w:pPr>
              <w:rPr>
                <w:rFonts w:ascii="Palatino Linotype" w:hAnsi="Palatino Linotype"/>
                <w:b/>
                <w:bCs w:val="0"/>
                <w:sz w:val="20"/>
                <w:szCs w:val="20"/>
              </w:rPr>
            </w:pPr>
            <w:r w:rsidRPr="00711B05">
              <w:rPr>
                <w:rFonts w:ascii="Palatino Linotype" w:hAnsi="Palatino Linotype"/>
                <w:b/>
                <w:bCs w:val="0"/>
                <w:sz w:val="20"/>
                <w:szCs w:val="20"/>
              </w:rPr>
              <w:t>PG&amp;E is compliant with this requirement.</w:t>
            </w:r>
          </w:p>
        </w:tc>
      </w:tr>
      <w:tr w:rsidRPr="00164C5A" w:rsidR="00010951" w14:paraId="54FCE429" w14:textId="77777777">
        <w:tc>
          <w:tcPr>
            <w:tcW w:w="3865" w:type="dxa"/>
          </w:tcPr>
          <w:p w:rsidRPr="00841E84" w:rsidR="00010951" w:rsidRDefault="00010951" w14:paraId="6E4FC077" w14:textId="77777777">
            <w:pPr>
              <w:rPr>
                <w:rFonts w:ascii="Palatino Linotype" w:hAnsi="Palatino Linotype"/>
                <w:sz w:val="20"/>
                <w:szCs w:val="20"/>
              </w:rPr>
            </w:pPr>
            <w:r w:rsidRPr="001221C0">
              <w:rPr>
                <w:rFonts w:ascii="Palatino Linotype" w:hAnsi="Palatino Linotype"/>
                <w:b/>
                <w:bCs w:val="0"/>
                <w:sz w:val="20"/>
                <w:szCs w:val="20"/>
              </w:rPr>
              <w:lastRenderedPageBreak/>
              <w:t>[1</w:t>
            </w:r>
            <w:r>
              <w:rPr>
                <w:rFonts w:ascii="Palatino Linotype" w:hAnsi="Palatino Linotype"/>
                <w:b/>
                <w:bCs w:val="0"/>
                <w:sz w:val="20"/>
                <w:szCs w:val="20"/>
              </w:rPr>
              <w:t>2</w:t>
            </w:r>
            <w:r w:rsidRPr="001221C0">
              <w:rPr>
                <w:rFonts w:ascii="Palatino Linotype" w:hAnsi="Palatino Linotype"/>
                <w:b/>
                <w:bCs w:val="0"/>
                <w:sz w:val="20"/>
                <w:szCs w:val="20"/>
              </w:rPr>
              <w:t xml:space="preserve">] </w:t>
            </w:r>
            <w:hyperlink w:tgtFrame="_blank" w:history="1" r:id="rId63">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at p.</w:t>
            </w:r>
            <w:r>
              <w:rPr>
                <w:rFonts w:ascii="Palatino Linotype" w:hAnsi="Palatino Linotype"/>
                <w:color w:val="000000" w:themeColor="text1"/>
                <w:sz w:val="20"/>
                <w:szCs w:val="20"/>
              </w:rPr>
              <w:t xml:space="preserve"> 23. </w:t>
            </w:r>
            <w:r w:rsidRPr="00AA4800">
              <w:rPr>
                <w:rFonts w:ascii="Palatino Linotype" w:hAnsi="Palatino Linotype"/>
                <w:i/>
                <w:iCs/>
                <w:sz w:val="20"/>
                <w:szCs w:val="20"/>
              </w:rPr>
              <w:t>PG&amp;E shall justify the total budget amount with specific citations including page numbers referring to Commission policies in which the budget or explicit escalation factor was approved.</w:t>
            </w:r>
          </w:p>
        </w:tc>
        <w:tc>
          <w:tcPr>
            <w:tcW w:w="5472" w:type="dxa"/>
          </w:tcPr>
          <w:p w:rsidRPr="005405D0" w:rsidR="00010951" w:rsidRDefault="00010951" w14:paraId="049787F3" w14:textId="77777777">
            <w:pPr>
              <w:rPr>
                <w:rFonts w:ascii="Palatino Linotype" w:hAnsi="Palatino Linotype"/>
                <w:sz w:val="20"/>
                <w:szCs w:val="20"/>
              </w:rPr>
            </w:pPr>
            <w:r>
              <w:rPr>
                <w:rFonts w:ascii="Palatino Linotype" w:hAnsi="Palatino Linotype"/>
                <w:sz w:val="20"/>
                <w:szCs w:val="20"/>
              </w:rPr>
              <w:t>PG&amp;E described imputed funding amounts in Appendix 7, stating: “</w:t>
            </w:r>
            <w:r w:rsidRPr="005405D0">
              <w:rPr>
                <w:rFonts w:ascii="Palatino Linotype" w:hAnsi="Palatino Linotype"/>
                <w:sz w:val="20"/>
                <w:szCs w:val="20"/>
              </w:rPr>
              <w:t>These imputed values differ from the adopted forecast as presented in the Decision narrative because the</w:t>
            </w:r>
          </w:p>
          <w:p w:rsidRPr="00841E84" w:rsidR="00010951" w:rsidRDefault="00010951" w14:paraId="44472C5A" w14:textId="77777777">
            <w:pPr>
              <w:rPr>
                <w:rFonts w:ascii="Palatino Linotype" w:hAnsi="Palatino Linotype"/>
                <w:sz w:val="20"/>
                <w:szCs w:val="20"/>
              </w:rPr>
            </w:pPr>
            <w:r w:rsidRPr="005405D0">
              <w:rPr>
                <w:rFonts w:ascii="Palatino Linotype" w:hAnsi="Palatino Linotype"/>
                <w:sz w:val="20"/>
                <w:szCs w:val="20"/>
              </w:rPr>
              <w:t>imputed values reflect the adopted escalation update. The adopted forecast amounts presented in the</w:t>
            </w:r>
            <w:r>
              <w:rPr>
                <w:rFonts w:ascii="Palatino Linotype" w:hAnsi="Palatino Linotype"/>
                <w:sz w:val="20"/>
                <w:szCs w:val="20"/>
              </w:rPr>
              <w:t xml:space="preserve"> </w:t>
            </w:r>
            <w:r w:rsidRPr="005405D0">
              <w:rPr>
                <w:rFonts w:ascii="Palatino Linotype" w:hAnsi="Palatino Linotype"/>
                <w:sz w:val="20"/>
                <w:szCs w:val="20"/>
              </w:rPr>
              <w:t>Decision narrative do not include escalation adjustments. PG&amp;E submitted updated testimony on</w:t>
            </w:r>
            <w:r>
              <w:rPr>
                <w:rFonts w:ascii="Palatino Linotype" w:hAnsi="Palatino Linotype"/>
                <w:sz w:val="20"/>
                <w:szCs w:val="20"/>
              </w:rPr>
              <w:t xml:space="preserve"> </w:t>
            </w:r>
            <w:r w:rsidRPr="005405D0">
              <w:rPr>
                <w:rFonts w:ascii="Palatino Linotype" w:hAnsi="Palatino Linotype"/>
                <w:sz w:val="20"/>
                <w:szCs w:val="20"/>
              </w:rPr>
              <w:t>September 6, 2022, to reflect an inflation update over the initial escalation rates in PG&amp;E’s 2023 GRC</w:t>
            </w:r>
            <w:r>
              <w:rPr>
                <w:rFonts w:ascii="Palatino Linotype" w:hAnsi="Palatino Linotype"/>
                <w:sz w:val="20"/>
                <w:szCs w:val="20"/>
              </w:rPr>
              <w:t xml:space="preserve"> </w:t>
            </w:r>
            <w:r w:rsidRPr="005405D0">
              <w:rPr>
                <w:rFonts w:ascii="Palatino Linotype" w:hAnsi="Palatino Linotype"/>
                <w:sz w:val="20"/>
                <w:szCs w:val="20"/>
              </w:rPr>
              <w:t>Application filed on June 30, 2021. The Decision adopted 50% of the inflation update for the years 2021-2026.</w:t>
            </w:r>
            <w:r>
              <w:rPr>
                <w:rFonts w:ascii="Palatino Linotype" w:hAnsi="Palatino Linotype"/>
                <w:sz w:val="20"/>
                <w:szCs w:val="20"/>
              </w:rPr>
              <w:t>”</w:t>
            </w:r>
          </w:p>
        </w:tc>
        <w:tc>
          <w:tcPr>
            <w:tcW w:w="3888" w:type="dxa"/>
          </w:tcPr>
          <w:p w:rsidRPr="00711B05" w:rsidR="00010951" w:rsidRDefault="00010951" w14:paraId="797D3F93" w14:textId="212EF4F4">
            <w:pPr>
              <w:rPr>
                <w:rFonts w:ascii="Palatino Linotype" w:hAnsi="Palatino Linotype"/>
                <w:sz w:val="20"/>
                <w:szCs w:val="20"/>
              </w:rPr>
            </w:pPr>
            <w:r w:rsidRPr="00711B05">
              <w:rPr>
                <w:rFonts w:ascii="Palatino Linotype" w:hAnsi="Palatino Linotype"/>
                <w:sz w:val="20"/>
                <w:szCs w:val="20"/>
              </w:rPr>
              <w:t xml:space="preserve">PG&amp;E includes information on imputed funding amounts but does not justify the </w:t>
            </w:r>
            <w:proofErr w:type="gramStart"/>
            <w:r w:rsidRPr="00711B05">
              <w:rPr>
                <w:rFonts w:ascii="Palatino Linotype" w:hAnsi="Palatino Linotype"/>
                <w:sz w:val="20"/>
                <w:szCs w:val="20"/>
              </w:rPr>
              <w:t>total proposed</w:t>
            </w:r>
            <w:proofErr w:type="gramEnd"/>
            <w:r w:rsidRPr="00711B05">
              <w:rPr>
                <w:rFonts w:ascii="Palatino Linotype" w:hAnsi="Palatino Linotype"/>
                <w:sz w:val="20"/>
                <w:szCs w:val="20"/>
              </w:rPr>
              <w:t xml:space="preserve"> budget amount with specific citations including page numbers referring to Commission approved budgets and/or escalation factors.</w:t>
            </w:r>
            <w:r w:rsidRPr="00711B05">
              <w:rPr>
                <w:rStyle w:val="FootnoteReference"/>
                <w:rFonts w:ascii="Palatino Linotype" w:hAnsi="Palatino Linotype"/>
                <w:sz w:val="20"/>
                <w:szCs w:val="20"/>
              </w:rPr>
              <w:footnoteReference w:id="355"/>
            </w:r>
            <w:r w:rsidRPr="00711B05">
              <w:rPr>
                <w:rFonts w:ascii="Palatino Linotype" w:hAnsi="Palatino Linotype"/>
                <w:sz w:val="20"/>
                <w:szCs w:val="20"/>
              </w:rPr>
              <w:t xml:space="preserve">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37582AB6" w14:textId="77777777">
        <w:tc>
          <w:tcPr>
            <w:tcW w:w="3865" w:type="dxa"/>
          </w:tcPr>
          <w:p w:rsidRPr="00841E84" w:rsidR="00010951" w:rsidRDefault="00010951" w14:paraId="04C9D92E" w14:textId="77777777">
            <w:pPr>
              <w:rPr>
                <w:rFonts w:ascii="Palatino Linotype" w:hAnsi="Palatino Linotype"/>
                <w:sz w:val="20"/>
                <w:szCs w:val="20"/>
              </w:rPr>
            </w:pPr>
            <w:r w:rsidRPr="001221C0">
              <w:rPr>
                <w:rFonts w:ascii="Palatino Linotype" w:hAnsi="Palatino Linotype"/>
                <w:b/>
                <w:bCs w:val="0"/>
                <w:sz w:val="20"/>
                <w:szCs w:val="20"/>
              </w:rPr>
              <w:t>[1</w:t>
            </w:r>
            <w:r>
              <w:rPr>
                <w:rFonts w:ascii="Palatino Linotype" w:hAnsi="Palatino Linotype"/>
                <w:b/>
                <w:bCs w:val="0"/>
                <w:sz w:val="20"/>
                <w:szCs w:val="20"/>
              </w:rPr>
              <w:t>3</w:t>
            </w:r>
            <w:r w:rsidRPr="001221C0">
              <w:rPr>
                <w:rFonts w:ascii="Palatino Linotype" w:hAnsi="Palatino Linotype"/>
                <w:b/>
                <w:bCs w:val="0"/>
                <w:sz w:val="20"/>
                <w:szCs w:val="20"/>
              </w:rPr>
              <w:t xml:space="preserve">] </w:t>
            </w:r>
            <w:hyperlink w:tgtFrame="_blank" w:history="1" r:id="rId64">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at p.</w:t>
            </w:r>
            <w:r>
              <w:rPr>
                <w:rFonts w:ascii="Palatino Linotype" w:hAnsi="Palatino Linotype"/>
                <w:color w:val="000000" w:themeColor="text1"/>
                <w:sz w:val="20"/>
                <w:szCs w:val="20"/>
              </w:rPr>
              <w:t xml:space="preserve"> 23. </w:t>
            </w:r>
            <w:r w:rsidRPr="00AA4800">
              <w:rPr>
                <w:rFonts w:ascii="Palatino Linotype" w:hAnsi="Palatino Linotype"/>
                <w:i/>
                <w:iCs/>
                <w:sz w:val="20"/>
                <w:szCs w:val="20"/>
              </w:rPr>
              <w:t>PG&amp;E shall post proposed and approved Investment Plans publicly and easily accessible on its website and notify the CPUC of the web address; PG&amp;E shall also coordinate with other administrators to develop service lists of relevant ongoing CPUC Proceedings on which to serve Plans and consult with ED staff to ensure these lists are sufficient.</w:t>
            </w:r>
          </w:p>
        </w:tc>
        <w:tc>
          <w:tcPr>
            <w:tcW w:w="5472" w:type="dxa"/>
          </w:tcPr>
          <w:p w:rsidRPr="00841E84" w:rsidR="00010951" w:rsidRDefault="00010951" w14:paraId="4E9D7CD9" w14:textId="77777777">
            <w:pPr>
              <w:rPr>
                <w:rFonts w:ascii="Palatino Linotype" w:hAnsi="Palatino Linotype"/>
                <w:sz w:val="20"/>
                <w:szCs w:val="20"/>
              </w:rPr>
            </w:pPr>
            <w:r>
              <w:rPr>
                <w:rFonts w:ascii="Palatino Linotype" w:hAnsi="Palatino Linotype"/>
                <w:sz w:val="20"/>
                <w:szCs w:val="20"/>
              </w:rPr>
              <w:t>PG&amp;E posted its proposed 2026 Gas RD&amp;D Plan on its website.</w:t>
            </w:r>
            <w:r>
              <w:rPr>
                <w:rStyle w:val="FootnoteReference"/>
                <w:rFonts w:ascii="Palatino Linotype" w:hAnsi="Palatino Linotype"/>
                <w:sz w:val="20"/>
                <w:szCs w:val="20"/>
              </w:rPr>
              <w:footnoteReference w:id="356"/>
            </w:r>
            <w:r>
              <w:rPr>
                <w:rFonts w:ascii="Palatino Linotype" w:hAnsi="Palatino Linotype"/>
                <w:sz w:val="20"/>
                <w:szCs w:val="20"/>
              </w:rPr>
              <w:t xml:space="preserve"> On May 19, 2026, Energy Division provided PG&amp;E with recommended service lists for distribution of its Tier 3 AL with its proposed 2026 Gas RD&amp;D Plan. PG&amp;E states that “</w:t>
            </w:r>
            <w:r w:rsidRPr="00FB5AAE">
              <w:rPr>
                <w:rFonts w:ascii="Palatino Linotype" w:hAnsi="Palatino Linotype"/>
                <w:sz w:val="20"/>
                <w:szCs w:val="20"/>
              </w:rPr>
              <w:t xml:space="preserve">a copy of this advice letter </w:t>
            </w:r>
            <w:r>
              <w:rPr>
                <w:rFonts w:ascii="Palatino Linotype" w:hAnsi="Palatino Linotype"/>
                <w:sz w:val="20"/>
                <w:szCs w:val="20"/>
              </w:rPr>
              <w:t>[was]</w:t>
            </w:r>
            <w:r w:rsidRPr="00FB5AAE">
              <w:rPr>
                <w:rFonts w:ascii="Palatino Linotype" w:hAnsi="Palatino Linotype"/>
                <w:sz w:val="20"/>
                <w:szCs w:val="20"/>
              </w:rPr>
              <w:t xml:space="preserve"> sent electronically to parties shown on the attached list and the parties on the service lists for R.25-09-004, R.25-04-010, R.24-09-012, R.24-01-017, R.22-12-011, R.22-07-005, R.19-10-005, R.19-01-011, R.18-04-019, R.15-01-008, and R.13-02-008.</w:t>
            </w:r>
            <w:r>
              <w:rPr>
                <w:rFonts w:ascii="Palatino Linotype" w:hAnsi="Palatino Linotype"/>
                <w:sz w:val="20"/>
                <w:szCs w:val="20"/>
              </w:rPr>
              <w:t>”</w:t>
            </w:r>
            <w:r>
              <w:rPr>
                <w:rStyle w:val="FootnoteReference"/>
                <w:rFonts w:ascii="Palatino Linotype" w:hAnsi="Palatino Linotype"/>
                <w:sz w:val="20"/>
                <w:szCs w:val="20"/>
              </w:rPr>
              <w:footnoteReference w:id="357"/>
            </w:r>
          </w:p>
        </w:tc>
        <w:tc>
          <w:tcPr>
            <w:tcW w:w="3888" w:type="dxa"/>
          </w:tcPr>
          <w:p w:rsidRPr="00711B05" w:rsidR="00010951" w:rsidRDefault="00010951" w14:paraId="0ACB6115" w14:textId="77777777">
            <w:pPr>
              <w:rPr>
                <w:rFonts w:ascii="Palatino Linotype" w:hAnsi="Palatino Linotype"/>
                <w:b/>
                <w:bCs w:val="0"/>
                <w:sz w:val="20"/>
                <w:szCs w:val="20"/>
              </w:rPr>
            </w:pPr>
            <w:r w:rsidRPr="00711B05">
              <w:rPr>
                <w:rFonts w:ascii="Palatino Linotype" w:hAnsi="Palatino Linotype"/>
                <w:sz w:val="20"/>
                <w:szCs w:val="20"/>
              </w:rPr>
              <w:t xml:space="preserve">PG&amp;E posted its proposed 2026 Gas RD&amp;D Plan publicly and easily accessible on its website. PG&amp;E served its AL on service lists consistent with Energy Division recommendations and other Gas RD&amp;D administrators. </w:t>
            </w:r>
            <w:r w:rsidRPr="00711B05">
              <w:rPr>
                <w:rFonts w:ascii="Palatino Linotype" w:hAnsi="Palatino Linotype"/>
                <w:b/>
                <w:bCs w:val="0"/>
                <w:sz w:val="20"/>
                <w:szCs w:val="20"/>
              </w:rPr>
              <w:t>PG&amp;E is compliant with this requirement.</w:t>
            </w:r>
          </w:p>
        </w:tc>
      </w:tr>
      <w:tr w:rsidRPr="00164C5A" w:rsidR="00010951" w:rsidTr="00917561" w14:paraId="37CA9237" w14:textId="77777777">
        <w:tc>
          <w:tcPr>
            <w:tcW w:w="3865" w:type="dxa"/>
          </w:tcPr>
          <w:p w:rsidRPr="001C2CA8" w:rsidR="00010951" w:rsidRDefault="00010951" w14:paraId="4C6B57EA" w14:textId="77777777">
            <w:pPr>
              <w:rPr>
                <w:rFonts w:ascii="Palatino Linotype" w:hAnsi="Palatino Linotype"/>
                <w:i/>
                <w:iCs/>
                <w:sz w:val="20"/>
                <w:szCs w:val="20"/>
              </w:rPr>
            </w:pPr>
            <w:r w:rsidRPr="001221C0">
              <w:rPr>
                <w:rFonts w:ascii="Palatino Linotype" w:hAnsi="Palatino Linotype"/>
                <w:b/>
                <w:bCs w:val="0"/>
                <w:sz w:val="20"/>
                <w:szCs w:val="20"/>
              </w:rPr>
              <w:t>[1</w:t>
            </w:r>
            <w:r>
              <w:rPr>
                <w:rFonts w:ascii="Palatino Linotype" w:hAnsi="Palatino Linotype"/>
                <w:b/>
                <w:bCs w:val="0"/>
                <w:sz w:val="20"/>
                <w:szCs w:val="20"/>
              </w:rPr>
              <w:t>4</w:t>
            </w:r>
            <w:r w:rsidRPr="001221C0">
              <w:rPr>
                <w:rFonts w:ascii="Palatino Linotype" w:hAnsi="Palatino Linotype"/>
                <w:b/>
                <w:bCs w:val="0"/>
                <w:sz w:val="20"/>
                <w:szCs w:val="20"/>
              </w:rPr>
              <w:t xml:space="preserve">] </w:t>
            </w:r>
            <w:hyperlink w:tgtFrame="_blank" w:history="1" r:id="rId65">
              <w:r w:rsidRPr="001C2CA8">
                <w:rPr>
                  <w:rStyle w:val="Hyperlink"/>
                  <w:rFonts w:ascii="Palatino Linotype" w:hAnsi="Palatino Linotype"/>
                  <w:bCs w:val="0"/>
                  <w:sz w:val="20"/>
                  <w:szCs w:val="20"/>
                </w:rPr>
                <w:t>Resolution G-3618</w:t>
              </w:r>
            </w:hyperlink>
            <w:r w:rsidRPr="001C2CA8">
              <w:rPr>
                <w:rStyle w:val="FootnoteReference"/>
                <w:rFonts w:ascii="Palatino Linotype" w:hAnsi="Palatino Linotype"/>
                <w:sz w:val="20"/>
                <w:szCs w:val="20"/>
              </w:rPr>
              <w:t> </w:t>
            </w:r>
            <w:r w:rsidRPr="001C2CA8">
              <w:rPr>
                <w:rFonts w:ascii="Palatino Linotype" w:hAnsi="Palatino Linotype"/>
                <w:color w:val="000000" w:themeColor="text1"/>
                <w:sz w:val="20"/>
                <w:szCs w:val="20"/>
              </w:rPr>
              <w:t>at p. 23.</w:t>
            </w:r>
            <w:r w:rsidRPr="001C2CA8">
              <w:rPr>
                <w:rFonts w:ascii="Palatino Linotype" w:hAnsi="Palatino Linotype"/>
                <w:i/>
                <w:iCs/>
                <w:color w:val="000000" w:themeColor="text1"/>
                <w:sz w:val="20"/>
                <w:szCs w:val="20"/>
              </w:rPr>
              <w:t xml:space="preserve"> </w:t>
            </w:r>
            <w:r w:rsidRPr="001C2CA8">
              <w:rPr>
                <w:rFonts w:ascii="Palatino Linotype" w:hAnsi="Palatino Linotype"/>
                <w:i/>
                <w:iCs/>
                <w:sz w:val="20"/>
                <w:szCs w:val="20"/>
              </w:rPr>
              <w:t>Required information</w:t>
            </w:r>
            <w:r>
              <w:rPr>
                <w:rFonts w:ascii="Palatino Linotype" w:hAnsi="Palatino Linotype"/>
                <w:i/>
                <w:iCs/>
                <w:sz w:val="20"/>
                <w:szCs w:val="20"/>
              </w:rPr>
              <w:t xml:space="preserve"> </w:t>
            </w:r>
            <w:r w:rsidRPr="001C2CA8">
              <w:rPr>
                <w:rFonts w:ascii="Palatino Linotype" w:hAnsi="Palatino Linotype"/>
                <w:i/>
                <w:iCs/>
                <w:sz w:val="20"/>
                <w:szCs w:val="20"/>
              </w:rPr>
              <w:t>on funds encumbered, spent, and unspent</w:t>
            </w:r>
            <w:r>
              <w:rPr>
                <w:rStyle w:val="FootnoteReference"/>
                <w:rFonts w:ascii="Palatino Linotype" w:hAnsi="Palatino Linotype"/>
                <w:i/>
                <w:iCs/>
                <w:sz w:val="20"/>
                <w:szCs w:val="20"/>
              </w:rPr>
              <w:footnoteReference w:id="358"/>
            </w:r>
            <w:r w:rsidRPr="001C2CA8">
              <w:rPr>
                <w:rFonts w:ascii="Palatino Linotype" w:hAnsi="Palatino Linotype"/>
                <w:i/>
                <w:iCs/>
                <w:sz w:val="20"/>
                <w:szCs w:val="20"/>
              </w:rPr>
              <w:t xml:space="preserve"> should clearly identify the associated Initiative and approved </w:t>
            </w:r>
            <w:r w:rsidRPr="001C2CA8">
              <w:rPr>
                <w:rFonts w:ascii="Palatino Linotype" w:hAnsi="Palatino Linotype"/>
                <w:i/>
                <w:iCs/>
                <w:sz w:val="20"/>
                <w:szCs w:val="20"/>
              </w:rPr>
              <w:lastRenderedPageBreak/>
              <w:t>Investment Plan and include Program Administrative funds</w:t>
            </w:r>
            <w:r>
              <w:rPr>
                <w:rFonts w:ascii="Palatino Linotype" w:hAnsi="Palatino Linotype"/>
                <w:i/>
                <w:iCs/>
                <w:sz w:val="20"/>
                <w:szCs w:val="20"/>
              </w:rPr>
              <w:t>.</w:t>
            </w:r>
          </w:p>
        </w:tc>
        <w:tc>
          <w:tcPr>
            <w:tcW w:w="5472" w:type="dxa"/>
          </w:tcPr>
          <w:p w:rsidRPr="00841E84" w:rsidR="00010951" w:rsidRDefault="00010951" w14:paraId="4D189701" w14:textId="77777777">
            <w:pPr>
              <w:rPr>
                <w:rFonts w:ascii="Palatino Linotype" w:hAnsi="Palatino Linotype"/>
                <w:sz w:val="20"/>
                <w:szCs w:val="20"/>
              </w:rPr>
            </w:pPr>
            <w:r>
              <w:rPr>
                <w:rFonts w:ascii="Palatino Linotype" w:hAnsi="Palatino Linotype"/>
                <w:sz w:val="20"/>
                <w:szCs w:val="20"/>
              </w:rPr>
              <w:lastRenderedPageBreak/>
              <w:t>PG&amp;E provides information on funds encumbered, spent ($0), and unspent in Appendix 1: 2026 Gas RD&amp;D Plan Project List and in its Plan.</w:t>
            </w:r>
            <w:r>
              <w:rPr>
                <w:rStyle w:val="FootnoteReference"/>
                <w:rFonts w:ascii="Palatino Linotype" w:hAnsi="Palatino Linotype"/>
                <w:sz w:val="20"/>
                <w:szCs w:val="20"/>
              </w:rPr>
              <w:footnoteReference w:id="359"/>
            </w:r>
            <w:r>
              <w:rPr>
                <w:rFonts w:ascii="Palatino Linotype" w:hAnsi="Palatino Linotype"/>
                <w:sz w:val="20"/>
                <w:szCs w:val="20"/>
              </w:rPr>
              <w:t xml:space="preserve"> PG&amp;E’s request for its 2026 Gas RD&amp;D Plan in AL 5222-G includes the listed </w:t>
            </w:r>
            <w:r>
              <w:rPr>
                <w:rFonts w:ascii="Palatino Linotype" w:hAnsi="Palatino Linotype"/>
                <w:sz w:val="20"/>
                <w:szCs w:val="20"/>
              </w:rPr>
              <w:lastRenderedPageBreak/>
              <w:t xml:space="preserve">encumbered and unspent fund amounts for five projects. PG&amp;E does not </w:t>
            </w:r>
            <w:proofErr w:type="gramStart"/>
            <w:r>
              <w:rPr>
                <w:rFonts w:ascii="Palatino Linotype" w:hAnsi="Palatino Linotype"/>
                <w:sz w:val="20"/>
                <w:szCs w:val="20"/>
              </w:rPr>
              <w:t>report</w:t>
            </w:r>
            <w:proofErr w:type="gramEnd"/>
            <w:r>
              <w:rPr>
                <w:rFonts w:ascii="Palatino Linotype" w:hAnsi="Palatino Linotype"/>
                <w:sz w:val="20"/>
                <w:szCs w:val="20"/>
              </w:rPr>
              <w:t xml:space="preserve"> spending Program Administrative funds.</w:t>
            </w:r>
          </w:p>
        </w:tc>
        <w:tc>
          <w:tcPr>
            <w:tcW w:w="3888" w:type="dxa"/>
          </w:tcPr>
          <w:p w:rsidRPr="00841E84" w:rsidR="00010951" w:rsidRDefault="00010951" w14:paraId="4365E9E3" w14:textId="344C333F">
            <w:pPr>
              <w:rPr>
                <w:rFonts w:ascii="Palatino Linotype" w:hAnsi="Palatino Linotype"/>
                <w:sz w:val="20"/>
                <w:szCs w:val="20"/>
              </w:rPr>
            </w:pPr>
            <w:r>
              <w:rPr>
                <w:rFonts w:ascii="Palatino Linotype" w:hAnsi="Palatino Linotype"/>
                <w:sz w:val="20"/>
                <w:szCs w:val="20"/>
              </w:rPr>
              <w:lastRenderedPageBreak/>
              <w:t xml:space="preserve">PG&amp;E includes information on </w:t>
            </w:r>
            <w:r w:rsidRPr="00F913D8">
              <w:rPr>
                <w:rFonts w:ascii="Palatino Linotype" w:hAnsi="Palatino Linotype"/>
                <w:sz w:val="20"/>
                <w:szCs w:val="20"/>
              </w:rPr>
              <w:t xml:space="preserve">funds encumbered, </w:t>
            </w:r>
            <w:r w:rsidRPr="00711B05">
              <w:rPr>
                <w:rFonts w:ascii="Palatino Linotype" w:hAnsi="Palatino Linotype"/>
                <w:sz w:val="20"/>
                <w:szCs w:val="20"/>
              </w:rPr>
              <w:t>spent, and unspent</w:t>
            </w:r>
            <w:r w:rsidR="00C059D7">
              <w:rPr>
                <w:rFonts w:ascii="Palatino Linotype" w:hAnsi="Palatino Linotype"/>
                <w:sz w:val="20"/>
                <w:szCs w:val="20"/>
              </w:rPr>
              <w:t xml:space="preserve"> </w:t>
            </w:r>
            <w:r w:rsidRPr="00711B05">
              <w:rPr>
                <w:rFonts w:ascii="Palatino Linotype" w:hAnsi="Palatino Linotype"/>
                <w:sz w:val="20"/>
                <w:szCs w:val="20"/>
              </w:rPr>
              <w:t xml:space="preserve">in its 2026 Gas RD&amp;D Plan. </w:t>
            </w:r>
            <w:r w:rsidRPr="00711B05">
              <w:rPr>
                <w:rFonts w:ascii="Palatino Linotype" w:hAnsi="Palatino Linotype"/>
                <w:b/>
                <w:bCs w:val="0"/>
                <w:sz w:val="20"/>
                <w:szCs w:val="20"/>
              </w:rPr>
              <w:t>PG&amp;E is compliant with this requirement.</w:t>
            </w:r>
          </w:p>
        </w:tc>
      </w:tr>
    </w:tbl>
    <w:p w:rsidRPr="004C4BEB" w:rsidR="00A76F4A" w:rsidP="004C4BEB" w:rsidRDefault="00A76F4A" w14:paraId="4B41EBA0" w14:textId="77777777"/>
    <w:sectPr w:rsidRPr="004C4BEB" w:rsidR="00A76F4A" w:rsidSect="008F171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94CC" w14:textId="77777777" w:rsidR="00C61126" w:rsidRDefault="00C61126" w:rsidP="00A76F4A">
      <w:pPr>
        <w:spacing w:after="0" w:line="240" w:lineRule="auto"/>
      </w:pPr>
      <w:r>
        <w:separator/>
      </w:r>
    </w:p>
  </w:endnote>
  <w:endnote w:type="continuationSeparator" w:id="0">
    <w:p w14:paraId="5510FC11" w14:textId="77777777" w:rsidR="00C61126" w:rsidRDefault="00C61126"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00"/>
    <w:family w:val="auto"/>
    <w:pitch w:val="variable"/>
    <w:sig w:usb0="20000A87" w:usb1="08000000" w:usb2="00000008" w:usb3="00000000" w:csb0="0000011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2"/>
        <w:szCs w:val="22"/>
      </w:rPr>
      <w:id w:val="-495273077"/>
      <w:docPartObj>
        <w:docPartGallery w:val="Page Numbers (Bottom of Page)"/>
        <w:docPartUnique/>
      </w:docPartObj>
    </w:sdtPr>
    <w:sdtEndPr>
      <w:rPr>
        <w:noProof/>
      </w:rPr>
    </w:sdtEndPr>
    <w:sdtContent>
      <w:p w14:paraId="0D8786F3" w14:textId="5C6D8969" w:rsidR="002514A5" w:rsidRPr="009F50BD" w:rsidRDefault="002514A5">
        <w:pPr>
          <w:pStyle w:val="Footer"/>
          <w:jc w:val="center"/>
          <w:rPr>
            <w:rFonts w:ascii="Palatino Linotype" w:hAnsi="Palatino Linotype"/>
            <w:sz w:val="22"/>
            <w:szCs w:val="22"/>
          </w:rPr>
        </w:pPr>
        <w:r w:rsidRPr="009F50BD">
          <w:rPr>
            <w:rFonts w:ascii="Palatino Linotype" w:hAnsi="Palatino Linotype"/>
            <w:sz w:val="22"/>
            <w:szCs w:val="22"/>
          </w:rPr>
          <w:fldChar w:fldCharType="begin"/>
        </w:r>
        <w:r w:rsidRPr="009F50BD">
          <w:rPr>
            <w:rFonts w:ascii="Palatino Linotype" w:hAnsi="Palatino Linotype"/>
            <w:sz w:val="22"/>
            <w:szCs w:val="22"/>
          </w:rPr>
          <w:instrText xml:space="preserve"> PAGE   \* MERGEFORMAT </w:instrText>
        </w:r>
        <w:r w:rsidRPr="009F50BD">
          <w:rPr>
            <w:rFonts w:ascii="Palatino Linotype" w:hAnsi="Palatino Linotype"/>
            <w:sz w:val="22"/>
            <w:szCs w:val="22"/>
          </w:rPr>
          <w:fldChar w:fldCharType="separate"/>
        </w:r>
        <w:r w:rsidRPr="009F50BD">
          <w:rPr>
            <w:rFonts w:ascii="Palatino Linotype" w:hAnsi="Palatino Linotype"/>
            <w:noProof/>
            <w:sz w:val="22"/>
            <w:szCs w:val="22"/>
          </w:rPr>
          <w:t>2</w:t>
        </w:r>
        <w:r w:rsidRPr="009F50BD">
          <w:rPr>
            <w:rFonts w:ascii="Palatino Linotype" w:hAnsi="Palatino Linotype"/>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745F2FFB" w:rsidR="004A7A4C" w:rsidRPr="004A7A4C" w:rsidRDefault="00E37A3E" w:rsidP="004A7A4C">
        <w:pPr>
          <w:pStyle w:val="Footer"/>
          <w:rPr>
            <w:rFonts w:ascii="Palatino Linotype" w:hAnsi="Palatino Linotype"/>
          </w:rPr>
        </w:pPr>
        <w:r>
          <w:rPr>
            <w:rFonts w:ascii="Tahoma" w:hAnsi="Tahoma" w:cs="Tahoma"/>
            <w:sz w:val="18"/>
          </w:rPr>
          <w:t>614716938</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5F8C7" w14:textId="77777777" w:rsidR="00C61126" w:rsidRDefault="00C61126" w:rsidP="00A76F4A">
      <w:pPr>
        <w:spacing w:after="0" w:line="240" w:lineRule="auto"/>
      </w:pPr>
      <w:r>
        <w:separator/>
      </w:r>
    </w:p>
  </w:footnote>
  <w:footnote w:type="continuationSeparator" w:id="0">
    <w:p w14:paraId="383EA291" w14:textId="77777777" w:rsidR="00C61126" w:rsidRDefault="00C61126" w:rsidP="00A76F4A">
      <w:pPr>
        <w:spacing w:after="0" w:line="240" w:lineRule="auto"/>
      </w:pPr>
      <w:r>
        <w:continuationSeparator/>
      </w:r>
    </w:p>
  </w:footnote>
  <w:footnote w:id="1">
    <w:p w14:paraId="79827157" w14:textId="7E648B17" w:rsidR="00EC4768" w:rsidRDefault="00EC4768">
      <w:pPr>
        <w:pStyle w:val="FootnoteText"/>
      </w:pPr>
      <w:r>
        <w:rPr>
          <w:rStyle w:val="FootnoteReference"/>
        </w:rPr>
        <w:footnoteRef/>
      </w:r>
      <w:r>
        <w:t xml:space="preserve"> </w:t>
      </w:r>
      <w:hyperlink r:id="rId1" w:history="1">
        <w:r>
          <w:rPr>
            <w:rStyle w:val="Hyperlink"/>
            <w:rFonts w:ascii="Palatino Linotype" w:hAnsi="Palatino Linotype"/>
            <w:szCs w:val="16"/>
          </w:rPr>
          <w:t>D</w:t>
        </w:r>
        <w:r w:rsidRPr="00FB6840">
          <w:rPr>
            <w:rStyle w:val="Hyperlink"/>
            <w:rFonts w:ascii="Palatino Linotype" w:hAnsi="Palatino Linotype"/>
            <w:szCs w:val="16"/>
          </w:rPr>
          <w:t>.23-11-069</w:t>
        </w:r>
      </w:hyperlink>
      <w:r w:rsidR="00CD2603">
        <w:rPr>
          <w:rFonts w:ascii="Palatino Linotype" w:hAnsi="Palatino Linotype"/>
          <w:szCs w:val="16"/>
        </w:rPr>
        <w:t>:</w:t>
      </w:r>
      <w:r w:rsidRPr="00FB6840">
        <w:rPr>
          <w:rFonts w:ascii="Palatino Linotype" w:hAnsi="Palatino Linotype"/>
          <w:szCs w:val="16"/>
        </w:rPr>
        <w:t xml:space="preserve"> Decision on Test Year 2023 General Rate Case</w:t>
      </w:r>
      <w:r w:rsidR="00B703D2">
        <w:rPr>
          <w:rFonts w:ascii="Palatino Linotype" w:hAnsi="Palatino Linotype"/>
          <w:szCs w:val="16"/>
        </w:rPr>
        <w:t xml:space="preserve"> (GRC)</w:t>
      </w:r>
      <w:r w:rsidRPr="00FB6840">
        <w:rPr>
          <w:rFonts w:ascii="Palatino Linotype" w:hAnsi="Palatino Linotype"/>
          <w:szCs w:val="16"/>
        </w:rPr>
        <w:t xml:space="preserve"> for Pacific Gas and Electric Company</w:t>
      </w:r>
      <w:r>
        <w:rPr>
          <w:rFonts w:ascii="Palatino Linotype" w:hAnsi="Palatino Linotype"/>
          <w:szCs w:val="16"/>
        </w:rPr>
        <w:t>.</w:t>
      </w:r>
    </w:p>
  </w:footnote>
  <w:footnote w:id="2">
    <w:p w14:paraId="5B430831" w14:textId="3BF3509E" w:rsidR="00686975" w:rsidRDefault="00686975" w:rsidP="00686975">
      <w:pPr>
        <w:pStyle w:val="FootnoteText"/>
      </w:pPr>
      <w:r>
        <w:rPr>
          <w:rStyle w:val="FootnoteReference"/>
        </w:rPr>
        <w:footnoteRef/>
      </w:r>
      <w:r>
        <w:t xml:space="preserve"> </w:t>
      </w:r>
      <w:r w:rsidRPr="00B7366C">
        <w:rPr>
          <w:rFonts w:ascii="Palatino Linotype" w:hAnsi="Palatino Linotype"/>
        </w:rPr>
        <w:t xml:space="preserve">See </w:t>
      </w:r>
      <w:r>
        <w:rPr>
          <w:rFonts w:ascii="Palatino Linotype" w:hAnsi="Palatino Linotype"/>
        </w:rPr>
        <w:t>Resolution G</w:t>
      </w:r>
      <w:r w:rsidR="00270125">
        <w:rPr>
          <w:rFonts w:ascii="Palatino Linotype" w:hAnsi="Palatino Linotype"/>
        </w:rPr>
        <w:t>-3</w:t>
      </w:r>
      <w:r w:rsidR="00C35946">
        <w:rPr>
          <w:rFonts w:ascii="Palatino Linotype" w:hAnsi="Palatino Linotype"/>
        </w:rPr>
        <w:t>62</w:t>
      </w:r>
      <w:r w:rsidR="00270125">
        <w:rPr>
          <w:rFonts w:ascii="Palatino Linotype" w:hAnsi="Palatino Linotype"/>
        </w:rPr>
        <w:t xml:space="preserve">3 </w:t>
      </w:r>
      <w:r>
        <w:rPr>
          <w:rFonts w:ascii="Palatino Linotype" w:hAnsi="Palatino Linotype"/>
        </w:rPr>
        <w:t xml:space="preserve">at </w:t>
      </w:r>
      <w:r w:rsidRPr="00CC2B38">
        <w:rPr>
          <w:rFonts w:ascii="Palatino Linotype" w:hAnsi="Palatino Linotype"/>
        </w:rPr>
        <w:t>Appendix A: PG&amp;E’s 2024</w:t>
      </w:r>
      <w:r>
        <w:rPr>
          <w:rFonts w:ascii="Palatino Linotype" w:hAnsi="Palatino Linotype"/>
        </w:rPr>
        <w:t>-2026</w:t>
      </w:r>
      <w:r w:rsidRPr="00CC2B38">
        <w:rPr>
          <w:rFonts w:ascii="Palatino Linotype" w:hAnsi="Palatino Linotype"/>
        </w:rPr>
        <w:t xml:space="preserve"> Plans Proposed Budgets.</w:t>
      </w:r>
    </w:p>
  </w:footnote>
  <w:footnote w:id="3">
    <w:p w14:paraId="13CE8181" w14:textId="755E2992" w:rsidR="003F3690" w:rsidRDefault="003F3690">
      <w:pPr>
        <w:pStyle w:val="FootnoteText"/>
      </w:pPr>
      <w:r>
        <w:rPr>
          <w:rStyle w:val="FootnoteReference"/>
        </w:rPr>
        <w:footnoteRef/>
      </w:r>
      <w:r>
        <w:t xml:space="preserve"> </w:t>
      </w:r>
      <w:r w:rsidRPr="00B7366C">
        <w:rPr>
          <w:rFonts w:ascii="Palatino Linotype" w:hAnsi="Palatino Linotype"/>
        </w:rPr>
        <w:t xml:space="preserve">See </w:t>
      </w:r>
      <w:r>
        <w:rPr>
          <w:rFonts w:ascii="Palatino Linotype" w:hAnsi="Palatino Linotype"/>
        </w:rPr>
        <w:t xml:space="preserve">Resolution </w:t>
      </w:r>
      <w:r w:rsidR="00270125">
        <w:rPr>
          <w:rFonts w:ascii="Palatino Linotype" w:hAnsi="Palatino Linotype"/>
        </w:rPr>
        <w:t>G-3</w:t>
      </w:r>
      <w:r w:rsidR="009A7A3C">
        <w:rPr>
          <w:rFonts w:ascii="Palatino Linotype" w:hAnsi="Palatino Linotype"/>
        </w:rPr>
        <w:t>623</w:t>
      </w:r>
      <w:r w:rsidR="00270125">
        <w:rPr>
          <w:rFonts w:ascii="Palatino Linotype" w:hAnsi="Palatino Linotype"/>
        </w:rPr>
        <w:t xml:space="preserve"> </w:t>
      </w:r>
      <w:r>
        <w:rPr>
          <w:rFonts w:ascii="Palatino Linotype" w:hAnsi="Palatino Linotype"/>
        </w:rPr>
        <w:t xml:space="preserve">at </w:t>
      </w:r>
      <w:r w:rsidRPr="00CC2B38">
        <w:rPr>
          <w:rFonts w:ascii="Palatino Linotype" w:hAnsi="Palatino Linotype"/>
        </w:rPr>
        <w:t xml:space="preserve">Appendix </w:t>
      </w:r>
      <w:r>
        <w:rPr>
          <w:rFonts w:ascii="Palatino Linotype" w:hAnsi="Palatino Linotype"/>
        </w:rPr>
        <w:t xml:space="preserve">B: </w:t>
      </w:r>
      <w:r w:rsidRPr="00CC2B38">
        <w:rPr>
          <w:rFonts w:ascii="Palatino Linotype" w:hAnsi="Palatino Linotype"/>
        </w:rPr>
        <w:t>PG&amp;E’s 2024</w:t>
      </w:r>
      <w:r>
        <w:rPr>
          <w:rFonts w:ascii="Palatino Linotype" w:hAnsi="Palatino Linotype"/>
        </w:rPr>
        <w:t>-2026</w:t>
      </w:r>
      <w:r w:rsidRPr="00CC2B38">
        <w:rPr>
          <w:rFonts w:ascii="Palatino Linotype" w:hAnsi="Palatino Linotype"/>
        </w:rPr>
        <w:t xml:space="preserve"> Plans </w:t>
      </w:r>
      <w:r>
        <w:rPr>
          <w:rFonts w:ascii="Palatino Linotype" w:hAnsi="Palatino Linotype"/>
        </w:rPr>
        <w:t xml:space="preserve">Commission-Modified </w:t>
      </w:r>
      <w:r w:rsidRPr="00CC2B38">
        <w:rPr>
          <w:rFonts w:ascii="Palatino Linotype" w:hAnsi="Palatino Linotype"/>
        </w:rPr>
        <w:t>Budgets.</w:t>
      </w:r>
    </w:p>
  </w:footnote>
  <w:footnote w:id="4">
    <w:p w14:paraId="2A26760D" w14:textId="12C7F044" w:rsidR="00DF1099" w:rsidRDefault="00DF1099">
      <w:pPr>
        <w:pStyle w:val="FootnoteText"/>
      </w:pPr>
      <w:r>
        <w:rPr>
          <w:rStyle w:val="FootnoteReference"/>
        </w:rPr>
        <w:footnoteRef/>
      </w:r>
      <w:r>
        <w:t xml:space="preserve"> </w:t>
      </w:r>
      <w:r>
        <w:rPr>
          <w:rFonts w:ascii="Palatino Linotype" w:hAnsi="Palatino Linotype"/>
        </w:rPr>
        <w:t>The Commission’s compliance assessment of AL</w:t>
      </w:r>
      <w:r w:rsidR="0075777D">
        <w:rPr>
          <w:rFonts w:ascii="Palatino Linotype" w:hAnsi="Palatino Linotype"/>
        </w:rPr>
        <w:t xml:space="preserve"> 5222-</w:t>
      </w:r>
      <w:r>
        <w:rPr>
          <w:rFonts w:ascii="Palatino Linotype" w:hAnsi="Palatino Linotype"/>
          <w:color w:val="000000" w:themeColor="text1"/>
        </w:rPr>
        <w:t>G</w:t>
      </w:r>
      <w:r>
        <w:rPr>
          <w:rFonts w:ascii="Palatino Linotype" w:hAnsi="Palatino Linotype"/>
        </w:rPr>
        <w:t xml:space="preserve"> with requirements (a) &amp; (b) is captured in the compliance assessment </w:t>
      </w:r>
      <w:r w:rsidRPr="00DF02CC">
        <w:rPr>
          <w:rFonts w:ascii="Palatino Linotype" w:hAnsi="Palatino Linotype"/>
          <w:color w:val="000000" w:themeColor="text1"/>
        </w:rPr>
        <w:t xml:space="preserve">of </w:t>
      </w:r>
      <w:hyperlink r:id="rId2" w:history="1">
        <w:r w:rsidRPr="00675BC3">
          <w:rPr>
            <w:rStyle w:val="Hyperlink"/>
            <w:rFonts w:ascii="Palatino Linotype" w:hAnsi="Palatino Linotype"/>
          </w:rPr>
          <w:t>Resolution G-3618</w:t>
        </w:r>
      </w:hyperlink>
      <w:r w:rsidRPr="00262F3C">
        <w:rPr>
          <w:rFonts w:ascii="Palatino Linotype" w:hAnsi="Palatino Linotype"/>
        </w:rPr>
        <w:t xml:space="preserve"> at</w:t>
      </w:r>
      <w:r>
        <w:rPr>
          <w:rFonts w:ascii="Palatino Linotype" w:hAnsi="Palatino Linotype"/>
        </w:rPr>
        <w:t xml:space="preserve"> p. 20-21 under Initiative Criteria</w:t>
      </w:r>
      <w:r w:rsidR="00844978">
        <w:rPr>
          <w:rFonts w:ascii="Palatino Linotype" w:hAnsi="Palatino Linotype"/>
        </w:rPr>
        <w:t xml:space="preserve"> 4. Anticipated Impacts.</w:t>
      </w:r>
    </w:p>
  </w:footnote>
  <w:footnote w:id="5">
    <w:p w14:paraId="0AB222B3" w14:textId="5D55EFDE" w:rsidR="00036840" w:rsidRDefault="00036840">
      <w:pPr>
        <w:pStyle w:val="FootnoteText"/>
        <w:rPr>
          <w:rFonts w:ascii="Palatino Linotype" w:hAnsi="Palatino Linotype"/>
        </w:rPr>
      </w:pPr>
      <w:r>
        <w:rPr>
          <w:rStyle w:val="FootnoteReference"/>
        </w:rPr>
        <w:footnoteRef/>
      </w:r>
      <w:r>
        <w:t xml:space="preserve"> </w:t>
      </w:r>
      <w:r w:rsidR="00862266">
        <w:rPr>
          <w:rFonts w:ascii="Palatino Linotype" w:hAnsi="Palatino Linotype"/>
        </w:rPr>
        <w:t xml:space="preserve">The Commission’s compliance assessment of this requirement is captured in the compliance assessment </w:t>
      </w:r>
      <w:r w:rsidR="00862266" w:rsidRPr="00DF02CC">
        <w:rPr>
          <w:rFonts w:ascii="Palatino Linotype" w:hAnsi="Palatino Linotype"/>
          <w:color w:val="000000" w:themeColor="text1"/>
        </w:rPr>
        <w:t xml:space="preserve">of AL </w:t>
      </w:r>
      <w:r w:rsidR="00DF02CC" w:rsidRPr="000E2D86">
        <w:rPr>
          <w:rFonts w:ascii="Palatino Linotype" w:hAnsi="Palatino Linotype"/>
          <w:color w:val="000000" w:themeColor="text1"/>
        </w:rPr>
        <w:t>5196-G</w:t>
      </w:r>
      <w:r w:rsidR="000E2D86" w:rsidRPr="000E2D86">
        <w:rPr>
          <w:rFonts w:ascii="Palatino Linotype" w:hAnsi="Palatino Linotype"/>
          <w:color w:val="000000" w:themeColor="text1"/>
        </w:rPr>
        <w:t xml:space="preserve">, </w:t>
      </w:r>
      <w:r w:rsidR="00862266" w:rsidRPr="000E2D86">
        <w:rPr>
          <w:rFonts w:ascii="Palatino Linotype" w:hAnsi="Palatino Linotype"/>
          <w:color w:val="000000" w:themeColor="text1"/>
        </w:rPr>
        <w:t>5</w:t>
      </w:r>
      <w:r w:rsidR="00DF02CC" w:rsidRPr="000E2D86">
        <w:rPr>
          <w:rFonts w:ascii="Palatino Linotype" w:hAnsi="Palatino Linotype"/>
          <w:color w:val="000000" w:themeColor="text1"/>
        </w:rPr>
        <w:t>197</w:t>
      </w:r>
      <w:r w:rsidR="00862266" w:rsidRPr="000E2D86">
        <w:rPr>
          <w:rFonts w:ascii="Palatino Linotype" w:hAnsi="Palatino Linotype"/>
          <w:color w:val="000000" w:themeColor="text1"/>
        </w:rPr>
        <w:t>-G</w:t>
      </w:r>
      <w:r w:rsidR="000E2D86">
        <w:rPr>
          <w:rFonts w:ascii="Palatino Linotype" w:hAnsi="Palatino Linotype"/>
          <w:color w:val="000000" w:themeColor="text1"/>
        </w:rPr>
        <w:t>, and</w:t>
      </w:r>
      <w:r w:rsidR="0075777D">
        <w:rPr>
          <w:rFonts w:ascii="Palatino Linotype" w:hAnsi="Palatino Linotype"/>
          <w:color w:val="000000" w:themeColor="text1"/>
        </w:rPr>
        <w:t xml:space="preserve"> 5222-</w:t>
      </w:r>
      <w:r w:rsidR="000E2D86">
        <w:rPr>
          <w:rFonts w:ascii="Palatino Linotype" w:hAnsi="Palatino Linotype"/>
          <w:color w:val="000000" w:themeColor="text1"/>
        </w:rPr>
        <w:t>G</w:t>
      </w:r>
      <w:r w:rsidR="00862266" w:rsidRPr="00DF02CC">
        <w:rPr>
          <w:rFonts w:ascii="Palatino Linotype" w:hAnsi="Palatino Linotype"/>
          <w:color w:val="000000" w:themeColor="text1"/>
        </w:rPr>
        <w:t xml:space="preserve"> </w:t>
      </w:r>
      <w:r w:rsidR="00862266">
        <w:rPr>
          <w:rFonts w:ascii="Palatino Linotype" w:hAnsi="Palatino Linotype"/>
        </w:rPr>
        <w:t xml:space="preserve">with </w:t>
      </w:r>
      <w:hyperlink r:id="rId3" w:history="1">
        <w:r w:rsidR="00862266" w:rsidRPr="06F49983">
          <w:rPr>
            <w:rStyle w:val="Hyperlink"/>
            <w:rFonts w:ascii="Palatino Linotype" w:hAnsi="Palatino Linotype"/>
          </w:rPr>
          <w:t>D.23-11-069</w:t>
        </w:r>
      </w:hyperlink>
      <w:r w:rsidR="00862266" w:rsidRPr="06F49983">
        <w:rPr>
          <w:rFonts w:ascii="Palatino Linotype" w:hAnsi="Palatino Linotype"/>
        </w:rPr>
        <w:t xml:space="preserve"> at </w:t>
      </w:r>
      <w:r w:rsidR="00920656" w:rsidRPr="06F49983">
        <w:rPr>
          <w:rFonts w:ascii="Palatino Linotype" w:hAnsi="Palatino Linotype"/>
        </w:rPr>
        <w:t>(2)</w:t>
      </w:r>
      <w:r w:rsidR="00BD7A81" w:rsidRPr="06F49983">
        <w:rPr>
          <w:rFonts w:ascii="Palatino Linotype" w:hAnsi="Palatino Linotype"/>
        </w:rPr>
        <w:t xml:space="preserve"> and (4) listed below.</w:t>
      </w:r>
      <w:r w:rsidR="06F49983" w:rsidRPr="06F49983">
        <w:rPr>
          <w:rFonts w:ascii="Palatino Linotype" w:hAnsi="Palatino Linotype"/>
        </w:rPr>
        <w:t xml:space="preserve"> </w:t>
      </w:r>
    </w:p>
  </w:footnote>
  <w:footnote w:id="6">
    <w:p w14:paraId="753C21F8" w14:textId="66A9BAAD" w:rsidR="00E008FF" w:rsidRPr="0092007F" w:rsidRDefault="00260A9F" w:rsidP="00AF121B">
      <w:pPr>
        <w:pStyle w:val="FootnoteText"/>
        <w:rPr>
          <w:rFonts w:ascii="Palatino Linotype" w:hAnsi="Palatino Linotype"/>
          <w:color w:val="FF0000"/>
        </w:rPr>
      </w:pPr>
      <w:r>
        <w:rPr>
          <w:rStyle w:val="FootnoteReference"/>
        </w:rPr>
        <w:footnoteRef/>
      </w:r>
      <w:r>
        <w:t xml:space="preserve"> </w:t>
      </w:r>
      <w:r w:rsidR="00D35FB3" w:rsidRPr="00D35FB3">
        <w:rPr>
          <w:rFonts w:ascii="Palatino Linotype" w:hAnsi="Palatino Linotype"/>
        </w:rPr>
        <w:t>Consistent with</w:t>
      </w:r>
      <w:r>
        <w:t xml:space="preserve"> </w:t>
      </w:r>
      <w:hyperlink r:id="rId4">
        <w:r w:rsidR="00B00A14" w:rsidRPr="00B00A14">
          <w:rPr>
            <w:rStyle w:val="Hyperlink"/>
            <w:rFonts w:ascii="Palatino Linotype" w:hAnsi="Palatino Linotype"/>
          </w:rPr>
          <w:t>D.23-11-069</w:t>
        </w:r>
      </w:hyperlink>
      <w:r w:rsidR="00B00A14" w:rsidRPr="00B00A14">
        <w:rPr>
          <w:rFonts w:ascii="Palatino Linotype" w:hAnsi="Palatino Linotype"/>
        </w:rPr>
        <w:t xml:space="preserve"> at p. 217-</w:t>
      </w:r>
      <w:r w:rsidR="00B00A14" w:rsidRPr="008962E4">
        <w:rPr>
          <w:rFonts w:ascii="Palatino Linotype" w:hAnsi="Palatino Linotype"/>
        </w:rPr>
        <w:t xml:space="preserve">218. </w:t>
      </w:r>
      <w:r w:rsidR="001B5E7E">
        <w:rPr>
          <w:rFonts w:ascii="Palatino Linotype" w:hAnsi="Palatino Linotype"/>
        </w:rPr>
        <w:t xml:space="preserve">The Commission’s compliance assessment of AL </w:t>
      </w:r>
      <w:r w:rsidR="0075777D" w:rsidRPr="0075777D">
        <w:rPr>
          <w:rFonts w:ascii="Palatino Linotype" w:hAnsi="Palatino Linotype"/>
          <w:color w:val="000000" w:themeColor="text1"/>
        </w:rPr>
        <w:t>5222-</w:t>
      </w:r>
      <w:r w:rsidR="001B5E7E">
        <w:rPr>
          <w:rFonts w:ascii="Palatino Linotype" w:hAnsi="Palatino Linotype"/>
          <w:color w:val="000000" w:themeColor="text1"/>
        </w:rPr>
        <w:t>G</w:t>
      </w:r>
      <w:r w:rsidR="001B5E7E">
        <w:rPr>
          <w:rFonts w:ascii="Palatino Linotype" w:hAnsi="Palatino Linotype"/>
        </w:rPr>
        <w:t xml:space="preserve"> with this requirement is captured in the compliance assessment </w:t>
      </w:r>
      <w:r w:rsidR="001B5E7E" w:rsidRPr="00DF02CC">
        <w:rPr>
          <w:rFonts w:ascii="Palatino Linotype" w:hAnsi="Palatino Linotype"/>
          <w:color w:val="000000" w:themeColor="text1"/>
        </w:rPr>
        <w:t xml:space="preserve">of </w:t>
      </w:r>
      <w:hyperlink r:id="rId5" w:history="1">
        <w:r w:rsidR="001B5E7E" w:rsidRPr="00675BC3">
          <w:rPr>
            <w:rStyle w:val="Hyperlink"/>
            <w:rFonts w:ascii="Palatino Linotype" w:hAnsi="Palatino Linotype"/>
          </w:rPr>
          <w:t>Resolution G-3618</w:t>
        </w:r>
      </w:hyperlink>
      <w:r w:rsidR="001B5E7E" w:rsidRPr="00262F3C">
        <w:rPr>
          <w:rFonts w:ascii="Palatino Linotype" w:hAnsi="Palatino Linotype"/>
        </w:rPr>
        <w:t xml:space="preserve"> at</w:t>
      </w:r>
      <w:r w:rsidR="001B5E7E">
        <w:rPr>
          <w:rFonts w:ascii="Palatino Linotype" w:hAnsi="Palatino Linotype"/>
        </w:rPr>
        <w:t xml:space="preserve"> p. 20-21 under Initiative Criteria 3. Identified Need.</w:t>
      </w:r>
    </w:p>
  </w:footnote>
  <w:footnote w:id="7">
    <w:p w14:paraId="5D13F325" w14:textId="178AB69D" w:rsidR="00C90AF8" w:rsidRDefault="00C90AF8">
      <w:pPr>
        <w:pStyle w:val="FootnoteText"/>
      </w:pPr>
      <w:r>
        <w:rPr>
          <w:rStyle w:val="FootnoteReference"/>
        </w:rPr>
        <w:footnoteRef/>
      </w:r>
      <w:r>
        <w:t xml:space="preserve"> </w:t>
      </w:r>
      <w:r>
        <w:rPr>
          <w:rFonts w:ascii="Palatino Linotype" w:hAnsi="Palatino Linotype"/>
        </w:rPr>
        <w:t xml:space="preserve">Consistent with </w:t>
      </w:r>
      <w:hyperlink r:id="rId6" w:history="1">
        <w:r w:rsidRPr="0084476C">
          <w:rPr>
            <w:rStyle w:val="Hyperlink"/>
            <w:rFonts w:ascii="Palatino Linotype" w:hAnsi="Palatino Linotype"/>
          </w:rPr>
          <w:t>Executive Order (EO) N-5-24</w:t>
        </w:r>
      </w:hyperlink>
      <w:r w:rsidRPr="00960D65">
        <w:rPr>
          <w:rFonts w:ascii="Palatino Linotype" w:hAnsi="Palatino Linotype"/>
        </w:rPr>
        <w:t xml:space="preserve"> (Newsom, 2024) </w:t>
      </w:r>
      <w:r w:rsidR="00232459">
        <w:rPr>
          <w:rFonts w:ascii="Palatino Linotype" w:hAnsi="Palatino Linotype"/>
        </w:rPr>
        <w:t>O</w:t>
      </w:r>
      <w:r w:rsidRPr="00960D65">
        <w:rPr>
          <w:rFonts w:ascii="Palatino Linotype" w:hAnsi="Palatino Linotype"/>
        </w:rPr>
        <w:t>n reducing rates</w:t>
      </w:r>
      <w:r>
        <w:rPr>
          <w:rFonts w:ascii="Palatino Linotype" w:hAnsi="Palatino Linotype"/>
        </w:rPr>
        <w:t>.</w:t>
      </w:r>
      <w:r w:rsidR="00374035">
        <w:rPr>
          <w:rFonts w:ascii="Palatino Linotype" w:hAnsi="Palatino Linotype"/>
        </w:rPr>
        <w:t xml:space="preserve"> The </w:t>
      </w:r>
      <w:r w:rsidR="00500614">
        <w:rPr>
          <w:rFonts w:ascii="Palatino Linotype" w:hAnsi="Palatino Linotype"/>
        </w:rPr>
        <w:br/>
      </w:r>
      <w:r w:rsidR="00374035">
        <w:rPr>
          <w:rFonts w:ascii="Palatino Linotype" w:hAnsi="Palatino Linotype"/>
        </w:rPr>
        <w:t>Commission’s compliance assessment of AL</w:t>
      </w:r>
      <w:r w:rsidR="0075777D">
        <w:rPr>
          <w:rFonts w:ascii="Palatino Linotype" w:hAnsi="Palatino Linotype"/>
        </w:rPr>
        <w:t xml:space="preserve"> 5222-</w:t>
      </w:r>
      <w:r w:rsidR="00374035">
        <w:rPr>
          <w:rFonts w:ascii="Palatino Linotype" w:hAnsi="Palatino Linotype"/>
          <w:color w:val="000000" w:themeColor="text1"/>
        </w:rPr>
        <w:t>G</w:t>
      </w:r>
      <w:r w:rsidR="00374035">
        <w:rPr>
          <w:rFonts w:ascii="Palatino Linotype" w:hAnsi="Palatino Linotype"/>
        </w:rPr>
        <w:t xml:space="preserve"> with this requirement is captured in the compliance assessment </w:t>
      </w:r>
      <w:r w:rsidR="00374035" w:rsidRPr="00DF02CC">
        <w:rPr>
          <w:rFonts w:ascii="Palatino Linotype" w:hAnsi="Palatino Linotype"/>
          <w:color w:val="000000" w:themeColor="text1"/>
        </w:rPr>
        <w:t xml:space="preserve">of </w:t>
      </w:r>
      <w:hyperlink r:id="rId7" w:history="1">
        <w:r w:rsidR="00374035" w:rsidRPr="00675BC3">
          <w:rPr>
            <w:rStyle w:val="Hyperlink"/>
            <w:rFonts w:ascii="Palatino Linotype" w:hAnsi="Palatino Linotype"/>
          </w:rPr>
          <w:t>Resolution G-3618</w:t>
        </w:r>
      </w:hyperlink>
      <w:r w:rsidR="00374035" w:rsidRPr="00262F3C">
        <w:rPr>
          <w:rFonts w:ascii="Palatino Linotype" w:hAnsi="Palatino Linotype"/>
        </w:rPr>
        <w:t xml:space="preserve"> at</w:t>
      </w:r>
      <w:r w:rsidR="00374035">
        <w:rPr>
          <w:rFonts w:ascii="Palatino Linotype" w:hAnsi="Palatino Linotype"/>
        </w:rPr>
        <w:t xml:space="preserve"> p. 20-21 under Initiative Criteria </w:t>
      </w:r>
      <w:r w:rsidR="0016413B">
        <w:rPr>
          <w:rFonts w:ascii="Palatino Linotype" w:hAnsi="Palatino Linotype"/>
        </w:rPr>
        <w:t>1</w:t>
      </w:r>
      <w:r w:rsidR="00374035">
        <w:rPr>
          <w:rFonts w:ascii="Palatino Linotype" w:hAnsi="Palatino Linotype"/>
        </w:rPr>
        <w:t xml:space="preserve">. </w:t>
      </w:r>
      <w:r w:rsidR="00AE2CC1">
        <w:rPr>
          <w:rFonts w:ascii="Palatino Linotype" w:hAnsi="Palatino Linotype"/>
        </w:rPr>
        <w:t>Policy Priority.</w:t>
      </w:r>
    </w:p>
  </w:footnote>
  <w:footnote w:id="8">
    <w:p w14:paraId="12344FCE" w14:textId="4344B46D" w:rsidR="00462458" w:rsidRDefault="00462458" w:rsidP="00462458">
      <w:pPr>
        <w:pStyle w:val="FootnoteText"/>
      </w:pPr>
      <w:r w:rsidRPr="00D35FB3">
        <w:rPr>
          <w:rStyle w:val="FootnoteReference"/>
        </w:rPr>
        <w:footnoteRef/>
      </w:r>
      <w:r w:rsidRPr="00D35FB3">
        <w:rPr>
          <w:rStyle w:val="FootnoteReference"/>
        </w:rPr>
        <w:t xml:space="preserve"> </w:t>
      </w:r>
      <w:hyperlink r:id="rId8" w:history="1">
        <w:r>
          <w:rPr>
            <w:rStyle w:val="Hyperlink"/>
            <w:rFonts w:ascii="Palatino Linotype" w:hAnsi="Palatino Linotype"/>
            <w:szCs w:val="16"/>
          </w:rPr>
          <w:t>D</w:t>
        </w:r>
        <w:r w:rsidRPr="00FB6840">
          <w:rPr>
            <w:rStyle w:val="Hyperlink"/>
            <w:rFonts w:ascii="Palatino Linotype" w:hAnsi="Palatino Linotype"/>
            <w:szCs w:val="16"/>
          </w:rPr>
          <w:t>.23-11-069</w:t>
        </w:r>
      </w:hyperlink>
      <w:r w:rsidRPr="00FB6840">
        <w:rPr>
          <w:rFonts w:ascii="Palatino Linotype" w:hAnsi="Palatino Linotype"/>
          <w:szCs w:val="16"/>
        </w:rPr>
        <w:t xml:space="preserve"> at p. 21</w:t>
      </w:r>
      <w:r>
        <w:rPr>
          <w:rFonts w:ascii="Palatino Linotype" w:hAnsi="Palatino Linotype"/>
          <w:szCs w:val="16"/>
        </w:rPr>
        <w:t>7.</w:t>
      </w:r>
    </w:p>
  </w:footnote>
  <w:footnote w:id="9">
    <w:p w14:paraId="7BE64FE0" w14:textId="7A0B6916" w:rsidR="00462458" w:rsidRDefault="00462458" w:rsidP="00462458">
      <w:pPr>
        <w:pStyle w:val="FootnoteText"/>
      </w:pPr>
      <w:r>
        <w:rPr>
          <w:rStyle w:val="FootnoteReference"/>
        </w:rPr>
        <w:footnoteRef/>
      </w:r>
      <w:r>
        <w:t xml:space="preserve"> </w:t>
      </w:r>
      <w:hyperlink r:id="rId9"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at p. 740.</w:t>
      </w:r>
      <w:r w:rsidR="006B4AC5">
        <w:rPr>
          <w:rFonts w:ascii="Palatino Linotype" w:hAnsi="Palatino Linotype"/>
          <w:szCs w:val="16"/>
        </w:rPr>
        <w:t xml:space="preserve"> </w:t>
      </w:r>
      <w:r w:rsidR="006B4AC5" w:rsidRPr="00CF2811">
        <w:rPr>
          <w:rFonts w:ascii="Palatino Linotype" w:hAnsi="Palatino Linotype"/>
        </w:rPr>
        <w:t>The Commission authorized an $8.267 million budget cap for PG&amp;E’s 2025 Gas RD&amp;D Plan. The Commission may have authorized a budget cap higher than $8.267 million for PG&amp;E’s 2026 Plan based on the authorized escalation factor in D.23-11-069, however, PG&amp;E only proposed a 2026 Plan budget of $8.267 million.</w:t>
      </w:r>
    </w:p>
  </w:footnote>
  <w:footnote w:id="10">
    <w:p w14:paraId="1BB23D83" w14:textId="57517C96" w:rsidR="00F2303C" w:rsidRDefault="00F2303C" w:rsidP="00F2303C">
      <w:pPr>
        <w:pStyle w:val="FootnoteText"/>
      </w:pPr>
      <w:r>
        <w:rPr>
          <w:rStyle w:val="FootnoteReference"/>
        </w:rPr>
        <w:footnoteRef/>
      </w:r>
      <w:r>
        <w:t xml:space="preserve"> </w:t>
      </w:r>
      <w:hyperlink r:id="rId10"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 xml:space="preserve">at p. 217-218. </w:t>
      </w:r>
    </w:p>
  </w:footnote>
  <w:footnote w:id="11">
    <w:p w14:paraId="5295B532" w14:textId="31903785" w:rsidR="61D6D4C1" w:rsidRDefault="61D6D4C1" w:rsidP="00333C0E">
      <w:pPr>
        <w:pStyle w:val="FootnoteText"/>
      </w:pPr>
      <w:r w:rsidRPr="61D6D4C1">
        <w:rPr>
          <w:rStyle w:val="FootnoteReference"/>
        </w:rPr>
        <w:footnoteRef/>
      </w:r>
      <w:r>
        <w:t xml:space="preserve"> </w:t>
      </w:r>
      <w:hyperlink r:id="rId11" w:history="1">
        <w:r w:rsidR="00472595">
          <w:rPr>
            <w:rStyle w:val="Hyperlink"/>
            <w:rFonts w:ascii="Palatino Linotype" w:hAnsi="Palatino Linotype"/>
            <w:szCs w:val="16"/>
          </w:rPr>
          <w:t>D</w:t>
        </w:r>
        <w:r w:rsidR="00472595" w:rsidRPr="00FB6840">
          <w:rPr>
            <w:rStyle w:val="Hyperlink"/>
            <w:rFonts w:ascii="Palatino Linotype" w:hAnsi="Palatino Linotype"/>
            <w:szCs w:val="16"/>
          </w:rPr>
          <w:t>.23-11-069</w:t>
        </w:r>
      </w:hyperlink>
      <w:r w:rsidR="00472595" w:rsidRPr="00FB6840">
        <w:rPr>
          <w:rFonts w:ascii="Palatino Linotype" w:hAnsi="Palatino Linotype"/>
          <w:szCs w:val="16"/>
        </w:rPr>
        <w:t xml:space="preserve"> at p. 21</w:t>
      </w:r>
      <w:r w:rsidR="00472595">
        <w:rPr>
          <w:rFonts w:ascii="Palatino Linotype" w:hAnsi="Palatino Linotype"/>
          <w:szCs w:val="16"/>
        </w:rPr>
        <w:t>8-221.</w:t>
      </w:r>
    </w:p>
  </w:footnote>
  <w:footnote w:id="12">
    <w:p w14:paraId="4C5FF16C" w14:textId="225A88CA" w:rsidR="002204D2" w:rsidRPr="00394E55" w:rsidRDefault="002204D2" w:rsidP="00394E55">
      <w:pPr>
        <w:pStyle w:val="FootnoteText"/>
        <w:rPr>
          <w:rFonts w:ascii="Palatino Linotype" w:hAnsi="Palatino Linotype"/>
          <w:color w:val="000000" w:themeColor="text1"/>
        </w:rPr>
      </w:pPr>
      <w:r>
        <w:rPr>
          <w:rStyle w:val="FootnoteReference"/>
        </w:rPr>
        <w:footnoteRef/>
      </w:r>
      <w:r>
        <w:t xml:space="preserve"> </w:t>
      </w:r>
      <w:hyperlink r:id="rId12" w:history="1">
        <w:r w:rsidR="00AD6BCB">
          <w:rPr>
            <w:rStyle w:val="Hyperlink"/>
            <w:rFonts w:ascii="Palatino Linotype" w:hAnsi="Palatino Linotype"/>
            <w:szCs w:val="16"/>
          </w:rPr>
          <w:t>D</w:t>
        </w:r>
        <w:r w:rsidR="00AD6BCB" w:rsidRPr="00FB6840">
          <w:rPr>
            <w:rStyle w:val="Hyperlink"/>
            <w:rFonts w:ascii="Palatino Linotype" w:hAnsi="Palatino Linotype"/>
            <w:szCs w:val="16"/>
          </w:rPr>
          <w:t>.23-11-069</w:t>
        </w:r>
      </w:hyperlink>
      <w:r w:rsidR="00AD6BCB" w:rsidRPr="00FB6840">
        <w:rPr>
          <w:rFonts w:ascii="Palatino Linotype" w:hAnsi="Palatino Linotype"/>
          <w:szCs w:val="16"/>
        </w:rPr>
        <w:t xml:space="preserve"> at p. 21</w:t>
      </w:r>
      <w:r w:rsidR="00AD6BCB">
        <w:rPr>
          <w:rFonts w:ascii="Palatino Linotype" w:hAnsi="Palatino Linotype"/>
          <w:szCs w:val="16"/>
        </w:rPr>
        <w:t xml:space="preserve">8. </w:t>
      </w:r>
      <w:r w:rsidR="00753B14">
        <w:rPr>
          <w:rFonts w:ascii="Palatino Linotype" w:hAnsi="Palatino Linotype"/>
        </w:rPr>
        <w:t xml:space="preserve">The Commission’s compliance assessment </w:t>
      </w:r>
      <w:r w:rsidR="000748D6">
        <w:rPr>
          <w:rFonts w:ascii="Palatino Linotype" w:hAnsi="Palatino Linotype"/>
        </w:rPr>
        <w:t>of AL</w:t>
      </w:r>
      <w:r w:rsidR="0075777D">
        <w:rPr>
          <w:rFonts w:ascii="Palatino Linotype" w:hAnsi="Palatino Linotype"/>
        </w:rPr>
        <w:t xml:space="preserve"> 5222-</w:t>
      </w:r>
      <w:r w:rsidR="000748D6">
        <w:rPr>
          <w:rFonts w:ascii="Palatino Linotype" w:hAnsi="Palatino Linotype"/>
          <w:color w:val="000000" w:themeColor="text1"/>
        </w:rPr>
        <w:t>G</w:t>
      </w:r>
      <w:r w:rsidR="000748D6">
        <w:rPr>
          <w:rFonts w:ascii="Palatino Linotype" w:hAnsi="Palatino Linotype"/>
        </w:rPr>
        <w:t xml:space="preserve"> with</w:t>
      </w:r>
      <w:r w:rsidR="00753B14">
        <w:rPr>
          <w:rFonts w:ascii="Palatino Linotype" w:hAnsi="Palatino Linotype"/>
        </w:rPr>
        <w:t xml:space="preserve"> this requirement is captured in the compliance assessment </w:t>
      </w:r>
      <w:r w:rsidR="00753B14" w:rsidRPr="00DF02CC">
        <w:rPr>
          <w:rFonts w:ascii="Palatino Linotype" w:hAnsi="Palatino Linotype"/>
          <w:color w:val="000000" w:themeColor="text1"/>
        </w:rPr>
        <w:t xml:space="preserve">of </w:t>
      </w:r>
      <w:hyperlink r:id="rId13" w:history="1">
        <w:r w:rsidR="00753B14" w:rsidRPr="00675BC3">
          <w:rPr>
            <w:rStyle w:val="Hyperlink"/>
            <w:rFonts w:ascii="Palatino Linotype" w:hAnsi="Palatino Linotype"/>
          </w:rPr>
          <w:t>Resolution G-3618</w:t>
        </w:r>
      </w:hyperlink>
      <w:r w:rsidR="00753B14" w:rsidRPr="00262F3C">
        <w:rPr>
          <w:rFonts w:ascii="Palatino Linotype" w:hAnsi="Palatino Linotype"/>
        </w:rPr>
        <w:t xml:space="preserve"> at</w:t>
      </w:r>
      <w:r w:rsidR="00631272">
        <w:rPr>
          <w:rFonts w:ascii="Palatino Linotype" w:hAnsi="Palatino Linotype"/>
        </w:rPr>
        <w:t xml:space="preserve"> p. </w:t>
      </w:r>
      <w:r w:rsidR="00B23C26">
        <w:rPr>
          <w:rFonts w:ascii="Palatino Linotype" w:hAnsi="Palatino Linotype"/>
        </w:rPr>
        <w:t>20-21 under Initiative Criteria.</w:t>
      </w:r>
    </w:p>
  </w:footnote>
  <w:footnote w:id="13">
    <w:p w14:paraId="3301ED73" w14:textId="18BE132D" w:rsidR="002204D2" w:rsidRPr="00CE7562" w:rsidRDefault="002204D2" w:rsidP="00CE7562">
      <w:pPr>
        <w:pStyle w:val="FootnoteText"/>
        <w:rPr>
          <w:rFonts w:ascii="Palatino Linotype" w:hAnsi="Palatino Linotype"/>
        </w:rPr>
      </w:pPr>
      <w:r>
        <w:rPr>
          <w:rStyle w:val="FootnoteReference"/>
        </w:rPr>
        <w:footnoteRef/>
      </w:r>
      <w:r>
        <w:t xml:space="preserve"> </w:t>
      </w:r>
      <w:hyperlink r:id="rId14" w:history="1">
        <w:r w:rsidR="00891130">
          <w:rPr>
            <w:rStyle w:val="Hyperlink"/>
            <w:rFonts w:ascii="Palatino Linotype" w:hAnsi="Palatino Linotype"/>
            <w:szCs w:val="16"/>
          </w:rPr>
          <w:t>D</w:t>
        </w:r>
        <w:r w:rsidR="00891130" w:rsidRPr="00FB6840">
          <w:rPr>
            <w:rStyle w:val="Hyperlink"/>
            <w:rFonts w:ascii="Palatino Linotype" w:hAnsi="Palatino Linotype"/>
            <w:szCs w:val="16"/>
          </w:rPr>
          <w:t>.23-11-069</w:t>
        </w:r>
      </w:hyperlink>
      <w:r w:rsidR="00891130" w:rsidRPr="00FB6840">
        <w:rPr>
          <w:rFonts w:ascii="Palatino Linotype" w:hAnsi="Palatino Linotype"/>
          <w:szCs w:val="16"/>
        </w:rPr>
        <w:t xml:space="preserve"> at p. 21</w:t>
      </w:r>
      <w:r w:rsidR="00891130">
        <w:rPr>
          <w:rFonts w:ascii="Palatino Linotype" w:hAnsi="Palatino Linotype"/>
          <w:szCs w:val="16"/>
        </w:rPr>
        <w:t xml:space="preserve">8-219. </w:t>
      </w:r>
      <w:r w:rsidR="00BA42AB">
        <w:rPr>
          <w:rFonts w:ascii="Palatino Linotype" w:hAnsi="Palatino Linotype"/>
        </w:rPr>
        <w:t xml:space="preserve">The Commission’s compliance assessment of </w:t>
      </w:r>
      <w:r w:rsidR="0075777D">
        <w:rPr>
          <w:rFonts w:ascii="Palatino Linotype" w:hAnsi="Palatino Linotype"/>
        </w:rPr>
        <w:t>AL 5222-</w:t>
      </w:r>
      <w:r w:rsidR="00BA42AB">
        <w:rPr>
          <w:rFonts w:ascii="Palatino Linotype" w:hAnsi="Palatino Linotype"/>
          <w:color w:val="000000" w:themeColor="text1"/>
        </w:rPr>
        <w:t>G</w:t>
      </w:r>
      <w:r w:rsidR="00BA42AB">
        <w:rPr>
          <w:rFonts w:ascii="Palatino Linotype" w:hAnsi="Palatino Linotype"/>
        </w:rPr>
        <w:t xml:space="preserve"> with this requirement </w:t>
      </w:r>
      <w:r w:rsidR="0075777D">
        <w:rPr>
          <w:rFonts w:ascii="Palatino Linotype" w:hAnsi="Palatino Linotype"/>
        </w:rPr>
        <w:t>i</w:t>
      </w:r>
      <w:r w:rsidR="00BA42AB">
        <w:rPr>
          <w:rFonts w:ascii="Palatino Linotype" w:hAnsi="Palatino Linotype"/>
        </w:rPr>
        <w:t xml:space="preserve">s captured in the compliance assessment </w:t>
      </w:r>
      <w:r w:rsidR="00BA42AB" w:rsidRPr="00DF02CC">
        <w:rPr>
          <w:rFonts w:ascii="Palatino Linotype" w:hAnsi="Palatino Linotype"/>
          <w:color w:val="000000" w:themeColor="text1"/>
        </w:rPr>
        <w:t xml:space="preserve">of </w:t>
      </w:r>
      <w:hyperlink r:id="rId15" w:history="1">
        <w:r w:rsidR="00BA42AB" w:rsidRPr="00675BC3">
          <w:rPr>
            <w:rStyle w:val="Hyperlink"/>
            <w:rFonts w:ascii="Palatino Linotype" w:hAnsi="Palatino Linotype"/>
          </w:rPr>
          <w:t>Resolution G-3618</w:t>
        </w:r>
      </w:hyperlink>
      <w:r w:rsidR="00BA42AB" w:rsidRPr="00262F3C">
        <w:rPr>
          <w:rFonts w:ascii="Palatino Linotype" w:hAnsi="Palatino Linotype"/>
        </w:rPr>
        <w:t xml:space="preserve"> at</w:t>
      </w:r>
      <w:r w:rsidR="00BA42AB">
        <w:rPr>
          <w:rFonts w:ascii="Palatino Linotype" w:hAnsi="Palatino Linotype"/>
        </w:rPr>
        <w:t xml:space="preserve"> p. 20-21 under Initiative Criteria.</w:t>
      </w:r>
    </w:p>
  </w:footnote>
  <w:footnote w:id="14">
    <w:p w14:paraId="339A473B" w14:textId="7896BB23" w:rsidR="002204D2" w:rsidRPr="003C24AE" w:rsidRDefault="002204D2" w:rsidP="00E34C85">
      <w:pPr>
        <w:spacing w:after="0" w:line="240" w:lineRule="auto"/>
        <w:rPr>
          <w:rFonts w:ascii="Palatino Linotype" w:hAnsi="Palatino Linotype"/>
          <w:color w:val="FF0000"/>
          <w:sz w:val="20"/>
          <w:szCs w:val="20"/>
        </w:rPr>
      </w:pPr>
      <w:r w:rsidRPr="00F37D81">
        <w:rPr>
          <w:rStyle w:val="FootnoteReference"/>
          <w:sz w:val="20"/>
          <w:szCs w:val="20"/>
        </w:rPr>
        <w:footnoteRef/>
      </w:r>
      <w:r w:rsidR="001F76EF" w:rsidRPr="00F37D81">
        <w:rPr>
          <w:rStyle w:val="FootnoteReference"/>
        </w:rPr>
        <w:t xml:space="preserve"> </w:t>
      </w:r>
      <w:hyperlink r:id="rId16" w:history="1">
        <w:r w:rsidR="007004A4" w:rsidRPr="00333C0E">
          <w:rPr>
            <w:rStyle w:val="Hyperlink"/>
            <w:rFonts w:ascii="Palatino Linotype" w:hAnsi="Palatino Linotype"/>
            <w:sz w:val="20"/>
            <w:szCs w:val="20"/>
          </w:rPr>
          <w:t>D.23-11-069</w:t>
        </w:r>
      </w:hyperlink>
      <w:r w:rsidR="007004A4" w:rsidRPr="00333C0E">
        <w:rPr>
          <w:rFonts w:ascii="Palatino Linotype" w:hAnsi="Palatino Linotype"/>
          <w:sz w:val="20"/>
          <w:szCs w:val="20"/>
        </w:rPr>
        <w:t xml:space="preserve"> at p. 219.</w:t>
      </w:r>
      <w:r w:rsidR="007004A4">
        <w:rPr>
          <w:rFonts w:ascii="Palatino Linotype" w:hAnsi="Palatino Linotype"/>
          <w:szCs w:val="16"/>
        </w:rPr>
        <w:t xml:space="preserve"> </w:t>
      </w:r>
      <w:r w:rsidR="001F76EF" w:rsidRPr="00CE7039">
        <w:rPr>
          <w:rFonts w:ascii="Palatino Linotype" w:hAnsi="Palatino Linotype"/>
          <w:color w:val="000000" w:themeColor="text1"/>
          <w:sz w:val="20"/>
          <w:szCs w:val="20"/>
        </w:rPr>
        <w:t xml:space="preserve">See </w:t>
      </w:r>
      <w:r w:rsidR="00733744" w:rsidRPr="00CE7039">
        <w:rPr>
          <w:rFonts w:ascii="Palatino Linotype" w:hAnsi="Palatino Linotype"/>
          <w:color w:val="000000" w:themeColor="text1"/>
          <w:sz w:val="20"/>
          <w:szCs w:val="20"/>
        </w:rPr>
        <w:t xml:space="preserve">Resolution </w:t>
      </w:r>
      <w:r w:rsidR="004A0066" w:rsidRPr="004A0066">
        <w:rPr>
          <w:rFonts w:ascii="Palatino Linotype" w:hAnsi="Palatino Linotype"/>
          <w:color w:val="000000" w:themeColor="text1"/>
          <w:sz w:val="20"/>
          <w:szCs w:val="20"/>
        </w:rPr>
        <w:t xml:space="preserve">G-3623 </w:t>
      </w:r>
      <w:r w:rsidR="00733744" w:rsidRPr="00CE7039">
        <w:rPr>
          <w:rFonts w:ascii="Palatino Linotype" w:hAnsi="Palatino Linotype"/>
          <w:color w:val="000000" w:themeColor="text1"/>
          <w:sz w:val="20"/>
          <w:szCs w:val="20"/>
        </w:rPr>
        <w:t>at</w:t>
      </w:r>
      <w:r w:rsidR="00733744" w:rsidRPr="00CE7039">
        <w:rPr>
          <w:rFonts w:ascii="Palatino Linotype" w:hAnsi="Palatino Linotype"/>
          <w:color w:val="000000" w:themeColor="text1"/>
        </w:rPr>
        <w:t xml:space="preserve"> </w:t>
      </w:r>
      <w:r w:rsidR="001F76EF" w:rsidRPr="00CE7039">
        <w:rPr>
          <w:rFonts w:ascii="Palatino Linotype" w:hAnsi="Palatino Linotype"/>
          <w:color w:val="000000" w:themeColor="text1"/>
          <w:sz w:val="20"/>
          <w:szCs w:val="20"/>
        </w:rPr>
        <w:t xml:space="preserve">Appendix </w:t>
      </w:r>
      <w:r w:rsidR="002039C4">
        <w:rPr>
          <w:rFonts w:ascii="Palatino Linotype" w:hAnsi="Palatino Linotype"/>
          <w:color w:val="000000" w:themeColor="text1"/>
          <w:sz w:val="20"/>
          <w:szCs w:val="20"/>
        </w:rPr>
        <w:t>C</w:t>
      </w:r>
      <w:r w:rsidR="001F76EF" w:rsidRPr="00CE7039">
        <w:rPr>
          <w:rFonts w:ascii="Palatino Linotype" w:hAnsi="Palatino Linotype"/>
          <w:color w:val="000000" w:themeColor="text1"/>
          <w:sz w:val="20"/>
          <w:szCs w:val="20"/>
        </w:rPr>
        <w:t>: Administrative Budget Cost Categories</w:t>
      </w:r>
      <w:r w:rsidR="00805607" w:rsidRPr="00CE7039">
        <w:rPr>
          <w:rFonts w:ascii="Palatino Linotype" w:hAnsi="Palatino Linotype"/>
          <w:bCs/>
          <w:color w:val="000000" w:themeColor="text1"/>
          <w:sz w:val="20"/>
          <w:szCs w:val="20"/>
        </w:rPr>
        <w:t>.</w:t>
      </w:r>
    </w:p>
  </w:footnote>
  <w:footnote w:id="15">
    <w:p w14:paraId="4AFC7784" w14:textId="5F75E23B" w:rsidR="007004A4" w:rsidRDefault="007004A4">
      <w:pPr>
        <w:pStyle w:val="FootnoteText"/>
      </w:pPr>
      <w:r>
        <w:rPr>
          <w:rStyle w:val="FootnoteReference"/>
        </w:rPr>
        <w:footnoteRef/>
      </w:r>
      <w:r>
        <w:t xml:space="preserve"> </w:t>
      </w:r>
      <w:hyperlink r:id="rId17" w:history="1">
        <w:r w:rsidRPr="002C0BDC">
          <w:rPr>
            <w:rStyle w:val="Hyperlink"/>
            <w:rFonts w:ascii="Palatino Linotype" w:hAnsi="Palatino Linotype"/>
          </w:rPr>
          <w:t>D.23-11-069</w:t>
        </w:r>
      </w:hyperlink>
      <w:r w:rsidRPr="002C0BDC">
        <w:rPr>
          <w:rFonts w:ascii="Palatino Linotype" w:hAnsi="Palatino Linotype"/>
        </w:rPr>
        <w:t xml:space="preserve"> at p. 219</w:t>
      </w:r>
      <w:r w:rsidR="00C5125E">
        <w:rPr>
          <w:rFonts w:ascii="Palatino Linotype" w:hAnsi="Palatino Linotype"/>
        </w:rPr>
        <w:t>-220.</w:t>
      </w:r>
      <w:r w:rsidR="00E62529">
        <w:rPr>
          <w:rFonts w:ascii="Palatino Linotype" w:hAnsi="Palatino Linotype"/>
        </w:rPr>
        <w:t xml:space="preserve"> The Commission’s compliance assessment of AL</w:t>
      </w:r>
      <w:r w:rsidR="00E31E70">
        <w:rPr>
          <w:rFonts w:ascii="Palatino Linotype" w:hAnsi="Palatino Linotype"/>
        </w:rPr>
        <w:t xml:space="preserve"> 5222-</w:t>
      </w:r>
      <w:r w:rsidR="00E62529">
        <w:rPr>
          <w:rFonts w:ascii="Palatino Linotype" w:hAnsi="Palatino Linotype"/>
          <w:color w:val="000000" w:themeColor="text1"/>
        </w:rPr>
        <w:t>G</w:t>
      </w:r>
      <w:r w:rsidR="00E62529">
        <w:rPr>
          <w:rFonts w:ascii="Palatino Linotype" w:hAnsi="Palatino Linotype"/>
        </w:rPr>
        <w:t xml:space="preserve"> with this requirement is captured in the compliance assessment </w:t>
      </w:r>
      <w:r w:rsidR="00E62529" w:rsidRPr="00DF02CC">
        <w:rPr>
          <w:rFonts w:ascii="Palatino Linotype" w:hAnsi="Palatino Linotype"/>
          <w:color w:val="000000" w:themeColor="text1"/>
        </w:rPr>
        <w:t xml:space="preserve">of </w:t>
      </w:r>
      <w:hyperlink r:id="rId18" w:history="1">
        <w:r w:rsidR="00E62529" w:rsidRPr="00675BC3">
          <w:rPr>
            <w:rStyle w:val="Hyperlink"/>
            <w:rFonts w:ascii="Palatino Linotype" w:hAnsi="Palatino Linotype"/>
          </w:rPr>
          <w:t>Resolution G-3618</w:t>
        </w:r>
      </w:hyperlink>
      <w:r w:rsidR="00E62529" w:rsidRPr="00262F3C">
        <w:rPr>
          <w:rFonts w:ascii="Palatino Linotype" w:hAnsi="Palatino Linotype"/>
        </w:rPr>
        <w:t xml:space="preserve"> at</w:t>
      </w:r>
      <w:r w:rsidR="00E62529">
        <w:rPr>
          <w:rFonts w:ascii="Palatino Linotype" w:hAnsi="Palatino Linotype"/>
        </w:rPr>
        <w:t xml:space="preserve"> p. 20 under Initiative Criteria</w:t>
      </w:r>
      <w:r w:rsidR="00E31E70">
        <w:rPr>
          <w:rFonts w:ascii="Palatino Linotype" w:hAnsi="Palatino Linotype"/>
        </w:rPr>
        <w:t xml:space="preserve">: </w:t>
      </w:r>
      <w:r w:rsidR="0020650B">
        <w:rPr>
          <w:rFonts w:ascii="Palatino Linotype" w:hAnsi="Palatino Linotype"/>
        </w:rPr>
        <w:t>Policy Priority</w:t>
      </w:r>
      <w:r w:rsidR="00E31E70">
        <w:rPr>
          <w:rFonts w:ascii="Palatino Linotype" w:hAnsi="Palatino Linotype"/>
        </w:rPr>
        <w:t>.</w:t>
      </w:r>
    </w:p>
  </w:footnote>
  <w:footnote w:id="16">
    <w:p w14:paraId="27F6E720" w14:textId="2688916C" w:rsidR="00F71C1F" w:rsidRDefault="00F71C1F">
      <w:pPr>
        <w:pStyle w:val="FootnoteText"/>
      </w:pPr>
      <w:r w:rsidRPr="00DE3E0E">
        <w:rPr>
          <w:rStyle w:val="FootnoteReference"/>
          <w:color w:val="000000" w:themeColor="text1"/>
        </w:rPr>
        <w:footnoteRef/>
      </w:r>
      <w:r w:rsidRPr="00DE3E0E">
        <w:rPr>
          <w:color w:val="000000" w:themeColor="text1"/>
        </w:rPr>
        <w:t xml:space="preserve"> </w:t>
      </w:r>
      <w:r w:rsidR="00CD7108" w:rsidRPr="00DE3E0E">
        <w:rPr>
          <w:rFonts w:ascii="Palatino Linotype" w:hAnsi="Palatino Linotype"/>
          <w:color w:val="000000" w:themeColor="text1"/>
        </w:rPr>
        <w:t xml:space="preserve">The Commission’s compliance assessment of AL </w:t>
      </w:r>
      <w:r w:rsidR="00E31E70" w:rsidRPr="00DE3E0E">
        <w:rPr>
          <w:rFonts w:ascii="Palatino Linotype" w:hAnsi="Palatino Linotype"/>
          <w:color w:val="000000" w:themeColor="text1"/>
        </w:rPr>
        <w:t>5222-</w:t>
      </w:r>
      <w:r w:rsidR="00CD7108" w:rsidRPr="00DE3E0E">
        <w:rPr>
          <w:rFonts w:ascii="Palatino Linotype" w:hAnsi="Palatino Linotype"/>
          <w:color w:val="000000" w:themeColor="text1"/>
        </w:rPr>
        <w:t xml:space="preserve">G with this requirement is captured in the compliance assessment of </w:t>
      </w:r>
      <w:hyperlink r:id="rId19" w:history="1">
        <w:r w:rsidR="00CD7108" w:rsidRPr="00DE3E0E">
          <w:rPr>
            <w:rStyle w:val="Hyperlink"/>
            <w:rFonts w:ascii="Palatino Linotype" w:hAnsi="Palatino Linotype"/>
          </w:rPr>
          <w:t>Resolution G-3618</w:t>
        </w:r>
      </w:hyperlink>
      <w:r w:rsidR="00CD7108" w:rsidRPr="00DE3E0E">
        <w:rPr>
          <w:rFonts w:ascii="Palatino Linotype" w:hAnsi="Palatino Linotype"/>
          <w:color w:val="000000" w:themeColor="text1"/>
        </w:rPr>
        <w:t xml:space="preserve"> at p. 2</w:t>
      </w:r>
      <w:r w:rsidR="00DE3E0E" w:rsidRPr="00DE3E0E">
        <w:rPr>
          <w:rFonts w:ascii="Palatino Linotype" w:hAnsi="Palatino Linotype"/>
          <w:color w:val="000000" w:themeColor="text1"/>
        </w:rPr>
        <w:t>3.</w:t>
      </w:r>
    </w:p>
  </w:footnote>
  <w:footnote w:id="17">
    <w:p w14:paraId="40AB7F0C" w14:textId="65FFEA35" w:rsidR="002204D2" w:rsidRPr="006A116F" w:rsidRDefault="002204D2" w:rsidP="0084342E">
      <w:pPr>
        <w:pStyle w:val="FootnoteText"/>
        <w:rPr>
          <w:rFonts w:ascii="Palatino Linotype" w:hAnsi="Palatino Linotype"/>
          <w:szCs w:val="16"/>
        </w:rPr>
      </w:pPr>
      <w:r>
        <w:rPr>
          <w:rStyle w:val="FootnoteReference"/>
        </w:rPr>
        <w:footnoteRef/>
      </w:r>
      <w:r>
        <w:t xml:space="preserve"> </w:t>
      </w:r>
      <w:hyperlink r:id="rId20" w:history="1">
        <w:r w:rsidR="004A5470" w:rsidRPr="002C0BDC">
          <w:rPr>
            <w:rStyle w:val="Hyperlink"/>
            <w:rFonts w:ascii="Palatino Linotype" w:hAnsi="Palatino Linotype"/>
          </w:rPr>
          <w:t>D.23-11-069</w:t>
        </w:r>
      </w:hyperlink>
      <w:r w:rsidR="004A5470" w:rsidRPr="002C0BDC">
        <w:rPr>
          <w:rFonts w:ascii="Palatino Linotype" w:hAnsi="Palatino Linotype"/>
        </w:rPr>
        <w:t xml:space="preserve"> at p. 2</w:t>
      </w:r>
      <w:r w:rsidR="00414F67">
        <w:rPr>
          <w:rFonts w:ascii="Palatino Linotype" w:hAnsi="Palatino Linotype"/>
        </w:rPr>
        <w:t xml:space="preserve">20. </w:t>
      </w:r>
    </w:p>
  </w:footnote>
  <w:footnote w:id="18">
    <w:p w14:paraId="0E35B652" w14:textId="78440537" w:rsidR="002204D2" w:rsidRDefault="002204D2" w:rsidP="002204D2">
      <w:pPr>
        <w:pStyle w:val="FootnoteText"/>
      </w:pPr>
      <w:r>
        <w:rPr>
          <w:rStyle w:val="FootnoteReference"/>
        </w:rPr>
        <w:footnoteRef/>
      </w:r>
      <w:r>
        <w:t xml:space="preserve"> </w:t>
      </w:r>
      <w:hyperlink r:id="rId21" w:history="1">
        <w:r w:rsidR="00414F67" w:rsidRPr="002C0BDC">
          <w:rPr>
            <w:rStyle w:val="Hyperlink"/>
            <w:rFonts w:ascii="Palatino Linotype" w:hAnsi="Palatino Linotype"/>
          </w:rPr>
          <w:t>D.23-11-069</w:t>
        </w:r>
      </w:hyperlink>
      <w:r w:rsidR="00414F67" w:rsidRPr="002C0BDC">
        <w:rPr>
          <w:rFonts w:ascii="Palatino Linotype" w:hAnsi="Palatino Linotype"/>
        </w:rPr>
        <w:t xml:space="preserve"> at p. 2</w:t>
      </w:r>
      <w:r w:rsidR="006765E5">
        <w:rPr>
          <w:rFonts w:ascii="Palatino Linotype" w:hAnsi="Palatino Linotype"/>
        </w:rPr>
        <w:t>20.</w:t>
      </w:r>
      <w:r w:rsidR="00141E96">
        <w:rPr>
          <w:rFonts w:ascii="Palatino Linotype" w:hAnsi="Palatino Linotype"/>
        </w:rPr>
        <w:t xml:space="preserve"> The Commission’s compliance assessment of this requirement is captured in the compliance assessment </w:t>
      </w:r>
      <w:r w:rsidR="00141E96" w:rsidRPr="00DF02CC">
        <w:rPr>
          <w:rFonts w:ascii="Palatino Linotype" w:hAnsi="Palatino Linotype"/>
          <w:color w:val="000000" w:themeColor="text1"/>
        </w:rPr>
        <w:t xml:space="preserve">of AL </w:t>
      </w:r>
      <w:r w:rsidR="00E31E70">
        <w:rPr>
          <w:rFonts w:ascii="Palatino Linotype" w:hAnsi="Palatino Linotype"/>
        </w:rPr>
        <w:t>5222-</w:t>
      </w:r>
      <w:r w:rsidR="00141E96">
        <w:rPr>
          <w:rFonts w:ascii="Palatino Linotype" w:hAnsi="Palatino Linotype"/>
          <w:color w:val="000000" w:themeColor="text1"/>
        </w:rPr>
        <w:t>G</w:t>
      </w:r>
      <w:r w:rsidR="00141E96" w:rsidRPr="00DF02CC">
        <w:rPr>
          <w:rFonts w:ascii="Palatino Linotype" w:hAnsi="Palatino Linotype"/>
          <w:color w:val="000000" w:themeColor="text1"/>
        </w:rPr>
        <w:t xml:space="preserve"> </w:t>
      </w:r>
      <w:r w:rsidR="00141E96">
        <w:rPr>
          <w:rFonts w:ascii="Palatino Linotype" w:hAnsi="Palatino Linotype"/>
        </w:rPr>
        <w:t xml:space="preserve">with </w:t>
      </w:r>
      <w:hyperlink r:id="rId22" w:history="1">
        <w:r w:rsidR="00141E96" w:rsidRPr="00675BC3">
          <w:rPr>
            <w:rStyle w:val="Hyperlink"/>
            <w:rFonts w:ascii="Palatino Linotype" w:hAnsi="Palatino Linotype"/>
          </w:rPr>
          <w:t>Resolution G-3618</w:t>
        </w:r>
      </w:hyperlink>
      <w:r w:rsidR="00141E96" w:rsidRPr="00262F3C">
        <w:rPr>
          <w:rFonts w:ascii="Palatino Linotype" w:hAnsi="Palatino Linotype"/>
        </w:rPr>
        <w:t xml:space="preserve"> at p. </w:t>
      </w:r>
      <w:r w:rsidR="00262F3C" w:rsidRPr="00262F3C">
        <w:rPr>
          <w:rFonts w:ascii="Palatino Linotype" w:hAnsi="Palatino Linotype"/>
        </w:rPr>
        <w:t>22</w:t>
      </w:r>
      <w:r w:rsidR="00675BC3">
        <w:rPr>
          <w:rFonts w:ascii="Palatino Linotype" w:hAnsi="Palatino Linotype"/>
        </w:rPr>
        <w:t xml:space="preserve"> under Public Workshop.</w:t>
      </w:r>
    </w:p>
  </w:footnote>
  <w:footnote w:id="19">
    <w:p w14:paraId="1B0EF9B0" w14:textId="751BDDA7" w:rsidR="006765E5" w:rsidRDefault="006765E5">
      <w:pPr>
        <w:pStyle w:val="FootnoteText"/>
      </w:pPr>
      <w:r>
        <w:rPr>
          <w:rStyle w:val="FootnoteReference"/>
        </w:rPr>
        <w:footnoteRef/>
      </w:r>
      <w:r>
        <w:t xml:space="preserve"> </w:t>
      </w:r>
      <w:hyperlink r:id="rId23" w:history="1">
        <w:r w:rsidRPr="002C0BDC">
          <w:rPr>
            <w:rStyle w:val="Hyperlink"/>
            <w:rFonts w:ascii="Palatino Linotype" w:hAnsi="Palatino Linotype"/>
          </w:rPr>
          <w:t>D.23-11-069</w:t>
        </w:r>
      </w:hyperlink>
      <w:r w:rsidRPr="002C0BDC">
        <w:rPr>
          <w:rFonts w:ascii="Palatino Linotype" w:hAnsi="Palatino Linotype"/>
        </w:rPr>
        <w:t xml:space="preserve"> at p. 2</w:t>
      </w:r>
      <w:r w:rsidR="00E27AE1">
        <w:rPr>
          <w:rFonts w:ascii="Palatino Linotype" w:hAnsi="Palatino Linotype"/>
        </w:rPr>
        <w:t>20.</w:t>
      </w:r>
      <w:r w:rsidR="00B02AC6">
        <w:rPr>
          <w:rFonts w:ascii="Palatino Linotype" w:hAnsi="Palatino Linotype"/>
        </w:rPr>
        <w:t xml:space="preserve"> The Commission’s compliance assessment of this requirement is captured in the compliance assessment </w:t>
      </w:r>
      <w:r w:rsidR="00B02AC6" w:rsidRPr="00DF02CC">
        <w:rPr>
          <w:rFonts w:ascii="Palatino Linotype" w:hAnsi="Palatino Linotype"/>
          <w:color w:val="000000" w:themeColor="text1"/>
        </w:rPr>
        <w:t xml:space="preserve">of AL </w:t>
      </w:r>
      <w:r w:rsidR="00E31E70">
        <w:rPr>
          <w:rFonts w:ascii="Palatino Linotype" w:hAnsi="Palatino Linotype"/>
        </w:rPr>
        <w:t>5222-</w:t>
      </w:r>
      <w:r w:rsidR="00B02AC6">
        <w:rPr>
          <w:rFonts w:ascii="Palatino Linotype" w:hAnsi="Palatino Linotype"/>
          <w:color w:val="000000" w:themeColor="text1"/>
        </w:rPr>
        <w:t>G</w:t>
      </w:r>
      <w:r w:rsidR="00B02AC6" w:rsidRPr="00DF02CC">
        <w:rPr>
          <w:rFonts w:ascii="Palatino Linotype" w:hAnsi="Palatino Linotype"/>
          <w:color w:val="000000" w:themeColor="text1"/>
        </w:rPr>
        <w:t xml:space="preserve"> </w:t>
      </w:r>
      <w:r w:rsidR="00B02AC6">
        <w:rPr>
          <w:rFonts w:ascii="Palatino Linotype" w:hAnsi="Palatino Linotype"/>
        </w:rPr>
        <w:t xml:space="preserve">with </w:t>
      </w:r>
      <w:hyperlink r:id="rId24" w:history="1">
        <w:r w:rsidR="00B02AC6" w:rsidRPr="00675BC3">
          <w:rPr>
            <w:rStyle w:val="Hyperlink"/>
            <w:rFonts w:ascii="Palatino Linotype" w:hAnsi="Palatino Linotype"/>
          </w:rPr>
          <w:t>Resolution G-3618</w:t>
        </w:r>
      </w:hyperlink>
      <w:r w:rsidR="00B02AC6" w:rsidRPr="00262F3C">
        <w:rPr>
          <w:rFonts w:ascii="Palatino Linotype" w:hAnsi="Palatino Linotype"/>
        </w:rPr>
        <w:t xml:space="preserve"> at p. </w:t>
      </w:r>
      <w:r w:rsidR="00116058">
        <w:rPr>
          <w:rFonts w:ascii="Palatino Linotype" w:hAnsi="Palatino Linotype"/>
        </w:rPr>
        <w:t>19 under Annual Report.</w:t>
      </w:r>
    </w:p>
  </w:footnote>
  <w:footnote w:id="20">
    <w:p w14:paraId="443E0A0B" w14:textId="1FE55253" w:rsidR="00E27AE1" w:rsidRDefault="00E27AE1">
      <w:pPr>
        <w:pStyle w:val="FootnoteText"/>
      </w:pPr>
      <w:r>
        <w:rPr>
          <w:rStyle w:val="FootnoteReference"/>
        </w:rPr>
        <w:footnoteRef/>
      </w:r>
      <w:r>
        <w:t xml:space="preserve"> </w:t>
      </w:r>
      <w:hyperlink r:id="rId25"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20-221.</w:t>
      </w:r>
    </w:p>
  </w:footnote>
  <w:footnote w:id="21">
    <w:p w14:paraId="1534160D" w14:textId="05A1078A" w:rsidR="002D6A72" w:rsidRDefault="002D6A72">
      <w:pPr>
        <w:pStyle w:val="FootnoteText"/>
      </w:pPr>
      <w:r>
        <w:rPr>
          <w:rStyle w:val="FootnoteReference"/>
        </w:rPr>
        <w:footnoteRef/>
      </w:r>
      <w:r>
        <w:t xml:space="preserve"> </w:t>
      </w:r>
      <w:hyperlink r:id="rId26"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r w:rsidR="008A6F7D">
        <w:rPr>
          <w:rFonts w:ascii="Palatino Linotype" w:hAnsi="Palatino Linotype"/>
        </w:rPr>
        <w:t xml:space="preserve"> The Commission’s compliance assessment of this requirement is captured in the compliance assessment </w:t>
      </w:r>
      <w:r w:rsidR="008A6F7D" w:rsidRPr="00DF02CC">
        <w:rPr>
          <w:rFonts w:ascii="Palatino Linotype" w:hAnsi="Palatino Linotype"/>
          <w:color w:val="000000" w:themeColor="text1"/>
        </w:rPr>
        <w:t xml:space="preserve">of AL </w:t>
      </w:r>
      <w:r w:rsidR="00E31E70">
        <w:rPr>
          <w:rFonts w:ascii="Palatino Linotype" w:hAnsi="Palatino Linotype"/>
        </w:rPr>
        <w:t>5222-</w:t>
      </w:r>
      <w:r w:rsidR="008A6F7D">
        <w:rPr>
          <w:rFonts w:ascii="Palatino Linotype" w:hAnsi="Palatino Linotype"/>
          <w:color w:val="000000" w:themeColor="text1"/>
        </w:rPr>
        <w:t>G</w:t>
      </w:r>
      <w:r w:rsidR="008A6F7D" w:rsidRPr="00DF02CC">
        <w:rPr>
          <w:rFonts w:ascii="Palatino Linotype" w:hAnsi="Palatino Linotype"/>
          <w:color w:val="000000" w:themeColor="text1"/>
        </w:rPr>
        <w:t xml:space="preserve"> </w:t>
      </w:r>
      <w:r w:rsidR="008A6F7D">
        <w:rPr>
          <w:rFonts w:ascii="Palatino Linotype" w:hAnsi="Palatino Linotype"/>
        </w:rPr>
        <w:t xml:space="preserve">with </w:t>
      </w:r>
      <w:hyperlink r:id="rId27" w:history="1">
        <w:r w:rsidR="008A6F7D" w:rsidRPr="00675BC3">
          <w:rPr>
            <w:rStyle w:val="Hyperlink"/>
            <w:rFonts w:ascii="Palatino Linotype" w:hAnsi="Palatino Linotype"/>
          </w:rPr>
          <w:t>Resolution G-3618</w:t>
        </w:r>
      </w:hyperlink>
      <w:r w:rsidR="008A6F7D" w:rsidRPr="00262F3C">
        <w:rPr>
          <w:rFonts w:ascii="Palatino Linotype" w:hAnsi="Palatino Linotype"/>
        </w:rPr>
        <w:t xml:space="preserve"> at p. </w:t>
      </w:r>
      <w:r w:rsidR="00C9543A">
        <w:rPr>
          <w:rFonts w:ascii="Palatino Linotype" w:hAnsi="Palatino Linotype"/>
        </w:rPr>
        <w:t>22</w:t>
      </w:r>
      <w:r w:rsidR="008A6F7D">
        <w:rPr>
          <w:rFonts w:ascii="Palatino Linotype" w:hAnsi="Palatino Linotype"/>
        </w:rPr>
        <w:t xml:space="preserve"> under </w:t>
      </w:r>
      <w:r w:rsidR="00C9543A">
        <w:rPr>
          <w:rFonts w:ascii="Palatino Linotype" w:hAnsi="Palatino Linotype"/>
        </w:rPr>
        <w:t>Public Workshop.</w:t>
      </w:r>
    </w:p>
  </w:footnote>
  <w:footnote w:id="22">
    <w:p w14:paraId="23BF0CC0" w14:textId="5F9316D7" w:rsidR="002D6A72" w:rsidRDefault="002D6A72">
      <w:pPr>
        <w:pStyle w:val="FootnoteText"/>
      </w:pPr>
      <w:r>
        <w:rPr>
          <w:rStyle w:val="FootnoteReference"/>
        </w:rPr>
        <w:footnoteRef/>
      </w:r>
      <w:r>
        <w:t xml:space="preserve"> </w:t>
      </w:r>
      <w:hyperlink r:id="rId28"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p>
  </w:footnote>
  <w:footnote w:id="23">
    <w:p w14:paraId="0D690624" w14:textId="4A4B5F8C" w:rsidR="00D1546E" w:rsidRDefault="00D1546E">
      <w:pPr>
        <w:pStyle w:val="FootnoteText"/>
      </w:pPr>
      <w:r>
        <w:rPr>
          <w:rStyle w:val="FootnoteReference"/>
        </w:rPr>
        <w:footnoteRef/>
      </w:r>
      <w:r>
        <w:t xml:space="preserve"> </w:t>
      </w:r>
      <w:hyperlink r:id="rId29"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p>
  </w:footnote>
  <w:footnote w:id="24">
    <w:p w14:paraId="3CC5F548" w14:textId="41CB2A4E" w:rsidR="00394A3F" w:rsidRDefault="00394A3F">
      <w:pPr>
        <w:pStyle w:val="FootnoteText"/>
      </w:pPr>
      <w:r>
        <w:rPr>
          <w:rStyle w:val="FootnoteReference"/>
        </w:rPr>
        <w:footnoteRef/>
      </w:r>
      <w:r>
        <w:t xml:space="preserve"> </w:t>
      </w:r>
      <w:r w:rsidR="00C65EAE" w:rsidRPr="006B51FB">
        <w:rPr>
          <w:rFonts w:ascii="Palatino Linotype" w:hAnsi="Palatino Linotype"/>
          <w:color w:val="000000" w:themeColor="text1"/>
        </w:rPr>
        <w:t xml:space="preserve">In AL 5077-G-A at p. 61, PG&amp;E requested to </w:t>
      </w:r>
      <w:r w:rsidR="00C65EAE" w:rsidRPr="006B51FB">
        <w:rPr>
          <w:rFonts w:ascii="Palatino Linotype" w:eastAsia="Palatino Linotype" w:hAnsi="Palatino Linotype" w:cs="Times New Roman"/>
          <w:color w:val="000000" w:themeColor="text1"/>
          <w:kern w:val="0"/>
          <w14:ligatures w14:val="none"/>
        </w:rPr>
        <w:t>recover $7,207,712 in expense revenue requirements, including total actual Gas RD&amp;D (MAT GZA) expenses recorded in Calendar Years 2023 ($3,532,835) and 2024 ($3,674,877).</w:t>
      </w:r>
      <w:r w:rsidR="00B60CB3" w:rsidRPr="006B51FB">
        <w:rPr>
          <w:rFonts w:ascii="Palatino Linotype" w:eastAsia="Palatino Linotype" w:hAnsi="Palatino Linotype" w:cs="Times New Roman"/>
          <w:color w:val="000000" w:themeColor="text1"/>
          <w:kern w:val="0"/>
          <w14:ligatures w14:val="none"/>
        </w:rPr>
        <w:t xml:space="preserve"> Though the Commission denied this request in Resolution G-3618</w:t>
      </w:r>
      <w:r w:rsidR="000C3EF3" w:rsidRPr="006B51FB">
        <w:rPr>
          <w:rFonts w:ascii="Palatino Linotype" w:eastAsia="Palatino Linotype" w:hAnsi="Palatino Linotype" w:cs="Times New Roman"/>
          <w:color w:val="000000" w:themeColor="text1"/>
          <w:kern w:val="0"/>
          <w14:ligatures w14:val="none"/>
        </w:rPr>
        <w:t xml:space="preserve"> at OP 1</w:t>
      </w:r>
      <w:r w:rsidR="00B60CB3" w:rsidRPr="006B51FB">
        <w:rPr>
          <w:rFonts w:ascii="Palatino Linotype" w:eastAsia="Palatino Linotype" w:hAnsi="Palatino Linotype" w:cs="Times New Roman"/>
          <w:color w:val="000000" w:themeColor="text1"/>
          <w:kern w:val="0"/>
          <w14:ligatures w14:val="none"/>
        </w:rPr>
        <w:t xml:space="preserve">, in AL </w:t>
      </w:r>
      <w:r w:rsidR="00500614">
        <w:rPr>
          <w:rFonts w:ascii="Palatino Linotype" w:eastAsia="Palatino Linotype" w:hAnsi="Palatino Linotype" w:cs="Times New Roman"/>
          <w:color w:val="000000" w:themeColor="text1"/>
          <w:kern w:val="0"/>
          <w14:ligatures w14:val="none"/>
        </w:rPr>
        <w:br/>
      </w:r>
      <w:r w:rsidR="00B60CB3" w:rsidRPr="006B51FB">
        <w:rPr>
          <w:rFonts w:ascii="Palatino Linotype" w:eastAsia="Palatino Linotype" w:hAnsi="Palatino Linotype" w:cs="Times New Roman"/>
          <w:color w:val="000000" w:themeColor="text1"/>
          <w:kern w:val="0"/>
          <w14:ligatures w14:val="none"/>
        </w:rPr>
        <w:t xml:space="preserve">5196-G </w:t>
      </w:r>
      <w:r w:rsidR="00E23A19" w:rsidRPr="006B51FB">
        <w:rPr>
          <w:rFonts w:ascii="Palatino Linotype" w:eastAsia="Palatino Linotype" w:hAnsi="Palatino Linotype" w:cs="Times New Roman"/>
          <w:color w:val="000000" w:themeColor="text1"/>
          <w:kern w:val="0"/>
          <w14:ligatures w14:val="none"/>
        </w:rPr>
        <w:t xml:space="preserve">Attachment B </w:t>
      </w:r>
      <w:r w:rsidR="00B60CB3" w:rsidRPr="006B51FB">
        <w:rPr>
          <w:rFonts w:ascii="Palatino Linotype" w:eastAsia="Palatino Linotype" w:hAnsi="Palatino Linotype" w:cs="Times New Roman"/>
          <w:color w:val="000000" w:themeColor="text1"/>
          <w:kern w:val="0"/>
          <w14:ligatures w14:val="none"/>
        </w:rPr>
        <w:t>at p. 82, PG&amp;E detailed the expenses “for transparency and record completeness as part of the 2024 Research Plan resubmission.”</w:t>
      </w:r>
    </w:p>
  </w:footnote>
  <w:footnote w:id="25">
    <w:p w14:paraId="19ECD9DE" w14:textId="1C9A890C" w:rsidR="009D06BE" w:rsidRDefault="009D06BE">
      <w:pPr>
        <w:pStyle w:val="FootnoteText"/>
      </w:pPr>
      <w:r>
        <w:rPr>
          <w:rStyle w:val="FootnoteReference"/>
        </w:rPr>
        <w:footnoteRef/>
      </w:r>
      <w:r>
        <w:t xml:space="preserve"> </w:t>
      </w:r>
      <w:hyperlink r:id="rId30" w:history="1">
        <w:r w:rsidRPr="00675BC3">
          <w:rPr>
            <w:rStyle w:val="Hyperlink"/>
            <w:rFonts w:ascii="Palatino Linotype" w:hAnsi="Palatino Linotype"/>
          </w:rPr>
          <w:t>Resolution G-3618</w:t>
        </w:r>
      </w:hyperlink>
      <w:r w:rsidRPr="00262F3C">
        <w:rPr>
          <w:rFonts w:ascii="Palatino Linotype" w:hAnsi="Palatino Linotype"/>
        </w:rPr>
        <w:t xml:space="preserve"> at </w:t>
      </w:r>
      <w:r>
        <w:rPr>
          <w:rFonts w:ascii="Palatino Linotype" w:hAnsi="Palatino Linotype"/>
        </w:rPr>
        <w:t>OPs 3 &amp; 4.</w:t>
      </w:r>
    </w:p>
  </w:footnote>
  <w:footnote w:id="26">
    <w:p w14:paraId="2C3F0919" w14:textId="77777777" w:rsidR="00132EB6" w:rsidRDefault="00132EB6" w:rsidP="00132EB6">
      <w:pPr>
        <w:pStyle w:val="FootnoteText"/>
      </w:pPr>
      <w:r>
        <w:rPr>
          <w:rStyle w:val="FootnoteReference"/>
        </w:rPr>
        <w:footnoteRef/>
      </w:r>
      <w:r>
        <w:t xml:space="preserve"> </w:t>
      </w:r>
      <w:hyperlink r:id="rId31"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 xml:space="preserve">20. “(7) </w:t>
      </w:r>
      <w:r w:rsidRPr="00E63DFE">
        <w:rPr>
          <w:rFonts w:ascii="Palatino Linotype" w:hAnsi="Palatino Linotype"/>
        </w:rPr>
        <w:t>Prior to the</w:t>
      </w:r>
      <w:r w:rsidRPr="00E63DFE" w:rsidDel="00DA0BE5">
        <w:rPr>
          <w:rFonts w:ascii="Palatino Linotype" w:hAnsi="Palatino Linotype"/>
        </w:rPr>
        <w:t xml:space="preserve"> </w:t>
      </w:r>
      <w:r w:rsidRPr="00E63DFE">
        <w:rPr>
          <w:rFonts w:ascii="Palatino Linotype" w:hAnsi="Palatino Linotype"/>
        </w:rPr>
        <w:t xml:space="preserve">workshop, PG&amp;E should submit its RD&amp;D annual report to Energy Division </w:t>
      </w:r>
      <w:r>
        <w:rPr>
          <w:rFonts w:ascii="Palatino Linotype" w:hAnsi="Palatino Linotype"/>
        </w:rPr>
        <w:t>staff…”</w:t>
      </w:r>
    </w:p>
  </w:footnote>
  <w:footnote w:id="27">
    <w:p w14:paraId="094CC978" w14:textId="77777777" w:rsidR="00132EB6" w:rsidRPr="004A4627" w:rsidRDefault="00132EB6" w:rsidP="00132EB6">
      <w:pPr>
        <w:pStyle w:val="FootnoteText"/>
      </w:pPr>
      <w:r>
        <w:rPr>
          <w:rStyle w:val="FootnoteReference"/>
        </w:rPr>
        <w:footnoteRef/>
      </w:r>
      <w:r>
        <w:t xml:space="preserve"> </w:t>
      </w:r>
      <w:r w:rsidRPr="00EF74BD">
        <w:rPr>
          <w:rFonts w:ascii="Palatino Linotype" w:hAnsi="Palatino Linotype"/>
        </w:rPr>
        <w:t>Public Resources Code 25620.8</w:t>
      </w:r>
      <w:r w:rsidRPr="00AF6C99">
        <w:rPr>
          <w:rFonts w:ascii="Palatino Linotype" w:hAnsi="Palatino Linotype"/>
        </w:rPr>
        <w:t xml:space="preserve"> at (a)</w:t>
      </w:r>
      <w:r>
        <w:rPr>
          <w:rFonts w:ascii="Palatino Linotype" w:hAnsi="Palatino Linotype"/>
        </w:rPr>
        <w:t>(6).</w:t>
      </w:r>
    </w:p>
  </w:footnote>
  <w:footnote w:id="28">
    <w:p w14:paraId="61D9BBB6" w14:textId="137BB64F" w:rsidR="00132EB6" w:rsidRPr="00460658" w:rsidRDefault="00132EB6" w:rsidP="00132EB6">
      <w:pPr>
        <w:pStyle w:val="FootnoteText"/>
        <w:rPr>
          <w:b/>
          <w:bCs/>
        </w:rPr>
      </w:pPr>
      <w:r>
        <w:rPr>
          <w:rStyle w:val="FootnoteReference"/>
        </w:rPr>
        <w:footnoteRef/>
      </w:r>
      <w:r>
        <w:t xml:space="preserve"> </w:t>
      </w:r>
      <w:r w:rsidRPr="00950D1D">
        <w:rPr>
          <w:rFonts w:ascii="Palatino Linotype" w:hAnsi="Palatino Linotype"/>
        </w:rPr>
        <w:t xml:space="preserve">See </w:t>
      </w:r>
      <w:hyperlink r:id="rId32" w:history="1">
        <w:r w:rsidRPr="004C4BEB">
          <w:rPr>
            <w:rStyle w:val="Hyperlink"/>
            <w:rFonts w:ascii="Palatino Linotype" w:hAnsi="Palatino Linotype" w:cs="Times New Roman"/>
          </w:rPr>
          <w:t>Resolution G</w:t>
        </w:r>
        <w:r w:rsidR="004C4BEB" w:rsidRPr="004C4BEB">
          <w:rPr>
            <w:rStyle w:val="Hyperlink"/>
            <w:rFonts w:ascii="Palatino Linotype" w:hAnsi="Palatino Linotype" w:cs="Times New Roman"/>
          </w:rPr>
          <w:t>-3618</w:t>
        </w:r>
      </w:hyperlink>
      <w:r w:rsidR="004C4BEB">
        <w:rPr>
          <w:rFonts w:ascii="Palatino Linotype" w:hAnsi="Palatino Linotype" w:cs="Times New Roman"/>
        </w:rPr>
        <w:t xml:space="preserve"> (2026) at </w:t>
      </w:r>
      <w:r w:rsidR="004C4BEB" w:rsidRPr="004C4BEB">
        <w:rPr>
          <w:rFonts w:ascii="Palatino Linotype" w:hAnsi="Palatino Linotype" w:cs="Times New Roman"/>
        </w:rPr>
        <w:t>A</w:t>
      </w:r>
      <w:r w:rsidR="004C4BEB">
        <w:rPr>
          <w:rFonts w:ascii="Palatino Linotype" w:hAnsi="Palatino Linotype" w:cs="Times New Roman"/>
        </w:rPr>
        <w:t>ppendix</w:t>
      </w:r>
      <w:r w:rsidR="004C4BEB" w:rsidRPr="004C4BEB">
        <w:rPr>
          <w:rFonts w:ascii="Palatino Linotype" w:hAnsi="Palatino Linotype" w:cs="Times New Roman"/>
        </w:rPr>
        <w:t xml:space="preserve"> D: Commission Guidance on Gas RD&amp;D Initiative Criteria</w:t>
      </w:r>
      <w:r w:rsidRPr="00950D1D">
        <w:rPr>
          <w:rFonts w:ascii="Palatino Linotype" w:hAnsi="Palatino Linotype"/>
        </w:rPr>
        <w:t xml:space="preserve">. </w:t>
      </w:r>
      <w:hyperlink r:id="rId33" w:history="1">
        <w:r w:rsidRPr="00950D1D">
          <w:rPr>
            <w:rStyle w:val="Hyperlink"/>
            <w:rFonts w:ascii="Palatino Linotype" w:hAnsi="Palatino Linotype"/>
            <w:szCs w:val="16"/>
          </w:rPr>
          <w:t>D.23-11-069</w:t>
        </w:r>
      </w:hyperlink>
      <w:r w:rsidRPr="00950D1D">
        <w:rPr>
          <w:rFonts w:ascii="Palatino Linotype" w:hAnsi="Palatino Linotype"/>
          <w:szCs w:val="16"/>
        </w:rPr>
        <w:t xml:space="preserve"> at p. 218:</w:t>
      </w:r>
      <w:r w:rsidRPr="00950D1D">
        <w:rPr>
          <w:rFonts w:ascii="Palatino Linotype" w:hAnsi="Palatino Linotype"/>
          <w:i/>
          <w:iCs/>
        </w:rPr>
        <w:t xml:space="preserve"> </w:t>
      </w:r>
      <w:r w:rsidRPr="00E77EA1">
        <w:rPr>
          <w:rFonts w:ascii="Palatino Linotype" w:hAnsi="Palatino Linotype"/>
        </w:rPr>
        <w:t>“Consistent with prior Commission decisions and Resolutions approving other gas R&amp;D and Development Programs, PG&amp;E shall submit an annual R&amp;D and Development research plan for Commission approval.”</w:t>
      </w:r>
    </w:p>
  </w:footnote>
  <w:footnote w:id="29">
    <w:p w14:paraId="79031B04" w14:textId="77777777" w:rsidR="00132EB6" w:rsidRPr="00A437CA" w:rsidRDefault="00132EB6" w:rsidP="00132EB6">
      <w:pPr>
        <w:pStyle w:val="FootnoteText"/>
        <w:rPr>
          <w:color w:val="000000" w:themeColor="text1"/>
        </w:rPr>
      </w:pPr>
      <w:r w:rsidRPr="00A437CA">
        <w:rPr>
          <w:rStyle w:val="FootnoteReference"/>
          <w:color w:val="000000" w:themeColor="text1"/>
        </w:rPr>
        <w:footnoteRef/>
      </w:r>
      <w:r w:rsidRPr="00A437CA">
        <w:rPr>
          <w:color w:val="000000" w:themeColor="text1"/>
        </w:rPr>
        <w:t xml:space="preserve"> </w:t>
      </w:r>
      <w:hyperlink r:id="rId34">
        <w:r w:rsidRPr="00A437CA">
          <w:rPr>
            <w:rStyle w:val="Hyperlink"/>
            <w:rFonts w:ascii="Palatino Linotype" w:hAnsi="Palatino Linotype"/>
            <w:szCs w:val="16"/>
          </w:rPr>
          <w:t>Resolution G-3601</w:t>
        </w:r>
      </w:hyperlink>
      <w:r w:rsidRPr="00A437CA">
        <w:rPr>
          <w:rFonts w:ascii="Palatino Linotype" w:hAnsi="Palatino Linotype"/>
          <w:color w:val="000000" w:themeColor="text1"/>
        </w:rPr>
        <w:t xml:space="preserve"> (2023) at OP 5. “The only exception made is for projects affiliated with out-of-state federal labs, in which case Administrators shall explicitly justify benefits to California ratepayers.”</w:t>
      </w:r>
    </w:p>
  </w:footnote>
  <w:footnote w:id="30">
    <w:p w14:paraId="073069DC" w14:textId="2A22CE80" w:rsidR="00132EB6" w:rsidRPr="00230B46" w:rsidRDefault="00132EB6" w:rsidP="00132EB6">
      <w:pPr>
        <w:spacing w:after="0" w:line="240" w:lineRule="auto"/>
        <w:rPr>
          <w:rFonts w:ascii="Palatino Linotype" w:hAnsi="Palatino Linotype"/>
          <w:sz w:val="20"/>
          <w:szCs w:val="20"/>
        </w:rPr>
      </w:pPr>
      <w:r w:rsidRPr="00230B46">
        <w:rPr>
          <w:rStyle w:val="FootnoteReference"/>
          <w:rFonts w:ascii="Palatino Linotype" w:hAnsi="Palatino Linotype"/>
          <w:sz w:val="20"/>
          <w:szCs w:val="20"/>
        </w:rPr>
        <w:footnoteRef/>
      </w:r>
      <w:r w:rsidRPr="00230B46">
        <w:rPr>
          <w:rFonts w:ascii="Palatino Linotype" w:hAnsi="Palatino Linotype"/>
          <w:sz w:val="20"/>
          <w:szCs w:val="20"/>
        </w:rPr>
        <w:t xml:space="preserve"> </w:t>
      </w:r>
      <w:hyperlink r:id="rId35" w:history="1">
        <w:r w:rsidRPr="00230B46">
          <w:rPr>
            <w:rFonts w:ascii="Palatino Linotype" w:hAnsi="Palatino Linotype"/>
            <w:color w:val="467886" w:themeColor="hyperlink"/>
            <w:sz w:val="20"/>
            <w:szCs w:val="20"/>
            <w:u w:val="single"/>
          </w:rPr>
          <w:t>D.23-04-042</w:t>
        </w:r>
      </w:hyperlink>
      <w:r w:rsidRPr="00230B46">
        <w:rPr>
          <w:rFonts w:ascii="Palatino Linotype" w:hAnsi="Palatino Linotype"/>
          <w:sz w:val="20"/>
          <w:szCs w:val="20"/>
        </w:rPr>
        <w:t xml:space="preserve"> at Appendix A. Consistent with </w:t>
      </w:r>
      <w:hyperlink r:id="rId36">
        <w:r w:rsidRPr="00230B46">
          <w:rPr>
            <w:rFonts w:ascii="Palatino Linotype" w:eastAsia="Century Gothic" w:hAnsi="Palatino Linotype" w:cs="Century Gothic"/>
            <w:color w:val="467886" w:themeColor="hyperlink"/>
            <w:sz w:val="20"/>
            <w:szCs w:val="20"/>
            <w:u w:val="single"/>
          </w:rPr>
          <w:t>Resolution G-3603</w:t>
        </w:r>
      </w:hyperlink>
      <w:r w:rsidRPr="00230B46">
        <w:rPr>
          <w:rFonts w:ascii="Palatino Linotype" w:hAnsi="Palatino Linotype"/>
          <w:sz w:val="20"/>
          <w:szCs w:val="20"/>
        </w:rPr>
        <w:t xml:space="preserve"> (2024): Approving the CEC FY </w:t>
      </w:r>
      <w:r w:rsidR="00500614">
        <w:rPr>
          <w:rFonts w:ascii="Palatino Linotype" w:hAnsi="Palatino Linotype"/>
          <w:sz w:val="20"/>
          <w:szCs w:val="20"/>
        </w:rPr>
        <w:br/>
      </w:r>
      <w:r w:rsidRPr="00230B46">
        <w:rPr>
          <w:rFonts w:ascii="Palatino Linotype" w:hAnsi="Palatino Linotype"/>
          <w:sz w:val="20"/>
          <w:szCs w:val="20"/>
        </w:rPr>
        <w:t>2023-2024 Gas RD&amp;D Plan at</w:t>
      </w:r>
      <w:r w:rsidRPr="00230B46">
        <w:rPr>
          <w:rFonts w:ascii="Palatino Linotype" w:eastAsia="Century Gothic" w:hAnsi="Palatino Linotype" w:cs="Century Gothic"/>
          <w:sz w:val="20"/>
          <w:szCs w:val="20"/>
        </w:rPr>
        <w:t xml:space="preserve"> OP 6. </w:t>
      </w:r>
    </w:p>
  </w:footnote>
  <w:footnote w:id="31">
    <w:p w14:paraId="6759C4B5" w14:textId="77777777" w:rsidR="00132EB6" w:rsidRDefault="00132EB6" w:rsidP="00132EB6">
      <w:pPr>
        <w:spacing w:after="0" w:line="240" w:lineRule="auto"/>
      </w:pPr>
      <w:r w:rsidRPr="00BF3E04">
        <w:rPr>
          <w:rStyle w:val="FootnoteReference"/>
          <w:rFonts w:ascii="Palatino Linotype" w:hAnsi="Palatino Linotype"/>
          <w:sz w:val="20"/>
          <w:szCs w:val="20"/>
        </w:rPr>
        <w:footnoteRef/>
      </w:r>
      <w:r w:rsidRPr="00BF3E04">
        <w:rPr>
          <w:rStyle w:val="FootnoteReference"/>
          <w:rFonts w:ascii="Palatino Linotype" w:hAnsi="Palatino Linotype"/>
          <w:sz w:val="20"/>
          <w:szCs w:val="20"/>
        </w:rPr>
        <w:t xml:space="preserve"> </w:t>
      </w:r>
      <w:hyperlink r:id="rId37">
        <w:r w:rsidRPr="00A437CA">
          <w:rPr>
            <w:rStyle w:val="Hyperlink"/>
            <w:rFonts w:ascii="Palatino Linotype" w:hAnsi="Palatino Linotype"/>
            <w:sz w:val="20"/>
            <w:szCs w:val="16"/>
          </w:rPr>
          <w:t>Environmental &amp; Social Justice (ESJ) Action Plan Version 2.0</w:t>
        </w:r>
      </w:hyperlink>
      <w:r w:rsidRPr="00294B9E">
        <w:rPr>
          <w:rFonts w:ascii="Palatino Linotype" w:hAnsi="Palatino Linotype"/>
          <w:color w:val="000000" w:themeColor="text1"/>
          <w:sz w:val="20"/>
          <w:szCs w:val="20"/>
        </w:rPr>
        <w:t xml:space="preserve"> (2022).</w:t>
      </w:r>
    </w:p>
  </w:footnote>
  <w:footnote w:id="32">
    <w:p w14:paraId="79DC3EE6" w14:textId="75540A8E" w:rsidR="00132EB6" w:rsidRPr="00461BD5" w:rsidRDefault="00132EB6" w:rsidP="00132EB6">
      <w:pPr>
        <w:spacing w:after="0" w:line="240" w:lineRule="auto"/>
        <w:rPr>
          <w:rFonts w:ascii="Palatino Linotype" w:hAnsi="Palatino Linotype"/>
          <w:b/>
          <w:bCs/>
          <w:sz w:val="20"/>
          <w:szCs w:val="20"/>
        </w:rPr>
      </w:pPr>
      <w:r w:rsidRPr="000C66E1">
        <w:rPr>
          <w:rStyle w:val="FootnoteReference"/>
          <w:sz w:val="20"/>
          <w:szCs w:val="20"/>
        </w:rPr>
        <w:footnoteRef/>
      </w:r>
      <w:r w:rsidRPr="000C66E1">
        <w:rPr>
          <w:rStyle w:val="FootnoteReference"/>
          <w:sz w:val="20"/>
          <w:szCs w:val="20"/>
        </w:rPr>
        <w:t xml:space="preserve"> </w:t>
      </w:r>
      <w:hyperlink r:id="rId38" w:history="1">
        <w:r w:rsidRPr="00143A31">
          <w:rPr>
            <w:rStyle w:val="Hyperlink"/>
            <w:rFonts w:ascii="Palatino Linotype" w:hAnsi="Palatino Linotype"/>
            <w:sz w:val="20"/>
            <w:szCs w:val="20"/>
          </w:rPr>
          <w:t>D.23-11-069</w:t>
        </w:r>
      </w:hyperlink>
      <w:r w:rsidRPr="00143A31">
        <w:rPr>
          <w:rFonts w:ascii="Palatino Linotype" w:hAnsi="Palatino Linotype"/>
          <w:sz w:val="20"/>
          <w:szCs w:val="20"/>
        </w:rPr>
        <w:t xml:space="preserve"> at p. 220</w:t>
      </w:r>
      <w:r w:rsidRPr="00886F66">
        <w:rPr>
          <w:rFonts w:ascii="Palatino Linotype" w:hAnsi="Palatino Linotype"/>
          <w:color w:val="000000" w:themeColor="text1"/>
          <w:sz w:val="20"/>
          <w:szCs w:val="20"/>
        </w:rPr>
        <w:t xml:space="preserve">. See Initiative Criteria </w:t>
      </w:r>
      <w:r w:rsidR="00886F66" w:rsidRPr="00886F66">
        <w:rPr>
          <w:rFonts w:ascii="Palatino Linotype" w:hAnsi="Palatino Linotype"/>
          <w:color w:val="000000" w:themeColor="text1"/>
          <w:sz w:val="20"/>
          <w:szCs w:val="20"/>
        </w:rPr>
        <w:t>2. Identified Need above.</w:t>
      </w:r>
    </w:p>
  </w:footnote>
  <w:footnote w:id="33">
    <w:p w14:paraId="1165F405" w14:textId="3747724C" w:rsidR="00132EB6" w:rsidRPr="0064129A" w:rsidRDefault="00132EB6" w:rsidP="00132EB6">
      <w:pPr>
        <w:pStyle w:val="FootnoteText"/>
        <w:rPr>
          <w:rFonts w:ascii="Palatino Linotype" w:hAnsi="Palatino Linotype"/>
        </w:rPr>
      </w:pPr>
      <w:r w:rsidRPr="00890AE4">
        <w:rPr>
          <w:rStyle w:val="FootnoteReference"/>
        </w:rPr>
        <w:footnoteRef/>
      </w:r>
      <w:r w:rsidRPr="00890AE4">
        <w:t xml:space="preserve"> </w:t>
      </w:r>
      <w:r w:rsidR="00886F66" w:rsidRPr="00886F66">
        <w:rPr>
          <w:rFonts w:ascii="Palatino Linotype" w:hAnsi="Palatino Linotype"/>
          <w:color w:val="000000" w:themeColor="text1"/>
        </w:rPr>
        <w:t xml:space="preserve">See Initiative Criteria </w:t>
      </w:r>
      <w:r w:rsidR="00886F66">
        <w:rPr>
          <w:rFonts w:ascii="Palatino Linotype" w:hAnsi="Palatino Linotype"/>
          <w:color w:val="000000" w:themeColor="text1"/>
        </w:rPr>
        <w:t>1. Policy Priority</w:t>
      </w:r>
      <w:r w:rsidR="00886F66" w:rsidRPr="00886F66">
        <w:rPr>
          <w:rFonts w:ascii="Palatino Linotype" w:hAnsi="Palatino Linotype"/>
          <w:color w:val="000000" w:themeColor="text1"/>
        </w:rPr>
        <w:t xml:space="preserve"> above.</w:t>
      </w:r>
      <w:r w:rsidR="00886F66">
        <w:rPr>
          <w:rFonts w:ascii="Palatino Linotype" w:hAnsi="Palatino Linotype"/>
          <w:color w:val="000000" w:themeColor="text1"/>
        </w:rPr>
        <w:t xml:space="preserve"> </w:t>
      </w:r>
      <w:r w:rsidRPr="00890AE4">
        <w:rPr>
          <w:rFonts w:ascii="Palatino Linotype" w:hAnsi="Palatino Linotype"/>
        </w:rPr>
        <w:t xml:space="preserve">Consistent with </w:t>
      </w:r>
      <w:hyperlink r:id="rId39" w:tgtFrame="_blank" w:history="1">
        <w:r w:rsidRPr="00890AE4">
          <w:rPr>
            <w:rStyle w:val="Hyperlink"/>
            <w:rFonts w:ascii="Palatino Linotype" w:hAnsi="Palatino Linotype"/>
          </w:rPr>
          <w:t>Resolution G-3603</w:t>
        </w:r>
      </w:hyperlink>
      <w:r w:rsidRPr="00890AE4">
        <w:rPr>
          <w:rFonts w:ascii="Palatino Linotype" w:hAnsi="Palatino Linotype"/>
        </w:rPr>
        <w:t xml:space="preserve"> (2024)</w:t>
      </w:r>
      <w:r>
        <w:rPr>
          <w:rFonts w:ascii="Palatino Linotype" w:hAnsi="Palatino Linotype"/>
        </w:rPr>
        <w:t xml:space="preserve"> </w:t>
      </w:r>
      <w:r w:rsidRPr="00890AE4">
        <w:rPr>
          <w:rFonts w:ascii="Palatino Linotype" w:hAnsi="Palatino Linotype"/>
        </w:rPr>
        <w:t>at OP 4.</w:t>
      </w:r>
    </w:p>
  </w:footnote>
  <w:footnote w:id="34">
    <w:p w14:paraId="0F4F1E0A" w14:textId="77777777" w:rsidR="00132EB6" w:rsidRPr="008B7933" w:rsidRDefault="00132EB6" w:rsidP="00132EB6">
      <w:pPr>
        <w:pStyle w:val="FootnoteText"/>
        <w:rPr>
          <w:rFonts w:ascii="Century Gothic" w:hAnsi="Century Gothic"/>
        </w:rPr>
      </w:pPr>
      <w:r w:rsidRPr="00576137">
        <w:rPr>
          <w:rStyle w:val="FootnoteReference"/>
        </w:rPr>
        <w:footnoteRef/>
      </w:r>
      <w:r w:rsidRPr="00576137">
        <w:rPr>
          <w:rStyle w:val="FootnoteReference"/>
        </w:rPr>
        <w:t xml:space="preserve"> </w:t>
      </w:r>
      <w:hyperlink r:id="rId40" w:tgtFrame="_blank" w:history="1">
        <w:r w:rsidRPr="0032595A">
          <w:rPr>
            <w:rStyle w:val="Hyperlink"/>
            <w:rFonts w:ascii="Palatino Linotype" w:hAnsi="Palatino Linotype" w:cs="Palatino"/>
          </w:rPr>
          <w:t>D.24-03-007</w:t>
        </w:r>
      </w:hyperlink>
      <w:r w:rsidRPr="0032595A">
        <w:rPr>
          <w:rFonts w:ascii="Palatino Linotype" w:hAnsi="Palatino Linotype"/>
        </w:rPr>
        <w:t xml:space="preserve">: </w:t>
      </w:r>
      <w:r w:rsidRPr="006C1CA6">
        <w:rPr>
          <w:rFonts w:ascii="Palatino Linotype" w:hAnsi="Palatino Linotype" w:cs="Palatino"/>
        </w:rPr>
        <w:t xml:space="preserve">Order Instituting Rulemaking </w:t>
      </w:r>
      <w:r>
        <w:rPr>
          <w:rFonts w:ascii="Palatino Linotype" w:hAnsi="Palatino Linotype" w:cs="Palatino"/>
        </w:rPr>
        <w:t>(OIR)</w:t>
      </w:r>
      <w:r w:rsidRPr="0032595A">
        <w:rPr>
          <w:rFonts w:ascii="Palatino Linotype" w:hAnsi="Palatino Linotype"/>
        </w:rPr>
        <w:t xml:space="preserve"> on the Commission’s Own Motion to Consider Renewal of the EPIC Program</w:t>
      </w:r>
      <w:r w:rsidRPr="0032595A">
        <w:rPr>
          <w:rFonts w:ascii="Palatino Linotype" w:hAnsi="Palatino Linotype"/>
          <w:b/>
        </w:rPr>
        <w:t xml:space="preserve"> </w:t>
      </w:r>
      <w:r w:rsidRPr="0032595A">
        <w:rPr>
          <w:rFonts w:ascii="Palatino Linotype" w:hAnsi="Palatino Linotype"/>
        </w:rPr>
        <w:t>at p. 19-20.</w:t>
      </w:r>
    </w:p>
  </w:footnote>
  <w:footnote w:id="35">
    <w:p w14:paraId="69401E47" w14:textId="77777777" w:rsidR="00132EB6" w:rsidRPr="008B7933" w:rsidRDefault="00132EB6" w:rsidP="00132EB6">
      <w:pPr>
        <w:pStyle w:val="paragraph"/>
        <w:spacing w:before="0" w:beforeAutospacing="0" w:after="0" w:afterAutospacing="0"/>
        <w:textAlignment w:val="baseline"/>
        <w:rPr>
          <w:rFonts w:ascii="Century Gothic" w:hAnsi="Century Gothic"/>
          <w:bCs/>
          <w:i/>
          <w:iCs/>
          <w:sz w:val="20"/>
          <w:szCs w:val="20"/>
        </w:rPr>
      </w:pPr>
      <w:r w:rsidRPr="006D02C1">
        <w:rPr>
          <w:rStyle w:val="FootnoteReference"/>
          <w:rFonts w:asciiTheme="minorHAnsi" w:eastAsiaTheme="minorHAnsi" w:hAnsiTheme="minorHAnsi" w:cstheme="minorBidi"/>
          <w:kern w:val="2"/>
          <w:sz w:val="20"/>
          <w:szCs w:val="20"/>
          <w14:ligatures w14:val="standardContextual"/>
        </w:rPr>
        <w:footnoteRef/>
      </w:r>
      <w:r w:rsidRPr="006D02C1">
        <w:rPr>
          <w:rStyle w:val="FootnoteReference"/>
          <w:rFonts w:asciiTheme="minorHAnsi" w:eastAsiaTheme="minorHAnsi" w:hAnsiTheme="minorHAnsi" w:cstheme="minorBidi"/>
          <w:kern w:val="2"/>
          <w14:ligatures w14:val="standardContextual"/>
        </w:rPr>
        <w:t xml:space="preserve"> </w:t>
      </w:r>
      <w:hyperlink r:id="rId41" w:history="1">
        <w:r w:rsidRPr="006D02C1">
          <w:rPr>
            <w:rStyle w:val="Hyperlink"/>
            <w:rFonts w:ascii="Palatino Linotype" w:eastAsiaTheme="majorEastAsia" w:hAnsi="Palatino Linotype"/>
            <w:sz w:val="20"/>
            <w:szCs w:val="20"/>
          </w:rPr>
          <w:t>D.24-09-012</w:t>
        </w:r>
      </w:hyperlink>
      <w:r w:rsidRPr="00576137">
        <w:rPr>
          <w:rFonts w:ascii="Palatino Linotype" w:hAnsi="Palatino Linotype"/>
          <w:sz w:val="20"/>
          <w:szCs w:val="20"/>
        </w:rPr>
        <w:t xml:space="preserve">: </w:t>
      </w:r>
      <w:r w:rsidRPr="00576137">
        <w:rPr>
          <w:rFonts w:ascii="Palatino Linotype" w:hAnsi="Palatino Linotype"/>
          <w:bCs/>
          <w:sz w:val="20"/>
          <w:szCs w:val="20"/>
        </w:rPr>
        <w:t>OIR to Establish Policies, Processes, and Rules to Ensure Safe and Reliable Gas Systems in California and Perform Long-Term Gas System Planning at p. 6.</w:t>
      </w:r>
    </w:p>
  </w:footnote>
  <w:footnote w:id="36">
    <w:p w14:paraId="5BD66FEB" w14:textId="77777777" w:rsidR="00132EB6" w:rsidRPr="00AD402D" w:rsidRDefault="00132EB6" w:rsidP="00132EB6">
      <w:pPr>
        <w:pStyle w:val="FootnoteText"/>
      </w:pPr>
      <w:r>
        <w:rPr>
          <w:rStyle w:val="FootnoteReference"/>
        </w:rPr>
        <w:footnoteRef/>
      </w:r>
      <w:r>
        <w:t xml:space="preserve"> </w:t>
      </w:r>
      <w:hyperlink r:id="rId42" w:history="1">
        <w:r w:rsidRPr="00143A31">
          <w:rPr>
            <w:rStyle w:val="Hyperlink"/>
            <w:rFonts w:ascii="Palatino Linotype" w:hAnsi="Palatino Linotype"/>
          </w:rPr>
          <w:t>D.23-11-069</w:t>
        </w:r>
      </w:hyperlink>
      <w:r w:rsidRPr="00143A31">
        <w:rPr>
          <w:rFonts w:ascii="Palatino Linotype" w:hAnsi="Palatino Linotype"/>
        </w:rPr>
        <w:t xml:space="preserve"> at p. 220.</w:t>
      </w:r>
      <w:r>
        <w:rPr>
          <w:rFonts w:ascii="Palatino Linotype" w:hAnsi="Palatino Linotype"/>
        </w:rPr>
        <w:t xml:space="preserve"> Consistent with </w:t>
      </w:r>
      <w:hyperlink r:id="rId43" w:history="1">
        <w:r w:rsidRPr="009C3E60">
          <w:rPr>
            <w:rStyle w:val="Hyperlink"/>
            <w:rFonts w:ascii="Palatino Linotype" w:eastAsia="Century Gothic" w:hAnsi="Palatino Linotype" w:cs="Century Gothic"/>
          </w:rPr>
          <w:t>D.19-09-051</w:t>
        </w:r>
      </w:hyperlink>
      <w:r>
        <w:t xml:space="preserve">: </w:t>
      </w:r>
      <w:r>
        <w:rPr>
          <w:rFonts w:ascii="Palatino Linotype" w:hAnsi="Palatino Linotype"/>
          <w:color w:val="000000" w:themeColor="text1"/>
        </w:rPr>
        <w:t>SoCalGas 2019 GRC Decision</w:t>
      </w:r>
      <w:r w:rsidRPr="009C3E60">
        <w:rPr>
          <w:rFonts w:ascii="Palatino Linotype" w:hAnsi="Palatino Linotype"/>
        </w:rPr>
        <w:t xml:space="preserve"> at </w:t>
      </w:r>
      <w:r>
        <w:rPr>
          <w:rFonts w:ascii="Palatino Linotype" w:hAnsi="Palatino Linotype"/>
        </w:rPr>
        <w:t>OP 30.</w:t>
      </w:r>
    </w:p>
  </w:footnote>
  <w:footnote w:id="37">
    <w:p w14:paraId="4C907A50" w14:textId="77777777" w:rsidR="00132EB6" w:rsidRPr="00BB313F" w:rsidRDefault="00132EB6" w:rsidP="00132EB6">
      <w:pPr>
        <w:pStyle w:val="FootnoteText"/>
        <w:rPr>
          <w:rFonts w:ascii="Palatino Linotype" w:hAnsi="Palatino Linotype"/>
          <w:sz w:val="22"/>
          <w:szCs w:val="22"/>
        </w:rPr>
      </w:pPr>
      <w:r>
        <w:rPr>
          <w:rStyle w:val="FootnoteReference"/>
        </w:rPr>
        <w:footnoteRef/>
      </w:r>
      <w:r>
        <w:t xml:space="preserve"> </w:t>
      </w:r>
      <w:r w:rsidRPr="00492ADC">
        <w:rPr>
          <w:rFonts w:ascii="Palatino Linotype" w:hAnsi="Palatino Linotype"/>
        </w:rPr>
        <w:t xml:space="preserve">Consistent with </w:t>
      </w:r>
      <w:hyperlink r:id="rId44" w:history="1">
        <w:r w:rsidRPr="00492ADC">
          <w:rPr>
            <w:rStyle w:val="Hyperlink"/>
            <w:rFonts w:ascii="Palatino Linotype" w:hAnsi="Palatino Linotype"/>
          </w:rPr>
          <w:t>Resolution G-3571</w:t>
        </w:r>
      </w:hyperlink>
      <w:r w:rsidRPr="00492ADC">
        <w:rPr>
          <w:rFonts w:ascii="Palatino Linotype" w:hAnsi="Palatino Linotype"/>
        </w:rPr>
        <w:t xml:space="preserve"> (2020) at OP 5a.</w:t>
      </w:r>
    </w:p>
  </w:footnote>
  <w:footnote w:id="38">
    <w:p w14:paraId="5DB13723" w14:textId="1458C803" w:rsidR="00132EB6" w:rsidRPr="00103BB8" w:rsidRDefault="00132EB6" w:rsidP="00132EB6">
      <w:pPr>
        <w:pStyle w:val="FootnoteText"/>
        <w:rPr>
          <w:rFonts w:ascii="Palatino Linotype" w:hAnsi="Palatino Linotype"/>
        </w:rPr>
      </w:pPr>
      <w:r>
        <w:rPr>
          <w:rStyle w:val="FootnoteReference"/>
        </w:rPr>
        <w:footnoteRef/>
      </w:r>
      <w:r>
        <w:t xml:space="preserve"> </w:t>
      </w:r>
      <w:hyperlink r:id="rId45" w:history="1">
        <w:r w:rsidRPr="00143A31">
          <w:rPr>
            <w:rStyle w:val="Hyperlink"/>
            <w:rFonts w:ascii="Palatino Linotype" w:hAnsi="Palatino Linotype"/>
          </w:rPr>
          <w:t>D.23-11-069</w:t>
        </w:r>
      </w:hyperlink>
      <w:r w:rsidRPr="00143A31">
        <w:rPr>
          <w:rFonts w:ascii="Palatino Linotype" w:hAnsi="Palatino Linotype"/>
        </w:rPr>
        <w:t xml:space="preserve"> at p. 2</w:t>
      </w:r>
      <w:r>
        <w:rPr>
          <w:rFonts w:ascii="Palatino Linotype" w:hAnsi="Palatino Linotype"/>
        </w:rPr>
        <w:t xml:space="preserve">20-221. </w:t>
      </w:r>
      <w:r w:rsidR="00886F66" w:rsidRPr="00886F66">
        <w:rPr>
          <w:rFonts w:ascii="Palatino Linotype" w:hAnsi="Palatino Linotype"/>
          <w:color w:val="000000" w:themeColor="text1"/>
        </w:rPr>
        <w:t xml:space="preserve">See Initiative Criteria </w:t>
      </w:r>
      <w:r w:rsidR="00886F66">
        <w:rPr>
          <w:rFonts w:ascii="Palatino Linotype" w:hAnsi="Palatino Linotype"/>
          <w:color w:val="000000" w:themeColor="text1"/>
        </w:rPr>
        <w:t>4</w:t>
      </w:r>
      <w:r w:rsidR="00886F66" w:rsidRPr="00886F66">
        <w:rPr>
          <w:rFonts w:ascii="Palatino Linotype" w:hAnsi="Palatino Linotype"/>
          <w:color w:val="000000" w:themeColor="text1"/>
        </w:rPr>
        <w:t xml:space="preserve">. </w:t>
      </w:r>
      <w:r w:rsidR="00886F66">
        <w:rPr>
          <w:rFonts w:ascii="Palatino Linotype" w:hAnsi="Palatino Linotype"/>
          <w:color w:val="000000" w:themeColor="text1"/>
        </w:rPr>
        <w:t>Anticipated Impacts</w:t>
      </w:r>
      <w:r w:rsidR="00886F66" w:rsidRPr="00886F66">
        <w:rPr>
          <w:rFonts w:ascii="Palatino Linotype" w:hAnsi="Palatino Linotype"/>
          <w:color w:val="000000" w:themeColor="text1"/>
        </w:rPr>
        <w:t xml:space="preserve"> above.</w:t>
      </w:r>
      <w:r w:rsidR="00886F66">
        <w:rPr>
          <w:rFonts w:ascii="Palatino Linotype" w:hAnsi="Palatino Linotype"/>
          <w:color w:val="000000" w:themeColor="text1"/>
        </w:rPr>
        <w:t xml:space="preserve"> </w:t>
      </w:r>
      <w:r w:rsidRPr="00103BB8">
        <w:rPr>
          <w:rFonts w:ascii="Palatino Linotype" w:hAnsi="Palatino Linotype"/>
        </w:rPr>
        <w:t xml:space="preserve">Consistent with: </w:t>
      </w:r>
      <w:r w:rsidR="00500614">
        <w:rPr>
          <w:rFonts w:ascii="Palatino Linotype" w:hAnsi="Palatino Linotype"/>
        </w:rPr>
        <w:br/>
      </w:r>
      <w:hyperlink r:id="rId46" w:history="1">
        <w:r w:rsidRPr="00630A4E">
          <w:rPr>
            <w:rStyle w:val="Hyperlink"/>
            <w:rFonts w:ascii="Palatino Linotype" w:eastAsia="Century Gothic" w:hAnsi="Palatino Linotype" w:cs="Century Gothic"/>
          </w:rPr>
          <w:t>D.19-09-051</w:t>
        </w:r>
      </w:hyperlink>
      <w:r w:rsidRPr="00630A4E">
        <w:rPr>
          <w:rFonts w:ascii="Palatino Linotype" w:hAnsi="Palatino Linotype"/>
        </w:rPr>
        <w:t xml:space="preserve"> at p. 379.</w:t>
      </w:r>
    </w:p>
  </w:footnote>
  <w:footnote w:id="39">
    <w:p w14:paraId="729D1F04" w14:textId="77777777" w:rsidR="00132EB6" w:rsidRDefault="00132EB6" w:rsidP="00132EB6">
      <w:pPr>
        <w:pStyle w:val="FootnoteText"/>
      </w:pPr>
      <w:r>
        <w:rPr>
          <w:rStyle w:val="FootnoteReference"/>
        </w:rPr>
        <w:footnoteRef/>
      </w:r>
      <w:r>
        <w:t xml:space="preserve"> </w:t>
      </w:r>
      <w:hyperlink r:id="rId47" w:history="1">
        <w:r w:rsidRPr="00143A31">
          <w:rPr>
            <w:rStyle w:val="Hyperlink"/>
            <w:rFonts w:ascii="Palatino Linotype" w:hAnsi="Palatino Linotype"/>
          </w:rPr>
          <w:t>D.23-11-069</w:t>
        </w:r>
      </w:hyperlink>
      <w:r w:rsidRPr="00143A31">
        <w:rPr>
          <w:rFonts w:ascii="Palatino Linotype" w:hAnsi="Palatino Linotype"/>
        </w:rPr>
        <w:t xml:space="preserve"> at p. 220</w:t>
      </w:r>
      <w:r>
        <w:rPr>
          <w:rFonts w:ascii="Palatino Linotype" w:hAnsi="Palatino Linotype"/>
        </w:rPr>
        <w:t>.</w:t>
      </w:r>
    </w:p>
  </w:footnote>
  <w:footnote w:id="40">
    <w:p w14:paraId="10BBCC79" w14:textId="77777777" w:rsidR="00132EB6" w:rsidRDefault="00132EB6" w:rsidP="00132EB6">
      <w:pPr>
        <w:pStyle w:val="FootnoteText"/>
      </w:pPr>
      <w:r>
        <w:rPr>
          <w:rStyle w:val="FootnoteReference"/>
        </w:rPr>
        <w:footnoteRef/>
      </w:r>
      <w:r>
        <w:t xml:space="preserve"> </w:t>
      </w:r>
      <w:hyperlink r:id="rId48" w:history="1">
        <w:r w:rsidRPr="00FB6840">
          <w:rPr>
            <w:rStyle w:val="Hyperlink"/>
            <w:rFonts w:ascii="Palatino Linotype" w:hAnsi="Palatino Linotype"/>
            <w:szCs w:val="16"/>
          </w:rPr>
          <w:t>D.23-11-069</w:t>
        </w:r>
      </w:hyperlink>
      <w:r>
        <w:rPr>
          <w:rFonts w:ascii="Palatino Linotype" w:hAnsi="Palatino Linotype"/>
          <w:szCs w:val="16"/>
        </w:rPr>
        <w:t xml:space="preserve"> at p. 218.</w:t>
      </w:r>
    </w:p>
  </w:footnote>
  <w:footnote w:id="41">
    <w:p w14:paraId="0FA006B7" w14:textId="77777777" w:rsidR="00132EB6" w:rsidRDefault="00132EB6" w:rsidP="00132EB6">
      <w:pPr>
        <w:pStyle w:val="FootnoteText"/>
      </w:pPr>
      <w:r>
        <w:rPr>
          <w:rStyle w:val="FootnoteReference"/>
        </w:rPr>
        <w:footnoteRef/>
      </w:r>
      <w:r>
        <w:t xml:space="preserve"> </w:t>
      </w:r>
      <w:r w:rsidRPr="006856A6">
        <w:rPr>
          <w:rFonts w:ascii="Palatino Linotype" w:hAnsi="Palatino Linotype"/>
        </w:rPr>
        <w:t xml:space="preserve">Consistent with </w:t>
      </w:r>
      <w:hyperlink r:id="rId49" w:history="1">
        <w:r w:rsidRPr="006856A6">
          <w:rPr>
            <w:rStyle w:val="Hyperlink"/>
            <w:rFonts w:ascii="Palatino Linotype" w:hAnsi="Palatino Linotype"/>
          </w:rPr>
          <w:t>Resolution G-3571</w:t>
        </w:r>
      </w:hyperlink>
      <w:r w:rsidRPr="006856A6">
        <w:rPr>
          <w:rFonts w:ascii="Palatino Linotype" w:hAnsi="Palatino Linotype"/>
        </w:rPr>
        <w:t xml:space="preserve"> (2020) at OP 5</w:t>
      </w:r>
      <w:r>
        <w:rPr>
          <w:rFonts w:ascii="Palatino Linotype" w:hAnsi="Palatino Linotype"/>
        </w:rPr>
        <w:t>c &amp; 5d</w:t>
      </w:r>
      <w:r w:rsidRPr="006856A6">
        <w:rPr>
          <w:rFonts w:ascii="Palatino Linotype" w:hAnsi="Palatino Linotype"/>
        </w:rPr>
        <w:t>.</w:t>
      </w:r>
    </w:p>
  </w:footnote>
  <w:footnote w:id="42">
    <w:p w14:paraId="092E5C45" w14:textId="77777777" w:rsidR="00132EB6" w:rsidRDefault="00132EB6" w:rsidP="00132EB6">
      <w:pPr>
        <w:pStyle w:val="FootnoteText"/>
      </w:pPr>
      <w:r>
        <w:rPr>
          <w:rStyle w:val="FootnoteReference"/>
        </w:rPr>
        <w:footnoteRef/>
      </w:r>
      <w:r>
        <w:t xml:space="preserve"> </w:t>
      </w:r>
      <w:hyperlink r:id="rId50" w:anchor="page=17" w:history="1">
        <w:r w:rsidRPr="003029E7">
          <w:rPr>
            <w:rStyle w:val="Hyperlink"/>
            <w:rFonts w:ascii="Palatino Linotype" w:hAnsi="Palatino Linotype"/>
          </w:rPr>
          <w:t>General Order 96-B</w:t>
        </w:r>
      </w:hyperlink>
      <w:r>
        <w:rPr>
          <w:rFonts w:ascii="Palatino Linotype" w:hAnsi="Palatino Linotype"/>
        </w:rPr>
        <w:t xml:space="preserve"> Rule 7.3.5 at PDF p. 19.</w:t>
      </w:r>
    </w:p>
  </w:footnote>
  <w:footnote w:id="43">
    <w:p w14:paraId="529688F9" w14:textId="77777777" w:rsidR="00132EB6" w:rsidRDefault="00132EB6" w:rsidP="00132EB6">
      <w:pPr>
        <w:pStyle w:val="FootnoteText"/>
      </w:pPr>
      <w:r>
        <w:rPr>
          <w:rStyle w:val="FootnoteReference"/>
        </w:rPr>
        <w:footnoteRef/>
      </w:r>
      <w:r>
        <w:t xml:space="preserve"> </w:t>
      </w:r>
      <w:hyperlink r:id="rId51"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 xml:space="preserve">at p. 217-218. </w:t>
      </w:r>
    </w:p>
  </w:footnote>
  <w:footnote w:id="44">
    <w:p w14:paraId="7411A45A" w14:textId="77777777" w:rsidR="00132EB6" w:rsidRDefault="00132EB6" w:rsidP="00132EB6">
      <w:pPr>
        <w:pStyle w:val="FootnoteText"/>
      </w:pPr>
      <w:r>
        <w:rPr>
          <w:rStyle w:val="FootnoteReference"/>
        </w:rPr>
        <w:footnoteRef/>
      </w:r>
      <w:r>
        <w:t xml:space="preserve"> </w:t>
      </w:r>
      <w:hyperlink r:id="rId52" w:history="1">
        <w:r w:rsidRPr="00FB6840">
          <w:rPr>
            <w:rStyle w:val="Hyperlink"/>
            <w:rFonts w:ascii="Palatino Linotype" w:hAnsi="Palatino Linotype"/>
            <w:szCs w:val="16"/>
          </w:rPr>
          <w:t>D.23-11-069</w:t>
        </w:r>
      </w:hyperlink>
      <w:r>
        <w:rPr>
          <w:rFonts w:ascii="Palatino Linotype" w:hAnsi="Palatino Linotype"/>
          <w:szCs w:val="16"/>
        </w:rPr>
        <w:t xml:space="preserve"> at p. 220.</w:t>
      </w:r>
    </w:p>
  </w:footnote>
  <w:footnote w:id="45">
    <w:p w14:paraId="63DB001D" w14:textId="77777777" w:rsidR="00132EB6" w:rsidRDefault="00132EB6" w:rsidP="00132EB6">
      <w:pPr>
        <w:pStyle w:val="FootnoteText"/>
      </w:pPr>
      <w:r>
        <w:rPr>
          <w:rStyle w:val="FootnoteReference"/>
        </w:rPr>
        <w:footnoteRef/>
      </w:r>
      <w:r>
        <w:t xml:space="preserve"> </w:t>
      </w:r>
      <w:r w:rsidRPr="003262FD">
        <w:rPr>
          <w:rFonts w:ascii="Palatino Linotype" w:hAnsi="Palatino Linotype"/>
        </w:rPr>
        <w:t xml:space="preserve">Funds </w:t>
      </w:r>
      <w:r w:rsidRPr="008454F8">
        <w:rPr>
          <w:rFonts w:ascii="Palatino Linotype" w:hAnsi="Palatino Linotype"/>
          <w:color w:val="000000" w:themeColor="text1"/>
        </w:rPr>
        <w:t xml:space="preserve">explicitly approved via Resolution </w:t>
      </w:r>
      <w:r w:rsidRPr="003262FD">
        <w:rPr>
          <w:rFonts w:ascii="Palatino Linotype" w:hAnsi="Palatino Linotype"/>
        </w:rPr>
        <w:t>which PG&amp;E has committed</w:t>
      </w:r>
      <w:r>
        <w:rPr>
          <w:rFonts w:ascii="Palatino Linotype" w:hAnsi="Palatino Linotype"/>
        </w:rPr>
        <w:t xml:space="preserve">, </w:t>
      </w:r>
      <w:r w:rsidRPr="003262FD">
        <w:rPr>
          <w:rFonts w:ascii="Palatino Linotype" w:hAnsi="Palatino Linotype"/>
        </w:rPr>
        <w:t>contracte</w:t>
      </w:r>
      <w:r>
        <w:rPr>
          <w:rFonts w:ascii="Palatino Linotype" w:hAnsi="Palatino Linotype"/>
        </w:rPr>
        <w:t>d out, or otherwise encumbered shall not be returned at the close of the GRC cycle to allow for the completion of work in progress. If contracts are terminated after the close of the GRC cycle, uncommitted or disencumbered funds shall be returned to ratepayers.</w:t>
      </w:r>
    </w:p>
  </w:footnote>
  <w:footnote w:id="46">
    <w:p w14:paraId="63A03645" w14:textId="77777777" w:rsidR="00132EB6" w:rsidRPr="004A4627" w:rsidRDefault="00132EB6" w:rsidP="00132EB6">
      <w:pPr>
        <w:pStyle w:val="FootnoteText"/>
      </w:pPr>
      <w:r w:rsidRPr="004A4627">
        <w:rPr>
          <w:rStyle w:val="FootnoteReference"/>
        </w:rPr>
        <w:footnoteRef/>
      </w:r>
      <w:r w:rsidRPr="004A4627">
        <w:t xml:space="preserve"> </w:t>
      </w:r>
      <w:hyperlink r:id="rId53" w:history="1">
        <w:r w:rsidRPr="004A4627">
          <w:rPr>
            <w:rStyle w:val="Hyperlink"/>
            <w:rFonts w:ascii="Palatino Linotype" w:hAnsi="Palatino Linotype"/>
          </w:rPr>
          <w:t>PG&amp;E Gas Preliminary Statement Part GA (AL 4835-G)</w:t>
        </w:r>
      </w:hyperlink>
      <w:r w:rsidRPr="004A4627">
        <w:rPr>
          <w:rFonts w:ascii="Palatino Linotype" w:hAnsi="Palatino Linotype"/>
        </w:rPr>
        <w:t xml:space="preserve"> at Section 3: “At the end of the GRC cycle, if the total balance in all three subaccounts (Distribution Subaccount plus Main Transmission Subaccount plus LT Subaccount) in the account is less than the 2023-2026 adopted amounts at the end of the rate case cycle, it will be returned to customers.” </w:t>
      </w:r>
      <w:r w:rsidRPr="004A4627">
        <w:rPr>
          <w:rFonts w:ascii="Palatino Linotype" w:hAnsi="Palatino Linotype"/>
          <w:color w:val="000000" w:themeColor="text1"/>
        </w:rPr>
        <w:t xml:space="preserve">Consistent with: </w:t>
      </w:r>
    </w:p>
    <w:p w14:paraId="144ED7D3" w14:textId="77777777" w:rsidR="00132EB6" w:rsidRPr="004A4627" w:rsidRDefault="00132EB6" w:rsidP="00132EB6">
      <w:pPr>
        <w:pStyle w:val="FootnoteText"/>
        <w:rPr>
          <w:rFonts w:ascii="Palatino Linotype" w:eastAsia="Century Gothic" w:hAnsi="Palatino Linotype" w:cs="Century Gothic"/>
          <w:color w:val="000000" w:themeColor="text1"/>
        </w:rPr>
      </w:pPr>
      <w:hyperlink r:id="rId54" w:history="1">
        <w:r w:rsidRPr="004A4627">
          <w:rPr>
            <w:rStyle w:val="Hyperlink"/>
            <w:rFonts w:ascii="Palatino Linotype" w:hAnsi="Palatino Linotype"/>
          </w:rPr>
          <w:t>D.19-09-051</w:t>
        </w:r>
      </w:hyperlink>
      <w:r w:rsidRPr="004A4627">
        <w:rPr>
          <w:rFonts w:ascii="Palatino Linotype" w:eastAsia="Century Gothic" w:hAnsi="Palatino Linotype" w:cs="Century Gothic"/>
          <w:color w:val="EE0000"/>
        </w:rPr>
        <w:t xml:space="preserve"> </w:t>
      </w:r>
      <w:r w:rsidRPr="004A4627">
        <w:rPr>
          <w:rFonts w:ascii="Palatino Linotype" w:eastAsia="Century Gothic" w:hAnsi="Palatino Linotype" w:cs="Century Gothic"/>
          <w:color w:val="000000" w:themeColor="text1"/>
        </w:rPr>
        <w:t>at Conclusions of Law (</w:t>
      </w:r>
      <w:proofErr w:type="spellStart"/>
      <w:r w:rsidRPr="004A4627">
        <w:rPr>
          <w:rFonts w:ascii="Palatino Linotype" w:eastAsia="Century Gothic" w:hAnsi="Palatino Linotype" w:cs="Century Gothic"/>
          <w:color w:val="000000" w:themeColor="text1"/>
        </w:rPr>
        <w:t>CoL</w:t>
      </w:r>
      <w:proofErr w:type="spellEnd"/>
      <w:r w:rsidRPr="004A4627">
        <w:rPr>
          <w:rFonts w:ascii="Palatino Linotype" w:eastAsia="Century Gothic" w:hAnsi="Palatino Linotype" w:cs="Century Gothic"/>
          <w:color w:val="000000" w:themeColor="text1"/>
        </w:rPr>
        <w:t xml:space="preserve">) 66. “Approval of the funding for the RD&amp;D program should be subject to a one-way balancing account </w:t>
      </w:r>
      <w:proofErr w:type="gramStart"/>
      <w:r w:rsidRPr="004A4627">
        <w:rPr>
          <w:rFonts w:ascii="Palatino Linotype" w:eastAsia="Century Gothic" w:hAnsi="Palatino Linotype" w:cs="Century Gothic"/>
          <w:color w:val="000000" w:themeColor="text1"/>
        </w:rPr>
        <w:t>treatment</w:t>
      </w:r>
      <w:proofErr w:type="gramEnd"/>
      <w:r w:rsidRPr="004A4627">
        <w:rPr>
          <w:rFonts w:ascii="Palatino Linotype" w:eastAsia="Century Gothic" w:hAnsi="Palatino Linotype" w:cs="Century Gothic"/>
          <w:color w:val="000000" w:themeColor="text1"/>
        </w:rPr>
        <w:t xml:space="preserve"> and unspent funds should be returned to ratepayers at the end of each GRC cycle.” </w:t>
      </w:r>
    </w:p>
    <w:p w14:paraId="2FBA7C91" w14:textId="77777777" w:rsidR="00132EB6" w:rsidRPr="00950D1D" w:rsidRDefault="00132EB6" w:rsidP="00132EB6">
      <w:pPr>
        <w:pStyle w:val="FootnoteText"/>
      </w:pPr>
      <w:hyperlink r:id="rId55" w:history="1">
        <w:r w:rsidRPr="004A4627">
          <w:rPr>
            <w:rStyle w:val="Hyperlink"/>
            <w:rFonts w:ascii="Palatino Linotype" w:eastAsia="Century Gothic" w:hAnsi="Palatino Linotype" w:cs="Century Gothic"/>
          </w:rPr>
          <w:t>D.24-12-074</w:t>
        </w:r>
      </w:hyperlink>
      <w:r w:rsidRPr="004A4627">
        <w:t xml:space="preserve">: </w:t>
      </w:r>
      <w:r w:rsidRPr="004A4627">
        <w:rPr>
          <w:rFonts w:ascii="Palatino Linotype" w:hAnsi="Palatino Linotype"/>
          <w:color w:val="000000" w:themeColor="text1"/>
        </w:rPr>
        <w:t>SoCalGas 2024 GRC Decision</w:t>
      </w:r>
      <w:r w:rsidRPr="004A4627">
        <w:rPr>
          <w:rFonts w:ascii="Palatino Linotype" w:eastAsia="Century Gothic" w:hAnsi="Palatino Linotype" w:cs="Century Gothic"/>
          <w:color w:val="000000" w:themeColor="text1"/>
        </w:rPr>
        <w:t xml:space="preserve"> at p. 330. “Unspent funds shall be returned to ratepayers at the end of each GRC cycle.”</w:t>
      </w:r>
    </w:p>
  </w:footnote>
  <w:footnote w:id="47">
    <w:p w14:paraId="2837E3D9" w14:textId="75A03946" w:rsidR="007C7B15" w:rsidRDefault="007C7B15">
      <w:pPr>
        <w:pStyle w:val="FootnoteText"/>
      </w:pPr>
      <w:r w:rsidRPr="00676FCA">
        <w:rPr>
          <w:rStyle w:val="FootnoteReference"/>
          <w:color w:val="000000" w:themeColor="text1"/>
        </w:rPr>
        <w:footnoteRef/>
      </w:r>
      <w:r w:rsidRPr="00676FCA">
        <w:rPr>
          <w:color w:val="000000" w:themeColor="text1"/>
        </w:rPr>
        <w:t xml:space="preserve"> </w:t>
      </w:r>
      <w:r w:rsidRPr="00676FCA">
        <w:rPr>
          <w:rFonts w:ascii="Palatino Linotype" w:hAnsi="Palatino Linotype"/>
          <w:color w:val="000000" w:themeColor="text1"/>
        </w:rPr>
        <w:t>This Resolutio</w:t>
      </w:r>
      <w:r w:rsidR="00FB2649" w:rsidRPr="00676FCA">
        <w:rPr>
          <w:rFonts w:ascii="Palatino Linotype" w:hAnsi="Palatino Linotype"/>
          <w:color w:val="000000" w:themeColor="text1"/>
        </w:rPr>
        <w:t>n references</w:t>
      </w:r>
      <w:r w:rsidR="007E16B6" w:rsidRPr="00676FCA">
        <w:rPr>
          <w:rFonts w:ascii="Palatino Linotype" w:hAnsi="Palatino Linotype"/>
          <w:color w:val="000000" w:themeColor="text1"/>
        </w:rPr>
        <w:t xml:space="preserve"> page numbers </w:t>
      </w:r>
      <w:r w:rsidR="00F5240F" w:rsidRPr="00676FCA">
        <w:rPr>
          <w:rFonts w:ascii="Palatino Linotype" w:hAnsi="Palatino Linotype"/>
          <w:color w:val="000000" w:themeColor="text1"/>
        </w:rPr>
        <w:t>of the clean version of PG&amp;</w:t>
      </w:r>
      <w:proofErr w:type="gramStart"/>
      <w:r w:rsidR="00F5240F" w:rsidRPr="00676FCA">
        <w:rPr>
          <w:rFonts w:ascii="Palatino Linotype" w:hAnsi="Palatino Linotype"/>
          <w:color w:val="000000" w:themeColor="text1"/>
        </w:rPr>
        <w:t>E’s</w:t>
      </w:r>
      <w:proofErr w:type="gramEnd"/>
      <w:r w:rsidR="00F5240F" w:rsidRPr="00676FCA">
        <w:rPr>
          <w:rFonts w:ascii="Palatino Linotype" w:hAnsi="Palatino Linotype"/>
          <w:color w:val="000000" w:themeColor="text1"/>
        </w:rPr>
        <w:t xml:space="preserve"> updated 2024 Gas RD&amp;D Plan submitted via AL 5196-G</w:t>
      </w:r>
      <w:r w:rsidR="0031456A" w:rsidRPr="00676FCA">
        <w:rPr>
          <w:rFonts w:ascii="Palatino Linotype" w:hAnsi="Palatino Linotype"/>
          <w:color w:val="000000" w:themeColor="text1"/>
        </w:rPr>
        <w:t xml:space="preserve"> at Attachment B, PDF p. 106-205.</w:t>
      </w:r>
    </w:p>
  </w:footnote>
  <w:footnote w:id="48">
    <w:p w14:paraId="16975683" w14:textId="02A2FCE8" w:rsidR="004B50CE" w:rsidRPr="00C60D8D" w:rsidRDefault="004B50CE" w:rsidP="004B50CE">
      <w:pPr>
        <w:pStyle w:val="FootnoteText"/>
        <w:rPr>
          <w:rFonts w:ascii="Palatino Linotype" w:hAnsi="Palatino Linotype"/>
        </w:rPr>
      </w:pPr>
      <w:r w:rsidRPr="00C60D8D">
        <w:rPr>
          <w:rStyle w:val="FootnoteReference"/>
          <w:rFonts w:ascii="Palatino Linotype" w:hAnsi="Palatino Linotype"/>
        </w:rPr>
        <w:footnoteRef/>
      </w:r>
      <w:r w:rsidRPr="00C60D8D">
        <w:rPr>
          <w:rFonts w:ascii="Palatino Linotype" w:hAnsi="Palatino Linotype"/>
        </w:rPr>
        <w:t xml:space="preserve"> </w:t>
      </w:r>
      <w:hyperlink r:id="rId56" w:history="1">
        <w:r w:rsidRPr="00083C51">
          <w:rPr>
            <w:rStyle w:val="Hyperlink"/>
            <w:rFonts w:ascii="Palatino Linotype" w:hAnsi="Palatino Linotype"/>
          </w:rPr>
          <w:t>Resolution G-3618</w:t>
        </w:r>
      </w:hyperlink>
      <w:r w:rsidRPr="00C60D8D">
        <w:rPr>
          <w:rFonts w:ascii="Palatino Linotype" w:hAnsi="Palatino Linotype"/>
        </w:rPr>
        <w:t xml:space="preserve"> (2026) at </w:t>
      </w:r>
      <w:r>
        <w:rPr>
          <w:rFonts w:ascii="Palatino Linotype" w:hAnsi="Palatino Linotype"/>
        </w:rPr>
        <w:t>p. 14-16.</w:t>
      </w:r>
    </w:p>
  </w:footnote>
  <w:footnote w:id="49">
    <w:p w14:paraId="112AFB0D" w14:textId="03B647B6" w:rsidR="00BA4F45" w:rsidRDefault="00BA4F45">
      <w:pPr>
        <w:pStyle w:val="FootnoteText"/>
      </w:pPr>
      <w:r>
        <w:rPr>
          <w:rStyle w:val="FootnoteReference"/>
        </w:rPr>
        <w:footnoteRef/>
      </w:r>
      <w:r>
        <w:t xml:space="preserve"> </w:t>
      </w:r>
      <w:hyperlink r:id="rId57" w:history="1">
        <w:r w:rsidRPr="00083C51">
          <w:rPr>
            <w:rStyle w:val="Hyperlink"/>
            <w:rFonts w:ascii="Palatino Linotype" w:hAnsi="Palatino Linotype"/>
          </w:rPr>
          <w:t>Resolution G-3618</w:t>
        </w:r>
      </w:hyperlink>
      <w:r w:rsidRPr="00C60D8D">
        <w:rPr>
          <w:rFonts w:ascii="Palatino Linotype" w:hAnsi="Palatino Linotype"/>
        </w:rPr>
        <w:t xml:space="preserve"> (2026)</w:t>
      </w:r>
      <w:r w:rsidR="00E97C0E">
        <w:rPr>
          <w:rFonts w:ascii="Palatino Linotype" w:hAnsi="Palatino Linotype"/>
        </w:rPr>
        <w:t xml:space="preserve"> at OP 3.</w:t>
      </w:r>
    </w:p>
  </w:footnote>
  <w:footnote w:id="50">
    <w:p w14:paraId="569293D6" w14:textId="61CAEC34" w:rsidR="00517F84" w:rsidRDefault="00517F84">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 xml:space="preserve">AL 5196-G at </w:t>
      </w:r>
      <w:r w:rsidR="001B290E" w:rsidRPr="000C58D8">
        <w:rPr>
          <w:rFonts w:ascii="Palatino Linotype" w:hAnsi="Palatino Linotype"/>
          <w:color w:val="000000" w:themeColor="text1"/>
        </w:rPr>
        <w:t>p. 3-4.</w:t>
      </w:r>
    </w:p>
  </w:footnote>
  <w:footnote w:id="51">
    <w:p w14:paraId="21A15B4D" w14:textId="7C285598" w:rsidR="00F72E2C" w:rsidRDefault="00F72E2C">
      <w:pPr>
        <w:pStyle w:val="FootnoteText"/>
      </w:pPr>
      <w:r>
        <w:rPr>
          <w:rStyle w:val="FootnoteReference"/>
        </w:rPr>
        <w:footnoteRef/>
      </w:r>
      <w:r>
        <w:t xml:space="preserve"> </w:t>
      </w:r>
      <w:hyperlink r:id="rId58" w:history="1">
        <w:r w:rsidR="006D5656" w:rsidRPr="00827308">
          <w:rPr>
            <w:rStyle w:val="Hyperlink"/>
            <w:rFonts w:ascii="Palatino Linotype" w:eastAsia="Palatino Linotype" w:hAnsi="Palatino Linotype" w:cs="Times New Roman"/>
          </w:rPr>
          <w:t>D.23-11-069</w:t>
        </w:r>
      </w:hyperlink>
      <w:r w:rsidR="006D5656" w:rsidRPr="006D5656">
        <w:rPr>
          <w:rFonts w:ascii="Palatino Linotype" w:eastAsia="Palatino Linotype" w:hAnsi="Palatino Linotype" w:cs="Times New Roman"/>
          <w:color w:val="0070C0"/>
        </w:rPr>
        <w:t xml:space="preserve"> </w:t>
      </w:r>
      <w:r w:rsidR="00570482" w:rsidRPr="000C58D8">
        <w:rPr>
          <w:rFonts w:ascii="Palatino Linotype" w:eastAsia="Palatino Linotype" w:hAnsi="Palatino Linotype" w:cs="Times New Roman"/>
          <w:color w:val="000000" w:themeColor="text1"/>
        </w:rPr>
        <w:t xml:space="preserve">at </w:t>
      </w:r>
      <w:r w:rsidR="00570482" w:rsidRPr="000C58D8">
        <w:rPr>
          <w:rFonts w:ascii="Palatino Linotype" w:hAnsi="Palatino Linotype"/>
          <w:color w:val="000000" w:themeColor="text1"/>
        </w:rPr>
        <w:t xml:space="preserve">p. 217 &amp; 740 </w:t>
      </w:r>
      <w:r w:rsidR="006D5656" w:rsidRPr="000C58D8">
        <w:rPr>
          <w:rFonts w:ascii="Palatino Linotype" w:eastAsia="Palatino Linotype" w:hAnsi="Palatino Linotype" w:cs="Times New Roman"/>
          <w:color w:val="000000" w:themeColor="text1"/>
        </w:rPr>
        <w:t>approved a Test Year 2023 Gas RD&amp;D budget of $7.414M and escalation factor authorizing an $8.09M annual budget cap for PG&amp;E’s 2024 Plan.</w:t>
      </w:r>
    </w:p>
  </w:footnote>
  <w:footnote w:id="52">
    <w:p w14:paraId="5ED9DDB9" w14:textId="7AAADEAE" w:rsidR="00BE63F1" w:rsidRPr="000C58D8" w:rsidRDefault="00BE63F1" w:rsidP="0083425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AL 5196-G Attachment B at p. 66, 68, &amp; 76.</w:t>
      </w:r>
    </w:p>
  </w:footnote>
  <w:footnote w:id="53">
    <w:p w14:paraId="1DA97340" w14:textId="76E200CC" w:rsidR="002E2942" w:rsidRPr="000C58D8" w:rsidRDefault="002E2942">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 xml:space="preserve">AL </w:t>
      </w:r>
      <w:r w:rsidR="00E763AD" w:rsidRPr="000C58D8">
        <w:rPr>
          <w:rFonts w:ascii="Palatino Linotype" w:hAnsi="Palatino Linotype"/>
          <w:color w:val="000000" w:themeColor="text1"/>
          <w:szCs w:val="16"/>
        </w:rPr>
        <w:t>5</w:t>
      </w:r>
      <w:r w:rsidR="00AB50F6" w:rsidRPr="000C58D8">
        <w:rPr>
          <w:rFonts w:ascii="Palatino Linotype" w:hAnsi="Palatino Linotype"/>
          <w:color w:val="000000" w:themeColor="text1"/>
          <w:szCs w:val="16"/>
        </w:rPr>
        <w:t>196-G Attachment B</w:t>
      </w:r>
      <w:r w:rsidRPr="000C58D8">
        <w:rPr>
          <w:rFonts w:ascii="Palatino Linotype" w:hAnsi="Palatino Linotype"/>
          <w:color w:val="000000" w:themeColor="text1"/>
          <w:szCs w:val="16"/>
        </w:rPr>
        <w:t xml:space="preserve"> at p. </w:t>
      </w:r>
      <w:r w:rsidR="009B44C8" w:rsidRPr="000C58D8">
        <w:rPr>
          <w:rFonts w:ascii="Palatino Linotype" w:hAnsi="Palatino Linotype"/>
          <w:color w:val="000000" w:themeColor="text1"/>
          <w:szCs w:val="16"/>
        </w:rPr>
        <w:t>67.</w:t>
      </w:r>
    </w:p>
  </w:footnote>
  <w:footnote w:id="54">
    <w:p w14:paraId="3FCBAC74" w14:textId="27EF1A29" w:rsidR="00224DE3" w:rsidRPr="000C58D8" w:rsidRDefault="00224DE3">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A30F1D"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C01BE8" w:rsidRPr="000C58D8">
        <w:rPr>
          <w:rFonts w:ascii="Palatino Linotype" w:hAnsi="Palatino Linotype"/>
          <w:color w:val="000000" w:themeColor="text1"/>
          <w:szCs w:val="16"/>
        </w:rPr>
        <w:t>70-73.</w:t>
      </w:r>
    </w:p>
  </w:footnote>
  <w:footnote w:id="55">
    <w:p w14:paraId="2232C3C9" w14:textId="0B94B4C2" w:rsidR="00E20BFA" w:rsidRPr="00A71411" w:rsidRDefault="00E20BFA">
      <w:pPr>
        <w:pStyle w:val="FootnoteText"/>
        <w:rPr>
          <w:color w:val="FF0000"/>
        </w:rPr>
      </w:pPr>
      <w:r w:rsidRPr="000C58D8">
        <w:rPr>
          <w:rStyle w:val="FootnoteReference"/>
          <w:color w:val="000000" w:themeColor="text1"/>
        </w:rPr>
        <w:footnoteRef/>
      </w:r>
      <w:r w:rsidRPr="000C58D8">
        <w:rPr>
          <w:color w:val="000000" w:themeColor="text1"/>
        </w:rPr>
        <w:t xml:space="preserve"> </w:t>
      </w:r>
      <w:r w:rsidR="00C666EE"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46358D" w:rsidRPr="000C58D8">
        <w:rPr>
          <w:rFonts w:ascii="Palatino Linotype" w:hAnsi="Palatino Linotype"/>
          <w:color w:val="000000" w:themeColor="text1"/>
          <w:szCs w:val="16"/>
        </w:rPr>
        <w:t>73-75.</w:t>
      </w:r>
    </w:p>
  </w:footnote>
  <w:footnote w:id="56">
    <w:p w14:paraId="639B6630" w14:textId="1EF51467" w:rsidR="00EF229B" w:rsidRPr="000C58D8" w:rsidRDefault="00EF229B">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81C6F"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5F2AEE" w:rsidRPr="000C58D8">
        <w:rPr>
          <w:rFonts w:ascii="Palatino Linotype" w:hAnsi="Palatino Linotype"/>
          <w:color w:val="000000" w:themeColor="text1"/>
          <w:szCs w:val="16"/>
        </w:rPr>
        <w:t>75-77.</w:t>
      </w:r>
    </w:p>
  </w:footnote>
  <w:footnote w:id="57">
    <w:p w14:paraId="6B03E4CE" w14:textId="4D09D3EF" w:rsidR="00AB3D8E" w:rsidRPr="000C58D8" w:rsidRDefault="00AB3D8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E36BA"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746D98" w:rsidRPr="000C58D8">
        <w:rPr>
          <w:rFonts w:ascii="Palatino Linotype" w:hAnsi="Palatino Linotype"/>
          <w:color w:val="000000" w:themeColor="text1"/>
          <w:szCs w:val="16"/>
        </w:rPr>
        <w:t>78-81.</w:t>
      </w:r>
    </w:p>
  </w:footnote>
  <w:footnote w:id="58">
    <w:p w14:paraId="6EA7D643" w14:textId="44448149" w:rsidR="001A5B5E" w:rsidRPr="000C58D8" w:rsidRDefault="001A5B5E" w:rsidP="001A5B5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AL 519</w:t>
      </w:r>
      <w:r w:rsidR="00F9217B" w:rsidRPr="000C58D8">
        <w:rPr>
          <w:rFonts w:ascii="Palatino Linotype" w:hAnsi="Palatino Linotype"/>
          <w:color w:val="000000" w:themeColor="text1"/>
        </w:rPr>
        <w:t>6</w:t>
      </w:r>
      <w:r w:rsidRPr="000C58D8">
        <w:rPr>
          <w:rFonts w:ascii="Palatino Linotype" w:hAnsi="Palatino Linotype"/>
          <w:color w:val="000000" w:themeColor="text1"/>
        </w:rPr>
        <w:t xml:space="preserve">-G </w:t>
      </w:r>
      <w:r w:rsidRPr="000C58D8">
        <w:rPr>
          <w:rFonts w:ascii="Palatino Linotype" w:eastAsia="Palatino Linotype" w:hAnsi="Palatino Linotype" w:cs="Times New Roman"/>
          <w:color w:val="000000" w:themeColor="text1"/>
          <w:kern w:val="0"/>
          <w14:ligatures w14:val="none"/>
        </w:rPr>
        <w:t xml:space="preserve">Attachment B </w:t>
      </w:r>
      <w:r w:rsidRPr="000C58D8">
        <w:rPr>
          <w:rFonts w:ascii="Palatino Linotype" w:hAnsi="Palatino Linotype"/>
          <w:color w:val="000000" w:themeColor="text1"/>
        </w:rPr>
        <w:t xml:space="preserve">at p. </w:t>
      </w:r>
      <w:r w:rsidR="00F9217B" w:rsidRPr="000C58D8">
        <w:rPr>
          <w:rFonts w:ascii="Palatino Linotype" w:hAnsi="Palatino Linotype"/>
          <w:color w:val="000000" w:themeColor="text1"/>
        </w:rPr>
        <w:t>66</w:t>
      </w:r>
      <w:r w:rsidRPr="000C58D8">
        <w:rPr>
          <w:rFonts w:ascii="Palatino Linotype" w:hAnsi="Palatino Linotype"/>
          <w:color w:val="000000" w:themeColor="text1"/>
        </w:rPr>
        <w:t>.</w:t>
      </w:r>
    </w:p>
  </w:footnote>
  <w:footnote w:id="59">
    <w:p w14:paraId="6EF1E779" w14:textId="07A9F865" w:rsidR="00343B50" w:rsidRDefault="00343B50">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This Resolution references page numbers of the clean version of PG&amp;</w:t>
      </w:r>
      <w:proofErr w:type="gramStart"/>
      <w:r w:rsidRPr="000C58D8">
        <w:rPr>
          <w:rFonts w:ascii="Palatino Linotype" w:hAnsi="Palatino Linotype"/>
          <w:color w:val="000000" w:themeColor="text1"/>
        </w:rPr>
        <w:t>E’s</w:t>
      </w:r>
      <w:proofErr w:type="gramEnd"/>
      <w:r w:rsidRPr="000C58D8">
        <w:rPr>
          <w:rFonts w:ascii="Palatino Linotype" w:hAnsi="Palatino Linotype"/>
          <w:color w:val="000000" w:themeColor="text1"/>
        </w:rPr>
        <w:t xml:space="preserve"> updated 2025 Gas RD&amp;D Plan submitted via AL 5197-G at Attachment B, PDF p. 1</w:t>
      </w:r>
      <w:r w:rsidR="007075F9" w:rsidRPr="000C58D8">
        <w:rPr>
          <w:rFonts w:ascii="Palatino Linotype" w:hAnsi="Palatino Linotype"/>
          <w:color w:val="000000" w:themeColor="text1"/>
        </w:rPr>
        <w:t>61-293.</w:t>
      </w:r>
    </w:p>
  </w:footnote>
  <w:footnote w:id="60">
    <w:p w14:paraId="22D5520D" w14:textId="4FD5C8E8" w:rsidR="005957AD" w:rsidRPr="00C60D8D" w:rsidRDefault="005957AD" w:rsidP="005957AD">
      <w:pPr>
        <w:pStyle w:val="FootnoteText"/>
        <w:rPr>
          <w:rFonts w:ascii="Palatino Linotype" w:hAnsi="Palatino Linotype"/>
        </w:rPr>
      </w:pPr>
      <w:r w:rsidRPr="00C60D8D">
        <w:rPr>
          <w:rStyle w:val="FootnoteReference"/>
          <w:rFonts w:ascii="Palatino Linotype" w:hAnsi="Palatino Linotype"/>
        </w:rPr>
        <w:footnoteRef/>
      </w:r>
      <w:r w:rsidRPr="00C60D8D">
        <w:rPr>
          <w:rFonts w:ascii="Palatino Linotype" w:hAnsi="Palatino Linotype"/>
        </w:rPr>
        <w:t xml:space="preserve"> </w:t>
      </w:r>
      <w:hyperlink r:id="rId59" w:history="1">
        <w:r w:rsidRPr="00083C51">
          <w:rPr>
            <w:rStyle w:val="Hyperlink"/>
            <w:rFonts w:ascii="Palatino Linotype" w:hAnsi="Palatino Linotype"/>
          </w:rPr>
          <w:t>Resolution G-3618</w:t>
        </w:r>
      </w:hyperlink>
      <w:r w:rsidRPr="00C60D8D">
        <w:rPr>
          <w:rFonts w:ascii="Palatino Linotype" w:hAnsi="Palatino Linotype"/>
        </w:rPr>
        <w:t xml:space="preserve"> (2026) at </w:t>
      </w:r>
      <w:r>
        <w:rPr>
          <w:rFonts w:ascii="Palatino Linotype" w:hAnsi="Palatino Linotype"/>
        </w:rPr>
        <w:t>p. 1</w:t>
      </w:r>
      <w:r w:rsidR="00403771">
        <w:rPr>
          <w:rFonts w:ascii="Palatino Linotype" w:hAnsi="Palatino Linotype"/>
        </w:rPr>
        <w:t>7-18</w:t>
      </w:r>
      <w:r>
        <w:rPr>
          <w:rFonts w:ascii="Palatino Linotype" w:hAnsi="Palatino Linotype"/>
        </w:rPr>
        <w:t>.</w:t>
      </w:r>
    </w:p>
  </w:footnote>
  <w:footnote w:id="61">
    <w:p w14:paraId="1F4BF4BB" w14:textId="77777777" w:rsidR="00F3198F" w:rsidRDefault="00F3198F" w:rsidP="00F3198F">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AL 5197-G at p. 3-4.</w:t>
      </w:r>
    </w:p>
  </w:footnote>
  <w:footnote w:id="62">
    <w:p w14:paraId="65480BFD" w14:textId="5CE2D447" w:rsidR="001C37A8" w:rsidRPr="000C58D8" w:rsidRDefault="001C37A8">
      <w:pPr>
        <w:pStyle w:val="FootnoteText"/>
        <w:rPr>
          <w:color w:val="000000" w:themeColor="text1"/>
        </w:rPr>
      </w:pPr>
      <w:r>
        <w:rPr>
          <w:rStyle w:val="FootnoteReference"/>
        </w:rPr>
        <w:footnoteRef/>
      </w:r>
      <w:r>
        <w:t xml:space="preserve"> </w:t>
      </w:r>
      <w:hyperlink r:id="rId60" w:history="1">
        <w:r w:rsidRPr="00827308">
          <w:rPr>
            <w:rStyle w:val="Hyperlink"/>
            <w:rFonts w:ascii="Palatino Linotype" w:eastAsia="Palatino Linotype" w:hAnsi="Palatino Linotype" w:cs="Times New Roman"/>
          </w:rPr>
          <w:t>D.23-11-069</w:t>
        </w:r>
      </w:hyperlink>
      <w:r w:rsidRPr="006D5656">
        <w:rPr>
          <w:rFonts w:ascii="Palatino Linotype" w:eastAsia="Palatino Linotype" w:hAnsi="Palatino Linotype" w:cs="Times New Roman"/>
          <w:color w:val="0070C0"/>
        </w:rPr>
        <w:t xml:space="preserve"> </w:t>
      </w:r>
      <w:r w:rsidRPr="000C58D8">
        <w:rPr>
          <w:rFonts w:ascii="Palatino Linotype" w:eastAsia="Palatino Linotype" w:hAnsi="Palatino Linotype" w:cs="Times New Roman"/>
          <w:color w:val="000000" w:themeColor="text1"/>
        </w:rPr>
        <w:t xml:space="preserve">at </w:t>
      </w:r>
      <w:r w:rsidRPr="000C58D8">
        <w:rPr>
          <w:rFonts w:ascii="Palatino Linotype" w:hAnsi="Palatino Linotype"/>
          <w:color w:val="000000" w:themeColor="text1"/>
        </w:rPr>
        <w:t xml:space="preserve">p. 217 &amp; 740 </w:t>
      </w:r>
      <w:r w:rsidRPr="000C58D8">
        <w:rPr>
          <w:rFonts w:ascii="Palatino Linotype" w:eastAsia="Palatino Linotype" w:hAnsi="Palatino Linotype" w:cs="Times New Roman"/>
          <w:color w:val="000000" w:themeColor="text1"/>
        </w:rPr>
        <w:t>approved a Test Year 2023 Gas RD&amp;D budget of $7.414M and escalation factor authorizing an $8.</w:t>
      </w:r>
      <w:r w:rsidR="005B01BE" w:rsidRPr="000C58D8">
        <w:rPr>
          <w:rFonts w:ascii="Palatino Linotype" w:eastAsia="Palatino Linotype" w:hAnsi="Palatino Linotype" w:cs="Times New Roman"/>
          <w:color w:val="000000" w:themeColor="text1"/>
        </w:rPr>
        <w:t>267</w:t>
      </w:r>
      <w:r w:rsidRPr="000C58D8">
        <w:rPr>
          <w:rFonts w:ascii="Palatino Linotype" w:eastAsia="Palatino Linotype" w:hAnsi="Palatino Linotype" w:cs="Times New Roman"/>
          <w:color w:val="000000" w:themeColor="text1"/>
        </w:rPr>
        <w:t>M annual budget cap for PG&amp;E’s 202</w:t>
      </w:r>
      <w:r w:rsidR="00037CD7" w:rsidRPr="000C58D8">
        <w:rPr>
          <w:rFonts w:ascii="Palatino Linotype" w:eastAsia="Palatino Linotype" w:hAnsi="Palatino Linotype" w:cs="Times New Roman"/>
          <w:color w:val="000000" w:themeColor="text1"/>
        </w:rPr>
        <w:t>5</w:t>
      </w:r>
      <w:r w:rsidRPr="000C58D8">
        <w:rPr>
          <w:rFonts w:ascii="Palatino Linotype" w:eastAsia="Palatino Linotype" w:hAnsi="Palatino Linotype" w:cs="Times New Roman"/>
          <w:color w:val="000000" w:themeColor="text1"/>
        </w:rPr>
        <w:t xml:space="preserve"> Plan.</w:t>
      </w:r>
    </w:p>
  </w:footnote>
  <w:footnote w:id="63">
    <w:p w14:paraId="4C885E45" w14:textId="3F2A3498" w:rsidR="00BE63F1" w:rsidRPr="000C58D8" w:rsidRDefault="00BE63F1">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 xml:space="preserve">AL 5197-G </w:t>
      </w:r>
      <w:r w:rsidRPr="000C58D8">
        <w:rPr>
          <w:rFonts w:ascii="Palatino Linotype" w:eastAsia="Palatino Linotype" w:hAnsi="Palatino Linotype" w:cs="Times New Roman"/>
          <w:color w:val="000000" w:themeColor="text1"/>
          <w:kern w:val="0"/>
          <w14:ligatures w14:val="none"/>
        </w:rPr>
        <w:t xml:space="preserve">Attachment B </w:t>
      </w:r>
      <w:r w:rsidRPr="000C58D8">
        <w:rPr>
          <w:rFonts w:ascii="Palatino Linotype" w:hAnsi="Palatino Linotype"/>
          <w:color w:val="000000" w:themeColor="text1"/>
        </w:rPr>
        <w:t>at p. 74, 77, &amp; 84.</w:t>
      </w:r>
    </w:p>
  </w:footnote>
  <w:footnote w:id="64">
    <w:p w14:paraId="07721FDF" w14:textId="3CAED579" w:rsidR="00912614" w:rsidRPr="00E71B47" w:rsidRDefault="00912614" w:rsidP="00912614">
      <w:pPr>
        <w:pStyle w:val="FootnoteText"/>
        <w:rPr>
          <w:color w:val="FF0000"/>
        </w:rPr>
      </w:pPr>
      <w:r w:rsidRPr="000C58D8">
        <w:rPr>
          <w:rStyle w:val="FootnoteReference"/>
          <w:color w:val="000000" w:themeColor="text1"/>
        </w:rPr>
        <w:footnoteRef/>
      </w:r>
      <w:r w:rsidRPr="000C58D8">
        <w:rPr>
          <w:color w:val="000000" w:themeColor="text1"/>
        </w:rPr>
        <w:t xml:space="preserve"> </w:t>
      </w:r>
      <w:r w:rsidR="003D0266" w:rsidRPr="000C58D8">
        <w:rPr>
          <w:rFonts w:ascii="Palatino Linotype" w:hAnsi="Palatino Linotype"/>
          <w:color w:val="000000" w:themeColor="text1"/>
        </w:rPr>
        <w:t xml:space="preserve">AL 5197-G </w:t>
      </w:r>
      <w:r w:rsidR="003D0266" w:rsidRPr="000C58D8">
        <w:rPr>
          <w:rFonts w:ascii="Palatino Linotype" w:eastAsia="Palatino Linotype" w:hAnsi="Palatino Linotype" w:cs="Times New Roman"/>
          <w:color w:val="000000" w:themeColor="text1"/>
          <w:kern w:val="0"/>
          <w14:ligatures w14:val="none"/>
        </w:rPr>
        <w:t xml:space="preserve">Attachment B </w:t>
      </w:r>
      <w:r w:rsidR="003D0266" w:rsidRPr="000C58D8">
        <w:rPr>
          <w:rFonts w:ascii="Palatino Linotype" w:hAnsi="Palatino Linotype"/>
          <w:color w:val="000000" w:themeColor="text1"/>
        </w:rPr>
        <w:t xml:space="preserve">at p. </w:t>
      </w:r>
      <w:r w:rsidR="00FC3CC7" w:rsidRPr="000C58D8">
        <w:rPr>
          <w:rFonts w:ascii="Palatino Linotype" w:hAnsi="Palatino Linotype"/>
          <w:color w:val="000000" w:themeColor="text1"/>
        </w:rPr>
        <w:t>75-77.</w:t>
      </w:r>
    </w:p>
  </w:footnote>
  <w:footnote w:id="65">
    <w:p w14:paraId="0FE2B24A" w14:textId="0682D705" w:rsidR="00912614" w:rsidRPr="000C58D8" w:rsidRDefault="00912614" w:rsidP="00912614">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 xml:space="preserve">AL </w:t>
      </w:r>
      <w:r w:rsidR="003D022F" w:rsidRPr="000C58D8">
        <w:rPr>
          <w:rFonts w:ascii="Palatino Linotype" w:hAnsi="Palatino Linotype"/>
          <w:color w:val="000000" w:themeColor="text1"/>
          <w:szCs w:val="16"/>
        </w:rPr>
        <w:t>5197-G Attachment B at</w:t>
      </w:r>
      <w:r w:rsidRPr="000C58D8">
        <w:rPr>
          <w:rFonts w:ascii="Palatino Linotype" w:hAnsi="Palatino Linotype"/>
          <w:color w:val="000000" w:themeColor="text1"/>
          <w:szCs w:val="16"/>
        </w:rPr>
        <w:t xml:space="preserve"> p. </w:t>
      </w:r>
      <w:r w:rsidR="0053196A" w:rsidRPr="000C58D8">
        <w:rPr>
          <w:rFonts w:ascii="Palatino Linotype" w:hAnsi="Palatino Linotype"/>
          <w:color w:val="000000" w:themeColor="text1"/>
          <w:szCs w:val="16"/>
        </w:rPr>
        <w:t>77-81.</w:t>
      </w:r>
    </w:p>
  </w:footnote>
  <w:footnote w:id="66">
    <w:p w14:paraId="1A5E2C4F" w14:textId="12162747" w:rsidR="00DD600D" w:rsidRPr="000C58D8" w:rsidRDefault="00DD600D">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AL 5197-G Attachment B at</w:t>
      </w:r>
      <w:r w:rsidR="0053196A" w:rsidRPr="000C58D8">
        <w:rPr>
          <w:rFonts w:ascii="Palatino Linotype" w:hAnsi="Palatino Linotype"/>
          <w:color w:val="000000" w:themeColor="text1"/>
          <w:szCs w:val="16"/>
        </w:rPr>
        <w:t xml:space="preserve"> p. 81-84.</w:t>
      </w:r>
    </w:p>
  </w:footnote>
  <w:footnote w:id="67">
    <w:p w14:paraId="2E64FCA5" w14:textId="0770F592" w:rsidR="00912614" w:rsidRDefault="00912614" w:rsidP="00912614">
      <w:pPr>
        <w:pStyle w:val="FootnoteText"/>
      </w:pPr>
      <w:r w:rsidRPr="000C58D8">
        <w:rPr>
          <w:rStyle w:val="FootnoteReference"/>
          <w:color w:val="000000" w:themeColor="text1"/>
        </w:rPr>
        <w:footnoteRef/>
      </w:r>
      <w:r w:rsidRPr="000C58D8">
        <w:rPr>
          <w:color w:val="000000" w:themeColor="text1"/>
        </w:rPr>
        <w:t xml:space="preserve"> </w:t>
      </w:r>
      <w:r w:rsidR="009E5707" w:rsidRPr="000C58D8">
        <w:rPr>
          <w:rFonts w:ascii="Palatino Linotype" w:hAnsi="Palatino Linotype"/>
          <w:color w:val="000000" w:themeColor="text1"/>
          <w:szCs w:val="16"/>
        </w:rPr>
        <w:t xml:space="preserve">AL 5197-G Attachment B at </w:t>
      </w:r>
      <w:r w:rsidRPr="000C58D8">
        <w:rPr>
          <w:rFonts w:ascii="Palatino Linotype" w:hAnsi="Palatino Linotype"/>
          <w:color w:val="000000" w:themeColor="text1"/>
          <w:szCs w:val="16"/>
        </w:rPr>
        <w:t xml:space="preserve">p. </w:t>
      </w:r>
      <w:r w:rsidR="004E4BF0" w:rsidRPr="000C58D8">
        <w:rPr>
          <w:rFonts w:ascii="Palatino Linotype" w:hAnsi="Palatino Linotype"/>
          <w:color w:val="000000" w:themeColor="text1"/>
          <w:szCs w:val="16"/>
        </w:rPr>
        <w:t>84-85.</w:t>
      </w:r>
    </w:p>
  </w:footnote>
  <w:footnote w:id="68">
    <w:p w14:paraId="733D1882" w14:textId="353632AB" w:rsidR="00912614" w:rsidRPr="00994F76" w:rsidRDefault="00912614" w:rsidP="00912614">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7558F1" w:rsidRPr="00994F76">
        <w:rPr>
          <w:rFonts w:ascii="Palatino Linotype" w:hAnsi="Palatino Linotype"/>
          <w:color w:val="000000" w:themeColor="text1"/>
          <w:szCs w:val="16"/>
        </w:rPr>
        <w:t xml:space="preserve">AL 5197-G </w:t>
      </w:r>
      <w:r w:rsidR="007558F1" w:rsidRPr="00994F76">
        <w:rPr>
          <w:rFonts w:ascii="Palatino Linotype" w:eastAsia="Palatino Linotype" w:hAnsi="Palatino Linotype" w:cs="Times New Roman"/>
          <w:color w:val="000000" w:themeColor="text1"/>
          <w:kern w:val="0"/>
          <w14:ligatures w14:val="none"/>
        </w:rPr>
        <w:t xml:space="preserve">Attachment B </w:t>
      </w:r>
      <w:r w:rsidR="007558F1" w:rsidRPr="00994F76">
        <w:rPr>
          <w:rFonts w:ascii="Palatino Linotype" w:hAnsi="Palatino Linotype"/>
          <w:color w:val="000000" w:themeColor="text1"/>
          <w:szCs w:val="16"/>
        </w:rPr>
        <w:t xml:space="preserve">at </w:t>
      </w:r>
      <w:r w:rsidRPr="00994F76">
        <w:rPr>
          <w:rFonts w:ascii="Palatino Linotype" w:hAnsi="Palatino Linotype"/>
          <w:color w:val="000000" w:themeColor="text1"/>
          <w:szCs w:val="16"/>
        </w:rPr>
        <w:t xml:space="preserve">p. </w:t>
      </w:r>
      <w:r w:rsidR="004E4BF0" w:rsidRPr="00994F76">
        <w:rPr>
          <w:rFonts w:ascii="Palatino Linotype" w:hAnsi="Palatino Linotype"/>
          <w:color w:val="000000" w:themeColor="text1"/>
          <w:szCs w:val="16"/>
        </w:rPr>
        <w:t>85-87.</w:t>
      </w:r>
    </w:p>
  </w:footnote>
  <w:footnote w:id="69">
    <w:p w14:paraId="09E239E0" w14:textId="1D41F04B" w:rsidR="00912614" w:rsidRPr="00994F76" w:rsidRDefault="00912614" w:rsidP="00912614">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D244D7" w:rsidRPr="00994F76">
        <w:rPr>
          <w:rFonts w:ascii="Palatino Linotype" w:hAnsi="Palatino Linotype"/>
          <w:color w:val="000000" w:themeColor="text1"/>
        </w:rPr>
        <w:t xml:space="preserve">AL 5197-G </w:t>
      </w:r>
      <w:r w:rsidR="00D244D7" w:rsidRPr="00994F76">
        <w:rPr>
          <w:rFonts w:ascii="Palatino Linotype" w:eastAsia="Palatino Linotype" w:hAnsi="Palatino Linotype" w:cs="Times New Roman"/>
          <w:color w:val="000000" w:themeColor="text1"/>
          <w:kern w:val="0"/>
          <w14:ligatures w14:val="none"/>
        </w:rPr>
        <w:t xml:space="preserve">Attachment B </w:t>
      </w:r>
      <w:r w:rsidR="00D244D7" w:rsidRPr="00994F76">
        <w:rPr>
          <w:rFonts w:ascii="Palatino Linotype" w:hAnsi="Palatino Linotype"/>
          <w:color w:val="000000" w:themeColor="text1"/>
        </w:rPr>
        <w:t>at p. 74.</w:t>
      </w:r>
    </w:p>
  </w:footnote>
  <w:footnote w:id="70">
    <w:p w14:paraId="43264406" w14:textId="77777777" w:rsidR="00CB728B" w:rsidRPr="00994F76" w:rsidRDefault="00CB728B" w:rsidP="00CB728B">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Pr="00994F76">
        <w:rPr>
          <w:rFonts w:ascii="Palatino Linotype" w:hAnsi="Palatino Linotype"/>
          <w:color w:val="000000" w:themeColor="text1"/>
          <w:szCs w:val="16"/>
        </w:rPr>
        <w:t xml:space="preserve">AL 5197-G </w:t>
      </w:r>
      <w:r w:rsidRPr="00994F76">
        <w:rPr>
          <w:rFonts w:ascii="Palatino Linotype" w:eastAsia="Palatino Linotype" w:hAnsi="Palatino Linotype" w:cs="Times New Roman"/>
          <w:color w:val="000000" w:themeColor="text1"/>
          <w:kern w:val="0"/>
          <w14:ligatures w14:val="none"/>
        </w:rPr>
        <w:t xml:space="preserve">Attachment B </w:t>
      </w:r>
      <w:r w:rsidRPr="00994F76">
        <w:rPr>
          <w:rFonts w:ascii="Palatino Linotype" w:hAnsi="Palatino Linotype"/>
          <w:color w:val="000000" w:themeColor="text1"/>
          <w:szCs w:val="16"/>
        </w:rPr>
        <w:t>at p. 74.</w:t>
      </w:r>
    </w:p>
  </w:footnote>
  <w:footnote w:id="71">
    <w:p w14:paraId="2CAFDFB6" w14:textId="6321EA4E" w:rsidR="00311637" w:rsidRDefault="00311637" w:rsidP="00311637">
      <w:pPr>
        <w:pStyle w:val="FootnoteText"/>
      </w:pPr>
      <w:r w:rsidRPr="00994F76">
        <w:rPr>
          <w:rStyle w:val="FootnoteReference"/>
          <w:color w:val="000000" w:themeColor="text1"/>
        </w:rPr>
        <w:footnoteRef/>
      </w:r>
      <w:r w:rsidRPr="00994F76">
        <w:rPr>
          <w:color w:val="000000" w:themeColor="text1"/>
        </w:rPr>
        <w:t xml:space="preserve"> </w:t>
      </w:r>
      <w:r w:rsidR="00C976F4" w:rsidRPr="00994F76">
        <w:rPr>
          <w:rFonts w:ascii="Palatino Linotype" w:hAnsi="Palatino Linotype"/>
          <w:color w:val="000000" w:themeColor="text1"/>
        </w:rPr>
        <w:t xml:space="preserve">AL 5197-G </w:t>
      </w:r>
      <w:r w:rsidR="00C976F4" w:rsidRPr="00994F76">
        <w:rPr>
          <w:rFonts w:ascii="Palatino Linotype" w:eastAsia="Palatino Linotype" w:hAnsi="Palatino Linotype" w:cs="Times New Roman"/>
          <w:color w:val="000000" w:themeColor="text1"/>
          <w:kern w:val="0"/>
          <w14:ligatures w14:val="none"/>
        </w:rPr>
        <w:t xml:space="preserve">Attachment B </w:t>
      </w:r>
      <w:r w:rsidR="00C976F4" w:rsidRPr="00994F76">
        <w:rPr>
          <w:rFonts w:ascii="Palatino Linotype" w:hAnsi="Palatino Linotype"/>
          <w:color w:val="000000" w:themeColor="text1"/>
        </w:rPr>
        <w:t>at p. 74.</w:t>
      </w:r>
    </w:p>
  </w:footnote>
  <w:footnote w:id="72">
    <w:p w14:paraId="19A11AF9" w14:textId="1E9A2182" w:rsidR="000D7EE1" w:rsidRDefault="000D7EE1" w:rsidP="000D7EE1">
      <w:pPr>
        <w:pStyle w:val="FootnoteText"/>
      </w:pPr>
      <w:r>
        <w:rPr>
          <w:rStyle w:val="FootnoteReference"/>
        </w:rPr>
        <w:footnoteRef/>
      </w:r>
      <w:r>
        <w:t xml:space="preserve"> </w:t>
      </w:r>
      <w:hyperlink r:id="rId61" w:history="1">
        <w:r w:rsidRPr="00827308">
          <w:rPr>
            <w:rStyle w:val="Hyperlink"/>
            <w:rFonts w:ascii="Palatino Linotype" w:eastAsia="Palatino Linotype" w:hAnsi="Palatino Linotype" w:cs="Times New Roman"/>
          </w:rPr>
          <w:t>D.23-11-069</w:t>
        </w:r>
      </w:hyperlink>
      <w:r w:rsidRPr="006D5656">
        <w:rPr>
          <w:rFonts w:ascii="Palatino Linotype" w:eastAsia="Palatino Linotype" w:hAnsi="Palatino Linotype" w:cs="Times New Roman"/>
          <w:color w:val="0070C0"/>
        </w:rPr>
        <w:t xml:space="preserve"> </w:t>
      </w:r>
      <w:r w:rsidRPr="000C58D8">
        <w:rPr>
          <w:rFonts w:ascii="Palatino Linotype" w:eastAsia="Palatino Linotype" w:hAnsi="Palatino Linotype" w:cs="Times New Roman"/>
          <w:color w:val="000000" w:themeColor="text1"/>
        </w:rPr>
        <w:t xml:space="preserve">at </w:t>
      </w:r>
      <w:r w:rsidRPr="000C58D8">
        <w:rPr>
          <w:rFonts w:ascii="Palatino Linotype" w:hAnsi="Palatino Linotype"/>
          <w:color w:val="000000" w:themeColor="text1"/>
        </w:rPr>
        <w:t xml:space="preserve">p. 217 &amp; 740 </w:t>
      </w:r>
      <w:r w:rsidRPr="000C58D8">
        <w:rPr>
          <w:rFonts w:ascii="Palatino Linotype" w:eastAsia="Palatino Linotype" w:hAnsi="Palatino Linotype" w:cs="Times New Roman"/>
          <w:color w:val="000000" w:themeColor="text1"/>
        </w:rPr>
        <w:t>approved a Test Year 2023 Gas RD&amp;D budget of $7.414M and escalation factor authorizing an $8.</w:t>
      </w:r>
      <w:r w:rsidR="00E31E70">
        <w:rPr>
          <w:rFonts w:ascii="Palatino Linotype" w:eastAsia="Palatino Linotype" w:hAnsi="Palatino Linotype" w:cs="Times New Roman"/>
          <w:color w:val="000000" w:themeColor="text1"/>
        </w:rPr>
        <w:t>267</w:t>
      </w:r>
      <w:r w:rsidRPr="000C58D8">
        <w:rPr>
          <w:rFonts w:ascii="Palatino Linotype" w:eastAsia="Palatino Linotype" w:hAnsi="Palatino Linotype" w:cs="Times New Roman"/>
          <w:color w:val="000000" w:themeColor="text1"/>
        </w:rPr>
        <w:t>M annual budget cap for PG&amp;E’s 202</w:t>
      </w:r>
      <w:r w:rsidR="00CF3400">
        <w:rPr>
          <w:rFonts w:ascii="Palatino Linotype" w:eastAsia="Palatino Linotype" w:hAnsi="Palatino Linotype" w:cs="Times New Roman"/>
          <w:color w:val="000000" w:themeColor="text1"/>
        </w:rPr>
        <w:t>5</w:t>
      </w:r>
      <w:r w:rsidRPr="000C58D8">
        <w:rPr>
          <w:rFonts w:ascii="Palatino Linotype" w:eastAsia="Palatino Linotype" w:hAnsi="Palatino Linotype" w:cs="Times New Roman"/>
          <w:color w:val="000000" w:themeColor="text1"/>
        </w:rPr>
        <w:t xml:space="preserve"> Plan.</w:t>
      </w:r>
      <w:r w:rsidR="00CF3400">
        <w:rPr>
          <w:rFonts w:ascii="Palatino Linotype" w:eastAsia="Palatino Linotype" w:hAnsi="Palatino Linotype" w:cs="Times New Roman"/>
          <w:color w:val="000000" w:themeColor="text1"/>
        </w:rPr>
        <w:t xml:space="preserve"> </w:t>
      </w:r>
      <w:r w:rsidR="00CF3400" w:rsidRPr="00CF2811">
        <w:rPr>
          <w:rFonts w:ascii="Palatino Linotype" w:hAnsi="Palatino Linotype"/>
        </w:rPr>
        <w:t>The Commission may have authorized a budget cap higher than $8.267 million for PG&amp;E’s 2026 Plan based on the authorized escalation factor in D.23-11-069, however, PG&amp;E only proposed a 2026 Plan budget of $8.267 million.</w:t>
      </w:r>
    </w:p>
  </w:footnote>
  <w:footnote w:id="73">
    <w:p w14:paraId="54948A76" w14:textId="068FF915" w:rsidR="000D7EE1" w:rsidRPr="000C58D8" w:rsidRDefault="000D7EE1" w:rsidP="000D7EE1">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 9, 13, 15, 28, &amp; 35.</w:t>
      </w:r>
    </w:p>
  </w:footnote>
  <w:footnote w:id="74">
    <w:p w14:paraId="52840091" w14:textId="0C9D3660" w:rsidR="00C90A2E" w:rsidRPr="00E71B47" w:rsidRDefault="00C90A2E" w:rsidP="00C90A2E">
      <w:pPr>
        <w:pStyle w:val="FootnoteText"/>
        <w:rPr>
          <w:color w:val="FF0000"/>
        </w:rPr>
      </w:pPr>
      <w:r w:rsidRPr="000C58D8">
        <w:rPr>
          <w:rStyle w:val="FootnoteReference"/>
          <w:color w:val="000000" w:themeColor="text1"/>
        </w:rPr>
        <w:footnoteRef/>
      </w:r>
      <w:r w:rsidRPr="000C58D8">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w:t>
      </w:r>
      <w:r w:rsidR="00A347F5">
        <w:rPr>
          <w:rFonts w:ascii="Palatino Linotype" w:hAnsi="Palatino Linotype"/>
        </w:rPr>
        <w:t xml:space="preserve"> 13-14.</w:t>
      </w:r>
    </w:p>
  </w:footnote>
  <w:footnote w:id="75">
    <w:p w14:paraId="15460C42" w14:textId="4E492311" w:rsidR="00E31E70" w:rsidRPr="000C58D8" w:rsidRDefault="00E31E70" w:rsidP="00E31E70">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A347F5">
        <w:rPr>
          <w:rFonts w:ascii="Palatino Linotype" w:hAnsi="Palatino Linotype"/>
        </w:rPr>
        <w:t xml:space="preserve">AL 5222-G </w:t>
      </w:r>
      <w:r w:rsidR="00A347F5" w:rsidRPr="00391568">
        <w:rPr>
          <w:rFonts w:ascii="Palatino Linotype" w:hAnsi="Palatino Linotype"/>
        </w:rPr>
        <w:t xml:space="preserve">Attachment A </w:t>
      </w:r>
      <w:r w:rsidR="00A347F5">
        <w:rPr>
          <w:rFonts w:ascii="Palatino Linotype" w:hAnsi="Palatino Linotype"/>
        </w:rPr>
        <w:t>at p. 14-26.</w:t>
      </w:r>
    </w:p>
  </w:footnote>
  <w:footnote w:id="76">
    <w:p w14:paraId="3B50F04E" w14:textId="3F192DF1" w:rsidR="00E31E70" w:rsidRPr="000C58D8" w:rsidRDefault="00E31E70" w:rsidP="00E31E70">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13 &amp; 26-35.</w:t>
      </w:r>
    </w:p>
  </w:footnote>
  <w:footnote w:id="77">
    <w:p w14:paraId="0176ED89" w14:textId="7AEA8FE8" w:rsidR="00E31E70" w:rsidRDefault="00E31E70" w:rsidP="00E31E70">
      <w:pPr>
        <w:pStyle w:val="FootnoteText"/>
      </w:pPr>
      <w:r w:rsidRPr="000C58D8">
        <w:rPr>
          <w:rStyle w:val="FootnoteReference"/>
          <w:color w:val="000000" w:themeColor="text1"/>
        </w:rPr>
        <w:footnoteRef/>
      </w:r>
      <w:r w:rsidRPr="000C58D8">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35-36.</w:t>
      </w:r>
    </w:p>
  </w:footnote>
  <w:footnote w:id="78">
    <w:p w14:paraId="7FC4CABC" w14:textId="4E0C54DF" w:rsidR="00E61C16" w:rsidRPr="00E61C16" w:rsidRDefault="00E61C16">
      <w:pPr>
        <w:pStyle w:val="FootnoteText"/>
        <w:rPr>
          <w:rFonts w:ascii="Palatino Linotype" w:hAnsi="Palatino Linotype"/>
        </w:rPr>
      </w:pPr>
      <w:r w:rsidRPr="00E61C16">
        <w:rPr>
          <w:rStyle w:val="FootnoteReference"/>
          <w:rFonts w:ascii="Palatino Linotype" w:hAnsi="Palatino Linotype"/>
        </w:rPr>
        <w:footnoteRef/>
      </w:r>
      <w:r w:rsidRPr="00E61C16">
        <w:rPr>
          <w:rFonts w:ascii="Palatino Linotype" w:hAnsi="Palatino Linotype"/>
        </w:rPr>
        <w:t xml:space="preserve"> Renewable natural gas (RNG).</w:t>
      </w:r>
    </w:p>
  </w:footnote>
  <w:footnote w:id="79">
    <w:p w14:paraId="4A83433C" w14:textId="542442F4" w:rsidR="00E31E70" w:rsidRPr="00994F76" w:rsidRDefault="00E31E70" w:rsidP="00E31E70">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35-46.</w:t>
      </w:r>
      <w:r w:rsidR="00777FDA">
        <w:rPr>
          <w:rFonts w:ascii="Palatino Linotype" w:hAnsi="Palatino Linotype"/>
        </w:rPr>
        <w:t xml:space="preserve"> </w:t>
      </w:r>
    </w:p>
  </w:footnote>
  <w:footnote w:id="80">
    <w:p w14:paraId="2AFE88DF" w14:textId="0784A735" w:rsidR="003364E8" w:rsidRPr="00994F76" w:rsidRDefault="003364E8" w:rsidP="003364E8">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r w:rsidR="00B178EC">
        <w:rPr>
          <w:rFonts w:ascii="Palatino Linotype" w:hAnsi="Palatino Linotype"/>
        </w:rPr>
        <w:t>.</w:t>
      </w:r>
    </w:p>
  </w:footnote>
  <w:footnote w:id="81">
    <w:p w14:paraId="01D58A8A" w14:textId="737AD332" w:rsidR="003364E8" w:rsidRDefault="003364E8" w:rsidP="003364E8">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r w:rsidR="00B178EC">
        <w:rPr>
          <w:rFonts w:ascii="Palatino Linotype" w:hAnsi="Palatino Linotype"/>
        </w:rPr>
        <w:t>.</w:t>
      </w:r>
    </w:p>
  </w:footnote>
  <w:footnote w:id="82">
    <w:p w14:paraId="25E6A46A" w14:textId="4FB38CE3" w:rsidR="00BF2858" w:rsidRPr="00994F76" w:rsidRDefault="00BF2858" w:rsidP="00BF2858">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 9</w:t>
      </w:r>
      <w:r w:rsidR="00B178EC">
        <w:rPr>
          <w:rFonts w:ascii="Palatino Linotype" w:hAnsi="Palatino Linotype"/>
        </w:rPr>
        <w:t>-10.</w:t>
      </w:r>
    </w:p>
  </w:footnote>
  <w:footnote w:id="83">
    <w:p w14:paraId="52463126" w14:textId="4A6F6E76" w:rsidR="000F6276" w:rsidRDefault="000F6276" w:rsidP="000F6276">
      <w:pPr>
        <w:pStyle w:val="FootnoteText"/>
        <w:rPr>
          <w:rFonts w:ascii="Palatino Linotype" w:hAnsi="Palatino Linotype"/>
        </w:rPr>
      </w:pPr>
      <w:r w:rsidRPr="47984FA7">
        <w:rPr>
          <w:rStyle w:val="FootnoteReference"/>
        </w:rPr>
        <w:footnoteRef/>
      </w:r>
      <w:r>
        <w:t xml:space="preserve"> </w:t>
      </w:r>
      <w:r w:rsidRPr="0A43624D">
        <w:rPr>
          <w:rFonts w:ascii="Palatino Linotype" w:eastAsia="Palatino Linotype" w:hAnsi="Palatino Linotype" w:cs="Palatino Linotype"/>
        </w:rPr>
        <w:t xml:space="preserve">See </w:t>
      </w:r>
      <w:r>
        <w:rPr>
          <w:rFonts w:ascii="Palatino Linotype" w:eastAsia="Palatino Linotype" w:hAnsi="Palatino Linotype" w:cs="Palatino Linotype"/>
        </w:rPr>
        <w:t xml:space="preserve">Resolution </w:t>
      </w:r>
      <w:r w:rsidR="00C464D7" w:rsidRPr="00C464D7">
        <w:rPr>
          <w:rFonts w:ascii="Palatino Linotype" w:eastAsia="Palatino Linotype" w:hAnsi="Palatino Linotype" w:cs="Palatino Linotype"/>
        </w:rPr>
        <w:t xml:space="preserve">G-3623 </w:t>
      </w:r>
      <w:r>
        <w:rPr>
          <w:rFonts w:ascii="Palatino Linotype" w:eastAsia="Palatino Linotype" w:hAnsi="Palatino Linotype" w:cs="Palatino Linotype"/>
        </w:rPr>
        <w:t xml:space="preserve">at </w:t>
      </w:r>
      <w:r w:rsidRPr="0A43624D">
        <w:rPr>
          <w:rFonts w:ascii="Palatino Linotype" w:eastAsia="Palatino Linotype" w:hAnsi="Palatino Linotype" w:cs="Palatino Linotype"/>
        </w:rPr>
        <w:t>A</w:t>
      </w:r>
      <w:r w:rsidRPr="6C8E5DB8">
        <w:rPr>
          <w:rFonts w:ascii="Palatino Linotype" w:hAnsi="Palatino Linotype"/>
        </w:rPr>
        <w:t>ppen</w:t>
      </w:r>
      <w:r w:rsidRPr="6C8E5DB8">
        <w:rPr>
          <w:rFonts w:ascii="Palatino Linotype" w:hAnsi="Palatino Linotype"/>
          <w:color w:val="000000" w:themeColor="text1"/>
        </w:rPr>
        <w:t>dix</w:t>
      </w:r>
      <w:r w:rsidR="000511B9">
        <w:rPr>
          <w:rFonts w:ascii="Palatino Linotype" w:hAnsi="Palatino Linotype"/>
          <w:color w:val="000000" w:themeColor="text1"/>
        </w:rPr>
        <w:t xml:space="preserve"> </w:t>
      </w:r>
      <w:r w:rsidR="002E0514">
        <w:rPr>
          <w:rFonts w:ascii="Palatino Linotype" w:hAnsi="Palatino Linotype"/>
          <w:color w:val="000000" w:themeColor="text1"/>
        </w:rPr>
        <w:t>E</w:t>
      </w:r>
      <w:r w:rsidR="000511B9">
        <w:rPr>
          <w:rFonts w:ascii="Palatino Linotype" w:hAnsi="Palatino Linotype"/>
          <w:color w:val="000000" w:themeColor="text1"/>
        </w:rPr>
        <w:t>:</w:t>
      </w:r>
      <w:r w:rsidRPr="17A89E36">
        <w:rPr>
          <w:rFonts w:ascii="Palatino Linotype" w:hAnsi="Palatino Linotype"/>
          <w:color w:val="000000" w:themeColor="text1"/>
        </w:rPr>
        <w:t xml:space="preserve"> Compliance Assessment of </w:t>
      </w:r>
      <w:r w:rsidRPr="006C6EEF">
        <w:rPr>
          <w:rFonts w:ascii="Palatino Linotype" w:hAnsi="Palatino Linotype"/>
          <w:color w:val="000000" w:themeColor="text1"/>
        </w:rPr>
        <w:t>AL 5196</w:t>
      </w:r>
      <w:r>
        <w:rPr>
          <w:rFonts w:ascii="Palatino Linotype" w:hAnsi="Palatino Linotype"/>
          <w:color w:val="000000" w:themeColor="text1"/>
        </w:rPr>
        <w:t>-G</w:t>
      </w:r>
      <w:r w:rsidRPr="7CE89F34">
        <w:rPr>
          <w:rFonts w:ascii="Palatino Linotype" w:hAnsi="Palatino Linotype"/>
          <w:color w:val="000000" w:themeColor="text1"/>
        </w:rPr>
        <w:t>.</w:t>
      </w:r>
    </w:p>
  </w:footnote>
  <w:footnote w:id="84">
    <w:p w14:paraId="53148F9A" w14:textId="501B46A7" w:rsidR="0064594E" w:rsidRDefault="0064594E">
      <w:pPr>
        <w:pStyle w:val="FootnoteText"/>
      </w:pPr>
      <w:r>
        <w:rPr>
          <w:rStyle w:val="FootnoteReference"/>
        </w:rPr>
        <w:footnoteRef/>
      </w:r>
      <w:r>
        <w:t xml:space="preserve"> </w:t>
      </w:r>
      <w:hyperlink r:id="rId62" w:history="1">
        <w:r w:rsidRPr="00BD2DF9">
          <w:rPr>
            <w:rStyle w:val="Hyperlink"/>
            <w:rFonts w:ascii="Palatino Linotype" w:hAnsi="Palatino Linotype"/>
          </w:rPr>
          <w:t>Resolution G-3618</w:t>
        </w:r>
      </w:hyperlink>
      <w:r w:rsidRPr="00BD2DF9">
        <w:rPr>
          <w:rFonts w:ascii="Palatino Linotype" w:hAnsi="Palatino Linotype"/>
        </w:rPr>
        <w:t xml:space="preserve"> (2026)</w:t>
      </w:r>
      <w:r>
        <w:rPr>
          <w:rFonts w:ascii="Palatino Linotype" w:hAnsi="Palatino Linotype"/>
        </w:rPr>
        <w:t xml:space="preserve"> provided additional Commission requirements for PG&amp;E’s resubmittal of its 2024 Plan.</w:t>
      </w:r>
    </w:p>
  </w:footnote>
  <w:footnote w:id="85">
    <w:p w14:paraId="2DD8AC14" w14:textId="5C01BA77" w:rsidR="000F6276" w:rsidRDefault="000F6276" w:rsidP="000F6276">
      <w:pPr>
        <w:pStyle w:val="FootnoteText"/>
      </w:pPr>
      <w:r w:rsidRPr="00917958">
        <w:rPr>
          <w:rStyle w:val="FootnoteReference"/>
        </w:rPr>
        <w:footnoteRef/>
      </w:r>
      <w:r w:rsidRPr="00917958">
        <w:t xml:space="preserve"> </w:t>
      </w:r>
      <w:hyperlink r:id="rId63" w:history="1">
        <w:r w:rsidRPr="61D6D4C1">
          <w:rPr>
            <w:rStyle w:val="Hyperlink"/>
            <w:rFonts w:ascii="Palatino Linotype" w:hAnsi="Palatino Linotype"/>
          </w:rPr>
          <w:t>D.23-11-069</w:t>
        </w:r>
      </w:hyperlink>
      <w:r w:rsidRPr="61D6D4C1">
        <w:rPr>
          <w:rFonts w:ascii="Palatino Linotype" w:hAnsi="Palatino Linotype"/>
        </w:rPr>
        <w:t xml:space="preserve"> at p. 218</w:t>
      </w:r>
      <w:r w:rsidR="0045561A">
        <w:rPr>
          <w:rFonts w:ascii="Palatino Linotype" w:hAnsi="Palatino Linotype"/>
        </w:rPr>
        <w:t>.</w:t>
      </w:r>
      <w:r w:rsidRPr="61D6D4C1">
        <w:rPr>
          <w:rFonts w:ascii="Palatino Linotype" w:hAnsi="Palatino Linotype"/>
          <w:i/>
          <w:iCs/>
        </w:rPr>
        <w:t xml:space="preserve"> </w:t>
      </w:r>
      <w:proofErr w:type="gramStart"/>
      <w:r w:rsidRPr="61D6D4C1">
        <w:rPr>
          <w:rFonts w:ascii="Palatino Linotype" w:hAnsi="Palatino Linotype"/>
          <w:i/>
          <w:iCs/>
        </w:rPr>
        <w:t>”</w:t>
      </w:r>
      <w:r w:rsidRPr="61D6D4C1">
        <w:rPr>
          <w:rFonts w:ascii="Palatino Linotype" w:hAnsi="Palatino Linotype"/>
        </w:rPr>
        <w:t>Consistent</w:t>
      </w:r>
      <w:proofErr w:type="gramEnd"/>
      <w:r w:rsidRPr="61D6D4C1">
        <w:rPr>
          <w:rFonts w:ascii="Palatino Linotype" w:hAnsi="Palatino Linotype"/>
        </w:rPr>
        <w:t xml:space="preserve"> with prior Commission decisions and resolutions approving other gas R&amp;D and Development Programs, PG&amp;E shall submit an annual R&amp;D and Development research</w:t>
      </w:r>
      <w:r w:rsidR="00655021">
        <w:rPr>
          <w:rFonts w:ascii="Palatino Linotype" w:hAnsi="Palatino Linotype"/>
        </w:rPr>
        <w:t xml:space="preserve"> </w:t>
      </w:r>
      <w:r w:rsidRPr="61D6D4C1">
        <w:rPr>
          <w:rFonts w:ascii="Palatino Linotype" w:hAnsi="Palatino Linotype"/>
        </w:rPr>
        <w:t>plan for Commission approval</w:t>
      </w:r>
      <w:r>
        <w:rPr>
          <w:rFonts w:ascii="Palatino Linotype" w:hAnsi="Palatino Linotype"/>
        </w:rPr>
        <w:t>.</w:t>
      </w:r>
      <w:r w:rsidRPr="61D6D4C1">
        <w:rPr>
          <w:rFonts w:ascii="Palatino Linotype" w:hAnsi="Palatino Linotype"/>
        </w:rPr>
        <w:t>”</w:t>
      </w:r>
      <w:r>
        <w:rPr>
          <w:rFonts w:ascii="Palatino Linotype" w:hAnsi="Palatino Linotype"/>
        </w:rPr>
        <w:t xml:space="preserve"> </w:t>
      </w:r>
    </w:p>
  </w:footnote>
  <w:footnote w:id="86">
    <w:p w14:paraId="2142E194" w14:textId="0980E622" w:rsidR="00B6664B" w:rsidRDefault="00B6664B" w:rsidP="00B6664B">
      <w:pPr>
        <w:pStyle w:val="FootnoteText"/>
      </w:pPr>
      <w:r w:rsidRPr="00FF17F7">
        <w:rPr>
          <w:rStyle w:val="FootnoteReference"/>
          <w:rFonts w:ascii="Palatino Linotype" w:hAnsi="Palatino Linotype"/>
        </w:rPr>
        <w:footnoteRef/>
      </w:r>
      <w:r w:rsidRPr="00FF17F7">
        <w:rPr>
          <w:rFonts w:ascii="Palatino Linotype" w:hAnsi="Palatino Linotype"/>
        </w:rPr>
        <w:t xml:space="preserve"> </w:t>
      </w:r>
      <w:hyperlink r:id="rId64" w:history="1">
        <w:r w:rsidRPr="00D44D4F">
          <w:rPr>
            <w:rStyle w:val="Hyperlink"/>
            <w:rFonts w:ascii="Palatino Linotype" w:hAnsi="Palatino Linotype"/>
          </w:rPr>
          <w:t>PG&amp;E’s 2025 Gas RD&amp;D Report</w:t>
        </w:r>
      </w:hyperlink>
      <w:r w:rsidRPr="00FF17F7">
        <w:rPr>
          <w:rFonts w:ascii="Palatino Linotype" w:hAnsi="Palatino Linotype"/>
          <w:color w:val="000000"/>
        </w:rPr>
        <w:t xml:space="preserve"> at p. 21.</w:t>
      </w:r>
    </w:p>
  </w:footnote>
  <w:footnote w:id="87">
    <w:p w14:paraId="1DD4B59F" w14:textId="77777777" w:rsidR="00B6664B" w:rsidRPr="00FF17F7" w:rsidRDefault="00B6664B" w:rsidP="00B6664B">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68.</w:t>
      </w:r>
    </w:p>
  </w:footnote>
  <w:footnote w:id="88">
    <w:p w14:paraId="044859D9" w14:textId="77777777" w:rsidR="00B6664B" w:rsidRPr="00FF17F7" w:rsidRDefault="00B6664B" w:rsidP="00B6664B">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76.</w:t>
      </w:r>
    </w:p>
  </w:footnote>
  <w:footnote w:id="89">
    <w:p w14:paraId="66AB9F70" w14:textId="77777777" w:rsidR="00B6664B" w:rsidRDefault="00B6664B" w:rsidP="00B6664B">
      <w:pPr>
        <w:pStyle w:val="FootnoteText"/>
      </w:pPr>
      <w:r>
        <w:rPr>
          <w:rStyle w:val="FootnoteReference"/>
        </w:rPr>
        <w:footnoteRef/>
      </w:r>
      <w:r>
        <w:t xml:space="preserve"> </w:t>
      </w:r>
      <w:r w:rsidRPr="002B5DA4">
        <w:rPr>
          <w:rFonts w:ascii="Palatino Linotype" w:hAnsi="Palatino Linotype"/>
        </w:rPr>
        <w:t xml:space="preserve">See also: AL 5197-G at p. 77 &amp; 84. PG&amp;E </w:t>
      </w:r>
      <w:r>
        <w:rPr>
          <w:rFonts w:ascii="Palatino Linotype" w:hAnsi="Palatino Linotype"/>
        </w:rPr>
        <w:t>details</w:t>
      </w:r>
      <w:r w:rsidRPr="002B5DA4">
        <w:rPr>
          <w:rFonts w:ascii="Palatino Linotype" w:hAnsi="Palatino Linotype"/>
        </w:rPr>
        <w:t xml:space="preserve"> $5,370,000 for the Gas System Integrity theme and $150,000 for the Decarbonization theme of Funds Encumbered of proposed 2025 plan year estimated spending.</w:t>
      </w:r>
    </w:p>
  </w:footnote>
  <w:footnote w:id="90">
    <w:p w14:paraId="7CEBCD4A"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AL 5077-G-A at Appendix B.</w:t>
      </w:r>
    </w:p>
  </w:footnote>
  <w:footnote w:id="91">
    <w:p w14:paraId="0DD57551" w14:textId="006FAFA8" w:rsidR="00C57E55" w:rsidRPr="00FF17F7" w:rsidRDefault="00C57E55" w:rsidP="00C57E55">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AL 5077-G-A at p. 61.</w:t>
      </w:r>
      <w:r>
        <w:rPr>
          <w:rFonts w:ascii="Palatino Linotype" w:hAnsi="Palatino Linotype"/>
        </w:rPr>
        <w:t xml:space="preserve"> References </w:t>
      </w:r>
      <w:hyperlink r:id="rId65" w:history="1">
        <w:r w:rsidRPr="00FF17F7">
          <w:rPr>
            <w:rStyle w:val="Hyperlink"/>
            <w:rFonts w:ascii="Palatino Linotype" w:hAnsi="Palatino Linotype" w:cs="Calibri"/>
          </w:rPr>
          <w:t>Resolution G-3601</w:t>
        </w:r>
      </w:hyperlink>
      <w:r w:rsidRPr="00FF17F7">
        <w:rPr>
          <w:rFonts w:ascii="Palatino Linotype" w:hAnsi="Palatino Linotype" w:cs="Calibri"/>
        </w:rPr>
        <w:t xml:space="preserve"> (2023): A</w:t>
      </w:r>
      <w:r>
        <w:rPr>
          <w:rFonts w:ascii="Palatino Linotype" w:hAnsi="Palatino Linotype" w:cs="Calibri"/>
        </w:rPr>
        <w:t>pproving</w:t>
      </w:r>
      <w:r w:rsidRPr="00FF17F7">
        <w:rPr>
          <w:rFonts w:ascii="Palatino Linotype" w:hAnsi="Palatino Linotype" w:cs="Calibri"/>
        </w:rPr>
        <w:t xml:space="preserve"> S</w:t>
      </w:r>
      <w:r w:rsidR="00137BCF">
        <w:rPr>
          <w:rFonts w:ascii="Palatino Linotype" w:hAnsi="Palatino Linotype" w:cs="Calibri"/>
        </w:rPr>
        <w:t>oCalGas</w:t>
      </w:r>
      <w:r w:rsidRPr="00FF17F7">
        <w:rPr>
          <w:rFonts w:ascii="Palatino Linotype" w:hAnsi="Palatino Linotype" w:cs="Calibri"/>
        </w:rPr>
        <w:t>’ 2023 Gas RD&amp;D Plan at OP 5.</w:t>
      </w:r>
      <w:r>
        <w:rPr>
          <w:rFonts w:ascii="Palatino Linotype" w:hAnsi="Palatino Linotype" w:cs="Calibri"/>
        </w:rPr>
        <w:t xml:space="preserve"> “</w:t>
      </w:r>
      <w:r w:rsidRPr="00A86BCC">
        <w:rPr>
          <w:rFonts w:ascii="Palatino Linotype" w:hAnsi="Palatino Linotype" w:cs="Calibri"/>
        </w:rPr>
        <w:t>All of Southern California Gas Company’s new and future Research, Development, and Demonstration projects shall occur in the State of California. The only exception may be made for projects with out of state federal labs. In this case, SoCalGas shall explicitly justify benefits to its gas ratepayers of an out-of</w:t>
      </w:r>
      <w:r>
        <w:rPr>
          <w:rFonts w:ascii="Palatino Linotype" w:hAnsi="Palatino Linotype" w:cs="Calibri"/>
        </w:rPr>
        <w:t>-</w:t>
      </w:r>
      <w:r w:rsidRPr="00A86BCC">
        <w:rPr>
          <w:rFonts w:ascii="Palatino Linotype" w:hAnsi="Palatino Linotype" w:cs="Calibri"/>
        </w:rPr>
        <w:t>state project in its Tier 3 Advice Letter annual plan.</w:t>
      </w:r>
      <w:r>
        <w:rPr>
          <w:rFonts w:ascii="Palatino Linotype" w:hAnsi="Palatino Linotype" w:cs="Calibri"/>
        </w:rPr>
        <w:t>”</w:t>
      </w:r>
    </w:p>
  </w:footnote>
  <w:footnote w:id="92">
    <w:p w14:paraId="7D2F79FA"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Public Utilities Code 740.1 at (a).</w:t>
      </w:r>
    </w:p>
  </w:footnote>
  <w:footnote w:id="93">
    <w:p w14:paraId="216773D1"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hyperlink r:id="rId66" w:history="1">
        <w:r w:rsidRPr="00FF17F7">
          <w:rPr>
            <w:rStyle w:val="Hyperlink"/>
            <w:rFonts w:ascii="Palatino Linotype" w:hAnsi="Palatino Linotype"/>
          </w:rPr>
          <w:t>Resolution G-3618</w:t>
        </w:r>
      </w:hyperlink>
      <w:r w:rsidRPr="00FF17F7">
        <w:rPr>
          <w:rFonts w:ascii="Palatino Linotype" w:hAnsi="Palatino Linotype"/>
        </w:rPr>
        <w:t xml:space="preserve"> (2026): Denying PG&amp;E’s 2024 &amp; 2025 Gas RD&amp;D Plans at F-21 to F-22.</w:t>
      </w:r>
    </w:p>
  </w:footnote>
  <w:footnote w:id="94">
    <w:p w14:paraId="6DE0B015" w14:textId="77777777" w:rsidR="001C28FD" w:rsidRPr="00E71AF2" w:rsidRDefault="001C28FD" w:rsidP="001C28FD">
      <w:pPr>
        <w:pStyle w:val="FootnoteText"/>
        <w:rPr>
          <w:rFonts w:ascii="Century Gothic" w:hAnsi="Century Gothic"/>
        </w:rPr>
      </w:pPr>
      <w:r w:rsidRPr="00FF17F7">
        <w:rPr>
          <w:rStyle w:val="FootnoteReference"/>
          <w:rFonts w:ascii="Palatino Linotype" w:hAnsi="Palatino Linotype"/>
        </w:rPr>
        <w:footnoteRef/>
      </w:r>
      <w:r w:rsidRPr="00FF17F7">
        <w:rPr>
          <w:rFonts w:ascii="Palatino Linotype" w:hAnsi="Palatino Linotype"/>
        </w:rPr>
        <w:t xml:space="preserve"> AL 5196-G at p. 3.</w:t>
      </w:r>
    </w:p>
  </w:footnote>
  <w:footnote w:id="95">
    <w:p w14:paraId="5FD006B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color w:val="000000"/>
        </w:rPr>
        <w:footnoteRef/>
      </w:r>
      <w:r w:rsidRPr="00FF17F7">
        <w:rPr>
          <w:rFonts w:ascii="Palatino Linotype" w:hAnsi="Palatino Linotype"/>
          <w:color w:val="000000"/>
        </w:rPr>
        <w:t xml:space="preserve"> </w:t>
      </w:r>
      <w:r w:rsidRPr="00FF17F7">
        <w:rPr>
          <w:rFonts w:ascii="Palatino Linotype" w:hAnsi="Palatino Linotype"/>
          <w:szCs w:val="16"/>
        </w:rPr>
        <w:t>AL 5196-G Attachment B Appendix.</w:t>
      </w:r>
    </w:p>
  </w:footnote>
  <w:footnote w:id="96">
    <w:p w14:paraId="4A9DB840"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szCs w:val="16"/>
        </w:rPr>
        <w:t>AL 5196-G Attachment B at p. 35.</w:t>
      </w:r>
    </w:p>
  </w:footnote>
  <w:footnote w:id="97">
    <w:p w14:paraId="1FB2441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6.</w:t>
      </w:r>
    </w:p>
  </w:footnote>
  <w:footnote w:id="98">
    <w:p w14:paraId="14EA31B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i/>
          <w:iCs/>
        </w:rPr>
        <w:t>Ibid.</w:t>
      </w:r>
    </w:p>
  </w:footnote>
  <w:footnote w:id="99">
    <w:p w14:paraId="59C18919" w14:textId="595E46F2" w:rsidR="00241CFB" w:rsidRPr="00674548" w:rsidRDefault="00241CFB">
      <w:pPr>
        <w:pStyle w:val="FootnoteText"/>
        <w:rPr>
          <w:rFonts w:ascii="Palatino Linotype" w:hAnsi="Palatino Linotype"/>
        </w:rPr>
      </w:pPr>
      <w:r w:rsidRPr="00674548">
        <w:rPr>
          <w:rStyle w:val="FootnoteReference"/>
          <w:rFonts w:ascii="Palatino Linotype" w:hAnsi="Palatino Linotype"/>
        </w:rPr>
        <w:footnoteRef/>
      </w:r>
      <w:r w:rsidRPr="00674548">
        <w:rPr>
          <w:rFonts w:ascii="Palatino Linotype" w:hAnsi="Palatino Linotype"/>
        </w:rPr>
        <w:t xml:space="preserve"> </w:t>
      </w:r>
      <w:hyperlink r:id="rId67" w:history="1">
        <w:r w:rsidR="00674548" w:rsidRPr="00044703">
          <w:rPr>
            <w:rStyle w:val="Hyperlink"/>
            <w:rFonts w:ascii="Palatino Linotype" w:hAnsi="Palatino Linotype"/>
          </w:rPr>
          <w:t>D.23-11-069</w:t>
        </w:r>
      </w:hyperlink>
      <w:r w:rsidR="00674548" w:rsidRPr="00674548">
        <w:rPr>
          <w:rFonts w:ascii="Palatino Linotype" w:hAnsi="Palatino Linotype"/>
        </w:rPr>
        <w:t xml:space="preserve"> at p. 217-218.</w:t>
      </w:r>
      <w:r w:rsidR="007A27E8">
        <w:rPr>
          <w:rFonts w:ascii="Palatino Linotype" w:hAnsi="Palatino Linotype"/>
        </w:rPr>
        <w:t xml:space="preserve"> “</w:t>
      </w:r>
      <w:r w:rsidR="007A27E8" w:rsidRPr="007A27E8">
        <w:rPr>
          <w:rFonts w:ascii="Palatino Linotype" w:hAnsi="Palatino Linotype"/>
        </w:rPr>
        <w:t>PG&amp;E shall not record any Gas R&amp;D and Deployment program expenses in a one-way balancing account until an annual Tier 3 Advice Letter outlining its Gas RD&amp;D budget plan is approved</w:t>
      </w:r>
      <w:r w:rsidR="007A27E8">
        <w:rPr>
          <w:rFonts w:ascii="Palatino Linotype" w:hAnsi="Palatino Linotype"/>
        </w:rPr>
        <w:t>.”</w:t>
      </w:r>
    </w:p>
  </w:footnote>
  <w:footnote w:id="100">
    <w:p w14:paraId="331C1FF8" w14:textId="77777777" w:rsidR="00FF0C7F" w:rsidRDefault="00FF0C7F" w:rsidP="00FF0C7F">
      <w:pPr>
        <w:pStyle w:val="FootnoteText"/>
      </w:pPr>
      <w:r w:rsidRPr="006C6EEF">
        <w:rPr>
          <w:rStyle w:val="FootnoteReference"/>
          <w:color w:val="000000" w:themeColor="text1"/>
        </w:rPr>
        <w:footnoteRef/>
      </w:r>
      <w:r w:rsidRPr="006C6EEF">
        <w:rPr>
          <w:color w:val="000000" w:themeColor="text1"/>
        </w:rPr>
        <w:t xml:space="preserve"> </w:t>
      </w:r>
      <w:r w:rsidRPr="006C6EEF">
        <w:rPr>
          <w:rFonts w:ascii="Palatino Linotype" w:hAnsi="Palatino Linotype"/>
          <w:color w:val="000000" w:themeColor="text1"/>
          <w:szCs w:val="16"/>
        </w:rPr>
        <w:t>AL 5196-G Attachment B at p. 78-81</w:t>
      </w:r>
      <w:r w:rsidRPr="00EA3A0C">
        <w:rPr>
          <w:rFonts w:ascii="Palatino Linotype" w:hAnsi="Palatino Linotype"/>
          <w:color w:val="0070C0"/>
          <w:szCs w:val="16"/>
        </w:rPr>
        <w:t>.</w:t>
      </w:r>
    </w:p>
  </w:footnote>
  <w:footnote w:id="101">
    <w:p w14:paraId="5D568353" w14:textId="0E69DBE1" w:rsidR="007E44AD" w:rsidRPr="002C71EF" w:rsidRDefault="007E44AD" w:rsidP="00BC1FA6">
      <w:pPr>
        <w:pStyle w:val="FootnoteText"/>
        <w:rPr>
          <w:rFonts w:ascii="Palatino Linotype" w:hAnsi="Palatino Linotype"/>
        </w:rPr>
      </w:pPr>
      <w:r w:rsidRPr="00BC1D09">
        <w:rPr>
          <w:rStyle w:val="FootnoteReference"/>
          <w:rFonts w:ascii="Palatino Linotype" w:hAnsi="Palatino Linotype"/>
        </w:rPr>
        <w:footnoteRef/>
      </w:r>
      <w:r w:rsidRPr="00BC1D09">
        <w:rPr>
          <w:rFonts w:ascii="Palatino Linotype" w:hAnsi="Palatino Linotype"/>
        </w:rPr>
        <w:t xml:space="preserve"> </w:t>
      </w:r>
      <w:hyperlink r:id="rId68" w:tooltip="https://docs.cpuc.ca.gov/PublishedDocs/Published/G000/M520/K896/520896345.pdf" w:history="1">
        <w:r w:rsidR="00BC1D09" w:rsidRPr="00BC1D09">
          <w:rPr>
            <w:rStyle w:val="Hyperlink"/>
            <w:rFonts w:ascii="Palatino Linotype" w:hAnsi="Palatino Linotype"/>
          </w:rPr>
          <w:t>D.23-11-069</w:t>
        </w:r>
      </w:hyperlink>
      <w:r w:rsidR="00BC1D09" w:rsidRPr="00BC1D09">
        <w:rPr>
          <w:rFonts w:ascii="Palatino Linotype" w:hAnsi="Palatino Linotype"/>
        </w:rPr>
        <w:t xml:space="preserve"> at p. 218: "Consistent with prior Commission decisions and resolutions approving other gas R&amp;D and Development Programs, PG&amp;E shall submit an annual R&amp;D and Development research plan for Commission approval." </w:t>
      </w:r>
      <w:r w:rsidR="00D60AFF">
        <w:rPr>
          <w:rFonts w:ascii="Palatino Linotype" w:hAnsi="Palatino Linotype"/>
        </w:rPr>
        <w:t>For example</w:t>
      </w:r>
      <w:r w:rsidR="008929F3">
        <w:rPr>
          <w:rFonts w:ascii="Palatino Linotype" w:hAnsi="Palatino Linotype"/>
        </w:rPr>
        <w:t>: 1)</w:t>
      </w:r>
      <w:r w:rsidR="00D60AFF">
        <w:rPr>
          <w:rFonts w:ascii="Palatino Linotype" w:hAnsi="Palatino Linotype"/>
        </w:rPr>
        <w:t xml:space="preserve"> </w:t>
      </w:r>
      <w:r w:rsidR="008929F3">
        <w:rPr>
          <w:rFonts w:ascii="Palatino Linotype" w:hAnsi="Palatino Linotype"/>
        </w:rPr>
        <w:t xml:space="preserve">The Commission denied </w:t>
      </w:r>
      <w:r w:rsidR="00084883">
        <w:rPr>
          <w:rFonts w:ascii="Palatino Linotype" w:hAnsi="Palatino Linotype"/>
        </w:rPr>
        <w:t xml:space="preserve">PG&amp;E’s proposed RD&amp;D </w:t>
      </w:r>
      <w:r w:rsidR="008929F3">
        <w:rPr>
          <w:rFonts w:ascii="Palatino Linotype" w:hAnsi="Palatino Linotype"/>
        </w:rPr>
        <w:t>hydrogen</w:t>
      </w:r>
      <w:r w:rsidR="00213553">
        <w:rPr>
          <w:rFonts w:ascii="Palatino Linotype" w:hAnsi="Palatino Linotype"/>
        </w:rPr>
        <w:t xml:space="preserve"> </w:t>
      </w:r>
      <w:r w:rsidR="0087765A">
        <w:rPr>
          <w:rFonts w:ascii="Palatino Linotype" w:hAnsi="Palatino Linotype"/>
        </w:rPr>
        <w:t>activities in</w:t>
      </w:r>
      <w:r w:rsidR="003E11FA">
        <w:rPr>
          <w:rFonts w:ascii="Palatino Linotype" w:hAnsi="Palatino Linotype"/>
        </w:rPr>
        <w:t xml:space="preserve"> its 2025 Plan</w:t>
      </w:r>
      <w:r w:rsidR="001A5ADE">
        <w:rPr>
          <w:rFonts w:ascii="Palatino Linotype" w:hAnsi="Palatino Linotype"/>
        </w:rPr>
        <w:t xml:space="preserve"> submitted via AL 5077-G-A in</w:t>
      </w:r>
      <w:r w:rsidR="0087765A">
        <w:rPr>
          <w:rFonts w:ascii="Palatino Linotype" w:hAnsi="Palatino Linotype"/>
        </w:rPr>
        <w:t xml:space="preserve"> </w:t>
      </w:r>
      <w:hyperlink r:id="rId69" w:history="1">
        <w:r w:rsidR="004C7C27" w:rsidRPr="00F36EF5">
          <w:rPr>
            <w:rStyle w:val="Hyperlink"/>
            <w:rFonts w:ascii="Palatino Linotype" w:hAnsi="Palatino Linotype"/>
          </w:rPr>
          <w:t>Resolution G-3618</w:t>
        </w:r>
      </w:hyperlink>
      <w:r w:rsidR="008929F3">
        <w:rPr>
          <w:rFonts w:ascii="Palatino Linotype" w:hAnsi="Palatino Linotype"/>
        </w:rPr>
        <w:t xml:space="preserve"> </w:t>
      </w:r>
      <w:r w:rsidR="00186DE5">
        <w:rPr>
          <w:rFonts w:ascii="Palatino Linotype" w:hAnsi="Palatino Linotype"/>
        </w:rPr>
        <w:t>at p. 16</w:t>
      </w:r>
      <w:r w:rsidR="003E11FA">
        <w:rPr>
          <w:rFonts w:ascii="Palatino Linotype" w:hAnsi="Palatino Linotype"/>
        </w:rPr>
        <w:t xml:space="preserve">, </w:t>
      </w:r>
      <w:r w:rsidR="00B865C6">
        <w:rPr>
          <w:rFonts w:ascii="Palatino Linotype" w:hAnsi="Palatino Linotype"/>
        </w:rPr>
        <w:t>stating it</w:t>
      </w:r>
      <w:r w:rsidR="008929F3" w:rsidRPr="001D5F60">
        <w:rPr>
          <w:rFonts w:ascii="Palatino Linotype" w:hAnsi="Palatino Linotype"/>
        </w:rPr>
        <w:t xml:space="preserve"> has not provided guidance on the appropriate role of gas ratepayers in funding hydrogen RD&amp;D</w:t>
      </w:r>
      <w:r w:rsidR="00A11B0E">
        <w:rPr>
          <w:rFonts w:ascii="Palatino Linotype" w:hAnsi="Palatino Linotype"/>
        </w:rPr>
        <w:t xml:space="preserve">; </w:t>
      </w:r>
      <w:r w:rsidR="00F008DD">
        <w:rPr>
          <w:rFonts w:ascii="Palatino Linotype" w:hAnsi="Palatino Linotype"/>
        </w:rPr>
        <w:t xml:space="preserve">2) </w:t>
      </w:r>
      <w:r w:rsidR="0006450B">
        <w:rPr>
          <w:rFonts w:ascii="Palatino Linotype" w:hAnsi="Palatino Linotype"/>
        </w:rPr>
        <w:t>I</w:t>
      </w:r>
      <w:r w:rsidRPr="00924A3E">
        <w:rPr>
          <w:rFonts w:ascii="Palatino Linotype" w:hAnsi="Palatino Linotype"/>
        </w:rPr>
        <w:t xml:space="preserve">n </w:t>
      </w:r>
      <w:hyperlink r:id="rId70" w:history="1">
        <w:r w:rsidRPr="007D5AE0">
          <w:rPr>
            <w:rStyle w:val="Hyperlink"/>
            <w:rFonts w:ascii="Palatino Linotype" w:hAnsi="Palatino Linotype"/>
          </w:rPr>
          <w:t>D.26-04-034</w:t>
        </w:r>
      </w:hyperlink>
      <w:r w:rsidR="00674BC4">
        <w:rPr>
          <w:rFonts w:ascii="Palatino Linotype" w:hAnsi="Palatino Linotype"/>
        </w:rPr>
        <w:t>, the Commission denied</w:t>
      </w:r>
      <w:r w:rsidRPr="007D5AE0" w:rsidDel="00BC1FA6">
        <w:rPr>
          <w:rFonts w:ascii="Palatino Linotype" w:hAnsi="Palatino Linotype"/>
        </w:rPr>
        <w:t xml:space="preserve"> </w:t>
      </w:r>
      <w:r w:rsidRPr="007D5AE0">
        <w:rPr>
          <w:rFonts w:ascii="Palatino Linotype" w:hAnsi="Palatino Linotype"/>
        </w:rPr>
        <w:t xml:space="preserve">Southern California Gas </w:t>
      </w:r>
      <w:r w:rsidR="00F77973">
        <w:rPr>
          <w:rFonts w:ascii="Palatino Linotype" w:hAnsi="Palatino Linotype"/>
        </w:rPr>
        <w:t xml:space="preserve">(SoCalGas) </w:t>
      </w:r>
      <w:r w:rsidRPr="007D5AE0">
        <w:rPr>
          <w:rFonts w:ascii="Palatino Linotype" w:hAnsi="Palatino Linotype"/>
        </w:rPr>
        <w:t xml:space="preserve">Company’s Request for Cost Recovery from Ratepayers for Phase 2 Activities for </w:t>
      </w:r>
      <w:r w:rsidR="00D24FAB">
        <w:rPr>
          <w:rFonts w:ascii="Palatino Linotype" w:hAnsi="Palatino Linotype"/>
        </w:rPr>
        <w:t xml:space="preserve">the </w:t>
      </w:r>
      <w:r w:rsidRPr="007D5AE0">
        <w:rPr>
          <w:rFonts w:ascii="Palatino Linotype" w:hAnsi="Palatino Linotype"/>
        </w:rPr>
        <w:t xml:space="preserve">Angeles Link </w:t>
      </w:r>
      <w:r>
        <w:rPr>
          <w:rFonts w:ascii="Palatino Linotype" w:eastAsia="Palatino Linotype" w:hAnsi="Palatino Linotype" w:cs="Times New Roman"/>
          <w:color w:val="000000" w:themeColor="text1"/>
        </w:rPr>
        <w:t>hydrogen project</w:t>
      </w:r>
      <w:r w:rsidR="005E1314">
        <w:rPr>
          <w:rFonts w:ascii="Palatino Linotype" w:eastAsia="Palatino Linotype" w:hAnsi="Palatino Linotype" w:cs="Times New Roman"/>
          <w:color w:val="000000" w:themeColor="text1"/>
        </w:rPr>
        <w:t>,</w:t>
      </w:r>
      <w:r>
        <w:rPr>
          <w:rFonts w:ascii="Palatino Linotype" w:eastAsia="Palatino Linotype" w:hAnsi="Palatino Linotype" w:cs="Times New Roman"/>
          <w:color w:val="000000" w:themeColor="text1"/>
        </w:rPr>
        <w:t xml:space="preserve"> </w:t>
      </w:r>
      <w:r w:rsidR="000546F4">
        <w:rPr>
          <w:rFonts w:ascii="Palatino Linotype" w:eastAsia="Palatino Linotype" w:hAnsi="Palatino Linotype" w:cs="Times New Roman"/>
          <w:color w:val="000000" w:themeColor="text1"/>
        </w:rPr>
        <w:t>stating</w:t>
      </w:r>
      <w:r>
        <w:rPr>
          <w:rFonts w:ascii="Palatino Linotype" w:eastAsia="Palatino Linotype" w:hAnsi="Palatino Linotype" w:cs="Times New Roman"/>
          <w:color w:val="000000" w:themeColor="text1"/>
        </w:rPr>
        <w:t xml:space="preserve"> it raised severe affordability concerns while failing to demonstrate clear and comprehensive ratepayer benefit.</w:t>
      </w:r>
    </w:p>
  </w:footnote>
  <w:footnote w:id="102">
    <w:p w14:paraId="2B182DB7" w14:textId="77777777" w:rsidR="000F6276" w:rsidRDefault="000F6276" w:rsidP="000F6276">
      <w:pPr>
        <w:pStyle w:val="FootnoteText"/>
      </w:pPr>
      <w:r w:rsidRPr="006C6EEF">
        <w:rPr>
          <w:rStyle w:val="FootnoteReference"/>
          <w:color w:val="000000" w:themeColor="text1"/>
        </w:rPr>
        <w:footnoteRef/>
      </w:r>
      <w:r w:rsidRPr="006C6EEF">
        <w:rPr>
          <w:color w:val="000000" w:themeColor="text1"/>
        </w:rPr>
        <w:t xml:space="preserve"> </w:t>
      </w:r>
      <w:r w:rsidRPr="006C6EEF">
        <w:rPr>
          <w:rFonts w:ascii="Palatino Linotype" w:hAnsi="Palatino Linotype"/>
          <w:color w:val="000000" w:themeColor="text1"/>
          <w:szCs w:val="16"/>
        </w:rPr>
        <w:t xml:space="preserve">AL 5196-G Attachment B at p. 66. Required by </w:t>
      </w:r>
      <w:hyperlink r:id="rId7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p>
  </w:footnote>
  <w:footnote w:id="103">
    <w:p w14:paraId="599E8279" w14:textId="77777777" w:rsidR="000F6276" w:rsidRDefault="000F6276" w:rsidP="000F6276">
      <w:pPr>
        <w:pStyle w:val="FootnoteText"/>
      </w:pPr>
      <w:r>
        <w:rPr>
          <w:rStyle w:val="FootnoteReference"/>
        </w:rPr>
        <w:footnoteRef/>
      </w:r>
      <w:r>
        <w:t xml:space="preserve"> </w:t>
      </w:r>
      <w:hyperlink r:id="rId7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&amp; California Public Utilities Code 740.1 at (a).</w:t>
      </w:r>
    </w:p>
  </w:footnote>
  <w:footnote w:id="104">
    <w:p w14:paraId="31003041" w14:textId="4648BB48" w:rsidR="000F6276" w:rsidRPr="00A30BA5" w:rsidRDefault="000F6276" w:rsidP="000F6276">
      <w:pPr>
        <w:spacing w:after="0" w:line="240" w:lineRule="auto"/>
        <w:rPr>
          <w:rFonts w:ascii="Palatino Linotype" w:hAnsi="Palatino Linotype"/>
          <w:color w:val="000000" w:themeColor="text1"/>
          <w:sz w:val="20"/>
          <w:szCs w:val="20"/>
        </w:rPr>
      </w:pPr>
      <w:r w:rsidRPr="00714A71">
        <w:rPr>
          <w:rStyle w:val="FootnoteReference"/>
          <w:color w:val="000000" w:themeColor="text1"/>
          <w:sz w:val="20"/>
          <w:szCs w:val="20"/>
        </w:rPr>
        <w:footnoteRef/>
      </w:r>
      <w:r w:rsidRPr="00714A71">
        <w:rPr>
          <w:rStyle w:val="FootnoteReference"/>
          <w:color w:val="000000" w:themeColor="text1"/>
        </w:rPr>
        <w:t xml:space="preserve"> </w:t>
      </w:r>
      <w:hyperlink r:id="rId73">
        <w:r w:rsidRPr="00CB08EB">
          <w:rPr>
            <w:rStyle w:val="Hyperlink"/>
            <w:rFonts w:ascii="Palatino Linotype" w:hAnsi="Palatino Linotype"/>
            <w:sz w:val="20"/>
            <w:szCs w:val="20"/>
          </w:rPr>
          <w:t>Resolution G-3601</w:t>
        </w:r>
      </w:hyperlink>
      <w:r w:rsidRPr="00CB08EB">
        <w:rPr>
          <w:rFonts w:ascii="Palatino Linotype" w:hAnsi="Palatino Linotype"/>
          <w:sz w:val="20"/>
          <w:szCs w:val="20"/>
        </w:rPr>
        <w:t xml:space="preserve"> </w:t>
      </w:r>
      <w:r w:rsidRPr="00CB08EB">
        <w:rPr>
          <w:rFonts w:ascii="Palatino Linotype" w:hAnsi="Palatino Linotype"/>
          <w:color w:val="000000" w:themeColor="text1"/>
          <w:sz w:val="20"/>
          <w:szCs w:val="20"/>
        </w:rPr>
        <w:t xml:space="preserve">(2023): Approving </w:t>
      </w:r>
      <w:r w:rsidRPr="00FA3C39">
        <w:rPr>
          <w:rFonts w:ascii="Palatino Linotype" w:hAnsi="Palatino Linotype"/>
          <w:color w:val="000000" w:themeColor="text1"/>
          <w:sz w:val="20"/>
          <w:szCs w:val="20"/>
        </w:rPr>
        <w:t>SoCalGas</w:t>
      </w:r>
      <w:r>
        <w:rPr>
          <w:rFonts w:ascii="Palatino Linotype" w:hAnsi="Palatino Linotype"/>
          <w:color w:val="000000" w:themeColor="text1"/>
          <w:sz w:val="20"/>
          <w:szCs w:val="20"/>
        </w:rPr>
        <w:t>’</w:t>
      </w:r>
      <w:r w:rsidRPr="00FA3C39">
        <w:rPr>
          <w:rFonts w:ascii="Palatino Linotype" w:hAnsi="Palatino Linotype"/>
          <w:color w:val="000000" w:themeColor="text1"/>
          <w:sz w:val="20"/>
          <w:szCs w:val="20"/>
        </w:rPr>
        <w:t xml:space="preserve"> 2023</w:t>
      </w:r>
      <w:r w:rsidRPr="00CB08EB">
        <w:rPr>
          <w:rFonts w:ascii="Palatino Linotype" w:hAnsi="Palatino Linotype"/>
          <w:color w:val="000000" w:themeColor="text1"/>
          <w:sz w:val="20"/>
          <w:szCs w:val="20"/>
        </w:rPr>
        <w:t xml:space="preserve"> Gas RD&amp;D Budget Plan at</w:t>
      </w:r>
      <w:r w:rsidRPr="00CB08EB">
        <w:rPr>
          <w:rFonts w:ascii="Palatino Linotype" w:hAnsi="Palatino Linotype"/>
          <w:bCs/>
          <w:color w:val="000000" w:themeColor="text1"/>
          <w:sz w:val="20"/>
          <w:szCs w:val="20"/>
        </w:rPr>
        <w:t xml:space="preserve"> OP 5. “</w:t>
      </w:r>
      <w:r w:rsidRPr="008E543D">
        <w:rPr>
          <w:rFonts w:ascii="Palatino Linotype" w:hAnsi="Palatino Linotype"/>
          <w:bCs/>
          <w:color w:val="000000" w:themeColor="text1"/>
          <w:sz w:val="20"/>
          <w:szCs w:val="20"/>
        </w:rPr>
        <w:t>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footnote>
  <w:footnote w:id="105">
    <w:p w14:paraId="6F47EE59" w14:textId="77777777" w:rsidR="000F6276" w:rsidRDefault="000F6276" w:rsidP="000F6276">
      <w:pPr>
        <w:pStyle w:val="FootnoteText"/>
      </w:pPr>
      <w:r w:rsidRPr="00B16E16">
        <w:rPr>
          <w:rStyle w:val="FootnoteReference"/>
          <w:color w:val="000000" w:themeColor="text1"/>
        </w:rPr>
        <w:footnoteRef/>
      </w:r>
      <w:r w:rsidRPr="00B16E16">
        <w:rPr>
          <w:color w:val="000000" w:themeColor="text1"/>
        </w:rPr>
        <w:t xml:space="preserve"> </w:t>
      </w:r>
      <w:r w:rsidRPr="00B16E16">
        <w:rPr>
          <w:rFonts w:ascii="Palatino Linotype" w:hAnsi="Palatino Linotype"/>
          <w:color w:val="000000" w:themeColor="text1"/>
        </w:rPr>
        <w:t xml:space="preserve">AL 5196-G at </w:t>
      </w:r>
      <w:r w:rsidRPr="00B16E16">
        <w:rPr>
          <w:rFonts w:ascii="Palatino Linotype" w:eastAsia="Palatino Linotype" w:hAnsi="Palatino Linotype" w:cs="Times New Roman"/>
          <w:color w:val="000000" w:themeColor="text1"/>
          <w:kern w:val="0"/>
          <w14:ligatures w14:val="none"/>
        </w:rPr>
        <w:t xml:space="preserve">Attachment B </w:t>
      </w:r>
      <w:r w:rsidRPr="00B16E16">
        <w:rPr>
          <w:rFonts w:ascii="Palatino Linotype" w:hAnsi="Palatino Linotype"/>
          <w:color w:val="000000" w:themeColor="text1"/>
        </w:rPr>
        <w:t>Appendix.</w:t>
      </w:r>
    </w:p>
  </w:footnote>
  <w:footnote w:id="106">
    <w:p w14:paraId="358FCA23" w14:textId="77777777" w:rsidR="000F6276" w:rsidRDefault="000F6276" w:rsidP="000F6276">
      <w:pPr>
        <w:pStyle w:val="FootnoteText"/>
      </w:pPr>
      <w:r>
        <w:rPr>
          <w:rStyle w:val="FootnoteReference"/>
        </w:rPr>
        <w:footnoteRef/>
      </w:r>
      <w:r>
        <w:t xml:space="preserve"> </w:t>
      </w:r>
      <w:r>
        <w:rPr>
          <w:rFonts w:ascii="Palatino Linotype" w:hAnsi="Palatino Linotype"/>
          <w:color w:val="000000" w:themeColor="text1"/>
        </w:rPr>
        <w:t>California Public Utilities Code 740.1 at (d).</w:t>
      </w:r>
    </w:p>
  </w:footnote>
  <w:footnote w:id="107">
    <w:p w14:paraId="693A3268" w14:textId="0F7F5F4E" w:rsidR="003A174D" w:rsidRPr="00FA6672" w:rsidRDefault="003A174D">
      <w:pPr>
        <w:pStyle w:val="FootnoteText"/>
        <w:rPr>
          <w:rFonts w:ascii="Palatino Linotype" w:hAnsi="Palatino Linotype"/>
        </w:rPr>
      </w:pPr>
      <w:r w:rsidRPr="00FA6672">
        <w:rPr>
          <w:rStyle w:val="FootnoteReference"/>
          <w:rFonts w:ascii="Palatino Linotype" w:hAnsi="Palatino Linotype"/>
        </w:rPr>
        <w:footnoteRef/>
      </w:r>
      <w:r w:rsidRPr="00FA6672">
        <w:rPr>
          <w:rFonts w:ascii="Palatino Linotype" w:hAnsi="Palatino Linotype"/>
        </w:rPr>
        <w:t xml:space="preserve"> </w:t>
      </w:r>
      <w:r w:rsidR="00FA6672" w:rsidRPr="00FA6672">
        <w:rPr>
          <w:rFonts w:ascii="Palatino Linotype" w:hAnsi="Palatino Linotype"/>
        </w:rPr>
        <w:t>PG&amp;E submitted its proposed 2024 Plan via Tier 3 AL 4931-G on July 1, 2024. PG&amp;E later withdrew AL 4931-G on May 12, 2025, after consultation with CPUC staff. PG&amp;E resubmitted its 2024 Plan (AL 5077-G) on June 25, 2025, and subsequently submitted its modified 2024 Plan via supplemental AL 5077-G-A on August 18, 2025. The Commission denied AL 5077-G-A on January 15, 2026, via Resolution G-3618. PG&amp;E received an extension to resubmit its 2024 Plan via AL 5196-G on April 3, 2026, in accordance with Resolution G-3618.</w:t>
      </w:r>
    </w:p>
  </w:footnote>
  <w:footnote w:id="108">
    <w:p w14:paraId="48CEEF53" w14:textId="231DA8EB" w:rsidR="00527781" w:rsidRPr="00EB67FB" w:rsidRDefault="00527781" w:rsidP="00527781">
      <w:pPr>
        <w:pStyle w:val="FootnoteText"/>
        <w:rPr>
          <w:rFonts w:ascii="Palatino Linotype" w:hAnsi="Palatino Linotype"/>
          <w:color w:val="000000" w:themeColor="text1"/>
        </w:rPr>
      </w:pPr>
      <w:r w:rsidRPr="2F1CE98E">
        <w:rPr>
          <w:rStyle w:val="FootnoteReference"/>
        </w:rPr>
        <w:footnoteRef/>
      </w:r>
      <w:r w:rsidRPr="06BB6474">
        <w:rPr>
          <w:rFonts w:ascii="Palatino Linotype" w:eastAsia="Palatino Linotype" w:hAnsi="Palatino Linotype" w:cs="Palatino Linotype"/>
        </w:rPr>
        <w:t xml:space="preserve"> </w:t>
      </w:r>
      <w:r w:rsidR="00AD36BF" w:rsidRPr="00E77EA1">
        <w:rPr>
          <w:rFonts w:ascii="Palatino Linotype" w:hAnsi="Palatino Linotype"/>
        </w:rPr>
        <w:t>See</w:t>
      </w:r>
      <w:r w:rsidR="00AD36BF" w:rsidRPr="00E77EA1">
        <w:rPr>
          <w:rFonts w:ascii="Times New Roman" w:hAnsi="Times New Roman" w:cs="Times New Roman"/>
        </w:rPr>
        <w:t> </w:t>
      </w:r>
      <w:r w:rsidR="00AD36BF"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00AD36BF" w:rsidRPr="00E77EA1">
        <w:rPr>
          <w:rFonts w:ascii="Palatino Linotype" w:hAnsi="Palatino Linotype" w:cs="Times New Roman"/>
        </w:rPr>
        <w:t>at</w:t>
      </w:r>
      <w:r w:rsidRPr="06BB6474">
        <w:rPr>
          <w:rFonts w:ascii="Palatino Linotype" w:eastAsia="Palatino Linotype" w:hAnsi="Palatino Linotype" w:cs="Palatino Linotype"/>
        </w:rPr>
        <w:t xml:space="preserve"> Appen</w:t>
      </w:r>
      <w:r w:rsidRPr="06BB6474">
        <w:rPr>
          <w:rFonts w:ascii="Palatino Linotype" w:eastAsia="Palatino Linotype" w:hAnsi="Palatino Linotype" w:cs="Palatino Linotype"/>
          <w:color w:val="000000" w:themeColor="text1"/>
        </w:rPr>
        <w:t>dix</w:t>
      </w:r>
      <w:r w:rsidRPr="000C3F88">
        <w:rPr>
          <w:rFonts w:ascii="Palatino Linotype" w:eastAsia="Palatino Linotype" w:hAnsi="Palatino Linotype" w:cs="Palatino Linotype"/>
          <w:color w:val="A6A6A6" w:themeColor="background1" w:themeShade="A6"/>
        </w:rPr>
        <w:t xml:space="preserve"> </w:t>
      </w:r>
      <w:r w:rsidR="00E91740">
        <w:rPr>
          <w:rFonts w:ascii="Palatino Linotype" w:eastAsia="Palatino Linotype" w:hAnsi="Palatino Linotype" w:cs="Palatino Linotype"/>
          <w:color w:val="000000" w:themeColor="text1"/>
        </w:rPr>
        <w:t>F</w:t>
      </w:r>
      <w:r w:rsidR="003530F4" w:rsidRPr="003530F4">
        <w:rPr>
          <w:rFonts w:ascii="Palatino Linotype" w:eastAsia="Palatino Linotype" w:hAnsi="Palatino Linotype" w:cs="Palatino Linotype"/>
          <w:color w:val="000000" w:themeColor="text1"/>
        </w:rPr>
        <w:t>:</w:t>
      </w:r>
      <w:r w:rsidRPr="003530F4">
        <w:rPr>
          <w:rFonts w:ascii="Palatino Linotype" w:eastAsia="Palatino Linotype" w:hAnsi="Palatino Linotype" w:cs="Palatino Linotype"/>
          <w:color w:val="000000" w:themeColor="text1"/>
        </w:rPr>
        <w:t xml:space="preserve"> </w:t>
      </w:r>
      <w:r w:rsidRPr="06BB6474">
        <w:rPr>
          <w:rFonts w:ascii="Palatino Linotype" w:eastAsia="Palatino Linotype" w:hAnsi="Palatino Linotype" w:cs="Palatino Linotype"/>
          <w:color w:val="000000" w:themeColor="text1"/>
        </w:rPr>
        <w:t>Compliance Assess</w:t>
      </w:r>
      <w:r w:rsidRPr="00EB67FB">
        <w:rPr>
          <w:rFonts w:ascii="Palatino Linotype" w:eastAsia="Palatino Linotype" w:hAnsi="Palatino Linotype" w:cs="Palatino Linotype"/>
          <w:color w:val="000000" w:themeColor="text1"/>
        </w:rPr>
        <w:t>ment of AL 5</w:t>
      </w:r>
      <w:r w:rsidR="000C3F88" w:rsidRPr="00EB67FB">
        <w:rPr>
          <w:rFonts w:ascii="Palatino Linotype" w:eastAsia="Palatino Linotype" w:hAnsi="Palatino Linotype" w:cs="Palatino Linotype"/>
          <w:color w:val="000000" w:themeColor="text1"/>
        </w:rPr>
        <w:t>197</w:t>
      </w:r>
      <w:r w:rsidRPr="00EB67FB">
        <w:rPr>
          <w:rFonts w:ascii="Palatino Linotype" w:eastAsia="Palatino Linotype" w:hAnsi="Palatino Linotype" w:cs="Palatino Linotype"/>
          <w:color w:val="000000" w:themeColor="text1"/>
        </w:rPr>
        <w:t>-G.</w:t>
      </w:r>
    </w:p>
  </w:footnote>
  <w:footnote w:id="109">
    <w:p w14:paraId="1715DB23" w14:textId="2369764C" w:rsidR="00A736D6" w:rsidRPr="00793913" w:rsidRDefault="00A736D6" w:rsidP="00793913">
      <w:pPr>
        <w:spacing w:after="0" w:line="240" w:lineRule="auto"/>
        <w:jc w:val="both"/>
        <w:rPr>
          <w:color w:val="0070C0"/>
          <w:sz w:val="22"/>
          <w:szCs w:val="22"/>
        </w:rPr>
      </w:pPr>
      <w:r w:rsidRPr="00EB67FB">
        <w:rPr>
          <w:rStyle w:val="FootnoteReference"/>
          <w:color w:val="000000" w:themeColor="text1"/>
          <w:sz w:val="20"/>
          <w:szCs w:val="20"/>
        </w:rPr>
        <w:footnoteRef/>
      </w:r>
      <w:r w:rsidRPr="00EB67FB">
        <w:rPr>
          <w:rStyle w:val="FootnoteReference"/>
          <w:color w:val="000000" w:themeColor="text1"/>
          <w:sz w:val="20"/>
          <w:szCs w:val="20"/>
        </w:rPr>
        <w:t xml:space="preserve"> </w:t>
      </w:r>
      <w:r w:rsidRPr="00EB67FB">
        <w:rPr>
          <w:rFonts w:ascii="Palatino Linotype" w:hAnsi="Palatino Linotype"/>
          <w:color w:val="000000" w:themeColor="text1"/>
          <w:sz w:val="20"/>
          <w:szCs w:val="20"/>
        </w:rPr>
        <w:t>The Commission’s compliance assessment of California Public Utilities Code 740.1 at (c) is captured in the compliance assessment of AL 5</w:t>
      </w:r>
      <w:r w:rsidR="000C3F88" w:rsidRPr="00EB67FB">
        <w:rPr>
          <w:rFonts w:ascii="Palatino Linotype" w:hAnsi="Palatino Linotype"/>
          <w:color w:val="000000" w:themeColor="text1"/>
          <w:sz w:val="20"/>
          <w:szCs w:val="20"/>
        </w:rPr>
        <w:t>196-G</w:t>
      </w:r>
      <w:r w:rsidRPr="00EB67FB">
        <w:rPr>
          <w:rFonts w:ascii="Palatino Linotype" w:hAnsi="Palatino Linotype"/>
          <w:color w:val="000000" w:themeColor="text1"/>
          <w:sz w:val="20"/>
          <w:szCs w:val="20"/>
        </w:rPr>
        <w:t xml:space="preserve"> and AL 5</w:t>
      </w:r>
      <w:r w:rsidR="000C3F88" w:rsidRPr="00EB67FB">
        <w:rPr>
          <w:rFonts w:ascii="Palatino Linotype" w:hAnsi="Palatino Linotype"/>
          <w:color w:val="000000" w:themeColor="text1"/>
          <w:sz w:val="20"/>
          <w:szCs w:val="20"/>
        </w:rPr>
        <w:t>197</w:t>
      </w:r>
      <w:r w:rsidRPr="00EB67FB">
        <w:rPr>
          <w:rFonts w:ascii="Palatino Linotype" w:hAnsi="Palatino Linotype"/>
          <w:color w:val="000000" w:themeColor="text1"/>
          <w:sz w:val="20"/>
          <w:szCs w:val="20"/>
        </w:rPr>
        <w:t>-</w:t>
      </w:r>
      <w:r w:rsidRPr="005E5657">
        <w:rPr>
          <w:rFonts w:ascii="Palatino Linotype" w:hAnsi="Palatino Linotype"/>
          <w:sz w:val="20"/>
          <w:szCs w:val="20"/>
        </w:rPr>
        <w:t xml:space="preserve">G with </w:t>
      </w:r>
      <w:hyperlink r:id="rId74" w:history="1">
        <w:r w:rsidRPr="00C870D4">
          <w:rPr>
            <w:rStyle w:val="Hyperlink"/>
            <w:rFonts w:ascii="Palatino Linotype" w:hAnsi="Palatino Linotype"/>
            <w:sz w:val="20"/>
            <w:szCs w:val="20"/>
          </w:rPr>
          <w:t>D.23-11-069</w:t>
        </w:r>
      </w:hyperlink>
      <w:r w:rsidRPr="00C870D4">
        <w:rPr>
          <w:rFonts w:ascii="Palatino Linotype" w:hAnsi="Palatino Linotype"/>
          <w:sz w:val="20"/>
          <w:szCs w:val="20"/>
        </w:rPr>
        <w:t xml:space="preserve"> at (2) and (4).</w:t>
      </w:r>
    </w:p>
  </w:footnote>
  <w:footnote w:id="110">
    <w:p w14:paraId="0C2DFF08" w14:textId="17275901" w:rsidR="00F77CEB" w:rsidRDefault="00F77CEB" w:rsidP="00F77CEB">
      <w:pPr>
        <w:pStyle w:val="FootnoteText"/>
      </w:pPr>
      <w:r>
        <w:rPr>
          <w:rStyle w:val="FootnoteReference"/>
        </w:rPr>
        <w:footnoteRef/>
      </w:r>
      <w:r>
        <w:t xml:space="preserve"> </w:t>
      </w:r>
      <w:hyperlink r:id="rId75" w:history="1">
        <w:r w:rsidRPr="00BD2DF9">
          <w:rPr>
            <w:rStyle w:val="Hyperlink"/>
            <w:rFonts w:ascii="Palatino Linotype" w:hAnsi="Palatino Linotype"/>
          </w:rPr>
          <w:t>Resolution G-3618</w:t>
        </w:r>
      </w:hyperlink>
      <w:r w:rsidRPr="00BD2DF9">
        <w:rPr>
          <w:rFonts w:ascii="Palatino Linotype" w:hAnsi="Palatino Linotype"/>
        </w:rPr>
        <w:t xml:space="preserve"> (2026)</w:t>
      </w:r>
      <w:r w:rsidR="0064594E">
        <w:rPr>
          <w:rFonts w:ascii="Palatino Linotype" w:hAnsi="Palatino Linotype"/>
        </w:rPr>
        <w:t xml:space="preserve"> provided additional Commission requirements for PG&amp;E’s resubmittal of its 2025 Plan.</w:t>
      </w:r>
    </w:p>
  </w:footnote>
  <w:footnote w:id="111">
    <w:p w14:paraId="0A438154" w14:textId="7A41333F" w:rsidR="00527781" w:rsidRDefault="00527781" w:rsidP="00E77952">
      <w:pPr>
        <w:pStyle w:val="FootnoteText"/>
      </w:pPr>
      <w:r w:rsidRPr="00917958">
        <w:rPr>
          <w:rStyle w:val="FootnoteReference"/>
        </w:rPr>
        <w:footnoteRef/>
      </w:r>
      <w:r w:rsidRPr="00917958">
        <w:t xml:space="preserve"> </w:t>
      </w:r>
      <w:hyperlink r:id="rId76"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sidRPr="00917958">
        <w:rPr>
          <w:rFonts w:ascii="Palatino Linotype" w:hAnsi="Palatino Linotype"/>
          <w:bCs/>
          <w:i/>
          <w:iCs/>
        </w:rPr>
        <w:t xml:space="preserve"> </w:t>
      </w:r>
      <w:r w:rsidR="00146B36" w:rsidRPr="00146B36">
        <w:rPr>
          <w:rFonts w:ascii="Palatino Linotype" w:hAnsi="Palatino Linotype"/>
          <w:bCs/>
        </w:rPr>
        <w:t>“</w:t>
      </w:r>
      <w:r w:rsidRPr="00146B36">
        <w:rPr>
          <w:rFonts w:ascii="Palatino Linotype" w:hAnsi="Palatino Linotype"/>
          <w:bCs/>
        </w:rPr>
        <w:t>Consistent with prior Commission decisions and resolutions approving other gas R&amp;D and Development Programs, PG&amp;E shall submit an annual R&amp;D and Development research plan for Commission approval.</w:t>
      </w:r>
      <w:r w:rsidR="00146B36" w:rsidRPr="00146B36">
        <w:rPr>
          <w:rFonts w:ascii="Palatino Linotype" w:hAnsi="Palatino Linotype"/>
          <w:bCs/>
        </w:rPr>
        <w:t>”</w:t>
      </w:r>
      <w:r w:rsidRPr="00146B36">
        <w:rPr>
          <w:rFonts w:ascii="Palatino Linotype" w:hAnsi="Palatino Linotype"/>
          <w:bCs/>
        </w:rPr>
        <w:t xml:space="preserve"> </w:t>
      </w:r>
    </w:p>
  </w:footnote>
  <w:footnote w:id="112">
    <w:p w14:paraId="16E93299" w14:textId="6AD20556" w:rsidR="001511E5" w:rsidRDefault="001511E5" w:rsidP="001511E5">
      <w:pPr>
        <w:pStyle w:val="FootnoteText"/>
      </w:pPr>
      <w:r w:rsidRPr="006C6EEF">
        <w:rPr>
          <w:rStyle w:val="FootnoteReference"/>
          <w:color w:val="000000" w:themeColor="text1"/>
        </w:rPr>
        <w:footnoteRef/>
      </w:r>
      <w:r w:rsidRPr="006C6EEF">
        <w:rPr>
          <w:color w:val="000000" w:themeColor="text1"/>
        </w:rPr>
        <w:t xml:space="preserve"> </w:t>
      </w:r>
      <w:r w:rsidRPr="00EB67FB">
        <w:rPr>
          <w:rFonts w:ascii="Palatino Linotype" w:hAnsi="Palatino Linotype"/>
          <w:color w:val="000000" w:themeColor="text1"/>
          <w:szCs w:val="16"/>
        </w:rPr>
        <w:t xml:space="preserve">AL 5197-G Attachment B at p. 74. </w:t>
      </w:r>
      <w:r w:rsidRPr="006C6EEF">
        <w:rPr>
          <w:rFonts w:ascii="Palatino Linotype" w:hAnsi="Palatino Linotype"/>
          <w:color w:val="000000" w:themeColor="text1"/>
          <w:szCs w:val="16"/>
        </w:rPr>
        <w:t xml:space="preserve">Required by </w:t>
      </w:r>
      <w:hyperlink r:id="rId7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p>
  </w:footnote>
  <w:footnote w:id="113">
    <w:p w14:paraId="1785000F" w14:textId="77777777" w:rsidR="00C710D8" w:rsidRDefault="00C710D8" w:rsidP="00C710D8">
      <w:pPr>
        <w:pStyle w:val="FootnoteText"/>
      </w:pPr>
      <w:r>
        <w:rPr>
          <w:rStyle w:val="FootnoteReference"/>
        </w:rPr>
        <w:footnoteRef/>
      </w:r>
      <w:r>
        <w:t xml:space="preserve"> </w:t>
      </w:r>
      <w:r>
        <w:rPr>
          <w:rFonts w:ascii="Palatino Linotype" w:hAnsi="Palatino Linotype"/>
          <w:color w:val="000000" w:themeColor="text1"/>
        </w:rPr>
        <w:t>California Public Utilities Code 740.1 at (d).</w:t>
      </w:r>
    </w:p>
  </w:footnote>
  <w:footnote w:id="114">
    <w:p w14:paraId="226A08DB" w14:textId="77C8D395" w:rsidR="00F146DD" w:rsidRPr="00994F76" w:rsidRDefault="00F146DD" w:rsidP="00F146DD">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5197-G </w:t>
      </w:r>
      <w:r w:rsidRPr="00391568">
        <w:rPr>
          <w:rFonts w:ascii="Palatino Linotype" w:hAnsi="Palatino Linotype"/>
        </w:rPr>
        <w:t xml:space="preserve">Attachment </w:t>
      </w:r>
      <w:r w:rsidR="007A2106">
        <w:rPr>
          <w:rFonts w:ascii="Palatino Linotype" w:hAnsi="Palatino Linotype"/>
        </w:rPr>
        <w:t>B</w:t>
      </w:r>
      <w:r w:rsidRPr="00391568">
        <w:rPr>
          <w:rFonts w:ascii="Palatino Linotype" w:hAnsi="Palatino Linotype"/>
        </w:rPr>
        <w:t xml:space="preserve"> </w:t>
      </w:r>
      <w:r>
        <w:rPr>
          <w:rFonts w:ascii="Palatino Linotype" w:hAnsi="Palatino Linotype"/>
        </w:rPr>
        <w:t xml:space="preserve">at p. </w:t>
      </w:r>
      <w:r w:rsidR="007A2106">
        <w:rPr>
          <w:rFonts w:ascii="Palatino Linotype" w:hAnsi="Palatino Linotype"/>
        </w:rPr>
        <w:t>74</w:t>
      </w:r>
      <w:r>
        <w:rPr>
          <w:rFonts w:ascii="Palatino Linotype" w:hAnsi="Palatino Linotype"/>
        </w:rPr>
        <w:t>.</w:t>
      </w:r>
    </w:p>
  </w:footnote>
  <w:footnote w:id="115">
    <w:p w14:paraId="58E29066" w14:textId="318CA04F" w:rsidR="00F146DD" w:rsidRDefault="00F146DD" w:rsidP="00F146DD">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5197-G </w:t>
      </w:r>
      <w:r w:rsidRPr="00391568">
        <w:rPr>
          <w:rFonts w:ascii="Palatino Linotype" w:hAnsi="Palatino Linotype"/>
        </w:rPr>
        <w:t xml:space="preserve">Attachment </w:t>
      </w:r>
      <w:r w:rsidR="007A2106">
        <w:rPr>
          <w:rFonts w:ascii="Palatino Linotype" w:hAnsi="Palatino Linotype"/>
        </w:rPr>
        <w:t>B</w:t>
      </w:r>
      <w:r w:rsidRPr="00391568">
        <w:rPr>
          <w:rFonts w:ascii="Palatino Linotype" w:hAnsi="Palatino Linotype"/>
        </w:rPr>
        <w:t xml:space="preserve"> </w:t>
      </w:r>
      <w:r>
        <w:rPr>
          <w:rFonts w:ascii="Palatino Linotype" w:hAnsi="Palatino Linotype"/>
        </w:rPr>
        <w:t xml:space="preserve">at p. </w:t>
      </w:r>
      <w:r w:rsidR="007A2106">
        <w:rPr>
          <w:rFonts w:ascii="Palatino Linotype" w:hAnsi="Palatino Linotype"/>
        </w:rPr>
        <w:t>74</w:t>
      </w:r>
      <w:r>
        <w:rPr>
          <w:rFonts w:ascii="Palatino Linotype" w:hAnsi="Palatino Linotype"/>
        </w:rPr>
        <w:t>.</w:t>
      </w:r>
    </w:p>
  </w:footnote>
  <w:footnote w:id="116">
    <w:p w14:paraId="45816F87" w14:textId="3F626163" w:rsidR="006D0C7E" w:rsidRDefault="006D0C7E" w:rsidP="006D0C7E">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530F4">
        <w:rPr>
          <w:rFonts w:ascii="Palatino Linotype" w:hAnsi="Palatino Linotype"/>
          <w:color w:val="000000" w:themeColor="text1"/>
        </w:rPr>
        <w:t xml:space="preserve">Appendix </w:t>
      </w:r>
      <w:r>
        <w:rPr>
          <w:rFonts w:ascii="Palatino Linotype" w:hAnsi="Palatino Linotype"/>
          <w:color w:val="000000" w:themeColor="text1"/>
        </w:rPr>
        <w:t>F</w:t>
      </w:r>
      <w:r w:rsidRPr="003530F4">
        <w:rPr>
          <w:rFonts w:ascii="Palatino Linotype" w:hAnsi="Palatino Linotype"/>
          <w:color w:val="000000" w:themeColor="text1"/>
        </w:rPr>
        <w:t>: Compliance Assessment of AL 519</w:t>
      </w:r>
      <w:r>
        <w:rPr>
          <w:rFonts w:ascii="Palatino Linotype" w:hAnsi="Palatino Linotype"/>
          <w:color w:val="000000" w:themeColor="text1"/>
        </w:rPr>
        <w:t>7</w:t>
      </w:r>
      <w:r w:rsidRPr="003530F4">
        <w:rPr>
          <w:rFonts w:ascii="Palatino Linotype" w:hAnsi="Palatino Linotype"/>
          <w:color w:val="000000" w:themeColor="text1"/>
        </w:rPr>
        <w:t>-G.</w:t>
      </w:r>
    </w:p>
  </w:footnote>
  <w:footnote w:id="117">
    <w:p w14:paraId="57170F08" w14:textId="7B224ECE" w:rsidR="000F6276" w:rsidRDefault="000F6276" w:rsidP="000F6276">
      <w:pPr>
        <w:pStyle w:val="FootnoteText"/>
        <w:rPr>
          <w:rFonts w:ascii="Palatino Linotype" w:hAnsi="Palatino Linotype"/>
        </w:rPr>
      </w:pPr>
      <w:r w:rsidRPr="2F1CE98E">
        <w:rPr>
          <w:rStyle w:val="FootnoteReference"/>
        </w:rPr>
        <w:footnoteRef/>
      </w:r>
      <w:r w:rsidRPr="06BB6474">
        <w:rPr>
          <w:rFonts w:ascii="Palatino Linotype" w:eastAsia="Palatino Linotype" w:hAnsi="Palatino Linotype" w:cs="Palatino Linotype"/>
        </w:rPr>
        <w:t xml:space="preserve"> See </w:t>
      </w:r>
      <w:r w:rsidR="00C464D7"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00C464D7">
        <w:rPr>
          <w:rFonts w:ascii="Palatino Linotype" w:hAnsi="Palatino Linotype" w:cs="Times New Roman"/>
        </w:rPr>
        <w:t xml:space="preserve">at </w:t>
      </w:r>
      <w:r w:rsidRPr="003530F4">
        <w:rPr>
          <w:rFonts w:ascii="Palatino Linotype" w:eastAsia="Palatino Linotype" w:hAnsi="Palatino Linotype" w:cs="Palatino Linotype"/>
          <w:color w:val="000000" w:themeColor="text1"/>
        </w:rPr>
        <w:t>Appendix</w:t>
      </w:r>
      <w:r w:rsidR="003530F4" w:rsidRPr="003530F4">
        <w:rPr>
          <w:rFonts w:ascii="Palatino Linotype" w:eastAsia="Palatino Linotype" w:hAnsi="Palatino Linotype" w:cs="Palatino Linotype"/>
          <w:color w:val="000000" w:themeColor="text1"/>
        </w:rPr>
        <w:t xml:space="preserve"> </w:t>
      </w:r>
      <w:r w:rsidR="00E91740">
        <w:rPr>
          <w:rFonts w:ascii="Palatino Linotype" w:eastAsia="Palatino Linotype" w:hAnsi="Palatino Linotype" w:cs="Palatino Linotype"/>
          <w:color w:val="000000" w:themeColor="text1"/>
        </w:rPr>
        <w:t>G</w:t>
      </w:r>
      <w:r w:rsidR="003530F4" w:rsidRPr="003530F4">
        <w:rPr>
          <w:rFonts w:ascii="Palatino Linotype" w:eastAsia="Palatino Linotype" w:hAnsi="Palatino Linotype" w:cs="Palatino Linotype"/>
          <w:color w:val="000000" w:themeColor="text1"/>
        </w:rPr>
        <w:t xml:space="preserve">: </w:t>
      </w:r>
      <w:r w:rsidRPr="06BB6474">
        <w:rPr>
          <w:rFonts w:ascii="Palatino Linotype" w:eastAsia="Palatino Linotype" w:hAnsi="Palatino Linotype" w:cs="Palatino Linotype"/>
          <w:color w:val="000000" w:themeColor="text1"/>
        </w:rPr>
        <w:t>Compliance Assessment of AL</w:t>
      </w:r>
      <w:r w:rsidR="0075777D">
        <w:rPr>
          <w:rFonts w:ascii="Palatino Linotype" w:eastAsia="Palatino Linotype" w:hAnsi="Palatino Linotype" w:cs="Palatino Linotype"/>
          <w:color w:val="000000" w:themeColor="text1"/>
        </w:rPr>
        <w:t xml:space="preserve"> 5222-G.</w:t>
      </w:r>
    </w:p>
  </w:footnote>
  <w:footnote w:id="118">
    <w:p w14:paraId="3CA7CDFC" w14:textId="0A62AA2B" w:rsidR="005F35B1" w:rsidRDefault="005F35B1">
      <w:pPr>
        <w:pStyle w:val="FootnoteText"/>
      </w:pPr>
      <w:r>
        <w:rPr>
          <w:rStyle w:val="FootnoteReference"/>
        </w:rPr>
        <w:footnoteRef/>
      </w:r>
      <w:r>
        <w:t xml:space="preserve"> </w:t>
      </w:r>
      <w:hyperlink r:id="rId78" w:history="1">
        <w:r w:rsidR="00BD2DF9" w:rsidRPr="00BD2DF9">
          <w:rPr>
            <w:rStyle w:val="Hyperlink"/>
            <w:rFonts w:ascii="Palatino Linotype" w:hAnsi="Palatino Linotype"/>
          </w:rPr>
          <w:t>Resolution G-3618</w:t>
        </w:r>
      </w:hyperlink>
      <w:r w:rsidR="00BD2DF9" w:rsidRPr="00BD2DF9">
        <w:rPr>
          <w:rFonts w:ascii="Palatino Linotype" w:hAnsi="Palatino Linotype"/>
        </w:rPr>
        <w:t xml:space="preserve"> (2026)</w:t>
      </w:r>
    </w:p>
  </w:footnote>
  <w:footnote w:id="119">
    <w:p w14:paraId="1CF4972A" w14:textId="0B67C460" w:rsidR="000F6276" w:rsidRDefault="000F6276" w:rsidP="000F6276">
      <w:pPr>
        <w:pStyle w:val="FootnoteText"/>
      </w:pPr>
      <w:r w:rsidRPr="00917958">
        <w:rPr>
          <w:rStyle w:val="FootnoteReference"/>
        </w:rPr>
        <w:footnoteRef/>
      </w:r>
      <w:r w:rsidRPr="00917958">
        <w:t xml:space="preserve"> </w:t>
      </w:r>
      <w:hyperlink r:id="rId79"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sidRPr="00917958">
        <w:rPr>
          <w:rFonts w:ascii="Palatino Linotype" w:hAnsi="Palatino Linotype"/>
          <w:bCs/>
          <w:i/>
          <w:iCs/>
        </w:rPr>
        <w:t xml:space="preserve"> </w:t>
      </w:r>
      <w:r w:rsidRPr="00146B36">
        <w:rPr>
          <w:rFonts w:ascii="Palatino Linotype" w:hAnsi="Palatino Linotype"/>
          <w:bCs/>
        </w:rPr>
        <w:t xml:space="preserve">“Consistent with prior Commission decisions and resolutions approving other gas R&amp;D and Development Programs, PG&amp;E shall submit an annual R&amp;D and Development research plan for Commission approval.” </w:t>
      </w:r>
    </w:p>
  </w:footnote>
  <w:footnote w:id="120">
    <w:p w14:paraId="09549B31" w14:textId="7561F077" w:rsidR="001E0DE7" w:rsidRPr="001E0DE7" w:rsidRDefault="00A53672" w:rsidP="001E0DE7">
      <w:pPr>
        <w:pStyle w:val="FootnoteText"/>
        <w:rPr>
          <w:rFonts w:ascii="Palatino Linotype" w:hAnsi="Palatino Linotype"/>
        </w:rPr>
      </w:pPr>
      <w:r>
        <w:rPr>
          <w:rStyle w:val="FootnoteReference"/>
        </w:rPr>
        <w:footnoteRef/>
      </w:r>
      <w:r>
        <w:t xml:space="preserve"> </w:t>
      </w:r>
      <w:hyperlink r:id="rId80" w:history="1">
        <w:r w:rsidR="0003764E" w:rsidRPr="00BD2DF9">
          <w:rPr>
            <w:rStyle w:val="Hyperlink"/>
            <w:rFonts w:ascii="Palatino Linotype" w:hAnsi="Palatino Linotype"/>
          </w:rPr>
          <w:t>Resolution G-3618</w:t>
        </w:r>
      </w:hyperlink>
      <w:r w:rsidR="0003764E" w:rsidRPr="00BD2DF9">
        <w:rPr>
          <w:rFonts w:ascii="Palatino Linotype" w:hAnsi="Palatino Linotype"/>
        </w:rPr>
        <w:t xml:space="preserve"> (2026)</w:t>
      </w:r>
      <w:r w:rsidR="0003764E">
        <w:rPr>
          <w:rFonts w:ascii="Palatino Linotype" w:hAnsi="Palatino Linotype"/>
        </w:rPr>
        <w:t xml:space="preserve"> at </w:t>
      </w:r>
      <w:r w:rsidR="006D4C1F" w:rsidRPr="00815CFF">
        <w:rPr>
          <w:rFonts w:ascii="Palatino Linotype" w:hAnsi="Palatino Linotype"/>
          <w:color w:val="000000" w:themeColor="text1"/>
        </w:rPr>
        <w:t xml:space="preserve">p. 20-21. Initiative Criteria </w:t>
      </w:r>
      <w:r w:rsidR="006D4C1F">
        <w:rPr>
          <w:rFonts w:ascii="Palatino Linotype" w:hAnsi="Palatino Linotype"/>
          <w:color w:val="000000" w:themeColor="text1"/>
        </w:rPr>
        <w:t>4</w:t>
      </w:r>
      <w:r w:rsidR="006D4C1F" w:rsidRPr="00815CFF">
        <w:rPr>
          <w:rFonts w:ascii="Palatino Linotype" w:hAnsi="Palatino Linotype"/>
          <w:color w:val="000000" w:themeColor="text1"/>
        </w:rPr>
        <w:t>. Anticipated Impacts.</w:t>
      </w:r>
      <w:r w:rsidR="007F6E14">
        <w:rPr>
          <w:rFonts w:ascii="Palatino Linotype" w:hAnsi="Palatino Linotype"/>
          <w:color w:val="000000" w:themeColor="text1"/>
        </w:rPr>
        <w:t xml:space="preserve"> </w:t>
      </w:r>
      <w:r w:rsidR="001E0DE7">
        <w:rPr>
          <w:rFonts w:ascii="Palatino Linotype" w:hAnsi="Palatino Linotype"/>
          <w:color w:val="000000" w:themeColor="text1"/>
        </w:rPr>
        <w:t xml:space="preserve">See </w:t>
      </w:r>
      <w:hyperlink r:id="rId81" w:history="1">
        <w:r w:rsidR="001E0DE7" w:rsidRPr="00BD2DF9">
          <w:rPr>
            <w:rStyle w:val="Hyperlink"/>
            <w:rFonts w:ascii="Palatino Linotype" w:hAnsi="Palatino Linotype"/>
          </w:rPr>
          <w:t>Resolution G-3618</w:t>
        </w:r>
      </w:hyperlink>
      <w:r w:rsidR="001E0DE7" w:rsidRPr="00BD2DF9">
        <w:rPr>
          <w:rFonts w:ascii="Palatino Linotype" w:hAnsi="Palatino Linotype"/>
        </w:rPr>
        <w:t xml:space="preserve"> (2026)</w:t>
      </w:r>
      <w:r w:rsidR="001E0DE7">
        <w:rPr>
          <w:rFonts w:ascii="Palatino Linotype" w:hAnsi="Palatino Linotype"/>
        </w:rPr>
        <w:t xml:space="preserve"> at </w:t>
      </w:r>
      <w:r w:rsidR="001E0DE7" w:rsidRPr="001E0DE7">
        <w:rPr>
          <w:rFonts w:ascii="Palatino Linotype" w:hAnsi="Palatino Linotype"/>
        </w:rPr>
        <w:t>A</w:t>
      </w:r>
      <w:r w:rsidR="001E0DE7">
        <w:rPr>
          <w:rFonts w:ascii="Palatino Linotype" w:hAnsi="Palatino Linotype"/>
        </w:rPr>
        <w:t>ppendix</w:t>
      </w:r>
      <w:r w:rsidR="001E0DE7" w:rsidRPr="001E0DE7">
        <w:rPr>
          <w:rFonts w:ascii="Palatino Linotype" w:hAnsi="Palatino Linotype"/>
        </w:rPr>
        <w:t xml:space="preserve"> E: EPIC Foundational Principles for the Development of a Uniform </w:t>
      </w:r>
    </w:p>
    <w:p w14:paraId="0AA60D2E" w14:textId="58C08A61" w:rsidR="00A53672" w:rsidRDefault="001E0DE7" w:rsidP="001E0DE7">
      <w:pPr>
        <w:pStyle w:val="FootnoteText"/>
      </w:pPr>
      <w:r w:rsidRPr="001E0DE7">
        <w:rPr>
          <w:rFonts w:ascii="Palatino Linotype" w:hAnsi="Palatino Linotype"/>
        </w:rPr>
        <w:t>Impact Analysis Framework</w:t>
      </w:r>
      <w:r>
        <w:rPr>
          <w:rFonts w:ascii="Palatino Linotype" w:hAnsi="Palatino Linotype"/>
        </w:rPr>
        <w:t>.</w:t>
      </w:r>
    </w:p>
  </w:footnote>
  <w:footnote w:id="121">
    <w:p w14:paraId="5419C394" w14:textId="280890E1" w:rsidR="00D16F37" w:rsidRPr="00D16F37" w:rsidRDefault="00D16F37">
      <w:pPr>
        <w:pStyle w:val="FootnoteText"/>
        <w:rPr>
          <w:rFonts w:ascii="Palatino Linotype" w:hAnsi="Palatino Linotype"/>
        </w:rPr>
      </w:pPr>
      <w:r w:rsidRPr="00D16F37">
        <w:rPr>
          <w:rStyle w:val="FootnoteReference"/>
          <w:rFonts w:ascii="Palatino Linotype" w:hAnsi="Palatino Linotype"/>
        </w:rPr>
        <w:footnoteRef/>
      </w:r>
      <w:r w:rsidRPr="00D16F37">
        <w:rPr>
          <w:rFonts w:ascii="Palatino Linotype" w:hAnsi="Palatino Linotype"/>
        </w:rPr>
        <w:t xml:space="preserve"> PG&amp;E must sort the content in the “Attribution Category” column into the RD&amp;D program areas across the product development cycle detailed in Appendix </w:t>
      </w:r>
      <w:r w:rsidR="00E07C36">
        <w:rPr>
          <w:rFonts w:ascii="Palatino Linotype" w:hAnsi="Palatino Linotype"/>
        </w:rPr>
        <w:t>D</w:t>
      </w:r>
      <w:r w:rsidRPr="00D16F37">
        <w:rPr>
          <w:rFonts w:ascii="Palatino Linotype" w:hAnsi="Palatino Linotype"/>
        </w:rPr>
        <w:t xml:space="preserve"> of this Resolution for clarity on Proposed Solutions and Anticipated Impacts.</w:t>
      </w:r>
    </w:p>
  </w:footnote>
  <w:footnote w:id="122">
    <w:p w14:paraId="090984FA" w14:textId="14DE7CD2" w:rsidR="00CB70B0" w:rsidRPr="00D4430D" w:rsidRDefault="00CB70B0">
      <w:pPr>
        <w:pStyle w:val="FootnoteText"/>
        <w:rPr>
          <w:rFonts w:ascii="Palatino Linotype" w:hAnsi="Palatino Linotype"/>
        </w:rPr>
      </w:pPr>
      <w:r>
        <w:rPr>
          <w:rStyle w:val="FootnoteReference"/>
        </w:rPr>
        <w:footnoteRef/>
      </w:r>
      <w:r>
        <w:t xml:space="preserve"> </w:t>
      </w:r>
      <w:hyperlink r:id="rId82" w:history="1">
        <w:r w:rsidRPr="00BD2DF9">
          <w:rPr>
            <w:rStyle w:val="Hyperlink"/>
            <w:rFonts w:ascii="Palatino Linotype" w:hAnsi="Palatino Linotype"/>
          </w:rPr>
          <w:t>Resolution G-3618</w:t>
        </w:r>
      </w:hyperlink>
      <w:r w:rsidRPr="00BD2DF9">
        <w:rPr>
          <w:rFonts w:ascii="Palatino Linotype" w:hAnsi="Palatino Linotype"/>
        </w:rPr>
        <w:t xml:space="preserve"> (2026)</w:t>
      </w:r>
      <w:r>
        <w:rPr>
          <w:rFonts w:ascii="Palatino Linotype" w:hAnsi="Palatino Linotype"/>
        </w:rPr>
        <w:t xml:space="preserve"> at </w:t>
      </w:r>
      <w:r w:rsidR="005B70E6">
        <w:rPr>
          <w:rFonts w:ascii="Palatino Linotype" w:hAnsi="Palatino Linotype"/>
        </w:rPr>
        <w:t xml:space="preserve">p. 23. </w:t>
      </w:r>
      <w:r w:rsidR="00D4430D">
        <w:rPr>
          <w:rFonts w:ascii="Palatino Linotype" w:hAnsi="Palatino Linotype"/>
        </w:rPr>
        <w:t>“</w:t>
      </w:r>
      <w:r w:rsidR="00D4430D" w:rsidRPr="00D4430D">
        <w:rPr>
          <w:rFonts w:ascii="Palatino Linotype" w:hAnsi="Palatino Linotype"/>
        </w:rPr>
        <w:t>PG&amp;E shall justify the total budget amount with specific citations including page numbers referring to Commission policies in which the budget or explicit escalation factor was approved.</w:t>
      </w:r>
      <w:r w:rsidR="00D4430D">
        <w:rPr>
          <w:rFonts w:ascii="Palatino Linotype" w:hAnsi="Palatino Linotype"/>
        </w:rPr>
        <w:t>”</w:t>
      </w:r>
    </w:p>
  </w:footnote>
  <w:footnote w:id="123">
    <w:p w14:paraId="3FEE2E5B" w14:textId="47FFC6C3" w:rsidR="00453751" w:rsidRDefault="00453751">
      <w:pPr>
        <w:pStyle w:val="FootnoteText"/>
      </w:pPr>
      <w:r>
        <w:rPr>
          <w:rStyle w:val="FootnoteReference"/>
        </w:rPr>
        <w:footnoteRef/>
      </w:r>
      <w:r>
        <w:t xml:space="preserve"> </w:t>
      </w:r>
      <w:hyperlink r:id="rId83"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Pr>
          <w:rFonts w:ascii="Palatino Linotype" w:hAnsi="Palatino Linotype"/>
          <w:szCs w:val="16"/>
        </w:rPr>
        <w:t>-221.</w:t>
      </w:r>
    </w:p>
  </w:footnote>
  <w:footnote w:id="124">
    <w:p w14:paraId="092634DF" w14:textId="77777777" w:rsidR="00822B49" w:rsidRPr="0023781D" w:rsidRDefault="00822B49" w:rsidP="00822B49">
      <w:pPr>
        <w:pStyle w:val="FootnoteText"/>
        <w:rPr>
          <w:rFonts w:ascii="Palatino Linotype" w:hAnsi="Palatino Linotype"/>
        </w:rPr>
      </w:pPr>
      <w:r w:rsidRPr="0023781D">
        <w:rPr>
          <w:rStyle w:val="FootnoteReference"/>
          <w:rFonts w:ascii="Palatino Linotype" w:hAnsi="Palatino Linotype"/>
        </w:rPr>
        <w:footnoteRef/>
      </w:r>
      <w:r w:rsidRPr="0023781D">
        <w:rPr>
          <w:rFonts w:ascii="Palatino Linotype" w:hAnsi="Palatino Linotype"/>
        </w:rPr>
        <w:t xml:space="preserve"> </w:t>
      </w:r>
      <w:hyperlink r:id="rId84" w:history="1">
        <w:r w:rsidRPr="00783669">
          <w:rPr>
            <w:rStyle w:val="Hyperlink"/>
            <w:rFonts w:ascii="Palatino Linotype" w:hAnsi="Palatino Linotype"/>
          </w:rPr>
          <w:t>R.22-12-011</w:t>
        </w:r>
      </w:hyperlink>
      <w:r>
        <w:rPr>
          <w:rFonts w:ascii="Palatino Linotype" w:hAnsi="Palatino Linotype"/>
        </w:rPr>
        <w:t>:</w:t>
      </w:r>
      <w:r w:rsidRPr="0023781D">
        <w:rPr>
          <w:rFonts w:ascii="Palatino Linotype" w:hAnsi="Palatino Linotype"/>
        </w:rPr>
        <w:t xml:space="preserve"> OIR to Address Biomethane Procurement Cost Allocation.</w:t>
      </w:r>
    </w:p>
  </w:footnote>
  <w:footnote w:id="125">
    <w:p w14:paraId="6A3B62E7" w14:textId="77777777" w:rsidR="0086202E" w:rsidRPr="00994F76" w:rsidRDefault="0086202E" w:rsidP="0086202E">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126">
    <w:p w14:paraId="4C76B3AB" w14:textId="77777777" w:rsidR="0086202E" w:rsidRDefault="0086202E" w:rsidP="0086202E">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127">
    <w:p w14:paraId="6F063E46" w14:textId="08F92BC6" w:rsidR="000F6276" w:rsidRDefault="000F6276" w:rsidP="000F6276">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0309F">
        <w:rPr>
          <w:rFonts w:ascii="Palatino Linotype" w:hAnsi="Palatino Linotype"/>
        </w:rPr>
        <w:t>Appendix</w:t>
      </w:r>
      <w:r w:rsidR="00EF150B">
        <w:rPr>
          <w:rFonts w:ascii="Palatino Linotype" w:hAnsi="Palatino Linotype"/>
        </w:rPr>
        <w:t xml:space="preserve"> </w:t>
      </w:r>
      <w:r w:rsidR="00EA3D6A">
        <w:rPr>
          <w:rFonts w:ascii="Palatino Linotype" w:hAnsi="Palatino Linotype"/>
        </w:rPr>
        <w:t>G</w:t>
      </w:r>
      <w:r w:rsidR="00EF150B">
        <w:rPr>
          <w:rFonts w:ascii="Palatino Linotype" w:hAnsi="Palatino Linotype"/>
        </w:rPr>
        <w:t xml:space="preserve">: </w:t>
      </w:r>
      <w:r w:rsidRPr="0030309F">
        <w:rPr>
          <w:rFonts w:ascii="Palatino Linotype" w:hAnsi="Palatino Linotype"/>
        </w:rPr>
        <w:t xml:space="preserve">Compliance Assessment of </w:t>
      </w:r>
      <w:r w:rsidR="0075777D">
        <w:rPr>
          <w:rFonts w:ascii="Palatino Linotype" w:hAnsi="Palatino Linotype"/>
        </w:rPr>
        <w:t>AL 5222-</w:t>
      </w:r>
      <w:r>
        <w:rPr>
          <w:rFonts w:ascii="Palatino Linotype" w:hAnsi="Palatino Linotype"/>
        </w:rPr>
        <w:t>G</w:t>
      </w:r>
      <w:r w:rsidRPr="0030309F">
        <w:rPr>
          <w:rFonts w:ascii="Palatino Linotype" w:hAnsi="Palatino Linotype"/>
        </w:rPr>
        <w:t>.</w:t>
      </w:r>
    </w:p>
  </w:footnote>
  <w:footnote w:id="128">
    <w:p w14:paraId="55BC91AF" w14:textId="10FFF365" w:rsidR="003E4DAC" w:rsidRPr="003E4DAC" w:rsidRDefault="003E4DAC">
      <w:pPr>
        <w:pStyle w:val="FootnoteText"/>
        <w:rPr>
          <w:rFonts w:ascii="Palatino Linotype" w:hAnsi="Palatino Linotype"/>
        </w:rPr>
      </w:pPr>
      <w:r w:rsidRPr="003E4DAC">
        <w:rPr>
          <w:rStyle w:val="FootnoteReference"/>
          <w:rFonts w:ascii="Palatino Linotype" w:hAnsi="Palatino Linotype"/>
        </w:rPr>
        <w:footnoteRef/>
      </w:r>
      <w:r w:rsidRPr="003E4DAC">
        <w:rPr>
          <w:rFonts w:ascii="Palatino Linotype" w:hAnsi="Palatino Linotype"/>
        </w:rPr>
        <w:t xml:space="preserve"> PG&amp;E submitted its proposed 2024 Plan via Tier 3 AL 4931-G on July 1, 2024. PG&amp;E later withdrew AL 4931-G on May 12, 2025, after consultation with CPUC staff. PG&amp;E resubmitted its 2024 Plan (AL 5077-G) on June 25, 2025, and subsequently submitted its modified 2024 Plan via supplemental AL 5077-G-A on August 18, 2025. The Commission denied AL 5077-G-A on January 15, 2026, via Resolution G-3618. PG&amp;E received an extension to resubmit its 2024 Plan via AL 5196-G on April 3, 2026, in accordance with Resolution G-3618.</w:t>
      </w:r>
    </w:p>
  </w:footnote>
  <w:footnote w:id="129">
    <w:p w14:paraId="05AC7CFF" w14:textId="34B9ECF3" w:rsidR="00743F92" w:rsidRPr="009F7D25" w:rsidRDefault="00743F92">
      <w:pPr>
        <w:pStyle w:val="FootnoteText"/>
        <w:rPr>
          <w:color w:val="000000" w:themeColor="text1"/>
        </w:rPr>
      </w:pPr>
      <w:r w:rsidRPr="009F7D25">
        <w:rPr>
          <w:rStyle w:val="FootnoteReference"/>
          <w:color w:val="000000" w:themeColor="text1"/>
        </w:rPr>
        <w:footnoteRef/>
      </w:r>
      <w:r w:rsidRPr="009F7D25">
        <w:rPr>
          <w:color w:val="000000" w:themeColor="text1"/>
        </w:rPr>
        <w:t xml:space="preserve"> </w:t>
      </w:r>
      <w:r w:rsidR="007F25CA" w:rsidRPr="009F7D25">
        <w:rPr>
          <w:rFonts w:ascii="Palatino Linotype" w:hAnsi="Palatino Linotype"/>
          <w:color w:val="000000" w:themeColor="text1"/>
        </w:rPr>
        <w:t>AL 5196-G Attachment B at p. 6.</w:t>
      </w:r>
    </w:p>
  </w:footnote>
  <w:footnote w:id="130">
    <w:p w14:paraId="4F0D70BC" w14:textId="248BE773" w:rsidR="004B5536" w:rsidRDefault="004B5536" w:rsidP="004B5536">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530F4">
        <w:rPr>
          <w:rFonts w:ascii="Palatino Linotype" w:hAnsi="Palatino Linotype"/>
          <w:color w:val="000000" w:themeColor="text1"/>
        </w:rPr>
        <w:t xml:space="preserve">Appendix </w:t>
      </w:r>
      <w:r>
        <w:rPr>
          <w:rFonts w:ascii="Palatino Linotype" w:hAnsi="Palatino Linotype"/>
          <w:color w:val="000000" w:themeColor="text1"/>
        </w:rPr>
        <w:t>F</w:t>
      </w:r>
      <w:r w:rsidRPr="003530F4">
        <w:rPr>
          <w:rFonts w:ascii="Palatino Linotype" w:hAnsi="Palatino Linotype"/>
          <w:color w:val="000000" w:themeColor="text1"/>
        </w:rPr>
        <w:t>: Compliance Assessment of AL 519</w:t>
      </w:r>
      <w:r>
        <w:rPr>
          <w:rFonts w:ascii="Palatino Linotype" w:hAnsi="Palatino Linotype"/>
          <w:color w:val="000000" w:themeColor="text1"/>
        </w:rPr>
        <w:t>7</w:t>
      </w:r>
      <w:r w:rsidRPr="003530F4">
        <w:rPr>
          <w:rFonts w:ascii="Palatino Linotype" w:hAnsi="Palatino Linotype"/>
          <w:color w:val="000000" w:themeColor="text1"/>
        </w:rPr>
        <w:t>-G.</w:t>
      </w:r>
    </w:p>
  </w:footnote>
  <w:footnote w:id="131">
    <w:p w14:paraId="7952CFA6" w14:textId="3919BE02" w:rsidR="007A7F54" w:rsidRDefault="007A7F54" w:rsidP="007A7F54">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G-3623</w:t>
      </w:r>
      <w:r w:rsidRPr="00E77EA1">
        <w:rPr>
          <w:rFonts w:ascii="Palatino Linotype" w:hAnsi="Palatino Linotype" w:cs="Times New Roman"/>
        </w:rPr>
        <w:t xml:space="preserve"> at</w:t>
      </w:r>
      <w:r>
        <w:rPr>
          <w:rFonts w:ascii="Times New Roman" w:hAnsi="Times New Roman" w:cs="Times New Roman"/>
        </w:rPr>
        <w:t xml:space="preserve"> </w:t>
      </w:r>
      <w:r w:rsidRPr="0030309F">
        <w:rPr>
          <w:rFonts w:ascii="Palatino Linotype" w:hAnsi="Palatino Linotype"/>
        </w:rPr>
        <w:t>Appendix</w:t>
      </w:r>
      <w:r>
        <w:rPr>
          <w:rFonts w:ascii="Palatino Linotype" w:hAnsi="Palatino Linotype"/>
        </w:rPr>
        <w:t xml:space="preserve"> G: </w:t>
      </w:r>
      <w:r w:rsidRPr="0030309F">
        <w:rPr>
          <w:rFonts w:ascii="Palatino Linotype" w:hAnsi="Palatino Linotype"/>
        </w:rPr>
        <w:t xml:space="preserve">Compliance Assessment of </w:t>
      </w:r>
      <w:r>
        <w:rPr>
          <w:rFonts w:ascii="Palatino Linotype" w:hAnsi="Palatino Linotype"/>
        </w:rPr>
        <w:t>AL 5222-G</w:t>
      </w:r>
      <w:r w:rsidRPr="0030309F">
        <w:rPr>
          <w:rFonts w:ascii="Palatino Linotype" w:hAnsi="Palatino Linotype"/>
        </w:rPr>
        <w:t>.</w:t>
      </w:r>
    </w:p>
  </w:footnote>
  <w:footnote w:id="132">
    <w:p w14:paraId="6506EC06" w14:textId="01B4A954" w:rsidR="000B6310" w:rsidRDefault="000B6310">
      <w:pPr>
        <w:pStyle w:val="FootnoteText"/>
      </w:pPr>
      <w:r>
        <w:rPr>
          <w:rStyle w:val="FootnoteReference"/>
        </w:rPr>
        <w:footnoteRef/>
      </w:r>
      <w:r>
        <w:t xml:space="preserve"> </w:t>
      </w:r>
      <w:hyperlink r:id="rId85" w:history="1">
        <w:r w:rsidR="00917062" w:rsidRPr="00996C8D">
          <w:rPr>
            <w:rStyle w:val="Hyperlink"/>
            <w:rFonts w:ascii="Palatino Linotype" w:hAnsi="Palatino Linotype"/>
          </w:rPr>
          <w:t>PG&amp;E Gas Preliminary Statement Part GA (AL 4835-G)</w:t>
        </w:r>
      </w:hyperlink>
      <w:r w:rsidR="00917062" w:rsidRPr="006812EF">
        <w:rPr>
          <w:rFonts w:ascii="Palatino Linotype" w:hAnsi="Palatino Linotype"/>
        </w:rPr>
        <w:t xml:space="preserve"> at Section 3. </w:t>
      </w:r>
      <w:r w:rsidR="006812EF" w:rsidRPr="006812EF">
        <w:rPr>
          <w:rFonts w:ascii="Palatino Linotype" w:hAnsi="Palatino Linotype"/>
        </w:rPr>
        <w:t xml:space="preserve">Adopted via </w:t>
      </w:r>
      <w:hyperlink r:id="rId86" w:history="1">
        <w:r w:rsidRPr="006812EF">
          <w:rPr>
            <w:rStyle w:val="Hyperlink"/>
            <w:rFonts w:ascii="Palatino Linotype" w:hAnsi="Palatino Linotype"/>
          </w:rPr>
          <w:t>Resolution G-3618</w:t>
        </w:r>
      </w:hyperlink>
      <w:r w:rsidRPr="006812EF">
        <w:rPr>
          <w:rFonts w:ascii="Palatino Linotype" w:hAnsi="Palatino Linotype"/>
          <w:color w:val="0070C0"/>
        </w:rPr>
        <w:t xml:space="preserve"> </w:t>
      </w:r>
      <w:r w:rsidRPr="009F7D25">
        <w:rPr>
          <w:rFonts w:ascii="Palatino Linotype" w:hAnsi="Palatino Linotype"/>
          <w:color w:val="000000" w:themeColor="text1"/>
        </w:rPr>
        <w:t>at OP 8.</w:t>
      </w:r>
    </w:p>
  </w:footnote>
  <w:footnote w:id="133">
    <w:p w14:paraId="16A9964A" w14:textId="5D66289E" w:rsidR="008F074C" w:rsidRDefault="008F074C" w:rsidP="008F074C">
      <w:pPr>
        <w:pStyle w:val="FootnoteText"/>
      </w:pPr>
      <w:r>
        <w:rPr>
          <w:rStyle w:val="FootnoteReference"/>
        </w:rPr>
        <w:footnoteRef/>
      </w:r>
      <w:r>
        <w:t xml:space="preserve"> </w:t>
      </w:r>
      <w:r w:rsidRPr="009F7D25">
        <w:rPr>
          <w:rFonts w:ascii="Palatino Linotype" w:hAnsi="Palatino Linotype"/>
          <w:color w:val="000000" w:themeColor="text1"/>
        </w:rPr>
        <w:t xml:space="preserve">Consistent with </w:t>
      </w:r>
      <w:hyperlink r:id="rId87" w:history="1">
        <w:r w:rsidRPr="009F7D25">
          <w:rPr>
            <w:rStyle w:val="Hyperlink"/>
            <w:rFonts w:ascii="Palatino Linotype" w:hAnsi="Palatino Linotype"/>
          </w:rPr>
          <w:t>Resolution G-3601</w:t>
        </w:r>
      </w:hyperlink>
      <w:r w:rsidRPr="009F7D25">
        <w:rPr>
          <w:rFonts w:ascii="Palatino Linotype" w:hAnsi="Palatino Linotype"/>
          <w:color w:val="000000" w:themeColor="text1"/>
        </w:rPr>
        <w:t xml:space="preserve"> at OP 7. “Southern California Gas Company may spend its approved 2023 Research, Development, and Demonstration funding in calendar year 2024.</w:t>
      </w:r>
    </w:p>
  </w:footnote>
  <w:footnote w:id="134">
    <w:p w14:paraId="13E628E9" w14:textId="77777777" w:rsidR="00F01246" w:rsidRPr="00AC38B8" w:rsidRDefault="00F01246" w:rsidP="00F44EF5">
      <w:pPr>
        <w:pStyle w:val="FootnoteText"/>
        <w:rPr>
          <w:color w:val="000000" w:themeColor="text1"/>
        </w:rPr>
      </w:pPr>
      <w:r w:rsidRPr="00AC38B8">
        <w:rPr>
          <w:rStyle w:val="FootnoteReference"/>
          <w:color w:val="000000" w:themeColor="text1"/>
        </w:rPr>
        <w:footnoteRef/>
      </w:r>
      <w:r w:rsidRPr="00AC38B8">
        <w:rPr>
          <w:color w:val="000000" w:themeColor="text1"/>
        </w:rPr>
        <w:t xml:space="preserve"> </w:t>
      </w:r>
      <w:r w:rsidRPr="00AC38B8">
        <w:rPr>
          <w:rFonts w:ascii="Palatino Linotype" w:hAnsi="Palatino Linotype"/>
          <w:color w:val="000000" w:themeColor="text1"/>
        </w:rPr>
        <w:t xml:space="preserve">AL 5196-G </w:t>
      </w:r>
      <w:r w:rsidRPr="00391568">
        <w:rPr>
          <w:rFonts w:ascii="Palatino Linotype" w:hAnsi="Palatino Linotype"/>
        </w:rPr>
        <w:t>Attachment</w:t>
      </w:r>
      <w:r w:rsidRPr="00AC38B8">
        <w:rPr>
          <w:rFonts w:ascii="Palatino Linotype" w:hAnsi="Palatino Linotype"/>
          <w:color w:val="000000" w:themeColor="text1"/>
        </w:rPr>
        <w:t xml:space="preserve"> </w:t>
      </w:r>
      <w:r>
        <w:rPr>
          <w:rFonts w:ascii="Palatino Linotype" w:hAnsi="Palatino Linotype"/>
          <w:color w:val="000000" w:themeColor="text1"/>
        </w:rPr>
        <w:t xml:space="preserve">B </w:t>
      </w:r>
      <w:r w:rsidRPr="00AC38B8">
        <w:rPr>
          <w:rFonts w:ascii="Palatino Linotype" w:hAnsi="Palatino Linotype"/>
          <w:color w:val="000000" w:themeColor="text1"/>
        </w:rPr>
        <w:t>at p. 66, 68, &amp; 76.</w:t>
      </w:r>
    </w:p>
  </w:footnote>
  <w:footnote w:id="135">
    <w:p w14:paraId="7FBC3DF2" w14:textId="77777777" w:rsidR="00F01246" w:rsidRDefault="00F01246" w:rsidP="00F44EF5">
      <w:pPr>
        <w:pStyle w:val="FootnoteText"/>
      </w:pPr>
      <w:r w:rsidRPr="00AC38B8">
        <w:rPr>
          <w:rStyle w:val="FootnoteReference"/>
          <w:color w:val="000000" w:themeColor="text1"/>
        </w:rPr>
        <w:footnoteRef/>
      </w:r>
      <w:r w:rsidRPr="00AC38B8">
        <w:rPr>
          <w:color w:val="000000" w:themeColor="text1"/>
        </w:rPr>
        <w:t xml:space="preserve"> </w:t>
      </w:r>
      <w:r w:rsidRPr="00AC38B8">
        <w:rPr>
          <w:rFonts w:ascii="Palatino Linotype" w:hAnsi="Palatino Linotype"/>
          <w:color w:val="000000" w:themeColor="text1"/>
        </w:rPr>
        <w:t>AL 5197-G</w:t>
      </w:r>
      <w:r>
        <w:rPr>
          <w:rFonts w:ascii="Palatino Linotype" w:hAnsi="Palatino Linotype"/>
          <w:color w:val="000000" w:themeColor="text1"/>
        </w:rPr>
        <w:t xml:space="preserve"> </w:t>
      </w:r>
      <w:r w:rsidRPr="00391568">
        <w:rPr>
          <w:rFonts w:ascii="Palatino Linotype" w:hAnsi="Palatino Linotype"/>
        </w:rPr>
        <w:t>Attachment</w:t>
      </w:r>
      <w:r>
        <w:rPr>
          <w:rFonts w:ascii="Palatino Linotype" w:hAnsi="Palatino Linotype"/>
        </w:rPr>
        <w:t xml:space="preserve"> B</w:t>
      </w:r>
      <w:r w:rsidRPr="00AC38B8">
        <w:rPr>
          <w:rFonts w:ascii="Palatino Linotype" w:hAnsi="Palatino Linotype"/>
          <w:color w:val="000000" w:themeColor="text1"/>
        </w:rPr>
        <w:t xml:space="preserve"> at p. 74, 77, &amp; 84.</w:t>
      </w:r>
    </w:p>
  </w:footnote>
  <w:footnote w:id="136">
    <w:p w14:paraId="73A15BCE" w14:textId="77777777" w:rsidR="00F01246" w:rsidRDefault="00F01246" w:rsidP="00F44EF5">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 13, 15, 28, &amp; 35.</w:t>
      </w:r>
    </w:p>
  </w:footnote>
  <w:footnote w:id="137">
    <w:p w14:paraId="41542104" w14:textId="77777777" w:rsidR="00801EA4" w:rsidRPr="00A32AF2" w:rsidRDefault="00801EA4" w:rsidP="00801EA4">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88"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138">
    <w:p w14:paraId="53836ECB" w14:textId="77777777" w:rsidR="00801EA4" w:rsidRDefault="00801EA4" w:rsidP="00801EA4">
      <w:pPr>
        <w:pStyle w:val="FootnoteText"/>
      </w:pPr>
      <w:r>
        <w:rPr>
          <w:rStyle w:val="FootnoteReference"/>
        </w:rPr>
        <w:footnoteRef/>
      </w:r>
      <w:r>
        <w:t xml:space="preserve"> </w:t>
      </w:r>
      <w:hyperlink r:id="rId89"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139">
    <w:p w14:paraId="743E4180"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w:t>
      </w:r>
    </w:p>
  </w:footnote>
  <w:footnote w:id="140">
    <w:p w14:paraId="1363D0F3"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5</w:t>
      </w:r>
      <w:r>
        <w:rPr>
          <w:rFonts w:ascii="Palatino Linotype" w:hAnsi="Palatino Linotype"/>
          <w:color w:val="0070C0"/>
          <w:szCs w:val="16"/>
        </w:rPr>
        <w:t>.</w:t>
      </w:r>
    </w:p>
  </w:footnote>
  <w:footnote w:id="141">
    <w:p w14:paraId="7753C115" w14:textId="77777777" w:rsidR="00801EA4" w:rsidRDefault="00801EA4" w:rsidP="00801EA4">
      <w:pPr>
        <w:pStyle w:val="FootnoteText"/>
      </w:pPr>
      <w:r>
        <w:rPr>
          <w:rStyle w:val="FootnoteReference"/>
        </w:rPr>
        <w:footnoteRef/>
      </w:r>
      <w:r>
        <w:t xml:space="preserve"> </w:t>
      </w:r>
      <w:hyperlink r:id="rId90" w:history="1">
        <w:r w:rsidRPr="00E65A0F">
          <w:rPr>
            <w:rStyle w:val="Hyperlink"/>
            <w:rFonts w:ascii="Palatino Linotype" w:hAnsi="Palatino Linotype"/>
          </w:rPr>
          <w:t>PG&amp;E 2025 Gas RD&amp;D Annual Report</w:t>
        </w:r>
      </w:hyperlink>
      <w:r w:rsidRPr="00D015EF">
        <w:rPr>
          <w:rFonts w:ascii="Palatino Linotype" w:hAnsi="Palatino Linotype"/>
        </w:rPr>
        <w:t xml:space="preserve"> at p. 21, fn. 5.</w:t>
      </w:r>
    </w:p>
  </w:footnote>
  <w:footnote w:id="142">
    <w:p w14:paraId="6323356B" w14:textId="77777777" w:rsidR="00801EA4" w:rsidRDefault="00801EA4" w:rsidP="00801EA4">
      <w:pPr>
        <w:pStyle w:val="FootnoteText"/>
      </w:pPr>
      <w:r>
        <w:rPr>
          <w:rStyle w:val="FootnoteReference"/>
        </w:rPr>
        <w:footnoteRef/>
      </w:r>
      <w:r>
        <w:t xml:space="preserve"> </w:t>
      </w:r>
      <w:hyperlink r:id="rId91" w:history="1">
        <w:r w:rsidRPr="00567164">
          <w:rPr>
            <w:rStyle w:val="Hyperlink"/>
            <w:rFonts w:ascii="Palatino Linotype" w:hAnsi="Palatino Linotype"/>
          </w:rPr>
          <w:t>Resolution G-3618</w:t>
        </w:r>
      </w:hyperlink>
      <w:r w:rsidRPr="00567164">
        <w:rPr>
          <w:rFonts w:ascii="Palatino Linotype" w:hAnsi="Palatino Linotype"/>
        </w:rPr>
        <w:t xml:space="preserve"> (2026) at OP 2.</w:t>
      </w:r>
    </w:p>
  </w:footnote>
  <w:footnote w:id="143">
    <w:p w14:paraId="58C52E33" w14:textId="77777777" w:rsidR="00801EA4" w:rsidRDefault="00801EA4" w:rsidP="00801EA4">
      <w:pPr>
        <w:pStyle w:val="FootnoteText"/>
      </w:pPr>
      <w:r>
        <w:rPr>
          <w:rStyle w:val="FootnoteReference"/>
        </w:rPr>
        <w:footnoteRef/>
      </w:r>
      <w:r>
        <w:t xml:space="preserve"> </w:t>
      </w:r>
      <w:r w:rsidRPr="00054220">
        <w:rPr>
          <w:rFonts w:ascii="Palatino Linotype" w:hAnsi="Palatino Linotype"/>
        </w:rPr>
        <w:t>AL 5077-G-A at p. 61.</w:t>
      </w:r>
    </w:p>
  </w:footnote>
  <w:footnote w:id="144">
    <w:p w14:paraId="1F8A3CB0" w14:textId="77777777" w:rsidR="00801EA4" w:rsidRDefault="00801EA4" w:rsidP="00801EA4">
      <w:pPr>
        <w:pStyle w:val="FootnoteText"/>
      </w:pPr>
      <w:r>
        <w:rPr>
          <w:rStyle w:val="FootnoteReference"/>
        </w:rPr>
        <w:footnoteRef/>
      </w:r>
      <w:r>
        <w:t xml:space="preserve"> </w:t>
      </w:r>
      <w:r w:rsidRPr="0075283D">
        <w:rPr>
          <w:rFonts w:ascii="Palatino Linotype" w:hAnsi="Palatino Linotype"/>
        </w:rPr>
        <w:t>AL 5196-G at Appendix F-1</w:t>
      </w:r>
      <w:r>
        <w:rPr>
          <w:rFonts w:ascii="Palatino Linotype" w:hAnsi="Palatino Linotype"/>
        </w:rPr>
        <w:t xml:space="preserve">. </w:t>
      </w:r>
      <w:r w:rsidRPr="0075283D">
        <w:rPr>
          <w:rFonts w:ascii="Palatino Linotype" w:hAnsi="Palatino Linotype"/>
        </w:rPr>
        <w:t>“The plan does not imply implementation, deployment, or capital investment without separate authorization from the Commission.”</w:t>
      </w:r>
    </w:p>
  </w:footnote>
  <w:footnote w:id="145">
    <w:p w14:paraId="1546DD78" w14:textId="77777777" w:rsidR="00801EA4" w:rsidRPr="00A32AF2" w:rsidRDefault="00801EA4" w:rsidP="00801EA4">
      <w:pPr>
        <w:pStyle w:val="FootnoteText"/>
        <w:rPr>
          <w:rFonts w:ascii="Palatino Linotype" w:hAnsi="Palatino Linotype"/>
          <w:color w:val="000000" w:themeColor="text1"/>
        </w:rPr>
      </w:pPr>
      <w:r>
        <w:rPr>
          <w:rStyle w:val="FootnoteReference"/>
        </w:rPr>
        <w:footnoteRef/>
      </w:r>
      <w:r>
        <w:t xml:space="preserve"> </w:t>
      </w:r>
      <w:hyperlink r:id="rId9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93" w:history="1">
        <w:r w:rsidRPr="00ED4893">
          <w:rPr>
            <w:rStyle w:val="Hyperlink"/>
            <w:rFonts w:ascii="Palatino Linotype" w:hAnsi="Palatino Linotype"/>
          </w:rPr>
          <w:t>D.19-09-051</w:t>
        </w:r>
      </w:hyperlink>
      <w:r>
        <w:rPr>
          <w:rFonts w:ascii="Palatino Linotype" w:hAnsi="Palatino Linotype"/>
          <w:color w:val="000000" w:themeColor="text1"/>
        </w:rPr>
        <w:t xml:space="preserve"> at p. 379.</w:t>
      </w:r>
    </w:p>
  </w:footnote>
  <w:footnote w:id="146">
    <w:p w14:paraId="5AAAFA8A" w14:textId="77777777" w:rsidR="00801EA4" w:rsidRPr="00F358EB" w:rsidRDefault="00801EA4" w:rsidP="00801EA4">
      <w:pPr>
        <w:pStyle w:val="FootnoteText"/>
        <w:tabs>
          <w:tab w:val="left" w:pos="12045"/>
        </w:tabs>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 68, &amp; 76.</w:t>
      </w:r>
      <w:r>
        <w:rPr>
          <w:rFonts w:ascii="Palatino Linotype" w:hAnsi="Palatino Linotype"/>
          <w:color w:val="000000" w:themeColor="text1"/>
          <w:szCs w:val="16"/>
        </w:rPr>
        <w:tab/>
      </w:r>
    </w:p>
  </w:footnote>
  <w:footnote w:id="147">
    <w:p w14:paraId="6C5A77F1"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37-40.</w:t>
      </w:r>
    </w:p>
  </w:footnote>
  <w:footnote w:id="148">
    <w:p w14:paraId="65B84366"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71-72; 74-75; &amp; 80-81.</w:t>
      </w:r>
    </w:p>
  </w:footnote>
  <w:footnote w:id="149">
    <w:p w14:paraId="68FE7ACA"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17.</w:t>
      </w:r>
    </w:p>
  </w:footnote>
  <w:footnote w:id="150">
    <w:p w14:paraId="05B99651"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5197-G Attachment B at p. 17.</w:t>
      </w:r>
    </w:p>
  </w:footnote>
  <w:footnote w:id="151">
    <w:p w14:paraId="3BC8495D"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17-24.</w:t>
      </w:r>
    </w:p>
  </w:footnote>
  <w:footnote w:id="152">
    <w:p w14:paraId="0DB34782"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25-31</w:t>
      </w:r>
      <w:r>
        <w:rPr>
          <w:rFonts w:ascii="Palatino Linotype" w:hAnsi="Palatino Linotype"/>
          <w:color w:val="000000" w:themeColor="text1"/>
          <w:szCs w:val="16"/>
        </w:rPr>
        <w:t>.</w:t>
      </w:r>
    </w:p>
  </w:footnote>
  <w:footnote w:id="153">
    <w:p w14:paraId="31CB0E16"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78-81.</w:t>
      </w:r>
    </w:p>
  </w:footnote>
  <w:footnote w:id="154">
    <w:p w14:paraId="55E81CE3"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70 &amp; 77.</w:t>
      </w:r>
    </w:p>
  </w:footnote>
  <w:footnote w:id="155">
    <w:p w14:paraId="44A90176" w14:textId="407A398F" w:rsidR="00801EA4" w:rsidRDefault="00801EA4" w:rsidP="00801EA4">
      <w:pPr>
        <w:pStyle w:val="FootnoteText"/>
      </w:pPr>
      <w:r>
        <w:rPr>
          <w:rStyle w:val="FootnoteReference"/>
        </w:rPr>
        <w:footnoteRef/>
      </w:r>
      <w:r>
        <w:t xml:space="preserve"> </w:t>
      </w:r>
      <w:hyperlink r:id="rId94" w:history="1">
        <w:r w:rsidRPr="007D5AE0">
          <w:rPr>
            <w:rStyle w:val="Hyperlink"/>
            <w:rFonts w:ascii="Palatino Linotype" w:hAnsi="Palatino Linotype"/>
          </w:rPr>
          <w:t>D.26-04-034</w:t>
        </w:r>
      </w:hyperlink>
      <w:r w:rsidR="00E45A3B">
        <w:rPr>
          <w:rFonts w:ascii="Palatino Linotype" w:hAnsi="Palatino Linotype"/>
        </w:rPr>
        <w:t xml:space="preserve"> </w:t>
      </w:r>
      <w:r>
        <w:rPr>
          <w:rFonts w:ascii="Palatino Linotype" w:hAnsi="Palatino Linotype"/>
        </w:rPr>
        <w:t xml:space="preserve">at p. 13-14; FOFs 3, 4, &amp; 6. </w:t>
      </w:r>
    </w:p>
  </w:footnote>
  <w:footnote w:id="156">
    <w:p w14:paraId="22A9F345" w14:textId="77777777" w:rsidR="00801EA4" w:rsidRPr="00F25BF3" w:rsidRDefault="00801EA4" w:rsidP="00801EA4">
      <w:pPr>
        <w:pStyle w:val="FootnoteText"/>
        <w:rPr>
          <w:rFonts w:ascii="Palatino Linotype" w:hAnsi="Palatino Linotype"/>
          <w:color w:val="000000" w:themeColor="text1"/>
        </w:rPr>
      </w:pPr>
      <w:r>
        <w:rPr>
          <w:rStyle w:val="FootnoteReference"/>
        </w:rPr>
        <w:footnoteRef/>
      </w:r>
      <w:r>
        <w:t xml:space="preserve"> </w:t>
      </w:r>
      <w:hyperlink r:id="rId9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w:t>
      </w:r>
      <w:r w:rsidRPr="00EA1BDD">
        <w:rPr>
          <w:rFonts w:ascii="Palatino Linotype" w:hAnsi="Palatino Linotype"/>
        </w:rPr>
        <w:t xml:space="preserve">Consistent with </w:t>
      </w:r>
      <w:hyperlink r:id="rId96" w:tgtFrame="_blank" w:history="1">
        <w:r w:rsidRPr="00C333D3">
          <w:rPr>
            <w:rStyle w:val="Hyperlink"/>
            <w:rFonts w:ascii="Palatino Linotype" w:hAnsi="Palatino Linotype" w:cs="Times New Roman"/>
            <w:bCs/>
          </w:rPr>
          <w:t>Resolution G-3586</w:t>
        </w:r>
        <w:r>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at OP 5.</w:t>
      </w:r>
    </w:p>
  </w:footnote>
  <w:footnote w:id="157">
    <w:p w14:paraId="6CE66B04" w14:textId="77777777" w:rsidR="00801EA4" w:rsidRPr="00F358EB" w:rsidRDefault="00801EA4" w:rsidP="00801EA4">
      <w:pPr>
        <w:pStyle w:val="FootnoteText"/>
        <w:rPr>
          <w:rFonts w:ascii="Palatino Linotype" w:hAnsi="Palatino Linotype"/>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rPr>
        <w:t>AL 5196-G Attachment B at p. 37-40 &amp; 43-45.</w:t>
      </w:r>
    </w:p>
  </w:footnote>
  <w:footnote w:id="158">
    <w:p w14:paraId="5EA46732" w14:textId="77777777" w:rsidR="00801EA4" w:rsidRPr="005F1B06" w:rsidRDefault="00801EA4" w:rsidP="00801EA4">
      <w:pPr>
        <w:pStyle w:val="FootnoteText"/>
        <w:rPr>
          <w:color w:val="FF0000"/>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71-72; 74-75; &amp; 80-81.</w:t>
      </w:r>
    </w:p>
  </w:footnote>
  <w:footnote w:id="159">
    <w:p w14:paraId="6417D4FC"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rPr>
        <w:t>AL 5196-G Attachment B at p. 45-58.</w:t>
      </w:r>
    </w:p>
  </w:footnote>
  <w:footnote w:id="160">
    <w:p w14:paraId="0152B000"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43.</w:t>
      </w:r>
    </w:p>
  </w:footnote>
  <w:footnote w:id="161">
    <w:p w14:paraId="5C36AB6B"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44.</w:t>
      </w:r>
    </w:p>
  </w:footnote>
  <w:footnote w:id="162">
    <w:p w14:paraId="385B0349"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41.</w:t>
      </w:r>
    </w:p>
  </w:footnote>
  <w:footnote w:id="163">
    <w:p w14:paraId="1699DD8A"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70.</w:t>
      </w:r>
    </w:p>
  </w:footnote>
  <w:footnote w:id="164">
    <w:p w14:paraId="27D4BEB1" w14:textId="77777777" w:rsidR="00801EA4" w:rsidRDefault="00801EA4" w:rsidP="00801EA4">
      <w:pPr>
        <w:pStyle w:val="FootnoteText"/>
      </w:pPr>
      <w:r>
        <w:rPr>
          <w:rStyle w:val="FootnoteReference"/>
        </w:rPr>
        <w:footnoteRef/>
      </w:r>
      <w:r>
        <w:t xml:space="preserve"> </w:t>
      </w:r>
      <w:r w:rsidRPr="00215FFF">
        <w:rPr>
          <w:rFonts w:ascii="Palatino Linotype" w:hAnsi="Palatino Linotype"/>
        </w:rPr>
        <w:t>Required by California Public Utilities Code Section 740.1 at (a).</w:t>
      </w:r>
    </w:p>
  </w:footnote>
  <w:footnote w:id="165">
    <w:p w14:paraId="27A451B0" w14:textId="77777777" w:rsidR="00801EA4" w:rsidRPr="00E1674B" w:rsidRDefault="00801EA4" w:rsidP="00801EA4">
      <w:pPr>
        <w:spacing w:after="0" w:line="240" w:lineRule="auto"/>
        <w:rPr>
          <w:rFonts w:ascii="Palatino Linotype" w:eastAsia="Century Gothic" w:hAnsi="Palatino Linotype" w:cs="Century Gothic"/>
          <w:sz w:val="20"/>
          <w:szCs w:val="20"/>
        </w:rPr>
      </w:pPr>
      <w:r w:rsidRPr="00657690">
        <w:rPr>
          <w:rStyle w:val="FootnoteReference"/>
          <w:rFonts w:ascii="Palatino Linotype" w:hAnsi="Palatino Linotype"/>
          <w:sz w:val="20"/>
          <w:szCs w:val="20"/>
        </w:rPr>
        <w:footnoteRef/>
      </w:r>
      <w:r w:rsidRPr="00657690">
        <w:rPr>
          <w:rFonts w:ascii="Palatino Linotype" w:hAnsi="Palatino Linotype"/>
          <w:sz w:val="20"/>
          <w:szCs w:val="20"/>
        </w:rPr>
        <w:t xml:space="preserve"> </w:t>
      </w:r>
      <w:hyperlink r:id="rId97" w:history="1">
        <w:r w:rsidRPr="00657690">
          <w:rPr>
            <w:rStyle w:val="Hyperlink"/>
            <w:rFonts w:ascii="Palatino Linotype" w:hAnsi="Palatino Linotype"/>
            <w:sz w:val="20"/>
            <w:szCs w:val="12"/>
          </w:rPr>
          <w:t>D.23-04-042</w:t>
        </w:r>
      </w:hyperlink>
      <w:r>
        <w:rPr>
          <w:rFonts w:ascii="Palatino Linotype" w:hAnsi="Palatino Linotype"/>
          <w:sz w:val="20"/>
          <w:szCs w:val="12"/>
        </w:rPr>
        <w:t xml:space="preserve"> </w:t>
      </w:r>
      <w:r w:rsidRPr="00657690">
        <w:rPr>
          <w:rFonts w:ascii="Palatino Linotype" w:hAnsi="Palatino Linotype"/>
          <w:sz w:val="20"/>
          <w:szCs w:val="12"/>
        </w:rPr>
        <w:t xml:space="preserve">at Appendix A. </w:t>
      </w:r>
      <w:r w:rsidRPr="00230B46">
        <w:rPr>
          <w:rFonts w:ascii="Palatino Linotype" w:hAnsi="Palatino Linotype"/>
          <w:sz w:val="20"/>
          <w:szCs w:val="20"/>
        </w:rPr>
        <w:t xml:space="preserve">Consistent with </w:t>
      </w:r>
      <w:hyperlink r:id="rId98">
        <w:r w:rsidRPr="00230B46">
          <w:rPr>
            <w:rFonts w:ascii="Palatino Linotype" w:eastAsia="Century Gothic" w:hAnsi="Palatino Linotype" w:cs="Century Gothic"/>
            <w:color w:val="467886" w:themeColor="hyperlink"/>
            <w:sz w:val="20"/>
            <w:szCs w:val="20"/>
            <w:u w:val="single"/>
          </w:rPr>
          <w:t>Resolution G-3603</w:t>
        </w:r>
      </w:hyperlink>
      <w:r w:rsidRPr="00230B46">
        <w:rPr>
          <w:rFonts w:ascii="Palatino Linotype" w:hAnsi="Palatino Linotype"/>
          <w:sz w:val="20"/>
          <w:szCs w:val="20"/>
        </w:rPr>
        <w:t xml:space="preserve"> (2024)</w:t>
      </w:r>
      <w:r>
        <w:rPr>
          <w:rFonts w:ascii="Palatino Linotype" w:hAnsi="Palatino Linotype"/>
          <w:sz w:val="20"/>
          <w:szCs w:val="20"/>
        </w:rPr>
        <w:t xml:space="preserve"> </w:t>
      </w:r>
      <w:r w:rsidRPr="00230B46">
        <w:rPr>
          <w:rFonts w:ascii="Palatino Linotype" w:hAnsi="Palatino Linotype"/>
          <w:sz w:val="20"/>
          <w:szCs w:val="20"/>
        </w:rPr>
        <w:t>at</w:t>
      </w:r>
      <w:r w:rsidRPr="00230B46">
        <w:rPr>
          <w:rFonts w:ascii="Palatino Linotype" w:eastAsia="Century Gothic" w:hAnsi="Palatino Linotype" w:cs="Century Gothic"/>
          <w:sz w:val="20"/>
          <w:szCs w:val="20"/>
        </w:rPr>
        <w:t xml:space="preserve"> OP 6</w:t>
      </w:r>
      <w:r>
        <w:rPr>
          <w:rFonts w:ascii="Palatino Linotype" w:eastAsia="Century Gothic" w:hAnsi="Palatino Linotype" w:cs="Century Gothic"/>
          <w:sz w:val="20"/>
          <w:szCs w:val="20"/>
        </w:rPr>
        <w:t>: “</w:t>
      </w:r>
      <w:r w:rsidRPr="00E1674B">
        <w:rPr>
          <w:rFonts w:ascii="Palatino Linotype" w:eastAsia="Century Gothic" w:hAnsi="Palatino Linotype" w:cs="Century Gothic"/>
          <w:sz w:val="20"/>
          <w:szCs w:val="20"/>
        </w:rPr>
        <w:t>Once the</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EPIC</w:t>
      </w:r>
      <w:r>
        <w:rPr>
          <w:rFonts w:ascii="Palatino Linotype" w:eastAsia="Century Gothic" w:hAnsi="Palatino Linotype" w:cs="Century Gothic"/>
          <w:sz w:val="20"/>
          <w:szCs w:val="20"/>
        </w:rPr>
        <w:t>]</w:t>
      </w:r>
      <w:r w:rsidRPr="00E1674B">
        <w:rPr>
          <w:rFonts w:ascii="Palatino Linotype" w:eastAsia="Century Gothic" w:hAnsi="Palatino Linotype" w:cs="Century Gothic"/>
          <w:sz w:val="20"/>
          <w:szCs w:val="20"/>
        </w:rPr>
        <w:t xml:space="preserve"> program’s Uniform Impact</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Analysis framework is approved by the Commission, the California Energy</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Commission shall use this framework to demonstrate outcomes of achieving its</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proposed benefits for all current and future research projects including through</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quantitative methodologies</w:t>
      </w:r>
      <w:r>
        <w:rPr>
          <w:rFonts w:ascii="Palatino Linotype" w:eastAsia="Century Gothic" w:hAnsi="Palatino Linotype" w:cs="Century Gothic"/>
          <w:sz w:val="20"/>
          <w:szCs w:val="20"/>
        </w:rPr>
        <w:t>.”</w:t>
      </w:r>
    </w:p>
  </w:footnote>
  <w:footnote w:id="166">
    <w:p w14:paraId="65DE880E" w14:textId="085F2430" w:rsidR="00801EA4" w:rsidRPr="007B2D2D" w:rsidRDefault="00801EA4" w:rsidP="00801EA4">
      <w:pPr>
        <w:pStyle w:val="FootnoteText"/>
        <w:rPr>
          <w:rFonts w:ascii="Palatino Linotype" w:hAnsi="Palatino Linotype"/>
          <w:bCs/>
        </w:rPr>
      </w:pPr>
      <w:r>
        <w:rPr>
          <w:rStyle w:val="FootnoteReference"/>
        </w:rPr>
        <w:footnoteRef/>
      </w:r>
      <w:r>
        <w:t xml:space="preserve"> </w:t>
      </w:r>
      <w:hyperlink r:id="rId99"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 </w:t>
      </w:r>
      <w:r w:rsidRPr="00F358EB">
        <w:rPr>
          <w:rFonts w:ascii="Palatino Linotype" w:hAnsi="Palatino Linotype"/>
          <w:color w:val="000000" w:themeColor="text1"/>
        </w:rPr>
        <w:t xml:space="preserve">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 xml:space="preserve">G-3623 </w:t>
      </w:r>
      <w:r w:rsidRPr="00F358EB">
        <w:rPr>
          <w:rFonts w:ascii="Palatino Linotype" w:hAnsi="Palatino Linotype"/>
          <w:color w:val="000000" w:themeColor="text1"/>
          <w:szCs w:val="12"/>
        </w:rPr>
        <w:t xml:space="preserve">at </w:t>
      </w:r>
      <w:r w:rsidRPr="00F358EB">
        <w:rPr>
          <w:rFonts w:ascii="Palatino Linotype" w:hAnsi="Palatino Linotype"/>
          <w:color w:val="000000" w:themeColor="text1"/>
        </w:rPr>
        <w:t xml:space="preserve">Appendix </w:t>
      </w:r>
      <w:r>
        <w:rPr>
          <w:rFonts w:ascii="Palatino Linotype" w:hAnsi="Palatino Linotype"/>
          <w:color w:val="000000" w:themeColor="text1"/>
        </w:rPr>
        <w:t>C</w:t>
      </w:r>
      <w:r w:rsidRPr="00F358EB">
        <w:rPr>
          <w:rFonts w:ascii="Palatino Linotype" w:hAnsi="Palatino Linotype"/>
          <w:color w:val="000000" w:themeColor="text1"/>
        </w:rPr>
        <w:t>: Administrative Budget Cost Categories</w:t>
      </w:r>
      <w:r>
        <w:rPr>
          <w:rFonts w:ascii="Palatino Linotype" w:hAnsi="Palatino Linotype"/>
        </w:rPr>
        <w:t xml:space="preserve">. </w:t>
      </w:r>
      <w:r w:rsidRPr="00EA1BDD">
        <w:rPr>
          <w:rFonts w:ascii="Palatino Linotype" w:hAnsi="Palatino Linotype"/>
        </w:rPr>
        <w:t xml:space="preserve">Consistent with </w:t>
      </w:r>
      <w:hyperlink r:id="rId100" w:tgtFrame="_blank" w:history="1">
        <w:r w:rsidRPr="00E2662A">
          <w:rPr>
            <w:rStyle w:val="Hyperlink"/>
            <w:rFonts w:ascii="Palatino Linotype" w:hAnsi="Palatino Linotype" w:cs="Times New Roman"/>
            <w:bCs/>
          </w:rPr>
          <w:t>Resolution G-3586</w:t>
        </w:r>
        <w:r w:rsidRPr="00E2662A">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xml:space="preserve"> at OP 4.</w:t>
      </w:r>
    </w:p>
  </w:footnote>
  <w:footnote w:id="167">
    <w:p w14:paraId="251666FE" w14:textId="77777777" w:rsidR="00801EA4" w:rsidRDefault="00801EA4" w:rsidP="00801EA4">
      <w:pPr>
        <w:pStyle w:val="FootnoteText"/>
      </w:pPr>
      <w:r>
        <w:rPr>
          <w:rStyle w:val="FootnoteReference"/>
        </w:rPr>
        <w:footnoteRef/>
      </w:r>
      <w:r>
        <w:t xml:space="preserve"> </w:t>
      </w:r>
      <w:hyperlink r:id="rId10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168">
    <w:p w14:paraId="6779D2F2"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w:t>
      </w:r>
    </w:p>
  </w:footnote>
  <w:footnote w:id="169">
    <w:p w14:paraId="479E825A"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67.</w:t>
      </w:r>
    </w:p>
  </w:footnote>
  <w:footnote w:id="170">
    <w:p w14:paraId="26FB9AE0" w14:textId="77777777" w:rsidR="00801EA4" w:rsidRDefault="00801EA4" w:rsidP="00801EA4">
      <w:pPr>
        <w:pStyle w:val="FootnoteText"/>
      </w:pPr>
      <w:r>
        <w:rPr>
          <w:rStyle w:val="FootnoteReference"/>
        </w:rPr>
        <w:footnoteRef/>
      </w:r>
      <w:r>
        <w:t xml:space="preserve"> </w:t>
      </w:r>
      <w:hyperlink r:id="rId10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219-220. Reference to </w:t>
      </w:r>
      <w:hyperlink r:id="rId103" w:tgtFrame="_blank" w:history="1">
        <w:r w:rsidRPr="00E2662A">
          <w:rPr>
            <w:rStyle w:val="Hyperlink"/>
            <w:rFonts w:ascii="Palatino Linotype" w:hAnsi="Palatino Linotype" w:cs="Times New Roman"/>
            <w:bCs/>
          </w:rPr>
          <w:t>Resolution G-3586</w:t>
        </w:r>
        <w:r w:rsidRPr="0077585F">
          <w:rPr>
            <w:rStyle w:val="Hyperlink"/>
            <w:rFonts w:ascii="Times New Roman" w:hAnsi="Times New Roman" w:cs="Times New Roman"/>
            <w:bCs/>
            <w:u w:val="none"/>
          </w:rPr>
          <w:t> </w:t>
        </w:r>
      </w:hyperlink>
      <w:r w:rsidRPr="00EA1BDD">
        <w:rPr>
          <w:rFonts w:ascii="Palatino Linotype" w:hAnsi="Palatino Linotype"/>
          <w:bCs/>
        </w:rPr>
        <w:t>(2022)</w:t>
      </w:r>
      <w:r>
        <w:rPr>
          <w:rFonts w:ascii="Palatino Linotype" w:hAnsi="Palatino Linotype"/>
          <w:bCs/>
        </w:rPr>
        <w:t xml:space="preserve"> at p. 20-21. </w:t>
      </w:r>
      <w:r w:rsidRPr="001524E1">
        <w:rPr>
          <w:rFonts w:ascii="Palatino Linotype" w:hAnsi="Palatino Linotype"/>
          <w:bCs/>
        </w:rPr>
        <w:t>“</w:t>
      </w:r>
      <w:r w:rsidRPr="001524E1">
        <w:rPr>
          <w:rFonts w:ascii="Palatino Linotype" w:hAnsi="Palatino Linotype" w:cs="Segoe UI"/>
          <w:bCs/>
          <w:kern w:val="0"/>
          <w:sz w:val="18"/>
          <w:szCs w:val="18"/>
          <w14:ligatures w14:val="none"/>
        </w:rPr>
        <w:t>I</w:t>
      </w:r>
      <w:r w:rsidRPr="001524E1">
        <w:rPr>
          <w:rFonts w:ascii="Palatino Linotype" w:hAnsi="Palatino Linotype"/>
          <w:bCs/>
        </w:rPr>
        <w:t>n future Plans, SoCalGas should align its RD&amp;D investments with evolving state energy policies.”</w:t>
      </w:r>
    </w:p>
  </w:footnote>
  <w:footnote w:id="171">
    <w:p w14:paraId="1D715799"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59-60.</w:t>
      </w:r>
    </w:p>
  </w:footnote>
  <w:footnote w:id="172">
    <w:p w14:paraId="203A425B" w14:textId="77777777" w:rsidR="00801EA4" w:rsidRPr="00535F37" w:rsidRDefault="00801EA4" w:rsidP="00801EA4">
      <w:pPr>
        <w:pStyle w:val="FootnoteText"/>
        <w:rPr>
          <w:rFonts w:ascii="Palatino Linotype" w:hAnsi="Palatino Linotype"/>
          <w:color w:val="000000" w:themeColor="text1"/>
        </w:rPr>
      </w:pPr>
      <w:r>
        <w:rPr>
          <w:rStyle w:val="FootnoteReference"/>
        </w:rPr>
        <w:footnoteRef/>
      </w:r>
      <w:r>
        <w:t xml:space="preserve"> </w:t>
      </w:r>
      <w:hyperlink r:id="rId104" w:history="1">
        <w:r w:rsidRPr="00EE25EE">
          <w:rPr>
            <w:rStyle w:val="Hyperlink"/>
            <w:rFonts w:ascii="Palatino Linotype" w:hAnsi="Palatino Linotype"/>
          </w:rPr>
          <w:t>Resolution G-3618</w:t>
        </w:r>
      </w:hyperlink>
      <w:r w:rsidRPr="00EE25EE">
        <w:rPr>
          <w:rFonts w:ascii="Palatino Linotype" w:hAnsi="Palatino Linotype"/>
          <w:color w:val="0070C0"/>
        </w:rPr>
        <w:t xml:space="preserve"> </w:t>
      </w:r>
      <w:r w:rsidRPr="00535F37">
        <w:rPr>
          <w:rFonts w:ascii="Palatino Linotype" w:hAnsi="Palatino Linotype"/>
          <w:color w:val="000000" w:themeColor="text1"/>
        </w:rPr>
        <w:t>(2026) at F-17. “PG&amp;E should strive to propose zero-carbon projects or otherwise justify why zero-carbon RD&amp;D projects are not possible and how these projects will promote the transition to zero-carbon research and outcomes.”</w:t>
      </w:r>
    </w:p>
  </w:footnote>
  <w:footnote w:id="173">
    <w:p w14:paraId="76105241"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w:t>
      </w:r>
      <w:proofErr w:type="spellStart"/>
      <w:r w:rsidRPr="00535F37">
        <w:rPr>
          <w:rFonts w:ascii="Palatino Linotype" w:hAnsi="Palatino Linotype"/>
          <w:color w:val="000000" w:themeColor="text1"/>
          <w:szCs w:val="16"/>
        </w:rPr>
        <w:t>C at</w:t>
      </w:r>
      <w:proofErr w:type="spellEnd"/>
      <w:r w:rsidRPr="00535F37">
        <w:rPr>
          <w:rFonts w:ascii="Palatino Linotype" w:hAnsi="Palatino Linotype"/>
          <w:color w:val="000000" w:themeColor="text1"/>
          <w:szCs w:val="16"/>
        </w:rPr>
        <w:t xml:space="preserve"> p. 6.</w:t>
      </w:r>
    </w:p>
  </w:footnote>
  <w:footnote w:id="174">
    <w:p w14:paraId="6B308677" w14:textId="77777777" w:rsidR="00801EA4" w:rsidRDefault="00801EA4" w:rsidP="00801EA4">
      <w:pPr>
        <w:pStyle w:val="FootnoteText"/>
      </w:pPr>
      <w:r>
        <w:rPr>
          <w:rStyle w:val="FootnoteReference"/>
        </w:rPr>
        <w:footnoteRef/>
      </w:r>
      <w:r>
        <w:t xml:space="preserve"> </w:t>
      </w:r>
      <w:hyperlink r:id="rId10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p>
  </w:footnote>
  <w:footnote w:id="175">
    <w:p w14:paraId="3FA37100"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12.</w:t>
      </w:r>
    </w:p>
  </w:footnote>
  <w:footnote w:id="176">
    <w:p w14:paraId="7C32EAE2"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62-65.</w:t>
      </w:r>
    </w:p>
  </w:footnote>
  <w:footnote w:id="177">
    <w:p w14:paraId="4869D0CB"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16.</w:t>
      </w:r>
    </w:p>
  </w:footnote>
  <w:footnote w:id="178">
    <w:p w14:paraId="1E7BDCC8"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w:t>
      </w:r>
    </w:p>
  </w:footnote>
  <w:footnote w:id="179">
    <w:p w14:paraId="10D1A0C0"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68 &amp; 76.</w:t>
      </w:r>
    </w:p>
  </w:footnote>
  <w:footnote w:id="180">
    <w:p w14:paraId="5510B326" w14:textId="77777777" w:rsidR="00801EA4" w:rsidRPr="007B2D2D" w:rsidRDefault="00801EA4" w:rsidP="00801EA4">
      <w:pPr>
        <w:pStyle w:val="FootnoteText"/>
        <w:rPr>
          <w:rFonts w:ascii="Palatino Linotype" w:hAnsi="Palatino Linotype"/>
          <w:color w:val="000000" w:themeColor="text1"/>
        </w:rPr>
      </w:pPr>
      <w:r>
        <w:rPr>
          <w:rStyle w:val="FootnoteReference"/>
        </w:rPr>
        <w:footnoteRef/>
      </w:r>
      <w:r>
        <w:t xml:space="preserve"> </w:t>
      </w:r>
      <w:hyperlink r:id="rId106"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07" w:history="1">
        <w:r w:rsidRPr="00ED4893">
          <w:rPr>
            <w:rStyle w:val="Hyperlink"/>
            <w:rFonts w:ascii="Palatino Linotype" w:hAnsi="Palatino Linotype"/>
          </w:rPr>
          <w:t>D.19-09-051</w:t>
        </w:r>
      </w:hyperlink>
      <w:r>
        <w:rPr>
          <w:rFonts w:ascii="Palatino Linotype" w:hAnsi="Palatino Linotype"/>
          <w:color w:val="000000" w:themeColor="text1"/>
        </w:rPr>
        <w:t>.</w:t>
      </w:r>
    </w:p>
  </w:footnote>
  <w:footnote w:id="181">
    <w:p w14:paraId="7CB5AAFE" w14:textId="77777777" w:rsidR="00801EA4" w:rsidRPr="00E014FE"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17-24.</w:t>
      </w:r>
    </w:p>
  </w:footnote>
  <w:footnote w:id="182">
    <w:p w14:paraId="606DCB95" w14:textId="77777777" w:rsidR="00801EA4" w:rsidRDefault="00801EA4" w:rsidP="00801EA4">
      <w:pPr>
        <w:pStyle w:val="FootnoteText"/>
      </w:pPr>
      <w:r>
        <w:rPr>
          <w:rStyle w:val="FootnoteReference"/>
        </w:rPr>
        <w:footnoteRef/>
      </w:r>
      <w:r>
        <w:t xml:space="preserve"> </w:t>
      </w:r>
      <w:hyperlink r:id="rId108"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w:t>
      </w:r>
    </w:p>
  </w:footnote>
  <w:footnote w:id="183">
    <w:p w14:paraId="6F27EFF6" w14:textId="77777777" w:rsidR="00801EA4" w:rsidRDefault="00801EA4" w:rsidP="00801EA4">
      <w:pPr>
        <w:pStyle w:val="FootnoteText"/>
      </w:pPr>
      <w:r>
        <w:rPr>
          <w:rStyle w:val="FootnoteReference"/>
        </w:rPr>
        <w:footnoteRef/>
      </w:r>
      <w:r>
        <w:t xml:space="preserve"> </w:t>
      </w:r>
      <w:hyperlink r:id="rId109"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43-124.</w:t>
      </w:r>
    </w:p>
  </w:footnote>
  <w:footnote w:id="184">
    <w:p w14:paraId="6A2DB297" w14:textId="77777777" w:rsidR="00801EA4" w:rsidRDefault="00801EA4" w:rsidP="00801EA4">
      <w:pPr>
        <w:pStyle w:val="FootnoteText"/>
      </w:pPr>
      <w:r>
        <w:rPr>
          <w:rStyle w:val="FootnoteReference"/>
        </w:rPr>
        <w:footnoteRef/>
      </w:r>
      <w:r>
        <w:t xml:space="preserve"> </w:t>
      </w:r>
      <w:hyperlink r:id="rId110"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9.</w:t>
      </w:r>
    </w:p>
  </w:footnote>
  <w:footnote w:id="185">
    <w:p w14:paraId="76293F5E" w14:textId="77777777" w:rsidR="00801EA4" w:rsidRDefault="00801EA4" w:rsidP="00801EA4">
      <w:pPr>
        <w:pStyle w:val="FootnoteText"/>
      </w:pPr>
      <w:r>
        <w:rPr>
          <w:rStyle w:val="FootnoteReference"/>
        </w:rPr>
        <w:footnoteRef/>
      </w:r>
      <w:r>
        <w:t xml:space="preserve"> </w:t>
      </w:r>
      <w:hyperlink r:id="rId111"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13.</w:t>
      </w:r>
    </w:p>
  </w:footnote>
  <w:footnote w:id="186">
    <w:p w14:paraId="2770E44C" w14:textId="77777777" w:rsidR="00801EA4" w:rsidRDefault="00801EA4" w:rsidP="00801EA4">
      <w:pPr>
        <w:pStyle w:val="FootnoteText"/>
      </w:pPr>
      <w:r>
        <w:rPr>
          <w:rStyle w:val="FootnoteReference"/>
        </w:rPr>
        <w:footnoteRef/>
      </w:r>
      <w:r>
        <w:t xml:space="preserve"> </w:t>
      </w:r>
      <w:hyperlink r:id="rId112"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22-26.</w:t>
      </w:r>
    </w:p>
  </w:footnote>
  <w:footnote w:id="187">
    <w:p w14:paraId="30F307DC" w14:textId="77777777" w:rsidR="00801EA4" w:rsidRDefault="00801EA4" w:rsidP="00801EA4">
      <w:pPr>
        <w:pStyle w:val="FootnoteText"/>
      </w:pPr>
      <w:r>
        <w:rPr>
          <w:rStyle w:val="FootnoteReference"/>
        </w:rPr>
        <w:footnoteRef/>
      </w:r>
      <w:r>
        <w:t xml:space="preserve"> </w:t>
      </w:r>
      <w:hyperlink r:id="rId113"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27-38.</w:t>
      </w:r>
    </w:p>
  </w:footnote>
  <w:footnote w:id="188">
    <w:p w14:paraId="76814B00" w14:textId="77777777" w:rsidR="00801EA4" w:rsidRDefault="00801EA4" w:rsidP="00801EA4">
      <w:pPr>
        <w:pStyle w:val="FootnoteText"/>
      </w:pPr>
      <w:r>
        <w:rPr>
          <w:rStyle w:val="FootnoteReference"/>
        </w:rPr>
        <w:footnoteRef/>
      </w:r>
      <w:r>
        <w:t xml:space="preserve"> </w:t>
      </w:r>
      <w:hyperlink r:id="rId114"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10.</w:t>
      </w:r>
    </w:p>
  </w:footnote>
  <w:footnote w:id="189">
    <w:p w14:paraId="59273529"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5.</w:t>
      </w:r>
    </w:p>
  </w:footnote>
  <w:footnote w:id="190">
    <w:p w14:paraId="502F50F7"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67.</w:t>
      </w:r>
    </w:p>
  </w:footnote>
  <w:footnote w:id="191">
    <w:p w14:paraId="42420339" w14:textId="77777777" w:rsidR="00801EA4" w:rsidRDefault="00801EA4" w:rsidP="00801EA4">
      <w:pPr>
        <w:pStyle w:val="FootnoteText"/>
      </w:pPr>
      <w:r>
        <w:rPr>
          <w:rStyle w:val="FootnoteReference"/>
        </w:rPr>
        <w:footnoteRef/>
      </w:r>
      <w:r>
        <w:t xml:space="preserve"> </w:t>
      </w:r>
      <w:hyperlink r:id="rId11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192">
    <w:p w14:paraId="79828655"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14.</w:t>
      </w:r>
    </w:p>
  </w:footnote>
  <w:footnote w:id="193">
    <w:p w14:paraId="1F6868E9"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17-24.</w:t>
      </w:r>
    </w:p>
  </w:footnote>
  <w:footnote w:id="194">
    <w:p w14:paraId="038D7A34"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12-17.</w:t>
      </w:r>
    </w:p>
  </w:footnote>
  <w:footnote w:id="195">
    <w:p w14:paraId="6595E246" w14:textId="77777777" w:rsidR="00801EA4" w:rsidRDefault="00801EA4" w:rsidP="00801EA4">
      <w:pPr>
        <w:pStyle w:val="FootnoteText"/>
      </w:pPr>
      <w:r>
        <w:rPr>
          <w:rStyle w:val="FootnoteReference"/>
        </w:rPr>
        <w:footnoteRef/>
      </w:r>
      <w:r>
        <w:t xml:space="preserve"> </w:t>
      </w:r>
      <w:r>
        <w:rPr>
          <w:rFonts w:ascii="Palatino Linotype" w:hAnsi="Palatino Linotype"/>
        </w:rPr>
        <w:t>The Commission’s compliance assessment of California Public Utilities Code 740.1 at (c)</w:t>
      </w:r>
      <w:r w:rsidRPr="005E5657">
        <w:rPr>
          <w:rFonts w:ascii="Palatino Linotype" w:hAnsi="Palatino Linotype"/>
        </w:rPr>
        <w:t xml:space="preserve"> </w:t>
      </w:r>
      <w:r>
        <w:rPr>
          <w:rFonts w:ascii="Palatino Linotype" w:hAnsi="Palatino Linotype"/>
        </w:rPr>
        <w:t xml:space="preserve">is captured in the compliance assessment of AL </w:t>
      </w:r>
      <w:r w:rsidRPr="00535F37">
        <w:rPr>
          <w:rFonts w:ascii="Palatino Linotype" w:hAnsi="Palatino Linotype"/>
          <w:color w:val="000000" w:themeColor="text1"/>
        </w:rPr>
        <w:t>5196-</w:t>
      </w:r>
      <w:r>
        <w:rPr>
          <w:rFonts w:ascii="Palatino Linotype" w:hAnsi="Palatino Linotype"/>
        </w:rPr>
        <w:t xml:space="preserve">G with </w:t>
      </w:r>
      <w:hyperlink r:id="rId116" w:history="1">
        <w:r w:rsidRPr="06F49983">
          <w:rPr>
            <w:rStyle w:val="Hyperlink"/>
            <w:rFonts w:ascii="Palatino Linotype" w:hAnsi="Palatino Linotype"/>
          </w:rPr>
          <w:t>D.23-11-069</w:t>
        </w:r>
      </w:hyperlink>
      <w:r w:rsidRPr="06F49983">
        <w:rPr>
          <w:rFonts w:ascii="Palatino Linotype" w:hAnsi="Palatino Linotype"/>
        </w:rPr>
        <w:t xml:space="preserve"> at (2) and (4) </w:t>
      </w:r>
      <w:r>
        <w:rPr>
          <w:rFonts w:ascii="Palatino Linotype" w:hAnsi="Palatino Linotype"/>
        </w:rPr>
        <w:t>above.</w:t>
      </w:r>
    </w:p>
  </w:footnote>
  <w:footnote w:id="196">
    <w:p w14:paraId="421678E9" w14:textId="77777777" w:rsidR="00801EA4" w:rsidRPr="001A2FAB" w:rsidRDefault="00801EA4" w:rsidP="00801EA4">
      <w:pPr>
        <w:spacing w:after="0" w:line="240" w:lineRule="auto"/>
        <w:rPr>
          <w:rFonts w:ascii="Palatino Linotype" w:hAnsi="Palatino Linotype"/>
          <w:sz w:val="20"/>
          <w:szCs w:val="20"/>
        </w:rPr>
      </w:pPr>
      <w:r w:rsidRPr="001A2FAB">
        <w:rPr>
          <w:rStyle w:val="FootnoteReference"/>
          <w:sz w:val="20"/>
          <w:szCs w:val="20"/>
        </w:rPr>
        <w:footnoteRef/>
      </w:r>
      <w:r w:rsidRPr="001A2FAB">
        <w:rPr>
          <w:rStyle w:val="FootnoteReference"/>
          <w:sz w:val="20"/>
          <w:szCs w:val="20"/>
        </w:rPr>
        <w:t xml:space="preserve"> </w:t>
      </w:r>
      <w:r w:rsidRPr="00CC33B4">
        <w:rPr>
          <w:rFonts w:ascii="Palatino Linotype" w:hAnsi="Palatino Linotype"/>
          <w:sz w:val="20"/>
          <w:szCs w:val="20"/>
        </w:rPr>
        <w:t>California Public Utilities Code Section 740.1</w:t>
      </w:r>
      <w:r w:rsidRPr="00DE3CB6">
        <w:rPr>
          <w:rFonts w:ascii="Palatino Linotype" w:hAnsi="Palatino Linotype"/>
          <w:sz w:val="20"/>
          <w:szCs w:val="20"/>
        </w:rPr>
        <w:t xml:space="preserve"> at (a)</w:t>
      </w:r>
      <w:r>
        <w:rPr>
          <w:rFonts w:ascii="Palatino Linotype" w:hAnsi="Palatino Linotype"/>
          <w:sz w:val="20"/>
          <w:szCs w:val="20"/>
        </w:rPr>
        <w:t xml:space="preserve">. </w:t>
      </w:r>
    </w:p>
  </w:footnote>
  <w:footnote w:id="197">
    <w:p w14:paraId="7329688B" w14:textId="77777777" w:rsidR="00801EA4" w:rsidRDefault="00801EA4" w:rsidP="00801EA4">
      <w:pPr>
        <w:pStyle w:val="FootnoteText"/>
      </w:pPr>
      <w:r>
        <w:rPr>
          <w:rStyle w:val="FootnoteReference"/>
        </w:rPr>
        <w:footnoteRef/>
      </w:r>
      <w:r>
        <w:t xml:space="preserve"> </w:t>
      </w:r>
      <w:r w:rsidRPr="00CC33B4">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(b).</w:t>
      </w:r>
    </w:p>
  </w:footnote>
  <w:footnote w:id="198">
    <w:p w14:paraId="169C9DE6"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37.</w:t>
      </w:r>
    </w:p>
  </w:footnote>
  <w:footnote w:id="199">
    <w:p w14:paraId="11624EB5" w14:textId="77777777" w:rsidR="00801EA4" w:rsidRPr="008A4E30" w:rsidRDefault="00801EA4" w:rsidP="00801EA4">
      <w:pPr>
        <w:pStyle w:val="FootnoteText"/>
        <w:rPr>
          <w:color w:val="FF0000"/>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82. Consistent with </w:t>
      </w:r>
      <w:hyperlink r:id="rId117" w:tgtFrame="_blank" w:history="1">
        <w:r w:rsidRPr="00CB26EF">
          <w:rPr>
            <w:rStyle w:val="Hyperlink"/>
            <w:rFonts w:ascii="Palatino Linotype" w:hAnsi="Palatino Linotype" w:cs="Times New Roman"/>
            <w:bCs/>
          </w:rPr>
          <w:t>Resolution G-3586</w:t>
        </w:r>
        <w:r w:rsidRPr="00CB26EF">
          <w:rPr>
            <w:rStyle w:val="Hyperlink"/>
            <w:rFonts w:ascii="Times New Roman" w:hAnsi="Times New Roman" w:cs="Times New Roman"/>
            <w:bCs/>
          </w:rPr>
          <w:t> </w:t>
        </w:r>
      </w:hyperlink>
      <w:r w:rsidRPr="00CB26EF">
        <w:rPr>
          <w:rFonts w:ascii="Palatino Linotype" w:hAnsi="Palatino Linotype"/>
          <w:bCs/>
        </w:rPr>
        <w:t>(2022) at OP 5. “</w:t>
      </w:r>
      <w:r w:rsidRPr="00CB26EF">
        <w:rPr>
          <w:rFonts w:ascii="Palatino Linotype" w:hAnsi="Palatino Linotype"/>
          <w:bCs/>
          <w:color w:val="000000" w:themeColor="text1"/>
        </w:rPr>
        <w:t>Provide detail quantifying research funding allocations by research consortium, as well as project costs related to each consortium.”</w:t>
      </w:r>
      <w:r w:rsidRPr="0013476E">
        <w:rPr>
          <w:rFonts w:ascii="Palatino Linotype" w:hAnsi="Palatino Linotype"/>
          <w:bCs/>
          <w:i/>
          <w:iCs/>
          <w:color w:val="000000" w:themeColor="text1"/>
        </w:rPr>
        <w:t>  </w:t>
      </w:r>
    </w:p>
  </w:footnote>
  <w:footnote w:id="200">
    <w:p w14:paraId="03723A8B" w14:textId="77777777" w:rsidR="00801EA4" w:rsidRDefault="00801EA4" w:rsidP="00801EA4">
      <w:pPr>
        <w:pStyle w:val="FootnoteText"/>
        <w:rPr>
          <w:rFonts w:ascii="Palatino Linotype" w:hAnsi="Palatino Linotype"/>
          <w:bCs/>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82. </w:t>
      </w:r>
      <w:hyperlink r:id="rId118">
        <w:r>
          <w:rPr>
            <w:rStyle w:val="Hyperlink"/>
            <w:rFonts w:ascii="Palatino Linotype" w:hAnsi="Palatino Linotype"/>
          </w:rPr>
          <w:t>Resolution G-3601</w:t>
        </w:r>
      </w:hyperlink>
      <w:r w:rsidRPr="001002DE">
        <w:rPr>
          <w:rFonts w:ascii="Palatino Linotype" w:hAnsi="Palatino Linotype"/>
        </w:rPr>
        <w:t xml:space="preserve"> </w:t>
      </w:r>
      <w:r w:rsidRPr="00002CE8">
        <w:rPr>
          <w:rFonts w:ascii="Palatino Linotype" w:hAnsi="Palatino Linotype"/>
          <w:color w:val="000000" w:themeColor="text1"/>
        </w:rPr>
        <w:t>(2023)</w:t>
      </w:r>
      <w:r>
        <w:rPr>
          <w:rFonts w:ascii="Palatino Linotype" w:hAnsi="Palatino Linotype"/>
          <w:color w:val="000000" w:themeColor="text1"/>
        </w:rPr>
        <w:t xml:space="preserve"> </w:t>
      </w:r>
      <w:r w:rsidRPr="00002CE8">
        <w:rPr>
          <w:rFonts w:ascii="Palatino Linotype" w:hAnsi="Palatino Linotype"/>
          <w:color w:val="000000" w:themeColor="text1"/>
        </w:rPr>
        <w:t>a</w:t>
      </w:r>
      <w:r>
        <w:rPr>
          <w:rFonts w:ascii="Palatino Linotype" w:hAnsi="Palatino Linotype"/>
          <w:color w:val="000000" w:themeColor="text1"/>
        </w:rPr>
        <w:t>t</w:t>
      </w:r>
      <w:r>
        <w:rPr>
          <w:rFonts w:ascii="Palatino Linotype" w:hAnsi="Palatino Linotype"/>
          <w:bCs/>
          <w:color w:val="000000" w:themeColor="text1"/>
        </w:rPr>
        <w:t xml:space="preserve">: </w:t>
      </w:r>
    </w:p>
    <w:p w14:paraId="503C903B" w14:textId="77777777" w:rsidR="00801EA4" w:rsidRPr="00CB26EF" w:rsidRDefault="00801EA4" w:rsidP="00801EA4">
      <w:pPr>
        <w:pStyle w:val="FootnoteText"/>
        <w:ind w:left="720"/>
        <w:rPr>
          <w:rFonts w:ascii="Palatino Linotype" w:hAnsi="Palatino Linotype"/>
          <w:bCs/>
          <w:color w:val="000000" w:themeColor="text1"/>
        </w:rPr>
      </w:pPr>
      <w:r>
        <w:rPr>
          <w:rFonts w:ascii="Palatino Linotype" w:hAnsi="Palatino Linotype"/>
          <w:bCs/>
          <w:color w:val="000000" w:themeColor="text1"/>
        </w:rPr>
        <w:t xml:space="preserve">OP </w:t>
      </w:r>
      <w:r w:rsidRPr="00002CE8">
        <w:rPr>
          <w:rFonts w:ascii="Palatino Linotype" w:hAnsi="Palatino Linotype"/>
          <w:bCs/>
          <w:color w:val="000000" w:themeColor="text1"/>
        </w:rPr>
        <w:t>5</w:t>
      </w:r>
      <w:r w:rsidRPr="00CB26EF">
        <w:rPr>
          <w:rFonts w:ascii="Palatino Linotype" w:hAnsi="Palatino Linotype"/>
          <w:bCs/>
          <w:color w:val="000000" w:themeColor="text1"/>
        </w:rPr>
        <w:t>. “All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p w14:paraId="3E7607F1" w14:textId="77777777" w:rsidR="00801EA4" w:rsidRPr="00CB26EF" w:rsidRDefault="00801EA4" w:rsidP="00801EA4">
      <w:pPr>
        <w:pStyle w:val="FootnoteText"/>
        <w:ind w:left="720"/>
      </w:pPr>
      <w:r w:rsidRPr="00CB26EF">
        <w:rPr>
          <w:rFonts w:ascii="Palatino Linotype" w:hAnsi="Palatino Linotype"/>
          <w:bCs/>
          <w:color w:val="000000" w:themeColor="text1"/>
        </w:rPr>
        <w:t>OP 6. “In its 2024 Gas [RD&amp;D] Research Plan and beyond, Southern California Gas Company (SoCalGas) shall: b. Explicitly justify how all consortia dues benefit gas ratepayers.”</w:t>
      </w:r>
    </w:p>
  </w:footnote>
  <w:footnote w:id="201">
    <w:p w14:paraId="511B8097" w14:textId="77777777" w:rsidR="00801EA4" w:rsidRPr="007D32AC" w:rsidRDefault="00801EA4" w:rsidP="00801EA4">
      <w:pPr>
        <w:pStyle w:val="FootnoteText"/>
        <w:rPr>
          <w:rFonts w:ascii="Palatino Linotype" w:hAnsi="Palatino Linotype"/>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67. </w:t>
      </w:r>
      <w:r w:rsidRPr="00827A8D">
        <w:rPr>
          <w:rFonts w:ascii="Palatino Linotype" w:hAnsi="Palatino Linotype"/>
          <w:color w:val="000000" w:themeColor="text1"/>
          <w:szCs w:val="16"/>
        </w:rPr>
        <w:t xml:space="preserve">Consistent with </w:t>
      </w:r>
      <w:hyperlink r:id="rId119" w:history="1">
        <w:r w:rsidRPr="003F6DE3">
          <w:rPr>
            <w:rStyle w:val="Hyperlink"/>
            <w:rFonts w:ascii="Palatino Linotype" w:hAnsi="Palatino Linotype"/>
          </w:rPr>
          <w:t>D.15-04-020</w:t>
        </w:r>
      </w:hyperlink>
      <w:r w:rsidRPr="003F6DE3">
        <w:t xml:space="preserve"> </w:t>
      </w:r>
      <w:r w:rsidRPr="003F6DE3">
        <w:rPr>
          <w:rFonts w:ascii="Palatino Linotype" w:hAnsi="Palatino Linotype"/>
        </w:rPr>
        <w:t>at OP 16.</w:t>
      </w:r>
      <w:r>
        <w:rPr>
          <w:rFonts w:ascii="Palatino Linotype" w:hAnsi="Palatino Linotype"/>
        </w:rPr>
        <w:t xml:space="preserve"> “</w:t>
      </w:r>
      <w:r w:rsidRPr="007D32AC">
        <w:rPr>
          <w:rFonts w:ascii="Palatino Linotype" w:hAnsi="Palatino Linotype"/>
        </w:rPr>
        <w:t>Project management and oversight, research consortia membership fees, reporting, and internal coordination are all administrative activities and shall count towards the administrative caps</w:t>
      </w:r>
      <w:r>
        <w:rPr>
          <w:rFonts w:ascii="Palatino Linotype" w:hAnsi="Palatino Linotype"/>
        </w:rPr>
        <w:t>.”</w:t>
      </w:r>
    </w:p>
  </w:footnote>
  <w:footnote w:id="202">
    <w:p w14:paraId="27210B1B"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62-64.</w:t>
      </w:r>
    </w:p>
  </w:footnote>
  <w:footnote w:id="203">
    <w:p w14:paraId="39B3D40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 p. 3.</w:t>
      </w:r>
    </w:p>
  </w:footnote>
  <w:footnote w:id="204">
    <w:p w14:paraId="42D962B0"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5.</w:t>
      </w:r>
    </w:p>
  </w:footnote>
  <w:footnote w:id="205">
    <w:p w14:paraId="28ABCD7C"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35.</w:t>
      </w:r>
    </w:p>
  </w:footnote>
  <w:footnote w:id="206">
    <w:p w14:paraId="61F6D5D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w:t>
      </w:r>
    </w:p>
  </w:footnote>
  <w:footnote w:id="207">
    <w:p w14:paraId="5576004E" w14:textId="77777777" w:rsidR="00801EA4" w:rsidRPr="00CB26EF"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Appendix.</w:t>
      </w:r>
    </w:p>
  </w:footnote>
  <w:footnote w:id="208">
    <w:p w14:paraId="2AF68575"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PG&amp;E’s 2025 Gas RD&amp;D Report at p. 21.</w:t>
      </w:r>
    </w:p>
  </w:footnote>
  <w:footnote w:id="209">
    <w:p w14:paraId="4E6A9A2B" w14:textId="77777777" w:rsidR="00801EA4" w:rsidRPr="00083167" w:rsidRDefault="00801EA4" w:rsidP="00801EA4">
      <w:pPr>
        <w:spacing w:after="0" w:line="240" w:lineRule="auto"/>
        <w:rPr>
          <w:rFonts w:ascii="Palatino Linotype" w:hAnsi="Palatino Linotype"/>
          <w:sz w:val="20"/>
          <w:szCs w:val="20"/>
        </w:rPr>
      </w:pPr>
      <w:r>
        <w:rPr>
          <w:rStyle w:val="FootnoteReference"/>
        </w:rPr>
        <w:footnoteRef/>
      </w:r>
      <w:r>
        <w:t xml:space="preserve"> </w:t>
      </w:r>
      <w:hyperlink r:id="rId120" w:history="1">
        <w:r w:rsidRPr="003E61CE">
          <w:rPr>
            <w:rStyle w:val="Hyperlink"/>
            <w:rFonts w:ascii="Palatino Linotype" w:hAnsi="Palatino Linotype"/>
            <w:sz w:val="20"/>
            <w:szCs w:val="20"/>
          </w:rPr>
          <w:t>Resolution G-3601</w:t>
        </w:r>
      </w:hyperlink>
      <w:r w:rsidRPr="00F13481">
        <w:rPr>
          <w:rFonts w:ascii="Palatino Linotype" w:hAnsi="Palatino Linotype"/>
          <w:sz w:val="20"/>
          <w:szCs w:val="20"/>
        </w:rPr>
        <w:t xml:space="preserve"> (2023) at: OP 5. “All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footnote>
  <w:footnote w:id="210">
    <w:p w14:paraId="6AA93418" w14:textId="77777777" w:rsidR="00801EA4" w:rsidRPr="00885C42" w:rsidRDefault="00801EA4" w:rsidP="00801EA4">
      <w:pPr>
        <w:pStyle w:val="FootnoteText"/>
        <w:rPr>
          <w:rFonts w:ascii="Palatino Linotype" w:hAnsi="Palatino Linotype"/>
        </w:rPr>
      </w:pPr>
      <w:r>
        <w:rPr>
          <w:rStyle w:val="FootnoteReference"/>
        </w:rPr>
        <w:footnoteRef/>
      </w:r>
      <w:r>
        <w:t xml:space="preserve"> </w:t>
      </w:r>
      <w:r w:rsidRPr="00CC33B4">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d</w:t>
      </w:r>
      <w:r w:rsidRPr="00DE3CB6">
        <w:rPr>
          <w:rFonts w:ascii="Palatino Linotype" w:hAnsi="Palatino Linotype"/>
        </w:rPr>
        <w:t>)</w:t>
      </w:r>
      <w:r>
        <w:rPr>
          <w:rFonts w:ascii="Palatino Linotype" w:hAnsi="Palatino Linotype"/>
        </w:rPr>
        <w:t>.</w:t>
      </w:r>
      <w:r w:rsidRPr="001A2FAB">
        <w:rPr>
          <w:rFonts w:ascii="Palatino Linotype" w:hAnsi="Palatino Linotype"/>
        </w:rPr>
        <w:t xml:space="preserve"> </w:t>
      </w:r>
      <w:r w:rsidRPr="004E05C1">
        <w:rPr>
          <w:rFonts w:ascii="Palatino Linotype" w:hAnsi="Palatino Linotype"/>
        </w:rPr>
        <w:t>Consistent with</w:t>
      </w:r>
      <w:r>
        <w:rPr>
          <w:rFonts w:ascii="Palatino Linotype" w:hAnsi="Palatino Linotype"/>
        </w:rPr>
        <w:t>:</w:t>
      </w:r>
      <w:r w:rsidRPr="004E05C1">
        <w:rPr>
          <w:rFonts w:ascii="Palatino Linotype" w:hAnsi="Palatino Linotype"/>
        </w:rPr>
        <w:t xml:space="preserve"> </w:t>
      </w:r>
      <w:hyperlink r:id="rId121">
        <w:r w:rsidRPr="004E05C1">
          <w:rPr>
            <w:rStyle w:val="Hyperlink"/>
            <w:rFonts w:ascii="Palatino Linotype" w:hAnsi="Palatino Linotype"/>
          </w:rPr>
          <w:t>Resolution G-3603</w:t>
        </w:r>
      </w:hyperlink>
      <w:r w:rsidRPr="004E05C1">
        <w:rPr>
          <w:rFonts w:ascii="Palatino Linotype" w:hAnsi="Palatino Linotype"/>
        </w:rPr>
        <w:t xml:space="preserve"> </w:t>
      </w:r>
      <w:r w:rsidRPr="004E05C1">
        <w:rPr>
          <w:rFonts w:ascii="Palatino Linotype" w:hAnsi="Palatino Linotype"/>
          <w:color w:val="000000" w:themeColor="text1"/>
        </w:rPr>
        <w:t>(2024) at OP 4</w:t>
      </w:r>
      <w:r>
        <w:rPr>
          <w:rFonts w:ascii="Palatino Linotype" w:hAnsi="Palatino Linotype"/>
          <w:color w:val="000000" w:themeColor="text1"/>
        </w:rPr>
        <w:t xml:space="preserve"> &amp; </w:t>
      </w:r>
      <w:hyperlink r:id="rId122" w:history="1">
        <w:r w:rsidRPr="002E4238">
          <w:rPr>
            <w:rStyle w:val="Hyperlink"/>
            <w:rFonts w:ascii="Palatino Linotype" w:hAnsi="Palatino Linotype"/>
          </w:rPr>
          <w:t>D.24-12-074</w:t>
        </w:r>
      </w:hyperlink>
      <w:r>
        <w:rPr>
          <w:rFonts w:ascii="Palatino Linotype" w:hAnsi="Palatino Linotype"/>
          <w:color w:val="000000" w:themeColor="text1"/>
        </w:rPr>
        <w:t xml:space="preserve"> at p. </w:t>
      </w:r>
      <w:r w:rsidRPr="00ED4893">
        <w:rPr>
          <w:rFonts w:ascii="Palatino Linotype" w:hAnsi="Palatino Linotype"/>
          <w:color w:val="000000" w:themeColor="text1"/>
        </w:rPr>
        <w:t>3</w:t>
      </w:r>
      <w:r>
        <w:rPr>
          <w:rFonts w:ascii="Palatino Linotype" w:hAnsi="Palatino Linotype"/>
          <w:color w:val="000000" w:themeColor="text1"/>
        </w:rPr>
        <w:t>27</w:t>
      </w:r>
      <w:r w:rsidRPr="00ED4893">
        <w:rPr>
          <w:rFonts w:ascii="Palatino Linotype" w:hAnsi="Palatino Linotype"/>
          <w:color w:val="000000" w:themeColor="text1"/>
        </w:rPr>
        <w:t>.</w:t>
      </w:r>
    </w:p>
  </w:footnote>
  <w:footnote w:id="211">
    <w:p w14:paraId="784059B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15-17.</w:t>
      </w:r>
    </w:p>
  </w:footnote>
  <w:footnote w:id="212">
    <w:p w14:paraId="57BE3830"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 75, &amp; 81.</w:t>
      </w:r>
    </w:p>
  </w:footnote>
  <w:footnote w:id="213">
    <w:p w14:paraId="377E758F"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 75, &amp; 81.</w:t>
      </w:r>
    </w:p>
  </w:footnote>
  <w:footnote w:id="214">
    <w:p w14:paraId="0970CCEA"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w:t>
      </w:r>
    </w:p>
  </w:footnote>
  <w:footnote w:id="215">
    <w:p w14:paraId="4771D7F1"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75.</w:t>
      </w:r>
    </w:p>
  </w:footnote>
  <w:footnote w:id="216">
    <w:p w14:paraId="75761575"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75.</w:t>
      </w:r>
    </w:p>
  </w:footnote>
  <w:footnote w:id="217">
    <w:p w14:paraId="4E2232B2"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78.</w:t>
      </w:r>
    </w:p>
  </w:footnote>
  <w:footnote w:id="218">
    <w:p w14:paraId="10FFC6FC"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79.</w:t>
      </w:r>
    </w:p>
  </w:footnote>
  <w:footnote w:id="219">
    <w:p w14:paraId="3F816FBD"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79.</w:t>
      </w:r>
    </w:p>
  </w:footnote>
  <w:footnote w:id="220">
    <w:p w14:paraId="63A8765B"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California Public Utilities Code Section 740.1 at (e).</w:t>
      </w:r>
    </w:p>
  </w:footnote>
  <w:footnote w:id="221">
    <w:p w14:paraId="50D172F3"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29.</w:t>
      </w:r>
    </w:p>
  </w:footnote>
  <w:footnote w:id="222">
    <w:p w14:paraId="0E33B1B7" w14:textId="77777777" w:rsidR="00801EA4" w:rsidRPr="0036670F" w:rsidRDefault="00801EA4" w:rsidP="00801EA4">
      <w:pPr>
        <w:pStyle w:val="FootnoteText"/>
        <w:rPr>
          <w:color w:val="FF0000"/>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66, 68, &amp; 76.</w:t>
      </w:r>
    </w:p>
  </w:footnote>
  <w:footnote w:id="223">
    <w:p w14:paraId="067D34DA" w14:textId="77777777" w:rsidR="00F84F28" w:rsidRPr="00EC7D00" w:rsidRDefault="00F84F28" w:rsidP="00F84F28">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123"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224">
    <w:p w14:paraId="0C6138B6" w14:textId="77777777" w:rsidR="00F84F28" w:rsidRDefault="00F84F28" w:rsidP="00F84F28">
      <w:pPr>
        <w:pStyle w:val="FootnoteText"/>
      </w:pPr>
      <w:r>
        <w:rPr>
          <w:rStyle w:val="FootnoteReference"/>
        </w:rPr>
        <w:footnoteRef/>
      </w:r>
      <w:r>
        <w:t xml:space="preserve"> </w:t>
      </w:r>
      <w:hyperlink r:id="rId12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225">
    <w:p w14:paraId="08C9435C"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74.</w:t>
      </w:r>
    </w:p>
  </w:footnote>
  <w:footnote w:id="226">
    <w:p w14:paraId="2C29DE77" w14:textId="77777777" w:rsidR="00F84F28" w:rsidRPr="008A4E30" w:rsidRDefault="00F84F28" w:rsidP="00F84F28">
      <w:pPr>
        <w:pStyle w:val="FootnoteText"/>
        <w:rPr>
          <w:rFonts w:ascii="Palatino Linotype" w:hAnsi="Palatino Linotype"/>
          <w:color w:val="FF0000"/>
        </w:rPr>
      </w:pPr>
      <w:r w:rsidRPr="00342620">
        <w:rPr>
          <w:rStyle w:val="FootnoteReference"/>
          <w:color w:val="000000" w:themeColor="text1"/>
        </w:rPr>
        <w:footnoteRef/>
      </w:r>
      <w:r w:rsidRPr="00342620">
        <w:rPr>
          <w:color w:val="000000" w:themeColor="text1"/>
        </w:rPr>
        <w:t xml:space="preserve"> </w:t>
      </w:r>
      <w:hyperlink r:id="rId125"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p. 218. Consistent with </w:t>
      </w:r>
      <w:hyperlink r:id="rId126" w:history="1">
        <w:r w:rsidRPr="00342620">
          <w:rPr>
            <w:rStyle w:val="Hyperlink"/>
            <w:rFonts w:ascii="Palatino Linotype" w:hAnsi="Palatino Linotype"/>
          </w:rPr>
          <w:t>D.19-09-051</w:t>
        </w:r>
      </w:hyperlink>
      <w:r w:rsidRPr="00342620">
        <w:rPr>
          <w:rFonts w:ascii="Palatino Linotype" w:hAnsi="Palatino Linotype"/>
          <w:color w:val="000000" w:themeColor="text1"/>
        </w:rPr>
        <w:t xml:space="preserve"> at p. 379.</w:t>
      </w:r>
    </w:p>
  </w:footnote>
  <w:footnote w:id="227">
    <w:p w14:paraId="5D483DF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74, 77, &amp; 84.</w:t>
      </w:r>
    </w:p>
  </w:footnote>
  <w:footnote w:id="228">
    <w:p w14:paraId="377F0D0B"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43-47.</w:t>
      </w:r>
    </w:p>
  </w:footnote>
  <w:footnote w:id="229">
    <w:p w14:paraId="20243BAF"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79-80; 82-83; &amp; 86-87.</w:t>
      </w:r>
    </w:p>
  </w:footnote>
  <w:footnote w:id="230">
    <w:p w14:paraId="2912768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17.</w:t>
      </w:r>
    </w:p>
  </w:footnote>
  <w:footnote w:id="231">
    <w:p w14:paraId="4458E2BE"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18-32.</w:t>
      </w:r>
    </w:p>
  </w:footnote>
  <w:footnote w:id="232">
    <w:p w14:paraId="20FF6F7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 11; 18; &amp; 33-39.</w:t>
      </w:r>
    </w:p>
  </w:footnote>
  <w:footnote w:id="233">
    <w:p w14:paraId="0264C76F" w14:textId="77777777" w:rsidR="00F84F28" w:rsidRPr="00913AE4" w:rsidRDefault="00F84F28" w:rsidP="00F84F28">
      <w:pPr>
        <w:pStyle w:val="FootnoteText"/>
        <w:rPr>
          <w:rFonts w:ascii="Palatino Linotype" w:hAnsi="Palatino Linotype"/>
          <w:color w:val="000000" w:themeColor="text1"/>
        </w:rPr>
      </w:pPr>
      <w:r w:rsidRPr="00913AE4">
        <w:rPr>
          <w:rStyle w:val="FootnoteReference"/>
          <w:color w:val="000000" w:themeColor="text1"/>
        </w:rPr>
        <w:footnoteRef/>
      </w:r>
      <w:r w:rsidRPr="00913AE4">
        <w:rPr>
          <w:color w:val="000000" w:themeColor="text1"/>
        </w:rPr>
        <w:t xml:space="preserve"> </w:t>
      </w:r>
      <w:hyperlink r:id="rId127" w:history="1">
        <w:r w:rsidRPr="00913AE4">
          <w:rPr>
            <w:rStyle w:val="Hyperlink"/>
            <w:rFonts w:ascii="Palatino Linotype" w:hAnsi="Palatino Linotype"/>
            <w:color w:val="000000" w:themeColor="text1"/>
          </w:rPr>
          <w:t>D.23-11-069</w:t>
        </w:r>
      </w:hyperlink>
      <w:r w:rsidRPr="00913AE4">
        <w:rPr>
          <w:color w:val="000000" w:themeColor="text1"/>
        </w:rPr>
        <w:t xml:space="preserve"> </w:t>
      </w:r>
      <w:r w:rsidRPr="00913AE4">
        <w:rPr>
          <w:rFonts w:ascii="Palatino Linotype" w:hAnsi="Palatino Linotype"/>
          <w:color w:val="000000" w:themeColor="text1"/>
        </w:rPr>
        <w:t xml:space="preserve">at p. 218-219. Consistent with </w:t>
      </w:r>
      <w:hyperlink r:id="rId128" w:tgtFrame="_blank" w:history="1">
        <w:r w:rsidRPr="00913AE4">
          <w:rPr>
            <w:rStyle w:val="Hyperlink"/>
            <w:rFonts w:ascii="Palatino Linotype" w:hAnsi="Palatino Linotype" w:cs="Times New Roman"/>
            <w:bCs/>
            <w:color w:val="000000" w:themeColor="text1"/>
          </w:rPr>
          <w:t>Resolution G-3586</w:t>
        </w:r>
        <w:r w:rsidRPr="00913AE4">
          <w:rPr>
            <w:rStyle w:val="Hyperlink"/>
            <w:rFonts w:ascii="Times New Roman" w:hAnsi="Times New Roman" w:cs="Times New Roman"/>
            <w:bCs/>
            <w:color w:val="000000" w:themeColor="text1"/>
          </w:rPr>
          <w:t> </w:t>
        </w:r>
      </w:hyperlink>
      <w:r w:rsidRPr="00913AE4">
        <w:rPr>
          <w:rFonts w:ascii="Palatino Linotype" w:hAnsi="Palatino Linotype"/>
          <w:bCs/>
          <w:color w:val="000000" w:themeColor="text1"/>
        </w:rPr>
        <w:t>(2022) at OP 5.</w:t>
      </w:r>
    </w:p>
  </w:footnote>
  <w:footnote w:id="234">
    <w:p w14:paraId="6F43A99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43-47 &amp; 66-68.</w:t>
      </w:r>
    </w:p>
  </w:footnote>
  <w:footnote w:id="235">
    <w:p w14:paraId="11CCFB05"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79; 82-83; &amp; 86-87.</w:t>
      </w:r>
    </w:p>
  </w:footnote>
  <w:footnote w:id="236">
    <w:p w14:paraId="7FC6A30A"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48.</w:t>
      </w:r>
    </w:p>
  </w:footnote>
  <w:footnote w:id="237">
    <w:p w14:paraId="0269A7A1"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48-62.</w:t>
      </w:r>
    </w:p>
  </w:footnote>
  <w:footnote w:id="238">
    <w:p w14:paraId="2A507BAB"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65.</w:t>
      </w:r>
    </w:p>
  </w:footnote>
  <w:footnote w:id="239">
    <w:p w14:paraId="6CA52118"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67.</w:t>
      </w:r>
    </w:p>
  </w:footnote>
  <w:footnote w:id="240">
    <w:p w14:paraId="15F37BA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Appendix D: PG&amp;E Gas RD&amp;D Research Roadmap for Gas Decommissioning in Support of Zonal Electrification Braided Decision-Support Opportunities Aligned to Roles, Handoffs, And Analytical Boundaries at p. 117.</w:t>
      </w:r>
    </w:p>
  </w:footnote>
  <w:footnote w:id="241">
    <w:p w14:paraId="38DA5DC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Appendix D at p</w:t>
      </w:r>
      <w:r w:rsidRPr="00D43177">
        <w:rPr>
          <w:rFonts w:ascii="Palatino Linotype" w:hAnsi="Palatino Linotype"/>
          <w:color w:val="000000" w:themeColor="text1"/>
          <w:szCs w:val="16"/>
        </w:rPr>
        <w:t>. 117-118; 122-123; &amp; 126-127.</w:t>
      </w:r>
    </w:p>
  </w:footnote>
  <w:footnote w:id="242">
    <w:p w14:paraId="2C4D4F8D"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Required by California Public Utilities Code Section 740.1 at (a).</w:t>
      </w:r>
    </w:p>
  </w:footnote>
  <w:footnote w:id="243">
    <w:p w14:paraId="2CF1920A" w14:textId="77777777" w:rsidR="00F84F28" w:rsidRDefault="00F84F28" w:rsidP="00F84F28">
      <w:pPr>
        <w:pStyle w:val="FootnoteText"/>
      </w:pPr>
      <w:r>
        <w:rPr>
          <w:rStyle w:val="FootnoteReference"/>
        </w:rPr>
        <w:footnoteRef/>
      </w:r>
      <w:r>
        <w:t xml:space="preserve"> </w:t>
      </w:r>
      <w:hyperlink r:id="rId129" w:tgtFrame="_blank" w:history="1">
        <w:r>
          <w:rPr>
            <w:rStyle w:val="normaltextrun"/>
            <w:rFonts w:ascii="Palatino Linotype" w:hAnsi="Palatino Linotype" w:cs="Segoe UI"/>
            <w:color w:val="467886"/>
            <w:u w:val="single"/>
            <w:shd w:val="clear" w:color="auto" w:fill="FFFFFF"/>
          </w:rPr>
          <w:t>D.23-04-042</w:t>
        </w:r>
      </w:hyperlink>
      <w:r>
        <w:rPr>
          <w:rStyle w:val="normaltextrun"/>
          <w:rFonts w:ascii="Palatino Linotype" w:hAnsi="Palatino Linotype"/>
          <w:color w:val="000000"/>
          <w:shd w:val="clear" w:color="auto" w:fill="FFFFFF"/>
        </w:rPr>
        <w:t> at Appendix A. Consistent with </w:t>
      </w:r>
      <w:hyperlink r:id="rId130" w:tgtFrame="_blank" w:history="1">
        <w:r>
          <w:rPr>
            <w:rStyle w:val="normaltextrun"/>
            <w:rFonts w:ascii="Palatino Linotype" w:hAnsi="Palatino Linotype" w:cs="Segoe UI"/>
            <w:color w:val="467886"/>
            <w:u w:val="single"/>
            <w:shd w:val="clear" w:color="auto" w:fill="FFFFFF"/>
          </w:rPr>
          <w:t>Resolution G-3603</w:t>
        </w:r>
      </w:hyperlink>
      <w:r>
        <w:rPr>
          <w:rStyle w:val="normaltextrun"/>
          <w:rFonts w:ascii="Palatino Linotype" w:hAnsi="Palatino Linotype"/>
          <w:color w:val="000000"/>
          <w:shd w:val="clear" w:color="auto" w:fill="FFFFFF"/>
        </w:rPr>
        <w:t> (2024) at OP 6: “Once the [EPIC] program’s Uniform Impact Analysis framework is approved by the Commission, the California Energy Commission shall use this framework to demonstrate outcomes of achieving its proposed benefits for all current and future research projects including through quantitative methodologies.”</w:t>
      </w:r>
    </w:p>
  </w:footnote>
  <w:footnote w:id="244">
    <w:p w14:paraId="4A7C5DDA" w14:textId="7A23BAE7" w:rsidR="00F84F28" w:rsidRPr="004F3255" w:rsidRDefault="00F84F28" w:rsidP="00F84F28">
      <w:pPr>
        <w:pStyle w:val="FootnoteText"/>
        <w:rPr>
          <w:rFonts w:ascii="Palatino Linotype" w:hAnsi="Palatino Linotype"/>
          <w:bCs/>
        </w:rPr>
      </w:pPr>
      <w:r>
        <w:rPr>
          <w:rStyle w:val="FootnoteReference"/>
        </w:rPr>
        <w:footnoteRef/>
      </w:r>
      <w:r>
        <w:t xml:space="preserve"> </w:t>
      </w:r>
      <w:hyperlink r:id="rId13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r w:rsidRPr="003816F2">
        <w:rPr>
          <w:rFonts w:ascii="Palatino Linotype" w:hAnsi="Palatino Linotype"/>
          <w:color w:val="000000" w:themeColor="text1"/>
        </w:rPr>
        <w:t xml:space="preserve">. See </w:t>
      </w:r>
      <w:r w:rsidRPr="003816F2">
        <w:rPr>
          <w:rFonts w:ascii="Palatino Linotype" w:hAnsi="Palatino Linotype"/>
          <w:color w:val="000000" w:themeColor="text1"/>
          <w:szCs w:val="12"/>
        </w:rPr>
        <w:t xml:space="preserve">Resolution </w:t>
      </w:r>
      <w:r w:rsidR="009A7A3C" w:rsidRPr="00C464D7">
        <w:rPr>
          <w:rFonts w:ascii="Palatino Linotype" w:hAnsi="Palatino Linotype" w:cs="Times New Roman"/>
        </w:rPr>
        <w:t xml:space="preserve">G-3623 </w:t>
      </w:r>
      <w:r w:rsidRPr="003816F2">
        <w:rPr>
          <w:rFonts w:ascii="Palatino Linotype" w:hAnsi="Palatino Linotype"/>
          <w:color w:val="000000" w:themeColor="text1"/>
          <w:szCs w:val="12"/>
        </w:rPr>
        <w:t>at</w:t>
      </w:r>
      <w:r w:rsidRPr="003816F2">
        <w:rPr>
          <w:rFonts w:ascii="Palatino Linotype" w:hAnsi="Palatino Linotype"/>
          <w:color w:val="000000" w:themeColor="text1"/>
        </w:rPr>
        <w:t xml:space="preserve"> Appendix B: Administrative Budget Cost Categories.</w:t>
      </w:r>
      <w:r w:rsidRPr="003816F2">
        <w:rPr>
          <w:rFonts w:ascii="Palatino Linotype" w:hAnsi="Palatino Linotype"/>
          <w:bCs/>
          <w:color w:val="000000" w:themeColor="text1"/>
        </w:rPr>
        <w:t xml:space="preserve"> </w:t>
      </w:r>
    </w:p>
  </w:footnote>
  <w:footnote w:id="245">
    <w:p w14:paraId="20295455"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74.</w:t>
      </w:r>
    </w:p>
  </w:footnote>
  <w:footnote w:id="246">
    <w:p w14:paraId="6C94F613"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75.</w:t>
      </w:r>
    </w:p>
  </w:footnote>
  <w:footnote w:id="247">
    <w:p w14:paraId="29B135C2"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 xml:space="preserve">AL 5196-G Attachment B Appendix </w:t>
      </w:r>
      <w:proofErr w:type="spellStart"/>
      <w:r w:rsidRPr="00913AE4">
        <w:rPr>
          <w:rFonts w:ascii="Palatino Linotype" w:hAnsi="Palatino Linotype"/>
          <w:color w:val="000000" w:themeColor="text1"/>
          <w:szCs w:val="16"/>
        </w:rPr>
        <w:t>C at</w:t>
      </w:r>
      <w:proofErr w:type="spellEnd"/>
      <w:r w:rsidRPr="00913AE4">
        <w:rPr>
          <w:rFonts w:ascii="Palatino Linotype" w:hAnsi="Palatino Linotype"/>
          <w:color w:val="000000" w:themeColor="text1"/>
          <w:szCs w:val="16"/>
        </w:rPr>
        <w:t xml:space="preserve"> p. 5.</w:t>
      </w:r>
    </w:p>
  </w:footnote>
  <w:footnote w:id="248">
    <w:p w14:paraId="0E681AE3" w14:textId="4140C1FD"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G-3623</w:t>
      </w:r>
      <w:r w:rsidRPr="00913AE4">
        <w:rPr>
          <w:rFonts w:ascii="Palatino Linotype" w:hAnsi="Palatino Linotype"/>
          <w:color w:val="000000" w:themeColor="text1"/>
        </w:rPr>
        <w:t xml:space="preserve"> at Appendix B: Administrative Budget Cost Categories.</w:t>
      </w:r>
    </w:p>
  </w:footnote>
  <w:footnote w:id="249">
    <w:p w14:paraId="4ADC2DE9" w14:textId="77777777" w:rsidR="00F84F28" w:rsidRDefault="00F84F28" w:rsidP="00F84F28">
      <w:pPr>
        <w:pStyle w:val="FootnoteText"/>
      </w:pPr>
      <w:r>
        <w:rPr>
          <w:rStyle w:val="FootnoteReference"/>
        </w:rPr>
        <w:footnoteRef/>
      </w:r>
      <w:r>
        <w:t xml:space="preserve"> </w:t>
      </w:r>
      <w:hyperlink r:id="rId13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219-220. Reference to </w:t>
      </w:r>
      <w:hyperlink r:id="rId133" w:tgtFrame="_blank" w:history="1">
        <w:r w:rsidRPr="00E2662A">
          <w:rPr>
            <w:rStyle w:val="Hyperlink"/>
            <w:rFonts w:ascii="Palatino Linotype" w:hAnsi="Palatino Linotype" w:cs="Times New Roman"/>
            <w:bCs/>
          </w:rPr>
          <w:t>Resolution G-3586</w:t>
        </w:r>
        <w:r w:rsidRPr="00E2662A">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xml:space="preserve"> at p. 20-21. </w:t>
      </w:r>
      <w:r w:rsidRPr="004A58ED">
        <w:rPr>
          <w:rFonts w:ascii="Palatino Linotype" w:hAnsi="Palatino Linotype"/>
          <w:bCs/>
        </w:rPr>
        <w:t>“</w:t>
      </w:r>
      <w:r w:rsidRPr="004A58ED">
        <w:rPr>
          <w:rFonts w:ascii="Palatino Linotype" w:hAnsi="Palatino Linotype" w:cs="Segoe UI"/>
          <w:bCs/>
          <w:kern w:val="0"/>
          <w:sz w:val="18"/>
          <w:szCs w:val="18"/>
          <w14:ligatures w14:val="none"/>
        </w:rPr>
        <w:t>I</w:t>
      </w:r>
      <w:r w:rsidRPr="004A58ED">
        <w:rPr>
          <w:rFonts w:ascii="Palatino Linotype" w:hAnsi="Palatino Linotype"/>
          <w:bCs/>
        </w:rPr>
        <w:t>n future Plans, SoCalGas should align its RD&amp;D investments with evolving state energy policies.”</w:t>
      </w:r>
    </w:p>
  </w:footnote>
  <w:footnote w:id="250">
    <w:p w14:paraId="7BDA2D5D" w14:textId="77777777" w:rsidR="00F84F28" w:rsidRPr="008A4E30" w:rsidRDefault="00F84F28" w:rsidP="00F84F28">
      <w:pPr>
        <w:pStyle w:val="FootnoteText"/>
        <w:rPr>
          <w:color w:val="FF0000"/>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69-70.</w:t>
      </w:r>
    </w:p>
  </w:footnote>
  <w:footnote w:id="251">
    <w:p w14:paraId="7C0B544C" w14:textId="77777777" w:rsidR="00F84F28" w:rsidRPr="008A4E30" w:rsidRDefault="00F84F28" w:rsidP="00F84F28">
      <w:pPr>
        <w:pStyle w:val="FootnoteText"/>
        <w:rPr>
          <w:color w:val="FF0000"/>
        </w:rPr>
      </w:pPr>
      <w:r w:rsidRPr="008A4E30">
        <w:rPr>
          <w:rStyle w:val="FootnoteReference"/>
          <w:color w:val="000000" w:themeColor="text1"/>
        </w:rPr>
        <w:footnoteRef/>
      </w:r>
      <w:r w:rsidRPr="008A4E30">
        <w:rPr>
          <w:color w:val="000000" w:themeColor="text1"/>
        </w:rPr>
        <w:t xml:space="preserve"> </w:t>
      </w:r>
      <w:hyperlink r:id="rId134" w:history="1">
        <w:r w:rsidRPr="008A4E30">
          <w:rPr>
            <w:rStyle w:val="Hyperlink"/>
            <w:rFonts w:ascii="Palatino Linotype" w:eastAsia="Palatino Linotype" w:hAnsi="Palatino Linotype" w:cs="Times New Roman"/>
          </w:rPr>
          <w:t>D.23-11-069</w:t>
        </w:r>
      </w:hyperlink>
      <w:r w:rsidRPr="008A4E30">
        <w:rPr>
          <w:color w:val="000000" w:themeColor="text1"/>
        </w:rPr>
        <w:t xml:space="preserve"> </w:t>
      </w:r>
      <w:r w:rsidRPr="008A4E30">
        <w:rPr>
          <w:rFonts w:ascii="Palatino Linotype" w:hAnsi="Palatino Linotype"/>
          <w:color w:val="000000" w:themeColor="text1"/>
        </w:rPr>
        <w:t xml:space="preserve">at p. 220. </w:t>
      </w:r>
    </w:p>
  </w:footnote>
  <w:footnote w:id="252">
    <w:p w14:paraId="59ADF034"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13.</w:t>
      </w:r>
    </w:p>
  </w:footnote>
  <w:footnote w:id="253">
    <w:p w14:paraId="00E4D9D4"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71-73.</w:t>
      </w:r>
    </w:p>
  </w:footnote>
  <w:footnote w:id="254">
    <w:p w14:paraId="668552CF"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16.</w:t>
      </w:r>
    </w:p>
  </w:footnote>
  <w:footnote w:id="255">
    <w:p w14:paraId="23C6C344"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17.</w:t>
      </w:r>
    </w:p>
  </w:footnote>
  <w:footnote w:id="256">
    <w:p w14:paraId="1B3DD482"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Appendix E.</w:t>
      </w:r>
    </w:p>
  </w:footnote>
  <w:footnote w:id="257">
    <w:p w14:paraId="2E0E39AC" w14:textId="77777777" w:rsidR="00F84F28" w:rsidRPr="004A58ED" w:rsidRDefault="00F84F28" w:rsidP="00F84F28">
      <w:pPr>
        <w:pStyle w:val="FootnoteText"/>
        <w:rPr>
          <w:rFonts w:ascii="Palatino Linotype" w:hAnsi="Palatino Linotype"/>
          <w:color w:val="000000" w:themeColor="text1"/>
        </w:rPr>
      </w:pPr>
      <w:r>
        <w:rPr>
          <w:rStyle w:val="FootnoteReference"/>
        </w:rPr>
        <w:footnoteRef/>
      </w:r>
      <w:r>
        <w:t xml:space="preserve"> </w:t>
      </w:r>
      <w:hyperlink r:id="rId13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36" w:history="1">
        <w:r w:rsidRPr="00ED4893">
          <w:rPr>
            <w:rStyle w:val="Hyperlink"/>
            <w:rFonts w:ascii="Palatino Linotype" w:hAnsi="Palatino Linotype"/>
          </w:rPr>
          <w:t>D.19-09-051</w:t>
        </w:r>
      </w:hyperlink>
      <w:r>
        <w:rPr>
          <w:rFonts w:ascii="Palatino Linotype" w:hAnsi="Palatino Linotype"/>
          <w:color w:val="000000" w:themeColor="text1"/>
        </w:rPr>
        <w:t>.</w:t>
      </w:r>
    </w:p>
  </w:footnote>
  <w:footnote w:id="258">
    <w:p w14:paraId="72C74908" w14:textId="77777777" w:rsidR="00F84F28" w:rsidRPr="00561527" w:rsidRDefault="00F84F28" w:rsidP="00F84F28">
      <w:pPr>
        <w:pStyle w:val="FootnoteText"/>
        <w:rPr>
          <w:color w:val="EE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18-32.</w:t>
      </w:r>
    </w:p>
  </w:footnote>
  <w:footnote w:id="259">
    <w:p w14:paraId="6249B808" w14:textId="77777777" w:rsidR="00F84F28" w:rsidRDefault="00F84F28" w:rsidP="00F84F28">
      <w:pPr>
        <w:pStyle w:val="FootnoteText"/>
      </w:pPr>
      <w:r>
        <w:rPr>
          <w:rStyle w:val="FootnoteReference"/>
        </w:rPr>
        <w:footnoteRef/>
      </w:r>
      <w:r>
        <w:t xml:space="preserve"> </w:t>
      </w:r>
      <w:hyperlink r:id="rId13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w:t>
      </w:r>
    </w:p>
  </w:footnote>
  <w:footnote w:id="260">
    <w:p w14:paraId="4125FC20" w14:textId="77777777" w:rsidR="00F84F28" w:rsidRDefault="00F84F28" w:rsidP="00F84F28">
      <w:pPr>
        <w:pStyle w:val="FootnoteText"/>
      </w:pPr>
      <w:r>
        <w:rPr>
          <w:rStyle w:val="FootnoteReference"/>
        </w:rPr>
        <w:footnoteRef/>
      </w:r>
      <w:r>
        <w:t xml:space="preserve"> </w:t>
      </w:r>
      <w:hyperlink r:id="rId138"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 </w:t>
      </w:r>
      <w:r w:rsidRPr="00C029EB">
        <w:rPr>
          <w:rFonts w:ascii="Palatino Linotype" w:eastAsia="Palatino Linotype" w:hAnsi="Palatino Linotype" w:cs="Times New Roman"/>
          <w:color w:val="000000" w:themeColor="text1"/>
        </w:rPr>
        <w:t>62-147.</w:t>
      </w:r>
    </w:p>
  </w:footnote>
  <w:footnote w:id="261">
    <w:p w14:paraId="69461CB5" w14:textId="77777777" w:rsidR="00F84F28" w:rsidRDefault="00F84F28" w:rsidP="00F84F28">
      <w:pPr>
        <w:pStyle w:val="FootnoteText"/>
      </w:pPr>
      <w:r>
        <w:rPr>
          <w:rStyle w:val="FootnoteReference"/>
        </w:rPr>
        <w:footnoteRef/>
      </w:r>
      <w:r>
        <w:t xml:space="preserve"> </w:t>
      </w:r>
      <w:hyperlink r:id="rId139"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16.</w:t>
      </w:r>
    </w:p>
  </w:footnote>
  <w:footnote w:id="262">
    <w:p w14:paraId="41C837BA" w14:textId="77777777" w:rsidR="00F84F28" w:rsidRDefault="00F84F28" w:rsidP="00F84F28">
      <w:pPr>
        <w:pStyle w:val="FootnoteText"/>
      </w:pPr>
      <w:r>
        <w:rPr>
          <w:rStyle w:val="FootnoteReference"/>
        </w:rPr>
        <w:footnoteRef/>
      </w:r>
      <w:r>
        <w:t xml:space="preserve"> </w:t>
      </w:r>
      <w:hyperlink r:id="rId140"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20.</w:t>
      </w:r>
    </w:p>
  </w:footnote>
  <w:footnote w:id="263">
    <w:p w14:paraId="390EAA98" w14:textId="77777777" w:rsidR="00F84F28" w:rsidRDefault="00F84F28" w:rsidP="00F84F28">
      <w:pPr>
        <w:pStyle w:val="FootnoteText"/>
      </w:pPr>
      <w:r>
        <w:rPr>
          <w:rStyle w:val="FootnoteReference"/>
        </w:rPr>
        <w:footnoteRef/>
      </w:r>
      <w:r>
        <w:t xml:space="preserve"> </w:t>
      </w:r>
      <w:hyperlink r:id="rId141"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34-37.</w:t>
      </w:r>
    </w:p>
  </w:footnote>
  <w:footnote w:id="264">
    <w:p w14:paraId="02B362C3" w14:textId="77777777" w:rsidR="00F84F28" w:rsidRDefault="00F84F28" w:rsidP="00F84F28">
      <w:pPr>
        <w:pStyle w:val="FootnoteText"/>
      </w:pPr>
      <w:r>
        <w:rPr>
          <w:rStyle w:val="FootnoteReference"/>
        </w:rPr>
        <w:footnoteRef/>
      </w:r>
      <w:r>
        <w:t xml:space="preserve"> </w:t>
      </w:r>
      <w:hyperlink r:id="rId142"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39-52.</w:t>
      </w:r>
    </w:p>
  </w:footnote>
  <w:footnote w:id="265">
    <w:p w14:paraId="36E088A4" w14:textId="77777777" w:rsidR="00F84F28" w:rsidRDefault="00F84F28" w:rsidP="00F84F28">
      <w:pPr>
        <w:pStyle w:val="FootnoteText"/>
      </w:pPr>
      <w:r>
        <w:rPr>
          <w:rStyle w:val="FootnoteReference"/>
        </w:rPr>
        <w:footnoteRef/>
      </w:r>
      <w:r>
        <w:t xml:space="preserve"> </w:t>
      </w:r>
      <w:hyperlink r:id="rId143"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17.</w:t>
      </w:r>
    </w:p>
  </w:footnote>
  <w:footnote w:id="266">
    <w:p w14:paraId="5EE6BF17"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75.</w:t>
      </w:r>
    </w:p>
  </w:footnote>
  <w:footnote w:id="267">
    <w:p w14:paraId="553DB916" w14:textId="77777777" w:rsidR="00F84F28" w:rsidRDefault="00F84F28" w:rsidP="00F84F28">
      <w:pPr>
        <w:pStyle w:val="FootnoteText"/>
      </w:pPr>
      <w:r>
        <w:rPr>
          <w:rStyle w:val="FootnoteReference"/>
        </w:rPr>
        <w:footnoteRef/>
      </w:r>
      <w:r>
        <w:t xml:space="preserve"> </w:t>
      </w:r>
      <w:hyperlink r:id="rId14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268">
    <w:p w14:paraId="3BF251C4"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14-15.</w:t>
      </w:r>
    </w:p>
  </w:footnote>
  <w:footnote w:id="269">
    <w:p w14:paraId="5A379EB3"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18-32.</w:t>
      </w:r>
    </w:p>
  </w:footnote>
  <w:footnote w:id="270">
    <w:p w14:paraId="22D01258" w14:textId="77777777" w:rsidR="00F84F28" w:rsidRPr="00561527" w:rsidRDefault="00F84F28" w:rsidP="00F84F28">
      <w:pPr>
        <w:pStyle w:val="FootnoteText"/>
        <w:rPr>
          <w:color w:val="EE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15.</w:t>
      </w:r>
    </w:p>
  </w:footnote>
  <w:footnote w:id="271">
    <w:p w14:paraId="235C813A" w14:textId="77777777" w:rsidR="00F84F28" w:rsidRDefault="00F84F28" w:rsidP="00F84F28">
      <w:pPr>
        <w:pStyle w:val="FootnoteText"/>
      </w:pPr>
      <w:r>
        <w:rPr>
          <w:rStyle w:val="FootnoteReference"/>
        </w:rPr>
        <w:footnoteRef/>
      </w:r>
      <w:r>
        <w:t xml:space="preserve"> </w:t>
      </w:r>
      <w:hyperlink r:id="rId14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272">
    <w:p w14:paraId="2ED65DF2"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w:t>
      </w:r>
    </w:p>
  </w:footnote>
  <w:footnote w:id="273">
    <w:p w14:paraId="70DED884" w14:textId="77777777" w:rsidR="00F84F28" w:rsidRDefault="00F84F28" w:rsidP="00F84F28">
      <w:pPr>
        <w:pStyle w:val="FootnoteText"/>
      </w:pPr>
      <w:r>
        <w:rPr>
          <w:rStyle w:val="FootnoteReference"/>
        </w:rPr>
        <w:footnoteRef/>
      </w:r>
      <w:r>
        <w:t xml:space="preserve"> </w:t>
      </w:r>
      <w:hyperlink r:id="rId146"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274">
    <w:p w14:paraId="3025245C"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w:t>
      </w:r>
    </w:p>
  </w:footnote>
  <w:footnote w:id="275">
    <w:p w14:paraId="1BF0A02F" w14:textId="77777777" w:rsidR="00F84F28" w:rsidRDefault="00F84F28" w:rsidP="00F84F28">
      <w:pPr>
        <w:pStyle w:val="FootnoteText"/>
      </w:pPr>
      <w:r>
        <w:rPr>
          <w:rStyle w:val="FootnoteReference"/>
        </w:rPr>
        <w:footnoteRef/>
      </w:r>
      <w:r>
        <w:t xml:space="preserve"> </w:t>
      </w:r>
      <w:r>
        <w:rPr>
          <w:rFonts w:ascii="Palatino Linotype" w:hAnsi="Palatino Linotype"/>
        </w:rPr>
        <w:t>The Commission’s compliance assessment of California Public Utilities Code 740.1 at (c)</w:t>
      </w:r>
      <w:r w:rsidRPr="005E5657">
        <w:rPr>
          <w:rFonts w:ascii="Palatino Linotype" w:hAnsi="Palatino Linotype"/>
        </w:rPr>
        <w:t xml:space="preserve"> </w:t>
      </w:r>
      <w:r>
        <w:rPr>
          <w:rFonts w:ascii="Palatino Linotype" w:hAnsi="Palatino Linotype"/>
        </w:rPr>
        <w:t xml:space="preserve">is captured in the compliance assessment of AL 5069-G with </w:t>
      </w:r>
      <w:hyperlink r:id="rId147" w:history="1">
        <w:r w:rsidRPr="06F49983">
          <w:rPr>
            <w:rStyle w:val="Hyperlink"/>
            <w:rFonts w:ascii="Palatino Linotype" w:hAnsi="Palatino Linotype"/>
          </w:rPr>
          <w:t>D.23-11-069</w:t>
        </w:r>
      </w:hyperlink>
      <w:r w:rsidRPr="06F49983">
        <w:rPr>
          <w:rFonts w:ascii="Palatino Linotype" w:hAnsi="Palatino Linotype"/>
        </w:rPr>
        <w:t xml:space="preserve"> at (2) and (4) </w:t>
      </w:r>
      <w:r>
        <w:rPr>
          <w:rFonts w:ascii="Palatino Linotype" w:hAnsi="Palatino Linotype"/>
        </w:rPr>
        <w:t>above.</w:t>
      </w:r>
    </w:p>
  </w:footnote>
  <w:footnote w:id="276">
    <w:p w14:paraId="793DFED7" w14:textId="77777777" w:rsidR="00F84F28" w:rsidRPr="001A2FAB" w:rsidRDefault="00F84F28" w:rsidP="00F84F28">
      <w:pPr>
        <w:spacing w:after="0" w:line="240" w:lineRule="auto"/>
        <w:rPr>
          <w:rFonts w:ascii="Palatino Linotype" w:hAnsi="Palatino Linotype"/>
          <w:sz w:val="20"/>
          <w:szCs w:val="20"/>
        </w:rPr>
      </w:pPr>
      <w:r w:rsidRPr="001A2FAB">
        <w:rPr>
          <w:rStyle w:val="FootnoteReference"/>
          <w:sz w:val="20"/>
          <w:szCs w:val="20"/>
        </w:rPr>
        <w:footnoteRef/>
      </w:r>
      <w:r w:rsidRPr="001A2FAB">
        <w:rPr>
          <w:rStyle w:val="FootnoteReference"/>
          <w:sz w:val="20"/>
          <w:szCs w:val="20"/>
        </w:rPr>
        <w:t xml:space="preserve"> </w:t>
      </w:r>
      <w:r w:rsidRPr="004A58ED">
        <w:rPr>
          <w:rFonts w:ascii="Palatino Linotype" w:hAnsi="Palatino Linotype"/>
          <w:sz w:val="20"/>
          <w:szCs w:val="20"/>
        </w:rPr>
        <w:t>California Public Utilities Code Section 740.1</w:t>
      </w:r>
      <w:r w:rsidRPr="00DE3CB6">
        <w:rPr>
          <w:rFonts w:ascii="Palatino Linotype" w:hAnsi="Palatino Linotype"/>
          <w:sz w:val="20"/>
          <w:szCs w:val="20"/>
        </w:rPr>
        <w:t xml:space="preserve"> at (a)</w:t>
      </w:r>
      <w:r>
        <w:rPr>
          <w:rFonts w:ascii="Palatino Linotype" w:hAnsi="Palatino Linotype"/>
          <w:sz w:val="20"/>
          <w:szCs w:val="20"/>
        </w:rPr>
        <w:t>.</w:t>
      </w:r>
      <w:r w:rsidRPr="001A2FAB">
        <w:rPr>
          <w:rFonts w:ascii="Palatino Linotype" w:hAnsi="Palatino Linotype"/>
          <w:sz w:val="20"/>
          <w:szCs w:val="20"/>
        </w:rPr>
        <w:t xml:space="preserve"> </w:t>
      </w:r>
    </w:p>
  </w:footnote>
  <w:footnote w:id="277">
    <w:p w14:paraId="5A668127" w14:textId="77777777" w:rsidR="00F84F28" w:rsidRDefault="00F84F28" w:rsidP="00F84F28">
      <w:pPr>
        <w:pStyle w:val="FootnoteText"/>
      </w:pPr>
      <w:r>
        <w:rPr>
          <w:rStyle w:val="FootnoteReference"/>
        </w:rPr>
        <w:footnoteRef/>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(b).</w:t>
      </w:r>
    </w:p>
  </w:footnote>
  <w:footnote w:id="278">
    <w:p w14:paraId="2975A98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43.</w:t>
      </w:r>
    </w:p>
  </w:footnote>
  <w:footnote w:id="279">
    <w:p w14:paraId="21F5A39F"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89. Consistent with </w:t>
      </w:r>
      <w:hyperlink r:id="rId148" w:tgtFrame="_blank" w:history="1">
        <w:r w:rsidRPr="00C029EB">
          <w:rPr>
            <w:rStyle w:val="Hyperlink"/>
            <w:rFonts w:ascii="Palatino Linotype" w:hAnsi="Palatino Linotype"/>
          </w:rPr>
          <w:t>Resolution G-3586</w:t>
        </w:r>
        <w:r w:rsidRPr="00C029EB">
          <w:rPr>
            <w:rStyle w:val="Hyperlink"/>
            <w:rFonts w:ascii="Times New Roman" w:hAnsi="Times New Roman" w:cs="Times New Roman"/>
            <w:u w:val="none"/>
          </w:rPr>
          <w:t> </w:t>
        </w:r>
      </w:hyperlink>
      <w:r w:rsidRPr="00C029EB">
        <w:rPr>
          <w:rFonts w:ascii="Palatino Linotype" w:hAnsi="Palatino Linotype"/>
          <w:color w:val="000000" w:themeColor="text1"/>
          <w:szCs w:val="16"/>
        </w:rPr>
        <w:t>(2022) at OP 5. “Provide detail quantifying research funding allocations by research consortium, as well as project costs related to each consortium.”</w:t>
      </w:r>
      <w:r w:rsidRPr="00C029EB">
        <w:rPr>
          <w:rFonts w:ascii="Times New Roman" w:hAnsi="Times New Roman" w:cs="Times New Roman"/>
          <w:i/>
          <w:iCs/>
          <w:color w:val="000000" w:themeColor="text1"/>
          <w:szCs w:val="16"/>
        </w:rPr>
        <w:t>  </w:t>
      </w:r>
    </w:p>
  </w:footnote>
  <w:footnote w:id="280">
    <w:p w14:paraId="6792BCBD"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75.</w:t>
      </w:r>
    </w:p>
  </w:footnote>
  <w:footnote w:id="281">
    <w:p w14:paraId="035F7E6C" w14:textId="77777777" w:rsidR="00F84F28" w:rsidRPr="0001404D" w:rsidRDefault="00F84F28" w:rsidP="00F84F28">
      <w:pPr>
        <w:pStyle w:val="FootnoteText"/>
        <w:rPr>
          <w:rFonts w:ascii="Palatino Linotype" w:hAnsi="Palatino Linotype"/>
        </w:rPr>
      </w:pPr>
      <w:r>
        <w:rPr>
          <w:rStyle w:val="FootnoteReference"/>
        </w:rPr>
        <w:footnoteRef/>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d</w:t>
      </w:r>
      <w:r w:rsidRPr="00DE3CB6">
        <w:rPr>
          <w:rFonts w:ascii="Palatino Linotype" w:hAnsi="Palatino Linotype"/>
        </w:rPr>
        <w:t>)</w:t>
      </w:r>
      <w:r>
        <w:rPr>
          <w:rFonts w:ascii="Palatino Linotype" w:hAnsi="Palatino Linotype"/>
        </w:rPr>
        <w:t>.</w:t>
      </w:r>
      <w:r>
        <w:rPr>
          <w:rFonts w:ascii="Palatino Linotype" w:hAnsi="Palatino Linotype"/>
          <w:bCs/>
        </w:rPr>
        <w:t xml:space="preserve"> </w:t>
      </w:r>
      <w:r w:rsidRPr="004E05C1">
        <w:rPr>
          <w:rFonts w:ascii="Palatino Linotype" w:hAnsi="Palatino Linotype"/>
        </w:rPr>
        <w:t>Consistent with</w:t>
      </w:r>
      <w:r>
        <w:rPr>
          <w:rFonts w:ascii="Palatino Linotype" w:hAnsi="Palatino Linotype"/>
        </w:rPr>
        <w:t>:</w:t>
      </w:r>
      <w:r w:rsidRPr="004E05C1">
        <w:rPr>
          <w:rFonts w:ascii="Palatino Linotype" w:hAnsi="Palatino Linotype"/>
        </w:rPr>
        <w:t xml:space="preserve"> </w:t>
      </w:r>
      <w:hyperlink r:id="rId149">
        <w:r w:rsidRPr="004E05C1">
          <w:rPr>
            <w:rStyle w:val="Hyperlink"/>
            <w:rFonts w:ascii="Palatino Linotype" w:hAnsi="Palatino Linotype"/>
          </w:rPr>
          <w:t>Resolution G-3603</w:t>
        </w:r>
      </w:hyperlink>
      <w:r w:rsidRPr="004E05C1">
        <w:rPr>
          <w:rFonts w:ascii="Palatino Linotype" w:hAnsi="Palatino Linotype"/>
        </w:rPr>
        <w:t xml:space="preserve"> </w:t>
      </w:r>
      <w:r w:rsidRPr="004E05C1">
        <w:rPr>
          <w:rFonts w:ascii="Palatino Linotype" w:hAnsi="Palatino Linotype"/>
          <w:color w:val="000000" w:themeColor="text1"/>
        </w:rPr>
        <w:t>(2024) at OP 4</w:t>
      </w:r>
      <w:r>
        <w:rPr>
          <w:rFonts w:ascii="Palatino Linotype" w:hAnsi="Palatino Linotype"/>
          <w:color w:val="000000" w:themeColor="text1"/>
        </w:rPr>
        <w:t xml:space="preserve"> &amp; </w:t>
      </w:r>
      <w:hyperlink r:id="rId150" w:history="1">
        <w:r w:rsidRPr="002E4238">
          <w:rPr>
            <w:rStyle w:val="Hyperlink"/>
            <w:rFonts w:ascii="Palatino Linotype" w:hAnsi="Palatino Linotype"/>
          </w:rPr>
          <w:t>D.24-12-074</w:t>
        </w:r>
      </w:hyperlink>
      <w:r>
        <w:rPr>
          <w:rFonts w:ascii="Palatino Linotype" w:hAnsi="Palatino Linotype"/>
          <w:color w:val="000000" w:themeColor="text1"/>
        </w:rPr>
        <w:t xml:space="preserve"> at</w:t>
      </w:r>
      <w:r w:rsidRPr="00ED4893">
        <w:rPr>
          <w:rFonts w:ascii="Palatino Linotype" w:hAnsi="Palatino Linotype"/>
          <w:color w:val="000000" w:themeColor="text1"/>
        </w:rPr>
        <w:t xml:space="preserve"> </w:t>
      </w:r>
      <w:r>
        <w:rPr>
          <w:rFonts w:ascii="Palatino Linotype" w:hAnsi="Palatino Linotype"/>
          <w:color w:val="000000" w:themeColor="text1"/>
        </w:rPr>
        <w:t xml:space="preserve">p. </w:t>
      </w:r>
      <w:r w:rsidRPr="00ED4893">
        <w:rPr>
          <w:rFonts w:ascii="Palatino Linotype" w:hAnsi="Palatino Linotype"/>
          <w:color w:val="000000" w:themeColor="text1"/>
        </w:rPr>
        <w:t>3</w:t>
      </w:r>
      <w:r>
        <w:rPr>
          <w:rFonts w:ascii="Palatino Linotype" w:hAnsi="Palatino Linotype"/>
          <w:color w:val="000000" w:themeColor="text1"/>
        </w:rPr>
        <w:t>27</w:t>
      </w:r>
      <w:r w:rsidRPr="00ED4893">
        <w:rPr>
          <w:rFonts w:ascii="Palatino Linotype" w:hAnsi="Palatino Linotype"/>
          <w:color w:val="000000" w:themeColor="text1"/>
        </w:rPr>
        <w:t>.</w:t>
      </w:r>
    </w:p>
  </w:footnote>
  <w:footnote w:id="282">
    <w:p w14:paraId="0181ADF6" w14:textId="77777777" w:rsidR="00F84F28" w:rsidRPr="0098395E" w:rsidRDefault="00F84F28" w:rsidP="00F84F28">
      <w:pPr>
        <w:pStyle w:val="FootnoteText"/>
        <w:rPr>
          <w:color w:val="FF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15-17.</w:t>
      </w:r>
    </w:p>
  </w:footnote>
  <w:footnote w:id="283">
    <w:p w14:paraId="66FB56BC"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at p. 5.</w:t>
      </w:r>
    </w:p>
  </w:footnote>
  <w:footnote w:id="284">
    <w:p w14:paraId="533B561E"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Appendix E.</w:t>
      </w:r>
    </w:p>
  </w:footnote>
  <w:footnote w:id="285">
    <w:p w14:paraId="2663B0D0"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77-81.</w:t>
      </w:r>
    </w:p>
  </w:footnote>
  <w:footnote w:id="286">
    <w:p w14:paraId="5982F553"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at p. 70-73.</w:t>
      </w:r>
    </w:p>
  </w:footnote>
  <w:footnote w:id="287">
    <w:p w14:paraId="100A623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Appendix &amp; AL 5176-G Attachment B Appendix E: 2025 Gas RD&amp;D Project List.</w:t>
      </w:r>
    </w:p>
  </w:footnote>
  <w:footnote w:id="288">
    <w:p w14:paraId="7966DBDA"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89">
    <w:p w14:paraId="7A0D2E68"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81.</w:t>
      </w:r>
    </w:p>
  </w:footnote>
  <w:footnote w:id="290">
    <w:p w14:paraId="66BA417E"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 xml:space="preserve">AL 5197-G Attachment B Appendix D </w:t>
      </w:r>
      <w:r w:rsidRPr="003A0482">
        <w:rPr>
          <w:rFonts w:ascii="Palatino Linotype" w:hAnsi="Palatino Linotype"/>
          <w:color w:val="000000" w:themeColor="text1"/>
          <w:szCs w:val="16"/>
        </w:rPr>
        <w:t>at p. 116-118, 121, &amp; 126.</w:t>
      </w:r>
    </w:p>
  </w:footnote>
  <w:footnote w:id="291">
    <w:p w14:paraId="126F6667"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92">
    <w:p w14:paraId="56B838E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93">
    <w:p w14:paraId="746C2506"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California Public Utilities Code Section 740.1 at (e).</w:t>
      </w:r>
    </w:p>
  </w:footnote>
  <w:footnote w:id="294">
    <w:p w14:paraId="73D543F9" w14:textId="77777777" w:rsidR="00F84F28" w:rsidRPr="0098395E" w:rsidRDefault="00F84F28" w:rsidP="00F84F28">
      <w:pPr>
        <w:pStyle w:val="FootnoteText"/>
        <w:rPr>
          <w:color w:val="FF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 77, &amp; 84.</w:t>
      </w:r>
    </w:p>
  </w:footnote>
  <w:footnote w:id="295">
    <w:p w14:paraId="1F70ED06" w14:textId="77777777" w:rsidR="00010951" w:rsidRPr="00EC7D00" w:rsidRDefault="00010951" w:rsidP="00010951">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151"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296">
    <w:p w14:paraId="0FC838CD" w14:textId="4808F194" w:rsidR="00350376" w:rsidRPr="00CF2811" w:rsidRDefault="00350376">
      <w:pPr>
        <w:pStyle w:val="FootnoteText"/>
        <w:rPr>
          <w:rFonts w:ascii="Palatino Linotype" w:hAnsi="Palatino Linotype"/>
        </w:rPr>
      </w:pPr>
      <w:r w:rsidRPr="00CF2811">
        <w:rPr>
          <w:rStyle w:val="FootnoteReference"/>
          <w:rFonts w:ascii="Palatino Linotype" w:hAnsi="Palatino Linotype"/>
        </w:rPr>
        <w:footnoteRef/>
      </w:r>
      <w:r w:rsidRPr="00CF2811">
        <w:rPr>
          <w:rFonts w:ascii="Palatino Linotype" w:hAnsi="Palatino Linotype"/>
        </w:rPr>
        <w:t xml:space="preserve"> </w:t>
      </w:r>
      <w:r w:rsidR="002D5BCB" w:rsidRPr="00CF2811">
        <w:rPr>
          <w:rFonts w:ascii="Palatino Linotype" w:hAnsi="Palatino Linotype"/>
        </w:rPr>
        <w:t xml:space="preserve">The Commission </w:t>
      </w:r>
      <w:r w:rsidR="00CF2811" w:rsidRPr="00CF2811">
        <w:rPr>
          <w:rFonts w:ascii="Palatino Linotype" w:hAnsi="Palatino Linotype"/>
        </w:rPr>
        <w:t xml:space="preserve">authorized an $8.267 million budget cap for PG&amp;E’s 2025 Gas RD&amp;D Plan. The Commission </w:t>
      </w:r>
      <w:r w:rsidR="002D5BCB" w:rsidRPr="00CF2811">
        <w:rPr>
          <w:rFonts w:ascii="Palatino Linotype" w:hAnsi="Palatino Linotype"/>
        </w:rPr>
        <w:t xml:space="preserve">may have authorized a budget cap higher than $8.267 million for </w:t>
      </w:r>
      <w:r w:rsidR="00CF2811" w:rsidRPr="00CF2811">
        <w:rPr>
          <w:rFonts w:ascii="Palatino Linotype" w:hAnsi="Palatino Linotype"/>
        </w:rPr>
        <w:t xml:space="preserve">PG&amp;E’s 2026 Plan based on the authorized escalation factor in D.23-11-069, however, PG&amp;E only proposed a 2026 Plan budget of $8.267 million. </w:t>
      </w:r>
    </w:p>
  </w:footnote>
  <w:footnote w:id="297">
    <w:p w14:paraId="4A41B175" w14:textId="77777777" w:rsidR="00010951" w:rsidRDefault="00010951" w:rsidP="00010951">
      <w:pPr>
        <w:pStyle w:val="FootnoteText"/>
      </w:pPr>
      <w:r>
        <w:rPr>
          <w:rStyle w:val="FootnoteReference"/>
        </w:rPr>
        <w:footnoteRef/>
      </w:r>
      <w:r>
        <w:t xml:space="preserve"> </w:t>
      </w:r>
      <w:hyperlink r:id="rId15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298">
    <w:p w14:paraId="5541AAC5" w14:textId="77777777" w:rsidR="00010951" w:rsidRDefault="00010951" w:rsidP="00010951">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299">
    <w:p w14:paraId="53413C87" w14:textId="0F3CF349" w:rsidR="00010951" w:rsidRPr="003816F2" w:rsidRDefault="00010951" w:rsidP="00010951">
      <w:pPr>
        <w:pStyle w:val="FootnoteText"/>
        <w:rPr>
          <w:rFonts w:ascii="Palatino Linotype" w:hAnsi="Palatino Linotype"/>
          <w:bCs/>
          <w:color w:val="000000" w:themeColor="text1"/>
        </w:rPr>
      </w:pPr>
      <w:r>
        <w:rPr>
          <w:rStyle w:val="FootnoteReference"/>
        </w:rPr>
        <w:footnoteRef/>
      </w:r>
      <w:r>
        <w:t xml:space="preserve"> </w:t>
      </w:r>
      <w:hyperlink r:id="rId153"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 </w:t>
      </w:r>
      <w:r w:rsidRPr="003816F2">
        <w:rPr>
          <w:rFonts w:ascii="Palatino Linotype" w:hAnsi="Palatino Linotype"/>
          <w:color w:val="000000" w:themeColor="text1"/>
        </w:rPr>
        <w:t xml:space="preserve">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 xml:space="preserve">G-3623 </w:t>
      </w:r>
      <w:r w:rsidRPr="003816F2">
        <w:rPr>
          <w:rFonts w:ascii="Palatino Linotype" w:hAnsi="Palatino Linotype"/>
          <w:color w:val="000000" w:themeColor="text1"/>
          <w:szCs w:val="12"/>
        </w:rPr>
        <w:t>at</w:t>
      </w:r>
      <w:r w:rsidRPr="003816F2">
        <w:rPr>
          <w:rFonts w:ascii="Palatino Linotype" w:hAnsi="Palatino Linotype"/>
          <w:color w:val="000000" w:themeColor="text1"/>
        </w:rPr>
        <w:t xml:space="preserve"> Appendix </w:t>
      </w:r>
      <w:r>
        <w:rPr>
          <w:rFonts w:ascii="Palatino Linotype" w:hAnsi="Palatino Linotype"/>
          <w:color w:val="000000" w:themeColor="text1"/>
        </w:rPr>
        <w:t>C</w:t>
      </w:r>
      <w:r w:rsidRPr="003816F2">
        <w:rPr>
          <w:rFonts w:ascii="Palatino Linotype" w:hAnsi="Palatino Linotype"/>
          <w:color w:val="000000" w:themeColor="text1"/>
        </w:rPr>
        <w:t>: Administrative Budget Cost Categories.</w:t>
      </w:r>
    </w:p>
  </w:footnote>
  <w:footnote w:id="300">
    <w:p w14:paraId="08BBF5A4" w14:textId="77777777" w:rsidR="00010951" w:rsidRDefault="00010951" w:rsidP="00010951">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9-10.</w:t>
      </w:r>
    </w:p>
  </w:footnote>
  <w:footnote w:id="301">
    <w:p w14:paraId="2DCB4BF4" w14:textId="77777777" w:rsidR="00010951" w:rsidRDefault="00010951" w:rsidP="00010951">
      <w:pPr>
        <w:pStyle w:val="FootnoteText"/>
      </w:pPr>
      <w:r>
        <w:rPr>
          <w:rStyle w:val="FootnoteReference"/>
        </w:rPr>
        <w:footnoteRef/>
      </w:r>
      <w:r>
        <w:t xml:space="preserve"> </w:t>
      </w:r>
      <w:hyperlink r:id="rId15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302">
    <w:p w14:paraId="6B2D8C08" w14:textId="77777777" w:rsidR="00010951" w:rsidRDefault="00010951" w:rsidP="00010951">
      <w:pPr>
        <w:pStyle w:val="FootnoteText"/>
      </w:pPr>
      <w:r w:rsidRPr="00C029EB">
        <w:rPr>
          <w:rStyle w:val="FootnoteReference"/>
          <w:color w:val="000000" w:themeColor="text1"/>
        </w:rPr>
        <w:footnoteRef/>
      </w:r>
      <w:r w:rsidRPr="00C029EB">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303">
    <w:p w14:paraId="4D61F82E" w14:textId="77777777" w:rsidR="00010951" w:rsidRDefault="00010951" w:rsidP="00010951">
      <w:pPr>
        <w:pStyle w:val="FootnoteText"/>
      </w:pPr>
      <w:r>
        <w:rPr>
          <w:rStyle w:val="FootnoteReference"/>
        </w:rPr>
        <w:footnoteRef/>
      </w:r>
      <w:r>
        <w:t xml:space="preserve"> </w:t>
      </w:r>
      <w:hyperlink r:id="rId15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304">
    <w:p w14:paraId="427ADE7E" w14:textId="77777777" w:rsidR="00010951" w:rsidRDefault="00010951" w:rsidP="00010951">
      <w:pPr>
        <w:pStyle w:val="FootnoteText"/>
      </w:pPr>
      <w:r w:rsidRPr="00C029EB">
        <w:rPr>
          <w:rStyle w:val="FootnoteReference"/>
          <w:color w:val="000000" w:themeColor="text1"/>
        </w:rPr>
        <w:footnoteRef/>
      </w:r>
      <w:r w:rsidRPr="00C029EB">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305">
    <w:p w14:paraId="7EB6632F" w14:textId="77777777" w:rsidR="00010951" w:rsidRDefault="00010951" w:rsidP="00010951">
      <w:pPr>
        <w:pStyle w:val="FootnoteText"/>
      </w:pPr>
      <w:r>
        <w:rPr>
          <w:rStyle w:val="FootnoteReference"/>
        </w:rPr>
        <w:footnoteRef/>
      </w:r>
      <w:r>
        <w:t xml:space="preserve"> </w:t>
      </w:r>
      <w:hyperlink r:id="rId156" w:history="1">
        <w:r w:rsidRPr="00E405B9">
          <w:rPr>
            <w:rStyle w:val="Hyperlink"/>
            <w:rFonts w:ascii="Palatino Linotype" w:hAnsi="Palatino Linotype"/>
          </w:rPr>
          <w:t>Resolution G-3618</w:t>
        </w:r>
      </w:hyperlink>
      <w:r w:rsidRPr="00E405B9">
        <w:rPr>
          <w:rFonts w:ascii="Palatino Linotype" w:hAnsi="Palatino Linotype"/>
        </w:rPr>
        <w:t xml:space="preserve"> (2026) requirements apply to PG&amp;E’s 2026 Gas RD&amp;D Plan and beyond.</w:t>
      </w:r>
    </w:p>
  </w:footnote>
  <w:footnote w:id="306">
    <w:p w14:paraId="3607F2FE" w14:textId="77777777" w:rsidR="00010951" w:rsidRDefault="00010951" w:rsidP="00010951">
      <w:pPr>
        <w:pStyle w:val="FootnoteText"/>
      </w:pPr>
      <w:r>
        <w:rPr>
          <w:rStyle w:val="FootnoteReference"/>
        </w:rPr>
        <w:footnoteRef/>
      </w:r>
      <w:r>
        <w:t xml:space="preserve"> </w:t>
      </w:r>
      <w:r w:rsidRPr="00084D50">
        <w:rPr>
          <w:rFonts w:ascii="Palatino Linotype" w:hAnsi="Palatino Linotype"/>
        </w:rPr>
        <w:t xml:space="preserve">Consistent with </w:t>
      </w:r>
      <w:hyperlink r:id="rId157" w:history="1">
        <w:r w:rsidRPr="00084D50">
          <w:rPr>
            <w:rStyle w:val="Hyperlink"/>
            <w:rFonts w:ascii="Palatino Linotype" w:hAnsi="Palatino Linotype"/>
          </w:rPr>
          <w:t>D.23-11-069</w:t>
        </w:r>
      </w:hyperlink>
      <w:r w:rsidRPr="00084D50">
        <w:rPr>
          <w:rFonts w:ascii="Palatino Linotype" w:hAnsi="Palatino Linotype"/>
        </w:rPr>
        <w:t xml:space="preserve"> at p. 220.</w:t>
      </w:r>
    </w:p>
  </w:footnote>
  <w:footnote w:id="307">
    <w:p w14:paraId="6A01C9EC" w14:textId="77777777" w:rsidR="00010951" w:rsidRDefault="00010951" w:rsidP="00010951">
      <w:pPr>
        <w:pStyle w:val="FootnoteText"/>
      </w:pPr>
      <w:r>
        <w:rPr>
          <w:rStyle w:val="FootnoteReference"/>
        </w:rPr>
        <w:footnoteRef/>
      </w:r>
      <w:r>
        <w:t xml:space="preserve"> </w:t>
      </w:r>
      <w:r w:rsidRPr="0058085D">
        <w:rPr>
          <w:rFonts w:ascii="Palatino Linotype" w:hAnsi="Palatino Linotype"/>
        </w:rPr>
        <w:t xml:space="preserve">Consistent with </w:t>
      </w:r>
      <w:hyperlink r:id="rId158"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(7) at </w:t>
      </w:r>
      <w:r w:rsidRPr="00DF7BCE">
        <w:rPr>
          <w:rFonts w:ascii="Palatino Linotype" w:hAnsi="Palatino Linotype"/>
          <w:color w:val="000000" w:themeColor="text1"/>
        </w:rPr>
        <w:t>p.</w:t>
      </w:r>
      <w:r>
        <w:rPr>
          <w:rFonts w:ascii="Palatino Linotype" w:hAnsi="Palatino Linotype"/>
          <w:color w:val="000000" w:themeColor="text1"/>
        </w:rPr>
        <w:t xml:space="preserve"> 220.</w:t>
      </w:r>
    </w:p>
  </w:footnote>
  <w:footnote w:id="308">
    <w:p w14:paraId="61AC3FCB" w14:textId="77777777" w:rsidR="00010951" w:rsidRDefault="00010951" w:rsidP="00010951">
      <w:pPr>
        <w:pStyle w:val="FootnoteText"/>
      </w:pPr>
      <w:r>
        <w:rPr>
          <w:rStyle w:val="FootnoteReference"/>
        </w:rPr>
        <w:footnoteRef/>
      </w:r>
      <w:r>
        <w:t xml:space="preserve"> </w:t>
      </w:r>
      <w:hyperlink r:id="rId159" w:history="1">
        <w:r w:rsidRPr="00952649">
          <w:rPr>
            <w:rStyle w:val="Hyperlink"/>
            <w:rFonts w:ascii="Palatino Linotype" w:hAnsi="Palatino Linotype"/>
          </w:rPr>
          <w:t>PG&amp;E 2025 Annual Gas RD&amp;D Report</w:t>
        </w:r>
      </w:hyperlink>
      <w:r w:rsidRPr="00952649">
        <w:rPr>
          <w:rFonts w:ascii="Palatino Linotype" w:hAnsi="Palatino Linotype"/>
        </w:rPr>
        <w:t xml:space="preserve"> at p. 12.</w:t>
      </w:r>
    </w:p>
  </w:footnote>
  <w:footnote w:id="309">
    <w:p w14:paraId="28183F84" w14:textId="77777777" w:rsidR="00010951" w:rsidRDefault="00010951" w:rsidP="00010951">
      <w:pPr>
        <w:pStyle w:val="FootnoteText"/>
      </w:pPr>
      <w:r>
        <w:rPr>
          <w:rStyle w:val="FootnoteReference"/>
        </w:rPr>
        <w:footnoteRef/>
      </w:r>
      <w:r>
        <w:t xml:space="preserve"> </w:t>
      </w:r>
      <w:hyperlink r:id="rId160" w:history="1">
        <w:r w:rsidRPr="00952649">
          <w:rPr>
            <w:rStyle w:val="Hyperlink"/>
            <w:rFonts w:ascii="Palatino Linotype" w:hAnsi="Palatino Linotype"/>
          </w:rPr>
          <w:t>PG&amp;E 2025 Annual Gas RD&amp;D Report</w:t>
        </w:r>
      </w:hyperlink>
      <w:r w:rsidRPr="00952649">
        <w:rPr>
          <w:rFonts w:ascii="Palatino Linotype" w:hAnsi="Palatino Linotype"/>
        </w:rPr>
        <w:t xml:space="preserve"> at p.</w:t>
      </w:r>
      <w:r>
        <w:rPr>
          <w:rFonts w:ascii="Palatino Linotype" w:hAnsi="Palatino Linotype"/>
        </w:rPr>
        <w:t xml:space="preserve"> 10-11.</w:t>
      </w:r>
    </w:p>
  </w:footnote>
  <w:footnote w:id="310">
    <w:p w14:paraId="45496C97" w14:textId="77777777" w:rsidR="00010951" w:rsidRDefault="00010951" w:rsidP="00010951">
      <w:pPr>
        <w:pStyle w:val="FootnoteText"/>
      </w:pPr>
      <w:r>
        <w:rPr>
          <w:rStyle w:val="FootnoteReference"/>
        </w:rPr>
        <w:footnoteRef/>
      </w:r>
      <w:r>
        <w:t xml:space="preserve"> </w:t>
      </w:r>
      <w:r w:rsidRPr="001D0658">
        <w:rPr>
          <w:rFonts w:ascii="Palatino Linotype" w:hAnsi="Palatino Linotype"/>
        </w:rPr>
        <w:t xml:space="preserve">Consistent with </w:t>
      </w:r>
      <w:hyperlink r:id="rId16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(4) at </w:t>
      </w:r>
      <w:r w:rsidRPr="00DF7BCE">
        <w:rPr>
          <w:rFonts w:ascii="Palatino Linotype" w:hAnsi="Palatino Linotype"/>
          <w:color w:val="000000" w:themeColor="text1"/>
        </w:rPr>
        <w:t>p.</w:t>
      </w:r>
      <w:r>
        <w:rPr>
          <w:rFonts w:ascii="Palatino Linotype" w:hAnsi="Palatino Linotype"/>
          <w:color w:val="000000" w:themeColor="text1"/>
        </w:rPr>
        <w:t xml:space="preserve"> 219-220.</w:t>
      </w:r>
    </w:p>
  </w:footnote>
  <w:footnote w:id="311">
    <w:p w14:paraId="2CD7BB31" w14:textId="77777777" w:rsidR="00010951" w:rsidRDefault="00010951" w:rsidP="00010951">
      <w:pPr>
        <w:pStyle w:val="FootnoteText"/>
      </w:pPr>
      <w:r>
        <w:rPr>
          <w:rStyle w:val="FootnoteReference"/>
        </w:rPr>
        <w:footnoteRef/>
      </w:r>
      <w:r>
        <w:t xml:space="preserve"> </w:t>
      </w:r>
      <w:r w:rsidRPr="00487255">
        <w:rPr>
          <w:rFonts w:ascii="Palatino Linotype" w:hAnsi="Palatino Linotype"/>
        </w:rPr>
        <w:t>Consistent with</w:t>
      </w:r>
      <w:r>
        <w:t xml:space="preserve"> </w:t>
      </w:r>
      <w:r w:rsidRPr="00B24E30">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e).</w:t>
      </w:r>
    </w:p>
  </w:footnote>
  <w:footnote w:id="312">
    <w:p w14:paraId="6B351493" w14:textId="77777777" w:rsidR="00010951" w:rsidRDefault="00010951" w:rsidP="00010951">
      <w:pPr>
        <w:pStyle w:val="FootnoteText"/>
      </w:pPr>
      <w:r>
        <w:rPr>
          <w:rStyle w:val="FootnoteReference"/>
        </w:rPr>
        <w:footnoteRef/>
      </w:r>
      <w:r w:rsidRPr="007A0408">
        <w:rPr>
          <w:rFonts w:ascii="Palatino Linotype" w:hAnsi="Palatino Linotype"/>
        </w:rPr>
        <w:t xml:space="preserve"> See also: </w:t>
      </w:r>
      <w:hyperlink r:id="rId162" w:history="1">
        <w:r w:rsidRPr="00E405B9">
          <w:rPr>
            <w:rStyle w:val="Hyperlink"/>
            <w:rFonts w:ascii="Palatino Linotype" w:hAnsi="Palatino Linotype"/>
          </w:rPr>
          <w:t>Resolution G-3618</w:t>
        </w:r>
      </w:hyperlink>
      <w:r w:rsidRPr="00E405B9">
        <w:rPr>
          <w:rFonts w:ascii="Palatino Linotype" w:hAnsi="Palatino Linotype"/>
        </w:rPr>
        <w:t xml:space="preserve"> (2026)</w:t>
      </w:r>
      <w:r>
        <w:rPr>
          <w:rFonts w:ascii="Palatino Linotype" w:hAnsi="Palatino Linotype"/>
        </w:rPr>
        <w:t xml:space="preserve"> at p. 21. Pre-Submittal Consultation with CPUC Subject Matter Experts. </w:t>
      </w:r>
      <w:r w:rsidRPr="00923EDF">
        <w:rPr>
          <w:rFonts w:ascii="Palatino Linotype" w:hAnsi="Palatino Linotype"/>
        </w:rPr>
        <w:t>“PG&amp;E shall consult with CPUC staff to seek and integrate feedback prior to Plan submittal, and this consultation shall be documented at the Initiative level in Plans. This consultation is intended to promote ratepayer benefit and create efficiencies in the Commission’s Plan review and approval by proactively aligning proposed investments with priority Gas RD&amp;D-related technology, market needs, and emerging opportunities as identified in CPUC proceedings and policies.”</w:t>
      </w:r>
    </w:p>
  </w:footnote>
  <w:footnote w:id="313">
    <w:p w14:paraId="6E633A12"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 1</w:t>
      </w:r>
      <w:r>
        <w:rPr>
          <w:rFonts w:ascii="Palatino Linotype" w:hAnsi="Palatino Linotype"/>
        </w:rPr>
        <w:t>5-21.</w:t>
      </w:r>
    </w:p>
  </w:footnote>
  <w:footnote w:id="314">
    <w:p w14:paraId="6FB7A95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28-30.</w:t>
      </w:r>
    </w:p>
  </w:footnote>
  <w:footnote w:id="315">
    <w:p w14:paraId="73E76E1A"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38-40.</w:t>
      </w:r>
    </w:p>
  </w:footnote>
  <w:footnote w:id="316">
    <w:p w14:paraId="1077C805" w14:textId="77777777" w:rsidR="00010951" w:rsidRDefault="00010951" w:rsidP="00010951">
      <w:pPr>
        <w:pStyle w:val="FootnoteText"/>
      </w:pPr>
      <w:r>
        <w:rPr>
          <w:rStyle w:val="FootnoteReference"/>
        </w:rPr>
        <w:footnoteRef/>
      </w:r>
      <w:r>
        <w:t xml:space="preserve"> </w:t>
      </w:r>
      <w:r w:rsidRPr="00487255">
        <w:rPr>
          <w:rFonts w:ascii="Palatino Linotype" w:hAnsi="Palatino Linotype"/>
        </w:rPr>
        <w:t>Consistent with</w:t>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 xml:space="preserve">d) &amp; </w:t>
      </w:r>
      <w:hyperlink r:id="rId163" w:history="1">
        <w:r w:rsidRPr="007C564F">
          <w:rPr>
            <w:rStyle w:val="Hyperlink"/>
            <w:rFonts w:ascii="Palatino Linotype" w:hAnsi="Palatino Linotype"/>
          </w:rPr>
          <w:t>D.23-11-069</w:t>
        </w:r>
      </w:hyperlink>
      <w:r w:rsidRPr="00CD7A2E">
        <w:rPr>
          <w:rFonts w:ascii="Palatino Linotype" w:hAnsi="Palatino Linotype"/>
        </w:rPr>
        <w:t xml:space="preserve"> at p. 220</w:t>
      </w:r>
      <w:r>
        <w:rPr>
          <w:rFonts w:ascii="Palatino Linotype" w:hAnsi="Palatino Linotype"/>
        </w:rPr>
        <w:t>.</w:t>
      </w:r>
      <w:r>
        <w:t xml:space="preserve"> </w:t>
      </w:r>
      <w:r w:rsidRPr="007A0408">
        <w:rPr>
          <w:rFonts w:ascii="Palatino Linotype" w:hAnsi="Palatino Linotype"/>
        </w:rPr>
        <w:t xml:space="preserve">See also: </w:t>
      </w:r>
      <w:hyperlink r:id="rId164" w:history="1">
        <w:r w:rsidRPr="00E405B9">
          <w:rPr>
            <w:rStyle w:val="Hyperlink"/>
            <w:rFonts w:ascii="Palatino Linotype" w:hAnsi="Palatino Linotype"/>
          </w:rPr>
          <w:t>Resolution G-3618</w:t>
        </w:r>
      </w:hyperlink>
      <w:r w:rsidRPr="00E405B9">
        <w:rPr>
          <w:rFonts w:ascii="Palatino Linotype" w:hAnsi="Palatino Linotype"/>
        </w:rPr>
        <w:t xml:space="preserve"> (2026)</w:t>
      </w:r>
      <w:r>
        <w:rPr>
          <w:rFonts w:ascii="Palatino Linotype" w:hAnsi="Palatino Linotype"/>
        </w:rPr>
        <w:t xml:space="preserve"> at p. 21. Intra-Administrator Coordination. </w:t>
      </w:r>
      <w:r w:rsidRPr="00CD7A2E">
        <w:rPr>
          <w:rFonts w:ascii="Palatino Linotype" w:hAnsi="Palatino Linotype"/>
        </w:rPr>
        <w:t xml:space="preserve">“PG&amp;E shall be proactive in collaborating with the other Gas RD&amp;D administrators, the California Energy Commission (CEC) and Southern California Gas (SoCalGas) Company, to promote and demonstrate complementary rather than duplicative RD&amp;D activities. PG&amp;E shall document this coordination in Gas RD&amp;D Plans at the Initiative level, including by differentiating proposed Initiatives from similar activities, demonstrating how research outcomes inform future proposals, and defining PG&amp;E’s specific intended role for each proposed Initiative.” </w:t>
      </w:r>
    </w:p>
  </w:footnote>
  <w:footnote w:id="317">
    <w:p w14:paraId="5E4122E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 14-15.</w:t>
      </w:r>
    </w:p>
  </w:footnote>
  <w:footnote w:id="318">
    <w:p w14:paraId="03E610BB"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25.</w:t>
      </w:r>
    </w:p>
  </w:footnote>
  <w:footnote w:id="319">
    <w:p w14:paraId="2C1C8A9C"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26.</w:t>
      </w:r>
    </w:p>
  </w:footnote>
  <w:footnote w:id="320">
    <w:p w14:paraId="5DFE50BF" w14:textId="35D52D1E" w:rsidR="00010951" w:rsidRDefault="00010951" w:rsidP="00010951">
      <w:pPr>
        <w:pStyle w:val="FootnoteText"/>
      </w:pPr>
      <w:r w:rsidRPr="00AA0B6F">
        <w:rPr>
          <w:rStyle w:val="FootnoteReference"/>
        </w:rPr>
        <w:footnoteRef/>
      </w:r>
      <w:r w:rsidRPr="00AA0B6F">
        <w:t xml:space="preserve"> </w:t>
      </w:r>
      <w:hyperlink r:id="rId165" w:history="1">
        <w:r w:rsidRPr="00AA0B6F">
          <w:rPr>
            <w:rStyle w:val="Hyperlink"/>
            <w:rFonts w:ascii="Palatino Linotype" w:hAnsi="Palatino Linotype"/>
          </w:rPr>
          <w:t>S</w:t>
        </w:r>
        <w:r w:rsidR="00137BCF">
          <w:rPr>
            <w:rStyle w:val="Hyperlink"/>
            <w:rFonts w:ascii="Palatino Linotype" w:hAnsi="Palatino Linotype"/>
          </w:rPr>
          <w:t>oCalGas</w:t>
        </w:r>
        <w:r w:rsidRPr="00AA0B6F">
          <w:rPr>
            <w:rStyle w:val="Hyperlink"/>
            <w:rFonts w:ascii="Palatino Linotype" w:hAnsi="Palatino Linotype"/>
          </w:rPr>
          <w:t>’ Proposed 2026 Gas RD&amp;D Plan</w:t>
        </w:r>
      </w:hyperlink>
      <w:r w:rsidRPr="008D2F29">
        <w:rPr>
          <w:rFonts w:ascii="Palatino Linotype" w:hAnsi="Palatino Linotype"/>
        </w:rPr>
        <w:t xml:space="preserve"> </w:t>
      </w:r>
      <w:r>
        <w:rPr>
          <w:rFonts w:ascii="Palatino Linotype" w:hAnsi="Palatino Linotype"/>
        </w:rPr>
        <w:t xml:space="preserve">(submitted via AL 6645-G) </w:t>
      </w:r>
      <w:r w:rsidRPr="008D2F29">
        <w:rPr>
          <w:rFonts w:ascii="Palatino Linotype" w:hAnsi="Palatino Linotype"/>
        </w:rPr>
        <w:t>at p. 30</w:t>
      </w:r>
      <w:r>
        <w:rPr>
          <w:rFonts w:ascii="Palatino Linotype" w:hAnsi="Palatino Linotype"/>
        </w:rPr>
        <w:t xml:space="preserve">-34. </w:t>
      </w:r>
      <w:r w:rsidRPr="008D2F29">
        <w:rPr>
          <w:rFonts w:ascii="Palatino Linotype" w:hAnsi="Palatino Linotype"/>
        </w:rPr>
        <w:t>System Inspection &amp; Monitoring Initiative.</w:t>
      </w:r>
      <w:r>
        <w:rPr>
          <w:rFonts w:ascii="Palatino Linotype" w:hAnsi="Palatino Linotype"/>
        </w:rPr>
        <w:t xml:space="preserve"> </w:t>
      </w:r>
    </w:p>
  </w:footnote>
  <w:footnote w:id="321">
    <w:p w14:paraId="006C9392"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27-28.</w:t>
      </w:r>
    </w:p>
  </w:footnote>
  <w:footnote w:id="322">
    <w:p w14:paraId="6065F5E5"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34-35.</w:t>
      </w:r>
    </w:p>
  </w:footnote>
  <w:footnote w:id="323">
    <w:p w14:paraId="4297325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w:t>
      </w:r>
    </w:p>
  </w:footnote>
  <w:footnote w:id="324">
    <w:p w14:paraId="3D72812E"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44.</w:t>
      </w:r>
    </w:p>
  </w:footnote>
  <w:footnote w:id="325">
    <w:p w14:paraId="6CD2922E" w14:textId="744FE587" w:rsidR="00010951" w:rsidRDefault="00010951" w:rsidP="00010951">
      <w:pPr>
        <w:pStyle w:val="FootnoteText"/>
      </w:pPr>
      <w:r w:rsidRPr="00AA0B6F">
        <w:rPr>
          <w:rStyle w:val="FootnoteReference"/>
        </w:rPr>
        <w:footnoteRef/>
      </w:r>
      <w:r w:rsidRPr="00AA0B6F">
        <w:t xml:space="preserve"> </w:t>
      </w:r>
      <w:hyperlink r:id="rId166" w:history="1">
        <w:r w:rsidRPr="00AA0B6F">
          <w:rPr>
            <w:rStyle w:val="Hyperlink"/>
            <w:rFonts w:ascii="Palatino Linotype" w:hAnsi="Palatino Linotype"/>
          </w:rPr>
          <w:t>S</w:t>
        </w:r>
        <w:r w:rsidR="00137BCF">
          <w:rPr>
            <w:rStyle w:val="Hyperlink"/>
            <w:rFonts w:ascii="Palatino Linotype" w:hAnsi="Palatino Linotype"/>
          </w:rPr>
          <w:t>oCalGas</w:t>
        </w:r>
        <w:r w:rsidRPr="00AA0B6F">
          <w:rPr>
            <w:rStyle w:val="Hyperlink"/>
            <w:rFonts w:ascii="Palatino Linotype" w:hAnsi="Palatino Linotype"/>
          </w:rPr>
          <w:t>’ Proposed 2026 Gas RD&amp;D Plan</w:t>
        </w:r>
      </w:hyperlink>
      <w:r w:rsidRPr="008D2F29">
        <w:rPr>
          <w:rFonts w:ascii="Palatino Linotype" w:hAnsi="Palatino Linotype"/>
        </w:rPr>
        <w:t xml:space="preserve"> </w:t>
      </w:r>
      <w:r>
        <w:rPr>
          <w:rFonts w:ascii="Palatino Linotype" w:hAnsi="Palatino Linotype"/>
        </w:rPr>
        <w:t xml:space="preserve">(submitted via AL 6645-G) </w:t>
      </w:r>
      <w:r w:rsidRPr="008D2F29">
        <w:rPr>
          <w:rFonts w:ascii="Palatino Linotype" w:hAnsi="Palatino Linotype"/>
        </w:rPr>
        <w:t xml:space="preserve">at p. </w:t>
      </w:r>
      <w:r>
        <w:rPr>
          <w:rFonts w:ascii="Palatino Linotype" w:hAnsi="Palatino Linotype"/>
        </w:rPr>
        <w:t>45-49. RNG Infrastructure Optimization</w:t>
      </w:r>
      <w:r w:rsidRPr="008D2F29">
        <w:rPr>
          <w:rFonts w:ascii="Palatino Linotype" w:hAnsi="Palatino Linotype"/>
        </w:rPr>
        <w:t xml:space="preserve"> Initiative.</w:t>
      </w:r>
      <w:r>
        <w:rPr>
          <w:rFonts w:ascii="Palatino Linotype" w:hAnsi="Palatino Linotype"/>
        </w:rPr>
        <w:t xml:space="preserve"> </w:t>
      </w:r>
    </w:p>
  </w:footnote>
  <w:footnote w:id="326">
    <w:p w14:paraId="653EF20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14-15.</w:t>
      </w:r>
    </w:p>
  </w:footnote>
  <w:footnote w:id="327">
    <w:p w14:paraId="3AD9135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23-24.</w:t>
      </w:r>
    </w:p>
  </w:footnote>
  <w:footnote w:id="328">
    <w:p w14:paraId="34C723E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27-28.</w:t>
      </w:r>
    </w:p>
  </w:footnote>
  <w:footnote w:id="329">
    <w:p w14:paraId="56B84894"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33-34.</w:t>
      </w:r>
    </w:p>
  </w:footnote>
  <w:footnote w:id="330">
    <w:p w14:paraId="76C5276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w:t>
      </w:r>
    </w:p>
  </w:footnote>
  <w:footnote w:id="331">
    <w:p w14:paraId="0486CD15" w14:textId="77777777" w:rsidR="00010951" w:rsidRDefault="00010951" w:rsidP="00010951">
      <w:pPr>
        <w:pStyle w:val="FootnoteText"/>
      </w:pPr>
      <w:r>
        <w:rPr>
          <w:rStyle w:val="FootnoteReference"/>
        </w:rPr>
        <w:footnoteRef/>
      </w:r>
      <w:r>
        <w:t xml:space="preserve"> </w:t>
      </w:r>
      <w:r w:rsidRPr="00B5155C">
        <w:rPr>
          <w:rFonts w:ascii="Palatino Linotype" w:hAnsi="Palatino Linotype"/>
        </w:rPr>
        <w:t>Consistent with</w:t>
      </w:r>
      <w:r>
        <w:t xml:space="preserve"> </w:t>
      </w:r>
      <w:r w:rsidRPr="004A58ED">
        <w:rPr>
          <w:rFonts w:ascii="Palatino Linotype" w:hAnsi="Palatino Linotype"/>
        </w:rPr>
        <w:t>California Public Utilities Code Section 740.1</w:t>
      </w:r>
      <w:r w:rsidRPr="00DE3CB6">
        <w:rPr>
          <w:rFonts w:ascii="Palatino Linotype" w:hAnsi="Palatino Linotype"/>
        </w:rPr>
        <w:t xml:space="preserve"> at (a)</w:t>
      </w:r>
      <w:r>
        <w:rPr>
          <w:rFonts w:ascii="Palatino Linotype" w:hAnsi="Palatino Linotype"/>
        </w:rPr>
        <w:t xml:space="preserve"> &amp; (b).</w:t>
      </w:r>
    </w:p>
  </w:footnote>
  <w:footnote w:id="332">
    <w:p w14:paraId="42764691" w14:textId="77777777" w:rsidR="00010951" w:rsidRDefault="00010951" w:rsidP="00010951">
      <w:pPr>
        <w:pStyle w:val="FootnoteText"/>
      </w:pPr>
      <w:r>
        <w:rPr>
          <w:rStyle w:val="FootnoteReference"/>
        </w:rPr>
        <w:footnoteRef/>
      </w:r>
      <w:r>
        <w:t xml:space="preserve"> </w:t>
      </w:r>
      <w:r w:rsidRPr="008600D5">
        <w:rPr>
          <w:rFonts w:ascii="Palatino Linotype" w:hAnsi="Palatino Linotype"/>
        </w:rPr>
        <w:t xml:space="preserve">Consistent with </w:t>
      </w:r>
      <w:hyperlink r:id="rId167" w:history="1">
        <w:r w:rsidRPr="008600D5">
          <w:rPr>
            <w:rStyle w:val="Hyperlink"/>
            <w:rFonts w:ascii="Palatino Linotype" w:hAnsi="Palatino Linotype"/>
          </w:rPr>
          <w:t>Resolution G-3601</w:t>
        </w:r>
      </w:hyperlink>
      <w:r w:rsidRPr="008600D5">
        <w:rPr>
          <w:rFonts w:ascii="Palatino Linotype" w:hAnsi="Palatino Linotype"/>
        </w:rPr>
        <w:t xml:space="preserve"> (2023) at OP 5.</w:t>
      </w:r>
    </w:p>
  </w:footnote>
  <w:footnote w:id="333">
    <w:p w14:paraId="4E7DFB65" w14:textId="77777777" w:rsidR="00010951" w:rsidRDefault="00010951" w:rsidP="00010951">
      <w:pPr>
        <w:pStyle w:val="FootnoteText"/>
      </w:pPr>
      <w:r>
        <w:rPr>
          <w:rStyle w:val="FootnoteReference"/>
        </w:rPr>
        <w:footnoteRef/>
      </w:r>
      <w:r>
        <w:t xml:space="preserve"> </w:t>
      </w:r>
      <w:hyperlink r:id="rId168" w:history="1">
        <w:r w:rsidRPr="00555A6C">
          <w:rPr>
            <w:rStyle w:val="Hyperlink"/>
            <w:rFonts w:ascii="Palatino Linotype" w:hAnsi="Palatino Linotype"/>
          </w:rPr>
          <w:t>D.23-04-042</w:t>
        </w:r>
      </w:hyperlink>
      <w:r w:rsidRPr="00555A6C">
        <w:rPr>
          <w:rFonts w:ascii="Palatino Linotype" w:hAnsi="Palatino Linotype"/>
        </w:rPr>
        <w:t xml:space="preserve"> at Appendix A.</w:t>
      </w:r>
      <w:r>
        <w:rPr>
          <w:rFonts w:ascii="Palatino Linotype" w:hAnsi="Palatino Linotype"/>
        </w:rPr>
        <w:t xml:space="preserve"> </w:t>
      </w:r>
      <w:r w:rsidRPr="00E2162E">
        <w:rPr>
          <w:rFonts w:ascii="Palatino Linotype" w:hAnsi="Palatino Linotype"/>
        </w:rPr>
        <w:t xml:space="preserve">Consistent with </w:t>
      </w:r>
      <w:hyperlink r:id="rId169"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&amp; (2) at </w:t>
      </w:r>
      <w:r w:rsidRPr="00342620">
        <w:rPr>
          <w:rFonts w:ascii="Palatino Linotype" w:hAnsi="Palatino Linotype"/>
          <w:color w:val="000000" w:themeColor="text1"/>
        </w:rPr>
        <w:t>p. 218</w:t>
      </w:r>
      <w:r>
        <w:rPr>
          <w:rFonts w:ascii="Palatino Linotype" w:hAnsi="Palatino Linotype"/>
          <w:color w:val="000000" w:themeColor="text1"/>
        </w:rPr>
        <w:t>-219.</w:t>
      </w:r>
    </w:p>
  </w:footnote>
  <w:footnote w:id="334">
    <w:p w14:paraId="52223FE9" w14:textId="77777777" w:rsidR="00010951" w:rsidRDefault="00010951" w:rsidP="00010951">
      <w:pPr>
        <w:pStyle w:val="FootnoteText"/>
      </w:pPr>
      <w:r>
        <w:rPr>
          <w:rStyle w:val="FootnoteReference"/>
        </w:rPr>
        <w:footnoteRef/>
      </w:r>
      <w:r>
        <w:t xml:space="preserve"> </w:t>
      </w:r>
      <w:hyperlink r:id="rId170" w:history="1">
        <w:r w:rsidRPr="007073AF">
          <w:rPr>
            <w:rStyle w:val="Hyperlink"/>
            <w:rFonts w:ascii="Palatino Linotype" w:hAnsi="Palatino Linotype"/>
          </w:rPr>
          <w:t>D.23-11-069</w:t>
        </w:r>
      </w:hyperlink>
      <w:r w:rsidRPr="001C4789">
        <w:rPr>
          <w:rFonts w:ascii="Palatino Linotype" w:hAnsi="Palatino Linotype"/>
        </w:rPr>
        <w:t xml:space="preserve"> at </w:t>
      </w:r>
      <w:r>
        <w:rPr>
          <w:rFonts w:ascii="Palatino Linotype" w:hAnsi="Palatino Linotype"/>
        </w:rPr>
        <w:t xml:space="preserve">(1) at </w:t>
      </w:r>
      <w:r w:rsidRPr="001C4789">
        <w:rPr>
          <w:rFonts w:ascii="Palatino Linotype" w:hAnsi="Palatino Linotype"/>
        </w:rPr>
        <w:t>p. 2</w:t>
      </w:r>
      <w:r>
        <w:rPr>
          <w:rFonts w:ascii="Palatino Linotype" w:hAnsi="Palatino Linotype"/>
        </w:rPr>
        <w:t xml:space="preserve">18. </w:t>
      </w:r>
    </w:p>
  </w:footnote>
  <w:footnote w:id="335">
    <w:p w14:paraId="06FAAEE8" w14:textId="77777777" w:rsidR="00010951" w:rsidRDefault="00010951" w:rsidP="00010951">
      <w:pPr>
        <w:pStyle w:val="FootnoteText"/>
      </w:pPr>
      <w:r>
        <w:rPr>
          <w:rStyle w:val="FootnoteReference"/>
        </w:rPr>
        <w:footnoteRef/>
      </w:r>
      <w:r>
        <w:t xml:space="preserve"> </w:t>
      </w:r>
      <w:r w:rsidRPr="00E2162E">
        <w:rPr>
          <w:rFonts w:ascii="Palatino Linotype" w:hAnsi="Palatino Linotype"/>
        </w:rPr>
        <w:t xml:space="preserve">Consistent with </w:t>
      </w:r>
      <w:hyperlink r:id="rId171"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at </w:t>
      </w:r>
      <w:r w:rsidRPr="00342620">
        <w:rPr>
          <w:rFonts w:ascii="Palatino Linotype" w:hAnsi="Palatino Linotype"/>
          <w:color w:val="000000" w:themeColor="text1"/>
        </w:rPr>
        <w:t>p. 218</w:t>
      </w:r>
      <w:r>
        <w:rPr>
          <w:rFonts w:ascii="Palatino Linotype" w:hAnsi="Palatino Linotype"/>
          <w:color w:val="000000" w:themeColor="text1"/>
        </w:rPr>
        <w:t>.</w:t>
      </w:r>
    </w:p>
  </w:footnote>
  <w:footnote w:id="336">
    <w:p w14:paraId="5A14A4EA" w14:textId="77777777" w:rsidR="00010951" w:rsidRDefault="00010951" w:rsidP="00010951">
      <w:pPr>
        <w:pStyle w:val="FootnoteText"/>
      </w:pPr>
      <w:r>
        <w:rPr>
          <w:rStyle w:val="FootnoteReference"/>
        </w:rPr>
        <w:footnoteRef/>
      </w:r>
      <w:r>
        <w:t xml:space="preserve"> </w:t>
      </w:r>
      <w:r w:rsidRPr="00E2162E">
        <w:rPr>
          <w:rFonts w:ascii="Palatino Linotype" w:hAnsi="Palatino Linotype"/>
        </w:rPr>
        <w:t xml:space="preserve">Consistent with </w:t>
      </w:r>
      <w:hyperlink r:id="rId172"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at </w:t>
      </w:r>
      <w:r w:rsidRPr="00342620">
        <w:rPr>
          <w:rFonts w:ascii="Palatino Linotype" w:hAnsi="Palatino Linotype"/>
          <w:color w:val="000000" w:themeColor="text1"/>
        </w:rPr>
        <w:t>p. 218</w:t>
      </w:r>
      <w:r>
        <w:rPr>
          <w:rFonts w:ascii="Palatino Linotype" w:hAnsi="Palatino Linotype"/>
          <w:color w:val="000000" w:themeColor="text1"/>
        </w:rPr>
        <w:t>.</w:t>
      </w:r>
      <w:r>
        <w:t xml:space="preserve"> </w:t>
      </w:r>
      <w:r w:rsidRPr="00E537D3">
        <w:rPr>
          <w:rFonts w:ascii="Palatino Linotype" w:hAnsi="Palatino Linotype"/>
        </w:rPr>
        <w:t>See:</w:t>
      </w:r>
      <w:r>
        <w:t xml:space="preserve"> </w:t>
      </w:r>
      <w:hyperlink r:id="rId173" w:history="1">
        <w:r w:rsidRPr="002D4C6D">
          <w:rPr>
            <w:rStyle w:val="Hyperlink"/>
            <w:rFonts w:ascii="Palatino Linotype" w:hAnsi="Palatino Linotype"/>
          </w:rPr>
          <w:t>Environmental &amp; Social Justice (ESJ) Action Plan Version 2.0</w:t>
        </w:r>
      </w:hyperlink>
      <w:r w:rsidRPr="002D4C6D">
        <w:rPr>
          <w:rFonts w:ascii="Palatino Linotype" w:hAnsi="Palatino Linotype"/>
        </w:rPr>
        <w:t xml:space="preserve"> (2022).</w:t>
      </w:r>
    </w:p>
  </w:footnote>
  <w:footnote w:id="337">
    <w:p w14:paraId="65078C68"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14-15 &amp; 23.</w:t>
      </w:r>
    </w:p>
  </w:footnote>
  <w:footnote w:id="338">
    <w:p w14:paraId="6DA26518"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22.</w:t>
      </w:r>
    </w:p>
  </w:footnote>
  <w:footnote w:id="339">
    <w:p w14:paraId="0A0D3877"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22.</w:t>
      </w:r>
    </w:p>
  </w:footnote>
  <w:footnote w:id="340">
    <w:p w14:paraId="383BF2B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27-28 &amp; 32.</w:t>
      </w:r>
    </w:p>
  </w:footnote>
  <w:footnote w:id="341">
    <w:p w14:paraId="6EDA326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30-31.</w:t>
      </w:r>
    </w:p>
  </w:footnote>
  <w:footnote w:id="342">
    <w:p w14:paraId="43CBE1BF" w14:textId="691C7D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31.</w:t>
      </w:r>
    </w:p>
  </w:footnote>
  <w:footnote w:id="343">
    <w:p w14:paraId="7FA037D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 &amp; 42-43.</w:t>
      </w:r>
    </w:p>
  </w:footnote>
  <w:footnote w:id="344">
    <w:p w14:paraId="408C5DE6"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40.</w:t>
      </w:r>
    </w:p>
  </w:footnote>
  <w:footnote w:id="345">
    <w:p w14:paraId="63FB0C0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41.</w:t>
      </w:r>
    </w:p>
  </w:footnote>
  <w:footnote w:id="346">
    <w:p w14:paraId="41C79556" w14:textId="669AA47D" w:rsidR="00FF53B7" w:rsidRDefault="00FF53B7">
      <w:pPr>
        <w:pStyle w:val="FootnoteText"/>
      </w:pPr>
      <w:r>
        <w:rPr>
          <w:rStyle w:val="FootnoteReference"/>
        </w:rPr>
        <w:footnoteRef/>
      </w:r>
      <w:r>
        <w:t xml:space="preserve"> </w:t>
      </w:r>
      <w:hyperlink r:id="rId174"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Pr>
          <w:rFonts w:ascii="Palatino Linotype" w:hAnsi="Palatino Linotype"/>
          <w:szCs w:val="16"/>
        </w:rPr>
        <w:t>-221.</w:t>
      </w:r>
    </w:p>
  </w:footnote>
  <w:footnote w:id="347">
    <w:p w14:paraId="08B02EF5" w14:textId="5DA7DEAA" w:rsidR="00FF53B7" w:rsidRDefault="00FF53B7">
      <w:pPr>
        <w:pStyle w:val="FootnoteText"/>
      </w:pPr>
      <w:r>
        <w:rPr>
          <w:rStyle w:val="FootnoteReference"/>
        </w:rPr>
        <w:footnoteRef/>
      </w:r>
      <w:r>
        <w:t xml:space="preserve"> </w:t>
      </w:r>
      <w:hyperlink r:id="rId175" w:history="1">
        <w:r w:rsidRPr="00783669">
          <w:rPr>
            <w:rStyle w:val="Hyperlink"/>
            <w:rFonts w:ascii="Palatino Linotype" w:hAnsi="Palatino Linotype"/>
          </w:rPr>
          <w:t>R.22-12-011</w:t>
        </w:r>
      </w:hyperlink>
      <w:r w:rsidR="00B81A40">
        <w:rPr>
          <w:rFonts w:ascii="Palatino Linotype" w:hAnsi="Palatino Linotype"/>
        </w:rPr>
        <w:t>.</w:t>
      </w:r>
    </w:p>
  </w:footnote>
  <w:footnote w:id="348">
    <w:p w14:paraId="31087F32" w14:textId="77777777" w:rsidR="00010951" w:rsidRDefault="00010951" w:rsidP="00010951">
      <w:pPr>
        <w:pStyle w:val="FootnoteText"/>
      </w:pPr>
      <w:r>
        <w:rPr>
          <w:rStyle w:val="FootnoteReference"/>
        </w:rPr>
        <w:footnoteRef/>
      </w:r>
      <w:r>
        <w:t xml:space="preserve"> </w:t>
      </w:r>
      <w:hyperlink r:id="rId176" w:history="1">
        <w:r w:rsidRPr="007073AF">
          <w:rPr>
            <w:rStyle w:val="Hyperlink"/>
            <w:rFonts w:ascii="Palatino Linotype" w:hAnsi="Palatino Linotype"/>
          </w:rPr>
          <w:t>D.23-11-069</w:t>
        </w:r>
      </w:hyperlink>
      <w:r w:rsidRPr="001C4789">
        <w:rPr>
          <w:rFonts w:ascii="Palatino Linotype" w:hAnsi="Palatino Linotype"/>
        </w:rPr>
        <w:t xml:space="preserve"> at p. 220.</w:t>
      </w:r>
    </w:p>
  </w:footnote>
  <w:footnote w:id="349">
    <w:p w14:paraId="2E046C2B" w14:textId="77777777" w:rsidR="00010951" w:rsidRDefault="00010951" w:rsidP="00010951">
      <w:pPr>
        <w:pStyle w:val="FootnoteText"/>
      </w:pPr>
      <w:r>
        <w:rPr>
          <w:rStyle w:val="FootnoteReference"/>
        </w:rPr>
        <w:footnoteRef/>
      </w:r>
      <w:r>
        <w:t xml:space="preserve"> </w:t>
      </w:r>
      <w:r w:rsidRPr="005D4981">
        <w:rPr>
          <w:rFonts w:ascii="Palatino Linotype" w:hAnsi="Palatino Linotype"/>
        </w:rPr>
        <w:t xml:space="preserve">Consistent with </w:t>
      </w:r>
      <w:hyperlink r:id="rId177" w:history="1">
        <w:r w:rsidRPr="007073AF">
          <w:rPr>
            <w:rStyle w:val="Hyperlink"/>
            <w:rFonts w:ascii="Palatino Linotype" w:hAnsi="Palatino Linotype"/>
          </w:rPr>
          <w:t>D.23-11-069</w:t>
        </w:r>
      </w:hyperlink>
      <w:r w:rsidRPr="001C4789">
        <w:rPr>
          <w:rFonts w:ascii="Palatino Linotype" w:hAnsi="Palatino Linotype"/>
        </w:rPr>
        <w:t xml:space="preserve"> at </w:t>
      </w:r>
      <w:r>
        <w:rPr>
          <w:rFonts w:ascii="Palatino Linotype" w:hAnsi="Palatino Linotype"/>
        </w:rPr>
        <w:t xml:space="preserve">(9) at </w:t>
      </w:r>
      <w:r w:rsidRPr="001C4789">
        <w:rPr>
          <w:rFonts w:ascii="Palatino Linotype" w:hAnsi="Palatino Linotype"/>
        </w:rPr>
        <w:t xml:space="preserve">p. </w:t>
      </w:r>
      <w:r>
        <w:rPr>
          <w:rFonts w:ascii="Palatino Linotype" w:hAnsi="Palatino Linotype"/>
        </w:rPr>
        <w:t>221.</w:t>
      </w:r>
    </w:p>
  </w:footnote>
  <w:footnote w:id="350">
    <w:p w14:paraId="7AB680A3" w14:textId="77777777" w:rsidR="00010951" w:rsidRDefault="00010951" w:rsidP="00010951">
      <w:pPr>
        <w:pStyle w:val="FootnoteText"/>
      </w:pPr>
      <w:r>
        <w:rPr>
          <w:rStyle w:val="FootnoteReference"/>
        </w:rPr>
        <w:footnoteRef/>
      </w:r>
      <w:r>
        <w:t xml:space="preserve"> </w:t>
      </w:r>
      <w:hyperlink r:id="rId178" w:history="1">
        <w:r w:rsidRPr="007073AF">
          <w:rPr>
            <w:rStyle w:val="Hyperlink"/>
            <w:rFonts w:ascii="Palatino Linotype" w:hAnsi="Palatino Linotype"/>
          </w:rPr>
          <w:t>D.23-11-069</w:t>
        </w:r>
      </w:hyperlink>
      <w:r w:rsidRPr="001C4789">
        <w:rPr>
          <w:rFonts w:ascii="Palatino Linotype" w:hAnsi="Palatino Linotype"/>
        </w:rPr>
        <w:t xml:space="preserve"> at p. 22</w:t>
      </w:r>
      <w:r>
        <w:rPr>
          <w:rFonts w:ascii="Palatino Linotype" w:hAnsi="Palatino Linotype"/>
        </w:rPr>
        <w:t>0-221.</w:t>
      </w:r>
    </w:p>
  </w:footnote>
  <w:footnote w:id="351">
    <w:p w14:paraId="4671F74F" w14:textId="77777777" w:rsidR="00010951" w:rsidRDefault="00010951" w:rsidP="00010951">
      <w:pPr>
        <w:pStyle w:val="FootnoteText"/>
      </w:pPr>
      <w:r>
        <w:rPr>
          <w:rStyle w:val="FootnoteReference"/>
        </w:rPr>
        <w:footnoteRef/>
      </w:r>
      <w:r>
        <w:t xml:space="preserve"> </w:t>
      </w:r>
      <w:hyperlink r:id="rId179"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(6) at </w:t>
      </w:r>
      <w:r w:rsidRPr="00DF7BCE">
        <w:rPr>
          <w:rFonts w:ascii="Palatino Linotype" w:hAnsi="Palatino Linotype"/>
          <w:color w:val="000000" w:themeColor="text1"/>
        </w:rPr>
        <w:t>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80" w:history="1">
        <w:r w:rsidRPr="00ED4893">
          <w:rPr>
            <w:rStyle w:val="Hyperlink"/>
            <w:rFonts w:ascii="Palatino Linotype" w:hAnsi="Palatino Linotype"/>
          </w:rPr>
          <w:t>D.19-09-051</w:t>
        </w:r>
      </w:hyperlink>
      <w:r>
        <w:t xml:space="preserve"> </w:t>
      </w:r>
      <w:r w:rsidRPr="00351BFF">
        <w:rPr>
          <w:rFonts w:ascii="Palatino Linotype" w:hAnsi="Palatino Linotype"/>
        </w:rPr>
        <w:t>at OP 30</w:t>
      </w:r>
      <w:r w:rsidRPr="00351BFF">
        <w:rPr>
          <w:rFonts w:ascii="Palatino Linotype" w:hAnsi="Palatino Linotype"/>
          <w:color w:val="000000" w:themeColor="text1"/>
        </w:rPr>
        <w:t>.</w:t>
      </w:r>
    </w:p>
  </w:footnote>
  <w:footnote w:id="352">
    <w:p w14:paraId="1D29628D" w14:textId="77777777" w:rsidR="00010951" w:rsidRDefault="00010951" w:rsidP="00010951">
      <w:pPr>
        <w:pStyle w:val="FootnoteText"/>
      </w:pPr>
      <w:r>
        <w:rPr>
          <w:rStyle w:val="FootnoteReference"/>
        </w:rPr>
        <w:footnoteRef/>
      </w:r>
      <w:r>
        <w:t xml:space="preserve"> </w:t>
      </w:r>
      <w:hyperlink r:id="rId18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353">
    <w:p w14:paraId="57B66E53" w14:textId="77777777" w:rsidR="00010951" w:rsidRDefault="00010951" w:rsidP="00010951">
      <w:pPr>
        <w:pStyle w:val="FootnoteText"/>
      </w:pPr>
      <w:r>
        <w:rPr>
          <w:rStyle w:val="FootnoteReference"/>
        </w:rPr>
        <w:footnoteRef/>
      </w:r>
      <w:r>
        <w:t xml:space="preserve"> </w:t>
      </w:r>
      <w:hyperlink r:id="rId182" w:tgtFrame="_blank" w:history="1">
        <w:r w:rsidRPr="00336BB8">
          <w:rPr>
            <w:rStyle w:val="Hyperlink"/>
            <w:rFonts w:ascii="Palatino Linotype" w:hAnsi="Palatino Linotype"/>
          </w:rPr>
          <w:t>Resolution G-3618</w:t>
        </w:r>
      </w:hyperlink>
      <w:r w:rsidRPr="00336BB8">
        <w:rPr>
          <w:rStyle w:val="FootnoteReference"/>
          <w:rFonts w:ascii="Palatino Linotype" w:hAnsi="Palatino Linotype"/>
        </w:rPr>
        <w:t> </w:t>
      </w:r>
      <w:r w:rsidRPr="00336BB8">
        <w:rPr>
          <w:rFonts w:ascii="Palatino Linotype" w:hAnsi="Palatino Linotype"/>
          <w:color w:val="000000" w:themeColor="text1"/>
        </w:rPr>
        <w:t>at p. 16 &amp; 18.</w:t>
      </w:r>
    </w:p>
  </w:footnote>
  <w:footnote w:id="354">
    <w:p w14:paraId="0CB33B59" w14:textId="77777777" w:rsidR="00010951" w:rsidRDefault="00010951" w:rsidP="00010951">
      <w:pPr>
        <w:pStyle w:val="FootnoteText"/>
      </w:pPr>
      <w:r>
        <w:rPr>
          <w:rStyle w:val="FootnoteReference"/>
        </w:rPr>
        <w:footnoteRef/>
      </w:r>
      <w:r>
        <w:t xml:space="preserve"> </w:t>
      </w:r>
      <w:hyperlink r:id="rId183" w:history="1">
        <w:r w:rsidRPr="007073AF">
          <w:rPr>
            <w:rStyle w:val="Hyperlink"/>
            <w:rFonts w:ascii="Palatino Linotype" w:hAnsi="Palatino Linotype"/>
          </w:rPr>
          <w:t>D.23-11-069</w:t>
        </w:r>
      </w:hyperlink>
      <w:r w:rsidRPr="001C4789">
        <w:rPr>
          <w:rFonts w:ascii="Palatino Linotype" w:hAnsi="Palatino Linotype"/>
        </w:rPr>
        <w:t xml:space="preserve"> at p. 2</w:t>
      </w:r>
      <w:r>
        <w:rPr>
          <w:rFonts w:ascii="Palatino Linotype" w:hAnsi="Palatino Linotype"/>
        </w:rPr>
        <w:t>18.</w:t>
      </w:r>
    </w:p>
  </w:footnote>
  <w:footnote w:id="355">
    <w:p w14:paraId="52F88CF6" w14:textId="77777777" w:rsidR="00010951" w:rsidRPr="004E4A87" w:rsidRDefault="00010951" w:rsidP="00010951">
      <w:pPr>
        <w:pStyle w:val="FootnoteText"/>
        <w:rPr>
          <w:rFonts w:ascii="Palatino Linotype" w:hAnsi="Palatino Linotype"/>
          <w:color w:val="000000" w:themeColor="text1"/>
        </w:rPr>
      </w:pPr>
      <w:r>
        <w:rPr>
          <w:rStyle w:val="FootnoteReference"/>
        </w:rPr>
        <w:footnoteRef/>
      </w:r>
      <w:r>
        <w:t xml:space="preserve"> </w:t>
      </w:r>
      <w:hyperlink r:id="rId184" w:tgtFrame="_blank" w:history="1">
        <w:r w:rsidRPr="00336BB8">
          <w:rPr>
            <w:rStyle w:val="Hyperlink"/>
            <w:rFonts w:ascii="Palatino Linotype" w:hAnsi="Palatino Linotype"/>
          </w:rPr>
          <w:t>Resolution G-3618</w:t>
        </w:r>
      </w:hyperlink>
      <w:r w:rsidRPr="00336BB8">
        <w:rPr>
          <w:rStyle w:val="FootnoteReference"/>
          <w:rFonts w:ascii="Palatino Linotype" w:hAnsi="Palatino Linotype"/>
        </w:rPr>
        <w:t> </w:t>
      </w:r>
      <w:r w:rsidRPr="00336BB8">
        <w:rPr>
          <w:rFonts w:ascii="Palatino Linotype" w:hAnsi="Palatino Linotype"/>
          <w:color w:val="000000" w:themeColor="text1"/>
        </w:rPr>
        <w:t xml:space="preserve">at </w:t>
      </w:r>
      <w:r>
        <w:rPr>
          <w:rFonts w:ascii="Palatino Linotype" w:hAnsi="Palatino Linotype"/>
          <w:color w:val="000000" w:themeColor="text1"/>
        </w:rPr>
        <w:t>G-24. “</w:t>
      </w:r>
      <w:r w:rsidRPr="004E4A87">
        <w:rPr>
          <w:rFonts w:ascii="Palatino Linotype" w:hAnsi="Palatino Linotype"/>
          <w:color w:val="000000" w:themeColor="text1"/>
        </w:rPr>
        <w:t>D.23-11-069 approved a Test Year 2023 Gas RD&amp;D budget of $7.414 million and escalation factor authorizing a $8.267 million annual budget for PG&amp;E’s 2025 Plan, pending Commission approval</w:t>
      </w:r>
      <w:r>
        <w:rPr>
          <w:rFonts w:ascii="Palatino Linotype" w:hAnsi="Palatino Linotype"/>
          <w:color w:val="000000" w:themeColor="text1"/>
        </w:rPr>
        <w:t xml:space="preserve">.” Cites: </w:t>
      </w:r>
      <w:hyperlink r:id="rId185" w:history="1">
        <w:r w:rsidRPr="007D583F">
          <w:rPr>
            <w:rStyle w:val="Hyperlink"/>
            <w:rFonts w:ascii="Palatino Linotype" w:hAnsi="Palatino Linotype"/>
          </w:rPr>
          <w:t>D.23-11-069</w:t>
        </w:r>
      </w:hyperlink>
      <w:r w:rsidRPr="007D583F">
        <w:rPr>
          <w:rFonts w:ascii="Palatino Linotype" w:hAnsi="Palatino Linotype"/>
          <w:color w:val="000000" w:themeColor="text1"/>
        </w:rPr>
        <w:t xml:space="preserve"> at p. 217 &amp; 740.</w:t>
      </w:r>
    </w:p>
  </w:footnote>
  <w:footnote w:id="356">
    <w:p w14:paraId="2444AC16" w14:textId="77777777" w:rsidR="00010951" w:rsidRDefault="00010951" w:rsidP="00010951">
      <w:pPr>
        <w:pStyle w:val="FootnoteText"/>
      </w:pPr>
      <w:r>
        <w:rPr>
          <w:rStyle w:val="FootnoteReference"/>
        </w:rPr>
        <w:footnoteRef/>
      </w:r>
      <w:r>
        <w:t xml:space="preserve"> </w:t>
      </w:r>
      <w:hyperlink r:id="rId186" w:anchor="accordion-1ebeea4697-item-8b61a39a58" w:history="1">
        <w:r w:rsidRPr="00166DFC">
          <w:rPr>
            <w:rStyle w:val="Hyperlink"/>
            <w:rFonts w:ascii="Palatino Linotype" w:hAnsi="Palatino Linotype"/>
          </w:rPr>
          <w:t>Annual Research &amp; Development Plan: View of 2026 Annual Research &amp; Development</w:t>
        </w:r>
      </w:hyperlink>
      <w:r>
        <w:rPr>
          <w:rFonts w:ascii="Palatino Linotype" w:hAnsi="Palatino Linotype"/>
        </w:rPr>
        <w:t xml:space="preserve"> (PDF)</w:t>
      </w:r>
      <w:r w:rsidRPr="00827714">
        <w:rPr>
          <w:rFonts w:ascii="Palatino Linotype" w:hAnsi="Palatino Linotype"/>
        </w:rPr>
        <w:t xml:space="preserve">. </w:t>
      </w:r>
    </w:p>
  </w:footnote>
  <w:footnote w:id="357">
    <w:p w14:paraId="798A7EFD" w14:textId="77777777" w:rsidR="00010951" w:rsidRPr="00B12D04" w:rsidRDefault="00010951" w:rsidP="00010951">
      <w:pPr>
        <w:pStyle w:val="FootnoteText"/>
        <w:rPr>
          <w:rFonts w:ascii="Palatino Linotype" w:hAnsi="Palatino Linotype"/>
        </w:rPr>
      </w:pPr>
      <w:r>
        <w:rPr>
          <w:rStyle w:val="FootnoteReference"/>
        </w:rPr>
        <w:footnoteRef/>
      </w:r>
      <w:r>
        <w:t xml:space="preserve"> </w:t>
      </w:r>
      <w:r w:rsidRPr="00B12D04">
        <w:rPr>
          <w:rFonts w:ascii="Palatino Linotype" w:hAnsi="Palatino Linotype"/>
        </w:rPr>
        <w:t>AL 5222-G at p. 5.</w:t>
      </w:r>
    </w:p>
  </w:footnote>
  <w:footnote w:id="358">
    <w:p w14:paraId="51369630" w14:textId="77777777" w:rsidR="00010951" w:rsidRDefault="00010951" w:rsidP="00010951">
      <w:pPr>
        <w:pStyle w:val="FootnoteText"/>
      </w:pPr>
      <w:r>
        <w:rPr>
          <w:rStyle w:val="FootnoteReference"/>
        </w:rPr>
        <w:footnoteRef/>
      </w:r>
      <w:r>
        <w:t xml:space="preserve"> </w:t>
      </w:r>
      <w:r w:rsidRPr="009F6F27">
        <w:rPr>
          <w:rFonts w:ascii="Palatino Linotype" w:hAnsi="Palatino Linotype"/>
        </w:rPr>
        <w:t xml:space="preserve">Consistent with </w:t>
      </w:r>
      <w:hyperlink r:id="rId187" w:history="1">
        <w:r w:rsidRPr="00A36BA1">
          <w:rPr>
            <w:rStyle w:val="Hyperlink"/>
            <w:rFonts w:ascii="Palatino Linotype" w:hAnsi="Palatino Linotype"/>
          </w:rPr>
          <w:t>D.23-11-069</w:t>
        </w:r>
      </w:hyperlink>
      <w:r w:rsidRPr="009F6F27">
        <w:rPr>
          <w:rFonts w:ascii="Palatino Linotype" w:hAnsi="Palatino Linotype"/>
        </w:rPr>
        <w:t xml:space="preserve"> at (5) at p. 220.</w:t>
      </w:r>
    </w:p>
  </w:footnote>
  <w:footnote w:id="359">
    <w:p w14:paraId="362C8708" w14:textId="77777777" w:rsidR="00010951" w:rsidRDefault="00010951" w:rsidP="00010951">
      <w:pPr>
        <w:pStyle w:val="FootnoteText"/>
      </w:pPr>
      <w:r>
        <w:rPr>
          <w:rStyle w:val="FootnoteReference"/>
        </w:rPr>
        <w:footnoteRef/>
      </w:r>
      <w:r>
        <w:t xml:space="preserve"> </w:t>
      </w:r>
      <w:r w:rsidRPr="00B12D04">
        <w:rPr>
          <w:rFonts w:ascii="Palatino Linotype" w:hAnsi="Palatino Linotype"/>
        </w:rPr>
        <w:t xml:space="preserve">AL 5222-G </w:t>
      </w:r>
      <w:r>
        <w:rPr>
          <w:rFonts w:ascii="Palatino Linotype" w:hAnsi="Palatino Linotype"/>
        </w:rPr>
        <w:t xml:space="preserve">Attachment A </w:t>
      </w:r>
      <w:r w:rsidRPr="00B12D04">
        <w:rPr>
          <w:rFonts w:ascii="Palatino Linotype" w:hAnsi="Palatino Linotype"/>
        </w:rPr>
        <w:t xml:space="preserve">at p. </w:t>
      </w:r>
      <w:r>
        <w:rPr>
          <w:rFonts w:ascii="Palatino Linotype" w:hAnsi="Palatino Linotype"/>
        </w:rPr>
        <w:t>13 &amp; 35</w:t>
      </w:r>
      <w:r w:rsidRPr="00B12D04">
        <w:rPr>
          <w:rFonts w:ascii="Palatino Linotype" w:hAnsi="Palatino Linoty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610D636E" w:rsidR="00A76F4A" w:rsidRPr="00444B1F" w:rsidRDefault="635CE793" w:rsidP="00444B1F">
    <w:pPr>
      <w:pStyle w:val="Header"/>
      <w:jc w:val="center"/>
      <w:rPr>
        <w:rFonts w:ascii="Palatino Linotype" w:hAnsi="Palatino Linotype"/>
      </w:rPr>
    </w:pPr>
    <w:r w:rsidRPr="00444B1F">
      <w:rPr>
        <w:rFonts w:ascii="Palatino Linotype" w:hAnsi="Palatino Linotype"/>
      </w:rPr>
      <w:t>E</w:t>
    </w:r>
    <w:r w:rsidR="00444B1F">
      <w:rPr>
        <w:rFonts w:ascii="Palatino Linotype" w:hAnsi="Palatino Linotype"/>
      </w:rPr>
      <w:t>D</w:t>
    </w:r>
    <w:r w:rsidRPr="00444B1F">
      <w:rPr>
        <w:rFonts w:ascii="Palatino Linotype" w:hAnsi="Palatino Linotype"/>
      </w:rPr>
      <w:t>/Resolution G</w:t>
    </w:r>
    <w:r w:rsidR="0000385D" w:rsidRPr="00444B1F">
      <w:rPr>
        <w:rFonts w:ascii="Palatino Linotype" w:hAnsi="Palatino Linotype"/>
      </w:rPr>
      <w:t>-3</w:t>
    </w:r>
    <w:r w:rsidR="00C35946" w:rsidRPr="00444B1F">
      <w:rPr>
        <w:rFonts w:ascii="Palatino Linotype" w:hAnsi="Palatino Linotype"/>
      </w:rPr>
      <w:t>62</w:t>
    </w:r>
    <w:r w:rsidR="0000385D" w:rsidRPr="00444B1F">
      <w:rPr>
        <w:rFonts w:ascii="Palatino Linotype" w:hAnsi="Palatino Linotype"/>
      </w:rPr>
      <w:t>3</w:t>
    </w:r>
    <w:r w:rsidRPr="00444B1F">
      <w:rPr>
        <w:rFonts w:ascii="Palatino Linotype" w:hAnsi="Palatino Linotype"/>
      </w:rPr>
      <w:t xml:space="preserve">            </w:t>
    </w:r>
    <w:r w:rsidR="00444B1F">
      <w:rPr>
        <w:rFonts w:ascii="Palatino Linotype" w:hAnsi="Palatino Linotype"/>
      </w:rPr>
      <w:t xml:space="preserve">     </w:t>
    </w:r>
    <w:r w:rsidRPr="00444B1F">
      <w:rPr>
        <w:rFonts w:ascii="Palatino Linotype" w:hAnsi="Palatino Linotype"/>
      </w:rPr>
      <w:t xml:space="preserve">  </w:t>
    </w:r>
    <w:r w:rsidR="00444B1F">
      <w:rPr>
        <w:rFonts w:ascii="Palatino Linotype" w:hAnsi="Palatino Linotype"/>
      </w:rPr>
      <w:t xml:space="preserve">  </w:t>
    </w:r>
    <w:r w:rsidRPr="00444B1F">
      <w:rPr>
        <w:rFonts w:ascii="Palatino Linotype" w:hAnsi="Palatino Linotype"/>
      </w:rPr>
      <w:t xml:space="preserve">     </w:t>
    </w:r>
    <w:r w:rsidR="00444B1F">
      <w:rPr>
        <w:rFonts w:ascii="Palatino Linotype" w:hAnsi="Palatino Linotype"/>
      </w:rPr>
      <w:t>DRAFT</w:t>
    </w:r>
    <w:r w:rsidRPr="00444B1F">
      <w:rPr>
        <w:rFonts w:ascii="Palatino Linotype" w:hAnsi="Palatino Linotype"/>
      </w:rPr>
      <w:t xml:space="preserve">                                    </w:t>
    </w:r>
    <w:r w:rsidR="7DC63328" w:rsidRPr="00444B1F">
      <w:rPr>
        <w:rFonts w:ascii="Palatino Linotype" w:hAnsi="Palatino Linotype"/>
      </w:rPr>
      <w:t xml:space="preserve">      </w:t>
    </w:r>
    <w:r w:rsidR="00082E14" w:rsidRPr="00444B1F">
      <w:rPr>
        <w:rFonts w:ascii="Palatino Linotype" w:hAnsi="Palatino Linotype"/>
      </w:rPr>
      <w:t>September 17</w:t>
    </w:r>
    <w:r w:rsidRPr="00444B1F">
      <w:rPr>
        <w:rFonts w:ascii="Palatino Linotype" w:hAnsi="Palatino Linotype"/>
      </w:rPr>
      <w:t>, 2026</w:t>
    </w:r>
  </w:p>
  <w:p w14:paraId="39E35C4E" w14:textId="0F1514FA" w:rsidR="00CD2149" w:rsidRDefault="009A27D6">
    <w:pPr>
      <w:pStyle w:val="Header"/>
      <w:rPr>
        <w:rFonts w:ascii="Palatino Linotype" w:hAnsi="Palatino Linotype"/>
      </w:rPr>
    </w:pPr>
    <w:r w:rsidRPr="00444B1F">
      <w:rPr>
        <w:rFonts w:ascii="Palatino Linotype" w:hAnsi="Palatino Linotype"/>
      </w:rPr>
      <w:t xml:space="preserve">PG&amp;E </w:t>
    </w:r>
    <w:r w:rsidR="008213BB" w:rsidRPr="00444B1F">
      <w:rPr>
        <w:rFonts w:ascii="Palatino Linotype" w:hAnsi="Palatino Linotype"/>
      </w:rPr>
      <w:t>AL</w:t>
    </w:r>
    <w:r w:rsidR="00CD2149" w:rsidRPr="00444B1F">
      <w:rPr>
        <w:rFonts w:ascii="Palatino Linotype" w:hAnsi="Palatino Linotype"/>
      </w:rPr>
      <w:t xml:space="preserve"> </w:t>
    </w:r>
    <w:r w:rsidRPr="00444B1F">
      <w:rPr>
        <w:rFonts w:ascii="Palatino Linotype" w:hAnsi="Palatino Linotype"/>
        <w:color w:val="000000" w:themeColor="text1"/>
      </w:rPr>
      <w:t>5</w:t>
    </w:r>
    <w:r w:rsidR="00FA4966" w:rsidRPr="00444B1F">
      <w:rPr>
        <w:rFonts w:ascii="Palatino Linotype" w:hAnsi="Palatino Linotype"/>
        <w:color w:val="000000" w:themeColor="text1"/>
      </w:rPr>
      <w:t>196-G</w:t>
    </w:r>
    <w:r w:rsidR="009F7D25" w:rsidRPr="00444B1F">
      <w:rPr>
        <w:rFonts w:ascii="Palatino Linotype" w:hAnsi="Palatino Linotype"/>
        <w:color w:val="000000" w:themeColor="text1"/>
      </w:rPr>
      <w:t xml:space="preserve">, </w:t>
    </w:r>
    <w:r w:rsidRPr="00444B1F">
      <w:rPr>
        <w:rFonts w:ascii="Palatino Linotype" w:hAnsi="Palatino Linotype"/>
        <w:color w:val="000000" w:themeColor="text1"/>
      </w:rPr>
      <w:t>5</w:t>
    </w:r>
    <w:r w:rsidR="00FA4966" w:rsidRPr="00444B1F">
      <w:rPr>
        <w:rFonts w:ascii="Palatino Linotype" w:hAnsi="Palatino Linotype"/>
        <w:color w:val="000000" w:themeColor="text1"/>
      </w:rPr>
      <w:t>197</w:t>
    </w:r>
    <w:r w:rsidRPr="00444B1F">
      <w:rPr>
        <w:rFonts w:ascii="Palatino Linotype" w:hAnsi="Palatino Linotype"/>
        <w:color w:val="000000" w:themeColor="text1"/>
      </w:rPr>
      <w:t>-G</w:t>
    </w:r>
    <w:r w:rsidR="009F7D25" w:rsidRPr="00444B1F">
      <w:rPr>
        <w:rFonts w:ascii="Palatino Linotype" w:hAnsi="Palatino Linotype"/>
        <w:color w:val="000000" w:themeColor="text1"/>
      </w:rPr>
      <w:t xml:space="preserve">, </w:t>
    </w:r>
    <w:r w:rsidR="009F7D25" w:rsidRPr="00444B1F">
      <w:rPr>
        <w:rFonts w:ascii="Palatino Linotype" w:hAnsi="Palatino Linotype"/>
      </w:rPr>
      <w:t xml:space="preserve">&amp; </w:t>
    </w:r>
    <w:r w:rsidR="00BF2858" w:rsidRPr="00444B1F">
      <w:rPr>
        <w:rFonts w:ascii="Palatino Linotype" w:hAnsi="Palatino Linotype"/>
        <w:color w:val="000000" w:themeColor="text1"/>
      </w:rPr>
      <w:t>5222</w:t>
    </w:r>
    <w:r w:rsidR="009F7D25" w:rsidRPr="00444B1F">
      <w:rPr>
        <w:rFonts w:ascii="Palatino Linotype" w:hAnsi="Palatino Linotype"/>
        <w:color w:val="000000" w:themeColor="text1"/>
      </w:rPr>
      <w:t>-</w:t>
    </w:r>
    <w:r w:rsidR="009F7D25" w:rsidRPr="00444B1F">
      <w:rPr>
        <w:rFonts w:ascii="Palatino Linotype" w:hAnsi="Palatino Linotype"/>
      </w:rPr>
      <w:t>G</w:t>
    </w:r>
    <w:r w:rsidR="00565F65" w:rsidRPr="00444B1F">
      <w:rPr>
        <w:rFonts w:ascii="Palatino Linotype" w:hAnsi="Palatino Linotype"/>
      </w:rPr>
      <w:t>/</w:t>
    </w:r>
    <w:r w:rsidR="00CD2149" w:rsidRPr="00444B1F">
      <w:rPr>
        <w:rFonts w:ascii="Palatino Linotype" w:hAnsi="Palatino Linotype"/>
      </w:rPr>
      <w:t>EM9</w:t>
    </w:r>
  </w:p>
  <w:p w14:paraId="0E0A5CE2" w14:textId="77777777" w:rsidR="00444B1F" w:rsidRPr="00444B1F" w:rsidRDefault="00444B1F">
    <w:pPr>
      <w:pStyle w:val="Header"/>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1BBB" w14:textId="775E2A77" w:rsidR="00750E92" w:rsidRPr="00750E92" w:rsidRDefault="00750E92" w:rsidP="00750E92">
    <w:pPr>
      <w:pStyle w:val="Header"/>
      <w:jc w:val="center"/>
      <w:rPr>
        <w:rFonts w:ascii="Palatino Linotype" w:hAnsi="Palatino Linotype"/>
      </w:rPr>
    </w:pPr>
    <w:r w:rsidRPr="00750E92">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0BE"/>
    <w:multiLevelType w:val="hybridMultilevel"/>
    <w:tmpl w:val="4C68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37666"/>
    <w:multiLevelType w:val="hybridMultilevel"/>
    <w:tmpl w:val="6DC001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17DC3"/>
    <w:multiLevelType w:val="multilevel"/>
    <w:tmpl w:val="0A5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D2B3F"/>
    <w:multiLevelType w:val="hybridMultilevel"/>
    <w:tmpl w:val="BC2A42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5F11C7"/>
    <w:multiLevelType w:val="hybridMultilevel"/>
    <w:tmpl w:val="5762E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D41622"/>
    <w:multiLevelType w:val="hybridMultilevel"/>
    <w:tmpl w:val="BC12B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C3E3B"/>
    <w:multiLevelType w:val="hybridMultilevel"/>
    <w:tmpl w:val="37BC8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F8414F"/>
    <w:multiLevelType w:val="hybridMultilevel"/>
    <w:tmpl w:val="CC8A40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FF42B4"/>
    <w:multiLevelType w:val="hybridMultilevel"/>
    <w:tmpl w:val="6C2C3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EF78AD"/>
    <w:multiLevelType w:val="hybridMultilevel"/>
    <w:tmpl w:val="C17E73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48AF"/>
    <w:multiLevelType w:val="hybridMultilevel"/>
    <w:tmpl w:val="E61C7DB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3E7469"/>
    <w:multiLevelType w:val="hybridMultilevel"/>
    <w:tmpl w:val="6DC001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708E5"/>
    <w:multiLevelType w:val="hybridMultilevel"/>
    <w:tmpl w:val="E2627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913BB"/>
    <w:multiLevelType w:val="hybridMultilevel"/>
    <w:tmpl w:val="E5E04B64"/>
    <w:lvl w:ilvl="0" w:tplc="04090019">
      <w:start w:val="1"/>
      <w:numFmt w:val="lowerLetter"/>
      <w:lvlText w:val="%1."/>
      <w:lvlJc w:val="left"/>
      <w:pPr>
        <w:ind w:left="720" w:hanging="360"/>
      </w:pPr>
    </w:lvl>
    <w:lvl w:ilvl="1" w:tplc="04090003">
      <w:start w:val="1"/>
      <w:numFmt w:val="bullet"/>
      <w:lvlText w:val="o"/>
      <w:lvlJc w:val="left"/>
      <w:pPr>
        <w:ind w:left="36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855E5"/>
    <w:multiLevelType w:val="hybridMultilevel"/>
    <w:tmpl w:val="0B8A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C071D9"/>
    <w:multiLevelType w:val="hybridMultilevel"/>
    <w:tmpl w:val="E7FC5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512AD2"/>
    <w:multiLevelType w:val="hybridMultilevel"/>
    <w:tmpl w:val="28964612"/>
    <w:lvl w:ilvl="0" w:tplc="D5781EE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F4A88"/>
    <w:multiLevelType w:val="hybridMultilevel"/>
    <w:tmpl w:val="D83E64B4"/>
    <w:lvl w:ilvl="0" w:tplc="DDA6DF22">
      <w:start w:val="1"/>
      <w:numFmt w:val="decimal"/>
      <w:lvlText w:val="%1."/>
      <w:lvlJc w:val="left"/>
      <w:pPr>
        <w:ind w:left="720" w:hanging="360"/>
      </w:pPr>
      <w:rPr>
        <w:rFonts w:eastAsia="Palatino Linotype"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A5687"/>
    <w:multiLevelType w:val="hybridMultilevel"/>
    <w:tmpl w:val="7AC2C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7E7DDF"/>
    <w:multiLevelType w:val="hybridMultilevel"/>
    <w:tmpl w:val="F24C0230"/>
    <w:lvl w:ilvl="0" w:tplc="2A3ED80A">
      <w:start w:val="1"/>
      <w:numFmt w:val="decimal"/>
      <w:lvlText w:val="%1."/>
      <w:lvlJc w:val="left"/>
      <w:pPr>
        <w:ind w:left="720" w:hanging="360"/>
      </w:pPr>
    </w:lvl>
    <w:lvl w:ilvl="1" w:tplc="70A62C00">
      <w:start w:val="1"/>
      <w:numFmt w:val="lowerLetter"/>
      <w:lvlText w:val="%2."/>
      <w:lvlJc w:val="left"/>
      <w:pPr>
        <w:ind w:left="1440" w:hanging="360"/>
      </w:pPr>
    </w:lvl>
    <w:lvl w:ilvl="2" w:tplc="6AE8B54A">
      <w:start w:val="1"/>
      <w:numFmt w:val="lowerRoman"/>
      <w:lvlText w:val="%3."/>
      <w:lvlJc w:val="right"/>
      <w:pPr>
        <w:ind w:left="2160" w:hanging="180"/>
      </w:pPr>
    </w:lvl>
    <w:lvl w:ilvl="3" w:tplc="80BAD950">
      <w:start w:val="1"/>
      <w:numFmt w:val="decimal"/>
      <w:lvlText w:val="%4."/>
      <w:lvlJc w:val="left"/>
      <w:pPr>
        <w:ind w:left="2880" w:hanging="360"/>
      </w:pPr>
    </w:lvl>
    <w:lvl w:ilvl="4" w:tplc="56A44F06">
      <w:start w:val="1"/>
      <w:numFmt w:val="lowerLetter"/>
      <w:lvlText w:val="%5."/>
      <w:lvlJc w:val="left"/>
      <w:pPr>
        <w:ind w:left="3600" w:hanging="360"/>
      </w:pPr>
    </w:lvl>
    <w:lvl w:ilvl="5" w:tplc="0994F682">
      <w:start w:val="1"/>
      <w:numFmt w:val="lowerRoman"/>
      <w:lvlText w:val="%6."/>
      <w:lvlJc w:val="right"/>
      <w:pPr>
        <w:ind w:left="4320" w:hanging="180"/>
      </w:pPr>
    </w:lvl>
    <w:lvl w:ilvl="6" w:tplc="8B280AC4">
      <w:start w:val="1"/>
      <w:numFmt w:val="decimal"/>
      <w:lvlText w:val="%7."/>
      <w:lvlJc w:val="left"/>
      <w:pPr>
        <w:ind w:left="5040" w:hanging="360"/>
      </w:pPr>
    </w:lvl>
    <w:lvl w:ilvl="7" w:tplc="5DD061F6">
      <w:start w:val="1"/>
      <w:numFmt w:val="lowerLetter"/>
      <w:lvlText w:val="%8."/>
      <w:lvlJc w:val="left"/>
      <w:pPr>
        <w:ind w:left="5760" w:hanging="360"/>
      </w:pPr>
    </w:lvl>
    <w:lvl w:ilvl="8" w:tplc="7BA84F3C">
      <w:start w:val="1"/>
      <w:numFmt w:val="lowerRoman"/>
      <w:lvlText w:val="%9."/>
      <w:lvlJc w:val="right"/>
      <w:pPr>
        <w:ind w:left="6480" w:hanging="180"/>
      </w:pPr>
    </w:lvl>
  </w:abstractNum>
  <w:abstractNum w:abstractNumId="20" w15:restartNumberingAfterBreak="0">
    <w:nsid w:val="3D9B172D"/>
    <w:multiLevelType w:val="hybridMultilevel"/>
    <w:tmpl w:val="56F21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595430"/>
    <w:multiLevelType w:val="hybridMultilevel"/>
    <w:tmpl w:val="0A942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4412E9"/>
    <w:multiLevelType w:val="hybridMultilevel"/>
    <w:tmpl w:val="4DC0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C0C0C"/>
    <w:multiLevelType w:val="hybridMultilevel"/>
    <w:tmpl w:val="C482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776F2"/>
    <w:multiLevelType w:val="hybridMultilevel"/>
    <w:tmpl w:val="C3FC3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810E30"/>
    <w:multiLevelType w:val="hybridMultilevel"/>
    <w:tmpl w:val="047EC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281DB4"/>
    <w:multiLevelType w:val="hybridMultilevel"/>
    <w:tmpl w:val="6658BC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547952"/>
    <w:multiLevelType w:val="hybridMultilevel"/>
    <w:tmpl w:val="D53CE0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6B7D0A"/>
    <w:multiLevelType w:val="hybridMultilevel"/>
    <w:tmpl w:val="55F29558"/>
    <w:lvl w:ilvl="0" w:tplc="C5DC2BE8">
      <w:start w:val="1"/>
      <w:numFmt w:val="decimal"/>
      <w:lvlText w:val="%1."/>
      <w:lvlJc w:val="left"/>
      <w:pPr>
        <w:ind w:left="720" w:hanging="360"/>
      </w:pPr>
      <w:rPr>
        <w:rFonts w:ascii="Palatino Linotype" w:eastAsia="SimSun" w:hAnsi="Palatino Linotype"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BC23BE"/>
    <w:multiLevelType w:val="hybridMultilevel"/>
    <w:tmpl w:val="739E156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29F6811"/>
    <w:multiLevelType w:val="hybridMultilevel"/>
    <w:tmpl w:val="D7A08F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A61F1D"/>
    <w:multiLevelType w:val="hybridMultilevel"/>
    <w:tmpl w:val="D3A2880A"/>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4B90E8F"/>
    <w:multiLevelType w:val="hybridMultilevel"/>
    <w:tmpl w:val="D8607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9B4B64"/>
    <w:multiLevelType w:val="hybridMultilevel"/>
    <w:tmpl w:val="E996AF8A"/>
    <w:lvl w:ilvl="0" w:tplc="FDE4A3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9052CB"/>
    <w:multiLevelType w:val="hybridMultilevel"/>
    <w:tmpl w:val="C960F27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0E741CE"/>
    <w:multiLevelType w:val="hybridMultilevel"/>
    <w:tmpl w:val="895057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ED1322"/>
    <w:multiLevelType w:val="hybridMultilevel"/>
    <w:tmpl w:val="7B72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EA79C5"/>
    <w:multiLevelType w:val="hybridMultilevel"/>
    <w:tmpl w:val="4D74D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ED44C0"/>
    <w:multiLevelType w:val="hybridMultilevel"/>
    <w:tmpl w:val="9238DCC6"/>
    <w:lvl w:ilvl="0" w:tplc="01B6E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41" w15:restartNumberingAfterBreak="0">
    <w:nsid w:val="7E0D02DC"/>
    <w:multiLevelType w:val="hybridMultilevel"/>
    <w:tmpl w:val="9D88F79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4620235">
    <w:abstractNumId w:val="7"/>
  </w:num>
  <w:num w:numId="2" w16cid:durableId="969365539">
    <w:abstractNumId w:val="38"/>
  </w:num>
  <w:num w:numId="3" w16cid:durableId="426273653">
    <w:abstractNumId w:val="40"/>
  </w:num>
  <w:num w:numId="4" w16cid:durableId="1901943406">
    <w:abstractNumId w:val="16"/>
  </w:num>
  <w:num w:numId="5" w16cid:durableId="244657654">
    <w:abstractNumId w:val="33"/>
  </w:num>
  <w:num w:numId="6" w16cid:durableId="785195994">
    <w:abstractNumId w:val="10"/>
  </w:num>
  <w:num w:numId="7" w16cid:durableId="1126043910">
    <w:abstractNumId w:val="28"/>
  </w:num>
  <w:num w:numId="8" w16cid:durableId="1178546138">
    <w:abstractNumId w:val="39"/>
  </w:num>
  <w:num w:numId="9" w16cid:durableId="1483504008">
    <w:abstractNumId w:val="19"/>
  </w:num>
  <w:num w:numId="10" w16cid:durableId="1896698561">
    <w:abstractNumId w:val="17"/>
  </w:num>
  <w:num w:numId="11" w16cid:durableId="35740533">
    <w:abstractNumId w:val="30"/>
  </w:num>
  <w:num w:numId="12" w16cid:durableId="1404596016">
    <w:abstractNumId w:val="23"/>
  </w:num>
  <w:num w:numId="13" w16cid:durableId="1687098637">
    <w:abstractNumId w:val="22"/>
  </w:num>
  <w:num w:numId="14" w16cid:durableId="1585801980">
    <w:abstractNumId w:val="5"/>
  </w:num>
  <w:num w:numId="15" w16cid:durableId="451828584">
    <w:abstractNumId w:val="27"/>
  </w:num>
  <w:num w:numId="16" w16cid:durableId="1784885576">
    <w:abstractNumId w:val="34"/>
  </w:num>
  <w:num w:numId="17" w16cid:durableId="1310596321">
    <w:abstractNumId w:val="8"/>
  </w:num>
  <w:num w:numId="18" w16cid:durableId="516846233">
    <w:abstractNumId w:val="4"/>
  </w:num>
  <w:num w:numId="19" w16cid:durableId="492527710">
    <w:abstractNumId w:val="14"/>
  </w:num>
  <w:num w:numId="20" w16cid:durableId="2092264677">
    <w:abstractNumId w:val="12"/>
  </w:num>
  <w:num w:numId="21" w16cid:durableId="1105153935">
    <w:abstractNumId w:val="36"/>
  </w:num>
  <w:num w:numId="22" w16cid:durableId="1090196334">
    <w:abstractNumId w:val="6"/>
  </w:num>
  <w:num w:numId="23" w16cid:durableId="1147474570">
    <w:abstractNumId w:val="41"/>
  </w:num>
  <w:num w:numId="24" w16cid:durableId="1189559591">
    <w:abstractNumId w:val="24"/>
  </w:num>
  <w:num w:numId="25" w16cid:durableId="914515065">
    <w:abstractNumId w:val="15"/>
  </w:num>
  <w:num w:numId="26" w16cid:durableId="827478973">
    <w:abstractNumId w:val="18"/>
  </w:num>
  <w:num w:numId="27" w16cid:durableId="1392389754">
    <w:abstractNumId w:val="13"/>
  </w:num>
  <w:num w:numId="28" w16cid:durableId="666248961">
    <w:abstractNumId w:val="3"/>
  </w:num>
  <w:num w:numId="29" w16cid:durableId="1922256295">
    <w:abstractNumId w:val="32"/>
  </w:num>
  <w:num w:numId="30" w16cid:durableId="571430608">
    <w:abstractNumId w:val="21"/>
  </w:num>
  <w:num w:numId="31" w16cid:durableId="1907299056">
    <w:abstractNumId w:val="20"/>
  </w:num>
  <w:num w:numId="32" w16cid:durableId="188879868">
    <w:abstractNumId w:val="35"/>
  </w:num>
  <w:num w:numId="33" w16cid:durableId="768279948">
    <w:abstractNumId w:val="0"/>
  </w:num>
  <w:num w:numId="34" w16cid:durableId="1974016894">
    <w:abstractNumId w:val="37"/>
  </w:num>
  <w:num w:numId="35" w16cid:durableId="624190275">
    <w:abstractNumId w:val="26"/>
  </w:num>
  <w:num w:numId="36" w16cid:durableId="2101484536">
    <w:abstractNumId w:val="9"/>
  </w:num>
  <w:num w:numId="37" w16cid:durableId="1617717699">
    <w:abstractNumId w:val="29"/>
  </w:num>
  <w:num w:numId="38" w16cid:durableId="1710106385">
    <w:abstractNumId w:val="31"/>
  </w:num>
  <w:num w:numId="39" w16cid:durableId="184172519">
    <w:abstractNumId w:val="25"/>
  </w:num>
  <w:num w:numId="40" w16cid:durableId="1328359644">
    <w:abstractNumId w:val="11"/>
  </w:num>
  <w:num w:numId="41" w16cid:durableId="1773284463">
    <w:abstractNumId w:val="1"/>
  </w:num>
  <w:num w:numId="42" w16cid:durableId="194356346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C57"/>
    <w:rsid w:val="00000DF4"/>
    <w:rsid w:val="00000EB7"/>
    <w:rsid w:val="00001175"/>
    <w:rsid w:val="000011E5"/>
    <w:rsid w:val="000012C9"/>
    <w:rsid w:val="00001E3B"/>
    <w:rsid w:val="00001EE6"/>
    <w:rsid w:val="00002132"/>
    <w:rsid w:val="00002154"/>
    <w:rsid w:val="000022E2"/>
    <w:rsid w:val="000023D4"/>
    <w:rsid w:val="000023E6"/>
    <w:rsid w:val="00002534"/>
    <w:rsid w:val="000025E4"/>
    <w:rsid w:val="000026F4"/>
    <w:rsid w:val="000034F1"/>
    <w:rsid w:val="0000385D"/>
    <w:rsid w:val="000038A1"/>
    <w:rsid w:val="00003BE4"/>
    <w:rsid w:val="00003CC2"/>
    <w:rsid w:val="00003D8A"/>
    <w:rsid w:val="00003E9E"/>
    <w:rsid w:val="000044C0"/>
    <w:rsid w:val="00004971"/>
    <w:rsid w:val="00004AC0"/>
    <w:rsid w:val="00004F93"/>
    <w:rsid w:val="0000502B"/>
    <w:rsid w:val="00005176"/>
    <w:rsid w:val="00005315"/>
    <w:rsid w:val="000056FD"/>
    <w:rsid w:val="00005C91"/>
    <w:rsid w:val="00005CBC"/>
    <w:rsid w:val="00006337"/>
    <w:rsid w:val="0000635A"/>
    <w:rsid w:val="0000640B"/>
    <w:rsid w:val="0000658C"/>
    <w:rsid w:val="0000667D"/>
    <w:rsid w:val="0000689D"/>
    <w:rsid w:val="00006C0C"/>
    <w:rsid w:val="00006E83"/>
    <w:rsid w:val="000070C2"/>
    <w:rsid w:val="0000714B"/>
    <w:rsid w:val="0000736B"/>
    <w:rsid w:val="00007C14"/>
    <w:rsid w:val="00007E45"/>
    <w:rsid w:val="00007F22"/>
    <w:rsid w:val="0001013B"/>
    <w:rsid w:val="000101F5"/>
    <w:rsid w:val="0001042D"/>
    <w:rsid w:val="00010442"/>
    <w:rsid w:val="00010923"/>
    <w:rsid w:val="00010951"/>
    <w:rsid w:val="000113C8"/>
    <w:rsid w:val="0001150F"/>
    <w:rsid w:val="00011577"/>
    <w:rsid w:val="00011AC5"/>
    <w:rsid w:val="00011ACD"/>
    <w:rsid w:val="00011BAB"/>
    <w:rsid w:val="00011E30"/>
    <w:rsid w:val="00011FFC"/>
    <w:rsid w:val="00012601"/>
    <w:rsid w:val="00012625"/>
    <w:rsid w:val="0001316B"/>
    <w:rsid w:val="000135F3"/>
    <w:rsid w:val="000137DA"/>
    <w:rsid w:val="0001382D"/>
    <w:rsid w:val="000139DB"/>
    <w:rsid w:val="00013BA3"/>
    <w:rsid w:val="00013E95"/>
    <w:rsid w:val="00014E08"/>
    <w:rsid w:val="000155CD"/>
    <w:rsid w:val="00015BEA"/>
    <w:rsid w:val="00016022"/>
    <w:rsid w:val="000162AB"/>
    <w:rsid w:val="0001650E"/>
    <w:rsid w:val="00016A4F"/>
    <w:rsid w:val="00016A57"/>
    <w:rsid w:val="00016B00"/>
    <w:rsid w:val="00016CE3"/>
    <w:rsid w:val="00017274"/>
    <w:rsid w:val="00020341"/>
    <w:rsid w:val="0002045A"/>
    <w:rsid w:val="0002052B"/>
    <w:rsid w:val="00020BDE"/>
    <w:rsid w:val="00020C2E"/>
    <w:rsid w:val="00020CA8"/>
    <w:rsid w:val="00020EB8"/>
    <w:rsid w:val="00020FED"/>
    <w:rsid w:val="000212D3"/>
    <w:rsid w:val="0002168F"/>
    <w:rsid w:val="000216E4"/>
    <w:rsid w:val="000217C1"/>
    <w:rsid w:val="00021828"/>
    <w:rsid w:val="00021B1C"/>
    <w:rsid w:val="00021E59"/>
    <w:rsid w:val="000220FF"/>
    <w:rsid w:val="00022409"/>
    <w:rsid w:val="00022419"/>
    <w:rsid w:val="0002247A"/>
    <w:rsid w:val="000226FA"/>
    <w:rsid w:val="000228D8"/>
    <w:rsid w:val="000235EC"/>
    <w:rsid w:val="00023625"/>
    <w:rsid w:val="000238AE"/>
    <w:rsid w:val="0002395D"/>
    <w:rsid w:val="00023BA9"/>
    <w:rsid w:val="00023D46"/>
    <w:rsid w:val="00023F8E"/>
    <w:rsid w:val="00023F93"/>
    <w:rsid w:val="000243D1"/>
    <w:rsid w:val="000244A9"/>
    <w:rsid w:val="000244F8"/>
    <w:rsid w:val="00024A05"/>
    <w:rsid w:val="00024AC6"/>
    <w:rsid w:val="0002508C"/>
    <w:rsid w:val="00025404"/>
    <w:rsid w:val="0002555D"/>
    <w:rsid w:val="00025A77"/>
    <w:rsid w:val="00025FD5"/>
    <w:rsid w:val="00026059"/>
    <w:rsid w:val="000261E4"/>
    <w:rsid w:val="0002623D"/>
    <w:rsid w:val="00026760"/>
    <w:rsid w:val="0002680C"/>
    <w:rsid w:val="00026CBE"/>
    <w:rsid w:val="00026F37"/>
    <w:rsid w:val="0002703F"/>
    <w:rsid w:val="0002716E"/>
    <w:rsid w:val="0002749B"/>
    <w:rsid w:val="0002750A"/>
    <w:rsid w:val="0002779B"/>
    <w:rsid w:val="00027AC2"/>
    <w:rsid w:val="00027DDB"/>
    <w:rsid w:val="00027DE1"/>
    <w:rsid w:val="000303C3"/>
    <w:rsid w:val="0003046C"/>
    <w:rsid w:val="00030759"/>
    <w:rsid w:val="00030797"/>
    <w:rsid w:val="0003098E"/>
    <w:rsid w:val="00030F3E"/>
    <w:rsid w:val="00030F3F"/>
    <w:rsid w:val="00031004"/>
    <w:rsid w:val="0003119B"/>
    <w:rsid w:val="00031496"/>
    <w:rsid w:val="000314EC"/>
    <w:rsid w:val="00031E4B"/>
    <w:rsid w:val="00032363"/>
    <w:rsid w:val="0003278B"/>
    <w:rsid w:val="00032A2E"/>
    <w:rsid w:val="00032B5B"/>
    <w:rsid w:val="00032BF6"/>
    <w:rsid w:val="00032C27"/>
    <w:rsid w:val="00032DCB"/>
    <w:rsid w:val="0003305D"/>
    <w:rsid w:val="00033068"/>
    <w:rsid w:val="0003320E"/>
    <w:rsid w:val="0003350A"/>
    <w:rsid w:val="0003366A"/>
    <w:rsid w:val="00033A44"/>
    <w:rsid w:val="00033C90"/>
    <w:rsid w:val="0003413F"/>
    <w:rsid w:val="0003427E"/>
    <w:rsid w:val="00034334"/>
    <w:rsid w:val="00034408"/>
    <w:rsid w:val="000344F6"/>
    <w:rsid w:val="000345D5"/>
    <w:rsid w:val="00034BDA"/>
    <w:rsid w:val="00034DD0"/>
    <w:rsid w:val="00034E90"/>
    <w:rsid w:val="00034F9B"/>
    <w:rsid w:val="00034FC4"/>
    <w:rsid w:val="00035478"/>
    <w:rsid w:val="000354AB"/>
    <w:rsid w:val="00035701"/>
    <w:rsid w:val="0003585C"/>
    <w:rsid w:val="000358A5"/>
    <w:rsid w:val="0003598B"/>
    <w:rsid w:val="00035BE4"/>
    <w:rsid w:val="00035D81"/>
    <w:rsid w:val="000363B4"/>
    <w:rsid w:val="00036415"/>
    <w:rsid w:val="00036555"/>
    <w:rsid w:val="00036633"/>
    <w:rsid w:val="000366C5"/>
    <w:rsid w:val="00036840"/>
    <w:rsid w:val="0003684B"/>
    <w:rsid w:val="00036859"/>
    <w:rsid w:val="00036884"/>
    <w:rsid w:val="00036B3F"/>
    <w:rsid w:val="00036FDA"/>
    <w:rsid w:val="00037409"/>
    <w:rsid w:val="0003764E"/>
    <w:rsid w:val="000379AB"/>
    <w:rsid w:val="00037CD7"/>
    <w:rsid w:val="000403DA"/>
    <w:rsid w:val="00040744"/>
    <w:rsid w:val="000407E1"/>
    <w:rsid w:val="00040896"/>
    <w:rsid w:val="00040E25"/>
    <w:rsid w:val="00041090"/>
    <w:rsid w:val="00041628"/>
    <w:rsid w:val="000416C0"/>
    <w:rsid w:val="00041809"/>
    <w:rsid w:val="00041C70"/>
    <w:rsid w:val="00041DC2"/>
    <w:rsid w:val="00041DD1"/>
    <w:rsid w:val="0004208A"/>
    <w:rsid w:val="000420F7"/>
    <w:rsid w:val="00042291"/>
    <w:rsid w:val="00042646"/>
    <w:rsid w:val="000426D6"/>
    <w:rsid w:val="000427AE"/>
    <w:rsid w:val="000427EA"/>
    <w:rsid w:val="00042896"/>
    <w:rsid w:val="00042A2D"/>
    <w:rsid w:val="00042CBA"/>
    <w:rsid w:val="00042D5E"/>
    <w:rsid w:val="00042D9D"/>
    <w:rsid w:val="00042E13"/>
    <w:rsid w:val="00043C99"/>
    <w:rsid w:val="00043F0A"/>
    <w:rsid w:val="00044703"/>
    <w:rsid w:val="00044C38"/>
    <w:rsid w:val="00045595"/>
    <w:rsid w:val="00045747"/>
    <w:rsid w:val="00045939"/>
    <w:rsid w:val="00045B71"/>
    <w:rsid w:val="00045C87"/>
    <w:rsid w:val="000460BA"/>
    <w:rsid w:val="000460C2"/>
    <w:rsid w:val="000461AA"/>
    <w:rsid w:val="00046656"/>
    <w:rsid w:val="00046E0C"/>
    <w:rsid w:val="00046E8D"/>
    <w:rsid w:val="00047093"/>
    <w:rsid w:val="000475A8"/>
    <w:rsid w:val="000476D4"/>
    <w:rsid w:val="00047954"/>
    <w:rsid w:val="00047C63"/>
    <w:rsid w:val="00047DC6"/>
    <w:rsid w:val="00047F44"/>
    <w:rsid w:val="00047FCD"/>
    <w:rsid w:val="00050595"/>
    <w:rsid w:val="00050B36"/>
    <w:rsid w:val="00050DA2"/>
    <w:rsid w:val="00050DAE"/>
    <w:rsid w:val="000511B9"/>
    <w:rsid w:val="0005140B"/>
    <w:rsid w:val="000515E5"/>
    <w:rsid w:val="0005185D"/>
    <w:rsid w:val="00051C77"/>
    <w:rsid w:val="00051E8D"/>
    <w:rsid w:val="000521B5"/>
    <w:rsid w:val="0005221C"/>
    <w:rsid w:val="00052381"/>
    <w:rsid w:val="000523CF"/>
    <w:rsid w:val="000524CC"/>
    <w:rsid w:val="000525DA"/>
    <w:rsid w:val="00052612"/>
    <w:rsid w:val="00052770"/>
    <w:rsid w:val="000529F0"/>
    <w:rsid w:val="00052A59"/>
    <w:rsid w:val="00052A72"/>
    <w:rsid w:val="00053022"/>
    <w:rsid w:val="000531DE"/>
    <w:rsid w:val="0005326C"/>
    <w:rsid w:val="00053304"/>
    <w:rsid w:val="00053327"/>
    <w:rsid w:val="00053328"/>
    <w:rsid w:val="0005355D"/>
    <w:rsid w:val="00053896"/>
    <w:rsid w:val="000538B6"/>
    <w:rsid w:val="00053C5E"/>
    <w:rsid w:val="00054054"/>
    <w:rsid w:val="000540BA"/>
    <w:rsid w:val="000541AA"/>
    <w:rsid w:val="00054313"/>
    <w:rsid w:val="000546F4"/>
    <w:rsid w:val="00054771"/>
    <w:rsid w:val="000547FB"/>
    <w:rsid w:val="00054A26"/>
    <w:rsid w:val="00054A39"/>
    <w:rsid w:val="00054D09"/>
    <w:rsid w:val="00054D11"/>
    <w:rsid w:val="00054FA8"/>
    <w:rsid w:val="00055557"/>
    <w:rsid w:val="0005567D"/>
    <w:rsid w:val="00055878"/>
    <w:rsid w:val="000558A1"/>
    <w:rsid w:val="00055973"/>
    <w:rsid w:val="00055A11"/>
    <w:rsid w:val="00055B1C"/>
    <w:rsid w:val="00055B45"/>
    <w:rsid w:val="00055D72"/>
    <w:rsid w:val="000560B4"/>
    <w:rsid w:val="000569B6"/>
    <w:rsid w:val="00056A04"/>
    <w:rsid w:val="00056AE1"/>
    <w:rsid w:val="00056EAE"/>
    <w:rsid w:val="00056F1B"/>
    <w:rsid w:val="00057029"/>
    <w:rsid w:val="000571CB"/>
    <w:rsid w:val="00057C29"/>
    <w:rsid w:val="00057CE2"/>
    <w:rsid w:val="00057D34"/>
    <w:rsid w:val="00057DDB"/>
    <w:rsid w:val="00057FC9"/>
    <w:rsid w:val="0006047B"/>
    <w:rsid w:val="000607C8"/>
    <w:rsid w:val="000608C2"/>
    <w:rsid w:val="00060AFE"/>
    <w:rsid w:val="00060BC7"/>
    <w:rsid w:val="00060BE0"/>
    <w:rsid w:val="00060D2B"/>
    <w:rsid w:val="00061078"/>
    <w:rsid w:val="00061150"/>
    <w:rsid w:val="00061170"/>
    <w:rsid w:val="000612C7"/>
    <w:rsid w:val="0006138B"/>
    <w:rsid w:val="00061506"/>
    <w:rsid w:val="00061551"/>
    <w:rsid w:val="0006159F"/>
    <w:rsid w:val="000616BE"/>
    <w:rsid w:val="0006171F"/>
    <w:rsid w:val="00061B80"/>
    <w:rsid w:val="00061DCA"/>
    <w:rsid w:val="00061EB9"/>
    <w:rsid w:val="0006202A"/>
    <w:rsid w:val="0006211C"/>
    <w:rsid w:val="00062121"/>
    <w:rsid w:val="000624CC"/>
    <w:rsid w:val="00062900"/>
    <w:rsid w:val="00062D56"/>
    <w:rsid w:val="00063165"/>
    <w:rsid w:val="000631CB"/>
    <w:rsid w:val="000636BE"/>
    <w:rsid w:val="00063918"/>
    <w:rsid w:val="00063AB6"/>
    <w:rsid w:val="0006450B"/>
    <w:rsid w:val="000645B8"/>
    <w:rsid w:val="00064818"/>
    <w:rsid w:val="00064B2C"/>
    <w:rsid w:val="0006545D"/>
    <w:rsid w:val="00065487"/>
    <w:rsid w:val="00065768"/>
    <w:rsid w:val="0006585F"/>
    <w:rsid w:val="00065AE7"/>
    <w:rsid w:val="00065D08"/>
    <w:rsid w:val="0006613E"/>
    <w:rsid w:val="000662CD"/>
    <w:rsid w:val="00066500"/>
    <w:rsid w:val="000665FF"/>
    <w:rsid w:val="000666A2"/>
    <w:rsid w:val="00066940"/>
    <w:rsid w:val="000669A9"/>
    <w:rsid w:val="00066AFC"/>
    <w:rsid w:val="00066B58"/>
    <w:rsid w:val="00066C65"/>
    <w:rsid w:val="00066E32"/>
    <w:rsid w:val="00066E68"/>
    <w:rsid w:val="0006721F"/>
    <w:rsid w:val="00067591"/>
    <w:rsid w:val="00067ABF"/>
    <w:rsid w:val="00067D85"/>
    <w:rsid w:val="0007007D"/>
    <w:rsid w:val="000700C6"/>
    <w:rsid w:val="0007012C"/>
    <w:rsid w:val="00070577"/>
    <w:rsid w:val="00070940"/>
    <w:rsid w:val="00070B26"/>
    <w:rsid w:val="0007106F"/>
    <w:rsid w:val="00071665"/>
    <w:rsid w:val="000718B7"/>
    <w:rsid w:val="00071BCB"/>
    <w:rsid w:val="00071C6D"/>
    <w:rsid w:val="00071D5B"/>
    <w:rsid w:val="00072614"/>
    <w:rsid w:val="000726AA"/>
    <w:rsid w:val="0007285E"/>
    <w:rsid w:val="000728A7"/>
    <w:rsid w:val="00072D89"/>
    <w:rsid w:val="00073159"/>
    <w:rsid w:val="00073189"/>
    <w:rsid w:val="000731A5"/>
    <w:rsid w:val="000731FB"/>
    <w:rsid w:val="000735EA"/>
    <w:rsid w:val="00073C81"/>
    <w:rsid w:val="00073DB8"/>
    <w:rsid w:val="00074193"/>
    <w:rsid w:val="0007429E"/>
    <w:rsid w:val="000748D6"/>
    <w:rsid w:val="00074ADD"/>
    <w:rsid w:val="00074C92"/>
    <w:rsid w:val="00074E47"/>
    <w:rsid w:val="000750ED"/>
    <w:rsid w:val="000751FC"/>
    <w:rsid w:val="00075357"/>
    <w:rsid w:val="000753A9"/>
    <w:rsid w:val="0007542C"/>
    <w:rsid w:val="0007549B"/>
    <w:rsid w:val="000755EF"/>
    <w:rsid w:val="00075C7F"/>
    <w:rsid w:val="00075E8A"/>
    <w:rsid w:val="00076016"/>
    <w:rsid w:val="00076181"/>
    <w:rsid w:val="00076569"/>
    <w:rsid w:val="00076932"/>
    <w:rsid w:val="00076C71"/>
    <w:rsid w:val="00076E01"/>
    <w:rsid w:val="00076EDE"/>
    <w:rsid w:val="000772BD"/>
    <w:rsid w:val="00077579"/>
    <w:rsid w:val="000776D6"/>
    <w:rsid w:val="0007777D"/>
    <w:rsid w:val="000777CB"/>
    <w:rsid w:val="0007788F"/>
    <w:rsid w:val="00077AF0"/>
    <w:rsid w:val="00080109"/>
    <w:rsid w:val="00080281"/>
    <w:rsid w:val="0008078E"/>
    <w:rsid w:val="000818F7"/>
    <w:rsid w:val="000819BB"/>
    <w:rsid w:val="00081A22"/>
    <w:rsid w:val="00081AC2"/>
    <w:rsid w:val="00082018"/>
    <w:rsid w:val="00082726"/>
    <w:rsid w:val="00082838"/>
    <w:rsid w:val="00082C34"/>
    <w:rsid w:val="00082DA0"/>
    <w:rsid w:val="00082DD5"/>
    <w:rsid w:val="00082E14"/>
    <w:rsid w:val="00082E75"/>
    <w:rsid w:val="00083005"/>
    <w:rsid w:val="000832A3"/>
    <w:rsid w:val="00083573"/>
    <w:rsid w:val="0008370C"/>
    <w:rsid w:val="00083798"/>
    <w:rsid w:val="00083837"/>
    <w:rsid w:val="00083A0C"/>
    <w:rsid w:val="00083A84"/>
    <w:rsid w:val="00083BE0"/>
    <w:rsid w:val="00083C51"/>
    <w:rsid w:val="00083DD1"/>
    <w:rsid w:val="00083E97"/>
    <w:rsid w:val="00084247"/>
    <w:rsid w:val="00084883"/>
    <w:rsid w:val="00084B8C"/>
    <w:rsid w:val="00084C19"/>
    <w:rsid w:val="00084F1A"/>
    <w:rsid w:val="000850EA"/>
    <w:rsid w:val="00085174"/>
    <w:rsid w:val="000852B7"/>
    <w:rsid w:val="00085469"/>
    <w:rsid w:val="00085614"/>
    <w:rsid w:val="0008569B"/>
    <w:rsid w:val="00085D98"/>
    <w:rsid w:val="000860FE"/>
    <w:rsid w:val="000864DF"/>
    <w:rsid w:val="00086587"/>
    <w:rsid w:val="000866D9"/>
    <w:rsid w:val="00086865"/>
    <w:rsid w:val="00086AF8"/>
    <w:rsid w:val="000873A9"/>
    <w:rsid w:val="00087427"/>
    <w:rsid w:val="000874DA"/>
    <w:rsid w:val="00087686"/>
    <w:rsid w:val="000877E3"/>
    <w:rsid w:val="00087A2F"/>
    <w:rsid w:val="00087CEB"/>
    <w:rsid w:val="00087EDF"/>
    <w:rsid w:val="00087EFE"/>
    <w:rsid w:val="0009028A"/>
    <w:rsid w:val="000904ED"/>
    <w:rsid w:val="00090525"/>
    <w:rsid w:val="00090916"/>
    <w:rsid w:val="00090B49"/>
    <w:rsid w:val="00090F80"/>
    <w:rsid w:val="000913D0"/>
    <w:rsid w:val="000913FE"/>
    <w:rsid w:val="000915A2"/>
    <w:rsid w:val="000915E4"/>
    <w:rsid w:val="00091C1F"/>
    <w:rsid w:val="00091E4E"/>
    <w:rsid w:val="00091E77"/>
    <w:rsid w:val="00091EF9"/>
    <w:rsid w:val="000922AA"/>
    <w:rsid w:val="00092380"/>
    <w:rsid w:val="000923D6"/>
    <w:rsid w:val="000928D5"/>
    <w:rsid w:val="0009299C"/>
    <w:rsid w:val="00092C27"/>
    <w:rsid w:val="000931C8"/>
    <w:rsid w:val="00093510"/>
    <w:rsid w:val="00093894"/>
    <w:rsid w:val="00093899"/>
    <w:rsid w:val="00093C3D"/>
    <w:rsid w:val="00094086"/>
    <w:rsid w:val="00094C06"/>
    <w:rsid w:val="00094F03"/>
    <w:rsid w:val="00095224"/>
    <w:rsid w:val="000954D7"/>
    <w:rsid w:val="0009552C"/>
    <w:rsid w:val="000955D4"/>
    <w:rsid w:val="000955F3"/>
    <w:rsid w:val="0009563D"/>
    <w:rsid w:val="00095657"/>
    <w:rsid w:val="00095859"/>
    <w:rsid w:val="00095953"/>
    <w:rsid w:val="00095A46"/>
    <w:rsid w:val="0009602A"/>
    <w:rsid w:val="0009630A"/>
    <w:rsid w:val="00096538"/>
    <w:rsid w:val="00096800"/>
    <w:rsid w:val="00096970"/>
    <w:rsid w:val="000969E6"/>
    <w:rsid w:val="00096F71"/>
    <w:rsid w:val="00096FFB"/>
    <w:rsid w:val="0009718F"/>
    <w:rsid w:val="000977CB"/>
    <w:rsid w:val="000978C1"/>
    <w:rsid w:val="00097F67"/>
    <w:rsid w:val="000A0045"/>
    <w:rsid w:val="000A0090"/>
    <w:rsid w:val="000A029A"/>
    <w:rsid w:val="000A04EF"/>
    <w:rsid w:val="000A05AE"/>
    <w:rsid w:val="000A0A52"/>
    <w:rsid w:val="000A0AAC"/>
    <w:rsid w:val="000A0F48"/>
    <w:rsid w:val="000A1299"/>
    <w:rsid w:val="000A12E3"/>
    <w:rsid w:val="000A1E54"/>
    <w:rsid w:val="000A209B"/>
    <w:rsid w:val="000A2E91"/>
    <w:rsid w:val="000A30F3"/>
    <w:rsid w:val="000A3528"/>
    <w:rsid w:val="000A36A3"/>
    <w:rsid w:val="000A36EA"/>
    <w:rsid w:val="000A3A3E"/>
    <w:rsid w:val="000A3A46"/>
    <w:rsid w:val="000A3AF2"/>
    <w:rsid w:val="000A3B73"/>
    <w:rsid w:val="000A3DBC"/>
    <w:rsid w:val="000A4385"/>
    <w:rsid w:val="000A4520"/>
    <w:rsid w:val="000A482E"/>
    <w:rsid w:val="000A48E8"/>
    <w:rsid w:val="000A4AC5"/>
    <w:rsid w:val="000A5174"/>
    <w:rsid w:val="000A5323"/>
    <w:rsid w:val="000A5359"/>
    <w:rsid w:val="000A5E93"/>
    <w:rsid w:val="000A5FAD"/>
    <w:rsid w:val="000A6133"/>
    <w:rsid w:val="000A6287"/>
    <w:rsid w:val="000A641A"/>
    <w:rsid w:val="000A694B"/>
    <w:rsid w:val="000A697A"/>
    <w:rsid w:val="000A697F"/>
    <w:rsid w:val="000A69CA"/>
    <w:rsid w:val="000A6AD7"/>
    <w:rsid w:val="000A6B8A"/>
    <w:rsid w:val="000A72E0"/>
    <w:rsid w:val="000A7498"/>
    <w:rsid w:val="000A7973"/>
    <w:rsid w:val="000A7ADE"/>
    <w:rsid w:val="000A7C37"/>
    <w:rsid w:val="000A7DDE"/>
    <w:rsid w:val="000A7DFD"/>
    <w:rsid w:val="000A7EC3"/>
    <w:rsid w:val="000B0667"/>
    <w:rsid w:val="000B0A6F"/>
    <w:rsid w:val="000B0A7F"/>
    <w:rsid w:val="000B0CAC"/>
    <w:rsid w:val="000B0CDF"/>
    <w:rsid w:val="000B0E5D"/>
    <w:rsid w:val="000B1352"/>
    <w:rsid w:val="000B1353"/>
    <w:rsid w:val="000B14E0"/>
    <w:rsid w:val="000B1937"/>
    <w:rsid w:val="000B1A4A"/>
    <w:rsid w:val="000B1ABD"/>
    <w:rsid w:val="000B24A3"/>
    <w:rsid w:val="000B24C3"/>
    <w:rsid w:val="000B2763"/>
    <w:rsid w:val="000B2835"/>
    <w:rsid w:val="000B34ED"/>
    <w:rsid w:val="000B3623"/>
    <w:rsid w:val="000B3E83"/>
    <w:rsid w:val="000B3FF9"/>
    <w:rsid w:val="000B41C5"/>
    <w:rsid w:val="000B448F"/>
    <w:rsid w:val="000B450C"/>
    <w:rsid w:val="000B46B4"/>
    <w:rsid w:val="000B47B3"/>
    <w:rsid w:val="000B4A85"/>
    <w:rsid w:val="000B4F87"/>
    <w:rsid w:val="000B503F"/>
    <w:rsid w:val="000B52C2"/>
    <w:rsid w:val="000B56CA"/>
    <w:rsid w:val="000B5BD5"/>
    <w:rsid w:val="000B5CAA"/>
    <w:rsid w:val="000B5D14"/>
    <w:rsid w:val="000B6055"/>
    <w:rsid w:val="000B6127"/>
    <w:rsid w:val="000B626A"/>
    <w:rsid w:val="000B6310"/>
    <w:rsid w:val="000B6755"/>
    <w:rsid w:val="000B68B1"/>
    <w:rsid w:val="000B68F0"/>
    <w:rsid w:val="000B69D1"/>
    <w:rsid w:val="000B6D13"/>
    <w:rsid w:val="000B6FDA"/>
    <w:rsid w:val="000B708C"/>
    <w:rsid w:val="000B748B"/>
    <w:rsid w:val="000B76A0"/>
    <w:rsid w:val="000B7AC3"/>
    <w:rsid w:val="000C01B5"/>
    <w:rsid w:val="000C03C8"/>
    <w:rsid w:val="000C047D"/>
    <w:rsid w:val="000C091F"/>
    <w:rsid w:val="000C0CB9"/>
    <w:rsid w:val="000C0D7E"/>
    <w:rsid w:val="000C1B0F"/>
    <w:rsid w:val="000C1D5B"/>
    <w:rsid w:val="000C1E40"/>
    <w:rsid w:val="000C20B9"/>
    <w:rsid w:val="000C2404"/>
    <w:rsid w:val="000C245F"/>
    <w:rsid w:val="000C2478"/>
    <w:rsid w:val="000C2556"/>
    <w:rsid w:val="000C291C"/>
    <w:rsid w:val="000C2A69"/>
    <w:rsid w:val="000C2AE4"/>
    <w:rsid w:val="000C3060"/>
    <w:rsid w:val="000C31B5"/>
    <w:rsid w:val="000C366E"/>
    <w:rsid w:val="000C3B6D"/>
    <w:rsid w:val="000C3E6A"/>
    <w:rsid w:val="000C3EF3"/>
    <w:rsid w:val="000C3F88"/>
    <w:rsid w:val="000C4015"/>
    <w:rsid w:val="000C4410"/>
    <w:rsid w:val="000C4493"/>
    <w:rsid w:val="000C501E"/>
    <w:rsid w:val="000C53F2"/>
    <w:rsid w:val="000C5500"/>
    <w:rsid w:val="000C566C"/>
    <w:rsid w:val="000C5703"/>
    <w:rsid w:val="000C58D8"/>
    <w:rsid w:val="000C597B"/>
    <w:rsid w:val="000C5992"/>
    <w:rsid w:val="000C5A8B"/>
    <w:rsid w:val="000C5FE4"/>
    <w:rsid w:val="000C66E1"/>
    <w:rsid w:val="000C6AF2"/>
    <w:rsid w:val="000C6C1F"/>
    <w:rsid w:val="000C7071"/>
    <w:rsid w:val="000C7098"/>
    <w:rsid w:val="000C7878"/>
    <w:rsid w:val="000C7E7E"/>
    <w:rsid w:val="000C7ECE"/>
    <w:rsid w:val="000C7EF4"/>
    <w:rsid w:val="000C848E"/>
    <w:rsid w:val="000D049C"/>
    <w:rsid w:val="000D0622"/>
    <w:rsid w:val="000D0669"/>
    <w:rsid w:val="000D0696"/>
    <w:rsid w:val="000D09E3"/>
    <w:rsid w:val="000D0C3A"/>
    <w:rsid w:val="000D0E64"/>
    <w:rsid w:val="000D11B8"/>
    <w:rsid w:val="000D1243"/>
    <w:rsid w:val="000D1281"/>
    <w:rsid w:val="000D12B9"/>
    <w:rsid w:val="000D1844"/>
    <w:rsid w:val="000D1924"/>
    <w:rsid w:val="000D19C6"/>
    <w:rsid w:val="000D1AC7"/>
    <w:rsid w:val="000D1AEA"/>
    <w:rsid w:val="000D1B8B"/>
    <w:rsid w:val="000D2460"/>
    <w:rsid w:val="000D2509"/>
    <w:rsid w:val="000D2779"/>
    <w:rsid w:val="000D3F9C"/>
    <w:rsid w:val="000D4120"/>
    <w:rsid w:val="000D4196"/>
    <w:rsid w:val="000D4428"/>
    <w:rsid w:val="000D4C87"/>
    <w:rsid w:val="000D5198"/>
    <w:rsid w:val="000D51E0"/>
    <w:rsid w:val="000D5535"/>
    <w:rsid w:val="000D55A0"/>
    <w:rsid w:val="000D58F4"/>
    <w:rsid w:val="000D5A6D"/>
    <w:rsid w:val="000D6084"/>
    <w:rsid w:val="000D6113"/>
    <w:rsid w:val="000D64E0"/>
    <w:rsid w:val="000D65CA"/>
    <w:rsid w:val="000D692B"/>
    <w:rsid w:val="000D6A11"/>
    <w:rsid w:val="000D6A4C"/>
    <w:rsid w:val="000D709E"/>
    <w:rsid w:val="000D7221"/>
    <w:rsid w:val="000D7587"/>
    <w:rsid w:val="000D767C"/>
    <w:rsid w:val="000D76D1"/>
    <w:rsid w:val="000D786B"/>
    <w:rsid w:val="000D7BFB"/>
    <w:rsid w:val="000D7D6A"/>
    <w:rsid w:val="000D7EE1"/>
    <w:rsid w:val="000E0139"/>
    <w:rsid w:val="000E0158"/>
    <w:rsid w:val="000E025E"/>
    <w:rsid w:val="000E0484"/>
    <w:rsid w:val="000E04CD"/>
    <w:rsid w:val="000E0881"/>
    <w:rsid w:val="000E08D1"/>
    <w:rsid w:val="000E112D"/>
    <w:rsid w:val="000E132C"/>
    <w:rsid w:val="000E1431"/>
    <w:rsid w:val="000E147E"/>
    <w:rsid w:val="000E14A8"/>
    <w:rsid w:val="000E164E"/>
    <w:rsid w:val="000E1864"/>
    <w:rsid w:val="000E18C8"/>
    <w:rsid w:val="000E1EC8"/>
    <w:rsid w:val="000E2087"/>
    <w:rsid w:val="000E24CE"/>
    <w:rsid w:val="000E29D8"/>
    <w:rsid w:val="000E2D86"/>
    <w:rsid w:val="000E2E11"/>
    <w:rsid w:val="000E2F95"/>
    <w:rsid w:val="000E2FE5"/>
    <w:rsid w:val="000E301F"/>
    <w:rsid w:val="000E3142"/>
    <w:rsid w:val="000E343B"/>
    <w:rsid w:val="000E34C6"/>
    <w:rsid w:val="000E397D"/>
    <w:rsid w:val="000E3C83"/>
    <w:rsid w:val="000E3CB5"/>
    <w:rsid w:val="000E3DBA"/>
    <w:rsid w:val="000E4005"/>
    <w:rsid w:val="000E44BC"/>
    <w:rsid w:val="000E477C"/>
    <w:rsid w:val="000E48AA"/>
    <w:rsid w:val="000E4A2E"/>
    <w:rsid w:val="000E4BB9"/>
    <w:rsid w:val="000E4C7C"/>
    <w:rsid w:val="000E4EB5"/>
    <w:rsid w:val="000E52DD"/>
    <w:rsid w:val="000E5AC6"/>
    <w:rsid w:val="000E66EE"/>
    <w:rsid w:val="000E6940"/>
    <w:rsid w:val="000E6A10"/>
    <w:rsid w:val="000E6A18"/>
    <w:rsid w:val="000E6CC4"/>
    <w:rsid w:val="000E6EE4"/>
    <w:rsid w:val="000E75C2"/>
    <w:rsid w:val="000E760E"/>
    <w:rsid w:val="000E7D65"/>
    <w:rsid w:val="000E7DC6"/>
    <w:rsid w:val="000E7DCA"/>
    <w:rsid w:val="000E7EC8"/>
    <w:rsid w:val="000E7FB2"/>
    <w:rsid w:val="000F00BE"/>
    <w:rsid w:val="000F0207"/>
    <w:rsid w:val="000F044A"/>
    <w:rsid w:val="000F0960"/>
    <w:rsid w:val="000F0EF0"/>
    <w:rsid w:val="000F0F26"/>
    <w:rsid w:val="000F0F50"/>
    <w:rsid w:val="000F1577"/>
    <w:rsid w:val="000F1723"/>
    <w:rsid w:val="000F177C"/>
    <w:rsid w:val="000F1967"/>
    <w:rsid w:val="000F235C"/>
    <w:rsid w:val="000F27BA"/>
    <w:rsid w:val="000F2AF1"/>
    <w:rsid w:val="000F2CE0"/>
    <w:rsid w:val="000F3132"/>
    <w:rsid w:val="000F3211"/>
    <w:rsid w:val="000F35B9"/>
    <w:rsid w:val="000F37E3"/>
    <w:rsid w:val="000F49A0"/>
    <w:rsid w:val="000F540F"/>
    <w:rsid w:val="000F5B34"/>
    <w:rsid w:val="000F5BFD"/>
    <w:rsid w:val="000F6276"/>
    <w:rsid w:val="000F6770"/>
    <w:rsid w:val="000F682E"/>
    <w:rsid w:val="000F697A"/>
    <w:rsid w:val="000F702D"/>
    <w:rsid w:val="000F7390"/>
    <w:rsid w:val="000F7F37"/>
    <w:rsid w:val="00100133"/>
    <w:rsid w:val="0010021D"/>
    <w:rsid w:val="001003A9"/>
    <w:rsid w:val="001004C6"/>
    <w:rsid w:val="00100529"/>
    <w:rsid w:val="00100EA1"/>
    <w:rsid w:val="00100EBA"/>
    <w:rsid w:val="00101492"/>
    <w:rsid w:val="00101568"/>
    <w:rsid w:val="00101682"/>
    <w:rsid w:val="00101812"/>
    <w:rsid w:val="001019A9"/>
    <w:rsid w:val="00101A05"/>
    <w:rsid w:val="00101CCB"/>
    <w:rsid w:val="00101ED2"/>
    <w:rsid w:val="00101FF3"/>
    <w:rsid w:val="0010222C"/>
    <w:rsid w:val="001022A0"/>
    <w:rsid w:val="001026F4"/>
    <w:rsid w:val="001031B1"/>
    <w:rsid w:val="00103350"/>
    <w:rsid w:val="00103AD0"/>
    <w:rsid w:val="00103AD5"/>
    <w:rsid w:val="00103BB8"/>
    <w:rsid w:val="0010435C"/>
    <w:rsid w:val="00104594"/>
    <w:rsid w:val="00104B93"/>
    <w:rsid w:val="0010501A"/>
    <w:rsid w:val="00105AA6"/>
    <w:rsid w:val="00105C82"/>
    <w:rsid w:val="00105F82"/>
    <w:rsid w:val="001061D1"/>
    <w:rsid w:val="001062AF"/>
    <w:rsid w:val="00106577"/>
    <w:rsid w:val="001065B6"/>
    <w:rsid w:val="001065C5"/>
    <w:rsid w:val="00106731"/>
    <w:rsid w:val="00106966"/>
    <w:rsid w:val="00106E35"/>
    <w:rsid w:val="00107017"/>
    <w:rsid w:val="00107055"/>
    <w:rsid w:val="0010714E"/>
    <w:rsid w:val="00107182"/>
    <w:rsid w:val="00107708"/>
    <w:rsid w:val="0010792B"/>
    <w:rsid w:val="0010798D"/>
    <w:rsid w:val="00107CE2"/>
    <w:rsid w:val="00107D89"/>
    <w:rsid w:val="0011042E"/>
    <w:rsid w:val="001107AE"/>
    <w:rsid w:val="00110ABB"/>
    <w:rsid w:val="00111170"/>
    <w:rsid w:val="0011120B"/>
    <w:rsid w:val="00111EDB"/>
    <w:rsid w:val="00111FD5"/>
    <w:rsid w:val="00112040"/>
    <w:rsid w:val="0011221E"/>
    <w:rsid w:val="001125C7"/>
    <w:rsid w:val="0011275C"/>
    <w:rsid w:val="00113102"/>
    <w:rsid w:val="00113236"/>
    <w:rsid w:val="00113716"/>
    <w:rsid w:val="00114103"/>
    <w:rsid w:val="00114382"/>
    <w:rsid w:val="0011439A"/>
    <w:rsid w:val="001143AC"/>
    <w:rsid w:val="00114426"/>
    <w:rsid w:val="001145F7"/>
    <w:rsid w:val="001145FF"/>
    <w:rsid w:val="00114E87"/>
    <w:rsid w:val="00115411"/>
    <w:rsid w:val="00115895"/>
    <w:rsid w:val="001159E7"/>
    <w:rsid w:val="00115F89"/>
    <w:rsid w:val="00116058"/>
    <w:rsid w:val="0011608E"/>
    <w:rsid w:val="001166C3"/>
    <w:rsid w:val="00116B5C"/>
    <w:rsid w:val="00117268"/>
    <w:rsid w:val="001178C5"/>
    <w:rsid w:val="001179DA"/>
    <w:rsid w:val="001179E1"/>
    <w:rsid w:val="00117FD3"/>
    <w:rsid w:val="00120224"/>
    <w:rsid w:val="00120531"/>
    <w:rsid w:val="0012073F"/>
    <w:rsid w:val="00120878"/>
    <w:rsid w:val="00120890"/>
    <w:rsid w:val="001208D3"/>
    <w:rsid w:val="00120999"/>
    <w:rsid w:val="00120C14"/>
    <w:rsid w:val="00120C2D"/>
    <w:rsid w:val="00120E6D"/>
    <w:rsid w:val="00121083"/>
    <w:rsid w:val="001211EC"/>
    <w:rsid w:val="00121590"/>
    <w:rsid w:val="001217D0"/>
    <w:rsid w:val="001219E0"/>
    <w:rsid w:val="00121D5D"/>
    <w:rsid w:val="00121E18"/>
    <w:rsid w:val="00122076"/>
    <w:rsid w:val="001222C5"/>
    <w:rsid w:val="00122366"/>
    <w:rsid w:val="00122D7C"/>
    <w:rsid w:val="00122DA2"/>
    <w:rsid w:val="00122FE8"/>
    <w:rsid w:val="001234DC"/>
    <w:rsid w:val="00123984"/>
    <w:rsid w:val="001239E8"/>
    <w:rsid w:val="00124174"/>
    <w:rsid w:val="0012448C"/>
    <w:rsid w:val="0012469B"/>
    <w:rsid w:val="001246E8"/>
    <w:rsid w:val="00124833"/>
    <w:rsid w:val="001248D3"/>
    <w:rsid w:val="001249A8"/>
    <w:rsid w:val="00125750"/>
    <w:rsid w:val="00125F36"/>
    <w:rsid w:val="00126094"/>
    <w:rsid w:val="0012657A"/>
    <w:rsid w:val="00126612"/>
    <w:rsid w:val="001268D4"/>
    <w:rsid w:val="00126AB0"/>
    <w:rsid w:val="00126B46"/>
    <w:rsid w:val="00126D8F"/>
    <w:rsid w:val="00126FBB"/>
    <w:rsid w:val="0012721C"/>
    <w:rsid w:val="00127376"/>
    <w:rsid w:val="001276B3"/>
    <w:rsid w:val="0012775E"/>
    <w:rsid w:val="00127E19"/>
    <w:rsid w:val="00130223"/>
    <w:rsid w:val="00130283"/>
    <w:rsid w:val="00130568"/>
    <w:rsid w:val="00130778"/>
    <w:rsid w:val="001308B3"/>
    <w:rsid w:val="00130F7C"/>
    <w:rsid w:val="00130FDB"/>
    <w:rsid w:val="001313E2"/>
    <w:rsid w:val="001317EC"/>
    <w:rsid w:val="00131A0C"/>
    <w:rsid w:val="00131E90"/>
    <w:rsid w:val="00131EB6"/>
    <w:rsid w:val="00131F75"/>
    <w:rsid w:val="00132012"/>
    <w:rsid w:val="001321AA"/>
    <w:rsid w:val="001322D7"/>
    <w:rsid w:val="001326C2"/>
    <w:rsid w:val="0013280E"/>
    <w:rsid w:val="00132BA2"/>
    <w:rsid w:val="00132D0B"/>
    <w:rsid w:val="00132D77"/>
    <w:rsid w:val="00132EB6"/>
    <w:rsid w:val="00133325"/>
    <w:rsid w:val="001336D9"/>
    <w:rsid w:val="00133934"/>
    <w:rsid w:val="00133E8E"/>
    <w:rsid w:val="0013406B"/>
    <w:rsid w:val="0013409C"/>
    <w:rsid w:val="00134703"/>
    <w:rsid w:val="00134BB7"/>
    <w:rsid w:val="00134C17"/>
    <w:rsid w:val="00134D62"/>
    <w:rsid w:val="00135075"/>
    <w:rsid w:val="00135360"/>
    <w:rsid w:val="001353C8"/>
    <w:rsid w:val="0013546F"/>
    <w:rsid w:val="0013553F"/>
    <w:rsid w:val="00135A85"/>
    <w:rsid w:val="0013657B"/>
    <w:rsid w:val="0013699A"/>
    <w:rsid w:val="00136CBF"/>
    <w:rsid w:val="00136E6A"/>
    <w:rsid w:val="00136E88"/>
    <w:rsid w:val="00137271"/>
    <w:rsid w:val="001374E9"/>
    <w:rsid w:val="0013775E"/>
    <w:rsid w:val="00137773"/>
    <w:rsid w:val="001379B8"/>
    <w:rsid w:val="00137BCF"/>
    <w:rsid w:val="00137F39"/>
    <w:rsid w:val="0014018C"/>
    <w:rsid w:val="00140212"/>
    <w:rsid w:val="0014092A"/>
    <w:rsid w:val="00140C07"/>
    <w:rsid w:val="00140CA6"/>
    <w:rsid w:val="0014110E"/>
    <w:rsid w:val="00141281"/>
    <w:rsid w:val="00141661"/>
    <w:rsid w:val="00141869"/>
    <w:rsid w:val="00141BDC"/>
    <w:rsid w:val="00141D54"/>
    <w:rsid w:val="00141E96"/>
    <w:rsid w:val="001421CB"/>
    <w:rsid w:val="001424E5"/>
    <w:rsid w:val="0014252E"/>
    <w:rsid w:val="00142543"/>
    <w:rsid w:val="00142679"/>
    <w:rsid w:val="00142787"/>
    <w:rsid w:val="0014278D"/>
    <w:rsid w:val="001427FC"/>
    <w:rsid w:val="00142A7A"/>
    <w:rsid w:val="00142AE5"/>
    <w:rsid w:val="00142B05"/>
    <w:rsid w:val="00142B68"/>
    <w:rsid w:val="00142D9A"/>
    <w:rsid w:val="0014310F"/>
    <w:rsid w:val="001431F2"/>
    <w:rsid w:val="0014328B"/>
    <w:rsid w:val="0014335F"/>
    <w:rsid w:val="001437BF"/>
    <w:rsid w:val="0014397B"/>
    <w:rsid w:val="001439B0"/>
    <w:rsid w:val="00143A31"/>
    <w:rsid w:val="00143C2C"/>
    <w:rsid w:val="00143ECC"/>
    <w:rsid w:val="00143FC1"/>
    <w:rsid w:val="0014410B"/>
    <w:rsid w:val="001442B9"/>
    <w:rsid w:val="00144684"/>
    <w:rsid w:val="001449B0"/>
    <w:rsid w:val="00144A5B"/>
    <w:rsid w:val="00144B20"/>
    <w:rsid w:val="00144CE7"/>
    <w:rsid w:val="00144DA0"/>
    <w:rsid w:val="00144F69"/>
    <w:rsid w:val="0014524F"/>
    <w:rsid w:val="001456E7"/>
    <w:rsid w:val="001458B8"/>
    <w:rsid w:val="001458F2"/>
    <w:rsid w:val="00145D8F"/>
    <w:rsid w:val="00145FE2"/>
    <w:rsid w:val="0014679C"/>
    <w:rsid w:val="00146933"/>
    <w:rsid w:val="00146B36"/>
    <w:rsid w:val="00146E3E"/>
    <w:rsid w:val="0014722B"/>
    <w:rsid w:val="0014726F"/>
    <w:rsid w:val="0014727D"/>
    <w:rsid w:val="0014745A"/>
    <w:rsid w:val="001474E8"/>
    <w:rsid w:val="00147631"/>
    <w:rsid w:val="00147825"/>
    <w:rsid w:val="00147C23"/>
    <w:rsid w:val="00147D2F"/>
    <w:rsid w:val="00147D74"/>
    <w:rsid w:val="00147DDE"/>
    <w:rsid w:val="00150235"/>
    <w:rsid w:val="00150506"/>
    <w:rsid w:val="001505B3"/>
    <w:rsid w:val="0015067B"/>
    <w:rsid w:val="00150A05"/>
    <w:rsid w:val="00150B6E"/>
    <w:rsid w:val="00150D1E"/>
    <w:rsid w:val="001510A2"/>
    <w:rsid w:val="001510E7"/>
    <w:rsid w:val="001511E5"/>
    <w:rsid w:val="0015159A"/>
    <w:rsid w:val="0015171F"/>
    <w:rsid w:val="00151AEC"/>
    <w:rsid w:val="00151C05"/>
    <w:rsid w:val="00151C38"/>
    <w:rsid w:val="00151CBC"/>
    <w:rsid w:val="00151D2F"/>
    <w:rsid w:val="00151D98"/>
    <w:rsid w:val="001520F7"/>
    <w:rsid w:val="0015217B"/>
    <w:rsid w:val="001521F5"/>
    <w:rsid w:val="00152771"/>
    <w:rsid w:val="00152D15"/>
    <w:rsid w:val="001535CE"/>
    <w:rsid w:val="001536B1"/>
    <w:rsid w:val="001537D5"/>
    <w:rsid w:val="00153982"/>
    <w:rsid w:val="00153B2C"/>
    <w:rsid w:val="00153F38"/>
    <w:rsid w:val="00154166"/>
    <w:rsid w:val="00154348"/>
    <w:rsid w:val="00154676"/>
    <w:rsid w:val="001546E9"/>
    <w:rsid w:val="001549CE"/>
    <w:rsid w:val="00154DCF"/>
    <w:rsid w:val="0015507E"/>
    <w:rsid w:val="00155082"/>
    <w:rsid w:val="0015518B"/>
    <w:rsid w:val="00155A94"/>
    <w:rsid w:val="00155ADB"/>
    <w:rsid w:val="001562FB"/>
    <w:rsid w:val="00156300"/>
    <w:rsid w:val="0015640E"/>
    <w:rsid w:val="00156439"/>
    <w:rsid w:val="0015655D"/>
    <w:rsid w:val="001566BC"/>
    <w:rsid w:val="00156936"/>
    <w:rsid w:val="0015698D"/>
    <w:rsid w:val="00156B2F"/>
    <w:rsid w:val="00156BF9"/>
    <w:rsid w:val="00156C68"/>
    <w:rsid w:val="00156CF3"/>
    <w:rsid w:val="00156EC6"/>
    <w:rsid w:val="00156F5C"/>
    <w:rsid w:val="00157305"/>
    <w:rsid w:val="0015731B"/>
    <w:rsid w:val="001573AF"/>
    <w:rsid w:val="001576FE"/>
    <w:rsid w:val="0015770E"/>
    <w:rsid w:val="00157765"/>
    <w:rsid w:val="001577D5"/>
    <w:rsid w:val="001578C2"/>
    <w:rsid w:val="00157B81"/>
    <w:rsid w:val="00157C5B"/>
    <w:rsid w:val="0015E4D6"/>
    <w:rsid w:val="00160224"/>
    <w:rsid w:val="00160421"/>
    <w:rsid w:val="00160539"/>
    <w:rsid w:val="00160777"/>
    <w:rsid w:val="0016091C"/>
    <w:rsid w:val="00160972"/>
    <w:rsid w:val="00160ABD"/>
    <w:rsid w:val="00160B79"/>
    <w:rsid w:val="00160CC4"/>
    <w:rsid w:val="00160F06"/>
    <w:rsid w:val="00161034"/>
    <w:rsid w:val="001610A9"/>
    <w:rsid w:val="001613B2"/>
    <w:rsid w:val="0016144D"/>
    <w:rsid w:val="0016149E"/>
    <w:rsid w:val="00161657"/>
    <w:rsid w:val="001619EF"/>
    <w:rsid w:val="00161D22"/>
    <w:rsid w:val="00162513"/>
    <w:rsid w:val="001628B0"/>
    <w:rsid w:val="00162AF7"/>
    <w:rsid w:val="00162C97"/>
    <w:rsid w:val="00162D6C"/>
    <w:rsid w:val="00162F9A"/>
    <w:rsid w:val="0016323F"/>
    <w:rsid w:val="001632BC"/>
    <w:rsid w:val="00163B48"/>
    <w:rsid w:val="00163B6E"/>
    <w:rsid w:val="0016413B"/>
    <w:rsid w:val="00164367"/>
    <w:rsid w:val="001643BA"/>
    <w:rsid w:val="00164826"/>
    <w:rsid w:val="00164DD8"/>
    <w:rsid w:val="0016500C"/>
    <w:rsid w:val="0016550E"/>
    <w:rsid w:val="001655CA"/>
    <w:rsid w:val="0016599B"/>
    <w:rsid w:val="00165AA5"/>
    <w:rsid w:val="00165F15"/>
    <w:rsid w:val="00166107"/>
    <w:rsid w:val="00166744"/>
    <w:rsid w:val="001668CA"/>
    <w:rsid w:val="001668EC"/>
    <w:rsid w:val="00166B32"/>
    <w:rsid w:val="00166BF8"/>
    <w:rsid w:val="00166DAA"/>
    <w:rsid w:val="00166F66"/>
    <w:rsid w:val="00166F97"/>
    <w:rsid w:val="001672C7"/>
    <w:rsid w:val="001673D9"/>
    <w:rsid w:val="00167DED"/>
    <w:rsid w:val="00167F82"/>
    <w:rsid w:val="0017081D"/>
    <w:rsid w:val="00170FAB"/>
    <w:rsid w:val="00171367"/>
    <w:rsid w:val="0017185A"/>
    <w:rsid w:val="00171939"/>
    <w:rsid w:val="001719B9"/>
    <w:rsid w:val="00171C1B"/>
    <w:rsid w:val="00171F4C"/>
    <w:rsid w:val="001725EC"/>
    <w:rsid w:val="00172B76"/>
    <w:rsid w:val="00172F65"/>
    <w:rsid w:val="0017308C"/>
    <w:rsid w:val="00173420"/>
    <w:rsid w:val="00173583"/>
    <w:rsid w:val="001735DC"/>
    <w:rsid w:val="0017385C"/>
    <w:rsid w:val="001738FD"/>
    <w:rsid w:val="00173A62"/>
    <w:rsid w:val="00173B0E"/>
    <w:rsid w:val="00173DFF"/>
    <w:rsid w:val="0017409E"/>
    <w:rsid w:val="00174141"/>
    <w:rsid w:val="001744AD"/>
    <w:rsid w:val="00174645"/>
    <w:rsid w:val="001746BB"/>
    <w:rsid w:val="00174835"/>
    <w:rsid w:val="00174C2B"/>
    <w:rsid w:val="00174D99"/>
    <w:rsid w:val="00174E7D"/>
    <w:rsid w:val="00174FE3"/>
    <w:rsid w:val="0017536D"/>
    <w:rsid w:val="00175479"/>
    <w:rsid w:val="00175598"/>
    <w:rsid w:val="00175BCD"/>
    <w:rsid w:val="00175D4F"/>
    <w:rsid w:val="00175DBE"/>
    <w:rsid w:val="00175F40"/>
    <w:rsid w:val="001760D8"/>
    <w:rsid w:val="00176C18"/>
    <w:rsid w:val="00176F1A"/>
    <w:rsid w:val="0017713A"/>
    <w:rsid w:val="0017754C"/>
    <w:rsid w:val="00177837"/>
    <w:rsid w:val="00177C28"/>
    <w:rsid w:val="00177DB2"/>
    <w:rsid w:val="00180425"/>
    <w:rsid w:val="00180448"/>
    <w:rsid w:val="001804A3"/>
    <w:rsid w:val="001806C6"/>
    <w:rsid w:val="001807CD"/>
    <w:rsid w:val="00180883"/>
    <w:rsid w:val="001808A2"/>
    <w:rsid w:val="00180A37"/>
    <w:rsid w:val="00180DA2"/>
    <w:rsid w:val="00180FF3"/>
    <w:rsid w:val="0018106A"/>
    <w:rsid w:val="00181106"/>
    <w:rsid w:val="001812C5"/>
    <w:rsid w:val="001815C0"/>
    <w:rsid w:val="0018176E"/>
    <w:rsid w:val="0018178C"/>
    <w:rsid w:val="001817F3"/>
    <w:rsid w:val="001818C5"/>
    <w:rsid w:val="0018190C"/>
    <w:rsid w:val="0018196D"/>
    <w:rsid w:val="00181996"/>
    <w:rsid w:val="00181D42"/>
    <w:rsid w:val="00181E28"/>
    <w:rsid w:val="00181E3F"/>
    <w:rsid w:val="00181E4F"/>
    <w:rsid w:val="00182214"/>
    <w:rsid w:val="001823CD"/>
    <w:rsid w:val="00182508"/>
    <w:rsid w:val="001826FB"/>
    <w:rsid w:val="0018294E"/>
    <w:rsid w:val="00183605"/>
    <w:rsid w:val="001836C6"/>
    <w:rsid w:val="00183912"/>
    <w:rsid w:val="00183935"/>
    <w:rsid w:val="00183A19"/>
    <w:rsid w:val="00183A38"/>
    <w:rsid w:val="00183CD5"/>
    <w:rsid w:val="00183CF3"/>
    <w:rsid w:val="00183D6E"/>
    <w:rsid w:val="00183E4C"/>
    <w:rsid w:val="00184244"/>
    <w:rsid w:val="0018426E"/>
    <w:rsid w:val="001843DD"/>
    <w:rsid w:val="001845AD"/>
    <w:rsid w:val="00184638"/>
    <w:rsid w:val="001846BA"/>
    <w:rsid w:val="00184BF0"/>
    <w:rsid w:val="00184C0C"/>
    <w:rsid w:val="00184DE9"/>
    <w:rsid w:val="001853D8"/>
    <w:rsid w:val="0018555B"/>
    <w:rsid w:val="00185718"/>
    <w:rsid w:val="0018578C"/>
    <w:rsid w:val="001857B6"/>
    <w:rsid w:val="00185A1B"/>
    <w:rsid w:val="00185C06"/>
    <w:rsid w:val="00185EFB"/>
    <w:rsid w:val="00186146"/>
    <w:rsid w:val="00186341"/>
    <w:rsid w:val="00186421"/>
    <w:rsid w:val="001866E8"/>
    <w:rsid w:val="00186724"/>
    <w:rsid w:val="0018677A"/>
    <w:rsid w:val="00186ADB"/>
    <w:rsid w:val="00186DE5"/>
    <w:rsid w:val="00187046"/>
    <w:rsid w:val="001871F8"/>
    <w:rsid w:val="00187434"/>
    <w:rsid w:val="00187468"/>
    <w:rsid w:val="00187A11"/>
    <w:rsid w:val="00187A88"/>
    <w:rsid w:val="00187CAD"/>
    <w:rsid w:val="00187DA9"/>
    <w:rsid w:val="00187F0C"/>
    <w:rsid w:val="00187F22"/>
    <w:rsid w:val="00190032"/>
    <w:rsid w:val="00191292"/>
    <w:rsid w:val="00191298"/>
    <w:rsid w:val="001914EB"/>
    <w:rsid w:val="00191586"/>
    <w:rsid w:val="00191692"/>
    <w:rsid w:val="00192381"/>
    <w:rsid w:val="0019250A"/>
    <w:rsid w:val="00192582"/>
    <w:rsid w:val="00192591"/>
    <w:rsid w:val="0019273A"/>
    <w:rsid w:val="0019283D"/>
    <w:rsid w:val="0019299D"/>
    <w:rsid w:val="00192ACE"/>
    <w:rsid w:val="00192DAF"/>
    <w:rsid w:val="00192F26"/>
    <w:rsid w:val="00193215"/>
    <w:rsid w:val="00193357"/>
    <w:rsid w:val="0019354B"/>
    <w:rsid w:val="001937D8"/>
    <w:rsid w:val="00193908"/>
    <w:rsid w:val="00193995"/>
    <w:rsid w:val="00193DE4"/>
    <w:rsid w:val="00194097"/>
    <w:rsid w:val="00194228"/>
    <w:rsid w:val="0019460C"/>
    <w:rsid w:val="001946BF"/>
    <w:rsid w:val="00194B01"/>
    <w:rsid w:val="00194DF3"/>
    <w:rsid w:val="001954FE"/>
    <w:rsid w:val="00195780"/>
    <w:rsid w:val="00195926"/>
    <w:rsid w:val="00195A01"/>
    <w:rsid w:val="00195F23"/>
    <w:rsid w:val="001960C0"/>
    <w:rsid w:val="0019646B"/>
    <w:rsid w:val="0019684B"/>
    <w:rsid w:val="0019697D"/>
    <w:rsid w:val="00196E8C"/>
    <w:rsid w:val="00197037"/>
    <w:rsid w:val="0019731E"/>
    <w:rsid w:val="0019758E"/>
    <w:rsid w:val="001975E6"/>
    <w:rsid w:val="0019766F"/>
    <w:rsid w:val="001978AF"/>
    <w:rsid w:val="00197BF6"/>
    <w:rsid w:val="00197CB2"/>
    <w:rsid w:val="00197E6F"/>
    <w:rsid w:val="00197E83"/>
    <w:rsid w:val="00197EE4"/>
    <w:rsid w:val="001A04EB"/>
    <w:rsid w:val="001A06A9"/>
    <w:rsid w:val="001A0785"/>
    <w:rsid w:val="001A087A"/>
    <w:rsid w:val="001A0ADE"/>
    <w:rsid w:val="001A0B8B"/>
    <w:rsid w:val="001A17AE"/>
    <w:rsid w:val="001A19C2"/>
    <w:rsid w:val="001A1AD4"/>
    <w:rsid w:val="001A1F91"/>
    <w:rsid w:val="001A20B5"/>
    <w:rsid w:val="001A214F"/>
    <w:rsid w:val="001A2591"/>
    <w:rsid w:val="001A27B5"/>
    <w:rsid w:val="001A3240"/>
    <w:rsid w:val="001A33C2"/>
    <w:rsid w:val="001A3812"/>
    <w:rsid w:val="001A3A43"/>
    <w:rsid w:val="001A3CAB"/>
    <w:rsid w:val="001A3F56"/>
    <w:rsid w:val="001A3F67"/>
    <w:rsid w:val="001A4093"/>
    <w:rsid w:val="001A429A"/>
    <w:rsid w:val="001A42E7"/>
    <w:rsid w:val="001A4499"/>
    <w:rsid w:val="001A46A8"/>
    <w:rsid w:val="001A46E3"/>
    <w:rsid w:val="001A49A5"/>
    <w:rsid w:val="001A4EEC"/>
    <w:rsid w:val="001A4F93"/>
    <w:rsid w:val="001A51EC"/>
    <w:rsid w:val="001A5718"/>
    <w:rsid w:val="001A58E6"/>
    <w:rsid w:val="001A5ADE"/>
    <w:rsid w:val="001A5B5E"/>
    <w:rsid w:val="001A6433"/>
    <w:rsid w:val="001A65B7"/>
    <w:rsid w:val="001A670D"/>
    <w:rsid w:val="001A6867"/>
    <w:rsid w:val="001A6C0D"/>
    <w:rsid w:val="001A6C9D"/>
    <w:rsid w:val="001A6E53"/>
    <w:rsid w:val="001A6F3B"/>
    <w:rsid w:val="001A764A"/>
    <w:rsid w:val="001A76E8"/>
    <w:rsid w:val="001A79F1"/>
    <w:rsid w:val="001A7A6F"/>
    <w:rsid w:val="001A7CE3"/>
    <w:rsid w:val="001A7D25"/>
    <w:rsid w:val="001B0359"/>
    <w:rsid w:val="001B03C4"/>
    <w:rsid w:val="001B0656"/>
    <w:rsid w:val="001B0700"/>
    <w:rsid w:val="001B0859"/>
    <w:rsid w:val="001B0C0C"/>
    <w:rsid w:val="001B0DA8"/>
    <w:rsid w:val="001B0E76"/>
    <w:rsid w:val="001B101E"/>
    <w:rsid w:val="001B1267"/>
    <w:rsid w:val="001B131C"/>
    <w:rsid w:val="001B1649"/>
    <w:rsid w:val="001B1775"/>
    <w:rsid w:val="001B1B35"/>
    <w:rsid w:val="001B1C28"/>
    <w:rsid w:val="001B1C5E"/>
    <w:rsid w:val="001B25FD"/>
    <w:rsid w:val="001B26FF"/>
    <w:rsid w:val="001B2834"/>
    <w:rsid w:val="001B290E"/>
    <w:rsid w:val="001B2B24"/>
    <w:rsid w:val="001B2C69"/>
    <w:rsid w:val="001B2CA5"/>
    <w:rsid w:val="001B3360"/>
    <w:rsid w:val="001B3444"/>
    <w:rsid w:val="001B3593"/>
    <w:rsid w:val="001B3596"/>
    <w:rsid w:val="001B3849"/>
    <w:rsid w:val="001B3FE5"/>
    <w:rsid w:val="001B4191"/>
    <w:rsid w:val="001B42ED"/>
    <w:rsid w:val="001B4356"/>
    <w:rsid w:val="001B480C"/>
    <w:rsid w:val="001B481D"/>
    <w:rsid w:val="001B4B66"/>
    <w:rsid w:val="001B50A2"/>
    <w:rsid w:val="001B51F6"/>
    <w:rsid w:val="001B5584"/>
    <w:rsid w:val="001B56CC"/>
    <w:rsid w:val="001B5776"/>
    <w:rsid w:val="001B5AF7"/>
    <w:rsid w:val="001B5E7E"/>
    <w:rsid w:val="001B6068"/>
    <w:rsid w:val="001B6531"/>
    <w:rsid w:val="001B668C"/>
    <w:rsid w:val="001B6866"/>
    <w:rsid w:val="001B690F"/>
    <w:rsid w:val="001B691D"/>
    <w:rsid w:val="001B6C07"/>
    <w:rsid w:val="001B73F9"/>
    <w:rsid w:val="001B756C"/>
    <w:rsid w:val="001B765E"/>
    <w:rsid w:val="001B7760"/>
    <w:rsid w:val="001B7761"/>
    <w:rsid w:val="001B780A"/>
    <w:rsid w:val="001B795E"/>
    <w:rsid w:val="001B7D84"/>
    <w:rsid w:val="001B7F57"/>
    <w:rsid w:val="001C0356"/>
    <w:rsid w:val="001C0C68"/>
    <w:rsid w:val="001C117C"/>
    <w:rsid w:val="001C140E"/>
    <w:rsid w:val="001C16A5"/>
    <w:rsid w:val="001C18EA"/>
    <w:rsid w:val="001C1D86"/>
    <w:rsid w:val="001C1F4A"/>
    <w:rsid w:val="001C21EF"/>
    <w:rsid w:val="001C2378"/>
    <w:rsid w:val="001C288B"/>
    <w:rsid w:val="001C28FD"/>
    <w:rsid w:val="001C29EB"/>
    <w:rsid w:val="001C2FEB"/>
    <w:rsid w:val="001C37A8"/>
    <w:rsid w:val="001C390E"/>
    <w:rsid w:val="001C3A0D"/>
    <w:rsid w:val="001C3DB5"/>
    <w:rsid w:val="001C3E3E"/>
    <w:rsid w:val="001C3FC7"/>
    <w:rsid w:val="001C44F7"/>
    <w:rsid w:val="001C457C"/>
    <w:rsid w:val="001C49F1"/>
    <w:rsid w:val="001C4A58"/>
    <w:rsid w:val="001C4B7D"/>
    <w:rsid w:val="001C4DCA"/>
    <w:rsid w:val="001C4E18"/>
    <w:rsid w:val="001C52C2"/>
    <w:rsid w:val="001C53DD"/>
    <w:rsid w:val="001C53ED"/>
    <w:rsid w:val="001C541D"/>
    <w:rsid w:val="001C5533"/>
    <w:rsid w:val="001C5D12"/>
    <w:rsid w:val="001C6394"/>
    <w:rsid w:val="001C640B"/>
    <w:rsid w:val="001C69F7"/>
    <w:rsid w:val="001C6A7E"/>
    <w:rsid w:val="001C73D0"/>
    <w:rsid w:val="001C760E"/>
    <w:rsid w:val="001C776C"/>
    <w:rsid w:val="001C7887"/>
    <w:rsid w:val="001C7988"/>
    <w:rsid w:val="001C7B36"/>
    <w:rsid w:val="001C7B38"/>
    <w:rsid w:val="001C7BDC"/>
    <w:rsid w:val="001C7D51"/>
    <w:rsid w:val="001C7EBE"/>
    <w:rsid w:val="001D005E"/>
    <w:rsid w:val="001D04F0"/>
    <w:rsid w:val="001D0635"/>
    <w:rsid w:val="001D0D0C"/>
    <w:rsid w:val="001D0DA6"/>
    <w:rsid w:val="001D11AB"/>
    <w:rsid w:val="001D14E3"/>
    <w:rsid w:val="001D1BA4"/>
    <w:rsid w:val="001D1FE8"/>
    <w:rsid w:val="001D2055"/>
    <w:rsid w:val="001D21B0"/>
    <w:rsid w:val="001D270B"/>
    <w:rsid w:val="001D2CD0"/>
    <w:rsid w:val="001D3646"/>
    <w:rsid w:val="001D38E4"/>
    <w:rsid w:val="001D3922"/>
    <w:rsid w:val="001D39BF"/>
    <w:rsid w:val="001D3AF5"/>
    <w:rsid w:val="001D3CE9"/>
    <w:rsid w:val="001D3EF7"/>
    <w:rsid w:val="001D40A8"/>
    <w:rsid w:val="001D424D"/>
    <w:rsid w:val="001D4298"/>
    <w:rsid w:val="001D46EA"/>
    <w:rsid w:val="001D4C79"/>
    <w:rsid w:val="001D4E81"/>
    <w:rsid w:val="001D4E8E"/>
    <w:rsid w:val="001D5200"/>
    <w:rsid w:val="001D52A3"/>
    <w:rsid w:val="001D52B0"/>
    <w:rsid w:val="001D5409"/>
    <w:rsid w:val="001D5676"/>
    <w:rsid w:val="001D5799"/>
    <w:rsid w:val="001D57DE"/>
    <w:rsid w:val="001D5ADB"/>
    <w:rsid w:val="001D5BA1"/>
    <w:rsid w:val="001D5E15"/>
    <w:rsid w:val="001D5F19"/>
    <w:rsid w:val="001D5F60"/>
    <w:rsid w:val="001D60C8"/>
    <w:rsid w:val="001D6176"/>
    <w:rsid w:val="001D623E"/>
    <w:rsid w:val="001D6302"/>
    <w:rsid w:val="001D63E4"/>
    <w:rsid w:val="001D650C"/>
    <w:rsid w:val="001D66EA"/>
    <w:rsid w:val="001D6901"/>
    <w:rsid w:val="001D6EA2"/>
    <w:rsid w:val="001D6F8A"/>
    <w:rsid w:val="001D75F4"/>
    <w:rsid w:val="001D771D"/>
    <w:rsid w:val="001D78FB"/>
    <w:rsid w:val="001D79D2"/>
    <w:rsid w:val="001D7A91"/>
    <w:rsid w:val="001D7F14"/>
    <w:rsid w:val="001E0145"/>
    <w:rsid w:val="001E0165"/>
    <w:rsid w:val="001E0890"/>
    <w:rsid w:val="001E0DE6"/>
    <w:rsid w:val="001E0DE7"/>
    <w:rsid w:val="001E1077"/>
    <w:rsid w:val="001E10E8"/>
    <w:rsid w:val="001E11D6"/>
    <w:rsid w:val="001E12AF"/>
    <w:rsid w:val="001E12C4"/>
    <w:rsid w:val="001E1437"/>
    <w:rsid w:val="001E170C"/>
    <w:rsid w:val="001E2121"/>
    <w:rsid w:val="001E24FB"/>
    <w:rsid w:val="001E28AB"/>
    <w:rsid w:val="001E2958"/>
    <w:rsid w:val="001E2B25"/>
    <w:rsid w:val="001E2FD4"/>
    <w:rsid w:val="001E30F8"/>
    <w:rsid w:val="001E340A"/>
    <w:rsid w:val="001E3468"/>
    <w:rsid w:val="001E3496"/>
    <w:rsid w:val="001E3533"/>
    <w:rsid w:val="001E3856"/>
    <w:rsid w:val="001E3AAA"/>
    <w:rsid w:val="001E3E79"/>
    <w:rsid w:val="001E404A"/>
    <w:rsid w:val="001E4369"/>
    <w:rsid w:val="001E4544"/>
    <w:rsid w:val="001E457C"/>
    <w:rsid w:val="001E470E"/>
    <w:rsid w:val="001E4BDC"/>
    <w:rsid w:val="001E4D93"/>
    <w:rsid w:val="001E4E8E"/>
    <w:rsid w:val="001E526C"/>
    <w:rsid w:val="001E53E1"/>
    <w:rsid w:val="001E542F"/>
    <w:rsid w:val="001E54AB"/>
    <w:rsid w:val="001E5596"/>
    <w:rsid w:val="001E56CE"/>
    <w:rsid w:val="001E577E"/>
    <w:rsid w:val="001E5968"/>
    <w:rsid w:val="001E596E"/>
    <w:rsid w:val="001E5A88"/>
    <w:rsid w:val="001E5BF5"/>
    <w:rsid w:val="001E5CA9"/>
    <w:rsid w:val="001E63D1"/>
    <w:rsid w:val="001E6B66"/>
    <w:rsid w:val="001E6C62"/>
    <w:rsid w:val="001E6E2E"/>
    <w:rsid w:val="001E7123"/>
    <w:rsid w:val="001E7178"/>
    <w:rsid w:val="001E71F3"/>
    <w:rsid w:val="001E72DA"/>
    <w:rsid w:val="001E7687"/>
    <w:rsid w:val="001E7DC6"/>
    <w:rsid w:val="001E7FFA"/>
    <w:rsid w:val="001F01ED"/>
    <w:rsid w:val="001F05ED"/>
    <w:rsid w:val="001F07D5"/>
    <w:rsid w:val="001F0A9A"/>
    <w:rsid w:val="001F0E21"/>
    <w:rsid w:val="001F0ECA"/>
    <w:rsid w:val="001F0FE4"/>
    <w:rsid w:val="001F12DF"/>
    <w:rsid w:val="001F1326"/>
    <w:rsid w:val="001F148C"/>
    <w:rsid w:val="001F14D1"/>
    <w:rsid w:val="001F16A2"/>
    <w:rsid w:val="001F2085"/>
    <w:rsid w:val="001F21A2"/>
    <w:rsid w:val="001F2397"/>
    <w:rsid w:val="001F242C"/>
    <w:rsid w:val="001F277B"/>
    <w:rsid w:val="001F27E8"/>
    <w:rsid w:val="001F2AA1"/>
    <w:rsid w:val="001F2B3F"/>
    <w:rsid w:val="001F3785"/>
    <w:rsid w:val="001F391F"/>
    <w:rsid w:val="001F395F"/>
    <w:rsid w:val="001F3967"/>
    <w:rsid w:val="001F3C89"/>
    <w:rsid w:val="001F3D24"/>
    <w:rsid w:val="001F47AC"/>
    <w:rsid w:val="001F4BBC"/>
    <w:rsid w:val="001F4D70"/>
    <w:rsid w:val="001F5217"/>
    <w:rsid w:val="001F5463"/>
    <w:rsid w:val="001F567E"/>
    <w:rsid w:val="001F5AE5"/>
    <w:rsid w:val="001F63FB"/>
    <w:rsid w:val="001F7108"/>
    <w:rsid w:val="001F728E"/>
    <w:rsid w:val="001F747C"/>
    <w:rsid w:val="001F7588"/>
    <w:rsid w:val="001F76EF"/>
    <w:rsid w:val="001F7742"/>
    <w:rsid w:val="001F7D75"/>
    <w:rsid w:val="001F7F9A"/>
    <w:rsid w:val="002004C1"/>
    <w:rsid w:val="002006DF"/>
    <w:rsid w:val="00200721"/>
    <w:rsid w:val="00200A8F"/>
    <w:rsid w:val="00200C63"/>
    <w:rsid w:val="00200DF2"/>
    <w:rsid w:val="002010AA"/>
    <w:rsid w:val="00201279"/>
    <w:rsid w:val="002014DA"/>
    <w:rsid w:val="002016F1"/>
    <w:rsid w:val="00201884"/>
    <w:rsid w:val="002019EE"/>
    <w:rsid w:val="00201A93"/>
    <w:rsid w:val="00201B10"/>
    <w:rsid w:val="00201C45"/>
    <w:rsid w:val="00202148"/>
    <w:rsid w:val="002022E9"/>
    <w:rsid w:val="00202360"/>
    <w:rsid w:val="002023D5"/>
    <w:rsid w:val="0020263A"/>
    <w:rsid w:val="0020284A"/>
    <w:rsid w:val="00202953"/>
    <w:rsid w:val="00202B5A"/>
    <w:rsid w:val="002037AF"/>
    <w:rsid w:val="00203878"/>
    <w:rsid w:val="002039A8"/>
    <w:rsid w:val="002039C4"/>
    <w:rsid w:val="002039FD"/>
    <w:rsid w:val="00203A8B"/>
    <w:rsid w:val="00203A92"/>
    <w:rsid w:val="00203B9F"/>
    <w:rsid w:val="00203F3D"/>
    <w:rsid w:val="00203FA1"/>
    <w:rsid w:val="002040A0"/>
    <w:rsid w:val="00204115"/>
    <w:rsid w:val="002048FF"/>
    <w:rsid w:val="00204B1B"/>
    <w:rsid w:val="002052DF"/>
    <w:rsid w:val="00205303"/>
    <w:rsid w:val="00205449"/>
    <w:rsid w:val="0020576E"/>
    <w:rsid w:val="00205771"/>
    <w:rsid w:val="0020589C"/>
    <w:rsid w:val="00205A43"/>
    <w:rsid w:val="00205B05"/>
    <w:rsid w:val="00205E95"/>
    <w:rsid w:val="00205F29"/>
    <w:rsid w:val="002060A0"/>
    <w:rsid w:val="0020650B"/>
    <w:rsid w:val="0020679F"/>
    <w:rsid w:val="002067F1"/>
    <w:rsid w:val="00206923"/>
    <w:rsid w:val="00206A52"/>
    <w:rsid w:val="00206FA7"/>
    <w:rsid w:val="002072E1"/>
    <w:rsid w:val="00207530"/>
    <w:rsid w:val="0020A3E4"/>
    <w:rsid w:val="0021005E"/>
    <w:rsid w:val="002102C7"/>
    <w:rsid w:val="002106A7"/>
    <w:rsid w:val="002109C5"/>
    <w:rsid w:val="00210BD1"/>
    <w:rsid w:val="00210D1B"/>
    <w:rsid w:val="00210D6E"/>
    <w:rsid w:val="00210E02"/>
    <w:rsid w:val="00210EA3"/>
    <w:rsid w:val="00210F16"/>
    <w:rsid w:val="0021125A"/>
    <w:rsid w:val="00211352"/>
    <w:rsid w:val="00211670"/>
    <w:rsid w:val="00211904"/>
    <w:rsid w:val="00211A20"/>
    <w:rsid w:val="00211C3D"/>
    <w:rsid w:val="00212160"/>
    <w:rsid w:val="0021267A"/>
    <w:rsid w:val="00212ED4"/>
    <w:rsid w:val="0021331A"/>
    <w:rsid w:val="00213553"/>
    <w:rsid w:val="00213644"/>
    <w:rsid w:val="00213989"/>
    <w:rsid w:val="00213A76"/>
    <w:rsid w:val="00213ABE"/>
    <w:rsid w:val="00213CCA"/>
    <w:rsid w:val="00213F72"/>
    <w:rsid w:val="002141DB"/>
    <w:rsid w:val="0021475E"/>
    <w:rsid w:val="002148C2"/>
    <w:rsid w:val="00214A08"/>
    <w:rsid w:val="00214D3D"/>
    <w:rsid w:val="00214DCA"/>
    <w:rsid w:val="00214DF0"/>
    <w:rsid w:val="00215024"/>
    <w:rsid w:val="002150E8"/>
    <w:rsid w:val="00215666"/>
    <w:rsid w:val="00215877"/>
    <w:rsid w:val="002158C6"/>
    <w:rsid w:val="00215BC1"/>
    <w:rsid w:val="00215FFF"/>
    <w:rsid w:val="00216949"/>
    <w:rsid w:val="00216EAC"/>
    <w:rsid w:val="00217046"/>
    <w:rsid w:val="0021729B"/>
    <w:rsid w:val="002174E6"/>
    <w:rsid w:val="0021757E"/>
    <w:rsid w:val="0021767E"/>
    <w:rsid w:val="00217727"/>
    <w:rsid w:val="0021796B"/>
    <w:rsid w:val="00220149"/>
    <w:rsid w:val="002204D2"/>
    <w:rsid w:val="0022052C"/>
    <w:rsid w:val="00220703"/>
    <w:rsid w:val="00220749"/>
    <w:rsid w:val="002208D4"/>
    <w:rsid w:val="00220B13"/>
    <w:rsid w:val="00220B43"/>
    <w:rsid w:val="00220DB6"/>
    <w:rsid w:val="00220F08"/>
    <w:rsid w:val="0022111B"/>
    <w:rsid w:val="002214DF"/>
    <w:rsid w:val="00221717"/>
    <w:rsid w:val="002217CC"/>
    <w:rsid w:val="00221D54"/>
    <w:rsid w:val="00221DB9"/>
    <w:rsid w:val="002220A7"/>
    <w:rsid w:val="002220EA"/>
    <w:rsid w:val="0022240F"/>
    <w:rsid w:val="002225D8"/>
    <w:rsid w:val="002225DA"/>
    <w:rsid w:val="00222DEE"/>
    <w:rsid w:val="00222E8A"/>
    <w:rsid w:val="00222FE8"/>
    <w:rsid w:val="00223983"/>
    <w:rsid w:val="00223E9F"/>
    <w:rsid w:val="00223F5A"/>
    <w:rsid w:val="00223FB1"/>
    <w:rsid w:val="0022418F"/>
    <w:rsid w:val="002242DF"/>
    <w:rsid w:val="00224642"/>
    <w:rsid w:val="0022489A"/>
    <w:rsid w:val="00224DE3"/>
    <w:rsid w:val="00224E38"/>
    <w:rsid w:val="00224F16"/>
    <w:rsid w:val="0022505D"/>
    <w:rsid w:val="00225407"/>
    <w:rsid w:val="002254C4"/>
    <w:rsid w:val="0022551C"/>
    <w:rsid w:val="00225597"/>
    <w:rsid w:val="00225E69"/>
    <w:rsid w:val="002260CA"/>
    <w:rsid w:val="002260FA"/>
    <w:rsid w:val="00226105"/>
    <w:rsid w:val="0022611F"/>
    <w:rsid w:val="00226140"/>
    <w:rsid w:val="00226227"/>
    <w:rsid w:val="0022627B"/>
    <w:rsid w:val="0022638F"/>
    <w:rsid w:val="002263A0"/>
    <w:rsid w:val="00226450"/>
    <w:rsid w:val="002264A6"/>
    <w:rsid w:val="002264C7"/>
    <w:rsid w:val="0022688F"/>
    <w:rsid w:val="00226945"/>
    <w:rsid w:val="00226EFE"/>
    <w:rsid w:val="00227162"/>
    <w:rsid w:val="002276C7"/>
    <w:rsid w:val="002278C8"/>
    <w:rsid w:val="0022796B"/>
    <w:rsid w:val="00227B7D"/>
    <w:rsid w:val="00227DD4"/>
    <w:rsid w:val="00227F65"/>
    <w:rsid w:val="00230303"/>
    <w:rsid w:val="0023075B"/>
    <w:rsid w:val="002308F1"/>
    <w:rsid w:val="00230B46"/>
    <w:rsid w:val="00230B51"/>
    <w:rsid w:val="00230D65"/>
    <w:rsid w:val="00230DA4"/>
    <w:rsid w:val="00230F2C"/>
    <w:rsid w:val="002311F5"/>
    <w:rsid w:val="002312B0"/>
    <w:rsid w:val="00231726"/>
    <w:rsid w:val="002317EC"/>
    <w:rsid w:val="0023196B"/>
    <w:rsid w:val="00231A01"/>
    <w:rsid w:val="00231B6C"/>
    <w:rsid w:val="0023202E"/>
    <w:rsid w:val="0023217C"/>
    <w:rsid w:val="0023233E"/>
    <w:rsid w:val="00232459"/>
    <w:rsid w:val="00232E08"/>
    <w:rsid w:val="00232E0D"/>
    <w:rsid w:val="002330EC"/>
    <w:rsid w:val="00233802"/>
    <w:rsid w:val="00233D52"/>
    <w:rsid w:val="00233DAE"/>
    <w:rsid w:val="00233EA3"/>
    <w:rsid w:val="002345FC"/>
    <w:rsid w:val="00234B21"/>
    <w:rsid w:val="00234E98"/>
    <w:rsid w:val="00234FA0"/>
    <w:rsid w:val="0023503A"/>
    <w:rsid w:val="0023520F"/>
    <w:rsid w:val="00235219"/>
    <w:rsid w:val="002356D4"/>
    <w:rsid w:val="0023575F"/>
    <w:rsid w:val="00235EC1"/>
    <w:rsid w:val="0023612A"/>
    <w:rsid w:val="002361DC"/>
    <w:rsid w:val="002362DA"/>
    <w:rsid w:val="002368A1"/>
    <w:rsid w:val="00236968"/>
    <w:rsid w:val="00236A19"/>
    <w:rsid w:val="00236B70"/>
    <w:rsid w:val="00236D2A"/>
    <w:rsid w:val="0023732F"/>
    <w:rsid w:val="00237533"/>
    <w:rsid w:val="002375A5"/>
    <w:rsid w:val="002375DD"/>
    <w:rsid w:val="0023772F"/>
    <w:rsid w:val="0023781D"/>
    <w:rsid w:val="00237903"/>
    <w:rsid w:val="00237A46"/>
    <w:rsid w:val="00237C30"/>
    <w:rsid w:val="00237EE4"/>
    <w:rsid w:val="002404B0"/>
    <w:rsid w:val="0024052C"/>
    <w:rsid w:val="00240A6D"/>
    <w:rsid w:val="00240CCB"/>
    <w:rsid w:val="00240F93"/>
    <w:rsid w:val="0024145D"/>
    <w:rsid w:val="00241524"/>
    <w:rsid w:val="002415AD"/>
    <w:rsid w:val="002415E7"/>
    <w:rsid w:val="0024184B"/>
    <w:rsid w:val="00241C0F"/>
    <w:rsid w:val="00241CFB"/>
    <w:rsid w:val="0024233B"/>
    <w:rsid w:val="002423B9"/>
    <w:rsid w:val="00242554"/>
    <w:rsid w:val="0024263D"/>
    <w:rsid w:val="00242BCA"/>
    <w:rsid w:val="00242BDD"/>
    <w:rsid w:val="00242C7E"/>
    <w:rsid w:val="002430CE"/>
    <w:rsid w:val="002431C7"/>
    <w:rsid w:val="00243563"/>
    <w:rsid w:val="00243A49"/>
    <w:rsid w:val="00243C36"/>
    <w:rsid w:val="0024404B"/>
    <w:rsid w:val="00244624"/>
    <w:rsid w:val="002448F4"/>
    <w:rsid w:val="00244DB4"/>
    <w:rsid w:val="00244F90"/>
    <w:rsid w:val="002450BE"/>
    <w:rsid w:val="002451B5"/>
    <w:rsid w:val="00246290"/>
    <w:rsid w:val="002462BB"/>
    <w:rsid w:val="002463AB"/>
    <w:rsid w:val="00246E77"/>
    <w:rsid w:val="00247574"/>
    <w:rsid w:val="00247DF2"/>
    <w:rsid w:val="00247E00"/>
    <w:rsid w:val="00247EEF"/>
    <w:rsid w:val="002502DD"/>
    <w:rsid w:val="00250777"/>
    <w:rsid w:val="00250814"/>
    <w:rsid w:val="00250A3E"/>
    <w:rsid w:val="00250DF3"/>
    <w:rsid w:val="0025146E"/>
    <w:rsid w:val="002514A5"/>
    <w:rsid w:val="00251D4E"/>
    <w:rsid w:val="00251DD6"/>
    <w:rsid w:val="002521C0"/>
    <w:rsid w:val="00252435"/>
    <w:rsid w:val="0025291C"/>
    <w:rsid w:val="002529E3"/>
    <w:rsid w:val="00252C98"/>
    <w:rsid w:val="00252EBF"/>
    <w:rsid w:val="00253011"/>
    <w:rsid w:val="00253039"/>
    <w:rsid w:val="002530D7"/>
    <w:rsid w:val="00253185"/>
    <w:rsid w:val="002531D4"/>
    <w:rsid w:val="0025377B"/>
    <w:rsid w:val="0025391E"/>
    <w:rsid w:val="00253BFB"/>
    <w:rsid w:val="00253C22"/>
    <w:rsid w:val="00253CFB"/>
    <w:rsid w:val="00253F18"/>
    <w:rsid w:val="002543F1"/>
    <w:rsid w:val="00254BB9"/>
    <w:rsid w:val="00254C89"/>
    <w:rsid w:val="00254C8B"/>
    <w:rsid w:val="00254FC0"/>
    <w:rsid w:val="00255491"/>
    <w:rsid w:val="00255715"/>
    <w:rsid w:val="00255AD3"/>
    <w:rsid w:val="0025619C"/>
    <w:rsid w:val="0025647A"/>
    <w:rsid w:val="002564D5"/>
    <w:rsid w:val="002566D6"/>
    <w:rsid w:val="00256704"/>
    <w:rsid w:val="00256783"/>
    <w:rsid w:val="002569E3"/>
    <w:rsid w:val="0025725A"/>
    <w:rsid w:val="002578A4"/>
    <w:rsid w:val="00257AA3"/>
    <w:rsid w:val="00257CA0"/>
    <w:rsid w:val="00257E35"/>
    <w:rsid w:val="0026067B"/>
    <w:rsid w:val="00260820"/>
    <w:rsid w:val="00260A9F"/>
    <w:rsid w:val="00260AB2"/>
    <w:rsid w:val="00260BA1"/>
    <w:rsid w:val="00260D1C"/>
    <w:rsid w:val="00261579"/>
    <w:rsid w:val="0026163D"/>
    <w:rsid w:val="00261BA9"/>
    <w:rsid w:val="00261E11"/>
    <w:rsid w:val="002625FD"/>
    <w:rsid w:val="00262721"/>
    <w:rsid w:val="00262804"/>
    <w:rsid w:val="0026292D"/>
    <w:rsid w:val="00262CA2"/>
    <w:rsid w:val="00262F24"/>
    <w:rsid w:val="00262F3C"/>
    <w:rsid w:val="00263252"/>
    <w:rsid w:val="002634A6"/>
    <w:rsid w:val="002634BF"/>
    <w:rsid w:val="00263E61"/>
    <w:rsid w:val="0026401F"/>
    <w:rsid w:val="002644A0"/>
    <w:rsid w:val="002644E9"/>
    <w:rsid w:val="00264D26"/>
    <w:rsid w:val="00264EE5"/>
    <w:rsid w:val="00265088"/>
    <w:rsid w:val="002651D3"/>
    <w:rsid w:val="0026520D"/>
    <w:rsid w:val="00265689"/>
    <w:rsid w:val="002656AD"/>
    <w:rsid w:val="002658C1"/>
    <w:rsid w:val="00265C56"/>
    <w:rsid w:val="00265CAB"/>
    <w:rsid w:val="00265FD6"/>
    <w:rsid w:val="002660B5"/>
    <w:rsid w:val="0026626A"/>
    <w:rsid w:val="00266356"/>
    <w:rsid w:val="002669EF"/>
    <w:rsid w:val="00266E0A"/>
    <w:rsid w:val="00266F26"/>
    <w:rsid w:val="00266FEE"/>
    <w:rsid w:val="002670B0"/>
    <w:rsid w:val="00267212"/>
    <w:rsid w:val="002674B9"/>
    <w:rsid w:val="00267810"/>
    <w:rsid w:val="0026786B"/>
    <w:rsid w:val="00267903"/>
    <w:rsid w:val="002679E1"/>
    <w:rsid w:val="00267C52"/>
    <w:rsid w:val="00267EB3"/>
    <w:rsid w:val="00267F3B"/>
    <w:rsid w:val="00270125"/>
    <w:rsid w:val="00270213"/>
    <w:rsid w:val="0027022F"/>
    <w:rsid w:val="0027047B"/>
    <w:rsid w:val="00270723"/>
    <w:rsid w:val="00270881"/>
    <w:rsid w:val="00270D50"/>
    <w:rsid w:val="00270DE8"/>
    <w:rsid w:val="00271182"/>
    <w:rsid w:val="002711C3"/>
    <w:rsid w:val="0027159B"/>
    <w:rsid w:val="002718EB"/>
    <w:rsid w:val="00271D90"/>
    <w:rsid w:val="00271EE4"/>
    <w:rsid w:val="002720BB"/>
    <w:rsid w:val="0027232A"/>
    <w:rsid w:val="00272477"/>
    <w:rsid w:val="002727C7"/>
    <w:rsid w:val="00272A00"/>
    <w:rsid w:val="00272F05"/>
    <w:rsid w:val="00273194"/>
    <w:rsid w:val="00273298"/>
    <w:rsid w:val="0027354E"/>
    <w:rsid w:val="002736AE"/>
    <w:rsid w:val="002738DA"/>
    <w:rsid w:val="00273949"/>
    <w:rsid w:val="00273A2D"/>
    <w:rsid w:val="00273C9A"/>
    <w:rsid w:val="00273D5D"/>
    <w:rsid w:val="00274176"/>
    <w:rsid w:val="00274188"/>
    <w:rsid w:val="0027449B"/>
    <w:rsid w:val="0027475E"/>
    <w:rsid w:val="00274988"/>
    <w:rsid w:val="00275490"/>
    <w:rsid w:val="00275903"/>
    <w:rsid w:val="0027598A"/>
    <w:rsid w:val="00275A88"/>
    <w:rsid w:val="00275C27"/>
    <w:rsid w:val="00275CB0"/>
    <w:rsid w:val="00275D5A"/>
    <w:rsid w:val="00275D63"/>
    <w:rsid w:val="00276325"/>
    <w:rsid w:val="002763B0"/>
    <w:rsid w:val="00276441"/>
    <w:rsid w:val="002764B7"/>
    <w:rsid w:val="0027684F"/>
    <w:rsid w:val="00276882"/>
    <w:rsid w:val="00276F93"/>
    <w:rsid w:val="00277077"/>
    <w:rsid w:val="00277129"/>
    <w:rsid w:val="00277478"/>
    <w:rsid w:val="00277663"/>
    <w:rsid w:val="00277995"/>
    <w:rsid w:val="00277BA3"/>
    <w:rsid w:val="00277CD9"/>
    <w:rsid w:val="00277E01"/>
    <w:rsid w:val="00277E3A"/>
    <w:rsid w:val="00277FA3"/>
    <w:rsid w:val="0028010B"/>
    <w:rsid w:val="002801E1"/>
    <w:rsid w:val="002805D0"/>
    <w:rsid w:val="002808C0"/>
    <w:rsid w:val="00280DF3"/>
    <w:rsid w:val="0028122E"/>
    <w:rsid w:val="0028191C"/>
    <w:rsid w:val="00281A7C"/>
    <w:rsid w:val="00281B97"/>
    <w:rsid w:val="00281C2E"/>
    <w:rsid w:val="00281C92"/>
    <w:rsid w:val="00281DC1"/>
    <w:rsid w:val="00281E6E"/>
    <w:rsid w:val="00281FF8"/>
    <w:rsid w:val="002821FB"/>
    <w:rsid w:val="00282663"/>
    <w:rsid w:val="00282A6B"/>
    <w:rsid w:val="00282AC7"/>
    <w:rsid w:val="00282B5B"/>
    <w:rsid w:val="00282F36"/>
    <w:rsid w:val="002832F3"/>
    <w:rsid w:val="00283315"/>
    <w:rsid w:val="0028333D"/>
    <w:rsid w:val="002833FE"/>
    <w:rsid w:val="00283854"/>
    <w:rsid w:val="00283ACD"/>
    <w:rsid w:val="00283E72"/>
    <w:rsid w:val="0028443C"/>
    <w:rsid w:val="00284866"/>
    <w:rsid w:val="00284B3B"/>
    <w:rsid w:val="002851B9"/>
    <w:rsid w:val="002852CE"/>
    <w:rsid w:val="00285890"/>
    <w:rsid w:val="00285CC4"/>
    <w:rsid w:val="00285D3C"/>
    <w:rsid w:val="00286014"/>
    <w:rsid w:val="00286061"/>
    <w:rsid w:val="0028620B"/>
    <w:rsid w:val="00286266"/>
    <w:rsid w:val="002867E6"/>
    <w:rsid w:val="00286C72"/>
    <w:rsid w:val="00286D77"/>
    <w:rsid w:val="00286D96"/>
    <w:rsid w:val="002879C7"/>
    <w:rsid w:val="00287B15"/>
    <w:rsid w:val="00287E21"/>
    <w:rsid w:val="00290343"/>
    <w:rsid w:val="0029034D"/>
    <w:rsid w:val="00290472"/>
    <w:rsid w:val="002904FC"/>
    <w:rsid w:val="002905BF"/>
    <w:rsid w:val="00290843"/>
    <w:rsid w:val="002908C3"/>
    <w:rsid w:val="00290B8E"/>
    <w:rsid w:val="00291505"/>
    <w:rsid w:val="0029165D"/>
    <w:rsid w:val="00291CD6"/>
    <w:rsid w:val="00291CDB"/>
    <w:rsid w:val="00291F50"/>
    <w:rsid w:val="00292102"/>
    <w:rsid w:val="00292352"/>
    <w:rsid w:val="002923BB"/>
    <w:rsid w:val="00292671"/>
    <w:rsid w:val="0029278B"/>
    <w:rsid w:val="00292E77"/>
    <w:rsid w:val="00293053"/>
    <w:rsid w:val="002930A1"/>
    <w:rsid w:val="002933C6"/>
    <w:rsid w:val="002939B5"/>
    <w:rsid w:val="00293D2E"/>
    <w:rsid w:val="00293F3F"/>
    <w:rsid w:val="00294088"/>
    <w:rsid w:val="0029415C"/>
    <w:rsid w:val="002944C9"/>
    <w:rsid w:val="002945E7"/>
    <w:rsid w:val="002949F8"/>
    <w:rsid w:val="00294B9E"/>
    <w:rsid w:val="00294BCD"/>
    <w:rsid w:val="00294E79"/>
    <w:rsid w:val="002953F8"/>
    <w:rsid w:val="00295856"/>
    <w:rsid w:val="002958F7"/>
    <w:rsid w:val="00295952"/>
    <w:rsid w:val="002959A7"/>
    <w:rsid w:val="00295D3F"/>
    <w:rsid w:val="00295D60"/>
    <w:rsid w:val="00295F56"/>
    <w:rsid w:val="00295F63"/>
    <w:rsid w:val="00296159"/>
    <w:rsid w:val="002961FF"/>
    <w:rsid w:val="002962EF"/>
    <w:rsid w:val="002966C7"/>
    <w:rsid w:val="00296F4E"/>
    <w:rsid w:val="00297435"/>
    <w:rsid w:val="0029780A"/>
    <w:rsid w:val="0029793D"/>
    <w:rsid w:val="00297BCA"/>
    <w:rsid w:val="00297E6C"/>
    <w:rsid w:val="002A0119"/>
    <w:rsid w:val="002A02A0"/>
    <w:rsid w:val="002A03F7"/>
    <w:rsid w:val="002A045E"/>
    <w:rsid w:val="002A06A0"/>
    <w:rsid w:val="002A0A6D"/>
    <w:rsid w:val="002A0D32"/>
    <w:rsid w:val="002A0E88"/>
    <w:rsid w:val="002A118B"/>
    <w:rsid w:val="002A1213"/>
    <w:rsid w:val="002A13D2"/>
    <w:rsid w:val="002A14F6"/>
    <w:rsid w:val="002A16C0"/>
    <w:rsid w:val="002A16D3"/>
    <w:rsid w:val="002A17F5"/>
    <w:rsid w:val="002A1929"/>
    <w:rsid w:val="002A195F"/>
    <w:rsid w:val="002A1B59"/>
    <w:rsid w:val="002A1F9B"/>
    <w:rsid w:val="002A1FE9"/>
    <w:rsid w:val="002A260E"/>
    <w:rsid w:val="002A2793"/>
    <w:rsid w:val="002A28F1"/>
    <w:rsid w:val="002A2C8E"/>
    <w:rsid w:val="002A2E38"/>
    <w:rsid w:val="002A2F74"/>
    <w:rsid w:val="002A3137"/>
    <w:rsid w:val="002A31FB"/>
    <w:rsid w:val="002A3514"/>
    <w:rsid w:val="002A35DA"/>
    <w:rsid w:val="002A3669"/>
    <w:rsid w:val="002A3725"/>
    <w:rsid w:val="002A3776"/>
    <w:rsid w:val="002A3F2B"/>
    <w:rsid w:val="002A3F9B"/>
    <w:rsid w:val="002A40BD"/>
    <w:rsid w:val="002A4B83"/>
    <w:rsid w:val="002A4D39"/>
    <w:rsid w:val="002A4F55"/>
    <w:rsid w:val="002A54DF"/>
    <w:rsid w:val="002A59FC"/>
    <w:rsid w:val="002A5B65"/>
    <w:rsid w:val="002A5D9F"/>
    <w:rsid w:val="002A5DF6"/>
    <w:rsid w:val="002A6D51"/>
    <w:rsid w:val="002A71F3"/>
    <w:rsid w:val="002A7259"/>
    <w:rsid w:val="002A7539"/>
    <w:rsid w:val="002A7592"/>
    <w:rsid w:val="002A78B2"/>
    <w:rsid w:val="002A790A"/>
    <w:rsid w:val="002A7C29"/>
    <w:rsid w:val="002A7EA0"/>
    <w:rsid w:val="002B0528"/>
    <w:rsid w:val="002B074F"/>
    <w:rsid w:val="002B0785"/>
    <w:rsid w:val="002B080C"/>
    <w:rsid w:val="002B0A02"/>
    <w:rsid w:val="002B0A59"/>
    <w:rsid w:val="002B0F2F"/>
    <w:rsid w:val="002B0F6E"/>
    <w:rsid w:val="002B107A"/>
    <w:rsid w:val="002B1155"/>
    <w:rsid w:val="002B130B"/>
    <w:rsid w:val="002B1ADC"/>
    <w:rsid w:val="002B1B09"/>
    <w:rsid w:val="002B1D1D"/>
    <w:rsid w:val="002B20DC"/>
    <w:rsid w:val="002B24F0"/>
    <w:rsid w:val="002B2771"/>
    <w:rsid w:val="002B2C05"/>
    <w:rsid w:val="002B2E73"/>
    <w:rsid w:val="002B2EBF"/>
    <w:rsid w:val="002B33CF"/>
    <w:rsid w:val="002B3892"/>
    <w:rsid w:val="002B39CD"/>
    <w:rsid w:val="002B3B87"/>
    <w:rsid w:val="002B40CF"/>
    <w:rsid w:val="002B40F7"/>
    <w:rsid w:val="002B4132"/>
    <w:rsid w:val="002B419B"/>
    <w:rsid w:val="002B4445"/>
    <w:rsid w:val="002B46DA"/>
    <w:rsid w:val="002B4756"/>
    <w:rsid w:val="002B4986"/>
    <w:rsid w:val="002B4ACF"/>
    <w:rsid w:val="002B4C5E"/>
    <w:rsid w:val="002B4F9E"/>
    <w:rsid w:val="002B4FD6"/>
    <w:rsid w:val="002B50F3"/>
    <w:rsid w:val="002B54CE"/>
    <w:rsid w:val="002B563E"/>
    <w:rsid w:val="002B5706"/>
    <w:rsid w:val="002B59F5"/>
    <w:rsid w:val="002B5DA4"/>
    <w:rsid w:val="002B5E70"/>
    <w:rsid w:val="002B5F0C"/>
    <w:rsid w:val="002B5F2A"/>
    <w:rsid w:val="002B608E"/>
    <w:rsid w:val="002B6577"/>
    <w:rsid w:val="002B674B"/>
    <w:rsid w:val="002B6A3B"/>
    <w:rsid w:val="002B6F82"/>
    <w:rsid w:val="002B70CB"/>
    <w:rsid w:val="002B7160"/>
    <w:rsid w:val="002B7227"/>
    <w:rsid w:val="002B736C"/>
    <w:rsid w:val="002B753E"/>
    <w:rsid w:val="002B777A"/>
    <w:rsid w:val="002B7858"/>
    <w:rsid w:val="002B7A7E"/>
    <w:rsid w:val="002B7F05"/>
    <w:rsid w:val="002B7F3B"/>
    <w:rsid w:val="002C0063"/>
    <w:rsid w:val="002C022D"/>
    <w:rsid w:val="002C037E"/>
    <w:rsid w:val="002C0642"/>
    <w:rsid w:val="002C0C2A"/>
    <w:rsid w:val="002C0CC5"/>
    <w:rsid w:val="002C0EB1"/>
    <w:rsid w:val="002C0F0F"/>
    <w:rsid w:val="002C10EB"/>
    <w:rsid w:val="002C1191"/>
    <w:rsid w:val="002C1648"/>
    <w:rsid w:val="002C169A"/>
    <w:rsid w:val="002C1730"/>
    <w:rsid w:val="002C1863"/>
    <w:rsid w:val="002C20B0"/>
    <w:rsid w:val="002C21A1"/>
    <w:rsid w:val="002C2384"/>
    <w:rsid w:val="002C26A2"/>
    <w:rsid w:val="002C3102"/>
    <w:rsid w:val="002C374A"/>
    <w:rsid w:val="002C3909"/>
    <w:rsid w:val="002C39A1"/>
    <w:rsid w:val="002C425D"/>
    <w:rsid w:val="002C46FB"/>
    <w:rsid w:val="002C4A89"/>
    <w:rsid w:val="002C4B04"/>
    <w:rsid w:val="002C4C81"/>
    <w:rsid w:val="002C4C83"/>
    <w:rsid w:val="002C4DB2"/>
    <w:rsid w:val="002C4FA2"/>
    <w:rsid w:val="002C50A4"/>
    <w:rsid w:val="002C58A6"/>
    <w:rsid w:val="002C5AC0"/>
    <w:rsid w:val="002C5F56"/>
    <w:rsid w:val="002C61CF"/>
    <w:rsid w:val="002C6587"/>
    <w:rsid w:val="002C6933"/>
    <w:rsid w:val="002C6ABF"/>
    <w:rsid w:val="002C6B16"/>
    <w:rsid w:val="002C6F2E"/>
    <w:rsid w:val="002C7154"/>
    <w:rsid w:val="002C71EF"/>
    <w:rsid w:val="002C73AF"/>
    <w:rsid w:val="002C7482"/>
    <w:rsid w:val="002C7849"/>
    <w:rsid w:val="002C7B1D"/>
    <w:rsid w:val="002C7B91"/>
    <w:rsid w:val="002D0686"/>
    <w:rsid w:val="002D06E2"/>
    <w:rsid w:val="002D07BF"/>
    <w:rsid w:val="002D0A7C"/>
    <w:rsid w:val="002D0AE4"/>
    <w:rsid w:val="002D0E91"/>
    <w:rsid w:val="002D129C"/>
    <w:rsid w:val="002D130B"/>
    <w:rsid w:val="002D1382"/>
    <w:rsid w:val="002D1495"/>
    <w:rsid w:val="002D1653"/>
    <w:rsid w:val="002D1806"/>
    <w:rsid w:val="002D19C6"/>
    <w:rsid w:val="002D1C39"/>
    <w:rsid w:val="002D1C8B"/>
    <w:rsid w:val="002D1CEB"/>
    <w:rsid w:val="002D1F3F"/>
    <w:rsid w:val="002D205F"/>
    <w:rsid w:val="002D20A0"/>
    <w:rsid w:val="002D240F"/>
    <w:rsid w:val="002D267F"/>
    <w:rsid w:val="002D26DB"/>
    <w:rsid w:val="002D2821"/>
    <w:rsid w:val="002D2824"/>
    <w:rsid w:val="002D29D1"/>
    <w:rsid w:val="002D2BA1"/>
    <w:rsid w:val="002D2C98"/>
    <w:rsid w:val="002D3066"/>
    <w:rsid w:val="002D3296"/>
    <w:rsid w:val="002D343B"/>
    <w:rsid w:val="002D374C"/>
    <w:rsid w:val="002D3C8F"/>
    <w:rsid w:val="002D3DC3"/>
    <w:rsid w:val="002D3DDF"/>
    <w:rsid w:val="002D40C3"/>
    <w:rsid w:val="002D40FA"/>
    <w:rsid w:val="002D4116"/>
    <w:rsid w:val="002D4219"/>
    <w:rsid w:val="002D4401"/>
    <w:rsid w:val="002D45B4"/>
    <w:rsid w:val="002D45CF"/>
    <w:rsid w:val="002D486A"/>
    <w:rsid w:val="002D48DA"/>
    <w:rsid w:val="002D4ADC"/>
    <w:rsid w:val="002D5047"/>
    <w:rsid w:val="002D573A"/>
    <w:rsid w:val="002D5837"/>
    <w:rsid w:val="002D58AF"/>
    <w:rsid w:val="002D5BCB"/>
    <w:rsid w:val="002D5CD1"/>
    <w:rsid w:val="002D5E44"/>
    <w:rsid w:val="002D60CB"/>
    <w:rsid w:val="002D6277"/>
    <w:rsid w:val="002D66D8"/>
    <w:rsid w:val="002D67F0"/>
    <w:rsid w:val="002D6993"/>
    <w:rsid w:val="002D6A72"/>
    <w:rsid w:val="002D6EB3"/>
    <w:rsid w:val="002D718C"/>
    <w:rsid w:val="002D71C3"/>
    <w:rsid w:val="002D721F"/>
    <w:rsid w:val="002D73CB"/>
    <w:rsid w:val="002D770D"/>
    <w:rsid w:val="002D782E"/>
    <w:rsid w:val="002D78EE"/>
    <w:rsid w:val="002D7E94"/>
    <w:rsid w:val="002E02D9"/>
    <w:rsid w:val="002E0514"/>
    <w:rsid w:val="002E0522"/>
    <w:rsid w:val="002E05F9"/>
    <w:rsid w:val="002E0713"/>
    <w:rsid w:val="002E07F2"/>
    <w:rsid w:val="002E0967"/>
    <w:rsid w:val="002E09ED"/>
    <w:rsid w:val="002E0AEA"/>
    <w:rsid w:val="002E0BC5"/>
    <w:rsid w:val="002E0D16"/>
    <w:rsid w:val="002E0E68"/>
    <w:rsid w:val="002E1042"/>
    <w:rsid w:val="002E136C"/>
    <w:rsid w:val="002E16A8"/>
    <w:rsid w:val="002E17B8"/>
    <w:rsid w:val="002E1814"/>
    <w:rsid w:val="002E199F"/>
    <w:rsid w:val="002E19EF"/>
    <w:rsid w:val="002E1C21"/>
    <w:rsid w:val="002E1D07"/>
    <w:rsid w:val="002E1E6D"/>
    <w:rsid w:val="002E1F91"/>
    <w:rsid w:val="002E222C"/>
    <w:rsid w:val="002E2576"/>
    <w:rsid w:val="002E25C0"/>
    <w:rsid w:val="002E2942"/>
    <w:rsid w:val="002E2B15"/>
    <w:rsid w:val="002E2CEF"/>
    <w:rsid w:val="002E2CF3"/>
    <w:rsid w:val="002E32EB"/>
    <w:rsid w:val="002E393B"/>
    <w:rsid w:val="002E39DD"/>
    <w:rsid w:val="002E39EB"/>
    <w:rsid w:val="002E3A44"/>
    <w:rsid w:val="002E3C60"/>
    <w:rsid w:val="002E3DAE"/>
    <w:rsid w:val="002E4534"/>
    <w:rsid w:val="002E46BB"/>
    <w:rsid w:val="002E471B"/>
    <w:rsid w:val="002E48AC"/>
    <w:rsid w:val="002E4A01"/>
    <w:rsid w:val="002E4E2C"/>
    <w:rsid w:val="002E4ED1"/>
    <w:rsid w:val="002E4F0C"/>
    <w:rsid w:val="002E54F0"/>
    <w:rsid w:val="002E56F6"/>
    <w:rsid w:val="002E5900"/>
    <w:rsid w:val="002E5AC5"/>
    <w:rsid w:val="002E5CD9"/>
    <w:rsid w:val="002E5F7D"/>
    <w:rsid w:val="002E5FB6"/>
    <w:rsid w:val="002E6192"/>
    <w:rsid w:val="002E61FF"/>
    <w:rsid w:val="002E6357"/>
    <w:rsid w:val="002E65B3"/>
    <w:rsid w:val="002E65EC"/>
    <w:rsid w:val="002E675A"/>
    <w:rsid w:val="002E68C7"/>
    <w:rsid w:val="002E6A00"/>
    <w:rsid w:val="002E6C30"/>
    <w:rsid w:val="002E6C93"/>
    <w:rsid w:val="002E6FFF"/>
    <w:rsid w:val="002E707C"/>
    <w:rsid w:val="002E7239"/>
    <w:rsid w:val="002E7BC4"/>
    <w:rsid w:val="002E7D53"/>
    <w:rsid w:val="002E7E29"/>
    <w:rsid w:val="002F0051"/>
    <w:rsid w:val="002F02BE"/>
    <w:rsid w:val="002F0CD0"/>
    <w:rsid w:val="002F0D64"/>
    <w:rsid w:val="002F1006"/>
    <w:rsid w:val="002F159F"/>
    <w:rsid w:val="002F19E3"/>
    <w:rsid w:val="002F2183"/>
    <w:rsid w:val="002F237F"/>
    <w:rsid w:val="002F25E7"/>
    <w:rsid w:val="002F265F"/>
    <w:rsid w:val="002F2A72"/>
    <w:rsid w:val="002F2A90"/>
    <w:rsid w:val="002F2DC3"/>
    <w:rsid w:val="002F2F10"/>
    <w:rsid w:val="002F32C2"/>
    <w:rsid w:val="002F36CB"/>
    <w:rsid w:val="002F3860"/>
    <w:rsid w:val="002F3D19"/>
    <w:rsid w:val="002F3DB4"/>
    <w:rsid w:val="002F4044"/>
    <w:rsid w:val="002F420C"/>
    <w:rsid w:val="002F46AE"/>
    <w:rsid w:val="002F48B6"/>
    <w:rsid w:val="002F492E"/>
    <w:rsid w:val="002F4ADB"/>
    <w:rsid w:val="002F4C02"/>
    <w:rsid w:val="002F547D"/>
    <w:rsid w:val="002F5B7A"/>
    <w:rsid w:val="002F5BF9"/>
    <w:rsid w:val="002F60B9"/>
    <w:rsid w:val="002F6153"/>
    <w:rsid w:val="002F63CD"/>
    <w:rsid w:val="002F63F5"/>
    <w:rsid w:val="002F645E"/>
    <w:rsid w:val="002F658C"/>
    <w:rsid w:val="002F6F54"/>
    <w:rsid w:val="002F72E1"/>
    <w:rsid w:val="002F7406"/>
    <w:rsid w:val="002F77FF"/>
    <w:rsid w:val="002F7859"/>
    <w:rsid w:val="002F78E9"/>
    <w:rsid w:val="002F7A31"/>
    <w:rsid w:val="002F7A48"/>
    <w:rsid w:val="002F7D01"/>
    <w:rsid w:val="002F7DC9"/>
    <w:rsid w:val="0030030C"/>
    <w:rsid w:val="00300806"/>
    <w:rsid w:val="00300B2F"/>
    <w:rsid w:val="00300CB1"/>
    <w:rsid w:val="00300E99"/>
    <w:rsid w:val="00301161"/>
    <w:rsid w:val="0030125D"/>
    <w:rsid w:val="0030174F"/>
    <w:rsid w:val="003019A3"/>
    <w:rsid w:val="00301C4D"/>
    <w:rsid w:val="003020FD"/>
    <w:rsid w:val="00302106"/>
    <w:rsid w:val="003021D6"/>
    <w:rsid w:val="003029E7"/>
    <w:rsid w:val="00302FD8"/>
    <w:rsid w:val="0030309F"/>
    <w:rsid w:val="0030332A"/>
    <w:rsid w:val="003035C2"/>
    <w:rsid w:val="0030365C"/>
    <w:rsid w:val="00303907"/>
    <w:rsid w:val="00303ABF"/>
    <w:rsid w:val="00303D6F"/>
    <w:rsid w:val="00303DE2"/>
    <w:rsid w:val="00303F9D"/>
    <w:rsid w:val="003046D3"/>
    <w:rsid w:val="0030491A"/>
    <w:rsid w:val="00304B7C"/>
    <w:rsid w:val="00304DC9"/>
    <w:rsid w:val="00304F19"/>
    <w:rsid w:val="00305079"/>
    <w:rsid w:val="00305578"/>
    <w:rsid w:val="003055DF"/>
    <w:rsid w:val="00305B83"/>
    <w:rsid w:val="00305CCF"/>
    <w:rsid w:val="003062A4"/>
    <w:rsid w:val="003065A6"/>
    <w:rsid w:val="0030667C"/>
    <w:rsid w:val="0030691C"/>
    <w:rsid w:val="00306DFD"/>
    <w:rsid w:val="00306EAF"/>
    <w:rsid w:val="00306F11"/>
    <w:rsid w:val="00307256"/>
    <w:rsid w:val="00307C35"/>
    <w:rsid w:val="00307C91"/>
    <w:rsid w:val="00307F19"/>
    <w:rsid w:val="00307FEF"/>
    <w:rsid w:val="003101FD"/>
    <w:rsid w:val="0031033C"/>
    <w:rsid w:val="0031060F"/>
    <w:rsid w:val="00310BC9"/>
    <w:rsid w:val="00310D58"/>
    <w:rsid w:val="00310EC2"/>
    <w:rsid w:val="00311637"/>
    <w:rsid w:val="003118BE"/>
    <w:rsid w:val="00311A22"/>
    <w:rsid w:val="00311B1A"/>
    <w:rsid w:val="00311B35"/>
    <w:rsid w:val="00311D18"/>
    <w:rsid w:val="00312157"/>
    <w:rsid w:val="0031215C"/>
    <w:rsid w:val="0031239B"/>
    <w:rsid w:val="003123B7"/>
    <w:rsid w:val="0031247C"/>
    <w:rsid w:val="00312506"/>
    <w:rsid w:val="0031264B"/>
    <w:rsid w:val="00312CD2"/>
    <w:rsid w:val="00312E68"/>
    <w:rsid w:val="00312F97"/>
    <w:rsid w:val="003134EE"/>
    <w:rsid w:val="0031365B"/>
    <w:rsid w:val="0031373D"/>
    <w:rsid w:val="00313881"/>
    <w:rsid w:val="00313C80"/>
    <w:rsid w:val="00313D87"/>
    <w:rsid w:val="00313FDA"/>
    <w:rsid w:val="00314175"/>
    <w:rsid w:val="0031439D"/>
    <w:rsid w:val="0031456A"/>
    <w:rsid w:val="00314C73"/>
    <w:rsid w:val="00314FE2"/>
    <w:rsid w:val="00315150"/>
    <w:rsid w:val="00315595"/>
    <w:rsid w:val="003156B3"/>
    <w:rsid w:val="003157D3"/>
    <w:rsid w:val="00315957"/>
    <w:rsid w:val="00315A52"/>
    <w:rsid w:val="00315C06"/>
    <w:rsid w:val="00315CB7"/>
    <w:rsid w:val="00315F5A"/>
    <w:rsid w:val="003161D4"/>
    <w:rsid w:val="0031632E"/>
    <w:rsid w:val="00316745"/>
    <w:rsid w:val="003168CA"/>
    <w:rsid w:val="00316AF9"/>
    <w:rsid w:val="00316EB0"/>
    <w:rsid w:val="003170DB"/>
    <w:rsid w:val="00317339"/>
    <w:rsid w:val="00317706"/>
    <w:rsid w:val="003179D6"/>
    <w:rsid w:val="00317AA2"/>
    <w:rsid w:val="00317AF1"/>
    <w:rsid w:val="00317B4C"/>
    <w:rsid w:val="00320805"/>
    <w:rsid w:val="00320B80"/>
    <w:rsid w:val="00320D42"/>
    <w:rsid w:val="00320DD3"/>
    <w:rsid w:val="00320F00"/>
    <w:rsid w:val="00321288"/>
    <w:rsid w:val="003216C0"/>
    <w:rsid w:val="003216C2"/>
    <w:rsid w:val="00321702"/>
    <w:rsid w:val="0032182B"/>
    <w:rsid w:val="0032189C"/>
    <w:rsid w:val="0032196F"/>
    <w:rsid w:val="00321B1A"/>
    <w:rsid w:val="00321BBA"/>
    <w:rsid w:val="00321BCF"/>
    <w:rsid w:val="00321D7E"/>
    <w:rsid w:val="0032228B"/>
    <w:rsid w:val="00322444"/>
    <w:rsid w:val="00322DEF"/>
    <w:rsid w:val="003230C7"/>
    <w:rsid w:val="00323298"/>
    <w:rsid w:val="0032339E"/>
    <w:rsid w:val="003234B4"/>
    <w:rsid w:val="00323598"/>
    <w:rsid w:val="003235FF"/>
    <w:rsid w:val="00323666"/>
    <w:rsid w:val="0032369B"/>
    <w:rsid w:val="00323780"/>
    <w:rsid w:val="00323A5F"/>
    <w:rsid w:val="00323AA0"/>
    <w:rsid w:val="00323F25"/>
    <w:rsid w:val="00323F4C"/>
    <w:rsid w:val="0032405D"/>
    <w:rsid w:val="00324425"/>
    <w:rsid w:val="00324D5E"/>
    <w:rsid w:val="003251A3"/>
    <w:rsid w:val="00325317"/>
    <w:rsid w:val="00325342"/>
    <w:rsid w:val="00325513"/>
    <w:rsid w:val="00325547"/>
    <w:rsid w:val="00325950"/>
    <w:rsid w:val="0032595A"/>
    <w:rsid w:val="00325A51"/>
    <w:rsid w:val="00325A59"/>
    <w:rsid w:val="00325DE2"/>
    <w:rsid w:val="00325FC1"/>
    <w:rsid w:val="003262FD"/>
    <w:rsid w:val="0032636A"/>
    <w:rsid w:val="00326646"/>
    <w:rsid w:val="003266BE"/>
    <w:rsid w:val="00326BF1"/>
    <w:rsid w:val="00326E24"/>
    <w:rsid w:val="00327292"/>
    <w:rsid w:val="003272C1"/>
    <w:rsid w:val="0032740F"/>
    <w:rsid w:val="00327626"/>
    <w:rsid w:val="0032769F"/>
    <w:rsid w:val="003276FA"/>
    <w:rsid w:val="00327C67"/>
    <w:rsid w:val="00327EB7"/>
    <w:rsid w:val="00330372"/>
    <w:rsid w:val="0033083E"/>
    <w:rsid w:val="0033113E"/>
    <w:rsid w:val="003317A6"/>
    <w:rsid w:val="00331ABA"/>
    <w:rsid w:val="00331C26"/>
    <w:rsid w:val="00331CE6"/>
    <w:rsid w:val="00331F28"/>
    <w:rsid w:val="003320AB"/>
    <w:rsid w:val="003322C5"/>
    <w:rsid w:val="00332535"/>
    <w:rsid w:val="00332580"/>
    <w:rsid w:val="003327F4"/>
    <w:rsid w:val="003329B6"/>
    <w:rsid w:val="00333263"/>
    <w:rsid w:val="0033341D"/>
    <w:rsid w:val="0033380F"/>
    <w:rsid w:val="00333970"/>
    <w:rsid w:val="003339E9"/>
    <w:rsid w:val="00333B38"/>
    <w:rsid w:val="00333C0E"/>
    <w:rsid w:val="00333E0A"/>
    <w:rsid w:val="00333EFB"/>
    <w:rsid w:val="00334049"/>
    <w:rsid w:val="0033415C"/>
    <w:rsid w:val="0033431C"/>
    <w:rsid w:val="00334427"/>
    <w:rsid w:val="003344C9"/>
    <w:rsid w:val="003344F1"/>
    <w:rsid w:val="0033484A"/>
    <w:rsid w:val="003348C6"/>
    <w:rsid w:val="0033542A"/>
    <w:rsid w:val="0033572B"/>
    <w:rsid w:val="003357B0"/>
    <w:rsid w:val="00335946"/>
    <w:rsid w:val="00335CDD"/>
    <w:rsid w:val="00335F52"/>
    <w:rsid w:val="00336080"/>
    <w:rsid w:val="0033633D"/>
    <w:rsid w:val="003364E8"/>
    <w:rsid w:val="0033672F"/>
    <w:rsid w:val="00336DC5"/>
    <w:rsid w:val="00336EC3"/>
    <w:rsid w:val="00336EFA"/>
    <w:rsid w:val="00336F71"/>
    <w:rsid w:val="00336FD9"/>
    <w:rsid w:val="00337054"/>
    <w:rsid w:val="003371F3"/>
    <w:rsid w:val="00337236"/>
    <w:rsid w:val="003373D5"/>
    <w:rsid w:val="003374C7"/>
    <w:rsid w:val="00337A11"/>
    <w:rsid w:val="00337CCA"/>
    <w:rsid w:val="00340502"/>
    <w:rsid w:val="003408EC"/>
    <w:rsid w:val="00340C6E"/>
    <w:rsid w:val="00340DE3"/>
    <w:rsid w:val="00340EE6"/>
    <w:rsid w:val="00340F50"/>
    <w:rsid w:val="0034100C"/>
    <w:rsid w:val="003411C4"/>
    <w:rsid w:val="003414CB"/>
    <w:rsid w:val="00341588"/>
    <w:rsid w:val="00341600"/>
    <w:rsid w:val="00341946"/>
    <w:rsid w:val="00341D9D"/>
    <w:rsid w:val="00342B80"/>
    <w:rsid w:val="00343029"/>
    <w:rsid w:val="003430E5"/>
    <w:rsid w:val="003433A7"/>
    <w:rsid w:val="003434A9"/>
    <w:rsid w:val="0034351D"/>
    <w:rsid w:val="0034388B"/>
    <w:rsid w:val="00343B11"/>
    <w:rsid w:val="00343B50"/>
    <w:rsid w:val="00343FA2"/>
    <w:rsid w:val="00344076"/>
    <w:rsid w:val="00344173"/>
    <w:rsid w:val="00344758"/>
    <w:rsid w:val="00344760"/>
    <w:rsid w:val="00344776"/>
    <w:rsid w:val="00344CA4"/>
    <w:rsid w:val="00344CDF"/>
    <w:rsid w:val="00344E8B"/>
    <w:rsid w:val="0034560A"/>
    <w:rsid w:val="00345A7B"/>
    <w:rsid w:val="00345BC9"/>
    <w:rsid w:val="00346268"/>
    <w:rsid w:val="0034640A"/>
    <w:rsid w:val="00346649"/>
    <w:rsid w:val="0034682D"/>
    <w:rsid w:val="00346946"/>
    <w:rsid w:val="00346DBB"/>
    <w:rsid w:val="0034754E"/>
    <w:rsid w:val="00347997"/>
    <w:rsid w:val="00347CC3"/>
    <w:rsid w:val="00347E91"/>
    <w:rsid w:val="00347EE2"/>
    <w:rsid w:val="00350376"/>
    <w:rsid w:val="003503A0"/>
    <w:rsid w:val="0035067F"/>
    <w:rsid w:val="0035092B"/>
    <w:rsid w:val="00350BFA"/>
    <w:rsid w:val="00350D98"/>
    <w:rsid w:val="00350EC0"/>
    <w:rsid w:val="00350F18"/>
    <w:rsid w:val="00350F5B"/>
    <w:rsid w:val="003510E0"/>
    <w:rsid w:val="00351385"/>
    <w:rsid w:val="003518AC"/>
    <w:rsid w:val="0035271B"/>
    <w:rsid w:val="0035279A"/>
    <w:rsid w:val="00352851"/>
    <w:rsid w:val="00352A53"/>
    <w:rsid w:val="00352A85"/>
    <w:rsid w:val="00353027"/>
    <w:rsid w:val="003530F4"/>
    <w:rsid w:val="00353154"/>
    <w:rsid w:val="003536AB"/>
    <w:rsid w:val="00353A80"/>
    <w:rsid w:val="00353CFF"/>
    <w:rsid w:val="003540D9"/>
    <w:rsid w:val="003547ED"/>
    <w:rsid w:val="00354876"/>
    <w:rsid w:val="00354B82"/>
    <w:rsid w:val="00354DD3"/>
    <w:rsid w:val="00355016"/>
    <w:rsid w:val="0035507E"/>
    <w:rsid w:val="00355304"/>
    <w:rsid w:val="00355CC0"/>
    <w:rsid w:val="00355F57"/>
    <w:rsid w:val="00356370"/>
    <w:rsid w:val="003563B6"/>
    <w:rsid w:val="00356583"/>
    <w:rsid w:val="0035666A"/>
    <w:rsid w:val="00356707"/>
    <w:rsid w:val="00356B7F"/>
    <w:rsid w:val="00356BE2"/>
    <w:rsid w:val="00356CC9"/>
    <w:rsid w:val="0035700A"/>
    <w:rsid w:val="003571E4"/>
    <w:rsid w:val="003574AF"/>
    <w:rsid w:val="00357A68"/>
    <w:rsid w:val="00357A8C"/>
    <w:rsid w:val="00357C20"/>
    <w:rsid w:val="00357CE8"/>
    <w:rsid w:val="00357D40"/>
    <w:rsid w:val="00357E88"/>
    <w:rsid w:val="003601B4"/>
    <w:rsid w:val="003602FE"/>
    <w:rsid w:val="0036061B"/>
    <w:rsid w:val="0036063D"/>
    <w:rsid w:val="00360A18"/>
    <w:rsid w:val="00360A1F"/>
    <w:rsid w:val="00360F55"/>
    <w:rsid w:val="00361538"/>
    <w:rsid w:val="003616F8"/>
    <w:rsid w:val="00361AB6"/>
    <w:rsid w:val="00361CAF"/>
    <w:rsid w:val="00361E3D"/>
    <w:rsid w:val="00361FDE"/>
    <w:rsid w:val="00362051"/>
    <w:rsid w:val="00362145"/>
    <w:rsid w:val="0036237A"/>
    <w:rsid w:val="0036248D"/>
    <w:rsid w:val="00362619"/>
    <w:rsid w:val="00362BC5"/>
    <w:rsid w:val="003634A7"/>
    <w:rsid w:val="00363503"/>
    <w:rsid w:val="003636CD"/>
    <w:rsid w:val="003639C5"/>
    <w:rsid w:val="00363B9D"/>
    <w:rsid w:val="00363F20"/>
    <w:rsid w:val="003648FA"/>
    <w:rsid w:val="00364C7E"/>
    <w:rsid w:val="00364CFC"/>
    <w:rsid w:val="003650DF"/>
    <w:rsid w:val="003657D9"/>
    <w:rsid w:val="00365B78"/>
    <w:rsid w:val="00365C04"/>
    <w:rsid w:val="00365DD7"/>
    <w:rsid w:val="00366520"/>
    <w:rsid w:val="00366AF6"/>
    <w:rsid w:val="00366B81"/>
    <w:rsid w:val="00366E84"/>
    <w:rsid w:val="00367249"/>
    <w:rsid w:val="0036778E"/>
    <w:rsid w:val="00367820"/>
    <w:rsid w:val="00367860"/>
    <w:rsid w:val="0036789B"/>
    <w:rsid w:val="0036790B"/>
    <w:rsid w:val="00367CE3"/>
    <w:rsid w:val="003702BF"/>
    <w:rsid w:val="003707F7"/>
    <w:rsid w:val="00370852"/>
    <w:rsid w:val="003711BB"/>
    <w:rsid w:val="00371337"/>
    <w:rsid w:val="003716A2"/>
    <w:rsid w:val="00371837"/>
    <w:rsid w:val="00372287"/>
    <w:rsid w:val="00372973"/>
    <w:rsid w:val="00372AF9"/>
    <w:rsid w:val="00372CA0"/>
    <w:rsid w:val="00372CC7"/>
    <w:rsid w:val="00372DC7"/>
    <w:rsid w:val="00373202"/>
    <w:rsid w:val="003732D6"/>
    <w:rsid w:val="00373410"/>
    <w:rsid w:val="003734D3"/>
    <w:rsid w:val="00373633"/>
    <w:rsid w:val="00373A4A"/>
    <w:rsid w:val="00373CC1"/>
    <w:rsid w:val="00373D9A"/>
    <w:rsid w:val="00373FE1"/>
    <w:rsid w:val="00374035"/>
    <w:rsid w:val="00374545"/>
    <w:rsid w:val="0037472F"/>
    <w:rsid w:val="003747A8"/>
    <w:rsid w:val="003749A6"/>
    <w:rsid w:val="003749DD"/>
    <w:rsid w:val="00374AEA"/>
    <w:rsid w:val="00374BB2"/>
    <w:rsid w:val="00374D7C"/>
    <w:rsid w:val="00374E98"/>
    <w:rsid w:val="00375173"/>
    <w:rsid w:val="00375519"/>
    <w:rsid w:val="003756B9"/>
    <w:rsid w:val="00375D87"/>
    <w:rsid w:val="00375EAB"/>
    <w:rsid w:val="00376599"/>
    <w:rsid w:val="003765DD"/>
    <w:rsid w:val="00376609"/>
    <w:rsid w:val="0037675C"/>
    <w:rsid w:val="003769EF"/>
    <w:rsid w:val="00376B0C"/>
    <w:rsid w:val="00377305"/>
    <w:rsid w:val="00377594"/>
    <w:rsid w:val="003776B6"/>
    <w:rsid w:val="003776EA"/>
    <w:rsid w:val="00377831"/>
    <w:rsid w:val="00377F09"/>
    <w:rsid w:val="003800B7"/>
    <w:rsid w:val="0038047F"/>
    <w:rsid w:val="003804F9"/>
    <w:rsid w:val="003806D1"/>
    <w:rsid w:val="00380A3A"/>
    <w:rsid w:val="00380CAA"/>
    <w:rsid w:val="00380CB2"/>
    <w:rsid w:val="00381055"/>
    <w:rsid w:val="00381252"/>
    <w:rsid w:val="003815DA"/>
    <w:rsid w:val="00381833"/>
    <w:rsid w:val="00381A6A"/>
    <w:rsid w:val="00381C6F"/>
    <w:rsid w:val="00381E6F"/>
    <w:rsid w:val="00382241"/>
    <w:rsid w:val="003826E1"/>
    <w:rsid w:val="00382907"/>
    <w:rsid w:val="00382CF8"/>
    <w:rsid w:val="00382D9A"/>
    <w:rsid w:val="00382EDE"/>
    <w:rsid w:val="003833D4"/>
    <w:rsid w:val="00383492"/>
    <w:rsid w:val="003834AA"/>
    <w:rsid w:val="0038359E"/>
    <w:rsid w:val="003835F1"/>
    <w:rsid w:val="0038376A"/>
    <w:rsid w:val="003837D0"/>
    <w:rsid w:val="00383975"/>
    <w:rsid w:val="00383B43"/>
    <w:rsid w:val="00384841"/>
    <w:rsid w:val="00384D1C"/>
    <w:rsid w:val="0038518B"/>
    <w:rsid w:val="00385623"/>
    <w:rsid w:val="00385768"/>
    <w:rsid w:val="0038579F"/>
    <w:rsid w:val="00385A65"/>
    <w:rsid w:val="00386128"/>
    <w:rsid w:val="003861CD"/>
    <w:rsid w:val="0038650D"/>
    <w:rsid w:val="0038654A"/>
    <w:rsid w:val="003865DB"/>
    <w:rsid w:val="0038684E"/>
    <w:rsid w:val="00386854"/>
    <w:rsid w:val="0038686F"/>
    <w:rsid w:val="0038694F"/>
    <w:rsid w:val="00386980"/>
    <w:rsid w:val="003869C2"/>
    <w:rsid w:val="00386CAA"/>
    <w:rsid w:val="003874A8"/>
    <w:rsid w:val="00387501"/>
    <w:rsid w:val="003875A9"/>
    <w:rsid w:val="003876E9"/>
    <w:rsid w:val="00387739"/>
    <w:rsid w:val="0038786A"/>
    <w:rsid w:val="00387BA4"/>
    <w:rsid w:val="00387FDC"/>
    <w:rsid w:val="0039052C"/>
    <w:rsid w:val="00390846"/>
    <w:rsid w:val="0039097C"/>
    <w:rsid w:val="00390C45"/>
    <w:rsid w:val="0039109F"/>
    <w:rsid w:val="00391341"/>
    <w:rsid w:val="00391395"/>
    <w:rsid w:val="00391533"/>
    <w:rsid w:val="0039153B"/>
    <w:rsid w:val="00391C2E"/>
    <w:rsid w:val="00391E1E"/>
    <w:rsid w:val="003920F1"/>
    <w:rsid w:val="00392218"/>
    <w:rsid w:val="00392BBB"/>
    <w:rsid w:val="00392CDE"/>
    <w:rsid w:val="00392F44"/>
    <w:rsid w:val="00392F75"/>
    <w:rsid w:val="00393101"/>
    <w:rsid w:val="003934F0"/>
    <w:rsid w:val="0039383F"/>
    <w:rsid w:val="00393A08"/>
    <w:rsid w:val="0039417C"/>
    <w:rsid w:val="00394647"/>
    <w:rsid w:val="00394705"/>
    <w:rsid w:val="0039471E"/>
    <w:rsid w:val="0039482A"/>
    <w:rsid w:val="003948F0"/>
    <w:rsid w:val="00394A3F"/>
    <w:rsid w:val="00394BF6"/>
    <w:rsid w:val="00394DAA"/>
    <w:rsid w:val="00394E55"/>
    <w:rsid w:val="00394E82"/>
    <w:rsid w:val="00394F60"/>
    <w:rsid w:val="003953B9"/>
    <w:rsid w:val="00395900"/>
    <w:rsid w:val="00395ACC"/>
    <w:rsid w:val="00395F77"/>
    <w:rsid w:val="00396462"/>
    <w:rsid w:val="0039658C"/>
    <w:rsid w:val="00396FA7"/>
    <w:rsid w:val="00396FFE"/>
    <w:rsid w:val="00397205"/>
    <w:rsid w:val="0039735F"/>
    <w:rsid w:val="003973BB"/>
    <w:rsid w:val="00397805"/>
    <w:rsid w:val="00397A79"/>
    <w:rsid w:val="00397C16"/>
    <w:rsid w:val="00397CEE"/>
    <w:rsid w:val="00397D79"/>
    <w:rsid w:val="00397EF1"/>
    <w:rsid w:val="00397FFD"/>
    <w:rsid w:val="003A013E"/>
    <w:rsid w:val="003A041E"/>
    <w:rsid w:val="003A0B17"/>
    <w:rsid w:val="003A0BE0"/>
    <w:rsid w:val="003A0D93"/>
    <w:rsid w:val="003A0FB6"/>
    <w:rsid w:val="003A174D"/>
    <w:rsid w:val="003A1877"/>
    <w:rsid w:val="003A1C36"/>
    <w:rsid w:val="003A1D04"/>
    <w:rsid w:val="003A2045"/>
    <w:rsid w:val="003A20CA"/>
    <w:rsid w:val="003A222C"/>
    <w:rsid w:val="003A236D"/>
    <w:rsid w:val="003A2457"/>
    <w:rsid w:val="003A28ED"/>
    <w:rsid w:val="003A2D8B"/>
    <w:rsid w:val="003A2E75"/>
    <w:rsid w:val="003A30A7"/>
    <w:rsid w:val="003A318E"/>
    <w:rsid w:val="003A3330"/>
    <w:rsid w:val="003A3609"/>
    <w:rsid w:val="003A3731"/>
    <w:rsid w:val="003A3820"/>
    <w:rsid w:val="003A3AB8"/>
    <w:rsid w:val="003A3C8D"/>
    <w:rsid w:val="003A4114"/>
    <w:rsid w:val="003A4371"/>
    <w:rsid w:val="003A45F1"/>
    <w:rsid w:val="003A46D9"/>
    <w:rsid w:val="003A49D2"/>
    <w:rsid w:val="003A4C39"/>
    <w:rsid w:val="003A542B"/>
    <w:rsid w:val="003A54BC"/>
    <w:rsid w:val="003A55C9"/>
    <w:rsid w:val="003A566D"/>
    <w:rsid w:val="003A5888"/>
    <w:rsid w:val="003A5D53"/>
    <w:rsid w:val="003A603F"/>
    <w:rsid w:val="003A6140"/>
    <w:rsid w:val="003A628F"/>
    <w:rsid w:val="003A6676"/>
    <w:rsid w:val="003A66EC"/>
    <w:rsid w:val="003A6763"/>
    <w:rsid w:val="003A720B"/>
    <w:rsid w:val="003A789E"/>
    <w:rsid w:val="003A7930"/>
    <w:rsid w:val="003A7960"/>
    <w:rsid w:val="003A7A65"/>
    <w:rsid w:val="003A7C31"/>
    <w:rsid w:val="003A7CB3"/>
    <w:rsid w:val="003B0220"/>
    <w:rsid w:val="003B04D8"/>
    <w:rsid w:val="003B0741"/>
    <w:rsid w:val="003B0BFE"/>
    <w:rsid w:val="003B12D9"/>
    <w:rsid w:val="003B13BD"/>
    <w:rsid w:val="003B14D9"/>
    <w:rsid w:val="003B15B6"/>
    <w:rsid w:val="003B190A"/>
    <w:rsid w:val="003B1B80"/>
    <w:rsid w:val="003B1F2C"/>
    <w:rsid w:val="003B21AB"/>
    <w:rsid w:val="003B222B"/>
    <w:rsid w:val="003B246C"/>
    <w:rsid w:val="003B24D6"/>
    <w:rsid w:val="003B2529"/>
    <w:rsid w:val="003B25DA"/>
    <w:rsid w:val="003B2C51"/>
    <w:rsid w:val="003B2D28"/>
    <w:rsid w:val="003B2E6A"/>
    <w:rsid w:val="003B3034"/>
    <w:rsid w:val="003B3407"/>
    <w:rsid w:val="003B347D"/>
    <w:rsid w:val="003B36E1"/>
    <w:rsid w:val="003B3CA3"/>
    <w:rsid w:val="003B3D3A"/>
    <w:rsid w:val="003B3D99"/>
    <w:rsid w:val="003B453F"/>
    <w:rsid w:val="003B45CD"/>
    <w:rsid w:val="003B466E"/>
    <w:rsid w:val="003B5197"/>
    <w:rsid w:val="003B51A5"/>
    <w:rsid w:val="003B5420"/>
    <w:rsid w:val="003B555F"/>
    <w:rsid w:val="003B57EE"/>
    <w:rsid w:val="003B58E1"/>
    <w:rsid w:val="003B5933"/>
    <w:rsid w:val="003B5AB5"/>
    <w:rsid w:val="003B5BD6"/>
    <w:rsid w:val="003B6390"/>
    <w:rsid w:val="003B66D4"/>
    <w:rsid w:val="003B67FD"/>
    <w:rsid w:val="003B6852"/>
    <w:rsid w:val="003B69EA"/>
    <w:rsid w:val="003B6B4C"/>
    <w:rsid w:val="003B6C0F"/>
    <w:rsid w:val="003B6EF1"/>
    <w:rsid w:val="003B6FEA"/>
    <w:rsid w:val="003B7042"/>
    <w:rsid w:val="003B7356"/>
    <w:rsid w:val="003B7474"/>
    <w:rsid w:val="003B7482"/>
    <w:rsid w:val="003B74E3"/>
    <w:rsid w:val="003B7637"/>
    <w:rsid w:val="003B7903"/>
    <w:rsid w:val="003B7CA9"/>
    <w:rsid w:val="003B7E65"/>
    <w:rsid w:val="003B7ECB"/>
    <w:rsid w:val="003C0012"/>
    <w:rsid w:val="003C0048"/>
    <w:rsid w:val="003C0740"/>
    <w:rsid w:val="003C0784"/>
    <w:rsid w:val="003C08E8"/>
    <w:rsid w:val="003C0BB2"/>
    <w:rsid w:val="003C0CCD"/>
    <w:rsid w:val="003C0E9E"/>
    <w:rsid w:val="003C1619"/>
    <w:rsid w:val="003C176A"/>
    <w:rsid w:val="003C19D8"/>
    <w:rsid w:val="003C1C35"/>
    <w:rsid w:val="003C2385"/>
    <w:rsid w:val="003C247A"/>
    <w:rsid w:val="003C24AE"/>
    <w:rsid w:val="003C2A96"/>
    <w:rsid w:val="003C2EC4"/>
    <w:rsid w:val="003C2FD7"/>
    <w:rsid w:val="003C31CF"/>
    <w:rsid w:val="003C325F"/>
    <w:rsid w:val="003C3558"/>
    <w:rsid w:val="003C3753"/>
    <w:rsid w:val="003C3AB1"/>
    <w:rsid w:val="003C3C63"/>
    <w:rsid w:val="003C3D72"/>
    <w:rsid w:val="003C3E76"/>
    <w:rsid w:val="003C4516"/>
    <w:rsid w:val="003C4CCD"/>
    <w:rsid w:val="003C4FC7"/>
    <w:rsid w:val="003C52B3"/>
    <w:rsid w:val="003C56CE"/>
    <w:rsid w:val="003C56F9"/>
    <w:rsid w:val="003C596A"/>
    <w:rsid w:val="003C5F9C"/>
    <w:rsid w:val="003C5FA7"/>
    <w:rsid w:val="003C5FB4"/>
    <w:rsid w:val="003C63E3"/>
    <w:rsid w:val="003C6791"/>
    <w:rsid w:val="003C68C3"/>
    <w:rsid w:val="003C6A35"/>
    <w:rsid w:val="003C6A7F"/>
    <w:rsid w:val="003C6C98"/>
    <w:rsid w:val="003C6DAA"/>
    <w:rsid w:val="003C7070"/>
    <w:rsid w:val="003C71FE"/>
    <w:rsid w:val="003C7336"/>
    <w:rsid w:val="003C7942"/>
    <w:rsid w:val="003C7F12"/>
    <w:rsid w:val="003D0226"/>
    <w:rsid w:val="003D022F"/>
    <w:rsid w:val="003D0266"/>
    <w:rsid w:val="003D048B"/>
    <w:rsid w:val="003D065E"/>
    <w:rsid w:val="003D082A"/>
    <w:rsid w:val="003D0A76"/>
    <w:rsid w:val="003D0DC1"/>
    <w:rsid w:val="003D13C6"/>
    <w:rsid w:val="003D1E8C"/>
    <w:rsid w:val="003D2164"/>
    <w:rsid w:val="003D260D"/>
    <w:rsid w:val="003D2DEB"/>
    <w:rsid w:val="003D2E98"/>
    <w:rsid w:val="003D3028"/>
    <w:rsid w:val="003D4154"/>
    <w:rsid w:val="003D41B7"/>
    <w:rsid w:val="003D427B"/>
    <w:rsid w:val="003D44C8"/>
    <w:rsid w:val="003D45EF"/>
    <w:rsid w:val="003D46B1"/>
    <w:rsid w:val="003D4797"/>
    <w:rsid w:val="003D47D3"/>
    <w:rsid w:val="003D482C"/>
    <w:rsid w:val="003D4856"/>
    <w:rsid w:val="003D4980"/>
    <w:rsid w:val="003D4CA2"/>
    <w:rsid w:val="003D5261"/>
    <w:rsid w:val="003D5685"/>
    <w:rsid w:val="003D59C0"/>
    <w:rsid w:val="003D5B85"/>
    <w:rsid w:val="003D5EDA"/>
    <w:rsid w:val="003D5EEB"/>
    <w:rsid w:val="003D60EB"/>
    <w:rsid w:val="003D62BF"/>
    <w:rsid w:val="003D63C2"/>
    <w:rsid w:val="003D6433"/>
    <w:rsid w:val="003D68C5"/>
    <w:rsid w:val="003D69F1"/>
    <w:rsid w:val="003D6A81"/>
    <w:rsid w:val="003D6D80"/>
    <w:rsid w:val="003D7177"/>
    <w:rsid w:val="003D71E1"/>
    <w:rsid w:val="003D724A"/>
    <w:rsid w:val="003D77EB"/>
    <w:rsid w:val="003D7A79"/>
    <w:rsid w:val="003D7AAC"/>
    <w:rsid w:val="003D7D00"/>
    <w:rsid w:val="003D7FED"/>
    <w:rsid w:val="003E00BD"/>
    <w:rsid w:val="003E05C7"/>
    <w:rsid w:val="003E0760"/>
    <w:rsid w:val="003E0852"/>
    <w:rsid w:val="003E0F06"/>
    <w:rsid w:val="003E1171"/>
    <w:rsid w:val="003E11FA"/>
    <w:rsid w:val="003E151B"/>
    <w:rsid w:val="003E1754"/>
    <w:rsid w:val="003E1AED"/>
    <w:rsid w:val="003E1F12"/>
    <w:rsid w:val="003E21E9"/>
    <w:rsid w:val="003E2612"/>
    <w:rsid w:val="003E263B"/>
    <w:rsid w:val="003E2855"/>
    <w:rsid w:val="003E28F9"/>
    <w:rsid w:val="003E2944"/>
    <w:rsid w:val="003E296F"/>
    <w:rsid w:val="003E2A41"/>
    <w:rsid w:val="003E2A59"/>
    <w:rsid w:val="003E2BF6"/>
    <w:rsid w:val="003E2CE0"/>
    <w:rsid w:val="003E313A"/>
    <w:rsid w:val="003E3262"/>
    <w:rsid w:val="003E32CB"/>
    <w:rsid w:val="003E32E0"/>
    <w:rsid w:val="003E3421"/>
    <w:rsid w:val="003E36BA"/>
    <w:rsid w:val="003E3A55"/>
    <w:rsid w:val="003E3A7C"/>
    <w:rsid w:val="003E3DD3"/>
    <w:rsid w:val="003E418A"/>
    <w:rsid w:val="003E4904"/>
    <w:rsid w:val="003E4A5D"/>
    <w:rsid w:val="003E4BB9"/>
    <w:rsid w:val="003E4C70"/>
    <w:rsid w:val="003E4D49"/>
    <w:rsid w:val="003E4D9F"/>
    <w:rsid w:val="003E4DAC"/>
    <w:rsid w:val="003E4E95"/>
    <w:rsid w:val="003E4EB4"/>
    <w:rsid w:val="003E4F5B"/>
    <w:rsid w:val="003E4FD0"/>
    <w:rsid w:val="003E5447"/>
    <w:rsid w:val="003E55CB"/>
    <w:rsid w:val="003E5DB3"/>
    <w:rsid w:val="003E5DC5"/>
    <w:rsid w:val="003E5E39"/>
    <w:rsid w:val="003E5FD7"/>
    <w:rsid w:val="003E636D"/>
    <w:rsid w:val="003E6800"/>
    <w:rsid w:val="003E6B6A"/>
    <w:rsid w:val="003E6D02"/>
    <w:rsid w:val="003E6D8C"/>
    <w:rsid w:val="003E6EA5"/>
    <w:rsid w:val="003E7A8F"/>
    <w:rsid w:val="003E7E60"/>
    <w:rsid w:val="003F055A"/>
    <w:rsid w:val="003F05B3"/>
    <w:rsid w:val="003F0F2B"/>
    <w:rsid w:val="003F1019"/>
    <w:rsid w:val="003F147E"/>
    <w:rsid w:val="003F1521"/>
    <w:rsid w:val="003F188F"/>
    <w:rsid w:val="003F1BB8"/>
    <w:rsid w:val="003F1CDE"/>
    <w:rsid w:val="003F21F2"/>
    <w:rsid w:val="003F229A"/>
    <w:rsid w:val="003F2312"/>
    <w:rsid w:val="003F24E0"/>
    <w:rsid w:val="003F291A"/>
    <w:rsid w:val="003F3690"/>
    <w:rsid w:val="003F39B1"/>
    <w:rsid w:val="003F3D7E"/>
    <w:rsid w:val="003F3EC3"/>
    <w:rsid w:val="003F4124"/>
    <w:rsid w:val="003F431B"/>
    <w:rsid w:val="003F4654"/>
    <w:rsid w:val="003F46D4"/>
    <w:rsid w:val="003F4926"/>
    <w:rsid w:val="003F4BDB"/>
    <w:rsid w:val="003F5404"/>
    <w:rsid w:val="003F5809"/>
    <w:rsid w:val="003F599E"/>
    <w:rsid w:val="003F59DF"/>
    <w:rsid w:val="003F5A3A"/>
    <w:rsid w:val="003F5ABD"/>
    <w:rsid w:val="003F5C90"/>
    <w:rsid w:val="003F5EB9"/>
    <w:rsid w:val="003F609F"/>
    <w:rsid w:val="003F63B4"/>
    <w:rsid w:val="003F6458"/>
    <w:rsid w:val="003F650B"/>
    <w:rsid w:val="003F6803"/>
    <w:rsid w:val="003F68CA"/>
    <w:rsid w:val="003F6CCF"/>
    <w:rsid w:val="003F7365"/>
    <w:rsid w:val="003F7712"/>
    <w:rsid w:val="003F771B"/>
    <w:rsid w:val="003F7E98"/>
    <w:rsid w:val="0040026D"/>
    <w:rsid w:val="00400758"/>
    <w:rsid w:val="004007FD"/>
    <w:rsid w:val="00400806"/>
    <w:rsid w:val="00400C95"/>
    <w:rsid w:val="004019D5"/>
    <w:rsid w:val="004019F6"/>
    <w:rsid w:val="00401A4C"/>
    <w:rsid w:val="00401B1B"/>
    <w:rsid w:val="00402079"/>
    <w:rsid w:val="0040208E"/>
    <w:rsid w:val="0040213B"/>
    <w:rsid w:val="00402141"/>
    <w:rsid w:val="00402487"/>
    <w:rsid w:val="004024CD"/>
    <w:rsid w:val="004028D1"/>
    <w:rsid w:val="00402A40"/>
    <w:rsid w:val="00402A41"/>
    <w:rsid w:val="00402E38"/>
    <w:rsid w:val="004030B9"/>
    <w:rsid w:val="0040376E"/>
    <w:rsid w:val="00403771"/>
    <w:rsid w:val="00403B75"/>
    <w:rsid w:val="00403BCD"/>
    <w:rsid w:val="00403BEF"/>
    <w:rsid w:val="00403BF1"/>
    <w:rsid w:val="00403C31"/>
    <w:rsid w:val="00403FF2"/>
    <w:rsid w:val="00404058"/>
    <w:rsid w:val="00404574"/>
    <w:rsid w:val="0040480F"/>
    <w:rsid w:val="004049D0"/>
    <w:rsid w:val="00404AE0"/>
    <w:rsid w:val="00404BD9"/>
    <w:rsid w:val="0040507A"/>
    <w:rsid w:val="00405219"/>
    <w:rsid w:val="004052F9"/>
    <w:rsid w:val="0040546F"/>
    <w:rsid w:val="00405798"/>
    <w:rsid w:val="004058DF"/>
    <w:rsid w:val="00405B87"/>
    <w:rsid w:val="00405E1B"/>
    <w:rsid w:val="00405F53"/>
    <w:rsid w:val="004061C3"/>
    <w:rsid w:val="004061C6"/>
    <w:rsid w:val="004064DC"/>
    <w:rsid w:val="0040667B"/>
    <w:rsid w:val="00406721"/>
    <w:rsid w:val="0040675A"/>
    <w:rsid w:val="00406943"/>
    <w:rsid w:val="00406AF5"/>
    <w:rsid w:val="0040704B"/>
    <w:rsid w:val="004074F8"/>
    <w:rsid w:val="004076E9"/>
    <w:rsid w:val="004103CC"/>
    <w:rsid w:val="0041041D"/>
    <w:rsid w:val="004108FB"/>
    <w:rsid w:val="0041092B"/>
    <w:rsid w:val="00410BD5"/>
    <w:rsid w:val="00410CB1"/>
    <w:rsid w:val="00410D58"/>
    <w:rsid w:val="00410DD7"/>
    <w:rsid w:val="004115A9"/>
    <w:rsid w:val="00411B42"/>
    <w:rsid w:val="00411CC1"/>
    <w:rsid w:val="004120B6"/>
    <w:rsid w:val="004123F8"/>
    <w:rsid w:val="004124BD"/>
    <w:rsid w:val="004126F7"/>
    <w:rsid w:val="00412864"/>
    <w:rsid w:val="0041294A"/>
    <w:rsid w:val="004129A1"/>
    <w:rsid w:val="00412AC5"/>
    <w:rsid w:val="00412D24"/>
    <w:rsid w:val="00412D78"/>
    <w:rsid w:val="00412E15"/>
    <w:rsid w:val="004132C4"/>
    <w:rsid w:val="0041335C"/>
    <w:rsid w:val="004135E3"/>
    <w:rsid w:val="004137D6"/>
    <w:rsid w:val="00414948"/>
    <w:rsid w:val="004149A9"/>
    <w:rsid w:val="004149F1"/>
    <w:rsid w:val="00414F0C"/>
    <w:rsid w:val="00414F67"/>
    <w:rsid w:val="00415181"/>
    <w:rsid w:val="00415341"/>
    <w:rsid w:val="004156F2"/>
    <w:rsid w:val="004158CD"/>
    <w:rsid w:val="00415B2C"/>
    <w:rsid w:val="00415E6B"/>
    <w:rsid w:val="0041600C"/>
    <w:rsid w:val="00416176"/>
    <w:rsid w:val="00416486"/>
    <w:rsid w:val="0041674F"/>
    <w:rsid w:val="004168E1"/>
    <w:rsid w:val="00416E3B"/>
    <w:rsid w:val="00416F73"/>
    <w:rsid w:val="00417169"/>
    <w:rsid w:val="00417290"/>
    <w:rsid w:val="004174B2"/>
    <w:rsid w:val="00417793"/>
    <w:rsid w:val="004177A2"/>
    <w:rsid w:val="0041786A"/>
    <w:rsid w:val="00417CB8"/>
    <w:rsid w:val="00417DA6"/>
    <w:rsid w:val="00420386"/>
    <w:rsid w:val="004206D6"/>
    <w:rsid w:val="004208E5"/>
    <w:rsid w:val="00420B85"/>
    <w:rsid w:val="00420C5A"/>
    <w:rsid w:val="00420CCF"/>
    <w:rsid w:val="00420FE1"/>
    <w:rsid w:val="00421089"/>
    <w:rsid w:val="0042110A"/>
    <w:rsid w:val="004216EA"/>
    <w:rsid w:val="004219BA"/>
    <w:rsid w:val="00421D7C"/>
    <w:rsid w:val="00421F18"/>
    <w:rsid w:val="00422000"/>
    <w:rsid w:val="004225C2"/>
    <w:rsid w:val="0042262F"/>
    <w:rsid w:val="004226E8"/>
    <w:rsid w:val="00422887"/>
    <w:rsid w:val="00422912"/>
    <w:rsid w:val="00423007"/>
    <w:rsid w:val="004231C8"/>
    <w:rsid w:val="004235AA"/>
    <w:rsid w:val="004235AC"/>
    <w:rsid w:val="00423878"/>
    <w:rsid w:val="00423B87"/>
    <w:rsid w:val="00423D32"/>
    <w:rsid w:val="004240FA"/>
    <w:rsid w:val="00424561"/>
    <w:rsid w:val="0042464C"/>
    <w:rsid w:val="00424BF3"/>
    <w:rsid w:val="00424C29"/>
    <w:rsid w:val="00424C37"/>
    <w:rsid w:val="00424DB0"/>
    <w:rsid w:val="00424DD3"/>
    <w:rsid w:val="00424EB4"/>
    <w:rsid w:val="00424F51"/>
    <w:rsid w:val="004255F8"/>
    <w:rsid w:val="0042585B"/>
    <w:rsid w:val="00425C9F"/>
    <w:rsid w:val="00425E40"/>
    <w:rsid w:val="00425F39"/>
    <w:rsid w:val="00426080"/>
    <w:rsid w:val="00426106"/>
    <w:rsid w:val="00426472"/>
    <w:rsid w:val="0042656C"/>
    <w:rsid w:val="00426919"/>
    <w:rsid w:val="00426933"/>
    <w:rsid w:val="004269AF"/>
    <w:rsid w:val="00426E2F"/>
    <w:rsid w:val="00427759"/>
    <w:rsid w:val="00427DB0"/>
    <w:rsid w:val="00427F07"/>
    <w:rsid w:val="00430ACF"/>
    <w:rsid w:val="00430B72"/>
    <w:rsid w:val="00430CC8"/>
    <w:rsid w:val="00430ED2"/>
    <w:rsid w:val="00430F67"/>
    <w:rsid w:val="00431097"/>
    <w:rsid w:val="00431214"/>
    <w:rsid w:val="0043161F"/>
    <w:rsid w:val="004317FA"/>
    <w:rsid w:val="00431AD6"/>
    <w:rsid w:val="00431F4F"/>
    <w:rsid w:val="00431FDF"/>
    <w:rsid w:val="00432019"/>
    <w:rsid w:val="004324F6"/>
    <w:rsid w:val="0043251E"/>
    <w:rsid w:val="00432AE1"/>
    <w:rsid w:val="00433306"/>
    <w:rsid w:val="00433343"/>
    <w:rsid w:val="00433405"/>
    <w:rsid w:val="00433CF5"/>
    <w:rsid w:val="004343DC"/>
    <w:rsid w:val="00434816"/>
    <w:rsid w:val="004349E3"/>
    <w:rsid w:val="0043502A"/>
    <w:rsid w:val="00435098"/>
    <w:rsid w:val="00435227"/>
    <w:rsid w:val="004354E8"/>
    <w:rsid w:val="004355AF"/>
    <w:rsid w:val="00435928"/>
    <w:rsid w:val="00435CE8"/>
    <w:rsid w:val="00435E49"/>
    <w:rsid w:val="004369CC"/>
    <w:rsid w:val="00436C61"/>
    <w:rsid w:val="00436C74"/>
    <w:rsid w:val="004370A8"/>
    <w:rsid w:val="004370F4"/>
    <w:rsid w:val="004374BE"/>
    <w:rsid w:val="00437676"/>
    <w:rsid w:val="0043795D"/>
    <w:rsid w:val="00437B18"/>
    <w:rsid w:val="00437D03"/>
    <w:rsid w:val="00437DAA"/>
    <w:rsid w:val="00440447"/>
    <w:rsid w:val="00440552"/>
    <w:rsid w:val="0044058E"/>
    <w:rsid w:val="00440CC7"/>
    <w:rsid w:val="00440CC9"/>
    <w:rsid w:val="00440D8D"/>
    <w:rsid w:val="00440E3C"/>
    <w:rsid w:val="00440F53"/>
    <w:rsid w:val="00441599"/>
    <w:rsid w:val="00441FD3"/>
    <w:rsid w:val="004423D4"/>
    <w:rsid w:val="0044287A"/>
    <w:rsid w:val="00442D03"/>
    <w:rsid w:val="00442EE3"/>
    <w:rsid w:val="004431B9"/>
    <w:rsid w:val="00443295"/>
    <w:rsid w:val="0044332C"/>
    <w:rsid w:val="004435BC"/>
    <w:rsid w:val="0044368B"/>
    <w:rsid w:val="00443AD0"/>
    <w:rsid w:val="00443B74"/>
    <w:rsid w:val="00443DBA"/>
    <w:rsid w:val="00443F97"/>
    <w:rsid w:val="00444247"/>
    <w:rsid w:val="004442B5"/>
    <w:rsid w:val="00444488"/>
    <w:rsid w:val="004447F1"/>
    <w:rsid w:val="00444929"/>
    <w:rsid w:val="00444AB6"/>
    <w:rsid w:val="00444B1F"/>
    <w:rsid w:val="00444E3A"/>
    <w:rsid w:val="00445904"/>
    <w:rsid w:val="004459A8"/>
    <w:rsid w:val="004459DD"/>
    <w:rsid w:val="00445E6F"/>
    <w:rsid w:val="00445F1C"/>
    <w:rsid w:val="00446028"/>
    <w:rsid w:val="004464B8"/>
    <w:rsid w:val="0044652D"/>
    <w:rsid w:val="00446768"/>
    <w:rsid w:val="00446999"/>
    <w:rsid w:val="004469C3"/>
    <w:rsid w:val="00446B17"/>
    <w:rsid w:val="00446DC7"/>
    <w:rsid w:val="00446E91"/>
    <w:rsid w:val="00447179"/>
    <w:rsid w:val="00447463"/>
    <w:rsid w:val="0044785E"/>
    <w:rsid w:val="00447963"/>
    <w:rsid w:val="0044796D"/>
    <w:rsid w:val="004479FC"/>
    <w:rsid w:val="00447D61"/>
    <w:rsid w:val="004502AE"/>
    <w:rsid w:val="00450487"/>
    <w:rsid w:val="004505BE"/>
    <w:rsid w:val="0045085A"/>
    <w:rsid w:val="00450AA1"/>
    <w:rsid w:val="0045112E"/>
    <w:rsid w:val="00451240"/>
    <w:rsid w:val="004514E3"/>
    <w:rsid w:val="004515E1"/>
    <w:rsid w:val="004517F1"/>
    <w:rsid w:val="0045190A"/>
    <w:rsid w:val="00451A88"/>
    <w:rsid w:val="00451B09"/>
    <w:rsid w:val="0045207E"/>
    <w:rsid w:val="00452198"/>
    <w:rsid w:val="004522E7"/>
    <w:rsid w:val="00452348"/>
    <w:rsid w:val="004523BC"/>
    <w:rsid w:val="004523C4"/>
    <w:rsid w:val="004528E5"/>
    <w:rsid w:val="004529DC"/>
    <w:rsid w:val="00452C1A"/>
    <w:rsid w:val="00452FCB"/>
    <w:rsid w:val="00452FF1"/>
    <w:rsid w:val="00453115"/>
    <w:rsid w:val="0045354D"/>
    <w:rsid w:val="0045363F"/>
    <w:rsid w:val="00453751"/>
    <w:rsid w:val="004540C3"/>
    <w:rsid w:val="004540FE"/>
    <w:rsid w:val="004541B8"/>
    <w:rsid w:val="00454416"/>
    <w:rsid w:val="00454471"/>
    <w:rsid w:val="0045468F"/>
    <w:rsid w:val="00454A88"/>
    <w:rsid w:val="00454FBD"/>
    <w:rsid w:val="004550BF"/>
    <w:rsid w:val="00455320"/>
    <w:rsid w:val="00455429"/>
    <w:rsid w:val="0045561A"/>
    <w:rsid w:val="0045579A"/>
    <w:rsid w:val="004558D7"/>
    <w:rsid w:val="00455AE6"/>
    <w:rsid w:val="00455C73"/>
    <w:rsid w:val="00455CC1"/>
    <w:rsid w:val="00455E9A"/>
    <w:rsid w:val="00456170"/>
    <w:rsid w:val="0045646C"/>
    <w:rsid w:val="00456512"/>
    <w:rsid w:val="00456745"/>
    <w:rsid w:val="004569F2"/>
    <w:rsid w:val="00456C4D"/>
    <w:rsid w:val="00456D12"/>
    <w:rsid w:val="004572D3"/>
    <w:rsid w:val="00457686"/>
    <w:rsid w:val="004577A8"/>
    <w:rsid w:val="00457F8C"/>
    <w:rsid w:val="00460187"/>
    <w:rsid w:val="00460563"/>
    <w:rsid w:val="00460589"/>
    <w:rsid w:val="004605D0"/>
    <w:rsid w:val="00460658"/>
    <w:rsid w:val="0046071C"/>
    <w:rsid w:val="004608AF"/>
    <w:rsid w:val="00460BF6"/>
    <w:rsid w:val="00460C53"/>
    <w:rsid w:val="00460E70"/>
    <w:rsid w:val="00460EA1"/>
    <w:rsid w:val="00461182"/>
    <w:rsid w:val="004611B9"/>
    <w:rsid w:val="0046143E"/>
    <w:rsid w:val="00461527"/>
    <w:rsid w:val="00461587"/>
    <w:rsid w:val="00461960"/>
    <w:rsid w:val="00461A3A"/>
    <w:rsid w:val="00461BD5"/>
    <w:rsid w:val="00461D16"/>
    <w:rsid w:val="00461D82"/>
    <w:rsid w:val="00461D84"/>
    <w:rsid w:val="00461E33"/>
    <w:rsid w:val="00462135"/>
    <w:rsid w:val="004623AF"/>
    <w:rsid w:val="004623E2"/>
    <w:rsid w:val="00462458"/>
    <w:rsid w:val="004629F9"/>
    <w:rsid w:val="00462D55"/>
    <w:rsid w:val="00462E9F"/>
    <w:rsid w:val="00462F93"/>
    <w:rsid w:val="00463021"/>
    <w:rsid w:val="00463298"/>
    <w:rsid w:val="00463435"/>
    <w:rsid w:val="004634BD"/>
    <w:rsid w:val="0046358D"/>
    <w:rsid w:val="00464931"/>
    <w:rsid w:val="00464960"/>
    <w:rsid w:val="00464A98"/>
    <w:rsid w:val="00464AE5"/>
    <w:rsid w:val="00464CB5"/>
    <w:rsid w:val="00464D5B"/>
    <w:rsid w:val="004651FB"/>
    <w:rsid w:val="004652B7"/>
    <w:rsid w:val="0046571F"/>
    <w:rsid w:val="00465AF4"/>
    <w:rsid w:val="00466005"/>
    <w:rsid w:val="004660AF"/>
    <w:rsid w:val="004665C1"/>
    <w:rsid w:val="00466621"/>
    <w:rsid w:val="00466627"/>
    <w:rsid w:val="00466FBB"/>
    <w:rsid w:val="0046795C"/>
    <w:rsid w:val="00467975"/>
    <w:rsid w:val="00467BA5"/>
    <w:rsid w:val="00467EDA"/>
    <w:rsid w:val="00467FA0"/>
    <w:rsid w:val="0047030E"/>
    <w:rsid w:val="00470FAA"/>
    <w:rsid w:val="0047110D"/>
    <w:rsid w:val="0047118E"/>
    <w:rsid w:val="00471AAB"/>
    <w:rsid w:val="00471CAC"/>
    <w:rsid w:val="00472232"/>
    <w:rsid w:val="00472595"/>
    <w:rsid w:val="0047266D"/>
    <w:rsid w:val="00472A40"/>
    <w:rsid w:val="00472A97"/>
    <w:rsid w:val="00472D4A"/>
    <w:rsid w:val="00472DE8"/>
    <w:rsid w:val="00472E94"/>
    <w:rsid w:val="00472ECA"/>
    <w:rsid w:val="00472F54"/>
    <w:rsid w:val="00473945"/>
    <w:rsid w:val="00473A7E"/>
    <w:rsid w:val="00473DFD"/>
    <w:rsid w:val="00473E85"/>
    <w:rsid w:val="00473EC5"/>
    <w:rsid w:val="0047436A"/>
    <w:rsid w:val="004743E7"/>
    <w:rsid w:val="004746CA"/>
    <w:rsid w:val="00474952"/>
    <w:rsid w:val="0047498F"/>
    <w:rsid w:val="00474B99"/>
    <w:rsid w:val="00474CBB"/>
    <w:rsid w:val="00474D1F"/>
    <w:rsid w:val="00474DC3"/>
    <w:rsid w:val="00474DF6"/>
    <w:rsid w:val="00475348"/>
    <w:rsid w:val="0047566D"/>
    <w:rsid w:val="004756B4"/>
    <w:rsid w:val="004759F9"/>
    <w:rsid w:val="00475E23"/>
    <w:rsid w:val="00475EF3"/>
    <w:rsid w:val="00476177"/>
    <w:rsid w:val="004762A2"/>
    <w:rsid w:val="00476314"/>
    <w:rsid w:val="00476EA3"/>
    <w:rsid w:val="0047720F"/>
    <w:rsid w:val="004772D0"/>
    <w:rsid w:val="004774A6"/>
    <w:rsid w:val="004774AB"/>
    <w:rsid w:val="004778C4"/>
    <w:rsid w:val="0048078E"/>
    <w:rsid w:val="0048086F"/>
    <w:rsid w:val="00480C66"/>
    <w:rsid w:val="00480DC4"/>
    <w:rsid w:val="00480E39"/>
    <w:rsid w:val="00480E46"/>
    <w:rsid w:val="0048109B"/>
    <w:rsid w:val="004816E1"/>
    <w:rsid w:val="00481738"/>
    <w:rsid w:val="00481888"/>
    <w:rsid w:val="00481902"/>
    <w:rsid w:val="00481C15"/>
    <w:rsid w:val="00482074"/>
    <w:rsid w:val="00482197"/>
    <w:rsid w:val="0048249E"/>
    <w:rsid w:val="004827FB"/>
    <w:rsid w:val="004829E5"/>
    <w:rsid w:val="00482DA8"/>
    <w:rsid w:val="00482E90"/>
    <w:rsid w:val="004835E4"/>
    <w:rsid w:val="00483679"/>
    <w:rsid w:val="004839A0"/>
    <w:rsid w:val="00484C2F"/>
    <w:rsid w:val="00485626"/>
    <w:rsid w:val="00485CEF"/>
    <w:rsid w:val="00486093"/>
    <w:rsid w:val="004860D4"/>
    <w:rsid w:val="0048719D"/>
    <w:rsid w:val="004871C5"/>
    <w:rsid w:val="00487462"/>
    <w:rsid w:val="0048770E"/>
    <w:rsid w:val="00487DDF"/>
    <w:rsid w:val="00487F4C"/>
    <w:rsid w:val="004901AB"/>
    <w:rsid w:val="00490957"/>
    <w:rsid w:val="004909A9"/>
    <w:rsid w:val="00490E59"/>
    <w:rsid w:val="00490F76"/>
    <w:rsid w:val="0049148E"/>
    <w:rsid w:val="00491833"/>
    <w:rsid w:val="00491A56"/>
    <w:rsid w:val="00492399"/>
    <w:rsid w:val="00492477"/>
    <w:rsid w:val="0049262E"/>
    <w:rsid w:val="004928C3"/>
    <w:rsid w:val="00492ADC"/>
    <w:rsid w:val="00492EE1"/>
    <w:rsid w:val="0049307D"/>
    <w:rsid w:val="004931B6"/>
    <w:rsid w:val="004931F9"/>
    <w:rsid w:val="00493470"/>
    <w:rsid w:val="004934A7"/>
    <w:rsid w:val="00493A4D"/>
    <w:rsid w:val="00493AEB"/>
    <w:rsid w:val="00493C3A"/>
    <w:rsid w:val="00493FD8"/>
    <w:rsid w:val="00493FFE"/>
    <w:rsid w:val="0049411E"/>
    <w:rsid w:val="00494243"/>
    <w:rsid w:val="004945B4"/>
    <w:rsid w:val="004946BB"/>
    <w:rsid w:val="004947E8"/>
    <w:rsid w:val="004948DE"/>
    <w:rsid w:val="004948E7"/>
    <w:rsid w:val="00494C7C"/>
    <w:rsid w:val="00494D8C"/>
    <w:rsid w:val="00494FDE"/>
    <w:rsid w:val="00495025"/>
    <w:rsid w:val="004956CA"/>
    <w:rsid w:val="00495D78"/>
    <w:rsid w:val="00495EE3"/>
    <w:rsid w:val="00495F3D"/>
    <w:rsid w:val="004966F4"/>
    <w:rsid w:val="00496B8E"/>
    <w:rsid w:val="00496D0F"/>
    <w:rsid w:val="00496DC0"/>
    <w:rsid w:val="00496EA4"/>
    <w:rsid w:val="00496ED4"/>
    <w:rsid w:val="0049703E"/>
    <w:rsid w:val="0049720F"/>
    <w:rsid w:val="00497576"/>
    <w:rsid w:val="0049786A"/>
    <w:rsid w:val="004A0066"/>
    <w:rsid w:val="004A02B6"/>
    <w:rsid w:val="004A0421"/>
    <w:rsid w:val="004A06C6"/>
    <w:rsid w:val="004A075D"/>
    <w:rsid w:val="004A08ED"/>
    <w:rsid w:val="004A0944"/>
    <w:rsid w:val="004A0F04"/>
    <w:rsid w:val="004A11B2"/>
    <w:rsid w:val="004A15B7"/>
    <w:rsid w:val="004A16AE"/>
    <w:rsid w:val="004A1B7C"/>
    <w:rsid w:val="004A1C95"/>
    <w:rsid w:val="004A1DDA"/>
    <w:rsid w:val="004A2B90"/>
    <w:rsid w:val="004A2D66"/>
    <w:rsid w:val="004A2DE7"/>
    <w:rsid w:val="004A319C"/>
    <w:rsid w:val="004A3231"/>
    <w:rsid w:val="004A34A5"/>
    <w:rsid w:val="004A3517"/>
    <w:rsid w:val="004A3799"/>
    <w:rsid w:val="004A38FB"/>
    <w:rsid w:val="004A3BD3"/>
    <w:rsid w:val="004A3C14"/>
    <w:rsid w:val="004A3C15"/>
    <w:rsid w:val="004A41D3"/>
    <w:rsid w:val="004A4627"/>
    <w:rsid w:val="004A49C5"/>
    <w:rsid w:val="004A4EE3"/>
    <w:rsid w:val="004A5340"/>
    <w:rsid w:val="004A5470"/>
    <w:rsid w:val="004A554D"/>
    <w:rsid w:val="004A5C01"/>
    <w:rsid w:val="004A605F"/>
    <w:rsid w:val="004A61DA"/>
    <w:rsid w:val="004A6222"/>
    <w:rsid w:val="004A6808"/>
    <w:rsid w:val="004A7097"/>
    <w:rsid w:val="004A722F"/>
    <w:rsid w:val="004A73BF"/>
    <w:rsid w:val="004A7984"/>
    <w:rsid w:val="004A7A4C"/>
    <w:rsid w:val="004A7C72"/>
    <w:rsid w:val="004B0146"/>
    <w:rsid w:val="004B017E"/>
    <w:rsid w:val="004B01A8"/>
    <w:rsid w:val="004B042B"/>
    <w:rsid w:val="004B0B3E"/>
    <w:rsid w:val="004B0BDA"/>
    <w:rsid w:val="004B0DB6"/>
    <w:rsid w:val="004B10FF"/>
    <w:rsid w:val="004B121B"/>
    <w:rsid w:val="004B1B9D"/>
    <w:rsid w:val="004B1CEF"/>
    <w:rsid w:val="004B1F2D"/>
    <w:rsid w:val="004B248C"/>
    <w:rsid w:val="004B2550"/>
    <w:rsid w:val="004B2730"/>
    <w:rsid w:val="004B28F7"/>
    <w:rsid w:val="004B2908"/>
    <w:rsid w:val="004B29BE"/>
    <w:rsid w:val="004B2BC9"/>
    <w:rsid w:val="004B2F0E"/>
    <w:rsid w:val="004B359B"/>
    <w:rsid w:val="004B3CC8"/>
    <w:rsid w:val="004B3F9C"/>
    <w:rsid w:val="004B43F2"/>
    <w:rsid w:val="004B46DD"/>
    <w:rsid w:val="004B4774"/>
    <w:rsid w:val="004B47AF"/>
    <w:rsid w:val="004B4952"/>
    <w:rsid w:val="004B4C2D"/>
    <w:rsid w:val="004B4CB9"/>
    <w:rsid w:val="004B4E9C"/>
    <w:rsid w:val="004B50CE"/>
    <w:rsid w:val="004B5100"/>
    <w:rsid w:val="004B52BC"/>
    <w:rsid w:val="004B5371"/>
    <w:rsid w:val="004B552F"/>
    <w:rsid w:val="004B5536"/>
    <w:rsid w:val="004B59C5"/>
    <w:rsid w:val="004B5BF4"/>
    <w:rsid w:val="004B5C75"/>
    <w:rsid w:val="004B5CBA"/>
    <w:rsid w:val="004B5E22"/>
    <w:rsid w:val="004B5F69"/>
    <w:rsid w:val="004B5FE1"/>
    <w:rsid w:val="004B6087"/>
    <w:rsid w:val="004B62F4"/>
    <w:rsid w:val="004B6659"/>
    <w:rsid w:val="004B6D53"/>
    <w:rsid w:val="004B6DBA"/>
    <w:rsid w:val="004B7452"/>
    <w:rsid w:val="004B752B"/>
    <w:rsid w:val="004B7660"/>
    <w:rsid w:val="004B7A54"/>
    <w:rsid w:val="004B7B0B"/>
    <w:rsid w:val="004B7B0D"/>
    <w:rsid w:val="004B7CBB"/>
    <w:rsid w:val="004B7F3F"/>
    <w:rsid w:val="004B7FF7"/>
    <w:rsid w:val="004C03DC"/>
    <w:rsid w:val="004C09AF"/>
    <w:rsid w:val="004C0BB7"/>
    <w:rsid w:val="004C0EC5"/>
    <w:rsid w:val="004C100A"/>
    <w:rsid w:val="004C1100"/>
    <w:rsid w:val="004C12F6"/>
    <w:rsid w:val="004C12FA"/>
    <w:rsid w:val="004C188D"/>
    <w:rsid w:val="004C18D8"/>
    <w:rsid w:val="004C1A64"/>
    <w:rsid w:val="004C1A85"/>
    <w:rsid w:val="004C1D2C"/>
    <w:rsid w:val="004C1E19"/>
    <w:rsid w:val="004C2281"/>
    <w:rsid w:val="004C2494"/>
    <w:rsid w:val="004C2598"/>
    <w:rsid w:val="004C25CF"/>
    <w:rsid w:val="004C2B09"/>
    <w:rsid w:val="004C2B9D"/>
    <w:rsid w:val="004C3419"/>
    <w:rsid w:val="004C3516"/>
    <w:rsid w:val="004C3658"/>
    <w:rsid w:val="004C3723"/>
    <w:rsid w:val="004C3815"/>
    <w:rsid w:val="004C39C8"/>
    <w:rsid w:val="004C3A10"/>
    <w:rsid w:val="004C3B94"/>
    <w:rsid w:val="004C3DC7"/>
    <w:rsid w:val="004C432C"/>
    <w:rsid w:val="004C46B5"/>
    <w:rsid w:val="004C4A23"/>
    <w:rsid w:val="004C4BEB"/>
    <w:rsid w:val="004C4CB5"/>
    <w:rsid w:val="004C4D8F"/>
    <w:rsid w:val="004C50BE"/>
    <w:rsid w:val="004C51E2"/>
    <w:rsid w:val="004C5439"/>
    <w:rsid w:val="004C572C"/>
    <w:rsid w:val="004C57B4"/>
    <w:rsid w:val="004C5C6B"/>
    <w:rsid w:val="004C5D3E"/>
    <w:rsid w:val="004C5DBB"/>
    <w:rsid w:val="004C5F9A"/>
    <w:rsid w:val="004C6698"/>
    <w:rsid w:val="004C683C"/>
    <w:rsid w:val="004C68A3"/>
    <w:rsid w:val="004C6A38"/>
    <w:rsid w:val="004C6A73"/>
    <w:rsid w:val="004C6DD8"/>
    <w:rsid w:val="004C6E01"/>
    <w:rsid w:val="004C732C"/>
    <w:rsid w:val="004C7403"/>
    <w:rsid w:val="004C7AE3"/>
    <w:rsid w:val="004C7B5B"/>
    <w:rsid w:val="004C7C27"/>
    <w:rsid w:val="004C7F1E"/>
    <w:rsid w:val="004C7F47"/>
    <w:rsid w:val="004D0364"/>
    <w:rsid w:val="004D03CB"/>
    <w:rsid w:val="004D0441"/>
    <w:rsid w:val="004D0514"/>
    <w:rsid w:val="004D0AF8"/>
    <w:rsid w:val="004D0B1E"/>
    <w:rsid w:val="004D0D66"/>
    <w:rsid w:val="004D0FA7"/>
    <w:rsid w:val="004D11E9"/>
    <w:rsid w:val="004D192A"/>
    <w:rsid w:val="004D1AE6"/>
    <w:rsid w:val="004D1B20"/>
    <w:rsid w:val="004D1D54"/>
    <w:rsid w:val="004D1F2B"/>
    <w:rsid w:val="004D241B"/>
    <w:rsid w:val="004D2623"/>
    <w:rsid w:val="004D274E"/>
    <w:rsid w:val="004D2916"/>
    <w:rsid w:val="004D2AEC"/>
    <w:rsid w:val="004D2B52"/>
    <w:rsid w:val="004D2E19"/>
    <w:rsid w:val="004D3083"/>
    <w:rsid w:val="004D3211"/>
    <w:rsid w:val="004D3472"/>
    <w:rsid w:val="004D367F"/>
    <w:rsid w:val="004D36D5"/>
    <w:rsid w:val="004D388B"/>
    <w:rsid w:val="004D3CE0"/>
    <w:rsid w:val="004D3E2F"/>
    <w:rsid w:val="004D3E36"/>
    <w:rsid w:val="004D4075"/>
    <w:rsid w:val="004D4609"/>
    <w:rsid w:val="004D47A8"/>
    <w:rsid w:val="004D47B1"/>
    <w:rsid w:val="004D4B3B"/>
    <w:rsid w:val="004D4B40"/>
    <w:rsid w:val="004D4DE1"/>
    <w:rsid w:val="004D4FB9"/>
    <w:rsid w:val="004D511B"/>
    <w:rsid w:val="004D5248"/>
    <w:rsid w:val="004D5AC3"/>
    <w:rsid w:val="004D5DF7"/>
    <w:rsid w:val="004D5E0E"/>
    <w:rsid w:val="004D5F48"/>
    <w:rsid w:val="004D6108"/>
    <w:rsid w:val="004D6FDC"/>
    <w:rsid w:val="004D760C"/>
    <w:rsid w:val="004D7921"/>
    <w:rsid w:val="004D7C7D"/>
    <w:rsid w:val="004E0689"/>
    <w:rsid w:val="004E0740"/>
    <w:rsid w:val="004E09D3"/>
    <w:rsid w:val="004E0B64"/>
    <w:rsid w:val="004E0D2F"/>
    <w:rsid w:val="004E0D6D"/>
    <w:rsid w:val="004E0F93"/>
    <w:rsid w:val="004E0FA8"/>
    <w:rsid w:val="004E12CC"/>
    <w:rsid w:val="004E130C"/>
    <w:rsid w:val="004E139F"/>
    <w:rsid w:val="004E1736"/>
    <w:rsid w:val="004E1DB8"/>
    <w:rsid w:val="004E1EF7"/>
    <w:rsid w:val="004E2097"/>
    <w:rsid w:val="004E2163"/>
    <w:rsid w:val="004E2324"/>
    <w:rsid w:val="004E2603"/>
    <w:rsid w:val="004E2BC7"/>
    <w:rsid w:val="004E2C3F"/>
    <w:rsid w:val="004E2E6E"/>
    <w:rsid w:val="004E2F3A"/>
    <w:rsid w:val="004E3059"/>
    <w:rsid w:val="004E3293"/>
    <w:rsid w:val="004E3303"/>
    <w:rsid w:val="004E376A"/>
    <w:rsid w:val="004E395C"/>
    <w:rsid w:val="004E3E82"/>
    <w:rsid w:val="004E47D2"/>
    <w:rsid w:val="004E4A01"/>
    <w:rsid w:val="004E4B9A"/>
    <w:rsid w:val="004E4BF0"/>
    <w:rsid w:val="004E5301"/>
    <w:rsid w:val="004E55D8"/>
    <w:rsid w:val="004E55ED"/>
    <w:rsid w:val="004E57D1"/>
    <w:rsid w:val="004E5888"/>
    <w:rsid w:val="004E596C"/>
    <w:rsid w:val="004E5C2C"/>
    <w:rsid w:val="004E5D2A"/>
    <w:rsid w:val="004E5D46"/>
    <w:rsid w:val="004E6540"/>
    <w:rsid w:val="004E65F6"/>
    <w:rsid w:val="004E6B5F"/>
    <w:rsid w:val="004E719F"/>
    <w:rsid w:val="004E7300"/>
    <w:rsid w:val="004E7645"/>
    <w:rsid w:val="004E784A"/>
    <w:rsid w:val="004E7BFE"/>
    <w:rsid w:val="004E7D14"/>
    <w:rsid w:val="004E7D9D"/>
    <w:rsid w:val="004E7E0B"/>
    <w:rsid w:val="004E7E27"/>
    <w:rsid w:val="004E7E9B"/>
    <w:rsid w:val="004F00C7"/>
    <w:rsid w:val="004F0102"/>
    <w:rsid w:val="004F01E3"/>
    <w:rsid w:val="004F0313"/>
    <w:rsid w:val="004F05B2"/>
    <w:rsid w:val="004F0661"/>
    <w:rsid w:val="004F088B"/>
    <w:rsid w:val="004F0988"/>
    <w:rsid w:val="004F0EFC"/>
    <w:rsid w:val="004F0F2D"/>
    <w:rsid w:val="004F12F7"/>
    <w:rsid w:val="004F13B8"/>
    <w:rsid w:val="004F1817"/>
    <w:rsid w:val="004F1D0F"/>
    <w:rsid w:val="004F2253"/>
    <w:rsid w:val="004F25C9"/>
    <w:rsid w:val="004F281D"/>
    <w:rsid w:val="004F2ADD"/>
    <w:rsid w:val="004F2B36"/>
    <w:rsid w:val="004F3125"/>
    <w:rsid w:val="004F31A6"/>
    <w:rsid w:val="004F3800"/>
    <w:rsid w:val="004F3A03"/>
    <w:rsid w:val="004F3F23"/>
    <w:rsid w:val="004F423D"/>
    <w:rsid w:val="004F432D"/>
    <w:rsid w:val="004F500E"/>
    <w:rsid w:val="004F509E"/>
    <w:rsid w:val="004F5195"/>
    <w:rsid w:val="004F5443"/>
    <w:rsid w:val="004F5545"/>
    <w:rsid w:val="004F554C"/>
    <w:rsid w:val="004F561C"/>
    <w:rsid w:val="004F59C2"/>
    <w:rsid w:val="004F5AB6"/>
    <w:rsid w:val="004F5CD3"/>
    <w:rsid w:val="004F61EE"/>
    <w:rsid w:val="004F620C"/>
    <w:rsid w:val="004F6289"/>
    <w:rsid w:val="004F63EA"/>
    <w:rsid w:val="004F66A2"/>
    <w:rsid w:val="004F67D9"/>
    <w:rsid w:val="004F6863"/>
    <w:rsid w:val="004F692B"/>
    <w:rsid w:val="004F6E62"/>
    <w:rsid w:val="004F6EE3"/>
    <w:rsid w:val="004F6F0C"/>
    <w:rsid w:val="004F7029"/>
    <w:rsid w:val="004F72FA"/>
    <w:rsid w:val="004F781E"/>
    <w:rsid w:val="004F782E"/>
    <w:rsid w:val="004F7E09"/>
    <w:rsid w:val="004F7EE4"/>
    <w:rsid w:val="00500475"/>
    <w:rsid w:val="00500614"/>
    <w:rsid w:val="00500868"/>
    <w:rsid w:val="005009E4"/>
    <w:rsid w:val="00500D60"/>
    <w:rsid w:val="00500F8B"/>
    <w:rsid w:val="00501BE5"/>
    <w:rsid w:val="00502124"/>
    <w:rsid w:val="00502172"/>
    <w:rsid w:val="00502B5D"/>
    <w:rsid w:val="00502D77"/>
    <w:rsid w:val="00502DB6"/>
    <w:rsid w:val="005031A8"/>
    <w:rsid w:val="005032D8"/>
    <w:rsid w:val="00503C52"/>
    <w:rsid w:val="00503C81"/>
    <w:rsid w:val="00504091"/>
    <w:rsid w:val="005040DB"/>
    <w:rsid w:val="00504183"/>
    <w:rsid w:val="0050422F"/>
    <w:rsid w:val="005042A1"/>
    <w:rsid w:val="005043A8"/>
    <w:rsid w:val="005046E2"/>
    <w:rsid w:val="0050485A"/>
    <w:rsid w:val="0050491E"/>
    <w:rsid w:val="00504B8D"/>
    <w:rsid w:val="00504B94"/>
    <w:rsid w:val="00504EBA"/>
    <w:rsid w:val="005050C9"/>
    <w:rsid w:val="005052AB"/>
    <w:rsid w:val="00505358"/>
    <w:rsid w:val="00505477"/>
    <w:rsid w:val="00505B4D"/>
    <w:rsid w:val="00505F84"/>
    <w:rsid w:val="005061C0"/>
    <w:rsid w:val="005061CA"/>
    <w:rsid w:val="00506448"/>
    <w:rsid w:val="0050658C"/>
    <w:rsid w:val="005065E2"/>
    <w:rsid w:val="00506639"/>
    <w:rsid w:val="00506822"/>
    <w:rsid w:val="005068BE"/>
    <w:rsid w:val="00506B22"/>
    <w:rsid w:val="00507433"/>
    <w:rsid w:val="00507636"/>
    <w:rsid w:val="005076A2"/>
    <w:rsid w:val="00507E0B"/>
    <w:rsid w:val="00507E0F"/>
    <w:rsid w:val="00507ED4"/>
    <w:rsid w:val="00507EEC"/>
    <w:rsid w:val="0050C68B"/>
    <w:rsid w:val="0050EB4D"/>
    <w:rsid w:val="005100C4"/>
    <w:rsid w:val="005101D2"/>
    <w:rsid w:val="005101E5"/>
    <w:rsid w:val="005107E1"/>
    <w:rsid w:val="00510BCF"/>
    <w:rsid w:val="00510F06"/>
    <w:rsid w:val="00510F33"/>
    <w:rsid w:val="00511410"/>
    <w:rsid w:val="005114AB"/>
    <w:rsid w:val="0051171F"/>
    <w:rsid w:val="00511B05"/>
    <w:rsid w:val="00511D8F"/>
    <w:rsid w:val="00511DD3"/>
    <w:rsid w:val="00511E6B"/>
    <w:rsid w:val="00511F45"/>
    <w:rsid w:val="0051207F"/>
    <w:rsid w:val="0051264D"/>
    <w:rsid w:val="005128F8"/>
    <w:rsid w:val="00512D7F"/>
    <w:rsid w:val="0051305E"/>
    <w:rsid w:val="0051315D"/>
    <w:rsid w:val="005132A6"/>
    <w:rsid w:val="005133D4"/>
    <w:rsid w:val="00513526"/>
    <w:rsid w:val="00513782"/>
    <w:rsid w:val="00513871"/>
    <w:rsid w:val="00513AA4"/>
    <w:rsid w:val="00513D05"/>
    <w:rsid w:val="005141EF"/>
    <w:rsid w:val="00514242"/>
    <w:rsid w:val="005142AC"/>
    <w:rsid w:val="00514393"/>
    <w:rsid w:val="00514525"/>
    <w:rsid w:val="00514604"/>
    <w:rsid w:val="005146AC"/>
    <w:rsid w:val="005149CD"/>
    <w:rsid w:val="00514C5C"/>
    <w:rsid w:val="00514D4C"/>
    <w:rsid w:val="00514FA0"/>
    <w:rsid w:val="0051512A"/>
    <w:rsid w:val="00515390"/>
    <w:rsid w:val="005155F7"/>
    <w:rsid w:val="00515FA5"/>
    <w:rsid w:val="0051628B"/>
    <w:rsid w:val="005162FC"/>
    <w:rsid w:val="00516632"/>
    <w:rsid w:val="0051676D"/>
    <w:rsid w:val="0051687F"/>
    <w:rsid w:val="00516898"/>
    <w:rsid w:val="005168A9"/>
    <w:rsid w:val="00516C4E"/>
    <w:rsid w:val="00516E3D"/>
    <w:rsid w:val="005170B7"/>
    <w:rsid w:val="0051737C"/>
    <w:rsid w:val="00517536"/>
    <w:rsid w:val="005175C2"/>
    <w:rsid w:val="00517886"/>
    <w:rsid w:val="005178FA"/>
    <w:rsid w:val="00517B20"/>
    <w:rsid w:val="00517CA4"/>
    <w:rsid w:val="00517F84"/>
    <w:rsid w:val="0052014E"/>
    <w:rsid w:val="00520170"/>
    <w:rsid w:val="005201F5"/>
    <w:rsid w:val="0052024A"/>
    <w:rsid w:val="005208D1"/>
    <w:rsid w:val="005209A9"/>
    <w:rsid w:val="00520A20"/>
    <w:rsid w:val="0052106F"/>
    <w:rsid w:val="005211A6"/>
    <w:rsid w:val="0052139F"/>
    <w:rsid w:val="005214DC"/>
    <w:rsid w:val="00521AD6"/>
    <w:rsid w:val="00521BF0"/>
    <w:rsid w:val="00521FC4"/>
    <w:rsid w:val="00521FE6"/>
    <w:rsid w:val="005223AA"/>
    <w:rsid w:val="005223F1"/>
    <w:rsid w:val="00522471"/>
    <w:rsid w:val="0052253D"/>
    <w:rsid w:val="00522A76"/>
    <w:rsid w:val="00522C2F"/>
    <w:rsid w:val="00523196"/>
    <w:rsid w:val="00523232"/>
    <w:rsid w:val="005239B9"/>
    <w:rsid w:val="00523A13"/>
    <w:rsid w:val="00523BD6"/>
    <w:rsid w:val="00523D9C"/>
    <w:rsid w:val="00523E5E"/>
    <w:rsid w:val="00523F41"/>
    <w:rsid w:val="00523FAC"/>
    <w:rsid w:val="00523FD8"/>
    <w:rsid w:val="00524031"/>
    <w:rsid w:val="00524092"/>
    <w:rsid w:val="005241F9"/>
    <w:rsid w:val="0052431B"/>
    <w:rsid w:val="00524659"/>
    <w:rsid w:val="005246B0"/>
    <w:rsid w:val="005247C9"/>
    <w:rsid w:val="00524A00"/>
    <w:rsid w:val="00524CEF"/>
    <w:rsid w:val="00524D1C"/>
    <w:rsid w:val="0052521D"/>
    <w:rsid w:val="00525231"/>
    <w:rsid w:val="005253E4"/>
    <w:rsid w:val="005256C2"/>
    <w:rsid w:val="00525769"/>
    <w:rsid w:val="0052598B"/>
    <w:rsid w:val="005261B1"/>
    <w:rsid w:val="005263EF"/>
    <w:rsid w:val="00526740"/>
    <w:rsid w:val="005268C4"/>
    <w:rsid w:val="00526976"/>
    <w:rsid w:val="00526BDD"/>
    <w:rsid w:val="00526D9D"/>
    <w:rsid w:val="00526F81"/>
    <w:rsid w:val="00527532"/>
    <w:rsid w:val="00527699"/>
    <w:rsid w:val="005276C7"/>
    <w:rsid w:val="00527781"/>
    <w:rsid w:val="00527796"/>
    <w:rsid w:val="00527D13"/>
    <w:rsid w:val="00527D37"/>
    <w:rsid w:val="00527DA2"/>
    <w:rsid w:val="00527DB2"/>
    <w:rsid w:val="00527FF7"/>
    <w:rsid w:val="00530049"/>
    <w:rsid w:val="00530330"/>
    <w:rsid w:val="005306E1"/>
    <w:rsid w:val="00530E3F"/>
    <w:rsid w:val="00530E53"/>
    <w:rsid w:val="00530F65"/>
    <w:rsid w:val="00530FB4"/>
    <w:rsid w:val="005310A9"/>
    <w:rsid w:val="00531109"/>
    <w:rsid w:val="005313CF"/>
    <w:rsid w:val="005314CB"/>
    <w:rsid w:val="00531638"/>
    <w:rsid w:val="00531654"/>
    <w:rsid w:val="005316D1"/>
    <w:rsid w:val="005317C3"/>
    <w:rsid w:val="0053196A"/>
    <w:rsid w:val="00531AD6"/>
    <w:rsid w:val="00531C6E"/>
    <w:rsid w:val="00531E6C"/>
    <w:rsid w:val="00531F37"/>
    <w:rsid w:val="0053201A"/>
    <w:rsid w:val="00532077"/>
    <w:rsid w:val="005325B4"/>
    <w:rsid w:val="0053267C"/>
    <w:rsid w:val="005327C7"/>
    <w:rsid w:val="0053291D"/>
    <w:rsid w:val="0053295E"/>
    <w:rsid w:val="00532BFA"/>
    <w:rsid w:val="00532C55"/>
    <w:rsid w:val="00532D3C"/>
    <w:rsid w:val="00532F6D"/>
    <w:rsid w:val="0053326F"/>
    <w:rsid w:val="005336E2"/>
    <w:rsid w:val="005338BE"/>
    <w:rsid w:val="005338D2"/>
    <w:rsid w:val="00533F0B"/>
    <w:rsid w:val="005346D3"/>
    <w:rsid w:val="0053495C"/>
    <w:rsid w:val="005349A6"/>
    <w:rsid w:val="005349D3"/>
    <w:rsid w:val="00534A20"/>
    <w:rsid w:val="00534B5B"/>
    <w:rsid w:val="00534E08"/>
    <w:rsid w:val="00534EEB"/>
    <w:rsid w:val="00535454"/>
    <w:rsid w:val="00535799"/>
    <w:rsid w:val="005358A7"/>
    <w:rsid w:val="005358BA"/>
    <w:rsid w:val="00535BFB"/>
    <w:rsid w:val="00535C55"/>
    <w:rsid w:val="00535D4F"/>
    <w:rsid w:val="005361C6"/>
    <w:rsid w:val="00536320"/>
    <w:rsid w:val="00536464"/>
    <w:rsid w:val="00536541"/>
    <w:rsid w:val="00536731"/>
    <w:rsid w:val="00536BB1"/>
    <w:rsid w:val="00536C56"/>
    <w:rsid w:val="00537161"/>
    <w:rsid w:val="005371D3"/>
    <w:rsid w:val="0053738A"/>
    <w:rsid w:val="0053769A"/>
    <w:rsid w:val="005376EC"/>
    <w:rsid w:val="00540014"/>
    <w:rsid w:val="005401DE"/>
    <w:rsid w:val="00540659"/>
    <w:rsid w:val="00540AC6"/>
    <w:rsid w:val="00540F5D"/>
    <w:rsid w:val="00540F61"/>
    <w:rsid w:val="00540FB9"/>
    <w:rsid w:val="00541118"/>
    <w:rsid w:val="005412EA"/>
    <w:rsid w:val="005415AE"/>
    <w:rsid w:val="00541ADD"/>
    <w:rsid w:val="00541E60"/>
    <w:rsid w:val="00541E9A"/>
    <w:rsid w:val="0054232F"/>
    <w:rsid w:val="005423F8"/>
    <w:rsid w:val="00542476"/>
    <w:rsid w:val="005428BE"/>
    <w:rsid w:val="00542C4E"/>
    <w:rsid w:val="00542C73"/>
    <w:rsid w:val="00542D4D"/>
    <w:rsid w:val="00542E7F"/>
    <w:rsid w:val="005431ED"/>
    <w:rsid w:val="00543541"/>
    <w:rsid w:val="005436BA"/>
    <w:rsid w:val="00543B19"/>
    <w:rsid w:val="00543D8D"/>
    <w:rsid w:val="00543E79"/>
    <w:rsid w:val="0054407C"/>
    <w:rsid w:val="005444D4"/>
    <w:rsid w:val="00544567"/>
    <w:rsid w:val="005445B3"/>
    <w:rsid w:val="00544807"/>
    <w:rsid w:val="005448A5"/>
    <w:rsid w:val="00544F1B"/>
    <w:rsid w:val="005458A6"/>
    <w:rsid w:val="005458E9"/>
    <w:rsid w:val="0054592E"/>
    <w:rsid w:val="00545F46"/>
    <w:rsid w:val="0054610B"/>
    <w:rsid w:val="005469AF"/>
    <w:rsid w:val="00547187"/>
    <w:rsid w:val="005474E5"/>
    <w:rsid w:val="00547641"/>
    <w:rsid w:val="005478CC"/>
    <w:rsid w:val="00547A0F"/>
    <w:rsid w:val="00547AA3"/>
    <w:rsid w:val="00547C29"/>
    <w:rsid w:val="005500A2"/>
    <w:rsid w:val="005503BD"/>
    <w:rsid w:val="0055068E"/>
    <w:rsid w:val="00550744"/>
    <w:rsid w:val="00550930"/>
    <w:rsid w:val="005509C0"/>
    <w:rsid w:val="00550D2D"/>
    <w:rsid w:val="00551028"/>
    <w:rsid w:val="00551535"/>
    <w:rsid w:val="005516C3"/>
    <w:rsid w:val="00551936"/>
    <w:rsid w:val="005520F6"/>
    <w:rsid w:val="005521FB"/>
    <w:rsid w:val="00552283"/>
    <w:rsid w:val="00552287"/>
    <w:rsid w:val="00552C73"/>
    <w:rsid w:val="00552FB0"/>
    <w:rsid w:val="00553713"/>
    <w:rsid w:val="005537A3"/>
    <w:rsid w:val="00553819"/>
    <w:rsid w:val="00553BC5"/>
    <w:rsid w:val="00553EC9"/>
    <w:rsid w:val="00554077"/>
    <w:rsid w:val="00554264"/>
    <w:rsid w:val="005547FF"/>
    <w:rsid w:val="00554950"/>
    <w:rsid w:val="00555026"/>
    <w:rsid w:val="005550A0"/>
    <w:rsid w:val="0055514D"/>
    <w:rsid w:val="005552FB"/>
    <w:rsid w:val="00555549"/>
    <w:rsid w:val="005555AF"/>
    <w:rsid w:val="00555682"/>
    <w:rsid w:val="0055568E"/>
    <w:rsid w:val="005559D2"/>
    <w:rsid w:val="0055614E"/>
    <w:rsid w:val="00556330"/>
    <w:rsid w:val="005565E1"/>
    <w:rsid w:val="005566F8"/>
    <w:rsid w:val="00556AC5"/>
    <w:rsid w:val="00556C28"/>
    <w:rsid w:val="00556F27"/>
    <w:rsid w:val="005570C7"/>
    <w:rsid w:val="00557408"/>
    <w:rsid w:val="0055753B"/>
    <w:rsid w:val="00557EC4"/>
    <w:rsid w:val="0056010F"/>
    <w:rsid w:val="005602FB"/>
    <w:rsid w:val="005604CE"/>
    <w:rsid w:val="005604DD"/>
    <w:rsid w:val="005605D6"/>
    <w:rsid w:val="00560683"/>
    <w:rsid w:val="005607F9"/>
    <w:rsid w:val="005609B7"/>
    <w:rsid w:val="005610E0"/>
    <w:rsid w:val="00561298"/>
    <w:rsid w:val="0056145C"/>
    <w:rsid w:val="005615C6"/>
    <w:rsid w:val="00561AA2"/>
    <w:rsid w:val="00561ABD"/>
    <w:rsid w:val="00561D71"/>
    <w:rsid w:val="0056209E"/>
    <w:rsid w:val="00562609"/>
    <w:rsid w:val="00562C12"/>
    <w:rsid w:val="00562D58"/>
    <w:rsid w:val="00562EB7"/>
    <w:rsid w:val="005630F2"/>
    <w:rsid w:val="00563285"/>
    <w:rsid w:val="0056350D"/>
    <w:rsid w:val="0056379C"/>
    <w:rsid w:val="00563B4B"/>
    <w:rsid w:val="00563BD7"/>
    <w:rsid w:val="00564437"/>
    <w:rsid w:val="00564581"/>
    <w:rsid w:val="00564922"/>
    <w:rsid w:val="0056499F"/>
    <w:rsid w:val="0056523F"/>
    <w:rsid w:val="0056541C"/>
    <w:rsid w:val="005654A4"/>
    <w:rsid w:val="0056570E"/>
    <w:rsid w:val="005658EF"/>
    <w:rsid w:val="005659BD"/>
    <w:rsid w:val="00565B40"/>
    <w:rsid w:val="00565C07"/>
    <w:rsid w:val="00565F65"/>
    <w:rsid w:val="0056606A"/>
    <w:rsid w:val="005661A4"/>
    <w:rsid w:val="0056629A"/>
    <w:rsid w:val="005664E6"/>
    <w:rsid w:val="0056652B"/>
    <w:rsid w:val="0056677C"/>
    <w:rsid w:val="005669B5"/>
    <w:rsid w:val="00566CCB"/>
    <w:rsid w:val="00567020"/>
    <w:rsid w:val="0056707C"/>
    <w:rsid w:val="005673AA"/>
    <w:rsid w:val="005675F6"/>
    <w:rsid w:val="00567E0F"/>
    <w:rsid w:val="00567EA8"/>
    <w:rsid w:val="00570004"/>
    <w:rsid w:val="00570482"/>
    <w:rsid w:val="0057054C"/>
    <w:rsid w:val="0057095B"/>
    <w:rsid w:val="00570B96"/>
    <w:rsid w:val="00571032"/>
    <w:rsid w:val="0057105E"/>
    <w:rsid w:val="00571282"/>
    <w:rsid w:val="00571428"/>
    <w:rsid w:val="00571664"/>
    <w:rsid w:val="0057178A"/>
    <w:rsid w:val="005717D8"/>
    <w:rsid w:val="00571824"/>
    <w:rsid w:val="005718B7"/>
    <w:rsid w:val="005719CC"/>
    <w:rsid w:val="00572591"/>
    <w:rsid w:val="0057269D"/>
    <w:rsid w:val="0057276E"/>
    <w:rsid w:val="0057381A"/>
    <w:rsid w:val="00573DAE"/>
    <w:rsid w:val="00573EA8"/>
    <w:rsid w:val="00573F2D"/>
    <w:rsid w:val="00574235"/>
    <w:rsid w:val="005745E2"/>
    <w:rsid w:val="00574989"/>
    <w:rsid w:val="00574F65"/>
    <w:rsid w:val="005750A8"/>
    <w:rsid w:val="005751AB"/>
    <w:rsid w:val="005754FA"/>
    <w:rsid w:val="0057569A"/>
    <w:rsid w:val="005757F3"/>
    <w:rsid w:val="005759EF"/>
    <w:rsid w:val="00575A2F"/>
    <w:rsid w:val="00575DC1"/>
    <w:rsid w:val="00575E8C"/>
    <w:rsid w:val="00576137"/>
    <w:rsid w:val="005762C2"/>
    <w:rsid w:val="0057666D"/>
    <w:rsid w:val="00576937"/>
    <w:rsid w:val="00576967"/>
    <w:rsid w:val="00576AD6"/>
    <w:rsid w:val="00576E02"/>
    <w:rsid w:val="00576E82"/>
    <w:rsid w:val="00577573"/>
    <w:rsid w:val="005776BE"/>
    <w:rsid w:val="00577965"/>
    <w:rsid w:val="00577E2D"/>
    <w:rsid w:val="00577EA2"/>
    <w:rsid w:val="00577F75"/>
    <w:rsid w:val="00577F7C"/>
    <w:rsid w:val="0058000E"/>
    <w:rsid w:val="0058019A"/>
    <w:rsid w:val="0058029B"/>
    <w:rsid w:val="00580747"/>
    <w:rsid w:val="005808C1"/>
    <w:rsid w:val="00580B0C"/>
    <w:rsid w:val="00580F4B"/>
    <w:rsid w:val="005811CE"/>
    <w:rsid w:val="005811EE"/>
    <w:rsid w:val="0058150C"/>
    <w:rsid w:val="00581588"/>
    <w:rsid w:val="00581A19"/>
    <w:rsid w:val="00581A30"/>
    <w:rsid w:val="00581D32"/>
    <w:rsid w:val="0058265C"/>
    <w:rsid w:val="00582700"/>
    <w:rsid w:val="005828C9"/>
    <w:rsid w:val="00582B76"/>
    <w:rsid w:val="00582BFA"/>
    <w:rsid w:val="00582D1D"/>
    <w:rsid w:val="00582F19"/>
    <w:rsid w:val="00583053"/>
    <w:rsid w:val="00583395"/>
    <w:rsid w:val="0058341F"/>
    <w:rsid w:val="005835A4"/>
    <w:rsid w:val="00583756"/>
    <w:rsid w:val="00583CB2"/>
    <w:rsid w:val="00583E72"/>
    <w:rsid w:val="005844AE"/>
    <w:rsid w:val="005847A1"/>
    <w:rsid w:val="0058488A"/>
    <w:rsid w:val="00584B03"/>
    <w:rsid w:val="00584CA8"/>
    <w:rsid w:val="00584D30"/>
    <w:rsid w:val="0058514E"/>
    <w:rsid w:val="005853C3"/>
    <w:rsid w:val="00585B27"/>
    <w:rsid w:val="00585B65"/>
    <w:rsid w:val="00585B66"/>
    <w:rsid w:val="00585BE9"/>
    <w:rsid w:val="00585F9C"/>
    <w:rsid w:val="005860FB"/>
    <w:rsid w:val="00586623"/>
    <w:rsid w:val="00586651"/>
    <w:rsid w:val="00586D19"/>
    <w:rsid w:val="0058706C"/>
    <w:rsid w:val="005871A1"/>
    <w:rsid w:val="0058728D"/>
    <w:rsid w:val="005873D4"/>
    <w:rsid w:val="0058781C"/>
    <w:rsid w:val="00587905"/>
    <w:rsid w:val="005879F5"/>
    <w:rsid w:val="00587AA0"/>
    <w:rsid w:val="00587DA7"/>
    <w:rsid w:val="00590041"/>
    <w:rsid w:val="0059020F"/>
    <w:rsid w:val="005902F0"/>
    <w:rsid w:val="0059035A"/>
    <w:rsid w:val="00590408"/>
    <w:rsid w:val="00590494"/>
    <w:rsid w:val="005905AE"/>
    <w:rsid w:val="00590616"/>
    <w:rsid w:val="005907EC"/>
    <w:rsid w:val="005907F1"/>
    <w:rsid w:val="005907F8"/>
    <w:rsid w:val="00590AE7"/>
    <w:rsid w:val="00590B13"/>
    <w:rsid w:val="00590C0B"/>
    <w:rsid w:val="00590DA9"/>
    <w:rsid w:val="00591448"/>
    <w:rsid w:val="00591558"/>
    <w:rsid w:val="00591996"/>
    <w:rsid w:val="00591DC6"/>
    <w:rsid w:val="0059206C"/>
    <w:rsid w:val="0059213F"/>
    <w:rsid w:val="00592144"/>
    <w:rsid w:val="00592325"/>
    <w:rsid w:val="00592382"/>
    <w:rsid w:val="00592437"/>
    <w:rsid w:val="005928E7"/>
    <w:rsid w:val="00592A79"/>
    <w:rsid w:val="00592DA3"/>
    <w:rsid w:val="00592E7A"/>
    <w:rsid w:val="0059318A"/>
    <w:rsid w:val="00593AA6"/>
    <w:rsid w:val="00593C50"/>
    <w:rsid w:val="005940BF"/>
    <w:rsid w:val="00594228"/>
    <w:rsid w:val="00594465"/>
    <w:rsid w:val="005945B9"/>
    <w:rsid w:val="00594617"/>
    <w:rsid w:val="00594B1F"/>
    <w:rsid w:val="00594DC7"/>
    <w:rsid w:val="00594E97"/>
    <w:rsid w:val="00594EA4"/>
    <w:rsid w:val="005955A6"/>
    <w:rsid w:val="005957AD"/>
    <w:rsid w:val="005958D6"/>
    <w:rsid w:val="00595B35"/>
    <w:rsid w:val="00595B61"/>
    <w:rsid w:val="00595D6C"/>
    <w:rsid w:val="00595EFA"/>
    <w:rsid w:val="00596586"/>
    <w:rsid w:val="0059658E"/>
    <w:rsid w:val="0059676F"/>
    <w:rsid w:val="00596AF8"/>
    <w:rsid w:val="00596DDD"/>
    <w:rsid w:val="00596FF2"/>
    <w:rsid w:val="00597169"/>
    <w:rsid w:val="0059728C"/>
    <w:rsid w:val="005978A8"/>
    <w:rsid w:val="005979B3"/>
    <w:rsid w:val="005979EE"/>
    <w:rsid w:val="00597EFB"/>
    <w:rsid w:val="005A01F9"/>
    <w:rsid w:val="005A03F5"/>
    <w:rsid w:val="005A0464"/>
    <w:rsid w:val="005A0889"/>
    <w:rsid w:val="005A091A"/>
    <w:rsid w:val="005A0C56"/>
    <w:rsid w:val="005A0E86"/>
    <w:rsid w:val="005A12CB"/>
    <w:rsid w:val="005A1332"/>
    <w:rsid w:val="005A1574"/>
    <w:rsid w:val="005A1A11"/>
    <w:rsid w:val="005A234F"/>
    <w:rsid w:val="005A26AA"/>
    <w:rsid w:val="005A2945"/>
    <w:rsid w:val="005A29A4"/>
    <w:rsid w:val="005A2AC2"/>
    <w:rsid w:val="005A2ADA"/>
    <w:rsid w:val="005A2D47"/>
    <w:rsid w:val="005A34AD"/>
    <w:rsid w:val="005A3A4C"/>
    <w:rsid w:val="005A3C08"/>
    <w:rsid w:val="005A3CBA"/>
    <w:rsid w:val="005A3DD3"/>
    <w:rsid w:val="005A4054"/>
    <w:rsid w:val="005A422B"/>
    <w:rsid w:val="005A42B0"/>
    <w:rsid w:val="005A448B"/>
    <w:rsid w:val="005A4521"/>
    <w:rsid w:val="005A49B4"/>
    <w:rsid w:val="005A4A32"/>
    <w:rsid w:val="005A4DA5"/>
    <w:rsid w:val="005A51A8"/>
    <w:rsid w:val="005A5368"/>
    <w:rsid w:val="005A5455"/>
    <w:rsid w:val="005A5817"/>
    <w:rsid w:val="005A59BD"/>
    <w:rsid w:val="005A5A52"/>
    <w:rsid w:val="005A5C60"/>
    <w:rsid w:val="005A5EE8"/>
    <w:rsid w:val="005A60AA"/>
    <w:rsid w:val="005A63B1"/>
    <w:rsid w:val="005A67D6"/>
    <w:rsid w:val="005A6987"/>
    <w:rsid w:val="005A6989"/>
    <w:rsid w:val="005A6DCF"/>
    <w:rsid w:val="005A74C7"/>
    <w:rsid w:val="005A7657"/>
    <w:rsid w:val="005A7960"/>
    <w:rsid w:val="005A7F7D"/>
    <w:rsid w:val="005A7F85"/>
    <w:rsid w:val="005B01BE"/>
    <w:rsid w:val="005B043F"/>
    <w:rsid w:val="005B072F"/>
    <w:rsid w:val="005B0A41"/>
    <w:rsid w:val="005B0A86"/>
    <w:rsid w:val="005B0D5F"/>
    <w:rsid w:val="005B0E2F"/>
    <w:rsid w:val="005B185C"/>
    <w:rsid w:val="005B1BC5"/>
    <w:rsid w:val="005B1C63"/>
    <w:rsid w:val="005B203A"/>
    <w:rsid w:val="005B2043"/>
    <w:rsid w:val="005B2047"/>
    <w:rsid w:val="005B254F"/>
    <w:rsid w:val="005B278D"/>
    <w:rsid w:val="005B2908"/>
    <w:rsid w:val="005B2C1F"/>
    <w:rsid w:val="005B3126"/>
    <w:rsid w:val="005B37B5"/>
    <w:rsid w:val="005B3804"/>
    <w:rsid w:val="005B387D"/>
    <w:rsid w:val="005B405D"/>
    <w:rsid w:val="005B44CD"/>
    <w:rsid w:val="005B4E93"/>
    <w:rsid w:val="005B4FAF"/>
    <w:rsid w:val="005B5017"/>
    <w:rsid w:val="005B5A74"/>
    <w:rsid w:val="005B5C5D"/>
    <w:rsid w:val="005B60CB"/>
    <w:rsid w:val="005B6284"/>
    <w:rsid w:val="005B6542"/>
    <w:rsid w:val="005B67A4"/>
    <w:rsid w:val="005B68B7"/>
    <w:rsid w:val="005B6A4D"/>
    <w:rsid w:val="005B6EAD"/>
    <w:rsid w:val="005B6F9C"/>
    <w:rsid w:val="005B70E6"/>
    <w:rsid w:val="005B7D06"/>
    <w:rsid w:val="005C013C"/>
    <w:rsid w:val="005C0162"/>
    <w:rsid w:val="005C06B9"/>
    <w:rsid w:val="005C06CB"/>
    <w:rsid w:val="005C0AD2"/>
    <w:rsid w:val="005C0C3A"/>
    <w:rsid w:val="005C0EBB"/>
    <w:rsid w:val="005C0EBE"/>
    <w:rsid w:val="005C0FF3"/>
    <w:rsid w:val="005C109A"/>
    <w:rsid w:val="005C115B"/>
    <w:rsid w:val="005C14B3"/>
    <w:rsid w:val="005C1748"/>
    <w:rsid w:val="005C176B"/>
    <w:rsid w:val="005C1BA5"/>
    <w:rsid w:val="005C21D7"/>
    <w:rsid w:val="005C2403"/>
    <w:rsid w:val="005C261A"/>
    <w:rsid w:val="005C2A67"/>
    <w:rsid w:val="005C2FE8"/>
    <w:rsid w:val="005C340B"/>
    <w:rsid w:val="005C3489"/>
    <w:rsid w:val="005C3C1B"/>
    <w:rsid w:val="005C42A7"/>
    <w:rsid w:val="005C43C1"/>
    <w:rsid w:val="005C484A"/>
    <w:rsid w:val="005C4B46"/>
    <w:rsid w:val="005C4C93"/>
    <w:rsid w:val="005C4F7B"/>
    <w:rsid w:val="005C51E8"/>
    <w:rsid w:val="005C5322"/>
    <w:rsid w:val="005C53BE"/>
    <w:rsid w:val="005C53E9"/>
    <w:rsid w:val="005C55D3"/>
    <w:rsid w:val="005C5B4C"/>
    <w:rsid w:val="005C5BF8"/>
    <w:rsid w:val="005C69D2"/>
    <w:rsid w:val="005C6A3C"/>
    <w:rsid w:val="005C6AE1"/>
    <w:rsid w:val="005C6B17"/>
    <w:rsid w:val="005C6C7B"/>
    <w:rsid w:val="005C6D73"/>
    <w:rsid w:val="005C74CE"/>
    <w:rsid w:val="005C7685"/>
    <w:rsid w:val="005C7722"/>
    <w:rsid w:val="005C78FE"/>
    <w:rsid w:val="005D011C"/>
    <w:rsid w:val="005D02B9"/>
    <w:rsid w:val="005D0351"/>
    <w:rsid w:val="005D062B"/>
    <w:rsid w:val="005D0664"/>
    <w:rsid w:val="005D0909"/>
    <w:rsid w:val="005D111A"/>
    <w:rsid w:val="005D1186"/>
    <w:rsid w:val="005D1C1A"/>
    <w:rsid w:val="005D1D69"/>
    <w:rsid w:val="005D1DA2"/>
    <w:rsid w:val="005D2154"/>
    <w:rsid w:val="005D2243"/>
    <w:rsid w:val="005D22C6"/>
    <w:rsid w:val="005D26C6"/>
    <w:rsid w:val="005D29EC"/>
    <w:rsid w:val="005D2F18"/>
    <w:rsid w:val="005D30DA"/>
    <w:rsid w:val="005D3348"/>
    <w:rsid w:val="005D35BA"/>
    <w:rsid w:val="005D44A8"/>
    <w:rsid w:val="005D4588"/>
    <w:rsid w:val="005D4741"/>
    <w:rsid w:val="005D4801"/>
    <w:rsid w:val="005D49DC"/>
    <w:rsid w:val="005D4C27"/>
    <w:rsid w:val="005D515D"/>
    <w:rsid w:val="005D545A"/>
    <w:rsid w:val="005D54B1"/>
    <w:rsid w:val="005D5736"/>
    <w:rsid w:val="005D5783"/>
    <w:rsid w:val="005D57DE"/>
    <w:rsid w:val="005D587B"/>
    <w:rsid w:val="005D63F6"/>
    <w:rsid w:val="005D6809"/>
    <w:rsid w:val="005D6A6B"/>
    <w:rsid w:val="005D6A89"/>
    <w:rsid w:val="005D6D46"/>
    <w:rsid w:val="005D6E74"/>
    <w:rsid w:val="005D6F3B"/>
    <w:rsid w:val="005D6F8E"/>
    <w:rsid w:val="005D7646"/>
    <w:rsid w:val="005D78F7"/>
    <w:rsid w:val="005E0054"/>
    <w:rsid w:val="005E0819"/>
    <w:rsid w:val="005E0935"/>
    <w:rsid w:val="005E0988"/>
    <w:rsid w:val="005E0FBA"/>
    <w:rsid w:val="005E130D"/>
    <w:rsid w:val="005E1314"/>
    <w:rsid w:val="005E1585"/>
    <w:rsid w:val="005E16BD"/>
    <w:rsid w:val="005E1754"/>
    <w:rsid w:val="005E1CF5"/>
    <w:rsid w:val="005E1FDE"/>
    <w:rsid w:val="005E2031"/>
    <w:rsid w:val="005E212F"/>
    <w:rsid w:val="005E2324"/>
    <w:rsid w:val="005E2588"/>
    <w:rsid w:val="005E25D3"/>
    <w:rsid w:val="005E312D"/>
    <w:rsid w:val="005E365F"/>
    <w:rsid w:val="005E38C8"/>
    <w:rsid w:val="005E3D57"/>
    <w:rsid w:val="005E3F9E"/>
    <w:rsid w:val="005E4496"/>
    <w:rsid w:val="005E4513"/>
    <w:rsid w:val="005E4863"/>
    <w:rsid w:val="005E48AC"/>
    <w:rsid w:val="005E4E02"/>
    <w:rsid w:val="005E4F24"/>
    <w:rsid w:val="005E5082"/>
    <w:rsid w:val="005E53D1"/>
    <w:rsid w:val="005E5480"/>
    <w:rsid w:val="005E55FA"/>
    <w:rsid w:val="005E5651"/>
    <w:rsid w:val="005E5657"/>
    <w:rsid w:val="005E56F1"/>
    <w:rsid w:val="005E5757"/>
    <w:rsid w:val="005E5896"/>
    <w:rsid w:val="005E5A63"/>
    <w:rsid w:val="005E5CA1"/>
    <w:rsid w:val="005E5D03"/>
    <w:rsid w:val="005E6076"/>
    <w:rsid w:val="005E69EE"/>
    <w:rsid w:val="005E6AE7"/>
    <w:rsid w:val="005E6B52"/>
    <w:rsid w:val="005E6F6F"/>
    <w:rsid w:val="005E707E"/>
    <w:rsid w:val="005E70B6"/>
    <w:rsid w:val="005E73EA"/>
    <w:rsid w:val="005E75E5"/>
    <w:rsid w:val="005E75EA"/>
    <w:rsid w:val="005E7675"/>
    <w:rsid w:val="005E7A2D"/>
    <w:rsid w:val="005E7A46"/>
    <w:rsid w:val="005E7A97"/>
    <w:rsid w:val="005F02AD"/>
    <w:rsid w:val="005F0398"/>
    <w:rsid w:val="005F08A1"/>
    <w:rsid w:val="005F0AEE"/>
    <w:rsid w:val="005F0EAC"/>
    <w:rsid w:val="005F0EC4"/>
    <w:rsid w:val="005F0FB6"/>
    <w:rsid w:val="005F13B7"/>
    <w:rsid w:val="005F141E"/>
    <w:rsid w:val="005F1540"/>
    <w:rsid w:val="005F168E"/>
    <w:rsid w:val="005F1974"/>
    <w:rsid w:val="005F1C69"/>
    <w:rsid w:val="005F236D"/>
    <w:rsid w:val="005F243F"/>
    <w:rsid w:val="005F2AEE"/>
    <w:rsid w:val="005F3019"/>
    <w:rsid w:val="005F34B3"/>
    <w:rsid w:val="005F35B1"/>
    <w:rsid w:val="005F36B4"/>
    <w:rsid w:val="005F3784"/>
    <w:rsid w:val="005F3FF4"/>
    <w:rsid w:val="005F4481"/>
    <w:rsid w:val="005F4483"/>
    <w:rsid w:val="005F46BC"/>
    <w:rsid w:val="005F489C"/>
    <w:rsid w:val="005F4940"/>
    <w:rsid w:val="005F4C95"/>
    <w:rsid w:val="005F4E9F"/>
    <w:rsid w:val="005F5006"/>
    <w:rsid w:val="005F51D9"/>
    <w:rsid w:val="005F531C"/>
    <w:rsid w:val="005F53A0"/>
    <w:rsid w:val="005F5D3F"/>
    <w:rsid w:val="005F5FC5"/>
    <w:rsid w:val="005F6117"/>
    <w:rsid w:val="005F6432"/>
    <w:rsid w:val="005F67CB"/>
    <w:rsid w:val="005F6852"/>
    <w:rsid w:val="005F691D"/>
    <w:rsid w:val="005F6A27"/>
    <w:rsid w:val="005F6A43"/>
    <w:rsid w:val="005F70EF"/>
    <w:rsid w:val="005F75E1"/>
    <w:rsid w:val="005F7684"/>
    <w:rsid w:val="005F78A2"/>
    <w:rsid w:val="005F79DB"/>
    <w:rsid w:val="005F7BAD"/>
    <w:rsid w:val="005F7D5C"/>
    <w:rsid w:val="00600474"/>
    <w:rsid w:val="00600530"/>
    <w:rsid w:val="006007FC"/>
    <w:rsid w:val="00600AB2"/>
    <w:rsid w:val="00600C31"/>
    <w:rsid w:val="0060134E"/>
    <w:rsid w:val="0060142C"/>
    <w:rsid w:val="0060183E"/>
    <w:rsid w:val="00601B04"/>
    <w:rsid w:val="00601CB6"/>
    <w:rsid w:val="0060232D"/>
    <w:rsid w:val="0060290F"/>
    <w:rsid w:val="00602A3A"/>
    <w:rsid w:val="00602CE0"/>
    <w:rsid w:val="006031F6"/>
    <w:rsid w:val="00603529"/>
    <w:rsid w:val="00603550"/>
    <w:rsid w:val="0060382B"/>
    <w:rsid w:val="0060407C"/>
    <w:rsid w:val="00604731"/>
    <w:rsid w:val="00604C93"/>
    <w:rsid w:val="00604C97"/>
    <w:rsid w:val="00604E51"/>
    <w:rsid w:val="00604E60"/>
    <w:rsid w:val="00604EB5"/>
    <w:rsid w:val="006051EA"/>
    <w:rsid w:val="006052DA"/>
    <w:rsid w:val="00605898"/>
    <w:rsid w:val="0060625C"/>
    <w:rsid w:val="006062E4"/>
    <w:rsid w:val="006062F9"/>
    <w:rsid w:val="00606527"/>
    <w:rsid w:val="0060699C"/>
    <w:rsid w:val="00606AB5"/>
    <w:rsid w:val="00606FE5"/>
    <w:rsid w:val="006070B4"/>
    <w:rsid w:val="006072D9"/>
    <w:rsid w:val="00607310"/>
    <w:rsid w:val="0060759B"/>
    <w:rsid w:val="006075DB"/>
    <w:rsid w:val="00607637"/>
    <w:rsid w:val="006077C4"/>
    <w:rsid w:val="00607AD8"/>
    <w:rsid w:val="00607E9E"/>
    <w:rsid w:val="0060DF81"/>
    <w:rsid w:val="00610304"/>
    <w:rsid w:val="006106B4"/>
    <w:rsid w:val="006107C4"/>
    <w:rsid w:val="00610AA3"/>
    <w:rsid w:val="00610C01"/>
    <w:rsid w:val="00610C54"/>
    <w:rsid w:val="00610CA5"/>
    <w:rsid w:val="006110C3"/>
    <w:rsid w:val="0061145B"/>
    <w:rsid w:val="0061159B"/>
    <w:rsid w:val="0061159C"/>
    <w:rsid w:val="0061159E"/>
    <w:rsid w:val="00611722"/>
    <w:rsid w:val="006117F6"/>
    <w:rsid w:val="0061192E"/>
    <w:rsid w:val="0061208A"/>
    <w:rsid w:val="00612272"/>
    <w:rsid w:val="0061243E"/>
    <w:rsid w:val="00612545"/>
    <w:rsid w:val="00612555"/>
    <w:rsid w:val="00612659"/>
    <w:rsid w:val="006128B2"/>
    <w:rsid w:val="006128EF"/>
    <w:rsid w:val="00612C0F"/>
    <w:rsid w:val="00612C98"/>
    <w:rsid w:val="00612C9B"/>
    <w:rsid w:val="00612DCE"/>
    <w:rsid w:val="00612DE9"/>
    <w:rsid w:val="00612E85"/>
    <w:rsid w:val="00612EB4"/>
    <w:rsid w:val="006133CD"/>
    <w:rsid w:val="00613649"/>
    <w:rsid w:val="00613819"/>
    <w:rsid w:val="006139B1"/>
    <w:rsid w:val="00613B53"/>
    <w:rsid w:val="00613CAB"/>
    <w:rsid w:val="0061400D"/>
    <w:rsid w:val="00614183"/>
    <w:rsid w:val="00614C11"/>
    <w:rsid w:val="00614EB2"/>
    <w:rsid w:val="0061540A"/>
    <w:rsid w:val="00615A4C"/>
    <w:rsid w:val="00615F78"/>
    <w:rsid w:val="006161DA"/>
    <w:rsid w:val="006161FD"/>
    <w:rsid w:val="00616269"/>
    <w:rsid w:val="00616590"/>
    <w:rsid w:val="00616A66"/>
    <w:rsid w:val="00616CD6"/>
    <w:rsid w:val="00616E01"/>
    <w:rsid w:val="00617094"/>
    <w:rsid w:val="006171A0"/>
    <w:rsid w:val="006178BC"/>
    <w:rsid w:val="00617AEB"/>
    <w:rsid w:val="00620178"/>
    <w:rsid w:val="0062042C"/>
    <w:rsid w:val="00620630"/>
    <w:rsid w:val="00620746"/>
    <w:rsid w:val="00620A64"/>
    <w:rsid w:val="00620F83"/>
    <w:rsid w:val="0062102E"/>
    <w:rsid w:val="006211FD"/>
    <w:rsid w:val="006217D7"/>
    <w:rsid w:val="00621CEE"/>
    <w:rsid w:val="00621EC0"/>
    <w:rsid w:val="0062225C"/>
    <w:rsid w:val="006225BB"/>
    <w:rsid w:val="006229A7"/>
    <w:rsid w:val="00622FB3"/>
    <w:rsid w:val="00622FCA"/>
    <w:rsid w:val="00623309"/>
    <w:rsid w:val="006235F5"/>
    <w:rsid w:val="00623613"/>
    <w:rsid w:val="00623728"/>
    <w:rsid w:val="0062375C"/>
    <w:rsid w:val="00623B88"/>
    <w:rsid w:val="00623F28"/>
    <w:rsid w:val="00624001"/>
    <w:rsid w:val="00624AB0"/>
    <w:rsid w:val="00624CEB"/>
    <w:rsid w:val="00624D54"/>
    <w:rsid w:val="006257F2"/>
    <w:rsid w:val="006260F8"/>
    <w:rsid w:val="006264FE"/>
    <w:rsid w:val="0062658B"/>
    <w:rsid w:val="006266EC"/>
    <w:rsid w:val="006268AA"/>
    <w:rsid w:val="00626925"/>
    <w:rsid w:val="00626AAA"/>
    <w:rsid w:val="00626AD8"/>
    <w:rsid w:val="00626B94"/>
    <w:rsid w:val="00626F2E"/>
    <w:rsid w:val="006270D7"/>
    <w:rsid w:val="00627234"/>
    <w:rsid w:val="0062733B"/>
    <w:rsid w:val="00627371"/>
    <w:rsid w:val="006273C0"/>
    <w:rsid w:val="0062748F"/>
    <w:rsid w:val="006274DC"/>
    <w:rsid w:val="0062770C"/>
    <w:rsid w:val="00627CDF"/>
    <w:rsid w:val="006304EE"/>
    <w:rsid w:val="00630525"/>
    <w:rsid w:val="00630623"/>
    <w:rsid w:val="00630A4E"/>
    <w:rsid w:val="00630C57"/>
    <w:rsid w:val="0063103E"/>
    <w:rsid w:val="0063113B"/>
    <w:rsid w:val="0063114D"/>
    <w:rsid w:val="00631272"/>
    <w:rsid w:val="00631295"/>
    <w:rsid w:val="006321B6"/>
    <w:rsid w:val="006323BF"/>
    <w:rsid w:val="006323FE"/>
    <w:rsid w:val="006326A4"/>
    <w:rsid w:val="00632744"/>
    <w:rsid w:val="0063275B"/>
    <w:rsid w:val="00632787"/>
    <w:rsid w:val="006327F5"/>
    <w:rsid w:val="00632849"/>
    <w:rsid w:val="00632957"/>
    <w:rsid w:val="00632B66"/>
    <w:rsid w:val="00632BA0"/>
    <w:rsid w:val="00632BEC"/>
    <w:rsid w:val="00632E59"/>
    <w:rsid w:val="0063339F"/>
    <w:rsid w:val="006337D6"/>
    <w:rsid w:val="00633D3D"/>
    <w:rsid w:val="00634584"/>
    <w:rsid w:val="00634781"/>
    <w:rsid w:val="006351C6"/>
    <w:rsid w:val="0063539D"/>
    <w:rsid w:val="00635777"/>
    <w:rsid w:val="00635ACB"/>
    <w:rsid w:val="00635B8C"/>
    <w:rsid w:val="00635C4B"/>
    <w:rsid w:val="00635D31"/>
    <w:rsid w:val="006362BC"/>
    <w:rsid w:val="00636899"/>
    <w:rsid w:val="00636919"/>
    <w:rsid w:val="006369AF"/>
    <w:rsid w:val="00636C05"/>
    <w:rsid w:val="00636C15"/>
    <w:rsid w:val="00636E68"/>
    <w:rsid w:val="006372B0"/>
    <w:rsid w:val="00637409"/>
    <w:rsid w:val="00637414"/>
    <w:rsid w:val="006375A3"/>
    <w:rsid w:val="006375BA"/>
    <w:rsid w:val="00637825"/>
    <w:rsid w:val="006379FE"/>
    <w:rsid w:val="00637A23"/>
    <w:rsid w:val="00637A26"/>
    <w:rsid w:val="00637B34"/>
    <w:rsid w:val="00637E1C"/>
    <w:rsid w:val="00640117"/>
    <w:rsid w:val="00640135"/>
    <w:rsid w:val="006401DC"/>
    <w:rsid w:val="00640217"/>
    <w:rsid w:val="006402FF"/>
    <w:rsid w:val="006403AA"/>
    <w:rsid w:val="006403D1"/>
    <w:rsid w:val="0064045D"/>
    <w:rsid w:val="00640690"/>
    <w:rsid w:val="006407DA"/>
    <w:rsid w:val="00641101"/>
    <w:rsid w:val="00641177"/>
    <w:rsid w:val="0064129A"/>
    <w:rsid w:val="0064197B"/>
    <w:rsid w:val="0064198A"/>
    <w:rsid w:val="00641C20"/>
    <w:rsid w:val="00641E3D"/>
    <w:rsid w:val="006425FC"/>
    <w:rsid w:val="006427F7"/>
    <w:rsid w:val="00642C35"/>
    <w:rsid w:val="00642D35"/>
    <w:rsid w:val="00642E71"/>
    <w:rsid w:val="00643124"/>
    <w:rsid w:val="0064312C"/>
    <w:rsid w:val="006432BC"/>
    <w:rsid w:val="0064349A"/>
    <w:rsid w:val="006435E4"/>
    <w:rsid w:val="00643726"/>
    <w:rsid w:val="006437FB"/>
    <w:rsid w:val="0064395A"/>
    <w:rsid w:val="00643D73"/>
    <w:rsid w:val="0064434D"/>
    <w:rsid w:val="0064437E"/>
    <w:rsid w:val="00644628"/>
    <w:rsid w:val="006448D7"/>
    <w:rsid w:val="00644AF9"/>
    <w:rsid w:val="00644CB5"/>
    <w:rsid w:val="00644E34"/>
    <w:rsid w:val="00644E70"/>
    <w:rsid w:val="00644FCA"/>
    <w:rsid w:val="0064510E"/>
    <w:rsid w:val="00645175"/>
    <w:rsid w:val="0064526C"/>
    <w:rsid w:val="006452FA"/>
    <w:rsid w:val="00645433"/>
    <w:rsid w:val="006455A1"/>
    <w:rsid w:val="00645911"/>
    <w:rsid w:val="0064594E"/>
    <w:rsid w:val="006459FA"/>
    <w:rsid w:val="00645ABD"/>
    <w:rsid w:val="00646077"/>
    <w:rsid w:val="0064620E"/>
    <w:rsid w:val="00646309"/>
    <w:rsid w:val="0064634E"/>
    <w:rsid w:val="00646584"/>
    <w:rsid w:val="00646BD4"/>
    <w:rsid w:val="00646CB1"/>
    <w:rsid w:val="00646E13"/>
    <w:rsid w:val="00646F9E"/>
    <w:rsid w:val="00647149"/>
    <w:rsid w:val="006471BB"/>
    <w:rsid w:val="006471E9"/>
    <w:rsid w:val="006473A2"/>
    <w:rsid w:val="006475FE"/>
    <w:rsid w:val="006477C2"/>
    <w:rsid w:val="0064796E"/>
    <w:rsid w:val="006479EF"/>
    <w:rsid w:val="00647D0C"/>
    <w:rsid w:val="00647F56"/>
    <w:rsid w:val="00647F97"/>
    <w:rsid w:val="00647FCC"/>
    <w:rsid w:val="006506BF"/>
    <w:rsid w:val="006508E0"/>
    <w:rsid w:val="00650A48"/>
    <w:rsid w:val="00650B49"/>
    <w:rsid w:val="00650B7B"/>
    <w:rsid w:val="00650D91"/>
    <w:rsid w:val="006510C3"/>
    <w:rsid w:val="00651290"/>
    <w:rsid w:val="00651408"/>
    <w:rsid w:val="00651A75"/>
    <w:rsid w:val="00651B26"/>
    <w:rsid w:val="00651D5C"/>
    <w:rsid w:val="00651D81"/>
    <w:rsid w:val="00651D9C"/>
    <w:rsid w:val="00651E56"/>
    <w:rsid w:val="00651ED1"/>
    <w:rsid w:val="00651EED"/>
    <w:rsid w:val="006520CA"/>
    <w:rsid w:val="006521B6"/>
    <w:rsid w:val="00652295"/>
    <w:rsid w:val="00652568"/>
    <w:rsid w:val="0065269A"/>
    <w:rsid w:val="006528E4"/>
    <w:rsid w:val="00652B96"/>
    <w:rsid w:val="00652EA9"/>
    <w:rsid w:val="00652F41"/>
    <w:rsid w:val="0065309C"/>
    <w:rsid w:val="006530CF"/>
    <w:rsid w:val="00653655"/>
    <w:rsid w:val="00653AA1"/>
    <w:rsid w:val="00653BB4"/>
    <w:rsid w:val="00653EED"/>
    <w:rsid w:val="0065400F"/>
    <w:rsid w:val="006540AC"/>
    <w:rsid w:val="00654411"/>
    <w:rsid w:val="00654489"/>
    <w:rsid w:val="0065475D"/>
    <w:rsid w:val="00654873"/>
    <w:rsid w:val="00654B66"/>
    <w:rsid w:val="00654D07"/>
    <w:rsid w:val="00654D90"/>
    <w:rsid w:val="00654E8F"/>
    <w:rsid w:val="00654F0A"/>
    <w:rsid w:val="00655021"/>
    <w:rsid w:val="00655034"/>
    <w:rsid w:val="0065510E"/>
    <w:rsid w:val="006553D2"/>
    <w:rsid w:val="006555CA"/>
    <w:rsid w:val="00655A6D"/>
    <w:rsid w:val="00655B94"/>
    <w:rsid w:val="00655BE6"/>
    <w:rsid w:val="00655E63"/>
    <w:rsid w:val="00655F15"/>
    <w:rsid w:val="006561D7"/>
    <w:rsid w:val="00656372"/>
    <w:rsid w:val="0065637C"/>
    <w:rsid w:val="00656773"/>
    <w:rsid w:val="00656E61"/>
    <w:rsid w:val="00656FC4"/>
    <w:rsid w:val="00657214"/>
    <w:rsid w:val="006572E0"/>
    <w:rsid w:val="006579BA"/>
    <w:rsid w:val="00660A7E"/>
    <w:rsid w:val="00660B2D"/>
    <w:rsid w:val="0066147B"/>
    <w:rsid w:val="00661612"/>
    <w:rsid w:val="0066194B"/>
    <w:rsid w:val="0066208B"/>
    <w:rsid w:val="006625BC"/>
    <w:rsid w:val="006626B7"/>
    <w:rsid w:val="0066279A"/>
    <w:rsid w:val="00662FAB"/>
    <w:rsid w:val="006630A3"/>
    <w:rsid w:val="00663184"/>
    <w:rsid w:val="00663259"/>
    <w:rsid w:val="006633A0"/>
    <w:rsid w:val="0066352E"/>
    <w:rsid w:val="006636BD"/>
    <w:rsid w:val="00663962"/>
    <w:rsid w:val="00663D24"/>
    <w:rsid w:val="00663D73"/>
    <w:rsid w:val="00664053"/>
    <w:rsid w:val="00664276"/>
    <w:rsid w:val="0066469C"/>
    <w:rsid w:val="0066476A"/>
    <w:rsid w:val="0066489F"/>
    <w:rsid w:val="00664A1F"/>
    <w:rsid w:val="00664B73"/>
    <w:rsid w:val="00664E14"/>
    <w:rsid w:val="00664E26"/>
    <w:rsid w:val="006651E3"/>
    <w:rsid w:val="006654DC"/>
    <w:rsid w:val="00665889"/>
    <w:rsid w:val="00665D99"/>
    <w:rsid w:val="006664F7"/>
    <w:rsid w:val="00666505"/>
    <w:rsid w:val="00666A2E"/>
    <w:rsid w:val="00666A6D"/>
    <w:rsid w:val="00666C67"/>
    <w:rsid w:val="00666D41"/>
    <w:rsid w:val="00666D68"/>
    <w:rsid w:val="006673DD"/>
    <w:rsid w:val="006673FC"/>
    <w:rsid w:val="00667406"/>
    <w:rsid w:val="00667635"/>
    <w:rsid w:val="006677ED"/>
    <w:rsid w:val="00667904"/>
    <w:rsid w:val="00667A25"/>
    <w:rsid w:val="00667C4F"/>
    <w:rsid w:val="006700A7"/>
    <w:rsid w:val="006700AD"/>
    <w:rsid w:val="00670290"/>
    <w:rsid w:val="0067066D"/>
    <w:rsid w:val="00670C07"/>
    <w:rsid w:val="00670D7B"/>
    <w:rsid w:val="00670D8B"/>
    <w:rsid w:val="00670DBC"/>
    <w:rsid w:val="0067109D"/>
    <w:rsid w:val="0067122E"/>
    <w:rsid w:val="006714EC"/>
    <w:rsid w:val="00671CB5"/>
    <w:rsid w:val="00671EAD"/>
    <w:rsid w:val="00671F59"/>
    <w:rsid w:val="006721D9"/>
    <w:rsid w:val="0067225C"/>
    <w:rsid w:val="00672370"/>
    <w:rsid w:val="006723B3"/>
    <w:rsid w:val="006723CA"/>
    <w:rsid w:val="00672BB9"/>
    <w:rsid w:val="00672C7D"/>
    <w:rsid w:val="00672DCC"/>
    <w:rsid w:val="00672E72"/>
    <w:rsid w:val="00672E9A"/>
    <w:rsid w:val="0067300A"/>
    <w:rsid w:val="0067314D"/>
    <w:rsid w:val="0067356B"/>
    <w:rsid w:val="006736AF"/>
    <w:rsid w:val="00673706"/>
    <w:rsid w:val="00673A51"/>
    <w:rsid w:val="00673AB2"/>
    <w:rsid w:val="00673E0F"/>
    <w:rsid w:val="006741CA"/>
    <w:rsid w:val="0067443D"/>
    <w:rsid w:val="00674548"/>
    <w:rsid w:val="00674568"/>
    <w:rsid w:val="00674BC4"/>
    <w:rsid w:val="00675039"/>
    <w:rsid w:val="006751EE"/>
    <w:rsid w:val="006754F7"/>
    <w:rsid w:val="00675721"/>
    <w:rsid w:val="00675931"/>
    <w:rsid w:val="00675A19"/>
    <w:rsid w:val="00675A41"/>
    <w:rsid w:val="00675A6D"/>
    <w:rsid w:val="00675BC3"/>
    <w:rsid w:val="00675D1C"/>
    <w:rsid w:val="006762BB"/>
    <w:rsid w:val="0067643D"/>
    <w:rsid w:val="006765E5"/>
    <w:rsid w:val="006768AD"/>
    <w:rsid w:val="00676E3F"/>
    <w:rsid w:val="00676E7B"/>
    <w:rsid w:val="00676FCA"/>
    <w:rsid w:val="006772C9"/>
    <w:rsid w:val="006775AE"/>
    <w:rsid w:val="00677703"/>
    <w:rsid w:val="006779DD"/>
    <w:rsid w:val="00677CF5"/>
    <w:rsid w:val="00677D63"/>
    <w:rsid w:val="00677E16"/>
    <w:rsid w:val="00680187"/>
    <w:rsid w:val="006801B1"/>
    <w:rsid w:val="006807EC"/>
    <w:rsid w:val="00680B92"/>
    <w:rsid w:val="00680DA6"/>
    <w:rsid w:val="00680EE8"/>
    <w:rsid w:val="00680F49"/>
    <w:rsid w:val="00680FE6"/>
    <w:rsid w:val="00680FF6"/>
    <w:rsid w:val="006811E7"/>
    <w:rsid w:val="006812EF"/>
    <w:rsid w:val="0068183B"/>
    <w:rsid w:val="006818A2"/>
    <w:rsid w:val="006818DB"/>
    <w:rsid w:val="00681A18"/>
    <w:rsid w:val="00681BC4"/>
    <w:rsid w:val="00681DB1"/>
    <w:rsid w:val="00682563"/>
    <w:rsid w:val="00682BB1"/>
    <w:rsid w:val="00682C95"/>
    <w:rsid w:val="006830F5"/>
    <w:rsid w:val="0068323B"/>
    <w:rsid w:val="006832AA"/>
    <w:rsid w:val="00683422"/>
    <w:rsid w:val="00683A49"/>
    <w:rsid w:val="00684329"/>
    <w:rsid w:val="0068483A"/>
    <w:rsid w:val="00684A3F"/>
    <w:rsid w:val="00684C70"/>
    <w:rsid w:val="00684CD0"/>
    <w:rsid w:val="00684D65"/>
    <w:rsid w:val="0068514D"/>
    <w:rsid w:val="00685239"/>
    <w:rsid w:val="006856A6"/>
    <w:rsid w:val="00685978"/>
    <w:rsid w:val="00685B15"/>
    <w:rsid w:val="00685BE9"/>
    <w:rsid w:val="00685D6D"/>
    <w:rsid w:val="00686175"/>
    <w:rsid w:val="00686975"/>
    <w:rsid w:val="00686E12"/>
    <w:rsid w:val="00686E45"/>
    <w:rsid w:val="00686E47"/>
    <w:rsid w:val="006903BF"/>
    <w:rsid w:val="00690649"/>
    <w:rsid w:val="006906C4"/>
    <w:rsid w:val="00690E62"/>
    <w:rsid w:val="00690E78"/>
    <w:rsid w:val="00691244"/>
    <w:rsid w:val="0069127F"/>
    <w:rsid w:val="006913AC"/>
    <w:rsid w:val="00691767"/>
    <w:rsid w:val="0069191B"/>
    <w:rsid w:val="0069207E"/>
    <w:rsid w:val="0069228D"/>
    <w:rsid w:val="00692529"/>
    <w:rsid w:val="006925D8"/>
    <w:rsid w:val="0069268C"/>
    <w:rsid w:val="00692923"/>
    <w:rsid w:val="00692B27"/>
    <w:rsid w:val="00693528"/>
    <w:rsid w:val="00693713"/>
    <w:rsid w:val="0069413B"/>
    <w:rsid w:val="00694364"/>
    <w:rsid w:val="006943C0"/>
    <w:rsid w:val="006943DB"/>
    <w:rsid w:val="00694A06"/>
    <w:rsid w:val="00694A51"/>
    <w:rsid w:val="00694A9C"/>
    <w:rsid w:val="00694D47"/>
    <w:rsid w:val="00694F2A"/>
    <w:rsid w:val="006950D4"/>
    <w:rsid w:val="00695224"/>
    <w:rsid w:val="00695278"/>
    <w:rsid w:val="006953E5"/>
    <w:rsid w:val="00695707"/>
    <w:rsid w:val="00695913"/>
    <w:rsid w:val="00695AC8"/>
    <w:rsid w:val="00695BFD"/>
    <w:rsid w:val="00695DA6"/>
    <w:rsid w:val="00696008"/>
    <w:rsid w:val="006964DA"/>
    <w:rsid w:val="00696507"/>
    <w:rsid w:val="006965E6"/>
    <w:rsid w:val="00696603"/>
    <w:rsid w:val="00696798"/>
    <w:rsid w:val="00696E8B"/>
    <w:rsid w:val="006970B1"/>
    <w:rsid w:val="006978D5"/>
    <w:rsid w:val="006A004E"/>
    <w:rsid w:val="006A0555"/>
    <w:rsid w:val="006A05B3"/>
    <w:rsid w:val="006A08F6"/>
    <w:rsid w:val="006A116F"/>
    <w:rsid w:val="006A1370"/>
    <w:rsid w:val="006A194F"/>
    <w:rsid w:val="006A1B0A"/>
    <w:rsid w:val="006A1CD5"/>
    <w:rsid w:val="006A1D6A"/>
    <w:rsid w:val="006A1ED7"/>
    <w:rsid w:val="006A20CF"/>
    <w:rsid w:val="006A2232"/>
    <w:rsid w:val="006A23AD"/>
    <w:rsid w:val="006A255D"/>
    <w:rsid w:val="006A2642"/>
    <w:rsid w:val="006A271B"/>
    <w:rsid w:val="006A286C"/>
    <w:rsid w:val="006A288E"/>
    <w:rsid w:val="006A2930"/>
    <w:rsid w:val="006A2F4E"/>
    <w:rsid w:val="006A3056"/>
    <w:rsid w:val="006A322B"/>
    <w:rsid w:val="006A34A7"/>
    <w:rsid w:val="006A34C4"/>
    <w:rsid w:val="006A3682"/>
    <w:rsid w:val="006A36FF"/>
    <w:rsid w:val="006A37FF"/>
    <w:rsid w:val="006A38EB"/>
    <w:rsid w:val="006A3B46"/>
    <w:rsid w:val="006A427D"/>
    <w:rsid w:val="006A42A8"/>
    <w:rsid w:val="006A4484"/>
    <w:rsid w:val="006A4C99"/>
    <w:rsid w:val="006A4F88"/>
    <w:rsid w:val="006A52F3"/>
    <w:rsid w:val="006A53B6"/>
    <w:rsid w:val="006A566F"/>
    <w:rsid w:val="006A5C07"/>
    <w:rsid w:val="006A5C0E"/>
    <w:rsid w:val="006A5D0B"/>
    <w:rsid w:val="006A5DF1"/>
    <w:rsid w:val="006A6054"/>
    <w:rsid w:val="006A6081"/>
    <w:rsid w:val="006A6703"/>
    <w:rsid w:val="006A6707"/>
    <w:rsid w:val="006A6EAD"/>
    <w:rsid w:val="006A6F55"/>
    <w:rsid w:val="006A777A"/>
    <w:rsid w:val="006A79C5"/>
    <w:rsid w:val="006A7C71"/>
    <w:rsid w:val="006B0038"/>
    <w:rsid w:val="006B04A8"/>
    <w:rsid w:val="006B0758"/>
    <w:rsid w:val="006B0882"/>
    <w:rsid w:val="006B08D0"/>
    <w:rsid w:val="006B0A55"/>
    <w:rsid w:val="006B0EC2"/>
    <w:rsid w:val="006B1132"/>
    <w:rsid w:val="006B1426"/>
    <w:rsid w:val="006B1743"/>
    <w:rsid w:val="006B199C"/>
    <w:rsid w:val="006B1AE1"/>
    <w:rsid w:val="006B1AE3"/>
    <w:rsid w:val="006B1C4F"/>
    <w:rsid w:val="006B1C95"/>
    <w:rsid w:val="006B1D50"/>
    <w:rsid w:val="006B1E28"/>
    <w:rsid w:val="006B1ED6"/>
    <w:rsid w:val="006B1F6F"/>
    <w:rsid w:val="006B1FEF"/>
    <w:rsid w:val="006B209A"/>
    <w:rsid w:val="006B23F9"/>
    <w:rsid w:val="006B2DA0"/>
    <w:rsid w:val="006B2FAD"/>
    <w:rsid w:val="006B2FF2"/>
    <w:rsid w:val="006B31EF"/>
    <w:rsid w:val="006B3A10"/>
    <w:rsid w:val="006B3AD7"/>
    <w:rsid w:val="006B401E"/>
    <w:rsid w:val="006B4362"/>
    <w:rsid w:val="006B4724"/>
    <w:rsid w:val="006B4AC5"/>
    <w:rsid w:val="006B4B45"/>
    <w:rsid w:val="006B4B71"/>
    <w:rsid w:val="006B4E2B"/>
    <w:rsid w:val="006B4E2F"/>
    <w:rsid w:val="006B4E9D"/>
    <w:rsid w:val="006B4F04"/>
    <w:rsid w:val="006B51C9"/>
    <w:rsid w:val="006B51FB"/>
    <w:rsid w:val="006B522F"/>
    <w:rsid w:val="006B52E7"/>
    <w:rsid w:val="006B598B"/>
    <w:rsid w:val="006B5CB4"/>
    <w:rsid w:val="006B60C4"/>
    <w:rsid w:val="006B639E"/>
    <w:rsid w:val="006B63E2"/>
    <w:rsid w:val="006B6BB3"/>
    <w:rsid w:val="006B6F2F"/>
    <w:rsid w:val="006B7156"/>
    <w:rsid w:val="006B798D"/>
    <w:rsid w:val="006B7CF3"/>
    <w:rsid w:val="006B7DBC"/>
    <w:rsid w:val="006B7EF7"/>
    <w:rsid w:val="006B7F0C"/>
    <w:rsid w:val="006C0050"/>
    <w:rsid w:val="006C022B"/>
    <w:rsid w:val="006C0245"/>
    <w:rsid w:val="006C06BC"/>
    <w:rsid w:val="006C0C9C"/>
    <w:rsid w:val="006C0CA3"/>
    <w:rsid w:val="006C0D55"/>
    <w:rsid w:val="006C0F3B"/>
    <w:rsid w:val="006C12BE"/>
    <w:rsid w:val="006C132C"/>
    <w:rsid w:val="006C13CD"/>
    <w:rsid w:val="006C1753"/>
    <w:rsid w:val="006C1AFC"/>
    <w:rsid w:val="006C1EB2"/>
    <w:rsid w:val="006C21A8"/>
    <w:rsid w:val="006C2487"/>
    <w:rsid w:val="006C265C"/>
    <w:rsid w:val="006C2AA4"/>
    <w:rsid w:val="006C2F0A"/>
    <w:rsid w:val="006C3294"/>
    <w:rsid w:val="006C396B"/>
    <w:rsid w:val="006C3C39"/>
    <w:rsid w:val="006C3DBC"/>
    <w:rsid w:val="006C42CA"/>
    <w:rsid w:val="006C4345"/>
    <w:rsid w:val="006C46BA"/>
    <w:rsid w:val="006C48AA"/>
    <w:rsid w:val="006C4962"/>
    <w:rsid w:val="006C4D8F"/>
    <w:rsid w:val="006C4DE6"/>
    <w:rsid w:val="006C4F52"/>
    <w:rsid w:val="006C5089"/>
    <w:rsid w:val="006C5C0E"/>
    <w:rsid w:val="006C6010"/>
    <w:rsid w:val="006C601C"/>
    <w:rsid w:val="006C601D"/>
    <w:rsid w:val="006C60C3"/>
    <w:rsid w:val="006C638C"/>
    <w:rsid w:val="006C6507"/>
    <w:rsid w:val="006C6759"/>
    <w:rsid w:val="006C67F9"/>
    <w:rsid w:val="006C69A5"/>
    <w:rsid w:val="006C6A3F"/>
    <w:rsid w:val="006C6DF5"/>
    <w:rsid w:val="006C6E09"/>
    <w:rsid w:val="006C6EEF"/>
    <w:rsid w:val="006C73A2"/>
    <w:rsid w:val="006C7400"/>
    <w:rsid w:val="006C777C"/>
    <w:rsid w:val="006C79AD"/>
    <w:rsid w:val="006C7DA5"/>
    <w:rsid w:val="006C7E44"/>
    <w:rsid w:val="006C7E5A"/>
    <w:rsid w:val="006D02C1"/>
    <w:rsid w:val="006D03E1"/>
    <w:rsid w:val="006D0C7E"/>
    <w:rsid w:val="006D0CC5"/>
    <w:rsid w:val="006D0CEE"/>
    <w:rsid w:val="006D0D9B"/>
    <w:rsid w:val="006D0FE9"/>
    <w:rsid w:val="006D11F8"/>
    <w:rsid w:val="006D15C7"/>
    <w:rsid w:val="006D19D8"/>
    <w:rsid w:val="006D1A95"/>
    <w:rsid w:val="006D1BD7"/>
    <w:rsid w:val="006D1C48"/>
    <w:rsid w:val="006D2104"/>
    <w:rsid w:val="006D21CD"/>
    <w:rsid w:val="006D2837"/>
    <w:rsid w:val="006D2908"/>
    <w:rsid w:val="006D2C0A"/>
    <w:rsid w:val="006D32CD"/>
    <w:rsid w:val="006D34EC"/>
    <w:rsid w:val="006D386E"/>
    <w:rsid w:val="006D39EA"/>
    <w:rsid w:val="006D3B39"/>
    <w:rsid w:val="006D3CC5"/>
    <w:rsid w:val="006D432C"/>
    <w:rsid w:val="006D43D0"/>
    <w:rsid w:val="006D43E3"/>
    <w:rsid w:val="006D449F"/>
    <w:rsid w:val="006D46FC"/>
    <w:rsid w:val="006D49C3"/>
    <w:rsid w:val="006D4B7F"/>
    <w:rsid w:val="006D4C1F"/>
    <w:rsid w:val="006D50A1"/>
    <w:rsid w:val="006D5236"/>
    <w:rsid w:val="006D52E0"/>
    <w:rsid w:val="006D52E9"/>
    <w:rsid w:val="006D535E"/>
    <w:rsid w:val="006D5656"/>
    <w:rsid w:val="006D5B52"/>
    <w:rsid w:val="006D5C26"/>
    <w:rsid w:val="006D5CD4"/>
    <w:rsid w:val="006D5EC5"/>
    <w:rsid w:val="006D5FF6"/>
    <w:rsid w:val="006D65E8"/>
    <w:rsid w:val="006D6B3E"/>
    <w:rsid w:val="006D6B98"/>
    <w:rsid w:val="006D6BF0"/>
    <w:rsid w:val="006D6DC0"/>
    <w:rsid w:val="006D6E88"/>
    <w:rsid w:val="006D7141"/>
    <w:rsid w:val="006D7883"/>
    <w:rsid w:val="006D791E"/>
    <w:rsid w:val="006D793D"/>
    <w:rsid w:val="006D7A02"/>
    <w:rsid w:val="006D7DFE"/>
    <w:rsid w:val="006D7E01"/>
    <w:rsid w:val="006E0315"/>
    <w:rsid w:val="006E0851"/>
    <w:rsid w:val="006E0BB0"/>
    <w:rsid w:val="006E0D91"/>
    <w:rsid w:val="006E0E6C"/>
    <w:rsid w:val="006E1042"/>
    <w:rsid w:val="006E1841"/>
    <w:rsid w:val="006E188C"/>
    <w:rsid w:val="006E18BE"/>
    <w:rsid w:val="006E1943"/>
    <w:rsid w:val="006E19B4"/>
    <w:rsid w:val="006E1A5D"/>
    <w:rsid w:val="006E1B3E"/>
    <w:rsid w:val="006E1FF0"/>
    <w:rsid w:val="006E202C"/>
    <w:rsid w:val="006E20BA"/>
    <w:rsid w:val="006E228D"/>
    <w:rsid w:val="006E287D"/>
    <w:rsid w:val="006E2B93"/>
    <w:rsid w:val="006E2C81"/>
    <w:rsid w:val="006E3061"/>
    <w:rsid w:val="006E326F"/>
    <w:rsid w:val="006E33EF"/>
    <w:rsid w:val="006E3867"/>
    <w:rsid w:val="006E3ABC"/>
    <w:rsid w:val="006E3ACA"/>
    <w:rsid w:val="006E3ED5"/>
    <w:rsid w:val="006E41D6"/>
    <w:rsid w:val="006E4433"/>
    <w:rsid w:val="006E4ACA"/>
    <w:rsid w:val="006E4C33"/>
    <w:rsid w:val="006E4D0E"/>
    <w:rsid w:val="006E4D78"/>
    <w:rsid w:val="006E4EA4"/>
    <w:rsid w:val="006E530D"/>
    <w:rsid w:val="006E5AA1"/>
    <w:rsid w:val="006E5BE0"/>
    <w:rsid w:val="006E5FDD"/>
    <w:rsid w:val="006E69B4"/>
    <w:rsid w:val="006E6D28"/>
    <w:rsid w:val="006E7438"/>
    <w:rsid w:val="006E75A6"/>
    <w:rsid w:val="006E77A7"/>
    <w:rsid w:val="006E7932"/>
    <w:rsid w:val="006E797B"/>
    <w:rsid w:val="006E799A"/>
    <w:rsid w:val="006E7E71"/>
    <w:rsid w:val="006E7FD5"/>
    <w:rsid w:val="006F0500"/>
    <w:rsid w:val="006F056D"/>
    <w:rsid w:val="006F07E4"/>
    <w:rsid w:val="006F0DAE"/>
    <w:rsid w:val="006F0EE7"/>
    <w:rsid w:val="006F1708"/>
    <w:rsid w:val="006F1B3A"/>
    <w:rsid w:val="006F1B4E"/>
    <w:rsid w:val="006F1CE8"/>
    <w:rsid w:val="006F1FFE"/>
    <w:rsid w:val="006F2241"/>
    <w:rsid w:val="006F228B"/>
    <w:rsid w:val="006F2555"/>
    <w:rsid w:val="006F2732"/>
    <w:rsid w:val="006F28A2"/>
    <w:rsid w:val="006F2927"/>
    <w:rsid w:val="006F2C51"/>
    <w:rsid w:val="006F2C65"/>
    <w:rsid w:val="006F2D29"/>
    <w:rsid w:val="006F365C"/>
    <w:rsid w:val="006F3662"/>
    <w:rsid w:val="006F38CA"/>
    <w:rsid w:val="006F3CD1"/>
    <w:rsid w:val="006F3CF8"/>
    <w:rsid w:val="006F3EEF"/>
    <w:rsid w:val="006F4002"/>
    <w:rsid w:val="006F406E"/>
    <w:rsid w:val="006F40F8"/>
    <w:rsid w:val="006F4165"/>
    <w:rsid w:val="006F42BF"/>
    <w:rsid w:val="006F4476"/>
    <w:rsid w:val="006F4517"/>
    <w:rsid w:val="006F46F6"/>
    <w:rsid w:val="006F589E"/>
    <w:rsid w:val="006F591A"/>
    <w:rsid w:val="006F5F97"/>
    <w:rsid w:val="006F6230"/>
    <w:rsid w:val="006F631C"/>
    <w:rsid w:val="006F6365"/>
    <w:rsid w:val="006F643E"/>
    <w:rsid w:val="006F6444"/>
    <w:rsid w:val="006F645E"/>
    <w:rsid w:val="006F6830"/>
    <w:rsid w:val="006F6EAD"/>
    <w:rsid w:val="006F716F"/>
    <w:rsid w:val="006F74EA"/>
    <w:rsid w:val="006F7C1A"/>
    <w:rsid w:val="007001C1"/>
    <w:rsid w:val="00700222"/>
    <w:rsid w:val="00700302"/>
    <w:rsid w:val="00700389"/>
    <w:rsid w:val="007004A4"/>
    <w:rsid w:val="0070062C"/>
    <w:rsid w:val="00700C20"/>
    <w:rsid w:val="00701108"/>
    <w:rsid w:val="00701306"/>
    <w:rsid w:val="0070140D"/>
    <w:rsid w:val="0070167C"/>
    <w:rsid w:val="00701D4C"/>
    <w:rsid w:val="00702180"/>
    <w:rsid w:val="007026E1"/>
    <w:rsid w:val="007029C5"/>
    <w:rsid w:val="007029ED"/>
    <w:rsid w:val="00702C96"/>
    <w:rsid w:val="00702E5B"/>
    <w:rsid w:val="00702F74"/>
    <w:rsid w:val="007030B0"/>
    <w:rsid w:val="0070323F"/>
    <w:rsid w:val="007037A6"/>
    <w:rsid w:val="007038CA"/>
    <w:rsid w:val="007038DF"/>
    <w:rsid w:val="007040AB"/>
    <w:rsid w:val="0070465A"/>
    <w:rsid w:val="00704BC8"/>
    <w:rsid w:val="00704C48"/>
    <w:rsid w:val="00704C57"/>
    <w:rsid w:val="00704E23"/>
    <w:rsid w:val="007051BF"/>
    <w:rsid w:val="00705444"/>
    <w:rsid w:val="007055EA"/>
    <w:rsid w:val="0070565E"/>
    <w:rsid w:val="007056C4"/>
    <w:rsid w:val="0070594B"/>
    <w:rsid w:val="0070595E"/>
    <w:rsid w:val="00705AF9"/>
    <w:rsid w:val="00705C0A"/>
    <w:rsid w:val="00705DBF"/>
    <w:rsid w:val="00706458"/>
    <w:rsid w:val="00706900"/>
    <w:rsid w:val="00706A2F"/>
    <w:rsid w:val="00706B98"/>
    <w:rsid w:val="00706E18"/>
    <w:rsid w:val="007073AB"/>
    <w:rsid w:val="007073EB"/>
    <w:rsid w:val="007075F9"/>
    <w:rsid w:val="0070774D"/>
    <w:rsid w:val="00707924"/>
    <w:rsid w:val="00707AD1"/>
    <w:rsid w:val="00707C36"/>
    <w:rsid w:val="00710087"/>
    <w:rsid w:val="00710303"/>
    <w:rsid w:val="007104DC"/>
    <w:rsid w:val="007105F9"/>
    <w:rsid w:val="0071075B"/>
    <w:rsid w:val="00710891"/>
    <w:rsid w:val="00710950"/>
    <w:rsid w:val="00710B55"/>
    <w:rsid w:val="00710DB2"/>
    <w:rsid w:val="00710F42"/>
    <w:rsid w:val="00711085"/>
    <w:rsid w:val="0071127C"/>
    <w:rsid w:val="00711948"/>
    <w:rsid w:val="00711B05"/>
    <w:rsid w:val="00711CA3"/>
    <w:rsid w:val="00711CDC"/>
    <w:rsid w:val="00711D56"/>
    <w:rsid w:val="00711ED8"/>
    <w:rsid w:val="00711F0E"/>
    <w:rsid w:val="00711F86"/>
    <w:rsid w:val="00711FE9"/>
    <w:rsid w:val="00711FFE"/>
    <w:rsid w:val="0071203C"/>
    <w:rsid w:val="007126DF"/>
    <w:rsid w:val="00712A5D"/>
    <w:rsid w:val="00712C8D"/>
    <w:rsid w:val="00713558"/>
    <w:rsid w:val="00713620"/>
    <w:rsid w:val="007138E7"/>
    <w:rsid w:val="007138F2"/>
    <w:rsid w:val="007139BF"/>
    <w:rsid w:val="00713B81"/>
    <w:rsid w:val="00713C38"/>
    <w:rsid w:val="00713F88"/>
    <w:rsid w:val="00714122"/>
    <w:rsid w:val="0071460C"/>
    <w:rsid w:val="0071474E"/>
    <w:rsid w:val="007148D0"/>
    <w:rsid w:val="007148D9"/>
    <w:rsid w:val="00714A71"/>
    <w:rsid w:val="00714CE8"/>
    <w:rsid w:val="00714E32"/>
    <w:rsid w:val="00715012"/>
    <w:rsid w:val="0071503A"/>
    <w:rsid w:val="0071548A"/>
    <w:rsid w:val="00715D35"/>
    <w:rsid w:val="00716118"/>
    <w:rsid w:val="00716426"/>
    <w:rsid w:val="00716880"/>
    <w:rsid w:val="007168E8"/>
    <w:rsid w:val="00717370"/>
    <w:rsid w:val="007173AE"/>
    <w:rsid w:val="007173DF"/>
    <w:rsid w:val="0071743A"/>
    <w:rsid w:val="0071745C"/>
    <w:rsid w:val="007177BB"/>
    <w:rsid w:val="00717B56"/>
    <w:rsid w:val="00717CBA"/>
    <w:rsid w:val="00717D91"/>
    <w:rsid w:val="0072051E"/>
    <w:rsid w:val="007205BE"/>
    <w:rsid w:val="007205DA"/>
    <w:rsid w:val="00720F2B"/>
    <w:rsid w:val="00720F90"/>
    <w:rsid w:val="00720F9F"/>
    <w:rsid w:val="007211B0"/>
    <w:rsid w:val="0072144E"/>
    <w:rsid w:val="00721686"/>
    <w:rsid w:val="007216B7"/>
    <w:rsid w:val="007218C8"/>
    <w:rsid w:val="007218E8"/>
    <w:rsid w:val="007223F0"/>
    <w:rsid w:val="007224FE"/>
    <w:rsid w:val="00722B69"/>
    <w:rsid w:val="00722E56"/>
    <w:rsid w:val="00723168"/>
    <w:rsid w:val="007235B5"/>
    <w:rsid w:val="00723BAA"/>
    <w:rsid w:val="00723BB9"/>
    <w:rsid w:val="00723C81"/>
    <w:rsid w:val="00723D15"/>
    <w:rsid w:val="0072411C"/>
    <w:rsid w:val="00724177"/>
    <w:rsid w:val="007241F5"/>
    <w:rsid w:val="00724241"/>
    <w:rsid w:val="0072440D"/>
    <w:rsid w:val="0072443A"/>
    <w:rsid w:val="007246CE"/>
    <w:rsid w:val="007247BB"/>
    <w:rsid w:val="00724B67"/>
    <w:rsid w:val="00725651"/>
    <w:rsid w:val="00725735"/>
    <w:rsid w:val="00725AB9"/>
    <w:rsid w:val="00726308"/>
    <w:rsid w:val="00726962"/>
    <w:rsid w:val="00726B3B"/>
    <w:rsid w:val="00726E88"/>
    <w:rsid w:val="00727535"/>
    <w:rsid w:val="007277EF"/>
    <w:rsid w:val="00727C0B"/>
    <w:rsid w:val="00730308"/>
    <w:rsid w:val="00730407"/>
    <w:rsid w:val="0073089A"/>
    <w:rsid w:val="007308B3"/>
    <w:rsid w:val="00730A00"/>
    <w:rsid w:val="00730C81"/>
    <w:rsid w:val="00730CCB"/>
    <w:rsid w:val="007310CA"/>
    <w:rsid w:val="007316F1"/>
    <w:rsid w:val="00731A81"/>
    <w:rsid w:val="00731BB9"/>
    <w:rsid w:val="00731BCE"/>
    <w:rsid w:val="00731EBD"/>
    <w:rsid w:val="00732166"/>
    <w:rsid w:val="007323AD"/>
    <w:rsid w:val="0073242B"/>
    <w:rsid w:val="00732549"/>
    <w:rsid w:val="00732684"/>
    <w:rsid w:val="007327EC"/>
    <w:rsid w:val="00732802"/>
    <w:rsid w:val="0073287B"/>
    <w:rsid w:val="00732D87"/>
    <w:rsid w:val="00732FF7"/>
    <w:rsid w:val="00733386"/>
    <w:rsid w:val="007335F9"/>
    <w:rsid w:val="007336A0"/>
    <w:rsid w:val="007336EE"/>
    <w:rsid w:val="00733707"/>
    <w:rsid w:val="00733744"/>
    <w:rsid w:val="00733ADF"/>
    <w:rsid w:val="00733B10"/>
    <w:rsid w:val="00733E9B"/>
    <w:rsid w:val="007343D9"/>
    <w:rsid w:val="007346A0"/>
    <w:rsid w:val="0073471C"/>
    <w:rsid w:val="007348F7"/>
    <w:rsid w:val="0073498D"/>
    <w:rsid w:val="00734D3D"/>
    <w:rsid w:val="00734F89"/>
    <w:rsid w:val="00735115"/>
    <w:rsid w:val="00735311"/>
    <w:rsid w:val="007356A4"/>
    <w:rsid w:val="007357BB"/>
    <w:rsid w:val="00735BC4"/>
    <w:rsid w:val="00735D90"/>
    <w:rsid w:val="00736819"/>
    <w:rsid w:val="00736A55"/>
    <w:rsid w:val="00736B9E"/>
    <w:rsid w:val="0073730F"/>
    <w:rsid w:val="00737554"/>
    <w:rsid w:val="007376C2"/>
    <w:rsid w:val="007379E4"/>
    <w:rsid w:val="00737B4F"/>
    <w:rsid w:val="007400A3"/>
    <w:rsid w:val="0074021A"/>
    <w:rsid w:val="00740425"/>
    <w:rsid w:val="00740485"/>
    <w:rsid w:val="007405DD"/>
    <w:rsid w:val="007409F3"/>
    <w:rsid w:val="00740B5C"/>
    <w:rsid w:val="00740CA1"/>
    <w:rsid w:val="00740F7E"/>
    <w:rsid w:val="0074112D"/>
    <w:rsid w:val="007417FC"/>
    <w:rsid w:val="00741BE1"/>
    <w:rsid w:val="0074210F"/>
    <w:rsid w:val="00742120"/>
    <w:rsid w:val="00742207"/>
    <w:rsid w:val="00742226"/>
    <w:rsid w:val="007422C7"/>
    <w:rsid w:val="0074250A"/>
    <w:rsid w:val="00742693"/>
    <w:rsid w:val="007427EB"/>
    <w:rsid w:val="007428FB"/>
    <w:rsid w:val="00742B61"/>
    <w:rsid w:val="00742F1B"/>
    <w:rsid w:val="007430A0"/>
    <w:rsid w:val="00743103"/>
    <w:rsid w:val="00743AF5"/>
    <w:rsid w:val="00743F43"/>
    <w:rsid w:val="00743F92"/>
    <w:rsid w:val="00743FD5"/>
    <w:rsid w:val="0074407E"/>
    <w:rsid w:val="00744373"/>
    <w:rsid w:val="0074463C"/>
    <w:rsid w:val="007448DE"/>
    <w:rsid w:val="00744AD9"/>
    <w:rsid w:val="00744C4B"/>
    <w:rsid w:val="00744E0E"/>
    <w:rsid w:val="00744E8C"/>
    <w:rsid w:val="0074510C"/>
    <w:rsid w:val="007452F3"/>
    <w:rsid w:val="007453B9"/>
    <w:rsid w:val="00745486"/>
    <w:rsid w:val="0074570D"/>
    <w:rsid w:val="0074578B"/>
    <w:rsid w:val="00745F0B"/>
    <w:rsid w:val="007460D8"/>
    <w:rsid w:val="007460EE"/>
    <w:rsid w:val="00746120"/>
    <w:rsid w:val="0074619B"/>
    <w:rsid w:val="00746230"/>
    <w:rsid w:val="00746D98"/>
    <w:rsid w:val="00746EB8"/>
    <w:rsid w:val="00747C25"/>
    <w:rsid w:val="00747EDE"/>
    <w:rsid w:val="00747F56"/>
    <w:rsid w:val="007500A6"/>
    <w:rsid w:val="00750D25"/>
    <w:rsid w:val="00750E0C"/>
    <w:rsid w:val="00750E92"/>
    <w:rsid w:val="0075139E"/>
    <w:rsid w:val="00751689"/>
    <w:rsid w:val="00751AC9"/>
    <w:rsid w:val="00751C86"/>
    <w:rsid w:val="00751D6A"/>
    <w:rsid w:val="00751EBA"/>
    <w:rsid w:val="00752022"/>
    <w:rsid w:val="00752137"/>
    <w:rsid w:val="00752236"/>
    <w:rsid w:val="00752D21"/>
    <w:rsid w:val="00752F85"/>
    <w:rsid w:val="0075308E"/>
    <w:rsid w:val="007535B8"/>
    <w:rsid w:val="00753645"/>
    <w:rsid w:val="0075378F"/>
    <w:rsid w:val="00753B14"/>
    <w:rsid w:val="00753C6D"/>
    <w:rsid w:val="00753F8F"/>
    <w:rsid w:val="00753FC6"/>
    <w:rsid w:val="00754159"/>
    <w:rsid w:val="007543C3"/>
    <w:rsid w:val="00754584"/>
    <w:rsid w:val="00754B77"/>
    <w:rsid w:val="00754BB2"/>
    <w:rsid w:val="007551D1"/>
    <w:rsid w:val="0075542A"/>
    <w:rsid w:val="0075548F"/>
    <w:rsid w:val="007555B9"/>
    <w:rsid w:val="0075563F"/>
    <w:rsid w:val="007557DD"/>
    <w:rsid w:val="007558F1"/>
    <w:rsid w:val="00755C81"/>
    <w:rsid w:val="00755FB4"/>
    <w:rsid w:val="00756027"/>
    <w:rsid w:val="00756095"/>
    <w:rsid w:val="00756182"/>
    <w:rsid w:val="00756372"/>
    <w:rsid w:val="007566F6"/>
    <w:rsid w:val="0075690E"/>
    <w:rsid w:val="00756927"/>
    <w:rsid w:val="00756A18"/>
    <w:rsid w:val="00757302"/>
    <w:rsid w:val="007574F0"/>
    <w:rsid w:val="007575C6"/>
    <w:rsid w:val="0075777D"/>
    <w:rsid w:val="00757BE4"/>
    <w:rsid w:val="00757C14"/>
    <w:rsid w:val="007604AB"/>
    <w:rsid w:val="007605AA"/>
    <w:rsid w:val="0076089D"/>
    <w:rsid w:val="00760C3D"/>
    <w:rsid w:val="00760D00"/>
    <w:rsid w:val="00760D31"/>
    <w:rsid w:val="00760E9F"/>
    <w:rsid w:val="007612BB"/>
    <w:rsid w:val="00761502"/>
    <w:rsid w:val="00761710"/>
    <w:rsid w:val="00761DAB"/>
    <w:rsid w:val="00762226"/>
    <w:rsid w:val="007622A9"/>
    <w:rsid w:val="00762536"/>
    <w:rsid w:val="00762A26"/>
    <w:rsid w:val="00762ACE"/>
    <w:rsid w:val="00762B1E"/>
    <w:rsid w:val="00762C10"/>
    <w:rsid w:val="00762C21"/>
    <w:rsid w:val="00762E16"/>
    <w:rsid w:val="00762EAA"/>
    <w:rsid w:val="00762EFF"/>
    <w:rsid w:val="00763068"/>
    <w:rsid w:val="007630D4"/>
    <w:rsid w:val="00763A50"/>
    <w:rsid w:val="00763A92"/>
    <w:rsid w:val="00763AC3"/>
    <w:rsid w:val="00763D18"/>
    <w:rsid w:val="00763D5F"/>
    <w:rsid w:val="00764055"/>
    <w:rsid w:val="00764113"/>
    <w:rsid w:val="007641DE"/>
    <w:rsid w:val="007643D9"/>
    <w:rsid w:val="00764609"/>
    <w:rsid w:val="00765015"/>
    <w:rsid w:val="00765405"/>
    <w:rsid w:val="0076594A"/>
    <w:rsid w:val="00765AF8"/>
    <w:rsid w:val="00765D49"/>
    <w:rsid w:val="00765EE9"/>
    <w:rsid w:val="00765FEA"/>
    <w:rsid w:val="007662A4"/>
    <w:rsid w:val="007665F8"/>
    <w:rsid w:val="00766B28"/>
    <w:rsid w:val="00766FD3"/>
    <w:rsid w:val="0076707E"/>
    <w:rsid w:val="007671DF"/>
    <w:rsid w:val="0076745C"/>
    <w:rsid w:val="0076750A"/>
    <w:rsid w:val="007676E4"/>
    <w:rsid w:val="00767720"/>
    <w:rsid w:val="00767992"/>
    <w:rsid w:val="00767A67"/>
    <w:rsid w:val="00767B13"/>
    <w:rsid w:val="00767BAD"/>
    <w:rsid w:val="00767C3B"/>
    <w:rsid w:val="00767D4D"/>
    <w:rsid w:val="00770011"/>
    <w:rsid w:val="00770531"/>
    <w:rsid w:val="00770722"/>
    <w:rsid w:val="007708B1"/>
    <w:rsid w:val="007708D6"/>
    <w:rsid w:val="007709EC"/>
    <w:rsid w:val="00770A6C"/>
    <w:rsid w:val="00770D30"/>
    <w:rsid w:val="00770FB3"/>
    <w:rsid w:val="007710D6"/>
    <w:rsid w:val="0077121D"/>
    <w:rsid w:val="007712E9"/>
    <w:rsid w:val="007714F9"/>
    <w:rsid w:val="0077159A"/>
    <w:rsid w:val="00771610"/>
    <w:rsid w:val="00771B5D"/>
    <w:rsid w:val="00771C5F"/>
    <w:rsid w:val="00772433"/>
    <w:rsid w:val="00772A1C"/>
    <w:rsid w:val="00772B29"/>
    <w:rsid w:val="00772D2E"/>
    <w:rsid w:val="00772DDE"/>
    <w:rsid w:val="00772EA8"/>
    <w:rsid w:val="00772F16"/>
    <w:rsid w:val="00772FEC"/>
    <w:rsid w:val="0077310F"/>
    <w:rsid w:val="00773464"/>
    <w:rsid w:val="0077354A"/>
    <w:rsid w:val="007739A2"/>
    <w:rsid w:val="00773AFF"/>
    <w:rsid w:val="00773B51"/>
    <w:rsid w:val="00773BD9"/>
    <w:rsid w:val="00773EAC"/>
    <w:rsid w:val="00774056"/>
    <w:rsid w:val="00774611"/>
    <w:rsid w:val="007749DD"/>
    <w:rsid w:val="007752FD"/>
    <w:rsid w:val="00775461"/>
    <w:rsid w:val="00776252"/>
    <w:rsid w:val="007765D8"/>
    <w:rsid w:val="0077695B"/>
    <w:rsid w:val="00776E79"/>
    <w:rsid w:val="0077716A"/>
    <w:rsid w:val="007774A4"/>
    <w:rsid w:val="007774BA"/>
    <w:rsid w:val="00777A5C"/>
    <w:rsid w:val="00777E84"/>
    <w:rsid w:val="00777FDA"/>
    <w:rsid w:val="007808CF"/>
    <w:rsid w:val="0078097C"/>
    <w:rsid w:val="00780CD1"/>
    <w:rsid w:val="00780D15"/>
    <w:rsid w:val="00780D23"/>
    <w:rsid w:val="00780F40"/>
    <w:rsid w:val="0078117A"/>
    <w:rsid w:val="00781964"/>
    <w:rsid w:val="007819B2"/>
    <w:rsid w:val="00781AB6"/>
    <w:rsid w:val="00781CDA"/>
    <w:rsid w:val="00781E84"/>
    <w:rsid w:val="00781ECC"/>
    <w:rsid w:val="00782218"/>
    <w:rsid w:val="0078235D"/>
    <w:rsid w:val="00782379"/>
    <w:rsid w:val="0078275E"/>
    <w:rsid w:val="0078279B"/>
    <w:rsid w:val="007829E4"/>
    <w:rsid w:val="00782A18"/>
    <w:rsid w:val="00782C5D"/>
    <w:rsid w:val="00783064"/>
    <w:rsid w:val="00783669"/>
    <w:rsid w:val="00783D4E"/>
    <w:rsid w:val="00783E40"/>
    <w:rsid w:val="00783F30"/>
    <w:rsid w:val="00783FD6"/>
    <w:rsid w:val="0078409D"/>
    <w:rsid w:val="007843B8"/>
    <w:rsid w:val="007848EF"/>
    <w:rsid w:val="00784948"/>
    <w:rsid w:val="00784A4C"/>
    <w:rsid w:val="00784AA2"/>
    <w:rsid w:val="00784D32"/>
    <w:rsid w:val="007852D3"/>
    <w:rsid w:val="00785595"/>
    <w:rsid w:val="007857EE"/>
    <w:rsid w:val="00785B5C"/>
    <w:rsid w:val="00786099"/>
    <w:rsid w:val="00786496"/>
    <w:rsid w:val="00786663"/>
    <w:rsid w:val="007866B2"/>
    <w:rsid w:val="0078688E"/>
    <w:rsid w:val="007868F1"/>
    <w:rsid w:val="00786B9C"/>
    <w:rsid w:val="00786DCC"/>
    <w:rsid w:val="0078764D"/>
    <w:rsid w:val="00787699"/>
    <w:rsid w:val="00787762"/>
    <w:rsid w:val="007877AC"/>
    <w:rsid w:val="0078790C"/>
    <w:rsid w:val="0078790D"/>
    <w:rsid w:val="007879AD"/>
    <w:rsid w:val="00787EAD"/>
    <w:rsid w:val="00790144"/>
    <w:rsid w:val="007903E6"/>
    <w:rsid w:val="00790765"/>
    <w:rsid w:val="0079078A"/>
    <w:rsid w:val="007908CD"/>
    <w:rsid w:val="00790D4D"/>
    <w:rsid w:val="00790FE4"/>
    <w:rsid w:val="00791203"/>
    <w:rsid w:val="007913E2"/>
    <w:rsid w:val="00791487"/>
    <w:rsid w:val="00791645"/>
    <w:rsid w:val="007917A6"/>
    <w:rsid w:val="00791A5E"/>
    <w:rsid w:val="00791D87"/>
    <w:rsid w:val="007922C6"/>
    <w:rsid w:val="00792459"/>
    <w:rsid w:val="00792520"/>
    <w:rsid w:val="0079287B"/>
    <w:rsid w:val="0079292D"/>
    <w:rsid w:val="00792940"/>
    <w:rsid w:val="00792EDE"/>
    <w:rsid w:val="00793167"/>
    <w:rsid w:val="00793345"/>
    <w:rsid w:val="007935C2"/>
    <w:rsid w:val="0079360A"/>
    <w:rsid w:val="0079372E"/>
    <w:rsid w:val="007937AA"/>
    <w:rsid w:val="00793913"/>
    <w:rsid w:val="00793AB8"/>
    <w:rsid w:val="00793C76"/>
    <w:rsid w:val="00793D62"/>
    <w:rsid w:val="00793E15"/>
    <w:rsid w:val="00793FB3"/>
    <w:rsid w:val="00794410"/>
    <w:rsid w:val="0079468B"/>
    <w:rsid w:val="0079480B"/>
    <w:rsid w:val="007948C5"/>
    <w:rsid w:val="00794E11"/>
    <w:rsid w:val="007953C6"/>
    <w:rsid w:val="007954A5"/>
    <w:rsid w:val="00795665"/>
    <w:rsid w:val="007958E5"/>
    <w:rsid w:val="0079593F"/>
    <w:rsid w:val="00795B8F"/>
    <w:rsid w:val="007961E0"/>
    <w:rsid w:val="0079623E"/>
    <w:rsid w:val="007964C8"/>
    <w:rsid w:val="007965A5"/>
    <w:rsid w:val="007965DE"/>
    <w:rsid w:val="007966E6"/>
    <w:rsid w:val="00796AB5"/>
    <w:rsid w:val="00796AE0"/>
    <w:rsid w:val="00796F3F"/>
    <w:rsid w:val="0079702D"/>
    <w:rsid w:val="0079757D"/>
    <w:rsid w:val="00797A86"/>
    <w:rsid w:val="00797DB1"/>
    <w:rsid w:val="00797DC7"/>
    <w:rsid w:val="00797F51"/>
    <w:rsid w:val="007A0022"/>
    <w:rsid w:val="007A0292"/>
    <w:rsid w:val="007A0C1C"/>
    <w:rsid w:val="007A0C25"/>
    <w:rsid w:val="007A0EB7"/>
    <w:rsid w:val="007A0FFF"/>
    <w:rsid w:val="007A14BB"/>
    <w:rsid w:val="007A160C"/>
    <w:rsid w:val="007A1BAC"/>
    <w:rsid w:val="007A1F70"/>
    <w:rsid w:val="007A2106"/>
    <w:rsid w:val="007A242D"/>
    <w:rsid w:val="007A24D0"/>
    <w:rsid w:val="007A2674"/>
    <w:rsid w:val="007A27DF"/>
    <w:rsid w:val="007A27E8"/>
    <w:rsid w:val="007A288B"/>
    <w:rsid w:val="007A2937"/>
    <w:rsid w:val="007A2C8A"/>
    <w:rsid w:val="007A3080"/>
    <w:rsid w:val="007A3860"/>
    <w:rsid w:val="007A3B52"/>
    <w:rsid w:val="007A3BE3"/>
    <w:rsid w:val="007A3E9D"/>
    <w:rsid w:val="007A4380"/>
    <w:rsid w:val="007A48CD"/>
    <w:rsid w:val="007A4A12"/>
    <w:rsid w:val="007A4B5D"/>
    <w:rsid w:val="007A4BD6"/>
    <w:rsid w:val="007A4ECD"/>
    <w:rsid w:val="007A500A"/>
    <w:rsid w:val="007A54F6"/>
    <w:rsid w:val="007A57DF"/>
    <w:rsid w:val="007A589D"/>
    <w:rsid w:val="007A5A5D"/>
    <w:rsid w:val="007A5A98"/>
    <w:rsid w:val="007A5B4B"/>
    <w:rsid w:val="007A630D"/>
    <w:rsid w:val="007A64BF"/>
    <w:rsid w:val="007A652F"/>
    <w:rsid w:val="007A679E"/>
    <w:rsid w:val="007A6B60"/>
    <w:rsid w:val="007A6D76"/>
    <w:rsid w:val="007A6EF5"/>
    <w:rsid w:val="007A6F9C"/>
    <w:rsid w:val="007A7000"/>
    <w:rsid w:val="007A731C"/>
    <w:rsid w:val="007A7F54"/>
    <w:rsid w:val="007A7FB5"/>
    <w:rsid w:val="007B0235"/>
    <w:rsid w:val="007B02E2"/>
    <w:rsid w:val="007B0537"/>
    <w:rsid w:val="007B097A"/>
    <w:rsid w:val="007B0AF3"/>
    <w:rsid w:val="007B0BDF"/>
    <w:rsid w:val="007B0ECD"/>
    <w:rsid w:val="007B10A6"/>
    <w:rsid w:val="007B1122"/>
    <w:rsid w:val="007B119F"/>
    <w:rsid w:val="007B1248"/>
    <w:rsid w:val="007B14AF"/>
    <w:rsid w:val="007B1DDF"/>
    <w:rsid w:val="007B1ED2"/>
    <w:rsid w:val="007B23FA"/>
    <w:rsid w:val="007B3A9E"/>
    <w:rsid w:val="007B3C92"/>
    <w:rsid w:val="007B43FD"/>
    <w:rsid w:val="007B4531"/>
    <w:rsid w:val="007B4587"/>
    <w:rsid w:val="007B4844"/>
    <w:rsid w:val="007B4ED9"/>
    <w:rsid w:val="007B578B"/>
    <w:rsid w:val="007B57B7"/>
    <w:rsid w:val="007B5B70"/>
    <w:rsid w:val="007B5BC8"/>
    <w:rsid w:val="007B6450"/>
    <w:rsid w:val="007B65EA"/>
    <w:rsid w:val="007B6886"/>
    <w:rsid w:val="007B6A70"/>
    <w:rsid w:val="007B6B91"/>
    <w:rsid w:val="007B6D38"/>
    <w:rsid w:val="007B7195"/>
    <w:rsid w:val="007B7309"/>
    <w:rsid w:val="007B73A2"/>
    <w:rsid w:val="007B7449"/>
    <w:rsid w:val="007B755E"/>
    <w:rsid w:val="007B783A"/>
    <w:rsid w:val="007B7C99"/>
    <w:rsid w:val="007C0366"/>
    <w:rsid w:val="007C086D"/>
    <w:rsid w:val="007C092B"/>
    <w:rsid w:val="007C0936"/>
    <w:rsid w:val="007C0A9F"/>
    <w:rsid w:val="007C0C65"/>
    <w:rsid w:val="007C0EAA"/>
    <w:rsid w:val="007C0ED9"/>
    <w:rsid w:val="007C0F0F"/>
    <w:rsid w:val="007C0FEE"/>
    <w:rsid w:val="007C144A"/>
    <w:rsid w:val="007C1D60"/>
    <w:rsid w:val="007C1FCA"/>
    <w:rsid w:val="007C23A4"/>
    <w:rsid w:val="007C2401"/>
    <w:rsid w:val="007C2A36"/>
    <w:rsid w:val="007C2BC3"/>
    <w:rsid w:val="007C2CA1"/>
    <w:rsid w:val="007C2D64"/>
    <w:rsid w:val="007C304A"/>
    <w:rsid w:val="007C30E4"/>
    <w:rsid w:val="007C30E9"/>
    <w:rsid w:val="007C3398"/>
    <w:rsid w:val="007C350C"/>
    <w:rsid w:val="007C462C"/>
    <w:rsid w:val="007C469D"/>
    <w:rsid w:val="007C4AD7"/>
    <w:rsid w:val="007C4AE0"/>
    <w:rsid w:val="007C4C76"/>
    <w:rsid w:val="007C4C8B"/>
    <w:rsid w:val="007C514A"/>
    <w:rsid w:val="007C5284"/>
    <w:rsid w:val="007C5E37"/>
    <w:rsid w:val="007C5EDA"/>
    <w:rsid w:val="007C611D"/>
    <w:rsid w:val="007C6435"/>
    <w:rsid w:val="007C64F4"/>
    <w:rsid w:val="007C6A17"/>
    <w:rsid w:val="007C7B01"/>
    <w:rsid w:val="007C7B15"/>
    <w:rsid w:val="007C7BFD"/>
    <w:rsid w:val="007D000D"/>
    <w:rsid w:val="007D004A"/>
    <w:rsid w:val="007D0178"/>
    <w:rsid w:val="007D02AA"/>
    <w:rsid w:val="007D062B"/>
    <w:rsid w:val="007D06F2"/>
    <w:rsid w:val="007D0E74"/>
    <w:rsid w:val="007D0EBE"/>
    <w:rsid w:val="007D10D1"/>
    <w:rsid w:val="007D1258"/>
    <w:rsid w:val="007D1327"/>
    <w:rsid w:val="007D1585"/>
    <w:rsid w:val="007D1945"/>
    <w:rsid w:val="007D1C89"/>
    <w:rsid w:val="007D1CD6"/>
    <w:rsid w:val="007D1E8B"/>
    <w:rsid w:val="007D2038"/>
    <w:rsid w:val="007D20AB"/>
    <w:rsid w:val="007D2451"/>
    <w:rsid w:val="007D2854"/>
    <w:rsid w:val="007D285E"/>
    <w:rsid w:val="007D2A2E"/>
    <w:rsid w:val="007D2D1C"/>
    <w:rsid w:val="007D37A9"/>
    <w:rsid w:val="007D39AF"/>
    <w:rsid w:val="007D3C03"/>
    <w:rsid w:val="007D3C69"/>
    <w:rsid w:val="007D3E62"/>
    <w:rsid w:val="007D408B"/>
    <w:rsid w:val="007D447E"/>
    <w:rsid w:val="007D46B8"/>
    <w:rsid w:val="007D4969"/>
    <w:rsid w:val="007D5325"/>
    <w:rsid w:val="007D54E1"/>
    <w:rsid w:val="007D597D"/>
    <w:rsid w:val="007D5B43"/>
    <w:rsid w:val="007D626D"/>
    <w:rsid w:val="007D672D"/>
    <w:rsid w:val="007D6A77"/>
    <w:rsid w:val="007D6C5C"/>
    <w:rsid w:val="007D716C"/>
    <w:rsid w:val="007D7C73"/>
    <w:rsid w:val="007E03A2"/>
    <w:rsid w:val="007E0452"/>
    <w:rsid w:val="007E05DE"/>
    <w:rsid w:val="007E06EA"/>
    <w:rsid w:val="007E0864"/>
    <w:rsid w:val="007E0A0F"/>
    <w:rsid w:val="007E0D05"/>
    <w:rsid w:val="007E0D61"/>
    <w:rsid w:val="007E0DAF"/>
    <w:rsid w:val="007E0DCB"/>
    <w:rsid w:val="007E0F6F"/>
    <w:rsid w:val="007E10DC"/>
    <w:rsid w:val="007E16B6"/>
    <w:rsid w:val="007E1727"/>
    <w:rsid w:val="007E17BF"/>
    <w:rsid w:val="007E17CB"/>
    <w:rsid w:val="007E1B1E"/>
    <w:rsid w:val="007E1D9A"/>
    <w:rsid w:val="007E1EAA"/>
    <w:rsid w:val="007E1F04"/>
    <w:rsid w:val="007E205C"/>
    <w:rsid w:val="007E221D"/>
    <w:rsid w:val="007E2265"/>
    <w:rsid w:val="007E2368"/>
    <w:rsid w:val="007E24FD"/>
    <w:rsid w:val="007E261B"/>
    <w:rsid w:val="007E2C37"/>
    <w:rsid w:val="007E2D2A"/>
    <w:rsid w:val="007E2EE8"/>
    <w:rsid w:val="007E2F0E"/>
    <w:rsid w:val="007E35BF"/>
    <w:rsid w:val="007E39D2"/>
    <w:rsid w:val="007E3AA3"/>
    <w:rsid w:val="007E40B7"/>
    <w:rsid w:val="007E4219"/>
    <w:rsid w:val="007E44AD"/>
    <w:rsid w:val="007E4725"/>
    <w:rsid w:val="007E49DF"/>
    <w:rsid w:val="007E4EAD"/>
    <w:rsid w:val="007E52F5"/>
    <w:rsid w:val="007E5324"/>
    <w:rsid w:val="007E55CE"/>
    <w:rsid w:val="007E56AC"/>
    <w:rsid w:val="007E5A8D"/>
    <w:rsid w:val="007E5DA6"/>
    <w:rsid w:val="007E5DC9"/>
    <w:rsid w:val="007E5E6B"/>
    <w:rsid w:val="007E5F54"/>
    <w:rsid w:val="007E5FBF"/>
    <w:rsid w:val="007E6169"/>
    <w:rsid w:val="007E616A"/>
    <w:rsid w:val="007E65B3"/>
    <w:rsid w:val="007E6616"/>
    <w:rsid w:val="007E6896"/>
    <w:rsid w:val="007E6ADE"/>
    <w:rsid w:val="007E6F00"/>
    <w:rsid w:val="007E718A"/>
    <w:rsid w:val="007E7238"/>
    <w:rsid w:val="007E7239"/>
    <w:rsid w:val="007E72C6"/>
    <w:rsid w:val="007E73AF"/>
    <w:rsid w:val="007E73D8"/>
    <w:rsid w:val="007E78F2"/>
    <w:rsid w:val="007E7AE4"/>
    <w:rsid w:val="007E7E5F"/>
    <w:rsid w:val="007F0024"/>
    <w:rsid w:val="007F006D"/>
    <w:rsid w:val="007F046D"/>
    <w:rsid w:val="007F0592"/>
    <w:rsid w:val="007F069F"/>
    <w:rsid w:val="007F077E"/>
    <w:rsid w:val="007F07BF"/>
    <w:rsid w:val="007F0C53"/>
    <w:rsid w:val="007F10B3"/>
    <w:rsid w:val="007F1836"/>
    <w:rsid w:val="007F187F"/>
    <w:rsid w:val="007F1A68"/>
    <w:rsid w:val="007F1D37"/>
    <w:rsid w:val="007F1FBC"/>
    <w:rsid w:val="007F2063"/>
    <w:rsid w:val="007F259B"/>
    <w:rsid w:val="007F25CA"/>
    <w:rsid w:val="007F2768"/>
    <w:rsid w:val="007F277F"/>
    <w:rsid w:val="007F2951"/>
    <w:rsid w:val="007F298A"/>
    <w:rsid w:val="007F29A7"/>
    <w:rsid w:val="007F2C2E"/>
    <w:rsid w:val="007F2E2E"/>
    <w:rsid w:val="007F2FD8"/>
    <w:rsid w:val="007F3036"/>
    <w:rsid w:val="007F303E"/>
    <w:rsid w:val="007F31EF"/>
    <w:rsid w:val="007F3368"/>
    <w:rsid w:val="007F3820"/>
    <w:rsid w:val="007F3E3E"/>
    <w:rsid w:val="007F3F86"/>
    <w:rsid w:val="007F4390"/>
    <w:rsid w:val="007F4D15"/>
    <w:rsid w:val="007F5053"/>
    <w:rsid w:val="007F52E4"/>
    <w:rsid w:val="007F562C"/>
    <w:rsid w:val="007F57E9"/>
    <w:rsid w:val="007F5A40"/>
    <w:rsid w:val="007F5AF0"/>
    <w:rsid w:val="007F60B1"/>
    <w:rsid w:val="007F6252"/>
    <w:rsid w:val="007F62FE"/>
    <w:rsid w:val="007F64F2"/>
    <w:rsid w:val="007F67DA"/>
    <w:rsid w:val="007F68A3"/>
    <w:rsid w:val="007F69C4"/>
    <w:rsid w:val="007F6A3B"/>
    <w:rsid w:val="007F6E14"/>
    <w:rsid w:val="007F705A"/>
    <w:rsid w:val="007F7424"/>
    <w:rsid w:val="007F746E"/>
    <w:rsid w:val="007F7A4B"/>
    <w:rsid w:val="007F7B39"/>
    <w:rsid w:val="007F7B60"/>
    <w:rsid w:val="0080047A"/>
    <w:rsid w:val="00800DB5"/>
    <w:rsid w:val="00800EC0"/>
    <w:rsid w:val="00801041"/>
    <w:rsid w:val="00801076"/>
    <w:rsid w:val="00801233"/>
    <w:rsid w:val="00801650"/>
    <w:rsid w:val="008016A2"/>
    <w:rsid w:val="008018A5"/>
    <w:rsid w:val="008019CD"/>
    <w:rsid w:val="00801D75"/>
    <w:rsid w:val="00801EA4"/>
    <w:rsid w:val="00801ECB"/>
    <w:rsid w:val="00801F35"/>
    <w:rsid w:val="008022FE"/>
    <w:rsid w:val="00802705"/>
    <w:rsid w:val="00802F87"/>
    <w:rsid w:val="0080335C"/>
    <w:rsid w:val="0080370C"/>
    <w:rsid w:val="00803739"/>
    <w:rsid w:val="0080391F"/>
    <w:rsid w:val="00803CF3"/>
    <w:rsid w:val="00803DB7"/>
    <w:rsid w:val="00803F5D"/>
    <w:rsid w:val="0080435A"/>
    <w:rsid w:val="008043EB"/>
    <w:rsid w:val="00804574"/>
    <w:rsid w:val="008046B4"/>
    <w:rsid w:val="00804930"/>
    <w:rsid w:val="00804B42"/>
    <w:rsid w:val="00805397"/>
    <w:rsid w:val="00805607"/>
    <w:rsid w:val="00805773"/>
    <w:rsid w:val="008057CC"/>
    <w:rsid w:val="008059AD"/>
    <w:rsid w:val="00805AD0"/>
    <w:rsid w:val="00805E4E"/>
    <w:rsid w:val="00806078"/>
    <w:rsid w:val="00806478"/>
    <w:rsid w:val="008066AA"/>
    <w:rsid w:val="00806AC9"/>
    <w:rsid w:val="00806DA7"/>
    <w:rsid w:val="00806DEF"/>
    <w:rsid w:val="008073E7"/>
    <w:rsid w:val="00807413"/>
    <w:rsid w:val="00807423"/>
    <w:rsid w:val="00807EDD"/>
    <w:rsid w:val="008102E3"/>
    <w:rsid w:val="0081066A"/>
    <w:rsid w:val="0081083F"/>
    <w:rsid w:val="008108E8"/>
    <w:rsid w:val="0081092B"/>
    <w:rsid w:val="00810AF3"/>
    <w:rsid w:val="00810E1F"/>
    <w:rsid w:val="00810EC5"/>
    <w:rsid w:val="0081105C"/>
    <w:rsid w:val="0081142C"/>
    <w:rsid w:val="008115E0"/>
    <w:rsid w:val="00811AF9"/>
    <w:rsid w:val="00811C81"/>
    <w:rsid w:val="00811D45"/>
    <w:rsid w:val="00812267"/>
    <w:rsid w:val="008126DE"/>
    <w:rsid w:val="008129F8"/>
    <w:rsid w:val="00812CD7"/>
    <w:rsid w:val="00812D78"/>
    <w:rsid w:val="00812E48"/>
    <w:rsid w:val="0081300E"/>
    <w:rsid w:val="00813129"/>
    <w:rsid w:val="0081319A"/>
    <w:rsid w:val="0081322C"/>
    <w:rsid w:val="008134C2"/>
    <w:rsid w:val="00813691"/>
    <w:rsid w:val="00813892"/>
    <w:rsid w:val="00813A04"/>
    <w:rsid w:val="00813C88"/>
    <w:rsid w:val="00813CFA"/>
    <w:rsid w:val="00813E77"/>
    <w:rsid w:val="00813FE9"/>
    <w:rsid w:val="008148EC"/>
    <w:rsid w:val="00814D2D"/>
    <w:rsid w:val="00814E91"/>
    <w:rsid w:val="008150B1"/>
    <w:rsid w:val="00815358"/>
    <w:rsid w:val="008154AB"/>
    <w:rsid w:val="00815538"/>
    <w:rsid w:val="008159FD"/>
    <w:rsid w:val="00815B3A"/>
    <w:rsid w:val="00815F67"/>
    <w:rsid w:val="00816412"/>
    <w:rsid w:val="0081657B"/>
    <w:rsid w:val="008167C4"/>
    <w:rsid w:val="008167DC"/>
    <w:rsid w:val="00816A81"/>
    <w:rsid w:val="00816B62"/>
    <w:rsid w:val="00816C0B"/>
    <w:rsid w:val="00816DA4"/>
    <w:rsid w:val="00816E01"/>
    <w:rsid w:val="00816E0B"/>
    <w:rsid w:val="008171E0"/>
    <w:rsid w:val="008175F4"/>
    <w:rsid w:val="0081774A"/>
    <w:rsid w:val="00817767"/>
    <w:rsid w:val="00817B0A"/>
    <w:rsid w:val="00817C9F"/>
    <w:rsid w:val="00817D53"/>
    <w:rsid w:val="00817F00"/>
    <w:rsid w:val="00820054"/>
    <w:rsid w:val="0082090B"/>
    <w:rsid w:val="00820BE9"/>
    <w:rsid w:val="00820DAE"/>
    <w:rsid w:val="00820EDF"/>
    <w:rsid w:val="00820FCA"/>
    <w:rsid w:val="00821219"/>
    <w:rsid w:val="008213BB"/>
    <w:rsid w:val="00821840"/>
    <w:rsid w:val="00821A18"/>
    <w:rsid w:val="00821F62"/>
    <w:rsid w:val="00821FCB"/>
    <w:rsid w:val="0082214C"/>
    <w:rsid w:val="00822587"/>
    <w:rsid w:val="00822B49"/>
    <w:rsid w:val="00822E81"/>
    <w:rsid w:val="00822E93"/>
    <w:rsid w:val="008232C2"/>
    <w:rsid w:val="0082341F"/>
    <w:rsid w:val="00823806"/>
    <w:rsid w:val="008239AA"/>
    <w:rsid w:val="008239E8"/>
    <w:rsid w:val="00823BDB"/>
    <w:rsid w:val="00823D73"/>
    <w:rsid w:val="00823E1A"/>
    <w:rsid w:val="00823E27"/>
    <w:rsid w:val="00824225"/>
    <w:rsid w:val="008244ED"/>
    <w:rsid w:val="0082481F"/>
    <w:rsid w:val="008248FE"/>
    <w:rsid w:val="0082494C"/>
    <w:rsid w:val="00824CD7"/>
    <w:rsid w:val="00824EBF"/>
    <w:rsid w:val="008253B4"/>
    <w:rsid w:val="008255EF"/>
    <w:rsid w:val="008258C1"/>
    <w:rsid w:val="008259AA"/>
    <w:rsid w:val="00825E3E"/>
    <w:rsid w:val="00825E5E"/>
    <w:rsid w:val="00826264"/>
    <w:rsid w:val="00827053"/>
    <w:rsid w:val="00827308"/>
    <w:rsid w:val="00827371"/>
    <w:rsid w:val="00827663"/>
    <w:rsid w:val="00827730"/>
    <w:rsid w:val="008277EC"/>
    <w:rsid w:val="00827824"/>
    <w:rsid w:val="00827850"/>
    <w:rsid w:val="008278E2"/>
    <w:rsid w:val="00827983"/>
    <w:rsid w:val="00827CD4"/>
    <w:rsid w:val="00830B33"/>
    <w:rsid w:val="00830FE6"/>
    <w:rsid w:val="00831014"/>
    <w:rsid w:val="008310A9"/>
    <w:rsid w:val="0083114E"/>
    <w:rsid w:val="0083119C"/>
    <w:rsid w:val="008313AB"/>
    <w:rsid w:val="0083143C"/>
    <w:rsid w:val="00831819"/>
    <w:rsid w:val="00831C5C"/>
    <w:rsid w:val="00831D6F"/>
    <w:rsid w:val="00831E1B"/>
    <w:rsid w:val="0083213F"/>
    <w:rsid w:val="00832389"/>
    <w:rsid w:val="00832394"/>
    <w:rsid w:val="008326C0"/>
    <w:rsid w:val="008329B4"/>
    <w:rsid w:val="008329F8"/>
    <w:rsid w:val="00832B9B"/>
    <w:rsid w:val="00832DC3"/>
    <w:rsid w:val="00832EA1"/>
    <w:rsid w:val="0083333D"/>
    <w:rsid w:val="0083348B"/>
    <w:rsid w:val="008335F2"/>
    <w:rsid w:val="00833688"/>
    <w:rsid w:val="008336DE"/>
    <w:rsid w:val="0083396B"/>
    <w:rsid w:val="00833C46"/>
    <w:rsid w:val="008340D2"/>
    <w:rsid w:val="008341C7"/>
    <w:rsid w:val="0083425E"/>
    <w:rsid w:val="008342CB"/>
    <w:rsid w:val="00834844"/>
    <w:rsid w:val="00834B7F"/>
    <w:rsid w:val="00834F33"/>
    <w:rsid w:val="008350DF"/>
    <w:rsid w:val="008356C7"/>
    <w:rsid w:val="00835750"/>
    <w:rsid w:val="00835821"/>
    <w:rsid w:val="008358F0"/>
    <w:rsid w:val="00835BE8"/>
    <w:rsid w:val="00835D21"/>
    <w:rsid w:val="00835EEE"/>
    <w:rsid w:val="008360F6"/>
    <w:rsid w:val="00836743"/>
    <w:rsid w:val="00836A28"/>
    <w:rsid w:val="00837303"/>
    <w:rsid w:val="00837664"/>
    <w:rsid w:val="00837F72"/>
    <w:rsid w:val="00840415"/>
    <w:rsid w:val="008405F6"/>
    <w:rsid w:val="00840641"/>
    <w:rsid w:val="0084071B"/>
    <w:rsid w:val="00840CFE"/>
    <w:rsid w:val="00840E38"/>
    <w:rsid w:val="008411C5"/>
    <w:rsid w:val="0084160D"/>
    <w:rsid w:val="0084160F"/>
    <w:rsid w:val="00841809"/>
    <w:rsid w:val="00841A76"/>
    <w:rsid w:val="00841B0E"/>
    <w:rsid w:val="00842460"/>
    <w:rsid w:val="0084279F"/>
    <w:rsid w:val="0084286F"/>
    <w:rsid w:val="00842BB2"/>
    <w:rsid w:val="00842EF4"/>
    <w:rsid w:val="008430A3"/>
    <w:rsid w:val="0084313C"/>
    <w:rsid w:val="0084342E"/>
    <w:rsid w:val="00843719"/>
    <w:rsid w:val="00843A84"/>
    <w:rsid w:val="00843AC8"/>
    <w:rsid w:val="00843FAC"/>
    <w:rsid w:val="00844095"/>
    <w:rsid w:val="00844272"/>
    <w:rsid w:val="0084441F"/>
    <w:rsid w:val="00844501"/>
    <w:rsid w:val="0084476C"/>
    <w:rsid w:val="00844978"/>
    <w:rsid w:val="00844ABB"/>
    <w:rsid w:val="00844CF9"/>
    <w:rsid w:val="00844FD7"/>
    <w:rsid w:val="00845307"/>
    <w:rsid w:val="008454F8"/>
    <w:rsid w:val="00845533"/>
    <w:rsid w:val="008457B6"/>
    <w:rsid w:val="00845807"/>
    <w:rsid w:val="00845809"/>
    <w:rsid w:val="0084591F"/>
    <w:rsid w:val="008459A4"/>
    <w:rsid w:val="00845E6A"/>
    <w:rsid w:val="00846022"/>
    <w:rsid w:val="00846107"/>
    <w:rsid w:val="00846351"/>
    <w:rsid w:val="00846400"/>
    <w:rsid w:val="00846AA2"/>
    <w:rsid w:val="00846C49"/>
    <w:rsid w:val="00846EB0"/>
    <w:rsid w:val="00846EE2"/>
    <w:rsid w:val="0084718D"/>
    <w:rsid w:val="008473F6"/>
    <w:rsid w:val="0084749C"/>
    <w:rsid w:val="00847591"/>
    <w:rsid w:val="00847659"/>
    <w:rsid w:val="0084768B"/>
    <w:rsid w:val="00847923"/>
    <w:rsid w:val="00847B32"/>
    <w:rsid w:val="00847CF2"/>
    <w:rsid w:val="00850761"/>
    <w:rsid w:val="00850EAF"/>
    <w:rsid w:val="00850EBE"/>
    <w:rsid w:val="0085105F"/>
    <w:rsid w:val="00851260"/>
    <w:rsid w:val="008519CB"/>
    <w:rsid w:val="00851E7E"/>
    <w:rsid w:val="00852024"/>
    <w:rsid w:val="00852074"/>
    <w:rsid w:val="008522E2"/>
    <w:rsid w:val="008523FF"/>
    <w:rsid w:val="0085241D"/>
    <w:rsid w:val="00852533"/>
    <w:rsid w:val="008525D4"/>
    <w:rsid w:val="008525E4"/>
    <w:rsid w:val="00852619"/>
    <w:rsid w:val="00852649"/>
    <w:rsid w:val="008529CB"/>
    <w:rsid w:val="0085308B"/>
    <w:rsid w:val="00853204"/>
    <w:rsid w:val="0085353A"/>
    <w:rsid w:val="008536F8"/>
    <w:rsid w:val="00853703"/>
    <w:rsid w:val="00853868"/>
    <w:rsid w:val="008538DD"/>
    <w:rsid w:val="00853ADA"/>
    <w:rsid w:val="00853BE7"/>
    <w:rsid w:val="00854007"/>
    <w:rsid w:val="00854116"/>
    <w:rsid w:val="00854521"/>
    <w:rsid w:val="0085493F"/>
    <w:rsid w:val="00854A1A"/>
    <w:rsid w:val="00854B33"/>
    <w:rsid w:val="00854BDE"/>
    <w:rsid w:val="0085508D"/>
    <w:rsid w:val="008550CF"/>
    <w:rsid w:val="008553F4"/>
    <w:rsid w:val="00855443"/>
    <w:rsid w:val="008556DF"/>
    <w:rsid w:val="0085582C"/>
    <w:rsid w:val="00855BEC"/>
    <w:rsid w:val="00855CD2"/>
    <w:rsid w:val="00855F1D"/>
    <w:rsid w:val="00855F57"/>
    <w:rsid w:val="008566A7"/>
    <w:rsid w:val="008567E6"/>
    <w:rsid w:val="00856A26"/>
    <w:rsid w:val="00856D92"/>
    <w:rsid w:val="00856FE5"/>
    <w:rsid w:val="0085786D"/>
    <w:rsid w:val="00857912"/>
    <w:rsid w:val="00857D93"/>
    <w:rsid w:val="00860162"/>
    <w:rsid w:val="0086074E"/>
    <w:rsid w:val="00860791"/>
    <w:rsid w:val="008608C4"/>
    <w:rsid w:val="0086097A"/>
    <w:rsid w:val="00860C1F"/>
    <w:rsid w:val="00860E0D"/>
    <w:rsid w:val="00860E64"/>
    <w:rsid w:val="00860ED3"/>
    <w:rsid w:val="00860FAB"/>
    <w:rsid w:val="00861079"/>
    <w:rsid w:val="00861205"/>
    <w:rsid w:val="0086160F"/>
    <w:rsid w:val="008618AD"/>
    <w:rsid w:val="0086198A"/>
    <w:rsid w:val="00861C09"/>
    <w:rsid w:val="00861D56"/>
    <w:rsid w:val="00861FB9"/>
    <w:rsid w:val="0086202E"/>
    <w:rsid w:val="00862036"/>
    <w:rsid w:val="00862162"/>
    <w:rsid w:val="00862243"/>
    <w:rsid w:val="00862266"/>
    <w:rsid w:val="0086287C"/>
    <w:rsid w:val="00862915"/>
    <w:rsid w:val="00862919"/>
    <w:rsid w:val="00862C99"/>
    <w:rsid w:val="00862CF3"/>
    <w:rsid w:val="00862D67"/>
    <w:rsid w:val="0086312F"/>
    <w:rsid w:val="00863177"/>
    <w:rsid w:val="008632A9"/>
    <w:rsid w:val="00863334"/>
    <w:rsid w:val="008634BB"/>
    <w:rsid w:val="008637E4"/>
    <w:rsid w:val="00863AF2"/>
    <w:rsid w:val="00863C1D"/>
    <w:rsid w:val="00863E52"/>
    <w:rsid w:val="008640B0"/>
    <w:rsid w:val="00864804"/>
    <w:rsid w:val="00864837"/>
    <w:rsid w:val="00864929"/>
    <w:rsid w:val="00864A97"/>
    <w:rsid w:val="00864C22"/>
    <w:rsid w:val="00864E5D"/>
    <w:rsid w:val="00865234"/>
    <w:rsid w:val="00865A80"/>
    <w:rsid w:val="00865F60"/>
    <w:rsid w:val="00866147"/>
    <w:rsid w:val="0086650D"/>
    <w:rsid w:val="0086660A"/>
    <w:rsid w:val="008669E1"/>
    <w:rsid w:val="00866A75"/>
    <w:rsid w:val="00867262"/>
    <w:rsid w:val="008673EE"/>
    <w:rsid w:val="00867472"/>
    <w:rsid w:val="008677F4"/>
    <w:rsid w:val="00867A65"/>
    <w:rsid w:val="00867CAA"/>
    <w:rsid w:val="00867F82"/>
    <w:rsid w:val="00870058"/>
    <w:rsid w:val="008702F2"/>
    <w:rsid w:val="00870E18"/>
    <w:rsid w:val="00871019"/>
    <w:rsid w:val="0087121B"/>
    <w:rsid w:val="008713AD"/>
    <w:rsid w:val="00871502"/>
    <w:rsid w:val="00871827"/>
    <w:rsid w:val="0087185B"/>
    <w:rsid w:val="00871C43"/>
    <w:rsid w:val="00872481"/>
    <w:rsid w:val="00872653"/>
    <w:rsid w:val="00872CE8"/>
    <w:rsid w:val="0087313D"/>
    <w:rsid w:val="0087359B"/>
    <w:rsid w:val="008735F6"/>
    <w:rsid w:val="00873A01"/>
    <w:rsid w:val="00873C3F"/>
    <w:rsid w:val="00873E59"/>
    <w:rsid w:val="00873EE2"/>
    <w:rsid w:val="00874106"/>
    <w:rsid w:val="008742D0"/>
    <w:rsid w:val="00874548"/>
    <w:rsid w:val="008745FB"/>
    <w:rsid w:val="00874AC3"/>
    <w:rsid w:val="008750B4"/>
    <w:rsid w:val="0087523A"/>
    <w:rsid w:val="008753DE"/>
    <w:rsid w:val="00875717"/>
    <w:rsid w:val="008758F1"/>
    <w:rsid w:val="00875938"/>
    <w:rsid w:val="008759E4"/>
    <w:rsid w:val="00875B47"/>
    <w:rsid w:val="00875C0B"/>
    <w:rsid w:val="00875C2D"/>
    <w:rsid w:val="00875F37"/>
    <w:rsid w:val="00876202"/>
    <w:rsid w:val="008763A0"/>
    <w:rsid w:val="0087643A"/>
    <w:rsid w:val="008767D4"/>
    <w:rsid w:val="00876AD2"/>
    <w:rsid w:val="00876B14"/>
    <w:rsid w:val="00876BCD"/>
    <w:rsid w:val="00876D88"/>
    <w:rsid w:val="008774D0"/>
    <w:rsid w:val="0087755E"/>
    <w:rsid w:val="008775D7"/>
    <w:rsid w:val="0087765A"/>
    <w:rsid w:val="008776C0"/>
    <w:rsid w:val="00877755"/>
    <w:rsid w:val="00877A46"/>
    <w:rsid w:val="00877B59"/>
    <w:rsid w:val="00877B61"/>
    <w:rsid w:val="00877D6F"/>
    <w:rsid w:val="00877DAD"/>
    <w:rsid w:val="00877DB1"/>
    <w:rsid w:val="00877E78"/>
    <w:rsid w:val="00877FFE"/>
    <w:rsid w:val="00880295"/>
    <w:rsid w:val="008802D3"/>
    <w:rsid w:val="0088054F"/>
    <w:rsid w:val="008805E3"/>
    <w:rsid w:val="008806DC"/>
    <w:rsid w:val="00880CDE"/>
    <w:rsid w:val="00880DC8"/>
    <w:rsid w:val="00880E26"/>
    <w:rsid w:val="00881045"/>
    <w:rsid w:val="008810BE"/>
    <w:rsid w:val="008811ED"/>
    <w:rsid w:val="00881992"/>
    <w:rsid w:val="0088222E"/>
    <w:rsid w:val="008824FE"/>
    <w:rsid w:val="00882622"/>
    <w:rsid w:val="008828A0"/>
    <w:rsid w:val="00882B93"/>
    <w:rsid w:val="00882C14"/>
    <w:rsid w:val="00882CE4"/>
    <w:rsid w:val="00883403"/>
    <w:rsid w:val="008835E6"/>
    <w:rsid w:val="00883E3D"/>
    <w:rsid w:val="008844BF"/>
    <w:rsid w:val="00884591"/>
    <w:rsid w:val="00884707"/>
    <w:rsid w:val="0088479B"/>
    <w:rsid w:val="008847E7"/>
    <w:rsid w:val="008849DF"/>
    <w:rsid w:val="00884C35"/>
    <w:rsid w:val="008854FE"/>
    <w:rsid w:val="008855E6"/>
    <w:rsid w:val="00885B5E"/>
    <w:rsid w:val="00885D0C"/>
    <w:rsid w:val="00885DE3"/>
    <w:rsid w:val="00885F7B"/>
    <w:rsid w:val="00886119"/>
    <w:rsid w:val="00886278"/>
    <w:rsid w:val="008864F4"/>
    <w:rsid w:val="00886A50"/>
    <w:rsid w:val="00886D6D"/>
    <w:rsid w:val="00886F66"/>
    <w:rsid w:val="008874CF"/>
    <w:rsid w:val="00887AFE"/>
    <w:rsid w:val="00887B9D"/>
    <w:rsid w:val="008903A9"/>
    <w:rsid w:val="008905D1"/>
    <w:rsid w:val="00890A71"/>
    <w:rsid w:val="00890AE4"/>
    <w:rsid w:val="00890B2A"/>
    <w:rsid w:val="00890C46"/>
    <w:rsid w:val="00890D29"/>
    <w:rsid w:val="00891130"/>
    <w:rsid w:val="0089143B"/>
    <w:rsid w:val="008916F2"/>
    <w:rsid w:val="008916FE"/>
    <w:rsid w:val="008918E7"/>
    <w:rsid w:val="008919CF"/>
    <w:rsid w:val="00891A31"/>
    <w:rsid w:val="00891A5E"/>
    <w:rsid w:val="0089217B"/>
    <w:rsid w:val="008924E2"/>
    <w:rsid w:val="008927B6"/>
    <w:rsid w:val="008928B9"/>
    <w:rsid w:val="008929F3"/>
    <w:rsid w:val="00892FE7"/>
    <w:rsid w:val="00893176"/>
    <w:rsid w:val="008939F1"/>
    <w:rsid w:val="008939FE"/>
    <w:rsid w:val="00893A37"/>
    <w:rsid w:val="00893B34"/>
    <w:rsid w:val="00893F59"/>
    <w:rsid w:val="00894065"/>
    <w:rsid w:val="008948A8"/>
    <w:rsid w:val="00894920"/>
    <w:rsid w:val="00894B80"/>
    <w:rsid w:val="00894C2E"/>
    <w:rsid w:val="00894CC3"/>
    <w:rsid w:val="00894E07"/>
    <w:rsid w:val="00894FA3"/>
    <w:rsid w:val="008951AA"/>
    <w:rsid w:val="0089528E"/>
    <w:rsid w:val="00895344"/>
    <w:rsid w:val="00895486"/>
    <w:rsid w:val="008955CF"/>
    <w:rsid w:val="00895661"/>
    <w:rsid w:val="00895A34"/>
    <w:rsid w:val="00895B19"/>
    <w:rsid w:val="00895DB7"/>
    <w:rsid w:val="00895E8B"/>
    <w:rsid w:val="0089610A"/>
    <w:rsid w:val="008961FF"/>
    <w:rsid w:val="00896291"/>
    <w:rsid w:val="008962E4"/>
    <w:rsid w:val="0089666D"/>
    <w:rsid w:val="008966AD"/>
    <w:rsid w:val="00896A17"/>
    <w:rsid w:val="00896C5F"/>
    <w:rsid w:val="00896D05"/>
    <w:rsid w:val="00896D9C"/>
    <w:rsid w:val="00896DE1"/>
    <w:rsid w:val="00896EAE"/>
    <w:rsid w:val="00897524"/>
    <w:rsid w:val="00897537"/>
    <w:rsid w:val="00897766"/>
    <w:rsid w:val="008979A4"/>
    <w:rsid w:val="00897EB9"/>
    <w:rsid w:val="00897F4C"/>
    <w:rsid w:val="008A0014"/>
    <w:rsid w:val="008A0107"/>
    <w:rsid w:val="008A0329"/>
    <w:rsid w:val="008A0478"/>
    <w:rsid w:val="008A048C"/>
    <w:rsid w:val="008A0586"/>
    <w:rsid w:val="008A0F1D"/>
    <w:rsid w:val="008A1441"/>
    <w:rsid w:val="008A18CA"/>
    <w:rsid w:val="008A197C"/>
    <w:rsid w:val="008A1C62"/>
    <w:rsid w:val="008A1E43"/>
    <w:rsid w:val="008A2002"/>
    <w:rsid w:val="008A2163"/>
    <w:rsid w:val="008A2326"/>
    <w:rsid w:val="008A233C"/>
    <w:rsid w:val="008A243A"/>
    <w:rsid w:val="008A24A7"/>
    <w:rsid w:val="008A24D4"/>
    <w:rsid w:val="008A2AC0"/>
    <w:rsid w:val="008A2B70"/>
    <w:rsid w:val="008A2E1C"/>
    <w:rsid w:val="008A2EF3"/>
    <w:rsid w:val="008A3168"/>
    <w:rsid w:val="008A338C"/>
    <w:rsid w:val="008A34F9"/>
    <w:rsid w:val="008A359B"/>
    <w:rsid w:val="008A3721"/>
    <w:rsid w:val="008A4028"/>
    <w:rsid w:val="008A4094"/>
    <w:rsid w:val="008A40C1"/>
    <w:rsid w:val="008A43F1"/>
    <w:rsid w:val="008A4743"/>
    <w:rsid w:val="008A4AFC"/>
    <w:rsid w:val="008A4F4B"/>
    <w:rsid w:val="008A4F71"/>
    <w:rsid w:val="008A506B"/>
    <w:rsid w:val="008A53D5"/>
    <w:rsid w:val="008A56F0"/>
    <w:rsid w:val="008A574F"/>
    <w:rsid w:val="008A57E8"/>
    <w:rsid w:val="008A5D60"/>
    <w:rsid w:val="008A5E3D"/>
    <w:rsid w:val="008A609A"/>
    <w:rsid w:val="008A619C"/>
    <w:rsid w:val="008A625E"/>
    <w:rsid w:val="008A6268"/>
    <w:rsid w:val="008A655B"/>
    <w:rsid w:val="008A668C"/>
    <w:rsid w:val="008A66EC"/>
    <w:rsid w:val="008A6F7D"/>
    <w:rsid w:val="008A74E8"/>
    <w:rsid w:val="008A75D0"/>
    <w:rsid w:val="008A792C"/>
    <w:rsid w:val="008A7937"/>
    <w:rsid w:val="008A7A1C"/>
    <w:rsid w:val="008A7C31"/>
    <w:rsid w:val="008B008B"/>
    <w:rsid w:val="008B00CD"/>
    <w:rsid w:val="008B02F6"/>
    <w:rsid w:val="008B049E"/>
    <w:rsid w:val="008B0929"/>
    <w:rsid w:val="008B0B6E"/>
    <w:rsid w:val="008B0C76"/>
    <w:rsid w:val="008B0D81"/>
    <w:rsid w:val="008B1137"/>
    <w:rsid w:val="008B1325"/>
    <w:rsid w:val="008B17A9"/>
    <w:rsid w:val="008B18BF"/>
    <w:rsid w:val="008B1BAA"/>
    <w:rsid w:val="008B2264"/>
    <w:rsid w:val="008B24C8"/>
    <w:rsid w:val="008B2503"/>
    <w:rsid w:val="008B2847"/>
    <w:rsid w:val="008B2E60"/>
    <w:rsid w:val="008B33CA"/>
    <w:rsid w:val="008B3472"/>
    <w:rsid w:val="008B3871"/>
    <w:rsid w:val="008B40F4"/>
    <w:rsid w:val="008B43A1"/>
    <w:rsid w:val="008B43D8"/>
    <w:rsid w:val="008B48F2"/>
    <w:rsid w:val="008B4908"/>
    <w:rsid w:val="008B49AB"/>
    <w:rsid w:val="008B4F2F"/>
    <w:rsid w:val="008B512E"/>
    <w:rsid w:val="008B58F3"/>
    <w:rsid w:val="008B59DA"/>
    <w:rsid w:val="008B5B5E"/>
    <w:rsid w:val="008B6192"/>
    <w:rsid w:val="008B669B"/>
    <w:rsid w:val="008B6793"/>
    <w:rsid w:val="008B6881"/>
    <w:rsid w:val="008B689E"/>
    <w:rsid w:val="008B68DA"/>
    <w:rsid w:val="008B6934"/>
    <w:rsid w:val="008B6C44"/>
    <w:rsid w:val="008B6DF7"/>
    <w:rsid w:val="008B7068"/>
    <w:rsid w:val="008B7257"/>
    <w:rsid w:val="008B7668"/>
    <w:rsid w:val="008B7C17"/>
    <w:rsid w:val="008B7C5D"/>
    <w:rsid w:val="008B7D0D"/>
    <w:rsid w:val="008C010A"/>
    <w:rsid w:val="008C0271"/>
    <w:rsid w:val="008C06E4"/>
    <w:rsid w:val="008C1797"/>
    <w:rsid w:val="008C1B8B"/>
    <w:rsid w:val="008C2385"/>
    <w:rsid w:val="008C24B1"/>
    <w:rsid w:val="008C2BEB"/>
    <w:rsid w:val="008C3151"/>
    <w:rsid w:val="008C31BA"/>
    <w:rsid w:val="008C31DB"/>
    <w:rsid w:val="008C355E"/>
    <w:rsid w:val="008C3A61"/>
    <w:rsid w:val="008C4420"/>
    <w:rsid w:val="008C451E"/>
    <w:rsid w:val="008C46D5"/>
    <w:rsid w:val="008C4ADF"/>
    <w:rsid w:val="008C4CFE"/>
    <w:rsid w:val="008C4FF3"/>
    <w:rsid w:val="008C5156"/>
    <w:rsid w:val="008C587F"/>
    <w:rsid w:val="008C5D32"/>
    <w:rsid w:val="008C676E"/>
    <w:rsid w:val="008C6EC0"/>
    <w:rsid w:val="008C6F67"/>
    <w:rsid w:val="008C7221"/>
    <w:rsid w:val="008C72F6"/>
    <w:rsid w:val="008C7359"/>
    <w:rsid w:val="008C7534"/>
    <w:rsid w:val="008C7659"/>
    <w:rsid w:val="008C77A3"/>
    <w:rsid w:val="008C7859"/>
    <w:rsid w:val="008C7E83"/>
    <w:rsid w:val="008C7EB4"/>
    <w:rsid w:val="008D0027"/>
    <w:rsid w:val="008D05B6"/>
    <w:rsid w:val="008D088E"/>
    <w:rsid w:val="008D0A6D"/>
    <w:rsid w:val="008D0E51"/>
    <w:rsid w:val="008D0F05"/>
    <w:rsid w:val="008D1014"/>
    <w:rsid w:val="008D101F"/>
    <w:rsid w:val="008D158F"/>
    <w:rsid w:val="008D16C4"/>
    <w:rsid w:val="008D16FA"/>
    <w:rsid w:val="008D1885"/>
    <w:rsid w:val="008D1AF9"/>
    <w:rsid w:val="008D1DB6"/>
    <w:rsid w:val="008D1EF1"/>
    <w:rsid w:val="008D1F62"/>
    <w:rsid w:val="008D258C"/>
    <w:rsid w:val="008D262E"/>
    <w:rsid w:val="008D2741"/>
    <w:rsid w:val="008D2B7C"/>
    <w:rsid w:val="008D2CAB"/>
    <w:rsid w:val="008D2D48"/>
    <w:rsid w:val="008D2E1E"/>
    <w:rsid w:val="008D3097"/>
    <w:rsid w:val="008D37DE"/>
    <w:rsid w:val="008D3A6C"/>
    <w:rsid w:val="008D4189"/>
    <w:rsid w:val="008D422B"/>
    <w:rsid w:val="008D47FE"/>
    <w:rsid w:val="008D48D4"/>
    <w:rsid w:val="008D4A6F"/>
    <w:rsid w:val="008D4BFC"/>
    <w:rsid w:val="008D518B"/>
    <w:rsid w:val="008D5654"/>
    <w:rsid w:val="008D5852"/>
    <w:rsid w:val="008D5E27"/>
    <w:rsid w:val="008D60B7"/>
    <w:rsid w:val="008D6261"/>
    <w:rsid w:val="008D6CBC"/>
    <w:rsid w:val="008D70E2"/>
    <w:rsid w:val="008D71AD"/>
    <w:rsid w:val="008D72AC"/>
    <w:rsid w:val="008D7473"/>
    <w:rsid w:val="008D7486"/>
    <w:rsid w:val="008D74F4"/>
    <w:rsid w:val="008D762B"/>
    <w:rsid w:val="008D76A9"/>
    <w:rsid w:val="008D774C"/>
    <w:rsid w:val="008D7B5E"/>
    <w:rsid w:val="008D7C7D"/>
    <w:rsid w:val="008E0458"/>
    <w:rsid w:val="008E0746"/>
    <w:rsid w:val="008E0946"/>
    <w:rsid w:val="008E0960"/>
    <w:rsid w:val="008E0D07"/>
    <w:rsid w:val="008E0D7A"/>
    <w:rsid w:val="008E0FE8"/>
    <w:rsid w:val="008E17FC"/>
    <w:rsid w:val="008E1FC4"/>
    <w:rsid w:val="008E21A7"/>
    <w:rsid w:val="008E23ED"/>
    <w:rsid w:val="008E2488"/>
    <w:rsid w:val="008E255B"/>
    <w:rsid w:val="008E2584"/>
    <w:rsid w:val="008E277A"/>
    <w:rsid w:val="008E28CC"/>
    <w:rsid w:val="008E2BD3"/>
    <w:rsid w:val="008E2D93"/>
    <w:rsid w:val="008E3BA4"/>
    <w:rsid w:val="008E3BE1"/>
    <w:rsid w:val="008E411B"/>
    <w:rsid w:val="008E4151"/>
    <w:rsid w:val="008E4169"/>
    <w:rsid w:val="008E41E4"/>
    <w:rsid w:val="008E431E"/>
    <w:rsid w:val="008E4634"/>
    <w:rsid w:val="008E4974"/>
    <w:rsid w:val="008E4E32"/>
    <w:rsid w:val="008E4E8D"/>
    <w:rsid w:val="008E5147"/>
    <w:rsid w:val="008E553F"/>
    <w:rsid w:val="008E591E"/>
    <w:rsid w:val="008E5B02"/>
    <w:rsid w:val="008E5DAF"/>
    <w:rsid w:val="008E5F2E"/>
    <w:rsid w:val="008E69F8"/>
    <w:rsid w:val="008E6E83"/>
    <w:rsid w:val="008E71C7"/>
    <w:rsid w:val="008E7312"/>
    <w:rsid w:val="008E755C"/>
    <w:rsid w:val="008E7791"/>
    <w:rsid w:val="008E77C6"/>
    <w:rsid w:val="008E78F9"/>
    <w:rsid w:val="008E7AFF"/>
    <w:rsid w:val="008E7B10"/>
    <w:rsid w:val="008E7DD0"/>
    <w:rsid w:val="008F010A"/>
    <w:rsid w:val="008F035D"/>
    <w:rsid w:val="008F03EF"/>
    <w:rsid w:val="008F0535"/>
    <w:rsid w:val="008F0601"/>
    <w:rsid w:val="008F074C"/>
    <w:rsid w:val="008F080D"/>
    <w:rsid w:val="008F08A8"/>
    <w:rsid w:val="008F08E6"/>
    <w:rsid w:val="008F0F49"/>
    <w:rsid w:val="008F0F62"/>
    <w:rsid w:val="008F12CB"/>
    <w:rsid w:val="008F1405"/>
    <w:rsid w:val="008F159F"/>
    <w:rsid w:val="008F171F"/>
    <w:rsid w:val="008F18E0"/>
    <w:rsid w:val="008F1B08"/>
    <w:rsid w:val="008F1CC4"/>
    <w:rsid w:val="008F2050"/>
    <w:rsid w:val="008F22D8"/>
    <w:rsid w:val="008F22F5"/>
    <w:rsid w:val="008F2387"/>
    <w:rsid w:val="008F26A7"/>
    <w:rsid w:val="008F2BAD"/>
    <w:rsid w:val="008F2BF9"/>
    <w:rsid w:val="008F2C09"/>
    <w:rsid w:val="008F3187"/>
    <w:rsid w:val="008F32D1"/>
    <w:rsid w:val="008F35A2"/>
    <w:rsid w:val="008F388C"/>
    <w:rsid w:val="008F3A88"/>
    <w:rsid w:val="008F3DEB"/>
    <w:rsid w:val="008F41D5"/>
    <w:rsid w:val="008F4510"/>
    <w:rsid w:val="008F4F17"/>
    <w:rsid w:val="008F51F6"/>
    <w:rsid w:val="008F53B2"/>
    <w:rsid w:val="008F5743"/>
    <w:rsid w:val="008F57F5"/>
    <w:rsid w:val="008F5951"/>
    <w:rsid w:val="008F5ADF"/>
    <w:rsid w:val="008F61D1"/>
    <w:rsid w:val="008F6612"/>
    <w:rsid w:val="008F68FB"/>
    <w:rsid w:val="008F6981"/>
    <w:rsid w:val="008F6D95"/>
    <w:rsid w:val="008F6E6B"/>
    <w:rsid w:val="008F6FF6"/>
    <w:rsid w:val="008F76F5"/>
    <w:rsid w:val="008F78EF"/>
    <w:rsid w:val="008F79DF"/>
    <w:rsid w:val="008F7A95"/>
    <w:rsid w:val="009005CA"/>
    <w:rsid w:val="00900660"/>
    <w:rsid w:val="0090079E"/>
    <w:rsid w:val="00900C83"/>
    <w:rsid w:val="00901210"/>
    <w:rsid w:val="00901345"/>
    <w:rsid w:val="0090172C"/>
    <w:rsid w:val="00901F6E"/>
    <w:rsid w:val="00902613"/>
    <w:rsid w:val="00902629"/>
    <w:rsid w:val="009027CE"/>
    <w:rsid w:val="009029CF"/>
    <w:rsid w:val="00902B87"/>
    <w:rsid w:val="00902BB1"/>
    <w:rsid w:val="00902F8A"/>
    <w:rsid w:val="0090313C"/>
    <w:rsid w:val="0090356F"/>
    <w:rsid w:val="00903658"/>
    <w:rsid w:val="00903673"/>
    <w:rsid w:val="009037A5"/>
    <w:rsid w:val="00903A31"/>
    <w:rsid w:val="00903C2D"/>
    <w:rsid w:val="00903D29"/>
    <w:rsid w:val="00903DE1"/>
    <w:rsid w:val="0090401D"/>
    <w:rsid w:val="00904129"/>
    <w:rsid w:val="00904307"/>
    <w:rsid w:val="0090458D"/>
    <w:rsid w:val="009045A4"/>
    <w:rsid w:val="00904683"/>
    <w:rsid w:val="009046E4"/>
    <w:rsid w:val="009048C8"/>
    <w:rsid w:val="00904A11"/>
    <w:rsid w:val="00904DA9"/>
    <w:rsid w:val="009052AB"/>
    <w:rsid w:val="00905561"/>
    <w:rsid w:val="00905D52"/>
    <w:rsid w:val="00905DDF"/>
    <w:rsid w:val="00905E85"/>
    <w:rsid w:val="0090606B"/>
    <w:rsid w:val="009064FC"/>
    <w:rsid w:val="00906902"/>
    <w:rsid w:val="009069F3"/>
    <w:rsid w:val="00906A75"/>
    <w:rsid w:val="00906F62"/>
    <w:rsid w:val="00907475"/>
    <w:rsid w:val="00907536"/>
    <w:rsid w:val="00907573"/>
    <w:rsid w:val="0090777C"/>
    <w:rsid w:val="009078DB"/>
    <w:rsid w:val="00907CD0"/>
    <w:rsid w:val="00907DCC"/>
    <w:rsid w:val="00907FB6"/>
    <w:rsid w:val="00910247"/>
    <w:rsid w:val="009105F0"/>
    <w:rsid w:val="00910640"/>
    <w:rsid w:val="009106D5"/>
    <w:rsid w:val="00910DB2"/>
    <w:rsid w:val="0091137D"/>
    <w:rsid w:val="00911675"/>
    <w:rsid w:val="00911772"/>
    <w:rsid w:val="00911D0E"/>
    <w:rsid w:val="00911D1D"/>
    <w:rsid w:val="00911D6E"/>
    <w:rsid w:val="00912614"/>
    <w:rsid w:val="00912666"/>
    <w:rsid w:val="0091277D"/>
    <w:rsid w:val="00912783"/>
    <w:rsid w:val="009127ED"/>
    <w:rsid w:val="00913306"/>
    <w:rsid w:val="0091350F"/>
    <w:rsid w:val="00913581"/>
    <w:rsid w:val="009135E6"/>
    <w:rsid w:val="00913642"/>
    <w:rsid w:val="0091381D"/>
    <w:rsid w:val="00913DF5"/>
    <w:rsid w:val="00914225"/>
    <w:rsid w:val="00914439"/>
    <w:rsid w:val="0091458A"/>
    <w:rsid w:val="0091475A"/>
    <w:rsid w:val="009147C8"/>
    <w:rsid w:val="00914CE8"/>
    <w:rsid w:val="00914D2A"/>
    <w:rsid w:val="00914DF9"/>
    <w:rsid w:val="0091511D"/>
    <w:rsid w:val="00915635"/>
    <w:rsid w:val="00915966"/>
    <w:rsid w:val="00915E98"/>
    <w:rsid w:val="00915F97"/>
    <w:rsid w:val="0091616A"/>
    <w:rsid w:val="009161EC"/>
    <w:rsid w:val="00916277"/>
    <w:rsid w:val="009163E8"/>
    <w:rsid w:val="0091644A"/>
    <w:rsid w:val="0091645A"/>
    <w:rsid w:val="009165C4"/>
    <w:rsid w:val="00916650"/>
    <w:rsid w:val="0091677F"/>
    <w:rsid w:val="00916A67"/>
    <w:rsid w:val="00916D1F"/>
    <w:rsid w:val="00916D8C"/>
    <w:rsid w:val="00917062"/>
    <w:rsid w:val="0091730D"/>
    <w:rsid w:val="0091747A"/>
    <w:rsid w:val="00917561"/>
    <w:rsid w:val="009176E4"/>
    <w:rsid w:val="00917958"/>
    <w:rsid w:val="00917959"/>
    <w:rsid w:val="009179C1"/>
    <w:rsid w:val="00917CED"/>
    <w:rsid w:val="00917D00"/>
    <w:rsid w:val="00917DA9"/>
    <w:rsid w:val="0092007F"/>
    <w:rsid w:val="00920250"/>
    <w:rsid w:val="009204F6"/>
    <w:rsid w:val="00920656"/>
    <w:rsid w:val="009207C3"/>
    <w:rsid w:val="009209E7"/>
    <w:rsid w:val="00920BDD"/>
    <w:rsid w:val="00920E14"/>
    <w:rsid w:val="00920F57"/>
    <w:rsid w:val="00920FEB"/>
    <w:rsid w:val="00921780"/>
    <w:rsid w:val="00921885"/>
    <w:rsid w:val="00921ACC"/>
    <w:rsid w:val="00921AD4"/>
    <w:rsid w:val="00922097"/>
    <w:rsid w:val="009224C6"/>
    <w:rsid w:val="00922866"/>
    <w:rsid w:val="00922D24"/>
    <w:rsid w:val="00922FEA"/>
    <w:rsid w:val="0092308F"/>
    <w:rsid w:val="0092338A"/>
    <w:rsid w:val="0092345D"/>
    <w:rsid w:val="009234CC"/>
    <w:rsid w:val="0092370F"/>
    <w:rsid w:val="009237CD"/>
    <w:rsid w:val="0092388B"/>
    <w:rsid w:val="009239F8"/>
    <w:rsid w:val="00924382"/>
    <w:rsid w:val="00924A3E"/>
    <w:rsid w:val="00924AEA"/>
    <w:rsid w:val="00924B1B"/>
    <w:rsid w:val="0092516F"/>
    <w:rsid w:val="00925213"/>
    <w:rsid w:val="0092545C"/>
    <w:rsid w:val="00925934"/>
    <w:rsid w:val="00925FA3"/>
    <w:rsid w:val="0092607E"/>
    <w:rsid w:val="009266AD"/>
    <w:rsid w:val="00926771"/>
    <w:rsid w:val="00926898"/>
    <w:rsid w:val="0092698B"/>
    <w:rsid w:val="00926A8C"/>
    <w:rsid w:val="00926C3F"/>
    <w:rsid w:val="00926DC0"/>
    <w:rsid w:val="00926EA6"/>
    <w:rsid w:val="00927240"/>
    <w:rsid w:val="0092762D"/>
    <w:rsid w:val="00927691"/>
    <w:rsid w:val="0092775F"/>
    <w:rsid w:val="00927B04"/>
    <w:rsid w:val="00927D39"/>
    <w:rsid w:val="00927F27"/>
    <w:rsid w:val="00927F3E"/>
    <w:rsid w:val="00927F4C"/>
    <w:rsid w:val="009301D3"/>
    <w:rsid w:val="0093056F"/>
    <w:rsid w:val="00930A56"/>
    <w:rsid w:val="00930A8F"/>
    <w:rsid w:val="00930B31"/>
    <w:rsid w:val="00930B65"/>
    <w:rsid w:val="00930B76"/>
    <w:rsid w:val="00930BA0"/>
    <w:rsid w:val="00930CCD"/>
    <w:rsid w:val="00930CDA"/>
    <w:rsid w:val="00930DF7"/>
    <w:rsid w:val="00930E2B"/>
    <w:rsid w:val="00930F8F"/>
    <w:rsid w:val="00930FE7"/>
    <w:rsid w:val="009310A7"/>
    <w:rsid w:val="009310C3"/>
    <w:rsid w:val="009314E5"/>
    <w:rsid w:val="009318E5"/>
    <w:rsid w:val="009318F7"/>
    <w:rsid w:val="00931A2F"/>
    <w:rsid w:val="00932360"/>
    <w:rsid w:val="00932406"/>
    <w:rsid w:val="009324EA"/>
    <w:rsid w:val="00932636"/>
    <w:rsid w:val="00932736"/>
    <w:rsid w:val="009327C3"/>
    <w:rsid w:val="00932823"/>
    <w:rsid w:val="00932856"/>
    <w:rsid w:val="009328F7"/>
    <w:rsid w:val="009329A1"/>
    <w:rsid w:val="00932C59"/>
    <w:rsid w:val="00932E0D"/>
    <w:rsid w:val="00933184"/>
    <w:rsid w:val="009332B5"/>
    <w:rsid w:val="00933D53"/>
    <w:rsid w:val="00933DAD"/>
    <w:rsid w:val="00933E07"/>
    <w:rsid w:val="0093464B"/>
    <w:rsid w:val="009346DD"/>
    <w:rsid w:val="009346E3"/>
    <w:rsid w:val="009348F7"/>
    <w:rsid w:val="00934B7D"/>
    <w:rsid w:val="00934D39"/>
    <w:rsid w:val="00934DAD"/>
    <w:rsid w:val="00934E77"/>
    <w:rsid w:val="00934E95"/>
    <w:rsid w:val="00934FBB"/>
    <w:rsid w:val="00935169"/>
    <w:rsid w:val="009357F8"/>
    <w:rsid w:val="009358B1"/>
    <w:rsid w:val="009365AE"/>
    <w:rsid w:val="00936B40"/>
    <w:rsid w:val="00936F2D"/>
    <w:rsid w:val="00936FDD"/>
    <w:rsid w:val="009376A5"/>
    <w:rsid w:val="0093782F"/>
    <w:rsid w:val="00937CC3"/>
    <w:rsid w:val="00937DF1"/>
    <w:rsid w:val="00937F27"/>
    <w:rsid w:val="00940168"/>
    <w:rsid w:val="00940466"/>
    <w:rsid w:val="009408B2"/>
    <w:rsid w:val="00940BE6"/>
    <w:rsid w:val="00940FD9"/>
    <w:rsid w:val="009412DF"/>
    <w:rsid w:val="0094194F"/>
    <w:rsid w:val="00941A35"/>
    <w:rsid w:val="00941D2A"/>
    <w:rsid w:val="009420EC"/>
    <w:rsid w:val="00942266"/>
    <w:rsid w:val="009422E3"/>
    <w:rsid w:val="00942307"/>
    <w:rsid w:val="00942772"/>
    <w:rsid w:val="009427EB"/>
    <w:rsid w:val="00942929"/>
    <w:rsid w:val="00942E30"/>
    <w:rsid w:val="009438D3"/>
    <w:rsid w:val="00943CCC"/>
    <w:rsid w:val="00943DB8"/>
    <w:rsid w:val="00943F63"/>
    <w:rsid w:val="0094430F"/>
    <w:rsid w:val="00944523"/>
    <w:rsid w:val="009446CB"/>
    <w:rsid w:val="009449BB"/>
    <w:rsid w:val="00944D93"/>
    <w:rsid w:val="00944DC7"/>
    <w:rsid w:val="00945431"/>
    <w:rsid w:val="00945529"/>
    <w:rsid w:val="00945586"/>
    <w:rsid w:val="00945D7C"/>
    <w:rsid w:val="0094625F"/>
    <w:rsid w:val="00946368"/>
    <w:rsid w:val="0094697E"/>
    <w:rsid w:val="009469BB"/>
    <w:rsid w:val="009470C7"/>
    <w:rsid w:val="009472F0"/>
    <w:rsid w:val="00947399"/>
    <w:rsid w:val="00950460"/>
    <w:rsid w:val="0095090A"/>
    <w:rsid w:val="00950B1E"/>
    <w:rsid w:val="00950D03"/>
    <w:rsid w:val="00950D1D"/>
    <w:rsid w:val="00950FFC"/>
    <w:rsid w:val="00951391"/>
    <w:rsid w:val="009519EA"/>
    <w:rsid w:val="00951A87"/>
    <w:rsid w:val="00951E68"/>
    <w:rsid w:val="00951F3B"/>
    <w:rsid w:val="0095211A"/>
    <w:rsid w:val="00952352"/>
    <w:rsid w:val="00952663"/>
    <w:rsid w:val="00952818"/>
    <w:rsid w:val="00952EA8"/>
    <w:rsid w:val="00952F4A"/>
    <w:rsid w:val="00953112"/>
    <w:rsid w:val="00953645"/>
    <w:rsid w:val="00953C02"/>
    <w:rsid w:val="00953DC2"/>
    <w:rsid w:val="00953E0A"/>
    <w:rsid w:val="00953EE5"/>
    <w:rsid w:val="0095411E"/>
    <w:rsid w:val="0095434E"/>
    <w:rsid w:val="00954978"/>
    <w:rsid w:val="00954C58"/>
    <w:rsid w:val="00954C81"/>
    <w:rsid w:val="0095530D"/>
    <w:rsid w:val="00955469"/>
    <w:rsid w:val="00955707"/>
    <w:rsid w:val="009557E3"/>
    <w:rsid w:val="00955C84"/>
    <w:rsid w:val="00955D78"/>
    <w:rsid w:val="00955E0F"/>
    <w:rsid w:val="00955E79"/>
    <w:rsid w:val="009561E2"/>
    <w:rsid w:val="009562D4"/>
    <w:rsid w:val="00956423"/>
    <w:rsid w:val="00956712"/>
    <w:rsid w:val="00956838"/>
    <w:rsid w:val="00956850"/>
    <w:rsid w:val="00956C18"/>
    <w:rsid w:val="00956C58"/>
    <w:rsid w:val="00956CF7"/>
    <w:rsid w:val="009570EE"/>
    <w:rsid w:val="009571B8"/>
    <w:rsid w:val="009574E8"/>
    <w:rsid w:val="009576BA"/>
    <w:rsid w:val="00957789"/>
    <w:rsid w:val="00957A9C"/>
    <w:rsid w:val="00957FE7"/>
    <w:rsid w:val="00958674"/>
    <w:rsid w:val="009601C1"/>
    <w:rsid w:val="009602D5"/>
    <w:rsid w:val="00960501"/>
    <w:rsid w:val="009605CB"/>
    <w:rsid w:val="00960791"/>
    <w:rsid w:val="009607AA"/>
    <w:rsid w:val="00960D65"/>
    <w:rsid w:val="0096131A"/>
    <w:rsid w:val="00961387"/>
    <w:rsid w:val="00961413"/>
    <w:rsid w:val="00961425"/>
    <w:rsid w:val="0096153A"/>
    <w:rsid w:val="00961570"/>
    <w:rsid w:val="009616FE"/>
    <w:rsid w:val="0096190C"/>
    <w:rsid w:val="009619D4"/>
    <w:rsid w:val="00961F10"/>
    <w:rsid w:val="0096235B"/>
    <w:rsid w:val="009624FE"/>
    <w:rsid w:val="0096252C"/>
    <w:rsid w:val="0096261D"/>
    <w:rsid w:val="009628A2"/>
    <w:rsid w:val="00962AA6"/>
    <w:rsid w:val="00962F96"/>
    <w:rsid w:val="00962FA1"/>
    <w:rsid w:val="00962FDC"/>
    <w:rsid w:val="009630B1"/>
    <w:rsid w:val="009633DD"/>
    <w:rsid w:val="00963438"/>
    <w:rsid w:val="00963445"/>
    <w:rsid w:val="009639E9"/>
    <w:rsid w:val="0096400B"/>
    <w:rsid w:val="00964187"/>
    <w:rsid w:val="0096453F"/>
    <w:rsid w:val="00964720"/>
    <w:rsid w:val="00964801"/>
    <w:rsid w:val="00964810"/>
    <w:rsid w:val="009648A9"/>
    <w:rsid w:val="0096498C"/>
    <w:rsid w:val="00964A8A"/>
    <w:rsid w:val="00964ECC"/>
    <w:rsid w:val="00965180"/>
    <w:rsid w:val="0096538A"/>
    <w:rsid w:val="009655E7"/>
    <w:rsid w:val="009657E7"/>
    <w:rsid w:val="0096582E"/>
    <w:rsid w:val="00965AAB"/>
    <w:rsid w:val="00965D3C"/>
    <w:rsid w:val="0096646C"/>
    <w:rsid w:val="0096658E"/>
    <w:rsid w:val="00966A33"/>
    <w:rsid w:val="00966EBD"/>
    <w:rsid w:val="0096701F"/>
    <w:rsid w:val="00967234"/>
    <w:rsid w:val="009673C5"/>
    <w:rsid w:val="00967BC5"/>
    <w:rsid w:val="00967D54"/>
    <w:rsid w:val="00967DAD"/>
    <w:rsid w:val="00970125"/>
    <w:rsid w:val="009701FE"/>
    <w:rsid w:val="00970201"/>
    <w:rsid w:val="00970212"/>
    <w:rsid w:val="00970263"/>
    <w:rsid w:val="0097066B"/>
    <w:rsid w:val="0097070F"/>
    <w:rsid w:val="00970796"/>
    <w:rsid w:val="009707CA"/>
    <w:rsid w:val="009707FE"/>
    <w:rsid w:val="00970971"/>
    <w:rsid w:val="00970B47"/>
    <w:rsid w:val="00970CCB"/>
    <w:rsid w:val="00970E47"/>
    <w:rsid w:val="00970FE9"/>
    <w:rsid w:val="009711E3"/>
    <w:rsid w:val="009711E8"/>
    <w:rsid w:val="009712A1"/>
    <w:rsid w:val="00971743"/>
    <w:rsid w:val="009719EE"/>
    <w:rsid w:val="00971A87"/>
    <w:rsid w:val="00971B1D"/>
    <w:rsid w:val="00971DE9"/>
    <w:rsid w:val="00971F37"/>
    <w:rsid w:val="00971F64"/>
    <w:rsid w:val="00972355"/>
    <w:rsid w:val="0097291E"/>
    <w:rsid w:val="009730A6"/>
    <w:rsid w:val="00973113"/>
    <w:rsid w:val="00973661"/>
    <w:rsid w:val="00973B27"/>
    <w:rsid w:val="00973E8C"/>
    <w:rsid w:val="009740BF"/>
    <w:rsid w:val="009740E8"/>
    <w:rsid w:val="009741B1"/>
    <w:rsid w:val="009741F1"/>
    <w:rsid w:val="00974545"/>
    <w:rsid w:val="0097459B"/>
    <w:rsid w:val="00974D3B"/>
    <w:rsid w:val="009755BB"/>
    <w:rsid w:val="009755D3"/>
    <w:rsid w:val="009758BC"/>
    <w:rsid w:val="009758C9"/>
    <w:rsid w:val="009758D2"/>
    <w:rsid w:val="00975CAE"/>
    <w:rsid w:val="0097607F"/>
    <w:rsid w:val="0097683E"/>
    <w:rsid w:val="00976853"/>
    <w:rsid w:val="00976E52"/>
    <w:rsid w:val="00976F53"/>
    <w:rsid w:val="00977417"/>
    <w:rsid w:val="00977757"/>
    <w:rsid w:val="0097783A"/>
    <w:rsid w:val="00977C95"/>
    <w:rsid w:val="00977DD3"/>
    <w:rsid w:val="0098006A"/>
    <w:rsid w:val="0098037C"/>
    <w:rsid w:val="009805E2"/>
    <w:rsid w:val="009806B1"/>
    <w:rsid w:val="009807C4"/>
    <w:rsid w:val="00980A8F"/>
    <w:rsid w:val="00980B77"/>
    <w:rsid w:val="00980CCF"/>
    <w:rsid w:val="00980D07"/>
    <w:rsid w:val="00980E0C"/>
    <w:rsid w:val="009814C8"/>
    <w:rsid w:val="00981A05"/>
    <w:rsid w:val="00981A3E"/>
    <w:rsid w:val="00981AFD"/>
    <w:rsid w:val="00981F1D"/>
    <w:rsid w:val="009822FE"/>
    <w:rsid w:val="009823A2"/>
    <w:rsid w:val="0098255C"/>
    <w:rsid w:val="00982608"/>
    <w:rsid w:val="00982F08"/>
    <w:rsid w:val="009831B3"/>
    <w:rsid w:val="00983240"/>
    <w:rsid w:val="009833D4"/>
    <w:rsid w:val="0098367F"/>
    <w:rsid w:val="00983B88"/>
    <w:rsid w:val="00984142"/>
    <w:rsid w:val="009844D2"/>
    <w:rsid w:val="009844F7"/>
    <w:rsid w:val="009846BF"/>
    <w:rsid w:val="00984740"/>
    <w:rsid w:val="00984770"/>
    <w:rsid w:val="00984F36"/>
    <w:rsid w:val="009851BA"/>
    <w:rsid w:val="009852DB"/>
    <w:rsid w:val="00985C08"/>
    <w:rsid w:val="00985D5D"/>
    <w:rsid w:val="00985EE1"/>
    <w:rsid w:val="0098600E"/>
    <w:rsid w:val="00986222"/>
    <w:rsid w:val="00986236"/>
    <w:rsid w:val="00986258"/>
    <w:rsid w:val="00986759"/>
    <w:rsid w:val="009873B6"/>
    <w:rsid w:val="009877A8"/>
    <w:rsid w:val="00987927"/>
    <w:rsid w:val="00987DA9"/>
    <w:rsid w:val="00987F39"/>
    <w:rsid w:val="00987FA3"/>
    <w:rsid w:val="00990A7E"/>
    <w:rsid w:val="00990AA8"/>
    <w:rsid w:val="009911E4"/>
    <w:rsid w:val="00991878"/>
    <w:rsid w:val="00991939"/>
    <w:rsid w:val="00991F7A"/>
    <w:rsid w:val="00992041"/>
    <w:rsid w:val="009922F0"/>
    <w:rsid w:val="00992332"/>
    <w:rsid w:val="0099238B"/>
    <w:rsid w:val="00992D74"/>
    <w:rsid w:val="00992DFB"/>
    <w:rsid w:val="00992E8C"/>
    <w:rsid w:val="00992EB8"/>
    <w:rsid w:val="00992EBA"/>
    <w:rsid w:val="00993716"/>
    <w:rsid w:val="00993727"/>
    <w:rsid w:val="00993891"/>
    <w:rsid w:val="00993ADF"/>
    <w:rsid w:val="00994166"/>
    <w:rsid w:val="0099426A"/>
    <w:rsid w:val="00994464"/>
    <w:rsid w:val="009945B5"/>
    <w:rsid w:val="009946C1"/>
    <w:rsid w:val="009946DE"/>
    <w:rsid w:val="009946E9"/>
    <w:rsid w:val="00994DE2"/>
    <w:rsid w:val="00994F76"/>
    <w:rsid w:val="00995083"/>
    <w:rsid w:val="009950AA"/>
    <w:rsid w:val="009950F3"/>
    <w:rsid w:val="00995536"/>
    <w:rsid w:val="00995ECE"/>
    <w:rsid w:val="009960FD"/>
    <w:rsid w:val="009962CB"/>
    <w:rsid w:val="0099638A"/>
    <w:rsid w:val="009963E0"/>
    <w:rsid w:val="009964D4"/>
    <w:rsid w:val="0099689E"/>
    <w:rsid w:val="009969C0"/>
    <w:rsid w:val="00996C8D"/>
    <w:rsid w:val="009971C6"/>
    <w:rsid w:val="009976B4"/>
    <w:rsid w:val="009979FA"/>
    <w:rsid w:val="009A005D"/>
    <w:rsid w:val="009A017C"/>
    <w:rsid w:val="009A09FA"/>
    <w:rsid w:val="009A0A14"/>
    <w:rsid w:val="009A0AC5"/>
    <w:rsid w:val="009A0B0F"/>
    <w:rsid w:val="009A10E6"/>
    <w:rsid w:val="009A1202"/>
    <w:rsid w:val="009A1258"/>
    <w:rsid w:val="009A1404"/>
    <w:rsid w:val="009A1543"/>
    <w:rsid w:val="009A15C2"/>
    <w:rsid w:val="009A1A48"/>
    <w:rsid w:val="009A1C35"/>
    <w:rsid w:val="009A1DA3"/>
    <w:rsid w:val="009A232E"/>
    <w:rsid w:val="009A2502"/>
    <w:rsid w:val="009A257A"/>
    <w:rsid w:val="009A27D6"/>
    <w:rsid w:val="009A2905"/>
    <w:rsid w:val="009A2ABA"/>
    <w:rsid w:val="009A2CF2"/>
    <w:rsid w:val="009A2F1C"/>
    <w:rsid w:val="009A30AB"/>
    <w:rsid w:val="009A33F1"/>
    <w:rsid w:val="009A38B7"/>
    <w:rsid w:val="009A3A77"/>
    <w:rsid w:val="009A3D24"/>
    <w:rsid w:val="009A3F3F"/>
    <w:rsid w:val="009A3FCA"/>
    <w:rsid w:val="009A4094"/>
    <w:rsid w:val="009A4692"/>
    <w:rsid w:val="009A46D0"/>
    <w:rsid w:val="009A46D7"/>
    <w:rsid w:val="009A49C0"/>
    <w:rsid w:val="009A4D07"/>
    <w:rsid w:val="009A504F"/>
    <w:rsid w:val="009A50B9"/>
    <w:rsid w:val="009A532A"/>
    <w:rsid w:val="009A5398"/>
    <w:rsid w:val="009A5821"/>
    <w:rsid w:val="009A58AE"/>
    <w:rsid w:val="009A59C4"/>
    <w:rsid w:val="009A5A5B"/>
    <w:rsid w:val="009A5B19"/>
    <w:rsid w:val="009A5B42"/>
    <w:rsid w:val="009A5B9A"/>
    <w:rsid w:val="009A5DF1"/>
    <w:rsid w:val="009A5EA9"/>
    <w:rsid w:val="009A6072"/>
    <w:rsid w:val="009A6103"/>
    <w:rsid w:val="009A611E"/>
    <w:rsid w:val="009A6F5E"/>
    <w:rsid w:val="009A6FE4"/>
    <w:rsid w:val="009A71B0"/>
    <w:rsid w:val="009A72ED"/>
    <w:rsid w:val="009A77B0"/>
    <w:rsid w:val="009A78F3"/>
    <w:rsid w:val="009A7A3C"/>
    <w:rsid w:val="009A7B27"/>
    <w:rsid w:val="009A7B9A"/>
    <w:rsid w:val="009A7CF8"/>
    <w:rsid w:val="009A7ED0"/>
    <w:rsid w:val="009B0196"/>
    <w:rsid w:val="009B01D4"/>
    <w:rsid w:val="009B0479"/>
    <w:rsid w:val="009B068C"/>
    <w:rsid w:val="009B098D"/>
    <w:rsid w:val="009B0B8B"/>
    <w:rsid w:val="009B0E6B"/>
    <w:rsid w:val="009B130E"/>
    <w:rsid w:val="009B144D"/>
    <w:rsid w:val="009B1450"/>
    <w:rsid w:val="009B17B6"/>
    <w:rsid w:val="009B18C5"/>
    <w:rsid w:val="009B1B28"/>
    <w:rsid w:val="009B1D62"/>
    <w:rsid w:val="009B1FCB"/>
    <w:rsid w:val="009B2069"/>
    <w:rsid w:val="009B20B7"/>
    <w:rsid w:val="009B224E"/>
    <w:rsid w:val="009B27C5"/>
    <w:rsid w:val="009B2901"/>
    <w:rsid w:val="009B329D"/>
    <w:rsid w:val="009B38D1"/>
    <w:rsid w:val="009B3926"/>
    <w:rsid w:val="009B3BCD"/>
    <w:rsid w:val="009B3C8C"/>
    <w:rsid w:val="009B3EEF"/>
    <w:rsid w:val="009B41B6"/>
    <w:rsid w:val="009B41C3"/>
    <w:rsid w:val="009B44C8"/>
    <w:rsid w:val="009B48F2"/>
    <w:rsid w:val="009B4AA3"/>
    <w:rsid w:val="009B4EC9"/>
    <w:rsid w:val="009B502F"/>
    <w:rsid w:val="009B55F0"/>
    <w:rsid w:val="009B59BA"/>
    <w:rsid w:val="009B5C3E"/>
    <w:rsid w:val="009B5C51"/>
    <w:rsid w:val="009B607C"/>
    <w:rsid w:val="009B6615"/>
    <w:rsid w:val="009B67DE"/>
    <w:rsid w:val="009B6A47"/>
    <w:rsid w:val="009B6D77"/>
    <w:rsid w:val="009B6E3E"/>
    <w:rsid w:val="009B6F75"/>
    <w:rsid w:val="009B7A9F"/>
    <w:rsid w:val="009B7BE2"/>
    <w:rsid w:val="009B7C0C"/>
    <w:rsid w:val="009B7F41"/>
    <w:rsid w:val="009B7F74"/>
    <w:rsid w:val="009B7F8A"/>
    <w:rsid w:val="009B7FF4"/>
    <w:rsid w:val="009C05EC"/>
    <w:rsid w:val="009C0711"/>
    <w:rsid w:val="009C0846"/>
    <w:rsid w:val="009C0978"/>
    <w:rsid w:val="009C0BF0"/>
    <w:rsid w:val="009C0E79"/>
    <w:rsid w:val="009C111B"/>
    <w:rsid w:val="009C13A1"/>
    <w:rsid w:val="009C1627"/>
    <w:rsid w:val="009C17F8"/>
    <w:rsid w:val="009C1A81"/>
    <w:rsid w:val="009C2342"/>
    <w:rsid w:val="009C26BF"/>
    <w:rsid w:val="009C27D6"/>
    <w:rsid w:val="009C2BCA"/>
    <w:rsid w:val="009C2C38"/>
    <w:rsid w:val="009C2CD0"/>
    <w:rsid w:val="009C3486"/>
    <w:rsid w:val="009C372C"/>
    <w:rsid w:val="009C3923"/>
    <w:rsid w:val="009C3969"/>
    <w:rsid w:val="009C3970"/>
    <w:rsid w:val="009C397B"/>
    <w:rsid w:val="009C39C7"/>
    <w:rsid w:val="009C3CDF"/>
    <w:rsid w:val="009C3E60"/>
    <w:rsid w:val="009C3FCA"/>
    <w:rsid w:val="009C4305"/>
    <w:rsid w:val="009C486C"/>
    <w:rsid w:val="009C489A"/>
    <w:rsid w:val="009C48F2"/>
    <w:rsid w:val="009C4A17"/>
    <w:rsid w:val="009C4A87"/>
    <w:rsid w:val="009C4B0C"/>
    <w:rsid w:val="009C4DF2"/>
    <w:rsid w:val="009C5005"/>
    <w:rsid w:val="009C522B"/>
    <w:rsid w:val="009C55D4"/>
    <w:rsid w:val="009C5708"/>
    <w:rsid w:val="009C59E8"/>
    <w:rsid w:val="009C5B46"/>
    <w:rsid w:val="009C5B47"/>
    <w:rsid w:val="009C5B57"/>
    <w:rsid w:val="009C5CF3"/>
    <w:rsid w:val="009C5E2F"/>
    <w:rsid w:val="009C5FD1"/>
    <w:rsid w:val="009C68B4"/>
    <w:rsid w:val="009C6927"/>
    <w:rsid w:val="009C6EE2"/>
    <w:rsid w:val="009C7C24"/>
    <w:rsid w:val="009C7E02"/>
    <w:rsid w:val="009D0210"/>
    <w:rsid w:val="009D048A"/>
    <w:rsid w:val="009D062B"/>
    <w:rsid w:val="009D06BE"/>
    <w:rsid w:val="009D06EF"/>
    <w:rsid w:val="009D09F7"/>
    <w:rsid w:val="009D17D2"/>
    <w:rsid w:val="009D17F7"/>
    <w:rsid w:val="009D18FE"/>
    <w:rsid w:val="009D1B47"/>
    <w:rsid w:val="009D1C2C"/>
    <w:rsid w:val="009D1EA3"/>
    <w:rsid w:val="009D21C6"/>
    <w:rsid w:val="009D252F"/>
    <w:rsid w:val="009D25F8"/>
    <w:rsid w:val="009D270C"/>
    <w:rsid w:val="009D27EA"/>
    <w:rsid w:val="009D27FB"/>
    <w:rsid w:val="009D28B9"/>
    <w:rsid w:val="009D2927"/>
    <w:rsid w:val="009D2CB1"/>
    <w:rsid w:val="009D300B"/>
    <w:rsid w:val="009D3095"/>
    <w:rsid w:val="009D314C"/>
    <w:rsid w:val="009D32F2"/>
    <w:rsid w:val="009D33FE"/>
    <w:rsid w:val="009D383F"/>
    <w:rsid w:val="009D3ADB"/>
    <w:rsid w:val="009D3E77"/>
    <w:rsid w:val="009D47FD"/>
    <w:rsid w:val="009D489E"/>
    <w:rsid w:val="009D4E48"/>
    <w:rsid w:val="009D4E83"/>
    <w:rsid w:val="009D5549"/>
    <w:rsid w:val="009D56DF"/>
    <w:rsid w:val="009D570A"/>
    <w:rsid w:val="009D5713"/>
    <w:rsid w:val="009D57C5"/>
    <w:rsid w:val="009D59E7"/>
    <w:rsid w:val="009D5A82"/>
    <w:rsid w:val="009D5D22"/>
    <w:rsid w:val="009D5D32"/>
    <w:rsid w:val="009D5EE3"/>
    <w:rsid w:val="009D5FCE"/>
    <w:rsid w:val="009D60EE"/>
    <w:rsid w:val="009D65FF"/>
    <w:rsid w:val="009D6867"/>
    <w:rsid w:val="009D68CA"/>
    <w:rsid w:val="009D6B8D"/>
    <w:rsid w:val="009D6B91"/>
    <w:rsid w:val="009D7086"/>
    <w:rsid w:val="009D7091"/>
    <w:rsid w:val="009D7122"/>
    <w:rsid w:val="009D7D29"/>
    <w:rsid w:val="009E05C3"/>
    <w:rsid w:val="009E0643"/>
    <w:rsid w:val="009E0838"/>
    <w:rsid w:val="009E0AF7"/>
    <w:rsid w:val="009E0B91"/>
    <w:rsid w:val="009E0C08"/>
    <w:rsid w:val="009E1050"/>
    <w:rsid w:val="009E1649"/>
    <w:rsid w:val="009E1B39"/>
    <w:rsid w:val="009E1BBB"/>
    <w:rsid w:val="009E1FD7"/>
    <w:rsid w:val="009E23ED"/>
    <w:rsid w:val="009E2824"/>
    <w:rsid w:val="009E291B"/>
    <w:rsid w:val="009E2A5C"/>
    <w:rsid w:val="009E2A9C"/>
    <w:rsid w:val="009E2C57"/>
    <w:rsid w:val="009E2DD5"/>
    <w:rsid w:val="009E2EB5"/>
    <w:rsid w:val="009E3015"/>
    <w:rsid w:val="009E3274"/>
    <w:rsid w:val="009E340B"/>
    <w:rsid w:val="009E35B5"/>
    <w:rsid w:val="009E37C6"/>
    <w:rsid w:val="009E3964"/>
    <w:rsid w:val="009E3C0C"/>
    <w:rsid w:val="009E3CEF"/>
    <w:rsid w:val="009E43B3"/>
    <w:rsid w:val="009E4493"/>
    <w:rsid w:val="009E4686"/>
    <w:rsid w:val="009E49C9"/>
    <w:rsid w:val="009E4BB7"/>
    <w:rsid w:val="009E4CC3"/>
    <w:rsid w:val="009E5182"/>
    <w:rsid w:val="009E522E"/>
    <w:rsid w:val="009E5572"/>
    <w:rsid w:val="009E55C7"/>
    <w:rsid w:val="009E56BE"/>
    <w:rsid w:val="009E5707"/>
    <w:rsid w:val="009E57A1"/>
    <w:rsid w:val="009E59C7"/>
    <w:rsid w:val="009E5B4B"/>
    <w:rsid w:val="009E5C8B"/>
    <w:rsid w:val="009E5E78"/>
    <w:rsid w:val="009E5ED9"/>
    <w:rsid w:val="009E5F5E"/>
    <w:rsid w:val="009E5FF3"/>
    <w:rsid w:val="009E617C"/>
    <w:rsid w:val="009E66B0"/>
    <w:rsid w:val="009E6F15"/>
    <w:rsid w:val="009E7049"/>
    <w:rsid w:val="009E7057"/>
    <w:rsid w:val="009E7179"/>
    <w:rsid w:val="009E729D"/>
    <w:rsid w:val="009E784E"/>
    <w:rsid w:val="009E7892"/>
    <w:rsid w:val="009E7BE5"/>
    <w:rsid w:val="009F00F5"/>
    <w:rsid w:val="009F028C"/>
    <w:rsid w:val="009F0837"/>
    <w:rsid w:val="009F0B49"/>
    <w:rsid w:val="009F12A4"/>
    <w:rsid w:val="009F13B4"/>
    <w:rsid w:val="009F1841"/>
    <w:rsid w:val="009F1873"/>
    <w:rsid w:val="009F197C"/>
    <w:rsid w:val="009F2042"/>
    <w:rsid w:val="009F2055"/>
    <w:rsid w:val="009F2095"/>
    <w:rsid w:val="009F22E0"/>
    <w:rsid w:val="009F255C"/>
    <w:rsid w:val="009F25A5"/>
    <w:rsid w:val="009F266F"/>
    <w:rsid w:val="009F2849"/>
    <w:rsid w:val="009F29EB"/>
    <w:rsid w:val="009F2B00"/>
    <w:rsid w:val="009F2C40"/>
    <w:rsid w:val="009F2D4F"/>
    <w:rsid w:val="009F3130"/>
    <w:rsid w:val="009F34CB"/>
    <w:rsid w:val="009F3604"/>
    <w:rsid w:val="009F3664"/>
    <w:rsid w:val="009F387B"/>
    <w:rsid w:val="009F3E06"/>
    <w:rsid w:val="009F3FE7"/>
    <w:rsid w:val="009F4463"/>
    <w:rsid w:val="009F464C"/>
    <w:rsid w:val="009F4706"/>
    <w:rsid w:val="009F479C"/>
    <w:rsid w:val="009F48BB"/>
    <w:rsid w:val="009F4AD8"/>
    <w:rsid w:val="009F4CD5"/>
    <w:rsid w:val="009F4D99"/>
    <w:rsid w:val="009F4F4D"/>
    <w:rsid w:val="009F5047"/>
    <w:rsid w:val="009F5076"/>
    <w:rsid w:val="009F50BD"/>
    <w:rsid w:val="009F51AD"/>
    <w:rsid w:val="009F55DA"/>
    <w:rsid w:val="009F5B37"/>
    <w:rsid w:val="009F5D3F"/>
    <w:rsid w:val="009F60CD"/>
    <w:rsid w:val="009F62BC"/>
    <w:rsid w:val="009F6357"/>
    <w:rsid w:val="009F6604"/>
    <w:rsid w:val="009F6CC5"/>
    <w:rsid w:val="009F7073"/>
    <w:rsid w:val="009F70F2"/>
    <w:rsid w:val="009F739B"/>
    <w:rsid w:val="009F77EE"/>
    <w:rsid w:val="009F7A81"/>
    <w:rsid w:val="009F7D25"/>
    <w:rsid w:val="009F7F83"/>
    <w:rsid w:val="00A00051"/>
    <w:rsid w:val="00A00193"/>
    <w:rsid w:val="00A0036B"/>
    <w:rsid w:val="00A006CF"/>
    <w:rsid w:val="00A007EF"/>
    <w:rsid w:val="00A00C41"/>
    <w:rsid w:val="00A00C5A"/>
    <w:rsid w:val="00A00E52"/>
    <w:rsid w:val="00A01989"/>
    <w:rsid w:val="00A019B7"/>
    <w:rsid w:val="00A01B31"/>
    <w:rsid w:val="00A01C32"/>
    <w:rsid w:val="00A01C50"/>
    <w:rsid w:val="00A01E45"/>
    <w:rsid w:val="00A01F02"/>
    <w:rsid w:val="00A02054"/>
    <w:rsid w:val="00A024D2"/>
    <w:rsid w:val="00A026A6"/>
    <w:rsid w:val="00A02982"/>
    <w:rsid w:val="00A02B1F"/>
    <w:rsid w:val="00A02DA3"/>
    <w:rsid w:val="00A031DC"/>
    <w:rsid w:val="00A03394"/>
    <w:rsid w:val="00A03764"/>
    <w:rsid w:val="00A038B4"/>
    <w:rsid w:val="00A0423D"/>
    <w:rsid w:val="00A04334"/>
    <w:rsid w:val="00A046ED"/>
    <w:rsid w:val="00A0485C"/>
    <w:rsid w:val="00A048C8"/>
    <w:rsid w:val="00A04C37"/>
    <w:rsid w:val="00A04C47"/>
    <w:rsid w:val="00A04D44"/>
    <w:rsid w:val="00A04E0B"/>
    <w:rsid w:val="00A04EA3"/>
    <w:rsid w:val="00A04F59"/>
    <w:rsid w:val="00A0512C"/>
    <w:rsid w:val="00A053B3"/>
    <w:rsid w:val="00A0550B"/>
    <w:rsid w:val="00A0563C"/>
    <w:rsid w:val="00A056D3"/>
    <w:rsid w:val="00A05DDF"/>
    <w:rsid w:val="00A05F2C"/>
    <w:rsid w:val="00A06079"/>
    <w:rsid w:val="00A0631B"/>
    <w:rsid w:val="00A066EB"/>
    <w:rsid w:val="00A06FC4"/>
    <w:rsid w:val="00A06FF9"/>
    <w:rsid w:val="00A07160"/>
    <w:rsid w:val="00A07637"/>
    <w:rsid w:val="00A076B5"/>
    <w:rsid w:val="00A07787"/>
    <w:rsid w:val="00A07AAA"/>
    <w:rsid w:val="00A07DD8"/>
    <w:rsid w:val="00A07FF4"/>
    <w:rsid w:val="00A10329"/>
    <w:rsid w:val="00A10915"/>
    <w:rsid w:val="00A11562"/>
    <w:rsid w:val="00A11654"/>
    <w:rsid w:val="00A116C6"/>
    <w:rsid w:val="00A11803"/>
    <w:rsid w:val="00A11815"/>
    <w:rsid w:val="00A11969"/>
    <w:rsid w:val="00A11B0E"/>
    <w:rsid w:val="00A11B3C"/>
    <w:rsid w:val="00A11BBB"/>
    <w:rsid w:val="00A11C85"/>
    <w:rsid w:val="00A11C9C"/>
    <w:rsid w:val="00A1244F"/>
    <w:rsid w:val="00A12BA9"/>
    <w:rsid w:val="00A130B5"/>
    <w:rsid w:val="00A136CA"/>
    <w:rsid w:val="00A1379E"/>
    <w:rsid w:val="00A13DB8"/>
    <w:rsid w:val="00A13EBD"/>
    <w:rsid w:val="00A13F7E"/>
    <w:rsid w:val="00A13FD3"/>
    <w:rsid w:val="00A14227"/>
    <w:rsid w:val="00A14561"/>
    <w:rsid w:val="00A14746"/>
    <w:rsid w:val="00A14808"/>
    <w:rsid w:val="00A14A81"/>
    <w:rsid w:val="00A14A8C"/>
    <w:rsid w:val="00A14DFF"/>
    <w:rsid w:val="00A14E9A"/>
    <w:rsid w:val="00A14F7D"/>
    <w:rsid w:val="00A15002"/>
    <w:rsid w:val="00A150C8"/>
    <w:rsid w:val="00A15135"/>
    <w:rsid w:val="00A1544B"/>
    <w:rsid w:val="00A154D6"/>
    <w:rsid w:val="00A157CC"/>
    <w:rsid w:val="00A15AAC"/>
    <w:rsid w:val="00A15D39"/>
    <w:rsid w:val="00A15F26"/>
    <w:rsid w:val="00A160BF"/>
    <w:rsid w:val="00A1617D"/>
    <w:rsid w:val="00A168D8"/>
    <w:rsid w:val="00A16C2B"/>
    <w:rsid w:val="00A16D45"/>
    <w:rsid w:val="00A16E7A"/>
    <w:rsid w:val="00A1709A"/>
    <w:rsid w:val="00A17789"/>
    <w:rsid w:val="00A1784F"/>
    <w:rsid w:val="00A1798E"/>
    <w:rsid w:val="00A17999"/>
    <w:rsid w:val="00A2046B"/>
    <w:rsid w:val="00A20589"/>
    <w:rsid w:val="00A20858"/>
    <w:rsid w:val="00A209FE"/>
    <w:rsid w:val="00A20EA7"/>
    <w:rsid w:val="00A2100E"/>
    <w:rsid w:val="00A2140D"/>
    <w:rsid w:val="00A218A9"/>
    <w:rsid w:val="00A21C0E"/>
    <w:rsid w:val="00A21D20"/>
    <w:rsid w:val="00A21E50"/>
    <w:rsid w:val="00A21F5D"/>
    <w:rsid w:val="00A221B3"/>
    <w:rsid w:val="00A2238F"/>
    <w:rsid w:val="00A2254C"/>
    <w:rsid w:val="00A22731"/>
    <w:rsid w:val="00A22A99"/>
    <w:rsid w:val="00A235DF"/>
    <w:rsid w:val="00A237C8"/>
    <w:rsid w:val="00A2383C"/>
    <w:rsid w:val="00A23ACD"/>
    <w:rsid w:val="00A23BC1"/>
    <w:rsid w:val="00A23E02"/>
    <w:rsid w:val="00A23E93"/>
    <w:rsid w:val="00A24177"/>
    <w:rsid w:val="00A24A29"/>
    <w:rsid w:val="00A251E2"/>
    <w:rsid w:val="00A25414"/>
    <w:rsid w:val="00A25676"/>
    <w:rsid w:val="00A259C0"/>
    <w:rsid w:val="00A25A0D"/>
    <w:rsid w:val="00A2679E"/>
    <w:rsid w:val="00A267AD"/>
    <w:rsid w:val="00A2692E"/>
    <w:rsid w:val="00A26A5B"/>
    <w:rsid w:val="00A26CC4"/>
    <w:rsid w:val="00A2719F"/>
    <w:rsid w:val="00A271B7"/>
    <w:rsid w:val="00A2721A"/>
    <w:rsid w:val="00A274F7"/>
    <w:rsid w:val="00A278B8"/>
    <w:rsid w:val="00A279E5"/>
    <w:rsid w:val="00A27A08"/>
    <w:rsid w:val="00A30180"/>
    <w:rsid w:val="00A304B2"/>
    <w:rsid w:val="00A30518"/>
    <w:rsid w:val="00A30564"/>
    <w:rsid w:val="00A308B7"/>
    <w:rsid w:val="00A30975"/>
    <w:rsid w:val="00A30A91"/>
    <w:rsid w:val="00A30BA5"/>
    <w:rsid w:val="00A30E82"/>
    <w:rsid w:val="00A30F1D"/>
    <w:rsid w:val="00A31342"/>
    <w:rsid w:val="00A3171E"/>
    <w:rsid w:val="00A31DE1"/>
    <w:rsid w:val="00A328E5"/>
    <w:rsid w:val="00A32ED3"/>
    <w:rsid w:val="00A330ED"/>
    <w:rsid w:val="00A33166"/>
    <w:rsid w:val="00A33B22"/>
    <w:rsid w:val="00A33EA3"/>
    <w:rsid w:val="00A34331"/>
    <w:rsid w:val="00A343C1"/>
    <w:rsid w:val="00A3445D"/>
    <w:rsid w:val="00A3446A"/>
    <w:rsid w:val="00A346D6"/>
    <w:rsid w:val="00A34711"/>
    <w:rsid w:val="00A347F5"/>
    <w:rsid w:val="00A3482D"/>
    <w:rsid w:val="00A3487B"/>
    <w:rsid w:val="00A348A5"/>
    <w:rsid w:val="00A34D51"/>
    <w:rsid w:val="00A34D5D"/>
    <w:rsid w:val="00A3528D"/>
    <w:rsid w:val="00A355D9"/>
    <w:rsid w:val="00A35AE4"/>
    <w:rsid w:val="00A35AEA"/>
    <w:rsid w:val="00A35CA9"/>
    <w:rsid w:val="00A35D10"/>
    <w:rsid w:val="00A35F59"/>
    <w:rsid w:val="00A36AA3"/>
    <w:rsid w:val="00A36DF3"/>
    <w:rsid w:val="00A36FC6"/>
    <w:rsid w:val="00A371E7"/>
    <w:rsid w:val="00A373C2"/>
    <w:rsid w:val="00A37786"/>
    <w:rsid w:val="00A379A8"/>
    <w:rsid w:val="00A379CD"/>
    <w:rsid w:val="00A37AB9"/>
    <w:rsid w:val="00A37C49"/>
    <w:rsid w:val="00A40159"/>
    <w:rsid w:val="00A40394"/>
    <w:rsid w:val="00A4072E"/>
    <w:rsid w:val="00A40D0F"/>
    <w:rsid w:val="00A412FC"/>
    <w:rsid w:val="00A413C8"/>
    <w:rsid w:val="00A41453"/>
    <w:rsid w:val="00A41527"/>
    <w:rsid w:val="00A415B7"/>
    <w:rsid w:val="00A4191C"/>
    <w:rsid w:val="00A41AF9"/>
    <w:rsid w:val="00A41B02"/>
    <w:rsid w:val="00A41FFC"/>
    <w:rsid w:val="00A4226F"/>
    <w:rsid w:val="00A422ED"/>
    <w:rsid w:val="00A422F9"/>
    <w:rsid w:val="00A42337"/>
    <w:rsid w:val="00A4243F"/>
    <w:rsid w:val="00A424D0"/>
    <w:rsid w:val="00A42770"/>
    <w:rsid w:val="00A42884"/>
    <w:rsid w:val="00A429A5"/>
    <w:rsid w:val="00A42B8A"/>
    <w:rsid w:val="00A4361B"/>
    <w:rsid w:val="00A437CA"/>
    <w:rsid w:val="00A438FC"/>
    <w:rsid w:val="00A439CA"/>
    <w:rsid w:val="00A43A24"/>
    <w:rsid w:val="00A43BF7"/>
    <w:rsid w:val="00A43C88"/>
    <w:rsid w:val="00A43CF7"/>
    <w:rsid w:val="00A441F1"/>
    <w:rsid w:val="00A446C8"/>
    <w:rsid w:val="00A447FF"/>
    <w:rsid w:val="00A44863"/>
    <w:rsid w:val="00A44CCB"/>
    <w:rsid w:val="00A44E0A"/>
    <w:rsid w:val="00A45258"/>
    <w:rsid w:val="00A452E2"/>
    <w:rsid w:val="00A45417"/>
    <w:rsid w:val="00A45619"/>
    <w:rsid w:val="00A45658"/>
    <w:rsid w:val="00A4566D"/>
    <w:rsid w:val="00A4585E"/>
    <w:rsid w:val="00A45A32"/>
    <w:rsid w:val="00A45AA2"/>
    <w:rsid w:val="00A45C5A"/>
    <w:rsid w:val="00A462AE"/>
    <w:rsid w:val="00A463E0"/>
    <w:rsid w:val="00A46D1B"/>
    <w:rsid w:val="00A46D2F"/>
    <w:rsid w:val="00A47019"/>
    <w:rsid w:val="00A470C7"/>
    <w:rsid w:val="00A474A9"/>
    <w:rsid w:val="00A47527"/>
    <w:rsid w:val="00A475E4"/>
    <w:rsid w:val="00A47930"/>
    <w:rsid w:val="00A47D5A"/>
    <w:rsid w:val="00A47F45"/>
    <w:rsid w:val="00A500ED"/>
    <w:rsid w:val="00A503F7"/>
    <w:rsid w:val="00A50561"/>
    <w:rsid w:val="00A505AD"/>
    <w:rsid w:val="00A506C3"/>
    <w:rsid w:val="00A50D3A"/>
    <w:rsid w:val="00A50D53"/>
    <w:rsid w:val="00A510E4"/>
    <w:rsid w:val="00A5114A"/>
    <w:rsid w:val="00A5115F"/>
    <w:rsid w:val="00A512C0"/>
    <w:rsid w:val="00A51776"/>
    <w:rsid w:val="00A51B15"/>
    <w:rsid w:val="00A51BBC"/>
    <w:rsid w:val="00A51F8A"/>
    <w:rsid w:val="00A5222B"/>
    <w:rsid w:val="00A526A9"/>
    <w:rsid w:val="00A52B6E"/>
    <w:rsid w:val="00A52C47"/>
    <w:rsid w:val="00A52C7B"/>
    <w:rsid w:val="00A534F9"/>
    <w:rsid w:val="00A53672"/>
    <w:rsid w:val="00A537FB"/>
    <w:rsid w:val="00A53CB5"/>
    <w:rsid w:val="00A53DEE"/>
    <w:rsid w:val="00A53E70"/>
    <w:rsid w:val="00A5416E"/>
    <w:rsid w:val="00A54A92"/>
    <w:rsid w:val="00A54B76"/>
    <w:rsid w:val="00A54C8E"/>
    <w:rsid w:val="00A54F09"/>
    <w:rsid w:val="00A55301"/>
    <w:rsid w:val="00A553AE"/>
    <w:rsid w:val="00A55468"/>
    <w:rsid w:val="00A55C93"/>
    <w:rsid w:val="00A56107"/>
    <w:rsid w:val="00A56196"/>
    <w:rsid w:val="00A562C6"/>
    <w:rsid w:val="00A563FB"/>
    <w:rsid w:val="00A5646F"/>
    <w:rsid w:val="00A5668F"/>
    <w:rsid w:val="00A56867"/>
    <w:rsid w:val="00A56AAF"/>
    <w:rsid w:val="00A56BD4"/>
    <w:rsid w:val="00A56E43"/>
    <w:rsid w:val="00A57139"/>
    <w:rsid w:val="00A5713D"/>
    <w:rsid w:val="00A57276"/>
    <w:rsid w:val="00A576DD"/>
    <w:rsid w:val="00A5795E"/>
    <w:rsid w:val="00A57B37"/>
    <w:rsid w:val="00A57B8A"/>
    <w:rsid w:val="00A57D24"/>
    <w:rsid w:val="00A60BD1"/>
    <w:rsid w:val="00A60DA2"/>
    <w:rsid w:val="00A60F1B"/>
    <w:rsid w:val="00A614A4"/>
    <w:rsid w:val="00A61A02"/>
    <w:rsid w:val="00A61BD8"/>
    <w:rsid w:val="00A61E14"/>
    <w:rsid w:val="00A61E85"/>
    <w:rsid w:val="00A61E8A"/>
    <w:rsid w:val="00A62408"/>
    <w:rsid w:val="00A6244F"/>
    <w:rsid w:val="00A627DE"/>
    <w:rsid w:val="00A62BE6"/>
    <w:rsid w:val="00A63207"/>
    <w:rsid w:val="00A633B0"/>
    <w:rsid w:val="00A63538"/>
    <w:rsid w:val="00A63595"/>
    <w:rsid w:val="00A63760"/>
    <w:rsid w:val="00A63994"/>
    <w:rsid w:val="00A63BFE"/>
    <w:rsid w:val="00A63C74"/>
    <w:rsid w:val="00A63F73"/>
    <w:rsid w:val="00A63FEE"/>
    <w:rsid w:val="00A64465"/>
    <w:rsid w:val="00A6472F"/>
    <w:rsid w:val="00A64F1A"/>
    <w:rsid w:val="00A65074"/>
    <w:rsid w:val="00A652BE"/>
    <w:rsid w:val="00A65CB0"/>
    <w:rsid w:val="00A65F58"/>
    <w:rsid w:val="00A65F8F"/>
    <w:rsid w:val="00A66070"/>
    <w:rsid w:val="00A66354"/>
    <w:rsid w:val="00A663E2"/>
    <w:rsid w:val="00A665F7"/>
    <w:rsid w:val="00A666AC"/>
    <w:rsid w:val="00A6670E"/>
    <w:rsid w:val="00A66A36"/>
    <w:rsid w:val="00A66BA8"/>
    <w:rsid w:val="00A66D78"/>
    <w:rsid w:val="00A66F8F"/>
    <w:rsid w:val="00A6711A"/>
    <w:rsid w:val="00A6715E"/>
    <w:rsid w:val="00A674C3"/>
    <w:rsid w:val="00A67713"/>
    <w:rsid w:val="00A67B68"/>
    <w:rsid w:val="00A67C3A"/>
    <w:rsid w:val="00A70244"/>
    <w:rsid w:val="00A70430"/>
    <w:rsid w:val="00A70949"/>
    <w:rsid w:val="00A71392"/>
    <w:rsid w:val="00A71411"/>
    <w:rsid w:val="00A71723"/>
    <w:rsid w:val="00A71A37"/>
    <w:rsid w:val="00A71F75"/>
    <w:rsid w:val="00A72170"/>
    <w:rsid w:val="00A72190"/>
    <w:rsid w:val="00A7239E"/>
    <w:rsid w:val="00A72603"/>
    <w:rsid w:val="00A72633"/>
    <w:rsid w:val="00A72685"/>
    <w:rsid w:val="00A728DD"/>
    <w:rsid w:val="00A728EB"/>
    <w:rsid w:val="00A72951"/>
    <w:rsid w:val="00A72AA7"/>
    <w:rsid w:val="00A72ACD"/>
    <w:rsid w:val="00A72B09"/>
    <w:rsid w:val="00A72B27"/>
    <w:rsid w:val="00A72B63"/>
    <w:rsid w:val="00A72C20"/>
    <w:rsid w:val="00A7311E"/>
    <w:rsid w:val="00A7313B"/>
    <w:rsid w:val="00A73168"/>
    <w:rsid w:val="00A73185"/>
    <w:rsid w:val="00A736D6"/>
    <w:rsid w:val="00A73D18"/>
    <w:rsid w:val="00A73D2E"/>
    <w:rsid w:val="00A74130"/>
    <w:rsid w:val="00A743A2"/>
    <w:rsid w:val="00A744A0"/>
    <w:rsid w:val="00A749CF"/>
    <w:rsid w:val="00A75176"/>
    <w:rsid w:val="00A753A3"/>
    <w:rsid w:val="00A756FC"/>
    <w:rsid w:val="00A75C08"/>
    <w:rsid w:val="00A75D15"/>
    <w:rsid w:val="00A75EA3"/>
    <w:rsid w:val="00A75F68"/>
    <w:rsid w:val="00A76294"/>
    <w:rsid w:val="00A762BF"/>
    <w:rsid w:val="00A764D1"/>
    <w:rsid w:val="00A768AE"/>
    <w:rsid w:val="00A76AB2"/>
    <w:rsid w:val="00A76B55"/>
    <w:rsid w:val="00A76C6B"/>
    <w:rsid w:val="00A76C8F"/>
    <w:rsid w:val="00A76E64"/>
    <w:rsid w:val="00A76EA8"/>
    <w:rsid w:val="00A76F4A"/>
    <w:rsid w:val="00A77266"/>
    <w:rsid w:val="00A777E4"/>
    <w:rsid w:val="00A77A29"/>
    <w:rsid w:val="00A77C29"/>
    <w:rsid w:val="00A77C36"/>
    <w:rsid w:val="00A77DC0"/>
    <w:rsid w:val="00A77E95"/>
    <w:rsid w:val="00A77EAC"/>
    <w:rsid w:val="00A79769"/>
    <w:rsid w:val="00A80377"/>
    <w:rsid w:val="00A804BE"/>
    <w:rsid w:val="00A80745"/>
    <w:rsid w:val="00A807B8"/>
    <w:rsid w:val="00A80840"/>
    <w:rsid w:val="00A809FC"/>
    <w:rsid w:val="00A80BC4"/>
    <w:rsid w:val="00A812B4"/>
    <w:rsid w:val="00A8185E"/>
    <w:rsid w:val="00A81A0E"/>
    <w:rsid w:val="00A81DDE"/>
    <w:rsid w:val="00A81E55"/>
    <w:rsid w:val="00A81E78"/>
    <w:rsid w:val="00A820D0"/>
    <w:rsid w:val="00A820D9"/>
    <w:rsid w:val="00A823A6"/>
    <w:rsid w:val="00A825A3"/>
    <w:rsid w:val="00A826B5"/>
    <w:rsid w:val="00A82A67"/>
    <w:rsid w:val="00A82C58"/>
    <w:rsid w:val="00A82D58"/>
    <w:rsid w:val="00A82FCF"/>
    <w:rsid w:val="00A833C9"/>
    <w:rsid w:val="00A83563"/>
    <w:rsid w:val="00A83823"/>
    <w:rsid w:val="00A83886"/>
    <w:rsid w:val="00A83AB6"/>
    <w:rsid w:val="00A83E2A"/>
    <w:rsid w:val="00A83FEC"/>
    <w:rsid w:val="00A840F0"/>
    <w:rsid w:val="00A8413F"/>
    <w:rsid w:val="00A84163"/>
    <w:rsid w:val="00A84204"/>
    <w:rsid w:val="00A8425D"/>
    <w:rsid w:val="00A843E6"/>
    <w:rsid w:val="00A8441F"/>
    <w:rsid w:val="00A84475"/>
    <w:rsid w:val="00A848EE"/>
    <w:rsid w:val="00A84966"/>
    <w:rsid w:val="00A84CF7"/>
    <w:rsid w:val="00A84F9E"/>
    <w:rsid w:val="00A85282"/>
    <w:rsid w:val="00A852B5"/>
    <w:rsid w:val="00A853C3"/>
    <w:rsid w:val="00A8545F"/>
    <w:rsid w:val="00A85A3D"/>
    <w:rsid w:val="00A85B2E"/>
    <w:rsid w:val="00A85C08"/>
    <w:rsid w:val="00A85EB7"/>
    <w:rsid w:val="00A86006"/>
    <w:rsid w:val="00A8649D"/>
    <w:rsid w:val="00A86588"/>
    <w:rsid w:val="00A8662E"/>
    <w:rsid w:val="00A868E6"/>
    <w:rsid w:val="00A86A8E"/>
    <w:rsid w:val="00A86AEF"/>
    <w:rsid w:val="00A86BCC"/>
    <w:rsid w:val="00A86F67"/>
    <w:rsid w:val="00A870E0"/>
    <w:rsid w:val="00A8740F"/>
    <w:rsid w:val="00A874E3"/>
    <w:rsid w:val="00A87B3F"/>
    <w:rsid w:val="00A87C20"/>
    <w:rsid w:val="00A9020D"/>
    <w:rsid w:val="00A9029F"/>
    <w:rsid w:val="00A904A5"/>
    <w:rsid w:val="00A904DA"/>
    <w:rsid w:val="00A905AC"/>
    <w:rsid w:val="00A90942"/>
    <w:rsid w:val="00A90F46"/>
    <w:rsid w:val="00A90FEF"/>
    <w:rsid w:val="00A9114E"/>
    <w:rsid w:val="00A911C9"/>
    <w:rsid w:val="00A915B7"/>
    <w:rsid w:val="00A9193C"/>
    <w:rsid w:val="00A922D9"/>
    <w:rsid w:val="00A92594"/>
    <w:rsid w:val="00A928C5"/>
    <w:rsid w:val="00A934A0"/>
    <w:rsid w:val="00A93731"/>
    <w:rsid w:val="00A937E6"/>
    <w:rsid w:val="00A937EA"/>
    <w:rsid w:val="00A93A9C"/>
    <w:rsid w:val="00A93ECA"/>
    <w:rsid w:val="00A93ED6"/>
    <w:rsid w:val="00A94250"/>
    <w:rsid w:val="00A943F3"/>
    <w:rsid w:val="00A94748"/>
    <w:rsid w:val="00A94A4F"/>
    <w:rsid w:val="00A94BB8"/>
    <w:rsid w:val="00A954A1"/>
    <w:rsid w:val="00A95A61"/>
    <w:rsid w:val="00A95BA2"/>
    <w:rsid w:val="00A95CB1"/>
    <w:rsid w:val="00A95FFF"/>
    <w:rsid w:val="00A960B4"/>
    <w:rsid w:val="00A962A7"/>
    <w:rsid w:val="00A96573"/>
    <w:rsid w:val="00A96681"/>
    <w:rsid w:val="00A966AB"/>
    <w:rsid w:val="00A9674D"/>
    <w:rsid w:val="00A9690A"/>
    <w:rsid w:val="00A96AF2"/>
    <w:rsid w:val="00A96B01"/>
    <w:rsid w:val="00A96C7A"/>
    <w:rsid w:val="00A976BC"/>
    <w:rsid w:val="00A97F65"/>
    <w:rsid w:val="00AA036B"/>
    <w:rsid w:val="00AA038E"/>
    <w:rsid w:val="00AA08CC"/>
    <w:rsid w:val="00AA091A"/>
    <w:rsid w:val="00AA0EE5"/>
    <w:rsid w:val="00AA1024"/>
    <w:rsid w:val="00AA14A5"/>
    <w:rsid w:val="00AA17CC"/>
    <w:rsid w:val="00AA18A2"/>
    <w:rsid w:val="00AA18F5"/>
    <w:rsid w:val="00AA1937"/>
    <w:rsid w:val="00AA1E6F"/>
    <w:rsid w:val="00AA214F"/>
    <w:rsid w:val="00AA24BD"/>
    <w:rsid w:val="00AA25AF"/>
    <w:rsid w:val="00AA2DE8"/>
    <w:rsid w:val="00AA32E9"/>
    <w:rsid w:val="00AA3412"/>
    <w:rsid w:val="00AA34D6"/>
    <w:rsid w:val="00AA36ED"/>
    <w:rsid w:val="00AA3785"/>
    <w:rsid w:val="00AA3A2A"/>
    <w:rsid w:val="00AA3AF4"/>
    <w:rsid w:val="00AA3BE1"/>
    <w:rsid w:val="00AA4527"/>
    <w:rsid w:val="00AA46ED"/>
    <w:rsid w:val="00AA4724"/>
    <w:rsid w:val="00AA47D2"/>
    <w:rsid w:val="00AA487B"/>
    <w:rsid w:val="00AA4B19"/>
    <w:rsid w:val="00AA4C95"/>
    <w:rsid w:val="00AA4CD0"/>
    <w:rsid w:val="00AA4F34"/>
    <w:rsid w:val="00AA542A"/>
    <w:rsid w:val="00AA546E"/>
    <w:rsid w:val="00AA54B1"/>
    <w:rsid w:val="00AA563E"/>
    <w:rsid w:val="00AA56FD"/>
    <w:rsid w:val="00AA575D"/>
    <w:rsid w:val="00AA63A1"/>
    <w:rsid w:val="00AA63CC"/>
    <w:rsid w:val="00AA642B"/>
    <w:rsid w:val="00AA6619"/>
    <w:rsid w:val="00AA6897"/>
    <w:rsid w:val="00AA7080"/>
    <w:rsid w:val="00AA72D6"/>
    <w:rsid w:val="00AA73FC"/>
    <w:rsid w:val="00AA7555"/>
    <w:rsid w:val="00AA7753"/>
    <w:rsid w:val="00AA7877"/>
    <w:rsid w:val="00AA7D1C"/>
    <w:rsid w:val="00AA7D61"/>
    <w:rsid w:val="00AA7EF1"/>
    <w:rsid w:val="00AB01E3"/>
    <w:rsid w:val="00AB0378"/>
    <w:rsid w:val="00AB09B6"/>
    <w:rsid w:val="00AB09F1"/>
    <w:rsid w:val="00AB0A4D"/>
    <w:rsid w:val="00AB0B19"/>
    <w:rsid w:val="00AB0CFA"/>
    <w:rsid w:val="00AB1305"/>
    <w:rsid w:val="00AB1752"/>
    <w:rsid w:val="00AB218F"/>
    <w:rsid w:val="00AB23B3"/>
    <w:rsid w:val="00AB2544"/>
    <w:rsid w:val="00AB255E"/>
    <w:rsid w:val="00AB2E6A"/>
    <w:rsid w:val="00AB3162"/>
    <w:rsid w:val="00AB3563"/>
    <w:rsid w:val="00AB387A"/>
    <w:rsid w:val="00AB389F"/>
    <w:rsid w:val="00AB3AEF"/>
    <w:rsid w:val="00AB3D8E"/>
    <w:rsid w:val="00AB40EE"/>
    <w:rsid w:val="00AB4259"/>
    <w:rsid w:val="00AB4650"/>
    <w:rsid w:val="00AB48F6"/>
    <w:rsid w:val="00AB49B1"/>
    <w:rsid w:val="00AB4AC8"/>
    <w:rsid w:val="00AB509B"/>
    <w:rsid w:val="00AB50EF"/>
    <w:rsid w:val="00AB50F6"/>
    <w:rsid w:val="00AB520D"/>
    <w:rsid w:val="00AB5732"/>
    <w:rsid w:val="00AB5F44"/>
    <w:rsid w:val="00AB6136"/>
    <w:rsid w:val="00AB6210"/>
    <w:rsid w:val="00AB6256"/>
    <w:rsid w:val="00AB6835"/>
    <w:rsid w:val="00AB6939"/>
    <w:rsid w:val="00AB6B9E"/>
    <w:rsid w:val="00AB6BC5"/>
    <w:rsid w:val="00AB6D37"/>
    <w:rsid w:val="00AB6DCF"/>
    <w:rsid w:val="00AB6E6A"/>
    <w:rsid w:val="00AB6F6E"/>
    <w:rsid w:val="00AB74E8"/>
    <w:rsid w:val="00AB7CDE"/>
    <w:rsid w:val="00AC011E"/>
    <w:rsid w:val="00AC0282"/>
    <w:rsid w:val="00AC06A7"/>
    <w:rsid w:val="00AC0733"/>
    <w:rsid w:val="00AC08E2"/>
    <w:rsid w:val="00AC0D87"/>
    <w:rsid w:val="00AC1078"/>
    <w:rsid w:val="00AC12F2"/>
    <w:rsid w:val="00AC1354"/>
    <w:rsid w:val="00AC171A"/>
    <w:rsid w:val="00AC1A62"/>
    <w:rsid w:val="00AC1BD4"/>
    <w:rsid w:val="00AC1F58"/>
    <w:rsid w:val="00AC1FBD"/>
    <w:rsid w:val="00AC204A"/>
    <w:rsid w:val="00AC22DE"/>
    <w:rsid w:val="00AC24D5"/>
    <w:rsid w:val="00AC2896"/>
    <w:rsid w:val="00AC289A"/>
    <w:rsid w:val="00AC2F0D"/>
    <w:rsid w:val="00AC314C"/>
    <w:rsid w:val="00AC31E3"/>
    <w:rsid w:val="00AC32E3"/>
    <w:rsid w:val="00AC364C"/>
    <w:rsid w:val="00AC3B75"/>
    <w:rsid w:val="00AC41DE"/>
    <w:rsid w:val="00AC425E"/>
    <w:rsid w:val="00AC42FF"/>
    <w:rsid w:val="00AC4B52"/>
    <w:rsid w:val="00AC4D1B"/>
    <w:rsid w:val="00AC5015"/>
    <w:rsid w:val="00AC5AE8"/>
    <w:rsid w:val="00AC5FC7"/>
    <w:rsid w:val="00AC656F"/>
    <w:rsid w:val="00AC65A3"/>
    <w:rsid w:val="00AC6777"/>
    <w:rsid w:val="00AC67D3"/>
    <w:rsid w:val="00AC6AE5"/>
    <w:rsid w:val="00AC6AE9"/>
    <w:rsid w:val="00AC6E1C"/>
    <w:rsid w:val="00AC71DF"/>
    <w:rsid w:val="00AC737F"/>
    <w:rsid w:val="00AC775E"/>
    <w:rsid w:val="00AC7B3D"/>
    <w:rsid w:val="00AC7C19"/>
    <w:rsid w:val="00AC7CC5"/>
    <w:rsid w:val="00AC7CCF"/>
    <w:rsid w:val="00AD024E"/>
    <w:rsid w:val="00AD02E7"/>
    <w:rsid w:val="00AD0313"/>
    <w:rsid w:val="00AD034E"/>
    <w:rsid w:val="00AD079C"/>
    <w:rsid w:val="00AD0BAD"/>
    <w:rsid w:val="00AD0BFA"/>
    <w:rsid w:val="00AD0C71"/>
    <w:rsid w:val="00AD0F62"/>
    <w:rsid w:val="00AD140E"/>
    <w:rsid w:val="00AD160A"/>
    <w:rsid w:val="00AD1FA7"/>
    <w:rsid w:val="00AD234E"/>
    <w:rsid w:val="00AD2647"/>
    <w:rsid w:val="00AD28E6"/>
    <w:rsid w:val="00AD29FE"/>
    <w:rsid w:val="00AD2BC8"/>
    <w:rsid w:val="00AD3369"/>
    <w:rsid w:val="00AD35A1"/>
    <w:rsid w:val="00AD36BF"/>
    <w:rsid w:val="00AD3759"/>
    <w:rsid w:val="00AD3862"/>
    <w:rsid w:val="00AD3A61"/>
    <w:rsid w:val="00AD3AD2"/>
    <w:rsid w:val="00AD3B05"/>
    <w:rsid w:val="00AD3CEB"/>
    <w:rsid w:val="00AD3DAA"/>
    <w:rsid w:val="00AD402D"/>
    <w:rsid w:val="00AD4072"/>
    <w:rsid w:val="00AD4139"/>
    <w:rsid w:val="00AD438A"/>
    <w:rsid w:val="00AD4395"/>
    <w:rsid w:val="00AD43E5"/>
    <w:rsid w:val="00AD4961"/>
    <w:rsid w:val="00AD4AD3"/>
    <w:rsid w:val="00AD4F20"/>
    <w:rsid w:val="00AD5232"/>
    <w:rsid w:val="00AD54A0"/>
    <w:rsid w:val="00AD55D3"/>
    <w:rsid w:val="00AD57B9"/>
    <w:rsid w:val="00AD5957"/>
    <w:rsid w:val="00AD5AC7"/>
    <w:rsid w:val="00AD5DDE"/>
    <w:rsid w:val="00AD60BE"/>
    <w:rsid w:val="00AD649B"/>
    <w:rsid w:val="00AD65FE"/>
    <w:rsid w:val="00AD6B0A"/>
    <w:rsid w:val="00AD6B6C"/>
    <w:rsid w:val="00AD6B87"/>
    <w:rsid w:val="00AD6BCB"/>
    <w:rsid w:val="00AD6CD4"/>
    <w:rsid w:val="00AD7049"/>
    <w:rsid w:val="00AD7054"/>
    <w:rsid w:val="00AD70C0"/>
    <w:rsid w:val="00AD752F"/>
    <w:rsid w:val="00AD7BD9"/>
    <w:rsid w:val="00AE0307"/>
    <w:rsid w:val="00AE040A"/>
    <w:rsid w:val="00AE04AB"/>
    <w:rsid w:val="00AE0704"/>
    <w:rsid w:val="00AE0BDF"/>
    <w:rsid w:val="00AE0CEC"/>
    <w:rsid w:val="00AE0DA3"/>
    <w:rsid w:val="00AE0E79"/>
    <w:rsid w:val="00AE139B"/>
    <w:rsid w:val="00AE142D"/>
    <w:rsid w:val="00AE156F"/>
    <w:rsid w:val="00AE17E3"/>
    <w:rsid w:val="00AE1804"/>
    <w:rsid w:val="00AE2170"/>
    <w:rsid w:val="00AE2187"/>
    <w:rsid w:val="00AE22AE"/>
    <w:rsid w:val="00AE2334"/>
    <w:rsid w:val="00AE2349"/>
    <w:rsid w:val="00AE26F6"/>
    <w:rsid w:val="00AE29CB"/>
    <w:rsid w:val="00AE2CC1"/>
    <w:rsid w:val="00AE3024"/>
    <w:rsid w:val="00AE308C"/>
    <w:rsid w:val="00AE31D3"/>
    <w:rsid w:val="00AE33C0"/>
    <w:rsid w:val="00AE37B0"/>
    <w:rsid w:val="00AE3B05"/>
    <w:rsid w:val="00AE3CAC"/>
    <w:rsid w:val="00AE3F16"/>
    <w:rsid w:val="00AE3F25"/>
    <w:rsid w:val="00AE4377"/>
    <w:rsid w:val="00AE4618"/>
    <w:rsid w:val="00AE4730"/>
    <w:rsid w:val="00AE49F7"/>
    <w:rsid w:val="00AE4C80"/>
    <w:rsid w:val="00AE533B"/>
    <w:rsid w:val="00AE562A"/>
    <w:rsid w:val="00AE56D5"/>
    <w:rsid w:val="00AE5724"/>
    <w:rsid w:val="00AE5941"/>
    <w:rsid w:val="00AE5C7C"/>
    <w:rsid w:val="00AE5FE5"/>
    <w:rsid w:val="00AE628F"/>
    <w:rsid w:val="00AE66EC"/>
    <w:rsid w:val="00AE68DA"/>
    <w:rsid w:val="00AE68E0"/>
    <w:rsid w:val="00AE6AD5"/>
    <w:rsid w:val="00AE6BD0"/>
    <w:rsid w:val="00AE6D3D"/>
    <w:rsid w:val="00AE72B4"/>
    <w:rsid w:val="00AE7355"/>
    <w:rsid w:val="00AE7538"/>
    <w:rsid w:val="00AE7777"/>
    <w:rsid w:val="00AE79B9"/>
    <w:rsid w:val="00AE7AE0"/>
    <w:rsid w:val="00AF030C"/>
    <w:rsid w:val="00AF097B"/>
    <w:rsid w:val="00AF09EF"/>
    <w:rsid w:val="00AF0A79"/>
    <w:rsid w:val="00AF0B5C"/>
    <w:rsid w:val="00AF0BE4"/>
    <w:rsid w:val="00AF0C00"/>
    <w:rsid w:val="00AF0CAF"/>
    <w:rsid w:val="00AF0D35"/>
    <w:rsid w:val="00AF0E73"/>
    <w:rsid w:val="00AF10B0"/>
    <w:rsid w:val="00AF121B"/>
    <w:rsid w:val="00AF1276"/>
    <w:rsid w:val="00AF1380"/>
    <w:rsid w:val="00AF139E"/>
    <w:rsid w:val="00AF181F"/>
    <w:rsid w:val="00AF1969"/>
    <w:rsid w:val="00AF1AB3"/>
    <w:rsid w:val="00AF1BC4"/>
    <w:rsid w:val="00AF27A3"/>
    <w:rsid w:val="00AF2994"/>
    <w:rsid w:val="00AF29AF"/>
    <w:rsid w:val="00AF2B3B"/>
    <w:rsid w:val="00AF2C35"/>
    <w:rsid w:val="00AF2C56"/>
    <w:rsid w:val="00AF3159"/>
    <w:rsid w:val="00AF32A0"/>
    <w:rsid w:val="00AF37FC"/>
    <w:rsid w:val="00AF3D85"/>
    <w:rsid w:val="00AF3FD8"/>
    <w:rsid w:val="00AF419C"/>
    <w:rsid w:val="00AF4234"/>
    <w:rsid w:val="00AF4250"/>
    <w:rsid w:val="00AF4463"/>
    <w:rsid w:val="00AF467A"/>
    <w:rsid w:val="00AF4D86"/>
    <w:rsid w:val="00AF4F7F"/>
    <w:rsid w:val="00AF5C63"/>
    <w:rsid w:val="00AF5C73"/>
    <w:rsid w:val="00AF5F19"/>
    <w:rsid w:val="00AF61E3"/>
    <w:rsid w:val="00AF65FA"/>
    <w:rsid w:val="00AF668A"/>
    <w:rsid w:val="00AF67CE"/>
    <w:rsid w:val="00AF6C99"/>
    <w:rsid w:val="00AF6CA9"/>
    <w:rsid w:val="00AF74D5"/>
    <w:rsid w:val="00AF75E6"/>
    <w:rsid w:val="00AF77C8"/>
    <w:rsid w:val="00AF79C1"/>
    <w:rsid w:val="00AF7A4C"/>
    <w:rsid w:val="00AF7A76"/>
    <w:rsid w:val="00AF7A8B"/>
    <w:rsid w:val="00AF7AD3"/>
    <w:rsid w:val="00AF7B5F"/>
    <w:rsid w:val="00AF7CE9"/>
    <w:rsid w:val="00B006C4"/>
    <w:rsid w:val="00B00A14"/>
    <w:rsid w:val="00B00C6C"/>
    <w:rsid w:val="00B0129A"/>
    <w:rsid w:val="00B012AC"/>
    <w:rsid w:val="00B012E7"/>
    <w:rsid w:val="00B01325"/>
    <w:rsid w:val="00B01551"/>
    <w:rsid w:val="00B0173E"/>
    <w:rsid w:val="00B01D2A"/>
    <w:rsid w:val="00B01F24"/>
    <w:rsid w:val="00B02413"/>
    <w:rsid w:val="00B0281A"/>
    <w:rsid w:val="00B02AC6"/>
    <w:rsid w:val="00B02D09"/>
    <w:rsid w:val="00B0304B"/>
    <w:rsid w:val="00B031FA"/>
    <w:rsid w:val="00B033B4"/>
    <w:rsid w:val="00B037E7"/>
    <w:rsid w:val="00B03ACB"/>
    <w:rsid w:val="00B04062"/>
    <w:rsid w:val="00B04147"/>
    <w:rsid w:val="00B0420B"/>
    <w:rsid w:val="00B04320"/>
    <w:rsid w:val="00B04430"/>
    <w:rsid w:val="00B0453E"/>
    <w:rsid w:val="00B0460C"/>
    <w:rsid w:val="00B049D8"/>
    <w:rsid w:val="00B04B72"/>
    <w:rsid w:val="00B05190"/>
    <w:rsid w:val="00B05259"/>
    <w:rsid w:val="00B052DE"/>
    <w:rsid w:val="00B052F4"/>
    <w:rsid w:val="00B053BA"/>
    <w:rsid w:val="00B05BF1"/>
    <w:rsid w:val="00B05C21"/>
    <w:rsid w:val="00B05D30"/>
    <w:rsid w:val="00B05FB9"/>
    <w:rsid w:val="00B0606E"/>
    <w:rsid w:val="00B064FC"/>
    <w:rsid w:val="00B065CE"/>
    <w:rsid w:val="00B06A93"/>
    <w:rsid w:val="00B0718F"/>
    <w:rsid w:val="00B075F5"/>
    <w:rsid w:val="00B0769C"/>
    <w:rsid w:val="00B077F3"/>
    <w:rsid w:val="00B078E1"/>
    <w:rsid w:val="00B07B94"/>
    <w:rsid w:val="00B07C76"/>
    <w:rsid w:val="00B07D8D"/>
    <w:rsid w:val="00B104CD"/>
    <w:rsid w:val="00B10529"/>
    <w:rsid w:val="00B10A37"/>
    <w:rsid w:val="00B10C1E"/>
    <w:rsid w:val="00B10D63"/>
    <w:rsid w:val="00B10FE1"/>
    <w:rsid w:val="00B1121A"/>
    <w:rsid w:val="00B11277"/>
    <w:rsid w:val="00B11309"/>
    <w:rsid w:val="00B11654"/>
    <w:rsid w:val="00B116E8"/>
    <w:rsid w:val="00B11722"/>
    <w:rsid w:val="00B11913"/>
    <w:rsid w:val="00B119D4"/>
    <w:rsid w:val="00B11B97"/>
    <w:rsid w:val="00B11C2F"/>
    <w:rsid w:val="00B11DB2"/>
    <w:rsid w:val="00B11F17"/>
    <w:rsid w:val="00B11F90"/>
    <w:rsid w:val="00B120DD"/>
    <w:rsid w:val="00B1216C"/>
    <w:rsid w:val="00B12C15"/>
    <w:rsid w:val="00B12CB4"/>
    <w:rsid w:val="00B12FC5"/>
    <w:rsid w:val="00B131A5"/>
    <w:rsid w:val="00B131F7"/>
    <w:rsid w:val="00B133AA"/>
    <w:rsid w:val="00B138A1"/>
    <w:rsid w:val="00B13C5D"/>
    <w:rsid w:val="00B13F8F"/>
    <w:rsid w:val="00B14000"/>
    <w:rsid w:val="00B14531"/>
    <w:rsid w:val="00B14657"/>
    <w:rsid w:val="00B147F7"/>
    <w:rsid w:val="00B1485A"/>
    <w:rsid w:val="00B14961"/>
    <w:rsid w:val="00B14BE7"/>
    <w:rsid w:val="00B14C52"/>
    <w:rsid w:val="00B14CAB"/>
    <w:rsid w:val="00B14CDA"/>
    <w:rsid w:val="00B14D7C"/>
    <w:rsid w:val="00B14E67"/>
    <w:rsid w:val="00B1512E"/>
    <w:rsid w:val="00B15411"/>
    <w:rsid w:val="00B157AE"/>
    <w:rsid w:val="00B15874"/>
    <w:rsid w:val="00B15A9E"/>
    <w:rsid w:val="00B15DBD"/>
    <w:rsid w:val="00B15DC6"/>
    <w:rsid w:val="00B15F27"/>
    <w:rsid w:val="00B15FD5"/>
    <w:rsid w:val="00B16090"/>
    <w:rsid w:val="00B16207"/>
    <w:rsid w:val="00B16546"/>
    <w:rsid w:val="00B167C9"/>
    <w:rsid w:val="00B16E16"/>
    <w:rsid w:val="00B1724E"/>
    <w:rsid w:val="00B1756C"/>
    <w:rsid w:val="00B176FE"/>
    <w:rsid w:val="00B178EC"/>
    <w:rsid w:val="00B179AA"/>
    <w:rsid w:val="00B17ACA"/>
    <w:rsid w:val="00B17C9F"/>
    <w:rsid w:val="00B20057"/>
    <w:rsid w:val="00B2006F"/>
    <w:rsid w:val="00B20591"/>
    <w:rsid w:val="00B207AD"/>
    <w:rsid w:val="00B207B0"/>
    <w:rsid w:val="00B207C1"/>
    <w:rsid w:val="00B2085F"/>
    <w:rsid w:val="00B20FFA"/>
    <w:rsid w:val="00B21053"/>
    <w:rsid w:val="00B21206"/>
    <w:rsid w:val="00B213E7"/>
    <w:rsid w:val="00B2155A"/>
    <w:rsid w:val="00B2187F"/>
    <w:rsid w:val="00B21A1E"/>
    <w:rsid w:val="00B21D9D"/>
    <w:rsid w:val="00B21F7D"/>
    <w:rsid w:val="00B2209B"/>
    <w:rsid w:val="00B225A0"/>
    <w:rsid w:val="00B225B0"/>
    <w:rsid w:val="00B22998"/>
    <w:rsid w:val="00B22A30"/>
    <w:rsid w:val="00B22DDC"/>
    <w:rsid w:val="00B23364"/>
    <w:rsid w:val="00B23840"/>
    <w:rsid w:val="00B23844"/>
    <w:rsid w:val="00B23B0E"/>
    <w:rsid w:val="00B23C26"/>
    <w:rsid w:val="00B23C38"/>
    <w:rsid w:val="00B23D83"/>
    <w:rsid w:val="00B23ED3"/>
    <w:rsid w:val="00B241EC"/>
    <w:rsid w:val="00B24416"/>
    <w:rsid w:val="00B244F4"/>
    <w:rsid w:val="00B24643"/>
    <w:rsid w:val="00B24C80"/>
    <w:rsid w:val="00B24E17"/>
    <w:rsid w:val="00B24F9C"/>
    <w:rsid w:val="00B25411"/>
    <w:rsid w:val="00B25695"/>
    <w:rsid w:val="00B25995"/>
    <w:rsid w:val="00B25D78"/>
    <w:rsid w:val="00B25DC2"/>
    <w:rsid w:val="00B25E5B"/>
    <w:rsid w:val="00B26163"/>
    <w:rsid w:val="00B2630B"/>
    <w:rsid w:val="00B2653D"/>
    <w:rsid w:val="00B26B6D"/>
    <w:rsid w:val="00B26CB0"/>
    <w:rsid w:val="00B26F64"/>
    <w:rsid w:val="00B26FDA"/>
    <w:rsid w:val="00B272D3"/>
    <w:rsid w:val="00B274D7"/>
    <w:rsid w:val="00B27620"/>
    <w:rsid w:val="00B27728"/>
    <w:rsid w:val="00B27792"/>
    <w:rsid w:val="00B27B34"/>
    <w:rsid w:val="00B30770"/>
    <w:rsid w:val="00B308D0"/>
    <w:rsid w:val="00B30A08"/>
    <w:rsid w:val="00B30CF8"/>
    <w:rsid w:val="00B30F06"/>
    <w:rsid w:val="00B30FE6"/>
    <w:rsid w:val="00B3102F"/>
    <w:rsid w:val="00B3122D"/>
    <w:rsid w:val="00B31556"/>
    <w:rsid w:val="00B31803"/>
    <w:rsid w:val="00B31806"/>
    <w:rsid w:val="00B31827"/>
    <w:rsid w:val="00B31980"/>
    <w:rsid w:val="00B319FF"/>
    <w:rsid w:val="00B31FA2"/>
    <w:rsid w:val="00B3227C"/>
    <w:rsid w:val="00B3238E"/>
    <w:rsid w:val="00B323C5"/>
    <w:rsid w:val="00B328B1"/>
    <w:rsid w:val="00B32CA3"/>
    <w:rsid w:val="00B32CF1"/>
    <w:rsid w:val="00B3317E"/>
    <w:rsid w:val="00B337F7"/>
    <w:rsid w:val="00B33E26"/>
    <w:rsid w:val="00B3401B"/>
    <w:rsid w:val="00B34164"/>
    <w:rsid w:val="00B343FE"/>
    <w:rsid w:val="00B34779"/>
    <w:rsid w:val="00B34D49"/>
    <w:rsid w:val="00B34E09"/>
    <w:rsid w:val="00B34F81"/>
    <w:rsid w:val="00B358B6"/>
    <w:rsid w:val="00B35EA5"/>
    <w:rsid w:val="00B35EE6"/>
    <w:rsid w:val="00B35F79"/>
    <w:rsid w:val="00B3601C"/>
    <w:rsid w:val="00B3601F"/>
    <w:rsid w:val="00B36224"/>
    <w:rsid w:val="00B36596"/>
    <w:rsid w:val="00B366AA"/>
    <w:rsid w:val="00B366E6"/>
    <w:rsid w:val="00B36811"/>
    <w:rsid w:val="00B368AC"/>
    <w:rsid w:val="00B36DE0"/>
    <w:rsid w:val="00B3706B"/>
    <w:rsid w:val="00B371B7"/>
    <w:rsid w:val="00B37264"/>
    <w:rsid w:val="00B3736B"/>
    <w:rsid w:val="00B37383"/>
    <w:rsid w:val="00B37ADE"/>
    <w:rsid w:val="00B37DFA"/>
    <w:rsid w:val="00B37E20"/>
    <w:rsid w:val="00B4078F"/>
    <w:rsid w:val="00B40849"/>
    <w:rsid w:val="00B408B7"/>
    <w:rsid w:val="00B40A2C"/>
    <w:rsid w:val="00B412F9"/>
    <w:rsid w:val="00B41565"/>
    <w:rsid w:val="00B41CBB"/>
    <w:rsid w:val="00B41F37"/>
    <w:rsid w:val="00B420C1"/>
    <w:rsid w:val="00B427E2"/>
    <w:rsid w:val="00B428A3"/>
    <w:rsid w:val="00B429E6"/>
    <w:rsid w:val="00B42AA5"/>
    <w:rsid w:val="00B42BF3"/>
    <w:rsid w:val="00B43083"/>
    <w:rsid w:val="00B4328E"/>
    <w:rsid w:val="00B433DF"/>
    <w:rsid w:val="00B43554"/>
    <w:rsid w:val="00B43577"/>
    <w:rsid w:val="00B435E5"/>
    <w:rsid w:val="00B43914"/>
    <w:rsid w:val="00B43C44"/>
    <w:rsid w:val="00B43DFE"/>
    <w:rsid w:val="00B43EAD"/>
    <w:rsid w:val="00B43F58"/>
    <w:rsid w:val="00B4454B"/>
    <w:rsid w:val="00B446B1"/>
    <w:rsid w:val="00B4471F"/>
    <w:rsid w:val="00B44824"/>
    <w:rsid w:val="00B44AD3"/>
    <w:rsid w:val="00B44BAC"/>
    <w:rsid w:val="00B451D0"/>
    <w:rsid w:val="00B452FB"/>
    <w:rsid w:val="00B45729"/>
    <w:rsid w:val="00B45749"/>
    <w:rsid w:val="00B45C3B"/>
    <w:rsid w:val="00B45EB7"/>
    <w:rsid w:val="00B45EC5"/>
    <w:rsid w:val="00B45FB5"/>
    <w:rsid w:val="00B460BE"/>
    <w:rsid w:val="00B462AF"/>
    <w:rsid w:val="00B462CF"/>
    <w:rsid w:val="00B4648A"/>
    <w:rsid w:val="00B4663F"/>
    <w:rsid w:val="00B466B6"/>
    <w:rsid w:val="00B46B9F"/>
    <w:rsid w:val="00B46CD6"/>
    <w:rsid w:val="00B46DC8"/>
    <w:rsid w:val="00B46FAE"/>
    <w:rsid w:val="00B478F3"/>
    <w:rsid w:val="00B47B8C"/>
    <w:rsid w:val="00B50018"/>
    <w:rsid w:val="00B50202"/>
    <w:rsid w:val="00B50667"/>
    <w:rsid w:val="00B50FD9"/>
    <w:rsid w:val="00B51211"/>
    <w:rsid w:val="00B51279"/>
    <w:rsid w:val="00B512FA"/>
    <w:rsid w:val="00B517D6"/>
    <w:rsid w:val="00B518F9"/>
    <w:rsid w:val="00B51A31"/>
    <w:rsid w:val="00B52651"/>
    <w:rsid w:val="00B5292E"/>
    <w:rsid w:val="00B53410"/>
    <w:rsid w:val="00B534B0"/>
    <w:rsid w:val="00B536E2"/>
    <w:rsid w:val="00B5399A"/>
    <w:rsid w:val="00B539C2"/>
    <w:rsid w:val="00B53A62"/>
    <w:rsid w:val="00B53C96"/>
    <w:rsid w:val="00B541AB"/>
    <w:rsid w:val="00B54285"/>
    <w:rsid w:val="00B54387"/>
    <w:rsid w:val="00B54696"/>
    <w:rsid w:val="00B54AFE"/>
    <w:rsid w:val="00B54B03"/>
    <w:rsid w:val="00B54B42"/>
    <w:rsid w:val="00B54BA7"/>
    <w:rsid w:val="00B54BE4"/>
    <w:rsid w:val="00B54C64"/>
    <w:rsid w:val="00B55321"/>
    <w:rsid w:val="00B553D6"/>
    <w:rsid w:val="00B553E6"/>
    <w:rsid w:val="00B559DF"/>
    <w:rsid w:val="00B559EA"/>
    <w:rsid w:val="00B55C43"/>
    <w:rsid w:val="00B55C62"/>
    <w:rsid w:val="00B56482"/>
    <w:rsid w:val="00B565A5"/>
    <w:rsid w:val="00B56FDF"/>
    <w:rsid w:val="00B57557"/>
    <w:rsid w:val="00B577E9"/>
    <w:rsid w:val="00B5791B"/>
    <w:rsid w:val="00B57BA3"/>
    <w:rsid w:val="00B57E4D"/>
    <w:rsid w:val="00B57E89"/>
    <w:rsid w:val="00B57EAC"/>
    <w:rsid w:val="00B60596"/>
    <w:rsid w:val="00B607A9"/>
    <w:rsid w:val="00B60A8E"/>
    <w:rsid w:val="00B60AB5"/>
    <w:rsid w:val="00B60B2E"/>
    <w:rsid w:val="00B60CB3"/>
    <w:rsid w:val="00B60DB1"/>
    <w:rsid w:val="00B60F45"/>
    <w:rsid w:val="00B60FC2"/>
    <w:rsid w:val="00B610E5"/>
    <w:rsid w:val="00B610EC"/>
    <w:rsid w:val="00B6117D"/>
    <w:rsid w:val="00B6125B"/>
    <w:rsid w:val="00B616C6"/>
    <w:rsid w:val="00B61AD3"/>
    <w:rsid w:val="00B61C4A"/>
    <w:rsid w:val="00B61D99"/>
    <w:rsid w:val="00B61F96"/>
    <w:rsid w:val="00B620D8"/>
    <w:rsid w:val="00B623AF"/>
    <w:rsid w:val="00B62850"/>
    <w:rsid w:val="00B62DAF"/>
    <w:rsid w:val="00B6325C"/>
    <w:rsid w:val="00B63595"/>
    <w:rsid w:val="00B63598"/>
    <w:rsid w:val="00B6383C"/>
    <w:rsid w:val="00B63937"/>
    <w:rsid w:val="00B6395B"/>
    <w:rsid w:val="00B63E55"/>
    <w:rsid w:val="00B640E2"/>
    <w:rsid w:val="00B64177"/>
    <w:rsid w:val="00B64203"/>
    <w:rsid w:val="00B64450"/>
    <w:rsid w:val="00B6469D"/>
    <w:rsid w:val="00B64815"/>
    <w:rsid w:val="00B64CD1"/>
    <w:rsid w:val="00B64D72"/>
    <w:rsid w:val="00B64DA3"/>
    <w:rsid w:val="00B652EA"/>
    <w:rsid w:val="00B6554B"/>
    <w:rsid w:val="00B65A7B"/>
    <w:rsid w:val="00B65AAD"/>
    <w:rsid w:val="00B65CF3"/>
    <w:rsid w:val="00B661B4"/>
    <w:rsid w:val="00B663C5"/>
    <w:rsid w:val="00B664AE"/>
    <w:rsid w:val="00B6664B"/>
    <w:rsid w:val="00B667E8"/>
    <w:rsid w:val="00B66C77"/>
    <w:rsid w:val="00B66D1B"/>
    <w:rsid w:val="00B66D71"/>
    <w:rsid w:val="00B67095"/>
    <w:rsid w:val="00B674D7"/>
    <w:rsid w:val="00B674F3"/>
    <w:rsid w:val="00B6771B"/>
    <w:rsid w:val="00B67769"/>
    <w:rsid w:val="00B6780D"/>
    <w:rsid w:val="00B6781D"/>
    <w:rsid w:val="00B678F2"/>
    <w:rsid w:val="00B67904"/>
    <w:rsid w:val="00B67AE6"/>
    <w:rsid w:val="00B67E83"/>
    <w:rsid w:val="00B67FB3"/>
    <w:rsid w:val="00B703D2"/>
    <w:rsid w:val="00B70427"/>
    <w:rsid w:val="00B70700"/>
    <w:rsid w:val="00B707E8"/>
    <w:rsid w:val="00B70991"/>
    <w:rsid w:val="00B709BA"/>
    <w:rsid w:val="00B70D22"/>
    <w:rsid w:val="00B71085"/>
    <w:rsid w:val="00B714DE"/>
    <w:rsid w:val="00B7162F"/>
    <w:rsid w:val="00B716F1"/>
    <w:rsid w:val="00B71959"/>
    <w:rsid w:val="00B71BAF"/>
    <w:rsid w:val="00B71CA6"/>
    <w:rsid w:val="00B72025"/>
    <w:rsid w:val="00B7235D"/>
    <w:rsid w:val="00B729AE"/>
    <w:rsid w:val="00B72A11"/>
    <w:rsid w:val="00B72A52"/>
    <w:rsid w:val="00B72C02"/>
    <w:rsid w:val="00B72C5A"/>
    <w:rsid w:val="00B72E2D"/>
    <w:rsid w:val="00B72E9B"/>
    <w:rsid w:val="00B72EC7"/>
    <w:rsid w:val="00B72F9E"/>
    <w:rsid w:val="00B7366C"/>
    <w:rsid w:val="00B73A37"/>
    <w:rsid w:val="00B73B0F"/>
    <w:rsid w:val="00B73D1C"/>
    <w:rsid w:val="00B73D3D"/>
    <w:rsid w:val="00B73D8E"/>
    <w:rsid w:val="00B73EEF"/>
    <w:rsid w:val="00B743E3"/>
    <w:rsid w:val="00B745DE"/>
    <w:rsid w:val="00B747CF"/>
    <w:rsid w:val="00B749B1"/>
    <w:rsid w:val="00B74C41"/>
    <w:rsid w:val="00B74F1F"/>
    <w:rsid w:val="00B74F31"/>
    <w:rsid w:val="00B750BD"/>
    <w:rsid w:val="00B750DB"/>
    <w:rsid w:val="00B75157"/>
    <w:rsid w:val="00B752F3"/>
    <w:rsid w:val="00B75461"/>
    <w:rsid w:val="00B75576"/>
    <w:rsid w:val="00B75E55"/>
    <w:rsid w:val="00B75F29"/>
    <w:rsid w:val="00B76028"/>
    <w:rsid w:val="00B762D2"/>
    <w:rsid w:val="00B76453"/>
    <w:rsid w:val="00B764F6"/>
    <w:rsid w:val="00B76840"/>
    <w:rsid w:val="00B7691C"/>
    <w:rsid w:val="00B76CC1"/>
    <w:rsid w:val="00B76D7B"/>
    <w:rsid w:val="00B76E6F"/>
    <w:rsid w:val="00B770CE"/>
    <w:rsid w:val="00B7711C"/>
    <w:rsid w:val="00B77324"/>
    <w:rsid w:val="00B7749A"/>
    <w:rsid w:val="00B77777"/>
    <w:rsid w:val="00B77ABE"/>
    <w:rsid w:val="00B77B9A"/>
    <w:rsid w:val="00B77D94"/>
    <w:rsid w:val="00B77ECA"/>
    <w:rsid w:val="00B8004E"/>
    <w:rsid w:val="00B8006D"/>
    <w:rsid w:val="00B8024B"/>
    <w:rsid w:val="00B8065C"/>
    <w:rsid w:val="00B807C5"/>
    <w:rsid w:val="00B807D4"/>
    <w:rsid w:val="00B8097E"/>
    <w:rsid w:val="00B80A6C"/>
    <w:rsid w:val="00B80B03"/>
    <w:rsid w:val="00B80B0C"/>
    <w:rsid w:val="00B80D41"/>
    <w:rsid w:val="00B80D78"/>
    <w:rsid w:val="00B80EB0"/>
    <w:rsid w:val="00B80F09"/>
    <w:rsid w:val="00B80F1F"/>
    <w:rsid w:val="00B814F3"/>
    <w:rsid w:val="00B819D2"/>
    <w:rsid w:val="00B81A40"/>
    <w:rsid w:val="00B81D63"/>
    <w:rsid w:val="00B81DA6"/>
    <w:rsid w:val="00B820CA"/>
    <w:rsid w:val="00B82189"/>
    <w:rsid w:val="00B82579"/>
    <w:rsid w:val="00B82635"/>
    <w:rsid w:val="00B82974"/>
    <w:rsid w:val="00B82AB7"/>
    <w:rsid w:val="00B82ABC"/>
    <w:rsid w:val="00B82CAB"/>
    <w:rsid w:val="00B82E99"/>
    <w:rsid w:val="00B83063"/>
    <w:rsid w:val="00B834A7"/>
    <w:rsid w:val="00B83941"/>
    <w:rsid w:val="00B83ABD"/>
    <w:rsid w:val="00B83F53"/>
    <w:rsid w:val="00B840D6"/>
    <w:rsid w:val="00B842A9"/>
    <w:rsid w:val="00B84504"/>
    <w:rsid w:val="00B84842"/>
    <w:rsid w:val="00B84980"/>
    <w:rsid w:val="00B85011"/>
    <w:rsid w:val="00B855E6"/>
    <w:rsid w:val="00B85647"/>
    <w:rsid w:val="00B8598C"/>
    <w:rsid w:val="00B85B83"/>
    <w:rsid w:val="00B85CF6"/>
    <w:rsid w:val="00B865C6"/>
    <w:rsid w:val="00B86749"/>
    <w:rsid w:val="00B86850"/>
    <w:rsid w:val="00B86968"/>
    <w:rsid w:val="00B869B4"/>
    <w:rsid w:val="00B86B7C"/>
    <w:rsid w:val="00B86CE2"/>
    <w:rsid w:val="00B871B3"/>
    <w:rsid w:val="00B87619"/>
    <w:rsid w:val="00B87E24"/>
    <w:rsid w:val="00B87FCE"/>
    <w:rsid w:val="00B901C2"/>
    <w:rsid w:val="00B90258"/>
    <w:rsid w:val="00B90898"/>
    <w:rsid w:val="00B90EDE"/>
    <w:rsid w:val="00B91235"/>
    <w:rsid w:val="00B912A2"/>
    <w:rsid w:val="00B91528"/>
    <w:rsid w:val="00B91775"/>
    <w:rsid w:val="00B9194E"/>
    <w:rsid w:val="00B92317"/>
    <w:rsid w:val="00B9260F"/>
    <w:rsid w:val="00B92797"/>
    <w:rsid w:val="00B92815"/>
    <w:rsid w:val="00B92F49"/>
    <w:rsid w:val="00B93128"/>
    <w:rsid w:val="00B93183"/>
    <w:rsid w:val="00B9359E"/>
    <w:rsid w:val="00B935B8"/>
    <w:rsid w:val="00B936EA"/>
    <w:rsid w:val="00B9399E"/>
    <w:rsid w:val="00B939EE"/>
    <w:rsid w:val="00B93ACF"/>
    <w:rsid w:val="00B941C4"/>
    <w:rsid w:val="00B94301"/>
    <w:rsid w:val="00B94433"/>
    <w:rsid w:val="00B9456F"/>
    <w:rsid w:val="00B94819"/>
    <w:rsid w:val="00B94BBB"/>
    <w:rsid w:val="00B94F59"/>
    <w:rsid w:val="00B94F84"/>
    <w:rsid w:val="00B95036"/>
    <w:rsid w:val="00B95152"/>
    <w:rsid w:val="00B95AD8"/>
    <w:rsid w:val="00B95B6C"/>
    <w:rsid w:val="00B95E5C"/>
    <w:rsid w:val="00B96019"/>
    <w:rsid w:val="00B96615"/>
    <w:rsid w:val="00B969B0"/>
    <w:rsid w:val="00B969DD"/>
    <w:rsid w:val="00B96A3A"/>
    <w:rsid w:val="00B96D6C"/>
    <w:rsid w:val="00B96DCE"/>
    <w:rsid w:val="00B96F9E"/>
    <w:rsid w:val="00B971E6"/>
    <w:rsid w:val="00B975F9"/>
    <w:rsid w:val="00B976B4"/>
    <w:rsid w:val="00B97C24"/>
    <w:rsid w:val="00B97F60"/>
    <w:rsid w:val="00BA019A"/>
    <w:rsid w:val="00BA042C"/>
    <w:rsid w:val="00BA0D0C"/>
    <w:rsid w:val="00BA1502"/>
    <w:rsid w:val="00BA1659"/>
    <w:rsid w:val="00BA1A77"/>
    <w:rsid w:val="00BA1B73"/>
    <w:rsid w:val="00BA1F99"/>
    <w:rsid w:val="00BA2077"/>
    <w:rsid w:val="00BA20F7"/>
    <w:rsid w:val="00BA224B"/>
    <w:rsid w:val="00BA2287"/>
    <w:rsid w:val="00BA23B0"/>
    <w:rsid w:val="00BA267E"/>
    <w:rsid w:val="00BA294C"/>
    <w:rsid w:val="00BA29E8"/>
    <w:rsid w:val="00BA2AC9"/>
    <w:rsid w:val="00BA2CF4"/>
    <w:rsid w:val="00BA2D87"/>
    <w:rsid w:val="00BA2D95"/>
    <w:rsid w:val="00BA2E94"/>
    <w:rsid w:val="00BA2F44"/>
    <w:rsid w:val="00BA2F89"/>
    <w:rsid w:val="00BA3412"/>
    <w:rsid w:val="00BA3471"/>
    <w:rsid w:val="00BA3578"/>
    <w:rsid w:val="00BA3831"/>
    <w:rsid w:val="00BA3C48"/>
    <w:rsid w:val="00BA3DFE"/>
    <w:rsid w:val="00BA3F4C"/>
    <w:rsid w:val="00BA42AB"/>
    <w:rsid w:val="00BA43D9"/>
    <w:rsid w:val="00BA44B8"/>
    <w:rsid w:val="00BA453A"/>
    <w:rsid w:val="00BA4562"/>
    <w:rsid w:val="00BA46E4"/>
    <w:rsid w:val="00BA48F4"/>
    <w:rsid w:val="00BA4F45"/>
    <w:rsid w:val="00BA504B"/>
    <w:rsid w:val="00BA527F"/>
    <w:rsid w:val="00BA559C"/>
    <w:rsid w:val="00BA5654"/>
    <w:rsid w:val="00BA5FC3"/>
    <w:rsid w:val="00BA65BB"/>
    <w:rsid w:val="00BA6919"/>
    <w:rsid w:val="00BA6A5D"/>
    <w:rsid w:val="00BA6CFE"/>
    <w:rsid w:val="00BA6F78"/>
    <w:rsid w:val="00BA734E"/>
    <w:rsid w:val="00BA77AA"/>
    <w:rsid w:val="00BA794E"/>
    <w:rsid w:val="00BA7C3F"/>
    <w:rsid w:val="00BB0047"/>
    <w:rsid w:val="00BB008D"/>
    <w:rsid w:val="00BB0258"/>
    <w:rsid w:val="00BB02A8"/>
    <w:rsid w:val="00BB03E5"/>
    <w:rsid w:val="00BB0567"/>
    <w:rsid w:val="00BB0766"/>
    <w:rsid w:val="00BB08C3"/>
    <w:rsid w:val="00BB1071"/>
    <w:rsid w:val="00BB11C7"/>
    <w:rsid w:val="00BB1808"/>
    <w:rsid w:val="00BB18A5"/>
    <w:rsid w:val="00BB1B42"/>
    <w:rsid w:val="00BB1E98"/>
    <w:rsid w:val="00BB20AE"/>
    <w:rsid w:val="00BB2B79"/>
    <w:rsid w:val="00BB2FB6"/>
    <w:rsid w:val="00BB3069"/>
    <w:rsid w:val="00BB313F"/>
    <w:rsid w:val="00BB328A"/>
    <w:rsid w:val="00BB36B0"/>
    <w:rsid w:val="00BB3994"/>
    <w:rsid w:val="00BB39FC"/>
    <w:rsid w:val="00BB3C40"/>
    <w:rsid w:val="00BB3CDD"/>
    <w:rsid w:val="00BB3E7A"/>
    <w:rsid w:val="00BB3F8B"/>
    <w:rsid w:val="00BB40DB"/>
    <w:rsid w:val="00BB44AB"/>
    <w:rsid w:val="00BB457A"/>
    <w:rsid w:val="00BB475B"/>
    <w:rsid w:val="00BB495F"/>
    <w:rsid w:val="00BB4B52"/>
    <w:rsid w:val="00BB4B95"/>
    <w:rsid w:val="00BB4BAE"/>
    <w:rsid w:val="00BB4DA8"/>
    <w:rsid w:val="00BB4DD6"/>
    <w:rsid w:val="00BB50C0"/>
    <w:rsid w:val="00BB5202"/>
    <w:rsid w:val="00BB5373"/>
    <w:rsid w:val="00BB540D"/>
    <w:rsid w:val="00BB54E6"/>
    <w:rsid w:val="00BB5677"/>
    <w:rsid w:val="00BB58E3"/>
    <w:rsid w:val="00BB5A41"/>
    <w:rsid w:val="00BB5AB7"/>
    <w:rsid w:val="00BB6176"/>
    <w:rsid w:val="00BB6493"/>
    <w:rsid w:val="00BB657B"/>
    <w:rsid w:val="00BB694B"/>
    <w:rsid w:val="00BB6C89"/>
    <w:rsid w:val="00BB6EB4"/>
    <w:rsid w:val="00BB756F"/>
    <w:rsid w:val="00BB76D6"/>
    <w:rsid w:val="00BB76F2"/>
    <w:rsid w:val="00BB7A5B"/>
    <w:rsid w:val="00BB7C41"/>
    <w:rsid w:val="00BB7D72"/>
    <w:rsid w:val="00BB7F32"/>
    <w:rsid w:val="00BC0505"/>
    <w:rsid w:val="00BC0CA9"/>
    <w:rsid w:val="00BC1315"/>
    <w:rsid w:val="00BC14D9"/>
    <w:rsid w:val="00BC17BD"/>
    <w:rsid w:val="00BC1BA0"/>
    <w:rsid w:val="00BC1C65"/>
    <w:rsid w:val="00BC1C9E"/>
    <w:rsid w:val="00BC1D09"/>
    <w:rsid w:val="00BC1DF5"/>
    <w:rsid w:val="00BC1FA6"/>
    <w:rsid w:val="00BC1FE0"/>
    <w:rsid w:val="00BC2020"/>
    <w:rsid w:val="00BC2236"/>
    <w:rsid w:val="00BC2433"/>
    <w:rsid w:val="00BC261D"/>
    <w:rsid w:val="00BC29EF"/>
    <w:rsid w:val="00BC2F3B"/>
    <w:rsid w:val="00BC2F50"/>
    <w:rsid w:val="00BC305D"/>
    <w:rsid w:val="00BC33F1"/>
    <w:rsid w:val="00BC3414"/>
    <w:rsid w:val="00BC3D28"/>
    <w:rsid w:val="00BC3E91"/>
    <w:rsid w:val="00BC3F3F"/>
    <w:rsid w:val="00BC45C2"/>
    <w:rsid w:val="00BC463D"/>
    <w:rsid w:val="00BC4815"/>
    <w:rsid w:val="00BC4F63"/>
    <w:rsid w:val="00BC4FF1"/>
    <w:rsid w:val="00BC50F5"/>
    <w:rsid w:val="00BC53BA"/>
    <w:rsid w:val="00BC5444"/>
    <w:rsid w:val="00BC551C"/>
    <w:rsid w:val="00BC5544"/>
    <w:rsid w:val="00BC6106"/>
    <w:rsid w:val="00BC65AB"/>
    <w:rsid w:val="00BC67A5"/>
    <w:rsid w:val="00BC6881"/>
    <w:rsid w:val="00BC6CD2"/>
    <w:rsid w:val="00BC790C"/>
    <w:rsid w:val="00BC7A2F"/>
    <w:rsid w:val="00BD03D9"/>
    <w:rsid w:val="00BD0549"/>
    <w:rsid w:val="00BD09D6"/>
    <w:rsid w:val="00BD09E8"/>
    <w:rsid w:val="00BD0A44"/>
    <w:rsid w:val="00BD0F91"/>
    <w:rsid w:val="00BD11D5"/>
    <w:rsid w:val="00BD1632"/>
    <w:rsid w:val="00BD16C0"/>
    <w:rsid w:val="00BD18DD"/>
    <w:rsid w:val="00BD1B5D"/>
    <w:rsid w:val="00BD1D11"/>
    <w:rsid w:val="00BD2473"/>
    <w:rsid w:val="00BD2759"/>
    <w:rsid w:val="00BD27D9"/>
    <w:rsid w:val="00BD2928"/>
    <w:rsid w:val="00BD2DF9"/>
    <w:rsid w:val="00BD3679"/>
    <w:rsid w:val="00BD3A5B"/>
    <w:rsid w:val="00BD3D17"/>
    <w:rsid w:val="00BD400B"/>
    <w:rsid w:val="00BD43B1"/>
    <w:rsid w:val="00BD44B7"/>
    <w:rsid w:val="00BD45F9"/>
    <w:rsid w:val="00BD4668"/>
    <w:rsid w:val="00BD4672"/>
    <w:rsid w:val="00BD488C"/>
    <w:rsid w:val="00BD489B"/>
    <w:rsid w:val="00BD48BB"/>
    <w:rsid w:val="00BD4B9F"/>
    <w:rsid w:val="00BD4DA7"/>
    <w:rsid w:val="00BD4DB2"/>
    <w:rsid w:val="00BD4E0E"/>
    <w:rsid w:val="00BD5172"/>
    <w:rsid w:val="00BD5212"/>
    <w:rsid w:val="00BD5283"/>
    <w:rsid w:val="00BD52D6"/>
    <w:rsid w:val="00BD532C"/>
    <w:rsid w:val="00BD5402"/>
    <w:rsid w:val="00BD5825"/>
    <w:rsid w:val="00BD58BB"/>
    <w:rsid w:val="00BD5AAE"/>
    <w:rsid w:val="00BD5B9B"/>
    <w:rsid w:val="00BD5CBD"/>
    <w:rsid w:val="00BD5E41"/>
    <w:rsid w:val="00BD5F8D"/>
    <w:rsid w:val="00BD60D6"/>
    <w:rsid w:val="00BD6339"/>
    <w:rsid w:val="00BD6402"/>
    <w:rsid w:val="00BD6F3F"/>
    <w:rsid w:val="00BD743F"/>
    <w:rsid w:val="00BD7918"/>
    <w:rsid w:val="00BD7A81"/>
    <w:rsid w:val="00BD7B53"/>
    <w:rsid w:val="00BD7E68"/>
    <w:rsid w:val="00BD7F81"/>
    <w:rsid w:val="00BE00C0"/>
    <w:rsid w:val="00BE00E3"/>
    <w:rsid w:val="00BE027C"/>
    <w:rsid w:val="00BE0759"/>
    <w:rsid w:val="00BE0906"/>
    <w:rsid w:val="00BE0ADC"/>
    <w:rsid w:val="00BE0C36"/>
    <w:rsid w:val="00BE0C4A"/>
    <w:rsid w:val="00BE0F16"/>
    <w:rsid w:val="00BE177C"/>
    <w:rsid w:val="00BE1CAF"/>
    <w:rsid w:val="00BE1E86"/>
    <w:rsid w:val="00BE25F1"/>
    <w:rsid w:val="00BE2C1F"/>
    <w:rsid w:val="00BE2EC8"/>
    <w:rsid w:val="00BE2F7F"/>
    <w:rsid w:val="00BE312A"/>
    <w:rsid w:val="00BE37C8"/>
    <w:rsid w:val="00BE37CF"/>
    <w:rsid w:val="00BE3A94"/>
    <w:rsid w:val="00BE3B6F"/>
    <w:rsid w:val="00BE438F"/>
    <w:rsid w:val="00BE4D85"/>
    <w:rsid w:val="00BE4E7B"/>
    <w:rsid w:val="00BE4EDD"/>
    <w:rsid w:val="00BE4F5C"/>
    <w:rsid w:val="00BE50E2"/>
    <w:rsid w:val="00BE570C"/>
    <w:rsid w:val="00BE5A0C"/>
    <w:rsid w:val="00BE5B64"/>
    <w:rsid w:val="00BE5CF4"/>
    <w:rsid w:val="00BE6026"/>
    <w:rsid w:val="00BE62D8"/>
    <w:rsid w:val="00BE6330"/>
    <w:rsid w:val="00BE63F1"/>
    <w:rsid w:val="00BE6479"/>
    <w:rsid w:val="00BE659A"/>
    <w:rsid w:val="00BE65CA"/>
    <w:rsid w:val="00BE6650"/>
    <w:rsid w:val="00BE689C"/>
    <w:rsid w:val="00BE6A24"/>
    <w:rsid w:val="00BE6B16"/>
    <w:rsid w:val="00BE7071"/>
    <w:rsid w:val="00BE7337"/>
    <w:rsid w:val="00BE7349"/>
    <w:rsid w:val="00BE743B"/>
    <w:rsid w:val="00BE7676"/>
    <w:rsid w:val="00BE7871"/>
    <w:rsid w:val="00BE7975"/>
    <w:rsid w:val="00BE7A05"/>
    <w:rsid w:val="00BE7BD7"/>
    <w:rsid w:val="00BE7E77"/>
    <w:rsid w:val="00BF026A"/>
    <w:rsid w:val="00BF0303"/>
    <w:rsid w:val="00BF130F"/>
    <w:rsid w:val="00BF1392"/>
    <w:rsid w:val="00BF20C5"/>
    <w:rsid w:val="00BF22A1"/>
    <w:rsid w:val="00BF2450"/>
    <w:rsid w:val="00BF2858"/>
    <w:rsid w:val="00BF285F"/>
    <w:rsid w:val="00BF299F"/>
    <w:rsid w:val="00BF2AC4"/>
    <w:rsid w:val="00BF2B86"/>
    <w:rsid w:val="00BF2DA1"/>
    <w:rsid w:val="00BF2E68"/>
    <w:rsid w:val="00BF3290"/>
    <w:rsid w:val="00BF3402"/>
    <w:rsid w:val="00BF3761"/>
    <w:rsid w:val="00BF3A1C"/>
    <w:rsid w:val="00BF3A59"/>
    <w:rsid w:val="00BF3AD4"/>
    <w:rsid w:val="00BF3B74"/>
    <w:rsid w:val="00BF3E04"/>
    <w:rsid w:val="00BF40E6"/>
    <w:rsid w:val="00BF4B42"/>
    <w:rsid w:val="00BF4E9D"/>
    <w:rsid w:val="00BF4F42"/>
    <w:rsid w:val="00BF5045"/>
    <w:rsid w:val="00BF56F9"/>
    <w:rsid w:val="00BF5736"/>
    <w:rsid w:val="00BF5ABF"/>
    <w:rsid w:val="00BF5B81"/>
    <w:rsid w:val="00BF5FB6"/>
    <w:rsid w:val="00BF61C2"/>
    <w:rsid w:val="00BF61F3"/>
    <w:rsid w:val="00BF6554"/>
    <w:rsid w:val="00BF65BA"/>
    <w:rsid w:val="00BF69D8"/>
    <w:rsid w:val="00BF6BB5"/>
    <w:rsid w:val="00BF6CAA"/>
    <w:rsid w:val="00BF6D66"/>
    <w:rsid w:val="00BF6EB8"/>
    <w:rsid w:val="00BF7147"/>
    <w:rsid w:val="00BF72A4"/>
    <w:rsid w:val="00BF7332"/>
    <w:rsid w:val="00BF7341"/>
    <w:rsid w:val="00BF7AFB"/>
    <w:rsid w:val="00BF7B69"/>
    <w:rsid w:val="00BF7D12"/>
    <w:rsid w:val="00BF7E54"/>
    <w:rsid w:val="00C0006F"/>
    <w:rsid w:val="00C00560"/>
    <w:rsid w:val="00C006E3"/>
    <w:rsid w:val="00C008DD"/>
    <w:rsid w:val="00C01296"/>
    <w:rsid w:val="00C012A9"/>
    <w:rsid w:val="00C01608"/>
    <w:rsid w:val="00C016D9"/>
    <w:rsid w:val="00C018A0"/>
    <w:rsid w:val="00C01B7F"/>
    <w:rsid w:val="00C01BE8"/>
    <w:rsid w:val="00C01C66"/>
    <w:rsid w:val="00C01E42"/>
    <w:rsid w:val="00C0244A"/>
    <w:rsid w:val="00C024D7"/>
    <w:rsid w:val="00C025BE"/>
    <w:rsid w:val="00C029F4"/>
    <w:rsid w:val="00C02A65"/>
    <w:rsid w:val="00C02F18"/>
    <w:rsid w:val="00C02F52"/>
    <w:rsid w:val="00C0375B"/>
    <w:rsid w:val="00C03A34"/>
    <w:rsid w:val="00C03A35"/>
    <w:rsid w:val="00C03CE1"/>
    <w:rsid w:val="00C03D75"/>
    <w:rsid w:val="00C04001"/>
    <w:rsid w:val="00C04200"/>
    <w:rsid w:val="00C04888"/>
    <w:rsid w:val="00C04937"/>
    <w:rsid w:val="00C049C8"/>
    <w:rsid w:val="00C04C40"/>
    <w:rsid w:val="00C04F9A"/>
    <w:rsid w:val="00C0501E"/>
    <w:rsid w:val="00C052EC"/>
    <w:rsid w:val="00C056A2"/>
    <w:rsid w:val="00C056C6"/>
    <w:rsid w:val="00C057AA"/>
    <w:rsid w:val="00C057FB"/>
    <w:rsid w:val="00C058F8"/>
    <w:rsid w:val="00C059D7"/>
    <w:rsid w:val="00C05F29"/>
    <w:rsid w:val="00C05F52"/>
    <w:rsid w:val="00C05F88"/>
    <w:rsid w:val="00C061DD"/>
    <w:rsid w:val="00C062FD"/>
    <w:rsid w:val="00C06514"/>
    <w:rsid w:val="00C065FC"/>
    <w:rsid w:val="00C066F0"/>
    <w:rsid w:val="00C067F7"/>
    <w:rsid w:val="00C06887"/>
    <w:rsid w:val="00C0691E"/>
    <w:rsid w:val="00C06A1D"/>
    <w:rsid w:val="00C06ACE"/>
    <w:rsid w:val="00C06B12"/>
    <w:rsid w:val="00C06B63"/>
    <w:rsid w:val="00C07471"/>
    <w:rsid w:val="00C0754A"/>
    <w:rsid w:val="00C076A4"/>
    <w:rsid w:val="00C077DC"/>
    <w:rsid w:val="00C07854"/>
    <w:rsid w:val="00C078DB"/>
    <w:rsid w:val="00C079E8"/>
    <w:rsid w:val="00C07D41"/>
    <w:rsid w:val="00C10136"/>
    <w:rsid w:val="00C101E0"/>
    <w:rsid w:val="00C1037B"/>
    <w:rsid w:val="00C10680"/>
    <w:rsid w:val="00C10A86"/>
    <w:rsid w:val="00C10AB8"/>
    <w:rsid w:val="00C10C2E"/>
    <w:rsid w:val="00C110F7"/>
    <w:rsid w:val="00C11175"/>
    <w:rsid w:val="00C111B2"/>
    <w:rsid w:val="00C11228"/>
    <w:rsid w:val="00C11313"/>
    <w:rsid w:val="00C11420"/>
    <w:rsid w:val="00C11501"/>
    <w:rsid w:val="00C115EE"/>
    <w:rsid w:val="00C118B6"/>
    <w:rsid w:val="00C11AEE"/>
    <w:rsid w:val="00C12105"/>
    <w:rsid w:val="00C12506"/>
    <w:rsid w:val="00C1259D"/>
    <w:rsid w:val="00C12902"/>
    <w:rsid w:val="00C136C1"/>
    <w:rsid w:val="00C13843"/>
    <w:rsid w:val="00C13860"/>
    <w:rsid w:val="00C13899"/>
    <w:rsid w:val="00C13960"/>
    <w:rsid w:val="00C13FE5"/>
    <w:rsid w:val="00C140D8"/>
    <w:rsid w:val="00C143A1"/>
    <w:rsid w:val="00C14525"/>
    <w:rsid w:val="00C150D0"/>
    <w:rsid w:val="00C15113"/>
    <w:rsid w:val="00C151B9"/>
    <w:rsid w:val="00C15395"/>
    <w:rsid w:val="00C154F3"/>
    <w:rsid w:val="00C156C1"/>
    <w:rsid w:val="00C1579A"/>
    <w:rsid w:val="00C158BA"/>
    <w:rsid w:val="00C15CA1"/>
    <w:rsid w:val="00C15FE6"/>
    <w:rsid w:val="00C1616C"/>
    <w:rsid w:val="00C1657B"/>
    <w:rsid w:val="00C1677D"/>
    <w:rsid w:val="00C16B3D"/>
    <w:rsid w:val="00C16B3F"/>
    <w:rsid w:val="00C16D95"/>
    <w:rsid w:val="00C16F3B"/>
    <w:rsid w:val="00C16F64"/>
    <w:rsid w:val="00C173FF"/>
    <w:rsid w:val="00C174C9"/>
    <w:rsid w:val="00C177E4"/>
    <w:rsid w:val="00C178F8"/>
    <w:rsid w:val="00C17B70"/>
    <w:rsid w:val="00C20572"/>
    <w:rsid w:val="00C20823"/>
    <w:rsid w:val="00C2090A"/>
    <w:rsid w:val="00C20FB2"/>
    <w:rsid w:val="00C20FEF"/>
    <w:rsid w:val="00C210F1"/>
    <w:rsid w:val="00C211ED"/>
    <w:rsid w:val="00C2149D"/>
    <w:rsid w:val="00C21920"/>
    <w:rsid w:val="00C21958"/>
    <w:rsid w:val="00C2199E"/>
    <w:rsid w:val="00C2216C"/>
    <w:rsid w:val="00C22379"/>
    <w:rsid w:val="00C223AA"/>
    <w:rsid w:val="00C223FC"/>
    <w:rsid w:val="00C225D6"/>
    <w:rsid w:val="00C228CB"/>
    <w:rsid w:val="00C22AAF"/>
    <w:rsid w:val="00C22BE2"/>
    <w:rsid w:val="00C22CB8"/>
    <w:rsid w:val="00C23437"/>
    <w:rsid w:val="00C23475"/>
    <w:rsid w:val="00C2369D"/>
    <w:rsid w:val="00C236FB"/>
    <w:rsid w:val="00C238B1"/>
    <w:rsid w:val="00C23DB7"/>
    <w:rsid w:val="00C24A29"/>
    <w:rsid w:val="00C2503F"/>
    <w:rsid w:val="00C254A2"/>
    <w:rsid w:val="00C259C0"/>
    <w:rsid w:val="00C25ACF"/>
    <w:rsid w:val="00C25D73"/>
    <w:rsid w:val="00C25DB2"/>
    <w:rsid w:val="00C25E47"/>
    <w:rsid w:val="00C25E9B"/>
    <w:rsid w:val="00C25FF1"/>
    <w:rsid w:val="00C26393"/>
    <w:rsid w:val="00C26478"/>
    <w:rsid w:val="00C26641"/>
    <w:rsid w:val="00C2673E"/>
    <w:rsid w:val="00C26893"/>
    <w:rsid w:val="00C26C1A"/>
    <w:rsid w:val="00C26E34"/>
    <w:rsid w:val="00C2711A"/>
    <w:rsid w:val="00C27273"/>
    <w:rsid w:val="00C2738E"/>
    <w:rsid w:val="00C27C19"/>
    <w:rsid w:val="00C27D62"/>
    <w:rsid w:val="00C301FB"/>
    <w:rsid w:val="00C30226"/>
    <w:rsid w:val="00C3043F"/>
    <w:rsid w:val="00C308A7"/>
    <w:rsid w:val="00C30DCF"/>
    <w:rsid w:val="00C30EA7"/>
    <w:rsid w:val="00C3109C"/>
    <w:rsid w:val="00C310EA"/>
    <w:rsid w:val="00C31527"/>
    <w:rsid w:val="00C3183B"/>
    <w:rsid w:val="00C31ADF"/>
    <w:rsid w:val="00C31D39"/>
    <w:rsid w:val="00C31D84"/>
    <w:rsid w:val="00C32097"/>
    <w:rsid w:val="00C32584"/>
    <w:rsid w:val="00C32A8A"/>
    <w:rsid w:val="00C3324D"/>
    <w:rsid w:val="00C333D3"/>
    <w:rsid w:val="00C33981"/>
    <w:rsid w:val="00C348FF"/>
    <w:rsid w:val="00C34961"/>
    <w:rsid w:val="00C34CB1"/>
    <w:rsid w:val="00C34EF3"/>
    <w:rsid w:val="00C35267"/>
    <w:rsid w:val="00C352AB"/>
    <w:rsid w:val="00C35410"/>
    <w:rsid w:val="00C354E3"/>
    <w:rsid w:val="00C3573A"/>
    <w:rsid w:val="00C35919"/>
    <w:rsid w:val="00C35946"/>
    <w:rsid w:val="00C35D14"/>
    <w:rsid w:val="00C35D2B"/>
    <w:rsid w:val="00C35DA9"/>
    <w:rsid w:val="00C35E73"/>
    <w:rsid w:val="00C360A7"/>
    <w:rsid w:val="00C3611D"/>
    <w:rsid w:val="00C366D5"/>
    <w:rsid w:val="00C3676B"/>
    <w:rsid w:val="00C368AB"/>
    <w:rsid w:val="00C36B0B"/>
    <w:rsid w:val="00C36DCD"/>
    <w:rsid w:val="00C36F31"/>
    <w:rsid w:val="00C37103"/>
    <w:rsid w:val="00C37638"/>
    <w:rsid w:val="00C3796E"/>
    <w:rsid w:val="00C37B46"/>
    <w:rsid w:val="00C37C2A"/>
    <w:rsid w:val="00C37EE6"/>
    <w:rsid w:val="00C40359"/>
    <w:rsid w:val="00C4039D"/>
    <w:rsid w:val="00C4041E"/>
    <w:rsid w:val="00C40441"/>
    <w:rsid w:val="00C40928"/>
    <w:rsid w:val="00C409A4"/>
    <w:rsid w:val="00C40B12"/>
    <w:rsid w:val="00C40D48"/>
    <w:rsid w:val="00C40DAA"/>
    <w:rsid w:val="00C412BC"/>
    <w:rsid w:val="00C414F8"/>
    <w:rsid w:val="00C41867"/>
    <w:rsid w:val="00C41B62"/>
    <w:rsid w:val="00C41FED"/>
    <w:rsid w:val="00C42151"/>
    <w:rsid w:val="00C42186"/>
    <w:rsid w:val="00C426FE"/>
    <w:rsid w:val="00C42963"/>
    <w:rsid w:val="00C42A70"/>
    <w:rsid w:val="00C42D60"/>
    <w:rsid w:val="00C4335C"/>
    <w:rsid w:val="00C4350A"/>
    <w:rsid w:val="00C43589"/>
    <w:rsid w:val="00C43590"/>
    <w:rsid w:val="00C4361D"/>
    <w:rsid w:val="00C43649"/>
    <w:rsid w:val="00C437D5"/>
    <w:rsid w:val="00C437E9"/>
    <w:rsid w:val="00C4385E"/>
    <w:rsid w:val="00C43B71"/>
    <w:rsid w:val="00C43E1F"/>
    <w:rsid w:val="00C43FF4"/>
    <w:rsid w:val="00C4414A"/>
    <w:rsid w:val="00C44391"/>
    <w:rsid w:val="00C447CF"/>
    <w:rsid w:val="00C4484D"/>
    <w:rsid w:val="00C44A7C"/>
    <w:rsid w:val="00C44B58"/>
    <w:rsid w:val="00C44B73"/>
    <w:rsid w:val="00C44BA3"/>
    <w:rsid w:val="00C451EC"/>
    <w:rsid w:val="00C455C6"/>
    <w:rsid w:val="00C45758"/>
    <w:rsid w:val="00C457A8"/>
    <w:rsid w:val="00C459D7"/>
    <w:rsid w:val="00C45B13"/>
    <w:rsid w:val="00C45C66"/>
    <w:rsid w:val="00C45DAD"/>
    <w:rsid w:val="00C464D7"/>
    <w:rsid w:val="00C46706"/>
    <w:rsid w:val="00C4687D"/>
    <w:rsid w:val="00C468ED"/>
    <w:rsid w:val="00C46A49"/>
    <w:rsid w:val="00C46D53"/>
    <w:rsid w:val="00C46EA6"/>
    <w:rsid w:val="00C46F42"/>
    <w:rsid w:val="00C4709D"/>
    <w:rsid w:val="00C47314"/>
    <w:rsid w:val="00C4738A"/>
    <w:rsid w:val="00C47917"/>
    <w:rsid w:val="00C47982"/>
    <w:rsid w:val="00C47B83"/>
    <w:rsid w:val="00C47B97"/>
    <w:rsid w:val="00C47C15"/>
    <w:rsid w:val="00C47C49"/>
    <w:rsid w:val="00C47CE4"/>
    <w:rsid w:val="00C501CD"/>
    <w:rsid w:val="00C502A7"/>
    <w:rsid w:val="00C505BC"/>
    <w:rsid w:val="00C50AC0"/>
    <w:rsid w:val="00C50E4C"/>
    <w:rsid w:val="00C511CC"/>
    <w:rsid w:val="00C5125E"/>
    <w:rsid w:val="00C51394"/>
    <w:rsid w:val="00C5156C"/>
    <w:rsid w:val="00C518C1"/>
    <w:rsid w:val="00C51C35"/>
    <w:rsid w:val="00C5203A"/>
    <w:rsid w:val="00C52399"/>
    <w:rsid w:val="00C523FA"/>
    <w:rsid w:val="00C527A6"/>
    <w:rsid w:val="00C52AE7"/>
    <w:rsid w:val="00C52C63"/>
    <w:rsid w:val="00C52C76"/>
    <w:rsid w:val="00C52DB2"/>
    <w:rsid w:val="00C52DDC"/>
    <w:rsid w:val="00C52DE5"/>
    <w:rsid w:val="00C52FA3"/>
    <w:rsid w:val="00C530DA"/>
    <w:rsid w:val="00C53318"/>
    <w:rsid w:val="00C5332C"/>
    <w:rsid w:val="00C533A8"/>
    <w:rsid w:val="00C5341C"/>
    <w:rsid w:val="00C536BC"/>
    <w:rsid w:val="00C5370D"/>
    <w:rsid w:val="00C53AF7"/>
    <w:rsid w:val="00C53D0B"/>
    <w:rsid w:val="00C5410F"/>
    <w:rsid w:val="00C54614"/>
    <w:rsid w:val="00C54624"/>
    <w:rsid w:val="00C54C93"/>
    <w:rsid w:val="00C55293"/>
    <w:rsid w:val="00C55585"/>
    <w:rsid w:val="00C5560D"/>
    <w:rsid w:val="00C55613"/>
    <w:rsid w:val="00C557A4"/>
    <w:rsid w:val="00C55B96"/>
    <w:rsid w:val="00C565A9"/>
    <w:rsid w:val="00C56738"/>
    <w:rsid w:val="00C56816"/>
    <w:rsid w:val="00C568C9"/>
    <w:rsid w:val="00C56D02"/>
    <w:rsid w:val="00C56D3A"/>
    <w:rsid w:val="00C56F08"/>
    <w:rsid w:val="00C57000"/>
    <w:rsid w:val="00C5742C"/>
    <w:rsid w:val="00C575F6"/>
    <w:rsid w:val="00C579DD"/>
    <w:rsid w:val="00C57C9B"/>
    <w:rsid w:val="00C57E55"/>
    <w:rsid w:val="00C601E5"/>
    <w:rsid w:val="00C606DB"/>
    <w:rsid w:val="00C6088A"/>
    <w:rsid w:val="00C60C42"/>
    <w:rsid w:val="00C60D8D"/>
    <w:rsid w:val="00C60EA3"/>
    <w:rsid w:val="00C610EC"/>
    <w:rsid w:val="00C61122"/>
    <w:rsid w:val="00C61126"/>
    <w:rsid w:val="00C61284"/>
    <w:rsid w:val="00C61412"/>
    <w:rsid w:val="00C615BE"/>
    <w:rsid w:val="00C615CC"/>
    <w:rsid w:val="00C62135"/>
    <w:rsid w:val="00C6229A"/>
    <w:rsid w:val="00C62484"/>
    <w:rsid w:val="00C624E9"/>
    <w:rsid w:val="00C62599"/>
    <w:rsid w:val="00C62651"/>
    <w:rsid w:val="00C6266F"/>
    <w:rsid w:val="00C62BE6"/>
    <w:rsid w:val="00C6305A"/>
    <w:rsid w:val="00C63A13"/>
    <w:rsid w:val="00C63B3E"/>
    <w:rsid w:val="00C63F82"/>
    <w:rsid w:val="00C643AE"/>
    <w:rsid w:val="00C648A2"/>
    <w:rsid w:val="00C648E5"/>
    <w:rsid w:val="00C64943"/>
    <w:rsid w:val="00C64DE8"/>
    <w:rsid w:val="00C64DFA"/>
    <w:rsid w:val="00C64DFD"/>
    <w:rsid w:val="00C657D7"/>
    <w:rsid w:val="00C657FF"/>
    <w:rsid w:val="00C65AEC"/>
    <w:rsid w:val="00C65B36"/>
    <w:rsid w:val="00C65EAE"/>
    <w:rsid w:val="00C65F36"/>
    <w:rsid w:val="00C66459"/>
    <w:rsid w:val="00C666EE"/>
    <w:rsid w:val="00C66A23"/>
    <w:rsid w:val="00C66A78"/>
    <w:rsid w:val="00C67026"/>
    <w:rsid w:val="00C67898"/>
    <w:rsid w:val="00C67968"/>
    <w:rsid w:val="00C67A32"/>
    <w:rsid w:val="00C67D6B"/>
    <w:rsid w:val="00C70065"/>
    <w:rsid w:val="00C70614"/>
    <w:rsid w:val="00C706E1"/>
    <w:rsid w:val="00C70715"/>
    <w:rsid w:val="00C70741"/>
    <w:rsid w:val="00C70843"/>
    <w:rsid w:val="00C70A5D"/>
    <w:rsid w:val="00C70B95"/>
    <w:rsid w:val="00C710D8"/>
    <w:rsid w:val="00C71427"/>
    <w:rsid w:val="00C72291"/>
    <w:rsid w:val="00C7272C"/>
    <w:rsid w:val="00C72795"/>
    <w:rsid w:val="00C72BE0"/>
    <w:rsid w:val="00C72F94"/>
    <w:rsid w:val="00C731C8"/>
    <w:rsid w:val="00C73CF6"/>
    <w:rsid w:val="00C73E69"/>
    <w:rsid w:val="00C7402B"/>
    <w:rsid w:val="00C74239"/>
    <w:rsid w:val="00C74288"/>
    <w:rsid w:val="00C743FC"/>
    <w:rsid w:val="00C7485A"/>
    <w:rsid w:val="00C748CF"/>
    <w:rsid w:val="00C74C14"/>
    <w:rsid w:val="00C74D14"/>
    <w:rsid w:val="00C74F55"/>
    <w:rsid w:val="00C74FAF"/>
    <w:rsid w:val="00C7592E"/>
    <w:rsid w:val="00C75C19"/>
    <w:rsid w:val="00C75C3C"/>
    <w:rsid w:val="00C75C50"/>
    <w:rsid w:val="00C75D6B"/>
    <w:rsid w:val="00C76073"/>
    <w:rsid w:val="00C7609D"/>
    <w:rsid w:val="00C7647D"/>
    <w:rsid w:val="00C7682F"/>
    <w:rsid w:val="00C769C2"/>
    <w:rsid w:val="00C76A20"/>
    <w:rsid w:val="00C76AC1"/>
    <w:rsid w:val="00C76BC0"/>
    <w:rsid w:val="00C770E5"/>
    <w:rsid w:val="00C772D9"/>
    <w:rsid w:val="00C77429"/>
    <w:rsid w:val="00C77999"/>
    <w:rsid w:val="00C77E8D"/>
    <w:rsid w:val="00C80857"/>
    <w:rsid w:val="00C809F0"/>
    <w:rsid w:val="00C8115E"/>
    <w:rsid w:val="00C81324"/>
    <w:rsid w:val="00C816A6"/>
    <w:rsid w:val="00C81B82"/>
    <w:rsid w:val="00C81BAB"/>
    <w:rsid w:val="00C82215"/>
    <w:rsid w:val="00C82241"/>
    <w:rsid w:val="00C82718"/>
    <w:rsid w:val="00C8282B"/>
    <w:rsid w:val="00C8285F"/>
    <w:rsid w:val="00C8286C"/>
    <w:rsid w:val="00C828A6"/>
    <w:rsid w:val="00C82AFF"/>
    <w:rsid w:val="00C82BC7"/>
    <w:rsid w:val="00C82CE9"/>
    <w:rsid w:val="00C83148"/>
    <w:rsid w:val="00C8331A"/>
    <w:rsid w:val="00C83486"/>
    <w:rsid w:val="00C83560"/>
    <w:rsid w:val="00C83E62"/>
    <w:rsid w:val="00C83EB5"/>
    <w:rsid w:val="00C83F5E"/>
    <w:rsid w:val="00C83F88"/>
    <w:rsid w:val="00C8403F"/>
    <w:rsid w:val="00C84080"/>
    <w:rsid w:val="00C842FE"/>
    <w:rsid w:val="00C84326"/>
    <w:rsid w:val="00C84899"/>
    <w:rsid w:val="00C84C13"/>
    <w:rsid w:val="00C84DE1"/>
    <w:rsid w:val="00C84F5F"/>
    <w:rsid w:val="00C8506A"/>
    <w:rsid w:val="00C852B1"/>
    <w:rsid w:val="00C8597C"/>
    <w:rsid w:val="00C859D2"/>
    <w:rsid w:val="00C85B45"/>
    <w:rsid w:val="00C85E49"/>
    <w:rsid w:val="00C8632B"/>
    <w:rsid w:val="00C863FD"/>
    <w:rsid w:val="00C866B9"/>
    <w:rsid w:val="00C8674A"/>
    <w:rsid w:val="00C86843"/>
    <w:rsid w:val="00C86854"/>
    <w:rsid w:val="00C86DA1"/>
    <w:rsid w:val="00C870D4"/>
    <w:rsid w:val="00C87354"/>
    <w:rsid w:val="00C8757E"/>
    <w:rsid w:val="00C876A2"/>
    <w:rsid w:val="00C87A6E"/>
    <w:rsid w:val="00C87B9A"/>
    <w:rsid w:val="00C87EC6"/>
    <w:rsid w:val="00C87F66"/>
    <w:rsid w:val="00C87FB8"/>
    <w:rsid w:val="00C9022A"/>
    <w:rsid w:val="00C903AE"/>
    <w:rsid w:val="00C9045B"/>
    <w:rsid w:val="00C90633"/>
    <w:rsid w:val="00C90A2E"/>
    <w:rsid w:val="00C90AF8"/>
    <w:rsid w:val="00C912C2"/>
    <w:rsid w:val="00C912EF"/>
    <w:rsid w:val="00C91595"/>
    <w:rsid w:val="00C91AA6"/>
    <w:rsid w:val="00C92100"/>
    <w:rsid w:val="00C929CF"/>
    <w:rsid w:val="00C92AAE"/>
    <w:rsid w:val="00C92D0F"/>
    <w:rsid w:val="00C92D37"/>
    <w:rsid w:val="00C93304"/>
    <w:rsid w:val="00C9352D"/>
    <w:rsid w:val="00C9373A"/>
    <w:rsid w:val="00C939CE"/>
    <w:rsid w:val="00C93BAD"/>
    <w:rsid w:val="00C93D42"/>
    <w:rsid w:val="00C94157"/>
    <w:rsid w:val="00C9430C"/>
    <w:rsid w:val="00C9442D"/>
    <w:rsid w:val="00C94539"/>
    <w:rsid w:val="00C9458F"/>
    <w:rsid w:val="00C94711"/>
    <w:rsid w:val="00C94B79"/>
    <w:rsid w:val="00C94BEF"/>
    <w:rsid w:val="00C94EC6"/>
    <w:rsid w:val="00C94EDC"/>
    <w:rsid w:val="00C94FAE"/>
    <w:rsid w:val="00C9518C"/>
    <w:rsid w:val="00C953FA"/>
    <w:rsid w:val="00C95421"/>
    <w:rsid w:val="00C9543A"/>
    <w:rsid w:val="00C95650"/>
    <w:rsid w:val="00C95706"/>
    <w:rsid w:val="00C95B0D"/>
    <w:rsid w:val="00C95BE2"/>
    <w:rsid w:val="00C95C25"/>
    <w:rsid w:val="00C95C90"/>
    <w:rsid w:val="00C960DE"/>
    <w:rsid w:val="00C9619A"/>
    <w:rsid w:val="00C961EE"/>
    <w:rsid w:val="00C962FF"/>
    <w:rsid w:val="00C9663F"/>
    <w:rsid w:val="00C9668B"/>
    <w:rsid w:val="00C96739"/>
    <w:rsid w:val="00C97081"/>
    <w:rsid w:val="00C9722C"/>
    <w:rsid w:val="00C9762E"/>
    <w:rsid w:val="00C976F4"/>
    <w:rsid w:val="00C978EF"/>
    <w:rsid w:val="00C97AC6"/>
    <w:rsid w:val="00C97B7A"/>
    <w:rsid w:val="00CA0091"/>
    <w:rsid w:val="00CA016B"/>
    <w:rsid w:val="00CA01D0"/>
    <w:rsid w:val="00CA0330"/>
    <w:rsid w:val="00CA0A22"/>
    <w:rsid w:val="00CA0CB1"/>
    <w:rsid w:val="00CA0E84"/>
    <w:rsid w:val="00CA1565"/>
    <w:rsid w:val="00CA177B"/>
    <w:rsid w:val="00CA1DEA"/>
    <w:rsid w:val="00CA23C5"/>
    <w:rsid w:val="00CA2455"/>
    <w:rsid w:val="00CA2B81"/>
    <w:rsid w:val="00CA302C"/>
    <w:rsid w:val="00CA3121"/>
    <w:rsid w:val="00CA32B2"/>
    <w:rsid w:val="00CA32EA"/>
    <w:rsid w:val="00CA336C"/>
    <w:rsid w:val="00CA3899"/>
    <w:rsid w:val="00CA38F8"/>
    <w:rsid w:val="00CA4183"/>
    <w:rsid w:val="00CA4218"/>
    <w:rsid w:val="00CA42B9"/>
    <w:rsid w:val="00CA439E"/>
    <w:rsid w:val="00CA454F"/>
    <w:rsid w:val="00CA48CE"/>
    <w:rsid w:val="00CA492B"/>
    <w:rsid w:val="00CA51EA"/>
    <w:rsid w:val="00CA52AE"/>
    <w:rsid w:val="00CA5303"/>
    <w:rsid w:val="00CA5385"/>
    <w:rsid w:val="00CA5CC4"/>
    <w:rsid w:val="00CA5D4A"/>
    <w:rsid w:val="00CA5E27"/>
    <w:rsid w:val="00CA6339"/>
    <w:rsid w:val="00CA661A"/>
    <w:rsid w:val="00CA6B8B"/>
    <w:rsid w:val="00CA6BD4"/>
    <w:rsid w:val="00CA6EAF"/>
    <w:rsid w:val="00CA6EC1"/>
    <w:rsid w:val="00CA6FD9"/>
    <w:rsid w:val="00CA70FA"/>
    <w:rsid w:val="00CA7817"/>
    <w:rsid w:val="00CA7898"/>
    <w:rsid w:val="00CA7A5E"/>
    <w:rsid w:val="00CA7EC3"/>
    <w:rsid w:val="00CB0102"/>
    <w:rsid w:val="00CB0108"/>
    <w:rsid w:val="00CB03AC"/>
    <w:rsid w:val="00CB08EB"/>
    <w:rsid w:val="00CB096B"/>
    <w:rsid w:val="00CB0EB8"/>
    <w:rsid w:val="00CB1312"/>
    <w:rsid w:val="00CB13C8"/>
    <w:rsid w:val="00CB16FD"/>
    <w:rsid w:val="00CB16FF"/>
    <w:rsid w:val="00CB187F"/>
    <w:rsid w:val="00CB19A7"/>
    <w:rsid w:val="00CB1BBD"/>
    <w:rsid w:val="00CB21C5"/>
    <w:rsid w:val="00CB22D2"/>
    <w:rsid w:val="00CB2478"/>
    <w:rsid w:val="00CB26A3"/>
    <w:rsid w:val="00CB29D7"/>
    <w:rsid w:val="00CB2AFA"/>
    <w:rsid w:val="00CB3C5B"/>
    <w:rsid w:val="00CB3D23"/>
    <w:rsid w:val="00CB3EB1"/>
    <w:rsid w:val="00CB4329"/>
    <w:rsid w:val="00CB4450"/>
    <w:rsid w:val="00CB455D"/>
    <w:rsid w:val="00CB4BD3"/>
    <w:rsid w:val="00CB4C18"/>
    <w:rsid w:val="00CB4CC5"/>
    <w:rsid w:val="00CB4F6A"/>
    <w:rsid w:val="00CB4FEA"/>
    <w:rsid w:val="00CB5085"/>
    <w:rsid w:val="00CB51F6"/>
    <w:rsid w:val="00CB53FE"/>
    <w:rsid w:val="00CB5506"/>
    <w:rsid w:val="00CB57C0"/>
    <w:rsid w:val="00CB599C"/>
    <w:rsid w:val="00CB5B5F"/>
    <w:rsid w:val="00CB5B6B"/>
    <w:rsid w:val="00CB61BE"/>
    <w:rsid w:val="00CB634E"/>
    <w:rsid w:val="00CB64CC"/>
    <w:rsid w:val="00CB6D79"/>
    <w:rsid w:val="00CB6E86"/>
    <w:rsid w:val="00CB6F0C"/>
    <w:rsid w:val="00CB70B0"/>
    <w:rsid w:val="00CB728B"/>
    <w:rsid w:val="00CB72F2"/>
    <w:rsid w:val="00CB74C2"/>
    <w:rsid w:val="00CB7512"/>
    <w:rsid w:val="00CB7882"/>
    <w:rsid w:val="00CB7AA2"/>
    <w:rsid w:val="00CB7D79"/>
    <w:rsid w:val="00CB7DBC"/>
    <w:rsid w:val="00CC015A"/>
    <w:rsid w:val="00CC02C3"/>
    <w:rsid w:val="00CC0526"/>
    <w:rsid w:val="00CC094A"/>
    <w:rsid w:val="00CC0F8E"/>
    <w:rsid w:val="00CC122A"/>
    <w:rsid w:val="00CC1239"/>
    <w:rsid w:val="00CC1557"/>
    <w:rsid w:val="00CC1889"/>
    <w:rsid w:val="00CC1F17"/>
    <w:rsid w:val="00CC2151"/>
    <w:rsid w:val="00CC21A2"/>
    <w:rsid w:val="00CC2219"/>
    <w:rsid w:val="00CC26FE"/>
    <w:rsid w:val="00CC27BD"/>
    <w:rsid w:val="00CC28E4"/>
    <w:rsid w:val="00CC2B38"/>
    <w:rsid w:val="00CC2D78"/>
    <w:rsid w:val="00CC2E05"/>
    <w:rsid w:val="00CC31AA"/>
    <w:rsid w:val="00CC3573"/>
    <w:rsid w:val="00CC38E8"/>
    <w:rsid w:val="00CC3EE0"/>
    <w:rsid w:val="00CC3F72"/>
    <w:rsid w:val="00CC3FAB"/>
    <w:rsid w:val="00CC424E"/>
    <w:rsid w:val="00CC456C"/>
    <w:rsid w:val="00CC460D"/>
    <w:rsid w:val="00CC4A27"/>
    <w:rsid w:val="00CC4D73"/>
    <w:rsid w:val="00CC51C2"/>
    <w:rsid w:val="00CC52CA"/>
    <w:rsid w:val="00CC53BB"/>
    <w:rsid w:val="00CC5434"/>
    <w:rsid w:val="00CC5604"/>
    <w:rsid w:val="00CC5B2B"/>
    <w:rsid w:val="00CC5FAE"/>
    <w:rsid w:val="00CC5FC8"/>
    <w:rsid w:val="00CC6108"/>
    <w:rsid w:val="00CC6194"/>
    <w:rsid w:val="00CC67B6"/>
    <w:rsid w:val="00CC6D59"/>
    <w:rsid w:val="00CC734D"/>
    <w:rsid w:val="00CC7401"/>
    <w:rsid w:val="00CC7409"/>
    <w:rsid w:val="00CC77CB"/>
    <w:rsid w:val="00CC7AE7"/>
    <w:rsid w:val="00CC7EA2"/>
    <w:rsid w:val="00CD010B"/>
    <w:rsid w:val="00CD065F"/>
    <w:rsid w:val="00CD0874"/>
    <w:rsid w:val="00CD0A20"/>
    <w:rsid w:val="00CD0A2D"/>
    <w:rsid w:val="00CD0A39"/>
    <w:rsid w:val="00CD0A99"/>
    <w:rsid w:val="00CD0DCA"/>
    <w:rsid w:val="00CD0F5F"/>
    <w:rsid w:val="00CD13CF"/>
    <w:rsid w:val="00CD1405"/>
    <w:rsid w:val="00CD17FA"/>
    <w:rsid w:val="00CD1816"/>
    <w:rsid w:val="00CD1A03"/>
    <w:rsid w:val="00CD20E3"/>
    <w:rsid w:val="00CD2149"/>
    <w:rsid w:val="00CD256A"/>
    <w:rsid w:val="00CD25F8"/>
    <w:rsid w:val="00CD2603"/>
    <w:rsid w:val="00CD2B12"/>
    <w:rsid w:val="00CD2C65"/>
    <w:rsid w:val="00CD2F59"/>
    <w:rsid w:val="00CD2F5F"/>
    <w:rsid w:val="00CD329C"/>
    <w:rsid w:val="00CD32C8"/>
    <w:rsid w:val="00CD37DD"/>
    <w:rsid w:val="00CD4108"/>
    <w:rsid w:val="00CD4421"/>
    <w:rsid w:val="00CD486E"/>
    <w:rsid w:val="00CD4CD0"/>
    <w:rsid w:val="00CD58B7"/>
    <w:rsid w:val="00CD5A35"/>
    <w:rsid w:val="00CD5EBD"/>
    <w:rsid w:val="00CD62B2"/>
    <w:rsid w:val="00CD65EF"/>
    <w:rsid w:val="00CD6609"/>
    <w:rsid w:val="00CD6712"/>
    <w:rsid w:val="00CD6949"/>
    <w:rsid w:val="00CD6A65"/>
    <w:rsid w:val="00CD6BD9"/>
    <w:rsid w:val="00CD6F26"/>
    <w:rsid w:val="00CD6F75"/>
    <w:rsid w:val="00CD7108"/>
    <w:rsid w:val="00CD71C0"/>
    <w:rsid w:val="00CD71F9"/>
    <w:rsid w:val="00CD72EE"/>
    <w:rsid w:val="00CD74A9"/>
    <w:rsid w:val="00CD7618"/>
    <w:rsid w:val="00CD78AD"/>
    <w:rsid w:val="00CD7A59"/>
    <w:rsid w:val="00CD7C09"/>
    <w:rsid w:val="00CD7D60"/>
    <w:rsid w:val="00CD7E06"/>
    <w:rsid w:val="00CD7EEA"/>
    <w:rsid w:val="00CE0156"/>
    <w:rsid w:val="00CE01E4"/>
    <w:rsid w:val="00CE048B"/>
    <w:rsid w:val="00CE0687"/>
    <w:rsid w:val="00CE07EC"/>
    <w:rsid w:val="00CE08B5"/>
    <w:rsid w:val="00CE11E5"/>
    <w:rsid w:val="00CE12A4"/>
    <w:rsid w:val="00CE135E"/>
    <w:rsid w:val="00CE1432"/>
    <w:rsid w:val="00CE1610"/>
    <w:rsid w:val="00CE169B"/>
    <w:rsid w:val="00CE1737"/>
    <w:rsid w:val="00CE1D2F"/>
    <w:rsid w:val="00CE23FF"/>
    <w:rsid w:val="00CE25F1"/>
    <w:rsid w:val="00CE268D"/>
    <w:rsid w:val="00CE29CC"/>
    <w:rsid w:val="00CE2B88"/>
    <w:rsid w:val="00CE2BBB"/>
    <w:rsid w:val="00CE2D28"/>
    <w:rsid w:val="00CE2D7C"/>
    <w:rsid w:val="00CE2E31"/>
    <w:rsid w:val="00CE2E58"/>
    <w:rsid w:val="00CE2EB5"/>
    <w:rsid w:val="00CE3107"/>
    <w:rsid w:val="00CE326E"/>
    <w:rsid w:val="00CE33EA"/>
    <w:rsid w:val="00CE36E3"/>
    <w:rsid w:val="00CE376B"/>
    <w:rsid w:val="00CE38B7"/>
    <w:rsid w:val="00CE3B3C"/>
    <w:rsid w:val="00CE3CA4"/>
    <w:rsid w:val="00CE3E0A"/>
    <w:rsid w:val="00CE3E70"/>
    <w:rsid w:val="00CE4236"/>
    <w:rsid w:val="00CE4528"/>
    <w:rsid w:val="00CE46E7"/>
    <w:rsid w:val="00CE4AAC"/>
    <w:rsid w:val="00CE4C40"/>
    <w:rsid w:val="00CE4CFF"/>
    <w:rsid w:val="00CE4D23"/>
    <w:rsid w:val="00CE533A"/>
    <w:rsid w:val="00CE54A7"/>
    <w:rsid w:val="00CE585C"/>
    <w:rsid w:val="00CE5E9B"/>
    <w:rsid w:val="00CE5EE4"/>
    <w:rsid w:val="00CE5F22"/>
    <w:rsid w:val="00CE63CF"/>
    <w:rsid w:val="00CE6654"/>
    <w:rsid w:val="00CE6693"/>
    <w:rsid w:val="00CE6782"/>
    <w:rsid w:val="00CE697F"/>
    <w:rsid w:val="00CE69E2"/>
    <w:rsid w:val="00CE700D"/>
    <w:rsid w:val="00CE7039"/>
    <w:rsid w:val="00CE71C5"/>
    <w:rsid w:val="00CE7364"/>
    <w:rsid w:val="00CE736B"/>
    <w:rsid w:val="00CE7562"/>
    <w:rsid w:val="00CE7AB2"/>
    <w:rsid w:val="00CE7C4C"/>
    <w:rsid w:val="00CF02AE"/>
    <w:rsid w:val="00CF04B3"/>
    <w:rsid w:val="00CF0510"/>
    <w:rsid w:val="00CF073B"/>
    <w:rsid w:val="00CF0F57"/>
    <w:rsid w:val="00CF1E12"/>
    <w:rsid w:val="00CF1E6A"/>
    <w:rsid w:val="00CF1F00"/>
    <w:rsid w:val="00CF1FFE"/>
    <w:rsid w:val="00CF24F3"/>
    <w:rsid w:val="00CF25B7"/>
    <w:rsid w:val="00CF26C0"/>
    <w:rsid w:val="00CF2728"/>
    <w:rsid w:val="00CF2811"/>
    <w:rsid w:val="00CF29F4"/>
    <w:rsid w:val="00CF2D9E"/>
    <w:rsid w:val="00CF2EFD"/>
    <w:rsid w:val="00CF2F0D"/>
    <w:rsid w:val="00CF31B0"/>
    <w:rsid w:val="00CF31B1"/>
    <w:rsid w:val="00CF3400"/>
    <w:rsid w:val="00CF3666"/>
    <w:rsid w:val="00CF3786"/>
    <w:rsid w:val="00CF3C5B"/>
    <w:rsid w:val="00CF3D60"/>
    <w:rsid w:val="00CF452D"/>
    <w:rsid w:val="00CF4553"/>
    <w:rsid w:val="00CF45BC"/>
    <w:rsid w:val="00CF4F33"/>
    <w:rsid w:val="00CF5148"/>
    <w:rsid w:val="00CF5DAB"/>
    <w:rsid w:val="00CF5F72"/>
    <w:rsid w:val="00CF63C8"/>
    <w:rsid w:val="00CF6935"/>
    <w:rsid w:val="00CF6B14"/>
    <w:rsid w:val="00CF6B8C"/>
    <w:rsid w:val="00CF6FD4"/>
    <w:rsid w:val="00CF71E8"/>
    <w:rsid w:val="00CF7701"/>
    <w:rsid w:val="00CF7B82"/>
    <w:rsid w:val="00D0045E"/>
    <w:rsid w:val="00D00474"/>
    <w:rsid w:val="00D00707"/>
    <w:rsid w:val="00D0088D"/>
    <w:rsid w:val="00D008F7"/>
    <w:rsid w:val="00D00A6A"/>
    <w:rsid w:val="00D00E3B"/>
    <w:rsid w:val="00D01154"/>
    <w:rsid w:val="00D01387"/>
    <w:rsid w:val="00D01718"/>
    <w:rsid w:val="00D017B5"/>
    <w:rsid w:val="00D017C5"/>
    <w:rsid w:val="00D01C7C"/>
    <w:rsid w:val="00D01EB7"/>
    <w:rsid w:val="00D01EDC"/>
    <w:rsid w:val="00D01F9B"/>
    <w:rsid w:val="00D02217"/>
    <w:rsid w:val="00D023F7"/>
    <w:rsid w:val="00D02768"/>
    <w:rsid w:val="00D02C0F"/>
    <w:rsid w:val="00D03002"/>
    <w:rsid w:val="00D03269"/>
    <w:rsid w:val="00D03462"/>
    <w:rsid w:val="00D03513"/>
    <w:rsid w:val="00D03944"/>
    <w:rsid w:val="00D03EF2"/>
    <w:rsid w:val="00D03FCB"/>
    <w:rsid w:val="00D04030"/>
    <w:rsid w:val="00D0445D"/>
    <w:rsid w:val="00D04609"/>
    <w:rsid w:val="00D04953"/>
    <w:rsid w:val="00D049CD"/>
    <w:rsid w:val="00D04A59"/>
    <w:rsid w:val="00D04BF4"/>
    <w:rsid w:val="00D04C11"/>
    <w:rsid w:val="00D04CF0"/>
    <w:rsid w:val="00D04D15"/>
    <w:rsid w:val="00D04EFE"/>
    <w:rsid w:val="00D0517F"/>
    <w:rsid w:val="00D05515"/>
    <w:rsid w:val="00D05721"/>
    <w:rsid w:val="00D057A1"/>
    <w:rsid w:val="00D05A46"/>
    <w:rsid w:val="00D05CBA"/>
    <w:rsid w:val="00D05E0E"/>
    <w:rsid w:val="00D063F3"/>
    <w:rsid w:val="00D067D3"/>
    <w:rsid w:val="00D06874"/>
    <w:rsid w:val="00D06975"/>
    <w:rsid w:val="00D0699D"/>
    <w:rsid w:val="00D069C5"/>
    <w:rsid w:val="00D069C7"/>
    <w:rsid w:val="00D06A25"/>
    <w:rsid w:val="00D06AEF"/>
    <w:rsid w:val="00D06B06"/>
    <w:rsid w:val="00D06CC5"/>
    <w:rsid w:val="00D06CFF"/>
    <w:rsid w:val="00D06DB4"/>
    <w:rsid w:val="00D06DB8"/>
    <w:rsid w:val="00D06DDB"/>
    <w:rsid w:val="00D06E29"/>
    <w:rsid w:val="00D071D7"/>
    <w:rsid w:val="00D07291"/>
    <w:rsid w:val="00D073D3"/>
    <w:rsid w:val="00D077F4"/>
    <w:rsid w:val="00D07EA7"/>
    <w:rsid w:val="00D07F64"/>
    <w:rsid w:val="00D102A1"/>
    <w:rsid w:val="00D10641"/>
    <w:rsid w:val="00D10A25"/>
    <w:rsid w:val="00D10C13"/>
    <w:rsid w:val="00D10F4D"/>
    <w:rsid w:val="00D112E2"/>
    <w:rsid w:val="00D112F9"/>
    <w:rsid w:val="00D115E3"/>
    <w:rsid w:val="00D11903"/>
    <w:rsid w:val="00D119B4"/>
    <w:rsid w:val="00D11AEE"/>
    <w:rsid w:val="00D11B50"/>
    <w:rsid w:val="00D11C25"/>
    <w:rsid w:val="00D11E48"/>
    <w:rsid w:val="00D11F03"/>
    <w:rsid w:val="00D12195"/>
    <w:rsid w:val="00D121A0"/>
    <w:rsid w:val="00D12578"/>
    <w:rsid w:val="00D1275D"/>
    <w:rsid w:val="00D128B9"/>
    <w:rsid w:val="00D12BB8"/>
    <w:rsid w:val="00D1331F"/>
    <w:rsid w:val="00D13AD5"/>
    <w:rsid w:val="00D13AD7"/>
    <w:rsid w:val="00D13B07"/>
    <w:rsid w:val="00D13C84"/>
    <w:rsid w:val="00D13D6B"/>
    <w:rsid w:val="00D14259"/>
    <w:rsid w:val="00D143F8"/>
    <w:rsid w:val="00D14A5D"/>
    <w:rsid w:val="00D14D22"/>
    <w:rsid w:val="00D14E21"/>
    <w:rsid w:val="00D150BB"/>
    <w:rsid w:val="00D1546E"/>
    <w:rsid w:val="00D154FE"/>
    <w:rsid w:val="00D157EF"/>
    <w:rsid w:val="00D16247"/>
    <w:rsid w:val="00D16310"/>
    <w:rsid w:val="00D16494"/>
    <w:rsid w:val="00D16774"/>
    <w:rsid w:val="00D16845"/>
    <w:rsid w:val="00D16847"/>
    <w:rsid w:val="00D16A6C"/>
    <w:rsid w:val="00D16AE4"/>
    <w:rsid w:val="00D16C67"/>
    <w:rsid w:val="00D16D51"/>
    <w:rsid w:val="00D16DA2"/>
    <w:rsid w:val="00D16F37"/>
    <w:rsid w:val="00D17044"/>
    <w:rsid w:val="00D171DA"/>
    <w:rsid w:val="00D17456"/>
    <w:rsid w:val="00D176C7"/>
    <w:rsid w:val="00D17989"/>
    <w:rsid w:val="00D17AF9"/>
    <w:rsid w:val="00D17F39"/>
    <w:rsid w:val="00D17F90"/>
    <w:rsid w:val="00D20158"/>
    <w:rsid w:val="00D205B5"/>
    <w:rsid w:val="00D20969"/>
    <w:rsid w:val="00D211D6"/>
    <w:rsid w:val="00D21992"/>
    <w:rsid w:val="00D21A51"/>
    <w:rsid w:val="00D21E43"/>
    <w:rsid w:val="00D221A7"/>
    <w:rsid w:val="00D22230"/>
    <w:rsid w:val="00D22527"/>
    <w:rsid w:val="00D22704"/>
    <w:rsid w:val="00D22764"/>
    <w:rsid w:val="00D22902"/>
    <w:rsid w:val="00D23206"/>
    <w:rsid w:val="00D23275"/>
    <w:rsid w:val="00D23624"/>
    <w:rsid w:val="00D237E3"/>
    <w:rsid w:val="00D23BC2"/>
    <w:rsid w:val="00D244D7"/>
    <w:rsid w:val="00D245E9"/>
    <w:rsid w:val="00D2464C"/>
    <w:rsid w:val="00D24946"/>
    <w:rsid w:val="00D24A3F"/>
    <w:rsid w:val="00D24BCC"/>
    <w:rsid w:val="00D24FAB"/>
    <w:rsid w:val="00D24FD6"/>
    <w:rsid w:val="00D250F2"/>
    <w:rsid w:val="00D2531B"/>
    <w:rsid w:val="00D255C7"/>
    <w:rsid w:val="00D2567B"/>
    <w:rsid w:val="00D25845"/>
    <w:rsid w:val="00D25C02"/>
    <w:rsid w:val="00D25EE5"/>
    <w:rsid w:val="00D25FA1"/>
    <w:rsid w:val="00D260FD"/>
    <w:rsid w:val="00D266E5"/>
    <w:rsid w:val="00D2670B"/>
    <w:rsid w:val="00D27279"/>
    <w:rsid w:val="00D273FA"/>
    <w:rsid w:val="00D276BB"/>
    <w:rsid w:val="00D279B8"/>
    <w:rsid w:val="00D279D8"/>
    <w:rsid w:val="00D27A59"/>
    <w:rsid w:val="00D27F4F"/>
    <w:rsid w:val="00D27FE4"/>
    <w:rsid w:val="00D30171"/>
    <w:rsid w:val="00D30443"/>
    <w:rsid w:val="00D304F6"/>
    <w:rsid w:val="00D3059A"/>
    <w:rsid w:val="00D306C1"/>
    <w:rsid w:val="00D309A8"/>
    <w:rsid w:val="00D30DE3"/>
    <w:rsid w:val="00D30FD8"/>
    <w:rsid w:val="00D311C9"/>
    <w:rsid w:val="00D31248"/>
    <w:rsid w:val="00D31611"/>
    <w:rsid w:val="00D31726"/>
    <w:rsid w:val="00D319ED"/>
    <w:rsid w:val="00D31C6A"/>
    <w:rsid w:val="00D31CB9"/>
    <w:rsid w:val="00D31D59"/>
    <w:rsid w:val="00D32001"/>
    <w:rsid w:val="00D320A7"/>
    <w:rsid w:val="00D321E8"/>
    <w:rsid w:val="00D324FB"/>
    <w:rsid w:val="00D3259B"/>
    <w:rsid w:val="00D32C6C"/>
    <w:rsid w:val="00D32F16"/>
    <w:rsid w:val="00D3308F"/>
    <w:rsid w:val="00D337E3"/>
    <w:rsid w:val="00D338A6"/>
    <w:rsid w:val="00D339CC"/>
    <w:rsid w:val="00D339CF"/>
    <w:rsid w:val="00D33ADC"/>
    <w:rsid w:val="00D33B5E"/>
    <w:rsid w:val="00D33FA9"/>
    <w:rsid w:val="00D33FC1"/>
    <w:rsid w:val="00D34105"/>
    <w:rsid w:val="00D34164"/>
    <w:rsid w:val="00D3420C"/>
    <w:rsid w:val="00D34263"/>
    <w:rsid w:val="00D34409"/>
    <w:rsid w:val="00D34726"/>
    <w:rsid w:val="00D34809"/>
    <w:rsid w:val="00D3486E"/>
    <w:rsid w:val="00D34D7D"/>
    <w:rsid w:val="00D34ECB"/>
    <w:rsid w:val="00D35000"/>
    <w:rsid w:val="00D35774"/>
    <w:rsid w:val="00D35B07"/>
    <w:rsid w:val="00D35D54"/>
    <w:rsid w:val="00D35EC6"/>
    <w:rsid w:val="00D35FB3"/>
    <w:rsid w:val="00D36025"/>
    <w:rsid w:val="00D36118"/>
    <w:rsid w:val="00D361FF"/>
    <w:rsid w:val="00D362A1"/>
    <w:rsid w:val="00D36762"/>
    <w:rsid w:val="00D37009"/>
    <w:rsid w:val="00D37273"/>
    <w:rsid w:val="00D3753D"/>
    <w:rsid w:val="00D3756E"/>
    <w:rsid w:val="00D37687"/>
    <w:rsid w:val="00D37694"/>
    <w:rsid w:val="00D37A54"/>
    <w:rsid w:val="00D37B5C"/>
    <w:rsid w:val="00D37DB7"/>
    <w:rsid w:val="00D37DF1"/>
    <w:rsid w:val="00D37E62"/>
    <w:rsid w:val="00D37EA9"/>
    <w:rsid w:val="00D37F7F"/>
    <w:rsid w:val="00D40328"/>
    <w:rsid w:val="00D40836"/>
    <w:rsid w:val="00D40940"/>
    <w:rsid w:val="00D40DD2"/>
    <w:rsid w:val="00D41588"/>
    <w:rsid w:val="00D41B7E"/>
    <w:rsid w:val="00D41D3C"/>
    <w:rsid w:val="00D42242"/>
    <w:rsid w:val="00D4234C"/>
    <w:rsid w:val="00D42825"/>
    <w:rsid w:val="00D428EF"/>
    <w:rsid w:val="00D42A3E"/>
    <w:rsid w:val="00D42B32"/>
    <w:rsid w:val="00D43180"/>
    <w:rsid w:val="00D4333D"/>
    <w:rsid w:val="00D43457"/>
    <w:rsid w:val="00D434A6"/>
    <w:rsid w:val="00D43524"/>
    <w:rsid w:val="00D43698"/>
    <w:rsid w:val="00D4383D"/>
    <w:rsid w:val="00D43918"/>
    <w:rsid w:val="00D439B2"/>
    <w:rsid w:val="00D43C48"/>
    <w:rsid w:val="00D43D1C"/>
    <w:rsid w:val="00D43F05"/>
    <w:rsid w:val="00D4430D"/>
    <w:rsid w:val="00D44411"/>
    <w:rsid w:val="00D446FE"/>
    <w:rsid w:val="00D44D4F"/>
    <w:rsid w:val="00D453E3"/>
    <w:rsid w:val="00D4557D"/>
    <w:rsid w:val="00D456BB"/>
    <w:rsid w:val="00D4579E"/>
    <w:rsid w:val="00D4598C"/>
    <w:rsid w:val="00D45AA7"/>
    <w:rsid w:val="00D45BC4"/>
    <w:rsid w:val="00D4605A"/>
    <w:rsid w:val="00D467F1"/>
    <w:rsid w:val="00D46C47"/>
    <w:rsid w:val="00D46DDB"/>
    <w:rsid w:val="00D47042"/>
    <w:rsid w:val="00D470D3"/>
    <w:rsid w:val="00D471FB"/>
    <w:rsid w:val="00D47276"/>
    <w:rsid w:val="00D4743C"/>
    <w:rsid w:val="00D47490"/>
    <w:rsid w:val="00D47821"/>
    <w:rsid w:val="00D47BCD"/>
    <w:rsid w:val="00D501EF"/>
    <w:rsid w:val="00D50453"/>
    <w:rsid w:val="00D505BF"/>
    <w:rsid w:val="00D50883"/>
    <w:rsid w:val="00D508A9"/>
    <w:rsid w:val="00D50B38"/>
    <w:rsid w:val="00D50C6A"/>
    <w:rsid w:val="00D50D07"/>
    <w:rsid w:val="00D50F55"/>
    <w:rsid w:val="00D5105D"/>
    <w:rsid w:val="00D51189"/>
    <w:rsid w:val="00D51520"/>
    <w:rsid w:val="00D5194A"/>
    <w:rsid w:val="00D51D68"/>
    <w:rsid w:val="00D51E25"/>
    <w:rsid w:val="00D51FC8"/>
    <w:rsid w:val="00D52220"/>
    <w:rsid w:val="00D5234E"/>
    <w:rsid w:val="00D523F3"/>
    <w:rsid w:val="00D52462"/>
    <w:rsid w:val="00D5260C"/>
    <w:rsid w:val="00D52903"/>
    <w:rsid w:val="00D52BB7"/>
    <w:rsid w:val="00D52C8D"/>
    <w:rsid w:val="00D52DAF"/>
    <w:rsid w:val="00D537D7"/>
    <w:rsid w:val="00D537DF"/>
    <w:rsid w:val="00D538AF"/>
    <w:rsid w:val="00D53BB0"/>
    <w:rsid w:val="00D53D9A"/>
    <w:rsid w:val="00D53FBE"/>
    <w:rsid w:val="00D54048"/>
    <w:rsid w:val="00D543CE"/>
    <w:rsid w:val="00D5461D"/>
    <w:rsid w:val="00D54A4B"/>
    <w:rsid w:val="00D54C9D"/>
    <w:rsid w:val="00D55330"/>
    <w:rsid w:val="00D5538C"/>
    <w:rsid w:val="00D55409"/>
    <w:rsid w:val="00D5553F"/>
    <w:rsid w:val="00D5564A"/>
    <w:rsid w:val="00D556D7"/>
    <w:rsid w:val="00D558A7"/>
    <w:rsid w:val="00D55972"/>
    <w:rsid w:val="00D55A1B"/>
    <w:rsid w:val="00D55A6B"/>
    <w:rsid w:val="00D5628B"/>
    <w:rsid w:val="00D567E3"/>
    <w:rsid w:val="00D56B64"/>
    <w:rsid w:val="00D57506"/>
    <w:rsid w:val="00D57559"/>
    <w:rsid w:val="00D577BB"/>
    <w:rsid w:val="00D57E1D"/>
    <w:rsid w:val="00D57F97"/>
    <w:rsid w:val="00D600CC"/>
    <w:rsid w:val="00D60339"/>
    <w:rsid w:val="00D607B3"/>
    <w:rsid w:val="00D60AFF"/>
    <w:rsid w:val="00D60C6A"/>
    <w:rsid w:val="00D60F9F"/>
    <w:rsid w:val="00D611FA"/>
    <w:rsid w:val="00D6167B"/>
    <w:rsid w:val="00D61879"/>
    <w:rsid w:val="00D618B4"/>
    <w:rsid w:val="00D6196D"/>
    <w:rsid w:val="00D61CB7"/>
    <w:rsid w:val="00D61E50"/>
    <w:rsid w:val="00D62133"/>
    <w:rsid w:val="00D62379"/>
    <w:rsid w:val="00D6239A"/>
    <w:rsid w:val="00D624C8"/>
    <w:rsid w:val="00D6256C"/>
    <w:rsid w:val="00D6272B"/>
    <w:rsid w:val="00D62BEE"/>
    <w:rsid w:val="00D62C8B"/>
    <w:rsid w:val="00D62E8F"/>
    <w:rsid w:val="00D630A3"/>
    <w:rsid w:val="00D6395E"/>
    <w:rsid w:val="00D63AC6"/>
    <w:rsid w:val="00D63C2D"/>
    <w:rsid w:val="00D64784"/>
    <w:rsid w:val="00D64C45"/>
    <w:rsid w:val="00D64D0D"/>
    <w:rsid w:val="00D65516"/>
    <w:rsid w:val="00D65570"/>
    <w:rsid w:val="00D65D41"/>
    <w:rsid w:val="00D65E07"/>
    <w:rsid w:val="00D661E3"/>
    <w:rsid w:val="00D6632E"/>
    <w:rsid w:val="00D66365"/>
    <w:rsid w:val="00D66AAC"/>
    <w:rsid w:val="00D66B42"/>
    <w:rsid w:val="00D66CC7"/>
    <w:rsid w:val="00D66CD8"/>
    <w:rsid w:val="00D67279"/>
    <w:rsid w:val="00D673A2"/>
    <w:rsid w:val="00D67458"/>
    <w:rsid w:val="00D67633"/>
    <w:rsid w:val="00D677A3"/>
    <w:rsid w:val="00D6799D"/>
    <w:rsid w:val="00D67A16"/>
    <w:rsid w:val="00D67C9D"/>
    <w:rsid w:val="00D67CCC"/>
    <w:rsid w:val="00D67E7A"/>
    <w:rsid w:val="00D67FF7"/>
    <w:rsid w:val="00D70016"/>
    <w:rsid w:val="00D7020E"/>
    <w:rsid w:val="00D7035C"/>
    <w:rsid w:val="00D70A8E"/>
    <w:rsid w:val="00D70CB3"/>
    <w:rsid w:val="00D712D9"/>
    <w:rsid w:val="00D71566"/>
    <w:rsid w:val="00D7158E"/>
    <w:rsid w:val="00D71B16"/>
    <w:rsid w:val="00D71DC3"/>
    <w:rsid w:val="00D71DCE"/>
    <w:rsid w:val="00D71E2F"/>
    <w:rsid w:val="00D71F47"/>
    <w:rsid w:val="00D72353"/>
    <w:rsid w:val="00D724C7"/>
    <w:rsid w:val="00D72EB5"/>
    <w:rsid w:val="00D72F33"/>
    <w:rsid w:val="00D73D74"/>
    <w:rsid w:val="00D74056"/>
    <w:rsid w:val="00D7424E"/>
    <w:rsid w:val="00D74678"/>
    <w:rsid w:val="00D74751"/>
    <w:rsid w:val="00D74B31"/>
    <w:rsid w:val="00D74F06"/>
    <w:rsid w:val="00D74F0F"/>
    <w:rsid w:val="00D75298"/>
    <w:rsid w:val="00D7561D"/>
    <w:rsid w:val="00D75FEF"/>
    <w:rsid w:val="00D760C5"/>
    <w:rsid w:val="00D764B5"/>
    <w:rsid w:val="00D7653A"/>
    <w:rsid w:val="00D765E6"/>
    <w:rsid w:val="00D765F4"/>
    <w:rsid w:val="00D766AA"/>
    <w:rsid w:val="00D7672B"/>
    <w:rsid w:val="00D76746"/>
    <w:rsid w:val="00D76AED"/>
    <w:rsid w:val="00D76B0D"/>
    <w:rsid w:val="00D76F9A"/>
    <w:rsid w:val="00D7729E"/>
    <w:rsid w:val="00D7794D"/>
    <w:rsid w:val="00D77CB8"/>
    <w:rsid w:val="00D77D5F"/>
    <w:rsid w:val="00D77DC8"/>
    <w:rsid w:val="00D77E17"/>
    <w:rsid w:val="00D801FB"/>
    <w:rsid w:val="00D80529"/>
    <w:rsid w:val="00D809D3"/>
    <w:rsid w:val="00D80AE5"/>
    <w:rsid w:val="00D80C6D"/>
    <w:rsid w:val="00D80DC4"/>
    <w:rsid w:val="00D80F0E"/>
    <w:rsid w:val="00D81230"/>
    <w:rsid w:val="00D81CE4"/>
    <w:rsid w:val="00D81E72"/>
    <w:rsid w:val="00D82492"/>
    <w:rsid w:val="00D82627"/>
    <w:rsid w:val="00D826D4"/>
    <w:rsid w:val="00D8297A"/>
    <w:rsid w:val="00D82F0C"/>
    <w:rsid w:val="00D831E9"/>
    <w:rsid w:val="00D832D9"/>
    <w:rsid w:val="00D838A5"/>
    <w:rsid w:val="00D8396C"/>
    <w:rsid w:val="00D839F9"/>
    <w:rsid w:val="00D83A37"/>
    <w:rsid w:val="00D83DF7"/>
    <w:rsid w:val="00D842C4"/>
    <w:rsid w:val="00D846E0"/>
    <w:rsid w:val="00D8488D"/>
    <w:rsid w:val="00D84B7C"/>
    <w:rsid w:val="00D84E22"/>
    <w:rsid w:val="00D84EFF"/>
    <w:rsid w:val="00D84F59"/>
    <w:rsid w:val="00D85150"/>
    <w:rsid w:val="00D85263"/>
    <w:rsid w:val="00D853DA"/>
    <w:rsid w:val="00D855CD"/>
    <w:rsid w:val="00D85641"/>
    <w:rsid w:val="00D859D3"/>
    <w:rsid w:val="00D85B58"/>
    <w:rsid w:val="00D860C8"/>
    <w:rsid w:val="00D8619D"/>
    <w:rsid w:val="00D864CC"/>
    <w:rsid w:val="00D86A86"/>
    <w:rsid w:val="00D86FB6"/>
    <w:rsid w:val="00D8717E"/>
    <w:rsid w:val="00D87283"/>
    <w:rsid w:val="00D873A1"/>
    <w:rsid w:val="00D8753D"/>
    <w:rsid w:val="00D87C13"/>
    <w:rsid w:val="00D87C5C"/>
    <w:rsid w:val="00D87D4F"/>
    <w:rsid w:val="00D901A3"/>
    <w:rsid w:val="00D9036F"/>
    <w:rsid w:val="00D90412"/>
    <w:rsid w:val="00D906C8"/>
    <w:rsid w:val="00D90732"/>
    <w:rsid w:val="00D90917"/>
    <w:rsid w:val="00D909A9"/>
    <w:rsid w:val="00D90E42"/>
    <w:rsid w:val="00D90ECD"/>
    <w:rsid w:val="00D90FB2"/>
    <w:rsid w:val="00D9105D"/>
    <w:rsid w:val="00D9156A"/>
    <w:rsid w:val="00D91619"/>
    <w:rsid w:val="00D9193B"/>
    <w:rsid w:val="00D91B0E"/>
    <w:rsid w:val="00D91DE1"/>
    <w:rsid w:val="00D91E93"/>
    <w:rsid w:val="00D92333"/>
    <w:rsid w:val="00D926C3"/>
    <w:rsid w:val="00D92780"/>
    <w:rsid w:val="00D9286C"/>
    <w:rsid w:val="00D92D9C"/>
    <w:rsid w:val="00D92F38"/>
    <w:rsid w:val="00D930AE"/>
    <w:rsid w:val="00D93488"/>
    <w:rsid w:val="00D934D2"/>
    <w:rsid w:val="00D9368E"/>
    <w:rsid w:val="00D936B6"/>
    <w:rsid w:val="00D9370A"/>
    <w:rsid w:val="00D93EA7"/>
    <w:rsid w:val="00D943F0"/>
    <w:rsid w:val="00D94617"/>
    <w:rsid w:val="00D9461A"/>
    <w:rsid w:val="00D9489E"/>
    <w:rsid w:val="00D948C6"/>
    <w:rsid w:val="00D94E60"/>
    <w:rsid w:val="00D952B5"/>
    <w:rsid w:val="00D95321"/>
    <w:rsid w:val="00D955D8"/>
    <w:rsid w:val="00D956CA"/>
    <w:rsid w:val="00D95A2F"/>
    <w:rsid w:val="00D95AAB"/>
    <w:rsid w:val="00D95B6B"/>
    <w:rsid w:val="00D96196"/>
    <w:rsid w:val="00D9650B"/>
    <w:rsid w:val="00D9653F"/>
    <w:rsid w:val="00D967A0"/>
    <w:rsid w:val="00D96867"/>
    <w:rsid w:val="00D9694C"/>
    <w:rsid w:val="00D96CF9"/>
    <w:rsid w:val="00D96DDA"/>
    <w:rsid w:val="00D97074"/>
    <w:rsid w:val="00D970BD"/>
    <w:rsid w:val="00D97175"/>
    <w:rsid w:val="00D9719C"/>
    <w:rsid w:val="00D973E7"/>
    <w:rsid w:val="00D97577"/>
    <w:rsid w:val="00D97C5F"/>
    <w:rsid w:val="00D97D8D"/>
    <w:rsid w:val="00DA0051"/>
    <w:rsid w:val="00DA01F2"/>
    <w:rsid w:val="00DA04E4"/>
    <w:rsid w:val="00DA08DA"/>
    <w:rsid w:val="00DA0985"/>
    <w:rsid w:val="00DA0BE5"/>
    <w:rsid w:val="00DA15EF"/>
    <w:rsid w:val="00DA16C8"/>
    <w:rsid w:val="00DA1813"/>
    <w:rsid w:val="00DA1925"/>
    <w:rsid w:val="00DA1C14"/>
    <w:rsid w:val="00DA1F8C"/>
    <w:rsid w:val="00DA21C5"/>
    <w:rsid w:val="00DA2302"/>
    <w:rsid w:val="00DA233C"/>
    <w:rsid w:val="00DA2AAB"/>
    <w:rsid w:val="00DA2B30"/>
    <w:rsid w:val="00DA2C6E"/>
    <w:rsid w:val="00DA300D"/>
    <w:rsid w:val="00DA315B"/>
    <w:rsid w:val="00DA320F"/>
    <w:rsid w:val="00DA341E"/>
    <w:rsid w:val="00DA3428"/>
    <w:rsid w:val="00DA379D"/>
    <w:rsid w:val="00DA37AE"/>
    <w:rsid w:val="00DA380B"/>
    <w:rsid w:val="00DA38A6"/>
    <w:rsid w:val="00DA3A5A"/>
    <w:rsid w:val="00DA3BC0"/>
    <w:rsid w:val="00DA3BF4"/>
    <w:rsid w:val="00DA3C97"/>
    <w:rsid w:val="00DA3EBE"/>
    <w:rsid w:val="00DA48FD"/>
    <w:rsid w:val="00DA4C11"/>
    <w:rsid w:val="00DA4E23"/>
    <w:rsid w:val="00DA50A5"/>
    <w:rsid w:val="00DA522C"/>
    <w:rsid w:val="00DA5647"/>
    <w:rsid w:val="00DA5771"/>
    <w:rsid w:val="00DA5974"/>
    <w:rsid w:val="00DA5AF6"/>
    <w:rsid w:val="00DA5B9F"/>
    <w:rsid w:val="00DA5CA4"/>
    <w:rsid w:val="00DA5D3C"/>
    <w:rsid w:val="00DA5F43"/>
    <w:rsid w:val="00DA6447"/>
    <w:rsid w:val="00DA663D"/>
    <w:rsid w:val="00DA6849"/>
    <w:rsid w:val="00DA6888"/>
    <w:rsid w:val="00DA6972"/>
    <w:rsid w:val="00DA6CB1"/>
    <w:rsid w:val="00DA72BA"/>
    <w:rsid w:val="00DA72DB"/>
    <w:rsid w:val="00DA763C"/>
    <w:rsid w:val="00DA7866"/>
    <w:rsid w:val="00DA7895"/>
    <w:rsid w:val="00DB00CC"/>
    <w:rsid w:val="00DB0337"/>
    <w:rsid w:val="00DB0A92"/>
    <w:rsid w:val="00DB0C36"/>
    <w:rsid w:val="00DB0D00"/>
    <w:rsid w:val="00DB0FB5"/>
    <w:rsid w:val="00DB1156"/>
    <w:rsid w:val="00DB13A3"/>
    <w:rsid w:val="00DB1407"/>
    <w:rsid w:val="00DB1969"/>
    <w:rsid w:val="00DB1CE0"/>
    <w:rsid w:val="00DB226D"/>
    <w:rsid w:val="00DB245B"/>
    <w:rsid w:val="00DB2659"/>
    <w:rsid w:val="00DB29DA"/>
    <w:rsid w:val="00DB2ADA"/>
    <w:rsid w:val="00DB2B3F"/>
    <w:rsid w:val="00DB2B5E"/>
    <w:rsid w:val="00DB2B90"/>
    <w:rsid w:val="00DB2BE9"/>
    <w:rsid w:val="00DB2C65"/>
    <w:rsid w:val="00DB2E62"/>
    <w:rsid w:val="00DB2FEB"/>
    <w:rsid w:val="00DB3429"/>
    <w:rsid w:val="00DB4235"/>
    <w:rsid w:val="00DB4EE7"/>
    <w:rsid w:val="00DB504A"/>
    <w:rsid w:val="00DB55D6"/>
    <w:rsid w:val="00DB5900"/>
    <w:rsid w:val="00DB5A19"/>
    <w:rsid w:val="00DB5CAA"/>
    <w:rsid w:val="00DB60C4"/>
    <w:rsid w:val="00DB63F4"/>
    <w:rsid w:val="00DB67F7"/>
    <w:rsid w:val="00DB6895"/>
    <w:rsid w:val="00DB6937"/>
    <w:rsid w:val="00DB6B11"/>
    <w:rsid w:val="00DB6F6E"/>
    <w:rsid w:val="00DB70D4"/>
    <w:rsid w:val="00DB7175"/>
    <w:rsid w:val="00DB73B4"/>
    <w:rsid w:val="00DB7526"/>
    <w:rsid w:val="00DB7543"/>
    <w:rsid w:val="00DB7580"/>
    <w:rsid w:val="00DB76C8"/>
    <w:rsid w:val="00DB77E0"/>
    <w:rsid w:val="00DB7AD9"/>
    <w:rsid w:val="00DB7D95"/>
    <w:rsid w:val="00DB7EC6"/>
    <w:rsid w:val="00DB7EEB"/>
    <w:rsid w:val="00DC03C2"/>
    <w:rsid w:val="00DC0641"/>
    <w:rsid w:val="00DC0791"/>
    <w:rsid w:val="00DC0ACD"/>
    <w:rsid w:val="00DC0DA4"/>
    <w:rsid w:val="00DC0E31"/>
    <w:rsid w:val="00DC1243"/>
    <w:rsid w:val="00DC13BA"/>
    <w:rsid w:val="00DC15E9"/>
    <w:rsid w:val="00DC16C6"/>
    <w:rsid w:val="00DC1AFC"/>
    <w:rsid w:val="00DC1BDB"/>
    <w:rsid w:val="00DC2013"/>
    <w:rsid w:val="00DC21AF"/>
    <w:rsid w:val="00DC2247"/>
    <w:rsid w:val="00DC24D5"/>
    <w:rsid w:val="00DC2778"/>
    <w:rsid w:val="00DC27DD"/>
    <w:rsid w:val="00DC281F"/>
    <w:rsid w:val="00DC2A58"/>
    <w:rsid w:val="00DC2AC2"/>
    <w:rsid w:val="00DC34B6"/>
    <w:rsid w:val="00DC3874"/>
    <w:rsid w:val="00DC3AC1"/>
    <w:rsid w:val="00DC3AF2"/>
    <w:rsid w:val="00DC3D75"/>
    <w:rsid w:val="00DC3FFD"/>
    <w:rsid w:val="00DC447C"/>
    <w:rsid w:val="00DC459A"/>
    <w:rsid w:val="00DC4629"/>
    <w:rsid w:val="00DC4668"/>
    <w:rsid w:val="00DC48A5"/>
    <w:rsid w:val="00DC4BF4"/>
    <w:rsid w:val="00DC4CC2"/>
    <w:rsid w:val="00DC4F05"/>
    <w:rsid w:val="00DC57F9"/>
    <w:rsid w:val="00DC5D9A"/>
    <w:rsid w:val="00DC5DFF"/>
    <w:rsid w:val="00DC5FA7"/>
    <w:rsid w:val="00DC6124"/>
    <w:rsid w:val="00DC61EA"/>
    <w:rsid w:val="00DC62D0"/>
    <w:rsid w:val="00DC6812"/>
    <w:rsid w:val="00DC6991"/>
    <w:rsid w:val="00DC6AD9"/>
    <w:rsid w:val="00DC6C6E"/>
    <w:rsid w:val="00DC6FB0"/>
    <w:rsid w:val="00DC710A"/>
    <w:rsid w:val="00DC7307"/>
    <w:rsid w:val="00DC7A2F"/>
    <w:rsid w:val="00DC7CE9"/>
    <w:rsid w:val="00DD00B3"/>
    <w:rsid w:val="00DD0116"/>
    <w:rsid w:val="00DD06A0"/>
    <w:rsid w:val="00DD08CE"/>
    <w:rsid w:val="00DD0B03"/>
    <w:rsid w:val="00DD0FC0"/>
    <w:rsid w:val="00DD11E7"/>
    <w:rsid w:val="00DD1348"/>
    <w:rsid w:val="00DD1553"/>
    <w:rsid w:val="00DD184D"/>
    <w:rsid w:val="00DD1ACB"/>
    <w:rsid w:val="00DD1C54"/>
    <w:rsid w:val="00DD1EAF"/>
    <w:rsid w:val="00DD2365"/>
    <w:rsid w:val="00DD28EA"/>
    <w:rsid w:val="00DD2B70"/>
    <w:rsid w:val="00DD3238"/>
    <w:rsid w:val="00DD32D8"/>
    <w:rsid w:val="00DD3496"/>
    <w:rsid w:val="00DD36C6"/>
    <w:rsid w:val="00DD3917"/>
    <w:rsid w:val="00DD3AE7"/>
    <w:rsid w:val="00DD3C74"/>
    <w:rsid w:val="00DD3F98"/>
    <w:rsid w:val="00DD4082"/>
    <w:rsid w:val="00DD43C8"/>
    <w:rsid w:val="00DD458F"/>
    <w:rsid w:val="00DD478B"/>
    <w:rsid w:val="00DD4799"/>
    <w:rsid w:val="00DD4A08"/>
    <w:rsid w:val="00DD5072"/>
    <w:rsid w:val="00DD51DF"/>
    <w:rsid w:val="00DD53F5"/>
    <w:rsid w:val="00DD545F"/>
    <w:rsid w:val="00DD54A7"/>
    <w:rsid w:val="00DD58EC"/>
    <w:rsid w:val="00DD5A0E"/>
    <w:rsid w:val="00DD5AD8"/>
    <w:rsid w:val="00DD5C43"/>
    <w:rsid w:val="00DD5E8C"/>
    <w:rsid w:val="00DD5FB5"/>
    <w:rsid w:val="00DD600D"/>
    <w:rsid w:val="00DD611D"/>
    <w:rsid w:val="00DD670A"/>
    <w:rsid w:val="00DD672B"/>
    <w:rsid w:val="00DD6EFC"/>
    <w:rsid w:val="00DD71DB"/>
    <w:rsid w:val="00DD7299"/>
    <w:rsid w:val="00DD7332"/>
    <w:rsid w:val="00DD733E"/>
    <w:rsid w:val="00DD74D1"/>
    <w:rsid w:val="00DD7996"/>
    <w:rsid w:val="00DD7A82"/>
    <w:rsid w:val="00DD7C6A"/>
    <w:rsid w:val="00DE037A"/>
    <w:rsid w:val="00DE0511"/>
    <w:rsid w:val="00DE0D35"/>
    <w:rsid w:val="00DE0E6A"/>
    <w:rsid w:val="00DE10EC"/>
    <w:rsid w:val="00DE11E5"/>
    <w:rsid w:val="00DE122C"/>
    <w:rsid w:val="00DE135E"/>
    <w:rsid w:val="00DE1528"/>
    <w:rsid w:val="00DE1B8B"/>
    <w:rsid w:val="00DE1D36"/>
    <w:rsid w:val="00DE1F3A"/>
    <w:rsid w:val="00DE1FC9"/>
    <w:rsid w:val="00DE21D2"/>
    <w:rsid w:val="00DE2904"/>
    <w:rsid w:val="00DE2A1B"/>
    <w:rsid w:val="00DE3396"/>
    <w:rsid w:val="00DE3D53"/>
    <w:rsid w:val="00DE3E0E"/>
    <w:rsid w:val="00DE4063"/>
    <w:rsid w:val="00DE40E8"/>
    <w:rsid w:val="00DE42E5"/>
    <w:rsid w:val="00DE4581"/>
    <w:rsid w:val="00DE4A6F"/>
    <w:rsid w:val="00DE4F15"/>
    <w:rsid w:val="00DE4F48"/>
    <w:rsid w:val="00DE5155"/>
    <w:rsid w:val="00DE5164"/>
    <w:rsid w:val="00DE5521"/>
    <w:rsid w:val="00DE582C"/>
    <w:rsid w:val="00DE5A58"/>
    <w:rsid w:val="00DE5DB0"/>
    <w:rsid w:val="00DE5DCD"/>
    <w:rsid w:val="00DE5E7C"/>
    <w:rsid w:val="00DE5F8E"/>
    <w:rsid w:val="00DE5F8F"/>
    <w:rsid w:val="00DE6047"/>
    <w:rsid w:val="00DE61BA"/>
    <w:rsid w:val="00DE63EC"/>
    <w:rsid w:val="00DE6570"/>
    <w:rsid w:val="00DE6B03"/>
    <w:rsid w:val="00DE6CFE"/>
    <w:rsid w:val="00DE6D25"/>
    <w:rsid w:val="00DE6E09"/>
    <w:rsid w:val="00DE6F68"/>
    <w:rsid w:val="00DE71BE"/>
    <w:rsid w:val="00DE7261"/>
    <w:rsid w:val="00DE72B1"/>
    <w:rsid w:val="00DE740D"/>
    <w:rsid w:val="00DE76EF"/>
    <w:rsid w:val="00DE7996"/>
    <w:rsid w:val="00DE79ED"/>
    <w:rsid w:val="00DE7D9C"/>
    <w:rsid w:val="00DE7DCF"/>
    <w:rsid w:val="00DF000B"/>
    <w:rsid w:val="00DF02CC"/>
    <w:rsid w:val="00DF0499"/>
    <w:rsid w:val="00DF0C59"/>
    <w:rsid w:val="00DF1099"/>
    <w:rsid w:val="00DF1175"/>
    <w:rsid w:val="00DF1217"/>
    <w:rsid w:val="00DF1276"/>
    <w:rsid w:val="00DF1797"/>
    <w:rsid w:val="00DF1978"/>
    <w:rsid w:val="00DF19A1"/>
    <w:rsid w:val="00DF252F"/>
    <w:rsid w:val="00DF254F"/>
    <w:rsid w:val="00DF25A0"/>
    <w:rsid w:val="00DF263B"/>
    <w:rsid w:val="00DF28C5"/>
    <w:rsid w:val="00DF30CD"/>
    <w:rsid w:val="00DF377D"/>
    <w:rsid w:val="00DF37E9"/>
    <w:rsid w:val="00DF43FF"/>
    <w:rsid w:val="00DF48C7"/>
    <w:rsid w:val="00DF4CD4"/>
    <w:rsid w:val="00DF4CF4"/>
    <w:rsid w:val="00DF4DF1"/>
    <w:rsid w:val="00DF4F95"/>
    <w:rsid w:val="00DF5020"/>
    <w:rsid w:val="00DF53A6"/>
    <w:rsid w:val="00DF56A7"/>
    <w:rsid w:val="00DF59E7"/>
    <w:rsid w:val="00DF5A6C"/>
    <w:rsid w:val="00DF5C1E"/>
    <w:rsid w:val="00DF5D36"/>
    <w:rsid w:val="00DF5EE6"/>
    <w:rsid w:val="00DF61BC"/>
    <w:rsid w:val="00DF633D"/>
    <w:rsid w:val="00DF64B8"/>
    <w:rsid w:val="00DF6A71"/>
    <w:rsid w:val="00DF6DEE"/>
    <w:rsid w:val="00DF6FD7"/>
    <w:rsid w:val="00DF731E"/>
    <w:rsid w:val="00DF7461"/>
    <w:rsid w:val="00DF7482"/>
    <w:rsid w:val="00DF74B2"/>
    <w:rsid w:val="00DF7718"/>
    <w:rsid w:val="00DF77CF"/>
    <w:rsid w:val="00DF7D0D"/>
    <w:rsid w:val="00DF7E9E"/>
    <w:rsid w:val="00DF7FB9"/>
    <w:rsid w:val="00E00474"/>
    <w:rsid w:val="00E008FF"/>
    <w:rsid w:val="00E00ADF"/>
    <w:rsid w:val="00E00BA6"/>
    <w:rsid w:val="00E00BC8"/>
    <w:rsid w:val="00E00D50"/>
    <w:rsid w:val="00E00E4E"/>
    <w:rsid w:val="00E00EF7"/>
    <w:rsid w:val="00E00F1D"/>
    <w:rsid w:val="00E011CF"/>
    <w:rsid w:val="00E014B0"/>
    <w:rsid w:val="00E0179B"/>
    <w:rsid w:val="00E022B8"/>
    <w:rsid w:val="00E02B95"/>
    <w:rsid w:val="00E02EB9"/>
    <w:rsid w:val="00E02ED3"/>
    <w:rsid w:val="00E03006"/>
    <w:rsid w:val="00E031C5"/>
    <w:rsid w:val="00E032BD"/>
    <w:rsid w:val="00E03B64"/>
    <w:rsid w:val="00E03FD9"/>
    <w:rsid w:val="00E04053"/>
    <w:rsid w:val="00E0422C"/>
    <w:rsid w:val="00E047EE"/>
    <w:rsid w:val="00E0484E"/>
    <w:rsid w:val="00E048D4"/>
    <w:rsid w:val="00E05393"/>
    <w:rsid w:val="00E055E9"/>
    <w:rsid w:val="00E056C6"/>
    <w:rsid w:val="00E057EE"/>
    <w:rsid w:val="00E05D01"/>
    <w:rsid w:val="00E05F3E"/>
    <w:rsid w:val="00E06064"/>
    <w:rsid w:val="00E0630F"/>
    <w:rsid w:val="00E067F5"/>
    <w:rsid w:val="00E06C13"/>
    <w:rsid w:val="00E07020"/>
    <w:rsid w:val="00E075BF"/>
    <w:rsid w:val="00E076B6"/>
    <w:rsid w:val="00E07B45"/>
    <w:rsid w:val="00E07C36"/>
    <w:rsid w:val="00E07CA2"/>
    <w:rsid w:val="00E07CAF"/>
    <w:rsid w:val="00E07D81"/>
    <w:rsid w:val="00E07DCB"/>
    <w:rsid w:val="00E10533"/>
    <w:rsid w:val="00E1093C"/>
    <w:rsid w:val="00E109FB"/>
    <w:rsid w:val="00E10CB8"/>
    <w:rsid w:val="00E11199"/>
    <w:rsid w:val="00E11AC4"/>
    <w:rsid w:val="00E11D1F"/>
    <w:rsid w:val="00E11D36"/>
    <w:rsid w:val="00E11D3C"/>
    <w:rsid w:val="00E11E0D"/>
    <w:rsid w:val="00E12467"/>
    <w:rsid w:val="00E1255B"/>
    <w:rsid w:val="00E1287F"/>
    <w:rsid w:val="00E12B49"/>
    <w:rsid w:val="00E12CCE"/>
    <w:rsid w:val="00E12FC7"/>
    <w:rsid w:val="00E132F6"/>
    <w:rsid w:val="00E13718"/>
    <w:rsid w:val="00E138FD"/>
    <w:rsid w:val="00E1392E"/>
    <w:rsid w:val="00E13B34"/>
    <w:rsid w:val="00E13CE9"/>
    <w:rsid w:val="00E13DAE"/>
    <w:rsid w:val="00E1425A"/>
    <w:rsid w:val="00E1434F"/>
    <w:rsid w:val="00E143FF"/>
    <w:rsid w:val="00E14493"/>
    <w:rsid w:val="00E14621"/>
    <w:rsid w:val="00E146D7"/>
    <w:rsid w:val="00E1470C"/>
    <w:rsid w:val="00E14993"/>
    <w:rsid w:val="00E14B9A"/>
    <w:rsid w:val="00E14F40"/>
    <w:rsid w:val="00E14FF7"/>
    <w:rsid w:val="00E15257"/>
    <w:rsid w:val="00E15773"/>
    <w:rsid w:val="00E16087"/>
    <w:rsid w:val="00E16594"/>
    <w:rsid w:val="00E166D3"/>
    <w:rsid w:val="00E1674B"/>
    <w:rsid w:val="00E1692B"/>
    <w:rsid w:val="00E16AB6"/>
    <w:rsid w:val="00E16EB8"/>
    <w:rsid w:val="00E17339"/>
    <w:rsid w:val="00E1736D"/>
    <w:rsid w:val="00E174C5"/>
    <w:rsid w:val="00E17646"/>
    <w:rsid w:val="00E17D6F"/>
    <w:rsid w:val="00E17FAA"/>
    <w:rsid w:val="00E202BB"/>
    <w:rsid w:val="00E2048D"/>
    <w:rsid w:val="00E207FB"/>
    <w:rsid w:val="00E208BC"/>
    <w:rsid w:val="00E20B1F"/>
    <w:rsid w:val="00E20BFA"/>
    <w:rsid w:val="00E20D34"/>
    <w:rsid w:val="00E21202"/>
    <w:rsid w:val="00E21224"/>
    <w:rsid w:val="00E21418"/>
    <w:rsid w:val="00E21586"/>
    <w:rsid w:val="00E217CC"/>
    <w:rsid w:val="00E21A0F"/>
    <w:rsid w:val="00E21C10"/>
    <w:rsid w:val="00E21D7A"/>
    <w:rsid w:val="00E21F13"/>
    <w:rsid w:val="00E223C6"/>
    <w:rsid w:val="00E22643"/>
    <w:rsid w:val="00E2281E"/>
    <w:rsid w:val="00E22899"/>
    <w:rsid w:val="00E22CA8"/>
    <w:rsid w:val="00E22E8D"/>
    <w:rsid w:val="00E23569"/>
    <w:rsid w:val="00E2358F"/>
    <w:rsid w:val="00E23796"/>
    <w:rsid w:val="00E2380F"/>
    <w:rsid w:val="00E23A19"/>
    <w:rsid w:val="00E23A51"/>
    <w:rsid w:val="00E23E7A"/>
    <w:rsid w:val="00E23EE4"/>
    <w:rsid w:val="00E23FC5"/>
    <w:rsid w:val="00E241FA"/>
    <w:rsid w:val="00E24642"/>
    <w:rsid w:val="00E24771"/>
    <w:rsid w:val="00E2493F"/>
    <w:rsid w:val="00E24EA6"/>
    <w:rsid w:val="00E24F99"/>
    <w:rsid w:val="00E25333"/>
    <w:rsid w:val="00E253B1"/>
    <w:rsid w:val="00E257CD"/>
    <w:rsid w:val="00E25B09"/>
    <w:rsid w:val="00E25E63"/>
    <w:rsid w:val="00E25F1A"/>
    <w:rsid w:val="00E260D7"/>
    <w:rsid w:val="00E26507"/>
    <w:rsid w:val="00E26536"/>
    <w:rsid w:val="00E26C81"/>
    <w:rsid w:val="00E26C9B"/>
    <w:rsid w:val="00E26DA6"/>
    <w:rsid w:val="00E26F22"/>
    <w:rsid w:val="00E27235"/>
    <w:rsid w:val="00E2755B"/>
    <w:rsid w:val="00E278E6"/>
    <w:rsid w:val="00E279D9"/>
    <w:rsid w:val="00E27AE1"/>
    <w:rsid w:val="00E30014"/>
    <w:rsid w:val="00E300A6"/>
    <w:rsid w:val="00E30520"/>
    <w:rsid w:val="00E307BB"/>
    <w:rsid w:val="00E30819"/>
    <w:rsid w:val="00E30872"/>
    <w:rsid w:val="00E30A40"/>
    <w:rsid w:val="00E30B7F"/>
    <w:rsid w:val="00E3103B"/>
    <w:rsid w:val="00E31318"/>
    <w:rsid w:val="00E3170F"/>
    <w:rsid w:val="00E318E6"/>
    <w:rsid w:val="00E319DC"/>
    <w:rsid w:val="00E31ADD"/>
    <w:rsid w:val="00E31CB4"/>
    <w:rsid w:val="00E31E70"/>
    <w:rsid w:val="00E31F4E"/>
    <w:rsid w:val="00E31F8B"/>
    <w:rsid w:val="00E32261"/>
    <w:rsid w:val="00E325DD"/>
    <w:rsid w:val="00E328DF"/>
    <w:rsid w:val="00E32914"/>
    <w:rsid w:val="00E32933"/>
    <w:rsid w:val="00E32E22"/>
    <w:rsid w:val="00E33077"/>
    <w:rsid w:val="00E33520"/>
    <w:rsid w:val="00E33AB0"/>
    <w:rsid w:val="00E33D15"/>
    <w:rsid w:val="00E33E26"/>
    <w:rsid w:val="00E33E3E"/>
    <w:rsid w:val="00E33FCE"/>
    <w:rsid w:val="00E3406C"/>
    <w:rsid w:val="00E3448C"/>
    <w:rsid w:val="00E346D6"/>
    <w:rsid w:val="00E347AB"/>
    <w:rsid w:val="00E347EC"/>
    <w:rsid w:val="00E34C85"/>
    <w:rsid w:val="00E35050"/>
    <w:rsid w:val="00E3518C"/>
    <w:rsid w:val="00E35387"/>
    <w:rsid w:val="00E35877"/>
    <w:rsid w:val="00E3596D"/>
    <w:rsid w:val="00E36022"/>
    <w:rsid w:val="00E360DC"/>
    <w:rsid w:val="00E36A52"/>
    <w:rsid w:val="00E36BE1"/>
    <w:rsid w:val="00E36E74"/>
    <w:rsid w:val="00E36FEC"/>
    <w:rsid w:val="00E37106"/>
    <w:rsid w:val="00E37284"/>
    <w:rsid w:val="00E372F4"/>
    <w:rsid w:val="00E3757C"/>
    <w:rsid w:val="00E37662"/>
    <w:rsid w:val="00E3772C"/>
    <w:rsid w:val="00E37A3E"/>
    <w:rsid w:val="00E37E3E"/>
    <w:rsid w:val="00E37EA4"/>
    <w:rsid w:val="00E40209"/>
    <w:rsid w:val="00E4023C"/>
    <w:rsid w:val="00E40A8C"/>
    <w:rsid w:val="00E4101A"/>
    <w:rsid w:val="00E410DE"/>
    <w:rsid w:val="00E411F1"/>
    <w:rsid w:val="00E416C4"/>
    <w:rsid w:val="00E416E8"/>
    <w:rsid w:val="00E41A24"/>
    <w:rsid w:val="00E41B21"/>
    <w:rsid w:val="00E41C94"/>
    <w:rsid w:val="00E41D93"/>
    <w:rsid w:val="00E41F9B"/>
    <w:rsid w:val="00E420C5"/>
    <w:rsid w:val="00E422B4"/>
    <w:rsid w:val="00E42432"/>
    <w:rsid w:val="00E426FE"/>
    <w:rsid w:val="00E4296B"/>
    <w:rsid w:val="00E42D01"/>
    <w:rsid w:val="00E42ECA"/>
    <w:rsid w:val="00E43132"/>
    <w:rsid w:val="00E4323D"/>
    <w:rsid w:val="00E4327E"/>
    <w:rsid w:val="00E43345"/>
    <w:rsid w:val="00E433AB"/>
    <w:rsid w:val="00E436E6"/>
    <w:rsid w:val="00E43CCB"/>
    <w:rsid w:val="00E43DCA"/>
    <w:rsid w:val="00E43E16"/>
    <w:rsid w:val="00E4400B"/>
    <w:rsid w:val="00E44358"/>
    <w:rsid w:val="00E44960"/>
    <w:rsid w:val="00E44CEE"/>
    <w:rsid w:val="00E45007"/>
    <w:rsid w:val="00E454B1"/>
    <w:rsid w:val="00E45605"/>
    <w:rsid w:val="00E45827"/>
    <w:rsid w:val="00E458C9"/>
    <w:rsid w:val="00E45987"/>
    <w:rsid w:val="00E459D1"/>
    <w:rsid w:val="00E45A3B"/>
    <w:rsid w:val="00E45A7D"/>
    <w:rsid w:val="00E45CDC"/>
    <w:rsid w:val="00E45D37"/>
    <w:rsid w:val="00E45E72"/>
    <w:rsid w:val="00E45FB3"/>
    <w:rsid w:val="00E46058"/>
    <w:rsid w:val="00E4627F"/>
    <w:rsid w:val="00E46384"/>
    <w:rsid w:val="00E46C27"/>
    <w:rsid w:val="00E46C6A"/>
    <w:rsid w:val="00E4710D"/>
    <w:rsid w:val="00E47362"/>
    <w:rsid w:val="00E4745C"/>
    <w:rsid w:val="00E474EC"/>
    <w:rsid w:val="00E476EB"/>
    <w:rsid w:val="00E47758"/>
    <w:rsid w:val="00E4777B"/>
    <w:rsid w:val="00E47810"/>
    <w:rsid w:val="00E47829"/>
    <w:rsid w:val="00E5014B"/>
    <w:rsid w:val="00E50185"/>
    <w:rsid w:val="00E50518"/>
    <w:rsid w:val="00E50680"/>
    <w:rsid w:val="00E50B9A"/>
    <w:rsid w:val="00E50D35"/>
    <w:rsid w:val="00E5118F"/>
    <w:rsid w:val="00E5119E"/>
    <w:rsid w:val="00E5157B"/>
    <w:rsid w:val="00E515A5"/>
    <w:rsid w:val="00E51611"/>
    <w:rsid w:val="00E5175A"/>
    <w:rsid w:val="00E51784"/>
    <w:rsid w:val="00E518C9"/>
    <w:rsid w:val="00E51969"/>
    <w:rsid w:val="00E51C16"/>
    <w:rsid w:val="00E52152"/>
    <w:rsid w:val="00E52484"/>
    <w:rsid w:val="00E5259B"/>
    <w:rsid w:val="00E525D9"/>
    <w:rsid w:val="00E527A3"/>
    <w:rsid w:val="00E528EF"/>
    <w:rsid w:val="00E52A82"/>
    <w:rsid w:val="00E52F4A"/>
    <w:rsid w:val="00E53414"/>
    <w:rsid w:val="00E538A2"/>
    <w:rsid w:val="00E53E84"/>
    <w:rsid w:val="00E540DA"/>
    <w:rsid w:val="00E54371"/>
    <w:rsid w:val="00E54373"/>
    <w:rsid w:val="00E54565"/>
    <w:rsid w:val="00E5460F"/>
    <w:rsid w:val="00E5484B"/>
    <w:rsid w:val="00E54B79"/>
    <w:rsid w:val="00E552A1"/>
    <w:rsid w:val="00E554E4"/>
    <w:rsid w:val="00E556E5"/>
    <w:rsid w:val="00E5570E"/>
    <w:rsid w:val="00E55728"/>
    <w:rsid w:val="00E55851"/>
    <w:rsid w:val="00E55B24"/>
    <w:rsid w:val="00E55CDD"/>
    <w:rsid w:val="00E5655C"/>
    <w:rsid w:val="00E56619"/>
    <w:rsid w:val="00E569BB"/>
    <w:rsid w:val="00E56A87"/>
    <w:rsid w:val="00E56B32"/>
    <w:rsid w:val="00E56BB2"/>
    <w:rsid w:val="00E57032"/>
    <w:rsid w:val="00E57671"/>
    <w:rsid w:val="00E57BFC"/>
    <w:rsid w:val="00E57D3C"/>
    <w:rsid w:val="00E57E82"/>
    <w:rsid w:val="00E60225"/>
    <w:rsid w:val="00E602DF"/>
    <w:rsid w:val="00E603E1"/>
    <w:rsid w:val="00E60452"/>
    <w:rsid w:val="00E6111A"/>
    <w:rsid w:val="00E61539"/>
    <w:rsid w:val="00E61718"/>
    <w:rsid w:val="00E61C16"/>
    <w:rsid w:val="00E61E13"/>
    <w:rsid w:val="00E62063"/>
    <w:rsid w:val="00E62183"/>
    <w:rsid w:val="00E6229D"/>
    <w:rsid w:val="00E62440"/>
    <w:rsid w:val="00E62524"/>
    <w:rsid w:val="00E62529"/>
    <w:rsid w:val="00E62588"/>
    <w:rsid w:val="00E62742"/>
    <w:rsid w:val="00E62DE9"/>
    <w:rsid w:val="00E63092"/>
    <w:rsid w:val="00E631AD"/>
    <w:rsid w:val="00E631BD"/>
    <w:rsid w:val="00E636DC"/>
    <w:rsid w:val="00E636EB"/>
    <w:rsid w:val="00E63873"/>
    <w:rsid w:val="00E63DFE"/>
    <w:rsid w:val="00E63EF5"/>
    <w:rsid w:val="00E642BD"/>
    <w:rsid w:val="00E647BB"/>
    <w:rsid w:val="00E6481F"/>
    <w:rsid w:val="00E64B6E"/>
    <w:rsid w:val="00E64D37"/>
    <w:rsid w:val="00E65062"/>
    <w:rsid w:val="00E655A3"/>
    <w:rsid w:val="00E6583F"/>
    <w:rsid w:val="00E66162"/>
    <w:rsid w:val="00E663B7"/>
    <w:rsid w:val="00E667FD"/>
    <w:rsid w:val="00E67008"/>
    <w:rsid w:val="00E6751F"/>
    <w:rsid w:val="00E676BD"/>
    <w:rsid w:val="00E67A03"/>
    <w:rsid w:val="00E67CB6"/>
    <w:rsid w:val="00E67E75"/>
    <w:rsid w:val="00E67F8F"/>
    <w:rsid w:val="00E7006F"/>
    <w:rsid w:val="00E7034E"/>
    <w:rsid w:val="00E7038A"/>
    <w:rsid w:val="00E70924"/>
    <w:rsid w:val="00E70BB5"/>
    <w:rsid w:val="00E70F6E"/>
    <w:rsid w:val="00E70FFD"/>
    <w:rsid w:val="00E712A0"/>
    <w:rsid w:val="00E71519"/>
    <w:rsid w:val="00E71599"/>
    <w:rsid w:val="00E7168E"/>
    <w:rsid w:val="00E71921"/>
    <w:rsid w:val="00E71B47"/>
    <w:rsid w:val="00E71BDF"/>
    <w:rsid w:val="00E72971"/>
    <w:rsid w:val="00E72E81"/>
    <w:rsid w:val="00E72F37"/>
    <w:rsid w:val="00E72FED"/>
    <w:rsid w:val="00E73116"/>
    <w:rsid w:val="00E731F0"/>
    <w:rsid w:val="00E7339A"/>
    <w:rsid w:val="00E73AF2"/>
    <w:rsid w:val="00E74453"/>
    <w:rsid w:val="00E749A4"/>
    <w:rsid w:val="00E749E8"/>
    <w:rsid w:val="00E74CC2"/>
    <w:rsid w:val="00E74D36"/>
    <w:rsid w:val="00E74E46"/>
    <w:rsid w:val="00E75004"/>
    <w:rsid w:val="00E751B1"/>
    <w:rsid w:val="00E75399"/>
    <w:rsid w:val="00E7539E"/>
    <w:rsid w:val="00E75421"/>
    <w:rsid w:val="00E75BEC"/>
    <w:rsid w:val="00E75C77"/>
    <w:rsid w:val="00E75EB6"/>
    <w:rsid w:val="00E761A7"/>
    <w:rsid w:val="00E7628C"/>
    <w:rsid w:val="00E763AD"/>
    <w:rsid w:val="00E76D4A"/>
    <w:rsid w:val="00E771AE"/>
    <w:rsid w:val="00E7721E"/>
    <w:rsid w:val="00E77223"/>
    <w:rsid w:val="00E772A8"/>
    <w:rsid w:val="00E774C6"/>
    <w:rsid w:val="00E77873"/>
    <w:rsid w:val="00E77884"/>
    <w:rsid w:val="00E77952"/>
    <w:rsid w:val="00E77C76"/>
    <w:rsid w:val="00E77CFC"/>
    <w:rsid w:val="00E77E97"/>
    <w:rsid w:val="00E77EA1"/>
    <w:rsid w:val="00E77F07"/>
    <w:rsid w:val="00E8022A"/>
    <w:rsid w:val="00E80599"/>
    <w:rsid w:val="00E8064A"/>
    <w:rsid w:val="00E80812"/>
    <w:rsid w:val="00E80A9F"/>
    <w:rsid w:val="00E80CA0"/>
    <w:rsid w:val="00E80E0B"/>
    <w:rsid w:val="00E81139"/>
    <w:rsid w:val="00E8143B"/>
    <w:rsid w:val="00E817A8"/>
    <w:rsid w:val="00E8189B"/>
    <w:rsid w:val="00E81C7F"/>
    <w:rsid w:val="00E81D5E"/>
    <w:rsid w:val="00E81D66"/>
    <w:rsid w:val="00E81E4C"/>
    <w:rsid w:val="00E81E79"/>
    <w:rsid w:val="00E81EB2"/>
    <w:rsid w:val="00E82010"/>
    <w:rsid w:val="00E82093"/>
    <w:rsid w:val="00E820A7"/>
    <w:rsid w:val="00E82239"/>
    <w:rsid w:val="00E82459"/>
    <w:rsid w:val="00E82570"/>
    <w:rsid w:val="00E82648"/>
    <w:rsid w:val="00E828FF"/>
    <w:rsid w:val="00E82918"/>
    <w:rsid w:val="00E82CD5"/>
    <w:rsid w:val="00E8314B"/>
    <w:rsid w:val="00E83172"/>
    <w:rsid w:val="00E831D5"/>
    <w:rsid w:val="00E831EC"/>
    <w:rsid w:val="00E8333E"/>
    <w:rsid w:val="00E8351E"/>
    <w:rsid w:val="00E837D2"/>
    <w:rsid w:val="00E83906"/>
    <w:rsid w:val="00E83D1E"/>
    <w:rsid w:val="00E84478"/>
    <w:rsid w:val="00E84523"/>
    <w:rsid w:val="00E84608"/>
    <w:rsid w:val="00E851DF"/>
    <w:rsid w:val="00E856A8"/>
    <w:rsid w:val="00E859E6"/>
    <w:rsid w:val="00E85C33"/>
    <w:rsid w:val="00E85E05"/>
    <w:rsid w:val="00E86059"/>
    <w:rsid w:val="00E862BC"/>
    <w:rsid w:val="00E86312"/>
    <w:rsid w:val="00E866F1"/>
    <w:rsid w:val="00E8699B"/>
    <w:rsid w:val="00E86C85"/>
    <w:rsid w:val="00E8703F"/>
    <w:rsid w:val="00E871DB"/>
    <w:rsid w:val="00E8735E"/>
    <w:rsid w:val="00E8762D"/>
    <w:rsid w:val="00E902A1"/>
    <w:rsid w:val="00E902CF"/>
    <w:rsid w:val="00E90915"/>
    <w:rsid w:val="00E90958"/>
    <w:rsid w:val="00E90A95"/>
    <w:rsid w:val="00E90CC9"/>
    <w:rsid w:val="00E91004"/>
    <w:rsid w:val="00E91154"/>
    <w:rsid w:val="00E91262"/>
    <w:rsid w:val="00E912D1"/>
    <w:rsid w:val="00E91407"/>
    <w:rsid w:val="00E91721"/>
    <w:rsid w:val="00E91740"/>
    <w:rsid w:val="00E91824"/>
    <w:rsid w:val="00E91A72"/>
    <w:rsid w:val="00E91E8E"/>
    <w:rsid w:val="00E91FC2"/>
    <w:rsid w:val="00E92015"/>
    <w:rsid w:val="00E920CA"/>
    <w:rsid w:val="00E92386"/>
    <w:rsid w:val="00E92439"/>
    <w:rsid w:val="00E92521"/>
    <w:rsid w:val="00E92953"/>
    <w:rsid w:val="00E92C46"/>
    <w:rsid w:val="00E92D5F"/>
    <w:rsid w:val="00E92FF6"/>
    <w:rsid w:val="00E93048"/>
    <w:rsid w:val="00E931A3"/>
    <w:rsid w:val="00E9323F"/>
    <w:rsid w:val="00E93288"/>
    <w:rsid w:val="00E93729"/>
    <w:rsid w:val="00E93ACE"/>
    <w:rsid w:val="00E940A0"/>
    <w:rsid w:val="00E94352"/>
    <w:rsid w:val="00E95145"/>
    <w:rsid w:val="00E9576C"/>
    <w:rsid w:val="00E96421"/>
    <w:rsid w:val="00E9645F"/>
    <w:rsid w:val="00E964A4"/>
    <w:rsid w:val="00E964D7"/>
    <w:rsid w:val="00E9664E"/>
    <w:rsid w:val="00E96A5C"/>
    <w:rsid w:val="00E96A94"/>
    <w:rsid w:val="00E96ADA"/>
    <w:rsid w:val="00E96E2E"/>
    <w:rsid w:val="00E96F8F"/>
    <w:rsid w:val="00E976A8"/>
    <w:rsid w:val="00E97731"/>
    <w:rsid w:val="00E97944"/>
    <w:rsid w:val="00E97A06"/>
    <w:rsid w:val="00E97A26"/>
    <w:rsid w:val="00E97C0E"/>
    <w:rsid w:val="00EA00EC"/>
    <w:rsid w:val="00EA01AC"/>
    <w:rsid w:val="00EA023C"/>
    <w:rsid w:val="00EA02AC"/>
    <w:rsid w:val="00EA04FA"/>
    <w:rsid w:val="00EA0508"/>
    <w:rsid w:val="00EA05FD"/>
    <w:rsid w:val="00EA0789"/>
    <w:rsid w:val="00EA07DB"/>
    <w:rsid w:val="00EA0872"/>
    <w:rsid w:val="00EA091B"/>
    <w:rsid w:val="00EA09FF"/>
    <w:rsid w:val="00EA0AA8"/>
    <w:rsid w:val="00EA0BD5"/>
    <w:rsid w:val="00EA0DB7"/>
    <w:rsid w:val="00EA19B1"/>
    <w:rsid w:val="00EA19F1"/>
    <w:rsid w:val="00EA1BC3"/>
    <w:rsid w:val="00EA1D95"/>
    <w:rsid w:val="00EA22C4"/>
    <w:rsid w:val="00EA257D"/>
    <w:rsid w:val="00EA2642"/>
    <w:rsid w:val="00EA27DB"/>
    <w:rsid w:val="00EA27F1"/>
    <w:rsid w:val="00EA2958"/>
    <w:rsid w:val="00EA2BC1"/>
    <w:rsid w:val="00EA3782"/>
    <w:rsid w:val="00EA3961"/>
    <w:rsid w:val="00EA3978"/>
    <w:rsid w:val="00EA3A0C"/>
    <w:rsid w:val="00EA3D6A"/>
    <w:rsid w:val="00EA3DB0"/>
    <w:rsid w:val="00EA3EF9"/>
    <w:rsid w:val="00EA4092"/>
    <w:rsid w:val="00EA420E"/>
    <w:rsid w:val="00EA4365"/>
    <w:rsid w:val="00EA45B6"/>
    <w:rsid w:val="00EA4803"/>
    <w:rsid w:val="00EA4C05"/>
    <w:rsid w:val="00EA4C9A"/>
    <w:rsid w:val="00EA4CEC"/>
    <w:rsid w:val="00EA53ED"/>
    <w:rsid w:val="00EA54F5"/>
    <w:rsid w:val="00EA561F"/>
    <w:rsid w:val="00EA5757"/>
    <w:rsid w:val="00EA59F1"/>
    <w:rsid w:val="00EA5B21"/>
    <w:rsid w:val="00EA5B9D"/>
    <w:rsid w:val="00EA6188"/>
    <w:rsid w:val="00EA659B"/>
    <w:rsid w:val="00EA6AE7"/>
    <w:rsid w:val="00EA749B"/>
    <w:rsid w:val="00EA753D"/>
    <w:rsid w:val="00EA75C3"/>
    <w:rsid w:val="00EA75C4"/>
    <w:rsid w:val="00EA78DB"/>
    <w:rsid w:val="00EA7D4F"/>
    <w:rsid w:val="00EA7EE5"/>
    <w:rsid w:val="00EB0136"/>
    <w:rsid w:val="00EB0781"/>
    <w:rsid w:val="00EB07FB"/>
    <w:rsid w:val="00EB0831"/>
    <w:rsid w:val="00EB08E4"/>
    <w:rsid w:val="00EB0C9C"/>
    <w:rsid w:val="00EB0D76"/>
    <w:rsid w:val="00EB11B1"/>
    <w:rsid w:val="00EB12F7"/>
    <w:rsid w:val="00EB1554"/>
    <w:rsid w:val="00EB156B"/>
    <w:rsid w:val="00EB15EC"/>
    <w:rsid w:val="00EB19C8"/>
    <w:rsid w:val="00EB1C62"/>
    <w:rsid w:val="00EB2210"/>
    <w:rsid w:val="00EB2326"/>
    <w:rsid w:val="00EB2488"/>
    <w:rsid w:val="00EB2C1F"/>
    <w:rsid w:val="00EB3115"/>
    <w:rsid w:val="00EB3132"/>
    <w:rsid w:val="00EB31BA"/>
    <w:rsid w:val="00EB31FC"/>
    <w:rsid w:val="00EB3327"/>
    <w:rsid w:val="00EB334F"/>
    <w:rsid w:val="00EB344F"/>
    <w:rsid w:val="00EB356A"/>
    <w:rsid w:val="00EB38B2"/>
    <w:rsid w:val="00EB3924"/>
    <w:rsid w:val="00EB3CD6"/>
    <w:rsid w:val="00EB3CFD"/>
    <w:rsid w:val="00EB43D3"/>
    <w:rsid w:val="00EB4471"/>
    <w:rsid w:val="00EB479A"/>
    <w:rsid w:val="00EB48C2"/>
    <w:rsid w:val="00EB4AAE"/>
    <w:rsid w:val="00EB4DE3"/>
    <w:rsid w:val="00EB4E51"/>
    <w:rsid w:val="00EB4EE9"/>
    <w:rsid w:val="00EB5082"/>
    <w:rsid w:val="00EB50E7"/>
    <w:rsid w:val="00EB52A1"/>
    <w:rsid w:val="00EB52B2"/>
    <w:rsid w:val="00EB52F3"/>
    <w:rsid w:val="00EB52F4"/>
    <w:rsid w:val="00EB5306"/>
    <w:rsid w:val="00EB552E"/>
    <w:rsid w:val="00EB5E68"/>
    <w:rsid w:val="00EB65DA"/>
    <w:rsid w:val="00EB660A"/>
    <w:rsid w:val="00EB67FB"/>
    <w:rsid w:val="00EB68D4"/>
    <w:rsid w:val="00EB69F1"/>
    <w:rsid w:val="00EB6BBA"/>
    <w:rsid w:val="00EB72F0"/>
    <w:rsid w:val="00EB75CA"/>
    <w:rsid w:val="00EB7AC8"/>
    <w:rsid w:val="00EB7C1E"/>
    <w:rsid w:val="00EC080F"/>
    <w:rsid w:val="00EC0943"/>
    <w:rsid w:val="00EC0A51"/>
    <w:rsid w:val="00EC0CA0"/>
    <w:rsid w:val="00EC0CD0"/>
    <w:rsid w:val="00EC103F"/>
    <w:rsid w:val="00EC115C"/>
    <w:rsid w:val="00EC1660"/>
    <w:rsid w:val="00EC1798"/>
    <w:rsid w:val="00EC1DCA"/>
    <w:rsid w:val="00EC1F58"/>
    <w:rsid w:val="00EC20BF"/>
    <w:rsid w:val="00EC214E"/>
    <w:rsid w:val="00EC247C"/>
    <w:rsid w:val="00EC24BB"/>
    <w:rsid w:val="00EC2662"/>
    <w:rsid w:val="00EC2805"/>
    <w:rsid w:val="00EC305B"/>
    <w:rsid w:val="00EC39B5"/>
    <w:rsid w:val="00EC3D7E"/>
    <w:rsid w:val="00EC3FCD"/>
    <w:rsid w:val="00EC4572"/>
    <w:rsid w:val="00EC4768"/>
    <w:rsid w:val="00EC4786"/>
    <w:rsid w:val="00EC4848"/>
    <w:rsid w:val="00EC4987"/>
    <w:rsid w:val="00EC4C85"/>
    <w:rsid w:val="00EC563D"/>
    <w:rsid w:val="00EC5AB0"/>
    <w:rsid w:val="00EC6026"/>
    <w:rsid w:val="00EC61F5"/>
    <w:rsid w:val="00EC64B6"/>
    <w:rsid w:val="00EC6E86"/>
    <w:rsid w:val="00EC7021"/>
    <w:rsid w:val="00EC7566"/>
    <w:rsid w:val="00EC786C"/>
    <w:rsid w:val="00EC7A15"/>
    <w:rsid w:val="00EC7BC0"/>
    <w:rsid w:val="00EC7C4E"/>
    <w:rsid w:val="00ED0059"/>
    <w:rsid w:val="00ED0208"/>
    <w:rsid w:val="00ED02F9"/>
    <w:rsid w:val="00ED0471"/>
    <w:rsid w:val="00ED0576"/>
    <w:rsid w:val="00ED0D2E"/>
    <w:rsid w:val="00ED0F2D"/>
    <w:rsid w:val="00ED149D"/>
    <w:rsid w:val="00ED1715"/>
    <w:rsid w:val="00ED1C49"/>
    <w:rsid w:val="00ED2082"/>
    <w:rsid w:val="00ED227D"/>
    <w:rsid w:val="00ED262A"/>
    <w:rsid w:val="00ED2842"/>
    <w:rsid w:val="00ED36C8"/>
    <w:rsid w:val="00ED38BB"/>
    <w:rsid w:val="00ED38EF"/>
    <w:rsid w:val="00ED38F5"/>
    <w:rsid w:val="00ED3C43"/>
    <w:rsid w:val="00ED3C75"/>
    <w:rsid w:val="00ED3DEC"/>
    <w:rsid w:val="00ED405D"/>
    <w:rsid w:val="00ED41B2"/>
    <w:rsid w:val="00ED4531"/>
    <w:rsid w:val="00ED489D"/>
    <w:rsid w:val="00ED4B1F"/>
    <w:rsid w:val="00ED4D49"/>
    <w:rsid w:val="00ED4EE8"/>
    <w:rsid w:val="00ED54DE"/>
    <w:rsid w:val="00ED5504"/>
    <w:rsid w:val="00ED56E2"/>
    <w:rsid w:val="00ED5D3D"/>
    <w:rsid w:val="00ED5F50"/>
    <w:rsid w:val="00ED615F"/>
    <w:rsid w:val="00ED6291"/>
    <w:rsid w:val="00ED6329"/>
    <w:rsid w:val="00ED655A"/>
    <w:rsid w:val="00ED6663"/>
    <w:rsid w:val="00ED67C7"/>
    <w:rsid w:val="00ED683E"/>
    <w:rsid w:val="00ED6B17"/>
    <w:rsid w:val="00ED6BC3"/>
    <w:rsid w:val="00ED6FD6"/>
    <w:rsid w:val="00ED7185"/>
    <w:rsid w:val="00ED7244"/>
    <w:rsid w:val="00ED7352"/>
    <w:rsid w:val="00ED768B"/>
    <w:rsid w:val="00ED7856"/>
    <w:rsid w:val="00ED78DE"/>
    <w:rsid w:val="00ED7B57"/>
    <w:rsid w:val="00ED7BE3"/>
    <w:rsid w:val="00ED7C3F"/>
    <w:rsid w:val="00EE01E1"/>
    <w:rsid w:val="00EE05EE"/>
    <w:rsid w:val="00EE0BFC"/>
    <w:rsid w:val="00EE106E"/>
    <w:rsid w:val="00EE10D0"/>
    <w:rsid w:val="00EE11C0"/>
    <w:rsid w:val="00EE139B"/>
    <w:rsid w:val="00EE17F1"/>
    <w:rsid w:val="00EE1AFE"/>
    <w:rsid w:val="00EE2424"/>
    <w:rsid w:val="00EE26EC"/>
    <w:rsid w:val="00EE27D7"/>
    <w:rsid w:val="00EE29DA"/>
    <w:rsid w:val="00EE2AAD"/>
    <w:rsid w:val="00EE2E94"/>
    <w:rsid w:val="00EE3004"/>
    <w:rsid w:val="00EE376E"/>
    <w:rsid w:val="00EE394E"/>
    <w:rsid w:val="00EE398B"/>
    <w:rsid w:val="00EE3A39"/>
    <w:rsid w:val="00EE3C19"/>
    <w:rsid w:val="00EE3F6F"/>
    <w:rsid w:val="00EE3FDE"/>
    <w:rsid w:val="00EE4220"/>
    <w:rsid w:val="00EE457E"/>
    <w:rsid w:val="00EE48D0"/>
    <w:rsid w:val="00EE49B7"/>
    <w:rsid w:val="00EE4B3D"/>
    <w:rsid w:val="00EE4DDF"/>
    <w:rsid w:val="00EE5063"/>
    <w:rsid w:val="00EE51D2"/>
    <w:rsid w:val="00EE51F5"/>
    <w:rsid w:val="00EE524C"/>
    <w:rsid w:val="00EE56AA"/>
    <w:rsid w:val="00EE5795"/>
    <w:rsid w:val="00EE57CF"/>
    <w:rsid w:val="00EE587F"/>
    <w:rsid w:val="00EE5EAC"/>
    <w:rsid w:val="00EE60EA"/>
    <w:rsid w:val="00EE6211"/>
    <w:rsid w:val="00EE624B"/>
    <w:rsid w:val="00EE632B"/>
    <w:rsid w:val="00EE695F"/>
    <w:rsid w:val="00EE6E4F"/>
    <w:rsid w:val="00EE72A1"/>
    <w:rsid w:val="00EE7386"/>
    <w:rsid w:val="00EE73C1"/>
    <w:rsid w:val="00EE7440"/>
    <w:rsid w:val="00EE7E0A"/>
    <w:rsid w:val="00EF02DD"/>
    <w:rsid w:val="00EF1125"/>
    <w:rsid w:val="00EF123A"/>
    <w:rsid w:val="00EF142E"/>
    <w:rsid w:val="00EF150B"/>
    <w:rsid w:val="00EF1531"/>
    <w:rsid w:val="00EF1779"/>
    <w:rsid w:val="00EF18E6"/>
    <w:rsid w:val="00EF196E"/>
    <w:rsid w:val="00EF1C06"/>
    <w:rsid w:val="00EF20C5"/>
    <w:rsid w:val="00EF229B"/>
    <w:rsid w:val="00EF2825"/>
    <w:rsid w:val="00EF28FC"/>
    <w:rsid w:val="00EF29AF"/>
    <w:rsid w:val="00EF2A0A"/>
    <w:rsid w:val="00EF2C12"/>
    <w:rsid w:val="00EF2C37"/>
    <w:rsid w:val="00EF2D61"/>
    <w:rsid w:val="00EF3000"/>
    <w:rsid w:val="00EF3624"/>
    <w:rsid w:val="00EF38EE"/>
    <w:rsid w:val="00EF3B40"/>
    <w:rsid w:val="00EF426D"/>
    <w:rsid w:val="00EF4931"/>
    <w:rsid w:val="00EF4948"/>
    <w:rsid w:val="00EF4B79"/>
    <w:rsid w:val="00EF4BFD"/>
    <w:rsid w:val="00EF4E29"/>
    <w:rsid w:val="00EF4FD6"/>
    <w:rsid w:val="00EF504F"/>
    <w:rsid w:val="00EF52F9"/>
    <w:rsid w:val="00EF5786"/>
    <w:rsid w:val="00EF59BF"/>
    <w:rsid w:val="00EF5C54"/>
    <w:rsid w:val="00EF6153"/>
    <w:rsid w:val="00EF63F0"/>
    <w:rsid w:val="00EF6B63"/>
    <w:rsid w:val="00EF6BF4"/>
    <w:rsid w:val="00EF74BD"/>
    <w:rsid w:val="00EF750A"/>
    <w:rsid w:val="00EF7B9B"/>
    <w:rsid w:val="00EF7EB8"/>
    <w:rsid w:val="00EF83FF"/>
    <w:rsid w:val="00F0016A"/>
    <w:rsid w:val="00F00265"/>
    <w:rsid w:val="00F007C2"/>
    <w:rsid w:val="00F0085B"/>
    <w:rsid w:val="00F008DD"/>
    <w:rsid w:val="00F00D26"/>
    <w:rsid w:val="00F00F80"/>
    <w:rsid w:val="00F01246"/>
    <w:rsid w:val="00F015E9"/>
    <w:rsid w:val="00F0175C"/>
    <w:rsid w:val="00F017F3"/>
    <w:rsid w:val="00F01831"/>
    <w:rsid w:val="00F01BD0"/>
    <w:rsid w:val="00F01F47"/>
    <w:rsid w:val="00F023D6"/>
    <w:rsid w:val="00F029D1"/>
    <w:rsid w:val="00F02EFD"/>
    <w:rsid w:val="00F02F31"/>
    <w:rsid w:val="00F03592"/>
    <w:rsid w:val="00F0359F"/>
    <w:rsid w:val="00F037E3"/>
    <w:rsid w:val="00F038F8"/>
    <w:rsid w:val="00F03D15"/>
    <w:rsid w:val="00F041AA"/>
    <w:rsid w:val="00F042F9"/>
    <w:rsid w:val="00F04374"/>
    <w:rsid w:val="00F043AA"/>
    <w:rsid w:val="00F0441C"/>
    <w:rsid w:val="00F04433"/>
    <w:rsid w:val="00F048FC"/>
    <w:rsid w:val="00F04ADB"/>
    <w:rsid w:val="00F0523D"/>
    <w:rsid w:val="00F05673"/>
    <w:rsid w:val="00F05889"/>
    <w:rsid w:val="00F05A6A"/>
    <w:rsid w:val="00F05C15"/>
    <w:rsid w:val="00F05D3F"/>
    <w:rsid w:val="00F06146"/>
    <w:rsid w:val="00F06932"/>
    <w:rsid w:val="00F06968"/>
    <w:rsid w:val="00F06B63"/>
    <w:rsid w:val="00F06D0F"/>
    <w:rsid w:val="00F07A4E"/>
    <w:rsid w:val="00F07A60"/>
    <w:rsid w:val="00F07CE6"/>
    <w:rsid w:val="00F07DFC"/>
    <w:rsid w:val="00F07E45"/>
    <w:rsid w:val="00F07E98"/>
    <w:rsid w:val="00F07F2F"/>
    <w:rsid w:val="00F10694"/>
    <w:rsid w:val="00F108EE"/>
    <w:rsid w:val="00F10FA0"/>
    <w:rsid w:val="00F1111E"/>
    <w:rsid w:val="00F11156"/>
    <w:rsid w:val="00F11739"/>
    <w:rsid w:val="00F11748"/>
    <w:rsid w:val="00F12117"/>
    <w:rsid w:val="00F124F2"/>
    <w:rsid w:val="00F1252C"/>
    <w:rsid w:val="00F12B9A"/>
    <w:rsid w:val="00F12D72"/>
    <w:rsid w:val="00F12DDD"/>
    <w:rsid w:val="00F13439"/>
    <w:rsid w:val="00F13468"/>
    <w:rsid w:val="00F137A5"/>
    <w:rsid w:val="00F13A22"/>
    <w:rsid w:val="00F13A50"/>
    <w:rsid w:val="00F13CFD"/>
    <w:rsid w:val="00F1427E"/>
    <w:rsid w:val="00F1451A"/>
    <w:rsid w:val="00F146DD"/>
    <w:rsid w:val="00F14749"/>
    <w:rsid w:val="00F1498D"/>
    <w:rsid w:val="00F14BDC"/>
    <w:rsid w:val="00F14C3A"/>
    <w:rsid w:val="00F14CA3"/>
    <w:rsid w:val="00F14D9A"/>
    <w:rsid w:val="00F151FE"/>
    <w:rsid w:val="00F1520D"/>
    <w:rsid w:val="00F155D2"/>
    <w:rsid w:val="00F158E0"/>
    <w:rsid w:val="00F15A3B"/>
    <w:rsid w:val="00F15AC1"/>
    <w:rsid w:val="00F1602B"/>
    <w:rsid w:val="00F16081"/>
    <w:rsid w:val="00F165CB"/>
    <w:rsid w:val="00F1673B"/>
    <w:rsid w:val="00F16760"/>
    <w:rsid w:val="00F167B5"/>
    <w:rsid w:val="00F167D3"/>
    <w:rsid w:val="00F16851"/>
    <w:rsid w:val="00F16898"/>
    <w:rsid w:val="00F168A4"/>
    <w:rsid w:val="00F17002"/>
    <w:rsid w:val="00F17252"/>
    <w:rsid w:val="00F1727F"/>
    <w:rsid w:val="00F17325"/>
    <w:rsid w:val="00F177BA"/>
    <w:rsid w:val="00F17820"/>
    <w:rsid w:val="00F17AD2"/>
    <w:rsid w:val="00F20C41"/>
    <w:rsid w:val="00F20FF1"/>
    <w:rsid w:val="00F2123B"/>
    <w:rsid w:val="00F2136A"/>
    <w:rsid w:val="00F213A9"/>
    <w:rsid w:val="00F2140E"/>
    <w:rsid w:val="00F220A3"/>
    <w:rsid w:val="00F22504"/>
    <w:rsid w:val="00F2265F"/>
    <w:rsid w:val="00F22AAD"/>
    <w:rsid w:val="00F22B1F"/>
    <w:rsid w:val="00F22C57"/>
    <w:rsid w:val="00F22FB5"/>
    <w:rsid w:val="00F2303C"/>
    <w:rsid w:val="00F2341C"/>
    <w:rsid w:val="00F2361B"/>
    <w:rsid w:val="00F238EA"/>
    <w:rsid w:val="00F23DAA"/>
    <w:rsid w:val="00F23EC0"/>
    <w:rsid w:val="00F24047"/>
    <w:rsid w:val="00F24551"/>
    <w:rsid w:val="00F245B2"/>
    <w:rsid w:val="00F247AB"/>
    <w:rsid w:val="00F24B21"/>
    <w:rsid w:val="00F24E55"/>
    <w:rsid w:val="00F25057"/>
    <w:rsid w:val="00F254B7"/>
    <w:rsid w:val="00F2561C"/>
    <w:rsid w:val="00F25F87"/>
    <w:rsid w:val="00F262B8"/>
    <w:rsid w:val="00F2632B"/>
    <w:rsid w:val="00F2659F"/>
    <w:rsid w:val="00F26B7B"/>
    <w:rsid w:val="00F26E29"/>
    <w:rsid w:val="00F271EA"/>
    <w:rsid w:val="00F27396"/>
    <w:rsid w:val="00F27886"/>
    <w:rsid w:val="00F27A07"/>
    <w:rsid w:val="00F27A53"/>
    <w:rsid w:val="00F27F19"/>
    <w:rsid w:val="00F27F3B"/>
    <w:rsid w:val="00F30148"/>
    <w:rsid w:val="00F305F8"/>
    <w:rsid w:val="00F3087C"/>
    <w:rsid w:val="00F30D1E"/>
    <w:rsid w:val="00F30E53"/>
    <w:rsid w:val="00F31027"/>
    <w:rsid w:val="00F313C3"/>
    <w:rsid w:val="00F31483"/>
    <w:rsid w:val="00F3198F"/>
    <w:rsid w:val="00F31C45"/>
    <w:rsid w:val="00F31DA0"/>
    <w:rsid w:val="00F31E7E"/>
    <w:rsid w:val="00F323FF"/>
    <w:rsid w:val="00F32690"/>
    <w:rsid w:val="00F327AF"/>
    <w:rsid w:val="00F328D1"/>
    <w:rsid w:val="00F32BD6"/>
    <w:rsid w:val="00F33301"/>
    <w:rsid w:val="00F3357E"/>
    <w:rsid w:val="00F3369D"/>
    <w:rsid w:val="00F339EC"/>
    <w:rsid w:val="00F33A1A"/>
    <w:rsid w:val="00F341EA"/>
    <w:rsid w:val="00F34273"/>
    <w:rsid w:val="00F34409"/>
    <w:rsid w:val="00F344AF"/>
    <w:rsid w:val="00F345BD"/>
    <w:rsid w:val="00F349AF"/>
    <w:rsid w:val="00F34A91"/>
    <w:rsid w:val="00F34EC0"/>
    <w:rsid w:val="00F3536A"/>
    <w:rsid w:val="00F35694"/>
    <w:rsid w:val="00F356BB"/>
    <w:rsid w:val="00F35770"/>
    <w:rsid w:val="00F3591B"/>
    <w:rsid w:val="00F35931"/>
    <w:rsid w:val="00F35E3F"/>
    <w:rsid w:val="00F35E4C"/>
    <w:rsid w:val="00F36187"/>
    <w:rsid w:val="00F363D3"/>
    <w:rsid w:val="00F367AD"/>
    <w:rsid w:val="00F367D9"/>
    <w:rsid w:val="00F36EF5"/>
    <w:rsid w:val="00F36F73"/>
    <w:rsid w:val="00F36F9C"/>
    <w:rsid w:val="00F36FC5"/>
    <w:rsid w:val="00F37027"/>
    <w:rsid w:val="00F37375"/>
    <w:rsid w:val="00F37659"/>
    <w:rsid w:val="00F376E6"/>
    <w:rsid w:val="00F378AA"/>
    <w:rsid w:val="00F3791B"/>
    <w:rsid w:val="00F37997"/>
    <w:rsid w:val="00F37D81"/>
    <w:rsid w:val="00F40821"/>
    <w:rsid w:val="00F41601"/>
    <w:rsid w:val="00F41843"/>
    <w:rsid w:val="00F4197F"/>
    <w:rsid w:val="00F41FB4"/>
    <w:rsid w:val="00F42DC7"/>
    <w:rsid w:val="00F42E0A"/>
    <w:rsid w:val="00F43060"/>
    <w:rsid w:val="00F4315C"/>
    <w:rsid w:val="00F431A8"/>
    <w:rsid w:val="00F43641"/>
    <w:rsid w:val="00F439BC"/>
    <w:rsid w:val="00F439F3"/>
    <w:rsid w:val="00F43C00"/>
    <w:rsid w:val="00F43D31"/>
    <w:rsid w:val="00F43DBA"/>
    <w:rsid w:val="00F43E88"/>
    <w:rsid w:val="00F43F1C"/>
    <w:rsid w:val="00F43F7F"/>
    <w:rsid w:val="00F44101"/>
    <w:rsid w:val="00F44166"/>
    <w:rsid w:val="00F44389"/>
    <w:rsid w:val="00F443F3"/>
    <w:rsid w:val="00F44960"/>
    <w:rsid w:val="00F44AAF"/>
    <w:rsid w:val="00F44ABC"/>
    <w:rsid w:val="00F44AF1"/>
    <w:rsid w:val="00F44CEF"/>
    <w:rsid w:val="00F44DF4"/>
    <w:rsid w:val="00F44EF5"/>
    <w:rsid w:val="00F4532D"/>
    <w:rsid w:val="00F45B78"/>
    <w:rsid w:val="00F45BC4"/>
    <w:rsid w:val="00F45FD6"/>
    <w:rsid w:val="00F4625D"/>
    <w:rsid w:val="00F463F1"/>
    <w:rsid w:val="00F4649D"/>
    <w:rsid w:val="00F46B98"/>
    <w:rsid w:val="00F46BC5"/>
    <w:rsid w:val="00F46E74"/>
    <w:rsid w:val="00F46F8B"/>
    <w:rsid w:val="00F47094"/>
    <w:rsid w:val="00F4718A"/>
    <w:rsid w:val="00F4726D"/>
    <w:rsid w:val="00F473B1"/>
    <w:rsid w:val="00F4758D"/>
    <w:rsid w:val="00F476C2"/>
    <w:rsid w:val="00F477B0"/>
    <w:rsid w:val="00F47AFA"/>
    <w:rsid w:val="00F47CBD"/>
    <w:rsid w:val="00F47CD7"/>
    <w:rsid w:val="00F47D13"/>
    <w:rsid w:val="00F47DCF"/>
    <w:rsid w:val="00F47FCC"/>
    <w:rsid w:val="00F47FD4"/>
    <w:rsid w:val="00F501B2"/>
    <w:rsid w:val="00F502BF"/>
    <w:rsid w:val="00F505B2"/>
    <w:rsid w:val="00F508C1"/>
    <w:rsid w:val="00F50B19"/>
    <w:rsid w:val="00F50D4E"/>
    <w:rsid w:val="00F519C2"/>
    <w:rsid w:val="00F51DF5"/>
    <w:rsid w:val="00F51E27"/>
    <w:rsid w:val="00F5240F"/>
    <w:rsid w:val="00F52436"/>
    <w:rsid w:val="00F524BB"/>
    <w:rsid w:val="00F5250B"/>
    <w:rsid w:val="00F52665"/>
    <w:rsid w:val="00F529E7"/>
    <w:rsid w:val="00F52B11"/>
    <w:rsid w:val="00F52DEA"/>
    <w:rsid w:val="00F52E94"/>
    <w:rsid w:val="00F5384C"/>
    <w:rsid w:val="00F538B4"/>
    <w:rsid w:val="00F539E5"/>
    <w:rsid w:val="00F53A3B"/>
    <w:rsid w:val="00F53E9F"/>
    <w:rsid w:val="00F54D39"/>
    <w:rsid w:val="00F552EB"/>
    <w:rsid w:val="00F5538D"/>
    <w:rsid w:val="00F55638"/>
    <w:rsid w:val="00F55759"/>
    <w:rsid w:val="00F55B92"/>
    <w:rsid w:val="00F56050"/>
    <w:rsid w:val="00F56323"/>
    <w:rsid w:val="00F56C59"/>
    <w:rsid w:val="00F571F3"/>
    <w:rsid w:val="00F5741B"/>
    <w:rsid w:val="00F5755B"/>
    <w:rsid w:val="00F5796E"/>
    <w:rsid w:val="00F57BE6"/>
    <w:rsid w:val="00F57DCC"/>
    <w:rsid w:val="00F57E15"/>
    <w:rsid w:val="00F57E45"/>
    <w:rsid w:val="00F57F3F"/>
    <w:rsid w:val="00F57F9A"/>
    <w:rsid w:val="00F60344"/>
    <w:rsid w:val="00F60AAC"/>
    <w:rsid w:val="00F617B2"/>
    <w:rsid w:val="00F617CB"/>
    <w:rsid w:val="00F618F3"/>
    <w:rsid w:val="00F61B0B"/>
    <w:rsid w:val="00F61B0F"/>
    <w:rsid w:val="00F61B16"/>
    <w:rsid w:val="00F61BE2"/>
    <w:rsid w:val="00F61CA0"/>
    <w:rsid w:val="00F6203E"/>
    <w:rsid w:val="00F620A2"/>
    <w:rsid w:val="00F6252B"/>
    <w:rsid w:val="00F625E6"/>
    <w:rsid w:val="00F62D73"/>
    <w:rsid w:val="00F62EF7"/>
    <w:rsid w:val="00F630CE"/>
    <w:rsid w:val="00F6335B"/>
    <w:rsid w:val="00F6363F"/>
    <w:rsid w:val="00F636EA"/>
    <w:rsid w:val="00F63901"/>
    <w:rsid w:val="00F639FD"/>
    <w:rsid w:val="00F63A8F"/>
    <w:rsid w:val="00F63BEE"/>
    <w:rsid w:val="00F63D23"/>
    <w:rsid w:val="00F63FEA"/>
    <w:rsid w:val="00F642D1"/>
    <w:rsid w:val="00F643D1"/>
    <w:rsid w:val="00F64C66"/>
    <w:rsid w:val="00F64CCD"/>
    <w:rsid w:val="00F64D01"/>
    <w:rsid w:val="00F64E30"/>
    <w:rsid w:val="00F6510C"/>
    <w:rsid w:val="00F65585"/>
    <w:rsid w:val="00F655A1"/>
    <w:rsid w:val="00F656C1"/>
    <w:rsid w:val="00F65C88"/>
    <w:rsid w:val="00F65DB2"/>
    <w:rsid w:val="00F66190"/>
    <w:rsid w:val="00F6620E"/>
    <w:rsid w:val="00F66293"/>
    <w:rsid w:val="00F662C6"/>
    <w:rsid w:val="00F664CD"/>
    <w:rsid w:val="00F66AFD"/>
    <w:rsid w:val="00F66D64"/>
    <w:rsid w:val="00F66EC7"/>
    <w:rsid w:val="00F672ED"/>
    <w:rsid w:val="00F67430"/>
    <w:rsid w:val="00F6775B"/>
    <w:rsid w:val="00F67BE4"/>
    <w:rsid w:val="00F67DA4"/>
    <w:rsid w:val="00F7030B"/>
    <w:rsid w:val="00F70704"/>
    <w:rsid w:val="00F70798"/>
    <w:rsid w:val="00F70BB4"/>
    <w:rsid w:val="00F70DDC"/>
    <w:rsid w:val="00F71696"/>
    <w:rsid w:val="00F716A9"/>
    <w:rsid w:val="00F71832"/>
    <w:rsid w:val="00F71910"/>
    <w:rsid w:val="00F71A15"/>
    <w:rsid w:val="00F71C1F"/>
    <w:rsid w:val="00F71D97"/>
    <w:rsid w:val="00F71F40"/>
    <w:rsid w:val="00F72382"/>
    <w:rsid w:val="00F723EE"/>
    <w:rsid w:val="00F7243A"/>
    <w:rsid w:val="00F728BD"/>
    <w:rsid w:val="00F728C4"/>
    <w:rsid w:val="00F728DE"/>
    <w:rsid w:val="00F72901"/>
    <w:rsid w:val="00F72A2B"/>
    <w:rsid w:val="00F72A8F"/>
    <w:rsid w:val="00F72E2C"/>
    <w:rsid w:val="00F73192"/>
    <w:rsid w:val="00F73217"/>
    <w:rsid w:val="00F73291"/>
    <w:rsid w:val="00F735E0"/>
    <w:rsid w:val="00F735EF"/>
    <w:rsid w:val="00F7367E"/>
    <w:rsid w:val="00F73708"/>
    <w:rsid w:val="00F73802"/>
    <w:rsid w:val="00F73D33"/>
    <w:rsid w:val="00F73FC2"/>
    <w:rsid w:val="00F7404D"/>
    <w:rsid w:val="00F7454D"/>
    <w:rsid w:val="00F74B6D"/>
    <w:rsid w:val="00F74FA3"/>
    <w:rsid w:val="00F7529E"/>
    <w:rsid w:val="00F754C8"/>
    <w:rsid w:val="00F754D6"/>
    <w:rsid w:val="00F75743"/>
    <w:rsid w:val="00F759E5"/>
    <w:rsid w:val="00F75A35"/>
    <w:rsid w:val="00F75A3D"/>
    <w:rsid w:val="00F75AC2"/>
    <w:rsid w:val="00F75AF5"/>
    <w:rsid w:val="00F75B3A"/>
    <w:rsid w:val="00F75BDE"/>
    <w:rsid w:val="00F76397"/>
    <w:rsid w:val="00F764A8"/>
    <w:rsid w:val="00F768C7"/>
    <w:rsid w:val="00F76F56"/>
    <w:rsid w:val="00F76F8C"/>
    <w:rsid w:val="00F770A4"/>
    <w:rsid w:val="00F770E8"/>
    <w:rsid w:val="00F7711B"/>
    <w:rsid w:val="00F7744B"/>
    <w:rsid w:val="00F7759C"/>
    <w:rsid w:val="00F77973"/>
    <w:rsid w:val="00F77CB9"/>
    <w:rsid w:val="00F77CEB"/>
    <w:rsid w:val="00F80231"/>
    <w:rsid w:val="00F802A8"/>
    <w:rsid w:val="00F804FE"/>
    <w:rsid w:val="00F80740"/>
    <w:rsid w:val="00F80776"/>
    <w:rsid w:val="00F80830"/>
    <w:rsid w:val="00F80A03"/>
    <w:rsid w:val="00F80EC7"/>
    <w:rsid w:val="00F80ED7"/>
    <w:rsid w:val="00F81262"/>
    <w:rsid w:val="00F81AE2"/>
    <w:rsid w:val="00F81AE7"/>
    <w:rsid w:val="00F82767"/>
    <w:rsid w:val="00F830E4"/>
    <w:rsid w:val="00F839C7"/>
    <w:rsid w:val="00F83C2E"/>
    <w:rsid w:val="00F83F4D"/>
    <w:rsid w:val="00F84336"/>
    <w:rsid w:val="00F8443A"/>
    <w:rsid w:val="00F844D1"/>
    <w:rsid w:val="00F84ADC"/>
    <w:rsid w:val="00F84CEE"/>
    <w:rsid w:val="00F84F28"/>
    <w:rsid w:val="00F85098"/>
    <w:rsid w:val="00F85230"/>
    <w:rsid w:val="00F853F0"/>
    <w:rsid w:val="00F8560F"/>
    <w:rsid w:val="00F8579A"/>
    <w:rsid w:val="00F86053"/>
    <w:rsid w:val="00F86251"/>
    <w:rsid w:val="00F86352"/>
    <w:rsid w:val="00F868ED"/>
    <w:rsid w:val="00F86A8F"/>
    <w:rsid w:val="00F86BB3"/>
    <w:rsid w:val="00F87108"/>
    <w:rsid w:val="00F87352"/>
    <w:rsid w:val="00F876BB"/>
    <w:rsid w:val="00F8778B"/>
    <w:rsid w:val="00F879F8"/>
    <w:rsid w:val="00F87ABB"/>
    <w:rsid w:val="00F87AE4"/>
    <w:rsid w:val="00F87CA3"/>
    <w:rsid w:val="00F87E51"/>
    <w:rsid w:val="00F90185"/>
    <w:rsid w:val="00F90399"/>
    <w:rsid w:val="00F90AEC"/>
    <w:rsid w:val="00F90EB0"/>
    <w:rsid w:val="00F910EE"/>
    <w:rsid w:val="00F91575"/>
    <w:rsid w:val="00F91729"/>
    <w:rsid w:val="00F91736"/>
    <w:rsid w:val="00F91DE4"/>
    <w:rsid w:val="00F91F99"/>
    <w:rsid w:val="00F92057"/>
    <w:rsid w:val="00F9217B"/>
    <w:rsid w:val="00F924EC"/>
    <w:rsid w:val="00F9368C"/>
    <w:rsid w:val="00F938F4"/>
    <w:rsid w:val="00F93B90"/>
    <w:rsid w:val="00F93DC0"/>
    <w:rsid w:val="00F93E48"/>
    <w:rsid w:val="00F93EDB"/>
    <w:rsid w:val="00F94071"/>
    <w:rsid w:val="00F94072"/>
    <w:rsid w:val="00F940A4"/>
    <w:rsid w:val="00F94422"/>
    <w:rsid w:val="00F9474D"/>
    <w:rsid w:val="00F94A52"/>
    <w:rsid w:val="00F94BDF"/>
    <w:rsid w:val="00F94E78"/>
    <w:rsid w:val="00F9516B"/>
    <w:rsid w:val="00F955BC"/>
    <w:rsid w:val="00F9573F"/>
    <w:rsid w:val="00F95783"/>
    <w:rsid w:val="00F95E30"/>
    <w:rsid w:val="00F95FEC"/>
    <w:rsid w:val="00F961C2"/>
    <w:rsid w:val="00F966C6"/>
    <w:rsid w:val="00F96ABC"/>
    <w:rsid w:val="00F96BDC"/>
    <w:rsid w:val="00F96D9C"/>
    <w:rsid w:val="00F96E0D"/>
    <w:rsid w:val="00F96F32"/>
    <w:rsid w:val="00F97278"/>
    <w:rsid w:val="00F97856"/>
    <w:rsid w:val="00F97965"/>
    <w:rsid w:val="00F979EE"/>
    <w:rsid w:val="00F97C85"/>
    <w:rsid w:val="00F97DD2"/>
    <w:rsid w:val="00F97E08"/>
    <w:rsid w:val="00F97EF8"/>
    <w:rsid w:val="00FA0161"/>
    <w:rsid w:val="00FA03D9"/>
    <w:rsid w:val="00FA09E4"/>
    <w:rsid w:val="00FA12D4"/>
    <w:rsid w:val="00FA140E"/>
    <w:rsid w:val="00FA14C2"/>
    <w:rsid w:val="00FA1620"/>
    <w:rsid w:val="00FA180E"/>
    <w:rsid w:val="00FA1C87"/>
    <w:rsid w:val="00FA1DA3"/>
    <w:rsid w:val="00FA1FAC"/>
    <w:rsid w:val="00FA23AC"/>
    <w:rsid w:val="00FA2406"/>
    <w:rsid w:val="00FA2491"/>
    <w:rsid w:val="00FA2556"/>
    <w:rsid w:val="00FA273F"/>
    <w:rsid w:val="00FA2776"/>
    <w:rsid w:val="00FA2D46"/>
    <w:rsid w:val="00FA2DE2"/>
    <w:rsid w:val="00FA35A6"/>
    <w:rsid w:val="00FA38E3"/>
    <w:rsid w:val="00FA3C39"/>
    <w:rsid w:val="00FA3CB3"/>
    <w:rsid w:val="00FA4494"/>
    <w:rsid w:val="00FA45DA"/>
    <w:rsid w:val="00FA47F5"/>
    <w:rsid w:val="00FA4966"/>
    <w:rsid w:val="00FA4B7C"/>
    <w:rsid w:val="00FA4DA6"/>
    <w:rsid w:val="00FA51D7"/>
    <w:rsid w:val="00FA524C"/>
    <w:rsid w:val="00FA5430"/>
    <w:rsid w:val="00FA550C"/>
    <w:rsid w:val="00FA57A5"/>
    <w:rsid w:val="00FA593A"/>
    <w:rsid w:val="00FA5C37"/>
    <w:rsid w:val="00FA5E6D"/>
    <w:rsid w:val="00FA6501"/>
    <w:rsid w:val="00FA6585"/>
    <w:rsid w:val="00FA65EC"/>
    <w:rsid w:val="00FA6672"/>
    <w:rsid w:val="00FA66B2"/>
    <w:rsid w:val="00FA6884"/>
    <w:rsid w:val="00FA68F6"/>
    <w:rsid w:val="00FA693C"/>
    <w:rsid w:val="00FA6AFB"/>
    <w:rsid w:val="00FA6B79"/>
    <w:rsid w:val="00FA6C3C"/>
    <w:rsid w:val="00FA6EEE"/>
    <w:rsid w:val="00FA719C"/>
    <w:rsid w:val="00FA7308"/>
    <w:rsid w:val="00FA7529"/>
    <w:rsid w:val="00FA7552"/>
    <w:rsid w:val="00FA765A"/>
    <w:rsid w:val="00FA7AF9"/>
    <w:rsid w:val="00FA7BD2"/>
    <w:rsid w:val="00FA7CDD"/>
    <w:rsid w:val="00FA7CF1"/>
    <w:rsid w:val="00FB0035"/>
    <w:rsid w:val="00FB03C7"/>
    <w:rsid w:val="00FB0543"/>
    <w:rsid w:val="00FB0765"/>
    <w:rsid w:val="00FB07AF"/>
    <w:rsid w:val="00FB08B3"/>
    <w:rsid w:val="00FB0C2F"/>
    <w:rsid w:val="00FB0C72"/>
    <w:rsid w:val="00FB0D5E"/>
    <w:rsid w:val="00FB1760"/>
    <w:rsid w:val="00FB18FD"/>
    <w:rsid w:val="00FB198B"/>
    <w:rsid w:val="00FB1B77"/>
    <w:rsid w:val="00FB251F"/>
    <w:rsid w:val="00FB25B6"/>
    <w:rsid w:val="00FB2649"/>
    <w:rsid w:val="00FB27CE"/>
    <w:rsid w:val="00FB2A7E"/>
    <w:rsid w:val="00FB2AD4"/>
    <w:rsid w:val="00FB2C82"/>
    <w:rsid w:val="00FB2C8E"/>
    <w:rsid w:val="00FB2EA2"/>
    <w:rsid w:val="00FB35B7"/>
    <w:rsid w:val="00FB37D0"/>
    <w:rsid w:val="00FB3883"/>
    <w:rsid w:val="00FB3887"/>
    <w:rsid w:val="00FB3CA4"/>
    <w:rsid w:val="00FB3DF0"/>
    <w:rsid w:val="00FB411B"/>
    <w:rsid w:val="00FB43A0"/>
    <w:rsid w:val="00FB4691"/>
    <w:rsid w:val="00FB49D5"/>
    <w:rsid w:val="00FB4B87"/>
    <w:rsid w:val="00FB5080"/>
    <w:rsid w:val="00FB521E"/>
    <w:rsid w:val="00FB533E"/>
    <w:rsid w:val="00FB571B"/>
    <w:rsid w:val="00FB578C"/>
    <w:rsid w:val="00FB57B5"/>
    <w:rsid w:val="00FB62A9"/>
    <w:rsid w:val="00FB6581"/>
    <w:rsid w:val="00FB6840"/>
    <w:rsid w:val="00FB6B80"/>
    <w:rsid w:val="00FB6C65"/>
    <w:rsid w:val="00FB6CB3"/>
    <w:rsid w:val="00FB7083"/>
    <w:rsid w:val="00FB71A9"/>
    <w:rsid w:val="00FB72DF"/>
    <w:rsid w:val="00FB75F6"/>
    <w:rsid w:val="00FB7B0E"/>
    <w:rsid w:val="00FB7C23"/>
    <w:rsid w:val="00FB7C7C"/>
    <w:rsid w:val="00FC04D1"/>
    <w:rsid w:val="00FC05F6"/>
    <w:rsid w:val="00FC0977"/>
    <w:rsid w:val="00FC0ADC"/>
    <w:rsid w:val="00FC112B"/>
    <w:rsid w:val="00FC15FF"/>
    <w:rsid w:val="00FC1D8F"/>
    <w:rsid w:val="00FC1ECF"/>
    <w:rsid w:val="00FC229F"/>
    <w:rsid w:val="00FC2426"/>
    <w:rsid w:val="00FC27E4"/>
    <w:rsid w:val="00FC2930"/>
    <w:rsid w:val="00FC2A4D"/>
    <w:rsid w:val="00FC2C5A"/>
    <w:rsid w:val="00FC2D6C"/>
    <w:rsid w:val="00FC2E1B"/>
    <w:rsid w:val="00FC2FF7"/>
    <w:rsid w:val="00FC3008"/>
    <w:rsid w:val="00FC32AF"/>
    <w:rsid w:val="00FC3CC7"/>
    <w:rsid w:val="00FC4197"/>
    <w:rsid w:val="00FC4572"/>
    <w:rsid w:val="00FC4ABE"/>
    <w:rsid w:val="00FC4C5C"/>
    <w:rsid w:val="00FC4D3D"/>
    <w:rsid w:val="00FC528F"/>
    <w:rsid w:val="00FC55CD"/>
    <w:rsid w:val="00FC574E"/>
    <w:rsid w:val="00FC57EB"/>
    <w:rsid w:val="00FC5874"/>
    <w:rsid w:val="00FC58C8"/>
    <w:rsid w:val="00FC5B7C"/>
    <w:rsid w:val="00FC6046"/>
    <w:rsid w:val="00FC65DF"/>
    <w:rsid w:val="00FC69E7"/>
    <w:rsid w:val="00FC69F2"/>
    <w:rsid w:val="00FC6B18"/>
    <w:rsid w:val="00FC6E71"/>
    <w:rsid w:val="00FC6F52"/>
    <w:rsid w:val="00FC6F66"/>
    <w:rsid w:val="00FC72A7"/>
    <w:rsid w:val="00FC73CE"/>
    <w:rsid w:val="00FC746D"/>
    <w:rsid w:val="00FC78C1"/>
    <w:rsid w:val="00FC7A4A"/>
    <w:rsid w:val="00FC7E6A"/>
    <w:rsid w:val="00FC7FCD"/>
    <w:rsid w:val="00FD0178"/>
    <w:rsid w:val="00FD04BD"/>
    <w:rsid w:val="00FD0710"/>
    <w:rsid w:val="00FD0CAE"/>
    <w:rsid w:val="00FD0FA1"/>
    <w:rsid w:val="00FD1505"/>
    <w:rsid w:val="00FD15DC"/>
    <w:rsid w:val="00FD174D"/>
    <w:rsid w:val="00FD18C5"/>
    <w:rsid w:val="00FD1920"/>
    <w:rsid w:val="00FD1E0E"/>
    <w:rsid w:val="00FD1F02"/>
    <w:rsid w:val="00FD2035"/>
    <w:rsid w:val="00FD2589"/>
    <w:rsid w:val="00FD2D11"/>
    <w:rsid w:val="00FD3201"/>
    <w:rsid w:val="00FD325B"/>
    <w:rsid w:val="00FD37F1"/>
    <w:rsid w:val="00FD3807"/>
    <w:rsid w:val="00FD3A37"/>
    <w:rsid w:val="00FD3E9F"/>
    <w:rsid w:val="00FD3F47"/>
    <w:rsid w:val="00FD4418"/>
    <w:rsid w:val="00FD4697"/>
    <w:rsid w:val="00FD4772"/>
    <w:rsid w:val="00FD4C04"/>
    <w:rsid w:val="00FD4C57"/>
    <w:rsid w:val="00FD4FDC"/>
    <w:rsid w:val="00FD53EF"/>
    <w:rsid w:val="00FD55F2"/>
    <w:rsid w:val="00FD56E7"/>
    <w:rsid w:val="00FD5814"/>
    <w:rsid w:val="00FD5B7A"/>
    <w:rsid w:val="00FD5D6E"/>
    <w:rsid w:val="00FD5F48"/>
    <w:rsid w:val="00FD5FB0"/>
    <w:rsid w:val="00FD608A"/>
    <w:rsid w:val="00FD61D4"/>
    <w:rsid w:val="00FD6657"/>
    <w:rsid w:val="00FD666C"/>
    <w:rsid w:val="00FD6765"/>
    <w:rsid w:val="00FD6838"/>
    <w:rsid w:val="00FD73CF"/>
    <w:rsid w:val="00FD747C"/>
    <w:rsid w:val="00FD748A"/>
    <w:rsid w:val="00FD76B6"/>
    <w:rsid w:val="00FD7812"/>
    <w:rsid w:val="00FD79A0"/>
    <w:rsid w:val="00FD79C7"/>
    <w:rsid w:val="00FD7A54"/>
    <w:rsid w:val="00FD7B4A"/>
    <w:rsid w:val="00FD7BF6"/>
    <w:rsid w:val="00FD7EBA"/>
    <w:rsid w:val="00FE014D"/>
    <w:rsid w:val="00FE0162"/>
    <w:rsid w:val="00FE0563"/>
    <w:rsid w:val="00FE05C7"/>
    <w:rsid w:val="00FE0636"/>
    <w:rsid w:val="00FE07AE"/>
    <w:rsid w:val="00FE0D20"/>
    <w:rsid w:val="00FE0DD6"/>
    <w:rsid w:val="00FE112E"/>
    <w:rsid w:val="00FE1154"/>
    <w:rsid w:val="00FE1414"/>
    <w:rsid w:val="00FE17B7"/>
    <w:rsid w:val="00FE1813"/>
    <w:rsid w:val="00FE19E6"/>
    <w:rsid w:val="00FE1B9F"/>
    <w:rsid w:val="00FE1F12"/>
    <w:rsid w:val="00FE239E"/>
    <w:rsid w:val="00FE255B"/>
    <w:rsid w:val="00FE25A3"/>
    <w:rsid w:val="00FE25AC"/>
    <w:rsid w:val="00FE280B"/>
    <w:rsid w:val="00FE2855"/>
    <w:rsid w:val="00FE2C01"/>
    <w:rsid w:val="00FE2D46"/>
    <w:rsid w:val="00FE2F15"/>
    <w:rsid w:val="00FE310D"/>
    <w:rsid w:val="00FE35C7"/>
    <w:rsid w:val="00FE3903"/>
    <w:rsid w:val="00FE3C8D"/>
    <w:rsid w:val="00FE3DB2"/>
    <w:rsid w:val="00FE3F27"/>
    <w:rsid w:val="00FE4099"/>
    <w:rsid w:val="00FE4179"/>
    <w:rsid w:val="00FE4219"/>
    <w:rsid w:val="00FE45BB"/>
    <w:rsid w:val="00FE5252"/>
    <w:rsid w:val="00FE52CD"/>
    <w:rsid w:val="00FE54E8"/>
    <w:rsid w:val="00FE56A6"/>
    <w:rsid w:val="00FE57D3"/>
    <w:rsid w:val="00FE593E"/>
    <w:rsid w:val="00FE5B0A"/>
    <w:rsid w:val="00FE5C73"/>
    <w:rsid w:val="00FE5E21"/>
    <w:rsid w:val="00FE64AD"/>
    <w:rsid w:val="00FE6B48"/>
    <w:rsid w:val="00FE6E6C"/>
    <w:rsid w:val="00FE71F0"/>
    <w:rsid w:val="00FE7B1C"/>
    <w:rsid w:val="00FE7D15"/>
    <w:rsid w:val="00FF0AF6"/>
    <w:rsid w:val="00FF0B5F"/>
    <w:rsid w:val="00FF0C27"/>
    <w:rsid w:val="00FF0C7F"/>
    <w:rsid w:val="00FF11D7"/>
    <w:rsid w:val="00FF1354"/>
    <w:rsid w:val="00FF17F7"/>
    <w:rsid w:val="00FF1910"/>
    <w:rsid w:val="00FF196E"/>
    <w:rsid w:val="00FF1BB6"/>
    <w:rsid w:val="00FF1DFD"/>
    <w:rsid w:val="00FF1FA2"/>
    <w:rsid w:val="00FF2344"/>
    <w:rsid w:val="00FF24F8"/>
    <w:rsid w:val="00FF29F5"/>
    <w:rsid w:val="00FF2ACD"/>
    <w:rsid w:val="00FF2B53"/>
    <w:rsid w:val="00FF3694"/>
    <w:rsid w:val="00FF38C1"/>
    <w:rsid w:val="00FF3CA8"/>
    <w:rsid w:val="00FF3CDE"/>
    <w:rsid w:val="00FF3D85"/>
    <w:rsid w:val="00FF3ECF"/>
    <w:rsid w:val="00FF3EF7"/>
    <w:rsid w:val="00FF4213"/>
    <w:rsid w:val="00FF476F"/>
    <w:rsid w:val="00FF4878"/>
    <w:rsid w:val="00FF4886"/>
    <w:rsid w:val="00FF4C0D"/>
    <w:rsid w:val="00FF4C77"/>
    <w:rsid w:val="00FF4D12"/>
    <w:rsid w:val="00FF511B"/>
    <w:rsid w:val="00FF5212"/>
    <w:rsid w:val="00FF5227"/>
    <w:rsid w:val="00FF5270"/>
    <w:rsid w:val="00FF53B7"/>
    <w:rsid w:val="00FF59CF"/>
    <w:rsid w:val="00FF5A87"/>
    <w:rsid w:val="00FF5CE2"/>
    <w:rsid w:val="00FF5D75"/>
    <w:rsid w:val="00FF5DB4"/>
    <w:rsid w:val="00FF6822"/>
    <w:rsid w:val="00FF68AB"/>
    <w:rsid w:val="00FF68BA"/>
    <w:rsid w:val="00FF69CF"/>
    <w:rsid w:val="00FF6BAE"/>
    <w:rsid w:val="00FF6BD4"/>
    <w:rsid w:val="00FF6E51"/>
    <w:rsid w:val="00FF6ED5"/>
    <w:rsid w:val="00FF7252"/>
    <w:rsid w:val="00FF72A8"/>
    <w:rsid w:val="00FF7687"/>
    <w:rsid w:val="00FF76FF"/>
    <w:rsid w:val="00FF7732"/>
    <w:rsid w:val="00FF77B4"/>
    <w:rsid w:val="00FF7E2F"/>
    <w:rsid w:val="00FF7F54"/>
    <w:rsid w:val="01039241"/>
    <w:rsid w:val="010DC236"/>
    <w:rsid w:val="01187980"/>
    <w:rsid w:val="012BB922"/>
    <w:rsid w:val="013B884A"/>
    <w:rsid w:val="014EFA29"/>
    <w:rsid w:val="0151A6D9"/>
    <w:rsid w:val="0171092B"/>
    <w:rsid w:val="01722827"/>
    <w:rsid w:val="017FDC0C"/>
    <w:rsid w:val="0186AD69"/>
    <w:rsid w:val="0191E92C"/>
    <w:rsid w:val="01A7F107"/>
    <w:rsid w:val="01B660A7"/>
    <w:rsid w:val="01C9703C"/>
    <w:rsid w:val="01DDDFA5"/>
    <w:rsid w:val="01ECF398"/>
    <w:rsid w:val="01EFDFB3"/>
    <w:rsid w:val="0208BF7D"/>
    <w:rsid w:val="0257F6AE"/>
    <w:rsid w:val="02803689"/>
    <w:rsid w:val="02818208"/>
    <w:rsid w:val="0286AC7C"/>
    <w:rsid w:val="0288A297"/>
    <w:rsid w:val="0299378D"/>
    <w:rsid w:val="02D26DAC"/>
    <w:rsid w:val="02D3B567"/>
    <w:rsid w:val="02F6CC87"/>
    <w:rsid w:val="02FC820B"/>
    <w:rsid w:val="030164BE"/>
    <w:rsid w:val="030E1E44"/>
    <w:rsid w:val="03379E42"/>
    <w:rsid w:val="034248D7"/>
    <w:rsid w:val="0352A066"/>
    <w:rsid w:val="03660914"/>
    <w:rsid w:val="0369C7B5"/>
    <w:rsid w:val="036F225B"/>
    <w:rsid w:val="037B9248"/>
    <w:rsid w:val="039DA5C8"/>
    <w:rsid w:val="03C1A841"/>
    <w:rsid w:val="03C6F585"/>
    <w:rsid w:val="03CA9114"/>
    <w:rsid w:val="03D7F831"/>
    <w:rsid w:val="0430FC4E"/>
    <w:rsid w:val="043CA9FB"/>
    <w:rsid w:val="0453ED26"/>
    <w:rsid w:val="0457E6D1"/>
    <w:rsid w:val="045C117A"/>
    <w:rsid w:val="046E8731"/>
    <w:rsid w:val="04B8F692"/>
    <w:rsid w:val="04E92FA5"/>
    <w:rsid w:val="04E9B33E"/>
    <w:rsid w:val="05036703"/>
    <w:rsid w:val="0518DBF6"/>
    <w:rsid w:val="05190255"/>
    <w:rsid w:val="05248ADA"/>
    <w:rsid w:val="0528FD80"/>
    <w:rsid w:val="052EAB7D"/>
    <w:rsid w:val="0533C3AA"/>
    <w:rsid w:val="053C7DD7"/>
    <w:rsid w:val="055343A1"/>
    <w:rsid w:val="05579E2C"/>
    <w:rsid w:val="0558A7E5"/>
    <w:rsid w:val="0571C989"/>
    <w:rsid w:val="0572B86A"/>
    <w:rsid w:val="0574A451"/>
    <w:rsid w:val="058FA7A4"/>
    <w:rsid w:val="059A903D"/>
    <w:rsid w:val="05A06AF4"/>
    <w:rsid w:val="05C1452E"/>
    <w:rsid w:val="05DC0841"/>
    <w:rsid w:val="05DC9BBE"/>
    <w:rsid w:val="05DEB4C4"/>
    <w:rsid w:val="05E30029"/>
    <w:rsid w:val="05E74AB7"/>
    <w:rsid w:val="05F2463C"/>
    <w:rsid w:val="05F5BECE"/>
    <w:rsid w:val="05FD241E"/>
    <w:rsid w:val="06017A3B"/>
    <w:rsid w:val="061C6008"/>
    <w:rsid w:val="0620E897"/>
    <w:rsid w:val="06458684"/>
    <w:rsid w:val="0645E3CA"/>
    <w:rsid w:val="064C4492"/>
    <w:rsid w:val="0651AD05"/>
    <w:rsid w:val="06621E3F"/>
    <w:rsid w:val="0663D17A"/>
    <w:rsid w:val="0698BDCA"/>
    <w:rsid w:val="06A1CE50"/>
    <w:rsid w:val="06BB6474"/>
    <w:rsid w:val="06BC5E93"/>
    <w:rsid w:val="06C190AD"/>
    <w:rsid w:val="06C2F22C"/>
    <w:rsid w:val="06C45AB6"/>
    <w:rsid w:val="06F49983"/>
    <w:rsid w:val="0716745F"/>
    <w:rsid w:val="071B80FB"/>
    <w:rsid w:val="073D7DCB"/>
    <w:rsid w:val="0767DA42"/>
    <w:rsid w:val="07990E2F"/>
    <w:rsid w:val="079A036A"/>
    <w:rsid w:val="07A5EE55"/>
    <w:rsid w:val="07B5BD1F"/>
    <w:rsid w:val="07C8FE96"/>
    <w:rsid w:val="07CDC57B"/>
    <w:rsid w:val="07CF24E6"/>
    <w:rsid w:val="07D7E3CA"/>
    <w:rsid w:val="07E74397"/>
    <w:rsid w:val="07F6FABD"/>
    <w:rsid w:val="082E5440"/>
    <w:rsid w:val="0839D7DD"/>
    <w:rsid w:val="085D2871"/>
    <w:rsid w:val="0860F20C"/>
    <w:rsid w:val="0888A616"/>
    <w:rsid w:val="089C274C"/>
    <w:rsid w:val="08A0D6D3"/>
    <w:rsid w:val="08AF2058"/>
    <w:rsid w:val="08B7BC13"/>
    <w:rsid w:val="08CACCF7"/>
    <w:rsid w:val="08D0B539"/>
    <w:rsid w:val="08F31EB0"/>
    <w:rsid w:val="0909C629"/>
    <w:rsid w:val="091A3265"/>
    <w:rsid w:val="091F9B8F"/>
    <w:rsid w:val="092486A9"/>
    <w:rsid w:val="092BAE08"/>
    <w:rsid w:val="0952896E"/>
    <w:rsid w:val="09683590"/>
    <w:rsid w:val="0970D6B5"/>
    <w:rsid w:val="09828B5E"/>
    <w:rsid w:val="0986301C"/>
    <w:rsid w:val="098F8A70"/>
    <w:rsid w:val="0993BB86"/>
    <w:rsid w:val="0993F2BD"/>
    <w:rsid w:val="099EFCCB"/>
    <w:rsid w:val="09ABAC51"/>
    <w:rsid w:val="09B08936"/>
    <w:rsid w:val="09CAD569"/>
    <w:rsid w:val="09D51177"/>
    <w:rsid w:val="09E098E4"/>
    <w:rsid w:val="09ED3A10"/>
    <w:rsid w:val="0A08E43A"/>
    <w:rsid w:val="0A0E4105"/>
    <w:rsid w:val="0A1128BA"/>
    <w:rsid w:val="0A18A800"/>
    <w:rsid w:val="0A2457B8"/>
    <w:rsid w:val="0A43624D"/>
    <w:rsid w:val="0A448169"/>
    <w:rsid w:val="0A51574D"/>
    <w:rsid w:val="0A53D542"/>
    <w:rsid w:val="0A6A07F0"/>
    <w:rsid w:val="0A802F76"/>
    <w:rsid w:val="0A820CEF"/>
    <w:rsid w:val="0A85FFE4"/>
    <w:rsid w:val="0AB1CBBA"/>
    <w:rsid w:val="0ABBB773"/>
    <w:rsid w:val="0ADA25F2"/>
    <w:rsid w:val="0AE4F3F7"/>
    <w:rsid w:val="0AF3BEA2"/>
    <w:rsid w:val="0AFEBFE5"/>
    <w:rsid w:val="0B30288C"/>
    <w:rsid w:val="0B54E9BE"/>
    <w:rsid w:val="0B5B00B7"/>
    <w:rsid w:val="0B854D6E"/>
    <w:rsid w:val="0B8D26F5"/>
    <w:rsid w:val="0BAE1CF3"/>
    <w:rsid w:val="0BB7C8A4"/>
    <w:rsid w:val="0BC9BAAA"/>
    <w:rsid w:val="0BE1F372"/>
    <w:rsid w:val="0BE5B6DA"/>
    <w:rsid w:val="0BF6E459"/>
    <w:rsid w:val="0C25013B"/>
    <w:rsid w:val="0C288E53"/>
    <w:rsid w:val="0C3B4E14"/>
    <w:rsid w:val="0C832D76"/>
    <w:rsid w:val="0C859A0D"/>
    <w:rsid w:val="0C86050E"/>
    <w:rsid w:val="0C9F4AE0"/>
    <w:rsid w:val="0CADF6DB"/>
    <w:rsid w:val="0CBB41AF"/>
    <w:rsid w:val="0CBC3662"/>
    <w:rsid w:val="0CC5ECC6"/>
    <w:rsid w:val="0CE18EC9"/>
    <w:rsid w:val="0CE7A915"/>
    <w:rsid w:val="0CF5C9DE"/>
    <w:rsid w:val="0D06ACD7"/>
    <w:rsid w:val="0D0FA2EB"/>
    <w:rsid w:val="0D0FC6CC"/>
    <w:rsid w:val="0D24C060"/>
    <w:rsid w:val="0D35622F"/>
    <w:rsid w:val="0D44A3C8"/>
    <w:rsid w:val="0D5E8AC0"/>
    <w:rsid w:val="0D651008"/>
    <w:rsid w:val="0D6B1634"/>
    <w:rsid w:val="0DA72E31"/>
    <w:rsid w:val="0DADA30B"/>
    <w:rsid w:val="0DD6E567"/>
    <w:rsid w:val="0DD75860"/>
    <w:rsid w:val="0DDC121C"/>
    <w:rsid w:val="0DE61E81"/>
    <w:rsid w:val="0DE674C8"/>
    <w:rsid w:val="0DEC6C93"/>
    <w:rsid w:val="0DEDCB44"/>
    <w:rsid w:val="0E02646C"/>
    <w:rsid w:val="0E295F90"/>
    <w:rsid w:val="0E2C2C68"/>
    <w:rsid w:val="0E5D305C"/>
    <w:rsid w:val="0EAB7E9A"/>
    <w:rsid w:val="0EB4AAC5"/>
    <w:rsid w:val="0EB702DA"/>
    <w:rsid w:val="0EE9E75E"/>
    <w:rsid w:val="0EF811AF"/>
    <w:rsid w:val="0F344912"/>
    <w:rsid w:val="0F412E17"/>
    <w:rsid w:val="0F5D76DD"/>
    <w:rsid w:val="0F67DD69"/>
    <w:rsid w:val="0F6DDD3A"/>
    <w:rsid w:val="0F7605D0"/>
    <w:rsid w:val="0F789717"/>
    <w:rsid w:val="0F7E04EF"/>
    <w:rsid w:val="0F876E05"/>
    <w:rsid w:val="0FA0F7A9"/>
    <w:rsid w:val="0FAE0BAA"/>
    <w:rsid w:val="0FAFF869"/>
    <w:rsid w:val="0FB25A95"/>
    <w:rsid w:val="0FB379C2"/>
    <w:rsid w:val="0FBF12FE"/>
    <w:rsid w:val="0FBF4D79"/>
    <w:rsid w:val="0FC5BE6F"/>
    <w:rsid w:val="0FD28247"/>
    <w:rsid w:val="0FD5F927"/>
    <w:rsid w:val="0FE35697"/>
    <w:rsid w:val="0FF30ECF"/>
    <w:rsid w:val="0FF44CFB"/>
    <w:rsid w:val="0FF6B266"/>
    <w:rsid w:val="0FFBE71A"/>
    <w:rsid w:val="10084D88"/>
    <w:rsid w:val="100B2F37"/>
    <w:rsid w:val="10200F69"/>
    <w:rsid w:val="1038B01C"/>
    <w:rsid w:val="10616390"/>
    <w:rsid w:val="10712A1A"/>
    <w:rsid w:val="107A1A64"/>
    <w:rsid w:val="108440C9"/>
    <w:rsid w:val="10AC7DAC"/>
    <w:rsid w:val="10BDDA56"/>
    <w:rsid w:val="10C9FBD5"/>
    <w:rsid w:val="10F07B63"/>
    <w:rsid w:val="110BEAC9"/>
    <w:rsid w:val="1128EAC3"/>
    <w:rsid w:val="113EDE7D"/>
    <w:rsid w:val="11561E5D"/>
    <w:rsid w:val="11593DB3"/>
    <w:rsid w:val="115A1F6F"/>
    <w:rsid w:val="115D7B9C"/>
    <w:rsid w:val="115EE7EA"/>
    <w:rsid w:val="1162063B"/>
    <w:rsid w:val="1170FA18"/>
    <w:rsid w:val="11819E48"/>
    <w:rsid w:val="118201BD"/>
    <w:rsid w:val="11A5C642"/>
    <w:rsid w:val="11AC1B14"/>
    <w:rsid w:val="11C8B164"/>
    <w:rsid w:val="11DFEFCF"/>
    <w:rsid w:val="11E24B06"/>
    <w:rsid w:val="11EE9711"/>
    <w:rsid w:val="11FD3EE0"/>
    <w:rsid w:val="1216333D"/>
    <w:rsid w:val="121CA403"/>
    <w:rsid w:val="129E3DF5"/>
    <w:rsid w:val="129F11D7"/>
    <w:rsid w:val="12A217F4"/>
    <w:rsid w:val="12A43CDC"/>
    <w:rsid w:val="12A50C0D"/>
    <w:rsid w:val="12BF5237"/>
    <w:rsid w:val="12C822FD"/>
    <w:rsid w:val="12E839D4"/>
    <w:rsid w:val="12EA293F"/>
    <w:rsid w:val="12F653D6"/>
    <w:rsid w:val="12FC780A"/>
    <w:rsid w:val="1316799B"/>
    <w:rsid w:val="131F53F8"/>
    <w:rsid w:val="13231AD6"/>
    <w:rsid w:val="132911E9"/>
    <w:rsid w:val="133B5C07"/>
    <w:rsid w:val="134C2379"/>
    <w:rsid w:val="135FE68A"/>
    <w:rsid w:val="13699314"/>
    <w:rsid w:val="136F0E91"/>
    <w:rsid w:val="138D048B"/>
    <w:rsid w:val="1392AFDC"/>
    <w:rsid w:val="1397DFA4"/>
    <w:rsid w:val="13A4B0DD"/>
    <w:rsid w:val="13BD2219"/>
    <w:rsid w:val="13E2EFF1"/>
    <w:rsid w:val="141BAC54"/>
    <w:rsid w:val="142F3CCC"/>
    <w:rsid w:val="1448FC19"/>
    <w:rsid w:val="14598C34"/>
    <w:rsid w:val="1461111D"/>
    <w:rsid w:val="1477C276"/>
    <w:rsid w:val="147B8B84"/>
    <w:rsid w:val="147DF505"/>
    <w:rsid w:val="14854148"/>
    <w:rsid w:val="149849DC"/>
    <w:rsid w:val="14B7E219"/>
    <w:rsid w:val="14D44FA6"/>
    <w:rsid w:val="14E0E8D7"/>
    <w:rsid w:val="15155426"/>
    <w:rsid w:val="151D3E4B"/>
    <w:rsid w:val="1526C682"/>
    <w:rsid w:val="153AA5D3"/>
    <w:rsid w:val="1547C1D7"/>
    <w:rsid w:val="154C5DE6"/>
    <w:rsid w:val="156BC08C"/>
    <w:rsid w:val="158150E9"/>
    <w:rsid w:val="1599A9DC"/>
    <w:rsid w:val="159D4BF3"/>
    <w:rsid w:val="15BF3DE5"/>
    <w:rsid w:val="15CB9106"/>
    <w:rsid w:val="15CEDF1E"/>
    <w:rsid w:val="15F16CB1"/>
    <w:rsid w:val="15F23E4F"/>
    <w:rsid w:val="16101005"/>
    <w:rsid w:val="1632F02E"/>
    <w:rsid w:val="163B34D9"/>
    <w:rsid w:val="164A95BE"/>
    <w:rsid w:val="16599B01"/>
    <w:rsid w:val="165E6105"/>
    <w:rsid w:val="16668A19"/>
    <w:rsid w:val="166A0DF1"/>
    <w:rsid w:val="166C02E8"/>
    <w:rsid w:val="1697A804"/>
    <w:rsid w:val="169C3584"/>
    <w:rsid w:val="16A6807E"/>
    <w:rsid w:val="16C8F68A"/>
    <w:rsid w:val="16D0C63B"/>
    <w:rsid w:val="1708099F"/>
    <w:rsid w:val="171A4A04"/>
    <w:rsid w:val="1767A81A"/>
    <w:rsid w:val="176823DC"/>
    <w:rsid w:val="1770E20D"/>
    <w:rsid w:val="1779AAAE"/>
    <w:rsid w:val="1780E1AB"/>
    <w:rsid w:val="179DFF42"/>
    <w:rsid w:val="17A89E36"/>
    <w:rsid w:val="17BFD53E"/>
    <w:rsid w:val="17CE6A01"/>
    <w:rsid w:val="17D80697"/>
    <w:rsid w:val="17E0EC94"/>
    <w:rsid w:val="17E3B5AD"/>
    <w:rsid w:val="17FD9563"/>
    <w:rsid w:val="180BA2AB"/>
    <w:rsid w:val="183B0FC8"/>
    <w:rsid w:val="18479E92"/>
    <w:rsid w:val="18645C11"/>
    <w:rsid w:val="18727FDE"/>
    <w:rsid w:val="187BB874"/>
    <w:rsid w:val="1897550C"/>
    <w:rsid w:val="189C4E7D"/>
    <w:rsid w:val="18AA9660"/>
    <w:rsid w:val="18C5B358"/>
    <w:rsid w:val="18DF7997"/>
    <w:rsid w:val="18F23099"/>
    <w:rsid w:val="191E0D55"/>
    <w:rsid w:val="193232B6"/>
    <w:rsid w:val="19485EE1"/>
    <w:rsid w:val="194AEBDC"/>
    <w:rsid w:val="194CE2DC"/>
    <w:rsid w:val="194CEB84"/>
    <w:rsid w:val="194E5D05"/>
    <w:rsid w:val="196BDD62"/>
    <w:rsid w:val="19DE8651"/>
    <w:rsid w:val="19E503EE"/>
    <w:rsid w:val="19EE482D"/>
    <w:rsid w:val="1A04EDDC"/>
    <w:rsid w:val="1A06DAAA"/>
    <w:rsid w:val="1A187C5B"/>
    <w:rsid w:val="1A2D1B57"/>
    <w:rsid w:val="1A50EC22"/>
    <w:rsid w:val="1A5D59CA"/>
    <w:rsid w:val="1A75681A"/>
    <w:rsid w:val="1A95A5C7"/>
    <w:rsid w:val="1AAB8E2F"/>
    <w:rsid w:val="1AD2792F"/>
    <w:rsid w:val="1AD68853"/>
    <w:rsid w:val="1ADF9E96"/>
    <w:rsid w:val="1AF54DF0"/>
    <w:rsid w:val="1AF86C84"/>
    <w:rsid w:val="1B0A6801"/>
    <w:rsid w:val="1B51FE3C"/>
    <w:rsid w:val="1B59EBA7"/>
    <w:rsid w:val="1B5D3BD0"/>
    <w:rsid w:val="1B622805"/>
    <w:rsid w:val="1B656BFA"/>
    <w:rsid w:val="1B73952F"/>
    <w:rsid w:val="1B9C4249"/>
    <w:rsid w:val="1B9F0A54"/>
    <w:rsid w:val="1BA46A93"/>
    <w:rsid w:val="1BA748B5"/>
    <w:rsid w:val="1BB1DDCB"/>
    <w:rsid w:val="1BBBB205"/>
    <w:rsid w:val="1BBCE7B3"/>
    <w:rsid w:val="1BCA5D0F"/>
    <w:rsid w:val="1BCA7FDA"/>
    <w:rsid w:val="1BD9E590"/>
    <w:rsid w:val="1BE2FA51"/>
    <w:rsid w:val="1BEE9852"/>
    <w:rsid w:val="1BF820B5"/>
    <w:rsid w:val="1BF8A1B0"/>
    <w:rsid w:val="1BFDD054"/>
    <w:rsid w:val="1BFEA8D3"/>
    <w:rsid w:val="1C045C49"/>
    <w:rsid w:val="1C10CBFC"/>
    <w:rsid w:val="1C13B593"/>
    <w:rsid w:val="1C18A885"/>
    <w:rsid w:val="1C44C4D0"/>
    <w:rsid w:val="1C4A6647"/>
    <w:rsid w:val="1C4B7C82"/>
    <w:rsid w:val="1C6C0DA3"/>
    <w:rsid w:val="1C9C9CDB"/>
    <w:rsid w:val="1C9F34E6"/>
    <w:rsid w:val="1CCDA4BC"/>
    <w:rsid w:val="1CCE0797"/>
    <w:rsid w:val="1CDD0823"/>
    <w:rsid w:val="1D03A703"/>
    <w:rsid w:val="1D2C6495"/>
    <w:rsid w:val="1D322736"/>
    <w:rsid w:val="1D4BABA9"/>
    <w:rsid w:val="1D4C364E"/>
    <w:rsid w:val="1D54D599"/>
    <w:rsid w:val="1D6BC673"/>
    <w:rsid w:val="1D83C066"/>
    <w:rsid w:val="1D8F0FBF"/>
    <w:rsid w:val="1D922AE3"/>
    <w:rsid w:val="1D9E9589"/>
    <w:rsid w:val="1DB716CF"/>
    <w:rsid w:val="1DDDDCAC"/>
    <w:rsid w:val="1DF2412F"/>
    <w:rsid w:val="1E0B0081"/>
    <w:rsid w:val="1E2F49DC"/>
    <w:rsid w:val="1E46DE9E"/>
    <w:rsid w:val="1E4EAABC"/>
    <w:rsid w:val="1E514D87"/>
    <w:rsid w:val="1E5D0AF0"/>
    <w:rsid w:val="1E5F93E1"/>
    <w:rsid w:val="1E7835EF"/>
    <w:rsid w:val="1E95C15F"/>
    <w:rsid w:val="1ED4FA0D"/>
    <w:rsid w:val="1F05FCC7"/>
    <w:rsid w:val="1F6BE217"/>
    <w:rsid w:val="1F6E928A"/>
    <w:rsid w:val="1F8149EE"/>
    <w:rsid w:val="1FB13382"/>
    <w:rsid w:val="1FD34069"/>
    <w:rsid w:val="1FD7ADCA"/>
    <w:rsid w:val="1FEEB25B"/>
    <w:rsid w:val="1FF713B8"/>
    <w:rsid w:val="2004B3E0"/>
    <w:rsid w:val="2007ADBE"/>
    <w:rsid w:val="2008BA2A"/>
    <w:rsid w:val="20092929"/>
    <w:rsid w:val="2024844D"/>
    <w:rsid w:val="203E5CE7"/>
    <w:rsid w:val="2041DFE3"/>
    <w:rsid w:val="20465B54"/>
    <w:rsid w:val="2050F49E"/>
    <w:rsid w:val="206A8921"/>
    <w:rsid w:val="20849042"/>
    <w:rsid w:val="2098CDA1"/>
    <w:rsid w:val="20A55FFF"/>
    <w:rsid w:val="20C6B80B"/>
    <w:rsid w:val="20D454D3"/>
    <w:rsid w:val="20D636CD"/>
    <w:rsid w:val="20D9C89F"/>
    <w:rsid w:val="21047D18"/>
    <w:rsid w:val="21079ABA"/>
    <w:rsid w:val="2110B3D4"/>
    <w:rsid w:val="211A6D67"/>
    <w:rsid w:val="2128B10E"/>
    <w:rsid w:val="21367BD3"/>
    <w:rsid w:val="214FC7AB"/>
    <w:rsid w:val="21A1C32F"/>
    <w:rsid w:val="21A99D2D"/>
    <w:rsid w:val="21DFBE93"/>
    <w:rsid w:val="21E9BCD5"/>
    <w:rsid w:val="21EC5BEE"/>
    <w:rsid w:val="2214A556"/>
    <w:rsid w:val="221E9851"/>
    <w:rsid w:val="22269ED8"/>
    <w:rsid w:val="22321F7B"/>
    <w:rsid w:val="2236F698"/>
    <w:rsid w:val="22489419"/>
    <w:rsid w:val="225C4A3E"/>
    <w:rsid w:val="227133FD"/>
    <w:rsid w:val="227ADFC6"/>
    <w:rsid w:val="229A1D92"/>
    <w:rsid w:val="229DAE74"/>
    <w:rsid w:val="22AAE7A8"/>
    <w:rsid w:val="22B9A245"/>
    <w:rsid w:val="22BD9BE2"/>
    <w:rsid w:val="22C10A60"/>
    <w:rsid w:val="22E3774A"/>
    <w:rsid w:val="22E7299C"/>
    <w:rsid w:val="2312548A"/>
    <w:rsid w:val="23484449"/>
    <w:rsid w:val="23531C66"/>
    <w:rsid w:val="2361D70B"/>
    <w:rsid w:val="237BBB20"/>
    <w:rsid w:val="23890F96"/>
    <w:rsid w:val="23AC637E"/>
    <w:rsid w:val="23C23DEB"/>
    <w:rsid w:val="23D0DF35"/>
    <w:rsid w:val="23F718DF"/>
    <w:rsid w:val="2410F580"/>
    <w:rsid w:val="241C18F4"/>
    <w:rsid w:val="24472680"/>
    <w:rsid w:val="2463CC4A"/>
    <w:rsid w:val="246DC2CC"/>
    <w:rsid w:val="24786A49"/>
    <w:rsid w:val="2485924D"/>
    <w:rsid w:val="24B39D52"/>
    <w:rsid w:val="24BBAC09"/>
    <w:rsid w:val="24BE8DAA"/>
    <w:rsid w:val="24CAC9D7"/>
    <w:rsid w:val="24D50EE2"/>
    <w:rsid w:val="24D605B6"/>
    <w:rsid w:val="24D6A199"/>
    <w:rsid w:val="24DE554F"/>
    <w:rsid w:val="24DFADE0"/>
    <w:rsid w:val="24ECFABF"/>
    <w:rsid w:val="24F2FD1D"/>
    <w:rsid w:val="24F9ACC9"/>
    <w:rsid w:val="252477D5"/>
    <w:rsid w:val="25386189"/>
    <w:rsid w:val="25404C85"/>
    <w:rsid w:val="255FE3FB"/>
    <w:rsid w:val="25658338"/>
    <w:rsid w:val="25681537"/>
    <w:rsid w:val="2575342A"/>
    <w:rsid w:val="257A9656"/>
    <w:rsid w:val="257FA0FE"/>
    <w:rsid w:val="25892C12"/>
    <w:rsid w:val="258C0480"/>
    <w:rsid w:val="25B29ECF"/>
    <w:rsid w:val="25D48B20"/>
    <w:rsid w:val="25D5FF1F"/>
    <w:rsid w:val="25E592E5"/>
    <w:rsid w:val="25E8DCB7"/>
    <w:rsid w:val="25EE8CC7"/>
    <w:rsid w:val="260D97BA"/>
    <w:rsid w:val="260DD975"/>
    <w:rsid w:val="2615968E"/>
    <w:rsid w:val="261DE77D"/>
    <w:rsid w:val="262D645E"/>
    <w:rsid w:val="262F2888"/>
    <w:rsid w:val="263D7335"/>
    <w:rsid w:val="2643B9B8"/>
    <w:rsid w:val="264551FC"/>
    <w:rsid w:val="26654D41"/>
    <w:rsid w:val="268887CF"/>
    <w:rsid w:val="2694B4E8"/>
    <w:rsid w:val="2696EDE3"/>
    <w:rsid w:val="269C626C"/>
    <w:rsid w:val="269CBB55"/>
    <w:rsid w:val="26BA6E78"/>
    <w:rsid w:val="26D32117"/>
    <w:rsid w:val="26D7C7FB"/>
    <w:rsid w:val="273B9C99"/>
    <w:rsid w:val="2743125F"/>
    <w:rsid w:val="274E5F3F"/>
    <w:rsid w:val="277259B6"/>
    <w:rsid w:val="277EA782"/>
    <w:rsid w:val="27876826"/>
    <w:rsid w:val="27954A9F"/>
    <w:rsid w:val="27B7BC31"/>
    <w:rsid w:val="27B8C328"/>
    <w:rsid w:val="27BB91D0"/>
    <w:rsid w:val="27D31A7C"/>
    <w:rsid w:val="27D66AC2"/>
    <w:rsid w:val="27EAF22D"/>
    <w:rsid w:val="280E0583"/>
    <w:rsid w:val="28197FB5"/>
    <w:rsid w:val="2823F257"/>
    <w:rsid w:val="28241EEB"/>
    <w:rsid w:val="283BEA97"/>
    <w:rsid w:val="284C43B3"/>
    <w:rsid w:val="286D8E1C"/>
    <w:rsid w:val="2880060F"/>
    <w:rsid w:val="289F4516"/>
    <w:rsid w:val="28A44A57"/>
    <w:rsid w:val="28C03C35"/>
    <w:rsid w:val="28D1C8BF"/>
    <w:rsid w:val="28D223B4"/>
    <w:rsid w:val="28E29F0D"/>
    <w:rsid w:val="28E463BD"/>
    <w:rsid w:val="28E89412"/>
    <w:rsid w:val="28FB9172"/>
    <w:rsid w:val="29040E0D"/>
    <w:rsid w:val="292307E9"/>
    <w:rsid w:val="295665DB"/>
    <w:rsid w:val="29606B85"/>
    <w:rsid w:val="2965A8F7"/>
    <w:rsid w:val="296635FA"/>
    <w:rsid w:val="29884988"/>
    <w:rsid w:val="29A58D42"/>
    <w:rsid w:val="29AC3CC7"/>
    <w:rsid w:val="29B4DB07"/>
    <w:rsid w:val="29C07FB2"/>
    <w:rsid w:val="29C634BF"/>
    <w:rsid w:val="29C6C7AB"/>
    <w:rsid w:val="29E0F219"/>
    <w:rsid w:val="29F4F096"/>
    <w:rsid w:val="2A059E7C"/>
    <w:rsid w:val="2A062E50"/>
    <w:rsid w:val="2A107635"/>
    <w:rsid w:val="2A16AEED"/>
    <w:rsid w:val="2A192CB4"/>
    <w:rsid w:val="2A1B5321"/>
    <w:rsid w:val="2A2002F9"/>
    <w:rsid w:val="2A23A972"/>
    <w:rsid w:val="2A4B7668"/>
    <w:rsid w:val="2A5BB0BA"/>
    <w:rsid w:val="2A60AB3C"/>
    <w:rsid w:val="2A6F28F6"/>
    <w:rsid w:val="2A6F3C42"/>
    <w:rsid w:val="2A89DD30"/>
    <w:rsid w:val="2A9CD187"/>
    <w:rsid w:val="2AA38391"/>
    <w:rsid w:val="2ABC4DA8"/>
    <w:rsid w:val="2AC34E32"/>
    <w:rsid w:val="2AE50152"/>
    <w:rsid w:val="2B3E1A41"/>
    <w:rsid w:val="2B4900B3"/>
    <w:rsid w:val="2B4A63F7"/>
    <w:rsid w:val="2B50F96C"/>
    <w:rsid w:val="2B5B57EF"/>
    <w:rsid w:val="2B733F32"/>
    <w:rsid w:val="2B8C810F"/>
    <w:rsid w:val="2B999FDB"/>
    <w:rsid w:val="2BC1AE38"/>
    <w:rsid w:val="2BCCD3C2"/>
    <w:rsid w:val="2BE305F2"/>
    <w:rsid w:val="2BED57CC"/>
    <w:rsid w:val="2BFCF21D"/>
    <w:rsid w:val="2C4714C3"/>
    <w:rsid w:val="2C498E22"/>
    <w:rsid w:val="2C505847"/>
    <w:rsid w:val="2C6D45CB"/>
    <w:rsid w:val="2C6DA49F"/>
    <w:rsid w:val="2C86C3FD"/>
    <w:rsid w:val="2CD1D15A"/>
    <w:rsid w:val="2CD21680"/>
    <w:rsid w:val="2D077D8F"/>
    <w:rsid w:val="2D1B5A8E"/>
    <w:rsid w:val="2D272F3D"/>
    <w:rsid w:val="2D2C081E"/>
    <w:rsid w:val="2D2ED5C9"/>
    <w:rsid w:val="2D4B3E67"/>
    <w:rsid w:val="2D795F87"/>
    <w:rsid w:val="2D7A670B"/>
    <w:rsid w:val="2D7AA0E1"/>
    <w:rsid w:val="2D8DC8FB"/>
    <w:rsid w:val="2D9389CA"/>
    <w:rsid w:val="2DA4902B"/>
    <w:rsid w:val="2DA9CBBB"/>
    <w:rsid w:val="2DB6D11A"/>
    <w:rsid w:val="2DB7E302"/>
    <w:rsid w:val="2DBC8BDB"/>
    <w:rsid w:val="2DC16400"/>
    <w:rsid w:val="2DC63A50"/>
    <w:rsid w:val="2DCA907D"/>
    <w:rsid w:val="2E5BDD0F"/>
    <w:rsid w:val="2EA4B810"/>
    <w:rsid w:val="2EA9D435"/>
    <w:rsid w:val="2EB79A45"/>
    <w:rsid w:val="2EBB591F"/>
    <w:rsid w:val="2EBC4066"/>
    <w:rsid w:val="2EBFD4FB"/>
    <w:rsid w:val="2EE724E3"/>
    <w:rsid w:val="2EF53AF6"/>
    <w:rsid w:val="2EFAA193"/>
    <w:rsid w:val="2F111BEB"/>
    <w:rsid w:val="2F17B392"/>
    <w:rsid w:val="2F19FD06"/>
    <w:rsid w:val="2F1CE98E"/>
    <w:rsid w:val="2F286376"/>
    <w:rsid w:val="2F2BFD48"/>
    <w:rsid w:val="2F3500D8"/>
    <w:rsid w:val="2F3A5889"/>
    <w:rsid w:val="2F733D15"/>
    <w:rsid w:val="2F8516FA"/>
    <w:rsid w:val="2FA54975"/>
    <w:rsid w:val="2FABEBB1"/>
    <w:rsid w:val="2FBBCFEA"/>
    <w:rsid w:val="2FD9EE76"/>
    <w:rsid w:val="2FDB3DFB"/>
    <w:rsid w:val="3003C96D"/>
    <w:rsid w:val="3028F36A"/>
    <w:rsid w:val="30453C29"/>
    <w:rsid w:val="304FC373"/>
    <w:rsid w:val="30A21636"/>
    <w:rsid w:val="30A59E7F"/>
    <w:rsid w:val="30B76940"/>
    <w:rsid w:val="30CCAD50"/>
    <w:rsid w:val="30E6F0BC"/>
    <w:rsid w:val="3112023C"/>
    <w:rsid w:val="31407047"/>
    <w:rsid w:val="3183118B"/>
    <w:rsid w:val="318C9897"/>
    <w:rsid w:val="31A68C16"/>
    <w:rsid w:val="31D976E5"/>
    <w:rsid w:val="31F212F2"/>
    <w:rsid w:val="31F82B47"/>
    <w:rsid w:val="3200B394"/>
    <w:rsid w:val="3246E21B"/>
    <w:rsid w:val="3264F911"/>
    <w:rsid w:val="32652D5A"/>
    <w:rsid w:val="32770752"/>
    <w:rsid w:val="3279B5BB"/>
    <w:rsid w:val="3296D931"/>
    <w:rsid w:val="329F3F11"/>
    <w:rsid w:val="32A2A479"/>
    <w:rsid w:val="32DD3977"/>
    <w:rsid w:val="32E59601"/>
    <w:rsid w:val="32EA6A7C"/>
    <w:rsid w:val="32ECE0A1"/>
    <w:rsid w:val="32FBC643"/>
    <w:rsid w:val="33125A99"/>
    <w:rsid w:val="332A396E"/>
    <w:rsid w:val="3342B71D"/>
    <w:rsid w:val="33504A31"/>
    <w:rsid w:val="3359E178"/>
    <w:rsid w:val="336F8E73"/>
    <w:rsid w:val="338B0FC5"/>
    <w:rsid w:val="33CB6A11"/>
    <w:rsid w:val="33CE3CA8"/>
    <w:rsid w:val="33D0AEBF"/>
    <w:rsid w:val="33E05B8A"/>
    <w:rsid w:val="34135D15"/>
    <w:rsid w:val="34225A9F"/>
    <w:rsid w:val="3423F8B3"/>
    <w:rsid w:val="3442DC0B"/>
    <w:rsid w:val="3444902A"/>
    <w:rsid w:val="3447E5C9"/>
    <w:rsid w:val="3449714B"/>
    <w:rsid w:val="3456EBC6"/>
    <w:rsid w:val="345AE9C3"/>
    <w:rsid w:val="346BE2BA"/>
    <w:rsid w:val="347960A3"/>
    <w:rsid w:val="347EF3B3"/>
    <w:rsid w:val="34864FE6"/>
    <w:rsid w:val="34B69811"/>
    <w:rsid w:val="34BB19C0"/>
    <w:rsid w:val="34BFCD9A"/>
    <w:rsid w:val="35051AC6"/>
    <w:rsid w:val="351C321D"/>
    <w:rsid w:val="3520B691"/>
    <w:rsid w:val="3522AE91"/>
    <w:rsid w:val="35243ED9"/>
    <w:rsid w:val="3528D57B"/>
    <w:rsid w:val="352ACEDE"/>
    <w:rsid w:val="3535DA09"/>
    <w:rsid w:val="3536045E"/>
    <w:rsid w:val="353BFB6A"/>
    <w:rsid w:val="3541EDD7"/>
    <w:rsid w:val="35626228"/>
    <w:rsid w:val="3584C30C"/>
    <w:rsid w:val="358B9F83"/>
    <w:rsid w:val="35971564"/>
    <w:rsid w:val="35A471B5"/>
    <w:rsid w:val="35C83859"/>
    <w:rsid w:val="35CA46ED"/>
    <w:rsid w:val="35D46A24"/>
    <w:rsid w:val="35D6F31B"/>
    <w:rsid w:val="35DC9C9F"/>
    <w:rsid w:val="35DDEB9B"/>
    <w:rsid w:val="35E61B3E"/>
    <w:rsid w:val="36167F01"/>
    <w:rsid w:val="36184CB7"/>
    <w:rsid w:val="3626BEC1"/>
    <w:rsid w:val="364BF5EF"/>
    <w:rsid w:val="36745FC6"/>
    <w:rsid w:val="36781F39"/>
    <w:rsid w:val="36794B6C"/>
    <w:rsid w:val="36836F01"/>
    <w:rsid w:val="369E6782"/>
    <w:rsid w:val="36C25B32"/>
    <w:rsid w:val="36C85E4C"/>
    <w:rsid w:val="36DFBF1E"/>
    <w:rsid w:val="36EBBD20"/>
    <w:rsid w:val="3703C7A4"/>
    <w:rsid w:val="37096E31"/>
    <w:rsid w:val="370A89CC"/>
    <w:rsid w:val="3712F23E"/>
    <w:rsid w:val="373365A5"/>
    <w:rsid w:val="374E7860"/>
    <w:rsid w:val="375BB49F"/>
    <w:rsid w:val="377B40A2"/>
    <w:rsid w:val="3795409B"/>
    <w:rsid w:val="37AD41A5"/>
    <w:rsid w:val="37C54F58"/>
    <w:rsid w:val="37CAD695"/>
    <w:rsid w:val="37D5C4E6"/>
    <w:rsid w:val="37E48752"/>
    <w:rsid w:val="382D8FD1"/>
    <w:rsid w:val="38479D53"/>
    <w:rsid w:val="384EB86A"/>
    <w:rsid w:val="385167D1"/>
    <w:rsid w:val="3872B6DC"/>
    <w:rsid w:val="3878489E"/>
    <w:rsid w:val="388E60DB"/>
    <w:rsid w:val="38AD131A"/>
    <w:rsid w:val="38B830AE"/>
    <w:rsid w:val="38FC6206"/>
    <w:rsid w:val="38FD8316"/>
    <w:rsid w:val="392961E0"/>
    <w:rsid w:val="394CB6F0"/>
    <w:rsid w:val="39650851"/>
    <w:rsid w:val="39723C21"/>
    <w:rsid w:val="39789400"/>
    <w:rsid w:val="397E88E7"/>
    <w:rsid w:val="39842FBA"/>
    <w:rsid w:val="399C3D75"/>
    <w:rsid w:val="39A66B7D"/>
    <w:rsid w:val="39B53085"/>
    <w:rsid w:val="39C28CDD"/>
    <w:rsid w:val="39D2B596"/>
    <w:rsid w:val="39D8034C"/>
    <w:rsid w:val="39DF3A34"/>
    <w:rsid w:val="39E1E33C"/>
    <w:rsid w:val="39F4E590"/>
    <w:rsid w:val="3A3DCBA5"/>
    <w:rsid w:val="3A54377F"/>
    <w:rsid w:val="3A70138A"/>
    <w:rsid w:val="3A941802"/>
    <w:rsid w:val="3A9D2A2B"/>
    <w:rsid w:val="3ABDC1BD"/>
    <w:rsid w:val="3AC16F87"/>
    <w:rsid w:val="3ADBA5CA"/>
    <w:rsid w:val="3AF9BE88"/>
    <w:rsid w:val="3B167F07"/>
    <w:rsid w:val="3B620C87"/>
    <w:rsid w:val="3B68F155"/>
    <w:rsid w:val="3B7E53FA"/>
    <w:rsid w:val="3B93CF3A"/>
    <w:rsid w:val="3B968E17"/>
    <w:rsid w:val="3BAECE8B"/>
    <w:rsid w:val="3BC2FFF7"/>
    <w:rsid w:val="3BC604DD"/>
    <w:rsid w:val="3BD9A7E5"/>
    <w:rsid w:val="3BE25393"/>
    <w:rsid w:val="3C059D4F"/>
    <w:rsid w:val="3C238879"/>
    <w:rsid w:val="3C2639AA"/>
    <w:rsid w:val="3C38DCF6"/>
    <w:rsid w:val="3C3B560B"/>
    <w:rsid w:val="3C3D611E"/>
    <w:rsid w:val="3C64A142"/>
    <w:rsid w:val="3C7D90AB"/>
    <w:rsid w:val="3C871666"/>
    <w:rsid w:val="3C8C3CE5"/>
    <w:rsid w:val="3CBB21BD"/>
    <w:rsid w:val="3CC416B1"/>
    <w:rsid w:val="3CDB30E7"/>
    <w:rsid w:val="3D089AF8"/>
    <w:rsid w:val="3D096217"/>
    <w:rsid w:val="3D174911"/>
    <w:rsid w:val="3D1B8937"/>
    <w:rsid w:val="3D1CCA76"/>
    <w:rsid w:val="3D332386"/>
    <w:rsid w:val="3D37643B"/>
    <w:rsid w:val="3D4CE362"/>
    <w:rsid w:val="3D7D4040"/>
    <w:rsid w:val="3D8E68E0"/>
    <w:rsid w:val="3D8F3469"/>
    <w:rsid w:val="3D9CA4FC"/>
    <w:rsid w:val="3D9E1208"/>
    <w:rsid w:val="3DC5C794"/>
    <w:rsid w:val="3DC97B76"/>
    <w:rsid w:val="3DF188F4"/>
    <w:rsid w:val="3DF3BCAD"/>
    <w:rsid w:val="3E19F930"/>
    <w:rsid w:val="3E28261C"/>
    <w:rsid w:val="3E30233F"/>
    <w:rsid w:val="3E333B99"/>
    <w:rsid w:val="3E34E52D"/>
    <w:rsid w:val="3E3F02EA"/>
    <w:rsid w:val="3E41EBE4"/>
    <w:rsid w:val="3E4846D5"/>
    <w:rsid w:val="3E745A68"/>
    <w:rsid w:val="3E799500"/>
    <w:rsid w:val="3EA07AA8"/>
    <w:rsid w:val="3EB1E328"/>
    <w:rsid w:val="3EC372CB"/>
    <w:rsid w:val="3EFC9128"/>
    <w:rsid w:val="3F00D884"/>
    <w:rsid w:val="3F172AD2"/>
    <w:rsid w:val="3F25458F"/>
    <w:rsid w:val="3F269A91"/>
    <w:rsid w:val="3F27A0B8"/>
    <w:rsid w:val="3F29867F"/>
    <w:rsid w:val="3F365EEB"/>
    <w:rsid w:val="3F390F71"/>
    <w:rsid w:val="3F49F082"/>
    <w:rsid w:val="3F7A7390"/>
    <w:rsid w:val="3F92EB10"/>
    <w:rsid w:val="3F9951D5"/>
    <w:rsid w:val="3FA06644"/>
    <w:rsid w:val="3FA3734D"/>
    <w:rsid w:val="3FB3190B"/>
    <w:rsid w:val="3FBBBF65"/>
    <w:rsid w:val="3FD68152"/>
    <w:rsid w:val="3FD8CBD5"/>
    <w:rsid w:val="3FE37037"/>
    <w:rsid w:val="3FEAA65A"/>
    <w:rsid w:val="3FF2AB31"/>
    <w:rsid w:val="3FFD9733"/>
    <w:rsid w:val="40074474"/>
    <w:rsid w:val="401BDB38"/>
    <w:rsid w:val="402F8D0D"/>
    <w:rsid w:val="404004D4"/>
    <w:rsid w:val="40476661"/>
    <w:rsid w:val="4055841D"/>
    <w:rsid w:val="407BD653"/>
    <w:rsid w:val="4084A770"/>
    <w:rsid w:val="409C8B08"/>
    <w:rsid w:val="409FBC58"/>
    <w:rsid w:val="40A5EB1A"/>
    <w:rsid w:val="40B9913B"/>
    <w:rsid w:val="40E47F66"/>
    <w:rsid w:val="410C560B"/>
    <w:rsid w:val="411A4918"/>
    <w:rsid w:val="41314626"/>
    <w:rsid w:val="413A0751"/>
    <w:rsid w:val="414A45F2"/>
    <w:rsid w:val="41564F32"/>
    <w:rsid w:val="416D3F81"/>
    <w:rsid w:val="41793908"/>
    <w:rsid w:val="418DC353"/>
    <w:rsid w:val="41941590"/>
    <w:rsid w:val="41981F59"/>
    <w:rsid w:val="41A388FD"/>
    <w:rsid w:val="41AD9BDE"/>
    <w:rsid w:val="41C4E864"/>
    <w:rsid w:val="41D87394"/>
    <w:rsid w:val="41E12A19"/>
    <w:rsid w:val="420228A2"/>
    <w:rsid w:val="420A0269"/>
    <w:rsid w:val="422E6EE5"/>
    <w:rsid w:val="425B07C7"/>
    <w:rsid w:val="426A4C64"/>
    <w:rsid w:val="42700EE7"/>
    <w:rsid w:val="4291F8EE"/>
    <w:rsid w:val="4299859F"/>
    <w:rsid w:val="42BEC9FD"/>
    <w:rsid w:val="42D39C02"/>
    <w:rsid w:val="42E6EC03"/>
    <w:rsid w:val="42FFA6C0"/>
    <w:rsid w:val="432B9AE0"/>
    <w:rsid w:val="4341F023"/>
    <w:rsid w:val="435A3B0C"/>
    <w:rsid w:val="435F65B7"/>
    <w:rsid w:val="43890939"/>
    <w:rsid w:val="438A0EDA"/>
    <w:rsid w:val="43933D56"/>
    <w:rsid w:val="43A4B9AC"/>
    <w:rsid w:val="43A585F4"/>
    <w:rsid w:val="43AADAF4"/>
    <w:rsid w:val="43AFDED3"/>
    <w:rsid w:val="43E170AB"/>
    <w:rsid w:val="43E48A9B"/>
    <w:rsid w:val="43EB444F"/>
    <w:rsid w:val="43F948FB"/>
    <w:rsid w:val="43FB047C"/>
    <w:rsid w:val="4400282C"/>
    <w:rsid w:val="44129844"/>
    <w:rsid w:val="443AB20A"/>
    <w:rsid w:val="443E5779"/>
    <w:rsid w:val="44546211"/>
    <w:rsid w:val="445699BE"/>
    <w:rsid w:val="445D54FB"/>
    <w:rsid w:val="4468C30B"/>
    <w:rsid w:val="4473C335"/>
    <w:rsid w:val="449F6997"/>
    <w:rsid w:val="44A979B1"/>
    <w:rsid w:val="44C0DE43"/>
    <w:rsid w:val="44D465E1"/>
    <w:rsid w:val="44DB393B"/>
    <w:rsid w:val="44E3F2E6"/>
    <w:rsid w:val="44E523CE"/>
    <w:rsid w:val="44EA1C58"/>
    <w:rsid w:val="44ECCB38"/>
    <w:rsid w:val="44F102D1"/>
    <w:rsid w:val="4503CF9B"/>
    <w:rsid w:val="4512ED8F"/>
    <w:rsid w:val="4526A843"/>
    <w:rsid w:val="4538C1DA"/>
    <w:rsid w:val="45392824"/>
    <w:rsid w:val="4544B6D0"/>
    <w:rsid w:val="455130C0"/>
    <w:rsid w:val="4552CD58"/>
    <w:rsid w:val="456056D6"/>
    <w:rsid w:val="4569CE5E"/>
    <w:rsid w:val="45763A57"/>
    <w:rsid w:val="4579D8F8"/>
    <w:rsid w:val="45A48301"/>
    <w:rsid w:val="45C22DF4"/>
    <w:rsid w:val="45DBF0CA"/>
    <w:rsid w:val="45E1A1A2"/>
    <w:rsid w:val="46039E5D"/>
    <w:rsid w:val="4603B6F2"/>
    <w:rsid w:val="46273D94"/>
    <w:rsid w:val="4632B604"/>
    <w:rsid w:val="463770E8"/>
    <w:rsid w:val="4647446C"/>
    <w:rsid w:val="46542F5A"/>
    <w:rsid w:val="466068E7"/>
    <w:rsid w:val="4677F0B4"/>
    <w:rsid w:val="4677F5D7"/>
    <w:rsid w:val="4680FA7A"/>
    <w:rsid w:val="46A86372"/>
    <w:rsid w:val="46A92E85"/>
    <w:rsid w:val="46BEBCD4"/>
    <w:rsid w:val="46D15C6E"/>
    <w:rsid w:val="46D92C05"/>
    <w:rsid w:val="46F678F0"/>
    <w:rsid w:val="46FA19D2"/>
    <w:rsid w:val="47042601"/>
    <w:rsid w:val="47135675"/>
    <w:rsid w:val="4719407D"/>
    <w:rsid w:val="47199DB0"/>
    <w:rsid w:val="475C4B11"/>
    <w:rsid w:val="4774292B"/>
    <w:rsid w:val="477AEAB2"/>
    <w:rsid w:val="4780AE5B"/>
    <w:rsid w:val="479355D4"/>
    <w:rsid w:val="47954E55"/>
    <w:rsid w:val="47984FA7"/>
    <w:rsid w:val="47B1ADED"/>
    <w:rsid w:val="47CC3E45"/>
    <w:rsid w:val="47D64DC3"/>
    <w:rsid w:val="47DDCA93"/>
    <w:rsid w:val="47F63CB1"/>
    <w:rsid w:val="4828D97E"/>
    <w:rsid w:val="4831DCB4"/>
    <w:rsid w:val="483F709E"/>
    <w:rsid w:val="485FB573"/>
    <w:rsid w:val="486A9C05"/>
    <w:rsid w:val="487F7C96"/>
    <w:rsid w:val="488FC79E"/>
    <w:rsid w:val="48A54011"/>
    <w:rsid w:val="48B57455"/>
    <w:rsid w:val="48B6B37F"/>
    <w:rsid w:val="48CA2E58"/>
    <w:rsid w:val="48D36E23"/>
    <w:rsid w:val="48D8D2A8"/>
    <w:rsid w:val="48DEFFA3"/>
    <w:rsid w:val="48F1FC0D"/>
    <w:rsid w:val="48F373AA"/>
    <w:rsid w:val="48FA59E1"/>
    <w:rsid w:val="49025561"/>
    <w:rsid w:val="491D50D4"/>
    <w:rsid w:val="4927B4E0"/>
    <w:rsid w:val="49306B12"/>
    <w:rsid w:val="4936ECD3"/>
    <w:rsid w:val="497A617E"/>
    <w:rsid w:val="49A696D9"/>
    <w:rsid w:val="49A75F82"/>
    <w:rsid w:val="49BE83A8"/>
    <w:rsid w:val="49C2180E"/>
    <w:rsid w:val="49DC9CD7"/>
    <w:rsid w:val="49E03E04"/>
    <w:rsid w:val="4A047045"/>
    <w:rsid w:val="4A07D1E9"/>
    <w:rsid w:val="4A0F5941"/>
    <w:rsid w:val="4A5B79CC"/>
    <w:rsid w:val="4A6B9E61"/>
    <w:rsid w:val="4A6BA2FF"/>
    <w:rsid w:val="4AAAE66E"/>
    <w:rsid w:val="4AE041E3"/>
    <w:rsid w:val="4AE18E4D"/>
    <w:rsid w:val="4AE9147E"/>
    <w:rsid w:val="4AF69D2F"/>
    <w:rsid w:val="4AFAE202"/>
    <w:rsid w:val="4AFC0A49"/>
    <w:rsid w:val="4B25723E"/>
    <w:rsid w:val="4B278453"/>
    <w:rsid w:val="4B46EEAD"/>
    <w:rsid w:val="4B598EEE"/>
    <w:rsid w:val="4B87802C"/>
    <w:rsid w:val="4BB4398A"/>
    <w:rsid w:val="4BBA0FF1"/>
    <w:rsid w:val="4BE6CB18"/>
    <w:rsid w:val="4C0933E2"/>
    <w:rsid w:val="4C26B8C0"/>
    <w:rsid w:val="4C2E5075"/>
    <w:rsid w:val="4C47EC80"/>
    <w:rsid w:val="4C63CB0F"/>
    <w:rsid w:val="4C68B947"/>
    <w:rsid w:val="4C6EF170"/>
    <w:rsid w:val="4C80C628"/>
    <w:rsid w:val="4C825BCA"/>
    <w:rsid w:val="4C845A35"/>
    <w:rsid w:val="4C84BCAF"/>
    <w:rsid w:val="4C8FD343"/>
    <w:rsid w:val="4CB05CA4"/>
    <w:rsid w:val="4CB9CC37"/>
    <w:rsid w:val="4CC53913"/>
    <w:rsid w:val="4CC706E9"/>
    <w:rsid w:val="4CFC8518"/>
    <w:rsid w:val="4D000454"/>
    <w:rsid w:val="4D0B3F1C"/>
    <w:rsid w:val="4D2781A2"/>
    <w:rsid w:val="4D5A945F"/>
    <w:rsid w:val="4D748B0E"/>
    <w:rsid w:val="4D952284"/>
    <w:rsid w:val="4D960237"/>
    <w:rsid w:val="4DA989DA"/>
    <w:rsid w:val="4DBEEC2E"/>
    <w:rsid w:val="4DCC0A61"/>
    <w:rsid w:val="4DCCB4D8"/>
    <w:rsid w:val="4DE95F7C"/>
    <w:rsid w:val="4E0D2830"/>
    <w:rsid w:val="4E17E552"/>
    <w:rsid w:val="4E229C41"/>
    <w:rsid w:val="4E3B9E98"/>
    <w:rsid w:val="4E45267A"/>
    <w:rsid w:val="4E4A531A"/>
    <w:rsid w:val="4E4D6A35"/>
    <w:rsid w:val="4E607C53"/>
    <w:rsid w:val="4E6E38A0"/>
    <w:rsid w:val="4E8EDC14"/>
    <w:rsid w:val="4EA0F893"/>
    <w:rsid w:val="4EAB9FFC"/>
    <w:rsid w:val="4EAE6670"/>
    <w:rsid w:val="4EC9253D"/>
    <w:rsid w:val="4EC9517C"/>
    <w:rsid w:val="4ECC5EBE"/>
    <w:rsid w:val="4ED36714"/>
    <w:rsid w:val="4ED58BAF"/>
    <w:rsid w:val="4ED7F7FE"/>
    <w:rsid w:val="4EDC123A"/>
    <w:rsid w:val="4EDE84A1"/>
    <w:rsid w:val="4EEC6616"/>
    <w:rsid w:val="4EFAEAAB"/>
    <w:rsid w:val="4F125C75"/>
    <w:rsid w:val="4F19E6CF"/>
    <w:rsid w:val="4F26F7EA"/>
    <w:rsid w:val="4F2E9949"/>
    <w:rsid w:val="4F330C5D"/>
    <w:rsid w:val="4F3812A7"/>
    <w:rsid w:val="4F3D108C"/>
    <w:rsid w:val="4FBD3328"/>
    <w:rsid w:val="4FC52B7E"/>
    <w:rsid w:val="4FD9D2BF"/>
    <w:rsid w:val="4FE1AF51"/>
    <w:rsid w:val="4FE2E9D2"/>
    <w:rsid w:val="4FE45A51"/>
    <w:rsid w:val="4FFA4D73"/>
    <w:rsid w:val="50355F6C"/>
    <w:rsid w:val="50421016"/>
    <w:rsid w:val="5046288A"/>
    <w:rsid w:val="505DB87B"/>
    <w:rsid w:val="50604A8A"/>
    <w:rsid w:val="506EBCA0"/>
    <w:rsid w:val="507EB11C"/>
    <w:rsid w:val="50834A4D"/>
    <w:rsid w:val="5094EAA7"/>
    <w:rsid w:val="50A450A3"/>
    <w:rsid w:val="50A6761A"/>
    <w:rsid w:val="50AC3931"/>
    <w:rsid w:val="50AD5EA5"/>
    <w:rsid w:val="50B38B44"/>
    <w:rsid w:val="50C226C5"/>
    <w:rsid w:val="50DFC51B"/>
    <w:rsid w:val="50EBED96"/>
    <w:rsid w:val="51013832"/>
    <w:rsid w:val="510D2370"/>
    <w:rsid w:val="510E49F0"/>
    <w:rsid w:val="512E3E8E"/>
    <w:rsid w:val="5135E3DF"/>
    <w:rsid w:val="514436C3"/>
    <w:rsid w:val="51491057"/>
    <w:rsid w:val="515736C7"/>
    <w:rsid w:val="5194CE4D"/>
    <w:rsid w:val="51B09CAD"/>
    <w:rsid w:val="51B8B7FF"/>
    <w:rsid w:val="51B9E431"/>
    <w:rsid w:val="51C91B27"/>
    <w:rsid w:val="51D430CE"/>
    <w:rsid w:val="51F27FCA"/>
    <w:rsid w:val="52265905"/>
    <w:rsid w:val="524D584A"/>
    <w:rsid w:val="525D150B"/>
    <w:rsid w:val="528047E3"/>
    <w:rsid w:val="52A26AFE"/>
    <w:rsid w:val="52A93F03"/>
    <w:rsid w:val="52C0058D"/>
    <w:rsid w:val="52C00878"/>
    <w:rsid w:val="52C51BAF"/>
    <w:rsid w:val="52D5C201"/>
    <w:rsid w:val="52FDB5BC"/>
    <w:rsid w:val="53091F64"/>
    <w:rsid w:val="5335109E"/>
    <w:rsid w:val="53603FF0"/>
    <w:rsid w:val="53605AE4"/>
    <w:rsid w:val="5361B4BA"/>
    <w:rsid w:val="53879421"/>
    <w:rsid w:val="5397B685"/>
    <w:rsid w:val="539B84CD"/>
    <w:rsid w:val="53A8985A"/>
    <w:rsid w:val="53B4F99A"/>
    <w:rsid w:val="53C686AE"/>
    <w:rsid w:val="53E918F2"/>
    <w:rsid w:val="53EA93B6"/>
    <w:rsid w:val="53F97AD0"/>
    <w:rsid w:val="5403C08C"/>
    <w:rsid w:val="540695EA"/>
    <w:rsid w:val="54087C0B"/>
    <w:rsid w:val="540BC38E"/>
    <w:rsid w:val="540E51CE"/>
    <w:rsid w:val="541C55E8"/>
    <w:rsid w:val="54253701"/>
    <w:rsid w:val="542F3DB8"/>
    <w:rsid w:val="543E77EA"/>
    <w:rsid w:val="5445A627"/>
    <w:rsid w:val="545D0948"/>
    <w:rsid w:val="545E28EB"/>
    <w:rsid w:val="54A1A3C2"/>
    <w:rsid w:val="54AEDB3B"/>
    <w:rsid w:val="54D16B30"/>
    <w:rsid w:val="551C0809"/>
    <w:rsid w:val="5534CD99"/>
    <w:rsid w:val="5538601F"/>
    <w:rsid w:val="554DDCF5"/>
    <w:rsid w:val="556D0F0D"/>
    <w:rsid w:val="556DC946"/>
    <w:rsid w:val="558D47D2"/>
    <w:rsid w:val="559A4AE5"/>
    <w:rsid w:val="55A291D2"/>
    <w:rsid w:val="55B2BA22"/>
    <w:rsid w:val="55C52078"/>
    <w:rsid w:val="55E0F14C"/>
    <w:rsid w:val="55FEDCA7"/>
    <w:rsid w:val="5610CDE9"/>
    <w:rsid w:val="561EF1E5"/>
    <w:rsid w:val="5628E7A0"/>
    <w:rsid w:val="563554DB"/>
    <w:rsid w:val="563E832A"/>
    <w:rsid w:val="5642EB10"/>
    <w:rsid w:val="564E4F08"/>
    <w:rsid w:val="564EE5DA"/>
    <w:rsid w:val="565680E9"/>
    <w:rsid w:val="56659314"/>
    <w:rsid w:val="56955BA9"/>
    <w:rsid w:val="56981C07"/>
    <w:rsid w:val="56A5E1EA"/>
    <w:rsid w:val="56D9DFD0"/>
    <w:rsid w:val="56F0CD29"/>
    <w:rsid w:val="56FB06A9"/>
    <w:rsid w:val="5703E937"/>
    <w:rsid w:val="5704588D"/>
    <w:rsid w:val="5705302E"/>
    <w:rsid w:val="5707C085"/>
    <w:rsid w:val="570FFC8E"/>
    <w:rsid w:val="574863C1"/>
    <w:rsid w:val="57568E0B"/>
    <w:rsid w:val="57671182"/>
    <w:rsid w:val="576A5C59"/>
    <w:rsid w:val="577CE6CE"/>
    <w:rsid w:val="578D21BE"/>
    <w:rsid w:val="57A00EC6"/>
    <w:rsid w:val="57A09E5D"/>
    <w:rsid w:val="57AD14EF"/>
    <w:rsid w:val="57B21F5A"/>
    <w:rsid w:val="57B82B1E"/>
    <w:rsid w:val="57C62DC0"/>
    <w:rsid w:val="57C725A4"/>
    <w:rsid w:val="57D0CA65"/>
    <w:rsid w:val="57DEE748"/>
    <w:rsid w:val="57E2F76F"/>
    <w:rsid w:val="57FB62AA"/>
    <w:rsid w:val="581ECA4A"/>
    <w:rsid w:val="5846D7BF"/>
    <w:rsid w:val="584A7E27"/>
    <w:rsid w:val="58514520"/>
    <w:rsid w:val="58533D1D"/>
    <w:rsid w:val="585CF0BB"/>
    <w:rsid w:val="586C2EC4"/>
    <w:rsid w:val="5871C7F0"/>
    <w:rsid w:val="5879F808"/>
    <w:rsid w:val="587F5937"/>
    <w:rsid w:val="5887BFA4"/>
    <w:rsid w:val="588DABBD"/>
    <w:rsid w:val="5897EEC8"/>
    <w:rsid w:val="58A2AF83"/>
    <w:rsid w:val="59207273"/>
    <w:rsid w:val="59306C6F"/>
    <w:rsid w:val="593CC39F"/>
    <w:rsid w:val="5948FB59"/>
    <w:rsid w:val="597A3E10"/>
    <w:rsid w:val="5982A5EC"/>
    <w:rsid w:val="598B8649"/>
    <w:rsid w:val="599A9033"/>
    <w:rsid w:val="59BAFE42"/>
    <w:rsid w:val="59BC473E"/>
    <w:rsid w:val="59C3041A"/>
    <w:rsid w:val="59D3463A"/>
    <w:rsid w:val="59D36763"/>
    <w:rsid w:val="59DC659C"/>
    <w:rsid w:val="59E3520E"/>
    <w:rsid w:val="59F48925"/>
    <w:rsid w:val="5A2A73EC"/>
    <w:rsid w:val="5A49EF21"/>
    <w:rsid w:val="5A4D741E"/>
    <w:rsid w:val="5A9CBBF2"/>
    <w:rsid w:val="5ABAA0F3"/>
    <w:rsid w:val="5AC6463D"/>
    <w:rsid w:val="5AD3A146"/>
    <w:rsid w:val="5ADF447F"/>
    <w:rsid w:val="5AE70311"/>
    <w:rsid w:val="5AF03F29"/>
    <w:rsid w:val="5B0550FE"/>
    <w:rsid w:val="5B19343C"/>
    <w:rsid w:val="5B394B8E"/>
    <w:rsid w:val="5B456013"/>
    <w:rsid w:val="5B51D59E"/>
    <w:rsid w:val="5B5431B9"/>
    <w:rsid w:val="5B6712E5"/>
    <w:rsid w:val="5B7E45BE"/>
    <w:rsid w:val="5BA7310F"/>
    <w:rsid w:val="5BB332DF"/>
    <w:rsid w:val="5BBB4111"/>
    <w:rsid w:val="5BCBC30E"/>
    <w:rsid w:val="5BE56D28"/>
    <w:rsid w:val="5BEC5E61"/>
    <w:rsid w:val="5BECBFBF"/>
    <w:rsid w:val="5BF60CEA"/>
    <w:rsid w:val="5BF85CCB"/>
    <w:rsid w:val="5C3E3897"/>
    <w:rsid w:val="5C42AAB2"/>
    <w:rsid w:val="5C467488"/>
    <w:rsid w:val="5C67604E"/>
    <w:rsid w:val="5C6D3102"/>
    <w:rsid w:val="5C85B908"/>
    <w:rsid w:val="5C8B4A58"/>
    <w:rsid w:val="5C8C7C85"/>
    <w:rsid w:val="5C8F9B90"/>
    <w:rsid w:val="5C911539"/>
    <w:rsid w:val="5C91342C"/>
    <w:rsid w:val="5CBC2400"/>
    <w:rsid w:val="5CBEFBDC"/>
    <w:rsid w:val="5CC67CD9"/>
    <w:rsid w:val="5CE0858D"/>
    <w:rsid w:val="5CE9B94D"/>
    <w:rsid w:val="5CF0353B"/>
    <w:rsid w:val="5CFAD929"/>
    <w:rsid w:val="5D0B45A6"/>
    <w:rsid w:val="5D1BDE99"/>
    <w:rsid w:val="5D21402A"/>
    <w:rsid w:val="5D26D3FF"/>
    <w:rsid w:val="5D4A473E"/>
    <w:rsid w:val="5D4E48B6"/>
    <w:rsid w:val="5D60CD19"/>
    <w:rsid w:val="5D69FC71"/>
    <w:rsid w:val="5D6CC3B6"/>
    <w:rsid w:val="5D755381"/>
    <w:rsid w:val="5D7CD369"/>
    <w:rsid w:val="5D7F173B"/>
    <w:rsid w:val="5D7FEC20"/>
    <w:rsid w:val="5D9A8EAA"/>
    <w:rsid w:val="5DA7EE4C"/>
    <w:rsid w:val="5DAD204E"/>
    <w:rsid w:val="5DAFD9DF"/>
    <w:rsid w:val="5DB24A9F"/>
    <w:rsid w:val="5DBDEF94"/>
    <w:rsid w:val="5DEAAB4A"/>
    <w:rsid w:val="5DF334ED"/>
    <w:rsid w:val="5E0CD532"/>
    <w:rsid w:val="5E10FC42"/>
    <w:rsid w:val="5E20F0B7"/>
    <w:rsid w:val="5E390D21"/>
    <w:rsid w:val="5E4AF212"/>
    <w:rsid w:val="5E6CC762"/>
    <w:rsid w:val="5E7A7AC0"/>
    <w:rsid w:val="5E8856CE"/>
    <w:rsid w:val="5EA45F07"/>
    <w:rsid w:val="5EA7874C"/>
    <w:rsid w:val="5EA90FE0"/>
    <w:rsid w:val="5EB36551"/>
    <w:rsid w:val="5EC205C3"/>
    <w:rsid w:val="5EDD7ED1"/>
    <w:rsid w:val="5EE2FAAE"/>
    <w:rsid w:val="5EE79C20"/>
    <w:rsid w:val="5F08C956"/>
    <w:rsid w:val="5F320CEC"/>
    <w:rsid w:val="5F364FAA"/>
    <w:rsid w:val="5F4390C0"/>
    <w:rsid w:val="5F4456B1"/>
    <w:rsid w:val="5F588C09"/>
    <w:rsid w:val="5F5DD60A"/>
    <w:rsid w:val="5F6B2F4C"/>
    <w:rsid w:val="5F74BB61"/>
    <w:rsid w:val="5FBAE843"/>
    <w:rsid w:val="5FD46DE1"/>
    <w:rsid w:val="5FE98B1C"/>
    <w:rsid w:val="60006E1E"/>
    <w:rsid w:val="600919A7"/>
    <w:rsid w:val="60111006"/>
    <w:rsid w:val="60329EEE"/>
    <w:rsid w:val="6039A696"/>
    <w:rsid w:val="605658A1"/>
    <w:rsid w:val="606B0AE5"/>
    <w:rsid w:val="608F8ECF"/>
    <w:rsid w:val="609F82EA"/>
    <w:rsid w:val="60A03372"/>
    <w:rsid w:val="60A61E1B"/>
    <w:rsid w:val="60B8D15B"/>
    <w:rsid w:val="60BE8A0A"/>
    <w:rsid w:val="60EC343D"/>
    <w:rsid w:val="6107A010"/>
    <w:rsid w:val="61181ECD"/>
    <w:rsid w:val="611E4C86"/>
    <w:rsid w:val="6141B964"/>
    <w:rsid w:val="61498DFD"/>
    <w:rsid w:val="614AAEFA"/>
    <w:rsid w:val="614B6F13"/>
    <w:rsid w:val="616129BA"/>
    <w:rsid w:val="6183BEFC"/>
    <w:rsid w:val="618F170E"/>
    <w:rsid w:val="619E4E53"/>
    <w:rsid w:val="61A1D8D5"/>
    <w:rsid w:val="61C75902"/>
    <w:rsid w:val="61CFE635"/>
    <w:rsid w:val="61D3853B"/>
    <w:rsid w:val="61D6D4C1"/>
    <w:rsid w:val="61DBF5F3"/>
    <w:rsid w:val="61DCAD76"/>
    <w:rsid w:val="61DE60E6"/>
    <w:rsid w:val="61DE9159"/>
    <w:rsid w:val="61DF6D9F"/>
    <w:rsid w:val="61E8A588"/>
    <w:rsid w:val="61F61F7F"/>
    <w:rsid w:val="6208FB89"/>
    <w:rsid w:val="62143150"/>
    <w:rsid w:val="621574F1"/>
    <w:rsid w:val="6215A506"/>
    <w:rsid w:val="6226CC8A"/>
    <w:rsid w:val="62309116"/>
    <w:rsid w:val="6230B8A3"/>
    <w:rsid w:val="62312540"/>
    <w:rsid w:val="6233E2CA"/>
    <w:rsid w:val="623A3EEE"/>
    <w:rsid w:val="624F8C5C"/>
    <w:rsid w:val="6276EE63"/>
    <w:rsid w:val="62852E74"/>
    <w:rsid w:val="628B5FFA"/>
    <w:rsid w:val="629E516F"/>
    <w:rsid w:val="62B19949"/>
    <w:rsid w:val="62B2F745"/>
    <w:rsid w:val="62BFEB20"/>
    <w:rsid w:val="62E65EA7"/>
    <w:rsid w:val="62F1449B"/>
    <w:rsid w:val="6304D308"/>
    <w:rsid w:val="630DBD4E"/>
    <w:rsid w:val="63280A09"/>
    <w:rsid w:val="633BA1C8"/>
    <w:rsid w:val="634A8452"/>
    <w:rsid w:val="635A681B"/>
    <w:rsid w:val="635C088A"/>
    <w:rsid w:val="635CE793"/>
    <w:rsid w:val="635EF118"/>
    <w:rsid w:val="6375E232"/>
    <w:rsid w:val="6389764F"/>
    <w:rsid w:val="638AAE4F"/>
    <w:rsid w:val="638FBD9A"/>
    <w:rsid w:val="6396AAEB"/>
    <w:rsid w:val="63AC7EB3"/>
    <w:rsid w:val="63B10856"/>
    <w:rsid w:val="63C38AA6"/>
    <w:rsid w:val="63CE8FA0"/>
    <w:rsid w:val="63DFE901"/>
    <w:rsid w:val="63ED5F85"/>
    <w:rsid w:val="640ADBC0"/>
    <w:rsid w:val="6428C3F4"/>
    <w:rsid w:val="64340FC6"/>
    <w:rsid w:val="6442B078"/>
    <w:rsid w:val="645E7592"/>
    <w:rsid w:val="646EED79"/>
    <w:rsid w:val="646F184F"/>
    <w:rsid w:val="6476B9A6"/>
    <w:rsid w:val="6484E706"/>
    <w:rsid w:val="6486FE1B"/>
    <w:rsid w:val="648F9A4F"/>
    <w:rsid w:val="64A3D14A"/>
    <w:rsid w:val="64B651D6"/>
    <w:rsid w:val="64B6A80D"/>
    <w:rsid w:val="64C33252"/>
    <w:rsid w:val="64CC1A14"/>
    <w:rsid w:val="64CD4E3E"/>
    <w:rsid w:val="64E7A2F5"/>
    <w:rsid w:val="64F59435"/>
    <w:rsid w:val="64FDF254"/>
    <w:rsid w:val="64FE4AD1"/>
    <w:rsid w:val="650DF421"/>
    <w:rsid w:val="65359C32"/>
    <w:rsid w:val="6557F736"/>
    <w:rsid w:val="65582185"/>
    <w:rsid w:val="6564307F"/>
    <w:rsid w:val="656B9DDF"/>
    <w:rsid w:val="6599905C"/>
    <w:rsid w:val="65B890C3"/>
    <w:rsid w:val="65BEC54C"/>
    <w:rsid w:val="65CB991E"/>
    <w:rsid w:val="65E2A906"/>
    <w:rsid w:val="65F627C7"/>
    <w:rsid w:val="66039255"/>
    <w:rsid w:val="6664C023"/>
    <w:rsid w:val="66744B2A"/>
    <w:rsid w:val="667D45B5"/>
    <w:rsid w:val="667F5BB5"/>
    <w:rsid w:val="669182F1"/>
    <w:rsid w:val="6697FF68"/>
    <w:rsid w:val="669FB3FB"/>
    <w:rsid w:val="66B3E680"/>
    <w:rsid w:val="66D89A74"/>
    <w:rsid w:val="66E25C19"/>
    <w:rsid w:val="66F055CB"/>
    <w:rsid w:val="67001A03"/>
    <w:rsid w:val="6721B52B"/>
    <w:rsid w:val="672208C5"/>
    <w:rsid w:val="673174E1"/>
    <w:rsid w:val="6756F92B"/>
    <w:rsid w:val="678B94B1"/>
    <w:rsid w:val="67921356"/>
    <w:rsid w:val="679CD5AD"/>
    <w:rsid w:val="67A46483"/>
    <w:rsid w:val="67B0DB35"/>
    <w:rsid w:val="67B3767D"/>
    <w:rsid w:val="67E04B26"/>
    <w:rsid w:val="67FA0DA4"/>
    <w:rsid w:val="681EE96D"/>
    <w:rsid w:val="6832E4A9"/>
    <w:rsid w:val="6848CC70"/>
    <w:rsid w:val="6853FB67"/>
    <w:rsid w:val="6857C02B"/>
    <w:rsid w:val="6857E7C4"/>
    <w:rsid w:val="685A8E0E"/>
    <w:rsid w:val="686E9633"/>
    <w:rsid w:val="6872D436"/>
    <w:rsid w:val="687538A2"/>
    <w:rsid w:val="68867045"/>
    <w:rsid w:val="68A61301"/>
    <w:rsid w:val="68AB239E"/>
    <w:rsid w:val="68AFEF22"/>
    <w:rsid w:val="68CBFA7E"/>
    <w:rsid w:val="68D5FDCD"/>
    <w:rsid w:val="68ED7BA0"/>
    <w:rsid w:val="68F0AB59"/>
    <w:rsid w:val="69052350"/>
    <w:rsid w:val="6905BE93"/>
    <w:rsid w:val="6916E9C9"/>
    <w:rsid w:val="691B434D"/>
    <w:rsid w:val="691D91A6"/>
    <w:rsid w:val="692DB0E4"/>
    <w:rsid w:val="69509384"/>
    <w:rsid w:val="695FE740"/>
    <w:rsid w:val="69702FA4"/>
    <w:rsid w:val="69C9F704"/>
    <w:rsid w:val="69CF884F"/>
    <w:rsid w:val="69D06CAD"/>
    <w:rsid w:val="6A02BCD2"/>
    <w:rsid w:val="6A37F61B"/>
    <w:rsid w:val="6A421E8C"/>
    <w:rsid w:val="6A4262EF"/>
    <w:rsid w:val="6A4A7DA8"/>
    <w:rsid w:val="6A797447"/>
    <w:rsid w:val="6A856F42"/>
    <w:rsid w:val="6A8A5D98"/>
    <w:rsid w:val="6A8AB92D"/>
    <w:rsid w:val="6AB7C093"/>
    <w:rsid w:val="6AD87D2F"/>
    <w:rsid w:val="6ADAE5F7"/>
    <w:rsid w:val="6AE402E2"/>
    <w:rsid w:val="6AF7EC94"/>
    <w:rsid w:val="6AF98AB5"/>
    <w:rsid w:val="6B091618"/>
    <w:rsid w:val="6B200F2D"/>
    <w:rsid w:val="6B203DE1"/>
    <w:rsid w:val="6B2556CE"/>
    <w:rsid w:val="6B565800"/>
    <w:rsid w:val="6B605018"/>
    <w:rsid w:val="6B66C27A"/>
    <w:rsid w:val="6B69AA07"/>
    <w:rsid w:val="6B6C6E26"/>
    <w:rsid w:val="6B7391E5"/>
    <w:rsid w:val="6BBC2424"/>
    <w:rsid w:val="6BD6565F"/>
    <w:rsid w:val="6BDF549E"/>
    <w:rsid w:val="6C0265DC"/>
    <w:rsid w:val="6C1EBCB5"/>
    <w:rsid w:val="6C39DFF9"/>
    <w:rsid w:val="6C3AE39C"/>
    <w:rsid w:val="6C3D7826"/>
    <w:rsid w:val="6C453A9C"/>
    <w:rsid w:val="6C4AACAA"/>
    <w:rsid w:val="6C623BA4"/>
    <w:rsid w:val="6C65E26F"/>
    <w:rsid w:val="6C712DC0"/>
    <w:rsid w:val="6C8E5DB8"/>
    <w:rsid w:val="6CA95AE2"/>
    <w:rsid w:val="6CAAD3DF"/>
    <w:rsid w:val="6CAE6BDE"/>
    <w:rsid w:val="6CB69493"/>
    <w:rsid w:val="6CDA2987"/>
    <w:rsid w:val="6CDD4CA7"/>
    <w:rsid w:val="6CDE5CC7"/>
    <w:rsid w:val="6CDF70B8"/>
    <w:rsid w:val="6CEDDC65"/>
    <w:rsid w:val="6D05FFA1"/>
    <w:rsid w:val="6D1D7A82"/>
    <w:rsid w:val="6D27A94F"/>
    <w:rsid w:val="6D32A882"/>
    <w:rsid w:val="6D38AB1F"/>
    <w:rsid w:val="6D3FBE1C"/>
    <w:rsid w:val="6D498E7A"/>
    <w:rsid w:val="6D518CC7"/>
    <w:rsid w:val="6D5D6168"/>
    <w:rsid w:val="6D5F6BEE"/>
    <w:rsid w:val="6D6127A0"/>
    <w:rsid w:val="6D70C632"/>
    <w:rsid w:val="6D8D8E71"/>
    <w:rsid w:val="6D9DCCA4"/>
    <w:rsid w:val="6D9DFAF5"/>
    <w:rsid w:val="6DAF8D73"/>
    <w:rsid w:val="6DD28A9A"/>
    <w:rsid w:val="6DDB41E9"/>
    <w:rsid w:val="6DE4072A"/>
    <w:rsid w:val="6DEA2E67"/>
    <w:rsid w:val="6DFAFDB7"/>
    <w:rsid w:val="6E107EFB"/>
    <w:rsid w:val="6E281296"/>
    <w:rsid w:val="6E2F3153"/>
    <w:rsid w:val="6E3E6363"/>
    <w:rsid w:val="6E4B8C34"/>
    <w:rsid w:val="6E5509A9"/>
    <w:rsid w:val="6E6180EA"/>
    <w:rsid w:val="6E694C2D"/>
    <w:rsid w:val="6E8986C1"/>
    <w:rsid w:val="6E948A9C"/>
    <w:rsid w:val="6EB5993C"/>
    <w:rsid w:val="6EBCDC6C"/>
    <w:rsid w:val="6ED0B1B2"/>
    <w:rsid w:val="6EE09D73"/>
    <w:rsid w:val="6EE390A0"/>
    <w:rsid w:val="6EF95410"/>
    <w:rsid w:val="6EFD3F68"/>
    <w:rsid w:val="6F03A70E"/>
    <w:rsid w:val="6F1281E1"/>
    <w:rsid w:val="6F183D99"/>
    <w:rsid w:val="6F197FD8"/>
    <w:rsid w:val="6F4C4E21"/>
    <w:rsid w:val="6F4F9683"/>
    <w:rsid w:val="6F61772F"/>
    <w:rsid w:val="6F61D8E0"/>
    <w:rsid w:val="6F8532D0"/>
    <w:rsid w:val="6FB5CB49"/>
    <w:rsid w:val="6FB83A87"/>
    <w:rsid w:val="6FCD57FF"/>
    <w:rsid w:val="6FE4D4D9"/>
    <w:rsid w:val="6FEC06B6"/>
    <w:rsid w:val="700F3D79"/>
    <w:rsid w:val="704CED40"/>
    <w:rsid w:val="7064F440"/>
    <w:rsid w:val="70670EDF"/>
    <w:rsid w:val="706B8414"/>
    <w:rsid w:val="70769A39"/>
    <w:rsid w:val="707E43A4"/>
    <w:rsid w:val="708A6A47"/>
    <w:rsid w:val="708FAD17"/>
    <w:rsid w:val="709BC795"/>
    <w:rsid w:val="70A130D5"/>
    <w:rsid w:val="70BC07BC"/>
    <w:rsid w:val="70CA28C3"/>
    <w:rsid w:val="70D3E7F1"/>
    <w:rsid w:val="70EE00B8"/>
    <w:rsid w:val="70F99CE9"/>
    <w:rsid w:val="70FBF9C7"/>
    <w:rsid w:val="71022274"/>
    <w:rsid w:val="716D9772"/>
    <w:rsid w:val="719DAED1"/>
    <w:rsid w:val="71A01B49"/>
    <w:rsid w:val="71A0B1AE"/>
    <w:rsid w:val="71A41778"/>
    <w:rsid w:val="71A8BA98"/>
    <w:rsid w:val="71C13146"/>
    <w:rsid w:val="71C410E9"/>
    <w:rsid w:val="71D434E5"/>
    <w:rsid w:val="71E17C88"/>
    <w:rsid w:val="71E19676"/>
    <w:rsid w:val="71E33E06"/>
    <w:rsid w:val="720179EC"/>
    <w:rsid w:val="7204AA3A"/>
    <w:rsid w:val="72111A56"/>
    <w:rsid w:val="7224044C"/>
    <w:rsid w:val="723D9D07"/>
    <w:rsid w:val="7257F611"/>
    <w:rsid w:val="72656AEA"/>
    <w:rsid w:val="726AE9CB"/>
    <w:rsid w:val="72771D05"/>
    <w:rsid w:val="72800652"/>
    <w:rsid w:val="72843060"/>
    <w:rsid w:val="72871216"/>
    <w:rsid w:val="729B1DD8"/>
    <w:rsid w:val="72B61B88"/>
    <w:rsid w:val="72D1BBCA"/>
    <w:rsid w:val="72D4B0B1"/>
    <w:rsid w:val="72F029BF"/>
    <w:rsid w:val="72F6A9E7"/>
    <w:rsid w:val="72FF8FC3"/>
    <w:rsid w:val="7322E497"/>
    <w:rsid w:val="7332BD92"/>
    <w:rsid w:val="73410B71"/>
    <w:rsid w:val="7344B688"/>
    <w:rsid w:val="734CCE0B"/>
    <w:rsid w:val="734E1C44"/>
    <w:rsid w:val="735464DB"/>
    <w:rsid w:val="737A48EA"/>
    <w:rsid w:val="737E0917"/>
    <w:rsid w:val="73863234"/>
    <w:rsid w:val="73BB0A1D"/>
    <w:rsid w:val="73C91459"/>
    <w:rsid w:val="73D2BBBB"/>
    <w:rsid w:val="73DB0F6F"/>
    <w:rsid w:val="73FDFF6D"/>
    <w:rsid w:val="740AF68B"/>
    <w:rsid w:val="7419D7FA"/>
    <w:rsid w:val="741D131E"/>
    <w:rsid w:val="742A1A36"/>
    <w:rsid w:val="7441D15A"/>
    <w:rsid w:val="744D9D27"/>
    <w:rsid w:val="7463F849"/>
    <w:rsid w:val="74A771A2"/>
    <w:rsid w:val="74D75E6C"/>
    <w:rsid w:val="74F86F7F"/>
    <w:rsid w:val="75458F9B"/>
    <w:rsid w:val="75660297"/>
    <w:rsid w:val="757ACEAF"/>
    <w:rsid w:val="75905851"/>
    <w:rsid w:val="75B39331"/>
    <w:rsid w:val="75C8F66F"/>
    <w:rsid w:val="75DE8E73"/>
    <w:rsid w:val="75FAB5B4"/>
    <w:rsid w:val="762F04EB"/>
    <w:rsid w:val="763DF17E"/>
    <w:rsid w:val="7642A0FA"/>
    <w:rsid w:val="7643D4D9"/>
    <w:rsid w:val="7654446B"/>
    <w:rsid w:val="76767CCC"/>
    <w:rsid w:val="7679E302"/>
    <w:rsid w:val="7681D8C3"/>
    <w:rsid w:val="76C64FC5"/>
    <w:rsid w:val="76F7D7DC"/>
    <w:rsid w:val="7704372E"/>
    <w:rsid w:val="77313E30"/>
    <w:rsid w:val="773E3A4D"/>
    <w:rsid w:val="774648AE"/>
    <w:rsid w:val="775F7D12"/>
    <w:rsid w:val="776B12C0"/>
    <w:rsid w:val="77725BA7"/>
    <w:rsid w:val="77743C0E"/>
    <w:rsid w:val="778B003C"/>
    <w:rsid w:val="7791927F"/>
    <w:rsid w:val="77997D1E"/>
    <w:rsid w:val="77A8559C"/>
    <w:rsid w:val="77BB3515"/>
    <w:rsid w:val="77BEC7CD"/>
    <w:rsid w:val="77D07DA7"/>
    <w:rsid w:val="77F0D611"/>
    <w:rsid w:val="77F5CD6A"/>
    <w:rsid w:val="78218162"/>
    <w:rsid w:val="78277A74"/>
    <w:rsid w:val="7827E6ED"/>
    <w:rsid w:val="784037D8"/>
    <w:rsid w:val="7846C50D"/>
    <w:rsid w:val="786054BF"/>
    <w:rsid w:val="78769AA6"/>
    <w:rsid w:val="7878A486"/>
    <w:rsid w:val="788B97CD"/>
    <w:rsid w:val="7890870A"/>
    <w:rsid w:val="78FCFEDB"/>
    <w:rsid w:val="79287989"/>
    <w:rsid w:val="79289AF4"/>
    <w:rsid w:val="79355225"/>
    <w:rsid w:val="7938071C"/>
    <w:rsid w:val="7946FEA7"/>
    <w:rsid w:val="796C1885"/>
    <w:rsid w:val="7976F6A9"/>
    <w:rsid w:val="7979C1CA"/>
    <w:rsid w:val="798AE7DE"/>
    <w:rsid w:val="79BB6085"/>
    <w:rsid w:val="79DA21CE"/>
    <w:rsid w:val="79E878B2"/>
    <w:rsid w:val="7A02404C"/>
    <w:rsid w:val="7A22B896"/>
    <w:rsid w:val="7A44E4B5"/>
    <w:rsid w:val="7A4F7286"/>
    <w:rsid w:val="7A523A33"/>
    <w:rsid w:val="7A5A4510"/>
    <w:rsid w:val="7A62723B"/>
    <w:rsid w:val="7A6A06D8"/>
    <w:rsid w:val="7A756EB1"/>
    <w:rsid w:val="7A97D411"/>
    <w:rsid w:val="7AA2EB33"/>
    <w:rsid w:val="7ABCB310"/>
    <w:rsid w:val="7AC21B76"/>
    <w:rsid w:val="7AD91934"/>
    <w:rsid w:val="7AEEBA1F"/>
    <w:rsid w:val="7AF1038A"/>
    <w:rsid w:val="7AF68ACB"/>
    <w:rsid w:val="7B00E8C7"/>
    <w:rsid w:val="7B38A737"/>
    <w:rsid w:val="7B412A4B"/>
    <w:rsid w:val="7B4ABA83"/>
    <w:rsid w:val="7B52FA01"/>
    <w:rsid w:val="7B626127"/>
    <w:rsid w:val="7BA43629"/>
    <w:rsid w:val="7BB57625"/>
    <w:rsid w:val="7BBBC446"/>
    <w:rsid w:val="7BC39F5A"/>
    <w:rsid w:val="7BCB4162"/>
    <w:rsid w:val="7C275273"/>
    <w:rsid w:val="7C3F48D7"/>
    <w:rsid w:val="7C5D77CF"/>
    <w:rsid w:val="7C603003"/>
    <w:rsid w:val="7C698420"/>
    <w:rsid w:val="7C93FFC1"/>
    <w:rsid w:val="7C9C40E4"/>
    <w:rsid w:val="7CB2DB1D"/>
    <w:rsid w:val="7CB6A8D3"/>
    <w:rsid w:val="7CC9713C"/>
    <w:rsid w:val="7CCB213B"/>
    <w:rsid w:val="7CD70225"/>
    <w:rsid w:val="7CDCEDD6"/>
    <w:rsid w:val="7CDF9A93"/>
    <w:rsid w:val="7CE89F34"/>
    <w:rsid w:val="7CEC27BD"/>
    <w:rsid w:val="7CF340DA"/>
    <w:rsid w:val="7CFDF5D9"/>
    <w:rsid w:val="7CFF196A"/>
    <w:rsid w:val="7D034C78"/>
    <w:rsid w:val="7D096628"/>
    <w:rsid w:val="7D1BBCAA"/>
    <w:rsid w:val="7D25937B"/>
    <w:rsid w:val="7D342B29"/>
    <w:rsid w:val="7D4174D5"/>
    <w:rsid w:val="7D50CDD6"/>
    <w:rsid w:val="7D59829C"/>
    <w:rsid w:val="7D722995"/>
    <w:rsid w:val="7DA0AA13"/>
    <w:rsid w:val="7DA3C159"/>
    <w:rsid w:val="7DAC5D8F"/>
    <w:rsid w:val="7DAE87D8"/>
    <w:rsid w:val="7DC63328"/>
    <w:rsid w:val="7DD87DF1"/>
    <w:rsid w:val="7DF335E9"/>
    <w:rsid w:val="7E0F8A85"/>
    <w:rsid w:val="7E146BF3"/>
    <w:rsid w:val="7E1D22E8"/>
    <w:rsid w:val="7E2F33A0"/>
    <w:rsid w:val="7E45135D"/>
    <w:rsid w:val="7E4943A8"/>
    <w:rsid w:val="7E6B74D3"/>
    <w:rsid w:val="7EA65680"/>
    <w:rsid w:val="7ED34A1F"/>
    <w:rsid w:val="7EE53481"/>
    <w:rsid w:val="7EFD0EA2"/>
    <w:rsid w:val="7F088721"/>
    <w:rsid w:val="7F1A43D5"/>
    <w:rsid w:val="7F2400E1"/>
    <w:rsid w:val="7F398F7D"/>
    <w:rsid w:val="7F40598F"/>
    <w:rsid w:val="7F47EDE2"/>
    <w:rsid w:val="7F601D50"/>
    <w:rsid w:val="7F608F02"/>
    <w:rsid w:val="7F662FCC"/>
    <w:rsid w:val="7F71E84D"/>
    <w:rsid w:val="7F762F13"/>
    <w:rsid w:val="7F7E5ADB"/>
    <w:rsid w:val="7F7E7C1E"/>
    <w:rsid w:val="7F968630"/>
    <w:rsid w:val="7F9BCBB8"/>
    <w:rsid w:val="7FA0FBDF"/>
    <w:rsid w:val="7FACA9FE"/>
    <w:rsid w:val="7FB0808D"/>
    <w:rsid w:val="7FBD2F87"/>
    <w:rsid w:val="7FD126D4"/>
    <w:rsid w:val="7FF96D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88D8EF51-38F8-4E05-BC35-E3CF34A5822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3"/>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5D4741"/>
    <w:rPr>
      <w:color w:val="605E5C"/>
      <w:shd w:val="clear" w:color="auto" w:fill="E1DFDD"/>
    </w:rPr>
  </w:style>
  <w:style w:type="paragraph" w:styleId="FootnoteText">
    <w:name w:val="footnote text"/>
    <w:basedOn w:val="Normal"/>
    <w:link w:val="FootnoteTextChar"/>
    <w:uiPriority w:val="99"/>
    <w:unhideWhenUsed/>
    <w:rsid w:val="005D4741"/>
    <w:pPr>
      <w:spacing w:after="0" w:line="240" w:lineRule="auto"/>
    </w:pPr>
    <w:rPr>
      <w:sz w:val="20"/>
      <w:szCs w:val="20"/>
    </w:rPr>
  </w:style>
  <w:style w:type="character" w:customStyle="1" w:styleId="FootnoteTextChar">
    <w:name w:val="Footnote Text Char"/>
    <w:basedOn w:val="DefaultParagraphFont"/>
    <w:link w:val="FootnoteText"/>
    <w:uiPriority w:val="99"/>
    <w:rsid w:val="005D4741"/>
    <w:rPr>
      <w:sz w:val="20"/>
      <w:szCs w:val="20"/>
    </w:rPr>
  </w:style>
  <w:style w:type="character" w:styleId="FootnoteReference">
    <w:name w:val="footnote reference"/>
    <w:basedOn w:val="DefaultParagraphFont"/>
    <w:uiPriority w:val="99"/>
    <w:semiHidden/>
    <w:unhideWhenUsed/>
    <w:rsid w:val="005D4741"/>
    <w:rPr>
      <w:vertAlign w:val="superscript"/>
    </w:rPr>
  </w:style>
  <w:style w:type="paragraph" w:customStyle="1" w:styleId="Default">
    <w:name w:val="Default"/>
    <w:rsid w:val="00492477"/>
    <w:pPr>
      <w:autoSpaceDE w:val="0"/>
      <w:autoSpaceDN w:val="0"/>
      <w:adjustRightInd w:val="0"/>
      <w:spacing w:after="0" w:line="240" w:lineRule="auto"/>
    </w:pPr>
    <w:rPr>
      <w:rFonts w:ascii="Palatino Linotype" w:hAnsi="Palatino Linotype" w:cs="Palatino Linotype"/>
      <w:color w:val="000000"/>
      <w:kern w:val="0"/>
    </w:rPr>
  </w:style>
  <w:style w:type="character" w:styleId="FollowedHyperlink">
    <w:name w:val="FollowedHyperlink"/>
    <w:basedOn w:val="DefaultParagraphFont"/>
    <w:uiPriority w:val="99"/>
    <w:semiHidden/>
    <w:unhideWhenUsed/>
    <w:rsid w:val="0053769A"/>
    <w:rPr>
      <w:color w:val="96607D" w:themeColor="followedHyperlink"/>
      <w:u w:val="single"/>
    </w:rPr>
  </w:style>
  <w:style w:type="paragraph" w:customStyle="1" w:styleId="paragraph">
    <w:name w:val="paragraph"/>
    <w:basedOn w:val="Normal"/>
    <w:rsid w:val="009745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basedOn w:val="Normal"/>
    <w:next w:val="Normal"/>
    <w:autoRedefine/>
    <w:uiPriority w:val="39"/>
    <w:unhideWhenUsed/>
    <w:rsid w:val="00333970"/>
    <w:pPr>
      <w:spacing w:after="100"/>
    </w:pPr>
    <w:rPr>
      <w:rFonts w:ascii="Century Gothic" w:hAnsi="Century Gothic" w:cs="Segoe UI"/>
      <w:kern w:val="0"/>
      <w14:ligatures w14:val="none"/>
    </w:rPr>
  </w:style>
  <w:style w:type="paragraph" w:styleId="Revision">
    <w:name w:val="Revision"/>
    <w:hidden/>
    <w:uiPriority w:val="99"/>
    <w:semiHidden/>
    <w:rsid w:val="005604CE"/>
    <w:pPr>
      <w:spacing w:after="0" w:line="240" w:lineRule="auto"/>
    </w:pPr>
  </w:style>
  <w:style w:type="table" w:styleId="TableGrid">
    <w:name w:val="Table Grid"/>
    <w:basedOn w:val="TableNormal"/>
    <w:uiPriority w:val="39"/>
    <w:rsid w:val="00C468ED"/>
    <w:pPr>
      <w:spacing w:after="0" w:line="240" w:lineRule="auto"/>
    </w:pPr>
    <w:rPr>
      <w:rFonts w:ascii="Century Gothic" w:hAnsi="Century Gothic" w:cs="Segoe UI"/>
      <w:bCs/>
      <w:kern w:val="0"/>
      <w14:ligatures w14:val="none"/>
    </w:rPr>
    <w:tblPr/>
  </w:style>
  <w:style w:type="character" w:styleId="Mention">
    <w:name w:val="Mention"/>
    <w:basedOn w:val="DefaultParagraphFont"/>
    <w:uiPriority w:val="99"/>
    <w:unhideWhenUsed/>
    <w:rsid w:val="00B63595"/>
    <w:rPr>
      <w:color w:val="2B579A"/>
      <w:shd w:val="clear" w:color="auto" w:fill="E1DFDD"/>
    </w:rPr>
  </w:style>
  <w:style w:type="table" w:customStyle="1" w:styleId="TableGrid1">
    <w:name w:val="Table Grid1"/>
    <w:basedOn w:val="TableNormal"/>
    <w:next w:val="TableGrid"/>
    <w:uiPriority w:val="39"/>
    <w:rsid w:val="004C5DBB"/>
    <w:pPr>
      <w:spacing w:after="0" w:line="240" w:lineRule="auto"/>
    </w:pPr>
    <w:rPr>
      <w:rFonts w:ascii="Century Gothic" w:hAnsi="Century Gothic" w:cs="Segoe UI"/>
      <w:bCs/>
      <w:kern w:val="0"/>
      <w14:ligatures w14:val="none"/>
    </w:rPr>
    <w:tblPr/>
  </w:style>
  <w:style w:type="paragraph" w:styleId="NormalWeb">
    <w:name w:val="Normal (Web)"/>
    <w:basedOn w:val="Normal"/>
    <w:uiPriority w:val="99"/>
    <w:unhideWhenUsed/>
    <w:rsid w:val="00C575F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8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16147686">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 w:id="626743859">
      <w:bodyDiv w:val="1"/>
      <w:marLeft w:val="0"/>
      <w:marRight w:val="0"/>
      <w:marTop w:val="0"/>
      <w:marBottom w:val="0"/>
      <w:divBdr>
        <w:top w:val="none" w:sz="0" w:space="0" w:color="auto"/>
        <w:left w:val="none" w:sz="0" w:space="0" w:color="auto"/>
        <w:bottom w:val="none" w:sz="0" w:space="0" w:color="auto"/>
        <w:right w:val="none" w:sz="0" w:space="0" w:color="auto"/>
      </w:divBdr>
    </w:div>
    <w:div w:id="922643489">
      <w:bodyDiv w:val="1"/>
      <w:marLeft w:val="0"/>
      <w:marRight w:val="0"/>
      <w:marTop w:val="0"/>
      <w:marBottom w:val="0"/>
      <w:divBdr>
        <w:top w:val="none" w:sz="0" w:space="0" w:color="auto"/>
        <w:left w:val="none" w:sz="0" w:space="0" w:color="auto"/>
        <w:bottom w:val="none" w:sz="0" w:space="0" w:color="auto"/>
        <w:right w:val="none" w:sz="0" w:space="0" w:color="auto"/>
      </w:divBdr>
    </w:div>
    <w:div w:id="1335648547">
      <w:bodyDiv w:val="1"/>
      <w:marLeft w:val="0"/>
      <w:marRight w:val="0"/>
      <w:marTop w:val="0"/>
      <w:marBottom w:val="0"/>
      <w:divBdr>
        <w:top w:val="none" w:sz="0" w:space="0" w:color="auto"/>
        <w:left w:val="none" w:sz="0" w:space="0" w:color="auto"/>
        <w:bottom w:val="none" w:sz="0" w:space="0" w:color="auto"/>
        <w:right w:val="none" w:sz="0" w:space="0" w:color="auto"/>
      </w:divBdr>
    </w:div>
    <w:div w:id="1399203231">
      <w:bodyDiv w:val="1"/>
      <w:marLeft w:val="0"/>
      <w:marRight w:val="0"/>
      <w:marTop w:val="0"/>
      <w:marBottom w:val="0"/>
      <w:divBdr>
        <w:top w:val="none" w:sz="0" w:space="0" w:color="auto"/>
        <w:left w:val="none" w:sz="0" w:space="0" w:color="auto"/>
        <w:bottom w:val="none" w:sz="0" w:space="0" w:color="auto"/>
        <w:right w:val="none" w:sz="0" w:space="0" w:color="auto"/>
      </w:divBdr>
    </w:div>
    <w:div w:id="20522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puc.ca.gov/PublishedDocs/Published/G000/M520/K896/520896345.pdf" TargetMode="External"/><Relationship Id="rId21" Type="http://schemas.openxmlformats.org/officeDocument/2006/relationships/hyperlink" Target="https://docs.cpuc.ca.gov/PublishedDocs/Published/G000/M520/K896/520896345.pdf" TargetMode="External"/><Relationship Id="rId34" Type="http://schemas.openxmlformats.org/officeDocument/2006/relationships/hyperlink" Target="https://docs.cpuc.ca.gov/PublishedDocs/Published/G000/M520/K896/520896345.pdf" TargetMode="External"/><Relationship Id="rId42" Type="http://schemas.openxmlformats.org/officeDocument/2006/relationships/hyperlink" Target="https://docs.cpuc.ca.gov/PublishedDocs/Published/G000/M520/K896/520896345.pdf" TargetMode="External"/><Relationship Id="rId47" Type="http://schemas.openxmlformats.org/officeDocument/2006/relationships/hyperlink" Target="https://docs.cpuc.ca.gov/PublishedDocs/Published/G000/M520/K896/520896345.pdf" TargetMode="External"/><Relationship Id="rId50" Type="http://schemas.openxmlformats.org/officeDocument/2006/relationships/hyperlink" Target="https://docs.cpuc.ca.gov/PublishedDocs/Published/G000/M520/K896/520896345.pdf" TargetMode="External"/><Relationship Id="rId55" Type="http://schemas.openxmlformats.org/officeDocument/2006/relationships/hyperlink" Target="https://www.pge.com/content/dam/pge/docs/about/pge-systems/2025-gas-annual-research-report.pdf" TargetMode="External"/><Relationship Id="rId63" Type="http://schemas.openxmlformats.org/officeDocument/2006/relationships/hyperlink" Target="https://docs.cpuc.ca.gov/PublishedDocs/Published/G000/M596/K290/596290082.PDF" TargetMode="External"/><Relationship Id="rId68"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cs.cpuc.ca.gov/PublishedDocs/Published/G000/M596/K290/596290082.PDF" TargetMode="External"/><Relationship Id="rId29" Type="http://schemas.openxmlformats.org/officeDocument/2006/relationships/hyperlink" Target="https://docs.cpuc.ca.gov/PublishedDocs/Published/G000/M520/K896/520896345.pdf" TargetMode="External"/><Relationship Id="rId11" Type="http://schemas.openxmlformats.org/officeDocument/2006/relationships/header" Target="header1.xml"/><Relationship Id="rId24" Type="http://schemas.openxmlformats.org/officeDocument/2006/relationships/hyperlink" Target="https://docs.cpuc.ca.gov/PublishedDocs/Published/G000/M520/K896/520896345.pdf" TargetMode="External"/><Relationship Id="rId32" Type="http://schemas.openxmlformats.org/officeDocument/2006/relationships/hyperlink" Target="https://docs.cpuc.ca.gov/PublishedDocs/Published/G000/M596/K290/596290082.PDF" TargetMode="External"/><Relationship Id="rId37" Type="http://schemas.openxmlformats.org/officeDocument/2006/relationships/hyperlink" Target="https://docs.cpuc.ca.gov/PublishedDocs/Published/G000/M520/K896/520896345.pdf" TargetMode="External"/><Relationship Id="rId40" Type="http://schemas.openxmlformats.org/officeDocument/2006/relationships/hyperlink" Target="https://docs.cpuc.ca.gov/PublishedDocs/Published/G000/M520/K896/520896345.pdf" TargetMode="External"/><Relationship Id="rId45" Type="http://schemas.openxmlformats.org/officeDocument/2006/relationships/hyperlink" Target="https://docs.cpuc.ca.gov/PublishedDocs/Published/G000/M520/K896/520896345.pdf" TargetMode="External"/><Relationship Id="rId53" Type="http://schemas.openxmlformats.org/officeDocument/2006/relationships/hyperlink" Target="https://docs.cpuc.ca.gov/PublishedDocs/Published/G000/M520/K896/520896345.pdf" TargetMode="External"/><Relationship Id="rId58" Type="http://schemas.openxmlformats.org/officeDocument/2006/relationships/hyperlink" Target="https://docs.cpuc.ca.gov/PublishedDocs/Published/G000/M596/K290/596290082.PDF"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ocs.cpuc.ca.gov/PublishedDocs/Published/G000/M520/K896/520896345.pdf" TargetMode="External"/><Relationship Id="rId19" Type="http://schemas.openxmlformats.org/officeDocument/2006/relationships/hyperlink" Target="https://docs.cpuc.ca.gov/PublishedDocs/Published/G000/M520/K896/520896345.pdf" TargetMode="External"/><Relationship Id="rId14" Type="http://schemas.openxmlformats.org/officeDocument/2006/relationships/footer" Target="footer2.xml"/><Relationship Id="rId22" Type="http://schemas.openxmlformats.org/officeDocument/2006/relationships/hyperlink" Target="https://docs.cpuc.ca.gov/PublishedDocs/Published/G000/M520/K896/520896345.pdf" TargetMode="External"/><Relationship Id="rId27" Type="http://schemas.openxmlformats.org/officeDocument/2006/relationships/hyperlink" Target="https://docs.cpuc.ca.gov/PublishedDocs/Published/G000/M596/K290/596290082.PDF" TargetMode="External"/><Relationship Id="rId30" Type="http://schemas.openxmlformats.org/officeDocument/2006/relationships/hyperlink" Target="https://docs.cpuc.ca.gov/PublishedDocs/Published/G000/M520/K896/520896345.pdf" TargetMode="External"/><Relationship Id="rId35" Type="http://schemas.openxmlformats.org/officeDocument/2006/relationships/hyperlink" Target="https://docs.cpuc.ca.gov/PublishedDocs/Published/G000/M520/K896/520896345.pdf" TargetMode="External"/><Relationship Id="rId43" Type="http://schemas.openxmlformats.org/officeDocument/2006/relationships/hyperlink" Target="https://docs.cpuc.ca.gov/PublishedDocs/Published/G000/M520/K896/520896345.pdf" TargetMode="External"/><Relationship Id="rId48" Type="http://schemas.openxmlformats.org/officeDocument/2006/relationships/hyperlink" Target="https://docs.cpuc.ca.gov/PublishedDocs/Published/G000/M520/K896/520896345.pdf" TargetMode="External"/><Relationship Id="rId56" Type="http://schemas.openxmlformats.org/officeDocument/2006/relationships/hyperlink" Target="https://docs.cpuc.ca.gov/PublishedDocs/Published/G000/M596/K290/596290082.PDF" TargetMode="External"/><Relationship Id="rId64" Type="http://schemas.openxmlformats.org/officeDocument/2006/relationships/hyperlink" Target="https://docs.cpuc.ca.gov/PublishedDocs/Published/G000/M596/K290/596290082.PDF" TargetMode="External"/><Relationship Id="rId8" Type="http://schemas.openxmlformats.org/officeDocument/2006/relationships/webSettings" Target="webSettings.xml"/><Relationship Id="rId51" Type="http://schemas.openxmlformats.org/officeDocument/2006/relationships/hyperlink" Target="https://docs.cpuc.ca.gov/PublishedDocs/Published/G000/M520/K896/520896345.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ocs.cpuc.ca.gov/PublishedDocs/Published/G000/M520/K896/520896345.pdf" TargetMode="External"/><Relationship Id="rId25" Type="http://schemas.openxmlformats.org/officeDocument/2006/relationships/hyperlink" Target="https://docs.cpuc.ca.gov/PublishedDocs/Published/G000/M520/K896/520896345.pdf" TargetMode="External"/><Relationship Id="rId33" Type="http://schemas.openxmlformats.org/officeDocument/2006/relationships/hyperlink" Target="https://docs.cpuc.ca.gov/PublishedDocs/Published/G000/M596/K290/596290082.PDF" TargetMode="External"/><Relationship Id="rId38" Type="http://schemas.openxmlformats.org/officeDocument/2006/relationships/hyperlink" Target="https://docs.cpuc.ca.gov/PublishedDocs/Published/G000/M520/K896/520896345.pdf" TargetMode="External"/><Relationship Id="rId46" Type="http://schemas.openxmlformats.org/officeDocument/2006/relationships/hyperlink" Target="https://docs.cpuc.ca.gov/PublishedDocs/Published/G000/M520/K896/520896345.pdf" TargetMode="External"/><Relationship Id="rId59" Type="http://schemas.openxmlformats.org/officeDocument/2006/relationships/hyperlink" Target="https://docs.cpuc.ca.gov/PublishedDocs/Published/G000/M596/K290/596290082.PDF" TargetMode="External"/><Relationship Id="rId67" Type="http://schemas.openxmlformats.org/officeDocument/2006/relationships/theme" Target="theme/theme1.xml"/><Relationship Id="rId20" Type="http://schemas.openxmlformats.org/officeDocument/2006/relationships/hyperlink" Target="https://docs.cpuc.ca.gov/PublishedDocs/Published/G000/M520/K896/520896345.pdf" TargetMode="External"/><Relationship Id="rId41" Type="http://schemas.openxmlformats.org/officeDocument/2006/relationships/hyperlink" Target="https://docs.cpuc.ca.gov/PublishedDocs/Published/G000/M520/K896/520896345.pdf" TargetMode="External"/><Relationship Id="rId54" Type="http://schemas.openxmlformats.org/officeDocument/2006/relationships/hyperlink" Target="https://docs.cpuc.ca.gov/PublishedDocs/Published/G000/M596/K290/596290082.PDF" TargetMode="External"/><Relationship Id="rId62" Type="http://schemas.openxmlformats.org/officeDocument/2006/relationships/hyperlink" Target="https://docs.cpuc.ca.gov/PublishedDocs/Published/G000/M596/K290/596290082.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cs.cpuc.ca.gov/PublishedDocs/Published/G000/M596/K290/596290082.PDF" TargetMode="External"/><Relationship Id="rId23" Type="http://schemas.openxmlformats.org/officeDocument/2006/relationships/hyperlink" Target="https://docs.cpuc.ca.gov/PublishedDocs/Published/G000/M520/K896/520896345.pdf" TargetMode="External"/><Relationship Id="rId28" Type="http://schemas.openxmlformats.org/officeDocument/2006/relationships/hyperlink" Target="https://docs.cpuc.ca.gov/PublishedDocs/Published/G000/M520/K896/520896345.pdf" TargetMode="External"/><Relationship Id="rId36" Type="http://schemas.openxmlformats.org/officeDocument/2006/relationships/hyperlink" Target="https://docs.cpuc.ca.gov/PublishedDocs/Published/G000/M520/K896/520896345.pdf" TargetMode="External"/><Relationship Id="rId49" Type="http://schemas.openxmlformats.org/officeDocument/2006/relationships/hyperlink" Target="https://docs.cpuc.ca.gov/PublishedDocs/Published/G000/M520/K896/520896345.pdf" TargetMode="External"/><Relationship Id="rId57" Type="http://schemas.openxmlformats.org/officeDocument/2006/relationships/hyperlink" Target="https://docs.cpuc.ca.gov/PublishedDocs/Published/G000/M596/K290/596290082.PDF" TargetMode="External"/><Relationship Id="rId10" Type="http://schemas.openxmlformats.org/officeDocument/2006/relationships/endnotes" Target="endnotes.xml"/><Relationship Id="rId31" Type="http://schemas.openxmlformats.org/officeDocument/2006/relationships/hyperlink" Target="https://docs.cpuc.ca.gov/PublishedDocs/Published/G000/M520/K896/520896345.pdf" TargetMode="External"/><Relationship Id="rId44" Type="http://schemas.openxmlformats.org/officeDocument/2006/relationships/hyperlink" Target="https://docs.cpuc.ca.gov/PublishedDocs/Published/G000/M596/K290/596290082.PDF" TargetMode="External"/><Relationship Id="rId52" Type="http://schemas.openxmlformats.org/officeDocument/2006/relationships/hyperlink" Target="https://docs.cpuc.ca.gov/PublishedDocs/Published/G000/M520/K896/520896345.pdf" TargetMode="External"/><Relationship Id="rId60" Type="http://schemas.openxmlformats.org/officeDocument/2006/relationships/hyperlink" Target="https://docs.cpuc.ca.gov/PublishedDocs/Published/G000/M596/K290/596290082.PDF" TargetMode="External"/><Relationship Id="rId65" Type="http://schemas.openxmlformats.org/officeDocument/2006/relationships/hyperlink" Target="https://docs.cpuc.ca.gov/PublishedDocs/Published/G000/M596/K290/596290082.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docs.cpuc.ca.gov/PublishedDocs/Published/G000/M520/K896/520896345.pdf" TargetMode="External"/><Relationship Id="rId39" Type="http://schemas.openxmlformats.org/officeDocument/2006/relationships/hyperlink" Target="https://docs.cpuc.ca.gov/PublishedDocs/Published/G000/M520/K896/520896345.pdf"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docs.cpuc.ca.gov/PublishedDocs/Published/G000/M461/K921/461921821.PDF" TargetMode="External"/><Relationship Id="rId21" Type="http://schemas.openxmlformats.org/officeDocument/2006/relationships/hyperlink" Target="https://docs.cpuc.ca.gov/PublishedDocs/Published/G000/M520/K896/520896345.pdf" TargetMode="External"/><Relationship Id="rId42" Type="http://schemas.openxmlformats.org/officeDocument/2006/relationships/hyperlink" Target="https://docs.cpuc.ca.gov/PublishedDocs/Published/G000/M520/K896/520896345.pdf" TargetMode="External"/><Relationship Id="rId63" Type="http://schemas.openxmlformats.org/officeDocument/2006/relationships/hyperlink" Target="https://docs.cpuc.ca.gov/PublishedDocs/Published/G000/M520/K896/520896345.pdf" TargetMode="External"/><Relationship Id="rId84" Type="http://schemas.openxmlformats.org/officeDocument/2006/relationships/hyperlink" Target="https://docs.cpuc.ca.gov/PublishedDocs/Published/G000/M500/K216/500216057.PDF" TargetMode="External"/><Relationship Id="rId138" Type="http://schemas.openxmlformats.org/officeDocument/2006/relationships/hyperlink" Target="https://www.pge.com/content/dam/pge/docs/about/pge-systems/2024-gas-annual-research-report.pdf" TargetMode="External"/><Relationship Id="rId159" Type="http://schemas.openxmlformats.org/officeDocument/2006/relationships/hyperlink" Target="https://www.pge.com/content/dam/pge/docs/about/pge-systems/2025-gas-annual-research-report.pdf" TargetMode="External"/><Relationship Id="rId170" Type="http://schemas.openxmlformats.org/officeDocument/2006/relationships/hyperlink" Target="https://docs.cpuc.ca.gov/PublishedDocs/Published/G000/M520/K896/520896345.pdf" TargetMode="External"/><Relationship Id="rId107" Type="http://schemas.openxmlformats.org/officeDocument/2006/relationships/hyperlink" Target="https://docs.cpuc.ca.gov/PublishedDocs/Published/G000/M316/K704/316704666.PDF" TargetMode="External"/><Relationship Id="rId11" Type="http://schemas.openxmlformats.org/officeDocument/2006/relationships/hyperlink" Target="https://docs.cpuc.ca.gov/PublishedDocs/Published/G000/M520/K896/520896345.pdf" TargetMode="External"/><Relationship Id="rId32" Type="http://schemas.openxmlformats.org/officeDocument/2006/relationships/hyperlink" Target="https://docs.cpuc.ca.gov/PublishedDocs/Published/G000/M596/K290/596290082.PDF" TargetMode="External"/><Relationship Id="rId53" Type="http://schemas.openxmlformats.org/officeDocument/2006/relationships/hyperlink" Target="https://www.pge.com/tariffs/assets/pdf/tariffbook/GAS_PRELIM_GA.pdf" TargetMode="External"/><Relationship Id="rId74" Type="http://schemas.openxmlformats.org/officeDocument/2006/relationships/hyperlink" Target="https://docs.cpuc.ca.gov/PublishedDocs/Published/G000/M520/K896/520896345.pdf" TargetMode="External"/><Relationship Id="rId128" Type="http://schemas.openxmlformats.org/officeDocument/2006/relationships/hyperlink" Target="https://docs.cpuc.ca.gov/PublishedDocs/Published/G000/M461/K921/461921821.PDF" TargetMode="External"/><Relationship Id="rId149" Type="http://schemas.openxmlformats.org/officeDocument/2006/relationships/hyperlink" Target="https://docs.cpuc.ca.gov/PublishedDocs/Published/G000/M531/K559/531559739.PDF" TargetMode="External"/><Relationship Id="rId5" Type="http://schemas.openxmlformats.org/officeDocument/2006/relationships/hyperlink" Target="https://docs.cpuc.ca.gov/PublishedDocs/Published/G000/M596/K290/596290082.PDF" TargetMode="External"/><Relationship Id="rId95" Type="http://schemas.openxmlformats.org/officeDocument/2006/relationships/hyperlink" Target="https://docs.cpuc.ca.gov/PublishedDocs/Published/G000/M520/K896/520896345.pdf" TargetMode="External"/><Relationship Id="rId160" Type="http://schemas.openxmlformats.org/officeDocument/2006/relationships/hyperlink" Target="https://www.pge.com/content/dam/pge/docs/about/pge-systems/2025-gas-annual-research-report.pdf" TargetMode="External"/><Relationship Id="rId181" Type="http://schemas.openxmlformats.org/officeDocument/2006/relationships/hyperlink" Target="https://docs.cpuc.ca.gov/PublishedDocs/Published/G000/M520/K896/520896345.pdf" TargetMode="External"/><Relationship Id="rId22" Type="http://schemas.openxmlformats.org/officeDocument/2006/relationships/hyperlink" Target="https://docs.cpuc.ca.gov/PublishedDocs/Published/G000/M596/K290/596290082.PDF" TargetMode="External"/><Relationship Id="rId43" Type="http://schemas.openxmlformats.org/officeDocument/2006/relationships/hyperlink" Target="https://docs.cpuc.ca.gov/PublishedDocs/Published/G000/M316/K704/316704666.PDF" TargetMode="External"/><Relationship Id="rId64" Type="http://schemas.openxmlformats.org/officeDocument/2006/relationships/hyperlink" Target="https://www.pge.com/content/dam/pge/docs/about/pge-systems/2025-gas-annual-research-report.pdf" TargetMode="External"/><Relationship Id="rId118" Type="http://schemas.openxmlformats.org/officeDocument/2006/relationships/hyperlink" Target="https://docs.cpuc.ca.gov/PublishedDocs/Published/G000/M521/K196/521196139.PDF" TargetMode="External"/><Relationship Id="rId139" Type="http://schemas.openxmlformats.org/officeDocument/2006/relationships/hyperlink" Target="https://www.pge.com/content/dam/pge/docs/about/pge-systems/2024-gas-annual-research-report.pdf" TargetMode="External"/><Relationship Id="rId85" Type="http://schemas.openxmlformats.org/officeDocument/2006/relationships/hyperlink" Target="https://www.pge.com/tariffs/assets/pdf/tariffbook/GAS_PRELIM_GA.pdf" TargetMode="External"/><Relationship Id="rId150" Type="http://schemas.openxmlformats.org/officeDocument/2006/relationships/hyperlink" Target="https://acrobat.adobe.com/id/urn:aaid:sc:VA6C2:99c90760-e561-4a95-8fbe-82192adb864b" TargetMode="External"/><Relationship Id="rId171" Type="http://schemas.openxmlformats.org/officeDocument/2006/relationships/hyperlink" Target="https://docs.cpuc.ca.gov/PublishedDocs/Published/G000/M520/K896/520896345.pdf" TargetMode="External"/><Relationship Id="rId12" Type="http://schemas.openxmlformats.org/officeDocument/2006/relationships/hyperlink" Target="https://docs.cpuc.ca.gov/PublishedDocs/Published/G000/M520/K896/520896345.pdf" TargetMode="External"/><Relationship Id="rId33" Type="http://schemas.openxmlformats.org/officeDocument/2006/relationships/hyperlink" Target="https://docs.cpuc.ca.gov/PublishedDocs/Published/G000/M520/K896/520896345.pdf" TargetMode="External"/><Relationship Id="rId108" Type="http://schemas.openxmlformats.org/officeDocument/2006/relationships/hyperlink" Target="https://docs.cpuc.ca.gov/PublishedDocs/Published/G000/M520/K896/520896345.pdf" TargetMode="External"/><Relationship Id="rId129" Type="http://schemas.openxmlformats.org/officeDocument/2006/relationships/hyperlink" Target="https://docs.cpuc.ca.gov/PublishedDocs/Published/G000/M507/K499/507499284.PDF" TargetMode="External"/><Relationship Id="rId54" Type="http://schemas.openxmlformats.org/officeDocument/2006/relationships/hyperlink" Target="https://docs.cpuc.ca.gov/PublishedDocs/Published/G000/M316/K704/316704666.PDF" TargetMode="External"/><Relationship Id="rId75" Type="http://schemas.openxmlformats.org/officeDocument/2006/relationships/hyperlink" Target="https://docs.cpuc.ca.gov/PublishedDocs/Published/G000/M596/K290/596290082.PDF" TargetMode="External"/><Relationship Id="rId96" Type="http://schemas.openxmlformats.org/officeDocument/2006/relationships/hyperlink" Target="https://docs.cpuc.ca.gov/PublishedDocs/Published/G000/M461/K921/461921821.PDF" TargetMode="External"/><Relationship Id="rId140" Type="http://schemas.openxmlformats.org/officeDocument/2006/relationships/hyperlink" Target="https://www.pge.com/content/dam/pge/docs/about/pge-systems/2024-gas-annual-research-report.pdf" TargetMode="External"/><Relationship Id="rId161" Type="http://schemas.openxmlformats.org/officeDocument/2006/relationships/hyperlink" Target="https://docs.cpuc.ca.gov/PublishedDocs/Published/G000/M520/K896/520896345.pdf" TargetMode="External"/><Relationship Id="rId182" Type="http://schemas.openxmlformats.org/officeDocument/2006/relationships/hyperlink" Target="https://docs.cpuc.ca.gov/PublishedDocs/Published/G000/M596/K290/596290082.PDF" TargetMode="External"/><Relationship Id="rId6" Type="http://schemas.openxmlformats.org/officeDocument/2006/relationships/hyperlink" Target="https://www.gov.ca.gov/wp-content/uploads/2024/10/energy-EO-10-30-24.pdf" TargetMode="External"/><Relationship Id="rId23" Type="http://schemas.openxmlformats.org/officeDocument/2006/relationships/hyperlink" Target="https://docs.cpuc.ca.gov/PublishedDocs/Published/G000/M520/K896/520896345.pdf" TargetMode="External"/><Relationship Id="rId119" Type="http://schemas.openxmlformats.org/officeDocument/2006/relationships/hyperlink" Target="https://www.sce.com/sites/default/files/inline-files/EPIC_ApplicationsforApproval_TriennialInvestmentPlans.pdf" TargetMode="External"/><Relationship Id="rId44" Type="http://schemas.openxmlformats.org/officeDocument/2006/relationships/hyperlink" Target="https://docs.cpuc.ca.gov/PublishedDocs/Published/G000/M350/K789/350789679.PDF" TargetMode="External"/><Relationship Id="rId65" Type="http://schemas.openxmlformats.org/officeDocument/2006/relationships/hyperlink" Target="https://docs.cpuc.ca.gov/PublishedDocs/Published/G000/M521/K196/521196139.PDF" TargetMode="External"/><Relationship Id="rId86" Type="http://schemas.openxmlformats.org/officeDocument/2006/relationships/hyperlink" Target="https://docs.cpuc.ca.gov/PublishedDocs/Published/G000/M595/K045/595045481.PDF" TargetMode="External"/><Relationship Id="rId130" Type="http://schemas.openxmlformats.org/officeDocument/2006/relationships/hyperlink" Target="https://docs.cpuc.ca.gov/PublishedDocs/Published/G000/M531/K559/531559739.PDF" TargetMode="External"/><Relationship Id="rId151" Type="http://schemas.openxmlformats.org/officeDocument/2006/relationships/hyperlink" Target="https://docs.cpuc.ca.gov/PublishedDocs/Published/G000/M316/K704/316704666.PDF" TargetMode="External"/><Relationship Id="rId172" Type="http://schemas.openxmlformats.org/officeDocument/2006/relationships/hyperlink" Target="https://docs.cpuc.ca.gov/PublishedDocs/Published/G000/M520/K896/520896345.pdf" TargetMode="External"/><Relationship Id="rId13" Type="http://schemas.openxmlformats.org/officeDocument/2006/relationships/hyperlink" Target="https://docs.cpuc.ca.gov/PublishedDocs/Published/G000/M596/K290/596290082.PDF" TargetMode="External"/><Relationship Id="rId18" Type="http://schemas.openxmlformats.org/officeDocument/2006/relationships/hyperlink" Target="https://docs.cpuc.ca.gov/PublishedDocs/Published/G000/M596/K290/596290082.PDF" TargetMode="External"/><Relationship Id="rId39" Type="http://schemas.openxmlformats.org/officeDocument/2006/relationships/hyperlink" Target="https://docs.cpuc.ca.gov/PublishedDocs/Published/G000/M531/K559/531559739.PDF" TargetMode="External"/><Relationship Id="rId109" Type="http://schemas.openxmlformats.org/officeDocument/2006/relationships/hyperlink" Target="https://www.pge.com/content/dam/pge/docs/about/pge-systems/Gas-RD-Annual-Report.pdf" TargetMode="External"/><Relationship Id="rId34" Type="http://schemas.openxmlformats.org/officeDocument/2006/relationships/hyperlink" Target="https://docs.cpuc.ca.gov/PublishedDocs/Published/G000/M521/K196/521196139.PDF" TargetMode="External"/><Relationship Id="rId50" Type="http://schemas.openxmlformats.org/officeDocument/2006/relationships/hyperlink" Target="https://docs.cpuc.ca.gov/PublishedDocs/Published/G000/M023/K381/23381302.PDF" TargetMode="External"/><Relationship Id="rId55" Type="http://schemas.openxmlformats.org/officeDocument/2006/relationships/hyperlink" Target="https://acrobat.adobe.com/id/urn:aaid:sc:VA6C2:99c90760-e561-4a95-8fbe-82192adb864b?viewer%21megaVerb=group-discover" TargetMode="External"/><Relationship Id="rId76" Type="http://schemas.openxmlformats.org/officeDocument/2006/relationships/hyperlink" Target="https://docs.cpuc.ca.gov/PublishedDocs/Published/G000/M520/K896/520896345.pdf" TargetMode="External"/><Relationship Id="rId97" Type="http://schemas.openxmlformats.org/officeDocument/2006/relationships/hyperlink" Target="https://docs.cpuc.ca.gov/PublishedDocs/Published/G000/M507/K499/507499284.PDF" TargetMode="External"/><Relationship Id="rId104" Type="http://schemas.openxmlformats.org/officeDocument/2006/relationships/hyperlink" Target="https://docs.cpuc.ca.gov/PublishedDocs/Published/G000/M596/K290/596290082.PDF" TargetMode="External"/><Relationship Id="rId120" Type="http://schemas.openxmlformats.org/officeDocument/2006/relationships/hyperlink" Target="https://docs.cpuc.ca.gov/PublishedDocs/Published/G000/M521/K196/521196139.PDF" TargetMode="External"/><Relationship Id="rId125" Type="http://schemas.openxmlformats.org/officeDocument/2006/relationships/hyperlink" Target="https://docs.cpuc.ca.gov/PublishedDocs/Published/G000/M520/K896/520896345.pdf" TargetMode="External"/><Relationship Id="rId141" Type="http://schemas.openxmlformats.org/officeDocument/2006/relationships/hyperlink" Target="https://www.pge.com/content/dam/pge/docs/about/pge-systems/2024-gas-annual-research-report.pdf" TargetMode="External"/><Relationship Id="rId146" Type="http://schemas.openxmlformats.org/officeDocument/2006/relationships/hyperlink" Target="https://docs.cpuc.ca.gov/PublishedDocs/Published/G000/M520/K896/520896345.pdf" TargetMode="External"/><Relationship Id="rId167" Type="http://schemas.openxmlformats.org/officeDocument/2006/relationships/hyperlink" Target="https://docs.cpuc.ca.gov/PublishedDocs/Published/G000/M521/K196/521196139.PDF" TargetMode="External"/><Relationship Id="rId7" Type="http://schemas.openxmlformats.org/officeDocument/2006/relationships/hyperlink" Target="https://docs.cpuc.ca.gov/PublishedDocs/Published/G000/M596/K290/596290082.PDF" TargetMode="External"/><Relationship Id="rId71" Type="http://schemas.openxmlformats.org/officeDocument/2006/relationships/hyperlink" Target="https://docs.cpuc.ca.gov/PublishedDocs/Published/G000/M520/K896/520896345.pdf" TargetMode="External"/><Relationship Id="rId92" Type="http://schemas.openxmlformats.org/officeDocument/2006/relationships/hyperlink" Target="https://docs.cpuc.ca.gov/PublishedDocs/Published/G000/M520/K896/520896345.pdf" TargetMode="External"/><Relationship Id="rId162" Type="http://schemas.openxmlformats.org/officeDocument/2006/relationships/hyperlink" Target="https://docs.cpuc.ca.gov/PublishedDocs/Published/G000/M596/K290/596290082.PDF" TargetMode="External"/><Relationship Id="rId183" Type="http://schemas.openxmlformats.org/officeDocument/2006/relationships/hyperlink" Target="https://docs.cpuc.ca.gov/PublishedDocs/Published/G000/M520/K896/520896345.pdf" TargetMode="External"/><Relationship Id="rId2" Type="http://schemas.openxmlformats.org/officeDocument/2006/relationships/hyperlink" Target="https://docs.cpuc.ca.gov/PublishedDocs/Published/G000/M596/K290/596290082.PDF" TargetMode="External"/><Relationship Id="rId29" Type="http://schemas.openxmlformats.org/officeDocument/2006/relationships/hyperlink" Target="https://docs.cpuc.ca.gov/PublishedDocs/Published/G000/M520/K896/520896345.pdf" TargetMode="External"/><Relationship Id="rId24" Type="http://schemas.openxmlformats.org/officeDocument/2006/relationships/hyperlink" Target="https://docs.cpuc.ca.gov/PublishedDocs/Published/G000/M596/K290/596290082.PDF" TargetMode="External"/><Relationship Id="rId40" Type="http://schemas.openxmlformats.org/officeDocument/2006/relationships/hyperlink" Target="https://docs.cpuc.ca.gov/PublishedDocs/Published/G000/M527/K228/527228647.PDF" TargetMode="External"/><Relationship Id="rId45" Type="http://schemas.openxmlformats.org/officeDocument/2006/relationships/hyperlink" Target="https://docs.cpuc.ca.gov/PublishedDocs/Published/G000/M520/K896/520896345.pdf" TargetMode="External"/><Relationship Id="rId66" Type="http://schemas.openxmlformats.org/officeDocument/2006/relationships/hyperlink" Target="https://docs.cpuc.ca.gov/PublishedDocs/Published/G000/M596/K290/596290082.PDF" TargetMode="External"/><Relationship Id="rId87" Type="http://schemas.openxmlformats.org/officeDocument/2006/relationships/hyperlink" Target="https://docs.cpuc.ca.gov/PublishedDocs/Published/G000/M521/K196/521196139.PDF" TargetMode="External"/><Relationship Id="rId110" Type="http://schemas.openxmlformats.org/officeDocument/2006/relationships/hyperlink" Target="https://www.pge.com/content/dam/pge/docs/about/pge-systems/Gas-RD-Annual-Report.pdf" TargetMode="External"/><Relationship Id="rId115" Type="http://schemas.openxmlformats.org/officeDocument/2006/relationships/hyperlink" Target="https://docs.cpuc.ca.gov/PublishedDocs/Published/G000/M520/K896/520896345.pdf" TargetMode="External"/><Relationship Id="rId131" Type="http://schemas.openxmlformats.org/officeDocument/2006/relationships/hyperlink" Target="https://docs.cpuc.ca.gov/PublishedDocs/Published/G000/M520/K896/520896345.pdf" TargetMode="External"/><Relationship Id="rId136" Type="http://schemas.openxmlformats.org/officeDocument/2006/relationships/hyperlink" Target="https://docs.cpuc.ca.gov/PublishedDocs/Published/G000/M316/K704/316704666.PDF" TargetMode="External"/><Relationship Id="rId157" Type="http://schemas.openxmlformats.org/officeDocument/2006/relationships/hyperlink" Target="https://docs.cpuc.ca.gov/PublishedDocs/Published/G000/M520/K896/520896345.pdf" TargetMode="External"/><Relationship Id="rId178" Type="http://schemas.openxmlformats.org/officeDocument/2006/relationships/hyperlink" Target="https://docs.cpuc.ca.gov/PublishedDocs/Published/G000/M520/K896/520896345.pdf" TargetMode="External"/><Relationship Id="rId61" Type="http://schemas.openxmlformats.org/officeDocument/2006/relationships/hyperlink" Target="https://docs.cpuc.ca.gov/PublishedDocs/Published/G000/M520/K896/520896345.pdf" TargetMode="External"/><Relationship Id="rId82" Type="http://schemas.openxmlformats.org/officeDocument/2006/relationships/hyperlink" Target="https://docs.cpuc.ca.gov/PublishedDocs/Published/G000/M596/K290/596290082.PDF" TargetMode="External"/><Relationship Id="rId152" Type="http://schemas.openxmlformats.org/officeDocument/2006/relationships/hyperlink" Target="https://docs.cpuc.ca.gov/PublishedDocs/Published/G000/M520/K896/520896345.pdf" TargetMode="External"/><Relationship Id="rId173" Type="http://schemas.openxmlformats.org/officeDocument/2006/relationships/hyperlink" Target="https://www.cpuc.ca.gov/-/media/cpuc-website/divisions/news-and-outreach/documents/news-office/key-issues/esj/esj-action-plan-v2jw.pdf" TargetMode="External"/><Relationship Id="rId19" Type="http://schemas.openxmlformats.org/officeDocument/2006/relationships/hyperlink" Target="https://docs.cpuc.ca.gov/PublishedDocs/Published/G000/M596/K290/596290082.PDF" TargetMode="External"/><Relationship Id="rId14" Type="http://schemas.openxmlformats.org/officeDocument/2006/relationships/hyperlink" Target="https://docs.cpuc.ca.gov/PublishedDocs/Published/G000/M520/K896/520896345.pdf" TargetMode="External"/><Relationship Id="rId30" Type="http://schemas.openxmlformats.org/officeDocument/2006/relationships/hyperlink" Target="https://docs.cpuc.ca.gov/PublishedDocs/Published/G000/M596/K290/596290082.PDF" TargetMode="External"/><Relationship Id="rId35" Type="http://schemas.openxmlformats.org/officeDocument/2006/relationships/hyperlink" Target="https://docs.cpuc.ca.gov/PublishedDocs/Published/G000/M507/K499/507499284.PDF" TargetMode="External"/><Relationship Id="rId56" Type="http://schemas.openxmlformats.org/officeDocument/2006/relationships/hyperlink" Target="https://docs.cpuc.ca.gov/PublishedDocs/Published/G000/M596/K290/596290082.PDF" TargetMode="External"/><Relationship Id="rId77" Type="http://schemas.openxmlformats.org/officeDocument/2006/relationships/hyperlink" Target="https://docs.cpuc.ca.gov/PublishedDocs/Published/G000/M520/K896/520896345.pdf" TargetMode="External"/><Relationship Id="rId100" Type="http://schemas.openxmlformats.org/officeDocument/2006/relationships/hyperlink" Target="https://docs.cpuc.ca.gov/PublishedDocs/Published/G000/M461/K921/461921821.PDF" TargetMode="External"/><Relationship Id="rId105" Type="http://schemas.openxmlformats.org/officeDocument/2006/relationships/hyperlink" Target="https://docs.cpuc.ca.gov/PublishedDocs/Published/G000/M520/K896/520896345.pdf" TargetMode="External"/><Relationship Id="rId126" Type="http://schemas.openxmlformats.org/officeDocument/2006/relationships/hyperlink" Target="https://docs.cpuc.ca.gov/PublishedDocs/Published/G000/M316/K704/316704666.PDF" TargetMode="External"/><Relationship Id="rId147" Type="http://schemas.openxmlformats.org/officeDocument/2006/relationships/hyperlink" Target="https://docs.cpuc.ca.gov/PublishedDocs/Published/G000/M520/K896/520896345.pdf" TargetMode="External"/><Relationship Id="rId168" Type="http://schemas.openxmlformats.org/officeDocument/2006/relationships/hyperlink" Target="https://docs.cpuc.ca.gov/PublishedDocs/Published/G000/M507/K499/507499284.PDF" TargetMode="External"/><Relationship Id="rId8" Type="http://schemas.openxmlformats.org/officeDocument/2006/relationships/hyperlink" Target="https://docs.cpuc.ca.gov/PublishedDocs/Published/G000/M520/K896/520896345.pdf" TargetMode="External"/><Relationship Id="rId51" Type="http://schemas.openxmlformats.org/officeDocument/2006/relationships/hyperlink" Target="https://docs.cpuc.ca.gov/PublishedDocs/Published/G000/M520/K896/520896345.pdf" TargetMode="External"/><Relationship Id="rId72" Type="http://schemas.openxmlformats.org/officeDocument/2006/relationships/hyperlink" Target="https://docs.cpuc.ca.gov/PublishedDocs/Published/G000/M520/K896/520896345.pdf" TargetMode="External"/><Relationship Id="rId93" Type="http://schemas.openxmlformats.org/officeDocument/2006/relationships/hyperlink" Target="https://docs.cpuc.ca.gov/PublishedDocs/Published/G000/M316/K704/316704666.PDF" TargetMode="External"/><Relationship Id="rId98" Type="http://schemas.openxmlformats.org/officeDocument/2006/relationships/hyperlink" Target="https://docs.cpuc.ca.gov/PublishedDocs/Published/G000/M531/K559/531559739.PDF" TargetMode="External"/><Relationship Id="rId121" Type="http://schemas.openxmlformats.org/officeDocument/2006/relationships/hyperlink" Target="https://docs.cpuc.ca.gov/PublishedDocs/Published/G000/M531/K559/531559739.PDF" TargetMode="External"/><Relationship Id="rId142" Type="http://schemas.openxmlformats.org/officeDocument/2006/relationships/hyperlink" Target="https://www.pge.com/content/dam/pge/docs/about/pge-systems/2024-gas-annual-research-report.pdf" TargetMode="External"/><Relationship Id="rId163" Type="http://schemas.openxmlformats.org/officeDocument/2006/relationships/hyperlink" Target="https://docs.cpuc.ca.gov/PublishedDocs/Published/G000/M520/K896/520896345.pdf" TargetMode="External"/><Relationship Id="rId184" Type="http://schemas.openxmlformats.org/officeDocument/2006/relationships/hyperlink" Target="https://docs.cpuc.ca.gov/PublishedDocs/Published/G000/M596/K290/596290082.PDF" TargetMode="External"/><Relationship Id="rId3" Type="http://schemas.openxmlformats.org/officeDocument/2006/relationships/hyperlink" Target="https://docs.cpuc.ca.gov/PublishedDocs/Published/G000/M520/K896/520896345.pdf" TargetMode="External"/><Relationship Id="rId25" Type="http://schemas.openxmlformats.org/officeDocument/2006/relationships/hyperlink" Target="https://docs.cpuc.ca.gov/PublishedDocs/Published/G000/M520/K896/520896345.pdf" TargetMode="External"/><Relationship Id="rId46" Type="http://schemas.openxmlformats.org/officeDocument/2006/relationships/hyperlink" Target="https://docs.cpuc.ca.gov/PublishedDocs/Published/G000/M316/K704/316704666.PDF" TargetMode="External"/><Relationship Id="rId67" Type="http://schemas.openxmlformats.org/officeDocument/2006/relationships/hyperlink" Target="https://docs.cpuc.ca.gov/PublishedDocs/Published/G000/M520/K896/520896345.pdf" TargetMode="External"/><Relationship Id="rId116" Type="http://schemas.openxmlformats.org/officeDocument/2006/relationships/hyperlink" Target="https://docs.cpuc.ca.gov/PublishedDocs/Published/G000/M520/K896/520896345.pdf" TargetMode="External"/><Relationship Id="rId137" Type="http://schemas.openxmlformats.org/officeDocument/2006/relationships/hyperlink" Target="https://docs.cpuc.ca.gov/PublishedDocs/Published/G000/M520/K896/520896345.pdf" TargetMode="External"/><Relationship Id="rId158" Type="http://schemas.openxmlformats.org/officeDocument/2006/relationships/hyperlink" Target="https://docs.cpuc.ca.gov/PublishedDocs/Published/G000/M520/K896/520896345.pdf" TargetMode="External"/><Relationship Id="rId20" Type="http://schemas.openxmlformats.org/officeDocument/2006/relationships/hyperlink" Target="https://docs.cpuc.ca.gov/PublishedDocs/Published/G000/M520/K896/520896345.pdf" TargetMode="External"/><Relationship Id="rId41" Type="http://schemas.openxmlformats.org/officeDocument/2006/relationships/hyperlink" Target="https://docs.cpuc.ca.gov/PublishedDocs/Published/G000/M542/K029/542029029.PDF" TargetMode="External"/><Relationship Id="rId62" Type="http://schemas.openxmlformats.org/officeDocument/2006/relationships/hyperlink" Target="https://docs.cpuc.ca.gov/PublishedDocs/Published/G000/M596/K290/596290082.PDF" TargetMode="External"/><Relationship Id="rId83" Type="http://schemas.openxmlformats.org/officeDocument/2006/relationships/hyperlink" Target="https://docs.cpuc.ca.gov/PublishedDocs/Published/G000/M520/K896/520896345.pdf" TargetMode="External"/><Relationship Id="rId88" Type="http://schemas.openxmlformats.org/officeDocument/2006/relationships/hyperlink" Target="https://docs.cpuc.ca.gov/PublishedDocs/Published/G000/M316/K704/316704666.PDF" TargetMode="External"/><Relationship Id="rId111" Type="http://schemas.openxmlformats.org/officeDocument/2006/relationships/hyperlink" Target="https://www.pge.com/content/dam/pge/docs/about/pge-systems/Gas-RD-Annual-Report.pdf" TargetMode="External"/><Relationship Id="rId132" Type="http://schemas.openxmlformats.org/officeDocument/2006/relationships/hyperlink" Target="https://docs.cpuc.ca.gov/PublishedDocs/Published/G000/M520/K896/520896345.pdf" TargetMode="External"/><Relationship Id="rId153" Type="http://schemas.openxmlformats.org/officeDocument/2006/relationships/hyperlink" Target="https://docs.cpuc.ca.gov/PublishedDocs/Published/G000/M520/K896/520896345.pdf" TargetMode="External"/><Relationship Id="rId174" Type="http://schemas.openxmlformats.org/officeDocument/2006/relationships/hyperlink" Target="https://docs.cpuc.ca.gov/PublishedDocs/Published/G000/M520/K896/520896345.pdf" TargetMode="External"/><Relationship Id="rId179" Type="http://schemas.openxmlformats.org/officeDocument/2006/relationships/hyperlink" Target="https://docs.cpuc.ca.gov/PublishedDocs/Published/G000/M520/K896/520896345.pdf" TargetMode="External"/><Relationship Id="rId15" Type="http://schemas.openxmlformats.org/officeDocument/2006/relationships/hyperlink" Target="https://docs.cpuc.ca.gov/PublishedDocs/Published/G000/M596/K290/596290082.PDF" TargetMode="External"/><Relationship Id="rId36" Type="http://schemas.openxmlformats.org/officeDocument/2006/relationships/hyperlink" Target="https://docs.cpuc.ca.gov/PublishedDocs/Published/G000/M531/K559/531559739.PDF" TargetMode="External"/><Relationship Id="rId57" Type="http://schemas.openxmlformats.org/officeDocument/2006/relationships/hyperlink" Target="https://docs.cpuc.ca.gov/PublishedDocs/Published/G000/M596/K290/596290082.PDF" TargetMode="External"/><Relationship Id="rId106" Type="http://schemas.openxmlformats.org/officeDocument/2006/relationships/hyperlink" Target="https://docs.cpuc.ca.gov/PublishedDocs/Published/G000/M520/K896/520896345.pdf" TargetMode="External"/><Relationship Id="rId127" Type="http://schemas.openxmlformats.org/officeDocument/2006/relationships/hyperlink" Target="https://docs.cpuc.ca.gov/PublishedDocs/Published/G000/M520/K896/520896345.pdf" TargetMode="External"/><Relationship Id="rId10" Type="http://schemas.openxmlformats.org/officeDocument/2006/relationships/hyperlink" Target="https://docs.cpuc.ca.gov/PublishedDocs/Published/G000/M520/K896/520896345.pdf" TargetMode="External"/><Relationship Id="rId31" Type="http://schemas.openxmlformats.org/officeDocument/2006/relationships/hyperlink" Target="https://docs.cpuc.ca.gov/PublishedDocs/Published/G000/M520/K896/520896345.pdf" TargetMode="External"/><Relationship Id="rId52" Type="http://schemas.openxmlformats.org/officeDocument/2006/relationships/hyperlink" Target="https://docs.cpuc.ca.gov/PublishedDocs/Published/G000/M520/K896/520896345.pdf" TargetMode="External"/><Relationship Id="rId73" Type="http://schemas.openxmlformats.org/officeDocument/2006/relationships/hyperlink" Target="https://docs.cpuc.ca.gov/PublishedDocs/Published/G000/M521/K196/521196139.PDF" TargetMode="External"/><Relationship Id="rId78" Type="http://schemas.openxmlformats.org/officeDocument/2006/relationships/hyperlink" Target="https://docs.cpuc.ca.gov/PublishedDocs/Published/G000/M596/K290/596290082.PDF" TargetMode="External"/><Relationship Id="rId94" Type="http://schemas.openxmlformats.org/officeDocument/2006/relationships/hyperlink" Target="https://docs.cpuc.ca.gov/PublishedDocs/Published/G000/M606/K264/606264723.PDF" TargetMode="External"/><Relationship Id="rId99" Type="http://schemas.openxmlformats.org/officeDocument/2006/relationships/hyperlink" Target="https://docs.cpuc.ca.gov/PublishedDocs/Published/G000/M520/K896/520896345.pdf" TargetMode="External"/><Relationship Id="rId101" Type="http://schemas.openxmlformats.org/officeDocument/2006/relationships/hyperlink" Target="https://docs.cpuc.ca.gov/PublishedDocs/Published/G000/M520/K896/520896345.pdf" TargetMode="External"/><Relationship Id="rId122" Type="http://schemas.openxmlformats.org/officeDocument/2006/relationships/hyperlink" Target="https://acrobat.adobe.com/id/urn:aaid:sc:VA6C2:99c90760-e561-4a95-8fbe-82192adb864b" TargetMode="External"/><Relationship Id="rId143" Type="http://schemas.openxmlformats.org/officeDocument/2006/relationships/hyperlink" Target="https://www.pge.com/content/dam/pge/docs/about/pge-systems/2024-gas-annual-research-report.pdf" TargetMode="External"/><Relationship Id="rId148" Type="http://schemas.openxmlformats.org/officeDocument/2006/relationships/hyperlink" Target="https://docs.cpuc.ca.gov/PublishedDocs/Published/G000/M461/K921/461921821.PDF" TargetMode="External"/><Relationship Id="rId164" Type="http://schemas.openxmlformats.org/officeDocument/2006/relationships/hyperlink" Target="https://docs.cpuc.ca.gov/PublishedDocs/Published/G000/M596/K290/596290082.PDF" TargetMode="External"/><Relationship Id="rId169" Type="http://schemas.openxmlformats.org/officeDocument/2006/relationships/hyperlink" Target="https://docs.cpuc.ca.gov/PublishedDocs/Published/G000/M520/K896/520896345.pdf" TargetMode="External"/><Relationship Id="rId185" Type="http://schemas.openxmlformats.org/officeDocument/2006/relationships/hyperlink" Target="https://docs.cpuc.ca.gov/PublishedDocs/Published/G000/M520/K896/520896345.pdf" TargetMode="External"/><Relationship Id="rId4" Type="http://schemas.openxmlformats.org/officeDocument/2006/relationships/hyperlink" Target="https://docs.cpuc.ca.gov/PublishedDocs/Published/G000/M520/K896/520896345.pdf" TargetMode="External"/><Relationship Id="rId9" Type="http://schemas.openxmlformats.org/officeDocument/2006/relationships/hyperlink" Target="https://docs.cpuc.ca.gov/PublishedDocs/Published/G000/M520/K896/520896345.pdf" TargetMode="External"/><Relationship Id="rId180" Type="http://schemas.openxmlformats.org/officeDocument/2006/relationships/hyperlink" Target="https://docs.cpuc.ca.gov/PublishedDocs/Published/G000/M316/K704/316704666.PDF" TargetMode="External"/><Relationship Id="rId26" Type="http://schemas.openxmlformats.org/officeDocument/2006/relationships/hyperlink" Target="https://docs.cpuc.ca.gov/PublishedDocs/Published/G000/M520/K896/520896345.pdf" TargetMode="External"/><Relationship Id="rId47" Type="http://schemas.openxmlformats.org/officeDocument/2006/relationships/hyperlink" Target="https://docs.cpuc.ca.gov/PublishedDocs/Published/G000/M520/K896/520896345.pdf" TargetMode="External"/><Relationship Id="rId68" Type="http://schemas.openxmlformats.org/officeDocument/2006/relationships/hyperlink" Target="https://docs.cpuc.ca.gov/PublishedDocs/Published/G000/M520/K896/520896345.pdf" TargetMode="External"/><Relationship Id="rId89" Type="http://schemas.openxmlformats.org/officeDocument/2006/relationships/hyperlink" Target="https://docs.cpuc.ca.gov/PublishedDocs/Published/G000/M520/K896/520896345.pdf" TargetMode="External"/><Relationship Id="rId112" Type="http://schemas.openxmlformats.org/officeDocument/2006/relationships/hyperlink" Target="https://www.pge.com/content/dam/pge/docs/about/pge-systems/Gas-RD-Annual-Report.pdf" TargetMode="External"/><Relationship Id="rId133" Type="http://schemas.openxmlformats.org/officeDocument/2006/relationships/hyperlink" Target="https://docs.cpuc.ca.gov/PublishedDocs/Published/G000/M461/K921/461921821.PDF" TargetMode="External"/><Relationship Id="rId154" Type="http://schemas.openxmlformats.org/officeDocument/2006/relationships/hyperlink" Target="https://docs.cpuc.ca.gov/PublishedDocs/Published/G000/M520/K896/520896345.pdf" TargetMode="External"/><Relationship Id="rId175" Type="http://schemas.openxmlformats.org/officeDocument/2006/relationships/hyperlink" Target="https://docs.cpuc.ca.gov/PublishedDocs/Published/G000/M500/K216/500216057.PDF" TargetMode="External"/><Relationship Id="rId16" Type="http://schemas.openxmlformats.org/officeDocument/2006/relationships/hyperlink" Target="https://docs.cpuc.ca.gov/PublishedDocs/Published/G000/M520/K896/520896345.pdf" TargetMode="External"/><Relationship Id="rId37" Type="http://schemas.openxmlformats.org/officeDocument/2006/relationships/hyperlink" Target="https://www.cpuc.ca.gov/-/media/cpuc-website/divisions/news-and-outreach/documents/news-office/key-issues/esj/esj-action-plan-v2jw.pdf" TargetMode="External"/><Relationship Id="rId58" Type="http://schemas.openxmlformats.org/officeDocument/2006/relationships/hyperlink" Target="https://docs.cpuc.ca.gov/PublishedDocs/Published/G000/M520/K896/520896345.pdf" TargetMode="External"/><Relationship Id="rId79" Type="http://schemas.openxmlformats.org/officeDocument/2006/relationships/hyperlink" Target="https://docs.cpuc.ca.gov/PublishedDocs/Published/G000/M520/K896/520896345.pdf" TargetMode="External"/><Relationship Id="rId102" Type="http://schemas.openxmlformats.org/officeDocument/2006/relationships/hyperlink" Target="https://docs.cpuc.ca.gov/PublishedDocs/Published/G000/M520/K896/520896345.pdf" TargetMode="External"/><Relationship Id="rId123" Type="http://schemas.openxmlformats.org/officeDocument/2006/relationships/hyperlink" Target="https://docs.cpuc.ca.gov/PublishedDocs/Published/G000/M316/K704/316704666.PDF" TargetMode="External"/><Relationship Id="rId144" Type="http://schemas.openxmlformats.org/officeDocument/2006/relationships/hyperlink" Target="https://docs.cpuc.ca.gov/PublishedDocs/Published/G000/M520/K896/520896345.pdf" TargetMode="External"/><Relationship Id="rId90" Type="http://schemas.openxmlformats.org/officeDocument/2006/relationships/hyperlink" Target="https://www.pge.com/content/dam/pge/docs/about/pge-systems/2025-gas-annual-research-report.pdf" TargetMode="External"/><Relationship Id="rId165" Type="http://schemas.openxmlformats.org/officeDocument/2006/relationships/hyperlink" Target="blob:https://tariffsprd.socalgas.com/401841d4-bfc8-4600-a8f1-bf0b9955e547" TargetMode="External"/><Relationship Id="rId186" Type="http://schemas.openxmlformats.org/officeDocument/2006/relationships/hyperlink" Target="https://www.pge.com/en/about/pge-systems/research-and-development.html" TargetMode="External"/><Relationship Id="rId27" Type="http://schemas.openxmlformats.org/officeDocument/2006/relationships/hyperlink" Target="https://docs.cpuc.ca.gov/PublishedDocs/Published/G000/M596/K290/596290082.PDF" TargetMode="External"/><Relationship Id="rId48" Type="http://schemas.openxmlformats.org/officeDocument/2006/relationships/hyperlink" Target="https://docs.cpuc.ca.gov/PublishedDocs/Published/G000/M520/K896/520896345.pdf" TargetMode="External"/><Relationship Id="rId69" Type="http://schemas.openxmlformats.org/officeDocument/2006/relationships/hyperlink" Target="https://docs.cpuc.ca.gov/PublishedDocs/Published/G000/M596/K290/596290082.PDF" TargetMode="External"/><Relationship Id="rId113" Type="http://schemas.openxmlformats.org/officeDocument/2006/relationships/hyperlink" Target="https://www.pge.com/content/dam/pge/docs/about/pge-systems/Gas-RD-Annual-Report.pdf" TargetMode="External"/><Relationship Id="rId134" Type="http://schemas.openxmlformats.org/officeDocument/2006/relationships/hyperlink" Target="https://docs.cpuc.ca.gov/PublishedDocs/Published/G000/M520/K896/520896345.pdf" TargetMode="External"/><Relationship Id="rId80" Type="http://schemas.openxmlformats.org/officeDocument/2006/relationships/hyperlink" Target="https://docs.cpuc.ca.gov/PublishedDocs/Published/G000/M596/K290/596290082.PDF" TargetMode="External"/><Relationship Id="rId155" Type="http://schemas.openxmlformats.org/officeDocument/2006/relationships/hyperlink" Target="https://docs.cpuc.ca.gov/PublishedDocs/Published/G000/M520/K896/520896345.pdf" TargetMode="External"/><Relationship Id="rId176" Type="http://schemas.openxmlformats.org/officeDocument/2006/relationships/hyperlink" Target="https://docs.cpuc.ca.gov/PublishedDocs/Published/G000/M520/K896/520896345.pdf" TargetMode="External"/><Relationship Id="rId17" Type="http://schemas.openxmlformats.org/officeDocument/2006/relationships/hyperlink" Target="https://docs.cpuc.ca.gov/PublishedDocs/Published/G000/M520/K896/520896345.pdf" TargetMode="External"/><Relationship Id="rId38" Type="http://schemas.openxmlformats.org/officeDocument/2006/relationships/hyperlink" Target="https://docs.cpuc.ca.gov/PublishedDocs/Published/G000/M520/K896/520896345.pdf" TargetMode="External"/><Relationship Id="rId59" Type="http://schemas.openxmlformats.org/officeDocument/2006/relationships/hyperlink" Target="https://docs.cpuc.ca.gov/PublishedDocs/Published/G000/M596/K290/596290082.PDF" TargetMode="External"/><Relationship Id="rId103" Type="http://schemas.openxmlformats.org/officeDocument/2006/relationships/hyperlink" Target="https://docs.cpuc.ca.gov/PublishedDocs/Published/G000/M461/K921/461921821.PDF" TargetMode="External"/><Relationship Id="rId124" Type="http://schemas.openxmlformats.org/officeDocument/2006/relationships/hyperlink" Target="https://docs.cpuc.ca.gov/PublishedDocs/Published/G000/M520/K896/520896345.pdf" TargetMode="External"/><Relationship Id="rId70" Type="http://schemas.openxmlformats.org/officeDocument/2006/relationships/hyperlink" Target="https://docs.cpuc.ca.gov/PublishedDocs/Published/G000/M606/K264/606264723.PDF" TargetMode="External"/><Relationship Id="rId91" Type="http://schemas.openxmlformats.org/officeDocument/2006/relationships/hyperlink" Target="https://docs.cpuc.ca.gov/PublishedDocs/Published/G000/M596/K290/596290082.PDF" TargetMode="External"/><Relationship Id="rId145" Type="http://schemas.openxmlformats.org/officeDocument/2006/relationships/hyperlink" Target="https://docs.cpuc.ca.gov/PublishedDocs/Published/G000/M520/K896/520896345.pdf" TargetMode="External"/><Relationship Id="rId166" Type="http://schemas.openxmlformats.org/officeDocument/2006/relationships/hyperlink" Target="blob:https://tariffsprd.socalgas.com/401841d4-bfc8-4600-a8f1-bf0b9955e547" TargetMode="External"/><Relationship Id="rId187" Type="http://schemas.openxmlformats.org/officeDocument/2006/relationships/hyperlink" Target="https://docs.cpuc.ca.gov/PublishedDocs/Published/G000/M520/K896/520896345.pdf" TargetMode="External"/><Relationship Id="rId1" Type="http://schemas.openxmlformats.org/officeDocument/2006/relationships/hyperlink" Target="https://docs.cpuc.ca.gov/PublishedDocs/Published/G000/M520/K896/520896345.pdf" TargetMode="External"/><Relationship Id="rId28" Type="http://schemas.openxmlformats.org/officeDocument/2006/relationships/hyperlink" Target="https://docs.cpuc.ca.gov/PublishedDocs/Published/G000/M520/K896/520896345.pdf" TargetMode="External"/><Relationship Id="rId49" Type="http://schemas.openxmlformats.org/officeDocument/2006/relationships/hyperlink" Target="https://docs.cpuc.ca.gov/PublishedDocs/Published/G000/M350/K789/350789679.PDF" TargetMode="External"/><Relationship Id="rId114" Type="http://schemas.openxmlformats.org/officeDocument/2006/relationships/hyperlink" Target="https://www.pge.com/content/dam/pge/docs/about/pge-systems/Gas-RD-Annual-Report.pdf" TargetMode="External"/><Relationship Id="rId60" Type="http://schemas.openxmlformats.org/officeDocument/2006/relationships/hyperlink" Target="https://docs.cpuc.ca.gov/PublishedDocs/Published/G000/M520/K896/520896345.pdf" TargetMode="External"/><Relationship Id="rId81" Type="http://schemas.openxmlformats.org/officeDocument/2006/relationships/hyperlink" Target="https://docs.cpuc.ca.gov/PublishedDocs/Published/G000/M596/K290/596290082.PDF" TargetMode="External"/><Relationship Id="rId135" Type="http://schemas.openxmlformats.org/officeDocument/2006/relationships/hyperlink" Target="https://docs.cpuc.ca.gov/PublishedDocs/Published/G000/M520/K896/520896345.pdf" TargetMode="External"/><Relationship Id="rId156" Type="http://schemas.openxmlformats.org/officeDocument/2006/relationships/hyperlink" Target="https://docs.cpuc.ca.gov/PublishedDocs/Published/G000/M596/K290/596290082.PDF" TargetMode="External"/><Relationship Id="rId177" Type="http://schemas.openxmlformats.org/officeDocument/2006/relationships/hyperlink" Target="https://docs.cpuc.ca.gov/PublishedDocs/Published/G000/M520/K896/520896345.pdf" TargetMode="External"/></Relationships>
</file>

<file path=word/documenttasks/documenttasks1.xml><?xml version="1.0" encoding="utf-8"?>
<t:Tasks xmlns:t="http://schemas.microsoft.com/office/tasks/2019/documenttasks" xmlns:oel="http://schemas.microsoft.com/office/2019/extlst">
  <t:Task id="{223B2357-2E82-4ADF-8CC4-10E1C805FAAE}">
    <t:Anchor>
      <t:Comment id="1503713674"/>
    </t:Anchor>
    <t:History>
      <t:Event id="{D43F7578-24B4-4D33-B293-5F3F1AC7A4CE}" time="2025-10-31T23:58:36.956Z">
        <t:Attribution userId="S::Emma.Maggioncalda@cpuc.ca.gov::04b19d06-8061-498c-9f8b-9f490a17b367" userProvider="AD" userName="Maggioncalda, Emma"/>
        <t:Anchor>
          <t:Comment id="1279940741"/>
        </t:Anchor>
        <t:Create/>
      </t:Event>
      <t:Event id="{D299505C-78B9-4A56-BA0A-7767ACAB3C76}" time="2025-10-31T23:58:36.956Z">
        <t:Attribution userId="S::Emma.Maggioncalda@cpuc.ca.gov::04b19d06-8061-498c-9f8b-9f490a17b367" userProvider="AD" userName="Maggioncalda, Emma"/>
        <t:Anchor>
          <t:Comment id="1279940741"/>
        </t:Anchor>
        <t:Assign userId="S::Adam.Banasiak@cpuc.ca.gov::31e8da65-439a-4d3a-ae19-68753a164d4e" userProvider="AD" userName="Banasiak, Adam"/>
      </t:Event>
      <t:Event id="{3EF78514-E6C3-4564-BF80-018B95470E80}" time="2025-10-31T23:58:36.956Z">
        <t:Attribution userId="S::Emma.Maggioncalda@cpuc.ca.gov::04b19d06-8061-498c-9f8b-9f490a17b367" userProvider="AD" userName="Maggioncalda, Emma"/>
        <t:Anchor>
          <t:Comment id="1279940741"/>
        </t:Anchor>
        <t:SetTitle title="@Banasiak, Adam should it be italicized instead?"/>
      </t:Event>
    </t:History>
  </t:Task>
  <t:Task id="{9EDD03D1-597C-4D61-8EC6-766E6C364A88}">
    <t:Anchor>
      <t:Comment id="1748399283"/>
    </t:Anchor>
    <t:History>
      <t:Event id="{06BD5850-EC16-4896-8518-470E4E5CF3E9}" time="2025-11-18T22:12:43.335Z">
        <t:Attribution userId="S::emma.maggioncalda@cpuc.ca.gov::04b19d06-8061-498c-9f8b-9f490a17b367" userProvider="AD" userName="Maggioncalda, Emma"/>
        <t:Anchor>
          <t:Comment id="1748399283"/>
        </t:Anchor>
        <t:Create/>
      </t:Event>
      <t:Event id="{D5A81266-0CBA-4151-958D-705DFCB9AA58}" time="2025-11-18T22:12:43.335Z">
        <t:Attribution userId="S::emma.maggioncalda@cpuc.ca.gov::04b19d06-8061-498c-9f8b-9f490a17b367" userProvider="AD" userName="Maggioncalda, Emma"/>
        <t:Anchor>
          <t:Comment id="1748399283"/>
        </t:Anchor>
        <t:Assign userId="S::cheryl.cox@cpuc.ca.gov::a941440a-de9b-4d0b-a0ae-558846c7a55e" userProvider="AD" userName="Cox, Cheryl"/>
      </t:Event>
      <t:Event id="{18D280A3-5827-43C6-8153-1EDABC090E1B}" time="2025-11-18T22:12:43.335Z">
        <t:Attribution userId="S::emma.maggioncalda@cpuc.ca.gov::04b19d06-8061-498c-9f8b-9f490a17b367" userProvider="AD" userName="Maggioncalda, Emma"/>
        <t:Anchor>
          <t:Comment id="1748399283"/>
        </t:Anchor>
        <t:SetTitle title="@Cox, Cheryl this is specific to Appendix G/PG&amp;E's 2025 Plan - not included above in Appendix 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33b4ee-19ab-4e7c-9ae9-c0c4a93664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6AFD70758EBD4D89983F03164F0CE9" ma:contentTypeVersion="11" ma:contentTypeDescription="Create a new document." ma:contentTypeScope="" ma:versionID="a55176f9a4e294c1f4c182d5cc075dc3">
  <xsd:schema xmlns:xsd="http://www.w3.org/2001/XMLSchema" xmlns:xs="http://www.w3.org/2001/XMLSchema" xmlns:p="http://schemas.microsoft.com/office/2006/metadata/properties" xmlns:ns3="cf33b4ee-19ab-4e7c-9ae9-c0c4a93664a5" targetNamespace="http://schemas.microsoft.com/office/2006/metadata/properties" ma:root="true" ma:fieldsID="804adb9601aa5f67f8d805b6cb7e533c" ns3:_="">
    <xsd:import namespace="cf33b4ee-19ab-4e7c-9ae9-c0c4a93664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3b4ee-19ab-4e7c-9ae9-c0c4a93664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2.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cf33b4ee-19ab-4e7c-9ae9-c0c4a93664a5"/>
  </ds:schemaRefs>
</ds:datastoreItem>
</file>

<file path=customXml/itemProps3.xml><?xml version="1.0" encoding="utf-8"?>
<ds:datastoreItem xmlns:ds="http://schemas.openxmlformats.org/officeDocument/2006/customXml" ds:itemID="{B811A102-ECA3-434B-9B94-29F8F101D106}">
  <ds:schemaRefs>
    <ds:schemaRef ds:uri="http://schemas.openxmlformats.org/officeDocument/2006/bibliography"/>
  </ds:schemaRefs>
</ds:datastoreItem>
</file>

<file path=customXml/itemProps4.xml><?xml version="1.0" encoding="utf-8"?>
<ds:datastoreItem xmlns:ds="http://schemas.openxmlformats.org/officeDocument/2006/customXml" ds:itemID="{7FBAD0EC-8400-4BDB-B091-C0599306E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3b4ee-19ab-4e7c-9ae9-c0c4a9366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95</ap:Pages>
  <ap:Words>23630</ap:Words>
  <ap:Characters>134697</ap:Characters>
  <ap:Application>Microsoft Office Word</ap:Application>
  <ap:DocSecurity>0</ap:DocSecurity>
  <ap:Lines>1122</ap:Lines>
  <ap:Paragraphs>316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158011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2026-08-14T09:01:16Z</dcterms:created>
  <dcterms:modified xsi:type="dcterms:W3CDTF">2026-08-14T09:01:16Z</dcterms:modified>
</cp:coreProperties>
</file>