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5930" w:rsidR="00FE5930" w:rsidP="00FE5930" w:rsidRDefault="0088628C" w14:paraId="55C575BB" w14:textId="2B58BAFF">
      <w:pPr>
        <w:rPr>
          <w:color w:val="000000"/>
          <w:szCs w:val="26"/>
        </w:rPr>
      </w:pPr>
      <w:r w:rsidRPr="00FE5930">
        <w:rPr>
          <w:szCs w:val="26"/>
        </w:rPr>
        <w:t xml:space="preserve">Decision </w:t>
      </w:r>
      <w:r w:rsidRPr="00FE5930" w:rsidR="00FE5930">
        <w:rPr>
          <w:color w:val="000000"/>
          <w:szCs w:val="26"/>
        </w:rPr>
        <w:t>26-08-034</w:t>
      </w:r>
      <w:r w:rsidR="00FE5930">
        <w:rPr>
          <w:color w:val="000000"/>
          <w:szCs w:val="26"/>
        </w:rPr>
        <w:tab/>
      </w:r>
      <w:r w:rsidR="00FE5930">
        <w:t>August 13, 2026</w:t>
      </w:r>
    </w:p>
    <w:p w:rsidRPr="00BB37A6" w:rsidR="0088628C" w:rsidP="0088628C" w:rsidRDefault="0088628C" w14:paraId="619F4167" w14:textId="77777777">
      <w:pPr>
        <w:pStyle w:val="BodyText"/>
        <w:spacing w:line="240" w:lineRule="auto"/>
        <w:ind w:firstLine="0"/>
        <w:rPr>
          <w:szCs w:val="26"/>
        </w:rPr>
      </w:pPr>
      <w:r w:rsidRPr="00BB37A6">
        <w:rPr>
          <w:szCs w:val="26"/>
        </w:rPr>
        <w:fldChar w:fldCharType="begin"/>
      </w:r>
      <w:r w:rsidRPr="00BB37A6">
        <w:rPr>
          <w:szCs w:val="26"/>
        </w:rPr>
        <w:instrText xml:space="preserve"> ASK Initials "Enter your initials in all CAPS (e.g. ATTY)" [/d "ATTY"]Initials  \* MERGEFORMAT </w:instrText>
      </w:r>
      <w:r w:rsidRPr="00BB37A6">
        <w:rPr>
          <w:szCs w:val="26"/>
        </w:rPr>
        <w:fldChar w:fldCharType="end"/>
      </w:r>
    </w:p>
    <w:p w:rsidRPr="00BB37A6" w:rsidR="0088628C" w:rsidP="0088628C" w:rsidRDefault="0088628C" w14:paraId="359CF791" w14:textId="77777777">
      <w:pPr>
        <w:pStyle w:val="BriefHeading"/>
        <w:rPr>
          <w:sz w:val="26"/>
          <w:szCs w:val="26"/>
        </w:rPr>
      </w:pPr>
      <w:r w:rsidRPr="00BB37A6">
        <w:rPr>
          <w:sz w:val="26"/>
          <w:szCs w:val="26"/>
        </w:rPr>
        <w:fldChar w:fldCharType="begin"/>
      </w:r>
      <w:r w:rsidRPr="00BB37A6">
        <w:rPr>
          <w:sz w:val="26"/>
          <w:szCs w:val="26"/>
        </w:rPr>
        <w:instrText xml:space="preserve"> ASK AgendaNo "Enter the agenda item number (e.g. CA-4)" [/d "Agenda Item No."] \* MERGEFORMAT </w:instrText>
      </w:r>
      <w:r w:rsidRPr="00BB37A6">
        <w:rPr>
          <w:sz w:val="26"/>
          <w:szCs w:val="26"/>
        </w:rPr>
        <w:fldChar w:fldCharType="end"/>
      </w:r>
      <w:r w:rsidRPr="00BB37A6">
        <w:rPr>
          <w:sz w:val="26"/>
          <w:szCs w:val="26"/>
        </w:rPr>
        <w:t xml:space="preserve">Before The Public Utilities Commission Of The State Of California </w:t>
      </w:r>
    </w:p>
    <w:p w:rsidRPr="00BB37A6" w:rsidR="0088628C" w:rsidP="0088628C" w:rsidRDefault="0088628C" w14:paraId="61D245C6" w14:textId="77777777">
      <w:pPr>
        <w:pStyle w:val="BriefHeading"/>
        <w:tabs>
          <w:tab w:val="clear" w:pos="5040"/>
        </w:tabs>
        <w:jc w:val="left"/>
        <w:rPr>
          <w:sz w:val="26"/>
          <w:szCs w:val="26"/>
        </w:rPr>
      </w:pPr>
    </w:p>
    <w:p w:rsidRPr="00BB37A6" w:rsidR="0088628C" w:rsidP="0088628C" w:rsidRDefault="0088628C" w14:paraId="5ACB9D70" w14:textId="77777777">
      <w:pPr>
        <w:pStyle w:val="BriefHeading"/>
        <w:tabs>
          <w:tab w:val="clear" w:pos="5040"/>
        </w:tabs>
        <w:jc w:val="left"/>
        <w:rPr>
          <w:sz w:val="26"/>
          <w:szCs w:val="26"/>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950"/>
        <w:gridCol w:w="3906"/>
      </w:tblGrid>
      <w:tr w:rsidRPr="00BB37A6" w:rsidR="0088628C" w14:paraId="0EC49F3C" w14:textId="77777777">
        <w:tc>
          <w:tcPr>
            <w:tcW w:w="4950" w:type="dxa"/>
            <w:tcBorders>
              <w:top w:val="nil"/>
              <w:left w:val="nil"/>
              <w:bottom w:val="single" w:color="auto" w:sz="4" w:space="0"/>
            </w:tcBorders>
          </w:tcPr>
          <w:p w:rsidRPr="00BB37A6" w:rsidR="0088628C" w:rsidRDefault="001B19D6" w14:paraId="5063A9BA" w14:textId="60E99476">
            <w:pPr>
              <w:tabs>
                <w:tab w:val="clear" w:pos="5040"/>
              </w:tabs>
              <w:overflowPunct/>
              <w:textAlignment w:val="auto"/>
              <w:rPr>
                <w:szCs w:val="26"/>
              </w:rPr>
            </w:pPr>
            <w:r w:rsidRPr="00BB37A6">
              <w:rPr>
                <w:szCs w:val="26"/>
              </w:rPr>
              <w:t>Application of Pacific Gas and Electric Company for Recovery of Recorded Expenditures Related to Wildfire Mitigation, Catastrophic Events, and Other Recorded Costs. (U39M).</w:t>
            </w:r>
          </w:p>
          <w:p w:rsidRPr="00BB37A6" w:rsidR="0088628C" w:rsidRDefault="0088628C" w14:paraId="1A732ED2" w14:textId="77777777">
            <w:pPr>
              <w:tabs>
                <w:tab w:val="clear" w:pos="5040"/>
              </w:tabs>
              <w:overflowPunct/>
              <w:textAlignment w:val="auto"/>
              <w:rPr>
                <w:szCs w:val="26"/>
              </w:rPr>
            </w:pPr>
          </w:p>
        </w:tc>
        <w:tc>
          <w:tcPr>
            <w:tcW w:w="3906" w:type="dxa"/>
            <w:tcBorders>
              <w:top w:val="nil"/>
              <w:bottom w:val="nil"/>
              <w:right w:val="nil"/>
            </w:tcBorders>
          </w:tcPr>
          <w:p w:rsidRPr="00BB37A6" w:rsidR="0088628C" w:rsidRDefault="0088628C" w14:paraId="4FD7F77E" w14:textId="77777777">
            <w:pPr>
              <w:tabs>
                <w:tab w:val="clear" w:pos="5040"/>
              </w:tabs>
              <w:overflowPunct/>
              <w:textAlignment w:val="auto"/>
              <w:rPr>
                <w:szCs w:val="26"/>
              </w:rPr>
            </w:pPr>
            <w:bookmarkStart w:name="Caption" w:id="0"/>
            <w:bookmarkStart w:name="CaseNo" w:id="1"/>
            <w:bookmarkEnd w:id="0"/>
            <w:bookmarkEnd w:id="1"/>
          </w:p>
          <w:p w:rsidRPr="00BB37A6" w:rsidR="0088628C" w:rsidRDefault="0088628C" w14:paraId="2B3E885F" w14:textId="77777777">
            <w:pPr>
              <w:tabs>
                <w:tab w:val="clear" w:pos="5040"/>
              </w:tabs>
              <w:overflowPunct/>
              <w:textAlignment w:val="auto"/>
              <w:rPr>
                <w:szCs w:val="26"/>
              </w:rPr>
            </w:pPr>
          </w:p>
          <w:p w:rsidRPr="00BB37A6" w:rsidR="0088628C" w:rsidRDefault="0088628C" w14:paraId="1902780F" w14:textId="3E7878F0">
            <w:pPr>
              <w:tabs>
                <w:tab w:val="clear" w:pos="5040"/>
              </w:tabs>
              <w:overflowPunct/>
              <w:jc w:val="center"/>
              <w:textAlignment w:val="auto"/>
              <w:rPr>
                <w:szCs w:val="26"/>
              </w:rPr>
            </w:pPr>
            <w:r w:rsidRPr="00BB37A6">
              <w:rPr>
                <w:szCs w:val="26"/>
              </w:rPr>
              <w:t xml:space="preserve">Application </w:t>
            </w:r>
            <w:r w:rsidRPr="00BB37A6" w:rsidR="0033576D">
              <w:rPr>
                <w:szCs w:val="26"/>
              </w:rPr>
              <w:t>23-12-001</w:t>
            </w:r>
          </w:p>
        </w:tc>
      </w:tr>
    </w:tbl>
    <w:p w:rsidRPr="00BB37A6" w:rsidR="0088628C" w:rsidP="0088628C" w:rsidRDefault="0088628C" w14:paraId="281D74B9" w14:textId="77777777">
      <w:pPr>
        <w:pStyle w:val="BriefHeading"/>
        <w:jc w:val="left"/>
        <w:rPr>
          <w:sz w:val="26"/>
          <w:szCs w:val="26"/>
        </w:rPr>
      </w:pPr>
    </w:p>
    <w:p w:rsidRPr="00BB37A6" w:rsidR="0088628C" w:rsidP="0088628C" w:rsidRDefault="0088628C" w14:paraId="0D13B254" w14:textId="77777777">
      <w:pPr>
        <w:pStyle w:val="BriefHeading"/>
        <w:jc w:val="left"/>
        <w:rPr>
          <w:sz w:val="26"/>
          <w:szCs w:val="26"/>
        </w:rPr>
      </w:pPr>
    </w:p>
    <w:p w:rsidRPr="00BB37A6" w:rsidR="0088628C" w:rsidP="0088628C" w:rsidRDefault="0088628C" w14:paraId="47AD012E" w14:textId="6E350602">
      <w:pPr>
        <w:pStyle w:val="BriefTitle"/>
        <w:rPr>
          <w:szCs w:val="26"/>
          <w:u w:val="single"/>
        </w:rPr>
      </w:pPr>
      <w:bookmarkStart w:name="_Toc370798909" w:id="2"/>
      <w:r w:rsidRPr="00BB37A6">
        <w:rPr>
          <w:szCs w:val="26"/>
          <w:u w:val="single"/>
        </w:rPr>
        <w:t xml:space="preserve">Order </w:t>
      </w:r>
      <w:r w:rsidRPr="00BB37A6" w:rsidR="0033576D">
        <w:rPr>
          <w:szCs w:val="26"/>
          <w:u w:val="single"/>
        </w:rPr>
        <w:t xml:space="preserve">MODIFYING DECISION 26-02-004 AND </w:t>
      </w:r>
      <w:r w:rsidRPr="00BB37A6">
        <w:rPr>
          <w:szCs w:val="26"/>
          <w:u w:val="single"/>
        </w:rPr>
        <w:t xml:space="preserve">Denying rehearing of </w:t>
      </w:r>
      <w:r w:rsidRPr="00BB37A6" w:rsidR="0033576D">
        <w:rPr>
          <w:szCs w:val="26"/>
          <w:u w:val="single"/>
        </w:rPr>
        <w:t xml:space="preserve">THE </w:t>
      </w:r>
      <w:r w:rsidRPr="00BB37A6">
        <w:rPr>
          <w:szCs w:val="26"/>
          <w:u w:val="single"/>
        </w:rPr>
        <w:t>Decision</w:t>
      </w:r>
      <w:r w:rsidRPr="00BB37A6" w:rsidR="0033576D">
        <w:rPr>
          <w:szCs w:val="26"/>
          <w:u w:val="single"/>
        </w:rPr>
        <w:t>, AS MODIFIED</w:t>
      </w:r>
    </w:p>
    <w:p w:rsidRPr="00BB37A6" w:rsidR="0088628C" w:rsidP="0088628C" w:rsidRDefault="0088628C" w14:paraId="5313122F" w14:textId="77777777">
      <w:pPr>
        <w:pStyle w:val="BriefTitle"/>
        <w:jc w:val="left"/>
        <w:rPr>
          <w:b w:val="0"/>
          <w:bCs/>
          <w:szCs w:val="26"/>
        </w:rPr>
      </w:pPr>
    </w:p>
    <w:p w:rsidRPr="00BB37A6" w:rsidR="0088628C" w:rsidP="0088628C" w:rsidRDefault="0088628C" w14:paraId="1DAD7210" w14:textId="77777777">
      <w:pPr>
        <w:pStyle w:val="BriefTitle"/>
        <w:jc w:val="left"/>
        <w:rPr>
          <w:b w:val="0"/>
          <w:bCs/>
          <w:szCs w:val="26"/>
        </w:rPr>
      </w:pPr>
    </w:p>
    <w:bookmarkEnd w:id="2"/>
    <w:p w:rsidRPr="00BB37A6" w:rsidR="0088628C" w:rsidP="0088628C" w:rsidRDefault="0088628C" w14:paraId="21FD9340" w14:textId="77777777">
      <w:pPr>
        <w:pStyle w:val="Heading1"/>
        <w:spacing w:before="0"/>
      </w:pPr>
      <w:r w:rsidRPr="00BB37A6">
        <w:t>INTRODUCTION</w:t>
      </w:r>
    </w:p>
    <w:p w:rsidRPr="00BB37A6" w:rsidR="00A46CE5" w:rsidP="00A46CE5" w:rsidRDefault="0088628C" w14:paraId="14243E1E" w14:textId="3DA3EE20">
      <w:pPr>
        <w:pStyle w:val="Standard0"/>
        <w:ind w:firstLine="1440"/>
        <w:rPr>
          <w:rFonts w:ascii="Times New Roman" w:hAnsi="Times New Roman" w:cs="Times New Roman"/>
          <w:szCs w:val="26"/>
        </w:rPr>
      </w:pPr>
      <w:r w:rsidRPr="00BB37A6">
        <w:rPr>
          <w:rFonts w:ascii="Times New Roman" w:hAnsi="Times New Roman" w:eastAsia="Times New Roman" w:cs="Times New Roman"/>
          <w:szCs w:val="26"/>
        </w:rPr>
        <w:t xml:space="preserve">In Decision (D.) </w:t>
      </w:r>
      <w:r w:rsidRPr="00BB37A6" w:rsidR="001B19D6">
        <w:rPr>
          <w:rFonts w:ascii="Times New Roman" w:hAnsi="Times New Roman" w:eastAsia="Times New Roman" w:cs="Times New Roman"/>
          <w:szCs w:val="26"/>
        </w:rPr>
        <w:t>26-02-004</w:t>
      </w:r>
      <w:r w:rsidRPr="00BB37A6">
        <w:rPr>
          <w:rFonts w:ascii="Times New Roman" w:hAnsi="Times New Roman" w:eastAsia="Times New Roman" w:cs="Times New Roman"/>
          <w:szCs w:val="26"/>
        </w:rPr>
        <w:t xml:space="preserve"> (Decision)</w:t>
      </w:r>
      <w:r w:rsidRPr="00BB37A6">
        <w:rPr>
          <w:rStyle w:val="FootnoteReference"/>
          <w:rFonts w:cs="Times New Roman"/>
          <w:sz w:val="26"/>
          <w:szCs w:val="26"/>
        </w:rPr>
        <w:footnoteReference w:id="2"/>
      </w:r>
      <w:r w:rsidRPr="00BB37A6">
        <w:rPr>
          <w:rFonts w:ascii="Times New Roman" w:hAnsi="Times New Roman" w:eastAsia="Times New Roman" w:cs="Times New Roman"/>
          <w:szCs w:val="26"/>
        </w:rPr>
        <w:t xml:space="preserve"> we </w:t>
      </w:r>
      <w:r w:rsidRPr="00BB37A6" w:rsidR="00AD0DA2">
        <w:rPr>
          <w:rFonts w:ascii="Times New Roman" w:hAnsi="Times New Roman" w:cs="Times New Roman"/>
          <w:szCs w:val="26"/>
        </w:rPr>
        <w:t xml:space="preserve">authorized </w:t>
      </w:r>
      <w:r w:rsidRPr="00BB37A6" w:rsidR="00AA7975">
        <w:rPr>
          <w:rFonts w:ascii="Times New Roman" w:hAnsi="Times New Roman" w:cs="Times New Roman"/>
          <w:szCs w:val="26"/>
        </w:rPr>
        <w:t>Pacific Gas and Electric Company (</w:t>
      </w:r>
      <w:r w:rsidRPr="00BB37A6" w:rsidR="00AD0DA2">
        <w:rPr>
          <w:rFonts w:ascii="Times New Roman" w:hAnsi="Times New Roman" w:cs="Times New Roman"/>
          <w:szCs w:val="26"/>
        </w:rPr>
        <w:t>PG&amp;E</w:t>
      </w:r>
      <w:r w:rsidRPr="00BB37A6" w:rsidR="00AA7975">
        <w:rPr>
          <w:rFonts w:ascii="Times New Roman" w:hAnsi="Times New Roman" w:cs="Times New Roman"/>
          <w:szCs w:val="26"/>
        </w:rPr>
        <w:t>)</w:t>
      </w:r>
      <w:r w:rsidRPr="00BB37A6" w:rsidR="00AD0DA2">
        <w:rPr>
          <w:rFonts w:ascii="Times New Roman" w:hAnsi="Times New Roman" w:cs="Times New Roman"/>
          <w:szCs w:val="26"/>
        </w:rPr>
        <w:t xml:space="preserve"> to recover $1.607 billion in revenue requirement of the approximately $2.1 billion PG&amp;E requested for wildfire mitigation, vegetation management, catastrophic events, and other costs incurred in 2022.  (Decision at 1-2.)  </w:t>
      </w:r>
      <w:r w:rsidRPr="00BB37A6" w:rsidR="008451CD">
        <w:rPr>
          <w:rFonts w:ascii="Times New Roman" w:hAnsi="Times New Roman" w:cs="Times New Roman"/>
          <w:szCs w:val="26"/>
        </w:rPr>
        <w:t>We</w:t>
      </w:r>
      <w:r w:rsidRPr="00BB37A6" w:rsidR="00AD0DA2">
        <w:rPr>
          <w:rFonts w:ascii="Times New Roman" w:hAnsi="Times New Roman" w:cs="Times New Roman"/>
          <w:szCs w:val="26"/>
        </w:rPr>
        <w:t xml:space="preserve"> approved a partial settlement agreement regarding all costs requested for recovery, except the costs for vegetation management recorded in PG&amp;E’s Vegetation Management Balancing Account (VMBA).  (</w:t>
      </w:r>
      <w:r w:rsidRPr="00BB37A6" w:rsidR="00AD0DA2">
        <w:rPr>
          <w:rFonts w:ascii="Times New Roman" w:hAnsi="Times New Roman" w:cs="Times New Roman"/>
          <w:i/>
          <w:iCs/>
          <w:szCs w:val="26"/>
        </w:rPr>
        <w:t xml:space="preserve">Id. </w:t>
      </w:r>
      <w:r w:rsidRPr="00BB37A6" w:rsidR="00AD0DA2">
        <w:rPr>
          <w:rFonts w:ascii="Times New Roman" w:hAnsi="Times New Roman" w:cs="Times New Roman"/>
          <w:szCs w:val="26"/>
        </w:rPr>
        <w:t xml:space="preserve">at 1.)  Relevant here, PG&amp;E had recorded $816.4 million for its </w:t>
      </w:r>
      <w:r w:rsidRPr="00BB37A6" w:rsidR="008451CD">
        <w:rPr>
          <w:rFonts w:ascii="Times New Roman" w:hAnsi="Times New Roman" w:cs="Times New Roman"/>
          <w:szCs w:val="26"/>
        </w:rPr>
        <w:t xml:space="preserve">enhanced </w:t>
      </w:r>
      <w:r w:rsidRPr="00BB37A6" w:rsidR="00033D68">
        <w:rPr>
          <w:rFonts w:ascii="Times New Roman" w:hAnsi="Times New Roman" w:cs="Times New Roman"/>
          <w:szCs w:val="26"/>
        </w:rPr>
        <w:t>vegetation</w:t>
      </w:r>
      <w:r w:rsidRPr="00BB37A6" w:rsidR="008451CD">
        <w:rPr>
          <w:rFonts w:ascii="Times New Roman" w:hAnsi="Times New Roman" w:cs="Times New Roman"/>
          <w:szCs w:val="26"/>
        </w:rPr>
        <w:t xml:space="preserve"> management (</w:t>
      </w:r>
      <w:r w:rsidRPr="00BB37A6" w:rsidR="00AD0DA2">
        <w:rPr>
          <w:rFonts w:ascii="Times New Roman" w:hAnsi="Times New Roman" w:cs="Times New Roman"/>
          <w:szCs w:val="26"/>
        </w:rPr>
        <w:t>EVM</w:t>
      </w:r>
      <w:r w:rsidRPr="00BB37A6" w:rsidR="008451CD">
        <w:rPr>
          <w:rFonts w:ascii="Times New Roman" w:hAnsi="Times New Roman" w:cs="Times New Roman"/>
          <w:szCs w:val="26"/>
        </w:rPr>
        <w:t>)</w:t>
      </w:r>
      <w:r w:rsidRPr="00BB37A6" w:rsidR="00AD0DA2">
        <w:rPr>
          <w:rFonts w:ascii="Times New Roman" w:hAnsi="Times New Roman" w:cs="Times New Roman"/>
          <w:szCs w:val="26"/>
        </w:rPr>
        <w:t xml:space="preserve"> program in this account, of which $353.4 million was subject to a reasonableness review</w:t>
      </w:r>
      <w:r w:rsidRPr="00BB37A6" w:rsidR="005A2467">
        <w:rPr>
          <w:rFonts w:ascii="Times New Roman" w:hAnsi="Times New Roman" w:cs="Times New Roman"/>
          <w:szCs w:val="26"/>
        </w:rPr>
        <w:t xml:space="preserve"> because it exceeded the budget authorized in PG&amp;E’s General Rate Case (GRC)</w:t>
      </w:r>
      <w:r w:rsidRPr="00BB37A6" w:rsidR="00AD0DA2">
        <w:rPr>
          <w:rFonts w:ascii="Times New Roman" w:hAnsi="Times New Roman" w:cs="Times New Roman"/>
          <w:szCs w:val="26"/>
        </w:rPr>
        <w:t>.  (</w:t>
      </w:r>
      <w:r w:rsidRPr="00BB37A6" w:rsidR="00AD0DA2">
        <w:rPr>
          <w:rFonts w:ascii="Times New Roman" w:hAnsi="Times New Roman" w:cs="Times New Roman"/>
          <w:i/>
          <w:iCs/>
          <w:szCs w:val="26"/>
        </w:rPr>
        <w:t>Id.</w:t>
      </w:r>
      <w:r w:rsidRPr="00BB37A6" w:rsidR="00AD0DA2">
        <w:rPr>
          <w:rFonts w:ascii="Times New Roman" w:hAnsi="Times New Roman" w:cs="Times New Roman"/>
          <w:szCs w:val="26"/>
        </w:rPr>
        <w:t xml:space="preserve"> at 44.)</w:t>
      </w:r>
    </w:p>
    <w:p w:rsidRPr="00BB37A6" w:rsidR="00A46CE5" w:rsidP="00A46CE5" w:rsidRDefault="00AD0DA2" w14:paraId="6636430F" w14:textId="705B543C">
      <w:pPr>
        <w:pStyle w:val="Standard0"/>
        <w:ind w:firstLine="1440"/>
        <w:rPr>
          <w:rFonts w:ascii="Times New Roman" w:hAnsi="Times New Roman" w:cs="Times New Roman"/>
          <w:szCs w:val="26"/>
        </w:rPr>
      </w:pPr>
      <w:r w:rsidRPr="00BB37A6">
        <w:rPr>
          <w:rFonts w:ascii="Times New Roman" w:hAnsi="Times New Roman" w:cs="Times New Roman"/>
          <w:szCs w:val="26"/>
        </w:rPr>
        <w:t xml:space="preserve">The EVM program was a mitigation initiation included as part of PG&amp;E’s 2022 wildfire mitigation plan (WMP) update approved in </w:t>
      </w:r>
      <w:r w:rsidRPr="00BB37A6" w:rsidR="00A46CE5">
        <w:rPr>
          <w:rFonts w:ascii="Times New Roman" w:hAnsi="Times New Roman" w:cs="Times New Roman"/>
          <w:szCs w:val="26"/>
        </w:rPr>
        <w:t xml:space="preserve">the Office of Energy Infrastructure Safety’s (Energy Safety) </w:t>
      </w:r>
      <w:r w:rsidRPr="00BB37A6">
        <w:rPr>
          <w:rFonts w:ascii="Times New Roman" w:hAnsi="Times New Roman" w:cs="Times New Roman"/>
          <w:szCs w:val="26"/>
        </w:rPr>
        <w:t xml:space="preserve">Final Decision on PG&amp;E’s 2022 Wildfire </w:t>
      </w:r>
      <w:r w:rsidRPr="00BB37A6">
        <w:rPr>
          <w:rFonts w:ascii="Times New Roman" w:hAnsi="Times New Roman" w:cs="Times New Roman"/>
          <w:szCs w:val="26"/>
        </w:rPr>
        <w:lastRenderedPageBreak/>
        <w:t xml:space="preserve">Mitigation Plan </w:t>
      </w:r>
      <w:r w:rsidRPr="00BB37A6" w:rsidR="006004CB">
        <w:rPr>
          <w:rFonts w:ascii="Times New Roman" w:hAnsi="Times New Roman" w:cs="Times New Roman"/>
          <w:szCs w:val="26"/>
        </w:rPr>
        <w:t xml:space="preserve">Update </w:t>
      </w:r>
      <w:r w:rsidRPr="00BB37A6">
        <w:rPr>
          <w:rFonts w:ascii="Times New Roman" w:hAnsi="Times New Roman" w:cs="Times New Roman"/>
          <w:szCs w:val="26"/>
        </w:rPr>
        <w:t>(Nov. 10, 2022) (2022 Update)</w:t>
      </w:r>
      <w:r w:rsidRPr="00BB37A6" w:rsidR="0085394F">
        <w:rPr>
          <w:rFonts w:ascii="Times New Roman" w:hAnsi="Times New Roman" w:cs="Times New Roman"/>
          <w:szCs w:val="26"/>
        </w:rPr>
        <w:t>.</w:t>
      </w:r>
      <w:r w:rsidRPr="00BB37A6">
        <w:rPr>
          <w:rStyle w:val="FootnoteReference"/>
          <w:rFonts w:cs="Times New Roman"/>
          <w:bCs/>
          <w:sz w:val="26"/>
          <w:szCs w:val="26"/>
        </w:rPr>
        <w:footnoteReference w:id="3"/>
      </w:r>
      <w:r w:rsidRPr="00BB37A6">
        <w:rPr>
          <w:rFonts w:ascii="Times New Roman" w:hAnsi="Times New Roman" w:cs="Times New Roman"/>
          <w:szCs w:val="26"/>
        </w:rPr>
        <w:t xml:space="preserve">  The program included work that met or exceeded the recommended General Order 95, Rule 35 time-of-trim clearances, as well as removing overhanging vegetation from distribution lines primarily in high risk areas.  (Decision at 58.)  PG&amp;E’s 2022 EVM program largely consisted of tree removal work and wood management.  (</w:t>
      </w:r>
      <w:r w:rsidRPr="00BB37A6">
        <w:rPr>
          <w:rFonts w:ascii="Times New Roman" w:hAnsi="Times New Roman" w:cs="Times New Roman"/>
          <w:i/>
          <w:iCs/>
          <w:szCs w:val="26"/>
        </w:rPr>
        <w:t xml:space="preserve">Id. </w:t>
      </w:r>
      <w:r w:rsidRPr="00BB37A6">
        <w:rPr>
          <w:rFonts w:ascii="Times New Roman" w:hAnsi="Times New Roman" w:cs="Times New Roman"/>
          <w:szCs w:val="26"/>
        </w:rPr>
        <w:t>at 58-59.)</w:t>
      </w:r>
    </w:p>
    <w:p w:rsidRPr="00BB37A6" w:rsidR="00B33A43" w:rsidP="00B33A43" w:rsidRDefault="00AD0DA2" w14:paraId="27D0A6AE" w14:textId="2BDC36CF">
      <w:pPr>
        <w:pStyle w:val="Standard0"/>
        <w:ind w:firstLine="1440"/>
        <w:rPr>
          <w:rFonts w:ascii="Times New Roman" w:hAnsi="Times New Roman" w:cs="Times New Roman"/>
          <w:szCs w:val="26"/>
        </w:rPr>
      </w:pPr>
      <w:r w:rsidRPr="00BB37A6">
        <w:rPr>
          <w:rFonts w:ascii="Times New Roman" w:hAnsi="Times New Roman" w:cs="Times New Roman"/>
          <w:szCs w:val="26"/>
        </w:rPr>
        <w:t xml:space="preserve">Based on the </w:t>
      </w:r>
      <w:r w:rsidRPr="00BB37A6" w:rsidR="00A46CE5">
        <w:rPr>
          <w:rFonts w:ascii="Times New Roman" w:hAnsi="Times New Roman" w:cs="Times New Roman"/>
          <w:szCs w:val="26"/>
        </w:rPr>
        <w:t xml:space="preserve">record </w:t>
      </w:r>
      <w:r w:rsidRPr="00BB37A6">
        <w:rPr>
          <w:rFonts w:ascii="Times New Roman" w:hAnsi="Times New Roman" w:cs="Times New Roman"/>
          <w:szCs w:val="26"/>
        </w:rPr>
        <w:t>evidence, the Decision determined that PG&amp;E imprudently incurred $162.45 million in EVM costs from October 1 to December 31, 2022 and therefore disallowed this amount</w:t>
      </w:r>
      <w:r w:rsidRPr="00BB37A6" w:rsidR="00DE0CCD">
        <w:rPr>
          <w:rFonts w:ascii="Times New Roman" w:hAnsi="Times New Roman" w:cs="Times New Roman"/>
          <w:szCs w:val="26"/>
        </w:rPr>
        <w:t xml:space="preserve">.  The disallowance </w:t>
      </w:r>
      <w:r w:rsidRPr="00BB37A6">
        <w:rPr>
          <w:rFonts w:ascii="Times New Roman" w:hAnsi="Times New Roman" w:cs="Times New Roman"/>
          <w:szCs w:val="26"/>
        </w:rPr>
        <w:t>comprise</w:t>
      </w:r>
      <w:r w:rsidRPr="00BB37A6" w:rsidR="004C02F3">
        <w:rPr>
          <w:rFonts w:ascii="Times New Roman" w:hAnsi="Times New Roman" w:cs="Times New Roman"/>
          <w:szCs w:val="26"/>
        </w:rPr>
        <w:t>s</w:t>
      </w:r>
      <w:r w:rsidRPr="00BB37A6">
        <w:rPr>
          <w:rFonts w:ascii="Times New Roman" w:hAnsi="Times New Roman" w:cs="Times New Roman"/>
          <w:szCs w:val="26"/>
        </w:rPr>
        <w:t xml:space="preserve"> 20 percent of PG&amp;E’s total spend of $816.410 million on the EVM program in 2022 and 10 percent of the total spend of $1.6 billion </w:t>
      </w:r>
      <w:r w:rsidRPr="00BB37A6" w:rsidR="00CE1436">
        <w:rPr>
          <w:rFonts w:ascii="Times New Roman" w:hAnsi="Times New Roman" w:cs="Times New Roman"/>
          <w:szCs w:val="26"/>
        </w:rPr>
        <w:t>i</w:t>
      </w:r>
      <w:r w:rsidRPr="00BB37A6">
        <w:rPr>
          <w:rFonts w:ascii="Times New Roman" w:hAnsi="Times New Roman" w:cs="Times New Roman"/>
          <w:szCs w:val="26"/>
        </w:rPr>
        <w:t xml:space="preserve">n vegetation management recorded to the VMBA.  (Decision at 67.)  </w:t>
      </w:r>
      <w:r w:rsidRPr="00BB37A6" w:rsidR="0018026D">
        <w:rPr>
          <w:rFonts w:ascii="Times New Roman" w:hAnsi="Times New Roman" w:cs="Times New Roman"/>
          <w:szCs w:val="26"/>
        </w:rPr>
        <w:t xml:space="preserve">The Decision reasons that PG&amp;E imprudently continued to increase the program’s </w:t>
      </w:r>
      <w:r w:rsidRPr="00BB37A6" w:rsidR="00B549D1">
        <w:rPr>
          <w:rFonts w:ascii="Times New Roman" w:hAnsi="Times New Roman" w:cs="Times New Roman"/>
          <w:szCs w:val="26"/>
        </w:rPr>
        <w:t>spend</w:t>
      </w:r>
      <w:r w:rsidRPr="00BB37A6" w:rsidR="0018026D">
        <w:rPr>
          <w:rFonts w:ascii="Times New Roman" w:hAnsi="Times New Roman" w:cs="Times New Roman"/>
          <w:szCs w:val="26"/>
        </w:rPr>
        <w:t xml:space="preserve"> even though it knew or should have known in October 2022 that the program had minimal risk reduction or cost efficiency</w:t>
      </w:r>
      <w:r w:rsidRPr="00BB37A6">
        <w:rPr>
          <w:rFonts w:ascii="Times New Roman" w:hAnsi="Times New Roman" w:cs="Times New Roman"/>
          <w:szCs w:val="26"/>
        </w:rPr>
        <w:t>.  (</w:t>
      </w:r>
      <w:r w:rsidRPr="00BB37A6">
        <w:rPr>
          <w:rFonts w:ascii="Times New Roman" w:hAnsi="Times New Roman" w:cs="Times New Roman"/>
          <w:i/>
          <w:iCs/>
          <w:szCs w:val="26"/>
        </w:rPr>
        <w:t>Id.</w:t>
      </w:r>
      <w:r w:rsidRPr="00BB37A6">
        <w:rPr>
          <w:rFonts w:ascii="Times New Roman" w:hAnsi="Times New Roman" w:cs="Times New Roman"/>
          <w:szCs w:val="26"/>
        </w:rPr>
        <w:t xml:space="preserve"> at 65-67</w:t>
      </w:r>
      <w:r w:rsidRPr="00BB37A6" w:rsidR="00FD7555">
        <w:rPr>
          <w:rFonts w:ascii="Times New Roman" w:hAnsi="Times New Roman" w:cs="Times New Roman"/>
          <w:szCs w:val="26"/>
        </w:rPr>
        <w:t xml:space="preserve">; </w:t>
      </w:r>
      <w:r w:rsidRPr="00BB37A6" w:rsidR="00AC40C8">
        <w:rPr>
          <w:rFonts w:ascii="Times New Roman" w:hAnsi="Times New Roman" w:cs="Times New Roman"/>
          <w:szCs w:val="26"/>
        </w:rPr>
        <w:t>86 (Findings of Fact 2</w:t>
      </w:r>
      <w:r w:rsidRPr="00BB37A6" w:rsidR="009412E3">
        <w:rPr>
          <w:rFonts w:ascii="Times New Roman" w:hAnsi="Times New Roman" w:cs="Times New Roman"/>
          <w:szCs w:val="26"/>
        </w:rPr>
        <w:t>9</w:t>
      </w:r>
      <w:r w:rsidRPr="00BB37A6" w:rsidR="00AC40C8">
        <w:rPr>
          <w:rFonts w:ascii="Times New Roman" w:hAnsi="Times New Roman" w:cs="Times New Roman"/>
          <w:szCs w:val="26"/>
        </w:rPr>
        <w:t>-33)</w:t>
      </w:r>
      <w:r w:rsidRPr="00BB37A6" w:rsidR="009B6F64">
        <w:rPr>
          <w:rFonts w:ascii="Times New Roman" w:hAnsi="Times New Roman" w:cs="Times New Roman"/>
          <w:szCs w:val="26"/>
        </w:rPr>
        <w:t>, 88 (</w:t>
      </w:r>
      <w:r w:rsidRPr="00BB37A6" w:rsidR="009C6F51">
        <w:rPr>
          <w:rFonts w:ascii="Times New Roman" w:hAnsi="Times New Roman" w:cs="Times New Roman"/>
          <w:szCs w:val="26"/>
        </w:rPr>
        <w:t>Conclusion of Law (</w:t>
      </w:r>
      <w:r w:rsidRPr="00BB37A6" w:rsidR="009B6F64">
        <w:rPr>
          <w:rFonts w:ascii="Times New Roman" w:hAnsi="Times New Roman" w:cs="Times New Roman"/>
          <w:szCs w:val="26"/>
        </w:rPr>
        <w:t>COL</w:t>
      </w:r>
      <w:r w:rsidRPr="00BB37A6" w:rsidR="009C6F51">
        <w:rPr>
          <w:rFonts w:ascii="Times New Roman" w:hAnsi="Times New Roman" w:cs="Times New Roman"/>
          <w:szCs w:val="26"/>
        </w:rPr>
        <w:t>)</w:t>
      </w:r>
      <w:r w:rsidRPr="00BB37A6" w:rsidR="009B6F64">
        <w:rPr>
          <w:rFonts w:ascii="Times New Roman" w:hAnsi="Times New Roman" w:cs="Times New Roman"/>
          <w:szCs w:val="26"/>
        </w:rPr>
        <w:t xml:space="preserve"> 10)</w:t>
      </w:r>
      <w:r w:rsidRPr="00BB37A6">
        <w:rPr>
          <w:rFonts w:ascii="Times New Roman" w:hAnsi="Times New Roman" w:cs="Times New Roman"/>
          <w:szCs w:val="26"/>
        </w:rPr>
        <w:t>.)  The Decision further reasons that “PG&amp;E presented insufficient evidence that it seriously considered any scaling back or other changes to the EVM program for the remainder of 2022 even when PG&amp;E knew by October of 2022 that it intended to end the EVM program in December 2022 in favor of more effective alternatives.”  (</w:t>
      </w:r>
      <w:r w:rsidRPr="00BB37A6">
        <w:rPr>
          <w:rFonts w:ascii="Times New Roman" w:hAnsi="Times New Roman" w:cs="Times New Roman"/>
          <w:i/>
          <w:iCs/>
          <w:szCs w:val="26"/>
        </w:rPr>
        <w:t xml:space="preserve">Id. </w:t>
      </w:r>
      <w:r w:rsidRPr="00BB37A6">
        <w:rPr>
          <w:rFonts w:ascii="Times New Roman" w:hAnsi="Times New Roman" w:cs="Times New Roman"/>
          <w:szCs w:val="26"/>
        </w:rPr>
        <w:t>at 65.)  The Decision identifies that PG&amp;E “does not assert that in view of this knowledge it came to the Commission to seek a change in its EVM program, despite what was in its WMP or the [Enhanced Oversight and Enforcement] Resolution.”  (</w:t>
      </w:r>
      <w:r w:rsidRPr="00BB37A6">
        <w:rPr>
          <w:rFonts w:ascii="Times New Roman" w:hAnsi="Times New Roman" w:cs="Times New Roman"/>
          <w:i/>
          <w:iCs/>
          <w:szCs w:val="26"/>
        </w:rPr>
        <w:t>I</w:t>
      </w:r>
      <w:r w:rsidRPr="00BB37A6" w:rsidR="003D774A">
        <w:rPr>
          <w:rFonts w:ascii="Times New Roman" w:hAnsi="Times New Roman" w:cs="Times New Roman"/>
          <w:i/>
          <w:iCs/>
          <w:szCs w:val="26"/>
        </w:rPr>
        <w:t>bid.</w:t>
      </w:r>
      <w:r w:rsidRPr="00BB37A6">
        <w:rPr>
          <w:rFonts w:ascii="Times New Roman" w:hAnsi="Times New Roman" w:cs="Times New Roman"/>
          <w:szCs w:val="26"/>
        </w:rPr>
        <w:t>)</w:t>
      </w:r>
      <w:r w:rsidRPr="00BB37A6" w:rsidR="00B33A43">
        <w:rPr>
          <w:rFonts w:ascii="Times New Roman" w:hAnsi="Times New Roman" w:cs="Times New Roman"/>
          <w:szCs w:val="26"/>
        </w:rPr>
        <w:t xml:space="preserve">  The Decision also rejects PG&amp;E’s legal argument that its costs were reasonable because it was legally bound to complete the goals stated in its 2022 Update, concluding that the “assertion that WMP work should continue with no consideration of work effectiveness is not an adequate showing of reasonableness in this context.”  (</w:t>
      </w:r>
      <w:r w:rsidRPr="00BB37A6" w:rsidR="00B33A43">
        <w:rPr>
          <w:rFonts w:ascii="Times New Roman" w:hAnsi="Times New Roman" w:cs="Times New Roman"/>
          <w:i/>
          <w:iCs/>
          <w:szCs w:val="26"/>
        </w:rPr>
        <w:t xml:space="preserve">Id. </w:t>
      </w:r>
      <w:r w:rsidRPr="00BB37A6" w:rsidR="00B33A43">
        <w:rPr>
          <w:rFonts w:ascii="Times New Roman" w:hAnsi="Times New Roman" w:cs="Times New Roman"/>
          <w:szCs w:val="26"/>
        </w:rPr>
        <w:t xml:space="preserve">at 66.)   </w:t>
      </w:r>
    </w:p>
    <w:p w:rsidRPr="00BB37A6" w:rsidR="00EB6B91" w:rsidP="00EB6B91" w:rsidRDefault="00AD0DA2" w14:paraId="0781A4A3" w14:textId="1A1451EF">
      <w:pPr>
        <w:pStyle w:val="Standard0"/>
        <w:ind w:firstLine="1440"/>
        <w:rPr>
          <w:rFonts w:ascii="Times New Roman" w:hAnsi="Times New Roman" w:cs="Times New Roman"/>
          <w:szCs w:val="26"/>
        </w:rPr>
      </w:pPr>
      <w:r w:rsidRPr="00BB37A6">
        <w:rPr>
          <w:rFonts w:ascii="Times New Roman" w:hAnsi="Times New Roman" w:cs="Times New Roman"/>
          <w:szCs w:val="26"/>
        </w:rPr>
        <w:lastRenderedPageBreak/>
        <w:t>In its rehearing application, PG&amp;E alleges that the Decision’s disallowance is in error because: (1) the Commission acted in excess of its powers or jurisdiction by using its cost review jurisdiction under Public Utilities Code section</w:t>
      </w:r>
      <w:r w:rsidRPr="00BB37A6">
        <w:rPr>
          <w:rStyle w:val="FootnoteReference"/>
          <w:rFonts w:cs="Times New Roman"/>
          <w:bCs/>
          <w:sz w:val="26"/>
          <w:szCs w:val="26"/>
        </w:rPr>
        <w:footnoteReference w:id="4"/>
      </w:r>
      <w:r w:rsidRPr="00BB37A6">
        <w:rPr>
          <w:rFonts w:ascii="Times New Roman" w:hAnsi="Times New Roman" w:cs="Times New Roman"/>
          <w:szCs w:val="26"/>
        </w:rPr>
        <w:t xml:space="preserve"> 8386.4 to regulate the contents of PG&amp;E’s 2022 Update and second-guess Energy Safety; (2) the Commission abused its discretion in concluding that PG&amp;E as a reasonable and prudent operator should have taken steps to narrow the EVM program beginning in October 2022; and (3) it violates the U.S. and California Constitutions as either an unlawful taking or a deprivation of due process of law.</w:t>
      </w:r>
    </w:p>
    <w:p w:rsidRPr="00BB37A6" w:rsidR="00AD0DA2" w:rsidP="00EB6B91" w:rsidRDefault="00AD0DA2" w14:paraId="5E6B2281" w14:textId="1D9C5882">
      <w:pPr>
        <w:pStyle w:val="Standard0"/>
        <w:ind w:firstLine="1440"/>
        <w:rPr>
          <w:rFonts w:ascii="Times New Roman" w:hAnsi="Times New Roman" w:cs="Times New Roman"/>
          <w:szCs w:val="26"/>
        </w:rPr>
      </w:pPr>
      <w:r w:rsidRPr="00BB37A6">
        <w:rPr>
          <w:rFonts w:ascii="Times New Roman" w:hAnsi="Times New Roman" w:cs="Times New Roman"/>
          <w:szCs w:val="26"/>
        </w:rPr>
        <w:t>The Utility Reform Network (TURN) filed a response to PG&amp;E’s rehearing application (TURN Response).  In its response, TURN argues that the Commission should deny PG&amp;E’s application for rehearing in its entirety</w:t>
      </w:r>
      <w:r w:rsidRPr="00BB37A6" w:rsidR="00EB6B91">
        <w:rPr>
          <w:rFonts w:ascii="Times New Roman" w:hAnsi="Times New Roman" w:cs="Times New Roman"/>
          <w:szCs w:val="26"/>
        </w:rPr>
        <w:t>.</w:t>
      </w:r>
    </w:p>
    <w:p w:rsidRPr="00BB37A6" w:rsidR="0088628C" w:rsidP="00EB6B91" w:rsidRDefault="0088628C" w14:paraId="7B2F573B" w14:textId="59D3DE38">
      <w:pPr>
        <w:pStyle w:val="Standard0"/>
        <w:ind w:firstLine="1440"/>
        <w:rPr>
          <w:rFonts w:ascii="Times New Roman" w:hAnsi="Times New Roman" w:cs="Times New Roman"/>
          <w:szCs w:val="26"/>
        </w:rPr>
      </w:pPr>
      <w:r w:rsidRPr="00BB37A6">
        <w:rPr>
          <w:rFonts w:ascii="Times New Roman" w:hAnsi="Times New Roman" w:cs="Times New Roman"/>
          <w:szCs w:val="26"/>
        </w:rPr>
        <w:t xml:space="preserve">We have carefully considered the allegations presented by </w:t>
      </w:r>
      <w:r w:rsidRPr="00BB37A6" w:rsidR="00EB6B91">
        <w:rPr>
          <w:rFonts w:ascii="Times New Roman" w:hAnsi="Times New Roman" w:cs="Times New Roman"/>
          <w:szCs w:val="26"/>
        </w:rPr>
        <w:t>PG&amp;E</w:t>
      </w:r>
      <w:r w:rsidRPr="00BB37A6">
        <w:rPr>
          <w:rFonts w:ascii="Times New Roman" w:hAnsi="Times New Roman" w:cs="Times New Roman"/>
          <w:szCs w:val="26"/>
        </w:rPr>
        <w:t xml:space="preserve"> and</w:t>
      </w:r>
      <w:r w:rsidRPr="00BB37A6" w:rsidR="009E38FC">
        <w:rPr>
          <w:rFonts w:ascii="Times New Roman" w:hAnsi="Times New Roman" w:cs="Times New Roman"/>
          <w:szCs w:val="26"/>
        </w:rPr>
        <w:t xml:space="preserve"> conclude</w:t>
      </w:r>
      <w:r w:rsidRPr="00BB37A6">
        <w:rPr>
          <w:rFonts w:ascii="Times New Roman" w:hAnsi="Times New Roman" w:cs="Times New Roman"/>
          <w:szCs w:val="26"/>
        </w:rPr>
        <w:t xml:space="preserve"> that rehearing of the Decision should be denied. </w:t>
      </w:r>
      <w:r w:rsidRPr="00BB37A6" w:rsidR="00EB6B91">
        <w:rPr>
          <w:rFonts w:ascii="Times New Roman" w:hAnsi="Times New Roman" w:cs="Times New Roman"/>
          <w:szCs w:val="26"/>
        </w:rPr>
        <w:t xml:space="preserve"> We modify the Decision to correct an inadvertent omission.  </w:t>
      </w:r>
    </w:p>
    <w:p w:rsidRPr="00BB37A6" w:rsidR="0088628C" w:rsidP="0088628C" w:rsidRDefault="0088628C" w14:paraId="623275B5" w14:textId="77777777">
      <w:pPr>
        <w:pStyle w:val="Heading1"/>
        <w:spacing w:before="0"/>
      </w:pPr>
      <w:r w:rsidRPr="00BB37A6">
        <w:t>BACKGROUND</w:t>
      </w:r>
    </w:p>
    <w:p w:rsidRPr="00BB37A6" w:rsidR="00371BB4" w:rsidP="00371BB4" w:rsidRDefault="00663081" w14:paraId="14186403" w14:textId="7E795844">
      <w:pPr>
        <w:pStyle w:val="BodyText"/>
        <w:ind w:firstLine="1440"/>
        <w:rPr>
          <w:szCs w:val="26"/>
        </w:rPr>
      </w:pPr>
      <w:r w:rsidRPr="00BB37A6">
        <w:rPr>
          <w:szCs w:val="26"/>
        </w:rPr>
        <w:t xml:space="preserve">The </w:t>
      </w:r>
      <w:r w:rsidRPr="00BB37A6" w:rsidR="009C3350">
        <w:rPr>
          <w:szCs w:val="26"/>
        </w:rPr>
        <w:t xml:space="preserve">relevant </w:t>
      </w:r>
      <w:r w:rsidRPr="00BB37A6">
        <w:rPr>
          <w:szCs w:val="26"/>
        </w:rPr>
        <w:t>legal and factual background are set forth below.</w:t>
      </w:r>
    </w:p>
    <w:p w:rsidRPr="00BB37A6" w:rsidR="00371BB4" w:rsidP="00BF3792" w:rsidRDefault="00371BB4" w14:paraId="06C17300" w14:textId="780A29DD">
      <w:pPr>
        <w:pStyle w:val="Heading2"/>
        <w:ind w:left="1440"/>
        <w:rPr>
          <w:szCs w:val="26"/>
        </w:rPr>
      </w:pPr>
      <w:r w:rsidRPr="00BB37A6">
        <w:rPr>
          <w:szCs w:val="26"/>
        </w:rPr>
        <w:t>Wildfire mitigation plan statutory scheme applicable to PG&amp;E’s 2022 Update.</w:t>
      </w:r>
    </w:p>
    <w:p w:rsidRPr="00BB37A6" w:rsidR="004A4C32" w:rsidP="004A4C32" w:rsidRDefault="004541AC" w14:paraId="68177A42" w14:textId="4070E82C">
      <w:pPr>
        <w:pStyle w:val="BodyText"/>
        <w:ind w:firstLine="1440"/>
        <w:rPr>
          <w:szCs w:val="26"/>
        </w:rPr>
      </w:pPr>
      <w:r w:rsidRPr="00BB37A6">
        <w:rPr>
          <w:szCs w:val="26"/>
        </w:rPr>
        <w:t>To address the growing threats of wildfire in California, the Legislature passed a series of bills to enhance the electric investor-owned utilities</w:t>
      </w:r>
      <w:r w:rsidRPr="00BB37A6" w:rsidR="00335B47">
        <w:rPr>
          <w:szCs w:val="26"/>
        </w:rPr>
        <w:t>’</w:t>
      </w:r>
      <w:r w:rsidRPr="00BB37A6">
        <w:rPr>
          <w:szCs w:val="26"/>
        </w:rPr>
        <w:t xml:space="preserve"> (IOUs) wildfire safety measures, some of which are outlined here.  In 2016, Senate Bill (SB) 1028 (Stats. 2016, ch. 598) directed the IOUs to develop WMPs according to certain criteria and to submit those plans to the Commission for review and approval.  In 2018, SB 901 (Stats. 2018, ch. 626) amended the statutory scheme by updating the criteria governing WMP content and mandating that an independent evaluator review a</w:t>
      </w:r>
      <w:r w:rsidRPr="00BB37A6" w:rsidR="00EE3A0C">
        <w:rPr>
          <w:szCs w:val="26"/>
        </w:rPr>
        <w:t>n</w:t>
      </w:r>
      <w:r w:rsidRPr="00BB37A6">
        <w:rPr>
          <w:szCs w:val="26"/>
        </w:rPr>
        <w:t xml:space="preserve"> IOU</w:t>
      </w:r>
      <w:r w:rsidRPr="00BB37A6" w:rsidR="0094657C">
        <w:rPr>
          <w:szCs w:val="26"/>
        </w:rPr>
        <w:t>’</w:t>
      </w:r>
      <w:r w:rsidRPr="00BB37A6">
        <w:rPr>
          <w:szCs w:val="26"/>
        </w:rPr>
        <w:t xml:space="preserve">s compliance with its plan.  In 2019, Assembly Bill (AB) 1054 </w:t>
      </w:r>
      <w:r w:rsidRPr="00BB37A6" w:rsidR="0084324D">
        <w:rPr>
          <w:szCs w:val="26"/>
        </w:rPr>
        <w:t xml:space="preserve">(Stats. 2019, ch. </w:t>
      </w:r>
      <w:r w:rsidRPr="00BB37A6" w:rsidR="00E84E86">
        <w:rPr>
          <w:szCs w:val="26"/>
        </w:rPr>
        <w:t>79)</w:t>
      </w:r>
      <w:r w:rsidRPr="00BB37A6">
        <w:rPr>
          <w:szCs w:val="26"/>
        </w:rPr>
        <w:t xml:space="preserve"> </w:t>
      </w:r>
      <w:r w:rsidR="00B715AD">
        <w:rPr>
          <w:szCs w:val="26"/>
        </w:rPr>
        <w:t xml:space="preserve">and AB 111 (Stats. </w:t>
      </w:r>
      <w:r w:rsidR="00B715AD">
        <w:rPr>
          <w:szCs w:val="26"/>
        </w:rPr>
        <w:lastRenderedPageBreak/>
        <w:t>2019, ch. 81)</w:t>
      </w:r>
      <w:r w:rsidRPr="002E23EA" w:rsidR="00B715AD">
        <w:rPr>
          <w:szCs w:val="26"/>
        </w:rPr>
        <w:t xml:space="preserve"> </w:t>
      </w:r>
      <w:r w:rsidRPr="00BB37A6">
        <w:rPr>
          <w:szCs w:val="26"/>
        </w:rPr>
        <w:t>imposed new WMP content requirements and, starting July 1, 2021, authorized Energy Safety to oversee the WMP process while delegating the Commission authority to review the utilities’ cost</w:t>
      </w:r>
      <w:r w:rsidRPr="00BB37A6" w:rsidR="00774B42">
        <w:rPr>
          <w:szCs w:val="26"/>
        </w:rPr>
        <w:t>s</w:t>
      </w:r>
      <w:r w:rsidRPr="00BB37A6">
        <w:rPr>
          <w:szCs w:val="26"/>
        </w:rPr>
        <w:t xml:space="preserve"> to implement their plans.  The WMP process for the time period relevant to this matter is set forth below.</w:t>
      </w:r>
      <w:r w:rsidRPr="00BB37A6">
        <w:rPr>
          <w:rStyle w:val="FootnoteReference"/>
          <w:bCs/>
          <w:sz w:val="26"/>
          <w:szCs w:val="26"/>
        </w:rPr>
        <w:footnoteReference w:id="5"/>
      </w:r>
    </w:p>
    <w:p w:rsidRPr="00BB37A6" w:rsidR="00697192" w:rsidP="00697192" w:rsidRDefault="004541AC" w14:paraId="4F05CEBD" w14:textId="50121C02">
      <w:pPr>
        <w:pStyle w:val="BodyText"/>
        <w:ind w:firstLine="1440"/>
        <w:rPr>
          <w:szCs w:val="26"/>
        </w:rPr>
      </w:pPr>
      <w:r w:rsidRPr="00BB37A6">
        <w:rPr>
          <w:szCs w:val="26"/>
        </w:rPr>
        <w:t>Energy Safety’s “primary objective is to ensure that regulated entities are reducing wildfire risk and complying with energy infrastructure safety measures as required by law.”  (Gov. Code, § 15475.1, subd. (b).)  To this end, Energy Safety is tasked with reviewing and either approving or denying a utility’s WMP.  (§§ 8386, subd. (b)</w:t>
      </w:r>
      <w:r w:rsidRPr="00BB37A6" w:rsidR="006248F5">
        <w:rPr>
          <w:szCs w:val="26"/>
        </w:rPr>
        <w:t>,</w:t>
      </w:r>
      <w:r w:rsidRPr="00BB37A6">
        <w:rPr>
          <w:szCs w:val="26"/>
        </w:rPr>
        <w:t xml:space="preserve"> 8386.3, subd. (a).)  This process begins with each electric IOU developing and submitting a draft plan or plan update to Energy Safety based on the statutory requirements for WMPs as well as Energy Safety guidelines.  (See § 8386.3, subds. (b) &amp; (c); Gov. Code, § 15475.6.)  Energy Safety is required to post the draft plan on its website, accept and consider comments from “the public, other local and state agencies, and interested parties, and verify that the plan complies with all applicable rules, regulations, and standards, as appropriate.”  (§§ 8386, subd. (d)</w:t>
      </w:r>
      <w:r w:rsidRPr="00BB37A6" w:rsidR="0093236D">
        <w:rPr>
          <w:szCs w:val="26"/>
        </w:rPr>
        <w:t>,</w:t>
      </w:r>
      <w:r w:rsidRPr="00BB37A6">
        <w:rPr>
          <w:szCs w:val="26"/>
        </w:rPr>
        <w:t xml:space="preserve"> 8386.3, subd. (a).)  Energy Safety is also required to consult with the Office of the State Fire Marshal on the draft WMP or update.  (§ 8386.3, subd. (a).)  Energy Safety may order the utility to modify its draft plan using its “revision notice” process, and the utility must update its draft accordingly.  (</w:t>
      </w:r>
      <w:r w:rsidRPr="00BB37A6">
        <w:rPr>
          <w:i/>
          <w:iCs/>
          <w:szCs w:val="26"/>
        </w:rPr>
        <w:t>Ibid.</w:t>
      </w:r>
      <w:r w:rsidRPr="00BB37A6">
        <w:rPr>
          <w:szCs w:val="26"/>
        </w:rPr>
        <w:t>)</w:t>
      </w:r>
    </w:p>
    <w:p w:rsidRPr="00BB37A6" w:rsidR="00516CA7" w:rsidP="00516CA7" w:rsidRDefault="004541AC" w14:paraId="6B82773B" w14:textId="521D9708">
      <w:pPr>
        <w:pStyle w:val="BodyText"/>
        <w:ind w:firstLine="1440"/>
        <w:rPr>
          <w:szCs w:val="26"/>
        </w:rPr>
      </w:pPr>
      <w:r w:rsidRPr="00BB37A6">
        <w:rPr>
          <w:szCs w:val="26"/>
        </w:rPr>
        <w:t xml:space="preserve">Energy Safety then releases a draft decision on the WMP and accepts public comments on that draft.  (See, e.g., Resolution SPD-9 (Dec. 15, 2022) at 4-5.)  Finally, Energy Safety issues a final decision either approving or denying a WMP or </w:t>
      </w:r>
      <w:r w:rsidRPr="00BB37A6">
        <w:rPr>
          <w:szCs w:val="26"/>
        </w:rPr>
        <w:lastRenderedPageBreak/>
        <w:t xml:space="preserve">WMP update.  </w:t>
      </w:r>
      <w:r w:rsidRPr="00BB37A6" w:rsidR="0082681E">
        <w:rPr>
          <w:szCs w:val="26"/>
        </w:rPr>
        <w:t>During the time period relevant to this matter, we were required to</w:t>
      </w:r>
      <w:r w:rsidRPr="00BB37A6">
        <w:rPr>
          <w:szCs w:val="26"/>
        </w:rPr>
        <w:t xml:space="preserve"> ratify a plan approved by Energy Safety.  (§ 8386.3, subd. (a).) </w:t>
      </w:r>
    </w:p>
    <w:p w:rsidRPr="00BB37A6" w:rsidR="004541AC" w:rsidP="00516CA7" w:rsidRDefault="004541AC" w14:paraId="64C1999B" w14:textId="3F76F569">
      <w:pPr>
        <w:pStyle w:val="BodyText"/>
        <w:ind w:firstLine="1440"/>
        <w:rPr>
          <w:szCs w:val="26"/>
        </w:rPr>
      </w:pPr>
      <w:r w:rsidRPr="00BB37A6">
        <w:rPr>
          <w:szCs w:val="26"/>
        </w:rPr>
        <w:t>After a WMP is final, Energy Safety is responsible for overseeing compliance with the WMP, including, for example, the authority to conduct audits, issue notices of defect, and direct corrective actions.  (§§ 8385, 8386.6, subd. (c), 8389, subd. (g)</w:t>
      </w:r>
      <w:r w:rsidRPr="00BB37A6" w:rsidR="00E63F44">
        <w:rPr>
          <w:szCs w:val="26"/>
        </w:rPr>
        <w:t>;</w:t>
      </w:r>
      <w:r w:rsidRPr="00BB37A6">
        <w:rPr>
          <w:szCs w:val="26"/>
        </w:rPr>
        <w:t xml:space="preserve"> Gov</w:t>
      </w:r>
      <w:r w:rsidRPr="00BB37A6" w:rsidR="00D77674">
        <w:rPr>
          <w:szCs w:val="26"/>
        </w:rPr>
        <w:t>.</w:t>
      </w:r>
      <w:r w:rsidRPr="00BB37A6">
        <w:rPr>
          <w:szCs w:val="26"/>
        </w:rPr>
        <w:t xml:space="preserve"> Code, §§ 15475.2, 15475.4.)  Energy Safety may also approve or deny a utility’s proposed changes to a final WMP as set forth in Energy Safety’s “change order” guidelines.  (See Gov</w:t>
      </w:r>
      <w:r w:rsidRPr="00BB37A6" w:rsidR="00D77674">
        <w:rPr>
          <w:szCs w:val="26"/>
        </w:rPr>
        <w:t>.</w:t>
      </w:r>
      <w:r w:rsidRPr="00BB37A6">
        <w:rPr>
          <w:szCs w:val="26"/>
        </w:rPr>
        <w:t xml:space="preserve"> Code, §§ 15473, subd. (c)(2)</w:t>
      </w:r>
      <w:r w:rsidRPr="00BB37A6" w:rsidR="005744C1">
        <w:rPr>
          <w:szCs w:val="26"/>
        </w:rPr>
        <w:t>,</w:t>
      </w:r>
      <w:r w:rsidRPr="00BB37A6">
        <w:rPr>
          <w:szCs w:val="26"/>
        </w:rPr>
        <w:t xml:space="preserve"> 15475.6; see, e.g., Energy Safety Revised 2022 Change Order Guidelines for Electrical Corporations (Nov. 2022) (November 2022 Change Order Guidelines).)  A utility’s failure to comply with its WMP is subject to Commission-imposed fines and may jeopardize its ability to secure a safety certificate and access the California Wildfire Fund, a fund to cover claims related to the costs of wildfires.  (§§ 451.1, subd. (c)</w:t>
      </w:r>
      <w:r w:rsidRPr="00BB37A6" w:rsidR="006F2C82">
        <w:rPr>
          <w:szCs w:val="26"/>
        </w:rPr>
        <w:t>,</w:t>
      </w:r>
      <w:r w:rsidRPr="00BB37A6">
        <w:rPr>
          <w:szCs w:val="26"/>
        </w:rPr>
        <w:t xml:space="preserve"> 8386.1</w:t>
      </w:r>
      <w:r w:rsidRPr="00BB37A6" w:rsidR="006F2C82">
        <w:rPr>
          <w:szCs w:val="26"/>
        </w:rPr>
        <w:t>,</w:t>
      </w:r>
      <w:r w:rsidRPr="00BB37A6">
        <w:rPr>
          <w:szCs w:val="26"/>
        </w:rPr>
        <w:t xml:space="preserve"> 8389, subd. (e)(7).)</w:t>
      </w:r>
    </w:p>
    <w:p w:rsidRPr="00BB37A6" w:rsidR="008338A7" w:rsidP="002578D6" w:rsidRDefault="0040629D" w14:paraId="5A2A3655" w14:textId="726DE024">
      <w:pPr>
        <w:pStyle w:val="BodyText"/>
        <w:ind w:firstLine="1440"/>
        <w:rPr>
          <w:szCs w:val="26"/>
        </w:rPr>
      </w:pPr>
      <w:r w:rsidRPr="00BB37A6">
        <w:rPr>
          <w:szCs w:val="26"/>
        </w:rPr>
        <w:t>Our</w:t>
      </w:r>
      <w:r w:rsidRPr="00BB37A6" w:rsidR="004541AC">
        <w:rPr>
          <w:szCs w:val="26"/>
        </w:rPr>
        <w:t xml:space="preserve"> primary purpose is to ensure just and reasonable rates, and </w:t>
      </w:r>
      <w:r w:rsidRPr="00BB37A6">
        <w:rPr>
          <w:szCs w:val="26"/>
        </w:rPr>
        <w:t xml:space="preserve">we have </w:t>
      </w:r>
      <w:r w:rsidRPr="00BB37A6" w:rsidR="004541AC">
        <w:rPr>
          <w:szCs w:val="26"/>
        </w:rPr>
        <w:t>the power to prevent a utility from passing on unreasonable costs to its customers by disallowing such costs.  (</w:t>
      </w:r>
      <w:r w:rsidRPr="00BB37A6" w:rsidR="00483B9A">
        <w:rPr>
          <w:szCs w:val="26"/>
        </w:rPr>
        <w:t xml:space="preserve">See, e.g., </w:t>
      </w:r>
      <w:r w:rsidRPr="00BB37A6" w:rsidR="004541AC">
        <w:rPr>
          <w:i/>
          <w:iCs/>
          <w:szCs w:val="26"/>
        </w:rPr>
        <w:t xml:space="preserve">Pacific Telephone &amp; Telegraph Co. v. Public Utilities </w:t>
      </w:r>
      <w:r w:rsidRPr="00BB37A6" w:rsidR="004541AC">
        <w:rPr>
          <w:i/>
          <w:iCs/>
          <w:szCs w:val="26"/>
          <w:shd w:val="clear" w:color="auto" w:fill="FFFFFF"/>
        </w:rPr>
        <w:t>Com</w:t>
      </w:r>
      <w:r w:rsidRPr="00BB37A6" w:rsidR="004541AC">
        <w:rPr>
          <w:szCs w:val="26"/>
        </w:rPr>
        <w:t>. (1965) 62 Cal.2d 634, 647 (</w:t>
      </w:r>
      <w:r w:rsidRPr="00BB37A6" w:rsidR="004541AC">
        <w:rPr>
          <w:i/>
          <w:iCs/>
          <w:szCs w:val="26"/>
        </w:rPr>
        <w:t>Pacific Telephone</w:t>
      </w:r>
      <w:r w:rsidRPr="00BB37A6" w:rsidR="004541AC">
        <w:rPr>
          <w:szCs w:val="26"/>
        </w:rPr>
        <w:t xml:space="preserve">); Senate Energy, Utilities and Communications Committee, 7/8/19 Analysis of AB 1054 (2019-2020 Reg. Sess.) at 9 [“Review of utility expenses to ensure they are just and reasonable is the primary purpose for the CPUC’s existence and the main task of the agency as an economic regulator.”].)  Within the WMP statutory structure, regulation of WMP costs is </w:t>
      </w:r>
      <w:r w:rsidRPr="00BB37A6" w:rsidR="00CF7DD4">
        <w:rPr>
          <w:szCs w:val="26"/>
        </w:rPr>
        <w:t>the</w:t>
      </w:r>
      <w:r w:rsidRPr="00BB37A6" w:rsidR="004541AC">
        <w:rPr>
          <w:szCs w:val="26"/>
        </w:rPr>
        <w:t xml:space="preserve"> primary and exclusive function of the Commission.  The Legislature charged </w:t>
      </w:r>
      <w:r w:rsidRPr="00BB37A6" w:rsidR="00CF7DD4">
        <w:rPr>
          <w:szCs w:val="26"/>
        </w:rPr>
        <w:t>us</w:t>
      </w:r>
      <w:r w:rsidRPr="00BB37A6" w:rsidR="004541AC">
        <w:rPr>
          <w:szCs w:val="26"/>
        </w:rPr>
        <w:t xml:space="preserve"> with determining the reasonableness of the utility’s costs to implement its WMP.  (§ 8386.4.)  In delegating this duty, the Legislature explicitly indicated that “[n]othing in </w:t>
      </w:r>
      <w:r w:rsidRPr="00BB37A6" w:rsidR="008D5DE7">
        <w:rPr>
          <w:szCs w:val="26"/>
        </w:rPr>
        <w:t>[</w:t>
      </w:r>
      <w:r w:rsidRPr="00BB37A6" w:rsidR="004541AC">
        <w:rPr>
          <w:szCs w:val="26"/>
        </w:rPr>
        <w:t xml:space="preserve">section 8386.4] shall be interpreted as a restriction or limitation on Article 1 (commencing with Section 451) of Chapter 3 of Part 1 of Division 1.”  (§ 8386.4, subd. (b)(4); see also § 8385, subd. (b) [“Nothing in … [sections 8385 to 8389] affects the commission’s authority or jurisdiction over an electrical corporation… .”].)  </w:t>
      </w:r>
      <w:r w:rsidRPr="00BB37A6" w:rsidR="00DE3EED">
        <w:rPr>
          <w:szCs w:val="26"/>
        </w:rPr>
        <w:t>We</w:t>
      </w:r>
      <w:r w:rsidRPr="00BB37A6" w:rsidR="004541AC">
        <w:rPr>
          <w:szCs w:val="26"/>
        </w:rPr>
        <w:t xml:space="preserve"> conduct this reasonableness review in a utility’s GRC, a proceeding in which a utility forecasts its expected costs and seeks pre-approval </w:t>
      </w:r>
      <w:r w:rsidRPr="00BB37A6" w:rsidR="004541AC">
        <w:rPr>
          <w:szCs w:val="26"/>
        </w:rPr>
        <w:lastRenderedPageBreak/>
        <w:t>of those costs, and/or in a separate proceeding to recover costs recorded in a balancing account or memorandum account.  (See § 8386.4, subds. (a), (b)(1) &amp; (b)(2).)</w:t>
      </w:r>
    </w:p>
    <w:p w:rsidRPr="00BB37A6" w:rsidR="008338A7" w:rsidP="00323969" w:rsidRDefault="008338A7" w14:paraId="3A851ADE" w14:textId="150ACFD7">
      <w:pPr>
        <w:pStyle w:val="Heading2"/>
        <w:ind w:left="1440"/>
      </w:pPr>
      <w:r w:rsidRPr="00BB37A6">
        <w:t>PG&amp;E’s 2022 Update and the Commission’s Enhanced Oversight and Enforcement Process.</w:t>
      </w:r>
    </w:p>
    <w:p w:rsidRPr="00BB37A6" w:rsidR="008338A7" w:rsidP="002578D6" w:rsidRDefault="008338A7" w14:paraId="6D3EFD27" w14:textId="2047EF28">
      <w:pPr>
        <w:spacing w:line="360" w:lineRule="auto"/>
        <w:ind w:firstLine="1440"/>
        <w:rPr>
          <w:szCs w:val="26"/>
        </w:rPr>
      </w:pPr>
      <w:r w:rsidRPr="00BB37A6">
        <w:rPr>
          <w:szCs w:val="26"/>
        </w:rPr>
        <w:t xml:space="preserve">On December 13, 2018, PG&amp;E filed </w:t>
      </w:r>
      <w:r w:rsidRPr="00BB37A6" w:rsidR="004F46FA">
        <w:rPr>
          <w:szCs w:val="26"/>
        </w:rPr>
        <w:t>Application (</w:t>
      </w:r>
      <w:r w:rsidRPr="00BB37A6">
        <w:rPr>
          <w:szCs w:val="26"/>
        </w:rPr>
        <w:t>A.</w:t>
      </w:r>
      <w:r w:rsidRPr="00BB37A6" w:rsidR="004F46FA">
        <w:rPr>
          <w:szCs w:val="26"/>
        </w:rPr>
        <w:t>)</w:t>
      </w:r>
      <w:r w:rsidRPr="00BB37A6" w:rsidR="00A836AD">
        <w:rPr>
          <w:szCs w:val="26"/>
        </w:rPr>
        <w:t xml:space="preserve"> </w:t>
      </w:r>
      <w:r w:rsidRPr="00BB37A6">
        <w:rPr>
          <w:szCs w:val="26"/>
        </w:rPr>
        <w:t>18-12-009 requesting authority to establish its gas, electric distribution, and electric generation base revenue requirement for test year 2020 general rates.  In its application, PG&amp;E requested an increase of $1.058 billion or a 12.4 percent increase over its authorized base revenue requirement in 2019 of $8.518 billion.  (</w:t>
      </w:r>
      <w:r w:rsidRPr="00BB37A6">
        <w:rPr>
          <w:i/>
          <w:iCs/>
          <w:szCs w:val="26"/>
        </w:rPr>
        <w:t xml:space="preserve">Decision Addressing the Test Year 2020 General Rate Case of PG&amp;E, </w:t>
      </w:r>
      <w:r w:rsidRPr="00BB37A6">
        <w:rPr>
          <w:szCs w:val="26"/>
        </w:rPr>
        <w:t>D.20-12-005 (2020) at 1 (2020 GRC Decision).)  PG&amp;E’s request included funding for continuing safety and compliance programs to mitigate wildfire risks and new mitigation programs proposed by PG&amp;E for the first time, including the EVM program.  (</w:t>
      </w:r>
      <w:r w:rsidRPr="00BB37A6">
        <w:rPr>
          <w:i/>
          <w:iCs/>
          <w:szCs w:val="26"/>
        </w:rPr>
        <w:t xml:space="preserve">Id. </w:t>
      </w:r>
      <w:r w:rsidRPr="00BB37A6">
        <w:rPr>
          <w:szCs w:val="26"/>
        </w:rPr>
        <w:t xml:space="preserve">at 4, 78.) </w:t>
      </w:r>
    </w:p>
    <w:p w:rsidRPr="00BB37A6" w:rsidR="008338A7" w:rsidP="006D15A4" w:rsidRDefault="008338A7" w14:paraId="04BD1DD3" w14:textId="1A5627E5">
      <w:pPr>
        <w:spacing w:line="360" w:lineRule="auto"/>
        <w:ind w:firstLine="1440"/>
        <w:rPr>
          <w:szCs w:val="26"/>
        </w:rPr>
      </w:pPr>
      <w:r w:rsidRPr="00BB37A6">
        <w:rPr>
          <w:szCs w:val="26"/>
        </w:rPr>
        <w:t>On December 11, 2020</w:t>
      </w:r>
      <w:r w:rsidRPr="00BB37A6" w:rsidR="00594D6A">
        <w:rPr>
          <w:szCs w:val="26"/>
        </w:rPr>
        <w:t>,</w:t>
      </w:r>
      <w:r w:rsidRPr="00BB37A6">
        <w:rPr>
          <w:szCs w:val="26"/>
        </w:rPr>
        <w:t xml:space="preserve"> </w:t>
      </w:r>
      <w:r w:rsidRPr="00BB37A6" w:rsidR="00594D6A">
        <w:rPr>
          <w:szCs w:val="26"/>
        </w:rPr>
        <w:t>we</w:t>
      </w:r>
      <w:r w:rsidRPr="00BB37A6">
        <w:rPr>
          <w:szCs w:val="26"/>
        </w:rPr>
        <w:t xml:space="preserve"> issued the 2020 GRC Decision, adopting PG&amp;E’s revenue requirement for test year 2020.  (2020 GRC Decision at 2.)  A significant portion of the authorized funding addressed PG&amp;E’s requests for wildfire mitigation programs, including forecasted amounts for the 2020-2022 EVM program.  (</w:t>
      </w:r>
      <w:r w:rsidRPr="00BB37A6">
        <w:rPr>
          <w:i/>
          <w:iCs/>
          <w:szCs w:val="26"/>
        </w:rPr>
        <w:t xml:space="preserve">Id. </w:t>
      </w:r>
      <w:r w:rsidRPr="00BB37A6">
        <w:rPr>
          <w:szCs w:val="26"/>
        </w:rPr>
        <w:t>at 4, 56-57.)</w:t>
      </w:r>
      <w:r w:rsidRPr="00BB37A6" w:rsidR="00166172">
        <w:rPr>
          <w:szCs w:val="26"/>
        </w:rPr>
        <w:t xml:space="preserve">  </w:t>
      </w:r>
      <w:r w:rsidRPr="00BB37A6">
        <w:rPr>
          <w:szCs w:val="26"/>
        </w:rPr>
        <w:t xml:space="preserve">Since the EVM program was new at that time, it was difficult to determine a proper forecast that balanced both affordability and necessary </w:t>
      </w:r>
      <w:r w:rsidRPr="00BB37A6" w:rsidR="00780F89">
        <w:rPr>
          <w:szCs w:val="26"/>
        </w:rPr>
        <w:t>EVM</w:t>
      </w:r>
      <w:r w:rsidRPr="00BB37A6">
        <w:rPr>
          <w:szCs w:val="26"/>
        </w:rPr>
        <w:t xml:space="preserve"> work.  (2020 GRC Decision at 78.)  </w:t>
      </w:r>
      <w:r w:rsidRPr="00BB37A6" w:rsidR="0049255D">
        <w:rPr>
          <w:szCs w:val="26"/>
        </w:rPr>
        <w:t>We</w:t>
      </w:r>
      <w:r w:rsidRPr="00BB37A6">
        <w:rPr>
          <w:szCs w:val="26"/>
        </w:rPr>
        <w:t xml:space="preserve"> therefore authorized a two-way balancing account,</w:t>
      </w:r>
      <w:r w:rsidRPr="00BB37A6">
        <w:rPr>
          <w:rStyle w:val="FootnoteReference"/>
          <w:bCs/>
          <w:sz w:val="26"/>
          <w:szCs w:val="26"/>
        </w:rPr>
        <w:footnoteReference w:id="6"/>
      </w:r>
      <w:r w:rsidRPr="00BB37A6">
        <w:rPr>
          <w:szCs w:val="26"/>
        </w:rPr>
        <w:t xml:space="preserve"> the VMBA, to record EVM costs along with other vegetation management program costs.  (</w:t>
      </w:r>
      <w:r w:rsidRPr="00BB37A6">
        <w:rPr>
          <w:i/>
          <w:iCs/>
          <w:szCs w:val="26"/>
        </w:rPr>
        <w:t>Ibid.</w:t>
      </w:r>
      <w:r w:rsidRPr="00BB37A6">
        <w:rPr>
          <w:szCs w:val="26"/>
        </w:rPr>
        <w:t xml:space="preserve">)  </w:t>
      </w:r>
      <w:r w:rsidRPr="00BB37A6" w:rsidR="00AA3D07">
        <w:rPr>
          <w:szCs w:val="26"/>
        </w:rPr>
        <w:t>We</w:t>
      </w:r>
      <w:r w:rsidRPr="00BB37A6" w:rsidR="00166900">
        <w:rPr>
          <w:szCs w:val="26"/>
        </w:rPr>
        <w:t xml:space="preserve"> </w:t>
      </w:r>
      <w:r w:rsidRPr="00BB37A6">
        <w:rPr>
          <w:szCs w:val="26"/>
        </w:rPr>
        <w:t xml:space="preserve">further permitted PG&amp;E to recover these costs up to 120% of the amount authorized in the GRC proceeding ($759.71 million) through the advice letter process, </w:t>
      </w:r>
      <w:r w:rsidRPr="00BB37A6">
        <w:rPr>
          <w:szCs w:val="26"/>
        </w:rPr>
        <w:lastRenderedPageBreak/>
        <w:t>subjecting only costs exceeding this threshold to a reasonableness review via the application process.  (</w:t>
      </w:r>
      <w:r w:rsidRPr="00BB37A6">
        <w:rPr>
          <w:i/>
          <w:iCs/>
          <w:color w:val="000000" w:themeColor="text1"/>
          <w:szCs w:val="26"/>
        </w:rPr>
        <w:t xml:space="preserve">Id. </w:t>
      </w:r>
      <w:r w:rsidRPr="00BB37A6">
        <w:rPr>
          <w:color w:val="000000" w:themeColor="text1"/>
          <w:szCs w:val="26"/>
        </w:rPr>
        <w:t>at 395 (COL 17); Decision at 16.)</w:t>
      </w:r>
    </w:p>
    <w:p w:rsidRPr="00BB37A6" w:rsidR="008338A7" w:rsidP="006D15A4" w:rsidRDefault="008338A7" w14:paraId="08B7ED1A" w14:textId="6FCF2EAA">
      <w:pPr>
        <w:spacing w:line="360" w:lineRule="auto"/>
        <w:ind w:firstLine="1440"/>
        <w:rPr>
          <w:szCs w:val="26"/>
        </w:rPr>
      </w:pPr>
      <w:r w:rsidRPr="00BB37A6">
        <w:rPr>
          <w:szCs w:val="26"/>
        </w:rPr>
        <w:t xml:space="preserve">In February 2020, PG&amp;E submitted a WMP </w:t>
      </w:r>
      <w:r w:rsidRPr="00BB37A6" w:rsidR="00FF638A">
        <w:rPr>
          <w:szCs w:val="26"/>
        </w:rPr>
        <w:t xml:space="preserve">to the Commission </w:t>
      </w:r>
      <w:r w:rsidRPr="00BB37A6">
        <w:rPr>
          <w:szCs w:val="26"/>
        </w:rPr>
        <w:t>covering a three-year term from 2020 through the end of 2022 and later submitted annual updates for 2021 and 2022</w:t>
      </w:r>
      <w:r w:rsidRPr="00BB37A6" w:rsidR="00D44375">
        <w:rPr>
          <w:szCs w:val="26"/>
        </w:rPr>
        <w:t xml:space="preserve"> </w:t>
      </w:r>
      <w:r w:rsidRPr="00BB37A6" w:rsidR="00D415A2">
        <w:rPr>
          <w:szCs w:val="26"/>
        </w:rPr>
        <w:t>for</w:t>
      </w:r>
      <w:r w:rsidRPr="00BB37A6" w:rsidR="00D44375">
        <w:rPr>
          <w:szCs w:val="26"/>
        </w:rPr>
        <w:t xml:space="preserve"> Energy Safety</w:t>
      </w:r>
      <w:r w:rsidRPr="00BB37A6" w:rsidR="00F74033">
        <w:rPr>
          <w:szCs w:val="26"/>
        </w:rPr>
        <w:t xml:space="preserve"> review</w:t>
      </w:r>
      <w:r w:rsidRPr="00BB37A6">
        <w:rPr>
          <w:szCs w:val="26"/>
        </w:rPr>
        <w:t xml:space="preserve">.  (2022 Update at 15.)  </w:t>
      </w:r>
      <w:r w:rsidRPr="00BB37A6" w:rsidR="007F7F25">
        <w:rPr>
          <w:szCs w:val="26"/>
        </w:rPr>
        <w:t>We approved t</w:t>
      </w:r>
      <w:r w:rsidRPr="00BB37A6">
        <w:rPr>
          <w:szCs w:val="26"/>
        </w:rPr>
        <w:t xml:space="preserve">he three-year plan in Resolution WSD-003 on June 11, 2020.  PG&amp;E’s updates to the plan were reviewed by Energy Safety since the Legislature had transferred </w:t>
      </w:r>
      <w:r w:rsidRPr="00BB37A6" w:rsidR="007A14AB">
        <w:rPr>
          <w:szCs w:val="26"/>
        </w:rPr>
        <w:t xml:space="preserve">this duty from </w:t>
      </w:r>
      <w:r w:rsidRPr="00BB37A6">
        <w:rPr>
          <w:szCs w:val="26"/>
        </w:rPr>
        <w:t>the Commission to Energy Safety effective July 1, 2021.</w:t>
      </w:r>
    </w:p>
    <w:p w:rsidRPr="00BB37A6" w:rsidR="008338A7" w:rsidP="006D15A4" w:rsidRDefault="008338A7" w14:paraId="5E48C3F6" w14:textId="5E805F53">
      <w:pPr>
        <w:spacing w:line="360" w:lineRule="auto"/>
        <w:ind w:firstLine="1440"/>
        <w:rPr>
          <w:szCs w:val="26"/>
        </w:rPr>
      </w:pPr>
      <w:r w:rsidRPr="00BB37A6">
        <w:rPr>
          <w:szCs w:val="26"/>
        </w:rPr>
        <w:t>Around th</w:t>
      </w:r>
      <w:r w:rsidRPr="00BB37A6" w:rsidR="000C6A34">
        <w:rPr>
          <w:szCs w:val="26"/>
        </w:rPr>
        <w:t>e</w:t>
      </w:r>
      <w:r w:rsidRPr="00BB37A6">
        <w:rPr>
          <w:szCs w:val="26"/>
        </w:rPr>
        <w:t xml:space="preserve"> time </w:t>
      </w:r>
      <w:r w:rsidRPr="00BB37A6" w:rsidR="00525817">
        <w:rPr>
          <w:szCs w:val="26"/>
        </w:rPr>
        <w:t xml:space="preserve">we </w:t>
      </w:r>
      <w:r w:rsidRPr="00BB37A6" w:rsidR="000C6A34">
        <w:rPr>
          <w:szCs w:val="26"/>
        </w:rPr>
        <w:t>approved PG&amp;E’s</w:t>
      </w:r>
      <w:r w:rsidRPr="00BB37A6">
        <w:rPr>
          <w:szCs w:val="26"/>
        </w:rPr>
        <w:t xml:space="preserve"> three-year plan, on June 1, 2020, </w:t>
      </w:r>
      <w:r w:rsidRPr="00BB37A6" w:rsidR="00A45487">
        <w:rPr>
          <w:szCs w:val="26"/>
        </w:rPr>
        <w:t>we</w:t>
      </w:r>
      <w:r w:rsidRPr="00BB37A6">
        <w:rPr>
          <w:szCs w:val="26"/>
        </w:rPr>
        <w:t xml:space="preserve"> issued </w:t>
      </w:r>
      <w:r w:rsidRPr="00BB37A6">
        <w:rPr>
          <w:i/>
          <w:iCs/>
          <w:szCs w:val="26"/>
        </w:rPr>
        <w:t xml:space="preserve">Decision Approving Reorganization Plan, </w:t>
      </w:r>
      <w:r w:rsidRPr="00BB37A6">
        <w:rPr>
          <w:szCs w:val="26"/>
        </w:rPr>
        <w:t xml:space="preserve">D.20-05-053 (2020), which approved PG&amp;E’s bankruptcy plan of reorganization with conditions and modifications.  This decision established an Enhanced Oversight and Enforcement Process (EOE Process) allowing </w:t>
      </w:r>
      <w:r w:rsidRPr="00BB37A6" w:rsidR="00A45487">
        <w:rPr>
          <w:szCs w:val="26"/>
        </w:rPr>
        <w:t>us</w:t>
      </w:r>
      <w:r w:rsidRPr="00BB37A6">
        <w:rPr>
          <w:szCs w:val="26"/>
        </w:rPr>
        <w:t xml:space="preserve"> to take additional steps to ensure PG&amp;E </w:t>
      </w:r>
      <w:r w:rsidRPr="00BB37A6" w:rsidR="00900D09">
        <w:rPr>
          <w:szCs w:val="26"/>
        </w:rPr>
        <w:t>improved</w:t>
      </w:r>
      <w:r w:rsidRPr="00BB37A6">
        <w:rPr>
          <w:szCs w:val="26"/>
        </w:rPr>
        <w:t xml:space="preserve"> its safety performance if specific triggering events occur.  (Resolution M-4852 (April 15, 2021) at 1.)</w:t>
      </w:r>
    </w:p>
    <w:p w:rsidRPr="00BB37A6" w:rsidR="008338A7" w:rsidP="006D15A4" w:rsidRDefault="008338A7" w14:paraId="1D574B89" w14:textId="14745C04">
      <w:pPr>
        <w:spacing w:line="360" w:lineRule="auto"/>
        <w:ind w:firstLine="1440"/>
        <w:rPr>
          <w:szCs w:val="26"/>
        </w:rPr>
      </w:pPr>
      <w:r w:rsidRPr="00BB37A6">
        <w:rPr>
          <w:szCs w:val="26"/>
        </w:rPr>
        <w:t xml:space="preserve">On April 16, 2021, in Resolution M-4852, </w:t>
      </w:r>
      <w:r w:rsidRPr="00BB37A6" w:rsidR="00DC3A71">
        <w:rPr>
          <w:szCs w:val="26"/>
        </w:rPr>
        <w:t>we</w:t>
      </w:r>
      <w:r w:rsidRPr="00BB37A6">
        <w:rPr>
          <w:szCs w:val="26"/>
        </w:rPr>
        <w:t xml:space="preserve"> placed PG&amp;E in </w:t>
      </w:r>
      <w:r w:rsidRPr="00BB37A6" w:rsidR="00F6527B">
        <w:rPr>
          <w:szCs w:val="26"/>
        </w:rPr>
        <w:t>S</w:t>
      </w:r>
      <w:r w:rsidRPr="00BB37A6">
        <w:rPr>
          <w:szCs w:val="26"/>
        </w:rPr>
        <w:t xml:space="preserve">tep 1 for failure to sufficiently prioritize the highest risk power lines for its 2020 EVM program, finding that less than five percent of the EVM work PG&amp;E completed in 2020 was done to the 20 highest-risk power lines.  (Resolution M-4852 at 1-2, 6.)  </w:t>
      </w:r>
      <w:r w:rsidRPr="00BB37A6" w:rsidR="00DC3A71">
        <w:rPr>
          <w:szCs w:val="26"/>
        </w:rPr>
        <w:t>We</w:t>
      </w:r>
      <w:r w:rsidRPr="00BB37A6">
        <w:rPr>
          <w:szCs w:val="26"/>
        </w:rPr>
        <w:t xml:space="preserve"> therefore directed PG&amp;E to submit periodic reports explaining in detail how it would both perform risk modeling and use the results of this modeling to ensure the highest risk power lines were prioritized for its EVM program.  (Resolution M-4864 (Dec. 2, 2022) at 2.)  On December </w:t>
      </w:r>
      <w:r w:rsidRPr="00BB37A6" w:rsidR="008D56F8">
        <w:rPr>
          <w:szCs w:val="26"/>
        </w:rPr>
        <w:t>2</w:t>
      </w:r>
      <w:r w:rsidRPr="00BB37A6">
        <w:rPr>
          <w:szCs w:val="26"/>
        </w:rPr>
        <w:t xml:space="preserve">, 2022, </w:t>
      </w:r>
      <w:r w:rsidRPr="00BB37A6" w:rsidR="0036566F">
        <w:rPr>
          <w:szCs w:val="26"/>
        </w:rPr>
        <w:t>we</w:t>
      </w:r>
      <w:r w:rsidRPr="00BB37A6">
        <w:rPr>
          <w:szCs w:val="26"/>
        </w:rPr>
        <w:t xml:space="preserve"> issued Resolution M-4864 removing PG&amp;E from Step 1, finding that PG&amp;E had demonstrated that it had appropriately prioritized high-risk distribution lines for EVM.  (</w:t>
      </w:r>
      <w:r w:rsidRPr="00BB37A6">
        <w:rPr>
          <w:i/>
          <w:szCs w:val="26"/>
        </w:rPr>
        <w:t>Ibid.</w:t>
      </w:r>
      <w:r w:rsidRPr="00BB37A6">
        <w:rPr>
          <w:szCs w:val="26"/>
        </w:rPr>
        <w:t xml:space="preserve">) </w:t>
      </w:r>
    </w:p>
    <w:p w:rsidRPr="00BB37A6" w:rsidR="008338A7" w:rsidP="006D15A4" w:rsidRDefault="008338A7" w14:paraId="577461CE" w14:textId="4E6E230F">
      <w:pPr>
        <w:spacing w:line="360" w:lineRule="auto"/>
        <w:ind w:firstLine="1440"/>
        <w:rPr>
          <w:szCs w:val="26"/>
        </w:rPr>
      </w:pPr>
      <w:r w:rsidRPr="00BB37A6">
        <w:rPr>
          <w:szCs w:val="26"/>
        </w:rPr>
        <w:t xml:space="preserve">Earlier in 2022, PG&amp;E submitted its draft </w:t>
      </w:r>
      <w:r w:rsidRPr="00BB37A6" w:rsidR="005D2923">
        <w:rPr>
          <w:szCs w:val="26"/>
        </w:rPr>
        <w:t>202</w:t>
      </w:r>
      <w:r w:rsidRPr="00BB37A6" w:rsidR="00BA5770">
        <w:rPr>
          <w:szCs w:val="26"/>
        </w:rPr>
        <w:t>2</w:t>
      </w:r>
      <w:r w:rsidRPr="00BB37A6" w:rsidR="005D2923">
        <w:rPr>
          <w:szCs w:val="26"/>
        </w:rPr>
        <w:t xml:space="preserve"> </w:t>
      </w:r>
      <w:r w:rsidRPr="00BB37A6" w:rsidR="00E6745B">
        <w:rPr>
          <w:szCs w:val="26"/>
        </w:rPr>
        <w:t>U</w:t>
      </w:r>
      <w:r w:rsidRPr="00BB37A6">
        <w:rPr>
          <w:szCs w:val="26"/>
        </w:rPr>
        <w:t xml:space="preserve">pdate to Energy Safety on February 25, 2022, which included </w:t>
      </w:r>
      <w:r w:rsidRPr="00BB37A6" w:rsidR="00780F89">
        <w:rPr>
          <w:szCs w:val="26"/>
        </w:rPr>
        <w:t>EVM</w:t>
      </w:r>
      <w:r w:rsidRPr="00BB37A6">
        <w:rPr>
          <w:szCs w:val="26"/>
        </w:rPr>
        <w:t xml:space="preserve"> program targets of 1,800 miles </w:t>
      </w:r>
      <w:r w:rsidRPr="00BB37A6" w:rsidR="001E2941">
        <w:rPr>
          <w:szCs w:val="26"/>
        </w:rPr>
        <w:t>with</w:t>
      </w:r>
      <w:r w:rsidRPr="00BB37A6">
        <w:rPr>
          <w:szCs w:val="26"/>
        </w:rPr>
        <w:t xml:space="preserve"> 80 percent of th</w:t>
      </w:r>
      <w:r w:rsidRPr="00BB37A6" w:rsidR="003B625B">
        <w:rPr>
          <w:szCs w:val="26"/>
        </w:rPr>
        <w:t>e</w:t>
      </w:r>
      <w:r w:rsidRPr="00BB37A6">
        <w:rPr>
          <w:szCs w:val="26"/>
        </w:rPr>
        <w:t xml:space="preserve"> work to be completed in the top 20 percent high risk areas.  (See 2022 Update at 15.)  Energy Safety posted the draft on its website and solicited public comments, which were submitted in April 2022.  (Energy Safety, </w:t>
      </w:r>
      <w:r w:rsidRPr="00BB37A6">
        <w:rPr>
          <w:i/>
          <w:iCs/>
          <w:szCs w:val="26"/>
        </w:rPr>
        <w:t xml:space="preserve">Documents and Docket Log for the 2022 </w:t>
      </w:r>
      <w:r w:rsidRPr="00BB37A6">
        <w:rPr>
          <w:i/>
          <w:iCs/>
          <w:szCs w:val="26"/>
        </w:rPr>
        <w:lastRenderedPageBreak/>
        <w:t>Wildfire Mitigation Plans</w:t>
      </w:r>
      <w:r w:rsidRPr="00BB37A6">
        <w:rPr>
          <w:szCs w:val="26"/>
        </w:rPr>
        <w:t xml:space="preserve">, available at </w:t>
      </w:r>
      <w:hyperlink w:history="1" r:id="rId11">
        <w:r w:rsidRPr="00BB37A6">
          <w:rPr>
            <w:rStyle w:val="Hyperlink"/>
            <w:szCs w:val="26"/>
          </w:rPr>
          <w:t>https://energysafety.ca.gov/what-we-do/electrical-infrastructure-safety/wildfire-mitigation-and-safety/wildfire-mitigation-plans/2022-wmp/</w:t>
        </w:r>
      </w:hyperlink>
      <w:r w:rsidRPr="00BB37A6">
        <w:rPr>
          <w:szCs w:val="26"/>
        </w:rPr>
        <w:t>.)  Several public comments were received, including a submission by TURN.  As part of its comments, TURN proposed that the EVM program be reduced by 99 percent (</w:t>
      </w:r>
      <w:r w:rsidRPr="00BB37A6" w:rsidR="00AD55F4">
        <w:rPr>
          <w:szCs w:val="26"/>
        </w:rPr>
        <w:t>to</w:t>
      </w:r>
      <w:r w:rsidRPr="00BB37A6">
        <w:rPr>
          <w:szCs w:val="26"/>
        </w:rPr>
        <w:t xml:space="preserve"> 18 miles), asserting that the program was “no longer cost-effective.”  (Exh.</w:t>
      </w:r>
      <w:r w:rsidRPr="00BB37A6" w:rsidR="00611BC7">
        <w:rPr>
          <w:szCs w:val="26"/>
        </w:rPr>
        <w:t xml:space="preserve"> </w:t>
      </w:r>
      <w:r w:rsidRPr="00BB37A6">
        <w:rPr>
          <w:szCs w:val="26"/>
        </w:rPr>
        <w:t xml:space="preserve">PG&amp;E-29 [Excerpts of TURN Comments on 2022 WMP (April 11, 2022)] at 18, 21.)  In May 2022, Energy Safety issued revision notices to PG&amp;E identifying items for revision, none of which ordered </w:t>
      </w:r>
      <w:r w:rsidRPr="00BB37A6" w:rsidR="00183DAC">
        <w:rPr>
          <w:szCs w:val="26"/>
        </w:rPr>
        <w:t xml:space="preserve">PG&amp;E </w:t>
      </w:r>
      <w:r w:rsidRPr="00BB37A6">
        <w:rPr>
          <w:szCs w:val="26"/>
        </w:rPr>
        <w:t xml:space="preserve">to make changes to </w:t>
      </w:r>
      <w:r w:rsidRPr="00BB37A6" w:rsidR="006C207F">
        <w:rPr>
          <w:szCs w:val="26"/>
        </w:rPr>
        <w:t xml:space="preserve">the </w:t>
      </w:r>
      <w:r w:rsidRPr="00BB37A6">
        <w:rPr>
          <w:szCs w:val="26"/>
        </w:rPr>
        <w:t>EVM program.  (2022 Update at 20, Appendix B at A-9 to A-43.)  On July 26, 2022, PG&amp;E submitted its revised 2022 Update, addressing Energy Safety’s revision notices.  (</w:t>
      </w:r>
      <w:r w:rsidRPr="00BB37A6">
        <w:rPr>
          <w:i/>
          <w:iCs/>
          <w:szCs w:val="26"/>
        </w:rPr>
        <w:t xml:space="preserve">Id. </w:t>
      </w:r>
      <w:r w:rsidRPr="00BB37A6">
        <w:rPr>
          <w:szCs w:val="26"/>
        </w:rPr>
        <w:t>at 20.)</w:t>
      </w:r>
    </w:p>
    <w:p w:rsidRPr="00BB37A6" w:rsidR="008338A7" w:rsidP="006D15A4" w:rsidRDefault="008338A7" w14:paraId="543D0684" w14:textId="2942EC3D">
      <w:pPr>
        <w:pStyle w:val="BodyText"/>
        <w:ind w:firstLine="1440"/>
        <w:rPr>
          <w:szCs w:val="26"/>
        </w:rPr>
      </w:pPr>
      <w:r w:rsidRPr="00BB37A6">
        <w:rPr>
          <w:szCs w:val="26"/>
        </w:rPr>
        <w:t xml:space="preserve">On October 6, 2022, Energy Safety issued its draft decision approving PG&amp;E’s 2022 </w:t>
      </w:r>
      <w:r w:rsidRPr="00BB37A6" w:rsidR="007D40D1">
        <w:rPr>
          <w:szCs w:val="26"/>
        </w:rPr>
        <w:t>u</w:t>
      </w:r>
      <w:r w:rsidRPr="00BB37A6">
        <w:rPr>
          <w:szCs w:val="26"/>
        </w:rPr>
        <w:t>pdate and solicited public comments on the draft.  (2022 Update at Appendix D.)  On November 10, 2022, Energy Safety issued its final decision, the 2022 Update, which included revisions to the draft based on public comments.  Energy Safety’s revisions did not incorporat</w:t>
      </w:r>
      <w:r w:rsidRPr="00BB37A6" w:rsidR="004E62C6">
        <w:rPr>
          <w:szCs w:val="26"/>
        </w:rPr>
        <w:t>e</w:t>
      </w:r>
      <w:r w:rsidRPr="00BB37A6">
        <w:rPr>
          <w:szCs w:val="26"/>
        </w:rPr>
        <w:t xml:space="preserve"> TURN’s comments on PG&amp;E’s EVM program.  (See </w:t>
      </w:r>
      <w:r w:rsidRPr="00BB37A6">
        <w:rPr>
          <w:i/>
          <w:iCs/>
          <w:szCs w:val="26"/>
        </w:rPr>
        <w:t>ibid.</w:t>
      </w:r>
      <w:r w:rsidRPr="00BB37A6">
        <w:rPr>
          <w:szCs w:val="26"/>
        </w:rPr>
        <w:t xml:space="preserve">)  On December 15, 2022, </w:t>
      </w:r>
      <w:r w:rsidRPr="00BB37A6" w:rsidR="00E11915">
        <w:rPr>
          <w:szCs w:val="26"/>
        </w:rPr>
        <w:t>we</w:t>
      </w:r>
      <w:r w:rsidRPr="00BB37A6">
        <w:rPr>
          <w:szCs w:val="26"/>
        </w:rPr>
        <w:t xml:space="preserve"> ratified the 2022 Update as required by law in Resolution SPD-9.</w:t>
      </w:r>
    </w:p>
    <w:p w:rsidRPr="00BB37A6" w:rsidR="0088628C" w:rsidP="0088628C" w:rsidRDefault="0088628C" w14:paraId="3F0A32A6" w14:textId="77777777">
      <w:pPr>
        <w:pStyle w:val="Heading1"/>
        <w:spacing w:before="0"/>
      </w:pPr>
      <w:r w:rsidRPr="00BB37A6">
        <w:t>DISCUSSION</w:t>
      </w:r>
    </w:p>
    <w:p w:rsidRPr="00BB37A6" w:rsidR="0088628C" w:rsidP="00BF3792" w:rsidRDefault="0088628C" w14:paraId="0545D5C3" w14:textId="735DF555">
      <w:pPr>
        <w:pStyle w:val="Heading2"/>
        <w:ind w:left="1440"/>
        <w:rPr>
          <w:szCs w:val="26"/>
        </w:rPr>
      </w:pPr>
      <w:bookmarkStart w:name="_Hlk85096995" w:id="3"/>
      <w:r w:rsidRPr="00BB37A6">
        <w:rPr>
          <w:szCs w:val="26"/>
        </w:rPr>
        <w:t xml:space="preserve">The </w:t>
      </w:r>
      <w:r w:rsidRPr="00BB37A6" w:rsidR="0088544A">
        <w:rPr>
          <w:szCs w:val="26"/>
        </w:rPr>
        <w:t>Decision’s disallowance does not exceed our jurisdiction under the WMP statutory scheme</w:t>
      </w:r>
      <w:r w:rsidRPr="00BB37A6">
        <w:rPr>
          <w:szCs w:val="26"/>
        </w:rPr>
        <w:t>.</w:t>
      </w:r>
    </w:p>
    <w:p w:rsidRPr="00BB37A6" w:rsidR="0088544A" w:rsidP="0053400E" w:rsidRDefault="0088544A" w14:paraId="28E02611" w14:textId="6ED3A453">
      <w:pPr>
        <w:pStyle w:val="BodyText"/>
        <w:ind w:firstLine="1440"/>
        <w:rPr>
          <w:szCs w:val="26"/>
        </w:rPr>
      </w:pPr>
      <w:r w:rsidRPr="00BB37A6">
        <w:rPr>
          <w:szCs w:val="26"/>
        </w:rPr>
        <w:t xml:space="preserve">PG&amp;E claims </w:t>
      </w:r>
      <w:r w:rsidRPr="00BB37A6" w:rsidR="0053400E">
        <w:rPr>
          <w:szCs w:val="26"/>
        </w:rPr>
        <w:t>we</w:t>
      </w:r>
      <w:r w:rsidRPr="00BB37A6">
        <w:rPr>
          <w:szCs w:val="26"/>
        </w:rPr>
        <w:t xml:space="preserve"> acted in excess of </w:t>
      </w:r>
      <w:r w:rsidRPr="00BB37A6" w:rsidR="00707E86">
        <w:rPr>
          <w:szCs w:val="26"/>
        </w:rPr>
        <w:t>our</w:t>
      </w:r>
      <w:r w:rsidRPr="00BB37A6">
        <w:rPr>
          <w:szCs w:val="26"/>
        </w:rPr>
        <w:t xml:space="preserve"> jurisdiction because the Decision denied cost recovery on the basis that PG&amp;E should not have performed some of the EVM work required by its 2022 Update, thereby in effect regulating the plan’s contents and second-guessing Energy Safety’s determinations.  (App. Rehg. at 16-20.)  PG&amp;E argues that the Legislature’s use of the word “implement” in section 8386.4 means that </w:t>
      </w:r>
      <w:r w:rsidRPr="00BB37A6" w:rsidR="0053400E">
        <w:rPr>
          <w:szCs w:val="26"/>
        </w:rPr>
        <w:t>we</w:t>
      </w:r>
      <w:r w:rsidRPr="00BB37A6">
        <w:rPr>
          <w:szCs w:val="26"/>
        </w:rPr>
        <w:t xml:space="preserve"> may assess only how mandated WMP work was performed, not whether the work should have been conducted at all.  (</w:t>
      </w:r>
      <w:r w:rsidRPr="00BB37A6">
        <w:rPr>
          <w:i/>
          <w:iCs/>
          <w:szCs w:val="26"/>
        </w:rPr>
        <w:t>Id.</w:t>
      </w:r>
      <w:r w:rsidRPr="00BB37A6">
        <w:rPr>
          <w:szCs w:val="26"/>
        </w:rPr>
        <w:t xml:space="preserve"> at 16, 18.)  PG&amp;E appears to go as far as contending that the Legislature limited </w:t>
      </w:r>
      <w:r w:rsidRPr="00BB37A6" w:rsidR="0053400E">
        <w:rPr>
          <w:szCs w:val="26"/>
        </w:rPr>
        <w:t>our</w:t>
      </w:r>
      <w:r w:rsidRPr="00BB37A6">
        <w:rPr>
          <w:szCs w:val="26"/>
        </w:rPr>
        <w:t xml:space="preserve"> cost review jurisdiction to reviewing the per unit costs related to the completion of work required by a WMP.  (See </w:t>
      </w:r>
      <w:r w:rsidRPr="00BB37A6">
        <w:rPr>
          <w:i/>
          <w:iCs/>
          <w:szCs w:val="26"/>
        </w:rPr>
        <w:t xml:space="preserve">id. </w:t>
      </w:r>
      <w:r w:rsidRPr="00BB37A6">
        <w:rPr>
          <w:szCs w:val="26"/>
        </w:rPr>
        <w:t>at 11, 29.)</w:t>
      </w:r>
    </w:p>
    <w:p w:rsidRPr="00BB37A6" w:rsidR="0088628C" w:rsidP="0088544A" w:rsidRDefault="0088544A" w14:paraId="4EEF93EB" w14:textId="5AA6717C">
      <w:pPr>
        <w:pStyle w:val="BodyText"/>
        <w:ind w:firstLine="1440"/>
        <w:rPr>
          <w:szCs w:val="26"/>
        </w:rPr>
      </w:pPr>
      <w:r w:rsidRPr="00BB37A6">
        <w:rPr>
          <w:szCs w:val="26"/>
        </w:rPr>
        <w:lastRenderedPageBreak/>
        <w:t xml:space="preserve">PG&amp;E fails to identify legal error for two reasons.  First, PG&amp;E mischaracterizes the basis for the Decision’s disallowance, which is premised on PG&amp;E’s decisionmaking in implementing both flexible and mandatory aspects of the EVM program.  Second, PG&amp;E is wrong that the WMP statutory scheme prohibits </w:t>
      </w:r>
      <w:r w:rsidRPr="00BB37A6" w:rsidR="0053400E">
        <w:rPr>
          <w:szCs w:val="26"/>
        </w:rPr>
        <w:t>us</w:t>
      </w:r>
      <w:r w:rsidRPr="00BB37A6">
        <w:rPr>
          <w:szCs w:val="26"/>
        </w:rPr>
        <w:t xml:space="preserve"> from reviewing the prudency of PG&amp;E’s conduct in implementing EVM work mandated in its 2022 Update and the reasonableness of the related costs.</w:t>
      </w:r>
    </w:p>
    <w:bookmarkEnd w:id="3"/>
    <w:p w:rsidRPr="00BB37A6" w:rsidR="0088628C" w:rsidP="0088628C" w:rsidRDefault="00117D80" w14:paraId="580A7164" w14:textId="4FE40573">
      <w:pPr>
        <w:pStyle w:val="Heading3"/>
        <w:tabs>
          <w:tab w:val="clear" w:pos="2160"/>
        </w:tabs>
        <w:spacing w:before="0"/>
        <w:rPr>
          <w:szCs w:val="26"/>
        </w:rPr>
      </w:pPr>
      <w:r w:rsidRPr="00BB37A6">
        <w:rPr>
          <w:bCs/>
          <w:szCs w:val="26"/>
        </w:rPr>
        <w:t xml:space="preserve">PG&amp;E </w:t>
      </w:r>
      <w:r w:rsidRPr="00BB37A6" w:rsidR="00214253">
        <w:rPr>
          <w:bCs/>
          <w:szCs w:val="26"/>
        </w:rPr>
        <w:t>misunderstands the Decision as disallowing costs solely for work to meet EVM program targets</w:t>
      </w:r>
      <w:r w:rsidRPr="00BB37A6" w:rsidR="0088628C">
        <w:rPr>
          <w:szCs w:val="26"/>
        </w:rPr>
        <w:t>.</w:t>
      </w:r>
    </w:p>
    <w:p w:rsidRPr="00BB37A6" w:rsidR="00A1582C" w:rsidP="00A1582C" w:rsidRDefault="00B16BC4" w14:paraId="11DFDB0B" w14:textId="48746800">
      <w:pPr>
        <w:pStyle w:val="BodyText"/>
        <w:ind w:firstLine="1440"/>
        <w:rPr>
          <w:iCs/>
          <w:color w:val="000000" w:themeColor="text1"/>
          <w:szCs w:val="26"/>
        </w:rPr>
      </w:pPr>
      <w:r w:rsidRPr="00BB37A6">
        <w:rPr>
          <w:szCs w:val="26"/>
        </w:rPr>
        <w:t xml:space="preserve">The crux of PG&amp;E’s jurisdictional claim is that </w:t>
      </w:r>
      <w:r w:rsidRPr="00BB37A6" w:rsidR="0062175D">
        <w:rPr>
          <w:szCs w:val="26"/>
        </w:rPr>
        <w:t>we lack</w:t>
      </w:r>
      <w:r w:rsidRPr="00BB37A6">
        <w:rPr>
          <w:szCs w:val="26"/>
        </w:rPr>
        <w:t xml:space="preserve"> authority to disallow 2022 EVM expenditures because those expenditures were made to complete the 1,800 miles of work required by its 2022 Update.  </w:t>
      </w:r>
      <w:r w:rsidRPr="00BB37A6">
        <w:rPr>
          <w:iCs/>
          <w:color w:val="000000" w:themeColor="text1"/>
          <w:szCs w:val="26"/>
        </w:rPr>
        <w:t xml:space="preserve">(App. Rehg. at 10, 11-12.) </w:t>
      </w:r>
      <w:r w:rsidRPr="00BB37A6" w:rsidR="00A1582C">
        <w:rPr>
          <w:iCs/>
          <w:color w:val="000000" w:themeColor="text1"/>
          <w:szCs w:val="26"/>
        </w:rPr>
        <w:t xml:space="preserve"> PG&amp;E also alludes to the EOE Process as support.  (See </w:t>
      </w:r>
      <w:r w:rsidRPr="00BB37A6" w:rsidR="00A1582C">
        <w:rPr>
          <w:i/>
          <w:color w:val="000000" w:themeColor="text1"/>
          <w:szCs w:val="26"/>
        </w:rPr>
        <w:t xml:space="preserve">id. </w:t>
      </w:r>
      <w:r w:rsidRPr="00BB37A6" w:rsidR="00A1582C">
        <w:rPr>
          <w:iCs/>
          <w:color w:val="000000" w:themeColor="text1"/>
          <w:szCs w:val="26"/>
        </w:rPr>
        <w:t xml:space="preserve">at 10, 20.)  PG&amp;E’s narrow read of the Decision ignores that PG&amp;E had latitude in how it implemented certain aspects of the 2022 EVM program, areas </w:t>
      </w:r>
      <w:r w:rsidRPr="00BB37A6" w:rsidR="008C073A">
        <w:rPr>
          <w:iCs/>
          <w:color w:val="000000" w:themeColor="text1"/>
          <w:szCs w:val="26"/>
        </w:rPr>
        <w:t xml:space="preserve">in </w:t>
      </w:r>
      <w:r w:rsidRPr="00BB37A6" w:rsidR="00A1582C">
        <w:rPr>
          <w:iCs/>
          <w:color w:val="000000" w:themeColor="text1"/>
          <w:szCs w:val="26"/>
        </w:rPr>
        <w:t xml:space="preserve">which </w:t>
      </w:r>
      <w:r w:rsidRPr="00BB37A6" w:rsidR="00287107">
        <w:rPr>
          <w:iCs/>
          <w:color w:val="000000" w:themeColor="text1"/>
          <w:szCs w:val="26"/>
        </w:rPr>
        <w:t>the Decision f</w:t>
      </w:r>
      <w:r w:rsidRPr="00BB37A6" w:rsidR="002C12EB">
        <w:rPr>
          <w:iCs/>
          <w:color w:val="000000" w:themeColor="text1"/>
          <w:szCs w:val="26"/>
        </w:rPr>
        <w:t>inds</w:t>
      </w:r>
      <w:r w:rsidRPr="00BB37A6" w:rsidR="00287107">
        <w:rPr>
          <w:iCs/>
          <w:color w:val="000000" w:themeColor="text1"/>
          <w:szCs w:val="26"/>
        </w:rPr>
        <w:t xml:space="preserve"> </w:t>
      </w:r>
      <w:r w:rsidRPr="00BB37A6" w:rsidR="00A1582C">
        <w:rPr>
          <w:iCs/>
          <w:color w:val="000000" w:themeColor="text1"/>
          <w:szCs w:val="26"/>
        </w:rPr>
        <w:t>PG&amp;E failed to exercise prudent business judgment.</w:t>
      </w:r>
    </w:p>
    <w:p w:rsidRPr="00BB37A6" w:rsidR="00A1582C" w:rsidP="00A1582C" w:rsidRDefault="00A1582C" w14:paraId="1EC7AAA6" w14:textId="175C19C0">
      <w:pPr>
        <w:pStyle w:val="BodyText"/>
        <w:ind w:firstLine="1440"/>
        <w:rPr>
          <w:iCs/>
          <w:color w:val="000000" w:themeColor="text1"/>
          <w:szCs w:val="26"/>
        </w:rPr>
      </w:pPr>
      <w:r w:rsidRPr="00BB37A6">
        <w:rPr>
          <w:szCs w:val="26"/>
        </w:rPr>
        <w:t xml:space="preserve">The Decision determines that PG&amp;E acted imprudently when it continued to implement the EVM program </w:t>
      </w:r>
      <w:r w:rsidRPr="00BB37A6">
        <w:rPr>
          <w:color w:val="000000" w:themeColor="text1"/>
          <w:szCs w:val="26"/>
        </w:rPr>
        <w:t>with no consideration of work effectiveness and absent taking any action to make changes to the program</w:t>
      </w:r>
      <w:r w:rsidRPr="00BB37A6">
        <w:rPr>
          <w:szCs w:val="26"/>
        </w:rPr>
        <w:t xml:space="preserve">.  (Decision at 65-67.)  The Decision’s determination encompasses areas where PG&amp;E had flexibility to </w:t>
      </w:r>
      <w:r w:rsidRPr="00BB37A6">
        <w:rPr>
          <w:color w:val="000000" w:themeColor="text1"/>
          <w:szCs w:val="26"/>
        </w:rPr>
        <w:t xml:space="preserve">alter the course of how it implemented the EVM program to control costs but failed to do so.  </w:t>
      </w:r>
      <w:r w:rsidRPr="00BB37A6">
        <w:rPr>
          <w:iCs/>
          <w:color w:val="000000" w:themeColor="text1"/>
          <w:szCs w:val="26"/>
        </w:rPr>
        <w:t xml:space="preserve">In light of the information PG&amp;E had about the ineffectiveness of the EVM program in October 2022, PG&amp;E imprudently decided to incur the </w:t>
      </w:r>
      <w:r w:rsidRPr="00BB37A6" w:rsidR="007D0B84">
        <w:rPr>
          <w:iCs/>
          <w:color w:val="000000" w:themeColor="text1"/>
          <w:szCs w:val="26"/>
        </w:rPr>
        <w:t xml:space="preserve">below </w:t>
      </w:r>
      <w:r w:rsidRPr="00BB37A6">
        <w:rPr>
          <w:iCs/>
          <w:color w:val="000000" w:themeColor="text1"/>
          <w:szCs w:val="26"/>
        </w:rPr>
        <w:t xml:space="preserve">additional expenses </w:t>
      </w:r>
      <w:r w:rsidRPr="00BB37A6" w:rsidR="007D0B84">
        <w:rPr>
          <w:iCs/>
          <w:color w:val="000000" w:themeColor="text1"/>
          <w:szCs w:val="26"/>
        </w:rPr>
        <w:t>under the circumstances</w:t>
      </w:r>
      <w:r w:rsidRPr="00BB37A6">
        <w:rPr>
          <w:iCs/>
          <w:color w:val="000000" w:themeColor="text1"/>
          <w:szCs w:val="26"/>
        </w:rPr>
        <w:t>.</w:t>
      </w:r>
    </w:p>
    <w:p w:rsidRPr="00BB37A6" w:rsidR="00A1582C" w:rsidP="00A1582C" w:rsidRDefault="00A1582C" w14:paraId="62E4D5F6" w14:textId="77777777">
      <w:pPr>
        <w:pStyle w:val="BodyText"/>
        <w:ind w:firstLine="1440"/>
        <w:rPr>
          <w:iCs/>
          <w:color w:val="000000" w:themeColor="text1"/>
          <w:szCs w:val="26"/>
        </w:rPr>
      </w:pPr>
      <w:r w:rsidRPr="00BB37A6">
        <w:rPr>
          <w:color w:val="000000" w:themeColor="text1"/>
          <w:szCs w:val="26"/>
        </w:rPr>
        <w:t xml:space="preserve">First, </w:t>
      </w:r>
      <w:r w:rsidRPr="00BB37A6">
        <w:rPr>
          <w:iCs/>
          <w:color w:val="000000" w:themeColor="text1"/>
          <w:szCs w:val="26"/>
        </w:rPr>
        <w:t xml:space="preserve">PG&amp;E ignores that it </w:t>
      </w:r>
      <w:r w:rsidRPr="00BB37A6">
        <w:rPr>
          <w:i/>
          <w:color w:val="000000" w:themeColor="text1"/>
          <w:szCs w:val="26"/>
        </w:rPr>
        <w:t>chose</w:t>
      </w:r>
      <w:r w:rsidRPr="00BB37A6">
        <w:rPr>
          <w:iCs/>
          <w:color w:val="000000" w:themeColor="text1"/>
          <w:szCs w:val="26"/>
        </w:rPr>
        <w:t xml:space="preserve"> to exceed the EVM program targets, undertaking 1,924 miles of EVM work with 98.7 percent of this work performed in the highest 20 percent risk-ranked </w:t>
      </w:r>
      <w:r w:rsidRPr="00BB37A6">
        <w:rPr>
          <w:iCs/>
          <w:szCs w:val="26"/>
        </w:rPr>
        <w:t>miles.  (Exh. PGE-01 [PG&amp;</w:t>
      </w:r>
      <w:r w:rsidRPr="00BB37A6">
        <w:rPr>
          <w:iCs/>
          <w:color w:val="000000" w:themeColor="text1"/>
          <w:szCs w:val="26"/>
        </w:rPr>
        <w:t xml:space="preserve">E Updated Testimony] at 3-29:20-22.)  As a result, PG&amp;E elected to incur costs above and beyond those necessary to comply with its 2022 Update.  (See, e.g., </w:t>
      </w:r>
      <w:r w:rsidRPr="00BB37A6">
        <w:rPr>
          <w:i/>
          <w:color w:val="000000" w:themeColor="text1"/>
          <w:szCs w:val="26"/>
        </w:rPr>
        <w:t xml:space="preserve">id. </w:t>
      </w:r>
      <w:r w:rsidRPr="00BB37A6">
        <w:rPr>
          <w:szCs w:val="26"/>
        </w:rPr>
        <w:t>at 3-24 to 3-27</w:t>
      </w:r>
      <w:r w:rsidRPr="00BB37A6">
        <w:rPr>
          <w:iCs/>
          <w:color w:val="000000" w:themeColor="text1"/>
          <w:szCs w:val="26"/>
        </w:rPr>
        <w:t xml:space="preserve">; Exh. </w:t>
      </w:r>
      <w:r w:rsidRPr="00BB37A6">
        <w:rPr>
          <w:szCs w:val="26"/>
        </w:rPr>
        <w:t xml:space="preserve">PGE-02 [PG&amp;E Rebuttal Testimony] at 3-25:16-26, 3-27:7-11 [explaining that the highest risk miles </w:t>
      </w:r>
      <w:r w:rsidRPr="00BB37A6">
        <w:rPr>
          <w:szCs w:val="26"/>
        </w:rPr>
        <w:lastRenderedPageBreak/>
        <w:t>include increased tree density, which resulted in more tree removals than forecasted in the 2022 GRC]</w:t>
      </w:r>
      <w:r w:rsidRPr="00BB37A6">
        <w:rPr>
          <w:iCs/>
          <w:color w:val="000000" w:themeColor="text1"/>
          <w:szCs w:val="26"/>
        </w:rPr>
        <w:t>.)</w:t>
      </w:r>
    </w:p>
    <w:p w:rsidRPr="00BB37A6" w:rsidR="00A1582C" w:rsidP="00A1582C" w:rsidRDefault="00A1582C" w14:paraId="72B38D99" w14:textId="3D216887">
      <w:pPr>
        <w:pStyle w:val="BodyText"/>
        <w:ind w:firstLine="1440"/>
        <w:rPr>
          <w:iCs/>
          <w:color w:val="000000" w:themeColor="text1"/>
          <w:szCs w:val="26"/>
        </w:rPr>
      </w:pPr>
      <w:r w:rsidRPr="00BB37A6">
        <w:rPr>
          <w:iCs/>
          <w:color w:val="000000" w:themeColor="text1"/>
          <w:szCs w:val="26"/>
        </w:rPr>
        <w:t xml:space="preserve">Second, as </w:t>
      </w:r>
      <w:r w:rsidRPr="00BB37A6">
        <w:rPr>
          <w:szCs w:val="26"/>
        </w:rPr>
        <w:t xml:space="preserve">TURN points out, PG&amp;E’s 2022 Update includes no hard targets as to the mix of EVM program sub-activities, such as tree removal, overhang clearances, and radial clearances to be completed over the 1,800 miles.  (TURN Response at 9.)  The mix of sub-activities is significant considering that PG&amp;E’s cost overruns for the EVM program were driven by the higher number of tree removals than forecasted in PG&amp;E’s GRC, the costs of which could be nearly three times higher than the costs for tree trimming.  (Decision at 59; see, e.g., </w:t>
      </w:r>
      <w:r w:rsidRPr="00BB37A6">
        <w:rPr>
          <w:iCs/>
          <w:szCs w:val="26"/>
        </w:rPr>
        <w:t>Exh. PGE-01 [PG&amp;</w:t>
      </w:r>
      <w:r w:rsidRPr="00BB37A6">
        <w:rPr>
          <w:iCs/>
          <w:color w:val="000000" w:themeColor="text1"/>
          <w:szCs w:val="26"/>
        </w:rPr>
        <w:t xml:space="preserve">E Updated Testimony] </w:t>
      </w:r>
      <w:r w:rsidRPr="00BB37A6">
        <w:rPr>
          <w:szCs w:val="26"/>
        </w:rPr>
        <w:t xml:space="preserve">at </w:t>
      </w:r>
      <w:r w:rsidR="00385B5C">
        <w:rPr>
          <w:szCs w:val="26"/>
        </w:rPr>
        <w:br/>
      </w:r>
      <w:r w:rsidRPr="00BB37A6">
        <w:rPr>
          <w:szCs w:val="26"/>
        </w:rPr>
        <w:t>3-24:9-12 to 3-25:13.)</w:t>
      </w:r>
    </w:p>
    <w:p w:rsidRPr="00BB37A6" w:rsidR="0088628C" w:rsidP="00184713" w:rsidRDefault="00A1582C" w14:paraId="2CAD4234" w14:textId="761E5FE7">
      <w:pPr>
        <w:pStyle w:val="BodyText"/>
        <w:ind w:firstLine="1440"/>
        <w:rPr>
          <w:iCs/>
          <w:color w:val="000000" w:themeColor="text1"/>
          <w:szCs w:val="26"/>
        </w:rPr>
      </w:pPr>
      <w:r w:rsidRPr="00BB37A6">
        <w:rPr>
          <w:szCs w:val="26"/>
        </w:rPr>
        <w:t>In conclusion, PG&amp;E fails to acknowledge non-mandatory aspects of its EVM program where it imprudently exercised its business judgement</w:t>
      </w:r>
      <w:r w:rsidRPr="00BB37A6" w:rsidR="007D0B84">
        <w:rPr>
          <w:szCs w:val="26"/>
        </w:rPr>
        <w:t xml:space="preserve"> based on what it knew or should have known in October 2022</w:t>
      </w:r>
      <w:r w:rsidRPr="00BB37A6">
        <w:rPr>
          <w:szCs w:val="26"/>
        </w:rPr>
        <w:t xml:space="preserve">.  The Decision’s scrutiny of this decisionmaking falls squarely within </w:t>
      </w:r>
      <w:r w:rsidRPr="00BB37A6" w:rsidR="00184713">
        <w:rPr>
          <w:szCs w:val="26"/>
        </w:rPr>
        <w:t>our</w:t>
      </w:r>
      <w:r w:rsidRPr="00BB37A6">
        <w:rPr>
          <w:szCs w:val="26"/>
        </w:rPr>
        <w:t xml:space="preserve"> cost review jurisdiction.  In any event, PG&amp;E is wrong that the WMP statutory scheme limits </w:t>
      </w:r>
      <w:r w:rsidRPr="00BB37A6" w:rsidR="00184713">
        <w:rPr>
          <w:szCs w:val="26"/>
        </w:rPr>
        <w:t>our</w:t>
      </w:r>
      <w:r w:rsidRPr="00BB37A6">
        <w:rPr>
          <w:szCs w:val="26"/>
        </w:rPr>
        <w:t xml:space="preserve"> cost review jurisdiction.  As discussed below, the Legislature authorized </w:t>
      </w:r>
      <w:r w:rsidRPr="00BB37A6" w:rsidR="00184713">
        <w:rPr>
          <w:szCs w:val="26"/>
        </w:rPr>
        <w:t>us</w:t>
      </w:r>
      <w:r w:rsidRPr="00BB37A6">
        <w:rPr>
          <w:szCs w:val="26"/>
        </w:rPr>
        <w:t xml:space="preserve"> to review all costs related to WMP implementation, including costs to implement mandatory aspects of the plan</w:t>
      </w:r>
      <w:r w:rsidRPr="00BB37A6" w:rsidR="00A36775">
        <w:rPr>
          <w:szCs w:val="26"/>
        </w:rPr>
        <w:t>s</w:t>
      </w:r>
      <w:r w:rsidRPr="00BB37A6">
        <w:rPr>
          <w:szCs w:val="26"/>
        </w:rPr>
        <w:t>.</w:t>
      </w:r>
    </w:p>
    <w:p w:rsidRPr="00BB37A6" w:rsidR="0088628C" w:rsidP="0088628C" w:rsidRDefault="0088628C" w14:paraId="0DD19E35" w14:textId="30BC9431">
      <w:pPr>
        <w:pStyle w:val="Heading3"/>
        <w:tabs>
          <w:tab w:val="clear" w:pos="2160"/>
        </w:tabs>
        <w:spacing w:before="0"/>
        <w:rPr>
          <w:szCs w:val="26"/>
        </w:rPr>
      </w:pPr>
      <w:r w:rsidRPr="00BB37A6">
        <w:rPr>
          <w:bCs/>
          <w:szCs w:val="26"/>
        </w:rPr>
        <w:t>The</w:t>
      </w:r>
      <w:r w:rsidRPr="00BB37A6" w:rsidR="00EB4D4E">
        <w:rPr>
          <w:bCs/>
          <w:szCs w:val="26"/>
        </w:rPr>
        <w:t xml:space="preserve"> </w:t>
      </w:r>
      <w:r w:rsidRPr="00BB37A6" w:rsidR="00FA5C63">
        <w:rPr>
          <w:bCs/>
          <w:szCs w:val="26"/>
        </w:rPr>
        <w:t>Legislature</w:t>
      </w:r>
      <w:r w:rsidRPr="00BB37A6" w:rsidR="00EB4D4E">
        <w:rPr>
          <w:bCs/>
          <w:szCs w:val="26"/>
        </w:rPr>
        <w:t xml:space="preserve"> preserved our full cost review jurisdiction</w:t>
      </w:r>
      <w:r w:rsidRPr="00BB37A6">
        <w:rPr>
          <w:szCs w:val="26"/>
        </w:rPr>
        <w:t>.</w:t>
      </w:r>
    </w:p>
    <w:p w:rsidRPr="00BB37A6" w:rsidR="00653D93" w:rsidP="005D58F3" w:rsidRDefault="00653D93" w14:paraId="3AFDB0FD" w14:textId="3B6F8ED2">
      <w:pPr>
        <w:pStyle w:val="BodyText"/>
        <w:ind w:firstLine="1440"/>
        <w:rPr>
          <w:szCs w:val="26"/>
        </w:rPr>
      </w:pPr>
      <w:r w:rsidRPr="00BB37A6">
        <w:rPr>
          <w:szCs w:val="26"/>
        </w:rPr>
        <w:t xml:space="preserve">PG&amp;E does not dispute that we enforce section 451 in the wildfire context by applying the prudent manager standard.  (App. Rehg. at 5; see also Decision at 10 [“No party disputes application of the prudent manager standard to these wildfire mitigation costs.”].)  Yet </w:t>
      </w:r>
      <w:r w:rsidRPr="00BB37A6" w:rsidR="00D762BD">
        <w:rPr>
          <w:szCs w:val="26"/>
        </w:rPr>
        <w:t xml:space="preserve">PG&amp;E’s read of the WMP statutory regime places limitations on both the utilities’ obligations under section 451 </w:t>
      </w:r>
      <w:r w:rsidRPr="00BB37A6" w:rsidR="00E70E20">
        <w:rPr>
          <w:szCs w:val="26"/>
        </w:rPr>
        <w:t xml:space="preserve">to charge just and reasonable rates </w:t>
      </w:r>
      <w:r w:rsidRPr="00BB37A6" w:rsidR="00D762BD">
        <w:rPr>
          <w:szCs w:val="26"/>
        </w:rPr>
        <w:t xml:space="preserve">and our power to enforce that provision.  </w:t>
      </w:r>
      <w:r w:rsidRPr="00BB37A6">
        <w:rPr>
          <w:szCs w:val="26"/>
        </w:rPr>
        <w:t xml:space="preserve">PG&amp;E misunderstands the prudent manager standard, wherein we have the authority to review </w:t>
      </w:r>
      <w:r w:rsidRPr="00BB37A6">
        <w:rPr>
          <w:i/>
          <w:iCs/>
          <w:szCs w:val="26"/>
        </w:rPr>
        <w:t xml:space="preserve">all </w:t>
      </w:r>
      <w:r w:rsidRPr="00BB37A6">
        <w:rPr>
          <w:szCs w:val="26"/>
        </w:rPr>
        <w:t xml:space="preserve">utility costs and the underlying utility conduct that led to those costs, including costs incurred to comply with legal requirements </w:t>
      </w:r>
      <w:r w:rsidRPr="00BB37A6" w:rsidR="00633733">
        <w:rPr>
          <w:szCs w:val="26"/>
        </w:rPr>
        <w:t>of other government entities</w:t>
      </w:r>
      <w:r w:rsidRPr="00BB37A6">
        <w:rPr>
          <w:szCs w:val="26"/>
        </w:rPr>
        <w:t>.</w:t>
      </w:r>
    </w:p>
    <w:p w:rsidRPr="00BB37A6" w:rsidR="00FA5C63" w:rsidP="0084093E" w:rsidRDefault="00FA5C63" w14:paraId="15C86F8A" w14:textId="066920D7">
      <w:pPr>
        <w:pStyle w:val="BodyText"/>
        <w:ind w:firstLine="1440"/>
        <w:rPr>
          <w:szCs w:val="26"/>
        </w:rPr>
      </w:pPr>
      <w:r w:rsidRPr="00BB37A6">
        <w:rPr>
          <w:szCs w:val="26"/>
        </w:rPr>
        <w:lastRenderedPageBreak/>
        <w:t xml:space="preserve">Section 8386.4 authorizes </w:t>
      </w:r>
      <w:r w:rsidRPr="00BB37A6" w:rsidR="00122B17">
        <w:rPr>
          <w:szCs w:val="26"/>
        </w:rPr>
        <w:t>us to</w:t>
      </w:r>
      <w:r w:rsidRPr="00BB37A6">
        <w:rPr>
          <w:szCs w:val="26"/>
        </w:rPr>
        <w:t xml:space="preserve"> determine whether a utility’s costs to “implement” its WMP are “just and reasonable.”  The statute identifies that applying the just and reasonable standard in the context of WMPs does not affect a utility’s obligations under section 451 nor </w:t>
      </w:r>
      <w:r w:rsidRPr="00BB37A6" w:rsidR="00122B17">
        <w:rPr>
          <w:szCs w:val="26"/>
        </w:rPr>
        <w:t>our</w:t>
      </w:r>
      <w:r w:rsidRPr="00BB37A6">
        <w:rPr>
          <w:szCs w:val="26"/>
        </w:rPr>
        <w:t xml:space="preserve"> related duty to review all costs for reasonableness.  (§ 8386.4, subd. (b)(4).)  Section 451, </w:t>
      </w:r>
      <w:r w:rsidRPr="00BB37A6" w:rsidR="003F04FD">
        <w:rPr>
          <w:szCs w:val="26"/>
        </w:rPr>
        <w:t>in</w:t>
      </w:r>
      <w:r w:rsidRPr="00BB37A6">
        <w:rPr>
          <w:szCs w:val="26"/>
        </w:rPr>
        <w:t xml:space="preserve"> relevant part, provides:</w:t>
      </w:r>
    </w:p>
    <w:p w:rsidRPr="00BB37A6" w:rsidR="00FA5C63" w:rsidP="00385B5C" w:rsidRDefault="00FA5C63" w14:paraId="50920F9E" w14:textId="11A0BA9F">
      <w:pPr>
        <w:spacing w:after="240"/>
        <w:ind w:left="1440" w:right="720"/>
        <w:rPr>
          <w:szCs w:val="26"/>
        </w:rPr>
      </w:pPr>
      <w:r w:rsidRPr="00BB37A6">
        <w:rPr>
          <w:szCs w:val="26"/>
        </w:rPr>
        <w:t>All charges demanded or received by any public utility, or by any two or more public utilities, for any product or commodity furnished or to be furnished or any service rendered or to be rendered shall be just and reasonable.  Every unjust or unreasonable charge demanded or received for such product or commodity or service is unlawful.</w:t>
      </w:r>
    </w:p>
    <w:p w:rsidRPr="00BB37A6" w:rsidR="007D31D0" w:rsidP="00385B5C" w:rsidRDefault="00FA5C63" w14:paraId="7FEDC8A5" w14:textId="26A80DD2">
      <w:pPr>
        <w:spacing w:line="360" w:lineRule="auto"/>
        <w:ind w:firstLine="1440"/>
        <w:rPr>
          <w:szCs w:val="26"/>
        </w:rPr>
      </w:pPr>
      <w:r w:rsidRPr="00BB37A6">
        <w:rPr>
          <w:szCs w:val="26"/>
        </w:rPr>
        <w:t xml:space="preserve">This statute sets a standard for utility conduct, and </w:t>
      </w:r>
      <w:r w:rsidRPr="00BB37A6" w:rsidR="00122B17">
        <w:rPr>
          <w:szCs w:val="26"/>
        </w:rPr>
        <w:t>our</w:t>
      </w:r>
      <w:r w:rsidRPr="00BB37A6">
        <w:rPr>
          <w:szCs w:val="26"/>
        </w:rPr>
        <w:t xml:space="preserve"> authority to enforce the standard derives from </w:t>
      </w:r>
      <w:r w:rsidRPr="00BB37A6" w:rsidR="00122B17">
        <w:rPr>
          <w:szCs w:val="26"/>
        </w:rPr>
        <w:t>our</w:t>
      </w:r>
      <w:r w:rsidRPr="00BB37A6">
        <w:rPr>
          <w:szCs w:val="26"/>
        </w:rPr>
        <w:t xml:space="preserve"> constitutional power to fix the rates.  (</w:t>
      </w:r>
      <w:r w:rsidRPr="00BB37A6">
        <w:rPr>
          <w:i/>
          <w:iCs/>
          <w:szCs w:val="26"/>
        </w:rPr>
        <w:t>Monterey Peninsula Water Management District v. Pub</w:t>
      </w:r>
      <w:r w:rsidRPr="00BB37A6" w:rsidR="00482FF0">
        <w:rPr>
          <w:i/>
          <w:iCs/>
          <w:szCs w:val="26"/>
        </w:rPr>
        <w:t>lic</w:t>
      </w:r>
      <w:r w:rsidRPr="00BB37A6">
        <w:rPr>
          <w:i/>
          <w:iCs/>
          <w:szCs w:val="26"/>
        </w:rPr>
        <w:t xml:space="preserve"> Utilities Com.</w:t>
      </w:r>
      <w:r w:rsidRPr="00BB37A6">
        <w:rPr>
          <w:szCs w:val="26"/>
        </w:rPr>
        <w:t xml:space="preserve"> (2016) 62 Cal.4th 693, 699-700; </w:t>
      </w:r>
      <w:r w:rsidRPr="00BB37A6" w:rsidR="00E43B35">
        <w:rPr>
          <w:szCs w:val="26"/>
        </w:rPr>
        <w:t xml:space="preserve">Cal. </w:t>
      </w:r>
      <w:r w:rsidRPr="00BB37A6">
        <w:rPr>
          <w:szCs w:val="26"/>
        </w:rPr>
        <w:t xml:space="preserve">Const. art. XII, § 6.)  In enforcing section 451’s just and reasonable standard, </w:t>
      </w:r>
      <w:r w:rsidRPr="00BB37A6" w:rsidR="0086707B">
        <w:rPr>
          <w:szCs w:val="26"/>
        </w:rPr>
        <w:t>we have</w:t>
      </w:r>
      <w:r w:rsidRPr="00BB37A6">
        <w:rPr>
          <w:szCs w:val="26"/>
        </w:rPr>
        <w:t xml:space="preserve"> the power to examine the totality of the circumstances, on a case-by-case basis, to determine whether a utility may lawfully pass its costs to ratepayers in rates.  (See, e.g., </w:t>
      </w:r>
      <w:r w:rsidRPr="00BB37A6">
        <w:rPr>
          <w:i/>
          <w:iCs/>
          <w:szCs w:val="26"/>
        </w:rPr>
        <w:t xml:space="preserve">Pacific Telephone, supra, </w:t>
      </w:r>
      <w:r w:rsidRPr="00BB37A6">
        <w:rPr>
          <w:szCs w:val="26"/>
        </w:rPr>
        <w:t xml:space="preserve">62 Cal.2d at 647; </w:t>
      </w:r>
      <w:r w:rsidRPr="00BB37A6" w:rsidR="00A72BE6">
        <w:rPr>
          <w:szCs w:val="26"/>
        </w:rPr>
        <w:t xml:space="preserve">Cal. </w:t>
      </w:r>
      <w:r w:rsidRPr="00BB37A6">
        <w:rPr>
          <w:szCs w:val="26"/>
        </w:rPr>
        <w:t xml:space="preserve">Const. art. XII, § 6; § 701.)  To help define the contours of this vast authority, </w:t>
      </w:r>
      <w:r w:rsidRPr="00BB37A6" w:rsidR="004E65A5">
        <w:rPr>
          <w:szCs w:val="26"/>
        </w:rPr>
        <w:t>we</w:t>
      </w:r>
      <w:r w:rsidRPr="00BB37A6">
        <w:rPr>
          <w:szCs w:val="26"/>
        </w:rPr>
        <w:t xml:space="preserve"> ha</w:t>
      </w:r>
      <w:r w:rsidRPr="00BB37A6" w:rsidR="004E65A5">
        <w:rPr>
          <w:szCs w:val="26"/>
        </w:rPr>
        <w:t>ve</w:t>
      </w:r>
      <w:r w:rsidRPr="00BB37A6">
        <w:rPr>
          <w:szCs w:val="26"/>
        </w:rPr>
        <w:t xml:space="preserve"> developed the “prudent manager standard.”  (See, e.g., </w:t>
      </w:r>
      <w:r w:rsidRPr="00BB37A6">
        <w:rPr>
          <w:i/>
          <w:iCs/>
          <w:szCs w:val="26"/>
        </w:rPr>
        <w:t xml:space="preserve">Order Denying Rehearing of Decision 17-11-033, </w:t>
      </w:r>
      <w:r w:rsidRPr="00BB37A6">
        <w:rPr>
          <w:szCs w:val="26"/>
        </w:rPr>
        <w:t>D.18-07-025 (2018) at 5.)</w:t>
      </w:r>
    </w:p>
    <w:p w:rsidRPr="00BB37A6" w:rsidR="00FA5C63" w:rsidP="00385B5C" w:rsidRDefault="00FA5C63" w14:paraId="51B701F2" w14:textId="2A04EC1E">
      <w:pPr>
        <w:spacing w:line="360" w:lineRule="auto"/>
        <w:ind w:firstLine="1440"/>
        <w:rPr>
          <w:szCs w:val="26"/>
        </w:rPr>
      </w:pPr>
      <w:r w:rsidRPr="00BB37A6">
        <w:rPr>
          <w:szCs w:val="26"/>
        </w:rPr>
        <w:t>The prudent manager standard “reaches not just the activities and associated costs for which [a utility] seeks recovery … but extends to the actions or inactions that resulted in those activities being necessary.”  (</w:t>
      </w:r>
      <w:r w:rsidRPr="00BB37A6">
        <w:rPr>
          <w:i/>
          <w:iCs/>
          <w:szCs w:val="26"/>
        </w:rPr>
        <w:t xml:space="preserve">Decision on a Test Year 2025/2026 General Rate Case for Great Oaks Water Company, </w:t>
      </w:r>
      <w:r w:rsidRPr="00BB37A6">
        <w:rPr>
          <w:szCs w:val="26"/>
        </w:rPr>
        <w:t xml:space="preserve">D.25-06-011 (2025), citing D.18-07-025 at 3, 5, 6.)  </w:t>
      </w:r>
      <w:r w:rsidRPr="00BB37A6" w:rsidR="00122B17">
        <w:rPr>
          <w:szCs w:val="26"/>
        </w:rPr>
        <w:t>We have</w:t>
      </w:r>
      <w:r w:rsidRPr="00BB37A6">
        <w:rPr>
          <w:szCs w:val="26"/>
        </w:rPr>
        <w:t xml:space="preserve"> summarized the prudent manager standard as follows:</w:t>
      </w:r>
    </w:p>
    <w:p w:rsidRPr="00BB37A6" w:rsidR="00FA5C63" w:rsidP="00385B5C" w:rsidRDefault="00FA5C63" w14:paraId="49E44DF9" w14:textId="16690457">
      <w:pPr>
        <w:pStyle w:val="BodyText"/>
        <w:spacing w:after="240" w:line="240" w:lineRule="auto"/>
        <w:ind w:left="1440" w:right="720" w:firstLine="0"/>
        <w:rPr>
          <w:szCs w:val="26"/>
        </w:rPr>
      </w:pPr>
      <w:r w:rsidRPr="00BB37A6">
        <w:rPr>
          <w:szCs w:val="26"/>
        </w:rPr>
        <w:t xml:space="preserve">The standard for reviewing utility actions has been established as one of reasonableness and prudence….  The term “reasonable and prudent” means that at a particular time any of the practices, methods, and acts engaged in by a utility follows the exercise of reasonable judgment in light of facts known or which should have been known at the time the decision was made.  The act or decision is expected by the utility to accomplish the desired result at the </w:t>
      </w:r>
      <w:r w:rsidRPr="00BB37A6">
        <w:rPr>
          <w:szCs w:val="26"/>
        </w:rPr>
        <w:lastRenderedPageBreak/>
        <w:t>lowest reasonable cost consistent with good utility practices.  Good utility practices are based upon cost-effectiveness, reliability, safety, and expedition.</w:t>
      </w:r>
    </w:p>
    <w:p w:rsidRPr="00BB37A6" w:rsidR="00054021" w:rsidP="00385B5C" w:rsidRDefault="00FA5C63" w14:paraId="4359A826" w14:textId="77777777">
      <w:pPr>
        <w:pStyle w:val="BodyText"/>
        <w:ind w:firstLine="0"/>
        <w:rPr>
          <w:szCs w:val="26"/>
        </w:rPr>
      </w:pPr>
      <w:r w:rsidRPr="00BB37A6">
        <w:rPr>
          <w:szCs w:val="26"/>
        </w:rPr>
        <w:t xml:space="preserve">(D.18-07-025 at 5, internal citation omitted.)  </w:t>
      </w:r>
      <w:r w:rsidRPr="00BB37A6" w:rsidR="00122B17">
        <w:rPr>
          <w:szCs w:val="26"/>
        </w:rPr>
        <w:t>We have</w:t>
      </w:r>
      <w:r w:rsidRPr="00BB37A6">
        <w:rPr>
          <w:szCs w:val="26"/>
        </w:rPr>
        <w:t xml:space="preserve"> further explained that a “reasonable and prudent act is not limited to the optimum practice, method, or act to the exclusion of all others, but rather encompasses a spectrum of possible practices, methods, or acts consistent with the utility system needs, the interest of the ratepayers and the requirements of governmental agencies of competent jurisdiction….”  (</w:t>
      </w:r>
      <w:r w:rsidRPr="00BB37A6">
        <w:rPr>
          <w:i/>
          <w:iCs/>
          <w:szCs w:val="26"/>
        </w:rPr>
        <w:t xml:space="preserve">Id. </w:t>
      </w:r>
      <w:r w:rsidRPr="00BB37A6">
        <w:rPr>
          <w:szCs w:val="26"/>
        </w:rPr>
        <w:t>at 5-6, internal citation omitted.)</w:t>
      </w:r>
    </w:p>
    <w:p w:rsidRPr="00BB37A6" w:rsidR="00DF29D9" w:rsidP="00385B5C" w:rsidRDefault="00FA5C63" w14:paraId="010E0CC5" w14:textId="304B308F">
      <w:pPr>
        <w:pStyle w:val="BodyText"/>
        <w:ind w:firstLine="1440"/>
        <w:rPr>
          <w:szCs w:val="26"/>
        </w:rPr>
      </w:pPr>
      <w:r w:rsidRPr="00BB37A6">
        <w:rPr>
          <w:iCs/>
          <w:szCs w:val="26"/>
        </w:rPr>
        <w:t xml:space="preserve">Consistent with the above, the Legislature’s preservation of </w:t>
      </w:r>
      <w:r w:rsidRPr="00BB37A6" w:rsidR="00054021">
        <w:rPr>
          <w:iCs/>
          <w:szCs w:val="26"/>
        </w:rPr>
        <w:t xml:space="preserve">our </w:t>
      </w:r>
      <w:r w:rsidRPr="00BB37A6">
        <w:rPr>
          <w:iCs/>
          <w:szCs w:val="26"/>
        </w:rPr>
        <w:t>full cost review jurisdiction under section 451 and the associated prudent manager standard is readily reconcilable with Energy Safety’s jurisdiction</w:t>
      </w:r>
      <w:r w:rsidRPr="00BB37A6">
        <w:rPr>
          <w:szCs w:val="26"/>
        </w:rPr>
        <w:t xml:space="preserve">.  Particularly relevant here, and as identified above, a prudent act is not limited to “the exclusion of all others” and instead considers the “requirements of governmental agencies of competent jurisdiction… .”  (D.18-07-025 at 5-6.)  In other words, the standard requires </w:t>
      </w:r>
      <w:r w:rsidRPr="00BB37A6" w:rsidR="00054021">
        <w:rPr>
          <w:szCs w:val="26"/>
        </w:rPr>
        <w:t>us</w:t>
      </w:r>
      <w:r w:rsidRPr="00BB37A6">
        <w:rPr>
          <w:szCs w:val="26"/>
        </w:rPr>
        <w:t xml:space="preserve"> to consider Energy Safety’s directives and processes and assess the reasonableness of PG&amp;E’s conduct in implementing its WMP within that regulatory context.  Notably, </w:t>
      </w:r>
      <w:r w:rsidRPr="00BB37A6">
        <w:rPr>
          <w:iCs/>
          <w:szCs w:val="26"/>
        </w:rPr>
        <w:t xml:space="preserve">Energy Safety has consistently reinforced and communicated to the utilities that </w:t>
      </w:r>
      <w:r w:rsidRPr="00BB37A6" w:rsidR="002C7EE5">
        <w:rPr>
          <w:iCs/>
          <w:szCs w:val="26"/>
        </w:rPr>
        <w:t>we</w:t>
      </w:r>
      <w:r w:rsidRPr="00BB37A6">
        <w:rPr>
          <w:iCs/>
          <w:szCs w:val="26"/>
        </w:rPr>
        <w:t xml:space="preserve"> retain </w:t>
      </w:r>
      <w:r w:rsidRPr="00BB37A6" w:rsidR="002C7EE5">
        <w:rPr>
          <w:iCs/>
          <w:szCs w:val="26"/>
        </w:rPr>
        <w:t>our</w:t>
      </w:r>
      <w:r w:rsidRPr="00BB37A6">
        <w:rPr>
          <w:iCs/>
          <w:szCs w:val="26"/>
        </w:rPr>
        <w:t xml:space="preserve"> full cost review jurisdiction, emphasizing that its WMP decisions and Commission ratification of a WMP do not relieve a utility “from any and all” ratemaking obligations, including that a utility must “seek cost recovery and prove </w:t>
      </w:r>
      <w:r w:rsidRPr="00BB37A6">
        <w:rPr>
          <w:i/>
          <w:szCs w:val="26"/>
        </w:rPr>
        <w:t>all</w:t>
      </w:r>
      <w:r w:rsidRPr="00BB37A6">
        <w:rPr>
          <w:iCs/>
          <w:szCs w:val="26"/>
        </w:rPr>
        <w:t xml:space="preserve"> expenditures are just and reasonable” in a Commission proceeding.  (</w:t>
      </w:r>
      <w:r w:rsidRPr="00BB37A6" w:rsidR="00C507F3">
        <w:rPr>
          <w:iCs/>
          <w:szCs w:val="26"/>
        </w:rPr>
        <w:t xml:space="preserve">See, e.g., </w:t>
      </w:r>
      <w:r w:rsidRPr="00BB37A6">
        <w:rPr>
          <w:iCs/>
          <w:szCs w:val="26"/>
        </w:rPr>
        <w:t>Energy Safety Final Decision on PG&amp;E’s 2021 WMP Update (Sept. 22, 2021) at 7 &amp; fn. 20, emphasis added.)</w:t>
      </w:r>
    </w:p>
    <w:p w:rsidRPr="00BB37A6" w:rsidR="00FA5C63" w:rsidP="00793922" w:rsidRDefault="00FA5C63" w14:paraId="35B7AD0E" w14:textId="3EBD65E0">
      <w:pPr>
        <w:pStyle w:val="BodyText"/>
        <w:ind w:firstLine="1440"/>
        <w:rPr>
          <w:szCs w:val="26"/>
        </w:rPr>
      </w:pPr>
      <w:r w:rsidRPr="00BB37A6">
        <w:rPr>
          <w:szCs w:val="26"/>
        </w:rPr>
        <w:t xml:space="preserve">Finally, there is a lack of support for PG&amp;E’s proffered definition of “implement” in the context of section 8386.4 as meaning </w:t>
      </w:r>
      <w:r w:rsidRPr="00BB37A6" w:rsidR="003C2312">
        <w:rPr>
          <w:szCs w:val="26"/>
        </w:rPr>
        <w:t>we are</w:t>
      </w:r>
      <w:r w:rsidRPr="00BB37A6">
        <w:rPr>
          <w:szCs w:val="26"/>
        </w:rPr>
        <w:t xml:space="preserve"> statutorily barred from “reviewing … whether the [EVM] work was to be conducted at all.”  (App. Rehg. at 16.)  To start, PG&amp;E’s framing of the Decision is incorrect.  Consistent with section 8386.4, the Decision reviewed whether PG&amp;E acted prudently in incurring the costs to implement the </w:t>
      </w:r>
      <w:r w:rsidRPr="00BB37A6" w:rsidR="00CB19AE">
        <w:rPr>
          <w:szCs w:val="26"/>
        </w:rPr>
        <w:t>EVM</w:t>
      </w:r>
      <w:r w:rsidRPr="00BB37A6">
        <w:rPr>
          <w:szCs w:val="26"/>
        </w:rPr>
        <w:t xml:space="preserve"> program under the circumstances, including review of the costs related to </w:t>
      </w:r>
      <w:r w:rsidRPr="00BB37A6">
        <w:rPr>
          <w:szCs w:val="26"/>
        </w:rPr>
        <w:lastRenderedPageBreak/>
        <w:t xml:space="preserve">mandatory aspects of the program.  In addition, the Legislature’s use of this term is inclusive </w:t>
      </w:r>
      <w:r w:rsidRPr="00BB37A6" w:rsidR="002C7EE5">
        <w:rPr>
          <w:szCs w:val="26"/>
        </w:rPr>
        <w:t>of our</w:t>
      </w:r>
      <w:r w:rsidRPr="00BB37A6">
        <w:rPr>
          <w:szCs w:val="26"/>
        </w:rPr>
        <w:t xml:space="preserve"> power to review any and all </w:t>
      </w:r>
      <w:r w:rsidRPr="00BB37A6" w:rsidR="00CB19AE">
        <w:rPr>
          <w:szCs w:val="26"/>
        </w:rPr>
        <w:t>EVM</w:t>
      </w:r>
      <w:r w:rsidRPr="00BB37A6">
        <w:rPr>
          <w:szCs w:val="26"/>
        </w:rPr>
        <w:t xml:space="preserve"> program costs considering that the plain meaning of “implement,” is broadly defined as “put[ting] a plan or system into operation … [or] action.”  (Cambridge Dictionary, “implement” definition, available at </w:t>
      </w:r>
      <w:hyperlink w:history="1" r:id="rId12">
        <w:r w:rsidRPr="00BB37A6">
          <w:rPr>
            <w:rStyle w:val="Hyperlink"/>
            <w:szCs w:val="26"/>
          </w:rPr>
          <w:t>IMPLEMENT | English meaning - Cambridge Dictionary</w:t>
        </w:r>
      </w:hyperlink>
      <w:r w:rsidRPr="00BB37A6">
        <w:rPr>
          <w:szCs w:val="26"/>
        </w:rPr>
        <w:t xml:space="preserve">.)  This is particularly true where a narrower read of “implement” would not only conflict with section 8386.4(b)(4), </w:t>
      </w:r>
      <w:proofErr w:type="gramStart"/>
      <w:r w:rsidRPr="00BB37A6">
        <w:rPr>
          <w:szCs w:val="26"/>
        </w:rPr>
        <w:t>it would</w:t>
      </w:r>
      <w:proofErr w:type="gramEnd"/>
      <w:r w:rsidRPr="00BB37A6">
        <w:rPr>
          <w:szCs w:val="26"/>
        </w:rPr>
        <w:t xml:space="preserve"> fail to harmonize Energy Safety’s jurisdiction wit</w:t>
      </w:r>
      <w:r w:rsidRPr="00BB37A6" w:rsidR="002C7EE5">
        <w:rPr>
          <w:szCs w:val="26"/>
        </w:rPr>
        <w:t>h our</w:t>
      </w:r>
      <w:r w:rsidRPr="00BB37A6">
        <w:rPr>
          <w:szCs w:val="26"/>
        </w:rPr>
        <w:t xml:space="preserve"> jurisdiction to give both their full effect, including </w:t>
      </w:r>
      <w:r w:rsidRPr="00BB37A6" w:rsidR="002C7EE5">
        <w:rPr>
          <w:szCs w:val="26"/>
        </w:rPr>
        <w:t>our</w:t>
      </w:r>
      <w:r w:rsidRPr="00BB37A6">
        <w:rPr>
          <w:szCs w:val="26"/>
        </w:rPr>
        <w:t xml:space="preserve"> vast constitutional and statutory ratemaking powers.  (</w:t>
      </w:r>
      <w:r w:rsidRPr="00BB37A6" w:rsidR="00312C09">
        <w:rPr>
          <w:i/>
          <w:iCs/>
          <w:szCs w:val="26"/>
          <w:bdr w:val="none" w:color="auto" w:sz="0" w:space="0" w:frame="1"/>
        </w:rPr>
        <w:t>Pacific Legal Foundation v. Brown</w:t>
      </w:r>
      <w:r w:rsidRPr="00BB37A6" w:rsidR="00312C09">
        <w:rPr>
          <w:szCs w:val="26"/>
        </w:rPr>
        <w:t xml:space="preserve"> (1981) 29 Cal.3d 168, 197</w:t>
      </w:r>
      <w:r w:rsidRPr="00BB37A6">
        <w:rPr>
          <w:szCs w:val="26"/>
        </w:rPr>
        <w:t xml:space="preserve">; see </w:t>
      </w:r>
      <w:r w:rsidRPr="00BB37A6">
        <w:rPr>
          <w:i/>
          <w:iCs/>
          <w:szCs w:val="26"/>
        </w:rPr>
        <w:t>Presbyterian Camp &amp; Conference Centers, Inc. v. Superior Court</w:t>
      </w:r>
      <w:r w:rsidRPr="00BB37A6">
        <w:rPr>
          <w:szCs w:val="26"/>
        </w:rPr>
        <w:t xml:space="preserve"> (2021) 12 Cal.5th 493, 502 [rejecting argument that minor amendments to a statute effectuated a dramatic change in the law].)  </w:t>
      </w:r>
      <w:r w:rsidRPr="00BB37A6" w:rsidR="00E62A2D">
        <w:rPr>
          <w:szCs w:val="26"/>
        </w:rPr>
        <w:t>Moreover,</w:t>
      </w:r>
      <w:r w:rsidRPr="00BB37A6">
        <w:rPr>
          <w:szCs w:val="26"/>
        </w:rPr>
        <w:t xml:space="preserve"> a narrower interpretation would lead to absurd results because it would authorize a utility unlimited use of ratepayer funds to spend on initiatives approved by Energy Safety that are not cost-effective and/or ineffective at reducing wildfire risks, simultaneously </w:t>
      </w:r>
      <w:r w:rsidRPr="00BB37A6" w:rsidR="00727F53">
        <w:rPr>
          <w:szCs w:val="26"/>
        </w:rPr>
        <w:t>upending</w:t>
      </w:r>
      <w:r w:rsidRPr="00BB37A6">
        <w:rPr>
          <w:szCs w:val="26"/>
        </w:rPr>
        <w:t xml:space="preserve"> the utility’s ongoing duty under section 451 and </w:t>
      </w:r>
      <w:r w:rsidRPr="00BB37A6" w:rsidR="00E62A2D">
        <w:rPr>
          <w:szCs w:val="26"/>
        </w:rPr>
        <w:t>our</w:t>
      </w:r>
      <w:r w:rsidRPr="00BB37A6">
        <w:rPr>
          <w:szCs w:val="26"/>
        </w:rPr>
        <w:t xml:space="preserve"> mandate to enforce that provision.  (See </w:t>
      </w:r>
      <w:r w:rsidRPr="00BB37A6">
        <w:rPr>
          <w:i/>
          <w:iCs/>
          <w:szCs w:val="26"/>
        </w:rPr>
        <w:t xml:space="preserve">Decision Addressing SDG&amp;E’s Track 2 Request for Recovery of Wildfire Mitigation Plan Memorandum Account Costs, </w:t>
      </w:r>
      <w:r w:rsidRPr="00BB37A6">
        <w:rPr>
          <w:szCs w:val="26"/>
        </w:rPr>
        <w:t>D.26-01-021 (2021) at 172-173.)</w:t>
      </w:r>
    </w:p>
    <w:p w:rsidRPr="00BB37A6" w:rsidR="0088628C" w:rsidP="00793922" w:rsidRDefault="00FA5C63" w14:paraId="02325778" w14:textId="011BB017">
      <w:pPr>
        <w:pStyle w:val="BodyText"/>
        <w:ind w:firstLine="1440"/>
        <w:rPr>
          <w:szCs w:val="26"/>
        </w:rPr>
      </w:pPr>
      <w:r w:rsidRPr="00BB37A6">
        <w:rPr>
          <w:szCs w:val="26"/>
        </w:rPr>
        <w:t xml:space="preserve">In conclusion, </w:t>
      </w:r>
      <w:r w:rsidRPr="00BB37A6" w:rsidR="00DD0506">
        <w:rPr>
          <w:szCs w:val="26"/>
        </w:rPr>
        <w:t>PG&amp;E fails to demonstrate that we exceeded our jurisdiction.  Section</w:t>
      </w:r>
      <w:r w:rsidRPr="00BB37A6">
        <w:rPr>
          <w:szCs w:val="26"/>
        </w:rPr>
        <w:t xml:space="preserve"> 8386.4 </w:t>
      </w:r>
      <w:r w:rsidRPr="00BB37A6">
        <w:rPr>
          <w:iCs/>
          <w:szCs w:val="26"/>
        </w:rPr>
        <w:t xml:space="preserve">maintains </w:t>
      </w:r>
      <w:r w:rsidRPr="00BB37A6" w:rsidR="00DD0506">
        <w:rPr>
          <w:iCs/>
          <w:szCs w:val="26"/>
        </w:rPr>
        <w:t>our</w:t>
      </w:r>
      <w:r w:rsidRPr="00BB37A6">
        <w:rPr>
          <w:iCs/>
          <w:szCs w:val="26"/>
        </w:rPr>
        <w:t xml:space="preserve"> full cost review jurisdiction under the prudent manager standard, including the authority to review and disallow costs to implement mandatory elements of a WMP, where the circumstances support </w:t>
      </w:r>
      <w:proofErr w:type="gramStart"/>
      <w:r w:rsidRPr="00BB37A6">
        <w:rPr>
          <w:iCs/>
          <w:szCs w:val="26"/>
        </w:rPr>
        <w:t>such a</w:t>
      </w:r>
      <w:proofErr w:type="gramEnd"/>
      <w:r w:rsidRPr="00BB37A6">
        <w:rPr>
          <w:iCs/>
          <w:szCs w:val="26"/>
        </w:rPr>
        <w:t xml:space="preserve"> disallowance.  </w:t>
      </w:r>
    </w:p>
    <w:p w:rsidRPr="00BB37A6" w:rsidR="0088628C" w:rsidP="00BF3792" w:rsidRDefault="0088628C" w14:paraId="60523BD5" w14:textId="0524F4E3">
      <w:pPr>
        <w:pStyle w:val="Heading2"/>
        <w:ind w:left="1440"/>
      </w:pPr>
      <w:r w:rsidRPr="00BB37A6">
        <w:t xml:space="preserve">The </w:t>
      </w:r>
      <w:r w:rsidRPr="00BB37A6" w:rsidR="00D24772">
        <w:t>Decision’s disallowance is not arbitrary and capricious because it appropriately regulate</w:t>
      </w:r>
      <w:r w:rsidR="00880F2E">
        <w:t>s</w:t>
      </w:r>
      <w:r w:rsidRPr="00BB37A6" w:rsidR="00D24772">
        <w:t xml:space="preserve"> PG&amp;E’s conduct consistent with Energy Safe</w:t>
      </w:r>
      <w:r w:rsidRPr="00BB37A6" w:rsidR="00A0538B">
        <w:t>t</w:t>
      </w:r>
      <w:r w:rsidRPr="00BB37A6" w:rsidR="00D24772">
        <w:t>y’s jurisdiction and t</w:t>
      </w:r>
      <w:r w:rsidRPr="00BB37A6" w:rsidR="00CB273D">
        <w:t>he</w:t>
      </w:r>
      <w:r w:rsidRPr="00BB37A6" w:rsidR="00D24772">
        <w:t xml:space="preserve"> 2022 Update</w:t>
      </w:r>
      <w:r w:rsidRPr="00BB37A6">
        <w:t>.</w:t>
      </w:r>
    </w:p>
    <w:p w:rsidRPr="00BB37A6" w:rsidR="00A12921" w:rsidP="00A12921" w:rsidRDefault="00C27576" w14:paraId="03700F77" w14:textId="631F68D5">
      <w:pPr>
        <w:pStyle w:val="BodyText"/>
        <w:ind w:firstLine="1440"/>
        <w:rPr>
          <w:color w:val="000000" w:themeColor="text1"/>
          <w:szCs w:val="26"/>
        </w:rPr>
      </w:pPr>
      <w:r w:rsidRPr="00BB37A6">
        <w:rPr>
          <w:color w:val="000000" w:themeColor="text1"/>
          <w:szCs w:val="26"/>
        </w:rPr>
        <w:t xml:space="preserve">PG&amp;E alleges that the Decision’s reliance on PG&amp;E’s failure to take steps to narrow the EVM program starting in October 2022 is arbitrary and capricious for three reasons.  (App. Rehg. at 20-23.)  PG&amp;E contends: (1) the Commission disregards its prior conduct regarding Energy Safety’s approval of the 2022 Update; (2) the Commission </w:t>
      </w:r>
      <w:r w:rsidRPr="00BB37A6">
        <w:rPr>
          <w:color w:val="000000" w:themeColor="text1"/>
          <w:szCs w:val="26"/>
        </w:rPr>
        <w:lastRenderedPageBreak/>
        <w:t xml:space="preserve">fails to take into account that Energy Safety could have wanted PG&amp;E to perform the EVM work without consideration of cost-effectiveness; and (3) the Commission ignores that Energy Safety would have rejected PG&amp;E’s request to modify its 2022 Update to reduce its </w:t>
      </w:r>
      <w:r w:rsidRPr="00BB37A6" w:rsidR="00CB19AE">
        <w:rPr>
          <w:color w:val="000000" w:themeColor="text1"/>
          <w:szCs w:val="26"/>
        </w:rPr>
        <w:t>EVM</w:t>
      </w:r>
      <w:r w:rsidRPr="00BB37A6">
        <w:rPr>
          <w:color w:val="000000" w:themeColor="text1"/>
          <w:szCs w:val="26"/>
        </w:rPr>
        <w:t xml:space="preserve"> obligations.  (</w:t>
      </w:r>
      <w:r w:rsidRPr="00BB37A6">
        <w:rPr>
          <w:i/>
          <w:iCs/>
          <w:color w:val="000000" w:themeColor="text1"/>
          <w:szCs w:val="26"/>
        </w:rPr>
        <w:t>Ibid.</w:t>
      </w:r>
      <w:r w:rsidRPr="00BB37A6">
        <w:rPr>
          <w:color w:val="000000" w:themeColor="text1"/>
          <w:szCs w:val="26"/>
        </w:rPr>
        <w:t>)  PG&amp;E’s claims are discussed in more detail and addressed below.</w:t>
      </w:r>
    </w:p>
    <w:p w:rsidRPr="00BB37A6" w:rsidR="0088628C" w:rsidP="00834916" w:rsidRDefault="00C27576" w14:paraId="4B29D6B3" w14:textId="6898C9C0">
      <w:pPr>
        <w:pStyle w:val="BodyText"/>
        <w:ind w:firstLine="1440"/>
        <w:rPr>
          <w:szCs w:val="26"/>
        </w:rPr>
      </w:pPr>
      <w:r w:rsidRPr="00BB37A6">
        <w:rPr>
          <w:szCs w:val="26"/>
        </w:rPr>
        <w:t>An abuse of discretion occurs when an agency acts arbitrarily or capriciously.  (</w:t>
      </w:r>
      <w:r w:rsidRPr="00BB37A6">
        <w:rPr>
          <w:i/>
          <w:iCs/>
          <w:szCs w:val="26"/>
          <w:bdr w:val="none" w:color="auto" w:sz="0" w:space="0" w:frame="1"/>
        </w:rPr>
        <w:t>City of Stockton v. Marina Towers LLC</w:t>
      </w:r>
      <w:r w:rsidRPr="00BB37A6">
        <w:rPr>
          <w:i/>
          <w:iCs/>
          <w:szCs w:val="26"/>
        </w:rPr>
        <w:t xml:space="preserve"> </w:t>
      </w:r>
      <w:r w:rsidRPr="00BB37A6">
        <w:rPr>
          <w:szCs w:val="26"/>
        </w:rPr>
        <w:t>(2009)</w:t>
      </w:r>
      <w:r w:rsidRPr="00BB37A6">
        <w:rPr>
          <w:i/>
          <w:iCs/>
          <w:szCs w:val="26"/>
        </w:rPr>
        <w:t xml:space="preserve"> </w:t>
      </w:r>
      <w:r w:rsidRPr="00BB37A6">
        <w:rPr>
          <w:szCs w:val="26"/>
        </w:rPr>
        <w:t xml:space="preserve">171 Cal.App.4th 93, 114; </w:t>
      </w:r>
      <w:r w:rsidR="00385B5C">
        <w:rPr>
          <w:szCs w:val="26"/>
        </w:rPr>
        <w:br/>
      </w:r>
      <w:r w:rsidRPr="00BB37A6">
        <w:rPr>
          <w:szCs w:val="26"/>
        </w:rPr>
        <w:t xml:space="preserve">§ 1757, subd. (a)(5).)  </w:t>
      </w:r>
      <w:r w:rsidRPr="00BB37A6">
        <w:rPr>
          <w:szCs w:val="26"/>
          <w:shd w:val="clear" w:color="auto" w:fill="FFFFFF"/>
        </w:rPr>
        <w:t>The scope of review under this standard is narrow, and agency action will be upheld if the agency adequately considered all relevant facts and demonstrated a rational connection between those facts and the choice made.  (</w:t>
      </w:r>
      <w:r w:rsidRPr="00BB37A6">
        <w:rPr>
          <w:i/>
          <w:iCs/>
          <w:szCs w:val="26"/>
          <w:shd w:val="clear" w:color="auto" w:fill="FFFFFF"/>
        </w:rPr>
        <w:t xml:space="preserve">Order Denying Rehearing of D.18-06-014, </w:t>
      </w:r>
      <w:r w:rsidRPr="00BB37A6">
        <w:rPr>
          <w:szCs w:val="26"/>
          <w:shd w:val="clear" w:color="auto" w:fill="FFFFFF"/>
        </w:rPr>
        <w:t xml:space="preserve">D.18-11-017 (2018) at 12, </w:t>
      </w:r>
      <w:r w:rsidRPr="00BB37A6">
        <w:rPr>
          <w:rStyle w:val="Emphasis"/>
          <w:szCs w:val="26"/>
          <w:bdr w:val="none" w:color="auto" w:sz="0" w:space="0" w:frame="1"/>
          <w:shd w:val="clear" w:color="auto" w:fill="FFFFFF"/>
        </w:rPr>
        <w:t>California Hotel and Motel Assn. v. Industrial Welfare Com.</w:t>
      </w:r>
      <w:r w:rsidRPr="00BB37A6">
        <w:rPr>
          <w:szCs w:val="26"/>
          <w:bdr w:val="none" w:color="auto" w:sz="0" w:space="0" w:frame="1"/>
          <w:shd w:val="clear" w:color="auto" w:fill="FFFFFF"/>
        </w:rPr>
        <w:t xml:space="preserve"> (1979) 25 Cal.3d 200, 212.)  When we establish rates, we </w:t>
      </w:r>
      <w:r w:rsidRPr="00BB37A6">
        <w:rPr>
          <w:szCs w:val="26"/>
        </w:rPr>
        <w:t>exercise our broad and comprehensive legislative ratemaking powers.  (</w:t>
      </w:r>
      <w:r w:rsidRPr="00BB37A6">
        <w:rPr>
          <w:i/>
          <w:iCs/>
          <w:szCs w:val="26"/>
        </w:rPr>
        <w:t>People v. Western Air Lines</w:t>
      </w:r>
      <w:r w:rsidRPr="00BB37A6">
        <w:rPr>
          <w:szCs w:val="26"/>
        </w:rPr>
        <w:t xml:space="preserve"> (1954) 42 Cal.2d 621, 630, </w:t>
      </w:r>
      <w:r w:rsidRPr="00BB37A6">
        <w:rPr>
          <w:i/>
          <w:iCs/>
          <w:szCs w:val="26"/>
        </w:rPr>
        <w:t>Wood v. Public Utilities Com.</w:t>
      </w:r>
      <w:r w:rsidRPr="00BB37A6">
        <w:rPr>
          <w:szCs w:val="26"/>
        </w:rPr>
        <w:t xml:space="preserve"> (1971) 4 Cal.3d 288, 292.)</w:t>
      </w:r>
      <w:r w:rsidRPr="00BB37A6">
        <w:rPr>
          <w:i/>
          <w:iCs/>
          <w:szCs w:val="26"/>
        </w:rPr>
        <w:t xml:space="preserve">  </w:t>
      </w:r>
      <w:r w:rsidRPr="00BB37A6">
        <w:rPr>
          <w:szCs w:val="26"/>
        </w:rPr>
        <w:t xml:space="preserve">The standard for setting rates is that of reasonableness, and we have broad discretion to choose what factors and criteria are relevant under this standard.  (See, e.g., </w:t>
      </w:r>
      <w:r w:rsidRPr="00BB37A6" w:rsidR="00692BDF">
        <w:rPr>
          <w:i/>
          <w:iCs/>
          <w:szCs w:val="26"/>
        </w:rPr>
        <w:t xml:space="preserve">Pacific Telephone, supra, </w:t>
      </w:r>
      <w:r w:rsidRPr="00BB37A6" w:rsidR="00692BDF">
        <w:rPr>
          <w:szCs w:val="26"/>
        </w:rPr>
        <w:t xml:space="preserve">62 Cal.2d at </w:t>
      </w:r>
      <w:r w:rsidRPr="00BB37A6">
        <w:rPr>
          <w:szCs w:val="26"/>
        </w:rPr>
        <w:t xml:space="preserve">647; </w:t>
      </w:r>
      <w:r w:rsidRPr="00BB37A6">
        <w:rPr>
          <w:i/>
          <w:iCs/>
          <w:szCs w:val="26"/>
        </w:rPr>
        <w:t>Pacific Bell Wireless, LLC v. Public Utilities Com.</w:t>
      </w:r>
      <w:r w:rsidRPr="00BB37A6">
        <w:rPr>
          <w:szCs w:val="26"/>
        </w:rPr>
        <w:t xml:space="preserve"> (2006) 140 Cal.App.4th 718, 741-742; see also </w:t>
      </w:r>
      <w:r w:rsidRPr="00BB37A6">
        <w:rPr>
          <w:i/>
          <w:iCs/>
          <w:szCs w:val="26"/>
        </w:rPr>
        <w:t xml:space="preserve">SFPP, L.P. v. Public Utilities Com. </w:t>
      </w:r>
      <w:r w:rsidRPr="00BB37A6">
        <w:rPr>
          <w:szCs w:val="26"/>
        </w:rPr>
        <w:t>(2013) 217 Cal.App.4th 784, 797-798 [the court’s “only concern is whether the PUC’s decision violated the law in some way which requires this court to step in,” which does not include the Commission’s policy choices about ratemaking].)</w:t>
      </w:r>
    </w:p>
    <w:p w:rsidRPr="00BB37A6" w:rsidR="0088628C" w:rsidP="0096325F" w:rsidRDefault="00834916" w14:paraId="1F1E6DDE" w14:textId="5E2C66F9">
      <w:pPr>
        <w:pStyle w:val="Heading3"/>
        <w:tabs>
          <w:tab w:val="clear" w:pos="2160"/>
        </w:tabs>
        <w:spacing w:before="0"/>
        <w:rPr>
          <w:szCs w:val="26"/>
        </w:rPr>
      </w:pPr>
      <w:r w:rsidRPr="00BB37A6">
        <w:rPr>
          <w:szCs w:val="26"/>
        </w:rPr>
        <w:t xml:space="preserve">PG&amp;E </w:t>
      </w:r>
      <w:r w:rsidRPr="00BB37A6">
        <w:rPr>
          <w:bCs/>
          <w:szCs w:val="26"/>
        </w:rPr>
        <w:t>fails to show that it reasonably relied on the Commission’s alleged changed position</w:t>
      </w:r>
      <w:r w:rsidRPr="00BB37A6" w:rsidR="0088628C">
        <w:rPr>
          <w:szCs w:val="26"/>
        </w:rPr>
        <w:t>.</w:t>
      </w:r>
    </w:p>
    <w:p w:rsidRPr="00BB37A6" w:rsidR="003B153D" w:rsidP="003B153D" w:rsidRDefault="00834916" w14:paraId="4B3ABF0F" w14:textId="0D897DB2">
      <w:pPr>
        <w:pStyle w:val="BodyText"/>
        <w:ind w:firstLine="1440"/>
        <w:rPr>
          <w:color w:val="000000" w:themeColor="text1"/>
          <w:szCs w:val="26"/>
        </w:rPr>
      </w:pPr>
      <w:r w:rsidRPr="00BB37A6">
        <w:rPr>
          <w:color w:val="000000" w:themeColor="text1"/>
          <w:szCs w:val="26"/>
        </w:rPr>
        <w:t>PG&amp;E first alleges that the Decision “changes course” from our prior acceptance of the 2022 Update and fails to acknowledge PG&amp;E’s reliance on this acceptance.  (App. Rehg. at 20-21.)  PG&amp;E argues that the Decision now faults PG&amp;E for continuing the EVM program even though we did not raise concerns in 2022 about the cost-effectiveness of the program nor the 1,800</w:t>
      </w:r>
      <w:r w:rsidRPr="00BB37A6" w:rsidR="00D305C3">
        <w:rPr>
          <w:color w:val="000000" w:themeColor="text1"/>
          <w:szCs w:val="26"/>
        </w:rPr>
        <w:t>-</w:t>
      </w:r>
      <w:r w:rsidRPr="00BB37A6">
        <w:rPr>
          <w:color w:val="000000" w:themeColor="text1"/>
          <w:szCs w:val="26"/>
        </w:rPr>
        <w:t xml:space="preserve">mile target despite the opportunity to do so, either as part of Energy Safety’s public comment process or elsewhere, especially </w:t>
      </w:r>
      <w:r w:rsidRPr="00BB37A6">
        <w:rPr>
          <w:color w:val="000000" w:themeColor="text1"/>
          <w:szCs w:val="26"/>
        </w:rPr>
        <w:lastRenderedPageBreak/>
        <w:t>in light of the EOE Process.  (</w:t>
      </w:r>
      <w:r w:rsidRPr="00BB37A6">
        <w:rPr>
          <w:i/>
          <w:iCs/>
          <w:color w:val="000000" w:themeColor="text1"/>
          <w:szCs w:val="26"/>
        </w:rPr>
        <w:t>Id</w:t>
      </w:r>
      <w:r w:rsidRPr="00BB37A6" w:rsidR="005C1305">
        <w:rPr>
          <w:i/>
          <w:iCs/>
          <w:color w:val="000000" w:themeColor="text1"/>
          <w:szCs w:val="26"/>
        </w:rPr>
        <w:t>.</w:t>
      </w:r>
      <w:r w:rsidRPr="00BB37A6">
        <w:rPr>
          <w:color w:val="000000" w:themeColor="text1"/>
          <w:szCs w:val="26"/>
        </w:rPr>
        <w:t xml:space="preserve"> at 20-21.)  PG&amp;E opines that </w:t>
      </w:r>
      <w:r w:rsidRPr="00BB37A6" w:rsidR="0093663C">
        <w:rPr>
          <w:color w:val="000000" w:themeColor="text1"/>
          <w:szCs w:val="26"/>
        </w:rPr>
        <w:t>our all</w:t>
      </w:r>
      <w:r w:rsidRPr="00BB37A6" w:rsidR="00E71163">
        <w:rPr>
          <w:color w:val="000000" w:themeColor="text1"/>
          <w:szCs w:val="26"/>
        </w:rPr>
        <w:t>e</w:t>
      </w:r>
      <w:r w:rsidRPr="00BB37A6" w:rsidR="0093663C">
        <w:rPr>
          <w:color w:val="000000" w:themeColor="text1"/>
          <w:szCs w:val="26"/>
        </w:rPr>
        <w:t>ged</w:t>
      </w:r>
      <w:r w:rsidRPr="00BB37A6">
        <w:rPr>
          <w:color w:val="000000" w:themeColor="text1"/>
          <w:szCs w:val="26"/>
        </w:rPr>
        <w:t xml:space="preserve"> “silence” in these regards gave it reason to believe that it could rely on the 2022 EVM program target.  (</w:t>
      </w:r>
      <w:r w:rsidRPr="00BB37A6">
        <w:rPr>
          <w:i/>
          <w:iCs/>
          <w:color w:val="000000" w:themeColor="text1"/>
          <w:szCs w:val="26"/>
        </w:rPr>
        <w:t xml:space="preserve">Id. </w:t>
      </w:r>
      <w:r w:rsidRPr="00BB37A6">
        <w:rPr>
          <w:color w:val="000000" w:themeColor="text1"/>
          <w:szCs w:val="26"/>
        </w:rPr>
        <w:t xml:space="preserve">at 20-21.)  PG&amp;E also notes that </w:t>
      </w:r>
      <w:r w:rsidRPr="00BB37A6" w:rsidR="003B153D">
        <w:rPr>
          <w:color w:val="000000" w:themeColor="text1"/>
          <w:szCs w:val="26"/>
        </w:rPr>
        <w:t>we</w:t>
      </w:r>
      <w:r w:rsidRPr="00BB37A6">
        <w:rPr>
          <w:color w:val="000000" w:themeColor="text1"/>
          <w:szCs w:val="26"/>
        </w:rPr>
        <w:t xml:space="preserve"> ultimately ratified the 2022 Update, as required by law.  (</w:t>
      </w:r>
      <w:r w:rsidRPr="00BB37A6">
        <w:rPr>
          <w:i/>
          <w:iCs/>
          <w:color w:val="000000" w:themeColor="text1"/>
          <w:szCs w:val="26"/>
        </w:rPr>
        <w:t xml:space="preserve">Id. </w:t>
      </w:r>
      <w:r w:rsidRPr="00BB37A6">
        <w:rPr>
          <w:color w:val="000000" w:themeColor="text1"/>
          <w:szCs w:val="26"/>
        </w:rPr>
        <w:t>at 21.)  PG&amp;E assertions are unavailing.</w:t>
      </w:r>
    </w:p>
    <w:p w:rsidRPr="00BB37A6" w:rsidR="0016186C" w:rsidP="0016186C" w:rsidRDefault="00834916" w14:paraId="6B710197" w14:textId="2419E9E3">
      <w:pPr>
        <w:pStyle w:val="BodyText"/>
        <w:ind w:firstLine="1440"/>
        <w:rPr>
          <w:color w:val="000000" w:themeColor="text1"/>
          <w:szCs w:val="26"/>
        </w:rPr>
      </w:pPr>
      <w:r w:rsidRPr="00BB37A6">
        <w:rPr>
          <w:color w:val="000000" w:themeColor="text1"/>
          <w:szCs w:val="26"/>
        </w:rPr>
        <w:t xml:space="preserve">No Commission action or inaction in 2022 gave PG&amp;E a legitimate reason to believe that </w:t>
      </w:r>
      <w:r w:rsidRPr="00BB37A6" w:rsidR="003B153D">
        <w:rPr>
          <w:color w:val="000000" w:themeColor="text1"/>
          <w:szCs w:val="26"/>
        </w:rPr>
        <w:t>we</w:t>
      </w:r>
      <w:r w:rsidRPr="00BB37A6">
        <w:rPr>
          <w:color w:val="000000" w:themeColor="text1"/>
          <w:szCs w:val="26"/>
        </w:rPr>
        <w:t xml:space="preserve"> would not conduct a full reasonableness review of its 2022 EVM costs.  </w:t>
      </w:r>
      <w:r w:rsidRPr="00BB37A6" w:rsidR="003B153D">
        <w:rPr>
          <w:color w:val="000000" w:themeColor="text1"/>
          <w:szCs w:val="26"/>
        </w:rPr>
        <w:t>We have</w:t>
      </w:r>
      <w:r w:rsidRPr="00BB37A6">
        <w:rPr>
          <w:color w:val="000000" w:themeColor="text1"/>
          <w:szCs w:val="26"/>
        </w:rPr>
        <w:t xml:space="preserve"> always maintained the position that ratification of Energy Safety’s decisions is not approval of the costs to implement the WMP, a position echoed by Energy Safety.  (See, e.g., </w:t>
      </w:r>
      <w:r w:rsidRPr="00BB37A6">
        <w:rPr>
          <w:i/>
          <w:iCs/>
          <w:color w:val="000000" w:themeColor="text1"/>
          <w:szCs w:val="26"/>
        </w:rPr>
        <w:t>Decision on Test Year 2021 General Rate Case for Southern California Edison Company,</w:t>
      </w:r>
      <w:r w:rsidRPr="00BB37A6">
        <w:rPr>
          <w:color w:val="000000" w:themeColor="text1"/>
          <w:szCs w:val="26"/>
        </w:rPr>
        <w:t xml:space="preserve"> D.21-08-036 (2021) at </w:t>
      </w:r>
      <w:r w:rsidRPr="00BB37A6">
        <w:rPr>
          <w:szCs w:val="26"/>
        </w:rPr>
        <w:t xml:space="preserve">251; </w:t>
      </w:r>
      <w:r w:rsidRPr="00BB37A6">
        <w:rPr>
          <w:i/>
          <w:iCs/>
          <w:szCs w:val="26"/>
        </w:rPr>
        <w:t>Decision on Test Year 2023 General Rate Case for Pacific Gas and Electric Company,</w:t>
      </w:r>
      <w:r w:rsidRPr="00BB37A6">
        <w:rPr>
          <w:szCs w:val="26"/>
        </w:rPr>
        <w:t xml:space="preserve"> D.23-11-069 (2023) at 862 (COL 86); </w:t>
      </w:r>
      <w:r w:rsidRPr="00BB37A6">
        <w:rPr>
          <w:iCs/>
          <w:szCs w:val="26"/>
        </w:rPr>
        <w:t xml:space="preserve">Energy Safety Final Decision on PG&amp;E’s 2021 WMP Update (Sept. 22, 2021) </w:t>
      </w:r>
      <w:r w:rsidRPr="00BB37A6">
        <w:rPr>
          <w:color w:val="000000" w:themeColor="text1"/>
          <w:szCs w:val="26"/>
        </w:rPr>
        <w:t>at 7 &amp; fn. 20; 2022 Update at 16 &amp; fn. 8</w:t>
      </w:r>
      <w:r w:rsidRPr="00BB37A6">
        <w:rPr>
          <w:szCs w:val="26"/>
        </w:rPr>
        <w:t xml:space="preserve">.)  </w:t>
      </w:r>
      <w:r w:rsidRPr="00BB37A6" w:rsidR="00A51F6F">
        <w:rPr>
          <w:szCs w:val="26"/>
        </w:rPr>
        <w:t>We</w:t>
      </w:r>
      <w:r w:rsidRPr="00BB37A6">
        <w:rPr>
          <w:szCs w:val="26"/>
        </w:rPr>
        <w:t xml:space="preserve"> reiterated this point when ratifying Energy Safety’s decision on PG&amp;E’s 2022 Update, </w:t>
      </w:r>
      <w:r w:rsidRPr="00BB37A6">
        <w:rPr>
          <w:color w:val="000000" w:themeColor="text1"/>
          <w:szCs w:val="26"/>
        </w:rPr>
        <w:t xml:space="preserve">explicitly identifying that “[n]othing in this Resolution should be construed as approval of the costs associated with the implementation of Pacific Gas &amp; Electric Company’s 2022 Wildfire Mitigation Plan.”  (Resolution SPD-9 at 7 (Order 2).)  Similarly, </w:t>
      </w:r>
      <w:r w:rsidRPr="00BB37A6" w:rsidR="00A51F6F">
        <w:rPr>
          <w:color w:val="000000" w:themeColor="text1"/>
          <w:szCs w:val="26"/>
        </w:rPr>
        <w:t>our</w:t>
      </w:r>
      <w:r w:rsidRPr="00BB37A6">
        <w:rPr>
          <w:color w:val="000000" w:themeColor="text1"/>
          <w:szCs w:val="26"/>
        </w:rPr>
        <w:t xml:space="preserve"> identification of PG&amp;E’s 1,800-mile target in Resolution M-4864 (April 16, 2021), placing PG&amp;E in Step 1 of the EOE Process, and Resolution M-2-2022, removing PG&amp;E from </w:t>
      </w:r>
      <w:r w:rsidRPr="00BB37A6" w:rsidR="00074F24">
        <w:rPr>
          <w:color w:val="000000" w:themeColor="text1"/>
          <w:szCs w:val="26"/>
        </w:rPr>
        <w:t>S</w:t>
      </w:r>
      <w:r w:rsidRPr="00BB37A6">
        <w:rPr>
          <w:color w:val="000000" w:themeColor="text1"/>
          <w:szCs w:val="26"/>
        </w:rPr>
        <w:t xml:space="preserve">tep 1, did not authorize any costs to implement this target.  (See </w:t>
      </w:r>
      <w:r w:rsidRPr="00BB37A6" w:rsidR="00A51F6F">
        <w:rPr>
          <w:i/>
          <w:iCs/>
          <w:szCs w:val="26"/>
        </w:rPr>
        <w:t xml:space="preserve">Guidance Decision on 2019 Wildfire Mitigation Plans Submitted Pursuant to Senate Bill 901, </w:t>
      </w:r>
      <w:r w:rsidRPr="00BB37A6" w:rsidR="00A51F6F">
        <w:rPr>
          <w:szCs w:val="26"/>
        </w:rPr>
        <w:t xml:space="preserve">D.19-05-036 (2019) </w:t>
      </w:r>
      <w:r w:rsidRPr="00BB37A6">
        <w:rPr>
          <w:iCs/>
          <w:szCs w:val="26"/>
        </w:rPr>
        <w:t>at 4 [“We also do not find that substantial compliance with an element of a Plan, or all elements of a Plan, establishes that the electrical corporation acted prudently when it later seeks to recover its costs.”].)</w:t>
      </w:r>
      <w:r w:rsidRPr="00BB37A6">
        <w:rPr>
          <w:color w:val="000000" w:themeColor="text1"/>
          <w:szCs w:val="26"/>
        </w:rPr>
        <w:t xml:space="preserve">  Indeed, PG&amp;E understood that this proceeding was the appropriate forum for </w:t>
      </w:r>
      <w:r w:rsidRPr="00BB37A6" w:rsidR="0016186C">
        <w:rPr>
          <w:color w:val="000000" w:themeColor="text1"/>
          <w:szCs w:val="26"/>
        </w:rPr>
        <w:t>us</w:t>
      </w:r>
      <w:r w:rsidRPr="00BB37A6">
        <w:rPr>
          <w:color w:val="000000" w:themeColor="text1"/>
          <w:szCs w:val="26"/>
        </w:rPr>
        <w:t xml:space="preserve"> to evaluate and determine the reasonableness of its EVM program costs</w:t>
      </w:r>
      <w:r w:rsidRPr="00BB37A6" w:rsidR="00672737">
        <w:rPr>
          <w:color w:val="000000" w:themeColor="text1"/>
          <w:szCs w:val="26"/>
        </w:rPr>
        <w:t xml:space="preserve"> at issue</w:t>
      </w:r>
      <w:r w:rsidRPr="00BB37A6">
        <w:rPr>
          <w:color w:val="000000" w:themeColor="text1"/>
          <w:szCs w:val="26"/>
        </w:rPr>
        <w:t>.  (</w:t>
      </w:r>
      <w:r w:rsidRPr="00BB37A6" w:rsidR="00D91930">
        <w:rPr>
          <w:color w:val="000000" w:themeColor="text1"/>
          <w:szCs w:val="26"/>
        </w:rPr>
        <w:t xml:space="preserve">See </w:t>
      </w:r>
      <w:r w:rsidRPr="00BB37A6">
        <w:rPr>
          <w:color w:val="000000" w:themeColor="text1"/>
          <w:szCs w:val="26"/>
        </w:rPr>
        <w:t>2020 GRC Decision at 395 (COL 17) [“Modification of the VMBA into a two-way balancing account that tracks routine and enhanced VM costs is reasonable and review of undercollections exceeding 120 percent of the authorized amount should be filed as an application to allow enhanced review.”].)</w:t>
      </w:r>
    </w:p>
    <w:p w:rsidRPr="00BB37A6" w:rsidR="00834916" w:rsidP="00914746" w:rsidRDefault="0016186C" w14:paraId="2322AFC9" w14:textId="147204DE">
      <w:pPr>
        <w:pStyle w:val="BodyText"/>
        <w:ind w:firstLine="1440"/>
        <w:rPr>
          <w:color w:val="000000" w:themeColor="text1"/>
          <w:szCs w:val="26"/>
        </w:rPr>
      </w:pPr>
      <w:r w:rsidRPr="00BB37A6">
        <w:rPr>
          <w:color w:val="000000" w:themeColor="text1"/>
          <w:szCs w:val="26"/>
        </w:rPr>
        <w:lastRenderedPageBreak/>
        <w:t xml:space="preserve">We also note that the </w:t>
      </w:r>
      <w:r w:rsidRPr="00BB37A6" w:rsidR="00834916">
        <w:rPr>
          <w:color w:val="000000" w:themeColor="text1"/>
          <w:szCs w:val="26"/>
        </w:rPr>
        <w:t xml:space="preserve">prudent manager standard examines a </w:t>
      </w:r>
      <w:r w:rsidRPr="00BB37A6" w:rsidR="00834916">
        <w:rPr>
          <w:i/>
          <w:iCs/>
          <w:color w:val="000000" w:themeColor="text1"/>
          <w:szCs w:val="26"/>
        </w:rPr>
        <w:t>utility’s</w:t>
      </w:r>
      <w:r w:rsidRPr="00BB37A6" w:rsidR="00834916">
        <w:rPr>
          <w:color w:val="000000" w:themeColor="text1"/>
          <w:szCs w:val="26"/>
        </w:rPr>
        <w:t xml:space="preserve"> decisionmaking based on what it knew or should have known at the time.  The Decision’s disallowance was based on PG&amp;E’s inaction despite its knowledge in October 2022 about the ineffectiveness of the EVM program.  (Decision at 67.)  PG&amp;E can no </w:t>
      </w:r>
      <w:proofErr w:type="gramStart"/>
      <w:r w:rsidRPr="00BB37A6" w:rsidR="00834916">
        <w:rPr>
          <w:color w:val="000000" w:themeColor="text1"/>
          <w:szCs w:val="26"/>
        </w:rPr>
        <w:t>more</w:t>
      </w:r>
      <w:proofErr w:type="gramEnd"/>
      <w:r w:rsidRPr="00BB37A6" w:rsidR="00834916">
        <w:rPr>
          <w:color w:val="000000" w:themeColor="text1"/>
          <w:szCs w:val="26"/>
        </w:rPr>
        <w:t xml:space="preserve"> fault the Commission for information unknown to </w:t>
      </w:r>
      <w:r w:rsidRPr="00BB37A6">
        <w:rPr>
          <w:color w:val="000000" w:themeColor="text1"/>
          <w:szCs w:val="26"/>
        </w:rPr>
        <w:t xml:space="preserve">us </w:t>
      </w:r>
      <w:r w:rsidRPr="00BB37A6" w:rsidR="00834916">
        <w:rPr>
          <w:color w:val="000000" w:themeColor="text1"/>
          <w:szCs w:val="26"/>
        </w:rPr>
        <w:t xml:space="preserve">at the time of public comments than it can turn the prudent manager standard on its head </w:t>
      </w:r>
      <w:r w:rsidRPr="00BB37A6">
        <w:rPr>
          <w:color w:val="000000" w:themeColor="text1"/>
          <w:szCs w:val="26"/>
        </w:rPr>
        <w:t>by placing the burden on the Commission</w:t>
      </w:r>
      <w:r w:rsidRPr="00BB37A6" w:rsidR="00834916">
        <w:rPr>
          <w:color w:val="000000" w:themeColor="text1"/>
          <w:szCs w:val="26"/>
        </w:rPr>
        <w:t xml:space="preserve">.  Additionally, while </w:t>
      </w:r>
      <w:r w:rsidRPr="00BB37A6" w:rsidR="00914746">
        <w:rPr>
          <w:color w:val="000000" w:themeColor="text1"/>
          <w:szCs w:val="26"/>
        </w:rPr>
        <w:t>we</w:t>
      </w:r>
      <w:r w:rsidRPr="00BB37A6" w:rsidR="00834916">
        <w:rPr>
          <w:color w:val="000000" w:themeColor="text1"/>
          <w:szCs w:val="26"/>
        </w:rPr>
        <w:t xml:space="preserve"> did not submit comments in support of TURN’s position on PG&amp;E’s EVM program, a prudent manager should have on its own, and particularly in light of criticism of a ratepayer advocacy group like TURN that participates in Commission cost review proceedings, seriously considered the program’s cost-effectiveness for </w:t>
      </w:r>
      <w:r w:rsidRPr="00BB37A6" w:rsidR="00834916">
        <w:rPr>
          <w:i/>
          <w:iCs/>
          <w:color w:val="000000" w:themeColor="text1"/>
          <w:szCs w:val="26"/>
        </w:rPr>
        <w:t xml:space="preserve">Commission </w:t>
      </w:r>
      <w:r w:rsidRPr="00BB37A6" w:rsidR="00834916">
        <w:rPr>
          <w:color w:val="000000" w:themeColor="text1"/>
          <w:szCs w:val="26"/>
        </w:rPr>
        <w:t xml:space="preserve">purposes, which PG&amp;E did not.  </w:t>
      </w:r>
    </w:p>
    <w:p w:rsidRPr="00BB37A6" w:rsidR="0088628C" w:rsidP="00993DD0" w:rsidRDefault="00834916" w14:paraId="063EE6CF" w14:textId="1685A0F0">
      <w:pPr>
        <w:pStyle w:val="BodyText"/>
        <w:ind w:firstLine="1440"/>
        <w:rPr>
          <w:color w:val="000000" w:themeColor="text1"/>
          <w:szCs w:val="26"/>
        </w:rPr>
      </w:pPr>
      <w:r w:rsidRPr="00BB37A6">
        <w:rPr>
          <w:color w:val="000000" w:themeColor="text1"/>
          <w:szCs w:val="26"/>
        </w:rPr>
        <w:t xml:space="preserve">Based on the above, </w:t>
      </w:r>
      <w:r w:rsidRPr="00BB37A6" w:rsidR="00914746">
        <w:rPr>
          <w:color w:val="000000" w:themeColor="text1"/>
          <w:szCs w:val="26"/>
        </w:rPr>
        <w:t>we</w:t>
      </w:r>
      <w:r w:rsidRPr="00BB37A6">
        <w:rPr>
          <w:color w:val="000000" w:themeColor="text1"/>
          <w:szCs w:val="26"/>
        </w:rPr>
        <w:t xml:space="preserve"> neither changed </w:t>
      </w:r>
      <w:r w:rsidRPr="00BB37A6" w:rsidR="00C60D1D">
        <w:rPr>
          <w:color w:val="000000" w:themeColor="text1"/>
          <w:szCs w:val="26"/>
        </w:rPr>
        <w:t>our</w:t>
      </w:r>
      <w:r w:rsidRPr="00BB37A6">
        <w:rPr>
          <w:color w:val="000000" w:themeColor="text1"/>
          <w:szCs w:val="26"/>
        </w:rPr>
        <w:t xml:space="preserve"> position nor w</w:t>
      </w:r>
      <w:r w:rsidRPr="00BB37A6" w:rsidR="009637BF">
        <w:rPr>
          <w:color w:val="000000" w:themeColor="text1"/>
          <w:szCs w:val="26"/>
        </w:rPr>
        <w:t>ere</w:t>
      </w:r>
      <w:r w:rsidRPr="00BB37A6">
        <w:rPr>
          <w:color w:val="000000" w:themeColor="text1"/>
          <w:szCs w:val="26"/>
        </w:rPr>
        <w:t xml:space="preserve"> silent on the issue of whether PG&amp;E’s 2022 </w:t>
      </w:r>
      <w:r w:rsidRPr="00BB37A6" w:rsidR="00CB19AE">
        <w:rPr>
          <w:color w:val="000000" w:themeColor="text1"/>
          <w:szCs w:val="26"/>
        </w:rPr>
        <w:t>EVM</w:t>
      </w:r>
      <w:r w:rsidRPr="00BB37A6">
        <w:rPr>
          <w:color w:val="000000" w:themeColor="text1"/>
          <w:szCs w:val="26"/>
        </w:rPr>
        <w:t xml:space="preserve"> program costs would be deemed reasonable in this proceeding.  Accordingly, PG&amp;E’s alleged reliance on </w:t>
      </w:r>
      <w:r w:rsidRPr="00BB37A6" w:rsidR="009637BF">
        <w:rPr>
          <w:color w:val="000000" w:themeColor="text1"/>
          <w:szCs w:val="26"/>
        </w:rPr>
        <w:t>our</w:t>
      </w:r>
      <w:r w:rsidRPr="00BB37A6">
        <w:rPr>
          <w:color w:val="000000" w:themeColor="text1"/>
          <w:szCs w:val="26"/>
        </w:rPr>
        <w:t xml:space="preserve"> conduct to support a different conclusion is unfounded </w:t>
      </w:r>
      <w:r w:rsidRPr="00BB37A6" w:rsidR="005862AF">
        <w:rPr>
          <w:color w:val="000000" w:themeColor="text1"/>
          <w:szCs w:val="26"/>
        </w:rPr>
        <w:t>and</w:t>
      </w:r>
      <w:r w:rsidRPr="00BB37A6" w:rsidR="00A504D0">
        <w:rPr>
          <w:color w:val="000000" w:themeColor="text1"/>
          <w:szCs w:val="26"/>
        </w:rPr>
        <w:t>,</w:t>
      </w:r>
      <w:r w:rsidRPr="00BB37A6">
        <w:rPr>
          <w:color w:val="000000" w:themeColor="text1"/>
          <w:szCs w:val="26"/>
        </w:rPr>
        <w:t xml:space="preserve"> therefore</w:t>
      </w:r>
      <w:r w:rsidRPr="00BB37A6" w:rsidR="00A504D0">
        <w:rPr>
          <w:color w:val="000000" w:themeColor="text1"/>
          <w:szCs w:val="26"/>
        </w:rPr>
        <w:t>, its actions</w:t>
      </w:r>
      <w:r w:rsidRPr="00BB37A6">
        <w:rPr>
          <w:color w:val="000000" w:themeColor="text1"/>
          <w:szCs w:val="26"/>
        </w:rPr>
        <w:t xml:space="preserve"> </w:t>
      </w:r>
      <w:r w:rsidRPr="00BB37A6" w:rsidR="0035138F">
        <w:rPr>
          <w:color w:val="000000" w:themeColor="text1"/>
          <w:szCs w:val="26"/>
        </w:rPr>
        <w:t xml:space="preserve">were </w:t>
      </w:r>
      <w:r w:rsidRPr="00BB37A6">
        <w:rPr>
          <w:color w:val="000000" w:themeColor="text1"/>
          <w:szCs w:val="26"/>
        </w:rPr>
        <w:t>taken at its own risk</w:t>
      </w:r>
      <w:r w:rsidRPr="00BB37A6" w:rsidR="00993DD0">
        <w:rPr>
          <w:color w:val="000000" w:themeColor="text1"/>
          <w:szCs w:val="26"/>
        </w:rPr>
        <w:t>.</w:t>
      </w:r>
    </w:p>
    <w:p w:rsidRPr="00BB37A6" w:rsidR="0088628C" w:rsidP="0096325F" w:rsidRDefault="0088628C" w14:paraId="36294A1F" w14:textId="1E8B71F0">
      <w:pPr>
        <w:pStyle w:val="Heading3"/>
        <w:tabs>
          <w:tab w:val="clear" w:pos="2160"/>
        </w:tabs>
        <w:spacing w:before="0"/>
        <w:rPr>
          <w:szCs w:val="26"/>
        </w:rPr>
      </w:pPr>
      <w:r w:rsidRPr="00BB37A6">
        <w:rPr>
          <w:szCs w:val="26"/>
        </w:rPr>
        <w:t xml:space="preserve">The </w:t>
      </w:r>
      <w:r w:rsidRPr="00BB37A6" w:rsidR="00F7701B">
        <w:rPr>
          <w:bCs/>
          <w:szCs w:val="26"/>
        </w:rPr>
        <w:t xml:space="preserve">Decision does not ignore Energy Safety’s role in modifying </w:t>
      </w:r>
      <w:r w:rsidRPr="00BB37A6" w:rsidR="00F7701B">
        <w:rPr>
          <w:bCs/>
          <w:color w:val="000000" w:themeColor="text1"/>
          <w:szCs w:val="26"/>
        </w:rPr>
        <w:t xml:space="preserve">WMPs, </w:t>
      </w:r>
      <w:r w:rsidRPr="00BB37A6" w:rsidR="00F7701B">
        <w:rPr>
          <w:bCs/>
          <w:szCs w:val="26"/>
        </w:rPr>
        <w:t>but we modify the Decision to make this point clear</w:t>
      </w:r>
      <w:r w:rsidRPr="00BB37A6">
        <w:rPr>
          <w:szCs w:val="26"/>
        </w:rPr>
        <w:t>.</w:t>
      </w:r>
    </w:p>
    <w:p w:rsidRPr="00BB37A6" w:rsidR="009D28FD" w:rsidP="009D28FD" w:rsidRDefault="008506AD" w14:paraId="7DE445A9" w14:textId="7C66A24D">
      <w:pPr>
        <w:pStyle w:val="pf0"/>
        <w:spacing w:before="0" w:beforeAutospacing="0" w:after="0" w:afterAutospacing="0" w:line="360" w:lineRule="auto"/>
        <w:ind w:firstLine="1440"/>
        <w:rPr>
          <w:sz w:val="26"/>
          <w:szCs w:val="26"/>
        </w:rPr>
      </w:pPr>
      <w:r w:rsidRPr="00BB37A6">
        <w:rPr>
          <w:color w:val="000000" w:themeColor="text1"/>
          <w:sz w:val="26"/>
          <w:szCs w:val="26"/>
        </w:rPr>
        <w:t>Next, PG&amp;E asserts that the Decision’s statement that PG&amp;E should have “[c</w:t>
      </w:r>
      <w:r w:rsidRPr="00BB37A6" w:rsidR="002D1646">
        <w:rPr>
          <w:color w:val="000000" w:themeColor="text1"/>
          <w:sz w:val="26"/>
          <w:szCs w:val="26"/>
        </w:rPr>
        <w:t>o</w:t>
      </w:r>
      <w:r w:rsidRPr="00BB37A6" w:rsidR="00C06670">
        <w:rPr>
          <w:color w:val="000000" w:themeColor="text1"/>
          <w:sz w:val="26"/>
          <w:szCs w:val="26"/>
        </w:rPr>
        <w:t>me</w:t>
      </w:r>
      <w:r w:rsidRPr="00BB37A6">
        <w:rPr>
          <w:color w:val="000000" w:themeColor="text1"/>
          <w:sz w:val="26"/>
          <w:szCs w:val="26"/>
        </w:rPr>
        <w:t>] to the Commission to seek a change in its EVM program” is arbitrary and capricious because changes to its 2022 Update would have required Energy Safety, not Commission, approval.  (App. Rehg. at 22, quoting Decision at 65</w:t>
      </w:r>
      <w:r w:rsidRPr="00BB37A6">
        <w:rPr>
          <w:sz w:val="26"/>
          <w:szCs w:val="26"/>
        </w:rPr>
        <w:t>.)  PG&amp;E further asserts that the Decision’s misunderstanding that the Commission, rather than Energy Safety, could change PG&amp;E’s legal requirements is prejudicial error.  (</w:t>
      </w:r>
      <w:r w:rsidRPr="00BB37A6">
        <w:rPr>
          <w:i/>
          <w:iCs/>
          <w:sz w:val="26"/>
          <w:szCs w:val="26"/>
        </w:rPr>
        <w:t>Ibid.</w:t>
      </w:r>
      <w:r w:rsidRPr="00BB37A6">
        <w:rPr>
          <w:sz w:val="26"/>
          <w:szCs w:val="26"/>
        </w:rPr>
        <w:t>)  PG&amp;E misunderstands the Decision and merely identifies an inadvertent omission.</w:t>
      </w:r>
    </w:p>
    <w:p w:rsidRPr="00BB37A6" w:rsidR="009D28FD" w:rsidP="009D28FD" w:rsidRDefault="008506AD" w14:paraId="3ACC4E07" w14:textId="77777777">
      <w:pPr>
        <w:pStyle w:val="pf0"/>
        <w:spacing w:before="0" w:beforeAutospacing="0" w:after="0" w:afterAutospacing="0" w:line="360" w:lineRule="auto"/>
        <w:ind w:firstLine="1440"/>
        <w:rPr>
          <w:iCs/>
          <w:color w:val="000000" w:themeColor="text1"/>
          <w:sz w:val="26"/>
          <w:szCs w:val="26"/>
        </w:rPr>
      </w:pPr>
      <w:r w:rsidRPr="00BB37A6">
        <w:rPr>
          <w:color w:val="000000" w:themeColor="text1"/>
          <w:sz w:val="26"/>
          <w:szCs w:val="26"/>
        </w:rPr>
        <w:t xml:space="preserve">The Decision’s full statement provides: “PG&amp;E also does not assert that in view of this knowledge it came to the Commission to seek a change in its EVM program, </w:t>
      </w:r>
      <w:r w:rsidRPr="00BB37A6">
        <w:rPr>
          <w:i/>
          <w:iCs/>
          <w:color w:val="000000" w:themeColor="text1"/>
          <w:sz w:val="26"/>
          <w:szCs w:val="26"/>
        </w:rPr>
        <w:t>despite</w:t>
      </w:r>
      <w:r w:rsidRPr="00BB37A6">
        <w:rPr>
          <w:color w:val="000000" w:themeColor="text1"/>
          <w:sz w:val="26"/>
          <w:szCs w:val="26"/>
        </w:rPr>
        <w:t xml:space="preserve"> what was in its WMP or the EOE Resolution.”  (Decision at 65, emphasis added.)  In other words, the Decision highlights PG&amp;E’s failure to contact the Commission, </w:t>
      </w:r>
      <w:r w:rsidRPr="00BB37A6">
        <w:rPr>
          <w:color w:val="000000" w:themeColor="text1"/>
          <w:sz w:val="26"/>
          <w:szCs w:val="26"/>
        </w:rPr>
        <w:lastRenderedPageBreak/>
        <w:t xml:space="preserve">whether formally or informally, </w:t>
      </w:r>
      <w:r w:rsidRPr="00BB37A6">
        <w:rPr>
          <w:iCs/>
          <w:color w:val="000000" w:themeColor="text1"/>
          <w:sz w:val="26"/>
          <w:szCs w:val="26"/>
        </w:rPr>
        <w:t>to determine whether and how it should or could change its EVM program, even if that meant utilizing Energy Safety’s processes to this end.  As the Decision concludes, this failure was imprudent considering PG&amp;E’s decision to increase the EVM program spending well above the amount authorized in its GRC even though it knew in October 2022 that the program achieved minimal risk reduction or cost efficiency.  (</w:t>
      </w:r>
      <w:r w:rsidRPr="00BB37A6">
        <w:rPr>
          <w:i/>
          <w:color w:val="000000" w:themeColor="text1"/>
          <w:sz w:val="26"/>
          <w:szCs w:val="26"/>
        </w:rPr>
        <w:t>Ibid.</w:t>
      </w:r>
      <w:r w:rsidRPr="00BB37A6">
        <w:rPr>
          <w:iCs/>
          <w:color w:val="000000" w:themeColor="text1"/>
          <w:sz w:val="26"/>
          <w:szCs w:val="26"/>
        </w:rPr>
        <w:t>)</w:t>
      </w:r>
    </w:p>
    <w:p w:rsidRPr="00BB37A6" w:rsidR="008506AD" w:rsidP="009D28FD" w:rsidRDefault="009D28FD" w14:paraId="49543C37" w14:textId="6AEF52AA">
      <w:pPr>
        <w:pStyle w:val="pf0"/>
        <w:spacing w:before="0" w:beforeAutospacing="0" w:after="0" w:afterAutospacing="0" w:line="360" w:lineRule="auto"/>
        <w:ind w:firstLine="1440"/>
        <w:rPr>
          <w:iCs/>
          <w:color w:val="000000" w:themeColor="text1"/>
          <w:sz w:val="26"/>
          <w:szCs w:val="26"/>
        </w:rPr>
      </w:pPr>
      <w:r w:rsidRPr="00BB37A6">
        <w:rPr>
          <w:iCs/>
          <w:color w:val="000000" w:themeColor="text1"/>
          <w:sz w:val="26"/>
          <w:szCs w:val="26"/>
        </w:rPr>
        <w:t xml:space="preserve">PG&amp;E does, however, </w:t>
      </w:r>
      <w:r w:rsidRPr="00BB37A6" w:rsidR="008506AD">
        <w:rPr>
          <w:sz w:val="26"/>
          <w:szCs w:val="26"/>
        </w:rPr>
        <w:t xml:space="preserve">identify </w:t>
      </w:r>
      <w:r w:rsidRPr="00BB37A6" w:rsidR="008506AD">
        <w:rPr>
          <w:iCs/>
          <w:sz w:val="26"/>
          <w:szCs w:val="26"/>
        </w:rPr>
        <w:t>an inadvertent omission in the Decision excluding Energy Safety from the above statement</w:t>
      </w:r>
      <w:r w:rsidRPr="00BB37A6">
        <w:rPr>
          <w:iCs/>
          <w:sz w:val="26"/>
          <w:szCs w:val="26"/>
        </w:rPr>
        <w:t xml:space="preserve">.  We </w:t>
      </w:r>
      <w:r w:rsidRPr="00BB37A6" w:rsidR="008506AD">
        <w:rPr>
          <w:iCs/>
          <w:sz w:val="26"/>
          <w:szCs w:val="26"/>
        </w:rPr>
        <w:t>modify the Decision as set forth in the proposed ordering paragraphs below</w:t>
      </w:r>
      <w:r w:rsidRPr="00BB37A6">
        <w:rPr>
          <w:iCs/>
          <w:sz w:val="26"/>
          <w:szCs w:val="26"/>
        </w:rPr>
        <w:t xml:space="preserve"> to correct this oversight.</w:t>
      </w:r>
    </w:p>
    <w:p w:rsidRPr="00BB37A6" w:rsidR="0088628C" w:rsidP="0096325F" w:rsidRDefault="002A5785" w14:paraId="31CF9A6C" w14:textId="5CFF0B22">
      <w:pPr>
        <w:pStyle w:val="Heading3"/>
        <w:tabs>
          <w:tab w:val="clear" w:pos="2160"/>
        </w:tabs>
        <w:spacing w:before="0"/>
        <w:rPr>
          <w:szCs w:val="26"/>
        </w:rPr>
      </w:pPr>
      <w:r w:rsidRPr="00BB37A6">
        <w:rPr>
          <w:szCs w:val="26"/>
        </w:rPr>
        <w:t xml:space="preserve">PG&amp;E </w:t>
      </w:r>
      <w:r w:rsidRPr="00BB37A6">
        <w:rPr>
          <w:bCs/>
          <w:szCs w:val="26"/>
        </w:rPr>
        <w:t>fails to show that Energy Safety’s change order process makes the Decision arbitrary and capricious</w:t>
      </w:r>
      <w:r w:rsidRPr="00BB37A6" w:rsidR="0088628C">
        <w:rPr>
          <w:szCs w:val="26"/>
        </w:rPr>
        <w:t>.</w:t>
      </w:r>
    </w:p>
    <w:p w:rsidRPr="00BB37A6" w:rsidR="00B65F61" w:rsidP="00B65F61" w:rsidRDefault="00013703" w14:paraId="74B04B55" w14:textId="2BBBE1FD">
      <w:pPr>
        <w:shd w:val="clear" w:color="auto" w:fill="FFFFFF"/>
        <w:tabs>
          <w:tab w:val="clear" w:pos="5040"/>
        </w:tabs>
        <w:spacing w:line="360" w:lineRule="auto"/>
        <w:ind w:firstLine="1440"/>
        <w:rPr>
          <w:iCs/>
          <w:color w:val="000000" w:themeColor="text1"/>
          <w:szCs w:val="26"/>
        </w:rPr>
      </w:pPr>
      <w:r w:rsidRPr="00BB37A6">
        <w:rPr>
          <w:iCs/>
          <w:color w:val="000000" w:themeColor="text1"/>
          <w:szCs w:val="26"/>
        </w:rPr>
        <w:t>Lastly, PG&amp;E contends the Decision disregards “clear evidence” that it would have been procedurally impracticable and substantively impossible for PG&amp;E to make mid-year or post-approval changes to its 2022 Update with Energy Safety.  (App. Rehg. at 22-23.)  PG&amp;E asserts that it would have been “unlikely” that Energy Safety would have allowed PG&amp;E to make a change to its proposed update in October 2022 since review of the plan was already being formally evaluated for Energy Safety approval.  (</w:t>
      </w:r>
      <w:r w:rsidRPr="00BB37A6">
        <w:rPr>
          <w:i/>
          <w:color w:val="000000" w:themeColor="text1"/>
          <w:szCs w:val="26"/>
        </w:rPr>
        <w:t xml:space="preserve">Id. </w:t>
      </w:r>
      <w:r w:rsidRPr="00BB37A6">
        <w:rPr>
          <w:iCs/>
          <w:color w:val="000000" w:themeColor="text1"/>
          <w:szCs w:val="26"/>
        </w:rPr>
        <w:t>at 22.)  PG&amp;E further asserts that post-approval changes would have been even more unlikely considering Energy Safety’s late year approval of its 2022 Update and the 10-day deadline to submit any change order request thereafter.  (</w:t>
      </w:r>
      <w:r w:rsidRPr="00BB37A6">
        <w:rPr>
          <w:i/>
          <w:color w:val="000000" w:themeColor="text1"/>
          <w:szCs w:val="26"/>
        </w:rPr>
        <w:t xml:space="preserve">Id. </w:t>
      </w:r>
      <w:r w:rsidRPr="00BB37A6">
        <w:rPr>
          <w:iCs/>
          <w:color w:val="000000" w:themeColor="text1"/>
          <w:szCs w:val="26"/>
        </w:rPr>
        <w:t xml:space="preserve">at 22-23.)  PG&amp;E also questions whether halting </w:t>
      </w:r>
      <w:r w:rsidRPr="00BB37A6" w:rsidR="005D59CA">
        <w:rPr>
          <w:iCs/>
          <w:color w:val="000000" w:themeColor="text1"/>
          <w:szCs w:val="26"/>
        </w:rPr>
        <w:t xml:space="preserve">the </w:t>
      </w:r>
      <w:r w:rsidRPr="00BB37A6">
        <w:rPr>
          <w:iCs/>
          <w:color w:val="000000" w:themeColor="text1"/>
          <w:szCs w:val="26"/>
        </w:rPr>
        <w:t xml:space="preserve">EVM </w:t>
      </w:r>
      <w:r w:rsidRPr="00BB37A6" w:rsidR="005D59CA">
        <w:rPr>
          <w:iCs/>
          <w:color w:val="000000" w:themeColor="text1"/>
          <w:szCs w:val="26"/>
        </w:rPr>
        <w:t>program</w:t>
      </w:r>
      <w:r w:rsidRPr="00BB37A6" w:rsidR="000F52C9">
        <w:rPr>
          <w:iCs/>
          <w:color w:val="000000" w:themeColor="text1"/>
          <w:szCs w:val="26"/>
        </w:rPr>
        <w:t xml:space="preserve"> </w:t>
      </w:r>
      <w:r w:rsidRPr="00BB37A6">
        <w:rPr>
          <w:iCs/>
          <w:color w:val="000000" w:themeColor="text1"/>
          <w:szCs w:val="26"/>
        </w:rPr>
        <w:t xml:space="preserve">at that point would have been subject to a change order, which </w:t>
      </w:r>
      <w:r w:rsidRPr="00BB37A6" w:rsidR="002A3994">
        <w:rPr>
          <w:iCs/>
          <w:color w:val="000000" w:themeColor="text1"/>
          <w:szCs w:val="26"/>
        </w:rPr>
        <w:t>is</w:t>
      </w:r>
      <w:r w:rsidRPr="00BB37A6">
        <w:rPr>
          <w:iCs/>
          <w:color w:val="000000" w:themeColor="text1"/>
          <w:szCs w:val="26"/>
        </w:rPr>
        <w:t xml:space="preserve"> not appropriate for a “fundamental change in strategy.”  (</w:t>
      </w:r>
      <w:r w:rsidRPr="00BB37A6">
        <w:rPr>
          <w:i/>
          <w:color w:val="000000" w:themeColor="text1"/>
          <w:szCs w:val="26"/>
        </w:rPr>
        <w:t xml:space="preserve">Id. </w:t>
      </w:r>
      <w:r w:rsidRPr="00BB37A6">
        <w:rPr>
          <w:iCs/>
          <w:color w:val="000000" w:themeColor="text1"/>
          <w:szCs w:val="26"/>
        </w:rPr>
        <w:t>at 23.)</w:t>
      </w:r>
    </w:p>
    <w:p w:rsidRPr="00BB37A6" w:rsidR="00B65F61" w:rsidP="00B65F61" w:rsidRDefault="00013703" w14:paraId="3BE2F9FA" w14:textId="74CF41D0">
      <w:pPr>
        <w:shd w:val="clear" w:color="auto" w:fill="FFFFFF"/>
        <w:tabs>
          <w:tab w:val="clear" w:pos="5040"/>
        </w:tabs>
        <w:spacing w:line="360" w:lineRule="auto"/>
        <w:ind w:firstLine="1440"/>
        <w:rPr>
          <w:iCs/>
          <w:color w:val="000000" w:themeColor="text1"/>
          <w:szCs w:val="26"/>
        </w:rPr>
      </w:pPr>
      <w:r w:rsidRPr="00BB37A6">
        <w:rPr>
          <w:iCs/>
          <w:color w:val="000000" w:themeColor="text1"/>
          <w:szCs w:val="26"/>
        </w:rPr>
        <w:t>In the alternative, PG&amp;E claims that even if these procedur</w:t>
      </w:r>
      <w:r w:rsidRPr="00BB37A6" w:rsidR="002443AD">
        <w:rPr>
          <w:iCs/>
          <w:color w:val="000000" w:themeColor="text1"/>
          <w:szCs w:val="26"/>
        </w:rPr>
        <w:t xml:space="preserve">es </w:t>
      </w:r>
      <w:r w:rsidRPr="00BB37A6">
        <w:rPr>
          <w:iCs/>
          <w:color w:val="000000" w:themeColor="text1"/>
          <w:szCs w:val="26"/>
        </w:rPr>
        <w:t>were manageable, the record shows “beyond any doubt” that Energy Safety would have denied any proposed changes.  (App. Rehg. at 23.)  As support, PG&amp;E notes TURN’s April 2022 comments submitted to Energy Safety raising concerns that the EVM program was not cost-effective, which Energy Safety implicitly rejected.  (</w:t>
      </w:r>
      <w:r w:rsidRPr="00BB37A6">
        <w:rPr>
          <w:i/>
          <w:color w:val="000000" w:themeColor="text1"/>
          <w:szCs w:val="26"/>
        </w:rPr>
        <w:t>Ibid.</w:t>
      </w:r>
      <w:r w:rsidRPr="00BB37A6">
        <w:rPr>
          <w:iCs/>
          <w:color w:val="000000" w:themeColor="text1"/>
          <w:szCs w:val="26"/>
        </w:rPr>
        <w:t xml:space="preserve">)  PG&amp;E concludes that </w:t>
      </w:r>
      <w:r w:rsidRPr="00BB37A6">
        <w:rPr>
          <w:iCs/>
          <w:color w:val="000000" w:themeColor="text1"/>
          <w:szCs w:val="26"/>
        </w:rPr>
        <w:lastRenderedPageBreak/>
        <w:t>Energy Safety’s failure to incorporate TURN’s comments means Energy Safety would have denied any request to change its EVM program.  (</w:t>
      </w:r>
      <w:r w:rsidRPr="00BB37A6">
        <w:rPr>
          <w:i/>
          <w:color w:val="000000" w:themeColor="text1"/>
          <w:szCs w:val="26"/>
        </w:rPr>
        <w:t>I</w:t>
      </w:r>
      <w:r w:rsidRPr="00BB37A6" w:rsidR="008911D7">
        <w:rPr>
          <w:i/>
          <w:color w:val="000000" w:themeColor="text1"/>
          <w:szCs w:val="26"/>
        </w:rPr>
        <w:t>bi</w:t>
      </w:r>
      <w:r w:rsidRPr="00BB37A6">
        <w:rPr>
          <w:i/>
          <w:color w:val="000000" w:themeColor="text1"/>
          <w:szCs w:val="26"/>
        </w:rPr>
        <w:t>d.</w:t>
      </w:r>
      <w:r w:rsidRPr="00BB37A6">
        <w:rPr>
          <w:iCs/>
          <w:color w:val="000000" w:themeColor="text1"/>
          <w:szCs w:val="26"/>
        </w:rPr>
        <w:t>)</w:t>
      </w:r>
    </w:p>
    <w:p w:rsidRPr="00BB37A6" w:rsidR="00B65F61" w:rsidP="00B65F61" w:rsidRDefault="00013703" w14:paraId="7694553B" w14:textId="6F09AFC4">
      <w:pPr>
        <w:shd w:val="clear" w:color="auto" w:fill="FFFFFF"/>
        <w:tabs>
          <w:tab w:val="clear" w:pos="5040"/>
        </w:tabs>
        <w:spacing w:line="360" w:lineRule="auto"/>
        <w:ind w:firstLine="1440"/>
        <w:rPr>
          <w:szCs w:val="26"/>
        </w:rPr>
      </w:pPr>
      <w:r w:rsidRPr="00BB37A6">
        <w:rPr>
          <w:iCs/>
          <w:color w:val="000000" w:themeColor="text1"/>
          <w:szCs w:val="26"/>
        </w:rPr>
        <w:t xml:space="preserve">PG&amp;E’s positions are flawed for several reasons.  Initially, </w:t>
      </w:r>
      <w:r w:rsidRPr="00BB37A6">
        <w:rPr>
          <w:color w:val="000000" w:themeColor="text1"/>
          <w:szCs w:val="26"/>
        </w:rPr>
        <w:t xml:space="preserve">PG&amp;E’s focus on Energy Safety’s procedures and possible determinations fails to recognize PG&amp;E’s imprudent conduct within this regulatory context.  PG&amp;E did not present evidence that it had </w:t>
      </w:r>
      <w:r w:rsidRPr="00BB37A6">
        <w:rPr>
          <w:i/>
          <w:iCs/>
          <w:color w:val="000000" w:themeColor="text1"/>
          <w:szCs w:val="26"/>
        </w:rPr>
        <w:t>any</w:t>
      </w:r>
      <w:r w:rsidRPr="00BB37A6">
        <w:rPr>
          <w:color w:val="000000" w:themeColor="text1"/>
          <w:szCs w:val="26"/>
        </w:rPr>
        <w:t xml:space="preserve"> communications with Energy Safety, whether formal or informal, about a potential change to the scope to its 2022 EVM program––even as PG&amp;E gained data on the program’s </w:t>
      </w:r>
      <w:r w:rsidRPr="00BB37A6" w:rsidR="00F86ECD">
        <w:rPr>
          <w:color w:val="000000" w:themeColor="text1"/>
          <w:szCs w:val="26"/>
        </w:rPr>
        <w:t>in</w:t>
      </w:r>
      <w:r w:rsidRPr="00BB37A6">
        <w:rPr>
          <w:color w:val="000000" w:themeColor="text1"/>
          <w:szCs w:val="26"/>
        </w:rPr>
        <w:t>effectiveness.  (See Decision at 65-66; TURN Response at 14.)</w:t>
      </w:r>
      <w:r w:rsidRPr="00BB37A6">
        <w:rPr>
          <w:iCs/>
          <w:color w:val="000000" w:themeColor="text1"/>
          <w:szCs w:val="26"/>
        </w:rPr>
        <w:t xml:space="preserve">  Moreover, </w:t>
      </w:r>
      <w:r w:rsidRPr="00BB37A6">
        <w:rPr>
          <w:color w:val="000000" w:themeColor="text1"/>
          <w:szCs w:val="26"/>
        </w:rPr>
        <w:t xml:space="preserve">PG&amp;E’s opinion that Energy Safety would have been unlikely to permit mid-cycle changes to its 2022 </w:t>
      </w:r>
      <w:r w:rsidRPr="00BB37A6" w:rsidR="00197EBB">
        <w:rPr>
          <w:color w:val="000000" w:themeColor="text1"/>
          <w:szCs w:val="26"/>
        </w:rPr>
        <w:t>U</w:t>
      </w:r>
      <w:r w:rsidRPr="00BB37A6">
        <w:rPr>
          <w:color w:val="000000" w:themeColor="text1"/>
          <w:szCs w:val="26"/>
        </w:rPr>
        <w:t xml:space="preserve">pdate does not excuse PG&amp;E’s failure to </w:t>
      </w:r>
      <w:proofErr w:type="gramStart"/>
      <w:r w:rsidRPr="00BB37A6">
        <w:rPr>
          <w:color w:val="000000" w:themeColor="text1"/>
          <w:szCs w:val="26"/>
        </w:rPr>
        <w:t>inquire as</w:t>
      </w:r>
      <w:proofErr w:type="gramEnd"/>
      <w:r w:rsidRPr="00BB37A6">
        <w:rPr>
          <w:color w:val="000000" w:themeColor="text1"/>
          <w:szCs w:val="26"/>
        </w:rPr>
        <w:t xml:space="preserve"> to this possibility or to make such an attempt.  Similarly, PG&amp;E presents no evidence that it inquired about the appropriateness of Energy Safety’s change order process even though the Change Order Guidelines provide that “[i]f an electrical corporation is unsure whether a proposed change meets these criteria [for a change order], it is encouraged to submit an advance inquiry to Energy Safety on the matter via email at</w:t>
      </w:r>
      <w:r w:rsidRPr="00BB37A6" w:rsidR="00B65F61">
        <w:rPr>
          <w:color w:val="000000" w:themeColor="text1"/>
          <w:szCs w:val="26"/>
        </w:rPr>
        <w:t xml:space="preserve"> </w:t>
      </w:r>
      <w:hyperlink w:history="1" r:id="rId13">
        <w:r w:rsidRPr="00BB37A6" w:rsidR="00B65F61">
          <w:rPr>
            <w:rStyle w:val="Hyperlink"/>
            <w:szCs w:val="26"/>
          </w:rPr>
          <w:t>safetypolicy@energysafety.ca.gov</w:t>
        </w:r>
      </w:hyperlink>
      <w:r w:rsidRPr="00BB37A6">
        <w:rPr>
          <w:color w:val="000000" w:themeColor="text1"/>
          <w:szCs w:val="26"/>
        </w:rPr>
        <w:t>.”  (November 2022 Change Order Guidelines; see Decision at 65-66.)</w:t>
      </w:r>
    </w:p>
    <w:p w:rsidRPr="00BB37A6" w:rsidR="00013703" w:rsidP="00B65F61" w:rsidRDefault="00013703" w14:paraId="6D886009" w14:textId="2E7836A7">
      <w:pPr>
        <w:shd w:val="clear" w:color="auto" w:fill="FFFFFF"/>
        <w:tabs>
          <w:tab w:val="clear" w:pos="5040"/>
        </w:tabs>
        <w:spacing w:line="360" w:lineRule="auto"/>
        <w:ind w:firstLine="1440"/>
        <w:rPr>
          <w:szCs w:val="26"/>
        </w:rPr>
      </w:pPr>
      <w:r w:rsidRPr="00BB37A6">
        <w:rPr>
          <w:color w:val="000000" w:themeColor="text1"/>
          <w:szCs w:val="26"/>
        </w:rPr>
        <w:t>In addition, the criteria for a change order are not as narrow as PG&amp;E contends.  PG&amp;E is correct that the guidelines state that “[e]lectrical corporations should also not request approval for a fundamental change in strategy, as such a change may be too substantive for the change order process.”  (November 2022 Change Order Guidelines at 3.)  But PG&amp;E ignores that the guidelines also provide that a change order is appropriate for a “significant change</w:t>
      </w:r>
      <w:r w:rsidRPr="00BB37A6" w:rsidR="00A533C8">
        <w:rPr>
          <w:color w:val="000000" w:themeColor="text1"/>
          <w:szCs w:val="26"/>
        </w:rPr>
        <w:t>s related to</w:t>
      </w:r>
      <w:r w:rsidRPr="00BB37A6">
        <w:rPr>
          <w:color w:val="000000" w:themeColor="text1"/>
          <w:szCs w:val="26"/>
        </w:rPr>
        <w:t>” to a mitigation measure or changes that “substantially alter the course” of a mitigation plan.  (</w:t>
      </w:r>
      <w:r w:rsidRPr="00BB37A6">
        <w:rPr>
          <w:i/>
          <w:color w:val="000000" w:themeColor="text1"/>
          <w:szCs w:val="26"/>
        </w:rPr>
        <w:t xml:space="preserve">Id. </w:t>
      </w:r>
      <w:r w:rsidRPr="00BB37A6">
        <w:rPr>
          <w:iCs/>
          <w:color w:val="000000" w:themeColor="text1"/>
          <w:szCs w:val="26"/>
        </w:rPr>
        <w:t>at 1, 2.)</w:t>
      </w:r>
      <w:r w:rsidRPr="00BB37A6">
        <w:rPr>
          <w:color w:val="000000" w:themeColor="text1"/>
          <w:szCs w:val="26"/>
        </w:rPr>
        <w:t xml:space="preserve">  </w:t>
      </w:r>
      <w:r w:rsidRPr="00BB37A6">
        <w:rPr>
          <w:iCs/>
          <w:color w:val="000000" w:themeColor="text1"/>
          <w:szCs w:val="26"/>
        </w:rPr>
        <w:t xml:space="preserve">Importantly, a change in an initiative’s target, such as the 1,800 miles for the EVM program, appears to fall squarely within the change order process.  (See </w:t>
      </w:r>
      <w:r w:rsidRPr="00BB37A6">
        <w:rPr>
          <w:i/>
          <w:color w:val="000000" w:themeColor="text1"/>
          <w:szCs w:val="26"/>
        </w:rPr>
        <w:t xml:space="preserve">id. </w:t>
      </w:r>
      <w:r w:rsidRPr="00BB37A6">
        <w:rPr>
          <w:iCs/>
          <w:color w:val="000000" w:themeColor="text1"/>
          <w:szCs w:val="26"/>
        </w:rPr>
        <w:t xml:space="preserve">at 4-5 [listing requirements for change orders that meet the mandated criteria].)  Even assuming that appropriateness of a change order request was unclear, PG&amp;E should have at least considered the viability of </w:t>
      </w:r>
      <w:r w:rsidRPr="00BB37A6">
        <w:rPr>
          <w:iCs/>
          <w:color w:val="000000" w:themeColor="text1"/>
          <w:szCs w:val="26"/>
        </w:rPr>
        <w:lastRenderedPageBreak/>
        <w:t xml:space="preserve">this option, for example contacting Energy Safety informally to this end, in light of what PG&amp;E knew in October 2022. </w:t>
      </w:r>
    </w:p>
    <w:p w:rsidRPr="00BB37A6" w:rsidR="0088628C" w:rsidP="00B65F61" w:rsidRDefault="00013703" w14:paraId="3A7EFF94" w14:textId="1EB2361D">
      <w:pPr>
        <w:shd w:val="clear" w:color="auto" w:fill="FFFFFF"/>
        <w:tabs>
          <w:tab w:val="clear" w:pos="5040"/>
        </w:tabs>
        <w:spacing w:line="360" w:lineRule="auto"/>
        <w:ind w:firstLine="1440"/>
        <w:rPr>
          <w:szCs w:val="26"/>
        </w:rPr>
      </w:pPr>
      <w:r w:rsidRPr="00BB37A6">
        <w:rPr>
          <w:iCs/>
          <w:color w:val="000000" w:themeColor="text1"/>
          <w:szCs w:val="26"/>
        </w:rPr>
        <w:t xml:space="preserve">Finally, </w:t>
      </w:r>
      <w:r w:rsidRPr="00BB37A6">
        <w:rPr>
          <w:color w:val="000000" w:themeColor="text1"/>
          <w:szCs w:val="26"/>
        </w:rPr>
        <w:t>PG&amp;E’s argument rests on speculation as to what Energy Safety might have decided had PG&amp;E submitted a change order request.  A utility may seek a change order “as it gains experience and measures its mitigation measure outcomes” and “based on an updated understanding of risk.”  (November Change Order Guidelines at 2.)  Thus, requests are based on information that a utility has over time, not the information Energy Safety had at the time it reviewed and approved a proposed WMP.  And the record shows that PG&amp;E’s</w:t>
      </w:r>
      <w:r w:rsidRPr="00BB37A6">
        <w:rPr>
          <w:i/>
          <w:iCs/>
          <w:color w:val="000000" w:themeColor="text1"/>
          <w:szCs w:val="26"/>
        </w:rPr>
        <w:t xml:space="preserve"> </w:t>
      </w:r>
      <w:r w:rsidRPr="00BB37A6">
        <w:rPr>
          <w:color w:val="000000" w:themeColor="text1"/>
          <w:szCs w:val="26"/>
        </w:rPr>
        <w:t xml:space="preserve">understanding of its EVM program evolved, including its August 2022 “EVM Effectiveness Analysis” showing that EVM failed to reduce ignitions, outages, and tree failures in a statistically significant way and its decision to end the EVM program, as announced in October 2022.  </w:t>
      </w:r>
      <w:r w:rsidRPr="00BB37A6" w:rsidR="006C7C50">
        <w:rPr>
          <w:color w:val="000000" w:themeColor="text1"/>
          <w:szCs w:val="26"/>
        </w:rPr>
        <w:t>(</w:t>
      </w:r>
      <w:r w:rsidRPr="00BB37A6" w:rsidR="006C7C50">
        <w:rPr>
          <w:szCs w:val="26"/>
        </w:rPr>
        <w:t xml:space="preserve">Exh. TURN-01-Atch01-E at 14-24 [PG&amp;E Presentation, “Vegetation Management – 2023 Proposed Plan: OEIS and CPUC Update, October 2022”].)  </w:t>
      </w:r>
      <w:r w:rsidRPr="00BB37A6">
        <w:rPr>
          <w:color w:val="000000" w:themeColor="text1"/>
          <w:szCs w:val="26"/>
        </w:rPr>
        <w:t>In addition, as TURN showcases, Energy Safety did not order PG&amp;E to implement the EVM program absent further examination or reflection.  (TURN Response at 9-11; see D.26-01-021 at 172 [“In evaluating a utility’s WMP, OEIS considers the areas where the electrical corporation must improve, as well as the progress it plans to achieve in its areas of strength.”].)  Under these circumstances, a prudent manager would not have speculated as to Energy Safety’s decision-making and instead would have inquired with the agency.</w:t>
      </w:r>
    </w:p>
    <w:p w:rsidRPr="00BB37A6" w:rsidR="0088628C" w:rsidP="00BF3792" w:rsidRDefault="0088628C" w14:paraId="351FB6F8" w14:textId="240500A5">
      <w:pPr>
        <w:pStyle w:val="Heading2"/>
        <w:ind w:left="1440"/>
        <w:rPr>
          <w:color w:val="000000" w:themeColor="text1"/>
          <w:szCs w:val="26"/>
        </w:rPr>
      </w:pPr>
      <w:r w:rsidRPr="00BB37A6">
        <w:rPr>
          <w:szCs w:val="26"/>
        </w:rPr>
        <w:t xml:space="preserve">The </w:t>
      </w:r>
      <w:r w:rsidRPr="00BB37A6" w:rsidR="00B65F61">
        <w:rPr>
          <w:szCs w:val="26"/>
        </w:rPr>
        <w:t>Decision does not constitute an unconstitutional taking of PG&amp;E’s property</w:t>
      </w:r>
      <w:r w:rsidRPr="00BB37A6">
        <w:rPr>
          <w:szCs w:val="26"/>
        </w:rPr>
        <w:t xml:space="preserve">. </w:t>
      </w:r>
    </w:p>
    <w:p w:rsidRPr="00BB37A6" w:rsidR="00B65F61" w:rsidP="00DD5FF2" w:rsidRDefault="00B65F61" w14:paraId="7BDFE42C" w14:textId="551239D6">
      <w:pPr>
        <w:pStyle w:val="BodyText"/>
        <w:ind w:firstLine="1440"/>
        <w:rPr>
          <w:szCs w:val="26"/>
        </w:rPr>
      </w:pPr>
      <w:r w:rsidRPr="00BB37A6">
        <w:rPr>
          <w:szCs w:val="26"/>
        </w:rPr>
        <w:t>PG&amp;E claims that the Decision’s denial of a portion of its EVM program costs constitutes a</w:t>
      </w:r>
      <w:r w:rsidRPr="00BB37A6" w:rsidR="006567C0">
        <w:rPr>
          <w:szCs w:val="26"/>
        </w:rPr>
        <w:t>n unconstitutional</w:t>
      </w:r>
      <w:r w:rsidRPr="00BB37A6">
        <w:rPr>
          <w:szCs w:val="26"/>
        </w:rPr>
        <w:t xml:space="preserve"> taking of its property.  (App. Rehg. at 24-29.)  PG&amp;E further argues that the takings analysis from </w:t>
      </w:r>
      <w:r w:rsidRPr="00BB37A6">
        <w:rPr>
          <w:i/>
          <w:iCs/>
          <w:szCs w:val="26"/>
        </w:rPr>
        <w:t>Penn Central Transportation Co v. New York City</w:t>
      </w:r>
      <w:r w:rsidRPr="00BB37A6">
        <w:rPr>
          <w:szCs w:val="26"/>
        </w:rPr>
        <w:t xml:space="preserve"> (1978) 438 U.S. 104 (</w:t>
      </w:r>
      <w:r w:rsidRPr="00BB37A6">
        <w:rPr>
          <w:i/>
          <w:iCs/>
          <w:szCs w:val="26"/>
        </w:rPr>
        <w:t>Penn Central</w:t>
      </w:r>
      <w:r w:rsidRPr="00BB37A6">
        <w:rPr>
          <w:szCs w:val="26"/>
        </w:rPr>
        <w:t xml:space="preserve">), </w:t>
      </w:r>
      <w:r w:rsidRPr="00BB37A6" w:rsidR="007E4758">
        <w:rPr>
          <w:szCs w:val="26"/>
        </w:rPr>
        <w:t xml:space="preserve">which </w:t>
      </w:r>
      <w:r w:rsidRPr="00BB37A6" w:rsidR="00723486">
        <w:rPr>
          <w:szCs w:val="26"/>
        </w:rPr>
        <w:t xml:space="preserve">in </w:t>
      </w:r>
      <w:r w:rsidRPr="00BB37A6" w:rsidR="00761B66">
        <w:rPr>
          <w:szCs w:val="26"/>
        </w:rPr>
        <w:t>part</w:t>
      </w:r>
      <w:r w:rsidRPr="00BB37A6" w:rsidR="00723486">
        <w:rPr>
          <w:szCs w:val="26"/>
        </w:rPr>
        <w:t xml:space="preserve"> </w:t>
      </w:r>
      <w:r w:rsidRPr="00BB37A6" w:rsidR="00393388">
        <w:rPr>
          <w:szCs w:val="26"/>
        </w:rPr>
        <w:t>assesses the</w:t>
      </w:r>
      <w:r w:rsidRPr="00BB37A6" w:rsidR="000B304A">
        <w:rPr>
          <w:szCs w:val="26"/>
        </w:rPr>
        <w:t xml:space="preserve"> economic impact</w:t>
      </w:r>
      <w:r w:rsidRPr="00BB37A6" w:rsidR="00263DDC">
        <w:rPr>
          <w:szCs w:val="26"/>
        </w:rPr>
        <w:t xml:space="preserve"> of a regulation</w:t>
      </w:r>
      <w:r w:rsidRPr="00BB37A6" w:rsidR="00393388">
        <w:rPr>
          <w:szCs w:val="26"/>
        </w:rPr>
        <w:t>,</w:t>
      </w:r>
      <w:r w:rsidRPr="00BB37A6" w:rsidR="00DC3137">
        <w:rPr>
          <w:szCs w:val="26"/>
        </w:rPr>
        <w:t xml:space="preserve"> should apply</w:t>
      </w:r>
      <w:r w:rsidRPr="00BB37A6" w:rsidR="006B1AE8">
        <w:rPr>
          <w:szCs w:val="26"/>
        </w:rPr>
        <w:t xml:space="preserve"> instead o</w:t>
      </w:r>
      <w:r w:rsidRPr="00BB37A6" w:rsidR="005F098A">
        <w:rPr>
          <w:szCs w:val="26"/>
        </w:rPr>
        <w:t>f</w:t>
      </w:r>
      <w:r w:rsidRPr="00BB37A6" w:rsidR="00EA646A">
        <w:rPr>
          <w:szCs w:val="26"/>
        </w:rPr>
        <w:t xml:space="preserve"> cases like</w:t>
      </w:r>
      <w:r w:rsidRPr="00BB37A6">
        <w:rPr>
          <w:szCs w:val="26"/>
        </w:rPr>
        <w:t xml:space="preserve"> </w:t>
      </w:r>
      <w:r w:rsidRPr="00BB37A6">
        <w:rPr>
          <w:i/>
          <w:iCs/>
          <w:szCs w:val="26"/>
        </w:rPr>
        <w:t>Duquesne Light Co. v. Barasch</w:t>
      </w:r>
      <w:r w:rsidRPr="00BB37A6">
        <w:rPr>
          <w:szCs w:val="26"/>
        </w:rPr>
        <w:t xml:space="preserve"> (1989) 488 U.S. 299 (</w:t>
      </w:r>
      <w:r w:rsidRPr="00BB37A6">
        <w:rPr>
          <w:i/>
          <w:iCs/>
          <w:szCs w:val="26"/>
        </w:rPr>
        <w:t>Duquesne</w:t>
      </w:r>
      <w:r w:rsidRPr="00BB37A6">
        <w:rPr>
          <w:szCs w:val="26"/>
        </w:rPr>
        <w:t xml:space="preserve">), </w:t>
      </w:r>
      <w:r w:rsidRPr="00BB37A6" w:rsidR="001B7275">
        <w:rPr>
          <w:szCs w:val="26"/>
        </w:rPr>
        <w:t>which examine whether the total effect of a rate order is just and reasonable</w:t>
      </w:r>
      <w:r w:rsidRPr="00BB37A6">
        <w:rPr>
          <w:szCs w:val="26"/>
        </w:rPr>
        <w:t>.  (</w:t>
      </w:r>
      <w:r w:rsidRPr="00BB37A6">
        <w:rPr>
          <w:i/>
          <w:iCs/>
          <w:szCs w:val="26"/>
        </w:rPr>
        <w:t xml:space="preserve">Id. </w:t>
      </w:r>
      <w:r w:rsidRPr="00BB37A6">
        <w:rPr>
          <w:szCs w:val="26"/>
        </w:rPr>
        <w:t>at 26-29.)  Finally, PG&amp;E</w:t>
      </w:r>
      <w:r w:rsidRPr="00BB37A6" w:rsidR="00DD5FF2">
        <w:rPr>
          <w:szCs w:val="26"/>
        </w:rPr>
        <w:t xml:space="preserve"> contends</w:t>
      </w:r>
      <w:r w:rsidRPr="00BB37A6">
        <w:rPr>
          <w:szCs w:val="26"/>
        </w:rPr>
        <w:t xml:space="preserve"> that each </w:t>
      </w:r>
      <w:r w:rsidRPr="00BB37A6">
        <w:rPr>
          <w:i/>
          <w:iCs/>
          <w:szCs w:val="26"/>
        </w:rPr>
        <w:t xml:space="preserve">Penn Central </w:t>
      </w:r>
      <w:r w:rsidRPr="00BB37A6">
        <w:rPr>
          <w:szCs w:val="26"/>
        </w:rPr>
        <w:lastRenderedPageBreak/>
        <w:t>factor weighs in favor of finding a taking occurred.  (</w:t>
      </w:r>
      <w:r w:rsidRPr="00BB37A6">
        <w:rPr>
          <w:i/>
          <w:iCs/>
          <w:szCs w:val="26"/>
        </w:rPr>
        <w:t xml:space="preserve">Id. </w:t>
      </w:r>
      <w:r w:rsidRPr="00BB37A6">
        <w:rPr>
          <w:szCs w:val="26"/>
        </w:rPr>
        <w:t>at 28-29.)  Each claim is discussed in more detail and dismissed below</w:t>
      </w:r>
      <w:r w:rsidRPr="00BB37A6" w:rsidR="00DD5FF2">
        <w:rPr>
          <w:szCs w:val="26"/>
        </w:rPr>
        <w:t>.</w:t>
      </w:r>
    </w:p>
    <w:p w:rsidRPr="00BB37A6" w:rsidR="00B65F61" w:rsidP="00B65F61" w:rsidRDefault="00B65F61" w14:paraId="574173C1" w14:textId="6FCD5549">
      <w:pPr>
        <w:pStyle w:val="Heading3"/>
        <w:tabs>
          <w:tab w:val="clear" w:pos="2160"/>
        </w:tabs>
        <w:spacing w:before="0"/>
        <w:rPr>
          <w:szCs w:val="26"/>
        </w:rPr>
      </w:pPr>
      <w:r w:rsidRPr="00BB37A6">
        <w:rPr>
          <w:bCs/>
          <w:szCs w:val="26"/>
        </w:rPr>
        <w:t xml:space="preserve">PG&amp;E </w:t>
      </w:r>
      <w:r w:rsidRPr="00BB37A6" w:rsidR="00352C08">
        <w:rPr>
          <w:bCs/>
          <w:szCs w:val="26"/>
        </w:rPr>
        <w:t xml:space="preserve">fails to show that </w:t>
      </w:r>
      <w:r w:rsidRPr="00BB37A6" w:rsidR="00352C08">
        <w:rPr>
          <w:bCs/>
          <w:i/>
          <w:iCs/>
          <w:szCs w:val="26"/>
        </w:rPr>
        <w:t xml:space="preserve">Duquesne </w:t>
      </w:r>
      <w:r w:rsidRPr="00BB37A6" w:rsidR="00352C08">
        <w:rPr>
          <w:bCs/>
          <w:szCs w:val="26"/>
        </w:rPr>
        <w:t>should not apply</w:t>
      </w:r>
      <w:r w:rsidRPr="00BB37A6">
        <w:rPr>
          <w:szCs w:val="26"/>
        </w:rPr>
        <w:t>.</w:t>
      </w:r>
    </w:p>
    <w:p w:rsidRPr="00BB37A6" w:rsidR="00B5216A" w:rsidP="00B5216A" w:rsidRDefault="00352C08" w14:paraId="02B9BFF6" w14:textId="12342312">
      <w:pPr>
        <w:pStyle w:val="BodyText"/>
        <w:ind w:firstLine="1440"/>
        <w:rPr>
          <w:szCs w:val="26"/>
        </w:rPr>
      </w:pPr>
      <w:r w:rsidRPr="00BB37A6">
        <w:rPr>
          <w:szCs w:val="26"/>
        </w:rPr>
        <w:t xml:space="preserve">PG&amp;E claims that </w:t>
      </w:r>
      <w:r w:rsidRPr="00BB37A6">
        <w:rPr>
          <w:i/>
          <w:iCs/>
          <w:szCs w:val="26"/>
        </w:rPr>
        <w:t xml:space="preserve">Duquesne </w:t>
      </w:r>
      <w:r w:rsidRPr="00BB37A6">
        <w:rPr>
          <w:szCs w:val="26"/>
        </w:rPr>
        <w:t xml:space="preserve">should not apply here because: (1) PG&amp;E’s </w:t>
      </w:r>
      <w:r w:rsidRPr="00BB37A6" w:rsidR="005F773E">
        <w:rPr>
          <w:szCs w:val="26"/>
        </w:rPr>
        <w:t xml:space="preserve">costs </w:t>
      </w:r>
      <w:r w:rsidRPr="00BB37A6">
        <w:rPr>
          <w:szCs w:val="26"/>
        </w:rPr>
        <w:t xml:space="preserve">were incurred to fulfill EVM work mandated by Energy Safety; and (2) the Decision’s disallowance occurred piecemeal in a discrete ratemaking proceeding whereas </w:t>
      </w:r>
      <w:r w:rsidRPr="00BB37A6">
        <w:rPr>
          <w:i/>
          <w:iCs/>
          <w:szCs w:val="26"/>
        </w:rPr>
        <w:t xml:space="preserve">Duquesne </w:t>
      </w:r>
      <w:r w:rsidRPr="00BB37A6">
        <w:rPr>
          <w:szCs w:val="26"/>
        </w:rPr>
        <w:t xml:space="preserve">applies to general ratemaking.  (App. Rehg. at 24-28.)  According to PG&amp;E, under these circumstances </w:t>
      </w:r>
      <w:r w:rsidRPr="00BB37A6">
        <w:rPr>
          <w:i/>
          <w:iCs/>
          <w:szCs w:val="26"/>
        </w:rPr>
        <w:t xml:space="preserve">Penn Central </w:t>
      </w:r>
      <w:r w:rsidRPr="00BB37A6">
        <w:rPr>
          <w:szCs w:val="26"/>
        </w:rPr>
        <w:t>provides the appropriate takings framework.  (</w:t>
      </w:r>
      <w:r w:rsidRPr="00BB37A6">
        <w:rPr>
          <w:i/>
          <w:iCs/>
          <w:szCs w:val="26"/>
        </w:rPr>
        <w:t xml:space="preserve">Id. </w:t>
      </w:r>
      <w:r w:rsidRPr="00BB37A6">
        <w:rPr>
          <w:szCs w:val="26"/>
        </w:rPr>
        <w:t>at 28-29.)</w:t>
      </w:r>
      <w:r w:rsidRPr="00BB37A6" w:rsidR="00B5216A">
        <w:rPr>
          <w:szCs w:val="26"/>
        </w:rPr>
        <w:t xml:space="preserve">  Relatedly, PG&amp;E does not analyze whether the fact</w:t>
      </w:r>
      <w:r w:rsidRPr="00BB37A6" w:rsidR="002433EA">
        <w:rPr>
          <w:szCs w:val="26"/>
        </w:rPr>
        <w:t>s</w:t>
      </w:r>
      <w:r w:rsidRPr="00BB37A6" w:rsidR="00B5216A">
        <w:rPr>
          <w:szCs w:val="26"/>
        </w:rPr>
        <w:t xml:space="preserve"> of this case amount to a taking under the </w:t>
      </w:r>
      <w:r w:rsidRPr="00BB37A6" w:rsidR="002433EA">
        <w:rPr>
          <w:szCs w:val="26"/>
        </w:rPr>
        <w:t xml:space="preserve">well-established </w:t>
      </w:r>
      <w:r w:rsidRPr="00BB37A6" w:rsidR="00B5216A">
        <w:rPr>
          <w:szCs w:val="26"/>
        </w:rPr>
        <w:t xml:space="preserve">framework set forth in </w:t>
      </w:r>
      <w:r w:rsidRPr="00BB37A6" w:rsidR="00B5216A">
        <w:rPr>
          <w:i/>
          <w:iCs/>
          <w:szCs w:val="26"/>
        </w:rPr>
        <w:t>Duquesne</w:t>
      </w:r>
      <w:r w:rsidRPr="00BB37A6" w:rsidR="00B5216A">
        <w:rPr>
          <w:szCs w:val="26"/>
        </w:rPr>
        <w:t>.</w:t>
      </w:r>
    </w:p>
    <w:p w:rsidRPr="00BB37A6" w:rsidR="002243BD" w:rsidP="002243BD" w:rsidRDefault="00352C08" w14:paraId="1D804D1A" w14:textId="77777777">
      <w:pPr>
        <w:pStyle w:val="BodyText"/>
        <w:ind w:firstLine="1440"/>
        <w:rPr>
          <w:szCs w:val="26"/>
        </w:rPr>
      </w:pPr>
      <w:r w:rsidRPr="00BB37A6">
        <w:rPr>
          <w:i/>
          <w:iCs/>
          <w:szCs w:val="26"/>
        </w:rPr>
        <w:t xml:space="preserve">Bluefield Water Works &amp; Improvement Co. v. Public Service Commission of West Virginia </w:t>
      </w:r>
      <w:r w:rsidRPr="00BB37A6">
        <w:rPr>
          <w:szCs w:val="26"/>
        </w:rPr>
        <w:t xml:space="preserve">(1923) 262 U.S. 679, </w:t>
      </w:r>
      <w:r w:rsidRPr="00BB37A6">
        <w:rPr>
          <w:i/>
          <w:iCs/>
          <w:szCs w:val="26"/>
        </w:rPr>
        <w:t>Federal Power Com. v. Hope Natural Gas</w:t>
      </w:r>
      <w:r w:rsidRPr="00BB37A6">
        <w:rPr>
          <w:szCs w:val="26"/>
        </w:rPr>
        <w:t xml:space="preserve"> (1944) 320 U.S. 591 (</w:t>
      </w:r>
      <w:r w:rsidRPr="00BB37A6">
        <w:rPr>
          <w:i/>
          <w:iCs/>
          <w:szCs w:val="26"/>
        </w:rPr>
        <w:t>Hope</w:t>
      </w:r>
      <w:r w:rsidRPr="00BB37A6">
        <w:rPr>
          <w:szCs w:val="26"/>
        </w:rPr>
        <w:t xml:space="preserve">), and </w:t>
      </w:r>
      <w:r w:rsidRPr="00BB37A6">
        <w:rPr>
          <w:i/>
          <w:iCs/>
          <w:szCs w:val="26"/>
        </w:rPr>
        <w:t>Duquesne</w:t>
      </w:r>
      <w:r w:rsidRPr="00BB37A6">
        <w:rPr>
          <w:szCs w:val="26"/>
        </w:rPr>
        <w:t xml:space="preserve"> are seminal cases that outline the key considerations for determining whether utility rates effect an unconstitutional taking under the Fifth Amendment of the U.S. Constitution.  Under these cases, a taking does not occur unless a rate is unjust and unreasonable, and whether a rate is just and reasonable depends on balancing the interests of the regulated entity and the public.  (</w:t>
      </w:r>
      <w:r w:rsidRPr="00BB37A6">
        <w:rPr>
          <w:i/>
          <w:szCs w:val="26"/>
        </w:rPr>
        <w:t>Duquesne</w:t>
      </w:r>
      <w:r w:rsidRPr="00BB37A6">
        <w:rPr>
          <w:szCs w:val="26"/>
        </w:rPr>
        <w:t xml:space="preserve">, </w:t>
      </w:r>
      <w:r w:rsidRPr="00BB37A6">
        <w:rPr>
          <w:i/>
          <w:iCs/>
          <w:szCs w:val="26"/>
        </w:rPr>
        <w:t>supra,</w:t>
      </w:r>
      <w:r w:rsidRPr="00BB37A6">
        <w:rPr>
          <w:szCs w:val="26"/>
        </w:rPr>
        <w:t xml:space="preserve"> 488 U.S. at 307-308, 316.)  In balancing those interests, the “Constitution within broad limits leaves the States free to decide what ratesetting methodology best meets their needs.”  (</w:t>
      </w:r>
      <w:r w:rsidRPr="00BB37A6">
        <w:rPr>
          <w:i/>
          <w:szCs w:val="26"/>
        </w:rPr>
        <w:t>Id.</w:t>
      </w:r>
      <w:r w:rsidRPr="00BB37A6">
        <w:rPr>
          <w:iCs/>
          <w:szCs w:val="26"/>
        </w:rPr>
        <w:t xml:space="preserve"> </w:t>
      </w:r>
      <w:r w:rsidRPr="00BB37A6">
        <w:rPr>
          <w:szCs w:val="26"/>
        </w:rPr>
        <w:t>at 316.)  “If the total effect of the rate order cannot be said to be unjust and unreasonable, judicial inquiry . . . is at an end.”  (</w:t>
      </w:r>
      <w:r w:rsidRPr="00BB37A6">
        <w:rPr>
          <w:i/>
          <w:szCs w:val="26"/>
        </w:rPr>
        <w:t>Hope</w:t>
      </w:r>
      <w:r w:rsidRPr="00BB37A6">
        <w:rPr>
          <w:szCs w:val="26"/>
        </w:rPr>
        <w:t xml:space="preserve">, </w:t>
      </w:r>
      <w:r w:rsidRPr="00BB37A6">
        <w:rPr>
          <w:i/>
          <w:iCs/>
          <w:szCs w:val="26"/>
        </w:rPr>
        <w:t xml:space="preserve">supra, </w:t>
      </w:r>
      <w:r w:rsidRPr="00BB37A6">
        <w:rPr>
          <w:szCs w:val="26"/>
        </w:rPr>
        <w:t>320 U.S. at 602.)  “Rates which enable the company to operate successfully, to maintain its financial integrity, to attract capital, and to compensate its investors for the risks assumed certainly cannot be condemned as invalid, even though they might produce only a meager return.”  (</w:t>
      </w:r>
      <w:r w:rsidRPr="00BB37A6">
        <w:rPr>
          <w:i/>
          <w:iCs/>
          <w:szCs w:val="26"/>
        </w:rPr>
        <w:t>Id.</w:t>
      </w:r>
      <w:r w:rsidRPr="00BB37A6">
        <w:rPr>
          <w:szCs w:val="26"/>
        </w:rPr>
        <w:t xml:space="preserve"> at 605.)</w:t>
      </w:r>
    </w:p>
    <w:p w:rsidRPr="00BB37A6" w:rsidR="002243BD" w:rsidP="002243BD" w:rsidRDefault="00352C08" w14:paraId="6A590D1B" w14:textId="4EBC6A98">
      <w:pPr>
        <w:pStyle w:val="BodyText"/>
        <w:ind w:firstLine="1440"/>
        <w:rPr>
          <w:szCs w:val="26"/>
        </w:rPr>
      </w:pPr>
      <w:r w:rsidRPr="00BB37A6">
        <w:rPr>
          <w:szCs w:val="26"/>
        </w:rPr>
        <w:t xml:space="preserve">PG&amp;E fails to provide a compelling reason to invalidate deeply rooted takings jurisprudence.  Initially, and regardless of its theory, PG&amp;E lacks the necessary property interest to state </w:t>
      </w:r>
      <w:proofErr w:type="gramStart"/>
      <w:r w:rsidRPr="00BB37A6">
        <w:rPr>
          <w:szCs w:val="26"/>
        </w:rPr>
        <w:t>a valid takings</w:t>
      </w:r>
      <w:proofErr w:type="gramEnd"/>
      <w:r w:rsidRPr="00BB37A6">
        <w:rPr>
          <w:szCs w:val="26"/>
        </w:rPr>
        <w:t xml:space="preserve"> claim.  The Decision disallowed unreasonable </w:t>
      </w:r>
      <w:r w:rsidRPr="00BB37A6">
        <w:rPr>
          <w:szCs w:val="26"/>
        </w:rPr>
        <w:lastRenderedPageBreak/>
        <w:t xml:space="preserve">costs, and PG&amp;E does not have a recognizable property interest in these costs to support </w:t>
      </w:r>
      <w:proofErr w:type="gramStart"/>
      <w:r w:rsidRPr="00BB37A6">
        <w:rPr>
          <w:szCs w:val="26"/>
        </w:rPr>
        <w:t>a takings</w:t>
      </w:r>
      <w:proofErr w:type="gramEnd"/>
      <w:r w:rsidRPr="00BB37A6">
        <w:rPr>
          <w:szCs w:val="26"/>
        </w:rPr>
        <w:t xml:space="preserve"> claim.  (§ 451; </w:t>
      </w:r>
      <w:r w:rsidRPr="00BB37A6">
        <w:rPr>
          <w:i/>
          <w:iCs/>
          <w:szCs w:val="26"/>
        </w:rPr>
        <w:t xml:space="preserve">Bronco Wine Co. v. Jolly </w:t>
      </w:r>
      <w:r w:rsidRPr="00BB37A6">
        <w:rPr>
          <w:szCs w:val="26"/>
        </w:rPr>
        <w:t>(2005) 129 Cal.App.4th 988, 1030 [property interests are not created by the Constitution and instead stem from independent sources such as state laws].)  Without a valid property interest, PG&amp;E</w:t>
      </w:r>
      <w:r w:rsidRPr="00BB37A6" w:rsidR="00F234AC">
        <w:rPr>
          <w:szCs w:val="26"/>
        </w:rPr>
        <w:t xml:space="preserve"> </w:t>
      </w:r>
      <w:r w:rsidRPr="00BB37A6">
        <w:rPr>
          <w:szCs w:val="26"/>
        </w:rPr>
        <w:t xml:space="preserve">fails to state </w:t>
      </w:r>
      <w:proofErr w:type="gramStart"/>
      <w:r w:rsidRPr="00BB37A6">
        <w:rPr>
          <w:szCs w:val="26"/>
        </w:rPr>
        <w:t>a cognizable takings</w:t>
      </w:r>
      <w:proofErr w:type="gramEnd"/>
      <w:r w:rsidRPr="00BB37A6">
        <w:rPr>
          <w:szCs w:val="26"/>
        </w:rPr>
        <w:t xml:space="preserve"> claim.  (</w:t>
      </w:r>
      <w:r w:rsidRPr="00BB37A6">
        <w:rPr>
          <w:i/>
          <w:iCs/>
          <w:szCs w:val="26"/>
        </w:rPr>
        <w:t>Ibid.</w:t>
      </w:r>
      <w:r w:rsidRPr="00BB37A6">
        <w:rPr>
          <w:szCs w:val="26"/>
        </w:rPr>
        <w:t xml:space="preserve">)  Relatedly, PG&amp;E’s argument is based on the faulty premise that its 2022 Update forced it to implement the </w:t>
      </w:r>
      <w:r w:rsidRPr="00BB37A6" w:rsidR="00CB19AE">
        <w:rPr>
          <w:szCs w:val="26"/>
        </w:rPr>
        <w:t>EVM</w:t>
      </w:r>
      <w:r w:rsidRPr="00BB37A6">
        <w:rPr>
          <w:szCs w:val="26"/>
        </w:rPr>
        <w:t xml:space="preserve"> work exactly as it did, failing to recognize where it had flexibility to make changes and regulatory processes to pursue changes.  </w:t>
      </w:r>
      <w:r w:rsidRPr="00BB37A6" w:rsidR="0056240A">
        <w:rPr>
          <w:szCs w:val="26"/>
        </w:rPr>
        <w:t xml:space="preserve">In addition, although this proceeding is not a general rate case, the core principle from </w:t>
      </w:r>
      <w:r w:rsidRPr="00BB37A6" w:rsidR="0056240A">
        <w:rPr>
          <w:i/>
          <w:iCs/>
          <w:szCs w:val="26"/>
        </w:rPr>
        <w:t xml:space="preserve">Duquesne </w:t>
      </w:r>
      <w:proofErr w:type="gramStart"/>
      <w:r w:rsidRPr="00BB37A6" w:rsidR="0056240A">
        <w:rPr>
          <w:szCs w:val="26"/>
        </w:rPr>
        <w:t>that</w:t>
      </w:r>
      <w:proofErr w:type="gramEnd"/>
      <w:r w:rsidRPr="00BB37A6" w:rsidR="0056240A">
        <w:rPr>
          <w:szCs w:val="26"/>
        </w:rPr>
        <w:t xml:space="preserve"> court</w:t>
      </w:r>
      <w:r w:rsidRPr="00BB37A6" w:rsidR="00220E6D">
        <w:rPr>
          <w:szCs w:val="26"/>
        </w:rPr>
        <w:t>s</w:t>
      </w:r>
      <w:r w:rsidRPr="00BB37A6" w:rsidR="0056240A">
        <w:rPr>
          <w:szCs w:val="26"/>
        </w:rPr>
        <w:t xml:space="preserve"> should avoid </w:t>
      </w:r>
      <w:r w:rsidRPr="00BB37A6" w:rsidR="00525D09">
        <w:rPr>
          <w:szCs w:val="26"/>
        </w:rPr>
        <w:t>reviewing ratemaking decisions</w:t>
      </w:r>
      <w:r w:rsidRPr="00BB37A6" w:rsidR="00DC2F15">
        <w:rPr>
          <w:szCs w:val="26"/>
        </w:rPr>
        <w:t xml:space="preserve">, such as the Decision’s determination </w:t>
      </w:r>
      <w:r w:rsidRPr="00BB37A6" w:rsidR="00582FA3">
        <w:rPr>
          <w:szCs w:val="26"/>
        </w:rPr>
        <w:t>on PG&amp;E’s EVM costs,</w:t>
      </w:r>
      <w:r w:rsidRPr="00BB37A6" w:rsidR="00A7134C">
        <w:rPr>
          <w:szCs w:val="26"/>
        </w:rPr>
        <w:t xml:space="preserve"> </w:t>
      </w:r>
      <w:r w:rsidRPr="00BB37A6" w:rsidR="00525D09">
        <w:rPr>
          <w:szCs w:val="26"/>
        </w:rPr>
        <w:t xml:space="preserve">in a </w:t>
      </w:r>
      <w:r w:rsidRPr="00BB37A6" w:rsidR="0056240A">
        <w:rPr>
          <w:szCs w:val="26"/>
        </w:rPr>
        <w:t xml:space="preserve">piecemeal </w:t>
      </w:r>
      <w:r w:rsidRPr="00BB37A6" w:rsidR="006E0732">
        <w:rPr>
          <w:szCs w:val="26"/>
        </w:rPr>
        <w:t xml:space="preserve">fashion </w:t>
      </w:r>
      <w:r w:rsidRPr="00BB37A6" w:rsidR="00C27F1C">
        <w:rPr>
          <w:szCs w:val="26"/>
        </w:rPr>
        <w:t>is equally applicable.</w:t>
      </w:r>
      <w:r w:rsidRPr="00BB37A6" w:rsidR="00245AE8">
        <w:rPr>
          <w:szCs w:val="26"/>
        </w:rPr>
        <w:t xml:space="preserve">  (</w:t>
      </w:r>
      <w:r w:rsidRPr="00BB37A6" w:rsidR="00F04679">
        <w:rPr>
          <w:i/>
          <w:szCs w:val="26"/>
        </w:rPr>
        <w:t>Duquesne</w:t>
      </w:r>
      <w:r w:rsidRPr="00BB37A6" w:rsidR="00F04679">
        <w:rPr>
          <w:szCs w:val="26"/>
        </w:rPr>
        <w:t xml:space="preserve">, </w:t>
      </w:r>
      <w:r w:rsidRPr="00BB37A6" w:rsidR="00F04679">
        <w:rPr>
          <w:i/>
          <w:szCs w:val="26"/>
        </w:rPr>
        <w:t>supra,</w:t>
      </w:r>
      <w:r w:rsidRPr="00BB37A6" w:rsidR="00F04679">
        <w:rPr>
          <w:szCs w:val="26"/>
        </w:rPr>
        <w:t xml:space="preserve"> 488 U.S. </w:t>
      </w:r>
      <w:r w:rsidRPr="00BB37A6" w:rsidR="00245AE8">
        <w:rPr>
          <w:szCs w:val="26"/>
        </w:rPr>
        <w:t>at 300</w:t>
      </w:r>
      <w:r w:rsidRPr="00BB37A6" w:rsidR="001263F5">
        <w:rPr>
          <w:szCs w:val="26"/>
        </w:rPr>
        <w:t>, 313</w:t>
      </w:r>
      <w:r w:rsidRPr="00BB37A6" w:rsidR="00245AE8">
        <w:rPr>
          <w:szCs w:val="26"/>
        </w:rPr>
        <w:t>.)</w:t>
      </w:r>
    </w:p>
    <w:p w:rsidRPr="00BB37A6" w:rsidR="0088628C" w:rsidP="002243BD" w:rsidRDefault="00352C08" w14:paraId="116F7ADF" w14:textId="0F30BB93">
      <w:pPr>
        <w:pStyle w:val="BodyText"/>
        <w:ind w:firstLine="1440"/>
        <w:rPr>
          <w:szCs w:val="26"/>
        </w:rPr>
      </w:pPr>
      <w:r w:rsidRPr="00BB37A6">
        <w:rPr>
          <w:szCs w:val="26"/>
        </w:rPr>
        <w:t xml:space="preserve">In conclusion, </w:t>
      </w:r>
      <w:r w:rsidRPr="00BB37A6">
        <w:rPr>
          <w:i/>
          <w:iCs/>
          <w:szCs w:val="26"/>
        </w:rPr>
        <w:t xml:space="preserve">Duquesne </w:t>
      </w:r>
      <w:r w:rsidRPr="00BB37A6">
        <w:rPr>
          <w:iCs/>
          <w:szCs w:val="26"/>
        </w:rPr>
        <w:t>provides the appropriate analysis for takings claims in the utility context</w:t>
      </w:r>
      <w:r w:rsidRPr="00BB37A6">
        <w:rPr>
          <w:szCs w:val="26"/>
        </w:rPr>
        <w:t>.</w:t>
      </w:r>
      <w:r w:rsidRPr="00BB37A6">
        <w:rPr>
          <w:iCs/>
          <w:szCs w:val="26"/>
        </w:rPr>
        <w:t xml:space="preserve">  </w:t>
      </w:r>
      <w:r w:rsidRPr="00BB37A6" w:rsidR="00E24F2F">
        <w:rPr>
          <w:iCs/>
          <w:szCs w:val="26"/>
        </w:rPr>
        <w:t xml:space="preserve">PG&amp;E also fails to show that a taking under this precedent has occurred, making only generalized statements as to an alleged taking.  (See </w:t>
      </w:r>
      <w:r w:rsidRPr="00BB37A6" w:rsidR="00E24F2F">
        <w:rPr>
          <w:i/>
          <w:iCs/>
          <w:szCs w:val="26"/>
          <w:bdr w:val="none" w:color="auto" w:sz="0" w:space="0" w:frame="1"/>
        </w:rPr>
        <w:t xml:space="preserve">Ponderosa v. Public Utilities Com. </w:t>
      </w:r>
      <w:r w:rsidRPr="00BB37A6" w:rsidR="00E24F2F">
        <w:rPr>
          <w:szCs w:val="26"/>
          <w:bdr w:val="none" w:color="auto" w:sz="0" w:space="0" w:frame="1"/>
        </w:rPr>
        <w:t xml:space="preserve">(2019) 36 Cal.App.5th 999, 1016 [the party challenging a rate order as confiscatory has the burden to show that the </w:t>
      </w:r>
      <w:r w:rsidRPr="00BB37A6" w:rsidR="00E24F2F">
        <w:rPr>
          <w:szCs w:val="26"/>
          <w:shd w:val="clear" w:color="auto" w:fill="FFFFFF"/>
        </w:rPr>
        <w:t>that the rate as finally fixed is unreasonable]</w:t>
      </w:r>
      <w:r w:rsidRPr="00BB37A6" w:rsidR="00E24F2F">
        <w:rPr>
          <w:szCs w:val="26"/>
          <w:bdr w:val="none" w:color="auto" w:sz="0" w:space="0" w:frame="1"/>
        </w:rPr>
        <w:t xml:space="preserve">; see also </w:t>
      </w:r>
      <w:r w:rsidRPr="00BB37A6" w:rsidR="00E24F2F">
        <w:rPr>
          <w:i/>
          <w:szCs w:val="26"/>
        </w:rPr>
        <w:t>Public Service Com. of Montana v. Great Northern Utility Co.</w:t>
      </w:r>
      <w:r w:rsidRPr="00BB37A6" w:rsidR="00E24F2F">
        <w:rPr>
          <w:szCs w:val="26"/>
        </w:rPr>
        <w:t xml:space="preserve"> (1933) 289 U.S. 130, 136-137 [“[M]erely asserting in general language that rates are confiscatory is not sufficient … to invoke constitutional protection, the facts relied on must be specifically set forth and from them it must clearly appear that the rates would necessarily deny to plaintiff just compensation and deprive it of its property… .”].) </w:t>
      </w:r>
      <w:r w:rsidRPr="00BB37A6" w:rsidR="00E24F2F">
        <w:rPr>
          <w:iCs/>
          <w:szCs w:val="26"/>
        </w:rPr>
        <w:t xml:space="preserve"> </w:t>
      </w:r>
      <w:r w:rsidRPr="00BB37A6" w:rsidR="00282155">
        <w:rPr>
          <w:szCs w:val="26"/>
        </w:rPr>
        <w:t>Moreover, a</w:t>
      </w:r>
      <w:r w:rsidRPr="00BB37A6">
        <w:rPr>
          <w:szCs w:val="26"/>
        </w:rPr>
        <w:t xml:space="preserve">s discussed below, PG&amp;E’s </w:t>
      </w:r>
      <w:r w:rsidRPr="00BB37A6">
        <w:rPr>
          <w:i/>
          <w:iCs/>
          <w:szCs w:val="26"/>
        </w:rPr>
        <w:t xml:space="preserve">Penn Central </w:t>
      </w:r>
      <w:r w:rsidRPr="00BB37A6">
        <w:rPr>
          <w:szCs w:val="26"/>
        </w:rPr>
        <w:t xml:space="preserve">takings claim not only fails on all accounts, </w:t>
      </w:r>
      <w:proofErr w:type="gramStart"/>
      <w:r w:rsidRPr="00BB37A6">
        <w:rPr>
          <w:szCs w:val="26"/>
        </w:rPr>
        <w:t>it</w:t>
      </w:r>
      <w:proofErr w:type="gramEnd"/>
      <w:r w:rsidRPr="00BB37A6">
        <w:rPr>
          <w:szCs w:val="26"/>
        </w:rPr>
        <w:t xml:space="preserve"> showcases additional reasons why this theory is inapt for utility ratemaking.</w:t>
      </w:r>
    </w:p>
    <w:p w:rsidRPr="00BB37A6" w:rsidR="0088628C" w:rsidP="002243BD" w:rsidRDefault="002243BD" w14:paraId="7CC9756E" w14:textId="6E2080E0">
      <w:pPr>
        <w:pStyle w:val="Heading3"/>
        <w:tabs>
          <w:tab w:val="clear" w:pos="2160"/>
        </w:tabs>
        <w:spacing w:before="0"/>
        <w:rPr>
          <w:szCs w:val="26"/>
        </w:rPr>
      </w:pPr>
      <w:r w:rsidRPr="00BB37A6">
        <w:rPr>
          <w:bCs/>
          <w:szCs w:val="26"/>
        </w:rPr>
        <w:t>Even under the</w:t>
      </w:r>
      <w:r w:rsidRPr="00BB37A6" w:rsidR="00093D6F">
        <w:rPr>
          <w:bCs/>
          <w:szCs w:val="26"/>
        </w:rPr>
        <w:t xml:space="preserve"> inapt</w:t>
      </w:r>
      <w:r w:rsidRPr="00BB37A6">
        <w:rPr>
          <w:bCs/>
          <w:szCs w:val="26"/>
        </w:rPr>
        <w:t xml:space="preserve"> </w:t>
      </w:r>
      <w:r w:rsidRPr="00BB37A6">
        <w:rPr>
          <w:bCs/>
          <w:i/>
          <w:iCs/>
          <w:szCs w:val="26"/>
        </w:rPr>
        <w:t xml:space="preserve">Penn Central </w:t>
      </w:r>
      <w:r w:rsidRPr="00BB37A6">
        <w:rPr>
          <w:bCs/>
          <w:szCs w:val="26"/>
        </w:rPr>
        <w:t>analysis, PG&amp;E’s</w:t>
      </w:r>
      <w:r w:rsidRPr="00BB37A6" w:rsidR="000E3353">
        <w:rPr>
          <w:bCs/>
          <w:szCs w:val="26"/>
        </w:rPr>
        <w:t xml:space="preserve"> </w:t>
      </w:r>
      <w:r w:rsidRPr="00BB37A6">
        <w:rPr>
          <w:bCs/>
          <w:szCs w:val="26"/>
        </w:rPr>
        <w:t>claim lacks merit</w:t>
      </w:r>
      <w:r w:rsidRPr="00BB37A6" w:rsidR="0088628C">
        <w:rPr>
          <w:szCs w:val="26"/>
        </w:rPr>
        <w:t>.</w:t>
      </w:r>
    </w:p>
    <w:p w:rsidRPr="00BB37A6" w:rsidR="008152EA" w:rsidP="00B1121F" w:rsidRDefault="002243BD" w14:paraId="0FD228DE" w14:textId="39B93B7D">
      <w:pPr>
        <w:pStyle w:val="pf0"/>
        <w:spacing w:before="0" w:beforeAutospacing="0" w:after="0" w:afterAutospacing="0" w:line="360" w:lineRule="auto"/>
        <w:ind w:firstLine="1440"/>
        <w:rPr>
          <w:sz w:val="26"/>
          <w:szCs w:val="26"/>
        </w:rPr>
      </w:pPr>
      <w:r w:rsidRPr="00BB37A6">
        <w:rPr>
          <w:sz w:val="26"/>
          <w:szCs w:val="26"/>
        </w:rPr>
        <w:t>The process for evaluating the constitutionality of a governmental action involves an examination of its “justice and fairness,” for which there is no set formula, and the inquiry is “essentially ad hoc and fact intensive.”  (</w:t>
      </w:r>
      <w:r w:rsidRPr="00BB37A6">
        <w:rPr>
          <w:i/>
          <w:iCs/>
          <w:sz w:val="26"/>
          <w:szCs w:val="26"/>
        </w:rPr>
        <w:t>Eastern Enterprises v. Apfel</w:t>
      </w:r>
      <w:r w:rsidRPr="00BB37A6">
        <w:rPr>
          <w:sz w:val="26"/>
          <w:szCs w:val="26"/>
        </w:rPr>
        <w:t xml:space="preserve"> </w:t>
      </w:r>
      <w:r w:rsidRPr="00BB37A6">
        <w:rPr>
          <w:sz w:val="26"/>
          <w:szCs w:val="26"/>
        </w:rPr>
        <w:lastRenderedPageBreak/>
        <w:t xml:space="preserve">(1998) 524 U.S. 498, 523; </w:t>
      </w:r>
      <w:r w:rsidRPr="00BB37A6">
        <w:rPr>
          <w:i/>
          <w:iCs/>
          <w:sz w:val="26"/>
          <w:szCs w:val="26"/>
        </w:rPr>
        <w:t>Penn Central, supra,</w:t>
      </w:r>
      <w:r w:rsidRPr="00BB37A6">
        <w:rPr>
          <w:sz w:val="26"/>
          <w:szCs w:val="26"/>
        </w:rPr>
        <w:t xml:space="preserve"> 438 U.S. at 124.)  Nevertheless, the United States Supreme Court in </w:t>
      </w:r>
      <w:r w:rsidRPr="00BB37A6">
        <w:rPr>
          <w:i/>
          <w:iCs/>
          <w:sz w:val="26"/>
          <w:szCs w:val="26"/>
        </w:rPr>
        <w:t xml:space="preserve">Penn Central </w:t>
      </w:r>
      <w:r w:rsidRPr="00BB37A6">
        <w:rPr>
          <w:sz w:val="26"/>
          <w:szCs w:val="26"/>
        </w:rPr>
        <w:t>set forth several factors which have been held to be particularly significant: (1) the economic impact of the regulation on the claimant; (2) the extent to which the regulation has interfered with reasonable investment backed expectations; and (3) the character of the governmental action. (</w:t>
      </w:r>
      <w:r w:rsidRPr="00BB37A6">
        <w:rPr>
          <w:i/>
          <w:iCs/>
          <w:sz w:val="26"/>
          <w:szCs w:val="26"/>
        </w:rPr>
        <w:t>Penn Central, supra,</w:t>
      </w:r>
      <w:r w:rsidRPr="00BB37A6">
        <w:rPr>
          <w:sz w:val="26"/>
          <w:szCs w:val="26"/>
        </w:rPr>
        <w:t xml:space="preserve"> 438 U.S. at p. 124; see also </w:t>
      </w:r>
      <w:r w:rsidRPr="00BB37A6">
        <w:rPr>
          <w:i/>
          <w:iCs/>
          <w:sz w:val="26"/>
          <w:szCs w:val="26"/>
        </w:rPr>
        <w:t xml:space="preserve">Bottini v. City of San Diego </w:t>
      </w:r>
      <w:r w:rsidRPr="00BB37A6">
        <w:rPr>
          <w:sz w:val="26"/>
          <w:szCs w:val="26"/>
        </w:rPr>
        <w:t xml:space="preserve">(2018) 27 Cal.App.5th 281, 312 [“the </w:t>
      </w:r>
      <w:r w:rsidRPr="00BB37A6">
        <w:rPr>
          <w:i/>
          <w:iCs/>
          <w:sz w:val="26"/>
          <w:szCs w:val="26"/>
        </w:rPr>
        <w:t>Penn Central</w:t>
      </w:r>
      <w:r w:rsidRPr="00BB37A6">
        <w:rPr>
          <w:sz w:val="26"/>
          <w:szCs w:val="26"/>
        </w:rPr>
        <w:t xml:space="preserve"> test…applies to regulatory takings causes of action arising under the California Constitution”].)</w:t>
      </w:r>
    </w:p>
    <w:p w:rsidRPr="00BB37A6" w:rsidR="00B1121F" w:rsidP="008152EA" w:rsidRDefault="008152EA" w14:paraId="5750B2C7" w14:textId="365F7F0F">
      <w:pPr>
        <w:pStyle w:val="pf0"/>
        <w:spacing w:before="0" w:beforeAutospacing="0" w:after="0" w:afterAutospacing="0" w:line="360" w:lineRule="auto"/>
        <w:ind w:firstLine="1440"/>
        <w:rPr>
          <w:sz w:val="26"/>
          <w:szCs w:val="26"/>
        </w:rPr>
      </w:pPr>
      <w:r w:rsidRPr="00BB37A6">
        <w:rPr>
          <w:sz w:val="26"/>
          <w:szCs w:val="26"/>
        </w:rPr>
        <w:t xml:space="preserve">PG&amp;E argues that all three </w:t>
      </w:r>
      <w:r w:rsidRPr="00BB37A6">
        <w:rPr>
          <w:i/>
          <w:iCs/>
          <w:sz w:val="26"/>
          <w:szCs w:val="26"/>
        </w:rPr>
        <w:t>Penn Central</w:t>
      </w:r>
      <w:r w:rsidRPr="00BB37A6">
        <w:rPr>
          <w:sz w:val="26"/>
          <w:szCs w:val="26"/>
        </w:rPr>
        <w:t xml:space="preserve"> factors are met for the following reasons.  (App. Rehg. at 26-28.)  First, PG&amp;E asserts that the disallowance is significant since it constitutes nearly 10 percent of the $2 billion PG&amp;E sought to recover in A.23-12-001.  (</w:t>
      </w:r>
      <w:r w:rsidRPr="00BB37A6">
        <w:rPr>
          <w:i/>
          <w:iCs/>
          <w:sz w:val="26"/>
          <w:szCs w:val="26"/>
        </w:rPr>
        <w:t>Id.</w:t>
      </w:r>
      <w:r w:rsidRPr="00BB37A6">
        <w:rPr>
          <w:sz w:val="26"/>
          <w:szCs w:val="26"/>
        </w:rPr>
        <w:t xml:space="preserve"> at 28.)  Second, PG&amp;E claims that it and its investors had a reasonable, investment-backed expectation of recovery due to Energy Safety mandates and because on a per-unit basis PG&amp;E exceeded its prior estimated performance.  (</w:t>
      </w:r>
      <w:r w:rsidRPr="00BB37A6">
        <w:rPr>
          <w:i/>
          <w:iCs/>
          <w:sz w:val="26"/>
          <w:szCs w:val="26"/>
        </w:rPr>
        <w:t>Id.</w:t>
      </w:r>
      <w:r w:rsidRPr="00BB37A6">
        <w:rPr>
          <w:sz w:val="26"/>
          <w:szCs w:val="26"/>
        </w:rPr>
        <w:t xml:space="preserve"> at 29.)  Third, PG&amp;E contends that the Decision’s action is akin to a physical expropriation because </w:t>
      </w:r>
      <w:r w:rsidRPr="00BB37A6" w:rsidR="008A6496">
        <w:rPr>
          <w:sz w:val="26"/>
          <w:szCs w:val="26"/>
        </w:rPr>
        <w:t xml:space="preserve">the </w:t>
      </w:r>
      <w:r w:rsidRPr="00BB37A6">
        <w:rPr>
          <w:sz w:val="26"/>
          <w:szCs w:val="26"/>
        </w:rPr>
        <w:t>“Decision has forced the company to expend money to perform a wildfire mitigation service that inured to the public benefit and has forced PG&amp;E’s investors—and PG&amp;E’s investors alone—to bear those costs.”  (</w:t>
      </w:r>
      <w:r w:rsidRPr="00BB37A6">
        <w:rPr>
          <w:i/>
          <w:iCs/>
          <w:sz w:val="26"/>
          <w:szCs w:val="26"/>
        </w:rPr>
        <w:t>Ibid.</w:t>
      </w:r>
      <w:r w:rsidRPr="00BB37A6">
        <w:rPr>
          <w:sz w:val="26"/>
          <w:szCs w:val="26"/>
        </w:rPr>
        <w:t xml:space="preserve">)  While the </w:t>
      </w:r>
      <w:r w:rsidRPr="00BB37A6">
        <w:rPr>
          <w:i/>
          <w:iCs/>
          <w:sz w:val="26"/>
          <w:szCs w:val="26"/>
        </w:rPr>
        <w:t xml:space="preserve">Penn Central </w:t>
      </w:r>
      <w:r w:rsidRPr="00BB37A6">
        <w:rPr>
          <w:sz w:val="26"/>
          <w:szCs w:val="26"/>
        </w:rPr>
        <w:t>analysis does not apply in the utility context, we note that PG&amp;E’s takings claim under this theory fails.</w:t>
      </w:r>
      <w:r w:rsidRPr="00BB37A6" w:rsidR="002243BD">
        <w:rPr>
          <w:sz w:val="26"/>
          <w:szCs w:val="26"/>
        </w:rPr>
        <w:t xml:space="preserve"> </w:t>
      </w:r>
    </w:p>
    <w:p w:rsidRPr="00BB37A6" w:rsidR="00B1121F" w:rsidP="00B1121F" w:rsidRDefault="002243BD" w14:paraId="6B9308B9" w14:textId="4CC2635B">
      <w:pPr>
        <w:pStyle w:val="pf0"/>
        <w:spacing w:before="0" w:beforeAutospacing="0" w:after="0" w:afterAutospacing="0" w:line="360" w:lineRule="auto"/>
        <w:ind w:firstLine="1440"/>
        <w:rPr>
          <w:sz w:val="26"/>
          <w:szCs w:val="26"/>
        </w:rPr>
      </w:pPr>
      <w:r w:rsidRPr="00BB37A6">
        <w:rPr>
          <w:sz w:val="26"/>
          <w:szCs w:val="26"/>
        </w:rPr>
        <w:t>For the first factor, a taking does not occur for every diminution in property value caused by a government regulation.  (</w:t>
      </w:r>
      <w:r w:rsidRPr="00BB37A6">
        <w:rPr>
          <w:i/>
          <w:iCs/>
          <w:sz w:val="26"/>
          <w:szCs w:val="26"/>
        </w:rPr>
        <w:t>Colony Cove Props., LLC v. City of Carson</w:t>
      </w:r>
      <w:r w:rsidRPr="00BB37A6">
        <w:rPr>
          <w:sz w:val="26"/>
          <w:szCs w:val="26"/>
        </w:rPr>
        <w:t xml:space="preserve"> (9th Cir. 2018) 888 F.3d 445, 451.)  Courts have found that no taking occurs where the diminution in value was less than 50 percent.  (</w:t>
      </w:r>
      <w:r w:rsidRPr="00BB37A6">
        <w:rPr>
          <w:i/>
          <w:iCs/>
          <w:sz w:val="26"/>
          <w:szCs w:val="26"/>
        </w:rPr>
        <w:t>Ibid.</w:t>
      </w:r>
      <w:r w:rsidRPr="00BB37A6">
        <w:rPr>
          <w:sz w:val="26"/>
          <w:szCs w:val="26"/>
        </w:rPr>
        <w:t>)  Importantly, “it is well settled that taking jurisprudence does not divide a single parcel into discrete segments” and instead “focus[es] both on the character of the action and on the nature and extent of the interference with the rights in the parcel as a whole.”  (</w:t>
      </w:r>
      <w:r w:rsidRPr="00BB37A6">
        <w:rPr>
          <w:i/>
          <w:iCs/>
          <w:sz w:val="26"/>
          <w:szCs w:val="26"/>
        </w:rPr>
        <w:t>MacLeod v. Santa Clara County</w:t>
      </w:r>
      <w:r w:rsidRPr="00BB37A6">
        <w:rPr>
          <w:sz w:val="26"/>
          <w:szCs w:val="26"/>
        </w:rPr>
        <w:t xml:space="preserve"> (9th Cir. 1984) 749 F.2d 541, 547.)  “Traditionally, three requirements must be met to establish that the land remaining to the owner after condemnation is part of a ‘larger </w:t>
      </w:r>
      <w:r w:rsidRPr="00BB37A6">
        <w:rPr>
          <w:sz w:val="26"/>
          <w:szCs w:val="26"/>
        </w:rPr>
        <w:lastRenderedPageBreak/>
        <w:t>parcel’: (1) unity of title; (2) contiguity of the parcels; and (3) unity of use.”  (</w:t>
      </w:r>
      <w:r w:rsidRPr="00BB37A6">
        <w:rPr>
          <w:i/>
          <w:iCs/>
          <w:sz w:val="26"/>
          <w:szCs w:val="26"/>
        </w:rPr>
        <w:t>City of San Diego v. Neumann</w:t>
      </w:r>
      <w:r w:rsidRPr="00BB37A6">
        <w:rPr>
          <w:sz w:val="26"/>
          <w:szCs w:val="26"/>
        </w:rPr>
        <w:t xml:space="preserve"> (1993) 6 Cal.4th 738, 745.)</w:t>
      </w:r>
    </w:p>
    <w:p w:rsidRPr="00BB37A6" w:rsidR="002243BD" w:rsidP="00B1121F" w:rsidRDefault="002243BD" w14:paraId="5F7DC85E" w14:textId="3F2AE4A9">
      <w:pPr>
        <w:pStyle w:val="pf0"/>
        <w:spacing w:before="0" w:beforeAutospacing="0" w:after="0" w:afterAutospacing="0" w:line="360" w:lineRule="auto"/>
        <w:ind w:firstLine="1440"/>
        <w:rPr>
          <w:sz w:val="26"/>
          <w:szCs w:val="26"/>
        </w:rPr>
      </w:pPr>
      <w:r w:rsidRPr="00BB37A6">
        <w:rPr>
          <w:sz w:val="26"/>
          <w:szCs w:val="26"/>
        </w:rPr>
        <w:t xml:space="preserve">PG&amp;E does not explain why looking at the amount it requested in this proceeding is the appropriate metric for assessing </w:t>
      </w:r>
      <w:proofErr w:type="gramStart"/>
      <w:r w:rsidRPr="00BB37A6">
        <w:rPr>
          <w:sz w:val="26"/>
          <w:szCs w:val="26"/>
        </w:rPr>
        <w:t>a takings</w:t>
      </w:r>
      <w:proofErr w:type="gramEnd"/>
      <w:r w:rsidRPr="00BB37A6">
        <w:rPr>
          <w:sz w:val="26"/>
          <w:szCs w:val="26"/>
        </w:rPr>
        <w:t xml:space="preserve"> claim. </w:t>
      </w:r>
    </w:p>
    <w:p w:rsidRPr="00BB37A6" w:rsidR="002243BD" w:rsidP="00385B5C" w:rsidRDefault="002243BD" w14:paraId="777CB189" w14:textId="77777777">
      <w:pPr>
        <w:spacing w:after="240"/>
        <w:ind w:left="1440" w:right="720"/>
        <w:rPr>
          <w:szCs w:val="26"/>
        </w:rPr>
      </w:pPr>
      <w:r w:rsidRPr="00BB37A6">
        <w:rPr>
          <w:szCs w:val="26"/>
        </w:rPr>
        <w:t>It has long been recognized that public utility property cannot be regarded as merely land, buildings, and other assets.  Rather, its value depends on the interrelation and operation of the entire utility as a unit.  Many of the separate assets would be practically valueless without the rest of the system.  Ten miles of telephone wire or one specially designed turbine would have a questionable value, other than as scrap, without the benefit of the rest of the system as a whole.</w:t>
      </w:r>
    </w:p>
    <w:p w:rsidRPr="00BB37A6" w:rsidR="00B1121F" w:rsidP="00B1121F" w:rsidRDefault="002243BD" w14:paraId="3E6E5CE6" w14:textId="77777777">
      <w:pPr>
        <w:spacing w:line="360" w:lineRule="auto"/>
        <w:rPr>
          <w:szCs w:val="26"/>
        </w:rPr>
      </w:pPr>
      <w:r w:rsidRPr="00BB37A6">
        <w:rPr>
          <w:szCs w:val="26"/>
        </w:rPr>
        <w:t>(</w:t>
      </w:r>
      <w:r w:rsidRPr="00BB37A6">
        <w:rPr>
          <w:i/>
          <w:iCs/>
          <w:szCs w:val="26"/>
        </w:rPr>
        <w:t>County of Santa Clara v. Superior Court</w:t>
      </w:r>
      <w:r w:rsidRPr="00BB37A6">
        <w:rPr>
          <w:szCs w:val="26"/>
        </w:rPr>
        <w:t xml:space="preserve"> (2023) 87 Cal.App.5th 347, 360, internal quotations and citation omitted.)  Indeed, for ratemaking purposes, a utility is valued based on its rate base, which represents the value of its property devoted to public use.  (</w:t>
      </w:r>
      <w:r w:rsidRPr="00BB37A6">
        <w:rPr>
          <w:i/>
          <w:iCs/>
          <w:szCs w:val="26"/>
        </w:rPr>
        <w:t>Ponderosa Telephone Co. v. Public Utilities Com.</w:t>
      </w:r>
      <w:r w:rsidRPr="00BB37A6">
        <w:rPr>
          <w:szCs w:val="26"/>
        </w:rPr>
        <w:t xml:space="preserve"> (2019) 36 Cal.App.5th 999, 1005.)  The above provides additional support for application of </w:t>
      </w:r>
      <w:r w:rsidRPr="00BB37A6">
        <w:rPr>
          <w:i/>
          <w:iCs/>
          <w:szCs w:val="26"/>
        </w:rPr>
        <w:t>Duquesne</w:t>
      </w:r>
      <w:r w:rsidRPr="00BB37A6">
        <w:rPr>
          <w:iCs/>
          <w:szCs w:val="26"/>
        </w:rPr>
        <w:t xml:space="preserve"> and rejection of PG&amp;E’s </w:t>
      </w:r>
      <w:r w:rsidRPr="00BB37A6">
        <w:rPr>
          <w:i/>
          <w:szCs w:val="26"/>
        </w:rPr>
        <w:t xml:space="preserve">Penn Central </w:t>
      </w:r>
      <w:r w:rsidRPr="00BB37A6">
        <w:rPr>
          <w:iCs/>
          <w:szCs w:val="26"/>
        </w:rPr>
        <w:t>analysis.</w:t>
      </w:r>
      <w:r w:rsidRPr="00BB37A6">
        <w:rPr>
          <w:szCs w:val="26"/>
        </w:rPr>
        <w:t xml:space="preserve">  Nevertheless, the 10 percent diminution in property value identified by PG&amp;E </w:t>
      </w:r>
      <w:proofErr w:type="gramStart"/>
      <w:r w:rsidRPr="00BB37A6">
        <w:rPr>
          <w:szCs w:val="26"/>
        </w:rPr>
        <w:t>pales</w:t>
      </w:r>
      <w:proofErr w:type="gramEnd"/>
      <w:r w:rsidRPr="00BB37A6">
        <w:rPr>
          <w:szCs w:val="26"/>
        </w:rPr>
        <w:t xml:space="preserve"> in comparison to the substantially more severe economic impacts that courts have determined did not amount to takings.</w:t>
      </w:r>
    </w:p>
    <w:p w:rsidRPr="00BB37A6" w:rsidR="00B1121F" w:rsidP="00B1121F" w:rsidRDefault="002243BD" w14:paraId="52719662" w14:textId="6639BC25">
      <w:pPr>
        <w:spacing w:line="360" w:lineRule="auto"/>
        <w:ind w:firstLine="1440"/>
        <w:rPr>
          <w:szCs w:val="26"/>
        </w:rPr>
      </w:pPr>
      <w:r w:rsidRPr="00BB37A6">
        <w:rPr>
          <w:szCs w:val="26"/>
        </w:rPr>
        <w:t xml:space="preserve">For the second factor, the U.S. Supreme Court has held that a reasonable investment-backed expectation must be more than a “unilateral expectation or an abstract need.” (See, e.g., </w:t>
      </w:r>
      <w:r w:rsidRPr="00BB37A6" w:rsidR="00251272">
        <w:rPr>
          <w:rStyle w:val="Emphasis"/>
          <w:szCs w:val="26"/>
          <w:bdr w:val="none" w:color="auto" w:sz="0" w:space="0" w:frame="1"/>
          <w:shd w:val="clear" w:color="auto" w:fill="FFFFFF"/>
        </w:rPr>
        <w:t>Ruckelshaus v. Monsanto Co.</w:t>
      </w:r>
      <w:r w:rsidRPr="00BB37A6" w:rsidR="00251272">
        <w:rPr>
          <w:szCs w:val="26"/>
          <w:shd w:val="clear" w:color="auto" w:fill="FFFFFF"/>
        </w:rPr>
        <w:t xml:space="preserve"> (1984) 476 U.S. 986</w:t>
      </w:r>
      <w:r w:rsidRPr="00BB37A6" w:rsidR="000E6597">
        <w:rPr>
          <w:szCs w:val="26"/>
          <w:shd w:val="clear" w:color="auto" w:fill="FFFFFF"/>
        </w:rPr>
        <w:t xml:space="preserve">, </w:t>
      </w:r>
      <w:r w:rsidRPr="00BB37A6">
        <w:rPr>
          <w:szCs w:val="26"/>
        </w:rPr>
        <w:t xml:space="preserve">1005, </w:t>
      </w:r>
      <w:r w:rsidRPr="00BB37A6">
        <w:rPr>
          <w:i/>
          <w:iCs/>
          <w:szCs w:val="26"/>
        </w:rPr>
        <w:t>Webb’s Fabulous Pharmacies v. Beckwith</w:t>
      </w:r>
      <w:r w:rsidRPr="00BB37A6">
        <w:rPr>
          <w:szCs w:val="26"/>
        </w:rPr>
        <w:t xml:space="preserve"> (1980) 449 U.S. 155, 161 (</w:t>
      </w:r>
      <w:r w:rsidRPr="00BB37A6">
        <w:rPr>
          <w:i/>
          <w:iCs/>
          <w:szCs w:val="26"/>
        </w:rPr>
        <w:t>Webb</w:t>
      </w:r>
      <w:r w:rsidRPr="00BB37A6">
        <w:rPr>
          <w:szCs w:val="26"/>
        </w:rPr>
        <w:t>).)  Property interests “are created and their dimensions are defined by existing rules or understandings that stem from an independent source such as state law … [Citation],” not the Constitution.  (</w:t>
      </w:r>
      <w:r w:rsidRPr="00BB37A6" w:rsidR="00DF6327">
        <w:rPr>
          <w:i/>
          <w:iCs/>
          <w:szCs w:val="26"/>
        </w:rPr>
        <w:t>Id</w:t>
      </w:r>
      <w:r w:rsidRPr="00BB37A6">
        <w:rPr>
          <w:szCs w:val="26"/>
        </w:rPr>
        <w:t xml:space="preserve">. at 161.)  </w:t>
      </w:r>
    </w:p>
    <w:p w:rsidRPr="00BB37A6" w:rsidR="00B1121F" w:rsidP="00B1121F" w:rsidRDefault="002243BD" w14:paraId="20FAD0CE" w14:textId="669D878F">
      <w:pPr>
        <w:spacing w:line="360" w:lineRule="auto"/>
        <w:ind w:firstLine="1440"/>
        <w:rPr>
          <w:szCs w:val="26"/>
        </w:rPr>
      </w:pPr>
      <w:r w:rsidRPr="00BB37A6">
        <w:rPr>
          <w:szCs w:val="26"/>
        </w:rPr>
        <w:t xml:space="preserve">As discussed, the Legislature preserved </w:t>
      </w:r>
      <w:r w:rsidRPr="00BB37A6" w:rsidR="00B1121F">
        <w:rPr>
          <w:szCs w:val="26"/>
        </w:rPr>
        <w:t>our</w:t>
      </w:r>
      <w:r w:rsidRPr="00BB37A6">
        <w:rPr>
          <w:szCs w:val="26"/>
        </w:rPr>
        <w:t xml:space="preserve"> full cost review jurisdiction, which encompasses far more than an assessment of a utility’s per-unit costs.  In addition, PG&amp;E was aware that its </w:t>
      </w:r>
      <w:r w:rsidRPr="00BB37A6" w:rsidR="007241EC">
        <w:rPr>
          <w:szCs w:val="26"/>
        </w:rPr>
        <w:t>EVM</w:t>
      </w:r>
      <w:r w:rsidRPr="00BB37A6">
        <w:rPr>
          <w:szCs w:val="26"/>
        </w:rPr>
        <w:t xml:space="preserve"> costs above the 120 percent threshold approved in its 2020 GRC were subject to a reasonableness review under the prudent manager standard.  </w:t>
      </w:r>
      <w:r w:rsidRPr="00BB37A6">
        <w:rPr>
          <w:szCs w:val="26"/>
        </w:rPr>
        <w:lastRenderedPageBreak/>
        <w:t xml:space="preserve">(Decision at 16.)  Accordingly, PG&amp;E does not show that it had a reasonable, investment-backed expectation of cost recovery.   </w:t>
      </w:r>
    </w:p>
    <w:p w:rsidRPr="00BB37A6" w:rsidR="00B1121F" w:rsidP="00B1121F" w:rsidRDefault="002243BD" w14:paraId="1BE3D0C4" w14:textId="77777777">
      <w:pPr>
        <w:spacing w:line="360" w:lineRule="auto"/>
        <w:ind w:firstLine="1440"/>
        <w:rPr>
          <w:szCs w:val="26"/>
        </w:rPr>
      </w:pPr>
      <w:r w:rsidRPr="00BB37A6">
        <w:rPr>
          <w:szCs w:val="26"/>
        </w:rPr>
        <w:t>For the final factor, the U.S. Supreme Court has held that “a ‘taking’ may more readily be found when the interference with property can be characterized as a physical invasion by government . . . than when interference arises from some public program adjusting the benefits and burdens of economic life to promote the common good.” (</w:t>
      </w:r>
      <w:r w:rsidRPr="00BB37A6">
        <w:rPr>
          <w:i/>
          <w:iCs/>
          <w:szCs w:val="26"/>
        </w:rPr>
        <w:t>Penn Central, supra,</w:t>
      </w:r>
      <w:r w:rsidRPr="00BB37A6">
        <w:rPr>
          <w:szCs w:val="26"/>
        </w:rPr>
        <w:t xml:space="preserve"> 438 U.S. at 124, citation omitted.)</w:t>
      </w:r>
    </w:p>
    <w:p w:rsidRPr="00BB37A6" w:rsidR="0088628C" w:rsidP="00B1121F" w:rsidRDefault="002243BD" w14:paraId="48A2F61A" w14:textId="1BF9B607">
      <w:pPr>
        <w:spacing w:line="360" w:lineRule="auto"/>
        <w:ind w:firstLine="1440"/>
        <w:rPr>
          <w:szCs w:val="26"/>
        </w:rPr>
      </w:pPr>
      <w:r w:rsidRPr="00BB37A6">
        <w:rPr>
          <w:szCs w:val="26"/>
        </w:rPr>
        <w:t xml:space="preserve">PG&amp;E does not allege a physical invasion of its property.  And to the extent that the disallowance touches upon PG&amp;E’s property interest, the disallowance is part of a statutory scheme adjusting the benefits and burdens of economic life between utilities and their ratepayers.  (See </w:t>
      </w:r>
      <w:r w:rsidRPr="00BB37A6">
        <w:rPr>
          <w:i/>
          <w:iCs/>
          <w:szCs w:val="26"/>
        </w:rPr>
        <w:t>Small Prop. Owners of San Francisco v. City &amp; County of San Francisco</w:t>
      </w:r>
      <w:r w:rsidRPr="00BB37A6">
        <w:rPr>
          <w:szCs w:val="26"/>
        </w:rPr>
        <w:t xml:space="preserve"> (2006) 141 Cal.App.4th 1388, 1408-1409.)  The Decision reflects </w:t>
      </w:r>
      <w:r w:rsidRPr="00BB37A6" w:rsidR="009E0620">
        <w:rPr>
          <w:szCs w:val="26"/>
        </w:rPr>
        <w:t>the</w:t>
      </w:r>
      <w:r w:rsidRPr="00BB37A6">
        <w:rPr>
          <w:szCs w:val="26"/>
        </w:rPr>
        <w:t xml:space="preserve"> consequence of a public program for wildfire safety that concurrently mandates that the related costs are prudently incurred.  Justice and fairness hardly support PG&amp;E’s ratepayers shouldering </w:t>
      </w:r>
      <w:r w:rsidRPr="00BB37A6" w:rsidR="000F40B0">
        <w:rPr>
          <w:szCs w:val="26"/>
        </w:rPr>
        <w:t xml:space="preserve">$162.45 </w:t>
      </w:r>
      <w:r w:rsidRPr="00BB37A6">
        <w:rPr>
          <w:szCs w:val="26"/>
        </w:rPr>
        <w:t>million</w:t>
      </w:r>
      <w:r w:rsidRPr="00BB37A6" w:rsidR="000F40B0">
        <w:rPr>
          <w:szCs w:val="26"/>
        </w:rPr>
        <w:t xml:space="preserve"> </w:t>
      </w:r>
      <w:r w:rsidRPr="00BB37A6">
        <w:rPr>
          <w:szCs w:val="26"/>
        </w:rPr>
        <w:t>incurred as a result of PG&amp;E’s imprudence</w:t>
      </w:r>
      <w:r w:rsidRPr="00BB37A6" w:rsidR="00B1121F">
        <w:rPr>
          <w:szCs w:val="26"/>
        </w:rPr>
        <w:t>.</w:t>
      </w:r>
      <w:r w:rsidRPr="00BB37A6" w:rsidR="0088628C">
        <w:rPr>
          <w:szCs w:val="26"/>
        </w:rPr>
        <w:t xml:space="preserve"> </w:t>
      </w:r>
    </w:p>
    <w:p w:rsidRPr="00BB37A6" w:rsidR="006B125B" w:rsidP="00BF3792" w:rsidRDefault="006B125B" w14:paraId="626B892A" w14:textId="09F2DEF7">
      <w:pPr>
        <w:pStyle w:val="Heading2"/>
        <w:ind w:left="1440"/>
        <w:rPr>
          <w:color w:val="000000" w:themeColor="text1"/>
          <w:szCs w:val="26"/>
        </w:rPr>
      </w:pPr>
      <w:r w:rsidRPr="00BB37A6">
        <w:rPr>
          <w:szCs w:val="26"/>
        </w:rPr>
        <w:t xml:space="preserve">The </w:t>
      </w:r>
      <w:r w:rsidRPr="00BB37A6" w:rsidR="00B669AB">
        <w:rPr>
          <w:szCs w:val="26"/>
        </w:rPr>
        <w:t>Decision does not violate the Due Process Clause</w:t>
      </w:r>
      <w:r w:rsidRPr="00BB37A6">
        <w:rPr>
          <w:szCs w:val="26"/>
        </w:rPr>
        <w:t xml:space="preserve">. </w:t>
      </w:r>
    </w:p>
    <w:p w:rsidRPr="00BB37A6" w:rsidR="00B252BB" w:rsidP="0004669F" w:rsidRDefault="00B669AB" w14:paraId="72CF0558" w14:textId="77777777">
      <w:pPr>
        <w:spacing w:line="360" w:lineRule="auto"/>
        <w:ind w:firstLine="1440"/>
        <w:rPr>
          <w:szCs w:val="26"/>
        </w:rPr>
      </w:pPr>
      <w:bookmarkStart w:name="_Hlk205217098" w:id="4"/>
      <w:r w:rsidRPr="00BB37A6">
        <w:rPr>
          <w:szCs w:val="26"/>
        </w:rPr>
        <w:t xml:space="preserve">PG&amp;E claims that the Decision violates the Due Process Clause of the </w:t>
      </w:r>
      <w:r w:rsidRPr="00BB37A6" w:rsidR="005835F0">
        <w:rPr>
          <w:szCs w:val="26"/>
        </w:rPr>
        <w:t xml:space="preserve">U.S. Constitution’s </w:t>
      </w:r>
      <w:r w:rsidRPr="00BB37A6">
        <w:rPr>
          <w:szCs w:val="26"/>
        </w:rPr>
        <w:t>Fourteenth Amendment.  (App. Rehg. at 30-31.)  Rate regulation may implicate the Due Process Clause when a rate is “arbitrary, discriminatory, or demonstrably irrelevant to the policy the Legislature is free to adopt.”  (</w:t>
      </w:r>
      <w:r w:rsidRPr="00BB37A6">
        <w:rPr>
          <w:i/>
          <w:iCs/>
          <w:szCs w:val="26"/>
        </w:rPr>
        <w:t>Kavanau v. Santa Monica Rent Control Bd.</w:t>
      </w:r>
      <w:r w:rsidRPr="00BB37A6">
        <w:rPr>
          <w:szCs w:val="26"/>
        </w:rPr>
        <w:t xml:space="preserve"> (1997) 16 Cal.4th 761, 786 (J. Mosk, conc.), internal citation and quotations omitted.)  PG&amp;E argues that the combination of Energy Safety’s mandate that PG&amp;E perform the EVM work and the Commission’s disallowance for PG&amp;E’s completion of that work “bears no relationship to legitimate government purposes” and “is so arbitrary as to constitute a violation of due process.”  (</w:t>
      </w:r>
      <w:r w:rsidRPr="00BB37A6">
        <w:rPr>
          <w:i/>
          <w:iCs/>
          <w:szCs w:val="26"/>
        </w:rPr>
        <w:t>Id.</w:t>
      </w:r>
      <w:r w:rsidRPr="00BB37A6">
        <w:rPr>
          <w:szCs w:val="26"/>
        </w:rPr>
        <w:t xml:space="preserve"> at 31.)  </w:t>
      </w:r>
    </w:p>
    <w:p w:rsidRPr="00BB37A6" w:rsidR="00B669AB" w:rsidP="00B252BB" w:rsidRDefault="00B669AB" w14:paraId="323D88F9" w14:textId="5C46367D">
      <w:pPr>
        <w:spacing w:line="360" w:lineRule="auto"/>
        <w:ind w:firstLine="1440"/>
        <w:rPr>
          <w:szCs w:val="26"/>
        </w:rPr>
      </w:pPr>
      <w:r w:rsidRPr="00BB37A6">
        <w:rPr>
          <w:szCs w:val="26"/>
        </w:rPr>
        <w:t>PG&amp;E mischaracterizes the Decision’s basis for the disallowance and overstates Energy Safety’s decision approving its 2022 Update.</w:t>
      </w:r>
      <w:r w:rsidRPr="00BB37A6" w:rsidR="00B252BB">
        <w:rPr>
          <w:szCs w:val="26"/>
        </w:rPr>
        <w:t xml:space="preserve">  </w:t>
      </w:r>
      <w:r w:rsidRPr="00BB37A6">
        <w:rPr>
          <w:szCs w:val="26"/>
        </w:rPr>
        <w:t xml:space="preserve">The Decision was based on PG&amp;E’s imprudent conduct that resulted in unreasonable EVM program costs.  As </w:t>
      </w:r>
      <w:r w:rsidRPr="00BB37A6" w:rsidR="003D0FB9">
        <w:rPr>
          <w:szCs w:val="26"/>
        </w:rPr>
        <w:t xml:space="preserve">already </w:t>
      </w:r>
      <w:r w:rsidRPr="00BB37A6">
        <w:rPr>
          <w:szCs w:val="26"/>
        </w:rPr>
        <w:t xml:space="preserve">addressed, this basis is neither arbitrary </w:t>
      </w:r>
      <w:r w:rsidRPr="00BB37A6" w:rsidR="00EE4E4C">
        <w:rPr>
          <w:szCs w:val="26"/>
        </w:rPr>
        <w:t>n</w:t>
      </w:r>
      <w:r w:rsidRPr="00BB37A6">
        <w:rPr>
          <w:szCs w:val="26"/>
        </w:rPr>
        <w:t xml:space="preserve">or capricious nor unrelated to </w:t>
      </w:r>
      <w:r w:rsidRPr="00BB37A6" w:rsidR="008458FD">
        <w:rPr>
          <w:szCs w:val="26"/>
        </w:rPr>
        <w:t>our</w:t>
      </w:r>
      <w:r w:rsidRPr="00BB37A6">
        <w:rPr>
          <w:szCs w:val="26"/>
        </w:rPr>
        <w:t xml:space="preserve"> </w:t>
      </w:r>
      <w:r w:rsidRPr="00BB37A6">
        <w:rPr>
          <w:szCs w:val="26"/>
        </w:rPr>
        <w:lastRenderedPageBreak/>
        <w:t xml:space="preserve">legitimate cost review jurisdiction.  </w:t>
      </w:r>
      <w:r w:rsidRPr="00BB37A6" w:rsidR="00EA40AF">
        <w:rPr>
          <w:szCs w:val="26"/>
        </w:rPr>
        <w:t>As also addressed above</w:t>
      </w:r>
      <w:r w:rsidRPr="00BB37A6">
        <w:rPr>
          <w:szCs w:val="26"/>
        </w:rPr>
        <w:t>, Energy Safety did not order PG&amp;E to blindly implement its 2022 Update and instead directed further examination and continued improvement in the EVM program.  (</w:t>
      </w:r>
      <w:r w:rsidRPr="00BB37A6" w:rsidR="00EA40AF">
        <w:rPr>
          <w:szCs w:val="26"/>
        </w:rPr>
        <w:t>See also</w:t>
      </w:r>
      <w:r w:rsidRPr="00BB37A6">
        <w:rPr>
          <w:szCs w:val="26"/>
        </w:rPr>
        <w:t xml:space="preserve"> TURN Response at 19.)  Thus, PG&amp;E’s due process claim</w:t>
      </w:r>
      <w:bookmarkEnd w:id="4"/>
      <w:r w:rsidRPr="00BB37A6" w:rsidR="0025614C">
        <w:rPr>
          <w:szCs w:val="26"/>
        </w:rPr>
        <w:t xml:space="preserve"> lacks merit.</w:t>
      </w:r>
    </w:p>
    <w:p w:rsidRPr="00BB37A6" w:rsidR="006B125B" w:rsidP="00BF3792" w:rsidRDefault="006B125B" w14:paraId="1CFDC1E8" w14:textId="5BBC281C">
      <w:pPr>
        <w:pStyle w:val="Heading2"/>
        <w:ind w:left="1440"/>
        <w:rPr>
          <w:color w:val="000000" w:themeColor="text1"/>
          <w:szCs w:val="26"/>
        </w:rPr>
      </w:pPr>
      <w:r w:rsidRPr="00BB37A6">
        <w:rPr>
          <w:szCs w:val="26"/>
        </w:rPr>
        <w:t xml:space="preserve">The </w:t>
      </w:r>
      <w:r w:rsidRPr="00BB37A6" w:rsidR="00806C33">
        <w:rPr>
          <w:szCs w:val="26"/>
        </w:rPr>
        <w:t>Decision is not a tax on PG&amp;E’s shareholders</w:t>
      </w:r>
      <w:r w:rsidRPr="00BB37A6">
        <w:rPr>
          <w:szCs w:val="26"/>
        </w:rPr>
        <w:t xml:space="preserve">. </w:t>
      </w:r>
    </w:p>
    <w:p w:rsidRPr="00BB37A6" w:rsidR="003A5ED5" w:rsidP="001F3A2D" w:rsidRDefault="003A5ED5" w14:paraId="6864D063" w14:textId="3AD99E3E">
      <w:pPr>
        <w:spacing w:line="360" w:lineRule="auto"/>
        <w:ind w:firstLine="1440"/>
        <w:rPr>
          <w:szCs w:val="26"/>
        </w:rPr>
      </w:pPr>
      <w:r w:rsidRPr="00BB37A6">
        <w:rPr>
          <w:szCs w:val="26"/>
        </w:rPr>
        <w:t xml:space="preserve">In a footnote, PG&amp;E asserts that the “Decision might also be construed as a tax or regulatory fee paid </w:t>
      </w:r>
      <w:r w:rsidRPr="00BB37A6" w:rsidR="00054D2E">
        <w:rPr>
          <w:szCs w:val="26"/>
        </w:rPr>
        <w:t xml:space="preserve">by </w:t>
      </w:r>
      <w:r w:rsidRPr="00BB37A6">
        <w:rPr>
          <w:szCs w:val="26"/>
        </w:rPr>
        <w:t>PG&amp;E’s shareholders,” which “would be an unlawful assessment, as it was not voted on by the Legislature.”  (App. Rehg. at 29, fn. 109.)</w:t>
      </w:r>
      <w:r w:rsidRPr="00BB37A6" w:rsidR="009D7482">
        <w:rPr>
          <w:szCs w:val="26"/>
        </w:rPr>
        <w:t xml:space="preserve">  We decline to </w:t>
      </w:r>
      <w:r w:rsidRPr="00BB37A6" w:rsidR="00134EC3">
        <w:rPr>
          <w:szCs w:val="26"/>
        </w:rPr>
        <w:t>develop</w:t>
      </w:r>
      <w:r w:rsidRPr="00BB37A6" w:rsidR="009D7482">
        <w:rPr>
          <w:szCs w:val="26"/>
        </w:rPr>
        <w:t xml:space="preserve"> </w:t>
      </w:r>
      <w:r w:rsidRPr="00BB37A6">
        <w:rPr>
          <w:szCs w:val="26"/>
        </w:rPr>
        <w:t xml:space="preserve">PG&amp;E’s vague and </w:t>
      </w:r>
      <w:r w:rsidRPr="00BB37A6" w:rsidR="0089554F">
        <w:rPr>
          <w:szCs w:val="26"/>
        </w:rPr>
        <w:t xml:space="preserve">conclusory </w:t>
      </w:r>
      <w:r w:rsidRPr="00BB37A6" w:rsidR="009D7482">
        <w:rPr>
          <w:szCs w:val="26"/>
        </w:rPr>
        <w:t>claim.</w:t>
      </w:r>
      <w:r w:rsidRPr="00BB37A6">
        <w:rPr>
          <w:szCs w:val="26"/>
        </w:rPr>
        <w:t xml:space="preserve">  (See § 1732; cf. </w:t>
      </w:r>
      <w:r w:rsidRPr="00BB37A6">
        <w:rPr>
          <w:i/>
          <w:iCs/>
          <w:szCs w:val="26"/>
        </w:rPr>
        <w:t>Volcano Telephone Co. v. Public Utilities Com.</w:t>
      </w:r>
      <w:r w:rsidRPr="00BB37A6">
        <w:rPr>
          <w:szCs w:val="26"/>
        </w:rPr>
        <w:t xml:space="preserve"> (2025) 109 Cal.App.5th 701, 718 [courts do not need to research and develop petitioner’s claims].)</w:t>
      </w:r>
      <w:r w:rsidRPr="00BB37A6" w:rsidR="009D7482">
        <w:rPr>
          <w:szCs w:val="26"/>
        </w:rPr>
        <w:t xml:space="preserve"> </w:t>
      </w:r>
      <w:r w:rsidRPr="00BB37A6" w:rsidR="006E033C">
        <w:rPr>
          <w:szCs w:val="26"/>
        </w:rPr>
        <w:t xml:space="preserve"> PG&amp;E’s </w:t>
      </w:r>
      <w:r w:rsidRPr="00BB37A6" w:rsidR="001F3A2D">
        <w:rPr>
          <w:szCs w:val="26"/>
        </w:rPr>
        <w:t xml:space="preserve">claim not only lacks the necessary development, </w:t>
      </w:r>
      <w:proofErr w:type="gramStart"/>
      <w:r w:rsidRPr="00BB37A6" w:rsidR="001F3A2D">
        <w:rPr>
          <w:szCs w:val="26"/>
        </w:rPr>
        <w:t>it</w:t>
      </w:r>
      <w:proofErr w:type="gramEnd"/>
      <w:r w:rsidRPr="00BB37A6" w:rsidR="001F3A2D">
        <w:rPr>
          <w:szCs w:val="26"/>
        </w:rPr>
        <w:t xml:space="preserve"> lacks any basis in the law or facts.  (See </w:t>
      </w:r>
      <w:r w:rsidRPr="00BB37A6">
        <w:rPr>
          <w:i/>
          <w:szCs w:val="26"/>
        </w:rPr>
        <w:t xml:space="preserve">Southern California Edison Co. v. Public Utilities Com. </w:t>
      </w:r>
      <w:r w:rsidRPr="00BB37A6">
        <w:rPr>
          <w:szCs w:val="26"/>
        </w:rPr>
        <w:t xml:space="preserve">(2014) 227 Cal.App.4th 172, </w:t>
      </w:r>
      <w:r w:rsidRPr="00BB37A6" w:rsidR="001F3A2D">
        <w:rPr>
          <w:szCs w:val="26"/>
        </w:rPr>
        <w:t>197-201.)</w:t>
      </w:r>
    </w:p>
    <w:p w:rsidRPr="00BB37A6" w:rsidR="0088628C" w:rsidP="0088628C" w:rsidRDefault="0088628C" w14:paraId="2EC8248E" w14:textId="77777777">
      <w:pPr>
        <w:pStyle w:val="Heading1"/>
        <w:spacing w:before="0"/>
      </w:pPr>
      <w:r w:rsidRPr="00BB37A6">
        <w:t xml:space="preserve">CONCLUSION </w:t>
      </w:r>
    </w:p>
    <w:p w:rsidRPr="00BB37A6" w:rsidR="0088628C" w:rsidP="0088628C" w:rsidRDefault="0088628C" w14:paraId="4F2F1EA5" w14:textId="52306B2B">
      <w:pPr>
        <w:pStyle w:val="BodyText10"/>
        <w:ind w:firstLine="1440"/>
        <w:rPr>
          <w:szCs w:val="26"/>
        </w:rPr>
      </w:pPr>
      <w:r w:rsidRPr="00BB37A6">
        <w:rPr>
          <w:szCs w:val="26"/>
        </w:rPr>
        <w:t>For the reasons discussed above, we have determined that good cause has not been demonstrated to grant rehearing of the Decision, as no legal error has been shown.  We therefore affirm the Decision</w:t>
      </w:r>
      <w:r w:rsidRPr="00BB37A6" w:rsidR="006F423B">
        <w:rPr>
          <w:szCs w:val="26"/>
        </w:rPr>
        <w:t>, with one clarifying modification</w:t>
      </w:r>
      <w:r w:rsidRPr="00BB37A6">
        <w:rPr>
          <w:szCs w:val="26"/>
        </w:rPr>
        <w:t xml:space="preserve">. </w:t>
      </w:r>
    </w:p>
    <w:p w:rsidRPr="00BB37A6" w:rsidR="0088628C" w:rsidP="0088628C" w:rsidRDefault="0088628C" w14:paraId="5DB78F95" w14:textId="77777777">
      <w:pPr>
        <w:tabs>
          <w:tab w:val="clear" w:pos="5040"/>
        </w:tabs>
        <w:overflowPunct/>
        <w:autoSpaceDE/>
        <w:autoSpaceDN/>
        <w:adjustRightInd/>
        <w:spacing w:line="360" w:lineRule="auto"/>
        <w:ind w:right="-630" w:firstLine="1440"/>
        <w:textAlignment w:val="auto"/>
        <w:rPr>
          <w:szCs w:val="26"/>
        </w:rPr>
      </w:pPr>
      <w:r w:rsidRPr="00BB37A6">
        <w:rPr>
          <w:b/>
          <w:szCs w:val="26"/>
        </w:rPr>
        <w:t>THEREFORE, IT IS ORDERED</w:t>
      </w:r>
      <w:r w:rsidRPr="00BB37A6">
        <w:rPr>
          <w:szCs w:val="26"/>
        </w:rPr>
        <w:t xml:space="preserve"> that: </w:t>
      </w:r>
    </w:p>
    <w:p w:rsidR="00CF4C53" w:rsidP="00C61C06" w:rsidRDefault="0088628C" w14:paraId="5F63327D" w14:textId="77777777">
      <w:pPr>
        <w:tabs>
          <w:tab w:val="clear" w:pos="5040"/>
        </w:tabs>
        <w:overflowPunct/>
        <w:autoSpaceDE/>
        <w:autoSpaceDN/>
        <w:adjustRightInd/>
        <w:spacing w:line="360" w:lineRule="auto"/>
        <w:ind w:firstLine="720"/>
        <w:textAlignment w:val="auto"/>
        <w:rPr>
          <w:szCs w:val="26"/>
        </w:rPr>
      </w:pPr>
      <w:r w:rsidRPr="00BB37A6">
        <w:rPr>
          <w:szCs w:val="26"/>
        </w:rPr>
        <w:t>1.</w:t>
      </w:r>
      <w:r w:rsidRPr="00BB37A6">
        <w:rPr>
          <w:szCs w:val="26"/>
        </w:rPr>
        <w:tab/>
      </w:r>
      <w:r w:rsidRPr="00BB37A6" w:rsidR="009109D5">
        <w:rPr>
          <w:szCs w:val="26"/>
        </w:rPr>
        <w:t>T</w:t>
      </w:r>
      <w:r w:rsidRPr="00BB37A6" w:rsidR="00BD799A">
        <w:rPr>
          <w:szCs w:val="26"/>
        </w:rPr>
        <w:t>he last sentence in the first full paragraph on page 65</w:t>
      </w:r>
      <w:r w:rsidRPr="00BB37A6" w:rsidR="009109D5">
        <w:rPr>
          <w:szCs w:val="26"/>
        </w:rPr>
        <w:t xml:space="preserve"> of Decision </w:t>
      </w:r>
      <w:r w:rsidR="00CF4C53">
        <w:rPr>
          <w:szCs w:val="26"/>
        </w:rPr>
        <w:br/>
      </w:r>
      <w:r w:rsidRPr="00BB37A6" w:rsidR="009109D5">
        <w:rPr>
          <w:szCs w:val="26"/>
        </w:rPr>
        <w:t>26-02-004 is modified</w:t>
      </w:r>
      <w:r w:rsidRPr="00BB37A6" w:rsidR="00BD799A">
        <w:rPr>
          <w:szCs w:val="26"/>
        </w:rPr>
        <w:t xml:space="preserve"> to read: </w:t>
      </w:r>
    </w:p>
    <w:p w:rsidRPr="00BB37A6" w:rsidR="003425F1" w:rsidP="00CF4C53" w:rsidRDefault="00BD799A" w14:paraId="1A22AA64" w14:textId="6D3D2FE4">
      <w:pPr>
        <w:tabs>
          <w:tab w:val="clear" w:pos="5040"/>
        </w:tabs>
        <w:overflowPunct/>
        <w:autoSpaceDE/>
        <w:autoSpaceDN/>
        <w:adjustRightInd/>
        <w:spacing w:after="240"/>
        <w:ind w:left="1440" w:right="1440"/>
        <w:textAlignment w:val="auto"/>
        <w:rPr>
          <w:szCs w:val="26"/>
        </w:rPr>
      </w:pPr>
      <w:r w:rsidRPr="00BB37A6">
        <w:rPr>
          <w:szCs w:val="26"/>
        </w:rPr>
        <w:t>“PG&amp;E also does not assert that in view of this knowledge it came to the Commission or OEIS to seek a change in its EVM program, despite what was in its WMP or the EOE Resolution</w:t>
      </w:r>
      <w:r w:rsidRPr="00BB37A6" w:rsidR="003425F1">
        <w:rPr>
          <w:szCs w:val="26"/>
        </w:rPr>
        <w:t>.”</w:t>
      </w:r>
    </w:p>
    <w:p w:rsidRPr="00BB37A6" w:rsidR="0088628C" w:rsidP="0088628C" w:rsidRDefault="00120730" w14:paraId="660C39B1" w14:textId="3CD4A3FB">
      <w:pPr>
        <w:tabs>
          <w:tab w:val="clear" w:pos="5040"/>
        </w:tabs>
        <w:overflowPunct/>
        <w:autoSpaceDE/>
        <w:autoSpaceDN/>
        <w:adjustRightInd/>
        <w:spacing w:line="360" w:lineRule="auto"/>
        <w:ind w:right="-630" w:firstLine="720"/>
        <w:textAlignment w:val="auto"/>
        <w:rPr>
          <w:szCs w:val="26"/>
        </w:rPr>
      </w:pPr>
      <w:r w:rsidRPr="00BB37A6">
        <w:rPr>
          <w:szCs w:val="26"/>
        </w:rPr>
        <w:t xml:space="preserve">2. </w:t>
      </w:r>
      <w:r w:rsidRPr="00BB37A6">
        <w:rPr>
          <w:szCs w:val="26"/>
        </w:rPr>
        <w:tab/>
      </w:r>
      <w:r w:rsidRPr="00BB37A6" w:rsidR="0088628C">
        <w:rPr>
          <w:szCs w:val="26"/>
        </w:rPr>
        <w:t xml:space="preserve">Rehearing of Decision </w:t>
      </w:r>
      <w:r w:rsidRPr="00BB37A6">
        <w:rPr>
          <w:szCs w:val="26"/>
        </w:rPr>
        <w:t>26-02-004</w:t>
      </w:r>
      <w:r w:rsidRPr="00BB37A6" w:rsidR="00694DFE">
        <w:rPr>
          <w:szCs w:val="26"/>
        </w:rPr>
        <w:t>, as modified,</w:t>
      </w:r>
      <w:r w:rsidRPr="00BB37A6" w:rsidR="0088628C">
        <w:rPr>
          <w:szCs w:val="26"/>
        </w:rPr>
        <w:t xml:space="preserve"> is denied.</w:t>
      </w:r>
    </w:p>
    <w:p w:rsidRPr="00BB37A6" w:rsidR="0088628C" w:rsidP="0088628C" w:rsidRDefault="00120730" w14:paraId="7E0E3116" w14:textId="72202148">
      <w:pPr>
        <w:tabs>
          <w:tab w:val="clear" w:pos="5040"/>
        </w:tabs>
        <w:overflowPunct/>
        <w:autoSpaceDE/>
        <w:autoSpaceDN/>
        <w:adjustRightInd/>
        <w:spacing w:line="360" w:lineRule="auto"/>
        <w:ind w:right="-630" w:firstLine="720"/>
        <w:textAlignment w:val="auto"/>
        <w:rPr>
          <w:b/>
          <w:bCs/>
          <w:szCs w:val="26"/>
        </w:rPr>
      </w:pPr>
      <w:r w:rsidRPr="00BB37A6">
        <w:rPr>
          <w:szCs w:val="26"/>
        </w:rPr>
        <w:t>3</w:t>
      </w:r>
      <w:r w:rsidRPr="00BB37A6" w:rsidR="0088628C">
        <w:rPr>
          <w:szCs w:val="26"/>
        </w:rPr>
        <w:t>.</w:t>
      </w:r>
      <w:r w:rsidRPr="00BB37A6" w:rsidR="0088628C">
        <w:rPr>
          <w:szCs w:val="26"/>
        </w:rPr>
        <w:tab/>
        <w:t xml:space="preserve">This proceeding, Application </w:t>
      </w:r>
      <w:r w:rsidRPr="00BB37A6">
        <w:rPr>
          <w:szCs w:val="26"/>
        </w:rPr>
        <w:t>23-12-001</w:t>
      </w:r>
      <w:r w:rsidRPr="00BB37A6" w:rsidR="0088628C">
        <w:rPr>
          <w:szCs w:val="26"/>
        </w:rPr>
        <w:t>, is closed.</w:t>
      </w:r>
    </w:p>
    <w:p w:rsidRPr="00BB37A6" w:rsidR="0088628C" w:rsidP="0088628C" w:rsidRDefault="0088628C" w14:paraId="017E0784" w14:textId="5D31EFF1">
      <w:pPr>
        <w:tabs>
          <w:tab w:val="clear" w:pos="5040"/>
        </w:tabs>
        <w:overflowPunct/>
        <w:autoSpaceDE/>
        <w:autoSpaceDN/>
        <w:adjustRightInd/>
        <w:spacing w:after="120"/>
        <w:ind w:left="720" w:right="-634" w:firstLine="720"/>
        <w:textAlignment w:val="auto"/>
        <w:rPr>
          <w:szCs w:val="26"/>
        </w:rPr>
      </w:pPr>
      <w:r w:rsidRPr="00BB37A6">
        <w:rPr>
          <w:szCs w:val="26"/>
        </w:rPr>
        <w:t>This order is effective today.</w:t>
      </w:r>
    </w:p>
    <w:p w:rsidR="00AB5322" w:rsidRDefault="00AB5322" w14:paraId="369860F4" w14:textId="77777777">
      <w:pPr>
        <w:tabs>
          <w:tab w:val="clear" w:pos="5040"/>
        </w:tabs>
        <w:overflowPunct/>
        <w:autoSpaceDE/>
        <w:autoSpaceDN/>
        <w:adjustRightInd/>
        <w:textAlignment w:val="auto"/>
        <w:rPr>
          <w:rFonts w:ascii="Book Antiqua" w:hAnsi="Book Antiqua" w:eastAsiaTheme="minorHAnsi" w:cstheme="minorBidi"/>
          <w:szCs w:val="26"/>
        </w:rPr>
      </w:pPr>
      <w:r>
        <w:rPr>
          <w:szCs w:val="26"/>
        </w:rPr>
        <w:br w:type="page"/>
      </w:r>
    </w:p>
    <w:p w:rsidR="00AB5322" w:rsidP="00AB5322" w:rsidRDefault="0088628C" w14:paraId="79DC89AD" w14:textId="77777777">
      <w:pPr>
        <w:tabs>
          <w:tab w:val="clear" w:pos="5040"/>
        </w:tabs>
        <w:ind w:left="1440"/>
        <w:rPr>
          <w:szCs w:val="26"/>
        </w:rPr>
      </w:pPr>
      <w:r w:rsidRPr="00BB37A6">
        <w:rPr>
          <w:szCs w:val="26"/>
        </w:rPr>
        <w:lastRenderedPageBreak/>
        <w:t>Dated</w:t>
      </w:r>
      <w:r w:rsidR="00FE5930">
        <w:rPr>
          <w:szCs w:val="26"/>
        </w:rPr>
        <w:t xml:space="preserve"> August 13,</w:t>
      </w:r>
      <w:r w:rsidRPr="00BB37A6">
        <w:rPr>
          <w:szCs w:val="26"/>
        </w:rPr>
        <w:t xml:space="preserve"> 202</w:t>
      </w:r>
      <w:r w:rsidRPr="00BB37A6" w:rsidR="00120730">
        <w:rPr>
          <w:szCs w:val="26"/>
        </w:rPr>
        <w:t>6</w:t>
      </w:r>
      <w:r w:rsidRPr="00BB37A6">
        <w:rPr>
          <w:szCs w:val="26"/>
        </w:rPr>
        <w:t>,</w:t>
      </w:r>
      <w:r w:rsidRPr="00BB37A6" w:rsidR="00924C88">
        <w:rPr>
          <w:szCs w:val="26"/>
        </w:rPr>
        <w:t xml:space="preserve"> San Francisco</w:t>
      </w:r>
      <w:r w:rsidRPr="00BB37A6">
        <w:rPr>
          <w:szCs w:val="26"/>
        </w:rPr>
        <w:t>, California.</w:t>
      </w:r>
    </w:p>
    <w:p w:rsidR="00AB5322" w:rsidP="00AB5322" w:rsidRDefault="00AB5322" w14:paraId="754E92CF" w14:textId="77777777">
      <w:pPr>
        <w:tabs>
          <w:tab w:val="clear" w:pos="5040"/>
        </w:tabs>
        <w:ind w:left="-90"/>
        <w:rPr>
          <w:szCs w:val="26"/>
        </w:rPr>
      </w:pPr>
    </w:p>
    <w:p w:rsidR="00AB5322" w:rsidP="00AB5322" w:rsidRDefault="00AB5322" w14:paraId="0CBA5B19" w14:textId="77777777">
      <w:pPr>
        <w:tabs>
          <w:tab w:val="clear" w:pos="5040"/>
        </w:tabs>
        <w:ind w:left="-90"/>
        <w:rPr>
          <w:szCs w:val="26"/>
        </w:rPr>
      </w:pPr>
    </w:p>
    <w:p w:rsidRPr="00E57593" w:rsidR="00AB5322" w:rsidP="00AB5322" w:rsidRDefault="00AB5322" w14:paraId="20DA457F" w14:textId="62630B6E">
      <w:pPr>
        <w:tabs>
          <w:tab w:val="clear" w:pos="5040"/>
        </w:tabs>
        <w:ind w:left="4230" w:firstLine="810"/>
      </w:pPr>
      <w:r w:rsidRPr="00E57593">
        <w:t>JOHN REYNOLDS</w:t>
      </w:r>
    </w:p>
    <w:p w:rsidRPr="00E50242" w:rsidR="00AB5322" w:rsidP="00AB5322" w:rsidRDefault="00AB5322" w14:paraId="70A8CCD6" w14:textId="77777777">
      <w:pPr>
        <w:pStyle w:val="standard"/>
        <w:spacing w:line="240" w:lineRule="auto"/>
        <w:ind w:left="5040" w:firstLine="0"/>
        <w:rPr>
          <w:rFonts w:ascii="Times New Roman" w:hAnsi="Times New Roman"/>
        </w:rPr>
      </w:pPr>
      <w:r w:rsidRPr="00E50242">
        <w:rPr>
          <w:rFonts w:ascii="Times New Roman" w:hAnsi="Times New Roman"/>
        </w:rPr>
        <w:t xml:space="preserve">                       President</w:t>
      </w:r>
    </w:p>
    <w:p w:rsidR="00AB5322" w:rsidP="00AB5322" w:rsidRDefault="00AB5322" w14:paraId="16C71452" w14:textId="77777777">
      <w:pPr>
        <w:pStyle w:val="standard"/>
        <w:tabs>
          <w:tab w:val="left" w:pos="8220"/>
        </w:tabs>
        <w:spacing w:line="240" w:lineRule="auto"/>
        <w:ind w:left="5040" w:firstLine="0"/>
        <w:rPr>
          <w:rFonts w:ascii="Times New Roman" w:hAnsi="Times New Roman"/>
        </w:rPr>
      </w:pPr>
      <w:r>
        <w:rPr>
          <w:rFonts w:ascii="Times New Roman" w:hAnsi="Times New Roman"/>
        </w:rPr>
        <w:t>DARCIE L. HOUCK</w:t>
      </w:r>
    </w:p>
    <w:p w:rsidR="00AB5322" w:rsidP="00AB5322" w:rsidRDefault="00AB5322" w14:paraId="6E635AE3" w14:textId="77777777">
      <w:pPr>
        <w:pStyle w:val="standard"/>
        <w:spacing w:line="240" w:lineRule="auto"/>
        <w:ind w:left="5040" w:firstLine="0"/>
        <w:rPr>
          <w:rFonts w:ascii="Times New Roman" w:hAnsi="Times New Roman"/>
        </w:rPr>
      </w:pPr>
      <w:r>
        <w:rPr>
          <w:rFonts w:ascii="Times New Roman" w:hAnsi="Times New Roman"/>
        </w:rPr>
        <w:t>KAREN DOUGLAS</w:t>
      </w:r>
    </w:p>
    <w:p w:rsidR="00AB5322" w:rsidP="00AB5322" w:rsidRDefault="00AB5322" w14:paraId="74A2B325" w14:textId="77777777">
      <w:pPr>
        <w:pStyle w:val="standard"/>
        <w:spacing w:line="240" w:lineRule="auto"/>
        <w:ind w:left="5040" w:firstLine="0"/>
        <w:rPr>
          <w:rFonts w:ascii="Times New Roman" w:hAnsi="Times New Roman"/>
        </w:rPr>
      </w:pPr>
      <w:r>
        <w:rPr>
          <w:rFonts w:ascii="Times New Roman" w:hAnsi="Times New Roman"/>
        </w:rPr>
        <w:t>CHRISTINE HARADA</w:t>
      </w:r>
    </w:p>
    <w:p w:rsidR="00AB5322" w:rsidP="00AB5322" w:rsidRDefault="00AB5322" w14:paraId="20BF75E0" w14:textId="77777777">
      <w:pPr>
        <w:pStyle w:val="standard"/>
        <w:spacing w:line="240" w:lineRule="auto"/>
        <w:ind w:left="5040" w:firstLine="0"/>
        <w:rPr>
          <w:rFonts w:ascii="Times New Roman" w:hAnsi="Times New Roman"/>
        </w:rPr>
      </w:pPr>
      <w:r w:rsidRPr="00E50242">
        <w:rPr>
          <w:rFonts w:ascii="Times New Roman" w:hAnsi="Times New Roman"/>
        </w:rPr>
        <w:t xml:space="preserve">                       Commissioners</w:t>
      </w:r>
    </w:p>
    <w:p w:rsidRPr="007A3397" w:rsidR="00AB5322" w:rsidP="00AB5322" w:rsidRDefault="00AB5322" w14:paraId="6C19C759" w14:textId="77777777">
      <w:pPr>
        <w:pStyle w:val="standard"/>
        <w:spacing w:line="240" w:lineRule="auto"/>
        <w:ind w:left="5040" w:firstLine="0"/>
        <w:rPr>
          <w:rFonts w:ascii="Times New Roman" w:hAnsi="Times New Roman"/>
          <w:sz w:val="20"/>
        </w:rPr>
      </w:pPr>
    </w:p>
    <w:p w:rsidR="00AB5322" w:rsidP="00AB5322" w:rsidRDefault="00AB5322" w14:paraId="34018B48" w14:textId="77777777">
      <w:pPr>
        <w:ind w:left="5040"/>
      </w:pPr>
      <w:r w:rsidRPr="003624C4">
        <w:t>Commissioner Matthew Baker recused himself and did not participate in the vote of this item.</w:t>
      </w:r>
    </w:p>
    <w:p w:rsidRPr="00BB37A6" w:rsidR="002A1BAD" w:rsidP="00AB5322" w:rsidRDefault="002A1BAD" w14:paraId="62CF84E3" w14:textId="3A491D00">
      <w:pPr>
        <w:pStyle w:val="Standard0"/>
        <w:overflowPunct w:val="0"/>
        <w:rPr>
          <w:szCs w:val="26"/>
        </w:rPr>
      </w:pPr>
    </w:p>
    <w:sectPr w:rsidRPr="00BB37A6" w:rsidR="002A1BAD" w:rsidSect="00656192">
      <w:headerReference w:type="default" r:id="rId14"/>
      <w:footerReference w:type="default" r:id="rId15"/>
      <w:headerReference w:type="first" r:id="rId16"/>
      <w:footerReference w:type="first" r:id="rId17"/>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31DAD" w14:textId="77777777" w:rsidR="00D37E92" w:rsidRDefault="00D37E92">
      <w:r>
        <w:separator/>
      </w:r>
    </w:p>
  </w:endnote>
  <w:endnote w:type="continuationSeparator" w:id="0">
    <w:p w14:paraId="39046504" w14:textId="77777777" w:rsidR="00D37E92" w:rsidRDefault="00D37E92">
      <w:r>
        <w:continuationSeparator/>
      </w:r>
    </w:p>
  </w:endnote>
  <w:endnote w:type="continuationNotice" w:id="1">
    <w:p w14:paraId="491A5372" w14:textId="77777777" w:rsidR="00D37E92" w:rsidRDefault="00D37E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charset w:val="00"/>
    <w:family w:val="auto"/>
    <w:pitch w:val="variable"/>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946675"/>
      <w:docPartObj>
        <w:docPartGallery w:val="Page Numbers (Bottom of Page)"/>
        <w:docPartUnique/>
      </w:docPartObj>
    </w:sdtPr>
    <w:sdtEndPr>
      <w:rPr>
        <w:noProof/>
      </w:rPr>
    </w:sdtEndPr>
    <w:sdtContent>
      <w:p w14:paraId="444BB809" w14:textId="7C73CEBB" w:rsidR="00CE63A7" w:rsidRDefault="007D1048" w:rsidP="007D1048">
        <w:pPr>
          <w:pStyle w:val="Footer"/>
        </w:pPr>
        <w:r>
          <w:rPr>
            <w:sz w:val="20"/>
            <w:szCs w:val="20"/>
          </w:rPr>
          <w:tab/>
        </w:r>
        <w:r w:rsidR="00CE63A7">
          <w:fldChar w:fldCharType="begin"/>
        </w:r>
        <w:r w:rsidR="00CE63A7">
          <w:instrText xml:space="preserve"> PAGE   \* MERGEFORMAT </w:instrText>
        </w:r>
        <w:r w:rsidR="00CE63A7">
          <w:fldChar w:fldCharType="separate"/>
        </w:r>
        <w:r w:rsidR="005D14C5">
          <w:rPr>
            <w:noProof/>
          </w:rPr>
          <w:t>26</w:t>
        </w:r>
        <w:r w:rsidR="00CE63A7">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946676"/>
      <w:docPartObj>
        <w:docPartGallery w:val="Page Numbers (Bottom of Page)"/>
        <w:docPartUnique/>
      </w:docPartObj>
    </w:sdtPr>
    <w:sdtEndPr>
      <w:rPr>
        <w:noProof/>
      </w:rPr>
    </w:sdtEndPr>
    <w:sdtContent>
      <w:p w14:paraId="38DD0D6F" w14:textId="367C85FE" w:rsidR="00CE63A7" w:rsidRDefault="00C17503" w:rsidP="009B7F7F">
        <w:pPr>
          <w:pStyle w:val="Footer"/>
          <w:tabs>
            <w:tab w:val="clear" w:pos="5040"/>
            <w:tab w:val="clear" w:pos="8640"/>
          </w:tabs>
        </w:pPr>
        <w:r w:rsidRPr="00C17503">
          <w:rPr>
            <w:sz w:val="20"/>
            <w:szCs w:val="20"/>
          </w:rPr>
          <w:t>614852634</w:t>
        </w:r>
        <w:r w:rsidR="00AC5F67">
          <w:tab/>
        </w:r>
        <w:r w:rsidR="00CE63A7">
          <w:fldChar w:fldCharType="begin"/>
        </w:r>
        <w:r w:rsidR="00CE63A7">
          <w:instrText xml:space="preserve"> PAGE   \* MERGEFORMAT </w:instrText>
        </w:r>
        <w:r w:rsidR="00CE63A7">
          <w:fldChar w:fldCharType="separate"/>
        </w:r>
        <w:r w:rsidR="005D14C5">
          <w:rPr>
            <w:noProof/>
          </w:rPr>
          <w:t>1</w:t>
        </w:r>
        <w:r w:rsidR="00CE63A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1E035" w14:textId="77777777" w:rsidR="00D37E92" w:rsidRDefault="00D37E92" w:rsidP="00272E32">
      <w:pPr>
        <w:spacing w:after="100"/>
      </w:pPr>
      <w:r>
        <w:separator/>
      </w:r>
    </w:p>
  </w:footnote>
  <w:footnote w:type="continuationSeparator" w:id="0">
    <w:p w14:paraId="02705327" w14:textId="77777777" w:rsidR="00D37E92" w:rsidRDefault="00D37E92">
      <w:pPr>
        <w:rPr>
          <w:sz w:val="22"/>
        </w:rPr>
      </w:pPr>
      <w:r>
        <w:rPr>
          <w:sz w:val="22"/>
        </w:rPr>
        <w:separator/>
      </w:r>
    </w:p>
    <w:p w14:paraId="2A32B4AB" w14:textId="77777777" w:rsidR="00D37E92" w:rsidRDefault="00D37E92">
      <w:pPr>
        <w:pStyle w:val="Footer"/>
        <w:spacing w:before="120" w:after="120"/>
        <w:rPr>
          <w:i/>
          <w:sz w:val="22"/>
        </w:rPr>
      </w:pPr>
      <w:r>
        <w:rPr>
          <w:i/>
          <w:sz w:val="22"/>
        </w:rPr>
        <w:t>(footnote continued from previous page)</w:t>
      </w:r>
    </w:p>
  </w:footnote>
  <w:footnote w:type="continuationNotice" w:id="1">
    <w:p w14:paraId="090EE37B" w14:textId="77777777" w:rsidR="00D37E92" w:rsidRDefault="00D37E92">
      <w:pPr>
        <w:spacing w:before="120" w:after="120"/>
        <w:jc w:val="right"/>
        <w:rPr>
          <w:i/>
        </w:rPr>
      </w:pPr>
      <w:r>
        <w:rPr>
          <w:i/>
          <w:sz w:val="22"/>
        </w:rPr>
        <w:t>(footnote continued on next page)</w:t>
      </w:r>
    </w:p>
  </w:footnote>
  <w:footnote w:id="2">
    <w:p w14:paraId="6C678FD9" w14:textId="77777777" w:rsidR="0088628C" w:rsidRPr="00C925BE" w:rsidRDefault="0088628C" w:rsidP="0088628C">
      <w:pPr>
        <w:pStyle w:val="main"/>
        <w:spacing w:after="120" w:line="260" w:lineRule="exact"/>
        <w:jc w:val="left"/>
        <w:rPr>
          <w:rFonts w:ascii="Times New Roman" w:hAnsi="Times New Roman"/>
          <w:szCs w:val="26"/>
        </w:rPr>
      </w:pPr>
      <w:r w:rsidRPr="00C925BE">
        <w:rPr>
          <w:rStyle w:val="FootnoteReference"/>
          <w:b/>
          <w:sz w:val="26"/>
          <w:szCs w:val="26"/>
        </w:rPr>
        <w:footnoteRef/>
      </w:r>
      <w:r w:rsidRPr="00C925BE">
        <w:rPr>
          <w:rFonts w:ascii="Times New Roman" w:hAnsi="Times New Roman"/>
          <w:b w:val="0"/>
          <w:szCs w:val="26"/>
        </w:rPr>
        <w:t xml:space="preserve"> Unless otherwise noted, citations to Commission decisions issued after July 2000 are to the official pdf versions, which are available on the Commission’s website at: </w:t>
      </w:r>
      <w:hyperlink r:id="rId1" w:history="1">
        <w:r w:rsidRPr="00C925BE">
          <w:rPr>
            <w:rStyle w:val="Hyperlink"/>
            <w:rFonts w:ascii="Times New Roman" w:hAnsi="Times New Roman"/>
            <w:b w:val="0"/>
            <w:szCs w:val="26"/>
          </w:rPr>
          <w:t>http://docs.cpuc.ca.gov/DecisionsSearchForm.aspx</w:t>
        </w:r>
      </w:hyperlink>
      <w:r w:rsidRPr="00C925BE">
        <w:rPr>
          <w:rFonts w:ascii="Times New Roman" w:hAnsi="Times New Roman"/>
          <w:b w:val="0"/>
          <w:szCs w:val="26"/>
        </w:rPr>
        <w:t>.</w:t>
      </w:r>
    </w:p>
  </w:footnote>
  <w:footnote w:id="3">
    <w:p w14:paraId="4662DA9D" w14:textId="77777777" w:rsidR="00AD0DA2" w:rsidRPr="00C925BE" w:rsidRDefault="00AD0DA2" w:rsidP="00AD0DA2">
      <w:pPr>
        <w:pStyle w:val="main"/>
        <w:spacing w:after="120" w:line="260" w:lineRule="exact"/>
        <w:jc w:val="left"/>
        <w:rPr>
          <w:rFonts w:ascii="Times New Roman" w:hAnsi="Times New Roman"/>
          <w:szCs w:val="26"/>
        </w:rPr>
      </w:pPr>
      <w:r w:rsidRPr="00C925BE">
        <w:rPr>
          <w:rStyle w:val="FootnoteReference"/>
          <w:b/>
          <w:sz w:val="26"/>
          <w:szCs w:val="26"/>
        </w:rPr>
        <w:footnoteRef/>
      </w:r>
      <w:r w:rsidRPr="00C925BE">
        <w:rPr>
          <w:rFonts w:ascii="Times New Roman" w:hAnsi="Times New Roman"/>
          <w:b w:val="0"/>
          <w:szCs w:val="26"/>
        </w:rPr>
        <w:t xml:space="preserve"> A copy of the 2022 Update is available as Appendix A to Resolution SPD-9 (Dec. 16, 2022).</w:t>
      </w:r>
    </w:p>
  </w:footnote>
  <w:footnote w:id="4">
    <w:p w14:paraId="59698BAE" w14:textId="77777777" w:rsidR="00AD0DA2" w:rsidRPr="00C925BE" w:rsidRDefault="00AD0DA2" w:rsidP="00AD0DA2">
      <w:pPr>
        <w:spacing w:after="120" w:line="260" w:lineRule="exact"/>
        <w:rPr>
          <w:color w:val="000000" w:themeColor="text1"/>
          <w:szCs w:val="26"/>
          <w:shd w:val="clear" w:color="auto" w:fill="FFFFFF"/>
        </w:rPr>
      </w:pPr>
      <w:r w:rsidRPr="00C925BE">
        <w:rPr>
          <w:rStyle w:val="FootnoteReference"/>
          <w:bCs/>
          <w:color w:val="000000" w:themeColor="text1"/>
          <w:sz w:val="26"/>
          <w:szCs w:val="26"/>
        </w:rPr>
        <w:footnoteRef/>
      </w:r>
      <w:r w:rsidRPr="00C925BE">
        <w:rPr>
          <w:color w:val="000000" w:themeColor="text1"/>
          <w:szCs w:val="26"/>
        </w:rPr>
        <w:t xml:space="preserve"> </w:t>
      </w:r>
      <w:r w:rsidRPr="00C925BE">
        <w:rPr>
          <w:color w:val="000000" w:themeColor="text1"/>
          <w:szCs w:val="26"/>
          <w:shd w:val="clear" w:color="auto" w:fill="FFFFFF"/>
        </w:rPr>
        <w:t>Unless otherwise indicated, all subsequent section references are to the California Public Utilities Code.</w:t>
      </w:r>
    </w:p>
  </w:footnote>
  <w:footnote w:id="5">
    <w:p w14:paraId="08406D40" w14:textId="5983B95D" w:rsidR="004541AC" w:rsidRPr="00C925BE" w:rsidRDefault="004541AC" w:rsidP="004541AC">
      <w:pPr>
        <w:pStyle w:val="main"/>
        <w:spacing w:after="120" w:line="260" w:lineRule="exact"/>
        <w:jc w:val="left"/>
        <w:rPr>
          <w:rFonts w:ascii="Times New Roman" w:hAnsi="Times New Roman"/>
          <w:szCs w:val="26"/>
        </w:rPr>
      </w:pPr>
      <w:r w:rsidRPr="00C925BE">
        <w:rPr>
          <w:rStyle w:val="FootnoteReference"/>
          <w:b/>
          <w:sz w:val="26"/>
          <w:szCs w:val="26"/>
        </w:rPr>
        <w:footnoteRef/>
      </w:r>
      <w:r w:rsidRPr="00C925BE">
        <w:rPr>
          <w:rFonts w:ascii="Times New Roman" w:hAnsi="Times New Roman"/>
          <w:b w:val="0"/>
          <w:szCs w:val="26"/>
        </w:rPr>
        <w:t xml:space="preserve"> Unless otherwise noted, citations to the WMP statutory scheme in the Public Utilities Code and Government Code reflect the statutes in effect in 2022, the relevant time period for PG&amp;E’s 2022 Update.  The relevant Public Utilities Code provisions include the following: </w:t>
      </w:r>
      <w:r w:rsidR="00AD442F">
        <w:rPr>
          <w:rFonts w:ascii="Times New Roman" w:hAnsi="Times New Roman"/>
          <w:b w:val="0"/>
          <w:szCs w:val="26"/>
        </w:rPr>
        <w:t xml:space="preserve">section 451.1(c) (Stats. 2018, ch. 626 (AB 1513); </w:t>
      </w:r>
      <w:r w:rsidRPr="00C925BE">
        <w:rPr>
          <w:rFonts w:ascii="Times New Roman" w:hAnsi="Times New Roman"/>
          <w:b w:val="0"/>
          <w:szCs w:val="26"/>
        </w:rPr>
        <w:t>sections 8385, 8386.1, and 8389 (Stats. 2021, c</w:t>
      </w:r>
      <w:r w:rsidR="00E00921" w:rsidRPr="00C925BE">
        <w:rPr>
          <w:rFonts w:ascii="Times New Roman" w:hAnsi="Times New Roman"/>
          <w:b w:val="0"/>
          <w:szCs w:val="26"/>
        </w:rPr>
        <w:t>h</w:t>
      </w:r>
      <w:r w:rsidRPr="00C925BE">
        <w:rPr>
          <w:rFonts w:ascii="Times New Roman" w:hAnsi="Times New Roman"/>
          <w:b w:val="0"/>
          <w:szCs w:val="26"/>
        </w:rPr>
        <w:t>. 115 (AB 148)); section 8386 (Stats. 2021, c</w:t>
      </w:r>
      <w:r w:rsidR="00E00921" w:rsidRPr="00C925BE">
        <w:rPr>
          <w:rFonts w:ascii="Times New Roman" w:hAnsi="Times New Roman"/>
          <w:b w:val="0"/>
          <w:szCs w:val="26"/>
        </w:rPr>
        <w:t>h</w:t>
      </w:r>
      <w:r w:rsidRPr="00C925BE">
        <w:rPr>
          <w:rFonts w:ascii="Times New Roman" w:hAnsi="Times New Roman"/>
          <w:b w:val="0"/>
          <w:szCs w:val="26"/>
        </w:rPr>
        <w:t xml:space="preserve">. 244 (SB </w:t>
      </w:r>
      <w:r w:rsidR="00E00921" w:rsidRPr="00C925BE">
        <w:rPr>
          <w:rFonts w:ascii="Times New Roman" w:hAnsi="Times New Roman"/>
          <w:b w:val="0"/>
          <w:szCs w:val="26"/>
        </w:rPr>
        <w:t>533</w:t>
      </w:r>
      <w:r w:rsidRPr="00C925BE">
        <w:rPr>
          <w:rFonts w:ascii="Times New Roman" w:hAnsi="Times New Roman"/>
          <w:b w:val="0"/>
          <w:szCs w:val="26"/>
        </w:rPr>
        <w:t>)); section 8386.3 (Stats. 2021, c</w:t>
      </w:r>
      <w:r w:rsidR="00E00921" w:rsidRPr="00C925BE">
        <w:rPr>
          <w:rFonts w:ascii="Times New Roman" w:hAnsi="Times New Roman"/>
          <w:b w:val="0"/>
          <w:szCs w:val="26"/>
        </w:rPr>
        <w:t>h</w:t>
      </w:r>
      <w:r w:rsidRPr="00C925BE">
        <w:rPr>
          <w:rFonts w:ascii="Times New Roman" w:hAnsi="Times New Roman"/>
          <w:b w:val="0"/>
          <w:szCs w:val="26"/>
        </w:rPr>
        <w:t>. 225 (AB 9)</w:t>
      </w:r>
      <w:r w:rsidR="00653326" w:rsidRPr="00C925BE">
        <w:rPr>
          <w:rFonts w:ascii="Times New Roman" w:hAnsi="Times New Roman"/>
          <w:b w:val="0"/>
          <w:szCs w:val="26"/>
        </w:rPr>
        <w:t>,</w:t>
      </w:r>
      <w:r w:rsidRPr="00C925BE">
        <w:rPr>
          <w:rFonts w:ascii="Times New Roman" w:hAnsi="Times New Roman"/>
          <w:b w:val="0"/>
          <w:szCs w:val="26"/>
        </w:rPr>
        <w:t xml:space="preserve"> Stats. 2021, c</w:t>
      </w:r>
      <w:r w:rsidR="00E00921" w:rsidRPr="00C925BE">
        <w:rPr>
          <w:rFonts w:ascii="Times New Roman" w:hAnsi="Times New Roman"/>
          <w:b w:val="0"/>
          <w:szCs w:val="26"/>
        </w:rPr>
        <w:t>h</w:t>
      </w:r>
      <w:r w:rsidRPr="00C925BE">
        <w:rPr>
          <w:rFonts w:ascii="Times New Roman" w:hAnsi="Times New Roman"/>
          <w:b w:val="0"/>
          <w:szCs w:val="26"/>
        </w:rPr>
        <w:t>. 733 (SB 964)); and section 8386.4 (Stats. 2019, c</w:t>
      </w:r>
      <w:r w:rsidR="00E00921" w:rsidRPr="00C925BE">
        <w:rPr>
          <w:rFonts w:ascii="Times New Roman" w:hAnsi="Times New Roman"/>
          <w:b w:val="0"/>
          <w:szCs w:val="26"/>
        </w:rPr>
        <w:t>h</w:t>
      </w:r>
      <w:r w:rsidRPr="00C925BE">
        <w:rPr>
          <w:rFonts w:ascii="Times New Roman" w:hAnsi="Times New Roman"/>
          <w:b w:val="0"/>
          <w:szCs w:val="26"/>
        </w:rPr>
        <w:t>. 79 (AB 1054)).  The relevant Government Code provisions include the following: section 15470 (Stats. 2019, c</w:t>
      </w:r>
      <w:r w:rsidR="00E00921" w:rsidRPr="00C925BE">
        <w:rPr>
          <w:rFonts w:ascii="Times New Roman" w:hAnsi="Times New Roman"/>
          <w:b w:val="0"/>
          <w:szCs w:val="26"/>
        </w:rPr>
        <w:t>h</w:t>
      </w:r>
      <w:r w:rsidRPr="00C925BE">
        <w:rPr>
          <w:rFonts w:ascii="Times New Roman" w:hAnsi="Times New Roman"/>
          <w:b w:val="0"/>
          <w:szCs w:val="26"/>
        </w:rPr>
        <w:t>. 396 (AB 1513)), sections 15473, 15475.1, 15475.2, 15475.4,</w:t>
      </w:r>
      <w:r w:rsidR="008D436A" w:rsidRPr="00C925BE">
        <w:rPr>
          <w:rFonts w:ascii="Times New Roman" w:hAnsi="Times New Roman"/>
          <w:b w:val="0"/>
          <w:szCs w:val="26"/>
        </w:rPr>
        <w:t xml:space="preserve"> </w:t>
      </w:r>
      <w:r w:rsidRPr="00C925BE">
        <w:rPr>
          <w:rFonts w:ascii="Times New Roman" w:hAnsi="Times New Roman"/>
          <w:b w:val="0"/>
          <w:szCs w:val="26"/>
        </w:rPr>
        <w:t>and 15475.6 (Stats. 2021, c</w:t>
      </w:r>
      <w:r w:rsidR="00746E82" w:rsidRPr="00C925BE">
        <w:rPr>
          <w:rFonts w:ascii="Times New Roman" w:hAnsi="Times New Roman"/>
          <w:b w:val="0"/>
          <w:szCs w:val="26"/>
        </w:rPr>
        <w:t>h</w:t>
      </w:r>
      <w:r w:rsidRPr="00C925BE">
        <w:rPr>
          <w:rFonts w:ascii="Times New Roman" w:hAnsi="Times New Roman"/>
          <w:b w:val="0"/>
          <w:szCs w:val="26"/>
        </w:rPr>
        <w:t>. 115 (AB 148)).</w:t>
      </w:r>
    </w:p>
  </w:footnote>
  <w:footnote w:id="6">
    <w:p w14:paraId="6EB4443B" w14:textId="52D8AB86" w:rsidR="008338A7" w:rsidRPr="00C925BE" w:rsidRDefault="008338A7" w:rsidP="008338A7">
      <w:pPr>
        <w:spacing w:after="120" w:line="260" w:lineRule="exact"/>
        <w:rPr>
          <w:szCs w:val="26"/>
        </w:rPr>
      </w:pPr>
      <w:r w:rsidRPr="00C925BE">
        <w:rPr>
          <w:rStyle w:val="FootnoteReference"/>
          <w:sz w:val="26"/>
          <w:szCs w:val="26"/>
        </w:rPr>
        <w:footnoteRef/>
      </w:r>
      <w:r w:rsidRPr="00C925BE">
        <w:rPr>
          <w:szCs w:val="26"/>
        </w:rPr>
        <w:t xml:space="preserve"> A two-way balancing account is where overcollections are refunded and undercollections are recoverable through rates.  A two-way balancing account differs from a one-way balancing account, where a one-way balancing account matches the expenditures with a spending target. </w:t>
      </w:r>
      <w:r w:rsidR="00CD05D2" w:rsidRPr="00C925BE">
        <w:rPr>
          <w:szCs w:val="26"/>
        </w:rPr>
        <w:t xml:space="preserve"> </w:t>
      </w:r>
      <w:r w:rsidRPr="00C925BE">
        <w:rPr>
          <w:szCs w:val="26"/>
        </w:rPr>
        <w:t>Overcollections are refunded and undercollections are not recoverable under a one-way balancing account.  (</w:t>
      </w:r>
      <w:r w:rsidRPr="00C925BE">
        <w:rPr>
          <w:i/>
          <w:iCs/>
          <w:szCs w:val="26"/>
        </w:rPr>
        <w:t xml:space="preserve">Application of Southwest Gas Corporation for Authority to Revise its Californian Gas Tariff to Establish its Move2Zero Program, </w:t>
      </w:r>
      <w:r w:rsidRPr="00C925BE">
        <w:rPr>
          <w:szCs w:val="26"/>
        </w:rPr>
        <w:t xml:space="preserve">D.22-09-010 (2022) at 2, fn. 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9E2A7" w14:textId="3C4F25B3" w:rsidR="00CE63A7" w:rsidRPr="004156A0" w:rsidRDefault="00655D22" w:rsidP="009B7F7F">
    <w:pPr>
      <w:tabs>
        <w:tab w:val="clear" w:pos="5040"/>
        <w:tab w:val="left" w:pos="4320"/>
      </w:tabs>
      <w:overflowPunct/>
      <w:textAlignment w:val="auto"/>
      <w:rPr>
        <w:rFonts w:ascii="TimesNewRomanPSMT" w:hAnsi="TimesNewRomanPSMT" w:cs="TimesNewRomanPSMT"/>
        <w:szCs w:val="26"/>
      </w:rPr>
    </w:pPr>
    <w:r>
      <w:rPr>
        <w:rFonts w:ascii="TimesNewRomanPSMT" w:hAnsi="TimesNewRomanPSMT" w:cs="TimesNewRomanPSMT"/>
        <w:szCs w:val="26"/>
      </w:rPr>
      <w:t>A.</w:t>
    </w:r>
    <w:r w:rsidR="0004054F">
      <w:rPr>
        <w:rFonts w:ascii="TimesNewRomanPSMT" w:hAnsi="TimesNewRomanPSMT" w:cs="TimesNewRomanPSMT"/>
        <w:szCs w:val="26"/>
      </w:rPr>
      <w:t>2</w:t>
    </w:r>
    <w:r w:rsidR="0033576D">
      <w:rPr>
        <w:rFonts w:ascii="TimesNewRomanPSMT" w:hAnsi="TimesNewRomanPSMT" w:cs="TimesNewRomanPSMT"/>
        <w:szCs w:val="26"/>
      </w:rPr>
      <w:t>3-12-001</w:t>
    </w:r>
    <w:r w:rsidR="00AC5F67">
      <w:rPr>
        <w:rFonts w:ascii="TimesNewRomanPSMT" w:hAnsi="TimesNewRomanPSMT" w:cs="TimesNewRomanPSMT"/>
        <w:szCs w:val="26"/>
      </w:rPr>
      <w:tab/>
    </w:r>
    <w:r w:rsidR="005E64C0">
      <w:t>L/</w:t>
    </w:r>
    <w:r w:rsidR="00BB37A6">
      <w:t>rga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E97CD" w14:textId="5BBF0572" w:rsidR="00FE5930" w:rsidRPr="00E82C9F" w:rsidRDefault="15AA3E82" w:rsidP="00FE5930">
    <w:pPr>
      <w:tabs>
        <w:tab w:val="center" w:pos="4320"/>
      </w:tabs>
      <w:suppressAutoHyphens/>
      <w:rPr>
        <w:b/>
        <w:bCs/>
        <w:kern w:val="3"/>
        <w:szCs w:val="26"/>
      </w:rPr>
    </w:pPr>
    <w:r>
      <w:t>L/</w:t>
    </w:r>
    <w:r w:rsidR="00BB37A6">
      <w:t>rga</w:t>
    </w:r>
    <w:r w:rsidR="00B640F0">
      <w:tab/>
    </w:r>
    <w:r w:rsidR="00B34ACD">
      <w:tab/>
    </w:r>
    <w:r w:rsidR="00B640F0">
      <w:tab/>
    </w:r>
    <w:r w:rsidR="00FE5930">
      <w:tab/>
    </w:r>
    <w:r w:rsidR="00FE5930">
      <w:tab/>
    </w:r>
    <w:r w:rsidR="00FE5930" w:rsidRPr="00E82C9F">
      <w:rPr>
        <w:b/>
        <w:bCs/>
        <w:kern w:val="3"/>
        <w:szCs w:val="26"/>
      </w:rPr>
      <w:t>Date of Issuance</w:t>
    </w:r>
  </w:p>
  <w:p w14:paraId="6CF27BB2" w14:textId="2B093655" w:rsidR="00FE5930" w:rsidRPr="00E82C9F" w:rsidRDefault="00FE5930" w:rsidP="00FE5930">
    <w:pPr>
      <w:tabs>
        <w:tab w:val="center" w:pos="4320"/>
      </w:tabs>
      <w:suppressAutoHyphens/>
      <w:rPr>
        <w:b/>
        <w:bCs/>
        <w:kern w:val="3"/>
        <w:szCs w:val="26"/>
      </w:rPr>
    </w:pPr>
    <w:r w:rsidRPr="00E82C9F">
      <w:rPr>
        <w:b/>
        <w:bCs/>
        <w:kern w:val="3"/>
        <w:szCs w:val="26"/>
      </w:rPr>
      <w:tab/>
    </w:r>
    <w:r w:rsidRPr="00E82C9F">
      <w:rPr>
        <w:b/>
        <w:bCs/>
        <w:kern w:val="3"/>
        <w:szCs w:val="26"/>
      </w:rPr>
      <w:tab/>
    </w:r>
    <w:r w:rsidRPr="00E82C9F">
      <w:rPr>
        <w:b/>
        <w:bCs/>
        <w:kern w:val="3"/>
        <w:szCs w:val="26"/>
      </w:rPr>
      <w:tab/>
    </w:r>
    <w:r w:rsidRPr="00E82C9F">
      <w:rPr>
        <w:b/>
        <w:bCs/>
        <w:kern w:val="3"/>
        <w:szCs w:val="26"/>
      </w:rPr>
      <w:tab/>
    </w:r>
    <w:r w:rsidRPr="00E82C9F">
      <w:rPr>
        <w:b/>
        <w:bCs/>
        <w:kern w:val="3"/>
        <w:szCs w:val="26"/>
      </w:rPr>
      <w:tab/>
    </w:r>
    <w:r>
      <w:rPr>
        <w:b/>
        <w:bCs/>
        <w:kern w:val="3"/>
        <w:szCs w:val="26"/>
      </w:rPr>
      <w:t>August 14, 2026</w:t>
    </w:r>
  </w:p>
  <w:p w14:paraId="50759F8C" w14:textId="2D804EE8" w:rsidR="007E1632" w:rsidRPr="00400B06" w:rsidRDefault="007E1632" w:rsidP="00FE5930">
    <w:pPr>
      <w:pStyle w:val="Header"/>
      <w:tabs>
        <w:tab w:val="clear" w:pos="8640"/>
      </w:tabs>
      <w:rPr>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0567710"/>
    <w:lvl w:ilvl="0">
      <w:start w:val="1"/>
      <w:numFmt w:val="upperRoman"/>
      <w:pStyle w:val="Heading1"/>
      <w:lvlText w:val="%1."/>
      <w:legacy w:legacy="1" w:legacySpace="0" w:legacyIndent="720"/>
      <w:lvlJc w:val="left"/>
      <w:pPr>
        <w:ind w:left="720" w:hanging="720"/>
      </w:pPr>
    </w:lvl>
    <w:lvl w:ilvl="1">
      <w:start w:val="1"/>
      <w:numFmt w:val="upperLetter"/>
      <w:pStyle w:val="Heading2"/>
      <w:lvlText w:val="%2."/>
      <w:legacy w:legacy="1" w:legacySpace="0" w:legacyIndent="720"/>
      <w:lvlJc w:val="left"/>
      <w:pPr>
        <w:ind w:left="2160" w:hanging="720"/>
      </w:pPr>
    </w:lvl>
    <w:lvl w:ilvl="2">
      <w:start w:val="1"/>
      <w:numFmt w:val="decimal"/>
      <w:pStyle w:val="Heading3"/>
      <w:lvlText w:val="%3."/>
      <w:legacy w:legacy="1" w:legacySpace="0" w:legacyIndent="720"/>
      <w:lvlJc w:val="left"/>
      <w:pPr>
        <w:ind w:left="2160" w:hanging="720"/>
      </w:pPr>
      <w:rPr>
        <w:b/>
        <w:bCs w:val="0"/>
      </w:rPr>
    </w:lvl>
    <w:lvl w:ilvl="3">
      <w:start w:val="1"/>
      <w:numFmt w:val="lowerLetter"/>
      <w:pStyle w:val="Heading4"/>
      <w:lvlText w:val="%4)"/>
      <w:legacy w:legacy="1" w:legacySpace="0" w:legacyIndent="720"/>
      <w:lvlJc w:val="left"/>
      <w:pPr>
        <w:ind w:left="2970" w:hanging="720"/>
      </w:pPr>
    </w:lvl>
    <w:lvl w:ilvl="4">
      <w:start w:val="1"/>
      <w:numFmt w:val="decimal"/>
      <w:pStyle w:val="Heading5"/>
      <w:lvlText w:val="(%5)"/>
      <w:legacy w:legacy="1" w:legacySpace="0" w:legacyIndent="720"/>
      <w:lvlJc w:val="left"/>
      <w:pPr>
        <w:ind w:left="288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 w15:restartNumberingAfterBreak="0">
    <w:nsid w:val="00393968"/>
    <w:multiLevelType w:val="hybridMultilevel"/>
    <w:tmpl w:val="FFFFFFFF"/>
    <w:lvl w:ilvl="0" w:tplc="B1B04914">
      <w:start w:val="1"/>
      <w:numFmt w:val="decimal"/>
      <w:lvlText w:val="%1."/>
      <w:lvlJc w:val="left"/>
      <w:pPr>
        <w:ind w:left="1800" w:hanging="360"/>
      </w:pPr>
    </w:lvl>
    <w:lvl w:ilvl="1" w:tplc="E9422EF0">
      <w:start w:val="1"/>
      <w:numFmt w:val="lowerLetter"/>
      <w:lvlText w:val="%2."/>
      <w:lvlJc w:val="left"/>
      <w:pPr>
        <w:ind w:left="2160" w:hanging="360"/>
      </w:pPr>
    </w:lvl>
    <w:lvl w:ilvl="2" w:tplc="2A1031E6">
      <w:start w:val="1"/>
      <w:numFmt w:val="lowerRoman"/>
      <w:lvlText w:val="%3."/>
      <w:lvlJc w:val="right"/>
      <w:pPr>
        <w:ind w:left="2880" w:hanging="180"/>
      </w:pPr>
    </w:lvl>
    <w:lvl w:ilvl="3" w:tplc="C226BC6C">
      <w:start w:val="1"/>
      <w:numFmt w:val="decimal"/>
      <w:lvlText w:val="%4."/>
      <w:lvlJc w:val="left"/>
      <w:pPr>
        <w:ind w:left="3600" w:hanging="360"/>
      </w:pPr>
    </w:lvl>
    <w:lvl w:ilvl="4" w:tplc="EA5EB3C0">
      <w:start w:val="1"/>
      <w:numFmt w:val="lowerLetter"/>
      <w:lvlText w:val="%5."/>
      <w:lvlJc w:val="left"/>
      <w:pPr>
        <w:ind w:left="4320" w:hanging="360"/>
      </w:pPr>
    </w:lvl>
    <w:lvl w:ilvl="5" w:tplc="5474576E">
      <w:start w:val="1"/>
      <w:numFmt w:val="lowerRoman"/>
      <w:lvlText w:val="%6."/>
      <w:lvlJc w:val="right"/>
      <w:pPr>
        <w:ind w:left="5040" w:hanging="180"/>
      </w:pPr>
    </w:lvl>
    <w:lvl w:ilvl="6" w:tplc="ADBECEE2">
      <w:start w:val="1"/>
      <w:numFmt w:val="decimal"/>
      <w:lvlText w:val="%7."/>
      <w:lvlJc w:val="left"/>
      <w:pPr>
        <w:ind w:left="5760" w:hanging="360"/>
      </w:pPr>
    </w:lvl>
    <w:lvl w:ilvl="7" w:tplc="6356572C">
      <w:start w:val="1"/>
      <w:numFmt w:val="lowerLetter"/>
      <w:lvlText w:val="%8."/>
      <w:lvlJc w:val="left"/>
      <w:pPr>
        <w:ind w:left="6480" w:hanging="360"/>
      </w:pPr>
    </w:lvl>
    <w:lvl w:ilvl="8" w:tplc="B2E4674A">
      <w:start w:val="1"/>
      <w:numFmt w:val="lowerRoman"/>
      <w:lvlText w:val="%9."/>
      <w:lvlJc w:val="right"/>
      <w:pPr>
        <w:ind w:left="7200" w:hanging="180"/>
      </w:pPr>
    </w:lvl>
  </w:abstractNum>
  <w:abstractNum w:abstractNumId="2" w15:restartNumberingAfterBreak="0">
    <w:nsid w:val="18C21150"/>
    <w:multiLevelType w:val="hybridMultilevel"/>
    <w:tmpl w:val="D4B47F72"/>
    <w:lvl w:ilvl="0" w:tplc="279C15C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90A52F4"/>
    <w:multiLevelType w:val="hybridMultilevel"/>
    <w:tmpl w:val="35A09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124257"/>
    <w:multiLevelType w:val="hybridMultilevel"/>
    <w:tmpl w:val="A05EC4E0"/>
    <w:lvl w:ilvl="0" w:tplc="0A244A7A">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E81A94"/>
    <w:multiLevelType w:val="hybridMultilevel"/>
    <w:tmpl w:val="D9D41CB4"/>
    <w:lvl w:ilvl="0" w:tplc="0409000F">
      <w:start w:val="17"/>
      <w:numFmt w:val="decimal"/>
      <w:lvlText w:val="%1."/>
      <w:lvlJc w:val="left"/>
      <w:pPr>
        <w:ind w:left="1800" w:hanging="360"/>
      </w:pPr>
      <w:rPr>
        <w:rFonts w:hint="default"/>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4E7171B"/>
    <w:multiLevelType w:val="hybridMultilevel"/>
    <w:tmpl w:val="2828DDA6"/>
    <w:lvl w:ilvl="0" w:tplc="8F06765E">
      <w:start w:val="19"/>
      <w:numFmt w:val="decimal"/>
      <w:lvlText w:val="%1."/>
      <w:lvlJc w:val="left"/>
      <w:pPr>
        <w:ind w:left="18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1F1779"/>
    <w:multiLevelType w:val="hybridMultilevel"/>
    <w:tmpl w:val="EAA084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9967157">
    <w:abstractNumId w:val="0"/>
  </w:num>
  <w:num w:numId="2" w16cid:durableId="1335113007">
    <w:abstractNumId w:val="4"/>
  </w:num>
  <w:num w:numId="3" w16cid:durableId="449251415">
    <w:abstractNumId w:val="2"/>
  </w:num>
  <w:num w:numId="4" w16cid:durableId="1643734604">
    <w:abstractNumId w:val="1"/>
  </w:num>
  <w:num w:numId="5" w16cid:durableId="1073312280">
    <w:abstractNumId w:val="0"/>
  </w:num>
  <w:num w:numId="6" w16cid:durableId="948242164">
    <w:abstractNumId w:val="0"/>
  </w:num>
  <w:num w:numId="7" w16cid:durableId="496113152">
    <w:abstractNumId w:val="0"/>
  </w:num>
  <w:num w:numId="8" w16cid:durableId="620378092">
    <w:abstractNumId w:val="5"/>
  </w:num>
  <w:num w:numId="9" w16cid:durableId="1232039332">
    <w:abstractNumId w:val="7"/>
  </w:num>
  <w:num w:numId="10" w16cid:durableId="937636876">
    <w:abstractNumId w:val="6"/>
  </w:num>
  <w:num w:numId="11" w16cid:durableId="1546747071">
    <w:abstractNumId w:val="0"/>
  </w:num>
  <w:num w:numId="12" w16cid:durableId="1064833732">
    <w:abstractNumId w:val="0"/>
  </w:num>
  <w:num w:numId="13" w16cid:durableId="1290284805">
    <w:abstractNumId w:val="0"/>
  </w:num>
  <w:num w:numId="14" w16cid:durableId="1050764221">
    <w:abstractNumId w:val="3"/>
  </w:num>
  <w:num w:numId="15" w16cid:durableId="221524801">
    <w:abstractNumId w:val="0"/>
  </w:num>
  <w:num w:numId="16" w16cid:durableId="731197604">
    <w:abstractNumId w:val="0"/>
  </w:num>
  <w:num w:numId="17" w16cid:durableId="1818498427">
    <w:abstractNumId w:val="0"/>
  </w:num>
  <w:num w:numId="18" w16cid:durableId="553078602">
    <w:abstractNumId w:val="0"/>
  </w:num>
  <w:num w:numId="19" w16cid:durableId="1682009256">
    <w:abstractNumId w:val="0"/>
  </w:num>
  <w:num w:numId="20" w16cid:durableId="284317600">
    <w:abstractNumId w:val="0"/>
  </w:num>
  <w:num w:numId="21" w16cid:durableId="732696687">
    <w:abstractNumId w:val="0"/>
  </w:num>
  <w:num w:numId="22" w16cid:durableId="98319873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9BF"/>
    <w:rsid w:val="00000019"/>
    <w:rsid w:val="00000085"/>
    <w:rsid w:val="000000FA"/>
    <w:rsid w:val="00000181"/>
    <w:rsid w:val="0000030E"/>
    <w:rsid w:val="0000031F"/>
    <w:rsid w:val="00000E1B"/>
    <w:rsid w:val="00000E34"/>
    <w:rsid w:val="00000F9A"/>
    <w:rsid w:val="000012B2"/>
    <w:rsid w:val="00001520"/>
    <w:rsid w:val="00001751"/>
    <w:rsid w:val="00001C8A"/>
    <w:rsid w:val="00001F0B"/>
    <w:rsid w:val="00001F46"/>
    <w:rsid w:val="00001F6C"/>
    <w:rsid w:val="00001F97"/>
    <w:rsid w:val="00002418"/>
    <w:rsid w:val="00002498"/>
    <w:rsid w:val="000027CC"/>
    <w:rsid w:val="00002AA3"/>
    <w:rsid w:val="00002C02"/>
    <w:rsid w:val="00002CD4"/>
    <w:rsid w:val="00002F25"/>
    <w:rsid w:val="0000324B"/>
    <w:rsid w:val="00003359"/>
    <w:rsid w:val="00003434"/>
    <w:rsid w:val="00003AD7"/>
    <w:rsid w:val="00003B2D"/>
    <w:rsid w:val="00003E12"/>
    <w:rsid w:val="000041C5"/>
    <w:rsid w:val="000047B9"/>
    <w:rsid w:val="00004AA6"/>
    <w:rsid w:val="00004AC7"/>
    <w:rsid w:val="00004C2D"/>
    <w:rsid w:val="00004F69"/>
    <w:rsid w:val="00004FD7"/>
    <w:rsid w:val="00005346"/>
    <w:rsid w:val="000053DB"/>
    <w:rsid w:val="00005EDD"/>
    <w:rsid w:val="00005F62"/>
    <w:rsid w:val="000063A2"/>
    <w:rsid w:val="00006453"/>
    <w:rsid w:val="000065CF"/>
    <w:rsid w:val="00006823"/>
    <w:rsid w:val="00006882"/>
    <w:rsid w:val="00006FD4"/>
    <w:rsid w:val="000076DD"/>
    <w:rsid w:val="0000777D"/>
    <w:rsid w:val="00007986"/>
    <w:rsid w:val="00007A70"/>
    <w:rsid w:val="00007D95"/>
    <w:rsid w:val="00007EC8"/>
    <w:rsid w:val="00010335"/>
    <w:rsid w:val="0001064F"/>
    <w:rsid w:val="00010693"/>
    <w:rsid w:val="00010717"/>
    <w:rsid w:val="000108FC"/>
    <w:rsid w:val="000109ED"/>
    <w:rsid w:val="00010CFF"/>
    <w:rsid w:val="00010F01"/>
    <w:rsid w:val="00010F42"/>
    <w:rsid w:val="0001104D"/>
    <w:rsid w:val="000110E6"/>
    <w:rsid w:val="000112C2"/>
    <w:rsid w:val="000113F6"/>
    <w:rsid w:val="0001160F"/>
    <w:rsid w:val="000116BA"/>
    <w:rsid w:val="00011755"/>
    <w:rsid w:val="00011805"/>
    <w:rsid w:val="00011E71"/>
    <w:rsid w:val="00012090"/>
    <w:rsid w:val="000121A5"/>
    <w:rsid w:val="000124F6"/>
    <w:rsid w:val="000125E9"/>
    <w:rsid w:val="00012921"/>
    <w:rsid w:val="00012947"/>
    <w:rsid w:val="00012970"/>
    <w:rsid w:val="00012B70"/>
    <w:rsid w:val="00012CFA"/>
    <w:rsid w:val="00013405"/>
    <w:rsid w:val="00013703"/>
    <w:rsid w:val="00013757"/>
    <w:rsid w:val="0001389F"/>
    <w:rsid w:val="000138B5"/>
    <w:rsid w:val="00013FCC"/>
    <w:rsid w:val="00014367"/>
    <w:rsid w:val="0001441E"/>
    <w:rsid w:val="0001493F"/>
    <w:rsid w:val="00014A07"/>
    <w:rsid w:val="00014A80"/>
    <w:rsid w:val="00015741"/>
    <w:rsid w:val="0001585F"/>
    <w:rsid w:val="00015AF0"/>
    <w:rsid w:val="00015EBB"/>
    <w:rsid w:val="000160F4"/>
    <w:rsid w:val="0001613A"/>
    <w:rsid w:val="0001667A"/>
    <w:rsid w:val="000167A0"/>
    <w:rsid w:val="000167A1"/>
    <w:rsid w:val="0001686B"/>
    <w:rsid w:val="00016BCA"/>
    <w:rsid w:val="00016CA7"/>
    <w:rsid w:val="0001718A"/>
    <w:rsid w:val="000171A9"/>
    <w:rsid w:val="000174E8"/>
    <w:rsid w:val="00017619"/>
    <w:rsid w:val="0001793B"/>
    <w:rsid w:val="00017D2D"/>
    <w:rsid w:val="00017E53"/>
    <w:rsid w:val="00020134"/>
    <w:rsid w:val="000203DE"/>
    <w:rsid w:val="000206E3"/>
    <w:rsid w:val="0002087A"/>
    <w:rsid w:val="00020C50"/>
    <w:rsid w:val="00020F49"/>
    <w:rsid w:val="000215EF"/>
    <w:rsid w:val="000216E1"/>
    <w:rsid w:val="000217BC"/>
    <w:rsid w:val="00021AF1"/>
    <w:rsid w:val="00021BCC"/>
    <w:rsid w:val="00021C10"/>
    <w:rsid w:val="00021CB7"/>
    <w:rsid w:val="00021DD4"/>
    <w:rsid w:val="00021E2A"/>
    <w:rsid w:val="0002220C"/>
    <w:rsid w:val="00022A34"/>
    <w:rsid w:val="00022E7A"/>
    <w:rsid w:val="000230F1"/>
    <w:rsid w:val="0002325F"/>
    <w:rsid w:val="000233F9"/>
    <w:rsid w:val="00023437"/>
    <w:rsid w:val="00023661"/>
    <w:rsid w:val="00023D4C"/>
    <w:rsid w:val="00024463"/>
    <w:rsid w:val="00024FDB"/>
    <w:rsid w:val="000252EF"/>
    <w:rsid w:val="00025778"/>
    <w:rsid w:val="000259EC"/>
    <w:rsid w:val="00025D49"/>
    <w:rsid w:val="00025E51"/>
    <w:rsid w:val="0002635D"/>
    <w:rsid w:val="000267DA"/>
    <w:rsid w:val="00026F05"/>
    <w:rsid w:val="00026F8C"/>
    <w:rsid w:val="000270DF"/>
    <w:rsid w:val="0002751C"/>
    <w:rsid w:val="000275F4"/>
    <w:rsid w:val="00027A0D"/>
    <w:rsid w:val="00027DE4"/>
    <w:rsid w:val="0003083F"/>
    <w:rsid w:val="00030891"/>
    <w:rsid w:val="00030C24"/>
    <w:rsid w:val="00030E50"/>
    <w:rsid w:val="0003184E"/>
    <w:rsid w:val="00031859"/>
    <w:rsid w:val="00032212"/>
    <w:rsid w:val="000325BD"/>
    <w:rsid w:val="00032EA2"/>
    <w:rsid w:val="00032ECE"/>
    <w:rsid w:val="0003321A"/>
    <w:rsid w:val="00033326"/>
    <w:rsid w:val="000333D5"/>
    <w:rsid w:val="000336C8"/>
    <w:rsid w:val="000336D6"/>
    <w:rsid w:val="000338DD"/>
    <w:rsid w:val="00033D68"/>
    <w:rsid w:val="00033F39"/>
    <w:rsid w:val="0003482D"/>
    <w:rsid w:val="00034A7C"/>
    <w:rsid w:val="00034BC5"/>
    <w:rsid w:val="00034EDD"/>
    <w:rsid w:val="00035248"/>
    <w:rsid w:val="0003532F"/>
    <w:rsid w:val="00035367"/>
    <w:rsid w:val="000359BE"/>
    <w:rsid w:val="00035AAD"/>
    <w:rsid w:val="00035E68"/>
    <w:rsid w:val="000366C4"/>
    <w:rsid w:val="000366FB"/>
    <w:rsid w:val="00036BA4"/>
    <w:rsid w:val="00036BF7"/>
    <w:rsid w:val="0003705D"/>
    <w:rsid w:val="000373F0"/>
    <w:rsid w:val="000377F6"/>
    <w:rsid w:val="00037B12"/>
    <w:rsid w:val="00037D92"/>
    <w:rsid w:val="000400AB"/>
    <w:rsid w:val="0004054F"/>
    <w:rsid w:val="000405E9"/>
    <w:rsid w:val="000407D7"/>
    <w:rsid w:val="00040C54"/>
    <w:rsid w:val="00040CBC"/>
    <w:rsid w:val="0004119C"/>
    <w:rsid w:val="00041947"/>
    <w:rsid w:val="00041EDB"/>
    <w:rsid w:val="000427FD"/>
    <w:rsid w:val="000429FE"/>
    <w:rsid w:val="00042F69"/>
    <w:rsid w:val="000437DD"/>
    <w:rsid w:val="00043954"/>
    <w:rsid w:val="000440BE"/>
    <w:rsid w:val="00044AF8"/>
    <w:rsid w:val="000450FF"/>
    <w:rsid w:val="00045A65"/>
    <w:rsid w:val="00045A78"/>
    <w:rsid w:val="00045BA1"/>
    <w:rsid w:val="00045F70"/>
    <w:rsid w:val="00045FAA"/>
    <w:rsid w:val="00045FE8"/>
    <w:rsid w:val="0004650A"/>
    <w:rsid w:val="0004669F"/>
    <w:rsid w:val="000469D4"/>
    <w:rsid w:val="00046AA4"/>
    <w:rsid w:val="00046ABA"/>
    <w:rsid w:val="00046AD2"/>
    <w:rsid w:val="00046B9F"/>
    <w:rsid w:val="00046E71"/>
    <w:rsid w:val="00046FE3"/>
    <w:rsid w:val="0004736D"/>
    <w:rsid w:val="000475DB"/>
    <w:rsid w:val="000475E6"/>
    <w:rsid w:val="00047FA5"/>
    <w:rsid w:val="000501B0"/>
    <w:rsid w:val="000502C3"/>
    <w:rsid w:val="00050D5B"/>
    <w:rsid w:val="00050D9C"/>
    <w:rsid w:val="00050E5D"/>
    <w:rsid w:val="00051389"/>
    <w:rsid w:val="000514A9"/>
    <w:rsid w:val="00051E59"/>
    <w:rsid w:val="00052389"/>
    <w:rsid w:val="00052DB5"/>
    <w:rsid w:val="00052F0C"/>
    <w:rsid w:val="00052F55"/>
    <w:rsid w:val="00052FE6"/>
    <w:rsid w:val="0005331D"/>
    <w:rsid w:val="000536AD"/>
    <w:rsid w:val="00053A11"/>
    <w:rsid w:val="00053BD6"/>
    <w:rsid w:val="00053CBD"/>
    <w:rsid w:val="00053DCB"/>
    <w:rsid w:val="0005400D"/>
    <w:rsid w:val="00054012"/>
    <w:rsid w:val="00054021"/>
    <w:rsid w:val="00054271"/>
    <w:rsid w:val="00054707"/>
    <w:rsid w:val="000547E5"/>
    <w:rsid w:val="00054BE4"/>
    <w:rsid w:val="00054CDC"/>
    <w:rsid w:val="00054D2E"/>
    <w:rsid w:val="0005528D"/>
    <w:rsid w:val="000553F0"/>
    <w:rsid w:val="00055753"/>
    <w:rsid w:val="000559EB"/>
    <w:rsid w:val="0005619A"/>
    <w:rsid w:val="00056394"/>
    <w:rsid w:val="000568FE"/>
    <w:rsid w:val="00056C3F"/>
    <w:rsid w:val="00056D2D"/>
    <w:rsid w:val="00057410"/>
    <w:rsid w:val="000575A3"/>
    <w:rsid w:val="000575AB"/>
    <w:rsid w:val="000577C8"/>
    <w:rsid w:val="0005784A"/>
    <w:rsid w:val="00057EF7"/>
    <w:rsid w:val="00060063"/>
    <w:rsid w:val="00060347"/>
    <w:rsid w:val="00060577"/>
    <w:rsid w:val="0006066A"/>
    <w:rsid w:val="0006084A"/>
    <w:rsid w:val="000612F0"/>
    <w:rsid w:val="000613FD"/>
    <w:rsid w:val="000614CF"/>
    <w:rsid w:val="00061562"/>
    <w:rsid w:val="00061967"/>
    <w:rsid w:val="00061C27"/>
    <w:rsid w:val="00061C72"/>
    <w:rsid w:val="00061D32"/>
    <w:rsid w:val="00061E4D"/>
    <w:rsid w:val="00061EF1"/>
    <w:rsid w:val="00061FF1"/>
    <w:rsid w:val="00062160"/>
    <w:rsid w:val="000623C9"/>
    <w:rsid w:val="00062F7E"/>
    <w:rsid w:val="00063426"/>
    <w:rsid w:val="00063927"/>
    <w:rsid w:val="0006397F"/>
    <w:rsid w:val="00063D9E"/>
    <w:rsid w:val="00063FEC"/>
    <w:rsid w:val="0006404E"/>
    <w:rsid w:val="00064055"/>
    <w:rsid w:val="000643A1"/>
    <w:rsid w:val="00064FEE"/>
    <w:rsid w:val="00064FF4"/>
    <w:rsid w:val="0006507B"/>
    <w:rsid w:val="00065224"/>
    <w:rsid w:val="0006542C"/>
    <w:rsid w:val="00065508"/>
    <w:rsid w:val="00065AED"/>
    <w:rsid w:val="0006611D"/>
    <w:rsid w:val="000661B8"/>
    <w:rsid w:val="000661C0"/>
    <w:rsid w:val="000664C8"/>
    <w:rsid w:val="00066544"/>
    <w:rsid w:val="000666A1"/>
    <w:rsid w:val="00066C5C"/>
    <w:rsid w:val="00066CC5"/>
    <w:rsid w:val="000676E3"/>
    <w:rsid w:val="0006774D"/>
    <w:rsid w:val="00067B46"/>
    <w:rsid w:val="00067C5A"/>
    <w:rsid w:val="00067ED2"/>
    <w:rsid w:val="00067F11"/>
    <w:rsid w:val="00067F84"/>
    <w:rsid w:val="0007002B"/>
    <w:rsid w:val="00070169"/>
    <w:rsid w:val="0007017A"/>
    <w:rsid w:val="00070950"/>
    <w:rsid w:val="00070A30"/>
    <w:rsid w:val="00070AE9"/>
    <w:rsid w:val="00070EC8"/>
    <w:rsid w:val="000716A8"/>
    <w:rsid w:val="000717CC"/>
    <w:rsid w:val="00072405"/>
    <w:rsid w:val="000724D7"/>
    <w:rsid w:val="0007290D"/>
    <w:rsid w:val="00072A10"/>
    <w:rsid w:val="00072C02"/>
    <w:rsid w:val="00072ECA"/>
    <w:rsid w:val="000730EE"/>
    <w:rsid w:val="00073330"/>
    <w:rsid w:val="00073562"/>
    <w:rsid w:val="000735F3"/>
    <w:rsid w:val="00073636"/>
    <w:rsid w:val="00073B52"/>
    <w:rsid w:val="00073E90"/>
    <w:rsid w:val="000747B4"/>
    <w:rsid w:val="00074A49"/>
    <w:rsid w:val="00074B21"/>
    <w:rsid w:val="00074CC1"/>
    <w:rsid w:val="00074F1F"/>
    <w:rsid w:val="00074F24"/>
    <w:rsid w:val="00074F73"/>
    <w:rsid w:val="0007506E"/>
    <w:rsid w:val="00075238"/>
    <w:rsid w:val="0007549A"/>
    <w:rsid w:val="000754DA"/>
    <w:rsid w:val="0007577E"/>
    <w:rsid w:val="00075994"/>
    <w:rsid w:val="00075E55"/>
    <w:rsid w:val="0007655E"/>
    <w:rsid w:val="000768B5"/>
    <w:rsid w:val="00076AB8"/>
    <w:rsid w:val="00076B72"/>
    <w:rsid w:val="00076DDE"/>
    <w:rsid w:val="000771C9"/>
    <w:rsid w:val="000775C8"/>
    <w:rsid w:val="00077970"/>
    <w:rsid w:val="00077978"/>
    <w:rsid w:val="00077DBD"/>
    <w:rsid w:val="00080890"/>
    <w:rsid w:val="00080BD7"/>
    <w:rsid w:val="00080C9C"/>
    <w:rsid w:val="00080D4E"/>
    <w:rsid w:val="00080E52"/>
    <w:rsid w:val="0008148E"/>
    <w:rsid w:val="00081816"/>
    <w:rsid w:val="0008193E"/>
    <w:rsid w:val="0008234E"/>
    <w:rsid w:val="000827BD"/>
    <w:rsid w:val="00082A72"/>
    <w:rsid w:val="00082C17"/>
    <w:rsid w:val="0008314A"/>
    <w:rsid w:val="000831BF"/>
    <w:rsid w:val="0008327B"/>
    <w:rsid w:val="0008356E"/>
    <w:rsid w:val="000839B1"/>
    <w:rsid w:val="00083A61"/>
    <w:rsid w:val="00083A7A"/>
    <w:rsid w:val="00083CFA"/>
    <w:rsid w:val="00083F4C"/>
    <w:rsid w:val="000843F7"/>
    <w:rsid w:val="00085156"/>
    <w:rsid w:val="0008563C"/>
    <w:rsid w:val="00085A72"/>
    <w:rsid w:val="00085A99"/>
    <w:rsid w:val="00086469"/>
    <w:rsid w:val="00086833"/>
    <w:rsid w:val="00086B5F"/>
    <w:rsid w:val="00086F81"/>
    <w:rsid w:val="000870C4"/>
    <w:rsid w:val="00087472"/>
    <w:rsid w:val="000876B1"/>
    <w:rsid w:val="000877A6"/>
    <w:rsid w:val="0009055C"/>
    <w:rsid w:val="000905CF"/>
    <w:rsid w:val="0009069C"/>
    <w:rsid w:val="0009095F"/>
    <w:rsid w:val="00090D47"/>
    <w:rsid w:val="00090ED4"/>
    <w:rsid w:val="0009117D"/>
    <w:rsid w:val="00091306"/>
    <w:rsid w:val="00091CB5"/>
    <w:rsid w:val="00091D95"/>
    <w:rsid w:val="0009248F"/>
    <w:rsid w:val="000924BD"/>
    <w:rsid w:val="000929E8"/>
    <w:rsid w:val="00092B2B"/>
    <w:rsid w:val="00092C1E"/>
    <w:rsid w:val="00092C91"/>
    <w:rsid w:val="00092E1A"/>
    <w:rsid w:val="00092E93"/>
    <w:rsid w:val="00092FEF"/>
    <w:rsid w:val="0009313F"/>
    <w:rsid w:val="000932E4"/>
    <w:rsid w:val="00093406"/>
    <w:rsid w:val="000936B2"/>
    <w:rsid w:val="00093A56"/>
    <w:rsid w:val="00093CC9"/>
    <w:rsid w:val="00093D6F"/>
    <w:rsid w:val="0009423D"/>
    <w:rsid w:val="00094935"/>
    <w:rsid w:val="000949EC"/>
    <w:rsid w:val="00094EEB"/>
    <w:rsid w:val="000959E1"/>
    <w:rsid w:val="00095C3E"/>
    <w:rsid w:val="000969A2"/>
    <w:rsid w:val="000971BA"/>
    <w:rsid w:val="000975A0"/>
    <w:rsid w:val="000975C9"/>
    <w:rsid w:val="0009778E"/>
    <w:rsid w:val="0009786C"/>
    <w:rsid w:val="000978FD"/>
    <w:rsid w:val="000A0228"/>
    <w:rsid w:val="000A0405"/>
    <w:rsid w:val="000A0820"/>
    <w:rsid w:val="000A0D19"/>
    <w:rsid w:val="000A105D"/>
    <w:rsid w:val="000A10CA"/>
    <w:rsid w:val="000A1395"/>
    <w:rsid w:val="000A1743"/>
    <w:rsid w:val="000A1C39"/>
    <w:rsid w:val="000A1C9D"/>
    <w:rsid w:val="000A1CDC"/>
    <w:rsid w:val="000A1ED7"/>
    <w:rsid w:val="000A21A7"/>
    <w:rsid w:val="000A2917"/>
    <w:rsid w:val="000A2922"/>
    <w:rsid w:val="000A2AD9"/>
    <w:rsid w:val="000A331D"/>
    <w:rsid w:val="000A333D"/>
    <w:rsid w:val="000A351B"/>
    <w:rsid w:val="000A3683"/>
    <w:rsid w:val="000A3804"/>
    <w:rsid w:val="000A3A2D"/>
    <w:rsid w:val="000A3B3D"/>
    <w:rsid w:val="000A42CE"/>
    <w:rsid w:val="000A469A"/>
    <w:rsid w:val="000A4F37"/>
    <w:rsid w:val="000A4F65"/>
    <w:rsid w:val="000A5293"/>
    <w:rsid w:val="000A532E"/>
    <w:rsid w:val="000A536D"/>
    <w:rsid w:val="000A5580"/>
    <w:rsid w:val="000A56EC"/>
    <w:rsid w:val="000A58DA"/>
    <w:rsid w:val="000A5CD1"/>
    <w:rsid w:val="000A5D01"/>
    <w:rsid w:val="000A5FE9"/>
    <w:rsid w:val="000A627B"/>
    <w:rsid w:val="000A634D"/>
    <w:rsid w:val="000A63B6"/>
    <w:rsid w:val="000A64EF"/>
    <w:rsid w:val="000A6C5E"/>
    <w:rsid w:val="000A7111"/>
    <w:rsid w:val="000A763B"/>
    <w:rsid w:val="000A7CB0"/>
    <w:rsid w:val="000A7FE1"/>
    <w:rsid w:val="000B0063"/>
    <w:rsid w:val="000B01E0"/>
    <w:rsid w:val="000B058B"/>
    <w:rsid w:val="000B1049"/>
    <w:rsid w:val="000B14F2"/>
    <w:rsid w:val="000B15DD"/>
    <w:rsid w:val="000B1889"/>
    <w:rsid w:val="000B1E2C"/>
    <w:rsid w:val="000B2399"/>
    <w:rsid w:val="000B23DE"/>
    <w:rsid w:val="000B23E2"/>
    <w:rsid w:val="000B24F3"/>
    <w:rsid w:val="000B2619"/>
    <w:rsid w:val="000B27F8"/>
    <w:rsid w:val="000B28BD"/>
    <w:rsid w:val="000B304A"/>
    <w:rsid w:val="000B36DE"/>
    <w:rsid w:val="000B3C71"/>
    <w:rsid w:val="000B3D17"/>
    <w:rsid w:val="000B404A"/>
    <w:rsid w:val="000B44EF"/>
    <w:rsid w:val="000B4511"/>
    <w:rsid w:val="000B456E"/>
    <w:rsid w:val="000B4573"/>
    <w:rsid w:val="000B4866"/>
    <w:rsid w:val="000B4B1F"/>
    <w:rsid w:val="000B4E10"/>
    <w:rsid w:val="000B4E37"/>
    <w:rsid w:val="000B535B"/>
    <w:rsid w:val="000B5543"/>
    <w:rsid w:val="000B596F"/>
    <w:rsid w:val="000B5A4C"/>
    <w:rsid w:val="000B5A83"/>
    <w:rsid w:val="000B5E9E"/>
    <w:rsid w:val="000B6135"/>
    <w:rsid w:val="000B6619"/>
    <w:rsid w:val="000B689E"/>
    <w:rsid w:val="000B6947"/>
    <w:rsid w:val="000B6A09"/>
    <w:rsid w:val="000B7057"/>
    <w:rsid w:val="000B7278"/>
    <w:rsid w:val="000B745C"/>
    <w:rsid w:val="000B7A37"/>
    <w:rsid w:val="000B7A40"/>
    <w:rsid w:val="000B7B62"/>
    <w:rsid w:val="000B7C9F"/>
    <w:rsid w:val="000B7CD0"/>
    <w:rsid w:val="000B7EAA"/>
    <w:rsid w:val="000C0049"/>
    <w:rsid w:val="000C0192"/>
    <w:rsid w:val="000C01D0"/>
    <w:rsid w:val="000C08C6"/>
    <w:rsid w:val="000C0BE1"/>
    <w:rsid w:val="000C1017"/>
    <w:rsid w:val="000C1378"/>
    <w:rsid w:val="000C1529"/>
    <w:rsid w:val="000C1654"/>
    <w:rsid w:val="000C16EA"/>
    <w:rsid w:val="000C17AD"/>
    <w:rsid w:val="000C210C"/>
    <w:rsid w:val="000C2276"/>
    <w:rsid w:val="000C2409"/>
    <w:rsid w:val="000C2823"/>
    <w:rsid w:val="000C2927"/>
    <w:rsid w:val="000C29AB"/>
    <w:rsid w:val="000C32A9"/>
    <w:rsid w:val="000C3451"/>
    <w:rsid w:val="000C3B2C"/>
    <w:rsid w:val="000C44C0"/>
    <w:rsid w:val="000C463F"/>
    <w:rsid w:val="000C4E35"/>
    <w:rsid w:val="000C513B"/>
    <w:rsid w:val="000C54EA"/>
    <w:rsid w:val="000C55D3"/>
    <w:rsid w:val="000C5798"/>
    <w:rsid w:val="000C5830"/>
    <w:rsid w:val="000C5B4A"/>
    <w:rsid w:val="000C5E1F"/>
    <w:rsid w:val="000C6284"/>
    <w:rsid w:val="000C647C"/>
    <w:rsid w:val="000C6A34"/>
    <w:rsid w:val="000C6D09"/>
    <w:rsid w:val="000C7C4C"/>
    <w:rsid w:val="000C7D0B"/>
    <w:rsid w:val="000C7F22"/>
    <w:rsid w:val="000D0040"/>
    <w:rsid w:val="000D038C"/>
    <w:rsid w:val="000D06FE"/>
    <w:rsid w:val="000D0740"/>
    <w:rsid w:val="000D0B27"/>
    <w:rsid w:val="000D0E2E"/>
    <w:rsid w:val="000D0FBE"/>
    <w:rsid w:val="000D11F5"/>
    <w:rsid w:val="000D1302"/>
    <w:rsid w:val="000D1920"/>
    <w:rsid w:val="000D26E6"/>
    <w:rsid w:val="000D2B5B"/>
    <w:rsid w:val="000D2DB0"/>
    <w:rsid w:val="000D3ACB"/>
    <w:rsid w:val="000D3E7C"/>
    <w:rsid w:val="000D401E"/>
    <w:rsid w:val="000D4285"/>
    <w:rsid w:val="000D452E"/>
    <w:rsid w:val="000D453C"/>
    <w:rsid w:val="000D49EE"/>
    <w:rsid w:val="000D4A0F"/>
    <w:rsid w:val="000D4C99"/>
    <w:rsid w:val="000D547A"/>
    <w:rsid w:val="000D5538"/>
    <w:rsid w:val="000D5550"/>
    <w:rsid w:val="000D568D"/>
    <w:rsid w:val="000D5A8A"/>
    <w:rsid w:val="000D5F9A"/>
    <w:rsid w:val="000D60F5"/>
    <w:rsid w:val="000D6183"/>
    <w:rsid w:val="000D6451"/>
    <w:rsid w:val="000D67B0"/>
    <w:rsid w:val="000D67CE"/>
    <w:rsid w:val="000D681A"/>
    <w:rsid w:val="000D6ACF"/>
    <w:rsid w:val="000D6ECB"/>
    <w:rsid w:val="000D70DC"/>
    <w:rsid w:val="000D7334"/>
    <w:rsid w:val="000D7E23"/>
    <w:rsid w:val="000D7F1D"/>
    <w:rsid w:val="000E052D"/>
    <w:rsid w:val="000E05F0"/>
    <w:rsid w:val="000E0AFB"/>
    <w:rsid w:val="000E1078"/>
    <w:rsid w:val="000E10D4"/>
    <w:rsid w:val="000E1680"/>
    <w:rsid w:val="000E1CFB"/>
    <w:rsid w:val="000E1EC7"/>
    <w:rsid w:val="000E2084"/>
    <w:rsid w:val="000E2325"/>
    <w:rsid w:val="000E27D9"/>
    <w:rsid w:val="000E28E5"/>
    <w:rsid w:val="000E294A"/>
    <w:rsid w:val="000E2D4D"/>
    <w:rsid w:val="000E2D8A"/>
    <w:rsid w:val="000E300E"/>
    <w:rsid w:val="000E310F"/>
    <w:rsid w:val="000E3353"/>
    <w:rsid w:val="000E364A"/>
    <w:rsid w:val="000E36CC"/>
    <w:rsid w:val="000E37C4"/>
    <w:rsid w:val="000E387E"/>
    <w:rsid w:val="000E3A34"/>
    <w:rsid w:val="000E3AF0"/>
    <w:rsid w:val="000E3F73"/>
    <w:rsid w:val="000E4146"/>
    <w:rsid w:val="000E43E4"/>
    <w:rsid w:val="000E4684"/>
    <w:rsid w:val="000E4E5C"/>
    <w:rsid w:val="000E4F23"/>
    <w:rsid w:val="000E540D"/>
    <w:rsid w:val="000E58BE"/>
    <w:rsid w:val="000E5F48"/>
    <w:rsid w:val="000E625C"/>
    <w:rsid w:val="000E639E"/>
    <w:rsid w:val="000E64B2"/>
    <w:rsid w:val="000E6597"/>
    <w:rsid w:val="000E696F"/>
    <w:rsid w:val="000E69BC"/>
    <w:rsid w:val="000E6A36"/>
    <w:rsid w:val="000E6D48"/>
    <w:rsid w:val="000E7025"/>
    <w:rsid w:val="000E71A5"/>
    <w:rsid w:val="000E769E"/>
    <w:rsid w:val="000E7816"/>
    <w:rsid w:val="000E7CB0"/>
    <w:rsid w:val="000F013F"/>
    <w:rsid w:val="000F02A7"/>
    <w:rsid w:val="000F04B2"/>
    <w:rsid w:val="000F054B"/>
    <w:rsid w:val="000F0682"/>
    <w:rsid w:val="000F0EBF"/>
    <w:rsid w:val="000F11DC"/>
    <w:rsid w:val="000F120F"/>
    <w:rsid w:val="000F142F"/>
    <w:rsid w:val="000F1585"/>
    <w:rsid w:val="000F1DD3"/>
    <w:rsid w:val="000F2265"/>
    <w:rsid w:val="000F285E"/>
    <w:rsid w:val="000F2964"/>
    <w:rsid w:val="000F2F3E"/>
    <w:rsid w:val="000F355C"/>
    <w:rsid w:val="000F3979"/>
    <w:rsid w:val="000F3D02"/>
    <w:rsid w:val="000F40B0"/>
    <w:rsid w:val="000F4240"/>
    <w:rsid w:val="000F445C"/>
    <w:rsid w:val="000F4AFB"/>
    <w:rsid w:val="000F4DD3"/>
    <w:rsid w:val="000F52C9"/>
    <w:rsid w:val="000F584D"/>
    <w:rsid w:val="000F58AA"/>
    <w:rsid w:val="000F598C"/>
    <w:rsid w:val="000F5AD7"/>
    <w:rsid w:val="000F5DE6"/>
    <w:rsid w:val="000F5ED1"/>
    <w:rsid w:val="000F61CC"/>
    <w:rsid w:val="000F6564"/>
    <w:rsid w:val="000F6E98"/>
    <w:rsid w:val="000F6F49"/>
    <w:rsid w:val="000F7A9F"/>
    <w:rsid w:val="001002FE"/>
    <w:rsid w:val="00100327"/>
    <w:rsid w:val="001004FE"/>
    <w:rsid w:val="00100948"/>
    <w:rsid w:val="00100A50"/>
    <w:rsid w:val="001011C2"/>
    <w:rsid w:val="001014E0"/>
    <w:rsid w:val="00101642"/>
    <w:rsid w:val="00101FF5"/>
    <w:rsid w:val="00102294"/>
    <w:rsid w:val="00102370"/>
    <w:rsid w:val="0010249F"/>
    <w:rsid w:val="00102800"/>
    <w:rsid w:val="0010281E"/>
    <w:rsid w:val="001029B9"/>
    <w:rsid w:val="00102B5C"/>
    <w:rsid w:val="00103451"/>
    <w:rsid w:val="0010359C"/>
    <w:rsid w:val="0010371E"/>
    <w:rsid w:val="00103946"/>
    <w:rsid w:val="00103D6D"/>
    <w:rsid w:val="00104059"/>
    <w:rsid w:val="00104335"/>
    <w:rsid w:val="0010442D"/>
    <w:rsid w:val="00104BFD"/>
    <w:rsid w:val="00104D33"/>
    <w:rsid w:val="00104E0E"/>
    <w:rsid w:val="0010514E"/>
    <w:rsid w:val="00105BD6"/>
    <w:rsid w:val="00105C83"/>
    <w:rsid w:val="00106083"/>
    <w:rsid w:val="001060A3"/>
    <w:rsid w:val="001062F8"/>
    <w:rsid w:val="001064A0"/>
    <w:rsid w:val="001068BA"/>
    <w:rsid w:val="00106B49"/>
    <w:rsid w:val="00106C11"/>
    <w:rsid w:val="00107202"/>
    <w:rsid w:val="001075CF"/>
    <w:rsid w:val="001079F5"/>
    <w:rsid w:val="00107C08"/>
    <w:rsid w:val="00107C89"/>
    <w:rsid w:val="00107FBA"/>
    <w:rsid w:val="00110058"/>
    <w:rsid w:val="00110158"/>
    <w:rsid w:val="001106BB"/>
    <w:rsid w:val="001107C8"/>
    <w:rsid w:val="00110A50"/>
    <w:rsid w:val="00110AD6"/>
    <w:rsid w:val="00110D85"/>
    <w:rsid w:val="00110D8E"/>
    <w:rsid w:val="00110E4D"/>
    <w:rsid w:val="00110EF5"/>
    <w:rsid w:val="001114CC"/>
    <w:rsid w:val="00111C56"/>
    <w:rsid w:val="001122D6"/>
    <w:rsid w:val="0011267C"/>
    <w:rsid w:val="0011269B"/>
    <w:rsid w:val="00112969"/>
    <w:rsid w:val="00113061"/>
    <w:rsid w:val="0011318D"/>
    <w:rsid w:val="0011333C"/>
    <w:rsid w:val="00113B2C"/>
    <w:rsid w:val="00113E22"/>
    <w:rsid w:val="00114417"/>
    <w:rsid w:val="00114643"/>
    <w:rsid w:val="00114F8A"/>
    <w:rsid w:val="001153A5"/>
    <w:rsid w:val="0011586F"/>
    <w:rsid w:val="001158BA"/>
    <w:rsid w:val="00115AE1"/>
    <w:rsid w:val="00115ED5"/>
    <w:rsid w:val="001163B4"/>
    <w:rsid w:val="0011642E"/>
    <w:rsid w:val="0011663E"/>
    <w:rsid w:val="00116836"/>
    <w:rsid w:val="001168E6"/>
    <w:rsid w:val="001177C5"/>
    <w:rsid w:val="00117C4D"/>
    <w:rsid w:val="00117CB5"/>
    <w:rsid w:val="00117D80"/>
    <w:rsid w:val="00120082"/>
    <w:rsid w:val="00120730"/>
    <w:rsid w:val="00120983"/>
    <w:rsid w:val="0012099A"/>
    <w:rsid w:val="00120A83"/>
    <w:rsid w:val="00120B13"/>
    <w:rsid w:val="00120B88"/>
    <w:rsid w:val="00121190"/>
    <w:rsid w:val="001211C2"/>
    <w:rsid w:val="001211FA"/>
    <w:rsid w:val="00121322"/>
    <w:rsid w:val="0012169E"/>
    <w:rsid w:val="00121ADC"/>
    <w:rsid w:val="0012210A"/>
    <w:rsid w:val="0012236D"/>
    <w:rsid w:val="00122494"/>
    <w:rsid w:val="001226EF"/>
    <w:rsid w:val="0012288A"/>
    <w:rsid w:val="00122B17"/>
    <w:rsid w:val="00122F5C"/>
    <w:rsid w:val="00122FF4"/>
    <w:rsid w:val="0012352B"/>
    <w:rsid w:val="00123642"/>
    <w:rsid w:val="001239E4"/>
    <w:rsid w:val="00123C5B"/>
    <w:rsid w:val="00123E83"/>
    <w:rsid w:val="001244E4"/>
    <w:rsid w:val="00124770"/>
    <w:rsid w:val="0012512B"/>
    <w:rsid w:val="001259BB"/>
    <w:rsid w:val="001259C5"/>
    <w:rsid w:val="00125D54"/>
    <w:rsid w:val="00125E58"/>
    <w:rsid w:val="00126289"/>
    <w:rsid w:val="001263F5"/>
    <w:rsid w:val="00126967"/>
    <w:rsid w:val="00126A73"/>
    <w:rsid w:val="00126C95"/>
    <w:rsid w:val="00126CD5"/>
    <w:rsid w:val="00127042"/>
    <w:rsid w:val="00127060"/>
    <w:rsid w:val="001303BA"/>
    <w:rsid w:val="00130876"/>
    <w:rsid w:val="00130E99"/>
    <w:rsid w:val="00130FC0"/>
    <w:rsid w:val="00131206"/>
    <w:rsid w:val="00131375"/>
    <w:rsid w:val="00131433"/>
    <w:rsid w:val="00131B67"/>
    <w:rsid w:val="00131D94"/>
    <w:rsid w:val="001321FE"/>
    <w:rsid w:val="001327B0"/>
    <w:rsid w:val="001329CF"/>
    <w:rsid w:val="00132D4E"/>
    <w:rsid w:val="00132DAA"/>
    <w:rsid w:val="00132EA3"/>
    <w:rsid w:val="00132FCB"/>
    <w:rsid w:val="001336C5"/>
    <w:rsid w:val="001336D4"/>
    <w:rsid w:val="0013415A"/>
    <w:rsid w:val="0013422D"/>
    <w:rsid w:val="00134491"/>
    <w:rsid w:val="001345FD"/>
    <w:rsid w:val="00134737"/>
    <w:rsid w:val="00134799"/>
    <w:rsid w:val="001349FC"/>
    <w:rsid w:val="00134EC3"/>
    <w:rsid w:val="00134FB2"/>
    <w:rsid w:val="0013530A"/>
    <w:rsid w:val="0013556E"/>
    <w:rsid w:val="001356E0"/>
    <w:rsid w:val="00135C5E"/>
    <w:rsid w:val="0013614B"/>
    <w:rsid w:val="001362F7"/>
    <w:rsid w:val="00136EE2"/>
    <w:rsid w:val="00137237"/>
    <w:rsid w:val="00137640"/>
    <w:rsid w:val="001378CB"/>
    <w:rsid w:val="001379F2"/>
    <w:rsid w:val="00137B04"/>
    <w:rsid w:val="00137B20"/>
    <w:rsid w:val="001402D5"/>
    <w:rsid w:val="001402E0"/>
    <w:rsid w:val="001404F9"/>
    <w:rsid w:val="0014053C"/>
    <w:rsid w:val="001405BA"/>
    <w:rsid w:val="00140629"/>
    <w:rsid w:val="00140E10"/>
    <w:rsid w:val="00141254"/>
    <w:rsid w:val="00141342"/>
    <w:rsid w:val="00141520"/>
    <w:rsid w:val="00141A77"/>
    <w:rsid w:val="00141B10"/>
    <w:rsid w:val="00141C41"/>
    <w:rsid w:val="00141CCF"/>
    <w:rsid w:val="001426CC"/>
    <w:rsid w:val="0014280F"/>
    <w:rsid w:val="00142AE7"/>
    <w:rsid w:val="00143204"/>
    <w:rsid w:val="00143285"/>
    <w:rsid w:val="0014367F"/>
    <w:rsid w:val="00143995"/>
    <w:rsid w:val="00143BE3"/>
    <w:rsid w:val="00143CDC"/>
    <w:rsid w:val="00143ECC"/>
    <w:rsid w:val="001441C5"/>
    <w:rsid w:val="001441CB"/>
    <w:rsid w:val="00144F2E"/>
    <w:rsid w:val="00145293"/>
    <w:rsid w:val="001456F4"/>
    <w:rsid w:val="001458BC"/>
    <w:rsid w:val="00145DE6"/>
    <w:rsid w:val="00146B9D"/>
    <w:rsid w:val="00146BB7"/>
    <w:rsid w:val="00146E1E"/>
    <w:rsid w:val="00146E44"/>
    <w:rsid w:val="00147590"/>
    <w:rsid w:val="0014786B"/>
    <w:rsid w:val="00147CB0"/>
    <w:rsid w:val="00147DE9"/>
    <w:rsid w:val="00147E0E"/>
    <w:rsid w:val="00147FC0"/>
    <w:rsid w:val="00150034"/>
    <w:rsid w:val="001502CE"/>
    <w:rsid w:val="0015039E"/>
    <w:rsid w:val="00150B5B"/>
    <w:rsid w:val="00150D7A"/>
    <w:rsid w:val="00150F07"/>
    <w:rsid w:val="001513AD"/>
    <w:rsid w:val="0015148F"/>
    <w:rsid w:val="001514CB"/>
    <w:rsid w:val="001518F0"/>
    <w:rsid w:val="00151C7F"/>
    <w:rsid w:val="00152250"/>
    <w:rsid w:val="001523D7"/>
    <w:rsid w:val="001529D4"/>
    <w:rsid w:val="001529E6"/>
    <w:rsid w:val="00152BA8"/>
    <w:rsid w:val="00152BD6"/>
    <w:rsid w:val="00152DEC"/>
    <w:rsid w:val="00152E37"/>
    <w:rsid w:val="00152E49"/>
    <w:rsid w:val="00152FE4"/>
    <w:rsid w:val="00153286"/>
    <w:rsid w:val="00153495"/>
    <w:rsid w:val="001537BE"/>
    <w:rsid w:val="001549DB"/>
    <w:rsid w:val="00155058"/>
    <w:rsid w:val="001552EC"/>
    <w:rsid w:val="00155E02"/>
    <w:rsid w:val="00155EAA"/>
    <w:rsid w:val="00156062"/>
    <w:rsid w:val="001566C9"/>
    <w:rsid w:val="0015686A"/>
    <w:rsid w:val="0015697C"/>
    <w:rsid w:val="00156B0B"/>
    <w:rsid w:val="00157226"/>
    <w:rsid w:val="00157423"/>
    <w:rsid w:val="0015786B"/>
    <w:rsid w:val="00157A5A"/>
    <w:rsid w:val="00157E38"/>
    <w:rsid w:val="00157E62"/>
    <w:rsid w:val="00157E7D"/>
    <w:rsid w:val="00160169"/>
    <w:rsid w:val="001606D9"/>
    <w:rsid w:val="001606DD"/>
    <w:rsid w:val="00160A40"/>
    <w:rsid w:val="00161579"/>
    <w:rsid w:val="0016186C"/>
    <w:rsid w:val="00162A36"/>
    <w:rsid w:val="00162AF5"/>
    <w:rsid w:val="00162C5A"/>
    <w:rsid w:val="00162EBA"/>
    <w:rsid w:val="00162EE8"/>
    <w:rsid w:val="00162F63"/>
    <w:rsid w:val="00163036"/>
    <w:rsid w:val="0016315D"/>
    <w:rsid w:val="001631E8"/>
    <w:rsid w:val="00163323"/>
    <w:rsid w:val="00163345"/>
    <w:rsid w:val="00163569"/>
    <w:rsid w:val="00163C20"/>
    <w:rsid w:val="0016416E"/>
    <w:rsid w:val="001641A3"/>
    <w:rsid w:val="00164341"/>
    <w:rsid w:val="001643E1"/>
    <w:rsid w:val="001646DC"/>
    <w:rsid w:val="00164C4F"/>
    <w:rsid w:val="00164D02"/>
    <w:rsid w:val="00165715"/>
    <w:rsid w:val="0016585B"/>
    <w:rsid w:val="00165955"/>
    <w:rsid w:val="00165AAE"/>
    <w:rsid w:val="00165AC6"/>
    <w:rsid w:val="00166172"/>
    <w:rsid w:val="00166541"/>
    <w:rsid w:val="001666CD"/>
    <w:rsid w:val="001666CF"/>
    <w:rsid w:val="00166782"/>
    <w:rsid w:val="0016685B"/>
    <w:rsid w:val="00166900"/>
    <w:rsid w:val="00166E63"/>
    <w:rsid w:val="001676EC"/>
    <w:rsid w:val="001678FE"/>
    <w:rsid w:val="00167B99"/>
    <w:rsid w:val="00167F2C"/>
    <w:rsid w:val="0017003F"/>
    <w:rsid w:val="001703AE"/>
    <w:rsid w:val="00170515"/>
    <w:rsid w:val="00170535"/>
    <w:rsid w:val="00170DAE"/>
    <w:rsid w:val="00170FD8"/>
    <w:rsid w:val="00171672"/>
    <w:rsid w:val="00171A13"/>
    <w:rsid w:val="0017211A"/>
    <w:rsid w:val="001721DF"/>
    <w:rsid w:val="00172959"/>
    <w:rsid w:val="001729B2"/>
    <w:rsid w:val="00172CA1"/>
    <w:rsid w:val="00173A11"/>
    <w:rsid w:val="001740B3"/>
    <w:rsid w:val="0017450C"/>
    <w:rsid w:val="001745E5"/>
    <w:rsid w:val="0017496B"/>
    <w:rsid w:val="001749B3"/>
    <w:rsid w:val="00174A8C"/>
    <w:rsid w:val="00174D4C"/>
    <w:rsid w:val="00174DAE"/>
    <w:rsid w:val="0017501B"/>
    <w:rsid w:val="00175C85"/>
    <w:rsid w:val="00175DD4"/>
    <w:rsid w:val="00175E22"/>
    <w:rsid w:val="00176779"/>
    <w:rsid w:val="001777D2"/>
    <w:rsid w:val="00177910"/>
    <w:rsid w:val="00177AF2"/>
    <w:rsid w:val="00177B04"/>
    <w:rsid w:val="00177BF5"/>
    <w:rsid w:val="0018026D"/>
    <w:rsid w:val="001808BE"/>
    <w:rsid w:val="00180927"/>
    <w:rsid w:val="00180B91"/>
    <w:rsid w:val="00180F67"/>
    <w:rsid w:val="001810F1"/>
    <w:rsid w:val="00181195"/>
    <w:rsid w:val="001811DD"/>
    <w:rsid w:val="001815C2"/>
    <w:rsid w:val="001817BB"/>
    <w:rsid w:val="001818E8"/>
    <w:rsid w:val="00181DB6"/>
    <w:rsid w:val="00182720"/>
    <w:rsid w:val="00182E1A"/>
    <w:rsid w:val="00182E69"/>
    <w:rsid w:val="00182FC8"/>
    <w:rsid w:val="0018326A"/>
    <w:rsid w:val="00183513"/>
    <w:rsid w:val="00183B5D"/>
    <w:rsid w:val="00183CAF"/>
    <w:rsid w:val="00183D52"/>
    <w:rsid w:val="00183DAC"/>
    <w:rsid w:val="00184044"/>
    <w:rsid w:val="001843D0"/>
    <w:rsid w:val="00184679"/>
    <w:rsid w:val="00184713"/>
    <w:rsid w:val="00184994"/>
    <w:rsid w:val="00184B17"/>
    <w:rsid w:val="0018500C"/>
    <w:rsid w:val="00185623"/>
    <w:rsid w:val="0018564C"/>
    <w:rsid w:val="001858DE"/>
    <w:rsid w:val="00185E09"/>
    <w:rsid w:val="00186360"/>
    <w:rsid w:val="00186492"/>
    <w:rsid w:val="001866DA"/>
    <w:rsid w:val="00186C37"/>
    <w:rsid w:val="00186D5B"/>
    <w:rsid w:val="00186DE6"/>
    <w:rsid w:val="00187199"/>
    <w:rsid w:val="001877CB"/>
    <w:rsid w:val="001878F9"/>
    <w:rsid w:val="00187B66"/>
    <w:rsid w:val="00187B6E"/>
    <w:rsid w:val="00190388"/>
    <w:rsid w:val="00190487"/>
    <w:rsid w:val="00190885"/>
    <w:rsid w:val="001909EE"/>
    <w:rsid w:val="00190AD8"/>
    <w:rsid w:val="00191072"/>
    <w:rsid w:val="001913BB"/>
    <w:rsid w:val="001914B2"/>
    <w:rsid w:val="00191AD5"/>
    <w:rsid w:val="00191F24"/>
    <w:rsid w:val="00191FAC"/>
    <w:rsid w:val="001926A2"/>
    <w:rsid w:val="0019285D"/>
    <w:rsid w:val="00192A68"/>
    <w:rsid w:val="00192C4A"/>
    <w:rsid w:val="001931C7"/>
    <w:rsid w:val="001939A1"/>
    <w:rsid w:val="00193A45"/>
    <w:rsid w:val="0019403C"/>
    <w:rsid w:val="001940E4"/>
    <w:rsid w:val="00194184"/>
    <w:rsid w:val="001946DF"/>
    <w:rsid w:val="00194E82"/>
    <w:rsid w:val="00195090"/>
    <w:rsid w:val="001952E6"/>
    <w:rsid w:val="0019599E"/>
    <w:rsid w:val="00195F16"/>
    <w:rsid w:val="001961E3"/>
    <w:rsid w:val="001963DD"/>
    <w:rsid w:val="001968F4"/>
    <w:rsid w:val="00196A6C"/>
    <w:rsid w:val="00196D4D"/>
    <w:rsid w:val="00196DC2"/>
    <w:rsid w:val="001971BB"/>
    <w:rsid w:val="0019723A"/>
    <w:rsid w:val="00197331"/>
    <w:rsid w:val="00197A66"/>
    <w:rsid w:val="00197BDE"/>
    <w:rsid w:val="00197BEA"/>
    <w:rsid w:val="00197D0F"/>
    <w:rsid w:val="00197EBB"/>
    <w:rsid w:val="001A009C"/>
    <w:rsid w:val="001A034B"/>
    <w:rsid w:val="001A06BF"/>
    <w:rsid w:val="001A0A98"/>
    <w:rsid w:val="001A0BDB"/>
    <w:rsid w:val="001A0EB2"/>
    <w:rsid w:val="001A172A"/>
    <w:rsid w:val="001A1CB1"/>
    <w:rsid w:val="001A1CC4"/>
    <w:rsid w:val="001A1FC5"/>
    <w:rsid w:val="001A205F"/>
    <w:rsid w:val="001A222E"/>
    <w:rsid w:val="001A2596"/>
    <w:rsid w:val="001A26FD"/>
    <w:rsid w:val="001A2DE3"/>
    <w:rsid w:val="001A2F27"/>
    <w:rsid w:val="001A308D"/>
    <w:rsid w:val="001A3130"/>
    <w:rsid w:val="001A3683"/>
    <w:rsid w:val="001A36B0"/>
    <w:rsid w:val="001A3805"/>
    <w:rsid w:val="001A38F4"/>
    <w:rsid w:val="001A398A"/>
    <w:rsid w:val="001A3A11"/>
    <w:rsid w:val="001A3DE0"/>
    <w:rsid w:val="001A3EAF"/>
    <w:rsid w:val="001A41BB"/>
    <w:rsid w:val="001A4673"/>
    <w:rsid w:val="001A46B2"/>
    <w:rsid w:val="001A4B33"/>
    <w:rsid w:val="001A4C4B"/>
    <w:rsid w:val="001A4D36"/>
    <w:rsid w:val="001A4D47"/>
    <w:rsid w:val="001A53EE"/>
    <w:rsid w:val="001A54FA"/>
    <w:rsid w:val="001A5802"/>
    <w:rsid w:val="001A5B69"/>
    <w:rsid w:val="001A604F"/>
    <w:rsid w:val="001A61C8"/>
    <w:rsid w:val="001A632F"/>
    <w:rsid w:val="001A6418"/>
    <w:rsid w:val="001A6780"/>
    <w:rsid w:val="001A6C0D"/>
    <w:rsid w:val="001A6C76"/>
    <w:rsid w:val="001A6D06"/>
    <w:rsid w:val="001A6D0A"/>
    <w:rsid w:val="001A73CB"/>
    <w:rsid w:val="001A7577"/>
    <w:rsid w:val="001A790F"/>
    <w:rsid w:val="001A7953"/>
    <w:rsid w:val="001A7DAF"/>
    <w:rsid w:val="001A7F6F"/>
    <w:rsid w:val="001B06E2"/>
    <w:rsid w:val="001B0AAC"/>
    <w:rsid w:val="001B1197"/>
    <w:rsid w:val="001B1296"/>
    <w:rsid w:val="001B12BE"/>
    <w:rsid w:val="001B138F"/>
    <w:rsid w:val="001B176C"/>
    <w:rsid w:val="001B187A"/>
    <w:rsid w:val="001B19BD"/>
    <w:rsid w:val="001B19D6"/>
    <w:rsid w:val="001B207C"/>
    <w:rsid w:val="001B251F"/>
    <w:rsid w:val="001B2D33"/>
    <w:rsid w:val="001B2DF5"/>
    <w:rsid w:val="001B2F3A"/>
    <w:rsid w:val="001B3231"/>
    <w:rsid w:val="001B3517"/>
    <w:rsid w:val="001B39BE"/>
    <w:rsid w:val="001B3B7A"/>
    <w:rsid w:val="001B3BC6"/>
    <w:rsid w:val="001B3CC6"/>
    <w:rsid w:val="001B3F8D"/>
    <w:rsid w:val="001B410C"/>
    <w:rsid w:val="001B41ED"/>
    <w:rsid w:val="001B4224"/>
    <w:rsid w:val="001B4293"/>
    <w:rsid w:val="001B44BC"/>
    <w:rsid w:val="001B46C2"/>
    <w:rsid w:val="001B4BEC"/>
    <w:rsid w:val="001B4EC6"/>
    <w:rsid w:val="001B5410"/>
    <w:rsid w:val="001B5A7A"/>
    <w:rsid w:val="001B6536"/>
    <w:rsid w:val="001B673C"/>
    <w:rsid w:val="001B698E"/>
    <w:rsid w:val="001B6A37"/>
    <w:rsid w:val="001B6A3B"/>
    <w:rsid w:val="001B6BD7"/>
    <w:rsid w:val="001B6D71"/>
    <w:rsid w:val="001B6E83"/>
    <w:rsid w:val="001B7275"/>
    <w:rsid w:val="001B7CEC"/>
    <w:rsid w:val="001B7D3F"/>
    <w:rsid w:val="001B7E2F"/>
    <w:rsid w:val="001B7E8D"/>
    <w:rsid w:val="001C0F18"/>
    <w:rsid w:val="001C0F63"/>
    <w:rsid w:val="001C154A"/>
    <w:rsid w:val="001C16BF"/>
    <w:rsid w:val="001C198B"/>
    <w:rsid w:val="001C1AB1"/>
    <w:rsid w:val="001C1CEB"/>
    <w:rsid w:val="001C1D15"/>
    <w:rsid w:val="001C1EF0"/>
    <w:rsid w:val="001C2057"/>
    <w:rsid w:val="001C2389"/>
    <w:rsid w:val="001C265A"/>
    <w:rsid w:val="001C26A6"/>
    <w:rsid w:val="001C284B"/>
    <w:rsid w:val="001C2BF4"/>
    <w:rsid w:val="001C2C03"/>
    <w:rsid w:val="001C2ECE"/>
    <w:rsid w:val="001C37BA"/>
    <w:rsid w:val="001C3E50"/>
    <w:rsid w:val="001C3E6C"/>
    <w:rsid w:val="001C3EDE"/>
    <w:rsid w:val="001C4037"/>
    <w:rsid w:val="001C455E"/>
    <w:rsid w:val="001C4597"/>
    <w:rsid w:val="001C498B"/>
    <w:rsid w:val="001C4EA6"/>
    <w:rsid w:val="001C52AE"/>
    <w:rsid w:val="001C54B1"/>
    <w:rsid w:val="001C5C70"/>
    <w:rsid w:val="001C5F6B"/>
    <w:rsid w:val="001C6208"/>
    <w:rsid w:val="001C6831"/>
    <w:rsid w:val="001C7217"/>
    <w:rsid w:val="001C73D9"/>
    <w:rsid w:val="001C7621"/>
    <w:rsid w:val="001C7669"/>
    <w:rsid w:val="001C7B51"/>
    <w:rsid w:val="001D0060"/>
    <w:rsid w:val="001D0A0F"/>
    <w:rsid w:val="001D0A40"/>
    <w:rsid w:val="001D0E80"/>
    <w:rsid w:val="001D0FE2"/>
    <w:rsid w:val="001D105A"/>
    <w:rsid w:val="001D1116"/>
    <w:rsid w:val="001D1275"/>
    <w:rsid w:val="001D157D"/>
    <w:rsid w:val="001D1613"/>
    <w:rsid w:val="001D1748"/>
    <w:rsid w:val="001D17D4"/>
    <w:rsid w:val="001D1975"/>
    <w:rsid w:val="001D1FB8"/>
    <w:rsid w:val="001D201B"/>
    <w:rsid w:val="001D21ED"/>
    <w:rsid w:val="001D25CA"/>
    <w:rsid w:val="001D2F61"/>
    <w:rsid w:val="001D30A4"/>
    <w:rsid w:val="001D39CB"/>
    <w:rsid w:val="001D4C14"/>
    <w:rsid w:val="001D5C37"/>
    <w:rsid w:val="001D640F"/>
    <w:rsid w:val="001D6420"/>
    <w:rsid w:val="001D6805"/>
    <w:rsid w:val="001D6CC6"/>
    <w:rsid w:val="001D7207"/>
    <w:rsid w:val="001D73BA"/>
    <w:rsid w:val="001D7711"/>
    <w:rsid w:val="001D779A"/>
    <w:rsid w:val="001D7AFA"/>
    <w:rsid w:val="001D7CDA"/>
    <w:rsid w:val="001D7DDF"/>
    <w:rsid w:val="001E04A1"/>
    <w:rsid w:val="001E0B41"/>
    <w:rsid w:val="001E0CE6"/>
    <w:rsid w:val="001E11E1"/>
    <w:rsid w:val="001E20D2"/>
    <w:rsid w:val="001E232E"/>
    <w:rsid w:val="001E2941"/>
    <w:rsid w:val="001E2DFA"/>
    <w:rsid w:val="001E3094"/>
    <w:rsid w:val="001E3443"/>
    <w:rsid w:val="001E3833"/>
    <w:rsid w:val="001E385B"/>
    <w:rsid w:val="001E385F"/>
    <w:rsid w:val="001E38BB"/>
    <w:rsid w:val="001E3AA4"/>
    <w:rsid w:val="001E3C5D"/>
    <w:rsid w:val="001E3C6B"/>
    <w:rsid w:val="001E42BC"/>
    <w:rsid w:val="001E4600"/>
    <w:rsid w:val="001E462F"/>
    <w:rsid w:val="001E47AB"/>
    <w:rsid w:val="001E4BAA"/>
    <w:rsid w:val="001E4BFC"/>
    <w:rsid w:val="001E4C63"/>
    <w:rsid w:val="001E4CC0"/>
    <w:rsid w:val="001E4FF4"/>
    <w:rsid w:val="001E5083"/>
    <w:rsid w:val="001E5306"/>
    <w:rsid w:val="001E5447"/>
    <w:rsid w:val="001E5718"/>
    <w:rsid w:val="001E5C87"/>
    <w:rsid w:val="001E5F19"/>
    <w:rsid w:val="001E608C"/>
    <w:rsid w:val="001E613E"/>
    <w:rsid w:val="001E664E"/>
    <w:rsid w:val="001E74A0"/>
    <w:rsid w:val="001E79ED"/>
    <w:rsid w:val="001E7B6A"/>
    <w:rsid w:val="001F013B"/>
    <w:rsid w:val="001F0248"/>
    <w:rsid w:val="001F03A3"/>
    <w:rsid w:val="001F04FC"/>
    <w:rsid w:val="001F065A"/>
    <w:rsid w:val="001F075A"/>
    <w:rsid w:val="001F07B0"/>
    <w:rsid w:val="001F081A"/>
    <w:rsid w:val="001F098F"/>
    <w:rsid w:val="001F0D67"/>
    <w:rsid w:val="001F0F78"/>
    <w:rsid w:val="001F11C3"/>
    <w:rsid w:val="001F12F9"/>
    <w:rsid w:val="001F17E1"/>
    <w:rsid w:val="001F18BE"/>
    <w:rsid w:val="001F19EB"/>
    <w:rsid w:val="001F1C8B"/>
    <w:rsid w:val="001F29E8"/>
    <w:rsid w:val="001F2B43"/>
    <w:rsid w:val="001F2C20"/>
    <w:rsid w:val="001F2E34"/>
    <w:rsid w:val="001F2F35"/>
    <w:rsid w:val="001F3066"/>
    <w:rsid w:val="001F30A3"/>
    <w:rsid w:val="001F357D"/>
    <w:rsid w:val="001F358D"/>
    <w:rsid w:val="001F36B3"/>
    <w:rsid w:val="001F3A2D"/>
    <w:rsid w:val="001F3C72"/>
    <w:rsid w:val="001F41D3"/>
    <w:rsid w:val="001F47F7"/>
    <w:rsid w:val="001F4862"/>
    <w:rsid w:val="001F4BD7"/>
    <w:rsid w:val="001F4CBA"/>
    <w:rsid w:val="001F4D14"/>
    <w:rsid w:val="001F4D79"/>
    <w:rsid w:val="001F4F71"/>
    <w:rsid w:val="001F4FBB"/>
    <w:rsid w:val="001F57A6"/>
    <w:rsid w:val="001F5935"/>
    <w:rsid w:val="001F5C04"/>
    <w:rsid w:val="001F603A"/>
    <w:rsid w:val="001F6299"/>
    <w:rsid w:val="001F6A0C"/>
    <w:rsid w:val="001F6C19"/>
    <w:rsid w:val="001F6C4A"/>
    <w:rsid w:val="001F708A"/>
    <w:rsid w:val="001F7663"/>
    <w:rsid w:val="001F78B4"/>
    <w:rsid w:val="001F7E6A"/>
    <w:rsid w:val="001F7F0F"/>
    <w:rsid w:val="00200795"/>
    <w:rsid w:val="00200B03"/>
    <w:rsid w:val="00200C3B"/>
    <w:rsid w:val="00200ED6"/>
    <w:rsid w:val="00200ED7"/>
    <w:rsid w:val="00200FE5"/>
    <w:rsid w:val="002012A7"/>
    <w:rsid w:val="00201491"/>
    <w:rsid w:val="0020172C"/>
    <w:rsid w:val="0020218D"/>
    <w:rsid w:val="0020256F"/>
    <w:rsid w:val="00202718"/>
    <w:rsid w:val="00202C5E"/>
    <w:rsid w:val="00202C8F"/>
    <w:rsid w:val="00202E32"/>
    <w:rsid w:val="00202F6C"/>
    <w:rsid w:val="002033AE"/>
    <w:rsid w:val="002035EE"/>
    <w:rsid w:val="002038CC"/>
    <w:rsid w:val="00203B34"/>
    <w:rsid w:val="00203D0C"/>
    <w:rsid w:val="00204132"/>
    <w:rsid w:val="002044AB"/>
    <w:rsid w:val="00204837"/>
    <w:rsid w:val="00204950"/>
    <w:rsid w:val="00204BD5"/>
    <w:rsid w:val="00204D05"/>
    <w:rsid w:val="0020513F"/>
    <w:rsid w:val="002052C3"/>
    <w:rsid w:val="0020540D"/>
    <w:rsid w:val="002054AE"/>
    <w:rsid w:val="002056C1"/>
    <w:rsid w:val="0020577C"/>
    <w:rsid w:val="00205BDD"/>
    <w:rsid w:val="00205C8C"/>
    <w:rsid w:val="00205DBB"/>
    <w:rsid w:val="002060C5"/>
    <w:rsid w:val="00206F91"/>
    <w:rsid w:val="002073BE"/>
    <w:rsid w:val="002073F6"/>
    <w:rsid w:val="00207D42"/>
    <w:rsid w:val="00207DE4"/>
    <w:rsid w:val="00207FD9"/>
    <w:rsid w:val="0021005B"/>
    <w:rsid w:val="002100CB"/>
    <w:rsid w:val="002101CE"/>
    <w:rsid w:val="002102E5"/>
    <w:rsid w:val="00210524"/>
    <w:rsid w:val="00210715"/>
    <w:rsid w:val="00210E5F"/>
    <w:rsid w:val="0021116B"/>
    <w:rsid w:val="002112EE"/>
    <w:rsid w:val="00211589"/>
    <w:rsid w:val="00211A27"/>
    <w:rsid w:val="00211F63"/>
    <w:rsid w:val="0021232E"/>
    <w:rsid w:val="00212529"/>
    <w:rsid w:val="0021270E"/>
    <w:rsid w:val="00213058"/>
    <w:rsid w:val="0021334F"/>
    <w:rsid w:val="00213609"/>
    <w:rsid w:val="00213AB4"/>
    <w:rsid w:val="00213B77"/>
    <w:rsid w:val="00213DE7"/>
    <w:rsid w:val="00213F22"/>
    <w:rsid w:val="00214253"/>
    <w:rsid w:val="002144E0"/>
    <w:rsid w:val="002145AB"/>
    <w:rsid w:val="002147B4"/>
    <w:rsid w:val="002149A4"/>
    <w:rsid w:val="00214A10"/>
    <w:rsid w:val="00214AC9"/>
    <w:rsid w:val="00214D19"/>
    <w:rsid w:val="00214E60"/>
    <w:rsid w:val="00215430"/>
    <w:rsid w:val="00215460"/>
    <w:rsid w:val="00215574"/>
    <w:rsid w:val="002155E6"/>
    <w:rsid w:val="00215B1F"/>
    <w:rsid w:val="00215C44"/>
    <w:rsid w:val="00215F8D"/>
    <w:rsid w:val="00216162"/>
    <w:rsid w:val="00216266"/>
    <w:rsid w:val="002166DE"/>
    <w:rsid w:val="00216C1F"/>
    <w:rsid w:val="0021700D"/>
    <w:rsid w:val="00217010"/>
    <w:rsid w:val="00217230"/>
    <w:rsid w:val="00217514"/>
    <w:rsid w:val="0021776D"/>
    <w:rsid w:val="002179BA"/>
    <w:rsid w:val="00217B22"/>
    <w:rsid w:val="00217BBE"/>
    <w:rsid w:val="00220519"/>
    <w:rsid w:val="002206E9"/>
    <w:rsid w:val="002208B5"/>
    <w:rsid w:val="002209E5"/>
    <w:rsid w:val="00220D1E"/>
    <w:rsid w:val="00220E6D"/>
    <w:rsid w:val="00221114"/>
    <w:rsid w:val="00221126"/>
    <w:rsid w:val="002215EB"/>
    <w:rsid w:val="00221605"/>
    <w:rsid w:val="002217EC"/>
    <w:rsid w:val="0022180E"/>
    <w:rsid w:val="00221949"/>
    <w:rsid w:val="002219B5"/>
    <w:rsid w:val="00221C25"/>
    <w:rsid w:val="00221C4D"/>
    <w:rsid w:val="002222AB"/>
    <w:rsid w:val="00222988"/>
    <w:rsid w:val="002229B8"/>
    <w:rsid w:val="00222BC6"/>
    <w:rsid w:val="00222C42"/>
    <w:rsid w:val="00223345"/>
    <w:rsid w:val="002237C0"/>
    <w:rsid w:val="00223BD1"/>
    <w:rsid w:val="0022413B"/>
    <w:rsid w:val="0022437F"/>
    <w:rsid w:val="002243BD"/>
    <w:rsid w:val="002244E2"/>
    <w:rsid w:val="00224E35"/>
    <w:rsid w:val="002252F2"/>
    <w:rsid w:val="002255A8"/>
    <w:rsid w:val="00225A79"/>
    <w:rsid w:val="00226530"/>
    <w:rsid w:val="002265B9"/>
    <w:rsid w:val="002266FB"/>
    <w:rsid w:val="00226A48"/>
    <w:rsid w:val="0022701F"/>
    <w:rsid w:val="0022708B"/>
    <w:rsid w:val="002273AF"/>
    <w:rsid w:val="00227B6F"/>
    <w:rsid w:val="00227FBA"/>
    <w:rsid w:val="002301E4"/>
    <w:rsid w:val="00230239"/>
    <w:rsid w:val="00230581"/>
    <w:rsid w:val="002307B8"/>
    <w:rsid w:val="0023119F"/>
    <w:rsid w:val="002311B3"/>
    <w:rsid w:val="002312C6"/>
    <w:rsid w:val="00231397"/>
    <w:rsid w:val="002313B1"/>
    <w:rsid w:val="002315E8"/>
    <w:rsid w:val="00231AB2"/>
    <w:rsid w:val="00231BBF"/>
    <w:rsid w:val="00231D8D"/>
    <w:rsid w:val="00231EDC"/>
    <w:rsid w:val="002327D8"/>
    <w:rsid w:val="00232CC5"/>
    <w:rsid w:val="00232EBF"/>
    <w:rsid w:val="00233051"/>
    <w:rsid w:val="002338FF"/>
    <w:rsid w:val="00233935"/>
    <w:rsid w:val="00233C9C"/>
    <w:rsid w:val="00234A5F"/>
    <w:rsid w:val="00234E43"/>
    <w:rsid w:val="00234E88"/>
    <w:rsid w:val="00234F0E"/>
    <w:rsid w:val="00234FC0"/>
    <w:rsid w:val="002351C5"/>
    <w:rsid w:val="00235AE4"/>
    <w:rsid w:val="00235EE7"/>
    <w:rsid w:val="00236175"/>
    <w:rsid w:val="002361C2"/>
    <w:rsid w:val="002366C8"/>
    <w:rsid w:val="00236856"/>
    <w:rsid w:val="00236C68"/>
    <w:rsid w:val="00236DD8"/>
    <w:rsid w:val="00237181"/>
    <w:rsid w:val="002372E9"/>
    <w:rsid w:val="00237B72"/>
    <w:rsid w:val="00237F35"/>
    <w:rsid w:val="00237F63"/>
    <w:rsid w:val="00240A27"/>
    <w:rsid w:val="00240A34"/>
    <w:rsid w:val="00240AEA"/>
    <w:rsid w:val="00240B3A"/>
    <w:rsid w:val="00240B7B"/>
    <w:rsid w:val="00240D72"/>
    <w:rsid w:val="00241069"/>
    <w:rsid w:val="00241A80"/>
    <w:rsid w:val="00241AC1"/>
    <w:rsid w:val="00241B9E"/>
    <w:rsid w:val="00241BC0"/>
    <w:rsid w:val="00241D5A"/>
    <w:rsid w:val="00241D8A"/>
    <w:rsid w:val="00241D92"/>
    <w:rsid w:val="0024215E"/>
    <w:rsid w:val="00242D6A"/>
    <w:rsid w:val="00242FD2"/>
    <w:rsid w:val="00243007"/>
    <w:rsid w:val="0024304C"/>
    <w:rsid w:val="002433EA"/>
    <w:rsid w:val="00243625"/>
    <w:rsid w:val="0024380A"/>
    <w:rsid w:val="002438AA"/>
    <w:rsid w:val="00243CEB"/>
    <w:rsid w:val="0024421E"/>
    <w:rsid w:val="002443AD"/>
    <w:rsid w:val="00244667"/>
    <w:rsid w:val="0024493E"/>
    <w:rsid w:val="00244B2C"/>
    <w:rsid w:val="00244BCA"/>
    <w:rsid w:val="002451E1"/>
    <w:rsid w:val="002451EC"/>
    <w:rsid w:val="00245AE8"/>
    <w:rsid w:val="00245B3A"/>
    <w:rsid w:val="002463A5"/>
    <w:rsid w:val="002466C2"/>
    <w:rsid w:val="00246A3F"/>
    <w:rsid w:val="00246D9E"/>
    <w:rsid w:val="00246E03"/>
    <w:rsid w:val="0024745C"/>
    <w:rsid w:val="00247955"/>
    <w:rsid w:val="00247BDA"/>
    <w:rsid w:val="00247DA1"/>
    <w:rsid w:val="00247E49"/>
    <w:rsid w:val="0025057A"/>
    <w:rsid w:val="00250919"/>
    <w:rsid w:val="00250BDD"/>
    <w:rsid w:val="00250BFC"/>
    <w:rsid w:val="00251032"/>
    <w:rsid w:val="0025114F"/>
    <w:rsid w:val="00251272"/>
    <w:rsid w:val="002513A9"/>
    <w:rsid w:val="0025159B"/>
    <w:rsid w:val="0025159F"/>
    <w:rsid w:val="00251708"/>
    <w:rsid w:val="0025188D"/>
    <w:rsid w:val="0025194A"/>
    <w:rsid w:val="00251DB5"/>
    <w:rsid w:val="00251E74"/>
    <w:rsid w:val="00252266"/>
    <w:rsid w:val="002522D2"/>
    <w:rsid w:val="00252382"/>
    <w:rsid w:val="002529BA"/>
    <w:rsid w:val="00252B10"/>
    <w:rsid w:val="00252BA8"/>
    <w:rsid w:val="00252D6F"/>
    <w:rsid w:val="00252DBE"/>
    <w:rsid w:val="00252FE5"/>
    <w:rsid w:val="0025319C"/>
    <w:rsid w:val="00253505"/>
    <w:rsid w:val="00253578"/>
    <w:rsid w:val="002535CF"/>
    <w:rsid w:val="00253970"/>
    <w:rsid w:val="00253B51"/>
    <w:rsid w:val="00253B6E"/>
    <w:rsid w:val="00254152"/>
    <w:rsid w:val="0025423A"/>
    <w:rsid w:val="0025427B"/>
    <w:rsid w:val="00254289"/>
    <w:rsid w:val="00254AFA"/>
    <w:rsid w:val="00254BD9"/>
    <w:rsid w:val="00254C7B"/>
    <w:rsid w:val="002550B1"/>
    <w:rsid w:val="002551FF"/>
    <w:rsid w:val="0025524C"/>
    <w:rsid w:val="0025614C"/>
    <w:rsid w:val="002565BA"/>
    <w:rsid w:val="00256703"/>
    <w:rsid w:val="0025693C"/>
    <w:rsid w:val="00256B65"/>
    <w:rsid w:val="00256DF0"/>
    <w:rsid w:val="002570B0"/>
    <w:rsid w:val="002571BD"/>
    <w:rsid w:val="002573ED"/>
    <w:rsid w:val="002574FF"/>
    <w:rsid w:val="002577A3"/>
    <w:rsid w:val="002578D6"/>
    <w:rsid w:val="00257E4C"/>
    <w:rsid w:val="002601D3"/>
    <w:rsid w:val="00260226"/>
    <w:rsid w:val="00260300"/>
    <w:rsid w:val="0026034E"/>
    <w:rsid w:val="00260404"/>
    <w:rsid w:val="0026051A"/>
    <w:rsid w:val="002605EC"/>
    <w:rsid w:val="00260A3A"/>
    <w:rsid w:val="00260A75"/>
    <w:rsid w:val="00260DB4"/>
    <w:rsid w:val="00262018"/>
    <w:rsid w:val="002628EA"/>
    <w:rsid w:val="0026307A"/>
    <w:rsid w:val="00263314"/>
    <w:rsid w:val="0026350C"/>
    <w:rsid w:val="002639DA"/>
    <w:rsid w:val="00263AD3"/>
    <w:rsid w:val="00263D3B"/>
    <w:rsid w:val="00263DDC"/>
    <w:rsid w:val="002640C4"/>
    <w:rsid w:val="002640EE"/>
    <w:rsid w:val="002641AF"/>
    <w:rsid w:val="0026474C"/>
    <w:rsid w:val="00264943"/>
    <w:rsid w:val="00264D4D"/>
    <w:rsid w:val="00264D66"/>
    <w:rsid w:val="00264E55"/>
    <w:rsid w:val="00264FEF"/>
    <w:rsid w:val="00266057"/>
    <w:rsid w:val="00266094"/>
    <w:rsid w:val="00266227"/>
    <w:rsid w:val="002667C0"/>
    <w:rsid w:val="00266A50"/>
    <w:rsid w:val="00266BDB"/>
    <w:rsid w:val="00266E48"/>
    <w:rsid w:val="00267605"/>
    <w:rsid w:val="00267A0F"/>
    <w:rsid w:val="00267B05"/>
    <w:rsid w:val="00267B7B"/>
    <w:rsid w:val="00267C1B"/>
    <w:rsid w:val="00267F32"/>
    <w:rsid w:val="00270A96"/>
    <w:rsid w:val="00270AB6"/>
    <w:rsid w:val="00270CE7"/>
    <w:rsid w:val="00271282"/>
    <w:rsid w:val="0027135C"/>
    <w:rsid w:val="0027166F"/>
    <w:rsid w:val="0027189E"/>
    <w:rsid w:val="0027194F"/>
    <w:rsid w:val="00271BD0"/>
    <w:rsid w:val="00271F1B"/>
    <w:rsid w:val="002720A9"/>
    <w:rsid w:val="002723DC"/>
    <w:rsid w:val="00272562"/>
    <w:rsid w:val="002726D3"/>
    <w:rsid w:val="002728DE"/>
    <w:rsid w:val="00272B49"/>
    <w:rsid w:val="00272BBB"/>
    <w:rsid w:val="00272E32"/>
    <w:rsid w:val="00273B8B"/>
    <w:rsid w:val="0027457C"/>
    <w:rsid w:val="00274688"/>
    <w:rsid w:val="002747BB"/>
    <w:rsid w:val="00274A39"/>
    <w:rsid w:val="00274F71"/>
    <w:rsid w:val="002755DF"/>
    <w:rsid w:val="0027599A"/>
    <w:rsid w:val="00275D5F"/>
    <w:rsid w:val="00276431"/>
    <w:rsid w:val="00276553"/>
    <w:rsid w:val="00276B99"/>
    <w:rsid w:val="00276BB0"/>
    <w:rsid w:val="00276CE5"/>
    <w:rsid w:val="00276D54"/>
    <w:rsid w:val="002771B3"/>
    <w:rsid w:val="002779FA"/>
    <w:rsid w:val="00277B9D"/>
    <w:rsid w:val="00277D6E"/>
    <w:rsid w:val="00277DC9"/>
    <w:rsid w:val="0028033B"/>
    <w:rsid w:val="0028053A"/>
    <w:rsid w:val="00280B23"/>
    <w:rsid w:val="00280D8D"/>
    <w:rsid w:val="002812B6"/>
    <w:rsid w:val="002812BB"/>
    <w:rsid w:val="002812E5"/>
    <w:rsid w:val="00281721"/>
    <w:rsid w:val="00282155"/>
    <w:rsid w:val="002823A7"/>
    <w:rsid w:val="002829EB"/>
    <w:rsid w:val="00283480"/>
    <w:rsid w:val="00283643"/>
    <w:rsid w:val="002836D7"/>
    <w:rsid w:val="00283A32"/>
    <w:rsid w:val="00283AF3"/>
    <w:rsid w:val="00283DC2"/>
    <w:rsid w:val="00283EF7"/>
    <w:rsid w:val="00285202"/>
    <w:rsid w:val="00285CFD"/>
    <w:rsid w:val="00285D17"/>
    <w:rsid w:val="00285EBA"/>
    <w:rsid w:val="0028610A"/>
    <w:rsid w:val="002861C8"/>
    <w:rsid w:val="002862F0"/>
    <w:rsid w:val="0028681C"/>
    <w:rsid w:val="0028698B"/>
    <w:rsid w:val="00287107"/>
    <w:rsid w:val="00287328"/>
    <w:rsid w:val="002874EF"/>
    <w:rsid w:val="00287579"/>
    <w:rsid w:val="00287E67"/>
    <w:rsid w:val="00287E8A"/>
    <w:rsid w:val="00290091"/>
    <w:rsid w:val="002903C3"/>
    <w:rsid w:val="00290E61"/>
    <w:rsid w:val="00291099"/>
    <w:rsid w:val="002914FF"/>
    <w:rsid w:val="00291A38"/>
    <w:rsid w:val="00291BF4"/>
    <w:rsid w:val="00291CE2"/>
    <w:rsid w:val="00291FB0"/>
    <w:rsid w:val="00292361"/>
    <w:rsid w:val="002926E4"/>
    <w:rsid w:val="00292D99"/>
    <w:rsid w:val="00293702"/>
    <w:rsid w:val="0029383A"/>
    <w:rsid w:val="002939CF"/>
    <w:rsid w:val="00293A32"/>
    <w:rsid w:val="0029410E"/>
    <w:rsid w:val="0029449E"/>
    <w:rsid w:val="00294590"/>
    <w:rsid w:val="002946FE"/>
    <w:rsid w:val="002948D6"/>
    <w:rsid w:val="00294EE1"/>
    <w:rsid w:val="00295186"/>
    <w:rsid w:val="002951DA"/>
    <w:rsid w:val="002953FC"/>
    <w:rsid w:val="0029552C"/>
    <w:rsid w:val="00295626"/>
    <w:rsid w:val="00295B49"/>
    <w:rsid w:val="00295C50"/>
    <w:rsid w:val="00295D3D"/>
    <w:rsid w:val="00296087"/>
    <w:rsid w:val="002961FE"/>
    <w:rsid w:val="00296350"/>
    <w:rsid w:val="00296630"/>
    <w:rsid w:val="002967D9"/>
    <w:rsid w:val="00296904"/>
    <w:rsid w:val="002970AC"/>
    <w:rsid w:val="00297187"/>
    <w:rsid w:val="00297473"/>
    <w:rsid w:val="00297B84"/>
    <w:rsid w:val="00297C94"/>
    <w:rsid w:val="00297CBF"/>
    <w:rsid w:val="002A0049"/>
    <w:rsid w:val="002A00B6"/>
    <w:rsid w:val="002A0101"/>
    <w:rsid w:val="002A0265"/>
    <w:rsid w:val="002A04A9"/>
    <w:rsid w:val="002A0F94"/>
    <w:rsid w:val="002A1002"/>
    <w:rsid w:val="002A10D3"/>
    <w:rsid w:val="002A147D"/>
    <w:rsid w:val="002A15F8"/>
    <w:rsid w:val="002A187E"/>
    <w:rsid w:val="002A189C"/>
    <w:rsid w:val="002A1BAD"/>
    <w:rsid w:val="002A1F9D"/>
    <w:rsid w:val="002A2627"/>
    <w:rsid w:val="002A2961"/>
    <w:rsid w:val="002A2B78"/>
    <w:rsid w:val="002A2FB2"/>
    <w:rsid w:val="002A342C"/>
    <w:rsid w:val="002A37A2"/>
    <w:rsid w:val="002A38AC"/>
    <w:rsid w:val="002A3994"/>
    <w:rsid w:val="002A39D2"/>
    <w:rsid w:val="002A3D9C"/>
    <w:rsid w:val="002A408A"/>
    <w:rsid w:val="002A46EB"/>
    <w:rsid w:val="002A47F3"/>
    <w:rsid w:val="002A48AD"/>
    <w:rsid w:val="002A4D50"/>
    <w:rsid w:val="002A4E32"/>
    <w:rsid w:val="002A5275"/>
    <w:rsid w:val="002A52C3"/>
    <w:rsid w:val="002A5785"/>
    <w:rsid w:val="002A57B0"/>
    <w:rsid w:val="002A5891"/>
    <w:rsid w:val="002A625E"/>
    <w:rsid w:val="002A6267"/>
    <w:rsid w:val="002A626D"/>
    <w:rsid w:val="002A6408"/>
    <w:rsid w:val="002A6D00"/>
    <w:rsid w:val="002A78AF"/>
    <w:rsid w:val="002A7C38"/>
    <w:rsid w:val="002B00CA"/>
    <w:rsid w:val="002B00F1"/>
    <w:rsid w:val="002B00F4"/>
    <w:rsid w:val="002B03B7"/>
    <w:rsid w:val="002B0672"/>
    <w:rsid w:val="002B09CC"/>
    <w:rsid w:val="002B0B08"/>
    <w:rsid w:val="002B0DFE"/>
    <w:rsid w:val="002B0E76"/>
    <w:rsid w:val="002B1004"/>
    <w:rsid w:val="002B1075"/>
    <w:rsid w:val="002B1134"/>
    <w:rsid w:val="002B15D4"/>
    <w:rsid w:val="002B1698"/>
    <w:rsid w:val="002B17E5"/>
    <w:rsid w:val="002B1AFC"/>
    <w:rsid w:val="002B1B98"/>
    <w:rsid w:val="002B1C0B"/>
    <w:rsid w:val="002B1CDE"/>
    <w:rsid w:val="002B1DFB"/>
    <w:rsid w:val="002B2108"/>
    <w:rsid w:val="002B21EE"/>
    <w:rsid w:val="002B22E1"/>
    <w:rsid w:val="002B23C7"/>
    <w:rsid w:val="002B2F51"/>
    <w:rsid w:val="002B3047"/>
    <w:rsid w:val="002B38CC"/>
    <w:rsid w:val="002B3B53"/>
    <w:rsid w:val="002B3BD8"/>
    <w:rsid w:val="002B4414"/>
    <w:rsid w:val="002B4D24"/>
    <w:rsid w:val="002B4FFE"/>
    <w:rsid w:val="002B5347"/>
    <w:rsid w:val="002B5564"/>
    <w:rsid w:val="002B575F"/>
    <w:rsid w:val="002B59CF"/>
    <w:rsid w:val="002B5FB7"/>
    <w:rsid w:val="002B62D6"/>
    <w:rsid w:val="002B6630"/>
    <w:rsid w:val="002B6748"/>
    <w:rsid w:val="002B67B5"/>
    <w:rsid w:val="002B6928"/>
    <w:rsid w:val="002B6AC0"/>
    <w:rsid w:val="002B71CF"/>
    <w:rsid w:val="002B71E4"/>
    <w:rsid w:val="002B7576"/>
    <w:rsid w:val="002B7765"/>
    <w:rsid w:val="002C00DC"/>
    <w:rsid w:val="002C011F"/>
    <w:rsid w:val="002C01FB"/>
    <w:rsid w:val="002C040A"/>
    <w:rsid w:val="002C05A3"/>
    <w:rsid w:val="002C05A5"/>
    <w:rsid w:val="002C0629"/>
    <w:rsid w:val="002C0835"/>
    <w:rsid w:val="002C0A44"/>
    <w:rsid w:val="002C0D42"/>
    <w:rsid w:val="002C0EB4"/>
    <w:rsid w:val="002C0EF0"/>
    <w:rsid w:val="002C101A"/>
    <w:rsid w:val="002C104D"/>
    <w:rsid w:val="002C11C0"/>
    <w:rsid w:val="002C12EB"/>
    <w:rsid w:val="002C1369"/>
    <w:rsid w:val="002C1437"/>
    <w:rsid w:val="002C158A"/>
    <w:rsid w:val="002C28DE"/>
    <w:rsid w:val="002C2EFE"/>
    <w:rsid w:val="002C3D67"/>
    <w:rsid w:val="002C44B2"/>
    <w:rsid w:val="002C4A2D"/>
    <w:rsid w:val="002C4F6B"/>
    <w:rsid w:val="002C4FC2"/>
    <w:rsid w:val="002C515C"/>
    <w:rsid w:val="002C51DC"/>
    <w:rsid w:val="002C5319"/>
    <w:rsid w:val="002C54BD"/>
    <w:rsid w:val="002C5556"/>
    <w:rsid w:val="002C559D"/>
    <w:rsid w:val="002C5BB7"/>
    <w:rsid w:val="002C5C44"/>
    <w:rsid w:val="002C5E26"/>
    <w:rsid w:val="002C5E78"/>
    <w:rsid w:val="002C6142"/>
    <w:rsid w:val="002C642B"/>
    <w:rsid w:val="002C65AE"/>
    <w:rsid w:val="002C6618"/>
    <w:rsid w:val="002C6685"/>
    <w:rsid w:val="002C692E"/>
    <w:rsid w:val="002C69EB"/>
    <w:rsid w:val="002C6FF8"/>
    <w:rsid w:val="002C781F"/>
    <w:rsid w:val="002C7868"/>
    <w:rsid w:val="002C789E"/>
    <w:rsid w:val="002C7EE5"/>
    <w:rsid w:val="002D0A23"/>
    <w:rsid w:val="002D0A8E"/>
    <w:rsid w:val="002D0C0F"/>
    <w:rsid w:val="002D0CFC"/>
    <w:rsid w:val="002D1147"/>
    <w:rsid w:val="002D11AA"/>
    <w:rsid w:val="002D1646"/>
    <w:rsid w:val="002D1ABF"/>
    <w:rsid w:val="002D1E00"/>
    <w:rsid w:val="002D2561"/>
    <w:rsid w:val="002D274A"/>
    <w:rsid w:val="002D2D7A"/>
    <w:rsid w:val="002D2F1B"/>
    <w:rsid w:val="002D2FA7"/>
    <w:rsid w:val="002D2FBD"/>
    <w:rsid w:val="002D359C"/>
    <w:rsid w:val="002D369C"/>
    <w:rsid w:val="002D3E6A"/>
    <w:rsid w:val="002D3E81"/>
    <w:rsid w:val="002D40B9"/>
    <w:rsid w:val="002D4C49"/>
    <w:rsid w:val="002D4D91"/>
    <w:rsid w:val="002D5077"/>
    <w:rsid w:val="002D5653"/>
    <w:rsid w:val="002D56C5"/>
    <w:rsid w:val="002D578F"/>
    <w:rsid w:val="002D59EC"/>
    <w:rsid w:val="002D5A77"/>
    <w:rsid w:val="002D5B3B"/>
    <w:rsid w:val="002D682A"/>
    <w:rsid w:val="002D6AEA"/>
    <w:rsid w:val="002D6C2E"/>
    <w:rsid w:val="002D70B2"/>
    <w:rsid w:val="002D7159"/>
    <w:rsid w:val="002D7A4F"/>
    <w:rsid w:val="002D7BDA"/>
    <w:rsid w:val="002D7FBE"/>
    <w:rsid w:val="002E0181"/>
    <w:rsid w:val="002E03B4"/>
    <w:rsid w:val="002E0749"/>
    <w:rsid w:val="002E0978"/>
    <w:rsid w:val="002E0C5F"/>
    <w:rsid w:val="002E10F1"/>
    <w:rsid w:val="002E1D62"/>
    <w:rsid w:val="002E1F92"/>
    <w:rsid w:val="002E22A2"/>
    <w:rsid w:val="002E2536"/>
    <w:rsid w:val="002E26DA"/>
    <w:rsid w:val="002E2964"/>
    <w:rsid w:val="002E2C2A"/>
    <w:rsid w:val="002E3108"/>
    <w:rsid w:val="002E37B1"/>
    <w:rsid w:val="002E3914"/>
    <w:rsid w:val="002E398E"/>
    <w:rsid w:val="002E3A53"/>
    <w:rsid w:val="002E3C3B"/>
    <w:rsid w:val="002E3D46"/>
    <w:rsid w:val="002E3FAE"/>
    <w:rsid w:val="002E5861"/>
    <w:rsid w:val="002E5902"/>
    <w:rsid w:val="002E59F8"/>
    <w:rsid w:val="002E5C3C"/>
    <w:rsid w:val="002E5E81"/>
    <w:rsid w:val="002E6017"/>
    <w:rsid w:val="002E67A8"/>
    <w:rsid w:val="002E6B29"/>
    <w:rsid w:val="002E6B3E"/>
    <w:rsid w:val="002E6C89"/>
    <w:rsid w:val="002E6CCA"/>
    <w:rsid w:val="002E729F"/>
    <w:rsid w:val="002E74DD"/>
    <w:rsid w:val="002E7816"/>
    <w:rsid w:val="002E7B88"/>
    <w:rsid w:val="002E7E13"/>
    <w:rsid w:val="002F03E3"/>
    <w:rsid w:val="002F0A51"/>
    <w:rsid w:val="002F0CEC"/>
    <w:rsid w:val="002F11B9"/>
    <w:rsid w:val="002F124E"/>
    <w:rsid w:val="002F161F"/>
    <w:rsid w:val="002F1A3D"/>
    <w:rsid w:val="002F1F3F"/>
    <w:rsid w:val="002F1FDE"/>
    <w:rsid w:val="002F24E7"/>
    <w:rsid w:val="002F25D7"/>
    <w:rsid w:val="002F27BB"/>
    <w:rsid w:val="002F2903"/>
    <w:rsid w:val="002F3A5F"/>
    <w:rsid w:val="002F3BA9"/>
    <w:rsid w:val="002F3E09"/>
    <w:rsid w:val="002F401F"/>
    <w:rsid w:val="002F41B1"/>
    <w:rsid w:val="002F46BB"/>
    <w:rsid w:val="002F4E36"/>
    <w:rsid w:val="002F526A"/>
    <w:rsid w:val="002F57B7"/>
    <w:rsid w:val="002F5B1F"/>
    <w:rsid w:val="002F5B2E"/>
    <w:rsid w:val="002F5D27"/>
    <w:rsid w:val="002F6283"/>
    <w:rsid w:val="002F6FD1"/>
    <w:rsid w:val="002F70FC"/>
    <w:rsid w:val="002F712F"/>
    <w:rsid w:val="002F74F2"/>
    <w:rsid w:val="002F78C5"/>
    <w:rsid w:val="002F7C76"/>
    <w:rsid w:val="002F7F3A"/>
    <w:rsid w:val="00300201"/>
    <w:rsid w:val="0030065E"/>
    <w:rsid w:val="00300AF9"/>
    <w:rsid w:val="00300F81"/>
    <w:rsid w:val="003016FC"/>
    <w:rsid w:val="00301FD3"/>
    <w:rsid w:val="00302376"/>
    <w:rsid w:val="00302A54"/>
    <w:rsid w:val="00302DED"/>
    <w:rsid w:val="00303057"/>
    <w:rsid w:val="003032B4"/>
    <w:rsid w:val="003035DB"/>
    <w:rsid w:val="00303791"/>
    <w:rsid w:val="003039DB"/>
    <w:rsid w:val="00303C72"/>
    <w:rsid w:val="00303F00"/>
    <w:rsid w:val="003043AB"/>
    <w:rsid w:val="003045B4"/>
    <w:rsid w:val="00304AC8"/>
    <w:rsid w:val="003054CB"/>
    <w:rsid w:val="00305A44"/>
    <w:rsid w:val="00305DCA"/>
    <w:rsid w:val="00305F06"/>
    <w:rsid w:val="003064D2"/>
    <w:rsid w:val="0030666D"/>
    <w:rsid w:val="00306D67"/>
    <w:rsid w:val="00307042"/>
    <w:rsid w:val="00307772"/>
    <w:rsid w:val="00307A88"/>
    <w:rsid w:val="003100B1"/>
    <w:rsid w:val="00310302"/>
    <w:rsid w:val="00310BAC"/>
    <w:rsid w:val="00310BCD"/>
    <w:rsid w:val="00310D16"/>
    <w:rsid w:val="00310EA7"/>
    <w:rsid w:val="0031119A"/>
    <w:rsid w:val="00311491"/>
    <w:rsid w:val="00311B2F"/>
    <w:rsid w:val="00311B33"/>
    <w:rsid w:val="00312288"/>
    <w:rsid w:val="00312401"/>
    <w:rsid w:val="003124A4"/>
    <w:rsid w:val="003125B3"/>
    <w:rsid w:val="00312853"/>
    <w:rsid w:val="00312C09"/>
    <w:rsid w:val="00312D51"/>
    <w:rsid w:val="00312ED3"/>
    <w:rsid w:val="00313355"/>
    <w:rsid w:val="00313DF6"/>
    <w:rsid w:val="00313ED6"/>
    <w:rsid w:val="0031428A"/>
    <w:rsid w:val="0031482C"/>
    <w:rsid w:val="00314A0F"/>
    <w:rsid w:val="00314DCA"/>
    <w:rsid w:val="00315132"/>
    <w:rsid w:val="00315429"/>
    <w:rsid w:val="0031563F"/>
    <w:rsid w:val="00315659"/>
    <w:rsid w:val="00315B40"/>
    <w:rsid w:val="00316064"/>
    <w:rsid w:val="00316554"/>
    <w:rsid w:val="0031658C"/>
    <w:rsid w:val="00316663"/>
    <w:rsid w:val="00316856"/>
    <w:rsid w:val="00316C1C"/>
    <w:rsid w:val="003171B0"/>
    <w:rsid w:val="003172BD"/>
    <w:rsid w:val="00317AE6"/>
    <w:rsid w:val="00317C64"/>
    <w:rsid w:val="00317D44"/>
    <w:rsid w:val="00317E6F"/>
    <w:rsid w:val="00320102"/>
    <w:rsid w:val="003206CE"/>
    <w:rsid w:val="00320823"/>
    <w:rsid w:val="00320833"/>
    <w:rsid w:val="003215C4"/>
    <w:rsid w:val="003219A6"/>
    <w:rsid w:val="00321B9F"/>
    <w:rsid w:val="00321F33"/>
    <w:rsid w:val="003220FC"/>
    <w:rsid w:val="00322280"/>
    <w:rsid w:val="00322857"/>
    <w:rsid w:val="0032285D"/>
    <w:rsid w:val="00322A4F"/>
    <w:rsid w:val="00322AF6"/>
    <w:rsid w:val="00322C88"/>
    <w:rsid w:val="00322CD5"/>
    <w:rsid w:val="00323040"/>
    <w:rsid w:val="0032343C"/>
    <w:rsid w:val="00323713"/>
    <w:rsid w:val="00323969"/>
    <w:rsid w:val="00323BE9"/>
    <w:rsid w:val="00324693"/>
    <w:rsid w:val="0032531A"/>
    <w:rsid w:val="003253E1"/>
    <w:rsid w:val="0032558F"/>
    <w:rsid w:val="00325727"/>
    <w:rsid w:val="00325CBF"/>
    <w:rsid w:val="00326341"/>
    <w:rsid w:val="0032636B"/>
    <w:rsid w:val="00326528"/>
    <w:rsid w:val="003265A0"/>
    <w:rsid w:val="00326986"/>
    <w:rsid w:val="00326BCF"/>
    <w:rsid w:val="00326C48"/>
    <w:rsid w:val="00326D2E"/>
    <w:rsid w:val="003270CA"/>
    <w:rsid w:val="00327107"/>
    <w:rsid w:val="003272E9"/>
    <w:rsid w:val="003273F2"/>
    <w:rsid w:val="0032757A"/>
    <w:rsid w:val="00327596"/>
    <w:rsid w:val="003278E7"/>
    <w:rsid w:val="003279B2"/>
    <w:rsid w:val="00327CBB"/>
    <w:rsid w:val="00327EB2"/>
    <w:rsid w:val="003306A2"/>
    <w:rsid w:val="0033072E"/>
    <w:rsid w:val="003309A5"/>
    <w:rsid w:val="00331A94"/>
    <w:rsid w:val="00331CA3"/>
    <w:rsid w:val="00331DE6"/>
    <w:rsid w:val="003325AF"/>
    <w:rsid w:val="00332734"/>
    <w:rsid w:val="0033280B"/>
    <w:rsid w:val="00332897"/>
    <w:rsid w:val="00332A77"/>
    <w:rsid w:val="00332AAC"/>
    <w:rsid w:val="00332BBD"/>
    <w:rsid w:val="00332DBB"/>
    <w:rsid w:val="00332DD6"/>
    <w:rsid w:val="00332F07"/>
    <w:rsid w:val="0033349F"/>
    <w:rsid w:val="00333850"/>
    <w:rsid w:val="00333B44"/>
    <w:rsid w:val="00333B46"/>
    <w:rsid w:val="00333C33"/>
    <w:rsid w:val="00333C5E"/>
    <w:rsid w:val="00333CB4"/>
    <w:rsid w:val="00333CF5"/>
    <w:rsid w:val="00333DB8"/>
    <w:rsid w:val="003341BB"/>
    <w:rsid w:val="003341D4"/>
    <w:rsid w:val="003343FA"/>
    <w:rsid w:val="00334913"/>
    <w:rsid w:val="00334BAC"/>
    <w:rsid w:val="0033576D"/>
    <w:rsid w:val="003358D7"/>
    <w:rsid w:val="003358EA"/>
    <w:rsid w:val="00335B47"/>
    <w:rsid w:val="00335D8B"/>
    <w:rsid w:val="00336357"/>
    <w:rsid w:val="003365B0"/>
    <w:rsid w:val="003366D7"/>
    <w:rsid w:val="00336781"/>
    <w:rsid w:val="00336955"/>
    <w:rsid w:val="0033695B"/>
    <w:rsid w:val="003371C4"/>
    <w:rsid w:val="00337300"/>
    <w:rsid w:val="00337851"/>
    <w:rsid w:val="00337AB0"/>
    <w:rsid w:val="00337DD1"/>
    <w:rsid w:val="00337E9E"/>
    <w:rsid w:val="00337F88"/>
    <w:rsid w:val="00337FB8"/>
    <w:rsid w:val="00340583"/>
    <w:rsid w:val="0034073E"/>
    <w:rsid w:val="003408A7"/>
    <w:rsid w:val="00340A56"/>
    <w:rsid w:val="00340C2A"/>
    <w:rsid w:val="00340EC7"/>
    <w:rsid w:val="00341765"/>
    <w:rsid w:val="003417B9"/>
    <w:rsid w:val="00341AEF"/>
    <w:rsid w:val="00341E7F"/>
    <w:rsid w:val="00341F24"/>
    <w:rsid w:val="00342549"/>
    <w:rsid w:val="003425F1"/>
    <w:rsid w:val="00342747"/>
    <w:rsid w:val="003428E6"/>
    <w:rsid w:val="0034319C"/>
    <w:rsid w:val="00343A51"/>
    <w:rsid w:val="00343C4D"/>
    <w:rsid w:val="0034480F"/>
    <w:rsid w:val="00344871"/>
    <w:rsid w:val="00344CF7"/>
    <w:rsid w:val="0034551A"/>
    <w:rsid w:val="00345A9D"/>
    <w:rsid w:val="00345B6F"/>
    <w:rsid w:val="00345BC2"/>
    <w:rsid w:val="00345E47"/>
    <w:rsid w:val="0034666D"/>
    <w:rsid w:val="00346BED"/>
    <w:rsid w:val="00346C28"/>
    <w:rsid w:val="00346C58"/>
    <w:rsid w:val="00346D5D"/>
    <w:rsid w:val="00346F21"/>
    <w:rsid w:val="0034732E"/>
    <w:rsid w:val="00347344"/>
    <w:rsid w:val="0034761F"/>
    <w:rsid w:val="00347FBA"/>
    <w:rsid w:val="00350492"/>
    <w:rsid w:val="0035058C"/>
    <w:rsid w:val="0035064F"/>
    <w:rsid w:val="00350766"/>
    <w:rsid w:val="003509E6"/>
    <w:rsid w:val="00350D38"/>
    <w:rsid w:val="0035138F"/>
    <w:rsid w:val="003514BE"/>
    <w:rsid w:val="0035168F"/>
    <w:rsid w:val="00351807"/>
    <w:rsid w:val="00351873"/>
    <w:rsid w:val="0035190D"/>
    <w:rsid w:val="003525DC"/>
    <w:rsid w:val="003525FD"/>
    <w:rsid w:val="00352817"/>
    <w:rsid w:val="00352A70"/>
    <w:rsid w:val="00352C08"/>
    <w:rsid w:val="00352CEE"/>
    <w:rsid w:val="00352EE5"/>
    <w:rsid w:val="003530A5"/>
    <w:rsid w:val="0035339F"/>
    <w:rsid w:val="00353482"/>
    <w:rsid w:val="00353526"/>
    <w:rsid w:val="0035443B"/>
    <w:rsid w:val="003546B0"/>
    <w:rsid w:val="00354749"/>
    <w:rsid w:val="00354DF1"/>
    <w:rsid w:val="003550E5"/>
    <w:rsid w:val="00355234"/>
    <w:rsid w:val="003554D2"/>
    <w:rsid w:val="0035563A"/>
    <w:rsid w:val="00355663"/>
    <w:rsid w:val="00355682"/>
    <w:rsid w:val="00355975"/>
    <w:rsid w:val="00355BC9"/>
    <w:rsid w:val="00355D41"/>
    <w:rsid w:val="00355DBE"/>
    <w:rsid w:val="00356094"/>
    <w:rsid w:val="0035614E"/>
    <w:rsid w:val="00356E52"/>
    <w:rsid w:val="00357337"/>
    <w:rsid w:val="003574AF"/>
    <w:rsid w:val="0035751A"/>
    <w:rsid w:val="00357853"/>
    <w:rsid w:val="00357868"/>
    <w:rsid w:val="00357921"/>
    <w:rsid w:val="00357FC0"/>
    <w:rsid w:val="00360250"/>
    <w:rsid w:val="00360604"/>
    <w:rsid w:val="00360AE4"/>
    <w:rsid w:val="00360CF1"/>
    <w:rsid w:val="00360D1A"/>
    <w:rsid w:val="00360D6E"/>
    <w:rsid w:val="00360F73"/>
    <w:rsid w:val="00361023"/>
    <w:rsid w:val="003613CA"/>
    <w:rsid w:val="00361896"/>
    <w:rsid w:val="003618F7"/>
    <w:rsid w:val="00361947"/>
    <w:rsid w:val="00361BDA"/>
    <w:rsid w:val="003623D4"/>
    <w:rsid w:val="00362F69"/>
    <w:rsid w:val="0036330E"/>
    <w:rsid w:val="0036350D"/>
    <w:rsid w:val="00363CD0"/>
    <w:rsid w:val="00363D35"/>
    <w:rsid w:val="00363D3F"/>
    <w:rsid w:val="00363E1E"/>
    <w:rsid w:val="00363E97"/>
    <w:rsid w:val="00363FCF"/>
    <w:rsid w:val="00364585"/>
    <w:rsid w:val="003654E7"/>
    <w:rsid w:val="0036566F"/>
    <w:rsid w:val="0036578D"/>
    <w:rsid w:val="00365881"/>
    <w:rsid w:val="00365B77"/>
    <w:rsid w:val="00365CBD"/>
    <w:rsid w:val="00366295"/>
    <w:rsid w:val="003663C9"/>
    <w:rsid w:val="003665D7"/>
    <w:rsid w:val="00366B73"/>
    <w:rsid w:val="00366D9D"/>
    <w:rsid w:val="003672F8"/>
    <w:rsid w:val="0036755E"/>
    <w:rsid w:val="00367AA0"/>
    <w:rsid w:val="003700F3"/>
    <w:rsid w:val="00370355"/>
    <w:rsid w:val="00370B72"/>
    <w:rsid w:val="00370E69"/>
    <w:rsid w:val="003711AE"/>
    <w:rsid w:val="00371401"/>
    <w:rsid w:val="00371432"/>
    <w:rsid w:val="00371600"/>
    <w:rsid w:val="00371660"/>
    <w:rsid w:val="00371A72"/>
    <w:rsid w:val="00371BB4"/>
    <w:rsid w:val="00371D6E"/>
    <w:rsid w:val="00371DDD"/>
    <w:rsid w:val="00371F7B"/>
    <w:rsid w:val="003720CC"/>
    <w:rsid w:val="00372151"/>
    <w:rsid w:val="003721DF"/>
    <w:rsid w:val="00372327"/>
    <w:rsid w:val="003723B3"/>
    <w:rsid w:val="003729DD"/>
    <w:rsid w:val="00372A5D"/>
    <w:rsid w:val="003730F9"/>
    <w:rsid w:val="0037314A"/>
    <w:rsid w:val="003731EC"/>
    <w:rsid w:val="00373237"/>
    <w:rsid w:val="0037348C"/>
    <w:rsid w:val="00373509"/>
    <w:rsid w:val="0037355A"/>
    <w:rsid w:val="00373A74"/>
    <w:rsid w:val="00373C9D"/>
    <w:rsid w:val="00374116"/>
    <w:rsid w:val="003744A4"/>
    <w:rsid w:val="00374689"/>
    <w:rsid w:val="003747EA"/>
    <w:rsid w:val="003748B2"/>
    <w:rsid w:val="00374AD7"/>
    <w:rsid w:val="0037526F"/>
    <w:rsid w:val="003753C4"/>
    <w:rsid w:val="00375D8D"/>
    <w:rsid w:val="0037612E"/>
    <w:rsid w:val="00376217"/>
    <w:rsid w:val="003762AA"/>
    <w:rsid w:val="003764DB"/>
    <w:rsid w:val="00376873"/>
    <w:rsid w:val="00376963"/>
    <w:rsid w:val="00376DA8"/>
    <w:rsid w:val="003772CC"/>
    <w:rsid w:val="003774B0"/>
    <w:rsid w:val="00377620"/>
    <w:rsid w:val="00377876"/>
    <w:rsid w:val="0037798F"/>
    <w:rsid w:val="00380129"/>
    <w:rsid w:val="0038037C"/>
    <w:rsid w:val="00380416"/>
    <w:rsid w:val="00380E11"/>
    <w:rsid w:val="00380E94"/>
    <w:rsid w:val="0038101A"/>
    <w:rsid w:val="003812CF"/>
    <w:rsid w:val="00381327"/>
    <w:rsid w:val="00381472"/>
    <w:rsid w:val="0038190D"/>
    <w:rsid w:val="00381ED0"/>
    <w:rsid w:val="00382413"/>
    <w:rsid w:val="003825B6"/>
    <w:rsid w:val="00382787"/>
    <w:rsid w:val="003828E3"/>
    <w:rsid w:val="003828EE"/>
    <w:rsid w:val="00382F03"/>
    <w:rsid w:val="00383120"/>
    <w:rsid w:val="00383F8C"/>
    <w:rsid w:val="0038406F"/>
    <w:rsid w:val="003840A3"/>
    <w:rsid w:val="0038413A"/>
    <w:rsid w:val="003843E3"/>
    <w:rsid w:val="00384496"/>
    <w:rsid w:val="00384AD1"/>
    <w:rsid w:val="00385172"/>
    <w:rsid w:val="0038587E"/>
    <w:rsid w:val="003859BA"/>
    <w:rsid w:val="00385B5C"/>
    <w:rsid w:val="0038613A"/>
    <w:rsid w:val="00386656"/>
    <w:rsid w:val="0038672D"/>
    <w:rsid w:val="0038690A"/>
    <w:rsid w:val="003869B1"/>
    <w:rsid w:val="003869C6"/>
    <w:rsid w:val="00386B99"/>
    <w:rsid w:val="00386BC0"/>
    <w:rsid w:val="00386C76"/>
    <w:rsid w:val="00386D52"/>
    <w:rsid w:val="00386D5A"/>
    <w:rsid w:val="00387552"/>
    <w:rsid w:val="00387831"/>
    <w:rsid w:val="003879EC"/>
    <w:rsid w:val="00387CAA"/>
    <w:rsid w:val="00390032"/>
    <w:rsid w:val="0039013E"/>
    <w:rsid w:val="003906C2"/>
    <w:rsid w:val="00390BA0"/>
    <w:rsid w:val="003911A2"/>
    <w:rsid w:val="0039128A"/>
    <w:rsid w:val="0039128E"/>
    <w:rsid w:val="0039133D"/>
    <w:rsid w:val="0039158E"/>
    <w:rsid w:val="00391B6A"/>
    <w:rsid w:val="00391E33"/>
    <w:rsid w:val="00391F91"/>
    <w:rsid w:val="003922C3"/>
    <w:rsid w:val="00392838"/>
    <w:rsid w:val="00392843"/>
    <w:rsid w:val="0039285D"/>
    <w:rsid w:val="00392FDD"/>
    <w:rsid w:val="003932B0"/>
    <w:rsid w:val="00393388"/>
    <w:rsid w:val="00393902"/>
    <w:rsid w:val="00393DAB"/>
    <w:rsid w:val="0039409E"/>
    <w:rsid w:val="0039418D"/>
    <w:rsid w:val="0039435E"/>
    <w:rsid w:val="0039451D"/>
    <w:rsid w:val="00394578"/>
    <w:rsid w:val="003945F6"/>
    <w:rsid w:val="003946AE"/>
    <w:rsid w:val="00394798"/>
    <w:rsid w:val="00394B8F"/>
    <w:rsid w:val="00394FE1"/>
    <w:rsid w:val="00395ACA"/>
    <w:rsid w:val="00395B64"/>
    <w:rsid w:val="00395DAE"/>
    <w:rsid w:val="00395F74"/>
    <w:rsid w:val="00396070"/>
    <w:rsid w:val="00396157"/>
    <w:rsid w:val="003963C1"/>
    <w:rsid w:val="0039677A"/>
    <w:rsid w:val="00396DDF"/>
    <w:rsid w:val="00396FD5"/>
    <w:rsid w:val="00397049"/>
    <w:rsid w:val="003970CC"/>
    <w:rsid w:val="00397215"/>
    <w:rsid w:val="00397298"/>
    <w:rsid w:val="0039773F"/>
    <w:rsid w:val="003A015B"/>
    <w:rsid w:val="003A0557"/>
    <w:rsid w:val="003A0A92"/>
    <w:rsid w:val="003A0C44"/>
    <w:rsid w:val="003A10C6"/>
    <w:rsid w:val="003A11E0"/>
    <w:rsid w:val="003A15D2"/>
    <w:rsid w:val="003A166D"/>
    <w:rsid w:val="003A1733"/>
    <w:rsid w:val="003A1837"/>
    <w:rsid w:val="003A18CF"/>
    <w:rsid w:val="003A1D3B"/>
    <w:rsid w:val="003A244C"/>
    <w:rsid w:val="003A2628"/>
    <w:rsid w:val="003A26E6"/>
    <w:rsid w:val="003A27BF"/>
    <w:rsid w:val="003A2C24"/>
    <w:rsid w:val="003A3802"/>
    <w:rsid w:val="003A3805"/>
    <w:rsid w:val="003A3E99"/>
    <w:rsid w:val="003A3EA1"/>
    <w:rsid w:val="003A4065"/>
    <w:rsid w:val="003A409C"/>
    <w:rsid w:val="003A4190"/>
    <w:rsid w:val="003A4272"/>
    <w:rsid w:val="003A4369"/>
    <w:rsid w:val="003A4548"/>
    <w:rsid w:val="003A478A"/>
    <w:rsid w:val="003A49DE"/>
    <w:rsid w:val="003A4AF1"/>
    <w:rsid w:val="003A4DEB"/>
    <w:rsid w:val="003A5129"/>
    <w:rsid w:val="003A54C1"/>
    <w:rsid w:val="003A5A48"/>
    <w:rsid w:val="003A5BCE"/>
    <w:rsid w:val="003A5ED5"/>
    <w:rsid w:val="003A6388"/>
    <w:rsid w:val="003A709A"/>
    <w:rsid w:val="003A72E7"/>
    <w:rsid w:val="003A7707"/>
    <w:rsid w:val="003A78B2"/>
    <w:rsid w:val="003B0684"/>
    <w:rsid w:val="003B07BC"/>
    <w:rsid w:val="003B0D58"/>
    <w:rsid w:val="003B1326"/>
    <w:rsid w:val="003B14D8"/>
    <w:rsid w:val="003B153D"/>
    <w:rsid w:val="003B162D"/>
    <w:rsid w:val="003B18CA"/>
    <w:rsid w:val="003B18F2"/>
    <w:rsid w:val="003B2200"/>
    <w:rsid w:val="003B228A"/>
    <w:rsid w:val="003B22A9"/>
    <w:rsid w:val="003B2437"/>
    <w:rsid w:val="003B25A9"/>
    <w:rsid w:val="003B265D"/>
    <w:rsid w:val="003B2B17"/>
    <w:rsid w:val="003B2C98"/>
    <w:rsid w:val="003B2D0C"/>
    <w:rsid w:val="003B2DCB"/>
    <w:rsid w:val="003B32DC"/>
    <w:rsid w:val="003B33E4"/>
    <w:rsid w:val="003B359E"/>
    <w:rsid w:val="003B36EE"/>
    <w:rsid w:val="003B390A"/>
    <w:rsid w:val="003B3BAD"/>
    <w:rsid w:val="003B3D06"/>
    <w:rsid w:val="003B3D6A"/>
    <w:rsid w:val="003B3FEC"/>
    <w:rsid w:val="003B405A"/>
    <w:rsid w:val="003B4250"/>
    <w:rsid w:val="003B43C2"/>
    <w:rsid w:val="003B43FF"/>
    <w:rsid w:val="003B4508"/>
    <w:rsid w:val="003B47F8"/>
    <w:rsid w:val="003B4B36"/>
    <w:rsid w:val="003B4FED"/>
    <w:rsid w:val="003B518B"/>
    <w:rsid w:val="003B52E2"/>
    <w:rsid w:val="003B53C1"/>
    <w:rsid w:val="003B55E1"/>
    <w:rsid w:val="003B5B51"/>
    <w:rsid w:val="003B5ED3"/>
    <w:rsid w:val="003B60E3"/>
    <w:rsid w:val="003B61BD"/>
    <w:rsid w:val="003B625B"/>
    <w:rsid w:val="003B642D"/>
    <w:rsid w:val="003B6432"/>
    <w:rsid w:val="003B676A"/>
    <w:rsid w:val="003B68FF"/>
    <w:rsid w:val="003B6CE0"/>
    <w:rsid w:val="003B6EA3"/>
    <w:rsid w:val="003B7125"/>
    <w:rsid w:val="003B71F3"/>
    <w:rsid w:val="003B72F9"/>
    <w:rsid w:val="003B735A"/>
    <w:rsid w:val="003B7960"/>
    <w:rsid w:val="003B7B70"/>
    <w:rsid w:val="003C02B0"/>
    <w:rsid w:val="003C04AB"/>
    <w:rsid w:val="003C064F"/>
    <w:rsid w:val="003C09B0"/>
    <w:rsid w:val="003C0A90"/>
    <w:rsid w:val="003C0B48"/>
    <w:rsid w:val="003C0CEA"/>
    <w:rsid w:val="003C10FC"/>
    <w:rsid w:val="003C1293"/>
    <w:rsid w:val="003C1295"/>
    <w:rsid w:val="003C16FA"/>
    <w:rsid w:val="003C1897"/>
    <w:rsid w:val="003C1C07"/>
    <w:rsid w:val="003C1DE5"/>
    <w:rsid w:val="003C2096"/>
    <w:rsid w:val="003C2312"/>
    <w:rsid w:val="003C2A1B"/>
    <w:rsid w:val="003C2F98"/>
    <w:rsid w:val="003C36F3"/>
    <w:rsid w:val="003C3713"/>
    <w:rsid w:val="003C37BF"/>
    <w:rsid w:val="003C3FC2"/>
    <w:rsid w:val="003C4942"/>
    <w:rsid w:val="003C4FAC"/>
    <w:rsid w:val="003C501C"/>
    <w:rsid w:val="003C5124"/>
    <w:rsid w:val="003C51AC"/>
    <w:rsid w:val="003C548B"/>
    <w:rsid w:val="003C5637"/>
    <w:rsid w:val="003C5A59"/>
    <w:rsid w:val="003C6246"/>
    <w:rsid w:val="003C6280"/>
    <w:rsid w:val="003C639E"/>
    <w:rsid w:val="003C65DC"/>
    <w:rsid w:val="003C6961"/>
    <w:rsid w:val="003C6C72"/>
    <w:rsid w:val="003C6E3D"/>
    <w:rsid w:val="003C6F71"/>
    <w:rsid w:val="003C7967"/>
    <w:rsid w:val="003C7F85"/>
    <w:rsid w:val="003D00CB"/>
    <w:rsid w:val="003D05AE"/>
    <w:rsid w:val="003D0960"/>
    <w:rsid w:val="003D0FB9"/>
    <w:rsid w:val="003D1182"/>
    <w:rsid w:val="003D12F2"/>
    <w:rsid w:val="003D1781"/>
    <w:rsid w:val="003D1889"/>
    <w:rsid w:val="003D19D3"/>
    <w:rsid w:val="003D1BF7"/>
    <w:rsid w:val="003D1E32"/>
    <w:rsid w:val="003D1E4A"/>
    <w:rsid w:val="003D1E7C"/>
    <w:rsid w:val="003D244E"/>
    <w:rsid w:val="003D2912"/>
    <w:rsid w:val="003D29E5"/>
    <w:rsid w:val="003D2A35"/>
    <w:rsid w:val="003D2D38"/>
    <w:rsid w:val="003D2EB3"/>
    <w:rsid w:val="003D2F2A"/>
    <w:rsid w:val="003D3211"/>
    <w:rsid w:val="003D36D2"/>
    <w:rsid w:val="003D376A"/>
    <w:rsid w:val="003D3AB1"/>
    <w:rsid w:val="003D3FD0"/>
    <w:rsid w:val="003D4139"/>
    <w:rsid w:val="003D4387"/>
    <w:rsid w:val="003D4A59"/>
    <w:rsid w:val="003D4C94"/>
    <w:rsid w:val="003D53C7"/>
    <w:rsid w:val="003D562F"/>
    <w:rsid w:val="003D5A36"/>
    <w:rsid w:val="003D6072"/>
    <w:rsid w:val="003D67E2"/>
    <w:rsid w:val="003D6A1F"/>
    <w:rsid w:val="003D6AF6"/>
    <w:rsid w:val="003D6CCC"/>
    <w:rsid w:val="003D6FD7"/>
    <w:rsid w:val="003D7396"/>
    <w:rsid w:val="003D7399"/>
    <w:rsid w:val="003D74AA"/>
    <w:rsid w:val="003D7654"/>
    <w:rsid w:val="003D774A"/>
    <w:rsid w:val="003D7844"/>
    <w:rsid w:val="003E024F"/>
    <w:rsid w:val="003E0AB9"/>
    <w:rsid w:val="003E0B27"/>
    <w:rsid w:val="003E0D11"/>
    <w:rsid w:val="003E210F"/>
    <w:rsid w:val="003E2239"/>
    <w:rsid w:val="003E2DB2"/>
    <w:rsid w:val="003E3059"/>
    <w:rsid w:val="003E30B9"/>
    <w:rsid w:val="003E316A"/>
    <w:rsid w:val="003E3388"/>
    <w:rsid w:val="003E34F6"/>
    <w:rsid w:val="003E3798"/>
    <w:rsid w:val="003E391E"/>
    <w:rsid w:val="003E3A6F"/>
    <w:rsid w:val="003E3D0E"/>
    <w:rsid w:val="003E4616"/>
    <w:rsid w:val="003E4E92"/>
    <w:rsid w:val="003E4EB4"/>
    <w:rsid w:val="003E5693"/>
    <w:rsid w:val="003E5977"/>
    <w:rsid w:val="003E5AF1"/>
    <w:rsid w:val="003E5D13"/>
    <w:rsid w:val="003E5D6F"/>
    <w:rsid w:val="003E63D4"/>
    <w:rsid w:val="003E64E5"/>
    <w:rsid w:val="003E6514"/>
    <w:rsid w:val="003E65DF"/>
    <w:rsid w:val="003E6A2E"/>
    <w:rsid w:val="003E6A62"/>
    <w:rsid w:val="003E6BF4"/>
    <w:rsid w:val="003E6E62"/>
    <w:rsid w:val="003E6FF8"/>
    <w:rsid w:val="003E744E"/>
    <w:rsid w:val="003E773E"/>
    <w:rsid w:val="003E7C84"/>
    <w:rsid w:val="003E7F81"/>
    <w:rsid w:val="003F0418"/>
    <w:rsid w:val="003F04FD"/>
    <w:rsid w:val="003F055A"/>
    <w:rsid w:val="003F061D"/>
    <w:rsid w:val="003F06FF"/>
    <w:rsid w:val="003F074D"/>
    <w:rsid w:val="003F094C"/>
    <w:rsid w:val="003F0DC8"/>
    <w:rsid w:val="003F0F66"/>
    <w:rsid w:val="003F14A6"/>
    <w:rsid w:val="003F1A73"/>
    <w:rsid w:val="003F1CD5"/>
    <w:rsid w:val="003F23E0"/>
    <w:rsid w:val="003F29CE"/>
    <w:rsid w:val="003F2ED3"/>
    <w:rsid w:val="003F313F"/>
    <w:rsid w:val="003F33BE"/>
    <w:rsid w:val="003F362B"/>
    <w:rsid w:val="003F3723"/>
    <w:rsid w:val="003F3D1C"/>
    <w:rsid w:val="003F3F9D"/>
    <w:rsid w:val="003F42DF"/>
    <w:rsid w:val="003F4689"/>
    <w:rsid w:val="003F4693"/>
    <w:rsid w:val="003F4795"/>
    <w:rsid w:val="003F47ED"/>
    <w:rsid w:val="003F4823"/>
    <w:rsid w:val="003F563A"/>
    <w:rsid w:val="003F5CA3"/>
    <w:rsid w:val="003F60F4"/>
    <w:rsid w:val="003F694F"/>
    <w:rsid w:val="003F6C17"/>
    <w:rsid w:val="003F6D88"/>
    <w:rsid w:val="003F794B"/>
    <w:rsid w:val="003F7A7F"/>
    <w:rsid w:val="003F7E1A"/>
    <w:rsid w:val="003F7F2A"/>
    <w:rsid w:val="004000D5"/>
    <w:rsid w:val="00400106"/>
    <w:rsid w:val="0040082E"/>
    <w:rsid w:val="00400867"/>
    <w:rsid w:val="004009CF"/>
    <w:rsid w:val="00400B06"/>
    <w:rsid w:val="00401206"/>
    <w:rsid w:val="0040179E"/>
    <w:rsid w:val="00401858"/>
    <w:rsid w:val="00401D7A"/>
    <w:rsid w:val="00401E18"/>
    <w:rsid w:val="00401F96"/>
    <w:rsid w:val="004026CF"/>
    <w:rsid w:val="00402781"/>
    <w:rsid w:val="00402C6A"/>
    <w:rsid w:val="00402DA4"/>
    <w:rsid w:val="00402E6D"/>
    <w:rsid w:val="00403268"/>
    <w:rsid w:val="004032DC"/>
    <w:rsid w:val="00403613"/>
    <w:rsid w:val="0040370F"/>
    <w:rsid w:val="00403F0A"/>
    <w:rsid w:val="00403F55"/>
    <w:rsid w:val="00404080"/>
    <w:rsid w:val="00404106"/>
    <w:rsid w:val="004041E5"/>
    <w:rsid w:val="004043D9"/>
    <w:rsid w:val="0040443D"/>
    <w:rsid w:val="00404561"/>
    <w:rsid w:val="00404A2E"/>
    <w:rsid w:val="00404A51"/>
    <w:rsid w:val="00404C5D"/>
    <w:rsid w:val="00404C81"/>
    <w:rsid w:val="00404F2A"/>
    <w:rsid w:val="00405466"/>
    <w:rsid w:val="00405473"/>
    <w:rsid w:val="004060B3"/>
    <w:rsid w:val="0040617F"/>
    <w:rsid w:val="0040629D"/>
    <w:rsid w:val="00406342"/>
    <w:rsid w:val="004063A6"/>
    <w:rsid w:val="0040693D"/>
    <w:rsid w:val="00407018"/>
    <w:rsid w:val="0040787E"/>
    <w:rsid w:val="00407C16"/>
    <w:rsid w:val="00407D61"/>
    <w:rsid w:val="00407ED0"/>
    <w:rsid w:val="004100A6"/>
    <w:rsid w:val="004105B6"/>
    <w:rsid w:val="00410670"/>
    <w:rsid w:val="0041077C"/>
    <w:rsid w:val="00410C12"/>
    <w:rsid w:val="00410C21"/>
    <w:rsid w:val="004110A1"/>
    <w:rsid w:val="004110E3"/>
    <w:rsid w:val="00411705"/>
    <w:rsid w:val="004117D8"/>
    <w:rsid w:val="00411BFC"/>
    <w:rsid w:val="00411C85"/>
    <w:rsid w:val="00412019"/>
    <w:rsid w:val="00412192"/>
    <w:rsid w:val="004124C1"/>
    <w:rsid w:val="00412508"/>
    <w:rsid w:val="00412756"/>
    <w:rsid w:val="00412A6F"/>
    <w:rsid w:val="004130F5"/>
    <w:rsid w:val="00413390"/>
    <w:rsid w:val="004139B4"/>
    <w:rsid w:val="00413B35"/>
    <w:rsid w:val="004142D0"/>
    <w:rsid w:val="004142D8"/>
    <w:rsid w:val="004146EB"/>
    <w:rsid w:val="004150DC"/>
    <w:rsid w:val="00415326"/>
    <w:rsid w:val="00415436"/>
    <w:rsid w:val="004156A0"/>
    <w:rsid w:val="00415791"/>
    <w:rsid w:val="00415ABF"/>
    <w:rsid w:val="00415BD8"/>
    <w:rsid w:val="00415E01"/>
    <w:rsid w:val="00415F91"/>
    <w:rsid w:val="004162E4"/>
    <w:rsid w:val="0041664C"/>
    <w:rsid w:val="0041686B"/>
    <w:rsid w:val="0041697A"/>
    <w:rsid w:val="00416F4A"/>
    <w:rsid w:val="00417721"/>
    <w:rsid w:val="00417748"/>
    <w:rsid w:val="00417764"/>
    <w:rsid w:val="00417866"/>
    <w:rsid w:val="00417C2F"/>
    <w:rsid w:val="00417CAB"/>
    <w:rsid w:val="004201F8"/>
    <w:rsid w:val="004202E1"/>
    <w:rsid w:val="0042031D"/>
    <w:rsid w:val="004204D4"/>
    <w:rsid w:val="00420698"/>
    <w:rsid w:val="00420800"/>
    <w:rsid w:val="00420966"/>
    <w:rsid w:val="00420B8B"/>
    <w:rsid w:val="00420F87"/>
    <w:rsid w:val="00421616"/>
    <w:rsid w:val="00421946"/>
    <w:rsid w:val="00421BE0"/>
    <w:rsid w:val="00421C72"/>
    <w:rsid w:val="00421D4E"/>
    <w:rsid w:val="00421F67"/>
    <w:rsid w:val="00422091"/>
    <w:rsid w:val="004225FA"/>
    <w:rsid w:val="00422688"/>
    <w:rsid w:val="004228F9"/>
    <w:rsid w:val="00422A90"/>
    <w:rsid w:val="00422AB1"/>
    <w:rsid w:val="004231AE"/>
    <w:rsid w:val="004233D2"/>
    <w:rsid w:val="00423BBB"/>
    <w:rsid w:val="00423BEA"/>
    <w:rsid w:val="00424666"/>
    <w:rsid w:val="00424D22"/>
    <w:rsid w:val="00424F67"/>
    <w:rsid w:val="004253CF"/>
    <w:rsid w:val="00425480"/>
    <w:rsid w:val="004256A8"/>
    <w:rsid w:val="00425737"/>
    <w:rsid w:val="00425957"/>
    <w:rsid w:val="004259EE"/>
    <w:rsid w:val="00425D7F"/>
    <w:rsid w:val="00425E13"/>
    <w:rsid w:val="00426395"/>
    <w:rsid w:val="00426A41"/>
    <w:rsid w:val="00426D17"/>
    <w:rsid w:val="004277A6"/>
    <w:rsid w:val="00427966"/>
    <w:rsid w:val="004301BD"/>
    <w:rsid w:val="004303DD"/>
    <w:rsid w:val="00430458"/>
    <w:rsid w:val="00430F09"/>
    <w:rsid w:val="004310EA"/>
    <w:rsid w:val="004313A3"/>
    <w:rsid w:val="0043157C"/>
    <w:rsid w:val="004319B1"/>
    <w:rsid w:val="00431B10"/>
    <w:rsid w:val="00431EF3"/>
    <w:rsid w:val="00432393"/>
    <w:rsid w:val="00432606"/>
    <w:rsid w:val="00432647"/>
    <w:rsid w:val="00432DC2"/>
    <w:rsid w:val="00432E64"/>
    <w:rsid w:val="004332AB"/>
    <w:rsid w:val="004332CC"/>
    <w:rsid w:val="004336D8"/>
    <w:rsid w:val="00433E51"/>
    <w:rsid w:val="0043408C"/>
    <w:rsid w:val="00434131"/>
    <w:rsid w:val="0043418D"/>
    <w:rsid w:val="004344E5"/>
    <w:rsid w:val="004345B8"/>
    <w:rsid w:val="00434601"/>
    <w:rsid w:val="00434DCA"/>
    <w:rsid w:val="0043587D"/>
    <w:rsid w:val="00435CDC"/>
    <w:rsid w:val="004365EE"/>
    <w:rsid w:val="004366EC"/>
    <w:rsid w:val="004368FC"/>
    <w:rsid w:val="004369A1"/>
    <w:rsid w:val="00436A4E"/>
    <w:rsid w:val="00436F08"/>
    <w:rsid w:val="00437132"/>
    <w:rsid w:val="00437237"/>
    <w:rsid w:val="00437361"/>
    <w:rsid w:val="004373ED"/>
    <w:rsid w:val="0043747A"/>
    <w:rsid w:val="00437885"/>
    <w:rsid w:val="004379C1"/>
    <w:rsid w:val="00437B76"/>
    <w:rsid w:val="00437EFB"/>
    <w:rsid w:val="00440016"/>
    <w:rsid w:val="004404AC"/>
    <w:rsid w:val="004408A8"/>
    <w:rsid w:val="00440D48"/>
    <w:rsid w:val="00440ED2"/>
    <w:rsid w:val="004414EB"/>
    <w:rsid w:val="0044199A"/>
    <w:rsid w:val="00441BC1"/>
    <w:rsid w:val="00442FD7"/>
    <w:rsid w:val="004435B7"/>
    <w:rsid w:val="00443AD2"/>
    <w:rsid w:val="00443E08"/>
    <w:rsid w:val="00443E99"/>
    <w:rsid w:val="004440E7"/>
    <w:rsid w:val="004442EB"/>
    <w:rsid w:val="0044432F"/>
    <w:rsid w:val="004443D0"/>
    <w:rsid w:val="00444AD8"/>
    <w:rsid w:val="004452AC"/>
    <w:rsid w:val="00445A71"/>
    <w:rsid w:val="00446117"/>
    <w:rsid w:val="00446374"/>
    <w:rsid w:val="00446456"/>
    <w:rsid w:val="0044669B"/>
    <w:rsid w:val="00446701"/>
    <w:rsid w:val="0044681E"/>
    <w:rsid w:val="00446889"/>
    <w:rsid w:val="00446A05"/>
    <w:rsid w:val="0044700B"/>
    <w:rsid w:val="004471B2"/>
    <w:rsid w:val="00447286"/>
    <w:rsid w:val="0044757D"/>
    <w:rsid w:val="0044765B"/>
    <w:rsid w:val="004476A8"/>
    <w:rsid w:val="00447A8D"/>
    <w:rsid w:val="00447BD1"/>
    <w:rsid w:val="00447CAF"/>
    <w:rsid w:val="0045000E"/>
    <w:rsid w:val="0045015D"/>
    <w:rsid w:val="00450982"/>
    <w:rsid w:val="00450AFA"/>
    <w:rsid w:val="00450DCC"/>
    <w:rsid w:val="00450E2C"/>
    <w:rsid w:val="004515D7"/>
    <w:rsid w:val="0045168A"/>
    <w:rsid w:val="00451889"/>
    <w:rsid w:val="00452206"/>
    <w:rsid w:val="004522E2"/>
    <w:rsid w:val="00452366"/>
    <w:rsid w:val="0045253A"/>
    <w:rsid w:val="00452946"/>
    <w:rsid w:val="00452F5D"/>
    <w:rsid w:val="00453047"/>
    <w:rsid w:val="00453145"/>
    <w:rsid w:val="00453365"/>
    <w:rsid w:val="00453464"/>
    <w:rsid w:val="0045350A"/>
    <w:rsid w:val="0045373D"/>
    <w:rsid w:val="00453B9F"/>
    <w:rsid w:val="004541AC"/>
    <w:rsid w:val="00454261"/>
    <w:rsid w:val="004542FE"/>
    <w:rsid w:val="0045451D"/>
    <w:rsid w:val="00454829"/>
    <w:rsid w:val="0045532E"/>
    <w:rsid w:val="004562EF"/>
    <w:rsid w:val="004567E0"/>
    <w:rsid w:val="00456889"/>
    <w:rsid w:val="00456B1D"/>
    <w:rsid w:val="00457565"/>
    <w:rsid w:val="00457801"/>
    <w:rsid w:val="00457AA8"/>
    <w:rsid w:val="00460056"/>
    <w:rsid w:val="0046064E"/>
    <w:rsid w:val="00460EBE"/>
    <w:rsid w:val="004615E6"/>
    <w:rsid w:val="004616EE"/>
    <w:rsid w:val="00461979"/>
    <w:rsid w:val="0046199F"/>
    <w:rsid w:val="004623AB"/>
    <w:rsid w:val="004624BA"/>
    <w:rsid w:val="004626C7"/>
    <w:rsid w:val="00462AF3"/>
    <w:rsid w:val="00462C74"/>
    <w:rsid w:val="00462EEE"/>
    <w:rsid w:val="00463113"/>
    <w:rsid w:val="0046343B"/>
    <w:rsid w:val="00463486"/>
    <w:rsid w:val="00463687"/>
    <w:rsid w:val="00463718"/>
    <w:rsid w:val="00463A8C"/>
    <w:rsid w:val="00463CA0"/>
    <w:rsid w:val="00464131"/>
    <w:rsid w:val="00464810"/>
    <w:rsid w:val="00464B3F"/>
    <w:rsid w:val="00464F9B"/>
    <w:rsid w:val="00465199"/>
    <w:rsid w:val="0046575B"/>
    <w:rsid w:val="004657FE"/>
    <w:rsid w:val="00465A9F"/>
    <w:rsid w:val="00465EFA"/>
    <w:rsid w:val="004661C3"/>
    <w:rsid w:val="004669B8"/>
    <w:rsid w:val="00466CEA"/>
    <w:rsid w:val="004673B7"/>
    <w:rsid w:val="0046788E"/>
    <w:rsid w:val="00467E30"/>
    <w:rsid w:val="00470803"/>
    <w:rsid w:val="004708BF"/>
    <w:rsid w:val="00470A08"/>
    <w:rsid w:val="00470B5F"/>
    <w:rsid w:val="004711AC"/>
    <w:rsid w:val="004711C3"/>
    <w:rsid w:val="0047121F"/>
    <w:rsid w:val="00472066"/>
    <w:rsid w:val="0047248F"/>
    <w:rsid w:val="004726C8"/>
    <w:rsid w:val="004728E7"/>
    <w:rsid w:val="004729CC"/>
    <w:rsid w:val="00472AFE"/>
    <w:rsid w:val="00472B58"/>
    <w:rsid w:val="00472B77"/>
    <w:rsid w:val="00472FBC"/>
    <w:rsid w:val="00473350"/>
    <w:rsid w:val="00473448"/>
    <w:rsid w:val="00473666"/>
    <w:rsid w:val="00473697"/>
    <w:rsid w:val="0047373C"/>
    <w:rsid w:val="004738AB"/>
    <w:rsid w:val="00473BF8"/>
    <w:rsid w:val="00474083"/>
    <w:rsid w:val="00474184"/>
    <w:rsid w:val="0047432B"/>
    <w:rsid w:val="004743BC"/>
    <w:rsid w:val="004744B7"/>
    <w:rsid w:val="004745F6"/>
    <w:rsid w:val="00474902"/>
    <w:rsid w:val="00474BD3"/>
    <w:rsid w:val="00474C94"/>
    <w:rsid w:val="00474CFC"/>
    <w:rsid w:val="00474DC4"/>
    <w:rsid w:val="00474E1B"/>
    <w:rsid w:val="00474EF3"/>
    <w:rsid w:val="00474FF2"/>
    <w:rsid w:val="004750F0"/>
    <w:rsid w:val="00475430"/>
    <w:rsid w:val="00475C77"/>
    <w:rsid w:val="00475E06"/>
    <w:rsid w:val="00476040"/>
    <w:rsid w:val="00476A1D"/>
    <w:rsid w:val="00476AE4"/>
    <w:rsid w:val="00476D8D"/>
    <w:rsid w:val="00476F42"/>
    <w:rsid w:val="004772CB"/>
    <w:rsid w:val="0047739C"/>
    <w:rsid w:val="004776B2"/>
    <w:rsid w:val="00477BBE"/>
    <w:rsid w:val="00477E7D"/>
    <w:rsid w:val="004801BC"/>
    <w:rsid w:val="00480FBB"/>
    <w:rsid w:val="0048166F"/>
    <w:rsid w:val="0048188C"/>
    <w:rsid w:val="00481FAB"/>
    <w:rsid w:val="00482049"/>
    <w:rsid w:val="004820AD"/>
    <w:rsid w:val="00482361"/>
    <w:rsid w:val="0048268B"/>
    <w:rsid w:val="00482FF0"/>
    <w:rsid w:val="004838E2"/>
    <w:rsid w:val="00483B21"/>
    <w:rsid w:val="00483B9A"/>
    <w:rsid w:val="00483E54"/>
    <w:rsid w:val="00484100"/>
    <w:rsid w:val="004842E6"/>
    <w:rsid w:val="0048445D"/>
    <w:rsid w:val="004848A2"/>
    <w:rsid w:val="00484D34"/>
    <w:rsid w:val="00484F15"/>
    <w:rsid w:val="00484FC9"/>
    <w:rsid w:val="00485212"/>
    <w:rsid w:val="0048587A"/>
    <w:rsid w:val="00485893"/>
    <w:rsid w:val="00485A51"/>
    <w:rsid w:val="00485A67"/>
    <w:rsid w:val="00485A99"/>
    <w:rsid w:val="00485CDB"/>
    <w:rsid w:val="00485D1B"/>
    <w:rsid w:val="004863FE"/>
    <w:rsid w:val="004864F5"/>
    <w:rsid w:val="00486FFA"/>
    <w:rsid w:val="004870E2"/>
    <w:rsid w:val="00487288"/>
    <w:rsid w:val="00487826"/>
    <w:rsid w:val="00487B52"/>
    <w:rsid w:val="004904A6"/>
    <w:rsid w:val="00490729"/>
    <w:rsid w:val="004907A8"/>
    <w:rsid w:val="0049084B"/>
    <w:rsid w:val="00490FF0"/>
    <w:rsid w:val="00491505"/>
    <w:rsid w:val="00491598"/>
    <w:rsid w:val="0049165D"/>
    <w:rsid w:val="0049173D"/>
    <w:rsid w:val="0049175A"/>
    <w:rsid w:val="004918C9"/>
    <w:rsid w:val="00491D9A"/>
    <w:rsid w:val="00491E2F"/>
    <w:rsid w:val="0049217C"/>
    <w:rsid w:val="0049255D"/>
    <w:rsid w:val="00492783"/>
    <w:rsid w:val="0049295F"/>
    <w:rsid w:val="00492C42"/>
    <w:rsid w:val="00492E46"/>
    <w:rsid w:val="00493B2E"/>
    <w:rsid w:val="00493DB1"/>
    <w:rsid w:val="00493E6E"/>
    <w:rsid w:val="00493E72"/>
    <w:rsid w:val="00493F1D"/>
    <w:rsid w:val="00494139"/>
    <w:rsid w:val="004944AA"/>
    <w:rsid w:val="004947F8"/>
    <w:rsid w:val="004953B6"/>
    <w:rsid w:val="00495667"/>
    <w:rsid w:val="0049568A"/>
    <w:rsid w:val="00495847"/>
    <w:rsid w:val="00495A41"/>
    <w:rsid w:val="00495D16"/>
    <w:rsid w:val="00495DFE"/>
    <w:rsid w:val="00495E29"/>
    <w:rsid w:val="00495E99"/>
    <w:rsid w:val="00495EEE"/>
    <w:rsid w:val="004960CF"/>
    <w:rsid w:val="004961C7"/>
    <w:rsid w:val="00496589"/>
    <w:rsid w:val="0049694A"/>
    <w:rsid w:val="004969F9"/>
    <w:rsid w:val="00496A34"/>
    <w:rsid w:val="00496B22"/>
    <w:rsid w:val="0049763A"/>
    <w:rsid w:val="0049772C"/>
    <w:rsid w:val="00497781"/>
    <w:rsid w:val="00497CDC"/>
    <w:rsid w:val="004A024B"/>
    <w:rsid w:val="004A0284"/>
    <w:rsid w:val="004A0437"/>
    <w:rsid w:val="004A0AD4"/>
    <w:rsid w:val="004A0BF4"/>
    <w:rsid w:val="004A0D22"/>
    <w:rsid w:val="004A1259"/>
    <w:rsid w:val="004A17FC"/>
    <w:rsid w:val="004A19D5"/>
    <w:rsid w:val="004A1AAC"/>
    <w:rsid w:val="004A1E9D"/>
    <w:rsid w:val="004A1FD4"/>
    <w:rsid w:val="004A2406"/>
    <w:rsid w:val="004A2468"/>
    <w:rsid w:val="004A28A2"/>
    <w:rsid w:val="004A2ED5"/>
    <w:rsid w:val="004A31C9"/>
    <w:rsid w:val="004A338F"/>
    <w:rsid w:val="004A3D3C"/>
    <w:rsid w:val="004A440F"/>
    <w:rsid w:val="004A46B0"/>
    <w:rsid w:val="004A4927"/>
    <w:rsid w:val="004A4B21"/>
    <w:rsid w:val="004A4C32"/>
    <w:rsid w:val="004A4FB8"/>
    <w:rsid w:val="004A517F"/>
    <w:rsid w:val="004A53F9"/>
    <w:rsid w:val="004A56D0"/>
    <w:rsid w:val="004A577E"/>
    <w:rsid w:val="004A58FF"/>
    <w:rsid w:val="004A5EEB"/>
    <w:rsid w:val="004A616E"/>
    <w:rsid w:val="004A6364"/>
    <w:rsid w:val="004A6618"/>
    <w:rsid w:val="004A67B6"/>
    <w:rsid w:val="004A68A9"/>
    <w:rsid w:val="004A71B4"/>
    <w:rsid w:val="004A71EB"/>
    <w:rsid w:val="004A72B6"/>
    <w:rsid w:val="004A758C"/>
    <w:rsid w:val="004A79A1"/>
    <w:rsid w:val="004A7C1A"/>
    <w:rsid w:val="004A7E27"/>
    <w:rsid w:val="004A7E7D"/>
    <w:rsid w:val="004A7F06"/>
    <w:rsid w:val="004B0605"/>
    <w:rsid w:val="004B06CA"/>
    <w:rsid w:val="004B07DE"/>
    <w:rsid w:val="004B0A92"/>
    <w:rsid w:val="004B0B3A"/>
    <w:rsid w:val="004B0B6A"/>
    <w:rsid w:val="004B0B99"/>
    <w:rsid w:val="004B0E7E"/>
    <w:rsid w:val="004B1072"/>
    <w:rsid w:val="004B16B0"/>
    <w:rsid w:val="004B17A0"/>
    <w:rsid w:val="004B1DB5"/>
    <w:rsid w:val="004B1FAE"/>
    <w:rsid w:val="004B204B"/>
    <w:rsid w:val="004B2098"/>
    <w:rsid w:val="004B2709"/>
    <w:rsid w:val="004B2AB1"/>
    <w:rsid w:val="004B2B0B"/>
    <w:rsid w:val="004B2C08"/>
    <w:rsid w:val="004B34B3"/>
    <w:rsid w:val="004B4285"/>
    <w:rsid w:val="004B42D7"/>
    <w:rsid w:val="004B4638"/>
    <w:rsid w:val="004B4665"/>
    <w:rsid w:val="004B4F26"/>
    <w:rsid w:val="004B5105"/>
    <w:rsid w:val="004B51E9"/>
    <w:rsid w:val="004B526E"/>
    <w:rsid w:val="004B5653"/>
    <w:rsid w:val="004B5993"/>
    <w:rsid w:val="004B5AF4"/>
    <w:rsid w:val="004B5C6C"/>
    <w:rsid w:val="004B5DF9"/>
    <w:rsid w:val="004B5E05"/>
    <w:rsid w:val="004B602D"/>
    <w:rsid w:val="004B605B"/>
    <w:rsid w:val="004B630F"/>
    <w:rsid w:val="004B642D"/>
    <w:rsid w:val="004B6462"/>
    <w:rsid w:val="004B6614"/>
    <w:rsid w:val="004B6AD5"/>
    <w:rsid w:val="004B6B52"/>
    <w:rsid w:val="004B6F6F"/>
    <w:rsid w:val="004B73BB"/>
    <w:rsid w:val="004B75EC"/>
    <w:rsid w:val="004B77C8"/>
    <w:rsid w:val="004B7851"/>
    <w:rsid w:val="004B7AC2"/>
    <w:rsid w:val="004B7D08"/>
    <w:rsid w:val="004B7D81"/>
    <w:rsid w:val="004B7E96"/>
    <w:rsid w:val="004B7FC2"/>
    <w:rsid w:val="004C01D3"/>
    <w:rsid w:val="004C02F3"/>
    <w:rsid w:val="004C0A7E"/>
    <w:rsid w:val="004C0BD2"/>
    <w:rsid w:val="004C0C0C"/>
    <w:rsid w:val="004C0E3C"/>
    <w:rsid w:val="004C10D8"/>
    <w:rsid w:val="004C11D1"/>
    <w:rsid w:val="004C1289"/>
    <w:rsid w:val="004C138B"/>
    <w:rsid w:val="004C19BC"/>
    <w:rsid w:val="004C1C19"/>
    <w:rsid w:val="004C1C8F"/>
    <w:rsid w:val="004C1EE1"/>
    <w:rsid w:val="004C215C"/>
    <w:rsid w:val="004C2385"/>
    <w:rsid w:val="004C23A5"/>
    <w:rsid w:val="004C23BE"/>
    <w:rsid w:val="004C2519"/>
    <w:rsid w:val="004C258F"/>
    <w:rsid w:val="004C28B5"/>
    <w:rsid w:val="004C2AD5"/>
    <w:rsid w:val="004C3146"/>
    <w:rsid w:val="004C332C"/>
    <w:rsid w:val="004C3435"/>
    <w:rsid w:val="004C3980"/>
    <w:rsid w:val="004C3A99"/>
    <w:rsid w:val="004C3C71"/>
    <w:rsid w:val="004C4272"/>
    <w:rsid w:val="004C458D"/>
    <w:rsid w:val="004C45E7"/>
    <w:rsid w:val="004C50C2"/>
    <w:rsid w:val="004C5627"/>
    <w:rsid w:val="004C56E1"/>
    <w:rsid w:val="004C5906"/>
    <w:rsid w:val="004C5A0E"/>
    <w:rsid w:val="004C5BDC"/>
    <w:rsid w:val="004C66FE"/>
    <w:rsid w:val="004C6DA3"/>
    <w:rsid w:val="004C6EFC"/>
    <w:rsid w:val="004C6FC9"/>
    <w:rsid w:val="004C7024"/>
    <w:rsid w:val="004C707A"/>
    <w:rsid w:val="004C727C"/>
    <w:rsid w:val="004C7B55"/>
    <w:rsid w:val="004C7CC0"/>
    <w:rsid w:val="004C7ED8"/>
    <w:rsid w:val="004C7EE7"/>
    <w:rsid w:val="004D011D"/>
    <w:rsid w:val="004D049E"/>
    <w:rsid w:val="004D06C7"/>
    <w:rsid w:val="004D0987"/>
    <w:rsid w:val="004D13D9"/>
    <w:rsid w:val="004D1734"/>
    <w:rsid w:val="004D17F6"/>
    <w:rsid w:val="004D1C21"/>
    <w:rsid w:val="004D2179"/>
    <w:rsid w:val="004D21F1"/>
    <w:rsid w:val="004D288A"/>
    <w:rsid w:val="004D2ACD"/>
    <w:rsid w:val="004D2C3B"/>
    <w:rsid w:val="004D33DC"/>
    <w:rsid w:val="004D33E9"/>
    <w:rsid w:val="004D33F5"/>
    <w:rsid w:val="004D34F8"/>
    <w:rsid w:val="004D364A"/>
    <w:rsid w:val="004D4065"/>
    <w:rsid w:val="004D40C5"/>
    <w:rsid w:val="004D4476"/>
    <w:rsid w:val="004D4A64"/>
    <w:rsid w:val="004D4C6F"/>
    <w:rsid w:val="004D4D83"/>
    <w:rsid w:val="004D4F1A"/>
    <w:rsid w:val="004D4F5E"/>
    <w:rsid w:val="004D5263"/>
    <w:rsid w:val="004D56FE"/>
    <w:rsid w:val="004D5BB8"/>
    <w:rsid w:val="004D5DF3"/>
    <w:rsid w:val="004D6010"/>
    <w:rsid w:val="004D60AF"/>
    <w:rsid w:val="004D6397"/>
    <w:rsid w:val="004D67EF"/>
    <w:rsid w:val="004D682B"/>
    <w:rsid w:val="004D6E08"/>
    <w:rsid w:val="004D7124"/>
    <w:rsid w:val="004D740C"/>
    <w:rsid w:val="004D7BCF"/>
    <w:rsid w:val="004D7C5D"/>
    <w:rsid w:val="004D7CC5"/>
    <w:rsid w:val="004E007B"/>
    <w:rsid w:val="004E0450"/>
    <w:rsid w:val="004E067B"/>
    <w:rsid w:val="004E07D7"/>
    <w:rsid w:val="004E0C28"/>
    <w:rsid w:val="004E0D66"/>
    <w:rsid w:val="004E0E81"/>
    <w:rsid w:val="004E0ED9"/>
    <w:rsid w:val="004E10D1"/>
    <w:rsid w:val="004E136C"/>
    <w:rsid w:val="004E198C"/>
    <w:rsid w:val="004E19F9"/>
    <w:rsid w:val="004E1F9C"/>
    <w:rsid w:val="004E2041"/>
    <w:rsid w:val="004E21E6"/>
    <w:rsid w:val="004E235D"/>
    <w:rsid w:val="004E2563"/>
    <w:rsid w:val="004E2815"/>
    <w:rsid w:val="004E2D67"/>
    <w:rsid w:val="004E2F46"/>
    <w:rsid w:val="004E3047"/>
    <w:rsid w:val="004E310B"/>
    <w:rsid w:val="004E349F"/>
    <w:rsid w:val="004E37E6"/>
    <w:rsid w:val="004E3868"/>
    <w:rsid w:val="004E38C7"/>
    <w:rsid w:val="004E3A85"/>
    <w:rsid w:val="004E40CA"/>
    <w:rsid w:val="004E40D0"/>
    <w:rsid w:val="004E4692"/>
    <w:rsid w:val="004E4E12"/>
    <w:rsid w:val="004E5206"/>
    <w:rsid w:val="004E520C"/>
    <w:rsid w:val="004E522C"/>
    <w:rsid w:val="004E535D"/>
    <w:rsid w:val="004E54DC"/>
    <w:rsid w:val="004E54F5"/>
    <w:rsid w:val="004E5519"/>
    <w:rsid w:val="004E55E3"/>
    <w:rsid w:val="004E5659"/>
    <w:rsid w:val="004E5769"/>
    <w:rsid w:val="004E5AE1"/>
    <w:rsid w:val="004E5BA0"/>
    <w:rsid w:val="004E5E78"/>
    <w:rsid w:val="004E600A"/>
    <w:rsid w:val="004E6074"/>
    <w:rsid w:val="004E6196"/>
    <w:rsid w:val="004E62C6"/>
    <w:rsid w:val="004E62E6"/>
    <w:rsid w:val="004E65A5"/>
    <w:rsid w:val="004E6724"/>
    <w:rsid w:val="004E6C7D"/>
    <w:rsid w:val="004E7283"/>
    <w:rsid w:val="004E7AE3"/>
    <w:rsid w:val="004E7B0B"/>
    <w:rsid w:val="004E7C25"/>
    <w:rsid w:val="004E7F07"/>
    <w:rsid w:val="004E7F40"/>
    <w:rsid w:val="004F00A0"/>
    <w:rsid w:val="004F0322"/>
    <w:rsid w:val="004F052D"/>
    <w:rsid w:val="004F0652"/>
    <w:rsid w:val="004F08AC"/>
    <w:rsid w:val="004F0A97"/>
    <w:rsid w:val="004F0DBD"/>
    <w:rsid w:val="004F16F6"/>
    <w:rsid w:val="004F1A25"/>
    <w:rsid w:val="004F1E78"/>
    <w:rsid w:val="004F1F8D"/>
    <w:rsid w:val="004F2104"/>
    <w:rsid w:val="004F2D15"/>
    <w:rsid w:val="004F2E47"/>
    <w:rsid w:val="004F30B9"/>
    <w:rsid w:val="004F339B"/>
    <w:rsid w:val="004F3EB8"/>
    <w:rsid w:val="004F3F18"/>
    <w:rsid w:val="004F423E"/>
    <w:rsid w:val="004F43DB"/>
    <w:rsid w:val="004F46FA"/>
    <w:rsid w:val="004F4719"/>
    <w:rsid w:val="004F4F56"/>
    <w:rsid w:val="004F503B"/>
    <w:rsid w:val="004F52AE"/>
    <w:rsid w:val="004F536E"/>
    <w:rsid w:val="004F57B7"/>
    <w:rsid w:val="004F5ABD"/>
    <w:rsid w:val="004F5B4E"/>
    <w:rsid w:val="004F5FF4"/>
    <w:rsid w:val="004F60B8"/>
    <w:rsid w:val="004F6B6D"/>
    <w:rsid w:val="004F6C29"/>
    <w:rsid w:val="004F6ED1"/>
    <w:rsid w:val="004F6F8A"/>
    <w:rsid w:val="004F74AC"/>
    <w:rsid w:val="004F75A0"/>
    <w:rsid w:val="004F7761"/>
    <w:rsid w:val="004F7A1C"/>
    <w:rsid w:val="004F7B89"/>
    <w:rsid w:val="004F7D99"/>
    <w:rsid w:val="004F7EC9"/>
    <w:rsid w:val="0050002C"/>
    <w:rsid w:val="005000C5"/>
    <w:rsid w:val="0050019D"/>
    <w:rsid w:val="0050064D"/>
    <w:rsid w:val="005009CB"/>
    <w:rsid w:val="00500B68"/>
    <w:rsid w:val="00500D5D"/>
    <w:rsid w:val="00501380"/>
    <w:rsid w:val="0050195F"/>
    <w:rsid w:val="00501BF3"/>
    <w:rsid w:val="00501C1F"/>
    <w:rsid w:val="00501E5A"/>
    <w:rsid w:val="00501F2B"/>
    <w:rsid w:val="0050246B"/>
    <w:rsid w:val="0050248E"/>
    <w:rsid w:val="005025A3"/>
    <w:rsid w:val="00502741"/>
    <w:rsid w:val="00502BA1"/>
    <w:rsid w:val="00502E5F"/>
    <w:rsid w:val="005030BB"/>
    <w:rsid w:val="00503145"/>
    <w:rsid w:val="005036F6"/>
    <w:rsid w:val="00503B26"/>
    <w:rsid w:val="005043F3"/>
    <w:rsid w:val="005044E0"/>
    <w:rsid w:val="00504D7A"/>
    <w:rsid w:val="0050579E"/>
    <w:rsid w:val="00505C84"/>
    <w:rsid w:val="00505D31"/>
    <w:rsid w:val="00505E5B"/>
    <w:rsid w:val="005069EA"/>
    <w:rsid w:val="00506BE3"/>
    <w:rsid w:val="00506C65"/>
    <w:rsid w:val="00506FC0"/>
    <w:rsid w:val="00507175"/>
    <w:rsid w:val="005071A4"/>
    <w:rsid w:val="0050753E"/>
    <w:rsid w:val="00507541"/>
    <w:rsid w:val="005075E7"/>
    <w:rsid w:val="00507D65"/>
    <w:rsid w:val="00510294"/>
    <w:rsid w:val="005106ED"/>
    <w:rsid w:val="00510964"/>
    <w:rsid w:val="00510B72"/>
    <w:rsid w:val="00511567"/>
    <w:rsid w:val="005115A2"/>
    <w:rsid w:val="005117DF"/>
    <w:rsid w:val="005119B6"/>
    <w:rsid w:val="00511B31"/>
    <w:rsid w:val="00512049"/>
    <w:rsid w:val="00512875"/>
    <w:rsid w:val="00512EAE"/>
    <w:rsid w:val="005130A7"/>
    <w:rsid w:val="0051314E"/>
    <w:rsid w:val="0051315F"/>
    <w:rsid w:val="0051316B"/>
    <w:rsid w:val="005131DC"/>
    <w:rsid w:val="00513691"/>
    <w:rsid w:val="005136B4"/>
    <w:rsid w:val="00513C15"/>
    <w:rsid w:val="00513E90"/>
    <w:rsid w:val="005142B3"/>
    <w:rsid w:val="0051466B"/>
    <w:rsid w:val="00515019"/>
    <w:rsid w:val="005151AD"/>
    <w:rsid w:val="0051529D"/>
    <w:rsid w:val="00515790"/>
    <w:rsid w:val="00515AE5"/>
    <w:rsid w:val="00515D2D"/>
    <w:rsid w:val="0051646F"/>
    <w:rsid w:val="00516645"/>
    <w:rsid w:val="00516CA7"/>
    <w:rsid w:val="00516D72"/>
    <w:rsid w:val="00516FBC"/>
    <w:rsid w:val="005173CC"/>
    <w:rsid w:val="005174C1"/>
    <w:rsid w:val="00517642"/>
    <w:rsid w:val="00517A78"/>
    <w:rsid w:val="0052037C"/>
    <w:rsid w:val="005206E5"/>
    <w:rsid w:val="00520C93"/>
    <w:rsid w:val="00520CB9"/>
    <w:rsid w:val="00520CDF"/>
    <w:rsid w:val="00520E22"/>
    <w:rsid w:val="00521098"/>
    <w:rsid w:val="005211D3"/>
    <w:rsid w:val="00521C62"/>
    <w:rsid w:val="00521C75"/>
    <w:rsid w:val="00521E1E"/>
    <w:rsid w:val="00522050"/>
    <w:rsid w:val="00522100"/>
    <w:rsid w:val="00522457"/>
    <w:rsid w:val="0052286B"/>
    <w:rsid w:val="00522DE7"/>
    <w:rsid w:val="0052312E"/>
    <w:rsid w:val="0052432D"/>
    <w:rsid w:val="005247A3"/>
    <w:rsid w:val="00524D38"/>
    <w:rsid w:val="00525137"/>
    <w:rsid w:val="00525370"/>
    <w:rsid w:val="005253B4"/>
    <w:rsid w:val="005254B7"/>
    <w:rsid w:val="00525598"/>
    <w:rsid w:val="00525812"/>
    <w:rsid w:val="00525817"/>
    <w:rsid w:val="005259A0"/>
    <w:rsid w:val="00525A89"/>
    <w:rsid w:val="00525CC2"/>
    <w:rsid w:val="00525D09"/>
    <w:rsid w:val="00525DDF"/>
    <w:rsid w:val="00526581"/>
    <w:rsid w:val="005266D6"/>
    <w:rsid w:val="00526FF2"/>
    <w:rsid w:val="005273B7"/>
    <w:rsid w:val="00527544"/>
    <w:rsid w:val="00527881"/>
    <w:rsid w:val="00527CE0"/>
    <w:rsid w:val="00527D86"/>
    <w:rsid w:val="005305B0"/>
    <w:rsid w:val="005305D7"/>
    <w:rsid w:val="00530852"/>
    <w:rsid w:val="00530A2B"/>
    <w:rsid w:val="00530B82"/>
    <w:rsid w:val="00530C45"/>
    <w:rsid w:val="00531536"/>
    <w:rsid w:val="00531FCF"/>
    <w:rsid w:val="0053217A"/>
    <w:rsid w:val="00532248"/>
    <w:rsid w:val="00532581"/>
    <w:rsid w:val="00532A56"/>
    <w:rsid w:val="00532A7A"/>
    <w:rsid w:val="00532F00"/>
    <w:rsid w:val="00533377"/>
    <w:rsid w:val="005339C3"/>
    <w:rsid w:val="00533C05"/>
    <w:rsid w:val="00533D0A"/>
    <w:rsid w:val="00533E4F"/>
    <w:rsid w:val="0053400E"/>
    <w:rsid w:val="00534292"/>
    <w:rsid w:val="005343E0"/>
    <w:rsid w:val="0053456A"/>
    <w:rsid w:val="005346CE"/>
    <w:rsid w:val="00534742"/>
    <w:rsid w:val="00534BBE"/>
    <w:rsid w:val="00534DB7"/>
    <w:rsid w:val="005351A7"/>
    <w:rsid w:val="005353F9"/>
    <w:rsid w:val="00535505"/>
    <w:rsid w:val="0053552B"/>
    <w:rsid w:val="005355C7"/>
    <w:rsid w:val="0053570B"/>
    <w:rsid w:val="00535AA8"/>
    <w:rsid w:val="00535D33"/>
    <w:rsid w:val="00536096"/>
    <w:rsid w:val="00536297"/>
    <w:rsid w:val="00536892"/>
    <w:rsid w:val="00536E47"/>
    <w:rsid w:val="005374F3"/>
    <w:rsid w:val="005374F8"/>
    <w:rsid w:val="0053779A"/>
    <w:rsid w:val="00537BBD"/>
    <w:rsid w:val="00540243"/>
    <w:rsid w:val="00540358"/>
    <w:rsid w:val="005403DB"/>
    <w:rsid w:val="0054045C"/>
    <w:rsid w:val="0054075C"/>
    <w:rsid w:val="00541203"/>
    <w:rsid w:val="0054191D"/>
    <w:rsid w:val="00541980"/>
    <w:rsid w:val="00541BAB"/>
    <w:rsid w:val="00541D2E"/>
    <w:rsid w:val="00541F02"/>
    <w:rsid w:val="005423B0"/>
    <w:rsid w:val="00542641"/>
    <w:rsid w:val="00542FDD"/>
    <w:rsid w:val="00543051"/>
    <w:rsid w:val="005431F4"/>
    <w:rsid w:val="005436A2"/>
    <w:rsid w:val="00543830"/>
    <w:rsid w:val="00543C37"/>
    <w:rsid w:val="005442A0"/>
    <w:rsid w:val="00544389"/>
    <w:rsid w:val="005449A5"/>
    <w:rsid w:val="00544C02"/>
    <w:rsid w:val="00544FB5"/>
    <w:rsid w:val="00545071"/>
    <w:rsid w:val="0054560A"/>
    <w:rsid w:val="00545E39"/>
    <w:rsid w:val="005465A3"/>
    <w:rsid w:val="00546788"/>
    <w:rsid w:val="00546ACA"/>
    <w:rsid w:val="00546F9D"/>
    <w:rsid w:val="00547054"/>
    <w:rsid w:val="00547226"/>
    <w:rsid w:val="00547C33"/>
    <w:rsid w:val="00550794"/>
    <w:rsid w:val="005507D5"/>
    <w:rsid w:val="00551367"/>
    <w:rsid w:val="005513C7"/>
    <w:rsid w:val="005515AC"/>
    <w:rsid w:val="00551AAE"/>
    <w:rsid w:val="00551B6F"/>
    <w:rsid w:val="00551DE7"/>
    <w:rsid w:val="00551FEA"/>
    <w:rsid w:val="00552B03"/>
    <w:rsid w:val="005530E7"/>
    <w:rsid w:val="00553602"/>
    <w:rsid w:val="0055389B"/>
    <w:rsid w:val="005544F7"/>
    <w:rsid w:val="005546CE"/>
    <w:rsid w:val="00554ABB"/>
    <w:rsid w:val="00554EC5"/>
    <w:rsid w:val="00554F28"/>
    <w:rsid w:val="0055520E"/>
    <w:rsid w:val="005553D1"/>
    <w:rsid w:val="0055558A"/>
    <w:rsid w:val="00555617"/>
    <w:rsid w:val="00555722"/>
    <w:rsid w:val="005558B9"/>
    <w:rsid w:val="0055597F"/>
    <w:rsid w:val="00555C4C"/>
    <w:rsid w:val="00555CFC"/>
    <w:rsid w:val="005561FD"/>
    <w:rsid w:val="0055620B"/>
    <w:rsid w:val="0055692D"/>
    <w:rsid w:val="005578A1"/>
    <w:rsid w:val="00557CA3"/>
    <w:rsid w:val="00557E5E"/>
    <w:rsid w:val="0056039E"/>
    <w:rsid w:val="00560437"/>
    <w:rsid w:val="0056093E"/>
    <w:rsid w:val="005609B7"/>
    <w:rsid w:val="00560DEA"/>
    <w:rsid w:val="00561527"/>
    <w:rsid w:val="0056171D"/>
    <w:rsid w:val="005617CC"/>
    <w:rsid w:val="00561A77"/>
    <w:rsid w:val="00561F87"/>
    <w:rsid w:val="005620F5"/>
    <w:rsid w:val="0056240A"/>
    <w:rsid w:val="00562505"/>
    <w:rsid w:val="00563069"/>
    <w:rsid w:val="00563088"/>
    <w:rsid w:val="005635BF"/>
    <w:rsid w:val="005636B7"/>
    <w:rsid w:val="005636D7"/>
    <w:rsid w:val="005637F3"/>
    <w:rsid w:val="0056393F"/>
    <w:rsid w:val="00563AAE"/>
    <w:rsid w:val="00563B93"/>
    <w:rsid w:val="00563CDB"/>
    <w:rsid w:val="0056413D"/>
    <w:rsid w:val="005648BC"/>
    <w:rsid w:val="005649D5"/>
    <w:rsid w:val="00565000"/>
    <w:rsid w:val="0056588E"/>
    <w:rsid w:val="00565A36"/>
    <w:rsid w:val="00565BE5"/>
    <w:rsid w:val="00565C09"/>
    <w:rsid w:val="00565D6A"/>
    <w:rsid w:val="00566100"/>
    <w:rsid w:val="005662DF"/>
    <w:rsid w:val="0056663D"/>
    <w:rsid w:val="00566A96"/>
    <w:rsid w:val="00566AE9"/>
    <w:rsid w:val="00566CD0"/>
    <w:rsid w:val="00567030"/>
    <w:rsid w:val="0056747D"/>
    <w:rsid w:val="0056748B"/>
    <w:rsid w:val="005676FA"/>
    <w:rsid w:val="00567747"/>
    <w:rsid w:val="005679C4"/>
    <w:rsid w:val="00567AC9"/>
    <w:rsid w:val="00567DA1"/>
    <w:rsid w:val="00567EC3"/>
    <w:rsid w:val="00567FD7"/>
    <w:rsid w:val="00570034"/>
    <w:rsid w:val="00570223"/>
    <w:rsid w:val="00570298"/>
    <w:rsid w:val="005705DB"/>
    <w:rsid w:val="00570B2A"/>
    <w:rsid w:val="00570BED"/>
    <w:rsid w:val="00570C3C"/>
    <w:rsid w:val="00570D00"/>
    <w:rsid w:val="00570DAA"/>
    <w:rsid w:val="0057128F"/>
    <w:rsid w:val="005712BB"/>
    <w:rsid w:val="00571314"/>
    <w:rsid w:val="0057194E"/>
    <w:rsid w:val="00571B97"/>
    <w:rsid w:val="00571C8C"/>
    <w:rsid w:val="00571CCB"/>
    <w:rsid w:val="00571EB1"/>
    <w:rsid w:val="0057242C"/>
    <w:rsid w:val="00572550"/>
    <w:rsid w:val="0057275F"/>
    <w:rsid w:val="00572E8F"/>
    <w:rsid w:val="00573739"/>
    <w:rsid w:val="0057396A"/>
    <w:rsid w:val="00573E52"/>
    <w:rsid w:val="005740A2"/>
    <w:rsid w:val="00574260"/>
    <w:rsid w:val="0057438B"/>
    <w:rsid w:val="005743F3"/>
    <w:rsid w:val="005744C1"/>
    <w:rsid w:val="005745E3"/>
    <w:rsid w:val="0057474A"/>
    <w:rsid w:val="00574B25"/>
    <w:rsid w:val="005753B3"/>
    <w:rsid w:val="005754F8"/>
    <w:rsid w:val="00575D0E"/>
    <w:rsid w:val="00576449"/>
    <w:rsid w:val="00576576"/>
    <w:rsid w:val="005768CE"/>
    <w:rsid w:val="0057751E"/>
    <w:rsid w:val="00580176"/>
    <w:rsid w:val="005801B2"/>
    <w:rsid w:val="0058051B"/>
    <w:rsid w:val="0058056E"/>
    <w:rsid w:val="00580829"/>
    <w:rsid w:val="00580C62"/>
    <w:rsid w:val="005813FD"/>
    <w:rsid w:val="0058163B"/>
    <w:rsid w:val="005817D1"/>
    <w:rsid w:val="005818B9"/>
    <w:rsid w:val="00581B3D"/>
    <w:rsid w:val="00581D16"/>
    <w:rsid w:val="005824EF"/>
    <w:rsid w:val="005825BB"/>
    <w:rsid w:val="00582695"/>
    <w:rsid w:val="0058295C"/>
    <w:rsid w:val="00582A05"/>
    <w:rsid w:val="00582D81"/>
    <w:rsid w:val="00582DB4"/>
    <w:rsid w:val="00582E58"/>
    <w:rsid w:val="00582E8F"/>
    <w:rsid w:val="00582FA3"/>
    <w:rsid w:val="005831EC"/>
    <w:rsid w:val="00583246"/>
    <w:rsid w:val="0058336B"/>
    <w:rsid w:val="005835B6"/>
    <w:rsid w:val="005835F0"/>
    <w:rsid w:val="0058369F"/>
    <w:rsid w:val="00583B25"/>
    <w:rsid w:val="00583C49"/>
    <w:rsid w:val="00583CA1"/>
    <w:rsid w:val="00584072"/>
    <w:rsid w:val="005841E1"/>
    <w:rsid w:val="005841F4"/>
    <w:rsid w:val="00584201"/>
    <w:rsid w:val="005842AA"/>
    <w:rsid w:val="00584485"/>
    <w:rsid w:val="0058448E"/>
    <w:rsid w:val="00584582"/>
    <w:rsid w:val="005846D5"/>
    <w:rsid w:val="00584A51"/>
    <w:rsid w:val="00584CBB"/>
    <w:rsid w:val="00585066"/>
    <w:rsid w:val="005850CC"/>
    <w:rsid w:val="00585231"/>
    <w:rsid w:val="005852E9"/>
    <w:rsid w:val="00585B13"/>
    <w:rsid w:val="00585C7E"/>
    <w:rsid w:val="00585CEC"/>
    <w:rsid w:val="00586215"/>
    <w:rsid w:val="00586240"/>
    <w:rsid w:val="005862AF"/>
    <w:rsid w:val="005863A5"/>
    <w:rsid w:val="005864E6"/>
    <w:rsid w:val="0058652D"/>
    <w:rsid w:val="0058682A"/>
    <w:rsid w:val="0058685C"/>
    <w:rsid w:val="00586E11"/>
    <w:rsid w:val="005873E1"/>
    <w:rsid w:val="005876EE"/>
    <w:rsid w:val="00587A25"/>
    <w:rsid w:val="00587CB6"/>
    <w:rsid w:val="00587E01"/>
    <w:rsid w:val="005900A2"/>
    <w:rsid w:val="0059018C"/>
    <w:rsid w:val="005902E1"/>
    <w:rsid w:val="00590524"/>
    <w:rsid w:val="005907A8"/>
    <w:rsid w:val="00590A65"/>
    <w:rsid w:val="00590B54"/>
    <w:rsid w:val="00591130"/>
    <w:rsid w:val="00591177"/>
    <w:rsid w:val="005913C1"/>
    <w:rsid w:val="005914A8"/>
    <w:rsid w:val="00591803"/>
    <w:rsid w:val="00591901"/>
    <w:rsid w:val="00591AC8"/>
    <w:rsid w:val="005920D4"/>
    <w:rsid w:val="00592180"/>
    <w:rsid w:val="005922A7"/>
    <w:rsid w:val="0059230B"/>
    <w:rsid w:val="0059253A"/>
    <w:rsid w:val="00592679"/>
    <w:rsid w:val="00592AF8"/>
    <w:rsid w:val="00592B59"/>
    <w:rsid w:val="00592D6F"/>
    <w:rsid w:val="00592DB9"/>
    <w:rsid w:val="00592EE3"/>
    <w:rsid w:val="0059305F"/>
    <w:rsid w:val="00593317"/>
    <w:rsid w:val="005934EF"/>
    <w:rsid w:val="00593919"/>
    <w:rsid w:val="00593A10"/>
    <w:rsid w:val="00593AD2"/>
    <w:rsid w:val="00593F1F"/>
    <w:rsid w:val="0059466D"/>
    <w:rsid w:val="005946FA"/>
    <w:rsid w:val="005948CC"/>
    <w:rsid w:val="00594C32"/>
    <w:rsid w:val="00594D6A"/>
    <w:rsid w:val="00594F7A"/>
    <w:rsid w:val="00594FBA"/>
    <w:rsid w:val="00595207"/>
    <w:rsid w:val="00595466"/>
    <w:rsid w:val="00595D91"/>
    <w:rsid w:val="0059605B"/>
    <w:rsid w:val="005964DC"/>
    <w:rsid w:val="00596A97"/>
    <w:rsid w:val="00596EE4"/>
    <w:rsid w:val="00597005"/>
    <w:rsid w:val="0059721F"/>
    <w:rsid w:val="00597DC2"/>
    <w:rsid w:val="00597EEE"/>
    <w:rsid w:val="005A00FC"/>
    <w:rsid w:val="005A0381"/>
    <w:rsid w:val="005A06F5"/>
    <w:rsid w:val="005A1291"/>
    <w:rsid w:val="005A1440"/>
    <w:rsid w:val="005A173E"/>
    <w:rsid w:val="005A1849"/>
    <w:rsid w:val="005A1F38"/>
    <w:rsid w:val="005A2467"/>
    <w:rsid w:val="005A2F7F"/>
    <w:rsid w:val="005A3167"/>
    <w:rsid w:val="005A322C"/>
    <w:rsid w:val="005A3575"/>
    <w:rsid w:val="005A3994"/>
    <w:rsid w:val="005A3CEE"/>
    <w:rsid w:val="005A3E10"/>
    <w:rsid w:val="005A4199"/>
    <w:rsid w:val="005A4229"/>
    <w:rsid w:val="005A47B7"/>
    <w:rsid w:val="005A4A8C"/>
    <w:rsid w:val="005A4E8A"/>
    <w:rsid w:val="005A4F3C"/>
    <w:rsid w:val="005A5170"/>
    <w:rsid w:val="005A517E"/>
    <w:rsid w:val="005A55A9"/>
    <w:rsid w:val="005A55B2"/>
    <w:rsid w:val="005A590D"/>
    <w:rsid w:val="005A5BA0"/>
    <w:rsid w:val="005A5C3C"/>
    <w:rsid w:val="005A5D35"/>
    <w:rsid w:val="005A5D5E"/>
    <w:rsid w:val="005A5EC4"/>
    <w:rsid w:val="005A5F6E"/>
    <w:rsid w:val="005A5FEE"/>
    <w:rsid w:val="005A679D"/>
    <w:rsid w:val="005A67D1"/>
    <w:rsid w:val="005A7581"/>
    <w:rsid w:val="005A7729"/>
    <w:rsid w:val="005A78D9"/>
    <w:rsid w:val="005A7934"/>
    <w:rsid w:val="005A7D7A"/>
    <w:rsid w:val="005A7EC6"/>
    <w:rsid w:val="005A7F0A"/>
    <w:rsid w:val="005A7FF6"/>
    <w:rsid w:val="005B000A"/>
    <w:rsid w:val="005B042C"/>
    <w:rsid w:val="005B082D"/>
    <w:rsid w:val="005B0855"/>
    <w:rsid w:val="005B08F2"/>
    <w:rsid w:val="005B0BE8"/>
    <w:rsid w:val="005B1208"/>
    <w:rsid w:val="005B1568"/>
    <w:rsid w:val="005B21C3"/>
    <w:rsid w:val="005B241F"/>
    <w:rsid w:val="005B24C0"/>
    <w:rsid w:val="005B28FF"/>
    <w:rsid w:val="005B29A8"/>
    <w:rsid w:val="005B2B7B"/>
    <w:rsid w:val="005B3167"/>
    <w:rsid w:val="005B35DA"/>
    <w:rsid w:val="005B3782"/>
    <w:rsid w:val="005B39E6"/>
    <w:rsid w:val="005B3D30"/>
    <w:rsid w:val="005B41D3"/>
    <w:rsid w:val="005B42FB"/>
    <w:rsid w:val="005B45DA"/>
    <w:rsid w:val="005B4920"/>
    <w:rsid w:val="005B4C2A"/>
    <w:rsid w:val="005B4E0D"/>
    <w:rsid w:val="005B523E"/>
    <w:rsid w:val="005B5F89"/>
    <w:rsid w:val="005B6262"/>
    <w:rsid w:val="005B62FB"/>
    <w:rsid w:val="005B6381"/>
    <w:rsid w:val="005B6470"/>
    <w:rsid w:val="005B64BE"/>
    <w:rsid w:val="005B673D"/>
    <w:rsid w:val="005B6942"/>
    <w:rsid w:val="005B6B9E"/>
    <w:rsid w:val="005B6D46"/>
    <w:rsid w:val="005B6FA9"/>
    <w:rsid w:val="005B712D"/>
    <w:rsid w:val="005B747C"/>
    <w:rsid w:val="005B7655"/>
    <w:rsid w:val="005B765B"/>
    <w:rsid w:val="005B76E2"/>
    <w:rsid w:val="005B7807"/>
    <w:rsid w:val="005B7B3D"/>
    <w:rsid w:val="005B7C12"/>
    <w:rsid w:val="005B7F90"/>
    <w:rsid w:val="005B7F9D"/>
    <w:rsid w:val="005C0685"/>
    <w:rsid w:val="005C086F"/>
    <w:rsid w:val="005C0A20"/>
    <w:rsid w:val="005C0D38"/>
    <w:rsid w:val="005C107E"/>
    <w:rsid w:val="005C1305"/>
    <w:rsid w:val="005C14EF"/>
    <w:rsid w:val="005C1516"/>
    <w:rsid w:val="005C16EE"/>
    <w:rsid w:val="005C1A42"/>
    <w:rsid w:val="005C1B82"/>
    <w:rsid w:val="005C1CA7"/>
    <w:rsid w:val="005C1E1C"/>
    <w:rsid w:val="005C1F64"/>
    <w:rsid w:val="005C25A7"/>
    <w:rsid w:val="005C25FD"/>
    <w:rsid w:val="005C2B0C"/>
    <w:rsid w:val="005C3212"/>
    <w:rsid w:val="005C32B9"/>
    <w:rsid w:val="005C333F"/>
    <w:rsid w:val="005C3425"/>
    <w:rsid w:val="005C3598"/>
    <w:rsid w:val="005C3A0A"/>
    <w:rsid w:val="005C3A11"/>
    <w:rsid w:val="005C3A24"/>
    <w:rsid w:val="005C3A9B"/>
    <w:rsid w:val="005C3A9D"/>
    <w:rsid w:val="005C3BEA"/>
    <w:rsid w:val="005C40DD"/>
    <w:rsid w:val="005C411F"/>
    <w:rsid w:val="005C4271"/>
    <w:rsid w:val="005C4452"/>
    <w:rsid w:val="005C4528"/>
    <w:rsid w:val="005C46CE"/>
    <w:rsid w:val="005C48A3"/>
    <w:rsid w:val="005C4E12"/>
    <w:rsid w:val="005C52D0"/>
    <w:rsid w:val="005C5817"/>
    <w:rsid w:val="005C6290"/>
    <w:rsid w:val="005C695B"/>
    <w:rsid w:val="005C6A30"/>
    <w:rsid w:val="005C6A4E"/>
    <w:rsid w:val="005C6B9C"/>
    <w:rsid w:val="005C6FA1"/>
    <w:rsid w:val="005C7521"/>
    <w:rsid w:val="005C762A"/>
    <w:rsid w:val="005C7BDE"/>
    <w:rsid w:val="005C7C59"/>
    <w:rsid w:val="005C7CBC"/>
    <w:rsid w:val="005D01B8"/>
    <w:rsid w:val="005D03C3"/>
    <w:rsid w:val="005D0448"/>
    <w:rsid w:val="005D0D37"/>
    <w:rsid w:val="005D0F75"/>
    <w:rsid w:val="005D0FA4"/>
    <w:rsid w:val="005D13FE"/>
    <w:rsid w:val="005D14C5"/>
    <w:rsid w:val="005D15D2"/>
    <w:rsid w:val="005D210A"/>
    <w:rsid w:val="005D2324"/>
    <w:rsid w:val="005D270F"/>
    <w:rsid w:val="005D2923"/>
    <w:rsid w:val="005D29E1"/>
    <w:rsid w:val="005D2A82"/>
    <w:rsid w:val="005D2D3E"/>
    <w:rsid w:val="005D324A"/>
    <w:rsid w:val="005D3371"/>
    <w:rsid w:val="005D36D9"/>
    <w:rsid w:val="005D3C90"/>
    <w:rsid w:val="005D418A"/>
    <w:rsid w:val="005D450E"/>
    <w:rsid w:val="005D48BD"/>
    <w:rsid w:val="005D5516"/>
    <w:rsid w:val="005D5603"/>
    <w:rsid w:val="005D57A0"/>
    <w:rsid w:val="005D58F3"/>
    <w:rsid w:val="005D59CA"/>
    <w:rsid w:val="005D5BC3"/>
    <w:rsid w:val="005D5EB3"/>
    <w:rsid w:val="005D60EB"/>
    <w:rsid w:val="005D616E"/>
    <w:rsid w:val="005D62EE"/>
    <w:rsid w:val="005D6317"/>
    <w:rsid w:val="005D66E4"/>
    <w:rsid w:val="005D672F"/>
    <w:rsid w:val="005D6991"/>
    <w:rsid w:val="005D6A97"/>
    <w:rsid w:val="005D6C1C"/>
    <w:rsid w:val="005D6D15"/>
    <w:rsid w:val="005D72DF"/>
    <w:rsid w:val="005D772B"/>
    <w:rsid w:val="005D7998"/>
    <w:rsid w:val="005D7AF9"/>
    <w:rsid w:val="005D7F7A"/>
    <w:rsid w:val="005E03BE"/>
    <w:rsid w:val="005E047E"/>
    <w:rsid w:val="005E0C3E"/>
    <w:rsid w:val="005E0F6C"/>
    <w:rsid w:val="005E114C"/>
    <w:rsid w:val="005E1214"/>
    <w:rsid w:val="005E1329"/>
    <w:rsid w:val="005E153B"/>
    <w:rsid w:val="005E155C"/>
    <w:rsid w:val="005E163B"/>
    <w:rsid w:val="005E178E"/>
    <w:rsid w:val="005E1B1B"/>
    <w:rsid w:val="005E1CA7"/>
    <w:rsid w:val="005E1E8D"/>
    <w:rsid w:val="005E2627"/>
    <w:rsid w:val="005E2727"/>
    <w:rsid w:val="005E273C"/>
    <w:rsid w:val="005E2EF1"/>
    <w:rsid w:val="005E33BF"/>
    <w:rsid w:val="005E3569"/>
    <w:rsid w:val="005E3C09"/>
    <w:rsid w:val="005E42AD"/>
    <w:rsid w:val="005E496E"/>
    <w:rsid w:val="005E4A42"/>
    <w:rsid w:val="005E4CB2"/>
    <w:rsid w:val="005E4EB5"/>
    <w:rsid w:val="005E4F78"/>
    <w:rsid w:val="005E5488"/>
    <w:rsid w:val="005E57AD"/>
    <w:rsid w:val="005E5B2F"/>
    <w:rsid w:val="005E5B8D"/>
    <w:rsid w:val="005E6147"/>
    <w:rsid w:val="005E6436"/>
    <w:rsid w:val="005E64C0"/>
    <w:rsid w:val="005E67B5"/>
    <w:rsid w:val="005E6A7E"/>
    <w:rsid w:val="005E6DF0"/>
    <w:rsid w:val="005E710E"/>
    <w:rsid w:val="005E73BC"/>
    <w:rsid w:val="005E78AC"/>
    <w:rsid w:val="005F02A5"/>
    <w:rsid w:val="005F0344"/>
    <w:rsid w:val="005F098A"/>
    <w:rsid w:val="005F09C6"/>
    <w:rsid w:val="005F0E21"/>
    <w:rsid w:val="005F0FD6"/>
    <w:rsid w:val="005F1393"/>
    <w:rsid w:val="005F16D5"/>
    <w:rsid w:val="005F17CA"/>
    <w:rsid w:val="005F1AD2"/>
    <w:rsid w:val="005F1DDF"/>
    <w:rsid w:val="005F2291"/>
    <w:rsid w:val="005F2895"/>
    <w:rsid w:val="005F2964"/>
    <w:rsid w:val="005F29B5"/>
    <w:rsid w:val="005F2A5C"/>
    <w:rsid w:val="005F2AA1"/>
    <w:rsid w:val="005F2AEE"/>
    <w:rsid w:val="005F2B4C"/>
    <w:rsid w:val="005F33E0"/>
    <w:rsid w:val="005F3542"/>
    <w:rsid w:val="005F3630"/>
    <w:rsid w:val="005F36C0"/>
    <w:rsid w:val="005F36F2"/>
    <w:rsid w:val="005F37E2"/>
    <w:rsid w:val="005F3809"/>
    <w:rsid w:val="005F383F"/>
    <w:rsid w:val="005F3C36"/>
    <w:rsid w:val="005F3F36"/>
    <w:rsid w:val="005F3F4A"/>
    <w:rsid w:val="005F3FEB"/>
    <w:rsid w:val="005F4E9A"/>
    <w:rsid w:val="005F5119"/>
    <w:rsid w:val="005F5138"/>
    <w:rsid w:val="005F571D"/>
    <w:rsid w:val="005F5773"/>
    <w:rsid w:val="005F57FD"/>
    <w:rsid w:val="005F5F26"/>
    <w:rsid w:val="005F607F"/>
    <w:rsid w:val="005F6587"/>
    <w:rsid w:val="005F67E3"/>
    <w:rsid w:val="005F67E5"/>
    <w:rsid w:val="005F6B1C"/>
    <w:rsid w:val="005F71FD"/>
    <w:rsid w:val="005F773E"/>
    <w:rsid w:val="005F785F"/>
    <w:rsid w:val="005F7A46"/>
    <w:rsid w:val="005F7CAE"/>
    <w:rsid w:val="005F7FF2"/>
    <w:rsid w:val="006004A9"/>
    <w:rsid w:val="006004CB"/>
    <w:rsid w:val="0060086F"/>
    <w:rsid w:val="00600B74"/>
    <w:rsid w:val="00600C4A"/>
    <w:rsid w:val="006012AD"/>
    <w:rsid w:val="00601548"/>
    <w:rsid w:val="00601793"/>
    <w:rsid w:val="006017CC"/>
    <w:rsid w:val="00601AE5"/>
    <w:rsid w:val="00601BA2"/>
    <w:rsid w:val="00601E84"/>
    <w:rsid w:val="00601FB8"/>
    <w:rsid w:val="006025BA"/>
    <w:rsid w:val="00602952"/>
    <w:rsid w:val="00602BD9"/>
    <w:rsid w:val="00602D8C"/>
    <w:rsid w:val="00602EBA"/>
    <w:rsid w:val="006039A7"/>
    <w:rsid w:val="0060411C"/>
    <w:rsid w:val="006047AB"/>
    <w:rsid w:val="006047FA"/>
    <w:rsid w:val="00604888"/>
    <w:rsid w:val="00604A5A"/>
    <w:rsid w:val="00604C05"/>
    <w:rsid w:val="00604E31"/>
    <w:rsid w:val="00604EEA"/>
    <w:rsid w:val="00605259"/>
    <w:rsid w:val="00605A13"/>
    <w:rsid w:val="00605AC1"/>
    <w:rsid w:val="00605EB2"/>
    <w:rsid w:val="00606A4A"/>
    <w:rsid w:val="00606CAE"/>
    <w:rsid w:val="00606CF7"/>
    <w:rsid w:val="00606D3D"/>
    <w:rsid w:val="00606DE3"/>
    <w:rsid w:val="006070FC"/>
    <w:rsid w:val="00607331"/>
    <w:rsid w:val="006073EB"/>
    <w:rsid w:val="0060797D"/>
    <w:rsid w:val="00607B94"/>
    <w:rsid w:val="0061004C"/>
    <w:rsid w:val="0061005D"/>
    <w:rsid w:val="006101D1"/>
    <w:rsid w:val="00610372"/>
    <w:rsid w:val="006104FB"/>
    <w:rsid w:val="006105DF"/>
    <w:rsid w:val="006106C2"/>
    <w:rsid w:val="00610C66"/>
    <w:rsid w:val="00610CC8"/>
    <w:rsid w:val="00610D31"/>
    <w:rsid w:val="00610D73"/>
    <w:rsid w:val="00610DC8"/>
    <w:rsid w:val="0061134B"/>
    <w:rsid w:val="00611459"/>
    <w:rsid w:val="006116CA"/>
    <w:rsid w:val="006119D9"/>
    <w:rsid w:val="00611A95"/>
    <w:rsid w:val="00611B12"/>
    <w:rsid w:val="00611BC7"/>
    <w:rsid w:val="00612969"/>
    <w:rsid w:val="00612A01"/>
    <w:rsid w:val="00612D11"/>
    <w:rsid w:val="00613361"/>
    <w:rsid w:val="00613379"/>
    <w:rsid w:val="0061349D"/>
    <w:rsid w:val="006139DB"/>
    <w:rsid w:val="00613FE9"/>
    <w:rsid w:val="00614102"/>
    <w:rsid w:val="00614423"/>
    <w:rsid w:val="006146EA"/>
    <w:rsid w:val="0061477E"/>
    <w:rsid w:val="00614906"/>
    <w:rsid w:val="00614CCF"/>
    <w:rsid w:val="006152D2"/>
    <w:rsid w:val="00615537"/>
    <w:rsid w:val="006158A9"/>
    <w:rsid w:val="00615FB4"/>
    <w:rsid w:val="0061634B"/>
    <w:rsid w:val="006163F7"/>
    <w:rsid w:val="00616ADF"/>
    <w:rsid w:val="00616C17"/>
    <w:rsid w:val="00616F7A"/>
    <w:rsid w:val="00617217"/>
    <w:rsid w:val="00617530"/>
    <w:rsid w:val="0061790F"/>
    <w:rsid w:val="00617A79"/>
    <w:rsid w:val="0062053B"/>
    <w:rsid w:val="00620598"/>
    <w:rsid w:val="006206DD"/>
    <w:rsid w:val="00620857"/>
    <w:rsid w:val="00620AE1"/>
    <w:rsid w:val="00620C9F"/>
    <w:rsid w:val="00620E27"/>
    <w:rsid w:val="00620FC4"/>
    <w:rsid w:val="006215B6"/>
    <w:rsid w:val="0062175D"/>
    <w:rsid w:val="00621953"/>
    <w:rsid w:val="00621962"/>
    <w:rsid w:val="00622068"/>
    <w:rsid w:val="0062261E"/>
    <w:rsid w:val="00622720"/>
    <w:rsid w:val="00622828"/>
    <w:rsid w:val="0062293C"/>
    <w:rsid w:val="00623182"/>
    <w:rsid w:val="006231A1"/>
    <w:rsid w:val="006232CC"/>
    <w:rsid w:val="006235B2"/>
    <w:rsid w:val="00623A75"/>
    <w:rsid w:val="00623E39"/>
    <w:rsid w:val="00624028"/>
    <w:rsid w:val="0062452D"/>
    <w:rsid w:val="00624646"/>
    <w:rsid w:val="00624734"/>
    <w:rsid w:val="006247C5"/>
    <w:rsid w:val="006248F5"/>
    <w:rsid w:val="00624AE1"/>
    <w:rsid w:val="0062550F"/>
    <w:rsid w:val="00625629"/>
    <w:rsid w:val="006259E4"/>
    <w:rsid w:val="00625A46"/>
    <w:rsid w:val="00625A5A"/>
    <w:rsid w:val="00625D59"/>
    <w:rsid w:val="00625E35"/>
    <w:rsid w:val="00625F0E"/>
    <w:rsid w:val="00625FD7"/>
    <w:rsid w:val="00626106"/>
    <w:rsid w:val="006261F2"/>
    <w:rsid w:val="006262FF"/>
    <w:rsid w:val="006263D9"/>
    <w:rsid w:val="0062654D"/>
    <w:rsid w:val="00626558"/>
    <w:rsid w:val="00626617"/>
    <w:rsid w:val="00626859"/>
    <w:rsid w:val="00626904"/>
    <w:rsid w:val="00626AD5"/>
    <w:rsid w:val="00626F69"/>
    <w:rsid w:val="00626F6D"/>
    <w:rsid w:val="006274D1"/>
    <w:rsid w:val="006275D7"/>
    <w:rsid w:val="00627A6C"/>
    <w:rsid w:val="00627A70"/>
    <w:rsid w:val="00630413"/>
    <w:rsid w:val="00630500"/>
    <w:rsid w:val="00630956"/>
    <w:rsid w:val="00630B2E"/>
    <w:rsid w:val="00630BD0"/>
    <w:rsid w:val="00630FC3"/>
    <w:rsid w:val="00631059"/>
    <w:rsid w:val="006315F0"/>
    <w:rsid w:val="006318D5"/>
    <w:rsid w:val="006319CD"/>
    <w:rsid w:val="00631A1E"/>
    <w:rsid w:val="006322F7"/>
    <w:rsid w:val="006324FD"/>
    <w:rsid w:val="00632732"/>
    <w:rsid w:val="00632C65"/>
    <w:rsid w:val="00632FA3"/>
    <w:rsid w:val="006332FE"/>
    <w:rsid w:val="00633303"/>
    <w:rsid w:val="006334D1"/>
    <w:rsid w:val="00633733"/>
    <w:rsid w:val="00633785"/>
    <w:rsid w:val="00633942"/>
    <w:rsid w:val="00633BF4"/>
    <w:rsid w:val="006340B6"/>
    <w:rsid w:val="0063428A"/>
    <w:rsid w:val="00634B1B"/>
    <w:rsid w:val="00634E05"/>
    <w:rsid w:val="00634E73"/>
    <w:rsid w:val="0063504F"/>
    <w:rsid w:val="006351E2"/>
    <w:rsid w:val="0063544B"/>
    <w:rsid w:val="00635539"/>
    <w:rsid w:val="0063567E"/>
    <w:rsid w:val="006359DC"/>
    <w:rsid w:val="00635ABB"/>
    <w:rsid w:val="00635C5C"/>
    <w:rsid w:val="00635F43"/>
    <w:rsid w:val="00635FC5"/>
    <w:rsid w:val="00636123"/>
    <w:rsid w:val="006362AF"/>
    <w:rsid w:val="00636467"/>
    <w:rsid w:val="00636777"/>
    <w:rsid w:val="00636783"/>
    <w:rsid w:val="00636ABD"/>
    <w:rsid w:val="00636C7F"/>
    <w:rsid w:val="00637493"/>
    <w:rsid w:val="006378DA"/>
    <w:rsid w:val="00637E64"/>
    <w:rsid w:val="00637FF9"/>
    <w:rsid w:val="00640377"/>
    <w:rsid w:val="00640434"/>
    <w:rsid w:val="00640459"/>
    <w:rsid w:val="0064067D"/>
    <w:rsid w:val="006406A7"/>
    <w:rsid w:val="00640979"/>
    <w:rsid w:val="00640986"/>
    <w:rsid w:val="00641109"/>
    <w:rsid w:val="0064117A"/>
    <w:rsid w:val="00641269"/>
    <w:rsid w:val="0064132A"/>
    <w:rsid w:val="00641471"/>
    <w:rsid w:val="006415DB"/>
    <w:rsid w:val="00641A65"/>
    <w:rsid w:val="00641B5B"/>
    <w:rsid w:val="00641D69"/>
    <w:rsid w:val="00641E09"/>
    <w:rsid w:val="00642234"/>
    <w:rsid w:val="006422DA"/>
    <w:rsid w:val="00642335"/>
    <w:rsid w:val="0064249F"/>
    <w:rsid w:val="00642BBB"/>
    <w:rsid w:val="00642BD6"/>
    <w:rsid w:val="00642C89"/>
    <w:rsid w:val="00642F90"/>
    <w:rsid w:val="00643026"/>
    <w:rsid w:val="006433A1"/>
    <w:rsid w:val="00643EC1"/>
    <w:rsid w:val="00644491"/>
    <w:rsid w:val="0064462B"/>
    <w:rsid w:val="006448C0"/>
    <w:rsid w:val="0064499F"/>
    <w:rsid w:val="00644B08"/>
    <w:rsid w:val="00644D4C"/>
    <w:rsid w:val="006452C8"/>
    <w:rsid w:val="006456F6"/>
    <w:rsid w:val="006457A7"/>
    <w:rsid w:val="00645C33"/>
    <w:rsid w:val="00645F3E"/>
    <w:rsid w:val="00646125"/>
    <w:rsid w:val="0064612E"/>
    <w:rsid w:val="00646333"/>
    <w:rsid w:val="0064633A"/>
    <w:rsid w:val="006463E2"/>
    <w:rsid w:val="00646403"/>
    <w:rsid w:val="006466F6"/>
    <w:rsid w:val="0064700C"/>
    <w:rsid w:val="006472E1"/>
    <w:rsid w:val="0064733B"/>
    <w:rsid w:val="0064735C"/>
    <w:rsid w:val="00647509"/>
    <w:rsid w:val="0064781C"/>
    <w:rsid w:val="00647C8B"/>
    <w:rsid w:val="006500EC"/>
    <w:rsid w:val="00650179"/>
    <w:rsid w:val="0065025D"/>
    <w:rsid w:val="006502FF"/>
    <w:rsid w:val="006508A5"/>
    <w:rsid w:val="00650C37"/>
    <w:rsid w:val="00650CD5"/>
    <w:rsid w:val="00650FCE"/>
    <w:rsid w:val="0065150E"/>
    <w:rsid w:val="0065172F"/>
    <w:rsid w:val="00651740"/>
    <w:rsid w:val="0065189A"/>
    <w:rsid w:val="00651F0A"/>
    <w:rsid w:val="00651F98"/>
    <w:rsid w:val="00652130"/>
    <w:rsid w:val="006521D8"/>
    <w:rsid w:val="006523A8"/>
    <w:rsid w:val="00652597"/>
    <w:rsid w:val="00652652"/>
    <w:rsid w:val="0065279F"/>
    <w:rsid w:val="00652F35"/>
    <w:rsid w:val="00653084"/>
    <w:rsid w:val="00653206"/>
    <w:rsid w:val="00653326"/>
    <w:rsid w:val="006534CB"/>
    <w:rsid w:val="0065364C"/>
    <w:rsid w:val="00653D93"/>
    <w:rsid w:val="00653E15"/>
    <w:rsid w:val="00654463"/>
    <w:rsid w:val="00654ABE"/>
    <w:rsid w:val="00654E9B"/>
    <w:rsid w:val="00655D22"/>
    <w:rsid w:val="00655E5F"/>
    <w:rsid w:val="00655F3F"/>
    <w:rsid w:val="00656192"/>
    <w:rsid w:val="006563B4"/>
    <w:rsid w:val="006567C0"/>
    <w:rsid w:val="00656881"/>
    <w:rsid w:val="0065702F"/>
    <w:rsid w:val="006571B6"/>
    <w:rsid w:val="0065730C"/>
    <w:rsid w:val="0065732F"/>
    <w:rsid w:val="006576C7"/>
    <w:rsid w:val="00657921"/>
    <w:rsid w:val="00657C55"/>
    <w:rsid w:val="00657DBF"/>
    <w:rsid w:val="006600CC"/>
    <w:rsid w:val="006602EB"/>
    <w:rsid w:val="00660411"/>
    <w:rsid w:val="00660478"/>
    <w:rsid w:val="00660481"/>
    <w:rsid w:val="006609A3"/>
    <w:rsid w:val="00661548"/>
    <w:rsid w:val="0066207B"/>
    <w:rsid w:val="006622AD"/>
    <w:rsid w:val="006623CC"/>
    <w:rsid w:val="0066247C"/>
    <w:rsid w:val="0066252C"/>
    <w:rsid w:val="0066291B"/>
    <w:rsid w:val="00662A6C"/>
    <w:rsid w:val="00663081"/>
    <w:rsid w:val="006638E7"/>
    <w:rsid w:val="00663A8F"/>
    <w:rsid w:val="006640DA"/>
    <w:rsid w:val="00664235"/>
    <w:rsid w:val="00664378"/>
    <w:rsid w:val="0066477D"/>
    <w:rsid w:val="00664979"/>
    <w:rsid w:val="00664D5A"/>
    <w:rsid w:val="00664FD4"/>
    <w:rsid w:val="00665107"/>
    <w:rsid w:val="00665374"/>
    <w:rsid w:val="00665427"/>
    <w:rsid w:val="00665678"/>
    <w:rsid w:val="00665BC7"/>
    <w:rsid w:val="00665ECF"/>
    <w:rsid w:val="00666053"/>
    <w:rsid w:val="00666170"/>
    <w:rsid w:val="00666302"/>
    <w:rsid w:val="0066630C"/>
    <w:rsid w:val="0066667B"/>
    <w:rsid w:val="00667C25"/>
    <w:rsid w:val="0067019B"/>
    <w:rsid w:val="006707D4"/>
    <w:rsid w:val="00670918"/>
    <w:rsid w:val="00670974"/>
    <w:rsid w:val="00670CB6"/>
    <w:rsid w:val="00670F8B"/>
    <w:rsid w:val="0067140C"/>
    <w:rsid w:val="00671B17"/>
    <w:rsid w:val="00671CF5"/>
    <w:rsid w:val="00672007"/>
    <w:rsid w:val="00672737"/>
    <w:rsid w:val="006729F4"/>
    <w:rsid w:val="00672E1E"/>
    <w:rsid w:val="00673185"/>
    <w:rsid w:val="0067327D"/>
    <w:rsid w:val="00673283"/>
    <w:rsid w:val="006736FA"/>
    <w:rsid w:val="006737DE"/>
    <w:rsid w:val="006739EE"/>
    <w:rsid w:val="00673DD1"/>
    <w:rsid w:val="00673F90"/>
    <w:rsid w:val="00674218"/>
    <w:rsid w:val="00674686"/>
    <w:rsid w:val="006749F5"/>
    <w:rsid w:val="00674C8B"/>
    <w:rsid w:val="006752AA"/>
    <w:rsid w:val="006752CF"/>
    <w:rsid w:val="006753CA"/>
    <w:rsid w:val="0067578F"/>
    <w:rsid w:val="00675BE1"/>
    <w:rsid w:val="00675E4F"/>
    <w:rsid w:val="00676068"/>
    <w:rsid w:val="0067610B"/>
    <w:rsid w:val="0067614A"/>
    <w:rsid w:val="0067648C"/>
    <w:rsid w:val="00676685"/>
    <w:rsid w:val="00676759"/>
    <w:rsid w:val="0067686F"/>
    <w:rsid w:val="006770FA"/>
    <w:rsid w:val="0067716B"/>
    <w:rsid w:val="00677310"/>
    <w:rsid w:val="00677325"/>
    <w:rsid w:val="006777E5"/>
    <w:rsid w:val="0068009B"/>
    <w:rsid w:val="006801CE"/>
    <w:rsid w:val="00680387"/>
    <w:rsid w:val="00680B45"/>
    <w:rsid w:val="00680CE7"/>
    <w:rsid w:val="00680D77"/>
    <w:rsid w:val="006810D4"/>
    <w:rsid w:val="00681518"/>
    <w:rsid w:val="00681668"/>
    <w:rsid w:val="00681ABB"/>
    <w:rsid w:val="00681CFC"/>
    <w:rsid w:val="00681DD3"/>
    <w:rsid w:val="00682372"/>
    <w:rsid w:val="006823E0"/>
    <w:rsid w:val="00682AB0"/>
    <w:rsid w:val="00682DCF"/>
    <w:rsid w:val="00682E98"/>
    <w:rsid w:val="006833F8"/>
    <w:rsid w:val="006834FA"/>
    <w:rsid w:val="006835D3"/>
    <w:rsid w:val="00683AAE"/>
    <w:rsid w:val="00683D55"/>
    <w:rsid w:val="00683E33"/>
    <w:rsid w:val="00683F10"/>
    <w:rsid w:val="006840B6"/>
    <w:rsid w:val="0068446C"/>
    <w:rsid w:val="00684505"/>
    <w:rsid w:val="0068458F"/>
    <w:rsid w:val="00684702"/>
    <w:rsid w:val="006848AD"/>
    <w:rsid w:val="00684A4C"/>
    <w:rsid w:val="00684BC6"/>
    <w:rsid w:val="00684FC5"/>
    <w:rsid w:val="006854C2"/>
    <w:rsid w:val="006854CA"/>
    <w:rsid w:val="006859EA"/>
    <w:rsid w:val="00685D1C"/>
    <w:rsid w:val="00685D88"/>
    <w:rsid w:val="00685F41"/>
    <w:rsid w:val="006861BD"/>
    <w:rsid w:val="0068675B"/>
    <w:rsid w:val="00686D53"/>
    <w:rsid w:val="00687309"/>
    <w:rsid w:val="00687B83"/>
    <w:rsid w:val="00687BDC"/>
    <w:rsid w:val="00687CAE"/>
    <w:rsid w:val="00687E27"/>
    <w:rsid w:val="00687E74"/>
    <w:rsid w:val="006903BA"/>
    <w:rsid w:val="0069042D"/>
    <w:rsid w:val="006907F4"/>
    <w:rsid w:val="006910B9"/>
    <w:rsid w:val="006911B4"/>
    <w:rsid w:val="006917B6"/>
    <w:rsid w:val="006918C3"/>
    <w:rsid w:val="00691A57"/>
    <w:rsid w:val="00691A76"/>
    <w:rsid w:val="00691C26"/>
    <w:rsid w:val="00691D19"/>
    <w:rsid w:val="00691FDE"/>
    <w:rsid w:val="00692281"/>
    <w:rsid w:val="006923B5"/>
    <w:rsid w:val="006925D9"/>
    <w:rsid w:val="0069264D"/>
    <w:rsid w:val="0069293D"/>
    <w:rsid w:val="00692BDF"/>
    <w:rsid w:val="00692CC6"/>
    <w:rsid w:val="00693146"/>
    <w:rsid w:val="006931AC"/>
    <w:rsid w:val="00693338"/>
    <w:rsid w:val="00693377"/>
    <w:rsid w:val="006936F4"/>
    <w:rsid w:val="00693744"/>
    <w:rsid w:val="00693C00"/>
    <w:rsid w:val="0069420E"/>
    <w:rsid w:val="00694DE9"/>
    <w:rsid w:val="00694DFE"/>
    <w:rsid w:val="00695618"/>
    <w:rsid w:val="006956CA"/>
    <w:rsid w:val="00695712"/>
    <w:rsid w:val="00695E38"/>
    <w:rsid w:val="0069622B"/>
    <w:rsid w:val="00696340"/>
    <w:rsid w:val="00696609"/>
    <w:rsid w:val="00696623"/>
    <w:rsid w:val="0069679A"/>
    <w:rsid w:val="0069691E"/>
    <w:rsid w:val="006969FC"/>
    <w:rsid w:val="00696AE4"/>
    <w:rsid w:val="00697192"/>
    <w:rsid w:val="006971C5"/>
    <w:rsid w:val="0069725A"/>
    <w:rsid w:val="00697634"/>
    <w:rsid w:val="00697C66"/>
    <w:rsid w:val="00697EFB"/>
    <w:rsid w:val="006A0205"/>
    <w:rsid w:val="006A050E"/>
    <w:rsid w:val="006A0824"/>
    <w:rsid w:val="006A0835"/>
    <w:rsid w:val="006A0CDF"/>
    <w:rsid w:val="006A0E9A"/>
    <w:rsid w:val="006A11DB"/>
    <w:rsid w:val="006A12E7"/>
    <w:rsid w:val="006A160F"/>
    <w:rsid w:val="006A1C46"/>
    <w:rsid w:val="006A1CBA"/>
    <w:rsid w:val="006A1CD5"/>
    <w:rsid w:val="006A24E2"/>
    <w:rsid w:val="006A2573"/>
    <w:rsid w:val="006A27C4"/>
    <w:rsid w:val="006A2BA5"/>
    <w:rsid w:val="006A2D20"/>
    <w:rsid w:val="006A2F59"/>
    <w:rsid w:val="006A3175"/>
    <w:rsid w:val="006A3345"/>
    <w:rsid w:val="006A352E"/>
    <w:rsid w:val="006A3549"/>
    <w:rsid w:val="006A37B7"/>
    <w:rsid w:val="006A38A4"/>
    <w:rsid w:val="006A3A3A"/>
    <w:rsid w:val="006A3A88"/>
    <w:rsid w:val="006A467D"/>
    <w:rsid w:val="006A480A"/>
    <w:rsid w:val="006A4E6E"/>
    <w:rsid w:val="006A5142"/>
    <w:rsid w:val="006A54E9"/>
    <w:rsid w:val="006A5D06"/>
    <w:rsid w:val="006A633F"/>
    <w:rsid w:val="006A639E"/>
    <w:rsid w:val="006A6F11"/>
    <w:rsid w:val="006A7235"/>
    <w:rsid w:val="006A72C4"/>
    <w:rsid w:val="006A74DE"/>
    <w:rsid w:val="006A7DE6"/>
    <w:rsid w:val="006A7E74"/>
    <w:rsid w:val="006B026A"/>
    <w:rsid w:val="006B0476"/>
    <w:rsid w:val="006B0488"/>
    <w:rsid w:val="006B0875"/>
    <w:rsid w:val="006B0D3C"/>
    <w:rsid w:val="006B0F66"/>
    <w:rsid w:val="006B10D4"/>
    <w:rsid w:val="006B125B"/>
    <w:rsid w:val="006B135A"/>
    <w:rsid w:val="006B1367"/>
    <w:rsid w:val="006B156D"/>
    <w:rsid w:val="006B1662"/>
    <w:rsid w:val="006B176B"/>
    <w:rsid w:val="006B18E4"/>
    <w:rsid w:val="006B1A6C"/>
    <w:rsid w:val="006B1AE8"/>
    <w:rsid w:val="006B1B14"/>
    <w:rsid w:val="006B1F72"/>
    <w:rsid w:val="006B20D9"/>
    <w:rsid w:val="006B2B4C"/>
    <w:rsid w:val="006B2DEF"/>
    <w:rsid w:val="006B30A4"/>
    <w:rsid w:val="006B37C7"/>
    <w:rsid w:val="006B38FB"/>
    <w:rsid w:val="006B3BEB"/>
    <w:rsid w:val="006B3F84"/>
    <w:rsid w:val="006B4184"/>
    <w:rsid w:val="006B41EA"/>
    <w:rsid w:val="006B4408"/>
    <w:rsid w:val="006B4720"/>
    <w:rsid w:val="006B503D"/>
    <w:rsid w:val="006B504E"/>
    <w:rsid w:val="006B53A9"/>
    <w:rsid w:val="006B5498"/>
    <w:rsid w:val="006B5510"/>
    <w:rsid w:val="006B577E"/>
    <w:rsid w:val="006B57F0"/>
    <w:rsid w:val="006B5859"/>
    <w:rsid w:val="006B59ED"/>
    <w:rsid w:val="006B611F"/>
    <w:rsid w:val="006B61B9"/>
    <w:rsid w:val="006B65A6"/>
    <w:rsid w:val="006B6B6C"/>
    <w:rsid w:val="006B6F13"/>
    <w:rsid w:val="006B7080"/>
    <w:rsid w:val="006B7088"/>
    <w:rsid w:val="006B721D"/>
    <w:rsid w:val="006B7462"/>
    <w:rsid w:val="006B7547"/>
    <w:rsid w:val="006B7654"/>
    <w:rsid w:val="006B778A"/>
    <w:rsid w:val="006B784E"/>
    <w:rsid w:val="006B7A60"/>
    <w:rsid w:val="006C03F2"/>
    <w:rsid w:val="006C04D1"/>
    <w:rsid w:val="006C052C"/>
    <w:rsid w:val="006C05EC"/>
    <w:rsid w:val="006C09AB"/>
    <w:rsid w:val="006C0B33"/>
    <w:rsid w:val="006C0C55"/>
    <w:rsid w:val="006C1220"/>
    <w:rsid w:val="006C1DD9"/>
    <w:rsid w:val="006C207F"/>
    <w:rsid w:val="006C2119"/>
    <w:rsid w:val="006C22E2"/>
    <w:rsid w:val="006C25CC"/>
    <w:rsid w:val="006C269E"/>
    <w:rsid w:val="006C28C8"/>
    <w:rsid w:val="006C2A11"/>
    <w:rsid w:val="006C2DC5"/>
    <w:rsid w:val="006C3223"/>
    <w:rsid w:val="006C35E5"/>
    <w:rsid w:val="006C3820"/>
    <w:rsid w:val="006C3994"/>
    <w:rsid w:val="006C3A51"/>
    <w:rsid w:val="006C3BBF"/>
    <w:rsid w:val="006C3BD9"/>
    <w:rsid w:val="006C3C02"/>
    <w:rsid w:val="006C3CC6"/>
    <w:rsid w:val="006C3E9D"/>
    <w:rsid w:val="006C3EAB"/>
    <w:rsid w:val="006C4179"/>
    <w:rsid w:val="006C4235"/>
    <w:rsid w:val="006C4374"/>
    <w:rsid w:val="006C4C80"/>
    <w:rsid w:val="006C4F35"/>
    <w:rsid w:val="006C4FCA"/>
    <w:rsid w:val="006C5250"/>
    <w:rsid w:val="006C5306"/>
    <w:rsid w:val="006C55B4"/>
    <w:rsid w:val="006C5690"/>
    <w:rsid w:val="006C5AAA"/>
    <w:rsid w:val="006C5D21"/>
    <w:rsid w:val="006C5D5E"/>
    <w:rsid w:val="006C5DF9"/>
    <w:rsid w:val="006C64CF"/>
    <w:rsid w:val="006C6A3D"/>
    <w:rsid w:val="006C7337"/>
    <w:rsid w:val="006C7A1D"/>
    <w:rsid w:val="006C7C50"/>
    <w:rsid w:val="006C7DF1"/>
    <w:rsid w:val="006D012E"/>
    <w:rsid w:val="006D028F"/>
    <w:rsid w:val="006D057B"/>
    <w:rsid w:val="006D073B"/>
    <w:rsid w:val="006D127D"/>
    <w:rsid w:val="006D1520"/>
    <w:rsid w:val="006D15A4"/>
    <w:rsid w:val="006D15F2"/>
    <w:rsid w:val="006D15FE"/>
    <w:rsid w:val="006D16E0"/>
    <w:rsid w:val="006D1845"/>
    <w:rsid w:val="006D1E82"/>
    <w:rsid w:val="006D233A"/>
    <w:rsid w:val="006D2378"/>
    <w:rsid w:val="006D24FF"/>
    <w:rsid w:val="006D2571"/>
    <w:rsid w:val="006D26A8"/>
    <w:rsid w:val="006D27EE"/>
    <w:rsid w:val="006D27F0"/>
    <w:rsid w:val="006D301F"/>
    <w:rsid w:val="006D31B4"/>
    <w:rsid w:val="006D36D6"/>
    <w:rsid w:val="006D393A"/>
    <w:rsid w:val="006D3AA1"/>
    <w:rsid w:val="006D3DD7"/>
    <w:rsid w:val="006D437E"/>
    <w:rsid w:val="006D44BD"/>
    <w:rsid w:val="006D4517"/>
    <w:rsid w:val="006D45F6"/>
    <w:rsid w:val="006D4C4C"/>
    <w:rsid w:val="006D4F39"/>
    <w:rsid w:val="006D503F"/>
    <w:rsid w:val="006D50F1"/>
    <w:rsid w:val="006D5376"/>
    <w:rsid w:val="006D5691"/>
    <w:rsid w:val="006D5C49"/>
    <w:rsid w:val="006D5C68"/>
    <w:rsid w:val="006D5ECF"/>
    <w:rsid w:val="006D601D"/>
    <w:rsid w:val="006D6699"/>
    <w:rsid w:val="006D68A9"/>
    <w:rsid w:val="006D6D72"/>
    <w:rsid w:val="006D736E"/>
    <w:rsid w:val="006D73ED"/>
    <w:rsid w:val="006D77FC"/>
    <w:rsid w:val="006E00D8"/>
    <w:rsid w:val="006E033C"/>
    <w:rsid w:val="006E03A0"/>
    <w:rsid w:val="006E03A8"/>
    <w:rsid w:val="006E06BF"/>
    <w:rsid w:val="006E0732"/>
    <w:rsid w:val="006E09AA"/>
    <w:rsid w:val="006E0C68"/>
    <w:rsid w:val="006E124C"/>
    <w:rsid w:val="006E1351"/>
    <w:rsid w:val="006E16D2"/>
    <w:rsid w:val="006E192B"/>
    <w:rsid w:val="006E19C6"/>
    <w:rsid w:val="006E1C47"/>
    <w:rsid w:val="006E1C4A"/>
    <w:rsid w:val="006E21FB"/>
    <w:rsid w:val="006E22A8"/>
    <w:rsid w:val="006E2466"/>
    <w:rsid w:val="006E2790"/>
    <w:rsid w:val="006E2C4A"/>
    <w:rsid w:val="006E3657"/>
    <w:rsid w:val="006E3767"/>
    <w:rsid w:val="006E3AD6"/>
    <w:rsid w:val="006E3D6C"/>
    <w:rsid w:val="006E3E39"/>
    <w:rsid w:val="006E40FF"/>
    <w:rsid w:val="006E42FA"/>
    <w:rsid w:val="006E433A"/>
    <w:rsid w:val="006E4BDD"/>
    <w:rsid w:val="006E4C02"/>
    <w:rsid w:val="006E560F"/>
    <w:rsid w:val="006E593F"/>
    <w:rsid w:val="006E5B9A"/>
    <w:rsid w:val="006E6011"/>
    <w:rsid w:val="006E6680"/>
    <w:rsid w:val="006E6AC7"/>
    <w:rsid w:val="006E6ECC"/>
    <w:rsid w:val="006E7105"/>
    <w:rsid w:val="006E7788"/>
    <w:rsid w:val="006E788F"/>
    <w:rsid w:val="006E7A92"/>
    <w:rsid w:val="006E7DD6"/>
    <w:rsid w:val="006F03C2"/>
    <w:rsid w:val="006F0417"/>
    <w:rsid w:val="006F0470"/>
    <w:rsid w:val="006F08D3"/>
    <w:rsid w:val="006F09E2"/>
    <w:rsid w:val="006F0D6C"/>
    <w:rsid w:val="006F0F0E"/>
    <w:rsid w:val="006F12E4"/>
    <w:rsid w:val="006F137E"/>
    <w:rsid w:val="006F15AF"/>
    <w:rsid w:val="006F1807"/>
    <w:rsid w:val="006F1A3D"/>
    <w:rsid w:val="006F1BD2"/>
    <w:rsid w:val="006F1E64"/>
    <w:rsid w:val="006F2070"/>
    <w:rsid w:val="006F21B6"/>
    <w:rsid w:val="006F2441"/>
    <w:rsid w:val="006F2C82"/>
    <w:rsid w:val="006F3369"/>
    <w:rsid w:val="006F34C1"/>
    <w:rsid w:val="006F423B"/>
    <w:rsid w:val="006F468F"/>
    <w:rsid w:val="006F49AE"/>
    <w:rsid w:val="006F4DC6"/>
    <w:rsid w:val="006F52B0"/>
    <w:rsid w:val="006F532F"/>
    <w:rsid w:val="006F5463"/>
    <w:rsid w:val="006F57E5"/>
    <w:rsid w:val="006F5A49"/>
    <w:rsid w:val="006F5C74"/>
    <w:rsid w:val="006F5CBD"/>
    <w:rsid w:val="006F645E"/>
    <w:rsid w:val="006F6486"/>
    <w:rsid w:val="006F6696"/>
    <w:rsid w:val="006F6702"/>
    <w:rsid w:val="006F6D2E"/>
    <w:rsid w:val="006F768B"/>
    <w:rsid w:val="006F7693"/>
    <w:rsid w:val="006F77F4"/>
    <w:rsid w:val="006F7835"/>
    <w:rsid w:val="006F7A69"/>
    <w:rsid w:val="006F7C21"/>
    <w:rsid w:val="006F7F16"/>
    <w:rsid w:val="0070006B"/>
    <w:rsid w:val="00700126"/>
    <w:rsid w:val="00700681"/>
    <w:rsid w:val="00700965"/>
    <w:rsid w:val="00700AD3"/>
    <w:rsid w:val="00700B7D"/>
    <w:rsid w:val="00700BC2"/>
    <w:rsid w:val="00700CB0"/>
    <w:rsid w:val="0070112D"/>
    <w:rsid w:val="00701136"/>
    <w:rsid w:val="007012A0"/>
    <w:rsid w:val="007012D7"/>
    <w:rsid w:val="00701377"/>
    <w:rsid w:val="007015AE"/>
    <w:rsid w:val="007016A9"/>
    <w:rsid w:val="00701705"/>
    <w:rsid w:val="00701998"/>
    <w:rsid w:val="00701B90"/>
    <w:rsid w:val="00701EB0"/>
    <w:rsid w:val="00702180"/>
    <w:rsid w:val="00702E2C"/>
    <w:rsid w:val="00702EFC"/>
    <w:rsid w:val="00703096"/>
    <w:rsid w:val="0070369F"/>
    <w:rsid w:val="00703930"/>
    <w:rsid w:val="00703C51"/>
    <w:rsid w:val="00704485"/>
    <w:rsid w:val="00704950"/>
    <w:rsid w:val="00704AE3"/>
    <w:rsid w:val="00704CAE"/>
    <w:rsid w:val="00704DCB"/>
    <w:rsid w:val="0070510E"/>
    <w:rsid w:val="00705147"/>
    <w:rsid w:val="00705231"/>
    <w:rsid w:val="007054B6"/>
    <w:rsid w:val="007054C1"/>
    <w:rsid w:val="0070554C"/>
    <w:rsid w:val="00705FE5"/>
    <w:rsid w:val="0070668A"/>
    <w:rsid w:val="0070691A"/>
    <w:rsid w:val="00707010"/>
    <w:rsid w:val="00707025"/>
    <w:rsid w:val="0070706B"/>
    <w:rsid w:val="007073EE"/>
    <w:rsid w:val="0070748B"/>
    <w:rsid w:val="007076BC"/>
    <w:rsid w:val="007076F1"/>
    <w:rsid w:val="0070789A"/>
    <w:rsid w:val="00707E86"/>
    <w:rsid w:val="00710219"/>
    <w:rsid w:val="007102D6"/>
    <w:rsid w:val="00710609"/>
    <w:rsid w:val="0071082C"/>
    <w:rsid w:val="00710E78"/>
    <w:rsid w:val="00711078"/>
    <w:rsid w:val="00711990"/>
    <w:rsid w:val="007121AF"/>
    <w:rsid w:val="0071256A"/>
    <w:rsid w:val="00712813"/>
    <w:rsid w:val="00712AD4"/>
    <w:rsid w:val="00712F3A"/>
    <w:rsid w:val="00713199"/>
    <w:rsid w:val="00713995"/>
    <w:rsid w:val="00713C44"/>
    <w:rsid w:val="00713DBC"/>
    <w:rsid w:val="00713DE8"/>
    <w:rsid w:val="00714057"/>
    <w:rsid w:val="00714131"/>
    <w:rsid w:val="007145AC"/>
    <w:rsid w:val="007145CC"/>
    <w:rsid w:val="0071490C"/>
    <w:rsid w:val="00714938"/>
    <w:rsid w:val="00714A25"/>
    <w:rsid w:val="00714F81"/>
    <w:rsid w:val="00715024"/>
    <w:rsid w:val="007150E1"/>
    <w:rsid w:val="007154DC"/>
    <w:rsid w:val="00715673"/>
    <w:rsid w:val="00715852"/>
    <w:rsid w:val="00715BD1"/>
    <w:rsid w:val="00715E6F"/>
    <w:rsid w:val="00715FE7"/>
    <w:rsid w:val="007161D6"/>
    <w:rsid w:val="007164DE"/>
    <w:rsid w:val="007164FF"/>
    <w:rsid w:val="007167FA"/>
    <w:rsid w:val="00716E21"/>
    <w:rsid w:val="00717047"/>
    <w:rsid w:val="00717069"/>
    <w:rsid w:val="007179EB"/>
    <w:rsid w:val="00720007"/>
    <w:rsid w:val="0072020A"/>
    <w:rsid w:val="0072087D"/>
    <w:rsid w:val="007209D0"/>
    <w:rsid w:val="007211FD"/>
    <w:rsid w:val="00721563"/>
    <w:rsid w:val="007219BC"/>
    <w:rsid w:val="00721DD6"/>
    <w:rsid w:val="00722507"/>
    <w:rsid w:val="00722581"/>
    <w:rsid w:val="0072273E"/>
    <w:rsid w:val="007228A1"/>
    <w:rsid w:val="00722E65"/>
    <w:rsid w:val="00722F44"/>
    <w:rsid w:val="00722F68"/>
    <w:rsid w:val="0072317D"/>
    <w:rsid w:val="00723486"/>
    <w:rsid w:val="00723551"/>
    <w:rsid w:val="007235ED"/>
    <w:rsid w:val="00724141"/>
    <w:rsid w:val="00724199"/>
    <w:rsid w:val="007241EC"/>
    <w:rsid w:val="00724E94"/>
    <w:rsid w:val="007251F2"/>
    <w:rsid w:val="00725309"/>
    <w:rsid w:val="007253C9"/>
    <w:rsid w:val="0072585D"/>
    <w:rsid w:val="00725979"/>
    <w:rsid w:val="00725C4C"/>
    <w:rsid w:val="00725C65"/>
    <w:rsid w:val="00725DA3"/>
    <w:rsid w:val="00725E31"/>
    <w:rsid w:val="0072650E"/>
    <w:rsid w:val="00726599"/>
    <w:rsid w:val="00726A9D"/>
    <w:rsid w:val="00726B84"/>
    <w:rsid w:val="00727012"/>
    <w:rsid w:val="007272B4"/>
    <w:rsid w:val="007274ED"/>
    <w:rsid w:val="0072798C"/>
    <w:rsid w:val="00727A29"/>
    <w:rsid w:val="00727AE1"/>
    <w:rsid w:val="00727CB3"/>
    <w:rsid w:val="00727CDA"/>
    <w:rsid w:val="00727CEF"/>
    <w:rsid w:val="00727F53"/>
    <w:rsid w:val="00727F70"/>
    <w:rsid w:val="007301AE"/>
    <w:rsid w:val="0073077B"/>
    <w:rsid w:val="0073097A"/>
    <w:rsid w:val="00730B02"/>
    <w:rsid w:val="00730B3E"/>
    <w:rsid w:val="00731077"/>
    <w:rsid w:val="00731167"/>
    <w:rsid w:val="007311D9"/>
    <w:rsid w:val="0073172E"/>
    <w:rsid w:val="00731AF0"/>
    <w:rsid w:val="00731CA1"/>
    <w:rsid w:val="007321C2"/>
    <w:rsid w:val="00732469"/>
    <w:rsid w:val="00732500"/>
    <w:rsid w:val="00732561"/>
    <w:rsid w:val="0073297D"/>
    <w:rsid w:val="007330BD"/>
    <w:rsid w:val="00733395"/>
    <w:rsid w:val="007334C2"/>
    <w:rsid w:val="0073369E"/>
    <w:rsid w:val="0073426B"/>
    <w:rsid w:val="00734E80"/>
    <w:rsid w:val="0073533B"/>
    <w:rsid w:val="00735382"/>
    <w:rsid w:val="007356EB"/>
    <w:rsid w:val="00735941"/>
    <w:rsid w:val="0073623E"/>
    <w:rsid w:val="0073631A"/>
    <w:rsid w:val="00736740"/>
    <w:rsid w:val="007368A5"/>
    <w:rsid w:val="007369B6"/>
    <w:rsid w:val="00736B65"/>
    <w:rsid w:val="00736DC3"/>
    <w:rsid w:val="00736F1B"/>
    <w:rsid w:val="00737217"/>
    <w:rsid w:val="007372C5"/>
    <w:rsid w:val="0073768A"/>
    <w:rsid w:val="00737893"/>
    <w:rsid w:val="007378B7"/>
    <w:rsid w:val="00737977"/>
    <w:rsid w:val="00737CA0"/>
    <w:rsid w:val="00737FF5"/>
    <w:rsid w:val="00740102"/>
    <w:rsid w:val="0074011D"/>
    <w:rsid w:val="007402B3"/>
    <w:rsid w:val="0074032A"/>
    <w:rsid w:val="007405E3"/>
    <w:rsid w:val="007409C4"/>
    <w:rsid w:val="00740DEE"/>
    <w:rsid w:val="0074157B"/>
    <w:rsid w:val="00741F3C"/>
    <w:rsid w:val="00742013"/>
    <w:rsid w:val="0074224C"/>
    <w:rsid w:val="007422BA"/>
    <w:rsid w:val="00742356"/>
    <w:rsid w:val="007426E1"/>
    <w:rsid w:val="00742A04"/>
    <w:rsid w:val="00742A91"/>
    <w:rsid w:val="00742B8D"/>
    <w:rsid w:val="00743229"/>
    <w:rsid w:val="00743885"/>
    <w:rsid w:val="00743F88"/>
    <w:rsid w:val="0074456A"/>
    <w:rsid w:val="007448D1"/>
    <w:rsid w:val="007451F4"/>
    <w:rsid w:val="0074530A"/>
    <w:rsid w:val="0074530D"/>
    <w:rsid w:val="00745323"/>
    <w:rsid w:val="00745497"/>
    <w:rsid w:val="007458E5"/>
    <w:rsid w:val="00745FA1"/>
    <w:rsid w:val="007464B5"/>
    <w:rsid w:val="00746A4D"/>
    <w:rsid w:val="00746C62"/>
    <w:rsid w:val="00746E82"/>
    <w:rsid w:val="007474D2"/>
    <w:rsid w:val="007474F2"/>
    <w:rsid w:val="0074758C"/>
    <w:rsid w:val="00747682"/>
    <w:rsid w:val="007477AF"/>
    <w:rsid w:val="00747934"/>
    <w:rsid w:val="00747DB9"/>
    <w:rsid w:val="00747EB6"/>
    <w:rsid w:val="00747FDC"/>
    <w:rsid w:val="007503DC"/>
    <w:rsid w:val="007505C7"/>
    <w:rsid w:val="00750AD5"/>
    <w:rsid w:val="00750B25"/>
    <w:rsid w:val="00750BF4"/>
    <w:rsid w:val="00750E40"/>
    <w:rsid w:val="00750E8B"/>
    <w:rsid w:val="007510AF"/>
    <w:rsid w:val="007513EC"/>
    <w:rsid w:val="00751C4C"/>
    <w:rsid w:val="00751E25"/>
    <w:rsid w:val="00751E7E"/>
    <w:rsid w:val="00752002"/>
    <w:rsid w:val="00752667"/>
    <w:rsid w:val="0075275D"/>
    <w:rsid w:val="007528D5"/>
    <w:rsid w:val="00752A35"/>
    <w:rsid w:val="00752B97"/>
    <w:rsid w:val="00752DCD"/>
    <w:rsid w:val="00752E72"/>
    <w:rsid w:val="00752E87"/>
    <w:rsid w:val="00753C8C"/>
    <w:rsid w:val="007542E9"/>
    <w:rsid w:val="0075437D"/>
    <w:rsid w:val="00754876"/>
    <w:rsid w:val="00755697"/>
    <w:rsid w:val="0075589D"/>
    <w:rsid w:val="007559A1"/>
    <w:rsid w:val="00755A0B"/>
    <w:rsid w:val="00755B7D"/>
    <w:rsid w:val="00755CE7"/>
    <w:rsid w:val="00756287"/>
    <w:rsid w:val="00756320"/>
    <w:rsid w:val="00756377"/>
    <w:rsid w:val="007565B5"/>
    <w:rsid w:val="00756CBF"/>
    <w:rsid w:val="00757047"/>
    <w:rsid w:val="007570E8"/>
    <w:rsid w:val="0075721F"/>
    <w:rsid w:val="0075786E"/>
    <w:rsid w:val="00757A46"/>
    <w:rsid w:val="00757A67"/>
    <w:rsid w:val="00757F71"/>
    <w:rsid w:val="00760B7C"/>
    <w:rsid w:val="00760C60"/>
    <w:rsid w:val="0076124B"/>
    <w:rsid w:val="0076151D"/>
    <w:rsid w:val="00761668"/>
    <w:rsid w:val="00761785"/>
    <w:rsid w:val="00761B66"/>
    <w:rsid w:val="00761BDA"/>
    <w:rsid w:val="00761F62"/>
    <w:rsid w:val="00762013"/>
    <w:rsid w:val="0076209A"/>
    <w:rsid w:val="0076240C"/>
    <w:rsid w:val="00762B7A"/>
    <w:rsid w:val="00762BBD"/>
    <w:rsid w:val="00762C50"/>
    <w:rsid w:val="00763090"/>
    <w:rsid w:val="007637D4"/>
    <w:rsid w:val="0076387A"/>
    <w:rsid w:val="00764677"/>
    <w:rsid w:val="007649C3"/>
    <w:rsid w:val="00765770"/>
    <w:rsid w:val="00765A2B"/>
    <w:rsid w:val="00765CB7"/>
    <w:rsid w:val="00765E0F"/>
    <w:rsid w:val="007660F0"/>
    <w:rsid w:val="007666AD"/>
    <w:rsid w:val="0076685E"/>
    <w:rsid w:val="00766DCE"/>
    <w:rsid w:val="0076761C"/>
    <w:rsid w:val="00767840"/>
    <w:rsid w:val="007701BD"/>
    <w:rsid w:val="0077054D"/>
    <w:rsid w:val="00770903"/>
    <w:rsid w:val="00770A0C"/>
    <w:rsid w:val="00770F6F"/>
    <w:rsid w:val="007710A8"/>
    <w:rsid w:val="007718CB"/>
    <w:rsid w:val="00771EBA"/>
    <w:rsid w:val="00771FD3"/>
    <w:rsid w:val="00772740"/>
    <w:rsid w:val="00772B7F"/>
    <w:rsid w:val="00772E7B"/>
    <w:rsid w:val="00773046"/>
    <w:rsid w:val="0077305D"/>
    <w:rsid w:val="0077306F"/>
    <w:rsid w:val="0077318B"/>
    <w:rsid w:val="0077324B"/>
    <w:rsid w:val="007739EA"/>
    <w:rsid w:val="00773A40"/>
    <w:rsid w:val="00773A80"/>
    <w:rsid w:val="00773C5E"/>
    <w:rsid w:val="00773CCA"/>
    <w:rsid w:val="00774015"/>
    <w:rsid w:val="00774389"/>
    <w:rsid w:val="00774B42"/>
    <w:rsid w:val="00774E6F"/>
    <w:rsid w:val="00775352"/>
    <w:rsid w:val="0077546D"/>
    <w:rsid w:val="00775562"/>
    <w:rsid w:val="00775CEA"/>
    <w:rsid w:val="00775D73"/>
    <w:rsid w:val="00775F97"/>
    <w:rsid w:val="00776260"/>
    <w:rsid w:val="007763AF"/>
    <w:rsid w:val="0077678E"/>
    <w:rsid w:val="0077694A"/>
    <w:rsid w:val="00776A5E"/>
    <w:rsid w:val="00776C34"/>
    <w:rsid w:val="00776EE7"/>
    <w:rsid w:val="00776F29"/>
    <w:rsid w:val="00777AF1"/>
    <w:rsid w:val="00777B88"/>
    <w:rsid w:val="00777C6B"/>
    <w:rsid w:val="00777CE0"/>
    <w:rsid w:val="00777F43"/>
    <w:rsid w:val="00780064"/>
    <w:rsid w:val="0078015C"/>
    <w:rsid w:val="007804BE"/>
    <w:rsid w:val="00780A0B"/>
    <w:rsid w:val="00780C5B"/>
    <w:rsid w:val="00780E7D"/>
    <w:rsid w:val="00780F19"/>
    <w:rsid w:val="00780F89"/>
    <w:rsid w:val="00780FBB"/>
    <w:rsid w:val="007810E6"/>
    <w:rsid w:val="00781248"/>
    <w:rsid w:val="007814F4"/>
    <w:rsid w:val="00781753"/>
    <w:rsid w:val="007819D6"/>
    <w:rsid w:val="00781E65"/>
    <w:rsid w:val="00782033"/>
    <w:rsid w:val="007826D8"/>
    <w:rsid w:val="007829DE"/>
    <w:rsid w:val="00782D27"/>
    <w:rsid w:val="00782E2A"/>
    <w:rsid w:val="0078320B"/>
    <w:rsid w:val="0078342A"/>
    <w:rsid w:val="00783491"/>
    <w:rsid w:val="007834B9"/>
    <w:rsid w:val="00783833"/>
    <w:rsid w:val="00783A3A"/>
    <w:rsid w:val="00783B54"/>
    <w:rsid w:val="00784196"/>
    <w:rsid w:val="00784403"/>
    <w:rsid w:val="00784540"/>
    <w:rsid w:val="007845E9"/>
    <w:rsid w:val="00784A63"/>
    <w:rsid w:val="00784B7F"/>
    <w:rsid w:val="00784F72"/>
    <w:rsid w:val="007858C2"/>
    <w:rsid w:val="00785C08"/>
    <w:rsid w:val="00785FB3"/>
    <w:rsid w:val="00786217"/>
    <w:rsid w:val="007864B7"/>
    <w:rsid w:val="007868B6"/>
    <w:rsid w:val="00786CB0"/>
    <w:rsid w:val="00786FCA"/>
    <w:rsid w:val="00787346"/>
    <w:rsid w:val="00787487"/>
    <w:rsid w:val="0078765E"/>
    <w:rsid w:val="00787674"/>
    <w:rsid w:val="007876BD"/>
    <w:rsid w:val="00787A13"/>
    <w:rsid w:val="00787C13"/>
    <w:rsid w:val="00787CF8"/>
    <w:rsid w:val="00790341"/>
    <w:rsid w:val="0079047C"/>
    <w:rsid w:val="0079087D"/>
    <w:rsid w:val="00790F6B"/>
    <w:rsid w:val="0079105C"/>
    <w:rsid w:val="007913F8"/>
    <w:rsid w:val="00791D33"/>
    <w:rsid w:val="00791D97"/>
    <w:rsid w:val="00791E81"/>
    <w:rsid w:val="007922C7"/>
    <w:rsid w:val="0079298F"/>
    <w:rsid w:val="00792A09"/>
    <w:rsid w:val="00792A37"/>
    <w:rsid w:val="00792D89"/>
    <w:rsid w:val="007934BB"/>
    <w:rsid w:val="007937A2"/>
    <w:rsid w:val="0079380D"/>
    <w:rsid w:val="0079390F"/>
    <w:rsid w:val="00793922"/>
    <w:rsid w:val="00793956"/>
    <w:rsid w:val="00793B33"/>
    <w:rsid w:val="00793BC4"/>
    <w:rsid w:val="00793DD8"/>
    <w:rsid w:val="00793FE2"/>
    <w:rsid w:val="007942FB"/>
    <w:rsid w:val="007945E4"/>
    <w:rsid w:val="00794600"/>
    <w:rsid w:val="00794C18"/>
    <w:rsid w:val="0079580B"/>
    <w:rsid w:val="0079582E"/>
    <w:rsid w:val="007958D6"/>
    <w:rsid w:val="007960DF"/>
    <w:rsid w:val="007966CC"/>
    <w:rsid w:val="0079678E"/>
    <w:rsid w:val="007967D3"/>
    <w:rsid w:val="00796878"/>
    <w:rsid w:val="007968A2"/>
    <w:rsid w:val="00796994"/>
    <w:rsid w:val="00796BD7"/>
    <w:rsid w:val="00796DB6"/>
    <w:rsid w:val="007971A1"/>
    <w:rsid w:val="00797611"/>
    <w:rsid w:val="00797AFE"/>
    <w:rsid w:val="00797DDD"/>
    <w:rsid w:val="00797E3F"/>
    <w:rsid w:val="007A0254"/>
    <w:rsid w:val="007A0417"/>
    <w:rsid w:val="007A07D4"/>
    <w:rsid w:val="007A0BCD"/>
    <w:rsid w:val="007A0C97"/>
    <w:rsid w:val="007A0CB4"/>
    <w:rsid w:val="007A0E84"/>
    <w:rsid w:val="007A1085"/>
    <w:rsid w:val="007A14AB"/>
    <w:rsid w:val="007A156F"/>
    <w:rsid w:val="007A1632"/>
    <w:rsid w:val="007A1780"/>
    <w:rsid w:val="007A1900"/>
    <w:rsid w:val="007A1E4D"/>
    <w:rsid w:val="007A211F"/>
    <w:rsid w:val="007A2138"/>
    <w:rsid w:val="007A21D8"/>
    <w:rsid w:val="007A2250"/>
    <w:rsid w:val="007A2559"/>
    <w:rsid w:val="007A280F"/>
    <w:rsid w:val="007A2ABA"/>
    <w:rsid w:val="007A2B52"/>
    <w:rsid w:val="007A2D8B"/>
    <w:rsid w:val="007A2DFA"/>
    <w:rsid w:val="007A2E7B"/>
    <w:rsid w:val="007A3328"/>
    <w:rsid w:val="007A37A6"/>
    <w:rsid w:val="007A3892"/>
    <w:rsid w:val="007A39E3"/>
    <w:rsid w:val="007A3E9B"/>
    <w:rsid w:val="007A43F0"/>
    <w:rsid w:val="007A4822"/>
    <w:rsid w:val="007A5049"/>
    <w:rsid w:val="007A5142"/>
    <w:rsid w:val="007A526E"/>
    <w:rsid w:val="007A52E9"/>
    <w:rsid w:val="007A5793"/>
    <w:rsid w:val="007A5BC5"/>
    <w:rsid w:val="007A5C41"/>
    <w:rsid w:val="007A5D58"/>
    <w:rsid w:val="007A5EBE"/>
    <w:rsid w:val="007A5FA6"/>
    <w:rsid w:val="007A62B7"/>
    <w:rsid w:val="007A635D"/>
    <w:rsid w:val="007A64C1"/>
    <w:rsid w:val="007A6982"/>
    <w:rsid w:val="007A69B4"/>
    <w:rsid w:val="007A6F39"/>
    <w:rsid w:val="007A720A"/>
    <w:rsid w:val="007A7463"/>
    <w:rsid w:val="007A752A"/>
    <w:rsid w:val="007A765D"/>
    <w:rsid w:val="007A796D"/>
    <w:rsid w:val="007A7D90"/>
    <w:rsid w:val="007B02FB"/>
    <w:rsid w:val="007B091A"/>
    <w:rsid w:val="007B0A0D"/>
    <w:rsid w:val="007B0C68"/>
    <w:rsid w:val="007B0F9E"/>
    <w:rsid w:val="007B1135"/>
    <w:rsid w:val="007B1510"/>
    <w:rsid w:val="007B1B95"/>
    <w:rsid w:val="007B1C7B"/>
    <w:rsid w:val="007B1CD1"/>
    <w:rsid w:val="007B21B5"/>
    <w:rsid w:val="007B278A"/>
    <w:rsid w:val="007B287A"/>
    <w:rsid w:val="007B2946"/>
    <w:rsid w:val="007B2A40"/>
    <w:rsid w:val="007B2B11"/>
    <w:rsid w:val="007B387A"/>
    <w:rsid w:val="007B3ABD"/>
    <w:rsid w:val="007B3BFD"/>
    <w:rsid w:val="007B41FC"/>
    <w:rsid w:val="007B423C"/>
    <w:rsid w:val="007B43DA"/>
    <w:rsid w:val="007B481E"/>
    <w:rsid w:val="007B4904"/>
    <w:rsid w:val="007B4ADF"/>
    <w:rsid w:val="007B4AF2"/>
    <w:rsid w:val="007B4AFF"/>
    <w:rsid w:val="007B4BC2"/>
    <w:rsid w:val="007B4C69"/>
    <w:rsid w:val="007B4ED9"/>
    <w:rsid w:val="007B5398"/>
    <w:rsid w:val="007B53AA"/>
    <w:rsid w:val="007B5813"/>
    <w:rsid w:val="007B587D"/>
    <w:rsid w:val="007B5B1A"/>
    <w:rsid w:val="007B5B6F"/>
    <w:rsid w:val="007B5D61"/>
    <w:rsid w:val="007B5D74"/>
    <w:rsid w:val="007B5F02"/>
    <w:rsid w:val="007B615F"/>
    <w:rsid w:val="007B61EE"/>
    <w:rsid w:val="007B624D"/>
    <w:rsid w:val="007B6270"/>
    <w:rsid w:val="007B62AC"/>
    <w:rsid w:val="007B67B4"/>
    <w:rsid w:val="007B6980"/>
    <w:rsid w:val="007B6B49"/>
    <w:rsid w:val="007B71CF"/>
    <w:rsid w:val="007B73B0"/>
    <w:rsid w:val="007B7547"/>
    <w:rsid w:val="007B786F"/>
    <w:rsid w:val="007B79E1"/>
    <w:rsid w:val="007B7C41"/>
    <w:rsid w:val="007B7F7D"/>
    <w:rsid w:val="007C092F"/>
    <w:rsid w:val="007C0FBE"/>
    <w:rsid w:val="007C128A"/>
    <w:rsid w:val="007C134A"/>
    <w:rsid w:val="007C135A"/>
    <w:rsid w:val="007C1501"/>
    <w:rsid w:val="007C1536"/>
    <w:rsid w:val="007C16A4"/>
    <w:rsid w:val="007C1CB9"/>
    <w:rsid w:val="007C1FEB"/>
    <w:rsid w:val="007C2389"/>
    <w:rsid w:val="007C25A7"/>
    <w:rsid w:val="007C27DF"/>
    <w:rsid w:val="007C28D9"/>
    <w:rsid w:val="007C29DC"/>
    <w:rsid w:val="007C2BB0"/>
    <w:rsid w:val="007C2E4C"/>
    <w:rsid w:val="007C2E9A"/>
    <w:rsid w:val="007C2EA9"/>
    <w:rsid w:val="007C30CC"/>
    <w:rsid w:val="007C31CC"/>
    <w:rsid w:val="007C3428"/>
    <w:rsid w:val="007C39A0"/>
    <w:rsid w:val="007C3BDF"/>
    <w:rsid w:val="007C3E91"/>
    <w:rsid w:val="007C44F5"/>
    <w:rsid w:val="007C44FE"/>
    <w:rsid w:val="007C4AED"/>
    <w:rsid w:val="007C4BB9"/>
    <w:rsid w:val="007C4C7A"/>
    <w:rsid w:val="007C4F01"/>
    <w:rsid w:val="007C4FB4"/>
    <w:rsid w:val="007C513E"/>
    <w:rsid w:val="007C5183"/>
    <w:rsid w:val="007C58F0"/>
    <w:rsid w:val="007C5A5A"/>
    <w:rsid w:val="007C5E86"/>
    <w:rsid w:val="007C6D0C"/>
    <w:rsid w:val="007C6F1E"/>
    <w:rsid w:val="007C6F7A"/>
    <w:rsid w:val="007C7293"/>
    <w:rsid w:val="007C7793"/>
    <w:rsid w:val="007C7F04"/>
    <w:rsid w:val="007D0409"/>
    <w:rsid w:val="007D0B84"/>
    <w:rsid w:val="007D0F92"/>
    <w:rsid w:val="007D1048"/>
    <w:rsid w:val="007D11CC"/>
    <w:rsid w:val="007D13DD"/>
    <w:rsid w:val="007D14B3"/>
    <w:rsid w:val="007D1EF4"/>
    <w:rsid w:val="007D2044"/>
    <w:rsid w:val="007D2130"/>
    <w:rsid w:val="007D23B1"/>
    <w:rsid w:val="007D25C8"/>
    <w:rsid w:val="007D2669"/>
    <w:rsid w:val="007D2744"/>
    <w:rsid w:val="007D27E6"/>
    <w:rsid w:val="007D29B5"/>
    <w:rsid w:val="007D2C91"/>
    <w:rsid w:val="007D2D88"/>
    <w:rsid w:val="007D31D0"/>
    <w:rsid w:val="007D3338"/>
    <w:rsid w:val="007D38D7"/>
    <w:rsid w:val="007D3A86"/>
    <w:rsid w:val="007D3CC8"/>
    <w:rsid w:val="007D3F52"/>
    <w:rsid w:val="007D40D1"/>
    <w:rsid w:val="007D45DB"/>
    <w:rsid w:val="007D48FD"/>
    <w:rsid w:val="007D4A97"/>
    <w:rsid w:val="007D4E66"/>
    <w:rsid w:val="007D4FF2"/>
    <w:rsid w:val="007D515E"/>
    <w:rsid w:val="007D5291"/>
    <w:rsid w:val="007D587A"/>
    <w:rsid w:val="007D5B66"/>
    <w:rsid w:val="007D5E9F"/>
    <w:rsid w:val="007D6343"/>
    <w:rsid w:val="007D6398"/>
    <w:rsid w:val="007D67B2"/>
    <w:rsid w:val="007D6B62"/>
    <w:rsid w:val="007D6D40"/>
    <w:rsid w:val="007D70E1"/>
    <w:rsid w:val="007D72DB"/>
    <w:rsid w:val="007D7673"/>
    <w:rsid w:val="007D767A"/>
    <w:rsid w:val="007D79A9"/>
    <w:rsid w:val="007D79FB"/>
    <w:rsid w:val="007D7BDE"/>
    <w:rsid w:val="007D7CC8"/>
    <w:rsid w:val="007D7D26"/>
    <w:rsid w:val="007D7FEE"/>
    <w:rsid w:val="007E010D"/>
    <w:rsid w:val="007E0291"/>
    <w:rsid w:val="007E047A"/>
    <w:rsid w:val="007E04BC"/>
    <w:rsid w:val="007E04F8"/>
    <w:rsid w:val="007E076B"/>
    <w:rsid w:val="007E0C78"/>
    <w:rsid w:val="007E0EE6"/>
    <w:rsid w:val="007E0FAA"/>
    <w:rsid w:val="007E1632"/>
    <w:rsid w:val="007E1CE8"/>
    <w:rsid w:val="007E1D21"/>
    <w:rsid w:val="007E1D7A"/>
    <w:rsid w:val="007E1DAF"/>
    <w:rsid w:val="007E1F90"/>
    <w:rsid w:val="007E2005"/>
    <w:rsid w:val="007E29BC"/>
    <w:rsid w:val="007E29D0"/>
    <w:rsid w:val="007E2F2A"/>
    <w:rsid w:val="007E37D1"/>
    <w:rsid w:val="007E3B5D"/>
    <w:rsid w:val="007E4007"/>
    <w:rsid w:val="007E419A"/>
    <w:rsid w:val="007E422D"/>
    <w:rsid w:val="007E46E0"/>
    <w:rsid w:val="007E4758"/>
    <w:rsid w:val="007E4AD1"/>
    <w:rsid w:val="007E4C7E"/>
    <w:rsid w:val="007E4C80"/>
    <w:rsid w:val="007E4D91"/>
    <w:rsid w:val="007E5C88"/>
    <w:rsid w:val="007E6051"/>
    <w:rsid w:val="007E634B"/>
    <w:rsid w:val="007E641D"/>
    <w:rsid w:val="007E6680"/>
    <w:rsid w:val="007E6950"/>
    <w:rsid w:val="007E6A1C"/>
    <w:rsid w:val="007E7483"/>
    <w:rsid w:val="007E74F8"/>
    <w:rsid w:val="007E78D1"/>
    <w:rsid w:val="007E7F18"/>
    <w:rsid w:val="007F01B4"/>
    <w:rsid w:val="007F09DD"/>
    <w:rsid w:val="007F0C74"/>
    <w:rsid w:val="007F106E"/>
    <w:rsid w:val="007F11A0"/>
    <w:rsid w:val="007F1285"/>
    <w:rsid w:val="007F134B"/>
    <w:rsid w:val="007F140F"/>
    <w:rsid w:val="007F192B"/>
    <w:rsid w:val="007F1E0E"/>
    <w:rsid w:val="007F21E3"/>
    <w:rsid w:val="007F26AE"/>
    <w:rsid w:val="007F278C"/>
    <w:rsid w:val="007F2951"/>
    <w:rsid w:val="007F2B03"/>
    <w:rsid w:val="007F2E70"/>
    <w:rsid w:val="007F2E9C"/>
    <w:rsid w:val="007F2F6F"/>
    <w:rsid w:val="007F332A"/>
    <w:rsid w:val="007F3458"/>
    <w:rsid w:val="007F3626"/>
    <w:rsid w:val="007F3799"/>
    <w:rsid w:val="007F397B"/>
    <w:rsid w:val="007F3A4B"/>
    <w:rsid w:val="007F3E6F"/>
    <w:rsid w:val="007F41F8"/>
    <w:rsid w:val="007F448E"/>
    <w:rsid w:val="007F4879"/>
    <w:rsid w:val="007F4A7A"/>
    <w:rsid w:val="007F4AB3"/>
    <w:rsid w:val="007F4DC0"/>
    <w:rsid w:val="007F4E2E"/>
    <w:rsid w:val="007F544B"/>
    <w:rsid w:val="007F5623"/>
    <w:rsid w:val="007F5AFF"/>
    <w:rsid w:val="007F5C1C"/>
    <w:rsid w:val="007F61BB"/>
    <w:rsid w:val="007F61C3"/>
    <w:rsid w:val="007F63FF"/>
    <w:rsid w:val="007F65DC"/>
    <w:rsid w:val="007F69C4"/>
    <w:rsid w:val="007F6A49"/>
    <w:rsid w:val="007F6A56"/>
    <w:rsid w:val="007F6ABD"/>
    <w:rsid w:val="007F6D50"/>
    <w:rsid w:val="007F6DCC"/>
    <w:rsid w:val="007F6DF0"/>
    <w:rsid w:val="007F709D"/>
    <w:rsid w:val="007F7242"/>
    <w:rsid w:val="007F7272"/>
    <w:rsid w:val="007F739A"/>
    <w:rsid w:val="007F7433"/>
    <w:rsid w:val="007F7690"/>
    <w:rsid w:val="007F76FA"/>
    <w:rsid w:val="007F78A3"/>
    <w:rsid w:val="007F79C1"/>
    <w:rsid w:val="007F7F25"/>
    <w:rsid w:val="008007A6"/>
    <w:rsid w:val="00801B65"/>
    <w:rsid w:val="0080274E"/>
    <w:rsid w:val="00802867"/>
    <w:rsid w:val="00802AFE"/>
    <w:rsid w:val="00802BD9"/>
    <w:rsid w:val="00803188"/>
    <w:rsid w:val="0080334D"/>
    <w:rsid w:val="00803975"/>
    <w:rsid w:val="00803A74"/>
    <w:rsid w:val="00803A77"/>
    <w:rsid w:val="00803FBF"/>
    <w:rsid w:val="00804045"/>
    <w:rsid w:val="0080422F"/>
    <w:rsid w:val="00804694"/>
    <w:rsid w:val="00804CE1"/>
    <w:rsid w:val="008052C6"/>
    <w:rsid w:val="00805887"/>
    <w:rsid w:val="00805CA9"/>
    <w:rsid w:val="00805CB1"/>
    <w:rsid w:val="00806688"/>
    <w:rsid w:val="00806C33"/>
    <w:rsid w:val="00806E05"/>
    <w:rsid w:val="008071A8"/>
    <w:rsid w:val="00807351"/>
    <w:rsid w:val="008074CB"/>
    <w:rsid w:val="00807746"/>
    <w:rsid w:val="0080774C"/>
    <w:rsid w:val="00807F43"/>
    <w:rsid w:val="008100C5"/>
    <w:rsid w:val="008100EF"/>
    <w:rsid w:val="0081033A"/>
    <w:rsid w:val="0081038B"/>
    <w:rsid w:val="00810599"/>
    <w:rsid w:val="00810ABA"/>
    <w:rsid w:val="00810B0E"/>
    <w:rsid w:val="00810B6B"/>
    <w:rsid w:val="00811055"/>
    <w:rsid w:val="00812044"/>
    <w:rsid w:val="00812205"/>
    <w:rsid w:val="00812CDC"/>
    <w:rsid w:val="00812CEE"/>
    <w:rsid w:val="00812FDE"/>
    <w:rsid w:val="0081308E"/>
    <w:rsid w:val="00813A87"/>
    <w:rsid w:val="00813C76"/>
    <w:rsid w:val="00813F39"/>
    <w:rsid w:val="00814033"/>
    <w:rsid w:val="0081442D"/>
    <w:rsid w:val="008152EA"/>
    <w:rsid w:val="008152F0"/>
    <w:rsid w:val="00815657"/>
    <w:rsid w:val="008158B4"/>
    <w:rsid w:val="00815AD3"/>
    <w:rsid w:val="00815BCB"/>
    <w:rsid w:val="00815EC5"/>
    <w:rsid w:val="00815F24"/>
    <w:rsid w:val="008161F8"/>
    <w:rsid w:val="008165C4"/>
    <w:rsid w:val="00816E6A"/>
    <w:rsid w:val="008172EF"/>
    <w:rsid w:val="0081756C"/>
    <w:rsid w:val="008177DE"/>
    <w:rsid w:val="00817C29"/>
    <w:rsid w:val="00817D32"/>
    <w:rsid w:val="00820073"/>
    <w:rsid w:val="00820277"/>
    <w:rsid w:val="0082039D"/>
    <w:rsid w:val="0082044A"/>
    <w:rsid w:val="008207FF"/>
    <w:rsid w:val="00820C9F"/>
    <w:rsid w:val="00820EE7"/>
    <w:rsid w:val="00820F58"/>
    <w:rsid w:val="008210C8"/>
    <w:rsid w:val="008213B9"/>
    <w:rsid w:val="00821440"/>
    <w:rsid w:val="00821527"/>
    <w:rsid w:val="00821A3A"/>
    <w:rsid w:val="00821B35"/>
    <w:rsid w:val="00821F69"/>
    <w:rsid w:val="00822159"/>
    <w:rsid w:val="00822632"/>
    <w:rsid w:val="00822819"/>
    <w:rsid w:val="008228EA"/>
    <w:rsid w:val="008231FD"/>
    <w:rsid w:val="00823AB8"/>
    <w:rsid w:val="00823CCB"/>
    <w:rsid w:val="00823DE4"/>
    <w:rsid w:val="00824043"/>
    <w:rsid w:val="008246C6"/>
    <w:rsid w:val="00824A59"/>
    <w:rsid w:val="00824DE4"/>
    <w:rsid w:val="00824E5A"/>
    <w:rsid w:val="00824FEE"/>
    <w:rsid w:val="00825306"/>
    <w:rsid w:val="00825A85"/>
    <w:rsid w:val="00825E9B"/>
    <w:rsid w:val="00826010"/>
    <w:rsid w:val="008262AF"/>
    <w:rsid w:val="00826458"/>
    <w:rsid w:val="008265F4"/>
    <w:rsid w:val="00826654"/>
    <w:rsid w:val="0082681E"/>
    <w:rsid w:val="00826D4C"/>
    <w:rsid w:val="00826FFF"/>
    <w:rsid w:val="00827982"/>
    <w:rsid w:val="00827A7B"/>
    <w:rsid w:val="00827C33"/>
    <w:rsid w:val="00827C3E"/>
    <w:rsid w:val="00827DAE"/>
    <w:rsid w:val="008304DA"/>
    <w:rsid w:val="00830DC2"/>
    <w:rsid w:val="00830DE3"/>
    <w:rsid w:val="00830EE0"/>
    <w:rsid w:val="00830F8E"/>
    <w:rsid w:val="008312CA"/>
    <w:rsid w:val="008314AE"/>
    <w:rsid w:val="0083157B"/>
    <w:rsid w:val="0083162D"/>
    <w:rsid w:val="008316BD"/>
    <w:rsid w:val="008318D0"/>
    <w:rsid w:val="00831C1D"/>
    <w:rsid w:val="00831E1C"/>
    <w:rsid w:val="00831ECB"/>
    <w:rsid w:val="00832D24"/>
    <w:rsid w:val="00832D34"/>
    <w:rsid w:val="00832EAF"/>
    <w:rsid w:val="00832F84"/>
    <w:rsid w:val="00833452"/>
    <w:rsid w:val="008334E4"/>
    <w:rsid w:val="008335B2"/>
    <w:rsid w:val="00833841"/>
    <w:rsid w:val="0083385E"/>
    <w:rsid w:val="00833862"/>
    <w:rsid w:val="008338A7"/>
    <w:rsid w:val="00833AA0"/>
    <w:rsid w:val="00833C04"/>
    <w:rsid w:val="008340EE"/>
    <w:rsid w:val="008346E7"/>
    <w:rsid w:val="00834896"/>
    <w:rsid w:val="0083489C"/>
    <w:rsid w:val="00834916"/>
    <w:rsid w:val="00834C89"/>
    <w:rsid w:val="00835136"/>
    <w:rsid w:val="00835717"/>
    <w:rsid w:val="008357CC"/>
    <w:rsid w:val="00835869"/>
    <w:rsid w:val="00835BA1"/>
    <w:rsid w:val="008360AC"/>
    <w:rsid w:val="008364D7"/>
    <w:rsid w:val="008364FE"/>
    <w:rsid w:val="00836730"/>
    <w:rsid w:val="00836A9E"/>
    <w:rsid w:val="00836E0C"/>
    <w:rsid w:val="00836E7C"/>
    <w:rsid w:val="00837278"/>
    <w:rsid w:val="008375B2"/>
    <w:rsid w:val="0083783F"/>
    <w:rsid w:val="00837997"/>
    <w:rsid w:val="00837EEB"/>
    <w:rsid w:val="00837F47"/>
    <w:rsid w:val="008407C7"/>
    <w:rsid w:val="0084093E"/>
    <w:rsid w:val="00840CDD"/>
    <w:rsid w:val="008413C8"/>
    <w:rsid w:val="00841414"/>
    <w:rsid w:val="00841481"/>
    <w:rsid w:val="008422FA"/>
    <w:rsid w:val="00842738"/>
    <w:rsid w:val="0084277C"/>
    <w:rsid w:val="00842F72"/>
    <w:rsid w:val="0084305A"/>
    <w:rsid w:val="0084324D"/>
    <w:rsid w:val="00843842"/>
    <w:rsid w:val="00843A54"/>
    <w:rsid w:val="00843D9F"/>
    <w:rsid w:val="0084407F"/>
    <w:rsid w:val="00844407"/>
    <w:rsid w:val="00844548"/>
    <w:rsid w:val="00844BA2"/>
    <w:rsid w:val="00844BE9"/>
    <w:rsid w:val="008451CD"/>
    <w:rsid w:val="0084581F"/>
    <w:rsid w:val="008458FD"/>
    <w:rsid w:val="00845B50"/>
    <w:rsid w:val="00845B52"/>
    <w:rsid w:val="00846241"/>
    <w:rsid w:val="008468C6"/>
    <w:rsid w:val="00846C63"/>
    <w:rsid w:val="0084753D"/>
    <w:rsid w:val="00847741"/>
    <w:rsid w:val="008477E4"/>
    <w:rsid w:val="008478B6"/>
    <w:rsid w:val="0085010C"/>
    <w:rsid w:val="0085041C"/>
    <w:rsid w:val="008504F1"/>
    <w:rsid w:val="008506AD"/>
    <w:rsid w:val="008506F0"/>
    <w:rsid w:val="0085096C"/>
    <w:rsid w:val="00850D2E"/>
    <w:rsid w:val="0085125A"/>
    <w:rsid w:val="00851455"/>
    <w:rsid w:val="0085164A"/>
    <w:rsid w:val="0085169F"/>
    <w:rsid w:val="008516AF"/>
    <w:rsid w:val="00851758"/>
    <w:rsid w:val="00851EA0"/>
    <w:rsid w:val="0085241C"/>
    <w:rsid w:val="008528A8"/>
    <w:rsid w:val="008529A8"/>
    <w:rsid w:val="008529B0"/>
    <w:rsid w:val="00852A61"/>
    <w:rsid w:val="00852D73"/>
    <w:rsid w:val="00852F20"/>
    <w:rsid w:val="00852FCC"/>
    <w:rsid w:val="008534DA"/>
    <w:rsid w:val="008536CA"/>
    <w:rsid w:val="008537B3"/>
    <w:rsid w:val="00853853"/>
    <w:rsid w:val="00853928"/>
    <w:rsid w:val="0085394F"/>
    <w:rsid w:val="008542D9"/>
    <w:rsid w:val="008543DD"/>
    <w:rsid w:val="008544E8"/>
    <w:rsid w:val="008544F5"/>
    <w:rsid w:val="0085458F"/>
    <w:rsid w:val="00854817"/>
    <w:rsid w:val="00854BE7"/>
    <w:rsid w:val="00854E1F"/>
    <w:rsid w:val="00854E62"/>
    <w:rsid w:val="00854F12"/>
    <w:rsid w:val="00855951"/>
    <w:rsid w:val="008559BA"/>
    <w:rsid w:val="00855BE9"/>
    <w:rsid w:val="00855C5B"/>
    <w:rsid w:val="00856690"/>
    <w:rsid w:val="008567D4"/>
    <w:rsid w:val="008567E6"/>
    <w:rsid w:val="008568D4"/>
    <w:rsid w:val="00856D11"/>
    <w:rsid w:val="00856EA9"/>
    <w:rsid w:val="00856F91"/>
    <w:rsid w:val="00857081"/>
    <w:rsid w:val="008570E8"/>
    <w:rsid w:val="008573A1"/>
    <w:rsid w:val="00857BA6"/>
    <w:rsid w:val="00857C2C"/>
    <w:rsid w:val="0086043A"/>
    <w:rsid w:val="0086046D"/>
    <w:rsid w:val="00860491"/>
    <w:rsid w:val="0086099C"/>
    <w:rsid w:val="00860BBF"/>
    <w:rsid w:val="00860DD5"/>
    <w:rsid w:val="00860E4B"/>
    <w:rsid w:val="00860EB5"/>
    <w:rsid w:val="00861406"/>
    <w:rsid w:val="0086161B"/>
    <w:rsid w:val="00861A70"/>
    <w:rsid w:val="00861AFB"/>
    <w:rsid w:val="00861DA5"/>
    <w:rsid w:val="0086202A"/>
    <w:rsid w:val="0086214C"/>
    <w:rsid w:val="00862B51"/>
    <w:rsid w:val="00862F99"/>
    <w:rsid w:val="0086319F"/>
    <w:rsid w:val="008632CB"/>
    <w:rsid w:val="0086343A"/>
    <w:rsid w:val="0086359C"/>
    <w:rsid w:val="00863663"/>
    <w:rsid w:val="008637F8"/>
    <w:rsid w:val="0086381A"/>
    <w:rsid w:val="00863C50"/>
    <w:rsid w:val="00863D76"/>
    <w:rsid w:val="00863D78"/>
    <w:rsid w:val="008640E8"/>
    <w:rsid w:val="00864256"/>
    <w:rsid w:val="00864374"/>
    <w:rsid w:val="008645BA"/>
    <w:rsid w:val="008647AB"/>
    <w:rsid w:val="00864965"/>
    <w:rsid w:val="00864BE4"/>
    <w:rsid w:val="00865010"/>
    <w:rsid w:val="0086554A"/>
    <w:rsid w:val="00865802"/>
    <w:rsid w:val="00865830"/>
    <w:rsid w:val="008662FC"/>
    <w:rsid w:val="00866495"/>
    <w:rsid w:val="0086677D"/>
    <w:rsid w:val="00866A6F"/>
    <w:rsid w:val="00866B0C"/>
    <w:rsid w:val="00866C14"/>
    <w:rsid w:val="00866D68"/>
    <w:rsid w:val="0086707B"/>
    <w:rsid w:val="0086712E"/>
    <w:rsid w:val="0086789F"/>
    <w:rsid w:val="008679C4"/>
    <w:rsid w:val="00867D42"/>
    <w:rsid w:val="00870221"/>
    <w:rsid w:val="0087025D"/>
    <w:rsid w:val="00870D3F"/>
    <w:rsid w:val="0087112A"/>
    <w:rsid w:val="008714EF"/>
    <w:rsid w:val="00871AAE"/>
    <w:rsid w:val="00872177"/>
    <w:rsid w:val="008721A4"/>
    <w:rsid w:val="008724CB"/>
    <w:rsid w:val="00872A44"/>
    <w:rsid w:val="00872A59"/>
    <w:rsid w:val="0087316D"/>
    <w:rsid w:val="00873241"/>
    <w:rsid w:val="00873329"/>
    <w:rsid w:val="008733C0"/>
    <w:rsid w:val="00873885"/>
    <w:rsid w:val="008743FB"/>
    <w:rsid w:val="008745B7"/>
    <w:rsid w:val="00874BBB"/>
    <w:rsid w:val="00874EF9"/>
    <w:rsid w:val="0087506A"/>
    <w:rsid w:val="00875352"/>
    <w:rsid w:val="0087549E"/>
    <w:rsid w:val="00875602"/>
    <w:rsid w:val="008758DE"/>
    <w:rsid w:val="00875A29"/>
    <w:rsid w:val="00875E7C"/>
    <w:rsid w:val="00875F94"/>
    <w:rsid w:val="00876059"/>
    <w:rsid w:val="0087607F"/>
    <w:rsid w:val="00876253"/>
    <w:rsid w:val="008764D0"/>
    <w:rsid w:val="0087661A"/>
    <w:rsid w:val="00876B18"/>
    <w:rsid w:val="00876CBF"/>
    <w:rsid w:val="00877515"/>
    <w:rsid w:val="008776CC"/>
    <w:rsid w:val="00877A58"/>
    <w:rsid w:val="008802F5"/>
    <w:rsid w:val="00880608"/>
    <w:rsid w:val="008809E8"/>
    <w:rsid w:val="00880F2E"/>
    <w:rsid w:val="00881307"/>
    <w:rsid w:val="00881C76"/>
    <w:rsid w:val="00881D0C"/>
    <w:rsid w:val="00881DE5"/>
    <w:rsid w:val="00881E3B"/>
    <w:rsid w:val="00881F51"/>
    <w:rsid w:val="00882100"/>
    <w:rsid w:val="00882589"/>
    <w:rsid w:val="00882808"/>
    <w:rsid w:val="008828E8"/>
    <w:rsid w:val="00882DA1"/>
    <w:rsid w:val="00883012"/>
    <w:rsid w:val="00883099"/>
    <w:rsid w:val="00883365"/>
    <w:rsid w:val="00883412"/>
    <w:rsid w:val="008836C9"/>
    <w:rsid w:val="008839C9"/>
    <w:rsid w:val="00883EA1"/>
    <w:rsid w:val="00884915"/>
    <w:rsid w:val="00884A7D"/>
    <w:rsid w:val="00884E31"/>
    <w:rsid w:val="00884FC6"/>
    <w:rsid w:val="0088544A"/>
    <w:rsid w:val="00885D37"/>
    <w:rsid w:val="00885D75"/>
    <w:rsid w:val="008860D5"/>
    <w:rsid w:val="008861C2"/>
    <w:rsid w:val="0088628C"/>
    <w:rsid w:val="0088636F"/>
    <w:rsid w:val="0088659E"/>
    <w:rsid w:val="00886662"/>
    <w:rsid w:val="00886B93"/>
    <w:rsid w:val="00886C00"/>
    <w:rsid w:val="00886CE3"/>
    <w:rsid w:val="00886D1A"/>
    <w:rsid w:val="00887069"/>
    <w:rsid w:val="00887A71"/>
    <w:rsid w:val="00887FB6"/>
    <w:rsid w:val="00890566"/>
    <w:rsid w:val="0089065F"/>
    <w:rsid w:val="00890684"/>
    <w:rsid w:val="008907C7"/>
    <w:rsid w:val="00890B35"/>
    <w:rsid w:val="00890BBA"/>
    <w:rsid w:val="00890DA0"/>
    <w:rsid w:val="00890E8B"/>
    <w:rsid w:val="00890FAE"/>
    <w:rsid w:val="008911D7"/>
    <w:rsid w:val="00891760"/>
    <w:rsid w:val="0089197C"/>
    <w:rsid w:val="00891DA0"/>
    <w:rsid w:val="00891F1F"/>
    <w:rsid w:val="00892532"/>
    <w:rsid w:val="00892683"/>
    <w:rsid w:val="00892A38"/>
    <w:rsid w:val="00893049"/>
    <w:rsid w:val="008936B3"/>
    <w:rsid w:val="00893A3A"/>
    <w:rsid w:val="00893AFE"/>
    <w:rsid w:val="00893BCD"/>
    <w:rsid w:val="00893D53"/>
    <w:rsid w:val="008942A5"/>
    <w:rsid w:val="00894415"/>
    <w:rsid w:val="00894626"/>
    <w:rsid w:val="008946F4"/>
    <w:rsid w:val="00894791"/>
    <w:rsid w:val="008947AA"/>
    <w:rsid w:val="00894D8C"/>
    <w:rsid w:val="00895053"/>
    <w:rsid w:val="008952E1"/>
    <w:rsid w:val="0089554F"/>
    <w:rsid w:val="008955ED"/>
    <w:rsid w:val="00895860"/>
    <w:rsid w:val="00895952"/>
    <w:rsid w:val="00895B84"/>
    <w:rsid w:val="00895CE3"/>
    <w:rsid w:val="0089689E"/>
    <w:rsid w:val="008972B8"/>
    <w:rsid w:val="008973BC"/>
    <w:rsid w:val="00897484"/>
    <w:rsid w:val="00897D4B"/>
    <w:rsid w:val="00897E41"/>
    <w:rsid w:val="00897E43"/>
    <w:rsid w:val="00897F6A"/>
    <w:rsid w:val="00897F6D"/>
    <w:rsid w:val="008A03FC"/>
    <w:rsid w:val="008A0814"/>
    <w:rsid w:val="008A0B4A"/>
    <w:rsid w:val="008A10FB"/>
    <w:rsid w:val="008A12C1"/>
    <w:rsid w:val="008A18FB"/>
    <w:rsid w:val="008A1CA9"/>
    <w:rsid w:val="008A1FA7"/>
    <w:rsid w:val="008A2165"/>
    <w:rsid w:val="008A2368"/>
    <w:rsid w:val="008A2541"/>
    <w:rsid w:val="008A261F"/>
    <w:rsid w:val="008A2659"/>
    <w:rsid w:val="008A2847"/>
    <w:rsid w:val="008A28D8"/>
    <w:rsid w:val="008A2D96"/>
    <w:rsid w:val="008A31CF"/>
    <w:rsid w:val="008A3207"/>
    <w:rsid w:val="008A35A5"/>
    <w:rsid w:val="008A3629"/>
    <w:rsid w:val="008A3668"/>
    <w:rsid w:val="008A36F8"/>
    <w:rsid w:val="008A4236"/>
    <w:rsid w:val="008A43D4"/>
    <w:rsid w:val="008A47BF"/>
    <w:rsid w:val="008A4A93"/>
    <w:rsid w:val="008A4C8F"/>
    <w:rsid w:val="008A4CDB"/>
    <w:rsid w:val="008A53B6"/>
    <w:rsid w:val="008A5667"/>
    <w:rsid w:val="008A5765"/>
    <w:rsid w:val="008A5ACD"/>
    <w:rsid w:val="008A5DDB"/>
    <w:rsid w:val="008A6196"/>
    <w:rsid w:val="008A6496"/>
    <w:rsid w:val="008A660D"/>
    <w:rsid w:val="008A6CCB"/>
    <w:rsid w:val="008A6E38"/>
    <w:rsid w:val="008A7260"/>
    <w:rsid w:val="008A751A"/>
    <w:rsid w:val="008A7553"/>
    <w:rsid w:val="008A7879"/>
    <w:rsid w:val="008B0418"/>
    <w:rsid w:val="008B06C0"/>
    <w:rsid w:val="008B087A"/>
    <w:rsid w:val="008B08FB"/>
    <w:rsid w:val="008B0A68"/>
    <w:rsid w:val="008B13CE"/>
    <w:rsid w:val="008B17EF"/>
    <w:rsid w:val="008B2A27"/>
    <w:rsid w:val="008B2B3C"/>
    <w:rsid w:val="008B2CED"/>
    <w:rsid w:val="008B2FA2"/>
    <w:rsid w:val="008B3345"/>
    <w:rsid w:val="008B3C92"/>
    <w:rsid w:val="008B3D75"/>
    <w:rsid w:val="008B3E6B"/>
    <w:rsid w:val="008B4010"/>
    <w:rsid w:val="008B47A9"/>
    <w:rsid w:val="008B49DE"/>
    <w:rsid w:val="008B4A0A"/>
    <w:rsid w:val="008B4C2A"/>
    <w:rsid w:val="008B4D07"/>
    <w:rsid w:val="008B57C9"/>
    <w:rsid w:val="008B5808"/>
    <w:rsid w:val="008B5BD9"/>
    <w:rsid w:val="008B6042"/>
    <w:rsid w:val="008B611E"/>
    <w:rsid w:val="008B61D1"/>
    <w:rsid w:val="008B632E"/>
    <w:rsid w:val="008B64B0"/>
    <w:rsid w:val="008B65CD"/>
    <w:rsid w:val="008B6621"/>
    <w:rsid w:val="008B668D"/>
    <w:rsid w:val="008B66D1"/>
    <w:rsid w:val="008B67C6"/>
    <w:rsid w:val="008B70C1"/>
    <w:rsid w:val="008B7101"/>
    <w:rsid w:val="008B72DF"/>
    <w:rsid w:val="008C017D"/>
    <w:rsid w:val="008C06CB"/>
    <w:rsid w:val="008C073A"/>
    <w:rsid w:val="008C0B50"/>
    <w:rsid w:val="008C0BE7"/>
    <w:rsid w:val="008C13BF"/>
    <w:rsid w:val="008C1499"/>
    <w:rsid w:val="008C154E"/>
    <w:rsid w:val="008C188E"/>
    <w:rsid w:val="008C1A64"/>
    <w:rsid w:val="008C1C1E"/>
    <w:rsid w:val="008C1E16"/>
    <w:rsid w:val="008C1FEB"/>
    <w:rsid w:val="008C2204"/>
    <w:rsid w:val="008C23C8"/>
    <w:rsid w:val="008C26D8"/>
    <w:rsid w:val="008C2B5C"/>
    <w:rsid w:val="008C2B6A"/>
    <w:rsid w:val="008C2BD8"/>
    <w:rsid w:val="008C2DEB"/>
    <w:rsid w:val="008C2ED9"/>
    <w:rsid w:val="008C2F8B"/>
    <w:rsid w:val="008C351A"/>
    <w:rsid w:val="008C35F9"/>
    <w:rsid w:val="008C3714"/>
    <w:rsid w:val="008C37D3"/>
    <w:rsid w:val="008C3CED"/>
    <w:rsid w:val="008C3DF8"/>
    <w:rsid w:val="008C4463"/>
    <w:rsid w:val="008C467A"/>
    <w:rsid w:val="008C49DA"/>
    <w:rsid w:val="008C4C56"/>
    <w:rsid w:val="008C515B"/>
    <w:rsid w:val="008C54CF"/>
    <w:rsid w:val="008C57C2"/>
    <w:rsid w:val="008C5E6E"/>
    <w:rsid w:val="008C603E"/>
    <w:rsid w:val="008C61D3"/>
    <w:rsid w:val="008C643B"/>
    <w:rsid w:val="008C67C4"/>
    <w:rsid w:val="008C6C92"/>
    <w:rsid w:val="008C6FC6"/>
    <w:rsid w:val="008C707C"/>
    <w:rsid w:val="008C7225"/>
    <w:rsid w:val="008C7615"/>
    <w:rsid w:val="008C77B2"/>
    <w:rsid w:val="008C788B"/>
    <w:rsid w:val="008C7974"/>
    <w:rsid w:val="008C7F1C"/>
    <w:rsid w:val="008D005F"/>
    <w:rsid w:val="008D00B5"/>
    <w:rsid w:val="008D0647"/>
    <w:rsid w:val="008D06B3"/>
    <w:rsid w:val="008D06E9"/>
    <w:rsid w:val="008D08D4"/>
    <w:rsid w:val="008D0C4E"/>
    <w:rsid w:val="008D130C"/>
    <w:rsid w:val="008D145D"/>
    <w:rsid w:val="008D1488"/>
    <w:rsid w:val="008D15AB"/>
    <w:rsid w:val="008D16AF"/>
    <w:rsid w:val="008D1CF5"/>
    <w:rsid w:val="008D1D7C"/>
    <w:rsid w:val="008D1DEF"/>
    <w:rsid w:val="008D20A6"/>
    <w:rsid w:val="008D2DE5"/>
    <w:rsid w:val="008D31C5"/>
    <w:rsid w:val="008D37F0"/>
    <w:rsid w:val="008D38EC"/>
    <w:rsid w:val="008D39DB"/>
    <w:rsid w:val="008D3BB1"/>
    <w:rsid w:val="008D3F7D"/>
    <w:rsid w:val="008D41AA"/>
    <w:rsid w:val="008D42C9"/>
    <w:rsid w:val="008D42E0"/>
    <w:rsid w:val="008D436A"/>
    <w:rsid w:val="008D445E"/>
    <w:rsid w:val="008D4775"/>
    <w:rsid w:val="008D4961"/>
    <w:rsid w:val="008D4DF9"/>
    <w:rsid w:val="008D5265"/>
    <w:rsid w:val="008D5456"/>
    <w:rsid w:val="008D5631"/>
    <w:rsid w:val="008D56F8"/>
    <w:rsid w:val="008D58D0"/>
    <w:rsid w:val="008D597B"/>
    <w:rsid w:val="008D5B8F"/>
    <w:rsid w:val="008D5DE7"/>
    <w:rsid w:val="008D60B6"/>
    <w:rsid w:val="008D60E6"/>
    <w:rsid w:val="008D67AA"/>
    <w:rsid w:val="008D69E5"/>
    <w:rsid w:val="008D6AA9"/>
    <w:rsid w:val="008D6F6D"/>
    <w:rsid w:val="008D745C"/>
    <w:rsid w:val="008D7691"/>
    <w:rsid w:val="008D771B"/>
    <w:rsid w:val="008D7C8E"/>
    <w:rsid w:val="008D7CE1"/>
    <w:rsid w:val="008D7D98"/>
    <w:rsid w:val="008E01CF"/>
    <w:rsid w:val="008E0269"/>
    <w:rsid w:val="008E03C5"/>
    <w:rsid w:val="008E08BF"/>
    <w:rsid w:val="008E0B94"/>
    <w:rsid w:val="008E0D12"/>
    <w:rsid w:val="008E0D22"/>
    <w:rsid w:val="008E0F21"/>
    <w:rsid w:val="008E0FEE"/>
    <w:rsid w:val="008E1E9F"/>
    <w:rsid w:val="008E2191"/>
    <w:rsid w:val="008E2332"/>
    <w:rsid w:val="008E23C4"/>
    <w:rsid w:val="008E27EC"/>
    <w:rsid w:val="008E280E"/>
    <w:rsid w:val="008E2A47"/>
    <w:rsid w:val="008E2BEF"/>
    <w:rsid w:val="008E2BFE"/>
    <w:rsid w:val="008E2C31"/>
    <w:rsid w:val="008E2C3F"/>
    <w:rsid w:val="008E32ED"/>
    <w:rsid w:val="008E3AA0"/>
    <w:rsid w:val="008E3B17"/>
    <w:rsid w:val="008E3C32"/>
    <w:rsid w:val="008E3E15"/>
    <w:rsid w:val="008E4030"/>
    <w:rsid w:val="008E408B"/>
    <w:rsid w:val="008E4584"/>
    <w:rsid w:val="008E496D"/>
    <w:rsid w:val="008E4AAA"/>
    <w:rsid w:val="008E4B12"/>
    <w:rsid w:val="008E4C4E"/>
    <w:rsid w:val="008E52B0"/>
    <w:rsid w:val="008E55C1"/>
    <w:rsid w:val="008E58E8"/>
    <w:rsid w:val="008E5945"/>
    <w:rsid w:val="008E5E4B"/>
    <w:rsid w:val="008E5F35"/>
    <w:rsid w:val="008E620E"/>
    <w:rsid w:val="008E62B4"/>
    <w:rsid w:val="008E6416"/>
    <w:rsid w:val="008E64F0"/>
    <w:rsid w:val="008E698A"/>
    <w:rsid w:val="008E6DAB"/>
    <w:rsid w:val="008E7343"/>
    <w:rsid w:val="008E7398"/>
    <w:rsid w:val="008E7569"/>
    <w:rsid w:val="008E7B93"/>
    <w:rsid w:val="008E7D7D"/>
    <w:rsid w:val="008F021D"/>
    <w:rsid w:val="008F0220"/>
    <w:rsid w:val="008F02B8"/>
    <w:rsid w:val="008F039D"/>
    <w:rsid w:val="008F0737"/>
    <w:rsid w:val="008F073F"/>
    <w:rsid w:val="008F07BC"/>
    <w:rsid w:val="008F0902"/>
    <w:rsid w:val="008F0986"/>
    <w:rsid w:val="008F0B59"/>
    <w:rsid w:val="008F1148"/>
    <w:rsid w:val="008F19BE"/>
    <w:rsid w:val="008F1BE4"/>
    <w:rsid w:val="008F1E7D"/>
    <w:rsid w:val="008F20C1"/>
    <w:rsid w:val="008F240C"/>
    <w:rsid w:val="008F24C3"/>
    <w:rsid w:val="008F2797"/>
    <w:rsid w:val="008F27E6"/>
    <w:rsid w:val="008F2D9A"/>
    <w:rsid w:val="008F34AA"/>
    <w:rsid w:val="008F354D"/>
    <w:rsid w:val="008F3E30"/>
    <w:rsid w:val="008F444B"/>
    <w:rsid w:val="008F44AE"/>
    <w:rsid w:val="008F4529"/>
    <w:rsid w:val="008F45CA"/>
    <w:rsid w:val="008F4BAF"/>
    <w:rsid w:val="008F5025"/>
    <w:rsid w:val="008F6106"/>
    <w:rsid w:val="008F6273"/>
    <w:rsid w:val="008F6364"/>
    <w:rsid w:val="008F6D66"/>
    <w:rsid w:val="008F6E85"/>
    <w:rsid w:val="008F7053"/>
    <w:rsid w:val="008F73F8"/>
    <w:rsid w:val="008F7443"/>
    <w:rsid w:val="008F7451"/>
    <w:rsid w:val="008F76E0"/>
    <w:rsid w:val="008F7952"/>
    <w:rsid w:val="008F7BA0"/>
    <w:rsid w:val="008F7BD2"/>
    <w:rsid w:val="008F7D42"/>
    <w:rsid w:val="00900403"/>
    <w:rsid w:val="00900B82"/>
    <w:rsid w:val="00900D09"/>
    <w:rsid w:val="0090140E"/>
    <w:rsid w:val="0090143E"/>
    <w:rsid w:val="00901595"/>
    <w:rsid w:val="00901AB5"/>
    <w:rsid w:val="00901EEB"/>
    <w:rsid w:val="0090232A"/>
    <w:rsid w:val="00902365"/>
    <w:rsid w:val="00902D8C"/>
    <w:rsid w:val="00903019"/>
    <w:rsid w:val="00903418"/>
    <w:rsid w:val="009036F3"/>
    <w:rsid w:val="00903720"/>
    <w:rsid w:val="009037EB"/>
    <w:rsid w:val="00903F1E"/>
    <w:rsid w:val="00903F30"/>
    <w:rsid w:val="00903FF1"/>
    <w:rsid w:val="00904683"/>
    <w:rsid w:val="00904881"/>
    <w:rsid w:val="00905677"/>
    <w:rsid w:val="00905BF4"/>
    <w:rsid w:val="009064DA"/>
    <w:rsid w:val="00906609"/>
    <w:rsid w:val="0090663F"/>
    <w:rsid w:val="00907349"/>
    <w:rsid w:val="009074C4"/>
    <w:rsid w:val="009076AE"/>
    <w:rsid w:val="009077DA"/>
    <w:rsid w:val="00907A58"/>
    <w:rsid w:val="00910000"/>
    <w:rsid w:val="009100CC"/>
    <w:rsid w:val="0091035B"/>
    <w:rsid w:val="0091094E"/>
    <w:rsid w:val="009109D5"/>
    <w:rsid w:val="00910A45"/>
    <w:rsid w:val="00910DBF"/>
    <w:rsid w:val="00910E16"/>
    <w:rsid w:val="00911843"/>
    <w:rsid w:val="00911D6F"/>
    <w:rsid w:val="00911EAA"/>
    <w:rsid w:val="00911F19"/>
    <w:rsid w:val="00912274"/>
    <w:rsid w:val="009122E4"/>
    <w:rsid w:val="0091247E"/>
    <w:rsid w:val="00912573"/>
    <w:rsid w:val="00912CA5"/>
    <w:rsid w:val="00912D24"/>
    <w:rsid w:val="00912E1C"/>
    <w:rsid w:val="009133DA"/>
    <w:rsid w:val="009134B9"/>
    <w:rsid w:val="00913AC0"/>
    <w:rsid w:val="00913C04"/>
    <w:rsid w:val="00914470"/>
    <w:rsid w:val="009144F5"/>
    <w:rsid w:val="00914746"/>
    <w:rsid w:val="00915015"/>
    <w:rsid w:val="00915194"/>
    <w:rsid w:val="00915561"/>
    <w:rsid w:val="009156F6"/>
    <w:rsid w:val="009158CB"/>
    <w:rsid w:val="0091687F"/>
    <w:rsid w:val="00916E0E"/>
    <w:rsid w:val="00917003"/>
    <w:rsid w:val="00917032"/>
    <w:rsid w:val="009170BF"/>
    <w:rsid w:val="00917230"/>
    <w:rsid w:val="00917463"/>
    <w:rsid w:val="009179FF"/>
    <w:rsid w:val="00917A9E"/>
    <w:rsid w:val="00917D83"/>
    <w:rsid w:val="009205F3"/>
    <w:rsid w:val="00920603"/>
    <w:rsid w:val="00920A30"/>
    <w:rsid w:val="00920C10"/>
    <w:rsid w:val="00920F1F"/>
    <w:rsid w:val="009212DF"/>
    <w:rsid w:val="0092147F"/>
    <w:rsid w:val="009216DA"/>
    <w:rsid w:val="00921752"/>
    <w:rsid w:val="00921919"/>
    <w:rsid w:val="00921EAB"/>
    <w:rsid w:val="00921F9C"/>
    <w:rsid w:val="00921FCE"/>
    <w:rsid w:val="009222B8"/>
    <w:rsid w:val="00922629"/>
    <w:rsid w:val="00922687"/>
    <w:rsid w:val="009226B3"/>
    <w:rsid w:val="00922852"/>
    <w:rsid w:val="00922F40"/>
    <w:rsid w:val="009231BD"/>
    <w:rsid w:val="00923A27"/>
    <w:rsid w:val="009241EC"/>
    <w:rsid w:val="009246C4"/>
    <w:rsid w:val="00924C0B"/>
    <w:rsid w:val="00924C3A"/>
    <w:rsid w:val="00924C88"/>
    <w:rsid w:val="00924D65"/>
    <w:rsid w:val="00924E16"/>
    <w:rsid w:val="00924EAC"/>
    <w:rsid w:val="00924FC7"/>
    <w:rsid w:val="00924FDE"/>
    <w:rsid w:val="00925202"/>
    <w:rsid w:val="0092540B"/>
    <w:rsid w:val="0092546F"/>
    <w:rsid w:val="00925713"/>
    <w:rsid w:val="00925846"/>
    <w:rsid w:val="0092597F"/>
    <w:rsid w:val="00925D7E"/>
    <w:rsid w:val="0092609D"/>
    <w:rsid w:val="00926611"/>
    <w:rsid w:val="00926627"/>
    <w:rsid w:val="009267BC"/>
    <w:rsid w:val="00926952"/>
    <w:rsid w:val="00926B72"/>
    <w:rsid w:val="00926CCD"/>
    <w:rsid w:val="00926F63"/>
    <w:rsid w:val="00927787"/>
    <w:rsid w:val="009277C9"/>
    <w:rsid w:val="00927828"/>
    <w:rsid w:val="009278F7"/>
    <w:rsid w:val="00927A0A"/>
    <w:rsid w:val="009302F5"/>
    <w:rsid w:val="0093042F"/>
    <w:rsid w:val="009309A9"/>
    <w:rsid w:val="00930B4E"/>
    <w:rsid w:val="00930B7A"/>
    <w:rsid w:val="00930DEE"/>
    <w:rsid w:val="00930EF6"/>
    <w:rsid w:val="0093115D"/>
    <w:rsid w:val="009312F6"/>
    <w:rsid w:val="00931376"/>
    <w:rsid w:val="009314C7"/>
    <w:rsid w:val="009316B2"/>
    <w:rsid w:val="00931AD4"/>
    <w:rsid w:val="00931DA0"/>
    <w:rsid w:val="00931E02"/>
    <w:rsid w:val="00931F3E"/>
    <w:rsid w:val="0093236D"/>
    <w:rsid w:val="00932A6E"/>
    <w:rsid w:val="00932C37"/>
    <w:rsid w:val="00933567"/>
    <w:rsid w:val="009335E9"/>
    <w:rsid w:val="009335FF"/>
    <w:rsid w:val="00933652"/>
    <w:rsid w:val="009336C7"/>
    <w:rsid w:val="009336F8"/>
    <w:rsid w:val="00933897"/>
    <w:rsid w:val="0093392A"/>
    <w:rsid w:val="009342CF"/>
    <w:rsid w:val="009343FE"/>
    <w:rsid w:val="00934421"/>
    <w:rsid w:val="00934477"/>
    <w:rsid w:val="009345A8"/>
    <w:rsid w:val="0093466E"/>
    <w:rsid w:val="00934A8E"/>
    <w:rsid w:val="00934C36"/>
    <w:rsid w:val="009352DB"/>
    <w:rsid w:val="00935837"/>
    <w:rsid w:val="00935899"/>
    <w:rsid w:val="00935A2E"/>
    <w:rsid w:val="00935D5E"/>
    <w:rsid w:val="00935EE4"/>
    <w:rsid w:val="0093663C"/>
    <w:rsid w:val="00936887"/>
    <w:rsid w:val="009368B4"/>
    <w:rsid w:val="00936BDC"/>
    <w:rsid w:val="00936D0A"/>
    <w:rsid w:val="00936DBD"/>
    <w:rsid w:val="009370F1"/>
    <w:rsid w:val="009374BF"/>
    <w:rsid w:val="00937696"/>
    <w:rsid w:val="00937AA7"/>
    <w:rsid w:val="00937EEC"/>
    <w:rsid w:val="0094094E"/>
    <w:rsid w:val="00940954"/>
    <w:rsid w:val="00940CCE"/>
    <w:rsid w:val="00940D52"/>
    <w:rsid w:val="00940DB9"/>
    <w:rsid w:val="00941200"/>
    <w:rsid w:val="009412BC"/>
    <w:rsid w:val="009412E3"/>
    <w:rsid w:val="00941749"/>
    <w:rsid w:val="00941797"/>
    <w:rsid w:val="009417AF"/>
    <w:rsid w:val="00941B04"/>
    <w:rsid w:val="00942089"/>
    <w:rsid w:val="009420E5"/>
    <w:rsid w:val="00942AA4"/>
    <w:rsid w:val="00942B36"/>
    <w:rsid w:val="00942E71"/>
    <w:rsid w:val="009430E4"/>
    <w:rsid w:val="009434C4"/>
    <w:rsid w:val="00943599"/>
    <w:rsid w:val="00943DC2"/>
    <w:rsid w:val="00944833"/>
    <w:rsid w:val="0094494C"/>
    <w:rsid w:val="00944C40"/>
    <w:rsid w:val="0094500B"/>
    <w:rsid w:val="00945050"/>
    <w:rsid w:val="00945164"/>
    <w:rsid w:val="00945505"/>
    <w:rsid w:val="0094553D"/>
    <w:rsid w:val="009455AE"/>
    <w:rsid w:val="0094567B"/>
    <w:rsid w:val="00945B6E"/>
    <w:rsid w:val="0094619A"/>
    <w:rsid w:val="009462C2"/>
    <w:rsid w:val="009463A0"/>
    <w:rsid w:val="0094657C"/>
    <w:rsid w:val="009467D6"/>
    <w:rsid w:val="009468CA"/>
    <w:rsid w:val="00946976"/>
    <w:rsid w:val="00946AC6"/>
    <w:rsid w:val="0094729D"/>
    <w:rsid w:val="009474D9"/>
    <w:rsid w:val="00947867"/>
    <w:rsid w:val="009478EB"/>
    <w:rsid w:val="00947DD5"/>
    <w:rsid w:val="00947FD0"/>
    <w:rsid w:val="009503B6"/>
    <w:rsid w:val="00950469"/>
    <w:rsid w:val="009505EE"/>
    <w:rsid w:val="00950A16"/>
    <w:rsid w:val="00950D04"/>
    <w:rsid w:val="00950E46"/>
    <w:rsid w:val="00950E75"/>
    <w:rsid w:val="00951226"/>
    <w:rsid w:val="0095139A"/>
    <w:rsid w:val="009513D4"/>
    <w:rsid w:val="0095174D"/>
    <w:rsid w:val="00951796"/>
    <w:rsid w:val="00951A4B"/>
    <w:rsid w:val="00951E6E"/>
    <w:rsid w:val="0095205B"/>
    <w:rsid w:val="009521F2"/>
    <w:rsid w:val="00952233"/>
    <w:rsid w:val="009523F5"/>
    <w:rsid w:val="00952B4A"/>
    <w:rsid w:val="00952D1E"/>
    <w:rsid w:val="00952DFF"/>
    <w:rsid w:val="00952E78"/>
    <w:rsid w:val="00952E88"/>
    <w:rsid w:val="009532E0"/>
    <w:rsid w:val="00953468"/>
    <w:rsid w:val="0095357A"/>
    <w:rsid w:val="00953BC3"/>
    <w:rsid w:val="00953F70"/>
    <w:rsid w:val="00954184"/>
    <w:rsid w:val="009544AC"/>
    <w:rsid w:val="00954548"/>
    <w:rsid w:val="0095473A"/>
    <w:rsid w:val="00954E1C"/>
    <w:rsid w:val="00954F21"/>
    <w:rsid w:val="0095500D"/>
    <w:rsid w:val="00955015"/>
    <w:rsid w:val="00955081"/>
    <w:rsid w:val="0095539A"/>
    <w:rsid w:val="009553D8"/>
    <w:rsid w:val="009558CD"/>
    <w:rsid w:val="00955BAB"/>
    <w:rsid w:val="00955EDD"/>
    <w:rsid w:val="00956850"/>
    <w:rsid w:val="0095695D"/>
    <w:rsid w:val="0095698A"/>
    <w:rsid w:val="00957057"/>
    <w:rsid w:val="0095714A"/>
    <w:rsid w:val="0095734C"/>
    <w:rsid w:val="00957373"/>
    <w:rsid w:val="0095746E"/>
    <w:rsid w:val="00957773"/>
    <w:rsid w:val="009578B6"/>
    <w:rsid w:val="00957A74"/>
    <w:rsid w:val="00957B5B"/>
    <w:rsid w:val="00957C1A"/>
    <w:rsid w:val="00957D21"/>
    <w:rsid w:val="00957E26"/>
    <w:rsid w:val="00957EAF"/>
    <w:rsid w:val="00957F28"/>
    <w:rsid w:val="009605A5"/>
    <w:rsid w:val="0096060A"/>
    <w:rsid w:val="00960674"/>
    <w:rsid w:val="009608A6"/>
    <w:rsid w:val="009608E7"/>
    <w:rsid w:val="00960EE0"/>
    <w:rsid w:val="00960FC6"/>
    <w:rsid w:val="009610D7"/>
    <w:rsid w:val="009610F5"/>
    <w:rsid w:val="009611D4"/>
    <w:rsid w:val="00961481"/>
    <w:rsid w:val="00961CC5"/>
    <w:rsid w:val="00961E7F"/>
    <w:rsid w:val="009621A7"/>
    <w:rsid w:val="0096265F"/>
    <w:rsid w:val="009629E9"/>
    <w:rsid w:val="00962A03"/>
    <w:rsid w:val="00962AF8"/>
    <w:rsid w:val="00963175"/>
    <w:rsid w:val="0096324B"/>
    <w:rsid w:val="0096324E"/>
    <w:rsid w:val="0096325F"/>
    <w:rsid w:val="00963612"/>
    <w:rsid w:val="009637BF"/>
    <w:rsid w:val="00963B36"/>
    <w:rsid w:val="00963D99"/>
    <w:rsid w:val="00964679"/>
    <w:rsid w:val="009646AD"/>
    <w:rsid w:val="009646C2"/>
    <w:rsid w:val="0096573A"/>
    <w:rsid w:val="00965A0F"/>
    <w:rsid w:val="00965D5B"/>
    <w:rsid w:val="00965DEB"/>
    <w:rsid w:val="00965F21"/>
    <w:rsid w:val="00966D04"/>
    <w:rsid w:val="009670A5"/>
    <w:rsid w:val="0096719A"/>
    <w:rsid w:val="0096731C"/>
    <w:rsid w:val="0096740B"/>
    <w:rsid w:val="00967A57"/>
    <w:rsid w:val="00970231"/>
    <w:rsid w:val="009703CA"/>
    <w:rsid w:val="00970798"/>
    <w:rsid w:val="00970871"/>
    <w:rsid w:val="00970A06"/>
    <w:rsid w:val="00970CDB"/>
    <w:rsid w:val="00970E0B"/>
    <w:rsid w:val="00970F94"/>
    <w:rsid w:val="009713C2"/>
    <w:rsid w:val="0097196B"/>
    <w:rsid w:val="00971D1B"/>
    <w:rsid w:val="009725D3"/>
    <w:rsid w:val="00972775"/>
    <w:rsid w:val="00972A02"/>
    <w:rsid w:val="00972DDC"/>
    <w:rsid w:val="00972EA6"/>
    <w:rsid w:val="00973724"/>
    <w:rsid w:val="00973735"/>
    <w:rsid w:val="00973A65"/>
    <w:rsid w:val="00973ABB"/>
    <w:rsid w:val="00973E70"/>
    <w:rsid w:val="009741EB"/>
    <w:rsid w:val="009745A2"/>
    <w:rsid w:val="0097475E"/>
    <w:rsid w:val="00974BD2"/>
    <w:rsid w:val="00974DEC"/>
    <w:rsid w:val="009756DE"/>
    <w:rsid w:val="0097593E"/>
    <w:rsid w:val="0097593F"/>
    <w:rsid w:val="00975BAF"/>
    <w:rsid w:val="009761DC"/>
    <w:rsid w:val="009762CF"/>
    <w:rsid w:val="0097640B"/>
    <w:rsid w:val="009764ED"/>
    <w:rsid w:val="00976650"/>
    <w:rsid w:val="009767DA"/>
    <w:rsid w:val="00976880"/>
    <w:rsid w:val="00976B91"/>
    <w:rsid w:val="00977119"/>
    <w:rsid w:val="009771D1"/>
    <w:rsid w:val="009773C8"/>
    <w:rsid w:val="00977957"/>
    <w:rsid w:val="00977C8A"/>
    <w:rsid w:val="00977E68"/>
    <w:rsid w:val="009801B8"/>
    <w:rsid w:val="00980323"/>
    <w:rsid w:val="0098059F"/>
    <w:rsid w:val="00980A9F"/>
    <w:rsid w:val="00980C57"/>
    <w:rsid w:val="00980F71"/>
    <w:rsid w:val="0098166E"/>
    <w:rsid w:val="009819F7"/>
    <w:rsid w:val="00981FA8"/>
    <w:rsid w:val="00982007"/>
    <w:rsid w:val="009820CE"/>
    <w:rsid w:val="0098228C"/>
    <w:rsid w:val="00982481"/>
    <w:rsid w:val="0098267C"/>
    <w:rsid w:val="009828FB"/>
    <w:rsid w:val="009829B8"/>
    <w:rsid w:val="00982B35"/>
    <w:rsid w:val="00982CFF"/>
    <w:rsid w:val="00982D2F"/>
    <w:rsid w:val="00983282"/>
    <w:rsid w:val="009833B8"/>
    <w:rsid w:val="00983687"/>
    <w:rsid w:val="009836E6"/>
    <w:rsid w:val="00983D98"/>
    <w:rsid w:val="00983DE3"/>
    <w:rsid w:val="00983DF4"/>
    <w:rsid w:val="00984676"/>
    <w:rsid w:val="00984752"/>
    <w:rsid w:val="00984CD8"/>
    <w:rsid w:val="00984EC8"/>
    <w:rsid w:val="00985095"/>
    <w:rsid w:val="00985319"/>
    <w:rsid w:val="00985BE8"/>
    <w:rsid w:val="00985E06"/>
    <w:rsid w:val="00985E60"/>
    <w:rsid w:val="00985F1C"/>
    <w:rsid w:val="009864D2"/>
    <w:rsid w:val="00986537"/>
    <w:rsid w:val="009865D3"/>
    <w:rsid w:val="00986659"/>
    <w:rsid w:val="009868EC"/>
    <w:rsid w:val="00986FAE"/>
    <w:rsid w:val="009870F2"/>
    <w:rsid w:val="00987386"/>
    <w:rsid w:val="009873A1"/>
    <w:rsid w:val="00987681"/>
    <w:rsid w:val="00987CE7"/>
    <w:rsid w:val="00987D23"/>
    <w:rsid w:val="00987DBD"/>
    <w:rsid w:val="00987F81"/>
    <w:rsid w:val="0099007F"/>
    <w:rsid w:val="00990167"/>
    <w:rsid w:val="0099022C"/>
    <w:rsid w:val="009904C4"/>
    <w:rsid w:val="009905D9"/>
    <w:rsid w:val="00990608"/>
    <w:rsid w:val="00990769"/>
    <w:rsid w:val="00990AFC"/>
    <w:rsid w:val="00991041"/>
    <w:rsid w:val="0099106F"/>
    <w:rsid w:val="009918C3"/>
    <w:rsid w:val="009919CB"/>
    <w:rsid w:val="00991E82"/>
    <w:rsid w:val="00991E84"/>
    <w:rsid w:val="00992971"/>
    <w:rsid w:val="00992AF8"/>
    <w:rsid w:val="00992B31"/>
    <w:rsid w:val="00992CDA"/>
    <w:rsid w:val="00992DD1"/>
    <w:rsid w:val="0099304E"/>
    <w:rsid w:val="009930A6"/>
    <w:rsid w:val="009932A2"/>
    <w:rsid w:val="0099334B"/>
    <w:rsid w:val="00993440"/>
    <w:rsid w:val="0099361A"/>
    <w:rsid w:val="00993661"/>
    <w:rsid w:val="009937CF"/>
    <w:rsid w:val="009937DD"/>
    <w:rsid w:val="009937E2"/>
    <w:rsid w:val="00993A67"/>
    <w:rsid w:val="00993B31"/>
    <w:rsid w:val="00993C30"/>
    <w:rsid w:val="00993DD0"/>
    <w:rsid w:val="00993E64"/>
    <w:rsid w:val="0099406F"/>
    <w:rsid w:val="009945D3"/>
    <w:rsid w:val="00994799"/>
    <w:rsid w:val="0099498B"/>
    <w:rsid w:val="009949A4"/>
    <w:rsid w:val="00994E22"/>
    <w:rsid w:val="00994F36"/>
    <w:rsid w:val="0099501D"/>
    <w:rsid w:val="00995109"/>
    <w:rsid w:val="00995273"/>
    <w:rsid w:val="009956CB"/>
    <w:rsid w:val="00995762"/>
    <w:rsid w:val="00995B7F"/>
    <w:rsid w:val="00995F36"/>
    <w:rsid w:val="00996130"/>
    <w:rsid w:val="0099631B"/>
    <w:rsid w:val="00996776"/>
    <w:rsid w:val="00996D50"/>
    <w:rsid w:val="00997051"/>
    <w:rsid w:val="009970B3"/>
    <w:rsid w:val="009972FD"/>
    <w:rsid w:val="0099759B"/>
    <w:rsid w:val="009977CE"/>
    <w:rsid w:val="0099781F"/>
    <w:rsid w:val="00997930"/>
    <w:rsid w:val="00997C9F"/>
    <w:rsid w:val="00997CA6"/>
    <w:rsid w:val="00997CD4"/>
    <w:rsid w:val="009A0026"/>
    <w:rsid w:val="009A05B3"/>
    <w:rsid w:val="009A0872"/>
    <w:rsid w:val="009A091A"/>
    <w:rsid w:val="009A1022"/>
    <w:rsid w:val="009A15EC"/>
    <w:rsid w:val="009A198E"/>
    <w:rsid w:val="009A1C4C"/>
    <w:rsid w:val="009A217A"/>
    <w:rsid w:val="009A2294"/>
    <w:rsid w:val="009A25FC"/>
    <w:rsid w:val="009A263C"/>
    <w:rsid w:val="009A2A3F"/>
    <w:rsid w:val="009A2A48"/>
    <w:rsid w:val="009A2E97"/>
    <w:rsid w:val="009A3081"/>
    <w:rsid w:val="009A360E"/>
    <w:rsid w:val="009A3738"/>
    <w:rsid w:val="009A37A6"/>
    <w:rsid w:val="009A39DC"/>
    <w:rsid w:val="009A3A6F"/>
    <w:rsid w:val="009A3BDF"/>
    <w:rsid w:val="009A3CF2"/>
    <w:rsid w:val="009A3EA3"/>
    <w:rsid w:val="009A3EAD"/>
    <w:rsid w:val="009A4282"/>
    <w:rsid w:val="009A47B8"/>
    <w:rsid w:val="009A47BC"/>
    <w:rsid w:val="009A49D9"/>
    <w:rsid w:val="009A5113"/>
    <w:rsid w:val="009A53B5"/>
    <w:rsid w:val="009A5710"/>
    <w:rsid w:val="009A5BAF"/>
    <w:rsid w:val="009A5CD0"/>
    <w:rsid w:val="009A5F64"/>
    <w:rsid w:val="009A6158"/>
    <w:rsid w:val="009A6586"/>
    <w:rsid w:val="009A65FE"/>
    <w:rsid w:val="009A671C"/>
    <w:rsid w:val="009A6B56"/>
    <w:rsid w:val="009A6BCA"/>
    <w:rsid w:val="009A6E9D"/>
    <w:rsid w:val="009A6EA3"/>
    <w:rsid w:val="009A7310"/>
    <w:rsid w:val="009A747F"/>
    <w:rsid w:val="009A7548"/>
    <w:rsid w:val="009A7BEA"/>
    <w:rsid w:val="009B010F"/>
    <w:rsid w:val="009B06A5"/>
    <w:rsid w:val="009B0AF5"/>
    <w:rsid w:val="009B0DEA"/>
    <w:rsid w:val="009B1233"/>
    <w:rsid w:val="009B149F"/>
    <w:rsid w:val="009B1582"/>
    <w:rsid w:val="009B17C3"/>
    <w:rsid w:val="009B1D2D"/>
    <w:rsid w:val="009B1FB3"/>
    <w:rsid w:val="009B205E"/>
    <w:rsid w:val="009B2C0D"/>
    <w:rsid w:val="009B2C7C"/>
    <w:rsid w:val="009B348A"/>
    <w:rsid w:val="009B3723"/>
    <w:rsid w:val="009B3E11"/>
    <w:rsid w:val="009B415F"/>
    <w:rsid w:val="009B45A9"/>
    <w:rsid w:val="009B4986"/>
    <w:rsid w:val="009B4B56"/>
    <w:rsid w:val="009B4DA0"/>
    <w:rsid w:val="009B4E07"/>
    <w:rsid w:val="009B54F4"/>
    <w:rsid w:val="009B5605"/>
    <w:rsid w:val="009B587A"/>
    <w:rsid w:val="009B607F"/>
    <w:rsid w:val="009B6310"/>
    <w:rsid w:val="009B64C7"/>
    <w:rsid w:val="009B6565"/>
    <w:rsid w:val="009B6985"/>
    <w:rsid w:val="009B6C41"/>
    <w:rsid w:val="009B6F04"/>
    <w:rsid w:val="009B6F20"/>
    <w:rsid w:val="009B6F64"/>
    <w:rsid w:val="009B74A0"/>
    <w:rsid w:val="009B765D"/>
    <w:rsid w:val="009B76A4"/>
    <w:rsid w:val="009B7985"/>
    <w:rsid w:val="009B79CB"/>
    <w:rsid w:val="009B7E24"/>
    <w:rsid w:val="009B7F7F"/>
    <w:rsid w:val="009C0D8D"/>
    <w:rsid w:val="009C0F24"/>
    <w:rsid w:val="009C111C"/>
    <w:rsid w:val="009C13BA"/>
    <w:rsid w:val="009C143A"/>
    <w:rsid w:val="009C1457"/>
    <w:rsid w:val="009C1C3A"/>
    <w:rsid w:val="009C1E0F"/>
    <w:rsid w:val="009C1E2C"/>
    <w:rsid w:val="009C2153"/>
    <w:rsid w:val="009C2545"/>
    <w:rsid w:val="009C2950"/>
    <w:rsid w:val="009C2BF6"/>
    <w:rsid w:val="009C2DD7"/>
    <w:rsid w:val="009C2EBB"/>
    <w:rsid w:val="009C3350"/>
    <w:rsid w:val="009C34ED"/>
    <w:rsid w:val="009C3654"/>
    <w:rsid w:val="009C3666"/>
    <w:rsid w:val="009C3AAE"/>
    <w:rsid w:val="009C41E9"/>
    <w:rsid w:val="009C42CE"/>
    <w:rsid w:val="009C44BC"/>
    <w:rsid w:val="009C45D6"/>
    <w:rsid w:val="009C484E"/>
    <w:rsid w:val="009C48DA"/>
    <w:rsid w:val="009C4A47"/>
    <w:rsid w:val="009C4B1A"/>
    <w:rsid w:val="009C4DE4"/>
    <w:rsid w:val="009C4E99"/>
    <w:rsid w:val="009C51ED"/>
    <w:rsid w:val="009C5370"/>
    <w:rsid w:val="009C53E9"/>
    <w:rsid w:val="009C5463"/>
    <w:rsid w:val="009C54CE"/>
    <w:rsid w:val="009C5701"/>
    <w:rsid w:val="009C5965"/>
    <w:rsid w:val="009C5AA9"/>
    <w:rsid w:val="009C5D2F"/>
    <w:rsid w:val="009C5E14"/>
    <w:rsid w:val="009C5FBD"/>
    <w:rsid w:val="009C629C"/>
    <w:rsid w:val="009C6685"/>
    <w:rsid w:val="009C6AD5"/>
    <w:rsid w:val="009C6F51"/>
    <w:rsid w:val="009C71CA"/>
    <w:rsid w:val="009C7496"/>
    <w:rsid w:val="009C74C1"/>
    <w:rsid w:val="009C772C"/>
    <w:rsid w:val="009C7757"/>
    <w:rsid w:val="009C775B"/>
    <w:rsid w:val="009C7942"/>
    <w:rsid w:val="009C7A12"/>
    <w:rsid w:val="009C7C5E"/>
    <w:rsid w:val="009C7EB4"/>
    <w:rsid w:val="009D0017"/>
    <w:rsid w:val="009D00DF"/>
    <w:rsid w:val="009D012E"/>
    <w:rsid w:val="009D03FC"/>
    <w:rsid w:val="009D0A83"/>
    <w:rsid w:val="009D0B70"/>
    <w:rsid w:val="009D0C6F"/>
    <w:rsid w:val="009D0F38"/>
    <w:rsid w:val="009D163E"/>
    <w:rsid w:val="009D17B0"/>
    <w:rsid w:val="009D1808"/>
    <w:rsid w:val="009D199A"/>
    <w:rsid w:val="009D19CE"/>
    <w:rsid w:val="009D1FE4"/>
    <w:rsid w:val="009D2417"/>
    <w:rsid w:val="009D2468"/>
    <w:rsid w:val="009D28FD"/>
    <w:rsid w:val="009D2BA7"/>
    <w:rsid w:val="009D322F"/>
    <w:rsid w:val="009D33F1"/>
    <w:rsid w:val="009D3B54"/>
    <w:rsid w:val="009D3C33"/>
    <w:rsid w:val="009D44B1"/>
    <w:rsid w:val="009D4A0E"/>
    <w:rsid w:val="009D4A50"/>
    <w:rsid w:val="009D4BB2"/>
    <w:rsid w:val="009D52DC"/>
    <w:rsid w:val="009D563C"/>
    <w:rsid w:val="009D594D"/>
    <w:rsid w:val="009D629C"/>
    <w:rsid w:val="009D6F71"/>
    <w:rsid w:val="009D72ED"/>
    <w:rsid w:val="009D739B"/>
    <w:rsid w:val="009D7482"/>
    <w:rsid w:val="009D755E"/>
    <w:rsid w:val="009D75E6"/>
    <w:rsid w:val="009D7652"/>
    <w:rsid w:val="009D7714"/>
    <w:rsid w:val="009D79C1"/>
    <w:rsid w:val="009D79C7"/>
    <w:rsid w:val="009D7A51"/>
    <w:rsid w:val="009D7E8D"/>
    <w:rsid w:val="009E04FB"/>
    <w:rsid w:val="009E0620"/>
    <w:rsid w:val="009E0A51"/>
    <w:rsid w:val="009E0AA1"/>
    <w:rsid w:val="009E0B3F"/>
    <w:rsid w:val="009E0F6A"/>
    <w:rsid w:val="009E156A"/>
    <w:rsid w:val="009E182D"/>
    <w:rsid w:val="009E1B7A"/>
    <w:rsid w:val="009E1F52"/>
    <w:rsid w:val="009E1FAF"/>
    <w:rsid w:val="009E2479"/>
    <w:rsid w:val="009E281A"/>
    <w:rsid w:val="009E2C20"/>
    <w:rsid w:val="009E2C83"/>
    <w:rsid w:val="009E307B"/>
    <w:rsid w:val="009E3186"/>
    <w:rsid w:val="009E36F1"/>
    <w:rsid w:val="009E3851"/>
    <w:rsid w:val="009E38FC"/>
    <w:rsid w:val="009E4195"/>
    <w:rsid w:val="009E41A0"/>
    <w:rsid w:val="009E41AF"/>
    <w:rsid w:val="009E457A"/>
    <w:rsid w:val="009E491F"/>
    <w:rsid w:val="009E49A6"/>
    <w:rsid w:val="009E4A67"/>
    <w:rsid w:val="009E4C49"/>
    <w:rsid w:val="009E4DD4"/>
    <w:rsid w:val="009E50D3"/>
    <w:rsid w:val="009E51FF"/>
    <w:rsid w:val="009E52BA"/>
    <w:rsid w:val="009E52FC"/>
    <w:rsid w:val="009E53C3"/>
    <w:rsid w:val="009E557B"/>
    <w:rsid w:val="009E55EA"/>
    <w:rsid w:val="009E5974"/>
    <w:rsid w:val="009E5C9B"/>
    <w:rsid w:val="009E5E12"/>
    <w:rsid w:val="009E69B2"/>
    <w:rsid w:val="009E6D53"/>
    <w:rsid w:val="009E7119"/>
    <w:rsid w:val="009E730D"/>
    <w:rsid w:val="009E735D"/>
    <w:rsid w:val="009E73A0"/>
    <w:rsid w:val="009E76D1"/>
    <w:rsid w:val="009E7819"/>
    <w:rsid w:val="009E7C46"/>
    <w:rsid w:val="009E7C6F"/>
    <w:rsid w:val="009E7D98"/>
    <w:rsid w:val="009E7DEB"/>
    <w:rsid w:val="009F068A"/>
    <w:rsid w:val="009F07AF"/>
    <w:rsid w:val="009F0BD0"/>
    <w:rsid w:val="009F0F11"/>
    <w:rsid w:val="009F10A4"/>
    <w:rsid w:val="009F11BA"/>
    <w:rsid w:val="009F12D5"/>
    <w:rsid w:val="009F13A5"/>
    <w:rsid w:val="009F1D47"/>
    <w:rsid w:val="009F1E6E"/>
    <w:rsid w:val="009F24BF"/>
    <w:rsid w:val="009F296C"/>
    <w:rsid w:val="009F2AB2"/>
    <w:rsid w:val="009F2C42"/>
    <w:rsid w:val="009F2D07"/>
    <w:rsid w:val="009F2FE1"/>
    <w:rsid w:val="009F38E9"/>
    <w:rsid w:val="009F39C6"/>
    <w:rsid w:val="009F3C26"/>
    <w:rsid w:val="009F3CE5"/>
    <w:rsid w:val="009F419D"/>
    <w:rsid w:val="009F454F"/>
    <w:rsid w:val="009F4658"/>
    <w:rsid w:val="009F46F1"/>
    <w:rsid w:val="009F4EA8"/>
    <w:rsid w:val="009F54BE"/>
    <w:rsid w:val="009F59FB"/>
    <w:rsid w:val="009F66EF"/>
    <w:rsid w:val="009F6702"/>
    <w:rsid w:val="009F6ABB"/>
    <w:rsid w:val="009F6B00"/>
    <w:rsid w:val="009F6F39"/>
    <w:rsid w:val="009F6FAA"/>
    <w:rsid w:val="009F7059"/>
    <w:rsid w:val="009F784C"/>
    <w:rsid w:val="009F7990"/>
    <w:rsid w:val="009F7A1E"/>
    <w:rsid w:val="009F7EB5"/>
    <w:rsid w:val="00A002E4"/>
    <w:rsid w:val="00A0081F"/>
    <w:rsid w:val="00A00930"/>
    <w:rsid w:val="00A00952"/>
    <w:rsid w:val="00A0095A"/>
    <w:rsid w:val="00A00AAC"/>
    <w:rsid w:val="00A00C77"/>
    <w:rsid w:val="00A00CC3"/>
    <w:rsid w:val="00A00E29"/>
    <w:rsid w:val="00A01320"/>
    <w:rsid w:val="00A019B9"/>
    <w:rsid w:val="00A01A4D"/>
    <w:rsid w:val="00A01B93"/>
    <w:rsid w:val="00A01CF9"/>
    <w:rsid w:val="00A01F63"/>
    <w:rsid w:val="00A01F67"/>
    <w:rsid w:val="00A01F9D"/>
    <w:rsid w:val="00A01FB8"/>
    <w:rsid w:val="00A02301"/>
    <w:rsid w:val="00A02A10"/>
    <w:rsid w:val="00A02C4A"/>
    <w:rsid w:val="00A02C52"/>
    <w:rsid w:val="00A03155"/>
    <w:rsid w:val="00A036A1"/>
    <w:rsid w:val="00A03780"/>
    <w:rsid w:val="00A03814"/>
    <w:rsid w:val="00A04179"/>
    <w:rsid w:val="00A04367"/>
    <w:rsid w:val="00A044A8"/>
    <w:rsid w:val="00A045E3"/>
    <w:rsid w:val="00A049FB"/>
    <w:rsid w:val="00A04C6A"/>
    <w:rsid w:val="00A04FB0"/>
    <w:rsid w:val="00A050BA"/>
    <w:rsid w:val="00A05160"/>
    <w:rsid w:val="00A0538B"/>
    <w:rsid w:val="00A05FFC"/>
    <w:rsid w:val="00A06048"/>
    <w:rsid w:val="00A060F9"/>
    <w:rsid w:val="00A066FB"/>
    <w:rsid w:val="00A069D0"/>
    <w:rsid w:val="00A06BF4"/>
    <w:rsid w:val="00A06D35"/>
    <w:rsid w:val="00A070FF"/>
    <w:rsid w:val="00A07644"/>
    <w:rsid w:val="00A07975"/>
    <w:rsid w:val="00A07C22"/>
    <w:rsid w:val="00A07D19"/>
    <w:rsid w:val="00A10202"/>
    <w:rsid w:val="00A10350"/>
    <w:rsid w:val="00A10513"/>
    <w:rsid w:val="00A1069A"/>
    <w:rsid w:val="00A10EA3"/>
    <w:rsid w:val="00A10EF2"/>
    <w:rsid w:val="00A1120F"/>
    <w:rsid w:val="00A116EF"/>
    <w:rsid w:val="00A11B96"/>
    <w:rsid w:val="00A11FC0"/>
    <w:rsid w:val="00A12137"/>
    <w:rsid w:val="00A1220E"/>
    <w:rsid w:val="00A12421"/>
    <w:rsid w:val="00A12921"/>
    <w:rsid w:val="00A12A92"/>
    <w:rsid w:val="00A12AFD"/>
    <w:rsid w:val="00A12C75"/>
    <w:rsid w:val="00A1311A"/>
    <w:rsid w:val="00A13571"/>
    <w:rsid w:val="00A1389F"/>
    <w:rsid w:val="00A13971"/>
    <w:rsid w:val="00A13BA5"/>
    <w:rsid w:val="00A13FB5"/>
    <w:rsid w:val="00A14397"/>
    <w:rsid w:val="00A146AD"/>
    <w:rsid w:val="00A14783"/>
    <w:rsid w:val="00A14DAA"/>
    <w:rsid w:val="00A14E0E"/>
    <w:rsid w:val="00A1582C"/>
    <w:rsid w:val="00A1612F"/>
    <w:rsid w:val="00A16883"/>
    <w:rsid w:val="00A169C7"/>
    <w:rsid w:val="00A16AE1"/>
    <w:rsid w:val="00A16C4C"/>
    <w:rsid w:val="00A16D82"/>
    <w:rsid w:val="00A16FDC"/>
    <w:rsid w:val="00A17A6E"/>
    <w:rsid w:val="00A17C3E"/>
    <w:rsid w:val="00A17FF3"/>
    <w:rsid w:val="00A20026"/>
    <w:rsid w:val="00A20078"/>
    <w:rsid w:val="00A200F7"/>
    <w:rsid w:val="00A20108"/>
    <w:rsid w:val="00A2031A"/>
    <w:rsid w:val="00A20923"/>
    <w:rsid w:val="00A20BF3"/>
    <w:rsid w:val="00A219F1"/>
    <w:rsid w:val="00A21F04"/>
    <w:rsid w:val="00A220A4"/>
    <w:rsid w:val="00A224C6"/>
    <w:rsid w:val="00A22A9F"/>
    <w:rsid w:val="00A22D01"/>
    <w:rsid w:val="00A23224"/>
    <w:rsid w:val="00A233C2"/>
    <w:rsid w:val="00A234F4"/>
    <w:rsid w:val="00A236CA"/>
    <w:rsid w:val="00A23819"/>
    <w:rsid w:val="00A24094"/>
    <w:rsid w:val="00A2414D"/>
    <w:rsid w:val="00A242B3"/>
    <w:rsid w:val="00A24307"/>
    <w:rsid w:val="00A2433A"/>
    <w:rsid w:val="00A24362"/>
    <w:rsid w:val="00A243CB"/>
    <w:rsid w:val="00A24610"/>
    <w:rsid w:val="00A24BE7"/>
    <w:rsid w:val="00A24EA6"/>
    <w:rsid w:val="00A24F4E"/>
    <w:rsid w:val="00A250ED"/>
    <w:rsid w:val="00A2548F"/>
    <w:rsid w:val="00A25625"/>
    <w:rsid w:val="00A25637"/>
    <w:rsid w:val="00A25984"/>
    <w:rsid w:val="00A25DC5"/>
    <w:rsid w:val="00A25E76"/>
    <w:rsid w:val="00A25F02"/>
    <w:rsid w:val="00A25F64"/>
    <w:rsid w:val="00A262C5"/>
    <w:rsid w:val="00A2659E"/>
    <w:rsid w:val="00A26789"/>
    <w:rsid w:val="00A26A3A"/>
    <w:rsid w:val="00A26B34"/>
    <w:rsid w:val="00A26D3B"/>
    <w:rsid w:val="00A26E2C"/>
    <w:rsid w:val="00A2732C"/>
    <w:rsid w:val="00A27DA8"/>
    <w:rsid w:val="00A30243"/>
    <w:rsid w:val="00A30486"/>
    <w:rsid w:val="00A304BF"/>
    <w:rsid w:val="00A30851"/>
    <w:rsid w:val="00A30AAC"/>
    <w:rsid w:val="00A30D61"/>
    <w:rsid w:val="00A310BF"/>
    <w:rsid w:val="00A312C6"/>
    <w:rsid w:val="00A3144B"/>
    <w:rsid w:val="00A31928"/>
    <w:rsid w:val="00A319CD"/>
    <w:rsid w:val="00A321E8"/>
    <w:rsid w:val="00A32636"/>
    <w:rsid w:val="00A32706"/>
    <w:rsid w:val="00A327B8"/>
    <w:rsid w:val="00A32B68"/>
    <w:rsid w:val="00A32D2C"/>
    <w:rsid w:val="00A33168"/>
    <w:rsid w:val="00A3353B"/>
    <w:rsid w:val="00A33584"/>
    <w:rsid w:val="00A3392F"/>
    <w:rsid w:val="00A33986"/>
    <w:rsid w:val="00A3399D"/>
    <w:rsid w:val="00A33B48"/>
    <w:rsid w:val="00A33B5B"/>
    <w:rsid w:val="00A33F3A"/>
    <w:rsid w:val="00A34058"/>
    <w:rsid w:val="00A3436B"/>
    <w:rsid w:val="00A34592"/>
    <w:rsid w:val="00A348CA"/>
    <w:rsid w:val="00A34B1C"/>
    <w:rsid w:val="00A34B38"/>
    <w:rsid w:val="00A34F8B"/>
    <w:rsid w:val="00A34FA6"/>
    <w:rsid w:val="00A35050"/>
    <w:rsid w:val="00A3505E"/>
    <w:rsid w:val="00A354CD"/>
    <w:rsid w:val="00A35A97"/>
    <w:rsid w:val="00A35EE0"/>
    <w:rsid w:val="00A3601C"/>
    <w:rsid w:val="00A364EA"/>
    <w:rsid w:val="00A36775"/>
    <w:rsid w:val="00A36A7A"/>
    <w:rsid w:val="00A3743A"/>
    <w:rsid w:val="00A3748E"/>
    <w:rsid w:val="00A375A8"/>
    <w:rsid w:val="00A37765"/>
    <w:rsid w:val="00A37CEE"/>
    <w:rsid w:val="00A400FD"/>
    <w:rsid w:val="00A4020D"/>
    <w:rsid w:val="00A402AD"/>
    <w:rsid w:val="00A406AA"/>
    <w:rsid w:val="00A406C6"/>
    <w:rsid w:val="00A40C6D"/>
    <w:rsid w:val="00A40D2D"/>
    <w:rsid w:val="00A40D3D"/>
    <w:rsid w:val="00A40DF2"/>
    <w:rsid w:val="00A40FA5"/>
    <w:rsid w:val="00A41225"/>
    <w:rsid w:val="00A415D2"/>
    <w:rsid w:val="00A41746"/>
    <w:rsid w:val="00A41E27"/>
    <w:rsid w:val="00A42289"/>
    <w:rsid w:val="00A422E0"/>
    <w:rsid w:val="00A422F1"/>
    <w:rsid w:val="00A42348"/>
    <w:rsid w:val="00A4275A"/>
    <w:rsid w:val="00A42FEF"/>
    <w:rsid w:val="00A430DE"/>
    <w:rsid w:val="00A431E3"/>
    <w:rsid w:val="00A4350C"/>
    <w:rsid w:val="00A436B2"/>
    <w:rsid w:val="00A43BD7"/>
    <w:rsid w:val="00A4409A"/>
    <w:rsid w:val="00A44B4F"/>
    <w:rsid w:val="00A44C41"/>
    <w:rsid w:val="00A452D4"/>
    <w:rsid w:val="00A45487"/>
    <w:rsid w:val="00A4588E"/>
    <w:rsid w:val="00A45BD0"/>
    <w:rsid w:val="00A45E50"/>
    <w:rsid w:val="00A45F0D"/>
    <w:rsid w:val="00A460DE"/>
    <w:rsid w:val="00A46366"/>
    <w:rsid w:val="00A46476"/>
    <w:rsid w:val="00A46BF6"/>
    <w:rsid w:val="00A46C89"/>
    <w:rsid w:val="00A46CE5"/>
    <w:rsid w:val="00A4701C"/>
    <w:rsid w:val="00A478CF"/>
    <w:rsid w:val="00A47BC5"/>
    <w:rsid w:val="00A47CF8"/>
    <w:rsid w:val="00A47F11"/>
    <w:rsid w:val="00A5005F"/>
    <w:rsid w:val="00A5014C"/>
    <w:rsid w:val="00A5048F"/>
    <w:rsid w:val="00A504D0"/>
    <w:rsid w:val="00A508E2"/>
    <w:rsid w:val="00A50B64"/>
    <w:rsid w:val="00A511E8"/>
    <w:rsid w:val="00A5152C"/>
    <w:rsid w:val="00A5177E"/>
    <w:rsid w:val="00A5188C"/>
    <w:rsid w:val="00A518E2"/>
    <w:rsid w:val="00A5196C"/>
    <w:rsid w:val="00A51C74"/>
    <w:rsid w:val="00A51F6F"/>
    <w:rsid w:val="00A5219C"/>
    <w:rsid w:val="00A5222F"/>
    <w:rsid w:val="00A527A9"/>
    <w:rsid w:val="00A52A64"/>
    <w:rsid w:val="00A5317E"/>
    <w:rsid w:val="00A533C8"/>
    <w:rsid w:val="00A537F2"/>
    <w:rsid w:val="00A53FEF"/>
    <w:rsid w:val="00A54847"/>
    <w:rsid w:val="00A5488B"/>
    <w:rsid w:val="00A54BC0"/>
    <w:rsid w:val="00A54CEA"/>
    <w:rsid w:val="00A54DFB"/>
    <w:rsid w:val="00A55423"/>
    <w:rsid w:val="00A55694"/>
    <w:rsid w:val="00A557EB"/>
    <w:rsid w:val="00A5589A"/>
    <w:rsid w:val="00A5598B"/>
    <w:rsid w:val="00A559E1"/>
    <w:rsid w:val="00A55A19"/>
    <w:rsid w:val="00A55DD6"/>
    <w:rsid w:val="00A55F07"/>
    <w:rsid w:val="00A55F25"/>
    <w:rsid w:val="00A5612A"/>
    <w:rsid w:val="00A561B3"/>
    <w:rsid w:val="00A564A2"/>
    <w:rsid w:val="00A565BD"/>
    <w:rsid w:val="00A568CF"/>
    <w:rsid w:val="00A571F7"/>
    <w:rsid w:val="00A5756F"/>
    <w:rsid w:val="00A577B8"/>
    <w:rsid w:val="00A57ADC"/>
    <w:rsid w:val="00A57C1A"/>
    <w:rsid w:val="00A57F09"/>
    <w:rsid w:val="00A602AA"/>
    <w:rsid w:val="00A60345"/>
    <w:rsid w:val="00A60594"/>
    <w:rsid w:val="00A6063F"/>
    <w:rsid w:val="00A606EF"/>
    <w:rsid w:val="00A60989"/>
    <w:rsid w:val="00A61668"/>
    <w:rsid w:val="00A61788"/>
    <w:rsid w:val="00A617EB"/>
    <w:rsid w:val="00A61B4A"/>
    <w:rsid w:val="00A61BCF"/>
    <w:rsid w:val="00A61BF8"/>
    <w:rsid w:val="00A6200F"/>
    <w:rsid w:val="00A62644"/>
    <w:rsid w:val="00A62ACE"/>
    <w:rsid w:val="00A6305B"/>
    <w:rsid w:val="00A633D6"/>
    <w:rsid w:val="00A633FA"/>
    <w:rsid w:val="00A637CD"/>
    <w:rsid w:val="00A63EAE"/>
    <w:rsid w:val="00A64446"/>
    <w:rsid w:val="00A64533"/>
    <w:rsid w:val="00A645D0"/>
    <w:rsid w:val="00A647C2"/>
    <w:rsid w:val="00A649AA"/>
    <w:rsid w:val="00A64C56"/>
    <w:rsid w:val="00A65009"/>
    <w:rsid w:val="00A6503A"/>
    <w:rsid w:val="00A65408"/>
    <w:rsid w:val="00A657C2"/>
    <w:rsid w:val="00A65AC5"/>
    <w:rsid w:val="00A65DA3"/>
    <w:rsid w:val="00A66052"/>
    <w:rsid w:val="00A66109"/>
    <w:rsid w:val="00A666D6"/>
    <w:rsid w:val="00A6683B"/>
    <w:rsid w:val="00A675E7"/>
    <w:rsid w:val="00A67824"/>
    <w:rsid w:val="00A678BF"/>
    <w:rsid w:val="00A678F6"/>
    <w:rsid w:val="00A67B5D"/>
    <w:rsid w:val="00A67FA0"/>
    <w:rsid w:val="00A70327"/>
    <w:rsid w:val="00A7051A"/>
    <w:rsid w:val="00A70C48"/>
    <w:rsid w:val="00A70DD8"/>
    <w:rsid w:val="00A70FEC"/>
    <w:rsid w:val="00A7134C"/>
    <w:rsid w:val="00A713E4"/>
    <w:rsid w:val="00A715A7"/>
    <w:rsid w:val="00A71A5A"/>
    <w:rsid w:val="00A71AFC"/>
    <w:rsid w:val="00A71DC0"/>
    <w:rsid w:val="00A71E40"/>
    <w:rsid w:val="00A72033"/>
    <w:rsid w:val="00A721D8"/>
    <w:rsid w:val="00A72444"/>
    <w:rsid w:val="00A72668"/>
    <w:rsid w:val="00A726E1"/>
    <w:rsid w:val="00A7292C"/>
    <w:rsid w:val="00A72A64"/>
    <w:rsid w:val="00A72B73"/>
    <w:rsid w:val="00A72BE6"/>
    <w:rsid w:val="00A72DB5"/>
    <w:rsid w:val="00A73030"/>
    <w:rsid w:val="00A7339F"/>
    <w:rsid w:val="00A736DE"/>
    <w:rsid w:val="00A736FB"/>
    <w:rsid w:val="00A73782"/>
    <w:rsid w:val="00A73E14"/>
    <w:rsid w:val="00A74262"/>
    <w:rsid w:val="00A7443A"/>
    <w:rsid w:val="00A74B74"/>
    <w:rsid w:val="00A74FF8"/>
    <w:rsid w:val="00A757F9"/>
    <w:rsid w:val="00A75933"/>
    <w:rsid w:val="00A75A36"/>
    <w:rsid w:val="00A75FFA"/>
    <w:rsid w:val="00A761C9"/>
    <w:rsid w:val="00A76430"/>
    <w:rsid w:val="00A764D3"/>
    <w:rsid w:val="00A765F3"/>
    <w:rsid w:val="00A7661B"/>
    <w:rsid w:val="00A76A7E"/>
    <w:rsid w:val="00A76BC9"/>
    <w:rsid w:val="00A76D87"/>
    <w:rsid w:val="00A7720A"/>
    <w:rsid w:val="00A7731D"/>
    <w:rsid w:val="00A77DD9"/>
    <w:rsid w:val="00A809DF"/>
    <w:rsid w:val="00A80AC1"/>
    <w:rsid w:val="00A80B58"/>
    <w:rsid w:val="00A80D16"/>
    <w:rsid w:val="00A80D21"/>
    <w:rsid w:val="00A8111C"/>
    <w:rsid w:val="00A812E6"/>
    <w:rsid w:val="00A8178F"/>
    <w:rsid w:val="00A81CED"/>
    <w:rsid w:val="00A81D46"/>
    <w:rsid w:val="00A81D5A"/>
    <w:rsid w:val="00A81FAC"/>
    <w:rsid w:val="00A81FDC"/>
    <w:rsid w:val="00A82278"/>
    <w:rsid w:val="00A829AF"/>
    <w:rsid w:val="00A82D07"/>
    <w:rsid w:val="00A83132"/>
    <w:rsid w:val="00A836AD"/>
    <w:rsid w:val="00A83971"/>
    <w:rsid w:val="00A83BD6"/>
    <w:rsid w:val="00A83E51"/>
    <w:rsid w:val="00A83F7D"/>
    <w:rsid w:val="00A84148"/>
    <w:rsid w:val="00A84207"/>
    <w:rsid w:val="00A8424E"/>
    <w:rsid w:val="00A842AB"/>
    <w:rsid w:val="00A843DD"/>
    <w:rsid w:val="00A8483F"/>
    <w:rsid w:val="00A84B17"/>
    <w:rsid w:val="00A84B26"/>
    <w:rsid w:val="00A84CA6"/>
    <w:rsid w:val="00A85499"/>
    <w:rsid w:val="00A8597F"/>
    <w:rsid w:val="00A85D6B"/>
    <w:rsid w:val="00A85F17"/>
    <w:rsid w:val="00A8613D"/>
    <w:rsid w:val="00A861DB"/>
    <w:rsid w:val="00A863B8"/>
    <w:rsid w:val="00A866BF"/>
    <w:rsid w:val="00A86775"/>
    <w:rsid w:val="00A869D5"/>
    <w:rsid w:val="00A86C26"/>
    <w:rsid w:val="00A86E46"/>
    <w:rsid w:val="00A87040"/>
    <w:rsid w:val="00A877EC"/>
    <w:rsid w:val="00A879B8"/>
    <w:rsid w:val="00A87A7E"/>
    <w:rsid w:val="00A87C62"/>
    <w:rsid w:val="00A87C7F"/>
    <w:rsid w:val="00A9006F"/>
    <w:rsid w:val="00A90236"/>
    <w:rsid w:val="00A90252"/>
    <w:rsid w:val="00A904B8"/>
    <w:rsid w:val="00A905D3"/>
    <w:rsid w:val="00A909BE"/>
    <w:rsid w:val="00A912C2"/>
    <w:rsid w:val="00A91369"/>
    <w:rsid w:val="00A91814"/>
    <w:rsid w:val="00A91E0A"/>
    <w:rsid w:val="00A91FDF"/>
    <w:rsid w:val="00A923C9"/>
    <w:rsid w:val="00A9245E"/>
    <w:rsid w:val="00A92A2F"/>
    <w:rsid w:val="00A92AA5"/>
    <w:rsid w:val="00A92AB0"/>
    <w:rsid w:val="00A92CDF"/>
    <w:rsid w:val="00A92D56"/>
    <w:rsid w:val="00A92DD0"/>
    <w:rsid w:val="00A93308"/>
    <w:rsid w:val="00A93454"/>
    <w:rsid w:val="00A9351E"/>
    <w:rsid w:val="00A93758"/>
    <w:rsid w:val="00A93FA9"/>
    <w:rsid w:val="00A9447D"/>
    <w:rsid w:val="00A94498"/>
    <w:rsid w:val="00A94548"/>
    <w:rsid w:val="00A94707"/>
    <w:rsid w:val="00A947B5"/>
    <w:rsid w:val="00A9481B"/>
    <w:rsid w:val="00A9488B"/>
    <w:rsid w:val="00A94BDF"/>
    <w:rsid w:val="00A94EB6"/>
    <w:rsid w:val="00A94F1A"/>
    <w:rsid w:val="00A95264"/>
    <w:rsid w:val="00A95407"/>
    <w:rsid w:val="00A95578"/>
    <w:rsid w:val="00A9558E"/>
    <w:rsid w:val="00A955AD"/>
    <w:rsid w:val="00A95A37"/>
    <w:rsid w:val="00A95BF3"/>
    <w:rsid w:val="00A96077"/>
    <w:rsid w:val="00A9627A"/>
    <w:rsid w:val="00A96329"/>
    <w:rsid w:val="00A96607"/>
    <w:rsid w:val="00A96666"/>
    <w:rsid w:val="00A968B8"/>
    <w:rsid w:val="00A9707D"/>
    <w:rsid w:val="00A9722B"/>
    <w:rsid w:val="00A97510"/>
    <w:rsid w:val="00A978D9"/>
    <w:rsid w:val="00A979BC"/>
    <w:rsid w:val="00AA05BA"/>
    <w:rsid w:val="00AA0634"/>
    <w:rsid w:val="00AA06A2"/>
    <w:rsid w:val="00AA0788"/>
    <w:rsid w:val="00AA0A5E"/>
    <w:rsid w:val="00AA0B8E"/>
    <w:rsid w:val="00AA0C2A"/>
    <w:rsid w:val="00AA0CAA"/>
    <w:rsid w:val="00AA15D9"/>
    <w:rsid w:val="00AA1826"/>
    <w:rsid w:val="00AA1981"/>
    <w:rsid w:val="00AA2061"/>
    <w:rsid w:val="00AA2346"/>
    <w:rsid w:val="00AA24CE"/>
    <w:rsid w:val="00AA2899"/>
    <w:rsid w:val="00AA2BB1"/>
    <w:rsid w:val="00AA2D3C"/>
    <w:rsid w:val="00AA2DEC"/>
    <w:rsid w:val="00AA3008"/>
    <w:rsid w:val="00AA3215"/>
    <w:rsid w:val="00AA3231"/>
    <w:rsid w:val="00AA3267"/>
    <w:rsid w:val="00AA3281"/>
    <w:rsid w:val="00AA32B7"/>
    <w:rsid w:val="00AA36CD"/>
    <w:rsid w:val="00AA36EC"/>
    <w:rsid w:val="00AA3759"/>
    <w:rsid w:val="00AA3780"/>
    <w:rsid w:val="00AA3B92"/>
    <w:rsid w:val="00AA3D07"/>
    <w:rsid w:val="00AA3D08"/>
    <w:rsid w:val="00AA3E93"/>
    <w:rsid w:val="00AA4457"/>
    <w:rsid w:val="00AA4477"/>
    <w:rsid w:val="00AA46BF"/>
    <w:rsid w:val="00AA471F"/>
    <w:rsid w:val="00AA48A9"/>
    <w:rsid w:val="00AA49FD"/>
    <w:rsid w:val="00AA4D51"/>
    <w:rsid w:val="00AA566F"/>
    <w:rsid w:val="00AA56B4"/>
    <w:rsid w:val="00AA56C0"/>
    <w:rsid w:val="00AA572C"/>
    <w:rsid w:val="00AA587E"/>
    <w:rsid w:val="00AA590F"/>
    <w:rsid w:val="00AA59AD"/>
    <w:rsid w:val="00AA5A01"/>
    <w:rsid w:val="00AA5D53"/>
    <w:rsid w:val="00AA5EAE"/>
    <w:rsid w:val="00AA62E4"/>
    <w:rsid w:val="00AA6886"/>
    <w:rsid w:val="00AA6909"/>
    <w:rsid w:val="00AA6A2B"/>
    <w:rsid w:val="00AA6A63"/>
    <w:rsid w:val="00AA70E3"/>
    <w:rsid w:val="00AA73D8"/>
    <w:rsid w:val="00AA7748"/>
    <w:rsid w:val="00AA774C"/>
    <w:rsid w:val="00AA7975"/>
    <w:rsid w:val="00AA7F4B"/>
    <w:rsid w:val="00AB00E3"/>
    <w:rsid w:val="00AB029B"/>
    <w:rsid w:val="00AB038B"/>
    <w:rsid w:val="00AB04AD"/>
    <w:rsid w:val="00AB083C"/>
    <w:rsid w:val="00AB0ED8"/>
    <w:rsid w:val="00AB1017"/>
    <w:rsid w:val="00AB1069"/>
    <w:rsid w:val="00AB10B9"/>
    <w:rsid w:val="00AB1441"/>
    <w:rsid w:val="00AB15F7"/>
    <w:rsid w:val="00AB1956"/>
    <w:rsid w:val="00AB1C47"/>
    <w:rsid w:val="00AB1EB4"/>
    <w:rsid w:val="00AB1EF6"/>
    <w:rsid w:val="00AB206E"/>
    <w:rsid w:val="00AB20C9"/>
    <w:rsid w:val="00AB24CC"/>
    <w:rsid w:val="00AB2585"/>
    <w:rsid w:val="00AB25A5"/>
    <w:rsid w:val="00AB26B7"/>
    <w:rsid w:val="00AB26FF"/>
    <w:rsid w:val="00AB3100"/>
    <w:rsid w:val="00AB33D0"/>
    <w:rsid w:val="00AB34D5"/>
    <w:rsid w:val="00AB3750"/>
    <w:rsid w:val="00AB3804"/>
    <w:rsid w:val="00AB3858"/>
    <w:rsid w:val="00AB39AC"/>
    <w:rsid w:val="00AB4045"/>
    <w:rsid w:val="00AB40CF"/>
    <w:rsid w:val="00AB425D"/>
    <w:rsid w:val="00AB48B9"/>
    <w:rsid w:val="00AB4A80"/>
    <w:rsid w:val="00AB4AC2"/>
    <w:rsid w:val="00AB4ECF"/>
    <w:rsid w:val="00AB4F91"/>
    <w:rsid w:val="00AB51A3"/>
    <w:rsid w:val="00AB51B8"/>
    <w:rsid w:val="00AB5322"/>
    <w:rsid w:val="00AB54A9"/>
    <w:rsid w:val="00AB550D"/>
    <w:rsid w:val="00AB5628"/>
    <w:rsid w:val="00AB572B"/>
    <w:rsid w:val="00AB5EEC"/>
    <w:rsid w:val="00AB5F81"/>
    <w:rsid w:val="00AB68F7"/>
    <w:rsid w:val="00AB6BE3"/>
    <w:rsid w:val="00AB6F12"/>
    <w:rsid w:val="00AB701A"/>
    <w:rsid w:val="00AB73C6"/>
    <w:rsid w:val="00AB78E9"/>
    <w:rsid w:val="00AB7BBC"/>
    <w:rsid w:val="00AB7EDC"/>
    <w:rsid w:val="00AB7FDA"/>
    <w:rsid w:val="00AC0061"/>
    <w:rsid w:val="00AC017B"/>
    <w:rsid w:val="00AC0561"/>
    <w:rsid w:val="00AC0726"/>
    <w:rsid w:val="00AC09B2"/>
    <w:rsid w:val="00AC0AD8"/>
    <w:rsid w:val="00AC0CC0"/>
    <w:rsid w:val="00AC0EC7"/>
    <w:rsid w:val="00AC1016"/>
    <w:rsid w:val="00AC1066"/>
    <w:rsid w:val="00AC1191"/>
    <w:rsid w:val="00AC1510"/>
    <w:rsid w:val="00AC169C"/>
    <w:rsid w:val="00AC16C4"/>
    <w:rsid w:val="00AC1A04"/>
    <w:rsid w:val="00AC1A3D"/>
    <w:rsid w:val="00AC1E63"/>
    <w:rsid w:val="00AC1E87"/>
    <w:rsid w:val="00AC1F1D"/>
    <w:rsid w:val="00AC2051"/>
    <w:rsid w:val="00AC2153"/>
    <w:rsid w:val="00AC2185"/>
    <w:rsid w:val="00AC24A5"/>
    <w:rsid w:val="00AC2DA7"/>
    <w:rsid w:val="00AC33F6"/>
    <w:rsid w:val="00AC3716"/>
    <w:rsid w:val="00AC3B5E"/>
    <w:rsid w:val="00AC40C8"/>
    <w:rsid w:val="00AC49EF"/>
    <w:rsid w:val="00AC52B8"/>
    <w:rsid w:val="00AC5395"/>
    <w:rsid w:val="00AC5848"/>
    <w:rsid w:val="00AC586A"/>
    <w:rsid w:val="00AC5A87"/>
    <w:rsid w:val="00AC5CB8"/>
    <w:rsid w:val="00AC5F67"/>
    <w:rsid w:val="00AC6114"/>
    <w:rsid w:val="00AC62C5"/>
    <w:rsid w:val="00AC6616"/>
    <w:rsid w:val="00AC66DA"/>
    <w:rsid w:val="00AC6717"/>
    <w:rsid w:val="00AC690C"/>
    <w:rsid w:val="00AC6BF8"/>
    <w:rsid w:val="00AC7075"/>
    <w:rsid w:val="00AC724D"/>
    <w:rsid w:val="00AC759D"/>
    <w:rsid w:val="00AC77B3"/>
    <w:rsid w:val="00AD0152"/>
    <w:rsid w:val="00AD04E8"/>
    <w:rsid w:val="00AD0D00"/>
    <w:rsid w:val="00AD0DA2"/>
    <w:rsid w:val="00AD12DA"/>
    <w:rsid w:val="00AD147B"/>
    <w:rsid w:val="00AD189F"/>
    <w:rsid w:val="00AD1A4D"/>
    <w:rsid w:val="00AD1A84"/>
    <w:rsid w:val="00AD1AB4"/>
    <w:rsid w:val="00AD1E5C"/>
    <w:rsid w:val="00AD2177"/>
    <w:rsid w:val="00AD293D"/>
    <w:rsid w:val="00AD2D59"/>
    <w:rsid w:val="00AD3131"/>
    <w:rsid w:val="00AD3342"/>
    <w:rsid w:val="00AD3DAA"/>
    <w:rsid w:val="00AD3EF1"/>
    <w:rsid w:val="00AD41DC"/>
    <w:rsid w:val="00AD42EF"/>
    <w:rsid w:val="00AD442F"/>
    <w:rsid w:val="00AD44C9"/>
    <w:rsid w:val="00AD44D0"/>
    <w:rsid w:val="00AD4745"/>
    <w:rsid w:val="00AD4A85"/>
    <w:rsid w:val="00AD5275"/>
    <w:rsid w:val="00AD55A1"/>
    <w:rsid w:val="00AD55F4"/>
    <w:rsid w:val="00AD5805"/>
    <w:rsid w:val="00AD5BB8"/>
    <w:rsid w:val="00AD5EDD"/>
    <w:rsid w:val="00AD6339"/>
    <w:rsid w:val="00AD696A"/>
    <w:rsid w:val="00AD6CBE"/>
    <w:rsid w:val="00AD6D01"/>
    <w:rsid w:val="00AD711F"/>
    <w:rsid w:val="00AD72F6"/>
    <w:rsid w:val="00AD74FA"/>
    <w:rsid w:val="00AD7509"/>
    <w:rsid w:val="00AD76E6"/>
    <w:rsid w:val="00AD7B79"/>
    <w:rsid w:val="00AD7E71"/>
    <w:rsid w:val="00AD7F95"/>
    <w:rsid w:val="00AD7FEF"/>
    <w:rsid w:val="00AE0054"/>
    <w:rsid w:val="00AE00D6"/>
    <w:rsid w:val="00AE0B0F"/>
    <w:rsid w:val="00AE0B5A"/>
    <w:rsid w:val="00AE0E68"/>
    <w:rsid w:val="00AE0FFB"/>
    <w:rsid w:val="00AE13B8"/>
    <w:rsid w:val="00AE1A06"/>
    <w:rsid w:val="00AE1D9B"/>
    <w:rsid w:val="00AE23AB"/>
    <w:rsid w:val="00AE243C"/>
    <w:rsid w:val="00AE2B85"/>
    <w:rsid w:val="00AE2EE6"/>
    <w:rsid w:val="00AE396D"/>
    <w:rsid w:val="00AE3CBD"/>
    <w:rsid w:val="00AE3D9E"/>
    <w:rsid w:val="00AE4287"/>
    <w:rsid w:val="00AE42AC"/>
    <w:rsid w:val="00AE47DF"/>
    <w:rsid w:val="00AE4A47"/>
    <w:rsid w:val="00AE5353"/>
    <w:rsid w:val="00AE535F"/>
    <w:rsid w:val="00AE56F4"/>
    <w:rsid w:val="00AE5902"/>
    <w:rsid w:val="00AE7078"/>
    <w:rsid w:val="00AE7396"/>
    <w:rsid w:val="00AE76FC"/>
    <w:rsid w:val="00AE7ABB"/>
    <w:rsid w:val="00AE7EF6"/>
    <w:rsid w:val="00AF0016"/>
    <w:rsid w:val="00AF0033"/>
    <w:rsid w:val="00AF035B"/>
    <w:rsid w:val="00AF0EDC"/>
    <w:rsid w:val="00AF1618"/>
    <w:rsid w:val="00AF1971"/>
    <w:rsid w:val="00AF19BE"/>
    <w:rsid w:val="00AF1D8B"/>
    <w:rsid w:val="00AF1DED"/>
    <w:rsid w:val="00AF1EC4"/>
    <w:rsid w:val="00AF2457"/>
    <w:rsid w:val="00AF280D"/>
    <w:rsid w:val="00AF2B5F"/>
    <w:rsid w:val="00AF2C90"/>
    <w:rsid w:val="00AF320D"/>
    <w:rsid w:val="00AF366A"/>
    <w:rsid w:val="00AF36B3"/>
    <w:rsid w:val="00AF3A1C"/>
    <w:rsid w:val="00AF3ACE"/>
    <w:rsid w:val="00AF3BAE"/>
    <w:rsid w:val="00AF45D7"/>
    <w:rsid w:val="00AF4AEF"/>
    <w:rsid w:val="00AF4B55"/>
    <w:rsid w:val="00AF5148"/>
    <w:rsid w:val="00AF5192"/>
    <w:rsid w:val="00AF52A8"/>
    <w:rsid w:val="00AF56A2"/>
    <w:rsid w:val="00AF57B1"/>
    <w:rsid w:val="00AF5954"/>
    <w:rsid w:val="00AF620E"/>
    <w:rsid w:val="00AF64C9"/>
    <w:rsid w:val="00AF65BD"/>
    <w:rsid w:val="00AF681D"/>
    <w:rsid w:val="00AF688D"/>
    <w:rsid w:val="00AF696B"/>
    <w:rsid w:val="00AF6CBC"/>
    <w:rsid w:val="00AF75BB"/>
    <w:rsid w:val="00AF7853"/>
    <w:rsid w:val="00AF78CC"/>
    <w:rsid w:val="00AF7B68"/>
    <w:rsid w:val="00AF7D5C"/>
    <w:rsid w:val="00B00044"/>
    <w:rsid w:val="00B0015B"/>
    <w:rsid w:val="00B001F2"/>
    <w:rsid w:val="00B00532"/>
    <w:rsid w:val="00B0058A"/>
    <w:rsid w:val="00B00661"/>
    <w:rsid w:val="00B00899"/>
    <w:rsid w:val="00B00A8E"/>
    <w:rsid w:val="00B00D55"/>
    <w:rsid w:val="00B00DD3"/>
    <w:rsid w:val="00B00F1C"/>
    <w:rsid w:val="00B010FF"/>
    <w:rsid w:val="00B01232"/>
    <w:rsid w:val="00B01270"/>
    <w:rsid w:val="00B0161B"/>
    <w:rsid w:val="00B016CC"/>
    <w:rsid w:val="00B01D8E"/>
    <w:rsid w:val="00B01F6E"/>
    <w:rsid w:val="00B02032"/>
    <w:rsid w:val="00B02267"/>
    <w:rsid w:val="00B025A1"/>
    <w:rsid w:val="00B025A7"/>
    <w:rsid w:val="00B02965"/>
    <w:rsid w:val="00B02B50"/>
    <w:rsid w:val="00B02DE0"/>
    <w:rsid w:val="00B02EFD"/>
    <w:rsid w:val="00B03054"/>
    <w:rsid w:val="00B03364"/>
    <w:rsid w:val="00B038C9"/>
    <w:rsid w:val="00B03DC4"/>
    <w:rsid w:val="00B04053"/>
    <w:rsid w:val="00B043C6"/>
    <w:rsid w:val="00B04400"/>
    <w:rsid w:val="00B04564"/>
    <w:rsid w:val="00B045CA"/>
    <w:rsid w:val="00B0469A"/>
    <w:rsid w:val="00B049CD"/>
    <w:rsid w:val="00B04E8C"/>
    <w:rsid w:val="00B04F17"/>
    <w:rsid w:val="00B0514D"/>
    <w:rsid w:val="00B053F6"/>
    <w:rsid w:val="00B053FC"/>
    <w:rsid w:val="00B0551C"/>
    <w:rsid w:val="00B057A3"/>
    <w:rsid w:val="00B05EF1"/>
    <w:rsid w:val="00B06163"/>
    <w:rsid w:val="00B06264"/>
    <w:rsid w:val="00B06404"/>
    <w:rsid w:val="00B06E2E"/>
    <w:rsid w:val="00B0706F"/>
    <w:rsid w:val="00B076E7"/>
    <w:rsid w:val="00B07B37"/>
    <w:rsid w:val="00B07B3A"/>
    <w:rsid w:val="00B07E24"/>
    <w:rsid w:val="00B07EA0"/>
    <w:rsid w:val="00B07F5C"/>
    <w:rsid w:val="00B1018A"/>
    <w:rsid w:val="00B102DD"/>
    <w:rsid w:val="00B104DC"/>
    <w:rsid w:val="00B108F3"/>
    <w:rsid w:val="00B108FE"/>
    <w:rsid w:val="00B10914"/>
    <w:rsid w:val="00B10FD1"/>
    <w:rsid w:val="00B11165"/>
    <w:rsid w:val="00B1121F"/>
    <w:rsid w:val="00B112B3"/>
    <w:rsid w:val="00B11EEE"/>
    <w:rsid w:val="00B121E3"/>
    <w:rsid w:val="00B122D3"/>
    <w:rsid w:val="00B124C7"/>
    <w:rsid w:val="00B126B1"/>
    <w:rsid w:val="00B127E7"/>
    <w:rsid w:val="00B12B1A"/>
    <w:rsid w:val="00B12E5B"/>
    <w:rsid w:val="00B12E92"/>
    <w:rsid w:val="00B13065"/>
    <w:rsid w:val="00B13179"/>
    <w:rsid w:val="00B131B9"/>
    <w:rsid w:val="00B133B0"/>
    <w:rsid w:val="00B133F9"/>
    <w:rsid w:val="00B137F9"/>
    <w:rsid w:val="00B138BE"/>
    <w:rsid w:val="00B1409F"/>
    <w:rsid w:val="00B143B5"/>
    <w:rsid w:val="00B144A8"/>
    <w:rsid w:val="00B147F3"/>
    <w:rsid w:val="00B149CA"/>
    <w:rsid w:val="00B14BD7"/>
    <w:rsid w:val="00B14C3E"/>
    <w:rsid w:val="00B14FD3"/>
    <w:rsid w:val="00B15195"/>
    <w:rsid w:val="00B15635"/>
    <w:rsid w:val="00B156E4"/>
    <w:rsid w:val="00B15A3A"/>
    <w:rsid w:val="00B15B01"/>
    <w:rsid w:val="00B15EFA"/>
    <w:rsid w:val="00B161C4"/>
    <w:rsid w:val="00B161E6"/>
    <w:rsid w:val="00B1647F"/>
    <w:rsid w:val="00B16572"/>
    <w:rsid w:val="00B16634"/>
    <w:rsid w:val="00B166E5"/>
    <w:rsid w:val="00B16BC4"/>
    <w:rsid w:val="00B16D09"/>
    <w:rsid w:val="00B16F5C"/>
    <w:rsid w:val="00B17064"/>
    <w:rsid w:val="00B172F1"/>
    <w:rsid w:val="00B1746D"/>
    <w:rsid w:val="00B17673"/>
    <w:rsid w:val="00B1770E"/>
    <w:rsid w:val="00B17C1A"/>
    <w:rsid w:val="00B17C8B"/>
    <w:rsid w:val="00B17DC5"/>
    <w:rsid w:val="00B17DFD"/>
    <w:rsid w:val="00B17E72"/>
    <w:rsid w:val="00B203E6"/>
    <w:rsid w:val="00B205E0"/>
    <w:rsid w:val="00B2080B"/>
    <w:rsid w:val="00B20A78"/>
    <w:rsid w:val="00B20D9F"/>
    <w:rsid w:val="00B210FB"/>
    <w:rsid w:val="00B214B1"/>
    <w:rsid w:val="00B21577"/>
    <w:rsid w:val="00B21701"/>
    <w:rsid w:val="00B2170E"/>
    <w:rsid w:val="00B2180C"/>
    <w:rsid w:val="00B21CD3"/>
    <w:rsid w:val="00B21CD9"/>
    <w:rsid w:val="00B2253C"/>
    <w:rsid w:val="00B22734"/>
    <w:rsid w:val="00B229EE"/>
    <w:rsid w:val="00B22A17"/>
    <w:rsid w:val="00B22AB9"/>
    <w:rsid w:val="00B233C8"/>
    <w:rsid w:val="00B235F5"/>
    <w:rsid w:val="00B23614"/>
    <w:rsid w:val="00B23C74"/>
    <w:rsid w:val="00B23DEB"/>
    <w:rsid w:val="00B240BA"/>
    <w:rsid w:val="00B24107"/>
    <w:rsid w:val="00B24233"/>
    <w:rsid w:val="00B242F2"/>
    <w:rsid w:val="00B24613"/>
    <w:rsid w:val="00B24BC2"/>
    <w:rsid w:val="00B24D52"/>
    <w:rsid w:val="00B2519D"/>
    <w:rsid w:val="00B252BB"/>
    <w:rsid w:val="00B252F9"/>
    <w:rsid w:val="00B25329"/>
    <w:rsid w:val="00B25FE6"/>
    <w:rsid w:val="00B260F8"/>
    <w:rsid w:val="00B2614C"/>
    <w:rsid w:val="00B26164"/>
    <w:rsid w:val="00B261C5"/>
    <w:rsid w:val="00B261D4"/>
    <w:rsid w:val="00B2632E"/>
    <w:rsid w:val="00B263DF"/>
    <w:rsid w:val="00B2641E"/>
    <w:rsid w:val="00B269A9"/>
    <w:rsid w:val="00B272F3"/>
    <w:rsid w:val="00B2731F"/>
    <w:rsid w:val="00B274B1"/>
    <w:rsid w:val="00B27511"/>
    <w:rsid w:val="00B276F7"/>
    <w:rsid w:val="00B27717"/>
    <w:rsid w:val="00B278CF"/>
    <w:rsid w:val="00B279A6"/>
    <w:rsid w:val="00B27AF9"/>
    <w:rsid w:val="00B27EC9"/>
    <w:rsid w:val="00B302D6"/>
    <w:rsid w:val="00B303B1"/>
    <w:rsid w:val="00B3054E"/>
    <w:rsid w:val="00B30982"/>
    <w:rsid w:val="00B30AE0"/>
    <w:rsid w:val="00B30B33"/>
    <w:rsid w:val="00B30ECB"/>
    <w:rsid w:val="00B30FE5"/>
    <w:rsid w:val="00B311C7"/>
    <w:rsid w:val="00B314D0"/>
    <w:rsid w:val="00B314D1"/>
    <w:rsid w:val="00B31797"/>
    <w:rsid w:val="00B31B09"/>
    <w:rsid w:val="00B31EB2"/>
    <w:rsid w:val="00B31EE0"/>
    <w:rsid w:val="00B321E3"/>
    <w:rsid w:val="00B3242B"/>
    <w:rsid w:val="00B32B13"/>
    <w:rsid w:val="00B32D00"/>
    <w:rsid w:val="00B33442"/>
    <w:rsid w:val="00B33554"/>
    <w:rsid w:val="00B33801"/>
    <w:rsid w:val="00B33A43"/>
    <w:rsid w:val="00B33AE2"/>
    <w:rsid w:val="00B33C9F"/>
    <w:rsid w:val="00B33CEE"/>
    <w:rsid w:val="00B346BC"/>
    <w:rsid w:val="00B34ACD"/>
    <w:rsid w:val="00B34BA6"/>
    <w:rsid w:val="00B34CC3"/>
    <w:rsid w:val="00B3501B"/>
    <w:rsid w:val="00B3505D"/>
    <w:rsid w:val="00B3542E"/>
    <w:rsid w:val="00B3545D"/>
    <w:rsid w:val="00B3579F"/>
    <w:rsid w:val="00B35CD8"/>
    <w:rsid w:val="00B35DDF"/>
    <w:rsid w:val="00B366E7"/>
    <w:rsid w:val="00B3681E"/>
    <w:rsid w:val="00B36836"/>
    <w:rsid w:val="00B368AC"/>
    <w:rsid w:val="00B36A3D"/>
    <w:rsid w:val="00B36D60"/>
    <w:rsid w:val="00B371DD"/>
    <w:rsid w:val="00B3731D"/>
    <w:rsid w:val="00B37403"/>
    <w:rsid w:val="00B3755C"/>
    <w:rsid w:val="00B37879"/>
    <w:rsid w:val="00B37921"/>
    <w:rsid w:val="00B37EEE"/>
    <w:rsid w:val="00B4014D"/>
    <w:rsid w:val="00B4032F"/>
    <w:rsid w:val="00B4033B"/>
    <w:rsid w:val="00B403E4"/>
    <w:rsid w:val="00B40485"/>
    <w:rsid w:val="00B4055F"/>
    <w:rsid w:val="00B405E0"/>
    <w:rsid w:val="00B407D2"/>
    <w:rsid w:val="00B410ED"/>
    <w:rsid w:val="00B410FC"/>
    <w:rsid w:val="00B4148D"/>
    <w:rsid w:val="00B41DA2"/>
    <w:rsid w:val="00B41F53"/>
    <w:rsid w:val="00B420BA"/>
    <w:rsid w:val="00B42167"/>
    <w:rsid w:val="00B42844"/>
    <w:rsid w:val="00B4334D"/>
    <w:rsid w:val="00B4370C"/>
    <w:rsid w:val="00B437F2"/>
    <w:rsid w:val="00B43AE8"/>
    <w:rsid w:val="00B4427F"/>
    <w:rsid w:val="00B448A7"/>
    <w:rsid w:val="00B44920"/>
    <w:rsid w:val="00B44A58"/>
    <w:rsid w:val="00B44D9A"/>
    <w:rsid w:val="00B44E9B"/>
    <w:rsid w:val="00B4509E"/>
    <w:rsid w:val="00B45607"/>
    <w:rsid w:val="00B45844"/>
    <w:rsid w:val="00B45B4F"/>
    <w:rsid w:val="00B45BE3"/>
    <w:rsid w:val="00B45BFE"/>
    <w:rsid w:val="00B462FF"/>
    <w:rsid w:val="00B465AB"/>
    <w:rsid w:val="00B46A5D"/>
    <w:rsid w:val="00B46B25"/>
    <w:rsid w:val="00B46C14"/>
    <w:rsid w:val="00B46EFA"/>
    <w:rsid w:val="00B470E1"/>
    <w:rsid w:val="00B4723B"/>
    <w:rsid w:val="00B47385"/>
    <w:rsid w:val="00B47459"/>
    <w:rsid w:val="00B47998"/>
    <w:rsid w:val="00B47C32"/>
    <w:rsid w:val="00B47E54"/>
    <w:rsid w:val="00B50A1F"/>
    <w:rsid w:val="00B50A28"/>
    <w:rsid w:val="00B50BD9"/>
    <w:rsid w:val="00B50CD1"/>
    <w:rsid w:val="00B51278"/>
    <w:rsid w:val="00B513FC"/>
    <w:rsid w:val="00B51473"/>
    <w:rsid w:val="00B51546"/>
    <w:rsid w:val="00B51CB3"/>
    <w:rsid w:val="00B51D02"/>
    <w:rsid w:val="00B51F53"/>
    <w:rsid w:val="00B5216A"/>
    <w:rsid w:val="00B52396"/>
    <w:rsid w:val="00B52A67"/>
    <w:rsid w:val="00B52EC3"/>
    <w:rsid w:val="00B534F2"/>
    <w:rsid w:val="00B536D2"/>
    <w:rsid w:val="00B53A75"/>
    <w:rsid w:val="00B53C96"/>
    <w:rsid w:val="00B54339"/>
    <w:rsid w:val="00B543EB"/>
    <w:rsid w:val="00B544CB"/>
    <w:rsid w:val="00B549D1"/>
    <w:rsid w:val="00B54CD7"/>
    <w:rsid w:val="00B54F0E"/>
    <w:rsid w:val="00B550CD"/>
    <w:rsid w:val="00B550D3"/>
    <w:rsid w:val="00B55449"/>
    <w:rsid w:val="00B554DD"/>
    <w:rsid w:val="00B557CC"/>
    <w:rsid w:val="00B55AE2"/>
    <w:rsid w:val="00B55CC5"/>
    <w:rsid w:val="00B55F02"/>
    <w:rsid w:val="00B55F56"/>
    <w:rsid w:val="00B56092"/>
    <w:rsid w:val="00B561E3"/>
    <w:rsid w:val="00B56725"/>
    <w:rsid w:val="00B56A36"/>
    <w:rsid w:val="00B56DEC"/>
    <w:rsid w:val="00B56E31"/>
    <w:rsid w:val="00B56FDB"/>
    <w:rsid w:val="00B56FF3"/>
    <w:rsid w:val="00B57085"/>
    <w:rsid w:val="00B5717E"/>
    <w:rsid w:val="00B5736E"/>
    <w:rsid w:val="00B57736"/>
    <w:rsid w:val="00B579D0"/>
    <w:rsid w:val="00B57C49"/>
    <w:rsid w:val="00B57D6B"/>
    <w:rsid w:val="00B57EDA"/>
    <w:rsid w:val="00B57F3F"/>
    <w:rsid w:val="00B6033A"/>
    <w:rsid w:val="00B604E6"/>
    <w:rsid w:val="00B6060C"/>
    <w:rsid w:val="00B60C17"/>
    <w:rsid w:val="00B61259"/>
    <w:rsid w:val="00B61353"/>
    <w:rsid w:val="00B6150D"/>
    <w:rsid w:val="00B61514"/>
    <w:rsid w:val="00B6191A"/>
    <w:rsid w:val="00B61A23"/>
    <w:rsid w:val="00B623DD"/>
    <w:rsid w:val="00B62462"/>
    <w:rsid w:val="00B626FB"/>
    <w:rsid w:val="00B627FD"/>
    <w:rsid w:val="00B6320A"/>
    <w:rsid w:val="00B63256"/>
    <w:rsid w:val="00B63709"/>
    <w:rsid w:val="00B63B12"/>
    <w:rsid w:val="00B63E62"/>
    <w:rsid w:val="00B63E7E"/>
    <w:rsid w:val="00B640F0"/>
    <w:rsid w:val="00B640FB"/>
    <w:rsid w:val="00B6462B"/>
    <w:rsid w:val="00B64A88"/>
    <w:rsid w:val="00B64BF8"/>
    <w:rsid w:val="00B65511"/>
    <w:rsid w:val="00B6568A"/>
    <w:rsid w:val="00B65F10"/>
    <w:rsid w:val="00B65F61"/>
    <w:rsid w:val="00B6607D"/>
    <w:rsid w:val="00B6642E"/>
    <w:rsid w:val="00B66637"/>
    <w:rsid w:val="00B669AB"/>
    <w:rsid w:val="00B66CBF"/>
    <w:rsid w:val="00B6701F"/>
    <w:rsid w:val="00B67112"/>
    <w:rsid w:val="00B671E9"/>
    <w:rsid w:val="00B67921"/>
    <w:rsid w:val="00B67AD1"/>
    <w:rsid w:val="00B67BC8"/>
    <w:rsid w:val="00B67D1D"/>
    <w:rsid w:val="00B67D24"/>
    <w:rsid w:val="00B67E26"/>
    <w:rsid w:val="00B701D5"/>
    <w:rsid w:val="00B70A84"/>
    <w:rsid w:val="00B70B7B"/>
    <w:rsid w:val="00B715AD"/>
    <w:rsid w:val="00B7169E"/>
    <w:rsid w:val="00B71BB5"/>
    <w:rsid w:val="00B71CC2"/>
    <w:rsid w:val="00B71ED8"/>
    <w:rsid w:val="00B727A4"/>
    <w:rsid w:val="00B728E7"/>
    <w:rsid w:val="00B72E7B"/>
    <w:rsid w:val="00B739F8"/>
    <w:rsid w:val="00B741F5"/>
    <w:rsid w:val="00B7436E"/>
    <w:rsid w:val="00B745F9"/>
    <w:rsid w:val="00B7476C"/>
    <w:rsid w:val="00B748AF"/>
    <w:rsid w:val="00B74B42"/>
    <w:rsid w:val="00B74BCB"/>
    <w:rsid w:val="00B74C29"/>
    <w:rsid w:val="00B74F37"/>
    <w:rsid w:val="00B75133"/>
    <w:rsid w:val="00B75B42"/>
    <w:rsid w:val="00B75EA4"/>
    <w:rsid w:val="00B761C3"/>
    <w:rsid w:val="00B76440"/>
    <w:rsid w:val="00B76590"/>
    <w:rsid w:val="00B76E9A"/>
    <w:rsid w:val="00B76FD2"/>
    <w:rsid w:val="00B770A1"/>
    <w:rsid w:val="00B771C0"/>
    <w:rsid w:val="00B7738A"/>
    <w:rsid w:val="00B774F8"/>
    <w:rsid w:val="00B775B8"/>
    <w:rsid w:val="00B778E1"/>
    <w:rsid w:val="00B77B66"/>
    <w:rsid w:val="00B77C38"/>
    <w:rsid w:val="00B8085C"/>
    <w:rsid w:val="00B80A1A"/>
    <w:rsid w:val="00B80AC1"/>
    <w:rsid w:val="00B80B5F"/>
    <w:rsid w:val="00B80C82"/>
    <w:rsid w:val="00B80EFE"/>
    <w:rsid w:val="00B80EFF"/>
    <w:rsid w:val="00B81135"/>
    <w:rsid w:val="00B8194C"/>
    <w:rsid w:val="00B81E82"/>
    <w:rsid w:val="00B81FF5"/>
    <w:rsid w:val="00B821A2"/>
    <w:rsid w:val="00B822FB"/>
    <w:rsid w:val="00B823D1"/>
    <w:rsid w:val="00B827FD"/>
    <w:rsid w:val="00B829A4"/>
    <w:rsid w:val="00B82D8E"/>
    <w:rsid w:val="00B836F5"/>
    <w:rsid w:val="00B838FA"/>
    <w:rsid w:val="00B83963"/>
    <w:rsid w:val="00B83B14"/>
    <w:rsid w:val="00B83DEF"/>
    <w:rsid w:val="00B84142"/>
    <w:rsid w:val="00B8434A"/>
    <w:rsid w:val="00B84578"/>
    <w:rsid w:val="00B84861"/>
    <w:rsid w:val="00B849B7"/>
    <w:rsid w:val="00B849BB"/>
    <w:rsid w:val="00B84A5A"/>
    <w:rsid w:val="00B84C48"/>
    <w:rsid w:val="00B8533A"/>
    <w:rsid w:val="00B8599C"/>
    <w:rsid w:val="00B85A7B"/>
    <w:rsid w:val="00B85A8E"/>
    <w:rsid w:val="00B85B1A"/>
    <w:rsid w:val="00B85D6D"/>
    <w:rsid w:val="00B86179"/>
    <w:rsid w:val="00B864D7"/>
    <w:rsid w:val="00B86636"/>
    <w:rsid w:val="00B86A0D"/>
    <w:rsid w:val="00B86A67"/>
    <w:rsid w:val="00B8718F"/>
    <w:rsid w:val="00B87331"/>
    <w:rsid w:val="00B874BC"/>
    <w:rsid w:val="00B879E9"/>
    <w:rsid w:val="00B87E81"/>
    <w:rsid w:val="00B87F40"/>
    <w:rsid w:val="00B90E1E"/>
    <w:rsid w:val="00B90EB5"/>
    <w:rsid w:val="00B9113A"/>
    <w:rsid w:val="00B91180"/>
    <w:rsid w:val="00B914E1"/>
    <w:rsid w:val="00B915F8"/>
    <w:rsid w:val="00B916D3"/>
    <w:rsid w:val="00B91A29"/>
    <w:rsid w:val="00B91EE3"/>
    <w:rsid w:val="00B91F05"/>
    <w:rsid w:val="00B91F21"/>
    <w:rsid w:val="00B92343"/>
    <w:rsid w:val="00B925BC"/>
    <w:rsid w:val="00B926C0"/>
    <w:rsid w:val="00B92793"/>
    <w:rsid w:val="00B92CBD"/>
    <w:rsid w:val="00B92F90"/>
    <w:rsid w:val="00B9317A"/>
    <w:rsid w:val="00B9381F"/>
    <w:rsid w:val="00B93A8C"/>
    <w:rsid w:val="00B93A98"/>
    <w:rsid w:val="00B93B69"/>
    <w:rsid w:val="00B93FDE"/>
    <w:rsid w:val="00B94BAF"/>
    <w:rsid w:val="00B95118"/>
    <w:rsid w:val="00B95961"/>
    <w:rsid w:val="00B95B23"/>
    <w:rsid w:val="00B95B7A"/>
    <w:rsid w:val="00B966C9"/>
    <w:rsid w:val="00B968B2"/>
    <w:rsid w:val="00B969D4"/>
    <w:rsid w:val="00B96BAE"/>
    <w:rsid w:val="00B96F32"/>
    <w:rsid w:val="00B971AC"/>
    <w:rsid w:val="00B972CD"/>
    <w:rsid w:val="00B9755F"/>
    <w:rsid w:val="00B97647"/>
    <w:rsid w:val="00B979FF"/>
    <w:rsid w:val="00B97CA4"/>
    <w:rsid w:val="00BA0256"/>
    <w:rsid w:val="00BA045C"/>
    <w:rsid w:val="00BA04F1"/>
    <w:rsid w:val="00BA05C0"/>
    <w:rsid w:val="00BA0723"/>
    <w:rsid w:val="00BA0C7E"/>
    <w:rsid w:val="00BA0E7B"/>
    <w:rsid w:val="00BA0ECE"/>
    <w:rsid w:val="00BA0ECF"/>
    <w:rsid w:val="00BA0F60"/>
    <w:rsid w:val="00BA1263"/>
    <w:rsid w:val="00BA12D5"/>
    <w:rsid w:val="00BA133F"/>
    <w:rsid w:val="00BA14DD"/>
    <w:rsid w:val="00BA1629"/>
    <w:rsid w:val="00BA20C3"/>
    <w:rsid w:val="00BA214E"/>
    <w:rsid w:val="00BA25A2"/>
    <w:rsid w:val="00BA25E0"/>
    <w:rsid w:val="00BA2AA0"/>
    <w:rsid w:val="00BA2AB8"/>
    <w:rsid w:val="00BA2F23"/>
    <w:rsid w:val="00BA34D7"/>
    <w:rsid w:val="00BA41DE"/>
    <w:rsid w:val="00BA43EE"/>
    <w:rsid w:val="00BA444E"/>
    <w:rsid w:val="00BA4508"/>
    <w:rsid w:val="00BA4BEC"/>
    <w:rsid w:val="00BA5577"/>
    <w:rsid w:val="00BA5770"/>
    <w:rsid w:val="00BA578B"/>
    <w:rsid w:val="00BA636A"/>
    <w:rsid w:val="00BA651E"/>
    <w:rsid w:val="00BA669F"/>
    <w:rsid w:val="00BA67B3"/>
    <w:rsid w:val="00BA6967"/>
    <w:rsid w:val="00BA6B7D"/>
    <w:rsid w:val="00BA6DAE"/>
    <w:rsid w:val="00BA711C"/>
    <w:rsid w:val="00BA711F"/>
    <w:rsid w:val="00BA7270"/>
    <w:rsid w:val="00BA749D"/>
    <w:rsid w:val="00BA74BF"/>
    <w:rsid w:val="00BA758C"/>
    <w:rsid w:val="00BA7964"/>
    <w:rsid w:val="00BB02B2"/>
    <w:rsid w:val="00BB06E1"/>
    <w:rsid w:val="00BB07C8"/>
    <w:rsid w:val="00BB0B97"/>
    <w:rsid w:val="00BB0D29"/>
    <w:rsid w:val="00BB1256"/>
    <w:rsid w:val="00BB13C9"/>
    <w:rsid w:val="00BB1425"/>
    <w:rsid w:val="00BB1485"/>
    <w:rsid w:val="00BB16A6"/>
    <w:rsid w:val="00BB173D"/>
    <w:rsid w:val="00BB1913"/>
    <w:rsid w:val="00BB2008"/>
    <w:rsid w:val="00BB20CA"/>
    <w:rsid w:val="00BB21ED"/>
    <w:rsid w:val="00BB2412"/>
    <w:rsid w:val="00BB2827"/>
    <w:rsid w:val="00BB28B2"/>
    <w:rsid w:val="00BB2ECF"/>
    <w:rsid w:val="00BB3293"/>
    <w:rsid w:val="00BB332C"/>
    <w:rsid w:val="00BB35E4"/>
    <w:rsid w:val="00BB37A6"/>
    <w:rsid w:val="00BB3E44"/>
    <w:rsid w:val="00BB42BF"/>
    <w:rsid w:val="00BB450E"/>
    <w:rsid w:val="00BB4510"/>
    <w:rsid w:val="00BB49DD"/>
    <w:rsid w:val="00BB5674"/>
    <w:rsid w:val="00BB56B3"/>
    <w:rsid w:val="00BB56DA"/>
    <w:rsid w:val="00BB5836"/>
    <w:rsid w:val="00BB5BB3"/>
    <w:rsid w:val="00BB5F55"/>
    <w:rsid w:val="00BB6159"/>
    <w:rsid w:val="00BB62D3"/>
    <w:rsid w:val="00BB64A0"/>
    <w:rsid w:val="00BB67DA"/>
    <w:rsid w:val="00BB69D7"/>
    <w:rsid w:val="00BB71EB"/>
    <w:rsid w:val="00BB73C0"/>
    <w:rsid w:val="00BB7B12"/>
    <w:rsid w:val="00BB7E37"/>
    <w:rsid w:val="00BC0025"/>
    <w:rsid w:val="00BC0201"/>
    <w:rsid w:val="00BC06B3"/>
    <w:rsid w:val="00BC07C3"/>
    <w:rsid w:val="00BC088D"/>
    <w:rsid w:val="00BC1589"/>
    <w:rsid w:val="00BC1DCA"/>
    <w:rsid w:val="00BC22A9"/>
    <w:rsid w:val="00BC2567"/>
    <w:rsid w:val="00BC25A7"/>
    <w:rsid w:val="00BC28B7"/>
    <w:rsid w:val="00BC2CC4"/>
    <w:rsid w:val="00BC2E6F"/>
    <w:rsid w:val="00BC3071"/>
    <w:rsid w:val="00BC31C3"/>
    <w:rsid w:val="00BC32F8"/>
    <w:rsid w:val="00BC34F8"/>
    <w:rsid w:val="00BC3B79"/>
    <w:rsid w:val="00BC3F58"/>
    <w:rsid w:val="00BC4357"/>
    <w:rsid w:val="00BC43D1"/>
    <w:rsid w:val="00BC4421"/>
    <w:rsid w:val="00BC4548"/>
    <w:rsid w:val="00BC47ED"/>
    <w:rsid w:val="00BC4E61"/>
    <w:rsid w:val="00BC4E65"/>
    <w:rsid w:val="00BC4EAC"/>
    <w:rsid w:val="00BC4EBD"/>
    <w:rsid w:val="00BC5761"/>
    <w:rsid w:val="00BC581F"/>
    <w:rsid w:val="00BC5A45"/>
    <w:rsid w:val="00BC5B3B"/>
    <w:rsid w:val="00BC5E06"/>
    <w:rsid w:val="00BC5F42"/>
    <w:rsid w:val="00BC5F88"/>
    <w:rsid w:val="00BC5FC1"/>
    <w:rsid w:val="00BC61B2"/>
    <w:rsid w:val="00BC63DE"/>
    <w:rsid w:val="00BC64D1"/>
    <w:rsid w:val="00BC6A76"/>
    <w:rsid w:val="00BC6AB5"/>
    <w:rsid w:val="00BC6C41"/>
    <w:rsid w:val="00BC6DBD"/>
    <w:rsid w:val="00BC6E80"/>
    <w:rsid w:val="00BC6E89"/>
    <w:rsid w:val="00BC74D4"/>
    <w:rsid w:val="00BC77DC"/>
    <w:rsid w:val="00BC797C"/>
    <w:rsid w:val="00BC7E5B"/>
    <w:rsid w:val="00BC7F38"/>
    <w:rsid w:val="00BD0349"/>
    <w:rsid w:val="00BD03E4"/>
    <w:rsid w:val="00BD13BB"/>
    <w:rsid w:val="00BD185E"/>
    <w:rsid w:val="00BD1AB9"/>
    <w:rsid w:val="00BD1F9D"/>
    <w:rsid w:val="00BD2283"/>
    <w:rsid w:val="00BD2992"/>
    <w:rsid w:val="00BD2C3B"/>
    <w:rsid w:val="00BD2E1D"/>
    <w:rsid w:val="00BD2F89"/>
    <w:rsid w:val="00BD349F"/>
    <w:rsid w:val="00BD393F"/>
    <w:rsid w:val="00BD403B"/>
    <w:rsid w:val="00BD4EA8"/>
    <w:rsid w:val="00BD4F31"/>
    <w:rsid w:val="00BD513C"/>
    <w:rsid w:val="00BD5262"/>
    <w:rsid w:val="00BD5266"/>
    <w:rsid w:val="00BD5488"/>
    <w:rsid w:val="00BD5629"/>
    <w:rsid w:val="00BD575D"/>
    <w:rsid w:val="00BD59B4"/>
    <w:rsid w:val="00BD5AED"/>
    <w:rsid w:val="00BD5EA0"/>
    <w:rsid w:val="00BD639E"/>
    <w:rsid w:val="00BD63E9"/>
    <w:rsid w:val="00BD653D"/>
    <w:rsid w:val="00BD6897"/>
    <w:rsid w:val="00BD7222"/>
    <w:rsid w:val="00BD724B"/>
    <w:rsid w:val="00BD767A"/>
    <w:rsid w:val="00BD76C8"/>
    <w:rsid w:val="00BD7802"/>
    <w:rsid w:val="00BD799A"/>
    <w:rsid w:val="00BD7D94"/>
    <w:rsid w:val="00BD7E75"/>
    <w:rsid w:val="00BD7F60"/>
    <w:rsid w:val="00BE0202"/>
    <w:rsid w:val="00BE06E2"/>
    <w:rsid w:val="00BE072D"/>
    <w:rsid w:val="00BE0C23"/>
    <w:rsid w:val="00BE0C82"/>
    <w:rsid w:val="00BE0F9E"/>
    <w:rsid w:val="00BE14A9"/>
    <w:rsid w:val="00BE1647"/>
    <w:rsid w:val="00BE1761"/>
    <w:rsid w:val="00BE1B21"/>
    <w:rsid w:val="00BE20CA"/>
    <w:rsid w:val="00BE23DA"/>
    <w:rsid w:val="00BE276E"/>
    <w:rsid w:val="00BE2E50"/>
    <w:rsid w:val="00BE2F30"/>
    <w:rsid w:val="00BE2FDF"/>
    <w:rsid w:val="00BE3242"/>
    <w:rsid w:val="00BE3732"/>
    <w:rsid w:val="00BE3784"/>
    <w:rsid w:val="00BE37B6"/>
    <w:rsid w:val="00BE393B"/>
    <w:rsid w:val="00BE43B7"/>
    <w:rsid w:val="00BE440B"/>
    <w:rsid w:val="00BE44EA"/>
    <w:rsid w:val="00BE4502"/>
    <w:rsid w:val="00BE4840"/>
    <w:rsid w:val="00BE485D"/>
    <w:rsid w:val="00BE495D"/>
    <w:rsid w:val="00BE4BFE"/>
    <w:rsid w:val="00BE5427"/>
    <w:rsid w:val="00BE5C20"/>
    <w:rsid w:val="00BE5CF3"/>
    <w:rsid w:val="00BE5FC4"/>
    <w:rsid w:val="00BE5FD9"/>
    <w:rsid w:val="00BE6718"/>
    <w:rsid w:val="00BE6809"/>
    <w:rsid w:val="00BE74C9"/>
    <w:rsid w:val="00BE7544"/>
    <w:rsid w:val="00BE7948"/>
    <w:rsid w:val="00BE7B69"/>
    <w:rsid w:val="00BE7BB5"/>
    <w:rsid w:val="00BE7BB9"/>
    <w:rsid w:val="00BF0F87"/>
    <w:rsid w:val="00BF1299"/>
    <w:rsid w:val="00BF1692"/>
    <w:rsid w:val="00BF1846"/>
    <w:rsid w:val="00BF194D"/>
    <w:rsid w:val="00BF1C10"/>
    <w:rsid w:val="00BF1FC1"/>
    <w:rsid w:val="00BF2182"/>
    <w:rsid w:val="00BF23F8"/>
    <w:rsid w:val="00BF280F"/>
    <w:rsid w:val="00BF2C7A"/>
    <w:rsid w:val="00BF2C84"/>
    <w:rsid w:val="00BF2CB9"/>
    <w:rsid w:val="00BF2DA9"/>
    <w:rsid w:val="00BF2F40"/>
    <w:rsid w:val="00BF3240"/>
    <w:rsid w:val="00BF32DD"/>
    <w:rsid w:val="00BF3792"/>
    <w:rsid w:val="00BF3813"/>
    <w:rsid w:val="00BF3A44"/>
    <w:rsid w:val="00BF3C5B"/>
    <w:rsid w:val="00BF3CCB"/>
    <w:rsid w:val="00BF3CD1"/>
    <w:rsid w:val="00BF3D79"/>
    <w:rsid w:val="00BF4379"/>
    <w:rsid w:val="00BF4630"/>
    <w:rsid w:val="00BF479A"/>
    <w:rsid w:val="00BF4835"/>
    <w:rsid w:val="00BF4873"/>
    <w:rsid w:val="00BF4911"/>
    <w:rsid w:val="00BF5169"/>
    <w:rsid w:val="00BF52DF"/>
    <w:rsid w:val="00BF55AB"/>
    <w:rsid w:val="00BF5A8B"/>
    <w:rsid w:val="00BF5ADD"/>
    <w:rsid w:val="00BF5B53"/>
    <w:rsid w:val="00BF5CCE"/>
    <w:rsid w:val="00BF68D0"/>
    <w:rsid w:val="00BF6BB4"/>
    <w:rsid w:val="00BF6D62"/>
    <w:rsid w:val="00BF7397"/>
    <w:rsid w:val="00BF7528"/>
    <w:rsid w:val="00BF79B2"/>
    <w:rsid w:val="00BF7CAC"/>
    <w:rsid w:val="00BF7CBA"/>
    <w:rsid w:val="00C006B8"/>
    <w:rsid w:val="00C00703"/>
    <w:rsid w:val="00C009F5"/>
    <w:rsid w:val="00C00B6D"/>
    <w:rsid w:val="00C010B1"/>
    <w:rsid w:val="00C013B8"/>
    <w:rsid w:val="00C01792"/>
    <w:rsid w:val="00C0179C"/>
    <w:rsid w:val="00C018DD"/>
    <w:rsid w:val="00C01AF3"/>
    <w:rsid w:val="00C022B5"/>
    <w:rsid w:val="00C0247E"/>
    <w:rsid w:val="00C02B5E"/>
    <w:rsid w:val="00C03159"/>
    <w:rsid w:val="00C0320B"/>
    <w:rsid w:val="00C03302"/>
    <w:rsid w:val="00C0333B"/>
    <w:rsid w:val="00C0344D"/>
    <w:rsid w:val="00C03AAC"/>
    <w:rsid w:val="00C03C46"/>
    <w:rsid w:val="00C03D81"/>
    <w:rsid w:val="00C03EF1"/>
    <w:rsid w:val="00C04108"/>
    <w:rsid w:val="00C04504"/>
    <w:rsid w:val="00C045E9"/>
    <w:rsid w:val="00C04958"/>
    <w:rsid w:val="00C04A7E"/>
    <w:rsid w:val="00C053FA"/>
    <w:rsid w:val="00C059D3"/>
    <w:rsid w:val="00C05A31"/>
    <w:rsid w:val="00C05A3E"/>
    <w:rsid w:val="00C05C2B"/>
    <w:rsid w:val="00C05C56"/>
    <w:rsid w:val="00C065BB"/>
    <w:rsid w:val="00C06670"/>
    <w:rsid w:val="00C06B11"/>
    <w:rsid w:val="00C06CA3"/>
    <w:rsid w:val="00C06FDE"/>
    <w:rsid w:val="00C071F9"/>
    <w:rsid w:val="00C073FC"/>
    <w:rsid w:val="00C07744"/>
    <w:rsid w:val="00C078D3"/>
    <w:rsid w:val="00C07959"/>
    <w:rsid w:val="00C07A91"/>
    <w:rsid w:val="00C1015F"/>
    <w:rsid w:val="00C10219"/>
    <w:rsid w:val="00C1064A"/>
    <w:rsid w:val="00C10F5C"/>
    <w:rsid w:val="00C110F0"/>
    <w:rsid w:val="00C113ED"/>
    <w:rsid w:val="00C118D6"/>
    <w:rsid w:val="00C12197"/>
    <w:rsid w:val="00C1257A"/>
    <w:rsid w:val="00C12D7E"/>
    <w:rsid w:val="00C13018"/>
    <w:rsid w:val="00C1407A"/>
    <w:rsid w:val="00C14357"/>
    <w:rsid w:val="00C1561E"/>
    <w:rsid w:val="00C157A1"/>
    <w:rsid w:val="00C158A2"/>
    <w:rsid w:val="00C1597B"/>
    <w:rsid w:val="00C15BD0"/>
    <w:rsid w:val="00C15C14"/>
    <w:rsid w:val="00C15EF1"/>
    <w:rsid w:val="00C1606A"/>
    <w:rsid w:val="00C16806"/>
    <w:rsid w:val="00C168CD"/>
    <w:rsid w:val="00C16C63"/>
    <w:rsid w:val="00C16D6F"/>
    <w:rsid w:val="00C16E80"/>
    <w:rsid w:val="00C16EA8"/>
    <w:rsid w:val="00C16F38"/>
    <w:rsid w:val="00C174BD"/>
    <w:rsid w:val="00C17503"/>
    <w:rsid w:val="00C17729"/>
    <w:rsid w:val="00C17C3C"/>
    <w:rsid w:val="00C17DC7"/>
    <w:rsid w:val="00C20ACC"/>
    <w:rsid w:val="00C20BE8"/>
    <w:rsid w:val="00C211E0"/>
    <w:rsid w:val="00C21344"/>
    <w:rsid w:val="00C213EE"/>
    <w:rsid w:val="00C215D2"/>
    <w:rsid w:val="00C216AD"/>
    <w:rsid w:val="00C219D7"/>
    <w:rsid w:val="00C21A3F"/>
    <w:rsid w:val="00C21D51"/>
    <w:rsid w:val="00C21DB8"/>
    <w:rsid w:val="00C21E1C"/>
    <w:rsid w:val="00C21F83"/>
    <w:rsid w:val="00C22229"/>
    <w:rsid w:val="00C222D2"/>
    <w:rsid w:val="00C2261B"/>
    <w:rsid w:val="00C226EF"/>
    <w:rsid w:val="00C22983"/>
    <w:rsid w:val="00C22A49"/>
    <w:rsid w:val="00C22B8A"/>
    <w:rsid w:val="00C22B9E"/>
    <w:rsid w:val="00C232C9"/>
    <w:rsid w:val="00C233D5"/>
    <w:rsid w:val="00C23AB1"/>
    <w:rsid w:val="00C23AD8"/>
    <w:rsid w:val="00C23AE5"/>
    <w:rsid w:val="00C23C57"/>
    <w:rsid w:val="00C23D34"/>
    <w:rsid w:val="00C23DC5"/>
    <w:rsid w:val="00C23E87"/>
    <w:rsid w:val="00C23F5E"/>
    <w:rsid w:val="00C24147"/>
    <w:rsid w:val="00C241FD"/>
    <w:rsid w:val="00C24539"/>
    <w:rsid w:val="00C24AFF"/>
    <w:rsid w:val="00C24F32"/>
    <w:rsid w:val="00C24FE7"/>
    <w:rsid w:val="00C2539A"/>
    <w:rsid w:val="00C255C7"/>
    <w:rsid w:val="00C25A1D"/>
    <w:rsid w:val="00C25AD8"/>
    <w:rsid w:val="00C25D24"/>
    <w:rsid w:val="00C264C0"/>
    <w:rsid w:val="00C265CB"/>
    <w:rsid w:val="00C26806"/>
    <w:rsid w:val="00C26C40"/>
    <w:rsid w:val="00C27271"/>
    <w:rsid w:val="00C27304"/>
    <w:rsid w:val="00C27576"/>
    <w:rsid w:val="00C27809"/>
    <w:rsid w:val="00C279BD"/>
    <w:rsid w:val="00C27D8C"/>
    <w:rsid w:val="00C27F1C"/>
    <w:rsid w:val="00C27F80"/>
    <w:rsid w:val="00C30402"/>
    <w:rsid w:val="00C30493"/>
    <w:rsid w:val="00C30841"/>
    <w:rsid w:val="00C30E63"/>
    <w:rsid w:val="00C30E7C"/>
    <w:rsid w:val="00C31266"/>
    <w:rsid w:val="00C31327"/>
    <w:rsid w:val="00C31408"/>
    <w:rsid w:val="00C31433"/>
    <w:rsid w:val="00C31C6A"/>
    <w:rsid w:val="00C3215D"/>
    <w:rsid w:val="00C3227C"/>
    <w:rsid w:val="00C3254B"/>
    <w:rsid w:val="00C32728"/>
    <w:rsid w:val="00C327F6"/>
    <w:rsid w:val="00C3280E"/>
    <w:rsid w:val="00C329B9"/>
    <w:rsid w:val="00C32B5F"/>
    <w:rsid w:val="00C32CB0"/>
    <w:rsid w:val="00C32EA0"/>
    <w:rsid w:val="00C32FA5"/>
    <w:rsid w:val="00C33204"/>
    <w:rsid w:val="00C3339C"/>
    <w:rsid w:val="00C335B7"/>
    <w:rsid w:val="00C3364A"/>
    <w:rsid w:val="00C3384A"/>
    <w:rsid w:val="00C339FB"/>
    <w:rsid w:val="00C33C72"/>
    <w:rsid w:val="00C34404"/>
    <w:rsid w:val="00C34584"/>
    <w:rsid w:val="00C348C2"/>
    <w:rsid w:val="00C3492F"/>
    <w:rsid w:val="00C34BEA"/>
    <w:rsid w:val="00C34FDE"/>
    <w:rsid w:val="00C3547F"/>
    <w:rsid w:val="00C354B9"/>
    <w:rsid w:val="00C35A2D"/>
    <w:rsid w:val="00C35AF3"/>
    <w:rsid w:val="00C35CC9"/>
    <w:rsid w:val="00C35D5D"/>
    <w:rsid w:val="00C35F4C"/>
    <w:rsid w:val="00C36103"/>
    <w:rsid w:val="00C3614C"/>
    <w:rsid w:val="00C373D5"/>
    <w:rsid w:val="00C376F4"/>
    <w:rsid w:val="00C3777C"/>
    <w:rsid w:val="00C378E3"/>
    <w:rsid w:val="00C37B7C"/>
    <w:rsid w:val="00C37EC9"/>
    <w:rsid w:val="00C4005A"/>
    <w:rsid w:val="00C402F7"/>
    <w:rsid w:val="00C403A2"/>
    <w:rsid w:val="00C40804"/>
    <w:rsid w:val="00C40AEF"/>
    <w:rsid w:val="00C40EEF"/>
    <w:rsid w:val="00C41759"/>
    <w:rsid w:val="00C419CB"/>
    <w:rsid w:val="00C41E2C"/>
    <w:rsid w:val="00C421C8"/>
    <w:rsid w:val="00C42436"/>
    <w:rsid w:val="00C4254A"/>
    <w:rsid w:val="00C4260D"/>
    <w:rsid w:val="00C42CDB"/>
    <w:rsid w:val="00C43234"/>
    <w:rsid w:val="00C43697"/>
    <w:rsid w:val="00C4378A"/>
    <w:rsid w:val="00C43851"/>
    <w:rsid w:val="00C438E0"/>
    <w:rsid w:val="00C439B9"/>
    <w:rsid w:val="00C43ACB"/>
    <w:rsid w:val="00C43AF1"/>
    <w:rsid w:val="00C43C2F"/>
    <w:rsid w:val="00C43D31"/>
    <w:rsid w:val="00C440B7"/>
    <w:rsid w:val="00C440D7"/>
    <w:rsid w:val="00C4430F"/>
    <w:rsid w:val="00C448B7"/>
    <w:rsid w:val="00C4492C"/>
    <w:rsid w:val="00C4492F"/>
    <w:rsid w:val="00C45226"/>
    <w:rsid w:val="00C458CB"/>
    <w:rsid w:val="00C45937"/>
    <w:rsid w:val="00C45B9F"/>
    <w:rsid w:val="00C46193"/>
    <w:rsid w:val="00C462C6"/>
    <w:rsid w:val="00C4664C"/>
    <w:rsid w:val="00C4674E"/>
    <w:rsid w:val="00C468AD"/>
    <w:rsid w:val="00C476A2"/>
    <w:rsid w:val="00C4770E"/>
    <w:rsid w:val="00C479A9"/>
    <w:rsid w:val="00C479C0"/>
    <w:rsid w:val="00C479F4"/>
    <w:rsid w:val="00C47D73"/>
    <w:rsid w:val="00C47E81"/>
    <w:rsid w:val="00C47E90"/>
    <w:rsid w:val="00C47F92"/>
    <w:rsid w:val="00C500E4"/>
    <w:rsid w:val="00C501A4"/>
    <w:rsid w:val="00C501C1"/>
    <w:rsid w:val="00C507F3"/>
    <w:rsid w:val="00C5084E"/>
    <w:rsid w:val="00C5085F"/>
    <w:rsid w:val="00C50897"/>
    <w:rsid w:val="00C50B5B"/>
    <w:rsid w:val="00C50C43"/>
    <w:rsid w:val="00C50EFD"/>
    <w:rsid w:val="00C51510"/>
    <w:rsid w:val="00C51648"/>
    <w:rsid w:val="00C51E83"/>
    <w:rsid w:val="00C5225B"/>
    <w:rsid w:val="00C5266C"/>
    <w:rsid w:val="00C5286F"/>
    <w:rsid w:val="00C5293D"/>
    <w:rsid w:val="00C52DAE"/>
    <w:rsid w:val="00C52F98"/>
    <w:rsid w:val="00C53173"/>
    <w:rsid w:val="00C53A08"/>
    <w:rsid w:val="00C53A8A"/>
    <w:rsid w:val="00C53C3A"/>
    <w:rsid w:val="00C53C81"/>
    <w:rsid w:val="00C53CD4"/>
    <w:rsid w:val="00C53D57"/>
    <w:rsid w:val="00C53FC4"/>
    <w:rsid w:val="00C540ED"/>
    <w:rsid w:val="00C541FC"/>
    <w:rsid w:val="00C543A1"/>
    <w:rsid w:val="00C54494"/>
    <w:rsid w:val="00C54C0F"/>
    <w:rsid w:val="00C559EF"/>
    <w:rsid w:val="00C55B44"/>
    <w:rsid w:val="00C5617C"/>
    <w:rsid w:val="00C561BF"/>
    <w:rsid w:val="00C562AD"/>
    <w:rsid w:val="00C5670E"/>
    <w:rsid w:val="00C568A3"/>
    <w:rsid w:val="00C56916"/>
    <w:rsid w:val="00C56A5C"/>
    <w:rsid w:val="00C56B5B"/>
    <w:rsid w:val="00C56E42"/>
    <w:rsid w:val="00C56F07"/>
    <w:rsid w:val="00C572EA"/>
    <w:rsid w:val="00C5750D"/>
    <w:rsid w:val="00C57872"/>
    <w:rsid w:val="00C57A3A"/>
    <w:rsid w:val="00C57CFA"/>
    <w:rsid w:val="00C57D49"/>
    <w:rsid w:val="00C600E6"/>
    <w:rsid w:val="00C600F9"/>
    <w:rsid w:val="00C60192"/>
    <w:rsid w:val="00C605A9"/>
    <w:rsid w:val="00C607AF"/>
    <w:rsid w:val="00C607F3"/>
    <w:rsid w:val="00C608A6"/>
    <w:rsid w:val="00C60D1D"/>
    <w:rsid w:val="00C60DA7"/>
    <w:rsid w:val="00C61292"/>
    <w:rsid w:val="00C6143A"/>
    <w:rsid w:val="00C619F5"/>
    <w:rsid w:val="00C61A25"/>
    <w:rsid w:val="00C61C06"/>
    <w:rsid w:val="00C62186"/>
    <w:rsid w:val="00C62432"/>
    <w:rsid w:val="00C626AA"/>
    <w:rsid w:val="00C629EC"/>
    <w:rsid w:val="00C6301C"/>
    <w:rsid w:val="00C631DF"/>
    <w:rsid w:val="00C63534"/>
    <w:rsid w:val="00C63A7A"/>
    <w:rsid w:val="00C643C1"/>
    <w:rsid w:val="00C644B0"/>
    <w:rsid w:val="00C64725"/>
    <w:rsid w:val="00C648AD"/>
    <w:rsid w:val="00C64AA9"/>
    <w:rsid w:val="00C6534E"/>
    <w:rsid w:val="00C65424"/>
    <w:rsid w:val="00C6562E"/>
    <w:rsid w:val="00C658DD"/>
    <w:rsid w:val="00C65E3F"/>
    <w:rsid w:val="00C65E49"/>
    <w:rsid w:val="00C65EF5"/>
    <w:rsid w:val="00C663B3"/>
    <w:rsid w:val="00C665A4"/>
    <w:rsid w:val="00C668DA"/>
    <w:rsid w:val="00C66F9E"/>
    <w:rsid w:val="00C67147"/>
    <w:rsid w:val="00C6714D"/>
    <w:rsid w:val="00C67561"/>
    <w:rsid w:val="00C677C0"/>
    <w:rsid w:val="00C67E96"/>
    <w:rsid w:val="00C67F3D"/>
    <w:rsid w:val="00C70681"/>
    <w:rsid w:val="00C70A24"/>
    <w:rsid w:val="00C70A4C"/>
    <w:rsid w:val="00C70B15"/>
    <w:rsid w:val="00C70B6E"/>
    <w:rsid w:val="00C70C7B"/>
    <w:rsid w:val="00C7127A"/>
    <w:rsid w:val="00C7187B"/>
    <w:rsid w:val="00C718E8"/>
    <w:rsid w:val="00C71A99"/>
    <w:rsid w:val="00C71CBB"/>
    <w:rsid w:val="00C72347"/>
    <w:rsid w:val="00C7288C"/>
    <w:rsid w:val="00C72AD2"/>
    <w:rsid w:val="00C72E9C"/>
    <w:rsid w:val="00C72F97"/>
    <w:rsid w:val="00C72F9D"/>
    <w:rsid w:val="00C735A2"/>
    <w:rsid w:val="00C73704"/>
    <w:rsid w:val="00C73926"/>
    <w:rsid w:val="00C739E9"/>
    <w:rsid w:val="00C73B0C"/>
    <w:rsid w:val="00C74390"/>
    <w:rsid w:val="00C7447E"/>
    <w:rsid w:val="00C74786"/>
    <w:rsid w:val="00C7485A"/>
    <w:rsid w:val="00C74888"/>
    <w:rsid w:val="00C74C19"/>
    <w:rsid w:val="00C75037"/>
    <w:rsid w:val="00C75136"/>
    <w:rsid w:val="00C757B3"/>
    <w:rsid w:val="00C75C9D"/>
    <w:rsid w:val="00C76168"/>
    <w:rsid w:val="00C7621F"/>
    <w:rsid w:val="00C7636B"/>
    <w:rsid w:val="00C7638D"/>
    <w:rsid w:val="00C76702"/>
    <w:rsid w:val="00C76F39"/>
    <w:rsid w:val="00C76FD3"/>
    <w:rsid w:val="00C77109"/>
    <w:rsid w:val="00C772A7"/>
    <w:rsid w:val="00C77C76"/>
    <w:rsid w:val="00C77C95"/>
    <w:rsid w:val="00C8018E"/>
    <w:rsid w:val="00C80400"/>
    <w:rsid w:val="00C804E2"/>
    <w:rsid w:val="00C8077F"/>
    <w:rsid w:val="00C807A1"/>
    <w:rsid w:val="00C80849"/>
    <w:rsid w:val="00C80F60"/>
    <w:rsid w:val="00C8178D"/>
    <w:rsid w:val="00C8201A"/>
    <w:rsid w:val="00C82071"/>
    <w:rsid w:val="00C82265"/>
    <w:rsid w:val="00C822C8"/>
    <w:rsid w:val="00C8239F"/>
    <w:rsid w:val="00C825F2"/>
    <w:rsid w:val="00C82634"/>
    <w:rsid w:val="00C82715"/>
    <w:rsid w:val="00C82AA3"/>
    <w:rsid w:val="00C82BD8"/>
    <w:rsid w:val="00C82D4C"/>
    <w:rsid w:val="00C83389"/>
    <w:rsid w:val="00C83BF9"/>
    <w:rsid w:val="00C83C65"/>
    <w:rsid w:val="00C83CA2"/>
    <w:rsid w:val="00C83D0E"/>
    <w:rsid w:val="00C83E40"/>
    <w:rsid w:val="00C842DF"/>
    <w:rsid w:val="00C84581"/>
    <w:rsid w:val="00C84A6D"/>
    <w:rsid w:val="00C84B93"/>
    <w:rsid w:val="00C85100"/>
    <w:rsid w:val="00C8521A"/>
    <w:rsid w:val="00C8542E"/>
    <w:rsid w:val="00C85ACF"/>
    <w:rsid w:val="00C85DC0"/>
    <w:rsid w:val="00C85E28"/>
    <w:rsid w:val="00C85EC7"/>
    <w:rsid w:val="00C860D6"/>
    <w:rsid w:val="00C86A81"/>
    <w:rsid w:val="00C86D03"/>
    <w:rsid w:val="00C87001"/>
    <w:rsid w:val="00C870B3"/>
    <w:rsid w:val="00C8738E"/>
    <w:rsid w:val="00C9017E"/>
    <w:rsid w:val="00C905B5"/>
    <w:rsid w:val="00C90647"/>
    <w:rsid w:val="00C90898"/>
    <w:rsid w:val="00C90CD6"/>
    <w:rsid w:val="00C90D47"/>
    <w:rsid w:val="00C90DE5"/>
    <w:rsid w:val="00C90E5C"/>
    <w:rsid w:val="00C913FB"/>
    <w:rsid w:val="00C915B7"/>
    <w:rsid w:val="00C91628"/>
    <w:rsid w:val="00C91EF2"/>
    <w:rsid w:val="00C92557"/>
    <w:rsid w:val="00C925BE"/>
    <w:rsid w:val="00C92607"/>
    <w:rsid w:val="00C926D8"/>
    <w:rsid w:val="00C929BF"/>
    <w:rsid w:val="00C92D18"/>
    <w:rsid w:val="00C92DEB"/>
    <w:rsid w:val="00C92E74"/>
    <w:rsid w:val="00C930CB"/>
    <w:rsid w:val="00C93796"/>
    <w:rsid w:val="00C93B1E"/>
    <w:rsid w:val="00C93D43"/>
    <w:rsid w:val="00C93E67"/>
    <w:rsid w:val="00C942D4"/>
    <w:rsid w:val="00C94864"/>
    <w:rsid w:val="00C9496B"/>
    <w:rsid w:val="00C94C9B"/>
    <w:rsid w:val="00C950D8"/>
    <w:rsid w:val="00C95204"/>
    <w:rsid w:val="00C9539E"/>
    <w:rsid w:val="00C956C6"/>
    <w:rsid w:val="00C95A0A"/>
    <w:rsid w:val="00C95CAF"/>
    <w:rsid w:val="00C96188"/>
    <w:rsid w:val="00C961A7"/>
    <w:rsid w:val="00C961BA"/>
    <w:rsid w:val="00C96B95"/>
    <w:rsid w:val="00C96BA5"/>
    <w:rsid w:val="00C96D6C"/>
    <w:rsid w:val="00C97424"/>
    <w:rsid w:val="00C979B4"/>
    <w:rsid w:val="00C979D3"/>
    <w:rsid w:val="00C97C0F"/>
    <w:rsid w:val="00C97D38"/>
    <w:rsid w:val="00C97E00"/>
    <w:rsid w:val="00C97FDC"/>
    <w:rsid w:val="00CA060E"/>
    <w:rsid w:val="00CA080C"/>
    <w:rsid w:val="00CA0BAD"/>
    <w:rsid w:val="00CA13D3"/>
    <w:rsid w:val="00CA183A"/>
    <w:rsid w:val="00CA18E5"/>
    <w:rsid w:val="00CA1ADE"/>
    <w:rsid w:val="00CA1AE0"/>
    <w:rsid w:val="00CA1FEF"/>
    <w:rsid w:val="00CA23E0"/>
    <w:rsid w:val="00CA24AB"/>
    <w:rsid w:val="00CA24F2"/>
    <w:rsid w:val="00CA2750"/>
    <w:rsid w:val="00CA2905"/>
    <w:rsid w:val="00CA29BD"/>
    <w:rsid w:val="00CA2D1A"/>
    <w:rsid w:val="00CA3643"/>
    <w:rsid w:val="00CA36A1"/>
    <w:rsid w:val="00CA3A22"/>
    <w:rsid w:val="00CA3AB7"/>
    <w:rsid w:val="00CA3D90"/>
    <w:rsid w:val="00CA4236"/>
    <w:rsid w:val="00CA42D3"/>
    <w:rsid w:val="00CA4A79"/>
    <w:rsid w:val="00CA4C8B"/>
    <w:rsid w:val="00CA4D2F"/>
    <w:rsid w:val="00CA51AA"/>
    <w:rsid w:val="00CA5252"/>
    <w:rsid w:val="00CA5C25"/>
    <w:rsid w:val="00CA5C41"/>
    <w:rsid w:val="00CA5C68"/>
    <w:rsid w:val="00CA62E5"/>
    <w:rsid w:val="00CA66ED"/>
    <w:rsid w:val="00CA6823"/>
    <w:rsid w:val="00CA6F4A"/>
    <w:rsid w:val="00CA6F85"/>
    <w:rsid w:val="00CA7595"/>
    <w:rsid w:val="00CA767E"/>
    <w:rsid w:val="00CA7FB3"/>
    <w:rsid w:val="00CB01CD"/>
    <w:rsid w:val="00CB020C"/>
    <w:rsid w:val="00CB049D"/>
    <w:rsid w:val="00CB0718"/>
    <w:rsid w:val="00CB091A"/>
    <w:rsid w:val="00CB0A1F"/>
    <w:rsid w:val="00CB0AD5"/>
    <w:rsid w:val="00CB0C4D"/>
    <w:rsid w:val="00CB0D09"/>
    <w:rsid w:val="00CB19AE"/>
    <w:rsid w:val="00CB1DA2"/>
    <w:rsid w:val="00CB1E83"/>
    <w:rsid w:val="00CB1EF7"/>
    <w:rsid w:val="00CB1F7D"/>
    <w:rsid w:val="00CB212A"/>
    <w:rsid w:val="00CB24BD"/>
    <w:rsid w:val="00CB273D"/>
    <w:rsid w:val="00CB2894"/>
    <w:rsid w:val="00CB28EA"/>
    <w:rsid w:val="00CB29BB"/>
    <w:rsid w:val="00CB3341"/>
    <w:rsid w:val="00CB34AF"/>
    <w:rsid w:val="00CB37D7"/>
    <w:rsid w:val="00CB3DFD"/>
    <w:rsid w:val="00CB408A"/>
    <w:rsid w:val="00CB4403"/>
    <w:rsid w:val="00CB45AC"/>
    <w:rsid w:val="00CB4EDA"/>
    <w:rsid w:val="00CB4F21"/>
    <w:rsid w:val="00CB5275"/>
    <w:rsid w:val="00CB5385"/>
    <w:rsid w:val="00CB53F9"/>
    <w:rsid w:val="00CB5592"/>
    <w:rsid w:val="00CB5BD0"/>
    <w:rsid w:val="00CB6164"/>
    <w:rsid w:val="00CB6278"/>
    <w:rsid w:val="00CB6CEF"/>
    <w:rsid w:val="00CB6E9C"/>
    <w:rsid w:val="00CB6FE9"/>
    <w:rsid w:val="00CB7045"/>
    <w:rsid w:val="00CB7090"/>
    <w:rsid w:val="00CB70A2"/>
    <w:rsid w:val="00CB747E"/>
    <w:rsid w:val="00CB74E5"/>
    <w:rsid w:val="00CB74EE"/>
    <w:rsid w:val="00CB767E"/>
    <w:rsid w:val="00CB7E06"/>
    <w:rsid w:val="00CB7EFB"/>
    <w:rsid w:val="00CC0007"/>
    <w:rsid w:val="00CC05E9"/>
    <w:rsid w:val="00CC0A4E"/>
    <w:rsid w:val="00CC0BD6"/>
    <w:rsid w:val="00CC11FB"/>
    <w:rsid w:val="00CC17C6"/>
    <w:rsid w:val="00CC1A3E"/>
    <w:rsid w:val="00CC1CC8"/>
    <w:rsid w:val="00CC1D54"/>
    <w:rsid w:val="00CC1E75"/>
    <w:rsid w:val="00CC1F55"/>
    <w:rsid w:val="00CC200B"/>
    <w:rsid w:val="00CC216D"/>
    <w:rsid w:val="00CC26AF"/>
    <w:rsid w:val="00CC2C97"/>
    <w:rsid w:val="00CC2E85"/>
    <w:rsid w:val="00CC361C"/>
    <w:rsid w:val="00CC3800"/>
    <w:rsid w:val="00CC3FDD"/>
    <w:rsid w:val="00CC40F8"/>
    <w:rsid w:val="00CC4389"/>
    <w:rsid w:val="00CC4ABB"/>
    <w:rsid w:val="00CC4B94"/>
    <w:rsid w:val="00CC4C5D"/>
    <w:rsid w:val="00CC4D92"/>
    <w:rsid w:val="00CC4E56"/>
    <w:rsid w:val="00CC5347"/>
    <w:rsid w:val="00CC5384"/>
    <w:rsid w:val="00CC5484"/>
    <w:rsid w:val="00CC5714"/>
    <w:rsid w:val="00CC5D71"/>
    <w:rsid w:val="00CC5E5B"/>
    <w:rsid w:val="00CC61E0"/>
    <w:rsid w:val="00CC6F80"/>
    <w:rsid w:val="00CC6FE8"/>
    <w:rsid w:val="00CC73EE"/>
    <w:rsid w:val="00CC76D2"/>
    <w:rsid w:val="00CC76FE"/>
    <w:rsid w:val="00CC770F"/>
    <w:rsid w:val="00CC7EC6"/>
    <w:rsid w:val="00CD004F"/>
    <w:rsid w:val="00CD02DD"/>
    <w:rsid w:val="00CD05D2"/>
    <w:rsid w:val="00CD063D"/>
    <w:rsid w:val="00CD088C"/>
    <w:rsid w:val="00CD0D84"/>
    <w:rsid w:val="00CD148B"/>
    <w:rsid w:val="00CD1502"/>
    <w:rsid w:val="00CD1547"/>
    <w:rsid w:val="00CD16C8"/>
    <w:rsid w:val="00CD2001"/>
    <w:rsid w:val="00CD226F"/>
    <w:rsid w:val="00CD2E6A"/>
    <w:rsid w:val="00CD2F1D"/>
    <w:rsid w:val="00CD360E"/>
    <w:rsid w:val="00CD3A42"/>
    <w:rsid w:val="00CD3F67"/>
    <w:rsid w:val="00CD3FD8"/>
    <w:rsid w:val="00CD3FFF"/>
    <w:rsid w:val="00CD40A4"/>
    <w:rsid w:val="00CD44B7"/>
    <w:rsid w:val="00CD4663"/>
    <w:rsid w:val="00CD496E"/>
    <w:rsid w:val="00CD4A7C"/>
    <w:rsid w:val="00CD4B35"/>
    <w:rsid w:val="00CD5274"/>
    <w:rsid w:val="00CD58F8"/>
    <w:rsid w:val="00CD5B80"/>
    <w:rsid w:val="00CD5BED"/>
    <w:rsid w:val="00CD5F81"/>
    <w:rsid w:val="00CD669B"/>
    <w:rsid w:val="00CD697F"/>
    <w:rsid w:val="00CD6A64"/>
    <w:rsid w:val="00CD6E1B"/>
    <w:rsid w:val="00CD6E6C"/>
    <w:rsid w:val="00CD6EC7"/>
    <w:rsid w:val="00CD7D72"/>
    <w:rsid w:val="00CD7D87"/>
    <w:rsid w:val="00CD7DCC"/>
    <w:rsid w:val="00CE031E"/>
    <w:rsid w:val="00CE0355"/>
    <w:rsid w:val="00CE04A6"/>
    <w:rsid w:val="00CE05D4"/>
    <w:rsid w:val="00CE0673"/>
    <w:rsid w:val="00CE0B6C"/>
    <w:rsid w:val="00CE0EE8"/>
    <w:rsid w:val="00CE1371"/>
    <w:rsid w:val="00CE13B3"/>
    <w:rsid w:val="00CE1436"/>
    <w:rsid w:val="00CE17F7"/>
    <w:rsid w:val="00CE1A7C"/>
    <w:rsid w:val="00CE1C15"/>
    <w:rsid w:val="00CE1DC2"/>
    <w:rsid w:val="00CE1F4B"/>
    <w:rsid w:val="00CE20A7"/>
    <w:rsid w:val="00CE255D"/>
    <w:rsid w:val="00CE258A"/>
    <w:rsid w:val="00CE25DB"/>
    <w:rsid w:val="00CE2A83"/>
    <w:rsid w:val="00CE3018"/>
    <w:rsid w:val="00CE3408"/>
    <w:rsid w:val="00CE3430"/>
    <w:rsid w:val="00CE37F1"/>
    <w:rsid w:val="00CE3DBC"/>
    <w:rsid w:val="00CE4643"/>
    <w:rsid w:val="00CE4BF8"/>
    <w:rsid w:val="00CE5317"/>
    <w:rsid w:val="00CE5B40"/>
    <w:rsid w:val="00CE5B54"/>
    <w:rsid w:val="00CE5C2F"/>
    <w:rsid w:val="00CE5C5F"/>
    <w:rsid w:val="00CE5D5E"/>
    <w:rsid w:val="00CE61D7"/>
    <w:rsid w:val="00CE63A7"/>
    <w:rsid w:val="00CE6E13"/>
    <w:rsid w:val="00CE6F66"/>
    <w:rsid w:val="00CE7371"/>
    <w:rsid w:val="00CE77E1"/>
    <w:rsid w:val="00CE7BB1"/>
    <w:rsid w:val="00CE7F08"/>
    <w:rsid w:val="00CE7FEA"/>
    <w:rsid w:val="00CF0187"/>
    <w:rsid w:val="00CF025F"/>
    <w:rsid w:val="00CF0442"/>
    <w:rsid w:val="00CF0768"/>
    <w:rsid w:val="00CF0F12"/>
    <w:rsid w:val="00CF0F9C"/>
    <w:rsid w:val="00CF1124"/>
    <w:rsid w:val="00CF12C4"/>
    <w:rsid w:val="00CF13F0"/>
    <w:rsid w:val="00CF1488"/>
    <w:rsid w:val="00CF1528"/>
    <w:rsid w:val="00CF1606"/>
    <w:rsid w:val="00CF1832"/>
    <w:rsid w:val="00CF18F7"/>
    <w:rsid w:val="00CF193C"/>
    <w:rsid w:val="00CF1CCC"/>
    <w:rsid w:val="00CF1E86"/>
    <w:rsid w:val="00CF1F06"/>
    <w:rsid w:val="00CF2292"/>
    <w:rsid w:val="00CF2394"/>
    <w:rsid w:val="00CF2433"/>
    <w:rsid w:val="00CF2631"/>
    <w:rsid w:val="00CF29FF"/>
    <w:rsid w:val="00CF2E5A"/>
    <w:rsid w:val="00CF3109"/>
    <w:rsid w:val="00CF3195"/>
    <w:rsid w:val="00CF340B"/>
    <w:rsid w:val="00CF37DE"/>
    <w:rsid w:val="00CF3872"/>
    <w:rsid w:val="00CF39D3"/>
    <w:rsid w:val="00CF39EC"/>
    <w:rsid w:val="00CF3AF6"/>
    <w:rsid w:val="00CF3BD4"/>
    <w:rsid w:val="00CF3F73"/>
    <w:rsid w:val="00CF4503"/>
    <w:rsid w:val="00CF4746"/>
    <w:rsid w:val="00CF4C53"/>
    <w:rsid w:val="00CF4F2B"/>
    <w:rsid w:val="00CF5209"/>
    <w:rsid w:val="00CF551D"/>
    <w:rsid w:val="00CF57D7"/>
    <w:rsid w:val="00CF58AF"/>
    <w:rsid w:val="00CF5A5E"/>
    <w:rsid w:val="00CF5DBF"/>
    <w:rsid w:val="00CF5E6C"/>
    <w:rsid w:val="00CF609F"/>
    <w:rsid w:val="00CF6DC5"/>
    <w:rsid w:val="00CF6E18"/>
    <w:rsid w:val="00CF6F68"/>
    <w:rsid w:val="00CF6FE8"/>
    <w:rsid w:val="00CF70B3"/>
    <w:rsid w:val="00CF716E"/>
    <w:rsid w:val="00CF7909"/>
    <w:rsid w:val="00CF7990"/>
    <w:rsid w:val="00CF7DD4"/>
    <w:rsid w:val="00CF7F95"/>
    <w:rsid w:val="00D00007"/>
    <w:rsid w:val="00D00197"/>
    <w:rsid w:val="00D0035F"/>
    <w:rsid w:val="00D00486"/>
    <w:rsid w:val="00D0095D"/>
    <w:rsid w:val="00D0098F"/>
    <w:rsid w:val="00D00AAF"/>
    <w:rsid w:val="00D00C62"/>
    <w:rsid w:val="00D00D10"/>
    <w:rsid w:val="00D00FA9"/>
    <w:rsid w:val="00D0104F"/>
    <w:rsid w:val="00D010DE"/>
    <w:rsid w:val="00D01641"/>
    <w:rsid w:val="00D01A73"/>
    <w:rsid w:val="00D01EC8"/>
    <w:rsid w:val="00D021D0"/>
    <w:rsid w:val="00D0240C"/>
    <w:rsid w:val="00D02AA1"/>
    <w:rsid w:val="00D02AA2"/>
    <w:rsid w:val="00D02C30"/>
    <w:rsid w:val="00D02C71"/>
    <w:rsid w:val="00D03056"/>
    <w:rsid w:val="00D030D8"/>
    <w:rsid w:val="00D03247"/>
    <w:rsid w:val="00D032AC"/>
    <w:rsid w:val="00D034B9"/>
    <w:rsid w:val="00D036EB"/>
    <w:rsid w:val="00D0372A"/>
    <w:rsid w:val="00D03D5D"/>
    <w:rsid w:val="00D040D0"/>
    <w:rsid w:val="00D0439C"/>
    <w:rsid w:val="00D049E5"/>
    <w:rsid w:val="00D04A5D"/>
    <w:rsid w:val="00D04C02"/>
    <w:rsid w:val="00D04F1D"/>
    <w:rsid w:val="00D050B9"/>
    <w:rsid w:val="00D05174"/>
    <w:rsid w:val="00D0558A"/>
    <w:rsid w:val="00D05D40"/>
    <w:rsid w:val="00D061B5"/>
    <w:rsid w:val="00D06348"/>
    <w:rsid w:val="00D06596"/>
    <w:rsid w:val="00D06AF2"/>
    <w:rsid w:val="00D0704B"/>
    <w:rsid w:val="00D07388"/>
    <w:rsid w:val="00D0758C"/>
    <w:rsid w:val="00D079F3"/>
    <w:rsid w:val="00D07ABF"/>
    <w:rsid w:val="00D07B51"/>
    <w:rsid w:val="00D07F48"/>
    <w:rsid w:val="00D1044D"/>
    <w:rsid w:val="00D107F9"/>
    <w:rsid w:val="00D10A3E"/>
    <w:rsid w:val="00D10AE1"/>
    <w:rsid w:val="00D10B96"/>
    <w:rsid w:val="00D10F61"/>
    <w:rsid w:val="00D11420"/>
    <w:rsid w:val="00D11491"/>
    <w:rsid w:val="00D1152E"/>
    <w:rsid w:val="00D11988"/>
    <w:rsid w:val="00D11FD4"/>
    <w:rsid w:val="00D12B35"/>
    <w:rsid w:val="00D12D6B"/>
    <w:rsid w:val="00D130F0"/>
    <w:rsid w:val="00D1314F"/>
    <w:rsid w:val="00D13224"/>
    <w:rsid w:val="00D132B8"/>
    <w:rsid w:val="00D13860"/>
    <w:rsid w:val="00D13B2F"/>
    <w:rsid w:val="00D13C82"/>
    <w:rsid w:val="00D13D51"/>
    <w:rsid w:val="00D140D3"/>
    <w:rsid w:val="00D14235"/>
    <w:rsid w:val="00D14636"/>
    <w:rsid w:val="00D14E0A"/>
    <w:rsid w:val="00D14F4B"/>
    <w:rsid w:val="00D150CD"/>
    <w:rsid w:val="00D15FB3"/>
    <w:rsid w:val="00D161D8"/>
    <w:rsid w:val="00D17F02"/>
    <w:rsid w:val="00D17FB0"/>
    <w:rsid w:val="00D205B3"/>
    <w:rsid w:val="00D20A22"/>
    <w:rsid w:val="00D20FE5"/>
    <w:rsid w:val="00D212BD"/>
    <w:rsid w:val="00D2142A"/>
    <w:rsid w:val="00D21A3D"/>
    <w:rsid w:val="00D21D6D"/>
    <w:rsid w:val="00D21D7D"/>
    <w:rsid w:val="00D21E3B"/>
    <w:rsid w:val="00D221E1"/>
    <w:rsid w:val="00D224C5"/>
    <w:rsid w:val="00D22DDE"/>
    <w:rsid w:val="00D2329B"/>
    <w:rsid w:val="00D23DF1"/>
    <w:rsid w:val="00D23E00"/>
    <w:rsid w:val="00D23F21"/>
    <w:rsid w:val="00D24772"/>
    <w:rsid w:val="00D24AE1"/>
    <w:rsid w:val="00D24E88"/>
    <w:rsid w:val="00D24F86"/>
    <w:rsid w:val="00D25307"/>
    <w:rsid w:val="00D254B4"/>
    <w:rsid w:val="00D2564E"/>
    <w:rsid w:val="00D25A4D"/>
    <w:rsid w:val="00D25A80"/>
    <w:rsid w:val="00D25C9B"/>
    <w:rsid w:val="00D25DB2"/>
    <w:rsid w:val="00D25EC7"/>
    <w:rsid w:val="00D25F37"/>
    <w:rsid w:val="00D2607B"/>
    <w:rsid w:val="00D261DC"/>
    <w:rsid w:val="00D2622B"/>
    <w:rsid w:val="00D269C3"/>
    <w:rsid w:val="00D26CAA"/>
    <w:rsid w:val="00D27B1F"/>
    <w:rsid w:val="00D27DFB"/>
    <w:rsid w:val="00D27F94"/>
    <w:rsid w:val="00D30541"/>
    <w:rsid w:val="00D305C3"/>
    <w:rsid w:val="00D30CB8"/>
    <w:rsid w:val="00D31109"/>
    <w:rsid w:val="00D312AC"/>
    <w:rsid w:val="00D316BB"/>
    <w:rsid w:val="00D31E09"/>
    <w:rsid w:val="00D31E1B"/>
    <w:rsid w:val="00D31E7F"/>
    <w:rsid w:val="00D31F33"/>
    <w:rsid w:val="00D31F43"/>
    <w:rsid w:val="00D32066"/>
    <w:rsid w:val="00D3216A"/>
    <w:rsid w:val="00D321D2"/>
    <w:rsid w:val="00D3247B"/>
    <w:rsid w:val="00D32A56"/>
    <w:rsid w:val="00D32D71"/>
    <w:rsid w:val="00D33075"/>
    <w:rsid w:val="00D339DA"/>
    <w:rsid w:val="00D33A13"/>
    <w:rsid w:val="00D33B10"/>
    <w:rsid w:val="00D33E01"/>
    <w:rsid w:val="00D33F44"/>
    <w:rsid w:val="00D347FD"/>
    <w:rsid w:val="00D34D1D"/>
    <w:rsid w:val="00D35302"/>
    <w:rsid w:val="00D35B61"/>
    <w:rsid w:val="00D35CC2"/>
    <w:rsid w:val="00D362B5"/>
    <w:rsid w:val="00D36324"/>
    <w:rsid w:val="00D3644C"/>
    <w:rsid w:val="00D36642"/>
    <w:rsid w:val="00D36643"/>
    <w:rsid w:val="00D36792"/>
    <w:rsid w:val="00D36A9E"/>
    <w:rsid w:val="00D376E4"/>
    <w:rsid w:val="00D37916"/>
    <w:rsid w:val="00D37A13"/>
    <w:rsid w:val="00D37C0A"/>
    <w:rsid w:val="00D37E92"/>
    <w:rsid w:val="00D37F2B"/>
    <w:rsid w:val="00D400B6"/>
    <w:rsid w:val="00D40204"/>
    <w:rsid w:val="00D40343"/>
    <w:rsid w:val="00D4066A"/>
    <w:rsid w:val="00D4085D"/>
    <w:rsid w:val="00D40BAB"/>
    <w:rsid w:val="00D40D0C"/>
    <w:rsid w:val="00D40D38"/>
    <w:rsid w:val="00D413A3"/>
    <w:rsid w:val="00D414C2"/>
    <w:rsid w:val="00D415A2"/>
    <w:rsid w:val="00D415DC"/>
    <w:rsid w:val="00D417A7"/>
    <w:rsid w:val="00D41E78"/>
    <w:rsid w:val="00D422CF"/>
    <w:rsid w:val="00D4294F"/>
    <w:rsid w:val="00D42972"/>
    <w:rsid w:val="00D429B3"/>
    <w:rsid w:val="00D429CD"/>
    <w:rsid w:val="00D42A50"/>
    <w:rsid w:val="00D42B50"/>
    <w:rsid w:val="00D42C3F"/>
    <w:rsid w:val="00D42E41"/>
    <w:rsid w:val="00D42FF8"/>
    <w:rsid w:val="00D434AD"/>
    <w:rsid w:val="00D43805"/>
    <w:rsid w:val="00D43AAB"/>
    <w:rsid w:val="00D43CD4"/>
    <w:rsid w:val="00D44069"/>
    <w:rsid w:val="00D44375"/>
    <w:rsid w:val="00D44445"/>
    <w:rsid w:val="00D44905"/>
    <w:rsid w:val="00D44C25"/>
    <w:rsid w:val="00D44EC0"/>
    <w:rsid w:val="00D45098"/>
    <w:rsid w:val="00D4517B"/>
    <w:rsid w:val="00D45650"/>
    <w:rsid w:val="00D45A38"/>
    <w:rsid w:val="00D45ABD"/>
    <w:rsid w:val="00D46015"/>
    <w:rsid w:val="00D46388"/>
    <w:rsid w:val="00D46656"/>
    <w:rsid w:val="00D46837"/>
    <w:rsid w:val="00D469EB"/>
    <w:rsid w:val="00D46EE4"/>
    <w:rsid w:val="00D4721A"/>
    <w:rsid w:val="00D4741E"/>
    <w:rsid w:val="00D479D6"/>
    <w:rsid w:val="00D47AE1"/>
    <w:rsid w:val="00D47ECC"/>
    <w:rsid w:val="00D50369"/>
    <w:rsid w:val="00D50483"/>
    <w:rsid w:val="00D50D22"/>
    <w:rsid w:val="00D50E59"/>
    <w:rsid w:val="00D510BB"/>
    <w:rsid w:val="00D510C4"/>
    <w:rsid w:val="00D510E9"/>
    <w:rsid w:val="00D51169"/>
    <w:rsid w:val="00D51E0A"/>
    <w:rsid w:val="00D51F42"/>
    <w:rsid w:val="00D52258"/>
    <w:rsid w:val="00D5239F"/>
    <w:rsid w:val="00D5254B"/>
    <w:rsid w:val="00D5279F"/>
    <w:rsid w:val="00D52992"/>
    <w:rsid w:val="00D52E6E"/>
    <w:rsid w:val="00D53382"/>
    <w:rsid w:val="00D53772"/>
    <w:rsid w:val="00D53869"/>
    <w:rsid w:val="00D5395E"/>
    <w:rsid w:val="00D53C1E"/>
    <w:rsid w:val="00D53D3C"/>
    <w:rsid w:val="00D542CD"/>
    <w:rsid w:val="00D54345"/>
    <w:rsid w:val="00D54492"/>
    <w:rsid w:val="00D54543"/>
    <w:rsid w:val="00D547CC"/>
    <w:rsid w:val="00D5519B"/>
    <w:rsid w:val="00D55D7B"/>
    <w:rsid w:val="00D55DB9"/>
    <w:rsid w:val="00D55E1B"/>
    <w:rsid w:val="00D55EC4"/>
    <w:rsid w:val="00D5624C"/>
    <w:rsid w:val="00D56572"/>
    <w:rsid w:val="00D56E12"/>
    <w:rsid w:val="00D56F8E"/>
    <w:rsid w:val="00D56F94"/>
    <w:rsid w:val="00D570EB"/>
    <w:rsid w:val="00D57312"/>
    <w:rsid w:val="00D57914"/>
    <w:rsid w:val="00D57ECD"/>
    <w:rsid w:val="00D57F6E"/>
    <w:rsid w:val="00D6083A"/>
    <w:rsid w:val="00D60BEB"/>
    <w:rsid w:val="00D616EC"/>
    <w:rsid w:val="00D617A0"/>
    <w:rsid w:val="00D619D5"/>
    <w:rsid w:val="00D61FD3"/>
    <w:rsid w:val="00D62028"/>
    <w:rsid w:val="00D620AA"/>
    <w:rsid w:val="00D6210D"/>
    <w:rsid w:val="00D62301"/>
    <w:rsid w:val="00D62C2B"/>
    <w:rsid w:val="00D62E4A"/>
    <w:rsid w:val="00D62F11"/>
    <w:rsid w:val="00D6302C"/>
    <w:rsid w:val="00D63093"/>
    <w:rsid w:val="00D634D0"/>
    <w:rsid w:val="00D63D7C"/>
    <w:rsid w:val="00D63D83"/>
    <w:rsid w:val="00D640A4"/>
    <w:rsid w:val="00D6419A"/>
    <w:rsid w:val="00D644A9"/>
    <w:rsid w:val="00D64609"/>
    <w:rsid w:val="00D64859"/>
    <w:rsid w:val="00D64A30"/>
    <w:rsid w:val="00D654DA"/>
    <w:rsid w:val="00D65596"/>
    <w:rsid w:val="00D6562D"/>
    <w:rsid w:val="00D65867"/>
    <w:rsid w:val="00D65A72"/>
    <w:rsid w:val="00D65DEC"/>
    <w:rsid w:val="00D65F04"/>
    <w:rsid w:val="00D6641D"/>
    <w:rsid w:val="00D6675F"/>
    <w:rsid w:val="00D669C3"/>
    <w:rsid w:val="00D66BC5"/>
    <w:rsid w:val="00D66DB1"/>
    <w:rsid w:val="00D67040"/>
    <w:rsid w:val="00D6710E"/>
    <w:rsid w:val="00D67860"/>
    <w:rsid w:val="00D67D8C"/>
    <w:rsid w:val="00D67F99"/>
    <w:rsid w:val="00D70287"/>
    <w:rsid w:val="00D70295"/>
    <w:rsid w:val="00D708D4"/>
    <w:rsid w:val="00D708F6"/>
    <w:rsid w:val="00D712CE"/>
    <w:rsid w:val="00D7138B"/>
    <w:rsid w:val="00D714A1"/>
    <w:rsid w:val="00D714AA"/>
    <w:rsid w:val="00D71564"/>
    <w:rsid w:val="00D71691"/>
    <w:rsid w:val="00D717BF"/>
    <w:rsid w:val="00D71FD3"/>
    <w:rsid w:val="00D72048"/>
    <w:rsid w:val="00D7228A"/>
    <w:rsid w:val="00D72610"/>
    <w:rsid w:val="00D728FC"/>
    <w:rsid w:val="00D72EF2"/>
    <w:rsid w:val="00D73924"/>
    <w:rsid w:val="00D74203"/>
    <w:rsid w:val="00D74708"/>
    <w:rsid w:val="00D747D7"/>
    <w:rsid w:val="00D749FB"/>
    <w:rsid w:val="00D74B3F"/>
    <w:rsid w:val="00D74CC8"/>
    <w:rsid w:val="00D7514A"/>
    <w:rsid w:val="00D7529D"/>
    <w:rsid w:val="00D752E8"/>
    <w:rsid w:val="00D752F6"/>
    <w:rsid w:val="00D75313"/>
    <w:rsid w:val="00D75485"/>
    <w:rsid w:val="00D759C5"/>
    <w:rsid w:val="00D75E4E"/>
    <w:rsid w:val="00D7600E"/>
    <w:rsid w:val="00D7603D"/>
    <w:rsid w:val="00D7625B"/>
    <w:rsid w:val="00D762BD"/>
    <w:rsid w:val="00D768AD"/>
    <w:rsid w:val="00D769B9"/>
    <w:rsid w:val="00D76E42"/>
    <w:rsid w:val="00D76F61"/>
    <w:rsid w:val="00D77411"/>
    <w:rsid w:val="00D77674"/>
    <w:rsid w:val="00D77F98"/>
    <w:rsid w:val="00D800CD"/>
    <w:rsid w:val="00D801AC"/>
    <w:rsid w:val="00D80457"/>
    <w:rsid w:val="00D8054A"/>
    <w:rsid w:val="00D80657"/>
    <w:rsid w:val="00D80AAA"/>
    <w:rsid w:val="00D80C66"/>
    <w:rsid w:val="00D80FA4"/>
    <w:rsid w:val="00D80FF4"/>
    <w:rsid w:val="00D8171E"/>
    <w:rsid w:val="00D819E1"/>
    <w:rsid w:val="00D820FF"/>
    <w:rsid w:val="00D82312"/>
    <w:rsid w:val="00D8233E"/>
    <w:rsid w:val="00D82378"/>
    <w:rsid w:val="00D8254B"/>
    <w:rsid w:val="00D82675"/>
    <w:rsid w:val="00D82F06"/>
    <w:rsid w:val="00D83065"/>
    <w:rsid w:val="00D832E9"/>
    <w:rsid w:val="00D8426E"/>
    <w:rsid w:val="00D848AC"/>
    <w:rsid w:val="00D84A4E"/>
    <w:rsid w:val="00D84B65"/>
    <w:rsid w:val="00D84D54"/>
    <w:rsid w:val="00D84F53"/>
    <w:rsid w:val="00D85034"/>
    <w:rsid w:val="00D85214"/>
    <w:rsid w:val="00D85493"/>
    <w:rsid w:val="00D855FB"/>
    <w:rsid w:val="00D8564A"/>
    <w:rsid w:val="00D858EA"/>
    <w:rsid w:val="00D85AE2"/>
    <w:rsid w:val="00D86256"/>
    <w:rsid w:val="00D862CF"/>
    <w:rsid w:val="00D8647B"/>
    <w:rsid w:val="00D869FA"/>
    <w:rsid w:val="00D86D17"/>
    <w:rsid w:val="00D86D1E"/>
    <w:rsid w:val="00D86F66"/>
    <w:rsid w:val="00D8771F"/>
    <w:rsid w:val="00D87828"/>
    <w:rsid w:val="00D878CA"/>
    <w:rsid w:val="00D87DA1"/>
    <w:rsid w:val="00D9021D"/>
    <w:rsid w:val="00D909DB"/>
    <w:rsid w:val="00D90DFE"/>
    <w:rsid w:val="00D918B6"/>
    <w:rsid w:val="00D91930"/>
    <w:rsid w:val="00D91C22"/>
    <w:rsid w:val="00D91D68"/>
    <w:rsid w:val="00D920A3"/>
    <w:rsid w:val="00D922E0"/>
    <w:rsid w:val="00D924E9"/>
    <w:rsid w:val="00D92AE0"/>
    <w:rsid w:val="00D92BBC"/>
    <w:rsid w:val="00D92C1B"/>
    <w:rsid w:val="00D92DF9"/>
    <w:rsid w:val="00D93183"/>
    <w:rsid w:val="00D93769"/>
    <w:rsid w:val="00D937FE"/>
    <w:rsid w:val="00D93EB8"/>
    <w:rsid w:val="00D9477F"/>
    <w:rsid w:val="00D947A4"/>
    <w:rsid w:val="00D9487A"/>
    <w:rsid w:val="00D94B31"/>
    <w:rsid w:val="00D94E00"/>
    <w:rsid w:val="00D95083"/>
    <w:rsid w:val="00D951DB"/>
    <w:rsid w:val="00D952AF"/>
    <w:rsid w:val="00D95317"/>
    <w:rsid w:val="00D955BB"/>
    <w:rsid w:val="00D95878"/>
    <w:rsid w:val="00D9589A"/>
    <w:rsid w:val="00D95A76"/>
    <w:rsid w:val="00D95F50"/>
    <w:rsid w:val="00D962FA"/>
    <w:rsid w:val="00D9649C"/>
    <w:rsid w:val="00D96978"/>
    <w:rsid w:val="00D969CA"/>
    <w:rsid w:val="00D96C7E"/>
    <w:rsid w:val="00D97019"/>
    <w:rsid w:val="00D971E9"/>
    <w:rsid w:val="00D972A0"/>
    <w:rsid w:val="00D97460"/>
    <w:rsid w:val="00D97789"/>
    <w:rsid w:val="00D978A9"/>
    <w:rsid w:val="00D97994"/>
    <w:rsid w:val="00D979B2"/>
    <w:rsid w:val="00D97EDA"/>
    <w:rsid w:val="00DA0215"/>
    <w:rsid w:val="00DA0262"/>
    <w:rsid w:val="00DA02B3"/>
    <w:rsid w:val="00DA0397"/>
    <w:rsid w:val="00DA06AC"/>
    <w:rsid w:val="00DA0858"/>
    <w:rsid w:val="00DA0ADE"/>
    <w:rsid w:val="00DA1384"/>
    <w:rsid w:val="00DA14F3"/>
    <w:rsid w:val="00DA153A"/>
    <w:rsid w:val="00DA21BC"/>
    <w:rsid w:val="00DA2307"/>
    <w:rsid w:val="00DA29A4"/>
    <w:rsid w:val="00DA2D6D"/>
    <w:rsid w:val="00DA2E00"/>
    <w:rsid w:val="00DA3568"/>
    <w:rsid w:val="00DA3912"/>
    <w:rsid w:val="00DA3D1A"/>
    <w:rsid w:val="00DA3DEC"/>
    <w:rsid w:val="00DA408E"/>
    <w:rsid w:val="00DA4335"/>
    <w:rsid w:val="00DA47A0"/>
    <w:rsid w:val="00DA4F66"/>
    <w:rsid w:val="00DA5690"/>
    <w:rsid w:val="00DA5AAC"/>
    <w:rsid w:val="00DA5C0D"/>
    <w:rsid w:val="00DA5F4D"/>
    <w:rsid w:val="00DA663E"/>
    <w:rsid w:val="00DA675E"/>
    <w:rsid w:val="00DA67F9"/>
    <w:rsid w:val="00DA689A"/>
    <w:rsid w:val="00DA6CE9"/>
    <w:rsid w:val="00DA6DA0"/>
    <w:rsid w:val="00DA70A4"/>
    <w:rsid w:val="00DA76BC"/>
    <w:rsid w:val="00DA7AFD"/>
    <w:rsid w:val="00DA7B3B"/>
    <w:rsid w:val="00DA7C11"/>
    <w:rsid w:val="00DA7D05"/>
    <w:rsid w:val="00DA7E87"/>
    <w:rsid w:val="00DB0082"/>
    <w:rsid w:val="00DB0309"/>
    <w:rsid w:val="00DB076F"/>
    <w:rsid w:val="00DB0A47"/>
    <w:rsid w:val="00DB0BB4"/>
    <w:rsid w:val="00DB114A"/>
    <w:rsid w:val="00DB18B2"/>
    <w:rsid w:val="00DB1E28"/>
    <w:rsid w:val="00DB1F73"/>
    <w:rsid w:val="00DB1FC8"/>
    <w:rsid w:val="00DB21B3"/>
    <w:rsid w:val="00DB2B42"/>
    <w:rsid w:val="00DB2C7C"/>
    <w:rsid w:val="00DB2ED9"/>
    <w:rsid w:val="00DB2EE7"/>
    <w:rsid w:val="00DB3018"/>
    <w:rsid w:val="00DB316D"/>
    <w:rsid w:val="00DB3B10"/>
    <w:rsid w:val="00DB3D60"/>
    <w:rsid w:val="00DB3E10"/>
    <w:rsid w:val="00DB49CC"/>
    <w:rsid w:val="00DB4BDB"/>
    <w:rsid w:val="00DB4C2D"/>
    <w:rsid w:val="00DB552E"/>
    <w:rsid w:val="00DB557E"/>
    <w:rsid w:val="00DB56BA"/>
    <w:rsid w:val="00DB5856"/>
    <w:rsid w:val="00DB595F"/>
    <w:rsid w:val="00DB59C8"/>
    <w:rsid w:val="00DB5F37"/>
    <w:rsid w:val="00DB6445"/>
    <w:rsid w:val="00DB64A7"/>
    <w:rsid w:val="00DB668C"/>
    <w:rsid w:val="00DB66D3"/>
    <w:rsid w:val="00DB6975"/>
    <w:rsid w:val="00DB6C5D"/>
    <w:rsid w:val="00DB6CF4"/>
    <w:rsid w:val="00DB6F68"/>
    <w:rsid w:val="00DB79B9"/>
    <w:rsid w:val="00DB7B27"/>
    <w:rsid w:val="00DB7CFD"/>
    <w:rsid w:val="00DC05BE"/>
    <w:rsid w:val="00DC09D2"/>
    <w:rsid w:val="00DC0A7E"/>
    <w:rsid w:val="00DC0DD1"/>
    <w:rsid w:val="00DC1003"/>
    <w:rsid w:val="00DC1206"/>
    <w:rsid w:val="00DC1621"/>
    <w:rsid w:val="00DC16CC"/>
    <w:rsid w:val="00DC1753"/>
    <w:rsid w:val="00DC1E24"/>
    <w:rsid w:val="00DC1F1C"/>
    <w:rsid w:val="00DC202F"/>
    <w:rsid w:val="00DC2030"/>
    <w:rsid w:val="00DC203B"/>
    <w:rsid w:val="00DC2051"/>
    <w:rsid w:val="00DC20FC"/>
    <w:rsid w:val="00DC2320"/>
    <w:rsid w:val="00DC2486"/>
    <w:rsid w:val="00DC250C"/>
    <w:rsid w:val="00DC2717"/>
    <w:rsid w:val="00DC2887"/>
    <w:rsid w:val="00DC2A9D"/>
    <w:rsid w:val="00DC2C31"/>
    <w:rsid w:val="00DC2F15"/>
    <w:rsid w:val="00DC30CB"/>
    <w:rsid w:val="00DC3137"/>
    <w:rsid w:val="00DC36D9"/>
    <w:rsid w:val="00DC3A71"/>
    <w:rsid w:val="00DC3ACD"/>
    <w:rsid w:val="00DC47EC"/>
    <w:rsid w:val="00DC4F3F"/>
    <w:rsid w:val="00DC52B8"/>
    <w:rsid w:val="00DC58DC"/>
    <w:rsid w:val="00DC58E9"/>
    <w:rsid w:val="00DC5F52"/>
    <w:rsid w:val="00DC6037"/>
    <w:rsid w:val="00DC63A7"/>
    <w:rsid w:val="00DC67EA"/>
    <w:rsid w:val="00DC6C77"/>
    <w:rsid w:val="00DC6CFA"/>
    <w:rsid w:val="00DC75D7"/>
    <w:rsid w:val="00DC76D3"/>
    <w:rsid w:val="00DC77AD"/>
    <w:rsid w:val="00DC7800"/>
    <w:rsid w:val="00DC788C"/>
    <w:rsid w:val="00DC7BB1"/>
    <w:rsid w:val="00DC7EA6"/>
    <w:rsid w:val="00DD0506"/>
    <w:rsid w:val="00DD0A0F"/>
    <w:rsid w:val="00DD0A14"/>
    <w:rsid w:val="00DD101B"/>
    <w:rsid w:val="00DD1208"/>
    <w:rsid w:val="00DD244B"/>
    <w:rsid w:val="00DD28AA"/>
    <w:rsid w:val="00DD2F04"/>
    <w:rsid w:val="00DD2FF1"/>
    <w:rsid w:val="00DD327D"/>
    <w:rsid w:val="00DD34C6"/>
    <w:rsid w:val="00DD3BC1"/>
    <w:rsid w:val="00DD3C71"/>
    <w:rsid w:val="00DD3CBE"/>
    <w:rsid w:val="00DD3D29"/>
    <w:rsid w:val="00DD3E54"/>
    <w:rsid w:val="00DD3EE7"/>
    <w:rsid w:val="00DD4249"/>
    <w:rsid w:val="00DD4653"/>
    <w:rsid w:val="00DD4829"/>
    <w:rsid w:val="00DD4AE2"/>
    <w:rsid w:val="00DD4ECB"/>
    <w:rsid w:val="00DD4FE9"/>
    <w:rsid w:val="00DD51DA"/>
    <w:rsid w:val="00DD53D2"/>
    <w:rsid w:val="00DD5CE4"/>
    <w:rsid w:val="00DD5DF6"/>
    <w:rsid w:val="00DD5FF2"/>
    <w:rsid w:val="00DD620F"/>
    <w:rsid w:val="00DD62C1"/>
    <w:rsid w:val="00DD639B"/>
    <w:rsid w:val="00DD6A8F"/>
    <w:rsid w:val="00DD6F7D"/>
    <w:rsid w:val="00DD735E"/>
    <w:rsid w:val="00DD768B"/>
    <w:rsid w:val="00DD787F"/>
    <w:rsid w:val="00DD7FF8"/>
    <w:rsid w:val="00DE00C2"/>
    <w:rsid w:val="00DE04DB"/>
    <w:rsid w:val="00DE06DD"/>
    <w:rsid w:val="00DE0CCD"/>
    <w:rsid w:val="00DE1049"/>
    <w:rsid w:val="00DE11A6"/>
    <w:rsid w:val="00DE127F"/>
    <w:rsid w:val="00DE12C5"/>
    <w:rsid w:val="00DE15DD"/>
    <w:rsid w:val="00DE185D"/>
    <w:rsid w:val="00DE1C91"/>
    <w:rsid w:val="00DE1ECF"/>
    <w:rsid w:val="00DE2235"/>
    <w:rsid w:val="00DE23D4"/>
    <w:rsid w:val="00DE2B98"/>
    <w:rsid w:val="00DE2D99"/>
    <w:rsid w:val="00DE3421"/>
    <w:rsid w:val="00DE38B0"/>
    <w:rsid w:val="00DE398B"/>
    <w:rsid w:val="00DE3D33"/>
    <w:rsid w:val="00DE3DDC"/>
    <w:rsid w:val="00DE3EED"/>
    <w:rsid w:val="00DE3F05"/>
    <w:rsid w:val="00DE4AC8"/>
    <w:rsid w:val="00DE5129"/>
    <w:rsid w:val="00DE526D"/>
    <w:rsid w:val="00DE53AE"/>
    <w:rsid w:val="00DE53CE"/>
    <w:rsid w:val="00DE56CB"/>
    <w:rsid w:val="00DE56FA"/>
    <w:rsid w:val="00DE5A33"/>
    <w:rsid w:val="00DE5B95"/>
    <w:rsid w:val="00DE5E9F"/>
    <w:rsid w:val="00DE625E"/>
    <w:rsid w:val="00DE63A5"/>
    <w:rsid w:val="00DE65A8"/>
    <w:rsid w:val="00DE65E0"/>
    <w:rsid w:val="00DE6A74"/>
    <w:rsid w:val="00DE6BB0"/>
    <w:rsid w:val="00DE6D10"/>
    <w:rsid w:val="00DE6F8F"/>
    <w:rsid w:val="00DE7594"/>
    <w:rsid w:val="00DE7764"/>
    <w:rsid w:val="00DE77E1"/>
    <w:rsid w:val="00DE7980"/>
    <w:rsid w:val="00DE7B1C"/>
    <w:rsid w:val="00DE7E58"/>
    <w:rsid w:val="00DF0075"/>
    <w:rsid w:val="00DF009E"/>
    <w:rsid w:val="00DF039E"/>
    <w:rsid w:val="00DF0A08"/>
    <w:rsid w:val="00DF0A55"/>
    <w:rsid w:val="00DF0D6F"/>
    <w:rsid w:val="00DF0E0E"/>
    <w:rsid w:val="00DF0F5C"/>
    <w:rsid w:val="00DF10AB"/>
    <w:rsid w:val="00DF16C7"/>
    <w:rsid w:val="00DF1905"/>
    <w:rsid w:val="00DF1919"/>
    <w:rsid w:val="00DF22FC"/>
    <w:rsid w:val="00DF275F"/>
    <w:rsid w:val="00DF2826"/>
    <w:rsid w:val="00DF29D9"/>
    <w:rsid w:val="00DF2A07"/>
    <w:rsid w:val="00DF2B9F"/>
    <w:rsid w:val="00DF2FDD"/>
    <w:rsid w:val="00DF3227"/>
    <w:rsid w:val="00DF3244"/>
    <w:rsid w:val="00DF3459"/>
    <w:rsid w:val="00DF383F"/>
    <w:rsid w:val="00DF3B6B"/>
    <w:rsid w:val="00DF3BCC"/>
    <w:rsid w:val="00DF4663"/>
    <w:rsid w:val="00DF46A6"/>
    <w:rsid w:val="00DF4F3B"/>
    <w:rsid w:val="00DF50DD"/>
    <w:rsid w:val="00DF5322"/>
    <w:rsid w:val="00DF55CC"/>
    <w:rsid w:val="00DF5BFB"/>
    <w:rsid w:val="00DF5DF2"/>
    <w:rsid w:val="00DF5F5A"/>
    <w:rsid w:val="00DF5F75"/>
    <w:rsid w:val="00DF601E"/>
    <w:rsid w:val="00DF6327"/>
    <w:rsid w:val="00DF63C3"/>
    <w:rsid w:val="00DF67C3"/>
    <w:rsid w:val="00DF6891"/>
    <w:rsid w:val="00DF6981"/>
    <w:rsid w:val="00DF6AE2"/>
    <w:rsid w:val="00DF6C4E"/>
    <w:rsid w:val="00DF6D11"/>
    <w:rsid w:val="00DF7134"/>
    <w:rsid w:val="00DF775A"/>
    <w:rsid w:val="00DF7C79"/>
    <w:rsid w:val="00E00046"/>
    <w:rsid w:val="00E000DF"/>
    <w:rsid w:val="00E00458"/>
    <w:rsid w:val="00E0066A"/>
    <w:rsid w:val="00E008A4"/>
    <w:rsid w:val="00E008C8"/>
    <w:rsid w:val="00E00921"/>
    <w:rsid w:val="00E00D74"/>
    <w:rsid w:val="00E01910"/>
    <w:rsid w:val="00E01B15"/>
    <w:rsid w:val="00E01E18"/>
    <w:rsid w:val="00E021D5"/>
    <w:rsid w:val="00E028EE"/>
    <w:rsid w:val="00E03BD0"/>
    <w:rsid w:val="00E03D03"/>
    <w:rsid w:val="00E047C4"/>
    <w:rsid w:val="00E04C0F"/>
    <w:rsid w:val="00E04FAD"/>
    <w:rsid w:val="00E054C2"/>
    <w:rsid w:val="00E05AAA"/>
    <w:rsid w:val="00E068DB"/>
    <w:rsid w:val="00E06DBC"/>
    <w:rsid w:val="00E07459"/>
    <w:rsid w:val="00E07570"/>
    <w:rsid w:val="00E07692"/>
    <w:rsid w:val="00E07D0A"/>
    <w:rsid w:val="00E07E35"/>
    <w:rsid w:val="00E10014"/>
    <w:rsid w:val="00E10292"/>
    <w:rsid w:val="00E11026"/>
    <w:rsid w:val="00E11264"/>
    <w:rsid w:val="00E112E2"/>
    <w:rsid w:val="00E11915"/>
    <w:rsid w:val="00E11C36"/>
    <w:rsid w:val="00E11CA4"/>
    <w:rsid w:val="00E11E23"/>
    <w:rsid w:val="00E11E5D"/>
    <w:rsid w:val="00E11FFB"/>
    <w:rsid w:val="00E1221E"/>
    <w:rsid w:val="00E12589"/>
    <w:rsid w:val="00E131FC"/>
    <w:rsid w:val="00E14406"/>
    <w:rsid w:val="00E14452"/>
    <w:rsid w:val="00E1539E"/>
    <w:rsid w:val="00E15446"/>
    <w:rsid w:val="00E15454"/>
    <w:rsid w:val="00E156D5"/>
    <w:rsid w:val="00E159CF"/>
    <w:rsid w:val="00E15A66"/>
    <w:rsid w:val="00E15ABB"/>
    <w:rsid w:val="00E15C9F"/>
    <w:rsid w:val="00E15CDB"/>
    <w:rsid w:val="00E16CB5"/>
    <w:rsid w:val="00E175D9"/>
    <w:rsid w:val="00E17752"/>
    <w:rsid w:val="00E17AAA"/>
    <w:rsid w:val="00E17F71"/>
    <w:rsid w:val="00E20263"/>
    <w:rsid w:val="00E20484"/>
    <w:rsid w:val="00E20544"/>
    <w:rsid w:val="00E206AD"/>
    <w:rsid w:val="00E20899"/>
    <w:rsid w:val="00E20AEC"/>
    <w:rsid w:val="00E20DD9"/>
    <w:rsid w:val="00E20ECE"/>
    <w:rsid w:val="00E210AB"/>
    <w:rsid w:val="00E210CE"/>
    <w:rsid w:val="00E21317"/>
    <w:rsid w:val="00E2152C"/>
    <w:rsid w:val="00E21933"/>
    <w:rsid w:val="00E2216B"/>
    <w:rsid w:val="00E22655"/>
    <w:rsid w:val="00E22B25"/>
    <w:rsid w:val="00E22B3D"/>
    <w:rsid w:val="00E22B47"/>
    <w:rsid w:val="00E22BA6"/>
    <w:rsid w:val="00E22DED"/>
    <w:rsid w:val="00E22E24"/>
    <w:rsid w:val="00E22FF9"/>
    <w:rsid w:val="00E23384"/>
    <w:rsid w:val="00E23526"/>
    <w:rsid w:val="00E235C3"/>
    <w:rsid w:val="00E23656"/>
    <w:rsid w:val="00E24168"/>
    <w:rsid w:val="00E24310"/>
    <w:rsid w:val="00E24315"/>
    <w:rsid w:val="00E24882"/>
    <w:rsid w:val="00E24A41"/>
    <w:rsid w:val="00E24F2F"/>
    <w:rsid w:val="00E250AE"/>
    <w:rsid w:val="00E25343"/>
    <w:rsid w:val="00E25595"/>
    <w:rsid w:val="00E2561E"/>
    <w:rsid w:val="00E2580A"/>
    <w:rsid w:val="00E25A66"/>
    <w:rsid w:val="00E26276"/>
    <w:rsid w:val="00E26429"/>
    <w:rsid w:val="00E26A97"/>
    <w:rsid w:val="00E27258"/>
    <w:rsid w:val="00E27503"/>
    <w:rsid w:val="00E275DA"/>
    <w:rsid w:val="00E2791D"/>
    <w:rsid w:val="00E2792B"/>
    <w:rsid w:val="00E2799F"/>
    <w:rsid w:val="00E30354"/>
    <w:rsid w:val="00E304F9"/>
    <w:rsid w:val="00E3094D"/>
    <w:rsid w:val="00E30E82"/>
    <w:rsid w:val="00E30F6A"/>
    <w:rsid w:val="00E315EE"/>
    <w:rsid w:val="00E3198C"/>
    <w:rsid w:val="00E31CA4"/>
    <w:rsid w:val="00E31ED2"/>
    <w:rsid w:val="00E31F2B"/>
    <w:rsid w:val="00E32A00"/>
    <w:rsid w:val="00E32C79"/>
    <w:rsid w:val="00E32FA2"/>
    <w:rsid w:val="00E33258"/>
    <w:rsid w:val="00E33394"/>
    <w:rsid w:val="00E33684"/>
    <w:rsid w:val="00E33A3E"/>
    <w:rsid w:val="00E33C63"/>
    <w:rsid w:val="00E34007"/>
    <w:rsid w:val="00E3447F"/>
    <w:rsid w:val="00E34497"/>
    <w:rsid w:val="00E34721"/>
    <w:rsid w:val="00E34769"/>
    <w:rsid w:val="00E349D9"/>
    <w:rsid w:val="00E34B49"/>
    <w:rsid w:val="00E34DE6"/>
    <w:rsid w:val="00E34E00"/>
    <w:rsid w:val="00E350C9"/>
    <w:rsid w:val="00E351D0"/>
    <w:rsid w:val="00E35383"/>
    <w:rsid w:val="00E354C4"/>
    <w:rsid w:val="00E3568F"/>
    <w:rsid w:val="00E35A4B"/>
    <w:rsid w:val="00E35AB6"/>
    <w:rsid w:val="00E35FCE"/>
    <w:rsid w:val="00E363FC"/>
    <w:rsid w:val="00E3666F"/>
    <w:rsid w:val="00E3683C"/>
    <w:rsid w:val="00E36A44"/>
    <w:rsid w:val="00E36BCB"/>
    <w:rsid w:val="00E36E53"/>
    <w:rsid w:val="00E37278"/>
    <w:rsid w:val="00E3727D"/>
    <w:rsid w:val="00E37471"/>
    <w:rsid w:val="00E3753D"/>
    <w:rsid w:val="00E37647"/>
    <w:rsid w:val="00E37686"/>
    <w:rsid w:val="00E37F54"/>
    <w:rsid w:val="00E37FAB"/>
    <w:rsid w:val="00E401A4"/>
    <w:rsid w:val="00E403E3"/>
    <w:rsid w:val="00E406F0"/>
    <w:rsid w:val="00E4106F"/>
    <w:rsid w:val="00E4155C"/>
    <w:rsid w:val="00E42204"/>
    <w:rsid w:val="00E42717"/>
    <w:rsid w:val="00E42C08"/>
    <w:rsid w:val="00E432E9"/>
    <w:rsid w:val="00E434EA"/>
    <w:rsid w:val="00E43743"/>
    <w:rsid w:val="00E43842"/>
    <w:rsid w:val="00E43B35"/>
    <w:rsid w:val="00E44049"/>
    <w:rsid w:val="00E4417E"/>
    <w:rsid w:val="00E4419E"/>
    <w:rsid w:val="00E441B7"/>
    <w:rsid w:val="00E44340"/>
    <w:rsid w:val="00E44678"/>
    <w:rsid w:val="00E44B1A"/>
    <w:rsid w:val="00E44DC7"/>
    <w:rsid w:val="00E45408"/>
    <w:rsid w:val="00E45531"/>
    <w:rsid w:val="00E45570"/>
    <w:rsid w:val="00E45671"/>
    <w:rsid w:val="00E45743"/>
    <w:rsid w:val="00E45849"/>
    <w:rsid w:val="00E45A4C"/>
    <w:rsid w:val="00E45CD1"/>
    <w:rsid w:val="00E46050"/>
    <w:rsid w:val="00E469D7"/>
    <w:rsid w:val="00E46AC7"/>
    <w:rsid w:val="00E47643"/>
    <w:rsid w:val="00E476CF"/>
    <w:rsid w:val="00E47A5F"/>
    <w:rsid w:val="00E47AEB"/>
    <w:rsid w:val="00E47D69"/>
    <w:rsid w:val="00E47D91"/>
    <w:rsid w:val="00E47DF1"/>
    <w:rsid w:val="00E47E13"/>
    <w:rsid w:val="00E50041"/>
    <w:rsid w:val="00E500BA"/>
    <w:rsid w:val="00E50134"/>
    <w:rsid w:val="00E50A2D"/>
    <w:rsid w:val="00E50C0D"/>
    <w:rsid w:val="00E50E41"/>
    <w:rsid w:val="00E50ECF"/>
    <w:rsid w:val="00E511D5"/>
    <w:rsid w:val="00E5139F"/>
    <w:rsid w:val="00E5169E"/>
    <w:rsid w:val="00E51DCA"/>
    <w:rsid w:val="00E52205"/>
    <w:rsid w:val="00E525A4"/>
    <w:rsid w:val="00E52C7D"/>
    <w:rsid w:val="00E530DD"/>
    <w:rsid w:val="00E538DE"/>
    <w:rsid w:val="00E53DC9"/>
    <w:rsid w:val="00E53F33"/>
    <w:rsid w:val="00E54071"/>
    <w:rsid w:val="00E546E4"/>
    <w:rsid w:val="00E54A63"/>
    <w:rsid w:val="00E54D7D"/>
    <w:rsid w:val="00E54DD4"/>
    <w:rsid w:val="00E54FA3"/>
    <w:rsid w:val="00E5538C"/>
    <w:rsid w:val="00E554CF"/>
    <w:rsid w:val="00E558BA"/>
    <w:rsid w:val="00E559D1"/>
    <w:rsid w:val="00E559D6"/>
    <w:rsid w:val="00E5641C"/>
    <w:rsid w:val="00E564DD"/>
    <w:rsid w:val="00E5675C"/>
    <w:rsid w:val="00E56777"/>
    <w:rsid w:val="00E5695C"/>
    <w:rsid w:val="00E570A6"/>
    <w:rsid w:val="00E57150"/>
    <w:rsid w:val="00E57368"/>
    <w:rsid w:val="00E578CC"/>
    <w:rsid w:val="00E57B73"/>
    <w:rsid w:val="00E57C75"/>
    <w:rsid w:val="00E57D1A"/>
    <w:rsid w:val="00E60006"/>
    <w:rsid w:val="00E6047D"/>
    <w:rsid w:val="00E60BD6"/>
    <w:rsid w:val="00E6108E"/>
    <w:rsid w:val="00E61587"/>
    <w:rsid w:val="00E6175F"/>
    <w:rsid w:val="00E6198E"/>
    <w:rsid w:val="00E61A7A"/>
    <w:rsid w:val="00E61A88"/>
    <w:rsid w:val="00E61A98"/>
    <w:rsid w:val="00E62217"/>
    <w:rsid w:val="00E62303"/>
    <w:rsid w:val="00E624C0"/>
    <w:rsid w:val="00E62529"/>
    <w:rsid w:val="00E626BA"/>
    <w:rsid w:val="00E62750"/>
    <w:rsid w:val="00E628D3"/>
    <w:rsid w:val="00E62A2D"/>
    <w:rsid w:val="00E62A9B"/>
    <w:rsid w:val="00E631F2"/>
    <w:rsid w:val="00E6392B"/>
    <w:rsid w:val="00E6397C"/>
    <w:rsid w:val="00E639CA"/>
    <w:rsid w:val="00E63A4B"/>
    <w:rsid w:val="00E63F44"/>
    <w:rsid w:val="00E64437"/>
    <w:rsid w:val="00E645CE"/>
    <w:rsid w:val="00E64C3B"/>
    <w:rsid w:val="00E64F08"/>
    <w:rsid w:val="00E65019"/>
    <w:rsid w:val="00E658C8"/>
    <w:rsid w:val="00E65D6D"/>
    <w:rsid w:val="00E662DF"/>
    <w:rsid w:val="00E66389"/>
    <w:rsid w:val="00E66DC5"/>
    <w:rsid w:val="00E66EE3"/>
    <w:rsid w:val="00E66F4A"/>
    <w:rsid w:val="00E67036"/>
    <w:rsid w:val="00E6745B"/>
    <w:rsid w:val="00E67901"/>
    <w:rsid w:val="00E67A19"/>
    <w:rsid w:val="00E67A87"/>
    <w:rsid w:val="00E67B98"/>
    <w:rsid w:val="00E67D22"/>
    <w:rsid w:val="00E70020"/>
    <w:rsid w:val="00E70C2E"/>
    <w:rsid w:val="00E70E20"/>
    <w:rsid w:val="00E71163"/>
    <w:rsid w:val="00E7158D"/>
    <w:rsid w:val="00E71AAF"/>
    <w:rsid w:val="00E7234C"/>
    <w:rsid w:val="00E7271B"/>
    <w:rsid w:val="00E727AC"/>
    <w:rsid w:val="00E72A6C"/>
    <w:rsid w:val="00E72C7A"/>
    <w:rsid w:val="00E731C6"/>
    <w:rsid w:val="00E732DD"/>
    <w:rsid w:val="00E73453"/>
    <w:rsid w:val="00E73872"/>
    <w:rsid w:val="00E73B06"/>
    <w:rsid w:val="00E73BE9"/>
    <w:rsid w:val="00E73C06"/>
    <w:rsid w:val="00E741F4"/>
    <w:rsid w:val="00E74A8C"/>
    <w:rsid w:val="00E74CA9"/>
    <w:rsid w:val="00E74D9A"/>
    <w:rsid w:val="00E750AE"/>
    <w:rsid w:val="00E750B1"/>
    <w:rsid w:val="00E75356"/>
    <w:rsid w:val="00E7542A"/>
    <w:rsid w:val="00E7566C"/>
    <w:rsid w:val="00E7583B"/>
    <w:rsid w:val="00E75A68"/>
    <w:rsid w:val="00E75B61"/>
    <w:rsid w:val="00E75FCD"/>
    <w:rsid w:val="00E76241"/>
    <w:rsid w:val="00E77123"/>
    <w:rsid w:val="00E772D6"/>
    <w:rsid w:val="00E77440"/>
    <w:rsid w:val="00E7798F"/>
    <w:rsid w:val="00E77BF5"/>
    <w:rsid w:val="00E77D24"/>
    <w:rsid w:val="00E8009A"/>
    <w:rsid w:val="00E8058D"/>
    <w:rsid w:val="00E805BD"/>
    <w:rsid w:val="00E807FA"/>
    <w:rsid w:val="00E80BF6"/>
    <w:rsid w:val="00E81141"/>
    <w:rsid w:val="00E8137C"/>
    <w:rsid w:val="00E81BF4"/>
    <w:rsid w:val="00E81E98"/>
    <w:rsid w:val="00E82049"/>
    <w:rsid w:val="00E82158"/>
    <w:rsid w:val="00E825D5"/>
    <w:rsid w:val="00E826E4"/>
    <w:rsid w:val="00E826F2"/>
    <w:rsid w:val="00E82731"/>
    <w:rsid w:val="00E8278A"/>
    <w:rsid w:val="00E82B52"/>
    <w:rsid w:val="00E82ED4"/>
    <w:rsid w:val="00E830D3"/>
    <w:rsid w:val="00E831EA"/>
    <w:rsid w:val="00E832A0"/>
    <w:rsid w:val="00E83571"/>
    <w:rsid w:val="00E835FF"/>
    <w:rsid w:val="00E83A91"/>
    <w:rsid w:val="00E83D26"/>
    <w:rsid w:val="00E848D8"/>
    <w:rsid w:val="00E849D5"/>
    <w:rsid w:val="00E84A4D"/>
    <w:rsid w:val="00E84C33"/>
    <w:rsid w:val="00E84E86"/>
    <w:rsid w:val="00E84EC8"/>
    <w:rsid w:val="00E851B9"/>
    <w:rsid w:val="00E85231"/>
    <w:rsid w:val="00E852DC"/>
    <w:rsid w:val="00E853F4"/>
    <w:rsid w:val="00E854D9"/>
    <w:rsid w:val="00E85FA5"/>
    <w:rsid w:val="00E85FF4"/>
    <w:rsid w:val="00E86222"/>
    <w:rsid w:val="00E8633D"/>
    <w:rsid w:val="00E8698E"/>
    <w:rsid w:val="00E86B74"/>
    <w:rsid w:val="00E86CE8"/>
    <w:rsid w:val="00E86EAE"/>
    <w:rsid w:val="00E90314"/>
    <w:rsid w:val="00E90794"/>
    <w:rsid w:val="00E90B89"/>
    <w:rsid w:val="00E90CCD"/>
    <w:rsid w:val="00E90D51"/>
    <w:rsid w:val="00E90F47"/>
    <w:rsid w:val="00E916F2"/>
    <w:rsid w:val="00E91779"/>
    <w:rsid w:val="00E9198F"/>
    <w:rsid w:val="00E91993"/>
    <w:rsid w:val="00E91A61"/>
    <w:rsid w:val="00E91C78"/>
    <w:rsid w:val="00E91EA8"/>
    <w:rsid w:val="00E92141"/>
    <w:rsid w:val="00E92191"/>
    <w:rsid w:val="00E92360"/>
    <w:rsid w:val="00E928CB"/>
    <w:rsid w:val="00E92B70"/>
    <w:rsid w:val="00E9303B"/>
    <w:rsid w:val="00E9333E"/>
    <w:rsid w:val="00E933B0"/>
    <w:rsid w:val="00E933E5"/>
    <w:rsid w:val="00E93477"/>
    <w:rsid w:val="00E93676"/>
    <w:rsid w:val="00E936F7"/>
    <w:rsid w:val="00E93B1C"/>
    <w:rsid w:val="00E93CA7"/>
    <w:rsid w:val="00E940EC"/>
    <w:rsid w:val="00E94129"/>
    <w:rsid w:val="00E94876"/>
    <w:rsid w:val="00E94D4B"/>
    <w:rsid w:val="00E94DD9"/>
    <w:rsid w:val="00E9503A"/>
    <w:rsid w:val="00E9538C"/>
    <w:rsid w:val="00E955E0"/>
    <w:rsid w:val="00E9574E"/>
    <w:rsid w:val="00E9632B"/>
    <w:rsid w:val="00E9635F"/>
    <w:rsid w:val="00E96370"/>
    <w:rsid w:val="00E9637B"/>
    <w:rsid w:val="00E964DE"/>
    <w:rsid w:val="00E97591"/>
    <w:rsid w:val="00E9767A"/>
    <w:rsid w:val="00E977D9"/>
    <w:rsid w:val="00E979FF"/>
    <w:rsid w:val="00E97BA4"/>
    <w:rsid w:val="00E97D31"/>
    <w:rsid w:val="00EA0232"/>
    <w:rsid w:val="00EA0424"/>
    <w:rsid w:val="00EA051E"/>
    <w:rsid w:val="00EA0860"/>
    <w:rsid w:val="00EA09BC"/>
    <w:rsid w:val="00EA0AE5"/>
    <w:rsid w:val="00EA0D64"/>
    <w:rsid w:val="00EA0E4F"/>
    <w:rsid w:val="00EA0EBF"/>
    <w:rsid w:val="00EA1728"/>
    <w:rsid w:val="00EA19FF"/>
    <w:rsid w:val="00EA1BD5"/>
    <w:rsid w:val="00EA1C40"/>
    <w:rsid w:val="00EA1C90"/>
    <w:rsid w:val="00EA1CC3"/>
    <w:rsid w:val="00EA1E71"/>
    <w:rsid w:val="00EA2126"/>
    <w:rsid w:val="00EA2446"/>
    <w:rsid w:val="00EA2A5F"/>
    <w:rsid w:val="00EA2A7F"/>
    <w:rsid w:val="00EA3172"/>
    <w:rsid w:val="00EA32CA"/>
    <w:rsid w:val="00EA33B4"/>
    <w:rsid w:val="00EA3969"/>
    <w:rsid w:val="00EA40AF"/>
    <w:rsid w:val="00EA41B1"/>
    <w:rsid w:val="00EA4821"/>
    <w:rsid w:val="00EA48FC"/>
    <w:rsid w:val="00EA4D51"/>
    <w:rsid w:val="00EA4E65"/>
    <w:rsid w:val="00EA51F4"/>
    <w:rsid w:val="00EA5377"/>
    <w:rsid w:val="00EA5561"/>
    <w:rsid w:val="00EA5659"/>
    <w:rsid w:val="00EA56D3"/>
    <w:rsid w:val="00EA5ADE"/>
    <w:rsid w:val="00EA6091"/>
    <w:rsid w:val="00EA618A"/>
    <w:rsid w:val="00EA6272"/>
    <w:rsid w:val="00EA646A"/>
    <w:rsid w:val="00EA6800"/>
    <w:rsid w:val="00EA6888"/>
    <w:rsid w:val="00EA6BA7"/>
    <w:rsid w:val="00EA6BDB"/>
    <w:rsid w:val="00EA6BF2"/>
    <w:rsid w:val="00EA70F3"/>
    <w:rsid w:val="00EA720D"/>
    <w:rsid w:val="00EA724B"/>
    <w:rsid w:val="00EA7259"/>
    <w:rsid w:val="00EA726A"/>
    <w:rsid w:val="00EA726F"/>
    <w:rsid w:val="00EA7751"/>
    <w:rsid w:val="00EA7DAB"/>
    <w:rsid w:val="00EB012B"/>
    <w:rsid w:val="00EB03B5"/>
    <w:rsid w:val="00EB06C9"/>
    <w:rsid w:val="00EB0711"/>
    <w:rsid w:val="00EB07CA"/>
    <w:rsid w:val="00EB0926"/>
    <w:rsid w:val="00EB0A33"/>
    <w:rsid w:val="00EB0B84"/>
    <w:rsid w:val="00EB0EA5"/>
    <w:rsid w:val="00EB0F03"/>
    <w:rsid w:val="00EB1058"/>
    <w:rsid w:val="00EB108F"/>
    <w:rsid w:val="00EB120F"/>
    <w:rsid w:val="00EB1348"/>
    <w:rsid w:val="00EB13D7"/>
    <w:rsid w:val="00EB15EF"/>
    <w:rsid w:val="00EB1B03"/>
    <w:rsid w:val="00EB1EA6"/>
    <w:rsid w:val="00EB1F62"/>
    <w:rsid w:val="00EB2302"/>
    <w:rsid w:val="00EB26F2"/>
    <w:rsid w:val="00EB27CF"/>
    <w:rsid w:val="00EB2AE7"/>
    <w:rsid w:val="00EB2D86"/>
    <w:rsid w:val="00EB2D91"/>
    <w:rsid w:val="00EB2E34"/>
    <w:rsid w:val="00EB311A"/>
    <w:rsid w:val="00EB33A1"/>
    <w:rsid w:val="00EB3ADC"/>
    <w:rsid w:val="00EB3B3D"/>
    <w:rsid w:val="00EB4377"/>
    <w:rsid w:val="00EB43BD"/>
    <w:rsid w:val="00EB4D4E"/>
    <w:rsid w:val="00EB4EDF"/>
    <w:rsid w:val="00EB509C"/>
    <w:rsid w:val="00EB5190"/>
    <w:rsid w:val="00EB5501"/>
    <w:rsid w:val="00EB5AE7"/>
    <w:rsid w:val="00EB6795"/>
    <w:rsid w:val="00EB6B91"/>
    <w:rsid w:val="00EB6C69"/>
    <w:rsid w:val="00EB6EBF"/>
    <w:rsid w:val="00EB6F34"/>
    <w:rsid w:val="00EB7010"/>
    <w:rsid w:val="00EB7CF5"/>
    <w:rsid w:val="00EB7E21"/>
    <w:rsid w:val="00EC00D2"/>
    <w:rsid w:val="00EC0626"/>
    <w:rsid w:val="00EC0800"/>
    <w:rsid w:val="00EC141E"/>
    <w:rsid w:val="00EC1779"/>
    <w:rsid w:val="00EC19BE"/>
    <w:rsid w:val="00EC1A88"/>
    <w:rsid w:val="00EC1B1C"/>
    <w:rsid w:val="00EC2071"/>
    <w:rsid w:val="00EC234E"/>
    <w:rsid w:val="00EC25B1"/>
    <w:rsid w:val="00EC28E7"/>
    <w:rsid w:val="00EC2C87"/>
    <w:rsid w:val="00EC32B0"/>
    <w:rsid w:val="00EC3775"/>
    <w:rsid w:val="00EC378A"/>
    <w:rsid w:val="00EC391C"/>
    <w:rsid w:val="00EC394E"/>
    <w:rsid w:val="00EC3B5A"/>
    <w:rsid w:val="00EC3BCF"/>
    <w:rsid w:val="00EC43C9"/>
    <w:rsid w:val="00EC43F9"/>
    <w:rsid w:val="00EC4561"/>
    <w:rsid w:val="00EC46EA"/>
    <w:rsid w:val="00EC47FE"/>
    <w:rsid w:val="00EC4836"/>
    <w:rsid w:val="00EC4A0A"/>
    <w:rsid w:val="00EC4B49"/>
    <w:rsid w:val="00EC4C83"/>
    <w:rsid w:val="00EC4E46"/>
    <w:rsid w:val="00EC504A"/>
    <w:rsid w:val="00EC557F"/>
    <w:rsid w:val="00EC55FF"/>
    <w:rsid w:val="00EC591E"/>
    <w:rsid w:val="00EC5EBA"/>
    <w:rsid w:val="00EC60FD"/>
    <w:rsid w:val="00EC6277"/>
    <w:rsid w:val="00EC69B1"/>
    <w:rsid w:val="00ED0142"/>
    <w:rsid w:val="00ED0BA5"/>
    <w:rsid w:val="00ED1087"/>
    <w:rsid w:val="00ED11C2"/>
    <w:rsid w:val="00ED12FD"/>
    <w:rsid w:val="00ED1384"/>
    <w:rsid w:val="00ED1A2F"/>
    <w:rsid w:val="00ED1AEF"/>
    <w:rsid w:val="00ED1C88"/>
    <w:rsid w:val="00ED2211"/>
    <w:rsid w:val="00ED2604"/>
    <w:rsid w:val="00ED26D4"/>
    <w:rsid w:val="00ED298C"/>
    <w:rsid w:val="00ED2FB0"/>
    <w:rsid w:val="00ED308B"/>
    <w:rsid w:val="00ED315F"/>
    <w:rsid w:val="00ED31C6"/>
    <w:rsid w:val="00ED32CF"/>
    <w:rsid w:val="00ED357E"/>
    <w:rsid w:val="00ED4888"/>
    <w:rsid w:val="00ED4FD0"/>
    <w:rsid w:val="00ED51CD"/>
    <w:rsid w:val="00ED59E1"/>
    <w:rsid w:val="00ED5A54"/>
    <w:rsid w:val="00ED5D51"/>
    <w:rsid w:val="00ED5DF2"/>
    <w:rsid w:val="00ED611B"/>
    <w:rsid w:val="00ED6190"/>
    <w:rsid w:val="00ED65BA"/>
    <w:rsid w:val="00ED691F"/>
    <w:rsid w:val="00ED6C30"/>
    <w:rsid w:val="00ED6D89"/>
    <w:rsid w:val="00ED6FB1"/>
    <w:rsid w:val="00ED6FDF"/>
    <w:rsid w:val="00ED7C92"/>
    <w:rsid w:val="00ED7D3A"/>
    <w:rsid w:val="00ED7E1A"/>
    <w:rsid w:val="00ED7EAC"/>
    <w:rsid w:val="00EE0161"/>
    <w:rsid w:val="00EE026A"/>
    <w:rsid w:val="00EE0B8C"/>
    <w:rsid w:val="00EE11F7"/>
    <w:rsid w:val="00EE177E"/>
    <w:rsid w:val="00EE17C8"/>
    <w:rsid w:val="00EE1864"/>
    <w:rsid w:val="00EE19E8"/>
    <w:rsid w:val="00EE1E4D"/>
    <w:rsid w:val="00EE2026"/>
    <w:rsid w:val="00EE22F0"/>
    <w:rsid w:val="00EE2688"/>
    <w:rsid w:val="00EE2721"/>
    <w:rsid w:val="00EE2737"/>
    <w:rsid w:val="00EE2824"/>
    <w:rsid w:val="00EE30CB"/>
    <w:rsid w:val="00EE35F0"/>
    <w:rsid w:val="00EE3856"/>
    <w:rsid w:val="00EE3A0C"/>
    <w:rsid w:val="00EE3ACF"/>
    <w:rsid w:val="00EE3CA4"/>
    <w:rsid w:val="00EE3DB8"/>
    <w:rsid w:val="00EE3F33"/>
    <w:rsid w:val="00EE42E5"/>
    <w:rsid w:val="00EE430F"/>
    <w:rsid w:val="00EE4691"/>
    <w:rsid w:val="00EE498C"/>
    <w:rsid w:val="00EE4D3E"/>
    <w:rsid w:val="00EE4D83"/>
    <w:rsid w:val="00EE4E4C"/>
    <w:rsid w:val="00EE51F4"/>
    <w:rsid w:val="00EE5382"/>
    <w:rsid w:val="00EE5593"/>
    <w:rsid w:val="00EE5B32"/>
    <w:rsid w:val="00EE5DCE"/>
    <w:rsid w:val="00EE6276"/>
    <w:rsid w:val="00EE65AF"/>
    <w:rsid w:val="00EE66F4"/>
    <w:rsid w:val="00EE6BB6"/>
    <w:rsid w:val="00EE6D8D"/>
    <w:rsid w:val="00EE70D1"/>
    <w:rsid w:val="00EE71D2"/>
    <w:rsid w:val="00EE75E5"/>
    <w:rsid w:val="00EE76CD"/>
    <w:rsid w:val="00EE7BB4"/>
    <w:rsid w:val="00EE7E62"/>
    <w:rsid w:val="00EE7EC8"/>
    <w:rsid w:val="00EE7F3D"/>
    <w:rsid w:val="00EF03B8"/>
    <w:rsid w:val="00EF0609"/>
    <w:rsid w:val="00EF07B1"/>
    <w:rsid w:val="00EF0AC1"/>
    <w:rsid w:val="00EF0C6A"/>
    <w:rsid w:val="00EF132A"/>
    <w:rsid w:val="00EF15E7"/>
    <w:rsid w:val="00EF1647"/>
    <w:rsid w:val="00EF1795"/>
    <w:rsid w:val="00EF1D03"/>
    <w:rsid w:val="00EF1E21"/>
    <w:rsid w:val="00EF1E4A"/>
    <w:rsid w:val="00EF2005"/>
    <w:rsid w:val="00EF2141"/>
    <w:rsid w:val="00EF22C0"/>
    <w:rsid w:val="00EF233C"/>
    <w:rsid w:val="00EF25CE"/>
    <w:rsid w:val="00EF299D"/>
    <w:rsid w:val="00EF30B9"/>
    <w:rsid w:val="00EF34F0"/>
    <w:rsid w:val="00EF3901"/>
    <w:rsid w:val="00EF39F4"/>
    <w:rsid w:val="00EF3B18"/>
    <w:rsid w:val="00EF44DC"/>
    <w:rsid w:val="00EF4545"/>
    <w:rsid w:val="00EF4565"/>
    <w:rsid w:val="00EF46CE"/>
    <w:rsid w:val="00EF4AD3"/>
    <w:rsid w:val="00EF4D80"/>
    <w:rsid w:val="00EF5240"/>
    <w:rsid w:val="00EF5437"/>
    <w:rsid w:val="00EF5780"/>
    <w:rsid w:val="00EF598E"/>
    <w:rsid w:val="00EF5A68"/>
    <w:rsid w:val="00EF5C85"/>
    <w:rsid w:val="00EF5E73"/>
    <w:rsid w:val="00EF735B"/>
    <w:rsid w:val="00EF751E"/>
    <w:rsid w:val="00EF7B4B"/>
    <w:rsid w:val="00F00056"/>
    <w:rsid w:val="00F009CD"/>
    <w:rsid w:val="00F00AF4"/>
    <w:rsid w:val="00F016B4"/>
    <w:rsid w:val="00F01C8F"/>
    <w:rsid w:val="00F022BE"/>
    <w:rsid w:val="00F025B7"/>
    <w:rsid w:val="00F02866"/>
    <w:rsid w:val="00F028A6"/>
    <w:rsid w:val="00F035CD"/>
    <w:rsid w:val="00F037EC"/>
    <w:rsid w:val="00F03A8D"/>
    <w:rsid w:val="00F03C89"/>
    <w:rsid w:val="00F04555"/>
    <w:rsid w:val="00F04679"/>
    <w:rsid w:val="00F0498F"/>
    <w:rsid w:val="00F0500C"/>
    <w:rsid w:val="00F05189"/>
    <w:rsid w:val="00F054C0"/>
    <w:rsid w:val="00F05A19"/>
    <w:rsid w:val="00F05B02"/>
    <w:rsid w:val="00F05E6D"/>
    <w:rsid w:val="00F05FD5"/>
    <w:rsid w:val="00F066FF"/>
    <w:rsid w:val="00F06EAA"/>
    <w:rsid w:val="00F06F2E"/>
    <w:rsid w:val="00F07096"/>
    <w:rsid w:val="00F075C5"/>
    <w:rsid w:val="00F078A6"/>
    <w:rsid w:val="00F07AAF"/>
    <w:rsid w:val="00F07BF4"/>
    <w:rsid w:val="00F101E2"/>
    <w:rsid w:val="00F1067D"/>
    <w:rsid w:val="00F10703"/>
    <w:rsid w:val="00F10E67"/>
    <w:rsid w:val="00F10FDD"/>
    <w:rsid w:val="00F110C1"/>
    <w:rsid w:val="00F11369"/>
    <w:rsid w:val="00F115A1"/>
    <w:rsid w:val="00F116FF"/>
    <w:rsid w:val="00F117DF"/>
    <w:rsid w:val="00F1191C"/>
    <w:rsid w:val="00F11AAD"/>
    <w:rsid w:val="00F11CC1"/>
    <w:rsid w:val="00F11FC1"/>
    <w:rsid w:val="00F1249C"/>
    <w:rsid w:val="00F12A6E"/>
    <w:rsid w:val="00F12CE6"/>
    <w:rsid w:val="00F12F53"/>
    <w:rsid w:val="00F1360A"/>
    <w:rsid w:val="00F139E5"/>
    <w:rsid w:val="00F13C66"/>
    <w:rsid w:val="00F13DE6"/>
    <w:rsid w:val="00F14854"/>
    <w:rsid w:val="00F14916"/>
    <w:rsid w:val="00F14B82"/>
    <w:rsid w:val="00F14DF3"/>
    <w:rsid w:val="00F14E01"/>
    <w:rsid w:val="00F14F7E"/>
    <w:rsid w:val="00F14FEC"/>
    <w:rsid w:val="00F1502A"/>
    <w:rsid w:val="00F1572C"/>
    <w:rsid w:val="00F15B45"/>
    <w:rsid w:val="00F15ED5"/>
    <w:rsid w:val="00F16048"/>
    <w:rsid w:val="00F160FD"/>
    <w:rsid w:val="00F16356"/>
    <w:rsid w:val="00F1648D"/>
    <w:rsid w:val="00F164AC"/>
    <w:rsid w:val="00F16933"/>
    <w:rsid w:val="00F16EA7"/>
    <w:rsid w:val="00F171BC"/>
    <w:rsid w:val="00F17AFE"/>
    <w:rsid w:val="00F20159"/>
    <w:rsid w:val="00F201AB"/>
    <w:rsid w:val="00F202B2"/>
    <w:rsid w:val="00F207E6"/>
    <w:rsid w:val="00F20CDF"/>
    <w:rsid w:val="00F2117D"/>
    <w:rsid w:val="00F211B8"/>
    <w:rsid w:val="00F21455"/>
    <w:rsid w:val="00F21771"/>
    <w:rsid w:val="00F21B4C"/>
    <w:rsid w:val="00F21D6D"/>
    <w:rsid w:val="00F21F96"/>
    <w:rsid w:val="00F226E5"/>
    <w:rsid w:val="00F2294C"/>
    <w:rsid w:val="00F22B0A"/>
    <w:rsid w:val="00F22E6F"/>
    <w:rsid w:val="00F23072"/>
    <w:rsid w:val="00F23343"/>
    <w:rsid w:val="00F234AC"/>
    <w:rsid w:val="00F234DC"/>
    <w:rsid w:val="00F23657"/>
    <w:rsid w:val="00F239BF"/>
    <w:rsid w:val="00F23B1B"/>
    <w:rsid w:val="00F23F53"/>
    <w:rsid w:val="00F24081"/>
    <w:rsid w:val="00F2442C"/>
    <w:rsid w:val="00F24ABD"/>
    <w:rsid w:val="00F24BE2"/>
    <w:rsid w:val="00F24C8F"/>
    <w:rsid w:val="00F24D09"/>
    <w:rsid w:val="00F24DC3"/>
    <w:rsid w:val="00F24EA9"/>
    <w:rsid w:val="00F250ED"/>
    <w:rsid w:val="00F25145"/>
    <w:rsid w:val="00F257CB"/>
    <w:rsid w:val="00F260F7"/>
    <w:rsid w:val="00F26365"/>
    <w:rsid w:val="00F263B6"/>
    <w:rsid w:val="00F26594"/>
    <w:rsid w:val="00F26C3F"/>
    <w:rsid w:val="00F26C4D"/>
    <w:rsid w:val="00F27ADE"/>
    <w:rsid w:val="00F306B2"/>
    <w:rsid w:val="00F306E0"/>
    <w:rsid w:val="00F30880"/>
    <w:rsid w:val="00F308F7"/>
    <w:rsid w:val="00F30C07"/>
    <w:rsid w:val="00F30C09"/>
    <w:rsid w:val="00F30D94"/>
    <w:rsid w:val="00F30ED7"/>
    <w:rsid w:val="00F313E4"/>
    <w:rsid w:val="00F3207E"/>
    <w:rsid w:val="00F320F3"/>
    <w:rsid w:val="00F32B02"/>
    <w:rsid w:val="00F32BD9"/>
    <w:rsid w:val="00F32F47"/>
    <w:rsid w:val="00F33A51"/>
    <w:rsid w:val="00F340B0"/>
    <w:rsid w:val="00F344B8"/>
    <w:rsid w:val="00F34870"/>
    <w:rsid w:val="00F34A3A"/>
    <w:rsid w:val="00F350A1"/>
    <w:rsid w:val="00F350CB"/>
    <w:rsid w:val="00F352AF"/>
    <w:rsid w:val="00F35430"/>
    <w:rsid w:val="00F358A9"/>
    <w:rsid w:val="00F35A0C"/>
    <w:rsid w:val="00F35F4E"/>
    <w:rsid w:val="00F36016"/>
    <w:rsid w:val="00F36307"/>
    <w:rsid w:val="00F36492"/>
    <w:rsid w:val="00F3660E"/>
    <w:rsid w:val="00F36A66"/>
    <w:rsid w:val="00F36A96"/>
    <w:rsid w:val="00F37402"/>
    <w:rsid w:val="00F37673"/>
    <w:rsid w:val="00F37835"/>
    <w:rsid w:val="00F37AD8"/>
    <w:rsid w:val="00F37BBC"/>
    <w:rsid w:val="00F37C62"/>
    <w:rsid w:val="00F37CFA"/>
    <w:rsid w:val="00F40176"/>
    <w:rsid w:val="00F40787"/>
    <w:rsid w:val="00F407C6"/>
    <w:rsid w:val="00F40C50"/>
    <w:rsid w:val="00F40D96"/>
    <w:rsid w:val="00F415B7"/>
    <w:rsid w:val="00F4196E"/>
    <w:rsid w:val="00F41A97"/>
    <w:rsid w:val="00F41AF8"/>
    <w:rsid w:val="00F41CB8"/>
    <w:rsid w:val="00F42064"/>
    <w:rsid w:val="00F422F2"/>
    <w:rsid w:val="00F424E1"/>
    <w:rsid w:val="00F4250E"/>
    <w:rsid w:val="00F42A84"/>
    <w:rsid w:val="00F42C75"/>
    <w:rsid w:val="00F42D83"/>
    <w:rsid w:val="00F436E3"/>
    <w:rsid w:val="00F43DF6"/>
    <w:rsid w:val="00F4428B"/>
    <w:rsid w:val="00F442B9"/>
    <w:rsid w:val="00F44903"/>
    <w:rsid w:val="00F449C1"/>
    <w:rsid w:val="00F44AC8"/>
    <w:rsid w:val="00F44B64"/>
    <w:rsid w:val="00F44C14"/>
    <w:rsid w:val="00F44DE6"/>
    <w:rsid w:val="00F45D53"/>
    <w:rsid w:val="00F45D8F"/>
    <w:rsid w:val="00F45E2E"/>
    <w:rsid w:val="00F45ED0"/>
    <w:rsid w:val="00F4616A"/>
    <w:rsid w:val="00F462C3"/>
    <w:rsid w:val="00F463FA"/>
    <w:rsid w:val="00F4653D"/>
    <w:rsid w:val="00F46755"/>
    <w:rsid w:val="00F472BE"/>
    <w:rsid w:val="00F4735E"/>
    <w:rsid w:val="00F474E5"/>
    <w:rsid w:val="00F47D0B"/>
    <w:rsid w:val="00F50005"/>
    <w:rsid w:val="00F50587"/>
    <w:rsid w:val="00F5091B"/>
    <w:rsid w:val="00F50B7D"/>
    <w:rsid w:val="00F50BFA"/>
    <w:rsid w:val="00F50C8B"/>
    <w:rsid w:val="00F50D5A"/>
    <w:rsid w:val="00F5114F"/>
    <w:rsid w:val="00F511A2"/>
    <w:rsid w:val="00F518E7"/>
    <w:rsid w:val="00F51DEB"/>
    <w:rsid w:val="00F52730"/>
    <w:rsid w:val="00F5298D"/>
    <w:rsid w:val="00F52AA8"/>
    <w:rsid w:val="00F52D05"/>
    <w:rsid w:val="00F52EAE"/>
    <w:rsid w:val="00F52F4E"/>
    <w:rsid w:val="00F52FC1"/>
    <w:rsid w:val="00F531BA"/>
    <w:rsid w:val="00F5381F"/>
    <w:rsid w:val="00F538D3"/>
    <w:rsid w:val="00F53A9D"/>
    <w:rsid w:val="00F53C9C"/>
    <w:rsid w:val="00F53D0F"/>
    <w:rsid w:val="00F5422D"/>
    <w:rsid w:val="00F5467A"/>
    <w:rsid w:val="00F54AD9"/>
    <w:rsid w:val="00F54B20"/>
    <w:rsid w:val="00F55213"/>
    <w:rsid w:val="00F556B5"/>
    <w:rsid w:val="00F55BBF"/>
    <w:rsid w:val="00F55CB1"/>
    <w:rsid w:val="00F560E6"/>
    <w:rsid w:val="00F5696F"/>
    <w:rsid w:val="00F56AB5"/>
    <w:rsid w:val="00F56DDD"/>
    <w:rsid w:val="00F57234"/>
    <w:rsid w:val="00F57888"/>
    <w:rsid w:val="00F5793D"/>
    <w:rsid w:val="00F57C81"/>
    <w:rsid w:val="00F57DC7"/>
    <w:rsid w:val="00F57DF1"/>
    <w:rsid w:val="00F57EC9"/>
    <w:rsid w:val="00F57FB1"/>
    <w:rsid w:val="00F605DD"/>
    <w:rsid w:val="00F605FA"/>
    <w:rsid w:val="00F608DA"/>
    <w:rsid w:val="00F61597"/>
    <w:rsid w:val="00F61EEF"/>
    <w:rsid w:val="00F622A3"/>
    <w:rsid w:val="00F62595"/>
    <w:rsid w:val="00F6272E"/>
    <w:rsid w:val="00F628B7"/>
    <w:rsid w:val="00F62992"/>
    <w:rsid w:val="00F62A76"/>
    <w:rsid w:val="00F62ACC"/>
    <w:rsid w:val="00F62F14"/>
    <w:rsid w:val="00F630C1"/>
    <w:rsid w:val="00F6314F"/>
    <w:rsid w:val="00F6325A"/>
    <w:rsid w:val="00F63AED"/>
    <w:rsid w:val="00F640D3"/>
    <w:rsid w:val="00F645F0"/>
    <w:rsid w:val="00F64726"/>
    <w:rsid w:val="00F647AB"/>
    <w:rsid w:val="00F64885"/>
    <w:rsid w:val="00F64B7D"/>
    <w:rsid w:val="00F64DD1"/>
    <w:rsid w:val="00F65103"/>
    <w:rsid w:val="00F6527B"/>
    <w:rsid w:val="00F65427"/>
    <w:rsid w:val="00F65443"/>
    <w:rsid w:val="00F654DA"/>
    <w:rsid w:val="00F654E7"/>
    <w:rsid w:val="00F65601"/>
    <w:rsid w:val="00F65724"/>
    <w:rsid w:val="00F6592B"/>
    <w:rsid w:val="00F65962"/>
    <w:rsid w:val="00F65DFC"/>
    <w:rsid w:val="00F65FE9"/>
    <w:rsid w:val="00F65FEB"/>
    <w:rsid w:val="00F6648A"/>
    <w:rsid w:val="00F66C6E"/>
    <w:rsid w:val="00F66F05"/>
    <w:rsid w:val="00F66F40"/>
    <w:rsid w:val="00F671EE"/>
    <w:rsid w:val="00F67361"/>
    <w:rsid w:val="00F673FF"/>
    <w:rsid w:val="00F67466"/>
    <w:rsid w:val="00F67766"/>
    <w:rsid w:val="00F677B1"/>
    <w:rsid w:val="00F67939"/>
    <w:rsid w:val="00F67C3F"/>
    <w:rsid w:val="00F70112"/>
    <w:rsid w:val="00F705F9"/>
    <w:rsid w:val="00F70630"/>
    <w:rsid w:val="00F70822"/>
    <w:rsid w:val="00F70B57"/>
    <w:rsid w:val="00F70CB8"/>
    <w:rsid w:val="00F7103D"/>
    <w:rsid w:val="00F712BF"/>
    <w:rsid w:val="00F716C0"/>
    <w:rsid w:val="00F71807"/>
    <w:rsid w:val="00F71FC6"/>
    <w:rsid w:val="00F72228"/>
    <w:rsid w:val="00F727EF"/>
    <w:rsid w:val="00F72815"/>
    <w:rsid w:val="00F73048"/>
    <w:rsid w:val="00F732A4"/>
    <w:rsid w:val="00F73905"/>
    <w:rsid w:val="00F73F48"/>
    <w:rsid w:val="00F73FA7"/>
    <w:rsid w:val="00F74033"/>
    <w:rsid w:val="00F74086"/>
    <w:rsid w:val="00F741EC"/>
    <w:rsid w:val="00F74962"/>
    <w:rsid w:val="00F750FE"/>
    <w:rsid w:val="00F755C9"/>
    <w:rsid w:val="00F755F7"/>
    <w:rsid w:val="00F759B0"/>
    <w:rsid w:val="00F75BBE"/>
    <w:rsid w:val="00F75DE2"/>
    <w:rsid w:val="00F76029"/>
    <w:rsid w:val="00F763A0"/>
    <w:rsid w:val="00F765D7"/>
    <w:rsid w:val="00F76666"/>
    <w:rsid w:val="00F7668B"/>
    <w:rsid w:val="00F76CA2"/>
    <w:rsid w:val="00F76E88"/>
    <w:rsid w:val="00F7701B"/>
    <w:rsid w:val="00F770F3"/>
    <w:rsid w:val="00F77247"/>
    <w:rsid w:val="00F772DA"/>
    <w:rsid w:val="00F778A5"/>
    <w:rsid w:val="00F77BED"/>
    <w:rsid w:val="00F77C00"/>
    <w:rsid w:val="00F77CCF"/>
    <w:rsid w:val="00F801E7"/>
    <w:rsid w:val="00F803BA"/>
    <w:rsid w:val="00F8049B"/>
    <w:rsid w:val="00F80997"/>
    <w:rsid w:val="00F809ED"/>
    <w:rsid w:val="00F80ECC"/>
    <w:rsid w:val="00F81718"/>
    <w:rsid w:val="00F81FE7"/>
    <w:rsid w:val="00F82548"/>
    <w:rsid w:val="00F82710"/>
    <w:rsid w:val="00F8276F"/>
    <w:rsid w:val="00F82B5C"/>
    <w:rsid w:val="00F831F9"/>
    <w:rsid w:val="00F83A80"/>
    <w:rsid w:val="00F83B7B"/>
    <w:rsid w:val="00F83D2F"/>
    <w:rsid w:val="00F84029"/>
    <w:rsid w:val="00F8406C"/>
    <w:rsid w:val="00F845A1"/>
    <w:rsid w:val="00F84866"/>
    <w:rsid w:val="00F849A0"/>
    <w:rsid w:val="00F84E46"/>
    <w:rsid w:val="00F84E8F"/>
    <w:rsid w:val="00F84FC5"/>
    <w:rsid w:val="00F850A6"/>
    <w:rsid w:val="00F85268"/>
    <w:rsid w:val="00F85B42"/>
    <w:rsid w:val="00F85FDD"/>
    <w:rsid w:val="00F86157"/>
    <w:rsid w:val="00F86457"/>
    <w:rsid w:val="00F86DF3"/>
    <w:rsid w:val="00F86E0C"/>
    <w:rsid w:val="00F86ECD"/>
    <w:rsid w:val="00F86F70"/>
    <w:rsid w:val="00F873DC"/>
    <w:rsid w:val="00F90235"/>
    <w:rsid w:val="00F9039C"/>
    <w:rsid w:val="00F903D5"/>
    <w:rsid w:val="00F903F1"/>
    <w:rsid w:val="00F906B0"/>
    <w:rsid w:val="00F9084F"/>
    <w:rsid w:val="00F90892"/>
    <w:rsid w:val="00F9158D"/>
    <w:rsid w:val="00F91B7F"/>
    <w:rsid w:val="00F924B0"/>
    <w:rsid w:val="00F9286D"/>
    <w:rsid w:val="00F92C41"/>
    <w:rsid w:val="00F92CFC"/>
    <w:rsid w:val="00F92F3F"/>
    <w:rsid w:val="00F931A5"/>
    <w:rsid w:val="00F93218"/>
    <w:rsid w:val="00F9331C"/>
    <w:rsid w:val="00F93368"/>
    <w:rsid w:val="00F93585"/>
    <w:rsid w:val="00F94558"/>
    <w:rsid w:val="00F947D4"/>
    <w:rsid w:val="00F94CAE"/>
    <w:rsid w:val="00F94DD3"/>
    <w:rsid w:val="00F94E7F"/>
    <w:rsid w:val="00F951C9"/>
    <w:rsid w:val="00F95BF2"/>
    <w:rsid w:val="00F95C46"/>
    <w:rsid w:val="00F95F6A"/>
    <w:rsid w:val="00F963EC"/>
    <w:rsid w:val="00F968EF"/>
    <w:rsid w:val="00F96CF1"/>
    <w:rsid w:val="00F96D78"/>
    <w:rsid w:val="00F96E6A"/>
    <w:rsid w:val="00F96E94"/>
    <w:rsid w:val="00F96F3A"/>
    <w:rsid w:val="00F97182"/>
    <w:rsid w:val="00F973FB"/>
    <w:rsid w:val="00F975A0"/>
    <w:rsid w:val="00F97AE8"/>
    <w:rsid w:val="00F97B98"/>
    <w:rsid w:val="00F97DC0"/>
    <w:rsid w:val="00FA007A"/>
    <w:rsid w:val="00FA027A"/>
    <w:rsid w:val="00FA0310"/>
    <w:rsid w:val="00FA03A3"/>
    <w:rsid w:val="00FA03F5"/>
    <w:rsid w:val="00FA0E07"/>
    <w:rsid w:val="00FA1021"/>
    <w:rsid w:val="00FA139B"/>
    <w:rsid w:val="00FA146A"/>
    <w:rsid w:val="00FA173A"/>
    <w:rsid w:val="00FA1B1C"/>
    <w:rsid w:val="00FA2613"/>
    <w:rsid w:val="00FA289D"/>
    <w:rsid w:val="00FA2E16"/>
    <w:rsid w:val="00FA325F"/>
    <w:rsid w:val="00FA34FD"/>
    <w:rsid w:val="00FA3E7A"/>
    <w:rsid w:val="00FA3F51"/>
    <w:rsid w:val="00FA3F90"/>
    <w:rsid w:val="00FA4396"/>
    <w:rsid w:val="00FA4573"/>
    <w:rsid w:val="00FA45B8"/>
    <w:rsid w:val="00FA45F5"/>
    <w:rsid w:val="00FA48ED"/>
    <w:rsid w:val="00FA4C11"/>
    <w:rsid w:val="00FA4C9D"/>
    <w:rsid w:val="00FA529C"/>
    <w:rsid w:val="00FA58F4"/>
    <w:rsid w:val="00FA59B7"/>
    <w:rsid w:val="00FA5A39"/>
    <w:rsid w:val="00FA5C63"/>
    <w:rsid w:val="00FA5E64"/>
    <w:rsid w:val="00FA5E96"/>
    <w:rsid w:val="00FA6245"/>
    <w:rsid w:val="00FA6249"/>
    <w:rsid w:val="00FA62F6"/>
    <w:rsid w:val="00FA69FD"/>
    <w:rsid w:val="00FA6B6A"/>
    <w:rsid w:val="00FA6B7A"/>
    <w:rsid w:val="00FA6B81"/>
    <w:rsid w:val="00FA6D4E"/>
    <w:rsid w:val="00FA6F8F"/>
    <w:rsid w:val="00FA7332"/>
    <w:rsid w:val="00FA74AA"/>
    <w:rsid w:val="00FA75AF"/>
    <w:rsid w:val="00FA75FE"/>
    <w:rsid w:val="00FA7676"/>
    <w:rsid w:val="00FA7B93"/>
    <w:rsid w:val="00FA7C9A"/>
    <w:rsid w:val="00FA7D9F"/>
    <w:rsid w:val="00FB02B7"/>
    <w:rsid w:val="00FB05BB"/>
    <w:rsid w:val="00FB063D"/>
    <w:rsid w:val="00FB0681"/>
    <w:rsid w:val="00FB0AE7"/>
    <w:rsid w:val="00FB0D18"/>
    <w:rsid w:val="00FB100A"/>
    <w:rsid w:val="00FB1116"/>
    <w:rsid w:val="00FB18B9"/>
    <w:rsid w:val="00FB19E6"/>
    <w:rsid w:val="00FB1B84"/>
    <w:rsid w:val="00FB1C77"/>
    <w:rsid w:val="00FB1E3D"/>
    <w:rsid w:val="00FB1E60"/>
    <w:rsid w:val="00FB23AA"/>
    <w:rsid w:val="00FB2678"/>
    <w:rsid w:val="00FB2922"/>
    <w:rsid w:val="00FB2962"/>
    <w:rsid w:val="00FB2B93"/>
    <w:rsid w:val="00FB2F30"/>
    <w:rsid w:val="00FB2FBD"/>
    <w:rsid w:val="00FB3DD5"/>
    <w:rsid w:val="00FB3E1D"/>
    <w:rsid w:val="00FB3ED3"/>
    <w:rsid w:val="00FB42CF"/>
    <w:rsid w:val="00FB45DD"/>
    <w:rsid w:val="00FB46CA"/>
    <w:rsid w:val="00FB506A"/>
    <w:rsid w:val="00FB56B8"/>
    <w:rsid w:val="00FB5D89"/>
    <w:rsid w:val="00FB5DF0"/>
    <w:rsid w:val="00FB6247"/>
    <w:rsid w:val="00FB6B11"/>
    <w:rsid w:val="00FB73D9"/>
    <w:rsid w:val="00FB741F"/>
    <w:rsid w:val="00FB7B7A"/>
    <w:rsid w:val="00FB7FF3"/>
    <w:rsid w:val="00FC0029"/>
    <w:rsid w:val="00FC057E"/>
    <w:rsid w:val="00FC05CC"/>
    <w:rsid w:val="00FC0B58"/>
    <w:rsid w:val="00FC0BEC"/>
    <w:rsid w:val="00FC0EC4"/>
    <w:rsid w:val="00FC0FEF"/>
    <w:rsid w:val="00FC1766"/>
    <w:rsid w:val="00FC178F"/>
    <w:rsid w:val="00FC1C9E"/>
    <w:rsid w:val="00FC1D40"/>
    <w:rsid w:val="00FC1E7A"/>
    <w:rsid w:val="00FC1FBF"/>
    <w:rsid w:val="00FC1FF4"/>
    <w:rsid w:val="00FC2221"/>
    <w:rsid w:val="00FC25B1"/>
    <w:rsid w:val="00FC25E7"/>
    <w:rsid w:val="00FC2E0D"/>
    <w:rsid w:val="00FC31AB"/>
    <w:rsid w:val="00FC31C0"/>
    <w:rsid w:val="00FC3681"/>
    <w:rsid w:val="00FC3ACB"/>
    <w:rsid w:val="00FC3BEF"/>
    <w:rsid w:val="00FC3C40"/>
    <w:rsid w:val="00FC3CD4"/>
    <w:rsid w:val="00FC3DF8"/>
    <w:rsid w:val="00FC3EE1"/>
    <w:rsid w:val="00FC40D7"/>
    <w:rsid w:val="00FC44C1"/>
    <w:rsid w:val="00FC4831"/>
    <w:rsid w:val="00FC4B06"/>
    <w:rsid w:val="00FC529E"/>
    <w:rsid w:val="00FC564B"/>
    <w:rsid w:val="00FC5BC6"/>
    <w:rsid w:val="00FC5DCB"/>
    <w:rsid w:val="00FC66CC"/>
    <w:rsid w:val="00FC699E"/>
    <w:rsid w:val="00FC6C67"/>
    <w:rsid w:val="00FC6D45"/>
    <w:rsid w:val="00FC724C"/>
    <w:rsid w:val="00FC763C"/>
    <w:rsid w:val="00FC7686"/>
    <w:rsid w:val="00FC76F5"/>
    <w:rsid w:val="00FD007C"/>
    <w:rsid w:val="00FD01AD"/>
    <w:rsid w:val="00FD0865"/>
    <w:rsid w:val="00FD0AE5"/>
    <w:rsid w:val="00FD1039"/>
    <w:rsid w:val="00FD10D5"/>
    <w:rsid w:val="00FD129F"/>
    <w:rsid w:val="00FD1700"/>
    <w:rsid w:val="00FD20E5"/>
    <w:rsid w:val="00FD22C0"/>
    <w:rsid w:val="00FD23E5"/>
    <w:rsid w:val="00FD247F"/>
    <w:rsid w:val="00FD24E9"/>
    <w:rsid w:val="00FD26B7"/>
    <w:rsid w:val="00FD2B9B"/>
    <w:rsid w:val="00FD3231"/>
    <w:rsid w:val="00FD3464"/>
    <w:rsid w:val="00FD36EC"/>
    <w:rsid w:val="00FD39FA"/>
    <w:rsid w:val="00FD40B9"/>
    <w:rsid w:val="00FD4EA1"/>
    <w:rsid w:val="00FD511A"/>
    <w:rsid w:val="00FD5838"/>
    <w:rsid w:val="00FD5EF6"/>
    <w:rsid w:val="00FD61A1"/>
    <w:rsid w:val="00FD622C"/>
    <w:rsid w:val="00FD623A"/>
    <w:rsid w:val="00FD624F"/>
    <w:rsid w:val="00FD662A"/>
    <w:rsid w:val="00FD683F"/>
    <w:rsid w:val="00FD69A7"/>
    <w:rsid w:val="00FD6AE8"/>
    <w:rsid w:val="00FD6F66"/>
    <w:rsid w:val="00FD7061"/>
    <w:rsid w:val="00FD723C"/>
    <w:rsid w:val="00FD7315"/>
    <w:rsid w:val="00FD750E"/>
    <w:rsid w:val="00FD7555"/>
    <w:rsid w:val="00FD78EE"/>
    <w:rsid w:val="00FD7905"/>
    <w:rsid w:val="00FE0094"/>
    <w:rsid w:val="00FE0A64"/>
    <w:rsid w:val="00FE0BF9"/>
    <w:rsid w:val="00FE1118"/>
    <w:rsid w:val="00FE12B4"/>
    <w:rsid w:val="00FE1815"/>
    <w:rsid w:val="00FE1D75"/>
    <w:rsid w:val="00FE230D"/>
    <w:rsid w:val="00FE24B8"/>
    <w:rsid w:val="00FE27DE"/>
    <w:rsid w:val="00FE2B79"/>
    <w:rsid w:val="00FE2EB2"/>
    <w:rsid w:val="00FE33E1"/>
    <w:rsid w:val="00FE36B6"/>
    <w:rsid w:val="00FE37CF"/>
    <w:rsid w:val="00FE394D"/>
    <w:rsid w:val="00FE3AEF"/>
    <w:rsid w:val="00FE3C58"/>
    <w:rsid w:val="00FE3E92"/>
    <w:rsid w:val="00FE4410"/>
    <w:rsid w:val="00FE4EA4"/>
    <w:rsid w:val="00FE524B"/>
    <w:rsid w:val="00FE533D"/>
    <w:rsid w:val="00FE56DC"/>
    <w:rsid w:val="00FE5718"/>
    <w:rsid w:val="00FE5930"/>
    <w:rsid w:val="00FE6072"/>
    <w:rsid w:val="00FE6165"/>
    <w:rsid w:val="00FE6566"/>
    <w:rsid w:val="00FE68CB"/>
    <w:rsid w:val="00FE6C7D"/>
    <w:rsid w:val="00FE6C83"/>
    <w:rsid w:val="00FE6CE3"/>
    <w:rsid w:val="00FE6D34"/>
    <w:rsid w:val="00FE6FA9"/>
    <w:rsid w:val="00FE71CA"/>
    <w:rsid w:val="00FE7780"/>
    <w:rsid w:val="00FE7929"/>
    <w:rsid w:val="00FE7C7E"/>
    <w:rsid w:val="00FE7D98"/>
    <w:rsid w:val="00FE7DFB"/>
    <w:rsid w:val="00FE7F55"/>
    <w:rsid w:val="00FF0354"/>
    <w:rsid w:val="00FF03E7"/>
    <w:rsid w:val="00FF04EF"/>
    <w:rsid w:val="00FF18A5"/>
    <w:rsid w:val="00FF19DB"/>
    <w:rsid w:val="00FF1B55"/>
    <w:rsid w:val="00FF2294"/>
    <w:rsid w:val="00FF2426"/>
    <w:rsid w:val="00FF3817"/>
    <w:rsid w:val="00FF3D1D"/>
    <w:rsid w:val="00FF4375"/>
    <w:rsid w:val="00FF44AC"/>
    <w:rsid w:val="00FF4870"/>
    <w:rsid w:val="00FF4A5B"/>
    <w:rsid w:val="00FF4C8B"/>
    <w:rsid w:val="00FF4F13"/>
    <w:rsid w:val="00FF5213"/>
    <w:rsid w:val="00FF53BC"/>
    <w:rsid w:val="00FF5406"/>
    <w:rsid w:val="00FF57D9"/>
    <w:rsid w:val="00FF581B"/>
    <w:rsid w:val="00FF586C"/>
    <w:rsid w:val="00FF58B3"/>
    <w:rsid w:val="00FF5A93"/>
    <w:rsid w:val="00FF5B1C"/>
    <w:rsid w:val="00FF5D13"/>
    <w:rsid w:val="00FF6268"/>
    <w:rsid w:val="00FF638A"/>
    <w:rsid w:val="00FF63B6"/>
    <w:rsid w:val="00FF664D"/>
    <w:rsid w:val="00FF6879"/>
    <w:rsid w:val="00FF6AED"/>
    <w:rsid w:val="00FF73EB"/>
    <w:rsid w:val="00FF7423"/>
    <w:rsid w:val="00FF74D2"/>
    <w:rsid w:val="00FF7819"/>
    <w:rsid w:val="00FF7A01"/>
    <w:rsid w:val="00FF7C09"/>
    <w:rsid w:val="00FF7DE8"/>
    <w:rsid w:val="00FF7F1B"/>
    <w:rsid w:val="0155ACBE"/>
    <w:rsid w:val="0189B554"/>
    <w:rsid w:val="022FE7AB"/>
    <w:rsid w:val="0328F992"/>
    <w:rsid w:val="033052C2"/>
    <w:rsid w:val="033143B1"/>
    <w:rsid w:val="03C4EC02"/>
    <w:rsid w:val="040EB3E1"/>
    <w:rsid w:val="048C3657"/>
    <w:rsid w:val="04EDAEC0"/>
    <w:rsid w:val="059BB07B"/>
    <w:rsid w:val="061BAB09"/>
    <w:rsid w:val="06BA9975"/>
    <w:rsid w:val="06FC8CC4"/>
    <w:rsid w:val="07C3D719"/>
    <w:rsid w:val="083E1CD5"/>
    <w:rsid w:val="086C392E"/>
    <w:rsid w:val="08852454"/>
    <w:rsid w:val="08985D25"/>
    <w:rsid w:val="095FA77A"/>
    <w:rsid w:val="09B5B8EF"/>
    <w:rsid w:val="0A7EED69"/>
    <w:rsid w:val="0AFB77DB"/>
    <w:rsid w:val="0B2555C2"/>
    <w:rsid w:val="0BCFFDE7"/>
    <w:rsid w:val="0BEAED4A"/>
    <w:rsid w:val="0CDC1214"/>
    <w:rsid w:val="0D97759C"/>
    <w:rsid w:val="0DA6A2F3"/>
    <w:rsid w:val="0DFADF2D"/>
    <w:rsid w:val="0E181F59"/>
    <w:rsid w:val="0E51C4E4"/>
    <w:rsid w:val="0EE07B24"/>
    <w:rsid w:val="0FCEE8FE"/>
    <w:rsid w:val="102D8A4C"/>
    <w:rsid w:val="11C67E5D"/>
    <w:rsid w:val="12750209"/>
    <w:rsid w:val="12B186EA"/>
    <w:rsid w:val="12E3BFE9"/>
    <w:rsid w:val="131AE1B3"/>
    <w:rsid w:val="131DF13A"/>
    <w:rsid w:val="13EAD710"/>
    <w:rsid w:val="140606BC"/>
    <w:rsid w:val="151B2D09"/>
    <w:rsid w:val="15807766"/>
    <w:rsid w:val="15AA3E82"/>
    <w:rsid w:val="15DC8916"/>
    <w:rsid w:val="164161F5"/>
    <w:rsid w:val="16461808"/>
    <w:rsid w:val="1706E3FF"/>
    <w:rsid w:val="179C255A"/>
    <w:rsid w:val="17D9FAE3"/>
    <w:rsid w:val="183B495E"/>
    <w:rsid w:val="18B49579"/>
    <w:rsid w:val="19C1E6F3"/>
    <w:rsid w:val="1A102FD4"/>
    <w:rsid w:val="1B257BC5"/>
    <w:rsid w:val="1B5F0410"/>
    <w:rsid w:val="1B81D4B0"/>
    <w:rsid w:val="1BE77B8F"/>
    <w:rsid w:val="1C008BEA"/>
    <w:rsid w:val="1C01A64D"/>
    <w:rsid w:val="1C055E98"/>
    <w:rsid w:val="1C2D1F39"/>
    <w:rsid w:val="1C4AF947"/>
    <w:rsid w:val="1C4FC141"/>
    <w:rsid w:val="1CAD6C06"/>
    <w:rsid w:val="1CEDA82C"/>
    <w:rsid w:val="1D1E40CA"/>
    <w:rsid w:val="1D90AB7B"/>
    <w:rsid w:val="1DD18598"/>
    <w:rsid w:val="1DF63337"/>
    <w:rsid w:val="1F742019"/>
    <w:rsid w:val="1FE50CC8"/>
    <w:rsid w:val="202174A7"/>
    <w:rsid w:val="2062D240"/>
    <w:rsid w:val="21275BB7"/>
    <w:rsid w:val="21BD4508"/>
    <w:rsid w:val="21C42044"/>
    <w:rsid w:val="231CAD8A"/>
    <w:rsid w:val="23E22E66"/>
    <w:rsid w:val="23F465FF"/>
    <w:rsid w:val="24B87DEB"/>
    <w:rsid w:val="25595E0A"/>
    <w:rsid w:val="25B5BC92"/>
    <w:rsid w:val="25E355FA"/>
    <w:rsid w:val="2613F9B1"/>
    <w:rsid w:val="26B1666C"/>
    <w:rsid w:val="26C40D9C"/>
    <w:rsid w:val="26E543E4"/>
    <w:rsid w:val="2725F61C"/>
    <w:rsid w:val="28202146"/>
    <w:rsid w:val="282DBFA7"/>
    <w:rsid w:val="28D2A6C9"/>
    <w:rsid w:val="28E3E1A0"/>
    <w:rsid w:val="295B3D97"/>
    <w:rsid w:val="298E7EDD"/>
    <w:rsid w:val="2A7AE197"/>
    <w:rsid w:val="2B51DA2D"/>
    <w:rsid w:val="2B5F394B"/>
    <w:rsid w:val="2BB10589"/>
    <w:rsid w:val="2C49032F"/>
    <w:rsid w:val="2C78244D"/>
    <w:rsid w:val="2D37D461"/>
    <w:rsid w:val="2E2B3F8B"/>
    <w:rsid w:val="2E3555D3"/>
    <w:rsid w:val="2E674DB7"/>
    <w:rsid w:val="2ED74E74"/>
    <w:rsid w:val="3051C785"/>
    <w:rsid w:val="3059E8EF"/>
    <w:rsid w:val="30DDB8AE"/>
    <w:rsid w:val="31D542DD"/>
    <w:rsid w:val="326CE8C1"/>
    <w:rsid w:val="32C8FC58"/>
    <w:rsid w:val="33597F41"/>
    <w:rsid w:val="340579AD"/>
    <w:rsid w:val="34341F84"/>
    <w:rsid w:val="351C0AB9"/>
    <w:rsid w:val="357713E3"/>
    <w:rsid w:val="358E5C22"/>
    <w:rsid w:val="35E1F6CF"/>
    <w:rsid w:val="35EC7F66"/>
    <w:rsid w:val="362151BA"/>
    <w:rsid w:val="36725F9C"/>
    <w:rsid w:val="37133428"/>
    <w:rsid w:val="3743583F"/>
    <w:rsid w:val="3759649F"/>
    <w:rsid w:val="38C87351"/>
    <w:rsid w:val="38D371CA"/>
    <w:rsid w:val="38D91DEF"/>
    <w:rsid w:val="3920F2D7"/>
    <w:rsid w:val="399E535D"/>
    <w:rsid w:val="39FA1E57"/>
    <w:rsid w:val="3A849AF4"/>
    <w:rsid w:val="3A86073B"/>
    <w:rsid w:val="3AA4C139"/>
    <w:rsid w:val="3C02C31C"/>
    <w:rsid w:val="3C8BD31F"/>
    <w:rsid w:val="3CFD4EA8"/>
    <w:rsid w:val="3D44B757"/>
    <w:rsid w:val="3E352B2B"/>
    <w:rsid w:val="3E3D66F1"/>
    <w:rsid w:val="3E3F53FB"/>
    <w:rsid w:val="3FCE28F9"/>
    <w:rsid w:val="3FDD01C7"/>
    <w:rsid w:val="40581C68"/>
    <w:rsid w:val="4060B4BB"/>
    <w:rsid w:val="40ADAF6F"/>
    <w:rsid w:val="40D27F01"/>
    <w:rsid w:val="40F3DC78"/>
    <w:rsid w:val="4131BE12"/>
    <w:rsid w:val="41F30226"/>
    <w:rsid w:val="425B0EE0"/>
    <w:rsid w:val="431DEC41"/>
    <w:rsid w:val="436A476F"/>
    <w:rsid w:val="43742226"/>
    <w:rsid w:val="442B7D3A"/>
    <w:rsid w:val="465CE849"/>
    <w:rsid w:val="4734DBE5"/>
    <w:rsid w:val="47C0361C"/>
    <w:rsid w:val="481541C1"/>
    <w:rsid w:val="48266BE5"/>
    <w:rsid w:val="485B0B5B"/>
    <w:rsid w:val="48BD30EF"/>
    <w:rsid w:val="4918AD50"/>
    <w:rsid w:val="49520267"/>
    <w:rsid w:val="4A10141C"/>
    <w:rsid w:val="4BAD4994"/>
    <w:rsid w:val="4BDA1130"/>
    <w:rsid w:val="4C368F1F"/>
    <w:rsid w:val="4C49DF60"/>
    <w:rsid w:val="4CE094E4"/>
    <w:rsid w:val="4D2956E1"/>
    <w:rsid w:val="4DB8B23F"/>
    <w:rsid w:val="4EB96483"/>
    <w:rsid w:val="4ED2B41E"/>
    <w:rsid w:val="4F2E244A"/>
    <w:rsid w:val="4F5F090C"/>
    <w:rsid w:val="4FCB4801"/>
    <w:rsid w:val="4FD9FD34"/>
    <w:rsid w:val="510B8E2B"/>
    <w:rsid w:val="5180EBE9"/>
    <w:rsid w:val="52D3399B"/>
    <w:rsid w:val="5321992B"/>
    <w:rsid w:val="532DEF6E"/>
    <w:rsid w:val="537AB4F1"/>
    <w:rsid w:val="537BFD12"/>
    <w:rsid w:val="53DDD685"/>
    <w:rsid w:val="553905E1"/>
    <w:rsid w:val="556C7913"/>
    <w:rsid w:val="557E299B"/>
    <w:rsid w:val="5694675D"/>
    <w:rsid w:val="56CC63EE"/>
    <w:rsid w:val="5705C02C"/>
    <w:rsid w:val="57F17621"/>
    <w:rsid w:val="5853DC5C"/>
    <w:rsid w:val="58CA1146"/>
    <w:rsid w:val="596E1837"/>
    <w:rsid w:val="5997C58C"/>
    <w:rsid w:val="5A7BC4C8"/>
    <w:rsid w:val="5AA5711B"/>
    <w:rsid w:val="5AAEADA7"/>
    <w:rsid w:val="5B00CD46"/>
    <w:rsid w:val="5B207244"/>
    <w:rsid w:val="5B8097CD"/>
    <w:rsid w:val="5C76CDA7"/>
    <w:rsid w:val="5CB4F2BC"/>
    <w:rsid w:val="5CC82795"/>
    <w:rsid w:val="5D988EDE"/>
    <w:rsid w:val="5DCA9704"/>
    <w:rsid w:val="5E2C730D"/>
    <w:rsid w:val="5E35CB84"/>
    <w:rsid w:val="5E9CA123"/>
    <w:rsid w:val="609111E9"/>
    <w:rsid w:val="621E52AF"/>
    <w:rsid w:val="624754EC"/>
    <w:rsid w:val="62CF920A"/>
    <w:rsid w:val="6364B67F"/>
    <w:rsid w:val="63B40402"/>
    <w:rsid w:val="64978C84"/>
    <w:rsid w:val="659940F5"/>
    <w:rsid w:val="659E2CB7"/>
    <w:rsid w:val="65A4E597"/>
    <w:rsid w:val="65F44097"/>
    <w:rsid w:val="660CF9FA"/>
    <w:rsid w:val="6692A654"/>
    <w:rsid w:val="67301D32"/>
    <w:rsid w:val="6739FD18"/>
    <w:rsid w:val="6756BC3A"/>
    <w:rsid w:val="680A486F"/>
    <w:rsid w:val="683827A2"/>
    <w:rsid w:val="69691981"/>
    <w:rsid w:val="6A5DB74B"/>
    <w:rsid w:val="6B59A315"/>
    <w:rsid w:val="6D42DA87"/>
    <w:rsid w:val="6D81610C"/>
    <w:rsid w:val="6DA4377C"/>
    <w:rsid w:val="6E4A845D"/>
    <w:rsid w:val="6E70BF2C"/>
    <w:rsid w:val="6EAE642A"/>
    <w:rsid w:val="6ECDDED5"/>
    <w:rsid w:val="6ED0143A"/>
    <w:rsid w:val="6EEC109E"/>
    <w:rsid w:val="6FDEF92D"/>
    <w:rsid w:val="6FE92318"/>
    <w:rsid w:val="6FFE1475"/>
    <w:rsid w:val="706B0C52"/>
    <w:rsid w:val="707A280E"/>
    <w:rsid w:val="715DA16F"/>
    <w:rsid w:val="7182251F"/>
    <w:rsid w:val="71B13E8C"/>
    <w:rsid w:val="71C4FA2F"/>
    <w:rsid w:val="72F36A88"/>
    <w:rsid w:val="73305DAB"/>
    <w:rsid w:val="73865E3C"/>
    <w:rsid w:val="73CF2692"/>
    <w:rsid w:val="74334153"/>
    <w:rsid w:val="744BAC2F"/>
    <w:rsid w:val="74933BBF"/>
    <w:rsid w:val="750C52B4"/>
    <w:rsid w:val="754B2AE8"/>
    <w:rsid w:val="75BC3E07"/>
    <w:rsid w:val="76459259"/>
    <w:rsid w:val="768B0255"/>
    <w:rsid w:val="76BDFEFE"/>
    <w:rsid w:val="76DC5CC1"/>
    <w:rsid w:val="76EE3097"/>
    <w:rsid w:val="77580E68"/>
    <w:rsid w:val="7842E6D4"/>
    <w:rsid w:val="7859CF5F"/>
    <w:rsid w:val="79B18AD4"/>
    <w:rsid w:val="7A085782"/>
    <w:rsid w:val="7B3A56E6"/>
    <w:rsid w:val="7C6D524E"/>
    <w:rsid w:val="7EBF03A0"/>
    <w:rsid w:val="7EFE4DFE"/>
    <w:rsid w:val="7F72D509"/>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12EDEE"/>
  <w15:docId w15:val="{4899A247-ADB3-44B5-A486-80A8B14BE905}"/>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153A"/>
    <w:pPr>
      <w:tabs>
        <w:tab w:val="right" w:pos="5040"/>
      </w:tabs>
      <w:overflowPunct w:val="0"/>
      <w:autoSpaceDE w:val="0"/>
      <w:autoSpaceDN w:val="0"/>
      <w:adjustRightInd w:val="0"/>
      <w:textAlignment w:val="baseline"/>
    </w:pPr>
    <w:rPr>
      <w:sz w:val="26"/>
    </w:rPr>
  </w:style>
  <w:style w:type="paragraph" w:styleId="Heading1">
    <w:name w:val="heading 1"/>
    <w:basedOn w:val="BodyText"/>
    <w:next w:val="BodyText"/>
    <w:link w:val="Heading1Char"/>
    <w:qFormat/>
    <w:rsid w:val="005649D5"/>
    <w:pPr>
      <w:keepNext/>
      <w:keepLines/>
      <w:numPr>
        <w:numId w:val="1"/>
      </w:numPr>
      <w:spacing w:before="120" w:after="120" w:line="240" w:lineRule="auto"/>
      <w:outlineLvl w:val="0"/>
    </w:pPr>
    <w:rPr>
      <w:b/>
      <w:kern w:val="28"/>
      <w:szCs w:val="26"/>
    </w:rPr>
  </w:style>
  <w:style w:type="paragraph" w:styleId="Heading2">
    <w:name w:val="heading 2"/>
    <w:basedOn w:val="BodyText"/>
    <w:next w:val="BodyText"/>
    <w:link w:val="Heading2Char"/>
    <w:qFormat/>
    <w:rsid w:val="00BB37A6"/>
    <w:pPr>
      <w:keepNext/>
      <w:numPr>
        <w:ilvl w:val="1"/>
        <w:numId w:val="1"/>
      </w:numPr>
      <w:spacing w:before="120" w:after="120" w:line="240" w:lineRule="auto"/>
      <w:ind w:right="1440"/>
      <w:outlineLvl w:val="1"/>
    </w:pPr>
    <w:rPr>
      <w:b/>
    </w:rPr>
  </w:style>
  <w:style w:type="paragraph" w:styleId="Heading3">
    <w:name w:val="heading 3"/>
    <w:basedOn w:val="BodyText"/>
    <w:next w:val="BodyText"/>
    <w:link w:val="Heading3Char"/>
    <w:qFormat/>
    <w:rsid w:val="00EB120F"/>
    <w:pPr>
      <w:keepNext/>
      <w:numPr>
        <w:ilvl w:val="2"/>
        <w:numId w:val="1"/>
      </w:numPr>
      <w:tabs>
        <w:tab w:val="left" w:pos="2160"/>
      </w:tabs>
      <w:spacing w:before="120" w:after="120" w:line="240" w:lineRule="auto"/>
      <w:ind w:right="1440"/>
      <w:outlineLvl w:val="2"/>
    </w:pPr>
    <w:rPr>
      <w:b/>
    </w:rPr>
  </w:style>
  <w:style w:type="paragraph" w:styleId="Heading4">
    <w:name w:val="heading 4"/>
    <w:basedOn w:val="BodyText"/>
    <w:next w:val="BodyText"/>
    <w:link w:val="Heading4Char"/>
    <w:autoRedefine/>
    <w:qFormat/>
    <w:rsid w:val="000B4E37"/>
    <w:pPr>
      <w:keepNext/>
      <w:numPr>
        <w:ilvl w:val="3"/>
        <w:numId w:val="1"/>
      </w:numPr>
      <w:spacing w:after="120" w:line="240" w:lineRule="auto"/>
      <w:ind w:right="1440"/>
      <w:outlineLvl w:val="3"/>
    </w:pPr>
    <w:rPr>
      <w:b/>
    </w:rPr>
  </w:style>
  <w:style w:type="paragraph" w:styleId="Heading5">
    <w:name w:val="heading 5"/>
    <w:basedOn w:val="Normal"/>
    <w:next w:val="Normal"/>
    <w:autoRedefine/>
    <w:qFormat/>
    <w:rsid w:val="009A0872"/>
    <w:pPr>
      <w:numPr>
        <w:ilvl w:val="4"/>
        <w:numId w:val="1"/>
      </w:numPr>
      <w:spacing w:before="120" w:after="120"/>
      <w:ind w:left="3600"/>
      <w:outlineLvl w:val="4"/>
    </w:pPr>
    <w:rPr>
      <w:b/>
    </w:rPr>
  </w:style>
  <w:style w:type="paragraph" w:styleId="Heading6">
    <w:name w:val="heading 6"/>
    <w:basedOn w:val="Normal"/>
    <w:next w:val="Normal"/>
    <w:autoRedefine/>
    <w:qFormat/>
    <w:rsid w:val="009A0872"/>
    <w:pPr>
      <w:numPr>
        <w:ilvl w:val="5"/>
        <w:numId w:val="1"/>
      </w:numPr>
      <w:spacing w:before="240" w:after="60"/>
      <w:outlineLvl w:val="5"/>
    </w:pPr>
    <w:rPr>
      <w:b/>
    </w:rPr>
  </w:style>
  <w:style w:type="paragraph" w:styleId="Heading7">
    <w:name w:val="heading 7"/>
    <w:basedOn w:val="Normal"/>
    <w:next w:val="Normal"/>
    <w:autoRedefine/>
    <w:qFormat/>
    <w:rsid w:val="009A0872"/>
    <w:pPr>
      <w:numPr>
        <w:ilvl w:val="6"/>
        <w:numId w:val="1"/>
      </w:numPr>
      <w:spacing w:before="240" w:after="60"/>
      <w:outlineLvl w:val="6"/>
    </w:pPr>
    <w:rPr>
      <w:b/>
    </w:rPr>
  </w:style>
  <w:style w:type="paragraph" w:styleId="Heading8">
    <w:name w:val="heading 8"/>
    <w:basedOn w:val="Normal"/>
    <w:next w:val="Normal"/>
    <w:autoRedefine/>
    <w:qFormat/>
    <w:rsid w:val="009A0872"/>
    <w:pPr>
      <w:numPr>
        <w:ilvl w:val="7"/>
        <w:numId w:val="1"/>
      </w:numPr>
      <w:spacing w:before="240" w:after="60"/>
      <w:outlineLvl w:val="7"/>
    </w:pPr>
    <w:rPr>
      <w:b/>
    </w:rPr>
  </w:style>
  <w:style w:type="paragraph" w:styleId="Heading9">
    <w:name w:val="heading 9"/>
    <w:basedOn w:val="Normal"/>
    <w:next w:val="Normal"/>
    <w:autoRedefine/>
    <w:qFormat/>
    <w:rsid w:val="009A0872"/>
    <w:pPr>
      <w:numPr>
        <w:ilvl w:val="8"/>
        <w:numId w:val="1"/>
      </w:numPr>
      <w:spacing w:before="240" w:after="6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1"/>
    <w:rsid w:val="009A0872"/>
    <w:pPr>
      <w:overflowPunct w:val="0"/>
      <w:autoSpaceDE w:val="0"/>
      <w:autoSpaceDN w:val="0"/>
      <w:adjustRightInd w:val="0"/>
      <w:spacing w:line="360" w:lineRule="auto"/>
      <w:ind w:firstLine="720"/>
      <w:textAlignment w:val="baseline"/>
    </w:pPr>
    <w:rPr>
      <w:sz w:val="26"/>
    </w:rPr>
  </w:style>
  <w:style w:type="paragraph" w:styleId="FootnoteText">
    <w:name w:val="footnote text"/>
    <w:aliases w:val="Footnote Text Char2 Char,Footnote Text Char Char Char,Footnote Text Char2 Char Char Char,Footnote Text Char Char Char Char Char,Footnote Text Char2 Char Char Char Char1 Char,Footnote Text Char2,Footnote Text Char Char,fn,ALTS FOOTNOTE,Char"/>
    <w:basedOn w:val="Normal"/>
    <w:link w:val="FootnoteTextChar"/>
    <w:uiPriority w:val="99"/>
    <w:qFormat/>
    <w:rsid w:val="009A0872"/>
    <w:pPr>
      <w:widowControl w:val="0"/>
      <w:spacing w:after="120" w:line="240" w:lineRule="exact"/>
    </w:pPr>
    <w:rPr>
      <w:sz w:val="22"/>
    </w:rPr>
  </w:style>
  <w:style w:type="character" w:styleId="FootnoteReference">
    <w:name w:val="footnote reference"/>
    <w:aliases w:val="o,fr,Style 3,o1,o2,o3,o4,o5,o6,o11,o21,o7,Style 17,Style 12,(NECG) Footnote Reference,Appel note de bas de p,Style 124,o + Times New Roman,Style 20,Style 13,fr1,fr2,fr3,Footnote Reference1,Footnote,Style 8,Style 58,Style 15,Style 9,FC"/>
    <w:uiPriority w:val="99"/>
    <w:qFormat/>
    <w:rsid w:val="009A0872"/>
    <w:rPr>
      <w:rFonts w:ascii="Times New Roman" w:hAnsi="Times New Roman"/>
      <w:b/>
      <w:sz w:val="28"/>
      <w:u w:val="single"/>
      <w:vertAlign w:val="superscript"/>
    </w:rPr>
  </w:style>
  <w:style w:type="paragraph" w:styleId="Footer">
    <w:name w:val="footer"/>
    <w:basedOn w:val="Normal"/>
    <w:link w:val="FooterChar"/>
    <w:rsid w:val="009A0872"/>
    <w:pPr>
      <w:tabs>
        <w:tab w:val="center" w:pos="4320"/>
        <w:tab w:val="right" w:pos="8640"/>
      </w:tabs>
    </w:pPr>
  </w:style>
  <w:style w:type="paragraph" w:styleId="TOC1">
    <w:name w:val="toc 1"/>
    <w:basedOn w:val="Normal"/>
    <w:next w:val="Normal"/>
    <w:autoRedefine/>
    <w:semiHidden/>
    <w:rsid w:val="009A0872"/>
    <w:pPr>
      <w:keepNext/>
      <w:tabs>
        <w:tab w:val="clear" w:pos="5040"/>
        <w:tab w:val="right" w:leader="dot" w:pos="8640"/>
      </w:tabs>
      <w:suppressAutoHyphens/>
      <w:spacing w:before="120" w:after="120"/>
      <w:ind w:left="720" w:right="1440" w:hanging="720"/>
    </w:pPr>
    <w:rPr>
      <w:caps/>
      <w:noProof/>
      <w:sz w:val="24"/>
    </w:rPr>
  </w:style>
  <w:style w:type="paragraph" w:styleId="TOC2">
    <w:name w:val="toc 2"/>
    <w:basedOn w:val="Normal"/>
    <w:next w:val="Normal"/>
    <w:autoRedefine/>
    <w:semiHidden/>
    <w:rsid w:val="009A0872"/>
    <w:pPr>
      <w:tabs>
        <w:tab w:val="clear" w:pos="5040"/>
        <w:tab w:val="right" w:leader="dot" w:pos="8640"/>
      </w:tabs>
      <w:suppressAutoHyphens/>
      <w:spacing w:after="120"/>
      <w:ind w:left="720" w:right="1440" w:hanging="288"/>
    </w:pPr>
    <w:rPr>
      <w:smallCaps/>
      <w:noProof/>
      <w:sz w:val="24"/>
    </w:rPr>
  </w:style>
  <w:style w:type="paragraph" w:styleId="TOC3">
    <w:name w:val="toc 3"/>
    <w:basedOn w:val="Normal"/>
    <w:next w:val="Normal"/>
    <w:autoRedefine/>
    <w:semiHidden/>
    <w:rsid w:val="009A0872"/>
    <w:pPr>
      <w:tabs>
        <w:tab w:val="clear" w:pos="5040"/>
        <w:tab w:val="right" w:leader="dot" w:pos="8640"/>
      </w:tabs>
      <w:spacing w:after="120"/>
      <w:ind w:left="1109" w:right="1440" w:hanging="245"/>
    </w:pPr>
    <w:rPr>
      <w:noProof/>
      <w:sz w:val="24"/>
    </w:rPr>
  </w:style>
  <w:style w:type="paragraph" w:styleId="TOC4">
    <w:name w:val="toc 4"/>
    <w:basedOn w:val="Normal"/>
    <w:next w:val="Normal"/>
    <w:autoRedefine/>
    <w:semiHidden/>
    <w:rsid w:val="009A0872"/>
    <w:pPr>
      <w:widowControl w:val="0"/>
      <w:tabs>
        <w:tab w:val="clear" w:pos="5040"/>
        <w:tab w:val="right" w:leader="dot" w:pos="8640"/>
      </w:tabs>
      <w:spacing w:after="120"/>
      <w:ind w:left="1627" w:right="1440" w:hanging="360"/>
    </w:pPr>
    <w:rPr>
      <w:sz w:val="24"/>
    </w:rPr>
  </w:style>
  <w:style w:type="paragraph" w:styleId="TOC5">
    <w:name w:val="toc 5"/>
    <w:basedOn w:val="Normal"/>
    <w:next w:val="Normal"/>
    <w:autoRedefine/>
    <w:semiHidden/>
    <w:rsid w:val="009A0872"/>
    <w:pPr>
      <w:tabs>
        <w:tab w:val="clear" w:pos="5040"/>
        <w:tab w:val="right" w:leader="dot" w:pos="8640"/>
      </w:tabs>
      <w:spacing w:after="120"/>
      <w:ind w:left="1980" w:right="1440" w:hanging="360"/>
    </w:pPr>
    <w:rPr>
      <w:sz w:val="24"/>
    </w:rPr>
  </w:style>
  <w:style w:type="paragraph" w:styleId="TOC6">
    <w:name w:val="toc 6"/>
    <w:basedOn w:val="Normal"/>
    <w:next w:val="Normal"/>
    <w:autoRedefine/>
    <w:semiHidden/>
    <w:rsid w:val="009A0872"/>
    <w:pPr>
      <w:tabs>
        <w:tab w:val="clear" w:pos="5040"/>
        <w:tab w:val="right" w:leader="dot" w:pos="8640"/>
      </w:tabs>
      <w:spacing w:after="120"/>
      <w:ind w:left="2333" w:right="1440" w:hanging="331"/>
    </w:pPr>
    <w:rPr>
      <w:sz w:val="24"/>
    </w:rPr>
  </w:style>
  <w:style w:type="paragraph" w:styleId="TOC7">
    <w:name w:val="toc 7"/>
    <w:basedOn w:val="Normal"/>
    <w:next w:val="Normal"/>
    <w:autoRedefine/>
    <w:semiHidden/>
    <w:rsid w:val="009A0872"/>
    <w:pPr>
      <w:tabs>
        <w:tab w:val="clear" w:pos="5040"/>
        <w:tab w:val="right" w:leader="dot" w:pos="8640"/>
      </w:tabs>
      <w:spacing w:after="120"/>
      <w:ind w:left="2707" w:right="1440" w:hanging="360"/>
    </w:pPr>
    <w:rPr>
      <w:sz w:val="24"/>
    </w:rPr>
  </w:style>
  <w:style w:type="paragraph" w:styleId="TOC8">
    <w:name w:val="toc 8"/>
    <w:basedOn w:val="Normal"/>
    <w:next w:val="Normal"/>
    <w:autoRedefine/>
    <w:semiHidden/>
    <w:rsid w:val="009A0872"/>
    <w:pPr>
      <w:tabs>
        <w:tab w:val="clear" w:pos="5040"/>
        <w:tab w:val="right" w:leader="dot" w:pos="8640"/>
      </w:tabs>
      <w:spacing w:after="120"/>
      <w:ind w:left="3067" w:right="1440" w:hanging="360"/>
    </w:pPr>
    <w:rPr>
      <w:sz w:val="24"/>
    </w:rPr>
  </w:style>
  <w:style w:type="paragraph" w:styleId="TOC9">
    <w:name w:val="toc 9"/>
    <w:basedOn w:val="Normal"/>
    <w:next w:val="Normal"/>
    <w:autoRedefine/>
    <w:semiHidden/>
    <w:rsid w:val="009A0872"/>
    <w:pPr>
      <w:tabs>
        <w:tab w:val="clear" w:pos="5040"/>
        <w:tab w:val="right" w:leader="dot" w:pos="8640"/>
      </w:tabs>
      <w:spacing w:after="120"/>
      <w:ind w:left="3427" w:right="1440" w:hanging="360"/>
    </w:pPr>
    <w:rPr>
      <w:sz w:val="24"/>
    </w:rPr>
  </w:style>
  <w:style w:type="paragraph" w:customStyle="1" w:styleId="Quotation">
    <w:name w:val="Quotation"/>
    <w:basedOn w:val="BodyText"/>
    <w:next w:val="BodyText"/>
    <w:link w:val="QuotationChar1"/>
    <w:rsid w:val="009A0872"/>
    <w:pPr>
      <w:spacing w:after="120" w:line="240" w:lineRule="auto"/>
      <w:ind w:left="1440" w:right="1440" w:firstLine="0"/>
    </w:pPr>
  </w:style>
  <w:style w:type="paragraph" w:customStyle="1" w:styleId="sub4">
    <w:name w:val="sub4"/>
    <w:basedOn w:val="Normal"/>
    <w:rsid w:val="009A0872"/>
    <w:pPr>
      <w:tabs>
        <w:tab w:val="clear" w:pos="5040"/>
      </w:tabs>
      <w:ind w:firstLine="3600"/>
    </w:pPr>
    <w:rPr>
      <w:rFonts w:ascii="Palatino" w:hAnsi="Palatino"/>
    </w:rPr>
  </w:style>
  <w:style w:type="paragraph" w:styleId="TOAHeading">
    <w:name w:val="toa heading"/>
    <w:basedOn w:val="Normal"/>
    <w:next w:val="Normal"/>
    <w:semiHidden/>
    <w:rsid w:val="009A0872"/>
    <w:pPr>
      <w:spacing w:before="240" w:after="120"/>
    </w:pPr>
    <w:rPr>
      <w:b/>
      <w:smallCaps/>
    </w:rPr>
  </w:style>
  <w:style w:type="paragraph" w:customStyle="1" w:styleId="BriefHeading">
    <w:name w:val="Brief Heading"/>
    <w:basedOn w:val="Normal"/>
    <w:rsid w:val="009A0872"/>
    <w:pPr>
      <w:jc w:val="center"/>
    </w:pPr>
    <w:rPr>
      <w:smallCaps/>
      <w:sz w:val="28"/>
    </w:rPr>
  </w:style>
  <w:style w:type="paragraph" w:styleId="Header">
    <w:name w:val="header"/>
    <w:basedOn w:val="Normal"/>
    <w:link w:val="HeaderChar"/>
    <w:uiPriority w:val="99"/>
    <w:rsid w:val="009A0872"/>
    <w:pPr>
      <w:tabs>
        <w:tab w:val="clear" w:pos="5040"/>
        <w:tab w:val="center" w:pos="4320"/>
        <w:tab w:val="right" w:pos="8640"/>
      </w:tabs>
    </w:pPr>
  </w:style>
  <w:style w:type="paragraph" w:styleId="Caption">
    <w:name w:val="caption"/>
    <w:basedOn w:val="BodyText"/>
    <w:qFormat/>
    <w:rsid w:val="009A0872"/>
    <w:pPr>
      <w:tabs>
        <w:tab w:val="left" w:pos="4320"/>
        <w:tab w:val="left" w:pos="5040"/>
      </w:tabs>
      <w:spacing w:line="240" w:lineRule="auto"/>
      <w:ind w:firstLine="0"/>
    </w:pPr>
  </w:style>
  <w:style w:type="paragraph" w:customStyle="1" w:styleId="BriefTitle">
    <w:name w:val="Brief Title"/>
    <w:basedOn w:val="Normal"/>
    <w:rsid w:val="009A0872"/>
    <w:pPr>
      <w:jc w:val="center"/>
    </w:pPr>
    <w:rPr>
      <w:b/>
      <w:caps/>
    </w:rPr>
  </w:style>
  <w:style w:type="character" w:customStyle="1" w:styleId="QuotationChar1">
    <w:name w:val="Quotation Char1"/>
    <w:link w:val="Quotation"/>
    <w:locked/>
    <w:rsid w:val="009A0872"/>
    <w:rPr>
      <w:sz w:val="26"/>
      <w:lang w:val="en-US" w:eastAsia="en-US" w:bidi="ar-SA"/>
    </w:rPr>
  </w:style>
  <w:style w:type="paragraph" w:customStyle="1" w:styleId="BodyText10">
    <w:name w:val="Body Text 10"/>
    <w:basedOn w:val="BodyText"/>
    <w:link w:val="BodyText10Char"/>
    <w:rsid w:val="009A0872"/>
    <w:pPr>
      <w:overflowPunct/>
      <w:autoSpaceDE/>
      <w:autoSpaceDN/>
      <w:adjustRightInd/>
      <w:ind w:firstLine="1296"/>
      <w:textAlignment w:val="auto"/>
    </w:pPr>
  </w:style>
  <w:style w:type="paragraph" w:customStyle="1" w:styleId="BodyText6">
    <w:name w:val="Body Text 6"/>
    <w:basedOn w:val="BodyText"/>
    <w:autoRedefine/>
    <w:rsid w:val="00AA56C0"/>
    <w:pPr>
      <w:tabs>
        <w:tab w:val="left" w:pos="2160"/>
      </w:tabs>
      <w:overflowPunct/>
      <w:autoSpaceDE/>
      <w:autoSpaceDN/>
      <w:adjustRightInd/>
      <w:ind w:left="2160" w:firstLine="0"/>
      <w:textAlignment w:val="auto"/>
    </w:pPr>
    <w:rPr>
      <w:b/>
      <w:color w:val="FF0000"/>
    </w:rPr>
  </w:style>
  <w:style w:type="character" w:styleId="CommentReference">
    <w:name w:val="annotation reference"/>
    <w:uiPriority w:val="99"/>
    <w:rsid w:val="009A0872"/>
    <w:rPr>
      <w:sz w:val="16"/>
      <w:szCs w:val="16"/>
    </w:rPr>
  </w:style>
  <w:style w:type="paragraph" w:styleId="CommentText">
    <w:name w:val="annotation text"/>
    <w:basedOn w:val="Normal"/>
    <w:link w:val="CommentTextChar"/>
    <w:uiPriority w:val="99"/>
    <w:rsid w:val="009A0872"/>
    <w:rPr>
      <w:sz w:val="20"/>
    </w:rPr>
  </w:style>
  <w:style w:type="paragraph" w:styleId="BalloonText">
    <w:name w:val="Balloon Text"/>
    <w:basedOn w:val="Normal"/>
    <w:semiHidden/>
    <w:rsid w:val="009A0872"/>
    <w:rPr>
      <w:rFonts w:ascii="Tahoma" w:hAnsi="Tahoma" w:cs="Tahoma"/>
      <w:sz w:val="16"/>
      <w:szCs w:val="16"/>
    </w:rPr>
  </w:style>
  <w:style w:type="character" w:customStyle="1" w:styleId="BodyTextChar1">
    <w:name w:val="Body Text Char1"/>
    <w:link w:val="BodyText"/>
    <w:rsid w:val="009A0872"/>
    <w:rPr>
      <w:sz w:val="26"/>
      <w:lang w:val="en-US" w:eastAsia="en-US" w:bidi="ar-SA"/>
    </w:rPr>
  </w:style>
  <w:style w:type="character" w:customStyle="1" w:styleId="BodyText10Char">
    <w:name w:val="Body Text 10 Char"/>
    <w:link w:val="BodyText10"/>
    <w:rsid w:val="009A0872"/>
    <w:rPr>
      <w:sz w:val="26"/>
      <w:lang w:val="en-US" w:eastAsia="en-US" w:bidi="ar-SA"/>
    </w:rPr>
  </w:style>
  <w:style w:type="character" w:customStyle="1" w:styleId="FootnoteTextChar">
    <w:name w:val="Footnote Text Char"/>
    <w:aliases w:val="Footnote Text Char2 Char Char,Footnote Text Char Char Char Char,Footnote Text Char2 Char Char Char Char,Footnote Text Char Char Char Char Char Char,Footnote Text Char2 Char Char Char Char1 Char Char,Footnote Text Char2 Char1,fn Char"/>
    <w:link w:val="FootnoteText"/>
    <w:uiPriority w:val="99"/>
    <w:rsid w:val="009A0872"/>
    <w:rPr>
      <w:sz w:val="22"/>
      <w:lang w:val="en-US" w:eastAsia="en-US" w:bidi="ar-SA"/>
    </w:rPr>
  </w:style>
  <w:style w:type="paragraph" w:customStyle="1" w:styleId="standard">
    <w:name w:val="standard"/>
    <w:basedOn w:val="Normal"/>
    <w:link w:val="standardChar"/>
    <w:rsid w:val="009A0872"/>
    <w:pPr>
      <w:tabs>
        <w:tab w:val="clear" w:pos="5040"/>
      </w:tabs>
      <w:spacing w:line="360" w:lineRule="auto"/>
      <w:ind w:firstLine="720"/>
    </w:pPr>
    <w:rPr>
      <w:rFonts w:ascii="Palatino" w:hAnsi="Palatino"/>
    </w:rPr>
  </w:style>
  <w:style w:type="character" w:customStyle="1" w:styleId="standardChar">
    <w:name w:val="standard Char"/>
    <w:link w:val="standard"/>
    <w:rsid w:val="009A0872"/>
    <w:rPr>
      <w:rFonts w:ascii="Palatino" w:hAnsi="Palatino"/>
      <w:sz w:val="26"/>
      <w:lang w:val="en-US" w:eastAsia="en-US" w:bidi="ar-SA"/>
    </w:rPr>
  </w:style>
  <w:style w:type="character" w:customStyle="1" w:styleId="term1">
    <w:name w:val="term1"/>
    <w:rsid w:val="009A0872"/>
    <w:rPr>
      <w:b/>
      <w:bCs/>
    </w:rPr>
  </w:style>
  <w:style w:type="character" w:styleId="Hyperlink">
    <w:name w:val="Hyperlink"/>
    <w:uiPriority w:val="99"/>
    <w:rsid w:val="009A0872"/>
    <w:rPr>
      <w:color w:val="0000FF"/>
      <w:u w:val="single"/>
    </w:rPr>
  </w:style>
  <w:style w:type="character" w:customStyle="1" w:styleId="pmterms11">
    <w:name w:val="pmterms11"/>
    <w:rsid w:val="009A0872"/>
    <w:rPr>
      <w:b/>
      <w:bCs/>
      <w:i w:val="0"/>
      <w:iCs w:val="0"/>
      <w:color w:val="000000"/>
    </w:rPr>
  </w:style>
  <w:style w:type="character" w:styleId="PageNumber">
    <w:name w:val="page number"/>
    <w:basedOn w:val="DefaultParagraphFont"/>
    <w:rsid w:val="009A0872"/>
  </w:style>
  <w:style w:type="paragraph" w:styleId="CommentSubject">
    <w:name w:val="annotation subject"/>
    <w:basedOn w:val="CommentText"/>
    <w:next w:val="CommentText"/>
    <w:semiHidden/>
    <w:rsid w:val="009A0872"/>
    <w:rPr>
      <w:b/>
      <w:bCs/>
    </w:rPr>
  </w:style>
  <w:style w:type="character" w:customStyle="1" w:styleId="BodyTextChar">
    <w:name w:val="Body Text Char"/>
    <w:rsid w:val="009A0872"/>
    <w:rPr>
      <w:sz w:val="26"/>
      <w:lang w:val="en-US" w:eastAsia="en-US" w:bidi="ar-SA"/>
    </w:rPr>
  </w:style>
  <w:style w:type="paragraph" w:customStyle="1" w:styleId="Default">
    <w:name w:val="Default"/>
    <w:rsid w:val="00A86C26"/>
    <w:pPr>
      <w:autoSpaceDE w:val="0"/>
      <w:autoSpaceDN w:val="0"/>
      <w:adjustRightInd w:val="0"/>
    </w:pPr>
    <w:rPr>
      <w:rFonts w:ascii="Book Antiqua" w:hAnsi="Book Antiqua" w:cs="Book Antiqua"/>
      <w:color w:val="000000"/>
    </w:rPr>
  </w:style>
  <w:style w:type="character" w:customStyle="1" w:styleId="Heading2Char">
    <w:name w:val="Heading 2 Char"/>
    <w:link w:val="Heading2"/>
    <w:rsid w:val="00BB37A6"/>
    <w:rPr>
      <w:b/>
      <w:sz w:val="26"/>
    </w:rPr>
  </w:style>
  <w:style w:type="paragraph" w:styleId="BodyTextIndent">
    <w:name w:val="Body Text Indent"/>
    <w:basedOn w:val="Normal"/>
    <w:link w:val="BodyTextIndentChar"/>
    <w:rsid w:val="00D0758C"/>
    <w:pPr>
      <w:spacing w:after="120"/>
      <w:ind w:left="360"/>
    </w:pPr>
  </w:style>
  <w:style w:type="character" w:customStyle="1" w:styleId="BodyTextIndentChar">
    <w:name w:val="Body Text Indent Char"/>
    <w:link w:val="BodyTextIndent"/>
    <w:rsid w:val="00D0758C"/>
    <w:rPr>
      <w:sz w:val="26"/>
    </w:rPr>
  </w:style>
  <w:style w:type="paragraph" w:styleId="DocumentMap">
    <w:name w:val="Document Map"/>
    <w:basedOn w:val="Normal"/>
    <w:link w:val="DocumentMapChar"/>
    <w:rsid w:val="00D0758C"/>
    <w:pPr>
      <w:shd w:val="clear" w:color="auto" w:fill="000080"/>
    </w:pPr>
    <w:rPr>
      <w:rFonts w:ascii="Tahoma" w:hAnsi="Tahoma" w:cs="Tahoma"/>
      <w:sz w:val="20"/>
    </w:rPr>
  </w:style>
  <w:style w:type="character" w:customStyle="1" w:styleId="DocumentMapChar">
    <w:name w:val="Document Map Char"/>
    <w:link w:val="DocumentMap"/>
    <w:rsid w:val="00D0758C"/>
    <w:rPr>
      <w:rFonts w:ascii="Tahoma" w:hAnsi="Tahoma" w:cs="Tahoma"/>
      <w:shd w:val="clear" w:color="auto" w:fill="000080"/>
    </w:rPr>
  </w:style>
  <w:style w:type="character" w:customStyle="1" w:styleId="pmterms31">
    <w:name w:val="pmterms31"/>
    <w:rsid w:val="00D0758C"/>
    <w:rPr>
      <w:b/>
      <w:bCs/>
      <w:i w:val="0"/>
      <w:iCs w:val="0"/>
      <w:color w:val="000000"/>
    </w:rPr>
  </w:style>
  <w:style w:type="character" w:styleId="Emphasis">
    <w:name w:val="Emphasis"/>
    <w:uiPriority w:val="20"/>
    <w:qFormat/>
    <w:rsid w:val="00D0758C"/>
    <w:rPr>
      <w:i/>
      <w:iCs/>
    </w:rPr>
  </w:style>
  <w:style w:type="paragraph" w:customStyle="1" w:styleId="NormalPalatinoLinotype">
    <w:name w:val="Normal + Palatino Linotype"/>
    <w:aliases w:val="12 pt"/>
    <w:basedOn w:val="Normal"/>
    <w:link w:val="NormalPalatinoLinotypeChar"/>
    <w:rsid w:val="00D0758C"/>
    <w:pPr>
      <w:tabs>
        <w:tab w:val="clear" w:pos="5040"/>
      </w:tabs>
      <w:overflowPunct/>
      <w:autoSpaceDE/>
      <w:autoSpaceDN/>
      <w:adjustRightInd/>
      <w:jc w:val="both"/>
      <w:textAlignment w:val="auto"/>
    </w:pPr>
    <w:rPr>
      <w:rFonts w:ascii="Palatino Linotype" w:hAnsi="Palatino Linotype"/>
      <w:sz w:val="24"/>
    </w:rPr>
  </w:style>
  <w:style w:type="character" w:customStyle="1" w:styleId="NormalPalatinoLinotypeChar">
    <w:name w:val="Normal + Palatino Linotype Char"/>
    <w:aliases w:val="12 pt Char"/>
    <w:link w:val="NormalPalatinoLinotype"/>
    <w:rsid w:val="00D0758C"/>
    <w:rPr>
      <w:rFonts w:ascii="Palatino Linotype" w:hAnsi="Palatino Linotype"/>
      <w:sz w:val="24"/>
      <w:szCs w:val="24"/>
    </w:rPr>
  </w:style>
  <w:style w:type="paragraph" w:styleId="NormalWeb">
    <w:name w:val="Normal (Web)"/>
    <w:basedOn w:val="Normal"/>
    <w:uiPriority w:val="99"/>
    <w:rsid w:val="00D0758C"/>
    <w:pPr>
      <w:tabs>
        <w:tab w:val="clear" w:pos="5040"/>
      </w:tabs>
      <w:overflowPunct/>
      <w:autoSpaceDE/>
      <w:autoSpaceDN/>
      <w:adjustRightInd/>
      <w:spacing w:before="100" w:beforeAutospacing="1" w:after="100" w:afterAutospacing="1"/>
      <w:ind w:firstLine="300"/>
      <w:textAlignment w:val="auto"/>
    </w:pPr>
    <w:rPr>
      <w:sz w:val="24"/>
    </w:rPr>
  </w:style>
  <w:style w:type="character" w:customStyle="1" w:styleId="enumbell1">
    <w:name w:val="enumbell1"/>
    <w:rsid w:val="00D0758C"/>
    <w:rPr>
      <w:b/>
      <w:bCs/>
    </w:rPr>
  </w:style>
  <w:style w:type="character" w:customStyle="1" w:styleId="ptext-18">
    <w:name w:val="ptext-18"/>
    <w:basedOn w:val="DefaultParagraphFont"/>
    <w:rsid w:val="00D0758C"/>
  </w:style>
  <w:style w:type="character" w:customStyle="1" w:styleId="div5head">
    <w:name w:val="div5head"/>
    <w:basedOn w:val="DefaultParagraphFont"/>
    <w:rsid w:val="00D0758C"/>
  </w:style>
  <w:style w:type="paragraph" w:customStyle="1" w:styleId="part">
    <w:name w:val="part"/>
    <w:basedOn w:val="Normal"/>
    <w:rsid w:val="00D0758C"/>
    <w:pPr>
      <w:tabs>
        <w:tab w:val="clear" w:pos="5040"/>
      </w:tabs>
      <w:overflowPunct/>
      <w:autoSpaceDE/>
      <w:autoSpaceDN/>
      <w:adjustRightInd/>
      <w:spacing w:before="100" w:beforeAutospacing="1" w:after="100" w:afterAutospacing="1"/>
      <w:textAlignment w:val="auto"/>
    </w:pPr>
    <w:rPr>
      <w:b/>
      <w:bCs/>
      <w:sz w:val="24"/>
    </w:rPr>
  </w:style>
  <w:style w:type="paragraph" w:styleId="EndnoteText">
    <w:name w:val="endnote text"/>
    <w:basedOn w:val="Normal"/>
    <w:link w:val="EndnoteTextChar"/>
    <w:rsid w:val="00D0758C"/>
    <w:rPr>
      <w:sz w:val="20"/>
    </w:rPr>
  </w:style>
  <w:style w:type="character" w:customStyle="1" w:styleId="EndnoteTextChar">
    <w:name w:val="Endnote Text Char"/>
    <w:basedOn w:val="DefaultParagraphFont"/>
    <w:link w:val="EndnoteText"/>
    <w:rsid w:val="00D0758C"/>
  </w:style>
  <w:style w:type="character" w:styleId="EndnoteReference">
    <w:name w:val="endnote reference"/>
    <w:rsid w:val="00D0758C"/>
    <w:rPr>
      <w:vertAlign w:val="superscript"/>
    </w:rPr>
  </w:style>
  <w:style w:type="paragraph" w:styleId="HTMLPreformatted">
    <w:name w:val="HTML Preformatted"/>
    <w:basedOn w:val="Normal"/>
    <w:link w:val="HTMLPreformattedChar"/>
    <w:uiPriority w:val="99"/>
    <w:unhideWhenUsed/>
    <w:rsid w:val="00D0758C"/>
    <w:pPr>
      <w:tabs>
        <w:tab w:val="clear" w:pos="50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sz w:val="20"/>
    </w:rPr>
  </w:style>
  <w:style w:type="character" w:customStyle="1" w:styleId="HTMLPreformattedChar">
    <w:name w:val="HTML Preformatted Char"/>
    <w:link w:val="HTMLPreformatted"/>
    <w:uiPriority w:val="99"/>
    <w:rsid w:val="00D0758C"/>
    <w:rPr>
      <w:rFonts w:ascii="Courier New" w:hAnsi="Courier New"/>
    </w:rPr>
  </w:style>
  <w:style w:type="character" w:customStyle="1" w:styleId="ColorfulGrid-Accent1Char">
    <w:name w:val="Colorful Grid - Accent 1 Char"/>
    <w:link w:val="ColorfulGrid-Accent1"/>
    <w:uiPriority w:val="29"/>
    <w:rsid w:val="00D0758C"/>
    <w:rPr>
      <w:i/>
      <w:iCs/>
      <w:color w:val="000000"/>
      <w:sz w:val="26"/>
    </w:rPr>
  </w:style>
  <w:style w:type="character" w:customStyle="1" w:styleId="Heading3Char">
    <w:name w:val="Heading 3 Char"/>
    <w:link w:val="Heading3"/>
    <w:rsid w:val="00EB120F"/>
    <w:rPr>
      <w:b/>
      <w:sz w:val="26"/>
    </w:rPr>
  </w:style>
  <w:style w:type="character" w:customStyle="1" w:styleId="CommentTextChar">
    <w:name w:val="Comment Text Char"/>
    <w:link w:val="CommentText"/>
    <w:uiPriority w:val="99"/>
    <w:rsid w:val="00D0758C"/>
  </w:style>
  <w:style w:type="table" w:styleId="ColorfulGrid-Accent1">
    <w:name w:val="Colorful Grid Accent 1"/>
    <w:basedOn w:val="TableNormal"/>
    <w:link w:val="ColorfulGrid-Accent1Char"/>
    <w:uiPriority w:val="29"/>
    <w:rsid w:val="00D0758C"/>
    <w:rPr>
      <w:i/>
      <w:iCs/>
      <w:color w:val="000000"/>
      <w:sz w:val="26"/>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main">
    <w:name w:val="main"/>
    <w:basedOn w:val="Normal"/>
    <w:rsid w:val="0061477E"/>
    <w:pPr>
      <w:tabs>
        <w:tab w:val="clear" w:pos="5040"/>
      </w:tabs>
      <w:overflowPunct/>
      <w:autoSpaceDE/>
      <w:autoSpaceDN/>
      <w:adjustRightInd/>
      <w:jc w:val="center"/>
      <w:textAlignment w:val="auto"/>
    </w:pPr>
    <w:rPr>
      <w:rFonts w:ascii="Helvetica" w:hAnsi="Helvetica"/>
      <w:b/>
    </w:rPr>
  </w:style>
  <w:style w:type="character" w:customStyle="1" w:styleId="FooterChar">
    <w:name w:val="Footer Char"/>
    <w:basedOn w:val="DefaultParagraphFont"/>
    <w:link w:val="Footer"/>
    <w:uiPriority w:val="99"/>
    <w:rsid w:val="00D937FE"/>
    <w:rPr>
      <w:sz w:val="26"/>
    </w:rPr>
  </w:style>
  <w:style w:type="paragraph" w:styleId="ListParagraph">
    <w:name w:val="List Paragraph"/>
    <w:basedOn w:val="Normal"/>
    <w:link w:val="ListParagraphChar"/>
    <w:uiPriority w:val="34"/>
    <w:qFormat/>
    <w:rsid w:val="007D5291"/>
    <w:pPr>
      <w:ind w:left="720"/>
      <w:contextualSpacing/>
    </w:pPr>
  </w:style>
  <w:style w:type="paragraph" w:styleId="PlainText">
    <w:name w:val="Plain Text"/>
    <w:basedOn w:val="Normal"/>
    <w:link w:val="PlainTextChar"/>
    <w:uiPriority w:val="99"/>
    <w:unhideWhenUsed/>
    <w:rsid w:val="0039451D"/>
    <w:pPr>
      <w:tabs>
        <w:tab w:val="clear" w:pos="5040"/>
      </w:tabs>
      <w:overflowPunct/>
      <w:autoSpaceDE/>
      <w:autoSpaceDN/>
      <w:adjustRightInd/>
      <w:textAlignment w:val="auto"/>
    </w:pPr>
    <w:rPr>
      <w:rFonts w:ascii="Calibri" w:hAnsi="Calibri" w:cs="Consolas"/>
      <w:sz w:val="22"/>
      <w:szCs w:val="21"/>
    </w:rPr>
  </w:style>
  <w:style w:type="character" w:customStyle="1" w:styleId="PlainTextChar">
    <w:name w:val="Plain Text Char"/>
    <w:basedOn w:val="DefaultParagraphFont"/>
    <w:link w:val="PlainText"/>
    <w:uiPriority w:val="99"/>
    <w:rsid w:val="0039451D"/>
    <w:rPr>
      <w:rFonts w:ascii="Calibri" w:hAnsi="Calibri" w:cs="Consolas"/>
      <w:sz w:val="22"/>
      <w:szCs w:val="21"/>
    </w:rPr>
  </w:style>
  <w:style w:type="character" w:customStyle="1" w:styleId="HeaderChar">
    <w:name w:val="Header Char"/>
    <w:basedOn w:val="DefaultParagraphFont"/>
    <w:link w:val="Header"/>
    <w:uiPriority w:val="99"/>
    <w:rsid w:val="00DA5F4D"/>
    <w:rPr>
      <w:sz w:val="26"/>
    </w:rPr>
  </w:style>
  <w:style w:type="character" w:styleId="Strong">
    <w:name w:val="Strong"/>
    <w:uiPriority w:val="22"/>
    <w:qFormat/>
    <w:rsid w:val="001D7CDA"/>
    <w:rPr>
      <w:b/>
      <w:bCs/>
    </w:rPr>
  </w:style>
  <w:style w:type="character" w:customStyle="1" w:styleId="pmterms21">
    <w:name w:val="pmterms21"/>
    <w:rsid w:val="001D7CDA"/>
    <w:rPr>
      <w:b/>
      <w:bCs/>
      <w:i w:val="0"/>
      <w:iCs w:val="0"/>
      <w:color w:val="000000"/>
    </w:rPr>
  </w:style>
  <w:style w:type="character" w:customStyle="1" w:styleId="pmtermsel1">
    <w:name w:val="pmtermsel1"/>
    <w:rsid w:val="001D7CDA"/>
    <w:rPr>
      <w:b/>
      <w:bCs/>
      <w:color w:val="FFFFFF"/>
      <w:shd w:val="clear" w:color="auto" w:fill="0000CC"/>
    </w:rPr>
  </w:style>
  <w:style w:type="character" w:customStyle="1" w:styleId="w">
    <w:name w:val="w"/>
    <w:rsid w:val="001D7CDA"/>
  </w:style>
  <w:style w:type="character" w:customStyle="1" w:styleId="QuotationChar">
    <w:name w:val="Quotation Char"/>
    <w:rsid w:val="001D7CDA"/>
    <w:rPr>
      <w:sz w:val="26"/>
      <w:lang w:val="en-US" w:eastAsia="en-US" w:bidi="ar-SA"/>
    </w:rPr>
  </w:style>
  <w:style w:type="character" w:customStyle="1" w:styleId="tgc">
    <w:name w:val="_tgc"/>
    <w:rsid w:val="001D7CDA"/>
  </w:style>
  <w:style w:type="character" w:customStyle="1" w:styleId="sssh">
    <w:name w:val="ss_sh"/>
    <w:rsid w:val="001D7CDA"/>
  </w:style>
  <w:style w:type="character" w:customStyle="1" w:styleId="sspagshow1">
    <w:name w:val="ss_pag_show1"/>
    <w:rsid w:val="001D7CDA"/>
    <w:rPr>
      <w:b/>
      <w:bCs/>
    </w:rPr>
  </w:style>
  <w:style w:type="paragraph" w:customStyle="1" w:styleId="MediumGrid1-Accent21">
    <w:name w:val="Medium Grid 1 - Accent 21"/>
    <w:basedOn w:val="Normal"/>
    <w:uiPriority w:val="34"/>
    <w:qFormat/>
    <w:rsid w:val="001D7CDA"/>
    <w:pPr>
      <w:ind w:left="720"/>
    </w:pPr>
    <w:rPr>
      <w:szCs w:val="20"/>
    </w:rPr>
  </w:style>
  <w:style w:type="character" w:customStyle="1" w:styleId="ssit1">
    <w:name w:val="ss_it1"/>
    <w:rsid w:val="001D7CDA"/>
    <w:rPr>
      <w:i/>
      <w:iCs/>
    </w:rPr>
  </w:style>
  <w:style w:type="character" w:customStyle="1" w:styleId="UnresolvedMention1">
    <w:name w:val="Unresolved Mention1"/>
    <w:uiPriority w:val="99"/>
    <w:semiHidden/>
    <w:unhideWhenUsed/>
    <w:rsid w:val="001D7CDA"/>
    <w:rPr>
      <w:color w:val="605E5C"/>
      <w:shd w:val="clear" w:color="auto" w:fill="E1DFDD"/>
    </w:rPr>
  </w:style>
  <w:style w:type="character" w:customStyle="1" w:styleId="ssrfcpassagedeactivated">
    <w:name w:val="ss_rfcpassage_deactivated"/>
    <w:rsid w:val="001D7CDA"/>
  </w:style>
  <w:style w:type="character" w:customStyle="1" w:styleId="ssib1">
    <w:name w:val="ss_ib1"/>
    <w:rsid w:val="001D7CDA"/>
    <w:rPr>
      <w:b/>
      <w:bCs/>
      <w:i/>
      <w:iCs/>
    </w:rPr>
  </w:style>
  <w:style w:type="character" w:customStyle="1" w:styleId="ssbf1">
    <w:name w:val="ss_bf1"/>
    <w:rsid w:val="001D7CDA"/>
    <w:rPr>
      <w:b/>
      <w:bCs/>
      <w:color w:val="373739"/>
    </w:rPr>
  </w:style>
  <w:style w:type="character" w:customStyle="1" w:styleId="sh86973484">
    <w:name w:val="sh_86973484"/>
    <w:rsid w:val="001D7CDA"/>
  </w:style>
  <w:style w:type="character" w:customStyle="1" w:styleId="ssprior">
    <w:name w:val="ss_prior"/>
    <w:rsid w:val="001D7CDA"/>
  </w:style>
  <w:style w:type="character" w:customStyle="1" w:styleId="ssun1">
    <w:name w:val="ss_un1"/>
    <w:rsid w:val="001D7CDA"/>
    <w:rPr>
      <w:u w:val="single"/>
    </w:rPr>
  </w:style>
  <w:style w:type="paragraph" w:customStyle="1" w:styleId="ssdocumentinfo">
    <w:name w:val="ss_documentinfo"/>
    <w:basedOn w:val="Normal"/>
    <w:rsid w:val="001D7CDA"/>
    <w:pPr>
      <w:tabs>
        <w:tab w:val="clear" w:pos="5040"/>
      </w:tabs>
      <w:overflowPunct/>
      <w:autoSpaceDE/>
      <w:autoSpaceDN/>
      <w:adjustRightInd/>
      <w:spacing w:before="100" w:beforeAutospacing="1" w:after="100" w:afterAutospacing="1"/>
      <w:jc w:val="center"/>
      <w:textAlignment w:val="auto"/>
    </w:pPr>
    <w:rPr>
      <w:sz w:val="24"/>
    </w:rPr>
  </w:style>
  <w:style w:type="character" w:customStyle="1" w:styleId="sh3909719390">
    <w:name w:val="sh_3909719390"/>
    <w:basedOn w:val="DefaultParagraphFont"/>
    <w:rsid w:val="001D7CDA"/>
  </w:style>
  <w:style w:type="character" w:customStyle="1" w:styleId="sh2888904511">
    <w:name w:val="sh_2888904511"/>
    <w:basedOn w:val="DefaultParagraphFont"/>
    <w:rsid w:val="001D7CDA"/>
  </w:style>
  <w:style w:type="character" w:customStyle="1" w:styleId="sh3962352315">
    <w:name w:val="sh_3962352315"/>
    <w:basedOn w:val="DefaultParagraphFont"/>
    <w:rsid w:val="001D7CDA"/>
  </w:style>
  <w:style w:type="character" w:customStyle="1" w:styleId="sh367631512">
    <w:name w:val="sh_367631512"/>
    <w:basedOn w:val="DefaultParagraphFont"/>
    <w:rsid w:val="001D7CDA"/>
  </w:style>
  <w:style w:type="character" w:customStyle="1" w:styleId="sh2839995702">
    <w:name w:val="sh_2839995702"/>
    <w:basedOn w:val="DefaultParagraphFont"/>
    <w:rsid w:val="001D7CDA"/>
  </w:style>
  <w:style w:type="character" w:customStyle="1" w:styleId="sh1334889193">
    <w:name w:val="sh_1334889193"/>
    <w:basedOn w:val="DefaultParagraphFont"/>
    <w:rsid w:val="001D7CDA"/>
  </w:style>
  <w:style w:type="paragraph" w:customStyle="1" w:styleId="quotation0">
    <w:name w:val="quotation"/>
    <w:basedOn w:val="PlainText"/>
    <w:link w:val="quotationChar0"/>
    <w:qFormat/>
    <w:rsid w:val="001D7CDA"/>
    <w:pPr>
      <w:ind w:left="1440" w:right="1440"/>
    </w:pPr>
    <w:rPr>
      <w:sz w:val="26"/>
      <w:szCs w:val="26"/>
    </w:rPr>
  </w:style>
  <w:style w:type="paragraph" w:styleId="Quote">
    <w:name w:val="Quote"/>
    <w:basedOn w:val="Normal"/>
    <w:next w:val="Normal"/>
    <w:link w:val="QuoteChar"/>
    <w:uiPriority w:val="29"/>
    <w:qFormat/>
    <w:rsid w:val="001D7CDA"/>
    <w:pPr>
      <w:spacing w:before="200" w:after="160"/>
      <w:ind w:left="864" w:right="864"/>
      <w:jc w:val="center"/>
    </w:pPr>
    <w:rPr>
      <w:i/>
      <w:iCs/>
      <w:color w:val="404040" w:themeColor="text1" w:themeTint="BF"/>
      <w:szCs w:val="20"/>
    </w:rPr>
  </w:style>
  <w:style w:type="character" w:customStyle="1" w:styleId="QuoteChar">
    <w:name w:val="Quote Char"/>
    <w:basedOn w:val="DefaultParagraphFont"/>
    <w:link w:val="Quote"/>
    <w:uiPriority w:val="29"/>
    <w:rsid w:val="001D7CDA"/>
    <w:rPr>
      <w:i/>
      <w:iCs/>
      <w:color w:val="404040" w:themeColor="text1" w:themeTint="BF"/>
      <w:sz w:val="26"/>
      <w:szCs w:val="20"/>
    </w:rPr>
  </w:style>
  <w:style w:type="character" w:customStyle="1" w:styleId="quotationChar0">
    <w:name w:val="quotation Char"/>
    <w:basedOn w:val="PlainTextChar"/>
    <w:link w:val="quotation0"/>
    <w:rsid w:val="001D7CDA"/>
    <w:rPr>
      <w:rFonts w:ascii="Calibri" w:hAnsi="Calibri" w:cs="Consolas"/>
      <w:sz w:val="26"/>
      <w:szCs w:val="26"/>
    </w:rPr>
  </w:style>
  <w:style w:type="character" w:customStyle="1" w:styleId="UnresolvedMention2">
    <w:name w:val="Unresolved Mention2"/>
    <w:basedOn w:val="DefaultParagraphFont"/>
    <w:uiPriority w:val="99"/>
    <w:semiHidden/>
    <w:unhideWhenUsed/>
    <w:rsid w:val="001D7CDA"/>
    <w:rPr>
      <w:color w:val="605E5C"/>
      <w:shd w:val="clear" w:color="auto" w:fill="E1DFDD"/>
    </w:rPr>
  </w:style>
  <w:style w:type="character" w:customStyle="1" w:styleId="sh2916570812">
    <w:name w:val="sh_2916570812"/>
    <w:basedOn w:val="DefaultParagraphFont"/>
    <w:rsid w:val="001D7CDA"/>
  </w:style>
  <w:style w:type="character" w:customStyle="1" w:styleId="sh3782456555">
    <w:name w:val="sh_3782456555"/>
    <w:basedOn w:val="DefaultParagraphFont"/>
    <w:rsid w:val="001D7CDA"/>
  </w:style>
  <w:style w:type="character" w:customStyle="1" w:styleId="sh3834060730">
    <w:name w:val="sh_3834060730"/>
    <w:basedOn w:val="DefaultParagraphFont"/>
    <w:rsid w:val="001D7CDA"/>
  </w:style>
  <w:style w:type="character" w:customStyle="1" w:styleId="ssit2">
    <w:name w:val="ss_it2"/>
    <w:basedOn w:val="DefaultParagraphFont"/>
    <w:rsid w:val="001D7CDA"/>
    <w:rPr>
      <w:i/>
      <w:iCs/>
    </w:rPr>
  </w:style>
  <w:style w:type="character" w:customStyle="1" w:styleId="ssib2">
    <w:name w:val="ss_ib2"/>
    <w:basedOn w:val="DefaultParagraphFont"/>
    <w:rsid w:val="001D7CDA"/>
    <w:rPr>
      <w:b/>
      <w:bCs/>
      <w:i/>
      <w:iCs/>
    </w:rPr>
  </w:style>
  <w:style w:type="character" w:customStyle="1" w:styleId="sh4113254593">
    <w:name w:val="sh_4113254593"/>
    <w:basedOn w:val="DefaultParagraphFont"/>
    <w:rsid w:val="001D7CDA"/>
  </w:style>
  <w:style w:type="character" w:customStyle="1" w:styleId="ssleftalign2">
    <w:name w:val="ss_leftalign2"/>
    <w:basedOn w:val="DefaultParagraphFont"/>
    <w:rsid w:val="001D7CDA"/>
    <w:rPr>
      <w:vanish w:val="0"/>
      <w:webHidden w:val="0"/>
      <w:sz w:val="24"/>
      <w:szCs w:val="24"/>
      <w:specVanish w:val="0"/>
    </w:rPr>
  </w:style>
  <w:style w:type="character" w:customStyle="1" w:styleId="UnresolvedMention3">
    <w:name w:val="Unresolved Mention3"/>
    <w:basedOn w:val="DefaultParagraphFont"/>
    <w:uiPriority w:val="99"/>
    <w:semiHidden/>
    <w:unhideWhenUsed/>
    <w:rsid w:val="001D7CDA"/>
    <w:rPr>
      <w:color w:val="605E5C"/>
      <w:shd w:val="clear" w:color="auto" w:fill="E1DFDD"/>
    </w:rPr>
  </w:style>
  <w:style w:type="paragraph" w:styleId="Revision">
    <w:name w:val="Revision"/>
    <w:hidden/>
    <w:semiHidden/>
    <w:rsid w:val="007F69C4"/>
    <w:rPr>
      <w:sz w:val="26"/>
    </w:rPr>
  </w:style>
  <w:style w:type="character" w:styleId="FollowedHyperlink">
    <w:name w:val="FollowedHyperlink"/>
    <w:basedOn w:val="DefaultParagraphFont"/>
    <w:semiHidden/>
    <w:unhideWhenUsed/>
    <w:rsid w:val="001931C7"/>
    <w:rPr>
      <w:color w:val="800080" w:themeColor="followedHyperlink"/>
      <w:u w:val="single"/>
    </w:rPr>
  </w:style>
  <w:style w:type="paragraph" w:customStyle="1" w:styleId="pf0">
    <w:name w:val="pf0"/>
    <w:basedOn w:val="Normal"/>
    <w:rsid w:val="00D34D1D"/>
    <w:pPr>
      <w:tabs>
        <w:tab w:val="clear" w:pos="5040"/>
      </w:tabs>
      <w:overflowPunct/>
      <w:autoSpaceDE/>
      <w:autoSpaceDN/>
      <w:adjustRightInd/>
      <w:spacing w:before="100" w:beforeAutospacing="1" w:after="100" w:afterAutospacing="1"/>
      <w:textAlignment w:val="auto"/>
    </w:pPr>
    <w:rPr>
      <w:sz w:val="24"/>
    </w:rPr>
  </w:style>
  <w:style w:type="character" w:styleId="UnresolvedMention">
    <w:name w:val="Unresolved Mention"/>
    <w:basedOn w:val="DefaultParagraphFont"/>
    <w:uiPriority w:val="99"/>
    <w:semiHidden/>
    <w:unhideWhenUsed/>
    <w:rsid w:val="00D34D1D"/>
    <w:rPr>
      <w:color w:val="605E5C"/>
      <w:shd w:val="clear" w:color="auto" w:fill="E1DFDD"/>
    </w:rPr>
  </w:style>
  <w:style w:type="character" w:customStyle="1" w:styleId="coconcept1119">
    <w:name w:val="co_concept_11_19"/>
    <w:basedOn w:val="DefaultParagraphFont"/>
    <w:rsid w:val="002E7816"/>
  </w:style>
  <w:style w:type="character" w:customStyle="1" w:styleId="coconcept6272">
    <w:name w:val="co_concept_62_72"/>
    <w:basedOn w:val="DefaultParagraphFont"/>
    <w:rsid w:val="002E7816"/>
  </w:style>
  <w:style w:type="character" w:customStyle="1" w:styleId="coconcept7784">
    <w:name w:val="co_concept_77_84"/>
    <w:basedOn w:val="DefaultParagraphFont"/>
    <w:rsid w:val="002E7816"/>
  </w:style>
  <w:style w:type="character" w:customStyle="1" w:styleId="cf01">
    <w:name w:val="cf01"/>
    <w:basedOn w:val="DefaultParagraphFont"/>
    <w:rsid w:val="00664979"/>
    <w:rPr>
      <w:rFonts w:ascii="Segoe UI" w:hAnsi="Segoe UI" w:cs="Segoe UI" w:hint="default"/>
      <w:sz w:val="18"/>
      <w:szCs w:val="18"/>
    </w:rPr>
  </w:style>
  <w:style w:type="character" w:customStyle="1" w:styleId="WW8Num1z0">
    <w:name w:val="WW8Num1z0"/>
    <w:rsid w:val="002208B5"/>
  </w:style>
  <w:style w:type="character" w:customStyle="1" w:styleId="Heading1Char">
    <w:name w:val="Heading 1 Char"/>
    <w:basedOn w:val="DefaultParagraphFont"/>
    <w:link w:val="Heading1"/>
    <w:rsid w:val="00740DEE"/>
    <w:rPr>
      <w:b/>
      <w:kern w:val="28"/>
      <w:sz w:val="26"/>
      <w:szCs w:val="26"/>
    </w:rPr>
  </w:style>
  <w:style w:type="character" w:customStyle="1" w:styleId="Heading4Char">
    <w:name w:val="Heading 4 Char"/>
    <w:basedOn w:val="DefaultParagraphFont"/>
    <w:link w:val="Heading4"/>
    <w:rsid w:val="000B4E37"/>
    <w:rPr>
      <w:b/>
      <w:sz w:val="26"/>
    </w:rPr>
  </w:style>
  <w:style w:type="character" w:customStyle="1" w:styleId="coconcept2334">
    <w:name w:val="co_concept_23_34"/>
    <w:basedOn w:val="DefaultParagraphFont"/>
    <w:rsid w:val="00A348CA"/>
  </w:style>
  <w:style w:type="character" w:customStyle="1" w:styleId="coconcept3952">
    <w:name w:val="co_concept_39_52"/>
    <w:basedOn w:val="DefaultParagraphFont"/>
    <w:rsid w:val="00A348CA"/>
  </w:style>
  <w:style w:type="character" w:customStyle="1" w:styleId="coconcept5868">
    <w:name w:val="co_concept_58_68"/>
    <w:basedOn w:val="DefaultParagraphFont"/>
    <w:rsid w:val="00A348CA"/>
  </w:style>
  <w:style w:type="character" w:customStyle="1" w:styleId="coconcept7478">
    <w:name w:val="co_concept_74_78"/>
    <w:basedOn w:val="DefaultParagraphFont"/>
    <w:rsid w:val="00A348CA"/>
  </w:style>
  <w:style w:type="character" w:customStyle="1" w:styleId="coconcept116123">
    <w:name w:val="co_concept_116_123"/>
    <w:basedOn w:val="DefaultParagraphFont"/>
    <w:rsid w:val="00A348CA"/>
  </w:style>
  <w:style w:type="paragraph" w:customStyle="1" w:styleId="Standard0">
    <w:name w:val="Standard"/>
    <w:basedOn w:val="Normal"/>
    <w:qFormat/>
    <w:rsid w:val="00004C2D"/>
    <w:pPr>
      <w:tabs>
        <w:tab w:val="clear" w:pos="5040"/>
      </w:tabs>
      <w:overflowPunct/>
      <w:autoSpaceDE/>
      <w:autoSpaceDN/>
      <w:adjustRightInd/>
      <w:spacing w:line="360" w:lineRule="auto"/>
      <w:ind w:firstLine="720"/>
      <w:textAlignment w:val="auto"/>
    </w:pPr>
    <w:rPr>
      <w:rFonts w:ascii="Book Antiqua" w:eastAsiaTheme="minorHAnsi" w:hAnsi="Book Antiqua" w:cstheme="minorBidi"/>
      <w:szCs w:val="22"/>
    </w:rPr>
  </w:style>
  <w:style w:type="paragraph" w:customStyle="1" w:styleId="paragraph">
    <w:name w:val="paragraph"/>
    <w:basedOn w:val="Normal"/>
    <w:rsid w:val="00864256"/>
    <w:pPr>
      <w:tabs>
        <w:tab w:val="clear" w:pos="5040"/>
      </w:tabs>
      <w:overflowPunct/>
      <w:autoSpaceDE/>
      <w:autoSpaceDN/>
      <w:adjustRightInd/>
      <w:spacing w:before="100" w:beforeAutospacing="1" w:after="100" w:afterAutospacing="1"/>
      <w:textAlignment w:val="auto"/>
    </w:pPr>
    <w:rPr>
      <w:sz w:val="24"/>
    </w:rPr>
  </w:style>
  <w:style w:type="character" w:customStyle="1" w:styleId="normaltextrun">
    <w:name w:val="normaltextrun"/>
    <w:basedOn w:val="DefaultParagraphFont"/>
    <w:rsid w:val="00864256"/>
  </w:style>
  <w:style w:type="character" w:styleId="Mention">
    <w:name w:val="Mention"/>
    <w:basedOn w:val="DefaultParagraphFont"/>
    <w:uiPriority w:val="99"/>
    <w:unhideWhenUsed/>
    <w:rsid w:val="00943DC2"/>
    <w:rPr>
      <w:color w:val="2B579A"/>
      <w:shd w:val="clear" w:color="auto" w:fill="E1DFDD"/>
    </w:rPr>
  </w:style>
  <w:style w:type="character" w:customStyle="1" w:styleId="ListParagraphChar">
    <w:name w:val="List Paragraph Char"/>
    <w:basedOn w:val="DefaultParagraphFont"/>
    <w:link w:val="ListParagraph"/>
    <w:uiPriority w:val="34"/>
    <w:rsid w:val="003A10C6"/>
    <w:rPr>
      <w:sz w:val="26"/>
    </w:rPr>
  </w:style>
  <w:style w:type="character" w:customStyle="1" w:styleId="cf41">
    <w:name w:val="cf41"/>
    <w:basedOn w:val="DefaultParagraphFont"/>
    <w:rsid w:val="00CB1F7D"/>
    <w:rPr>
      <w:rFonts w:ascii="Segoe UI" w:hAnsi="Segoe UI" w:cs="Segoe UI" w:hint="default"/>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170299">
      <w:bodyDiv w:val="1"/>
      <w:marLeft w:val="0"/>
      <w:marRight w:val="0"/>
      <w:marTop w:val="0"/>
      <w:marBottom w:val="0"/>
      <w:divBdr>
        <w:top w:val="none" w:sz="0" w:space="0" w:color="auto"/>
        <w:left w:val="none" w:sz="0" w:space="0" w:color="auto"/>
        <w:bottom w:val="none" w:sz="0" w:space="0" w:color="auto"/>
        <w:right w:val="none" w:sz="0" w:space="0" w:color="auto"/>
      </w:divBdr>
    </w:div>
    <w:div w:id="226234307">
      <w:bodyDiv w:val="1"/>
      <w:marLeft w:val="0"/>
      <w:marRight w:val="0"/>
      <w:marTop w:val="0"/>
      <w:marBottom w:val="0"/>
      <w:divBdr>
        <w:top w:val="none" w:sz="0" w:space="0" w:color="auto"/>
        <w:left w:val="none" w:sz="0" w:space="0" w:color="auto"/>
        <w:bottom w:val="none" w:sz="0" w:space="0" w:color="auto"/>
        <w:right w:val="none" w:sz="0" w:space="0" w:color="auto"/>
      </w:divBdr>
      <w:divsChild>
        <w:div w:id="138228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3941225">
              <w:marLeft w:val="0"/>
              <w:marRight w:val="0"/>
              <w:marTop w:val="0"/>
              <w:marBottom w:val="0"/>
              <w:divBdr>
                <w:top w:val="none" w:sz="0" w:space="0" w:color="auto"/>
                <w:left w:val="none" w:sz="0" w:space="0" w:color="auto"/>
                <w:bottom w:val="none" w:sz="0" w:space="0" w:color="auto"/>
                <w:right w:val="none" w:sz="0" w:space="0" w:color="auto"/>
              </w:divBdr>
              <w:divsChild>
                <w:div w:id="122174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590463">
      <w:bodyDiv w:val="1"/>
      <w:marLeft w:val="0"/>
      <w:marRight w:val="0"/>
      <w:marTop w:val="0"/>
      <w:marBottom w:val="0"/>
      <w:divBdr>
        <w:top w:val="none" w:sz="0" w:space="0" w:color="auto"/>
        <w:left w:val="none" w:sz="0" w:space="0" w:color="auto"/>
        <w:bottom w:val="none" w:sz="0" w:space="0" w:color="auto"/>
        <w:right w:val="none" w:sz="0" w:space="0" w:color="auto"/>
      </w:divBdr>
      <w:divsChild>
        <w:div w:id="605500253">
          <w:marLeft w:val="0"/>
          <w:marRight w:val="0"/>
          <w:marTop w:val="0"/>
          <w:marBottom w:val="0"/>
          <w:divBdr>
            <w:top w:val="none" w:sz="0" w:space="0" w:color="auto"/>
            <w:left w:val="none" w:sz="0" w:space="0" w:color="auto"/>
            <w:bottom w:val="none" w:sz="0" w:space="0" w:color="auto"/>
            <w:right w:val="none" w:sz="0" w:space="0" w:color="auto"/>
          </w:divBdr>
          <w:divsChild>
            <w:div w:id="1039011982">
              <w:marLeft w:val="0"/>
              <w:marRight w:val="0"/>
              <w:marTop w:val="0"/>
              <w:marBottom w:val="0"/>
              <w:divBdr>
                <w:top w:val="none" w:sz="0" w:space="0" w:color="auto"/>
                <w:left w:val="none" w:sz="0" w:space="0" w:color="auto"/>
                <w:bottom w:val="none" w:sz="0" w:space="0" w:color="auto"/>
                <w:right w:val="none" w:sz="0" w:space="0" w:color="auto"/>
              </w:divBdr>
              <w:divsChild>
                <w:div w:id="68054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039786">
      <w:bodyDiv w:val="1"/>
      <w:marLeft w:val="0"/>
      <w:marRight w:val="0"/>
      <w:marTop w:val="0"/>
      <w:marBottom w:val="0"/>
      <w:divBdr>
        <w:top w:val="none" w:sz="0" w:space="0" w:color="auto"/>
        <w:left w:val="none" w:sz="0" w:space="0" w:color="auto"/>
        <w:bottom w:val="none" w:sz="0" w:space="0" w:color="auto"/>
        <w:right w:val="none" w:sz="0" w:space="0" w:color="auto"/>
      </w:divBdr>
    </w:div>
    <w:div w:id="620190512">
      <w:bodyDiv w:val="1"/>
      <w:marLeft w:val="0"/>
      <w:marRight w:val="0"/>
      <w:marTop w:val="0"/>
      <w:marBottom w:val="0"/>
      <w:divBdr>
        <w:top w:val="none" w:sz="0" w:space="0" w:color="auto"/>
        <w:left w:val="none" w:sz="0" w:space="0" w:color="auto"/>
        <w:bottom w:val="none" w:sz="0" w:space="0" w:color="auto"/>
        <w:right w:val="none" w:sz="0" w:space="0" w:color="auto"/>
      </w:divBdr>
    </w:div>
    <w:div w:id="679742084">
      <w:bodyDiv w:val="1"/>
      <w:marLeft w:val="0"/>
      <w:marRight w:val="0"/>
      <w:marTop w:val="0"/>
      <w:marBottom w:val="0"/>
      <w:divBdr>
        <w:top w:val="none" w:sz="0" w:space="0" w:color="auto"/>
        <w:left w:val="none" w:sz="0" w:space="0" w:color="auto"/>
        <w:bottom w:val="none" w:sz="0" w:space="0" w:color="auto"/>
        <w:right w:val="none" w:sz="0" w:space="0" w:color="auto"/>
      </w:divBdr>
    </w:div>
    <w:div w:id="944196919">
      <w:bodyDiv w:val="1"/>
      <w:marLeft w:val="0"/>
      <w:marRight w:val="0"/>
      <w:marTop w:val="0"/>
      <w:marBottom w:val="0"/>
      <w:divBdr>
        <w:top w:val="none" w:sz="0" w:space="0" w:color="auto"/>
        <w:left w:val="none" w:sz="0" w:space="0" w:color="auto"/>
        <w:bottom w:val="none" w:sz="0" w:space="0" w:color="auto"/>
        <w:right w:val="none" w:sz="0" w:space="0" w:color="auto"/>
      </w:divBdr>
      <w:divsChild>
        <w:div w:id="1970894454">
          <w:marLeft w:val="0"/>
          <w:marRight w:val="0"/>
          <w:marTop w:val="0"/>
          <w:marBottom w:val="0"/>
          <w:divBdr>
            <w:top w:val="none" w:sz="0" w:space="0" w:color="auto"/>
            <w:left w:val="none" w:sz="0" w:space="0" w:color="auto"/>
            <w:bottom w:val="none" w:sz="0" w:space="0" w:color="auto"/>
            <w:right w:val="none" w:sz="0" w:space="0" w:color="auto"/>
          </w:divBdr>
          <w:divsChild>
            <w:div w:id="1904826938">
              <w:marLeft w:val="0"/>
              <w:marRight w:val="0"/>
              <w:marTop w:val="0"/>
              <w:marBottom w:val="0"/>
              <w:divBdr>
                <w:top w:val="none" w:sz="0" w:space="0" w:color="auto"/>
                <w:left w:val="none" w:sz="0" w:space="0" w:color="auto"/>
                <w:bottom w:val="none" w:sz="0" w:space="0" w:color="auto"/>
                <w:right w:val="none" w:sz="0" w:space="0" w:color="auto"/>
              </w:divBdr>
              <w:divsChild>
                <w:div w:id="197669824">
                  <w:marLeft w:val="0"/>
                  <w:marRight w:val="0"/>
                  <w:marTop w:val="0"/>
                  <w:marBottom w:val="0"/>
                  <w:divBdr>
                    <w:top w:val="none" w:sz="0" w:space="0" w:color="auto"/>
                    <w:left w:val="none" w:sz="0" w:space="0" w:color="auto"/>
                    <w:bottom w:val="none" w:sz="0" w:space="0" w:color="auto"/>
                    <w:right w:val="none" w:sz="0" w:space="0" w:color="auto"/>
                  </w:divBdr>
                  <w:divsChild>
                    <w:div w:id="178214124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528734">
      <w:bodyDiv w:val="1"/>
      <w:marLeft w:val="0"/>
      <w:marRight w:val="0"/>
      <w:marTop w:val="0"/>
      <w:marBottom w:val="0"/>
      <w:divBdr>
        <w:top w:val="none" w:sz="0" w:space="0" w:color="auto"/>
        <w:left w:val="none" w:sz="0" w:space="0" w:color="auto"/>
        <w:bottom w:val="none" w:sz="0" w:space="0" w:color="auto"/>
        <w:right w:val="none" w:sz="0" w:space="0" w:color="auto"/>
      </w:divBdr>
    </w:div>
    <w:div w:id="1683241263">
      <w:bodyDiv w:val="1"/>
      <w:marLeft w:val="0"/>
      <w:marRight w:val="0"/>
      <w:marTop w:val="0"/>
      <w:marBottom w:val="0"/>
      <w:divBdr>
        <w:top w:val="none" w:sz="0" w:space="0" w:color="auto"/>
        <w:left w:val="none" w:sz="0" w:space="0" w:color="auto"/>
        <w:bottom w:val="none" w:sz="0" w:space="0" w:color="auto"/>
        <w:right w:val="none" w:sz="0" w:space="0" w:color="auto"/>
      </w:divBdr>
      <w:divsChild>
        <w:div w:id="2139496259">
          <w:marLeft w:val="0"/>
          <w:marRight w:val="0"/>
          <w:marTop w:val="0"/>
          <w:marBottom w:val="0"/>
          <w:divBdr>
            <w:top w:val="none" w:sz="0" w:space="0" w:color="auto"/>
            <w:left w:val="none" w:sz="0" w:space="0" w:color="auto"/>
            <w:bottom w:val="none" w:sz="0" w:space="0" w:color="auto"/>
            <w:right w:val="none" w:sz="0" w:space="0" w:color="auto"/>
          </w:divBdr>
          <w:divsChild>
            <w:div w:id="1126047339">
              <w:marLeft w:val="0"/>
              <w:marRight w:val="0"/>
              <w:marTop w:val="0"/>
              <w:marBottom w:val="0"/>
              <w:divBdr>
                <w:top w:val="none" w:sz="0" w:space="0" w:color="auto"/>
                <w:left w:val="none" w:sz="0" w:space="0" w:color="auto"/>
                <w:bottom w:val="none" w:sz="0" w:space="0" w:color="auto"/>
                <w:right w:val="none" w:sz="0" w:space="0" w:color="auto"/>
              </w:divBdr>
              <w:divsChild>
                <w:div w:id="207234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39619">
      <w:bodyDiv w:val="1"/>
      <w:marLeft w:val="0"/>
      <w:marRight w:val="0"/>
      <w:marTop w:val="0"/>
      <w:marBottom w:val="0"/>
      <w:divBdr>
        <w:top w:val="none" w:sz="0" w:space="0" w:color="auto"/>
        <w:left w:val="none" w:sz="0" w:space="0" w:color="auto"/>
        <w:bottom w:val="none" w:sz="0" w:space="0" w:color="auto"/>
        <w:right w:val="none" w:sz="0" w:space="0" w:color="auto"/>
      </w:divBdr>
    </w:div>
    <w:div w:id="1973364756">
      <w:bodyDiv w:val="1"/>
      <w:marLeft w:val="0"/>
      <w:marRight w:val="0"/>
      <w:marTop w:val="0"/>
      <w:marBottom w:val="0"/>
      <w:divBdr>
        <w:top w:val="none" w:sz="0" w:space="0" w:color="auto"/>
        <w:left w:val="none" w:sz="0" w:space="0" w:color="auto"/>
        <w:bottom w:val="none" w:sz="0" w:space="0" w:color="auto"/>
        <w:right w:val="none" w:sz="0" w:space="0" w:color="auto"/>
      </w:divBdr>
      <w:divsChild>
        <w:div w:id="1882206788">
          <w:marLeft w:val="0"/>
          <w:marRight w:val="0"/>
          <w:marTop w:val="0"/>
          <w:marBottom w:val="0"/>
          <w:divBdr>
            <w:top w:val="none" w:sz="0" w:space="0" w:color="auto"/>
            <w:left w:val="none" w:sz="0" w:space="0" w:color="auto"/>
            <w:bottom w:val="none" w:sz="0" w:space="0" w:color="auto"/>
            <w:right w:val="none" w:sz="0" w:space="0" w:color="auto"/>
          </w:divBdr>
          <w:divsChild>
            <w:div w:id="1168449694">
              <w:marLeft w:val="0"/>
              <w:marRight w:val="0"/>
              <w:marTop w:val="0"/>
              <w:marBottom w:val="0"/>
              <w:divBdr>
                <w:top w:val="none" w:sz="0" w:space="0" w:color="auto"/>
                <w:left w:val="none" w:sz="0" w:space="0" w:color="auto"/>
                <w:bottom w:val="none" w:sz="0" w:space="0" w:color="auto"/>
                <w:right w:val="none" w:sz="0" w:space="0" w:color="auto"/>
              </w:divBdr>
              <w:divsChild>
                <w:div w:id="78245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859021">
          <w:marLeft w:val="0"/>
          <w:marRight w:val="0"/>
          <w:marTop w:val="0"/>
          <w:marBottom w:val="0"/>
          <w:divBdr>
            <w:top w:val="none" w:sz="0" w:space="0" w:color="auto"/>
            <w:left w:val="none" w:sz="0" w:space="0" w:color="auto"/>
            <w:bottom w:val="none" w:sz="0" w:space="0" w:color="auto"/>
            <w:right w:val="none" w:sz="0" w:space="0" w:color="auto"/>
          </w:divBdr>
          <w:divsChild>
            <w:div w:id="744883443">
              <w:marLeft w:val="0"/>
              <w:marRight w:val="0"/>
              <w:marTop w:val="0"/>
              <w:marBottom w:val="0"/>
              <w:divBdr>
                <w:top w:val="none" w:sz="0" w:space="0" w:color="auto"/>
                <w:left w:val="none" w:sz="0" w:space="0" w:color="auto"/>
                <w:bottom w:val="none" w:sz="0" w:space="0" w:color="auto"/>
                <w:right w:val="none" w:sz="0" w:space="0" w:color="auto"/>
              </w:divBdr>
              <w:divsChild>
                <w:div w:id="1591231257">
                  <w:marLeft w:val="0"/>
                  <w:marRight w:val="0"/>
                  <w:marTop w:val="0"/>
                  <w:marBottom w:val="0"/>
                  <w:divBdr>
                    <w:top w:val="none" w:sz="0" w:space="0" w:color="auto"/>
                    <w:left w:val="none" w:sz="0" w:space="0" w:color="auto"/>
                    <w:bottom w:val="none" w:sz="0" w:space="0" w:color="auto"/>
                    <w:right w:val="none" w:sz="0" w:space="0" w:color="auto"/>
                  </w:divBdr>
                </w:div>
              </w:divsChild>
            </w:div>
            <w:div w:id="1038629251">
              <w:marLeft w:val="0"/>
              <w:marRight w:val="0"/>
              <w:marTop w:val="0"/>
              <w:marBottom w:val="0"/>
              <w:divBdr>
                <w:top w:val="none" w:sz="0" w:space="0" w:color="auto"/>
                <w:left w:val="none" w:sz="0" w:space="0" w:color="auto"/>
                <w:bottom w:val="none" w:sz="0" w:space="0" w:color="auto"/>
                <w:right w:val="none" w:sz="0" w:space="0" w:color="auto"/>
              </w:divBdr>
              <w:divsChild>
                <w:div w:id="19322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416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fetypolicy@energysafety.ca.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ctionary.cambridge.org/dictionary/english/imple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ergysafety.ca.gov/what-we-do/electrical-infrastructure-safety/wildfire-mitigation-and-safety/wildfire-mitigation-plans/2022-wm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docs.cpuc.ca.gov/DecisionsSearchForm.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1E3D3232498648B22A145ED0FF2224" ma:contentTypeVersion="14" ma:contentTypeDescription="Create a new document." ma:contentTypeScope="" ma:versionID="ee85e3b4fc568b98e47988ba419bf742">
  <xsd:schema xmlns:xsd="http://www.w3.org/2001/XMLSchema" xmlns:xs="http://www.w3.org/2001/XMLSchema" xmlns:p="http://schemas.microsoft.com/office/2006/metadata/properties" xmlns:ns3="56abb5dc-fe41-4d2d-badc-44c4b1d68ffd" xmlns:ns4="71e93487-f6c1-4f53-a327-b5109cf516e2" targetNamespace="http://schemas.microsoft.com/office/2006/metadata/properties" ma:root="true" ma:fieldsID="9ab38c4ff0f04ad224b1cff2063810b4" ns3:_="" ns4:_="">
    <xsd:import namespace="56abb5dc-fe41-4d2d-badc-44c4b1d68ffd"/>
    <xsd:import namespace="71e93487-f6c1-4f53-a327-b5109cf516e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bb5dc-fe41-4d2d-badc-44c4b1d68f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93487-f6c1-4f53-a327-b5109cf516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71e93487-f6c1-4f53-a327-b5109cf516e2" xsi:nil="true"/>
  </documentManagement>
</p:properties>
</file>

<file path=customXml/itemProps1.xml><?xml version="1.0" encoding="utf-8"?>
<ds:datastoreItem xmlns:ds="http://schemas.openxmlformats.org/officeDocument/2006/customXml" ds:itemID="{CA231775-CEB2-47E8-86A1-89FF7F3DAA6A}">
  <ds:schemaRefs>
    <ds:schemaRef ds:uri="http://schemas.microsoft.com/sharepoint/v3/contenttype/forms"/>
  </ds:schemaRefs>
</ds:datastoreItem>
</file>

<file path=customXml/itemProps2.xml><?xml version="1.0" encoding="utf-8"?>
<ds:datastoreItem xmlns:ds="http://schemas.openxmlformats.org/officeDocument/2006/customXml" ds:itemID="{0E1084BE-0327-4371-9503-ACEDB99AE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abb5dc-fe41-4d2d-badc-44c4b1d68ffd"/>
    <ds:schemaRef ds:uri="71e93487-f6c1-4f53-a327-b5109cf51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B829CD-A2BE-404F-B7D9-276FC65AB5BA}">
  <ds:schemaRefs>
    <ds:schemaRef ds:uri="http://schemas.openxmlformats.org/officeDocument/2006/bibliography"/>
  </ds:schemaRefs>
</ds:datastoreItem>
</file>

<file path=customXml/itemProps4.xml><?xml version="1.0" encoding="utf-8"?>
<ds:datastoreItem xmlns:ds="http://schemas.openxmlformats.org/officeDocument/2006/customXml" ds:itemID="{5DBEE1D4-5EBA-4E1C-AFBE-290445CBC558}">
  <ds:schemaRefs>
    <ds:schemaRef ds:uri="http://schemas.microsoft.com/office/2006/metadata/properties"/>
    <ds:schemaRef ds:uri="http://schemas.microsoft.com/office/infopath/2007/PartnerControls"/>
    <ds:schemaRef ds:uri="71e93487-f6c1-4f53-a327-b5109cf516e2"/>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26</ap:Pages>
  <ap:Words>8118</ap:Words>
  <ap:Characters>46276</ap:Characters>
  <ap:Application>Microsoft Office Word</ap:Application>
  <ap:DocSecurity>0</ap:DocSecurity>
  <ap:Lines>385</ap:Lines>
  <ap:Paragraphs>108</ap:Paragraphs>
  <ap:ScaleCrop>false</ap:ScaleCrop>
  <ap:HeadingPairs>
    <vt:vector baseType="variant" size="2">
      <vt:variant>
        <vt:lpstr>Title</vt:lpstr>
      </vt:variant>
      <vt:variant>
        <vt:i4>1</vt:i4>
      </vt:variant>
    </vt:vector>
  </ap:HeadingPairs>
  <ap:TitlesOfParts>
    <vt:vector baseType="lpstr" size="1">
      <vt:lpstr>BEFORE THE PUBLIC UTILITIES COMMISSION OF THE STATE OF CALIFORNIA</vt:lpstr>
    </vt:vector>
  </ap:TitlesOfParts>
  <ap:Company/>
  <ap:LinksUpToDate>false</ap:LinksUpToDate>
  <ap:CharactersWithSpaces>54286</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2023-02-02T19:37:00Z</cp:lastPrinted>
  <dcterms:created xsi:type="dcterms:W3CDTF">2026-08-14T11:22:15Z</dcterms:created>
  <dcterms:modified xsi:type="dcterms:W3CDTF">2026-08-14T11:22:15Z</dcterms:modified>
</cp:coreProperties>
</file>