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7D0" w:rsidP="009B3082" w:rsidRDefault="00692CBA" w14:paraId="3124432E" w14:textId="1EAD3E11">
      <w:pPr>
        <w:tabs>
          <w:tab w:val="center" w:pos="4140"/>
          <w:tab w:val="right" w:pos="9360"/>
        </w:tabs>
        <w:spacing w:line="240" w:lineRule="auto"/>
        <w:ind w:firstLine="0"/>
        <w:rPr>
          <w:b/>
        </w:rPr>
      </w:pPr>
      <w:r>
        <w:t>COM/MBK/asf</w:t>
      </w:r>
      <w:r w:rsidR="007E0FEE">
        <w:tab/>
      </w:r>
      <w:r w:rsidR="00DA7B5D">
        <w:tab/>
      </w:r>
      <w:r w:rsidR="009B3082">
        <w:rPr>
          <w:b/>
        </w:rPr>
        <w:t>Date of Issuance 8/17/2026</w:t>
      </w:r>
    </w:p>
    <w:p w:rsidR="006751FF" w:rsidP="006751FF" w:rsidRDefault="006751FF" w14:paraId="7EAE976C" w14:textId="77777777">
      <w:pPr>
        <w:spacing w:line="240" w:lineRule="auto"/>
        <w:jc w:val="right"/>
        <w:rPr>
          <w:b/>
        </w:rPr>
      </w:pPr>
    </w:p>
    <w:p w:rsidR="006751FF" w:rsidP="006751FF" w:rsidRDefault="006751FF" w14:paraId="0BC2289E" w14:textId="77777777">
      <w:pPr>
        <w:spacing w:line="240" w:lineRule="auto"/>
        <w:jc w:val="right"/>
      </w:pPr>
    </w:p>
    <w:p w:rsidRPr="006751FF" w:rsidR="00DA7B5D" w:rsidP="001669E0" w:rsidRDefault="00DA7B5D" w14:paraId="1F6CF0F4" w14:textId="1D4A0EA1">
      <w:pPr>
        <w:spacing w:line="240" w:lineRule="auto"/>
        <w:ind w:left="1080" w:hanging="1080"/>
        <w:rPr>
          <w:u w:val="single"/>
        </w:rPr>
      </w:pPr>
      <w:r>
        <w:t>Decision</w:t>
      </w:r>
      <w:r w:rsidR="009B3082">
        <w:t xml:space="preserve"> 26-08-033  August 13, 2026</w:t>
      </w:r>
    </w:p>
    <w:p w:rsidR="00DA7B5D" w:rsidP="00BB0243" w:rsidRDefault="00DA7B5D" w14:paraId="31648295" w14:textId="77777777">
      <w:pPr>
        <w:spacing w:line="240" w:lineRule="auto"/>
        <w:jc w:val="center"/>
        <w:rPr>
          <w:u w:val="single"/>
        </w:rPr>
      </w:pPr>
    </w:p>
    <w:p w:rsidR="00DA7B5D" w:rsidP="00BB0243" w:rsidRDefault="00DA7B5D" w14:paraId="77F2529C"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26582BA0"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66FE4" w:rsidTr="00D66FE4" w14:paraId="5D469DE4" w14:textId="77777777">
        <w:trPr>
          <w:jc w:val="center"/>
        </w:trPr>
        <w:tc>
          <w:tcPr>
            <w:tcW w:w="4680" w:type="dxa"/>
            <w:tcBorders>
              <w:top w:val="nil"/>
              <w:left w:val="nil"/>
              <w:bottom w:val="single" w:color="auto" w:sz="4" w:space="0"/>
              <w:right w:val="single" w:color="auto" w:sz="4" w:space="0"/>
            </w:tcBorders>
          </w:tcPr>
          <w:p w:rsidRPr="00F37542" w:rsidR="00D66FE4" w:rsidP="00D66FE4" w:rsidRDefault="00D66FE4" w14:paraId="580B030C" w14:textId="10794FE4">
            <w:pPr>
              <w:spacing w:line="240" w:lineRule="auto"/>
              <w:ind w:firstLine="0"/>
              <w:rPr>
                <w:szCs w:val="26"/>
              </w:rPr>
            </w:pPr>
            <w:r w:rsidRPr="00F37542">
              <w:rPr>
                <w:szCs w:val="26"/>
              </w:rPr>
              <w:t>Joint Application of Charter Communications, Inc., Charter Communications Holdings, LLC, and Cox Enterprises, Inc. for Approval Pursuant to Public Utilities Code Section 854 of the Indirect Transfer of Control of Cox California Telcom, LLC (U5684C).</w:t>
            </w:r>
          </w:p>
          <w:p w:rsidRPr="00DA7B5D" w:rsidR="00D66FE4" w:rsidP="00D66FE4" w:rsidRDefault="00D66FE4" w14:paraId="1F8E63D5" w14:textId="53BB6B2A">
            <w:pPr>
              <w:spacing w:line="240" w:lineRule="auto"/>
              <w:ind w:firstLine="0"/>
              <w:rPr>
                <w:rFonts w:cs="Arial"/>
                <w:szCs w:val="26"/>
              </w:rPr>
            </w:pPr>
          </w:p>
        </w:tc>
        <w:tc>
          <w:tcPr>
            <w:tcW w:w="4680" w:type="dxa"/>
            <w:tcBorders>
              <w:top w:val="nil"/>
              <w:left w:val="single" w:color="auto" w:sz="4" w:space="0"/>
              <w:bottom w:val="nil"/>
              <w:right w:val="nil"/>
            </w:tcBorders>
            <w:vAlign w:val="center"/>
          </w:tcPr>
          <w:p w:rsidRPr="00DA7B5D" w:rsidR="00D66FE4" w:rsidP="00D66FE4" w:rsidRDefault="00D66FE4" w14:paraId="34989987" w14:textId="1C4E6F09">
            <w:pPr>
              <w:spacing w:line="240" w:lineRule="auto"/>
              <w:ind w:firstLine="0"/>
              <w:jc w:val="center"/>
              <w:rPr>
                <w:rFonts w:cs="Arial"/>
                <w:szCs w:val="26"/>
              </w:rPr>
            </w:pPr>
            <w:r w:rsidRPr="00F37542">
              <w:rPr>
                <w:rFonts w:cs="Arial"/>
                <w:szCs w:val="26"/>
              </w:rPr>
              <w:t>Application 25</w:t>
            </w:r>
            <w:r w:rsidRPr="00F37542">
              <w:rPr>
                <w:rFonts w:cs="Arial"/>
                <w:szCs w:val="26"/>
              </w:rPr>
              <w:noBreakHyphen/>
              <w:t>07</w:t>
            </w:r>
            <w:r w:rsidRPr="00F37542">
              <w:rPr>
                <w:rFonts w:cs="Arial"/>
                <w:szCs w:val="26"/>
              </w:rPr>
              <w:noBreakHyphen/>
              <w:t>016</w:t>
            </w:r>
          </w:p>
        </w:tc>
      </w:tr>
    </w:tbl>
    <w:p w:rsidR="00DA7B5D" w:rsidP="008F0116" w:rsidRDefault="00DA7B5D" w14:paraId="79242976" w14:textId="77777777">
      <w:pPr>
        <w:spacing w:line="240" w:lineRule="auto"/>
        <w:ind w:firstLine="0"/>
        <w:rPr>
          <w:rFonts w:ascii="Arial" w:hAnsi="Arial" w:cs="Arial"/>
          <w:sz w:val="24"/>
          <w:szCs w:val="24"/>
        </w:rPr>
      </w:pPr>
    </w:p>
    <w:p w:rsidR="00DA7B5D" w:rsidP="008F0116" w:rsidRDefault="00DA7B5D" w14:paraId="7B579ACF" w14:textId="77777777">
      <w:pPr>
        <w:spacing w:line="240" w:lineRule="auto"/>
        <w:ind w:firstLine="0"/>
        <w:rPr>
          <w:rFonts w:ascii="Arial" w:hAnsi="Arial" w:cs="Arial"/>
          <w:sz w:val="24"/>
          <w:szCs w:val="24"/>
        </w:rPr>
      </w:pPr>
    </w:p>
    <w:p w:rsidR="00F92385" w:rsidP="00B3087D" w:rsidRDefault="00D66FE4" w14:paraId="10FC709C" w14:textId="4A217D13">
      <w:pPr>
        <w:pStyle w:val="Dummy"/>
        <w:jc w:val="center"/>
      </w:pPr>
      <w:bookmarkStart w:name="_Toc237414256" w:id="0"/>
      <w:r>
        <w:t xml:space="preserve">DECISION </w:t>
      </w:r>
      <w:r w:rsidR="00551E3D">
        <w:t xml:space="preserve">GRANTING </w:t>
      </w:r>
      <w:r w:rsidR="0063478A">
        <w:t xml:space="preserve">INDIRECT </w:t>
      </w:r>
      <w:r w:rsidR="00551E3D">
        <w:t xml:space="preserve">TRANSFER OF CONTROL SUBJECT TO </w:t>
      </w:r>
      <w:r w:rsidR="0063478A">
        <w:t xml:space="preserve">THE </w:t>
      </w:r>
      <w:r w:rsidR="007C14C6">
        <w:t xml:space="preserve">SETTLEMENT </w:t>
      </w:r>
      <w:r w:rsidR="37251FD1">
        <w:t xml:space="preserve">AGREEMENTS AND </w:t>
      </w:r>
      <w:r w:rsidR="00DE554E">
        <w:t>MITIGATION MEASURES</w:t>
      </w:r>
      <w:bookmarkEnd w:id="0"/>
    </w:p>
    <w:p w:rsidRPr="00551E3D" w:rsidR="00551E3D" w:rsidP="00551E3D" w:rsidRDefault="00551E3D" w14:paraId="6ADAFCA5" w14:textId="4757E3A1">
      <w:pPr>
        <w:sectPr w:rsidRPr="00551E3D" w:rsidR="00551E3D" w:rsidSect="0022271E">
          <w:footerReference w:type="first" r:id="rId11"/>
          <w:pgSz w:w="12240" w:h="15840"/>
          <w:pgMar w:top="1440" w:right="1440" w:bottom="1440" w:left="1440" w:header="720" w:footer="720" w:gutter="0"/>
          <w:pgNumType w:start="1"/>
          <w:cols w:space="720"/>
          <w:titlePg/>
          <w:docGrid w:linePitch="360"/>
        </w:sectPr>
      </w:pPr>
    </w:p>
    <w:p w:rsidRPr="001E2A62" w:rsidR="00D50119" w:rsidP="00F76650" w:rsidRDefault="00D50119" w14:paraId="6E1B331C"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2484AC0A" w14:textId="77777777">
      <w:pPr>
        <w:tabs>
          <w:tab w:val="right" w:pos="9360"/>
        </w:tabs>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CA648C" w:rsidP="00CA648C" w:rsidRDefault="008C7413" w14:paraId="7726170E" w14:textId="292627B4">
          <w:pPr>
            <w:pStyle w:val="TOC1"/>
            <w:tabs>
              <w:tab w:val="right" w:leader="dot" w:pos="9350"/>
            </w:tabs>
            <w:ind w:left="0" w:firstLine="0"/>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"1-6" \h \z \u </w:instrText>
          </w:r>
          <w:r>
            <w:rPr>
              <w:rFonts w:asciiTheme="minorHAnsi" w:hAnsiTheme="minorHAnsi"/>
              <w:sz w:val="22"/>
            </w:rPr>
            <w:fldChar w:fldCharType="separate"/>
          </w:r>
          <w:hyperlink w:history="1" w:anchor="_Toc237414256">
            <w:r w:rsidRPr="003049EB" w:rsidR="00CA648C">
              <w:rPr>
                <w:rStyle w:val="Hyperlink"/>
                <w:noProof/>
              </w:rPr>
              <w:t>DECISION GRANTING INDIRECT TRANSFER OF CONTROL SUBJECT TO THE SETTLEMENT AGREEMENTS AND MITIGATION MEASURES</w:t>
            </w:r>
            <w:r w:rsidR="00CA648C">
              <w:rPr>
                <w:noProof/>
                <w:webHidden/>
              </w:rPr>
              <w:tab/>
            </w:r>
            <w:r w:rsidR="00CA648C">
              <w:rPr>
                <w:noProof/>
                <w:webHidden/>
              </w:rPr>
              <w:fldChar w:fldCharType="begin"/>
            </w:r>
            <w:r w:rsidR="00CA648C">
              <w:rPr>
                <w:noProof/>
                <w:webHidden/>
              </w:rPr>
              <w:instrText xml:space="preserve"> PAGEREF _Toc237414256 \h </w:instrText>
            </w:r>
            <w:r w:rsidR="00CA648C">
              <w:rPr>
                <w:noProof/>
                <w:webHidden/>
              </w:rPr>
            </w:r>
            <w:r w:rsidR="00CA648C">
              <w:rPr>
                <w:noProof/>
                <w:webHidden/>
              </w:rPr>
              <w:fldChar w:fldCharType="separate"/>
            </w:r>
            <w:r w:rsidR="0046425D">
              <w:rPr>
                <w:noProof/>
                <w:webHidden/>
              </w:rPr>
              <w:t>1</w:t>
            </w:r>
            <w:r w:rsidR="00CA648C">
              <w:rPr>
                <w:noProof/>
                <w:webHidden/>
              </w:rPr>
              <w:fldChar w:fldCharType="end"/>
            </w:r>
          </w:hyperlink>
        </w:p>
        <w:p w:rsidR="00CA648C" w:rsidP="00CA648C" w:rsidRDefault="00CA648C" w14:paraId="0B4F7DBA" w14:textId="3759C522">
          <w:pPr>
            <w:pStyle w:val="TOC1"/>
            <w:tabs>
              <w:tab w:val="right" w:leader="dot" w:pos="9350"/>
            </w:tabs>
            <w:ind w:left="0" w:firstLine="0"/>
            <w:rPr>
              <w:rFonts w:asciiTheme="minorHAnsi" w:hAnsiTheme="minorHAnsi" w:cstheme="minorBidi"/>
              <w:noProof/>
              <w:kern w:val="2"/>
              <w:sz w:val="24"/>
              <w:szCs w:val="24"/>
              <w14:ligatures w14:val="standardContextual"/>
            </w:rPr>
          </w:pPr>
          <w:hyperlink w:history="1" w:anchor="_Toc237414257">
            <w:r w:rsidRPr="003049EB">
              <w:rPr>
                <w:rStyle w:val="Hyperlink"/>
                <w:noProof/>
              </w:rPr>
              <w:t>DECISION GRANTING INDIRECT TRANSFER OF CONTROL SUBJECT TO THE SETTLEMENT AGREEMENTS AND MITIGATION MEASURES</w:t>
            </w:r>
            <w:r>
              <w:rPr>
                <w:noProof/>
                <w:webHidden/>
              </w:rPr>
              <w:tab/>
            </w:r>
            <w:r>
              <w:rPr>
                <w:noProof/>
                <w:webHidden/>
              </w:rPr>
              <w:fldChar w:fldCharType="begin"/>
            </w:r>
            <w:r>
              <w:rPr>
                <w:noProof/>
                <w:webHidden/>
              </w:rPr>
              <w:instrText xml:space="preserve"> PAGEREF _Toc237414257 \h </w:instrText>
            </w:r>
            <w:r>
              <w:rPr>
                <w:noProof/>
                <w:webHidden/>
              </w:rPr>
            </w:r>
            <w:r>
              <w:rPr>
                <w:noProof/>
                <w:webHidden/>
              </w:rPr>
              <w:fldChar w:fldCharType="separate"/>
            </w:r>
            <w:r w:rsidR="0046425D">
              <w:rPr>
                <w:noProof/>
                <w:webHidden/>
              </w:rPr>
              <w:t>2</w:t>
            </w:r>
            <w:r>
              <w:rPr>
                <w:noProof/>
                <w:webHidden/>
              </w:rPr>
              <w:fldChar w:fldCharType="end"/>
            </w:r>
          </w:hyperlink>
        </w:p>
        <w:p w:rsidR="00CA648C" w:rsidRDefault="00CA648C" w14:paraId="039702CB" w14:textId="16253184">
          <w:pPr>
            <w:pStyle w:val="TOC1"/>
            <w:tabs>
              <w:tab w:val="right" w:leader="dot" w:pos="9350"/>
            </w:tabs>
            <w:rPr>
              <w:rFonts w:asciiTheme="minorHAnsi" w:hAnsiTheme="minorHAnsi" w:cstheme="minorBidi"/>
              <w:noProof/>
              <w:kern w:val="2"/>
              <w:sz w:val="24"/>
              <w:szCs w:val="24"/>
              <w14:ligatures w14:val="standardContextual"/>
            </w:rPr>
          </w:pPr>
          <w:hyperlink w:history="1" w:anchor="_Toc237414258">
            <w:r w:rsidRPr="003049EB">
              <w:rPr>
                <w:rStyle w:val="Hyperlink"/>
                <w:noProof/>
              </w:rPr>
              <w:t>Summary</w:t>
            </w:r>
            <w:r>
              <w:rPr>
                <w:noProof/>
                <w:webHidden/>
              </w:rPr>
              <w:tab/>
            </w:r>
            <w:r>
              <w:rPr>
                <w:noProof/>
                <w:webHidden/>
              </w:rPr>
              <w:fldChar w:fldCharType="begin"/>
            </w:r>
            <w:r>
              <w:rPr>
                <w:noProof/>
                <w:webHidden/>
              </w:rPr>
              <w:instrText xml:space="preserve"> PAGEREF _Toc237414258 \h </w:instrText>
            </w:r>
            <w:r>
              <w:rPr>
                <w:noProof/>
                <w:webHidden/>
              </w:rPr>
            </w:r>
            <w:r>
              <w:rPr>
                <w:noProof/>
                <w:webHidden/>
              </w:rPr>
              <w:fldChar w:fldCharType="separate"/>
            </w:r>
            <w:r w:rsidR="0046425D">
              <w:rPr>
                <w:noProof/>
                <w:webHidden/>
              </w:rPr>
              <w:t>2</w:t>
            </w:r>
            <w:r>
              <w:rPr>
                <w:noProof/>
                <w:webHidden/>
              </w:rPr>
              <w:fldChar w:fldCharType="end"/>
            </w:r>
          </w:hyperlink>
        </w:p>
        <w:p w:rsidR="00CA648C" w:rsidRDefault="00CA648C" w14:paraId="5352DE64" w14:textId="7FDFF144">
          <w:pPr>
            <w:pStyle w:val="TOC1"/>
            <w:tabs>
              <w:tab w:val="right" w:leader="dot" w:pos="9350"/>
            </w:tabs>
            <w:rPr>
              <w:rFonts w:asciiTheme="minorHAnsi" w:hAnsiTheme="minorHAnsi" w:cstheme="minorBidi"/>
              <w:noProof/>
              <w:kern w:val="2"/>
              <w:sz w:val="24"/>
              <w:szCs w:val="24"/>
              <w14:ligatures w14:val="standardContextual"/>
            </w:rPr>
          </w:pPr>
          <w:hyperlink w:history="1" w:anchor="_Toc237414259">
            <w:r w:rsidRPr="003049EB">
              <w:rPr>
                <w:rStyle w:val="Hyperlink"/>
                <w:noProof/>
              </w:rPr>
              <w:t>1.</w:t>
            </w:r>
            <w:r>
              <w:rPr>
                <w:rFonts w:asciiTheme="minorHAnsi" w:hAnsiTheme="minorHAnsi" w:cstheme="minorBidi"/>
                <w:noProof/>
                <w:kern w:val="2"/>
                <w:sz w:val="24"/>
                <w:szCs w:val="24"/>
                <w14:ligatures w14:val="standardContextual"/>
              </w:rPr>
              <w:tab/>
            </w:r>
            <w:r w:rsidRPr="003049EB">
              <w:rPr>
                <w:rStyle w:val="Hyperlink"/>
                <w:noProof/>
              </w:rPr>
              <w:t>Transaction Background</w:t>
            </w:r>
            <w:r>
              <w:rPr>
                <w:noProof/>
                <w:webHidden/>
              </w:rPr>
              <w:tab/>
            </w:r>
            <w:r>
              <w:rPr>
                <w:noProof/>
                <w:webHidden/>
              </w:rPr>
              <w:fldChar w:fldCharType="begin"/>
            </w:r>
            <w:r>
              <w:rPr>
                <w:noProof/>
                <w:webHidden/>
              </w:rPr>
              <w:instrText xml:space="preserve"> PAGEREF _Toc237414259 \h </w:instrText>
            </w:r>
            <w:r>
              <w:rPr>
                <w:noProof/>
                <w:webHidden/>
              </w:rPr>
            </w:r>
            <w:r>
              <w:rPr>
                <w:noProof/>
                <w:webHidden/>
              </w:rPr>
              <w:fldChar w:fldCharType="separate"/>
            </w:r>
            <w:r w:rsidR="0046425D">
              <w:rPr>
                <w:noProof/>
                <w:webHidden/>
              </w:rPr>
              <w:t>2</w:t>
            </w:r>
            <w:r>
              <w:rPr>
                <w:noProof/>
                <w:webHidden/>
              </w:rPr>
              <w:fldChar w:fldCharType="end"/>
            </w:r>
          </w:hyperlink>
        </w:p>
        <w:p w:rsidR="00CA648C" w:rsidRDefault="00CA648C" w14:paraId="2D2A8875" w14:textId="05CAAB22">
          <w:pPr>
            <w:pStyle w:val="TOC1"/>
            <w:tabs>
              <w:tab w:val="right" w:leader="dot" w:pos="9350"/>
            </w:tabs>
            <w:rPr>
              <w:rFonts w:asciiTheme="minorHAnsi" w:hAnsiTheme="minorHAnsi" w:cstheme="minorBidi"/>
              <w:noProof/>
              <w:kern w:val="2"/>
              <w:sz w:val="24"/>
              <w:szCs w:val="24"/>
              <w14:ligatures w14:val="standardContextual"/>
            </w:rPr>
          </w:pPr>
          <w:hyperlink w:history="1" w:anchor="_Toc237414260">
            <w:r w:rsidRPr="003049EB">
              <w:rPr>
                <w:rStyle w:val="Hyperlink"/>
                <w:noProof/>
              </w:rPr>
              <w:t>2.</w:t>
            </w:r>
            <w:r>
              <w:rPr>
                <w:rFonts w:asciiTheme="minorHAnsi" w:hAnsiTheme="minorHAnsi" w:cstheme="minorBidi"/>
                <w:noProof/>
                <w:kern w:val="2"/>
                <w:sz w:val="24"/>
                <w:szCs w:val="24"/>
                <w14:ligatures w14:val="standardContextual"/>
              </w:rPr>
              <w:tab/>
            </w:r>
            <w:r w:rsidRPr="003049EB">
              <w:rPr>
                <w:rStyle w:val="Hyperlink"/>
                <w:noProof/>
              </w:rPr>
              <w:t>Procedural Background</w:t>
            </w:r>
            <w:r>
              <w:rPr>
                <w:noProof/>
                <w:webHidden/>
              </w:rPr>
              <w:tab/>
            </w:r>
            <w:r>
              <w:rPr>
                <w:noProof/>
                <w:webHidden/>
              </w:rPr>
              <w:fldChar w:fldCharType="begin"/>
            </w:r>
            <w:r>
              <w:rPr>
                <w:noProof/>
                <w:webHidden/>
              </w:rPr>
              <w:instrText xml:space="preserve"> PAGEREF _Toc237414260 \h </w:instrText>
            </w:r>
            <w:r>
              <w:rPr>
                <w:noProof/>
                <w:webHidden/>
              </w:rPr>
            </w:r>
            <w:r>
              <w:rPr>
                <w:noProof/>
                <w:webHidden/>
              </w:rPr>
              <w:fldChar w:fldCharType="separate"/>
            </w:r>
            <w:r w:rsidR="0046425D">
              <w:rPr>
                <w:noProof/>
                <w:webHidden/>
              </w:rPr>
              <w:t>4</w:t>
            </w:r>
            <w:r>
              <w:rPr>
                <w:noProof/>
                <w:webHidden/>
              </w:rPr>
              <w:fldChar w:fldCharType="end"/>
            </w:r>
          </w:hyperlink>
        </w:p>
        <w:p w:rsidR="00CA648C" w:rsidRDefault="00CA648C" w14:paraId="53C1BA15" w14:textId="24886F41">
          <w:pPr>
            <w:pStyle w:val="TOC1"/>
            <w:tabs>
              <w:tab w:val="right" w:leader="dot" w:pos="9350"/>
            </w:tabs>
            <w:rPr>
              <w:rFonts w:asciiTheme="minorHAnsi" w:hAnsiTheme="minorHAnsi" w:cstheme="minorBidi"/>
              <w:noProof/>
              <w:kern w:val="2"/>
              <w:sz w:val="24"/>
              <w:szCs w:val="24"/>
              <w14:ligatures w14:val="standardContextual"/>
            </w:rPr>
          </w:pPr>
          <w:hyperlink w:history="1" w:anchor="_Toc237414261">
            <w:r w:rsidRPr="003049EB">
              <w:rPr>
                <w:rStyle w:val="Hyperlink"/>
                <w:noProof/>
              </w:rPr>
              <w:t>3.</w:t>
            </w:r>
            <w:r>
              <w:rPr>
                <w:rFonts w:asciiTheme="minorHAnsi" w:hAnsiTheme="minorHAnsi" w:cstheme="minorBidi"/>
                <w:noProof/>
                <w:kern w:val="2"/>
                <w:sz w:val="24"/>
                <w:szCs w:val="24"/>
                <w14:ligatures w14:val="standardContextual"/>
              </w:rPr>
              <w:tab/>
            </w:r>
            <w:r w:rsidRPr="003049EB">
              <w:rPr>
                <w:rStyle w:val="Hyperlink"/>
                <w:noProof/>
              </w:rPr>
              <w:t>Submission Date</w:t>
            </w:r>
            <w:r>
              <w:rPr>
                <w:noProof/>
                <w:webHidden/>
              </w:rPr>
              <w:tab/>
            </w:r>
            <w:r>
              <w:rPr>
                <w:noProof/>
                <w:webHidden/>
              </w:rPr>
              <w:fldChar w:fldCharType="begin"/>
            </w:r>
            <w:r>
              <w:rPr>
                <w:noProof/>
                <w:webHidden/>
              </w:rPr>
              <w:instrText xml:space="preserve"> PAGEREF _Toc237414261 \h </w:instrText>
            </w:r>
            <w:r>
              <w:rPr>
                <w:noProof/>
                <w:webHidden/>
              </w:rPr>
            </w:r>
            <w:r>
              <w:rPr>
                <w:noProof/>
                <w:webHidden/>
              </w:rPr>
              <w:fldChar w:fldCharType="separate"/>
            </w:r>
            <w:r w:rsidR="0046425D">
              <w:rPr>
                <w:noProof/>
                <w:webHidden/>
              </w:rPr>
              <w:t>9</w:t>
            </w:r>
            <w:r>
              <w:rPr>
                <w:noProof/>
                <w:webHidden/>
              </w:rPr>
              <w:fldChar w:fldCharType="end"/>
            </w:r>
          </w:hyperlink>
        </w:p>
        <w:p w:rsidR="00CA648C" w:rsidRDefault="00CA648C" w14:paraId="4A0C9FB4" w14:textId="03CAAAF3">
          <w:pPr>
            <w:pStyle w:val="TOC1"/>
            <w:tabs>
              <w:tab w:val="right" w:leader="dot" w:pos="9350"/>
            </w:tabs>
            <w:rPr>
              <w:rFonts w:asciiTheme="minorHAnsi" w:hAnsiTheme="minorHAnsi" w:cstheme="minorBidi"/>
              <w:noProof/>
              <w:kern w:val="2"/>
              <w:sz w:val="24"/>
              <w:szCs w:val="24"/>
              <w14:ligatures w14:val="standardContextual"/>
            </w:rPr>
          </w:pPr>
          <w:hyperlink w:history="1" w:anchor="_Toc237414262">
            <w:r w:rsidRPr="003049EB">
              <w:rPr>
                <w:rStyle w:val="Hyperlink"/>
                <w:noProof/>
              </w:rPr>
              <w:t>4.</w:t>
            </w:r>
            <w:r>
              <w:rPr>
                <w:rFonts w:asciiTheme="minorHAnsi" w:hAnsiTheme="minorHAnsi" w:cstheme="minorBidi"/>
                <w:noProof/>
                <w:kern w:val="2"/>
                <w:sz w:val="24"/>
                <w:szCs w:val="24"/>
                <w14:ligatures w14:val="standardContextual"/>
              </w:rPr>
              <w:tab/>
            </w:r>
            <w:r w:rsidRPr="003049EB">
              <w:rPr>
                <w:rStyle w:val="Hyperlink"/>
                <w:noProof/>
              </w:rPr>
              <w:t>Jurisdiction</w:t>
            </w:r>
            <w:r>
              <w:rPr>
                <w:noProof/>
                <w:webHidden/>
              </w:rPr>
              <w:tab/>
            </w:r>
            <w:r>
              <w:rPr>
                <w:noProof/>
                <w:webHidden/>
              </w:rPr>
              <w:fldChar w:fldCharType="begin"/>
            </w:r>
            <w:r>
              <w:rPr>
                <w:noProof/>
                <w:webHidden/>
              </w:rPr>
              <w:instrText xml:space="preserve"> PAGEREF _Toc237414262 \h </w:instrText>
            </w:r>
            <w:r>
              <w:rPr>
                <w:noProof/>
                <w:webHidden/>
              </w:rPr>
            </w:r>
            <w:r>
              <w:rPr>
                <w:noProof/>
                <w:webHidden/>
              </w:rPr>
              <w:fldChar w:fldCharType="separate"/>
            </w:r>
            <w:r w:rsidR="0046425D">
              <w:rPr>
                <w:noProof/>
                <w:webHidden/>
              </w:rPr>
              <w:t>10</w:t>
            </w:r>
            <w:r>
              <w:rPr>
                <w:noProof/>
                <w:webHidden/>
              </w:rPr>
              <w:fldChar w:fldCharType="end"/>
            </w:r>
          </w:hyperlink>
        </w:p>
        <w:p w:rsidR="00CA648C" w:rsidRDefault="00CA648C" w14:paraId="6157A1B1" w14:textId="0101E7FF">
          <w:pPr>
            <w:pStyle w:val="TOC1"/>
            <w:tabs>
              <w:tab w:val="right" w:leader="dot" w:pos="9350"/>
            </w:tabs>
            <w:rPr>
              <w:rFonts w:asciiTheme="minorHAnsi" w:hAnsiTheme="minorHAnsi" w:cstheme="minorBidi"/>
              <w:noProof/>
              <w:kern w:val="2"/>
              <w:sz w:val="24"/>
              <w:szCs w:val="24"/>
              <w14:ligatures w14:val="standardContextual"/>
            </w:rPr>
          </w:pPr>
          <w:hyperlink w:history="1" w:anchor="_Toc237414263">
            <w:r w:rsidRPr="003049EB">
              <w:rPr>
                <w:rStyle w:val="Hyperlink"/>
                <w:noProof/>
              </w:rPr>
              <w:t>5.</w:t>
            </w:r>
            <w:r>
              <w:rPr>
                <w:rFonts w:asciiTheme="minorHAnsi" w:hAnsiTheme="minorHAnsi" w:cstheme="minorBidi"/>
                <w:noProof/>
                <w:kern w:val="2"/>
                <w:sz w:val="24"/>
                <w:szCs w:val="24"/>
                <w14:ligatures w14:val="standardContextual"/>
              </w:rPr>
              <w:tab/>
            </w:r>
            <w:r w:rsidRPr="003049EB">
              <w:rPr>
                <w:rStyle w:val="Hyperlink"/>
                <w:noProof/>
              </w:rPr>
              <w:t>Issues Before the Commission</w:t>
            </w:r>
            <w:r>
              <w:rPr>
                <w:noProof/>
                <w:webHidden/>
              </w:rPr>
              <w:tab/>
            </w:r>
            <w:r>
              <w:rPr>
                <w:noProof/>
                <w:webHidden/>
              </w:rPr>
              <w:fldChar w:fldCharType="begin"/>
            </w:r>
            <w:r>
              <w:rPr>
                <w:noProof/>
                <w:webHidden/>
              </w:rPr>
              <w:instrText xml:space="preserve"> PAGEREF _Toc237414263 \h </w:instrText>
            </w:r>
            <w:r>
              <w:rPr>
                <w:noProof/>
                <w:webHidden/>
              </w:rPr>
            </w:r>
            <w:r>
              <w:rPr>
                <w:noProof/>
                <w:webHidden/>
              </w:rPr>
              <w:fldChar w:fldCharType="separate"/>
            </w:r>
            <w:r w:rsidR="0046425D">
              <w:rPr>
                <w:noProof/>
                <w:webHidden/>
              </w:rPr>
              <w:t>10</w:t>
            </w:r>
            <w:r>
              <w:rPr>
                <w:noProof/>
                <w:webHidden/>
              </w:rPr>
              <w:fldChar w:fldCharType="end"/>
            </w:r>
          </w:hyperlink>
        </w:p>
        <w:p w:rsidR="00CA648C" w:rsidRDefault="00CA648C" w14:paraId="79E2F351" w14:textId="3C76B686">
          <w:pPr>
            <w:pStyle w:val="TOC1"/>
            <w:tabs>
              <w:tab w:val="right" w:leader="dot" w:pos="9350"/>
            </w:tabs>
            <w:rPr>
              <w:rFonts w:asciiTheme="minorHAnsi" w:hAnsiTheme="minorHAnsi" w:cstheme="minorBidi"/>
              <w:noProof/>
              <w:kern w:val="2"/>
              <w:sz w:val="24"/>
              <w:szCs w:val="24"/>
              <w14:ligatures w14:val="standardContextual"/>
            </w:rPr>
          </w:pPr>
          <w:hyperlink w:history="1" w:anchor="_Toc237414264">
            <w:r w:rsidRPr="003049EB">
              <w:rPr>
                <w:rStyle w:val="Hyperlink"/>
                <w:noProof/>
              </w:rPr>
              <w:t>6.</w:t>
            </w:r>
            <w:r>
              <w:rPr>
                <w:rFonts w:asciiTheme="minorHAnsi" w:hAnsiTheme="minorHAnsi" w:cstheme="minorBidi"/>
                <w:noProof/>
                <w:kern w:val="2"/>
                <w:sz w:val="24"/>
                <w:szCs w:val="24"/>
                <w14:ligatures w14:val="standardContextual"/>
              </w:rPr>
              <w:tab/>
            </w:r>
            <w:r w:rsidRPr="003049EB">
              <w:rPr>
                <w:rStyle w:val="Hyperlink"/>
                <w:noProof/>
              </w:rPr>
              <w:t>Public Participation Hearings and Comment</w:t>
            </w:r>
            <w:r>
              <w:rPr>
                <w:noProof/>
                <w:webHidden/>
              </w:rPr>
              <w:tab/>
            </w:r>
            <w:r>
              <w:rPr>
                <w:noProof/>
                <w:webHidden/>
              </w:rPr>
              <w:fldChar w:fldCharType="begin"/>
            </w:r>
            <w:r>
              <w:rPr>
                <w:noProof/>
                <w:webHidden/>
              </w:rPr>
              <w:instrText xml:space="preserve"> PAGEREF _Toc237414264 \h </w:instrText>
            </w:r>
            <w:r>
              <w:rPr>
                <w:noProof/>
                <w:webHidden/>
              </w:rPr>
            </w:r>
            <w:r>
              <w:rPr>
                <w:noProof/>
                <w:webHidden/>
              </w:rPr>
              <w:fldChar w:fldCharType="separate"/>
            </w:r>
            <w:r w:rsidR="0046425D">
              <w:rPr>
                <w:noProof/>
                <w:webHidden/>
              </w:rPr>
              <w:t>10</w:t>
            </w:r>
            <w:r>
              <w:rPr>
                <w:noProof/>
                <w:webHidden/>
              </w:rPr>
              <w:fldChar w:fldCharType="end"/>
            </w:r>
          </w:hyperlink>
        </w:p>
        <w:p w:rsidR="00CA648C" w:rsidRDefault="00CA648C" w14:paraId="129D5979" w14:textId="0B62C6A0">
          <w:pPr>
            <w:pStyle w:val="TOC1"/>
            <w:tabs>
              <w:tab w:val="right" w:leader="dot" w:pos="9350"/>
            </w:tabs>
            <w:rPr>
              <w:rFonts w:asciiTheme="minorHAnsi" w:hAnsiTheme="minorHAnsi" w:cstheme="minorBidi"/>
              <w:noProof/>
              <w:kern w:val="2"/>
              <w:sz w:val="24"/>
              <w:szCs w:val="24"/>
              <w14:ligatures w14:val="standardContextual"/>
            </w:rPr>
          </w:pPr>
          <w:hyperlink w:history="1" w:anchor="_Toc237414265">
            <w:r w:rsidRPr="003049EB">
              <w:rPr>
                <w:rStyle w:val="Hyperlink"/>
                <w:noProof/>
              </w:rPr>
              <w:t>7.</w:t>
            </w:r>
            <w:r>
              <w:rPr>
                <w:rFonts w:asciiTheme="minorHAnsi" w:hAnsiTheme="minorHAnsi" w:cstheme="minorBidi"/>
                <w:noProof/>
                <w:kern w:val="2"/>
                <w:sz w:val="24"/>
                <w:szCs w:val="24"/>
                <w14:ligatures w14:val="standardContextual"/>
              </w:rPr>
              <w:tab/>
            </w:r>
            <w:r w:rsidRPr="003049EB">
              <w:rPr>
                <w:rStyle w:val="Hyperlink"/>
                <w:noProof/>
              </w:rPr>
              <w:t>Application of Section 854(a)-(c)</w:t>
            </w:r>
            <w:r>
              <w:rPr>
                <w:noProof/>
                <w:webHidden/>
              </w:rPr>
              <w:tab/>
            </w:r>
            <w:r>
              <w:rPr>
                <w:noProof/>
                <w:webHidden/>
              </w:rPr>
              <w:fldChar w:fldCharType="begin"/>
            </w:r>
            <w:r>
              <w:rPr>
                <w:noProof/>
                <w:webHidden/>
              </w:rPr>
              <w:instrText xml:space="preserve"> PAGEREF _Toc237414265 \h </w:instrText>
            </w:r>
            <w:r>
              <w:rPr>
                <w:noProof/>
                <w:webHidden/>
              </w:rPr>
            </w:r>
            <w:r>
              <w:rPr>
                <w:noProof/>
                <w:webHidden/>
              </w:rPr>
              <w:fldChar w:fldCharType="separate"/>
            </w:r>
            <w:r w:rsidR="0046425D">
              <w:rPr>
                <w:noProof/>
                <w:webHidden/>
              </w:rPr>
              <w:t>11</w:t>
            </w:r>
            <w:r>
              <w:rPr>
                <w:noProof/>
                <w:webHidden/>
              </w:rPr>
              <w:fldChar w:fldCharType="end"/>
            </w:r>
          </w:hyperlink>
        </w:p>
        <w:p w:rsidR="00CA648C" w:rsidRDefault="00CA648C" w14:paraId="397E31ED" w14:textId="62A361C6">
          <w:pPr>
            <w:pStyle w:val="TOC2"/>
            <w:tabs>
              <w:tab w:val="right" w:leader="dot" w:pos="9350"/>
            </w:tabs>
            <w:rPr>
              <w:rFonts w:asciiTheme="minorHAnsi" w:hAnsiTheme="minorHAnsi" w:cstheme="minorBidi"/>
              <w:noProof/>
              <w:kern w:val="2"/>
              <w:sz w:val="24"/>
              <w:szCs w:val="24"/>
              <w14:ligatures w14:val="standardContextual"/>
            </w:rPr>
          </w:pPr>
          <w:hyperlink w:history="1" w:anchor="_Toc237414266">
            <w:r w:rsidRPr="003049EB">
              <w:rPr>
                <w:rStyle w:val="Hyperlink"/>
                <w:noProof/>
              </w:rPr>
              <w:t>7.1.</w:t>
            </w:r>
            <w:r>
              <w:rPr>
                <w:rFonts w:asciiTheme="minorHAnsi" w:hAnsiTheme="minorHAnsi" w:cstheme="minorBidi"/>
                <w:noProof/>
                <w:kern w:val="2"/>
                <w:sz w:val="24"/>
                <w:szCs w:val="24"/>
                <w14:ligatures w14:val="standardContextual"/>
              </w:rPr>
              <w:tab/>
            </w:r>
            <w:r w:rsidRPr="003049EB">
              <w:rPr>
                <w:rStyle w:val="Hyperlink"/>
                <w:noProof/>
              </w:rPr>
              <w:t>Background</w:t>
            </w:r>
            <w:r>
              <w:rPr>
                <w:noProof/>
                <w:webHidden/>
              </w:rPr>
              <w:tab/>
            </w:r>
            <w:r>
              <w:rPr>
                <w:noProof/>
                <w:webHidden/>
              </w:rPr>
              <w:fldChar w:fldCharType="begin"/>
            </w:r>
            <w:r>
              <w:rPr>
                <w:noProof/>
                <w:webHidden/>
              </w:rPr>
              <w:instrText xml:space="preserve"> PAGEREF _Toc237414266 \h </w:instrText>
            </w:r>
            <w:r>
              <w:rPr>
                <w:noProof/>
                <w:webHidden/>
              </w:rPr>
            </w:r>
            <w:r>
              <w:rPr>
                <w:noProof/>
                <w:webHidden/>
              </w:rPr>
              <w:fldChar w:fldCharType="separate"/>
            </w:r>
            <w:r w:rsidR="0046425D">
              <w:rPr>
                <w:noProof/>
                <w:webHidden/>
              </w:rPr>
              <w:t>11</w:t>
            </w:r>
            <w:r>
              <w:rPr>
                <w:noProof/>
                <w:webHidden/>
              </w:rPr>
              <w:fldChar w:fldCharType="end"/>
            </w:r>
          </w:hyperlink>
        </w:p>
        <w:p w:rsidR="00CA648C" w:rsidRDefault="00CA648C" w14:paraId="394E2910" w14:textId="3BC54A7F">
          <w:pPr>
            <w:pStyle w:val="TOC2"/>
            <w:tabs>
              <w:tab w:val="right" w:leader="dot" w:pos="9350"/>
            </w:tabs>
            <w:rPr>
              <w:rFonts w:asciiTheme="minorHAnsi" w:hAnsiTheme="minorHAnsi" w:cstheme="minorBidi"/>
              <w:noProof/>
              <w:kern w:val="2"/>
              <w:sz w:val="24"/>
              <w:szCs w:val="24"/>
              <w14:ligatures w14:val="standardContextual"/>
            </w:rPr>
          </w:pPr>
          <w:hyperlink w:history="1" w:anchor="_Toc237414267">
            <w:r w:rsidRPr="003049EB">
              <w:rPr>
                <w:rStyle w:val="Hyperlink"/>
                <w:noProof/>
              </w:rPr>
              <w:t>7.2.</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_Toc237414267 \h </w:instrText>
            </w:r>
            <w:r>
              <w:rPr>
                <w:noProof/>
                <w:webHidden/>
              </w:rPr>
            </w:r>
            <w:r>
              <w:rPr>
                <w:noProof/>
                <w:webHidden/>
              </w:rPr>
              <w:fldChar w:fldCharType="separate"/>
            </w:r>
            <w:r w:rsidR="0046425D">
              <w:rPr>
                <w:noProof/>
                <w:webHidden/>
              </w:rPr>
              <w:t>13</w:t>
            </w:r>
            <w:r>
              <w:rPr>
                <w:noProof/>
                <w:webHidden/>
              </w:rPr>
              <w:fldChar w:fldCharType="end"/>
            </w:r>
          </w:hyperlink>
        </w:p>
        <w:p w:rsidR="00CA648C" w:rsidRDefault="00CA648C" w14:paraId="068A2E19" w14:textId="0228BD7F">
          <w:pPr>
            <w:pStyle w:val="TOC2"/>
            <w:tabs>
              <w:tab w:val="right" w:leader="dot" w:pos="9350"/>
            </w:tabs>
            <w:rPr>
              <w:rFonts w:asciiTheme="minorHAnsi" w:hAnsiTheme="minorHAnsi" w:cstheme="minorBidi"/>
              <w:noProof/>
              <w:kern w:val="2"/>
              <w:sz w:val="24"/>
              <w:szCs w:val="24"/>
              <w14:ligatures w14:val="standardContextual"/>
            </w:rPr>
          </w:pPr>
          <w:hyperlink w:history="1" w:anchor="_Toc237414268">
            <w:r w:rsidRPr="003049EB">
              <w:rPr>
                <w:rStyle w:val="Hyperlink"/>
                <w:noProof/>
              </w:rPr>
              <w:t>7.3.</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_Toc237414268 \h </w:instrText>
            </w:r>
            <w:r>
              <w:rPr>
                <w:noProof/>
                <w:webHidden/>
              </w:rPr>
            </w:r>
            <w:r>
              <w:rPr>
                <w:noProof/>
                <w:webHidden/>
              </w:rPr>
              <w:fldChar w:fldCharType="separate"/>
            </w:r>
            <w:r w:rsidR="0046425D">
              <w:rPr>
                <w:noProof/>
                <w:webHidden/>
              </w:rPr>
              <w:t>14</w:t>
            </w:r>
            <w:r>
              <w:rPr>
                <w:noProof/>
                <w:webHidden/>
              </w:rPr>
              <w:fldChar w:fldCharType="end"/>
            </w:r>
          </w:hyperlink>
        </w:p>
        <w:p w:rsidR="00CA648C" w:rsidRDefault="00CA648C" w14:paraId="7E171C0B" w14:textId="00973B94">
          <w:pPr>
            <w:pStyle w:val="TOC2"/>
            <w:tabs>
              <w:tab w:val="right" w:leader="dot" w:pos="9350"/>
            </w:tabs>
            <w:rPr>
              <w:rFonts w:asciiTheme="minorHAnsi" w:hAnsiTheme="minorHAnsi" w:cstheme="minorBidi"/>
              <w:noProof/>
              <w:kern w:val="2"/>
              <w:sz w:val="24"/>
              <w:szCs w:val="24"/>
              <w14:ligatures w14:val="standardContextual"/>
            </w:rPr>
          </w:pPr>
          <w:hyperlink w:history="1" w:anchor="_Toc237414269">
            <w:r w:rsidRPr="003049EB">
              <w:rPr>
                <w:rStyle w:val="Hyperlink"/>
                <w:noProof/>
              </w:rPr>
              <w:t>7.4.</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_Toc237414269 \h </w:instrText>
            </w:r>
            <w:r>
              <w:rPr>
                <w:noProof/>
                <w:webHidden/>
              </w:rPr>
            </w:r>
            <w:r>
              <w:rPr>
                <w:noProof/>
                <w:webHidden/>
              </w:rPr>
              <w:fldChar w:fldCharType="separate"/>
            </w:r>
            <w:r w:rsidR="0046425D">
              <w:rPr>
                <w:noProof/>
                <w:webHidden/>
              </w:rPr>
              <w:t>15</w:t>
            </w:r>
            <w:r>
              <w:rPr>
                <w:noProof/>
                <w:webHidden/>
              </w:rPr>
              <w:fldChar w:fldCharType="end"/>
            </w:r>
          </w:hyperlink>
        </w:p>
        <w:p w:rsidR="00CA648C" w:rsidRDefault="00CA648C" w14:paraId="579BBD38" w14:textId="176A7CD8">
          <w:pPr>
            <w:pStyle w:val="TOC2"/>
            <w:tabs>
              <w:tab w:val="right" w:leader="dot" w:pos="9350"/>
            </w:tabs>
            <w:rPr>
              <w:rFonts w:asciiTheme="minorHAnsi" w:hAnsiTheme="minorHAnsi" w:cstheme="minorBidi"/>
              <w:noProof/>
              <w:kern w:val="2"/>
              <w:sz w:val="24"/>
              <w:szCs w:val="24"/>
              <w14:ligatures w14:val="standardContextual"/>
            </w:rPr>
          </w:pPr>
          <w:hyperlink w:history="1" w:anchor="_Toc237414270">
            <w:r w:rsidRPr="003049EB">
              <w:rPr>
                <w:rStyle w:val="Hyperlink"/>
                <w:noProof/>
              </w:rPr>
              <w:t>7.5.</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_Toc237414270 \h </w:instrText>
            </w:r>
            <w:r>
              <w:rPr>
                <w:noProof/>
                <w:webHidden/>
              </w:rPr>
            </w:r>
            <w:r>
              <w:rPr>
                <w:noProof/>
                <w:webHidden/>
              </w:rPr>
              <w:fldChar w:fldCharType="separate"/>
            </w:r>
            <w:r w:rsidR="0046425D">
              <w:rPr>
                <w:noProof/>
                <w:webHidden/>
              </w:rPr>
              <w:t>15</w:t>
            </w:r>
            <w:r>
              <w:rPr>
                <w:noProof/>
                <w:webHidden/>
              </w:rPr>
              <w:fldChar w:fldCharType="end"/>
            </w:r>
          </w:hyperlink>
        </w:p>
        <w:p w:rsidR="00CA648C" w:rsidRDefault="00CA648C" w14:paraId="0CB6E47D" w14:textId="63CDFCDD">
          <w:pPr>
            <w:pStyle w:val="TOC2"/>
            <w:tabs>
              <w:tab w:val="right" w:leader="dot" w:pos="9350"/>
            </w:tabs>
            <w:rPr>
              <w:rFonts w:asciiTheme="minorHAnsi" w:hAnsiTheme="minorHAnsi" w:cstheme="minorBidi"/>
              <w:noProof/>
              <w:kern w:val="2"/>
              <w:sz w:val="24"/>
              <w:szCs w:val="24"/>
              <w14:ligatures w14:val="standardContextual"/>
            </w:rPr>
          </w:pPr>
          <w:hyperlink w:history="1" w:anchor="_Toc237414271">
            <w:r w:rsidRPr="003049EB">
              <w:rPr>
                <w:rStyle w:val="Hyperlink"/>
                <w:noProof/>
              </w:rPr>
              <w:t>7.6.</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_Toc237414271 \h </w:instrText>
            </w:r>
            <w:r>
              <w:rPr>
                <w:noProof/>
                <w:webHidden/>
              </w:rPr>
            </w:r>
            <w:r>
              <w:rPr>
                <w:noProof/>
                <w:webHidden/>
              </w:rPr>
              <w:fldChar w:fldCharType="separate"/>
            </w:r>
            <w:r w:rsidR="0046425D">
              <w:rPr>
                <w:noProof/>
                <w:webHidden/>
              </w:rPr>
              <w:t>15</w:t>
            </w:r>
            <w:r>
              <w:rPr>
                <w:noProof/>
                <w:webHidden/>
              </w:rPr>
              <w:fldChar w:fldCharType="end"/>
            </w:r>
          </w:hyperlink>
        </w:p>
        <w:p w:rsidR="00CA648C" w:rsidRDefault="00CA648C" w14:paraId="5F684C66" w14:textId="7A09D418">
          <w:pPr>
            <w:pStyle w:val="TOC2"/>
            <w:tabs>
              <w:tab w:val="right" w:leader="dot" w:pos="9350"/>
            </w:tabs>
            <w:rPr>
              <w:rFonts w:asciiTheme="minorHAnsi" w:hAnsiTheme="minorHAnsi" w:cstheme="minorBidi"/>
              <w:noProof/>
              <w:kern w:val="2"/>
              <w:sz w:val="24"/>
              <w:szCs w:val="24"/>
              <w14:ligatures w14:val="standardContextual"/>
            </w:rPr>
          </w:pPr>
          <w:hyperlink w:history="1" w:anchor="_Toc237414272">
            <w:r w:rsidRPr="003049EB">
              <w:rPr>
                <w:rStyle w:val="Hyperlink"/>
                <w:noProof/>
              </w:rPr>
              <w:t>7.7.</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_Toc237414272 \h </w:instrText>
            </w:r>
            <w:r>
              <w:rPr>
                <w:noProof/>
                <w:webHidden/>
              </w:rPr>
            </w:r>
            <w:r>
              <w:rPr>
                <w:noProof/>
                <w:webHidden/>
              </w:rPr>
              <w:fldChar w:fldCharType="separate"/>
            </w:r>
            <w:r w:rsidR="0046425D">
              <w:rPr>
                <w:noProof/>
                <w:webHidden/>
              </w:rPr>
              <w:t>16</w:t>
            </w:r>
            <w:r>
              <w:rPr>
                <w:noProof/>
                <w:webHidden/>
              </w:rPr>
              <w:fldChar w:fldCharType="end"/>
            </w:r>
          </w:hyperlink>
        </w:p>
        <w:p w:rsidR="00CA648C" w:rsidRDefault="00CA648C" w14:paraId="3F47DFB6" w14:textId="2518C9E6">
          <w:pPr>
            <w:pStyle w:val="TOC1"/>
            <w:tabs>
              <w:tab w:val="right" w:leader="dot" w:pos="9350"/>
            </w:tabs>
            <w:rPr>
              <w:rFonts w:asciiTheme="minorHAnsi" w:hAnsiTheme="minorHAnsi" w:cstheme="minorBidi"/>
              <w:noProof/>
              <w:kern w:val="2"/>
              <w:sz w:val="24"/>
              <w:szCs w:val="24"/>
              <w14:ligatures w14:val="standardContextual"/>
            </w:rPr>
          </w:pPr>
          <w:hyperlink w:history="1" w:anchor="_Toc237414273">
            <w:r w:rsidRPr="003049EB">
              <w:rPr>
                <w:rStyle w:val="Hyperlink"/>
                <w:noProof/>
              </w:rPr>
              <w:t>8.</w:t>
            </w:r>
            <w:r>
              <w:rPr>
                <w:rFonts w:asciiTheme="minorHAnsi" w:hAnsiTheme="minorHAnsi" w:cstheme="minorBidi"/>
                <w:noProof/>
                <w:kern w:val="2"/>
                <w:sz w:val="24"/>
                <w:szCs w:val="24"/>
                <w14:ligatures w14:val="standardContextual"/>
              </w:rPr>
              <w:tab/>
            </w:r>
            <w:r w:rsidRPr="003049EB">
              <w:rPr>
                <w:rStyle w:val="Hyperlink"/>
                <w:noProof/>
              </w:rPr>
              <w:t>Section 854(a) Requirements</w:t>
            </w:r>
            <w:r>
              <w:rPr>
                <w:noProof/>
                <w:webHidden/>
              </w:rPr>
              <w:tab/>
            </w:r>
            <w:r>
              <w:rPr>
                <w:noProof/>
                <w:webHidden/>
              </w:rPr>
              <w:fldChar w:fldCharType="begin"/>
            </w:r>
            <w:r>
              <w:rPr>
                <w:noProof/>
                <w:webHidden/>
              </w:rPr>
              <w:instrText xml:space="preserve"> PAGEREF _Toc237414273 \h </w:instrText>
            </w:r>
            <w:r>
              <w:rPr>
                <w:noProof/>
                <w:webHidden/>
              </w:rPr>
            </w:r>
            <w:r>
              <w:rPr>
                <w:noProof/>
                <w:webHidden/>
              </w:rPr>
              <w:fldChar w:fldCharType="separate"/>
            </w:r>
            <w:r w:rsidR="0046425D">
              <w:rPr>
                <w:noProof/>
                <w:webHidden/>
              </w:rPr>
              <w:t>17</w:t>
            </w:r>
            <w:r>
              <w:rPr>
                <w:noProof/>
                <w:webHidden/>
              </w:rPr>
              <w:fldChar w:fldCharType="end"/>
            </w:r>
          </w:hyperlink>
        </w:p>
        <w:p w:rsidR="00CA648C" w:rsidRDefault="00CA648C" w14:paraId="435E3038" w14:textId="4593AFE3">
          <w:pPr>
            <w:pStyle w:val="TOC2"/>
            <w:tabs>
              <w:tab w:val="right" w:leader="dot" w:pos="9350"/>
            </w:tabs>
            <w:rPr>
              <w:rFonts w:asciiTheme="minorHAnsi" w:hAnsiTheme="minorHAnsi" w:cstheme="minorBidi"/>
              <w:noProof/>
              <w:kern w:val="2"/>
              <w:sz w:val="24"/>
              <w:szCs w:val="24"/>
              <w14:ligatures w14:val="standardContextual"/>
            </w:rPr>
          </w:pPr>
          <w:hyperlink w:history="1" w:anchor="_Toc237414274">
            <w:r w:rsidRPr="003049EB">
              <w:rPr>
                <w:rStyle w:val="Hyperlink"/>
                <w:noProof/>
              </w:rPr>
              <w:t>8.1.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_Toc237414274 \h </w:instrText>
            </w:r>
            <w:r>
              <w:rPr>
                <w:noProof/>
                <w:webHidden/>
              </w:rPr>
            </w:r>
            <w:r>
              <w:rPr>
                <w:noProof/>
                <w:webHidden/>
              </w:rPr>
              <w:fldChar w:fldCharType="separate"/>
            </w:r>
            <w:r w:rsidR="0046425D">
              <w:rPr>
                <w:noProof/>
                <w:webHidden/>
              </w:rPr>
              <w:t>17</w:t>
            </w:r>
            <w:r>
              <w:rPr>
                <w:noProof/>
                <w:webHidden/>
              </w:rPr>
              <w:fldChar w:fldCharType="end"/>
            </w:r>
          </w:hyperlink>
        </w:p>
        <w:p w:rsidR="00CA648C" w:rsidRDefault="00CA648C" w14:paraId="0F6CABCA" w14:textId="12D78C3A">
          <w:pPr>
            <w:pStyle w:val="TOC2"/>
            <w:tabs>
              <w:tab w:val="right" w:leader="dot" w:pos="9350"/>
            </w:tabs>
            <w:rPr>
              <w:rFonts w:asciiTheme="minorHAnsi" w:hAnsiTheme="minorHAnsi" w:cstheme="minorBidi"/>
              <w:noProof/>
              <w:kern w:val="2"/>
              <w:sz w:val="24"/>
              <w:szCs w:val="24"/>
              <w14:ligatures w14:val="standardContextual"/>
            </w:rPr>
          </w:pPr>
          <w:hyperlink w:history="1" w:anchor="_Toc237414275">
            <w:r w:rsidRPr="003049EB">
              <w:rPr>
                <w:rStyle w:val="Hyperlink"/>
                <w:noProof/>
              </w:rPr>
              <w:t>8.2.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_Toc237414275 \h </w:instrText>
            </w:r>
            <w:r>
              <w:rPr>
                <w:noProof/>
                <w:webHidden/>
              </w:rPr>
            </w:r>
            <w:r>
              <w:rPr>
                <w:noProof/>
                <w:webHidden/>
              </w:rPr>
              <w:fldChar w:fldCharType="separate"/>
            </w:r>
            <w:r w:rsidR="0046425D">
              <w:rPr>
                <w:noProof/>
                <w:webHidden/>
              </w:rPr>
              <w:t>18</w:t>
            </w:r>
            <w:r>
              <w:rPr>
                <w:noProof/>
                <w:webHidden/>
              </w:rPr>
              <w:fldChar w:fldCharType="end"/>
            </w:r>
          </w:hyperlink>
        </w:p>
        <w:p w:rsidR="00CA648C" w:rsidRDefault="00CA648C" w14:paraId="570716E2" w14:textId="3A5456DA">
          <w:pPr>
            <w:pStyle w:val="TOC2"/>
            <w:tabs>
              <w:tab w:val="right" w:leader="dot" w:pos="9350"/>
            </w:tabs>
            <w:rPr>
              <w:rFonts w:asciiTheme="minorHAnsi" w:hAnsiTheme="minorHAnsi" w:cstheme="minorBidi"/>
              <w:noProof/>
              <w:kern w:val="2"/>
              <w:sz w:val="24"/>
              <w:szCs w:val="24"/>
              <w14:ligatures w14:val="standardContextual"/>
            </w:rPr>
          </w:pPr>
          <w:hyperlink w:history="1" w:anchor="_Toc237414276">
            <w:r w:rsidRPr="003049EB">
              <w:rPr>
                <w:rStyle w:val="Hyperlink"/>
                <w:noProof/>
              </w:rPr>
              <w:t>8.3.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_Toc237414276 \h </w:instrText>
            </w:r>
            <w:r>
              <w:rPr>
                <w:noProof/>
                <w:webHidden/>
              </w:rPr>
            </w:r>
            <w:r>
              <w:rPr>
                <w:noProof/>
                <w:webHidden/>
              </w:rPr>
              <w:fldChar w:fldCharType="separate"/>
            </w:r>
            <w:r w:rsidR="0046425D">
              <w:rPr>
                <w:noProof/>
                <w:webHidden/>
              </w:rPr>
              <w:t>18</w:t>
            </w:r>
            <w:r>
              <w:rPr>
                <w:noProof/>
                <w:webHidden/>
              </w:rPr>
              <w:fldChar w:fldCharType="end"/>
            </w:r>
          </w:hyperlink>
        </w:p>
        <w:p w:rsidR="00CA648C" w:rsidRDefault="00CA648C" w14:paraId="4605C646" w14:textId="6C59553F">
          <w:pPr>
            <w:pStyle w:val="TOC2"/>
            <w:tabs>
              <w:tab w:val="right" w:leader="dot" w:pos="9350"/>
            </w:tabs>
            <w:rPr>
              <w:rFonts w:asciiTheme="minorHAnsi" w:hAnsiTheme="minorHAnsi" w:cstheme="minorBidi"/>
              <w:noProof/>
              <w:kern w:val="2"/>
              <w:sz w:val="24"/>
              <w:szCs w:val="24"/>
              <w14:ligatures w14:val="standardContextual"/>
            </w:rPr>
          </w:pPr>
          <w:hyperlink w:history="1" w:anchor="_Toc237414277">
            <w:r w:rsidRPr="003049EB">
              <w:rPr>
                <w:rStyle w:val="Hyperlink"/>
                <w:noProof/>
              </w:rPr>
              <w:t>8.4.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_Toc237414277 \h </w:instrText>
            </w:r>
            <w:r>
              <w:rPr>
                <w:noProof/>
                <w:webHidden/>
              </w:rPr>
            </w:r>
            <w:r>
              <w:rPr>
                <w:noProof/>
                <w:webHidden/>
              </w:rPr>
              <w:fldChar w:fldCharType="separate"/>
            </w:r>
            <w:r w:rsidR="0046425D">
              <w:rPr>
                <w:noProof/>
                <w:webHidden/>
              </w:rPr>
              <w:t>18</w:t>
            </w:r>
            <w:r>
              <w:rPr>
                <w:noProof/>
                <w:webHidden/>
              </w:rPr>
              <w:fldChar w:fldCharType="end"/>
            </w:r>
          </w:hyperlink>
        </w:p>
        <w:p w:rsidR="00CA648C" w:rsidRDefault="00CA648C" w14:paraId="66945407" w14:textId="68110085">
          <w:pPr>
            <w:pStyle w:val="TOC2"/>
            <w:tabs>
              <w:tab w:val="right" w:leader="dot" w:pos="9350"/>
            </w:tabs>
            <w:rPr>
              <w:rFonts w:asciiTheme="minorHAnsi" w:hAnsiTheme="minorHAnsi" w:cstheme="minorBidi"/>
              <w:noProof/>
              <w:kern w:val="2"/>
              <w:sz w:val="24"/>
              <w:szCs w:val="24"/>
              <w14:ligatures w14:val="standardContextual"/>
            </w:rPr>
          </w:pPr>
          <w:hyperlink w:history="1" w:anchor="_Toc237414278">
            <w:r w:rsidRPr="003049EB">
              <w:rPr>
                <w:rStyle w:val="Hyperlink"/>
                <w:noProof/>
              </w:rPr>
              <w:t>8.5.</w:t>
            </w:r>
            <w:r>
              <w:rPr>
                <w:rFonts w:asciiTheme="minorHAnsi" w:hAnsiTheme="minorHAnsi" w:cstheme="minorBidi"/>
                <w:noProof/>
                <w:kern w:val="2"/>
                <w:sz w:val="24"/>
                <w:szCs w:val="24"/>
                <w14:ligatures w14:val="standardContextual"/>
              </w:rPr>
              <w:tab/>
            </w:r>
            <w:r w:rsidRPr="003049EB">
              <w:rPr>
                <w:rStyle w:val="Hyperlink"/>
                <w:noProof/>
              </w:rPr>
              <w:t>Joint Advocates (CforAT, CADE, DELA, EBBC, FCDI)</w:t>
            </w:r>
            <w:r>
              <w:rPr>
                <w:noProof/>
                <w:webHidden/>
              </w:rPr>
              <w:tab/>
            </w:r>
            <w:r>
              <w:rPr>
                <w:noProof/>
                <w:webHidden/>
              </w:rPr>
              <w:fldChar w:fldCharType="begin"/>
            </w:r>
            <w:r>
              <w:rPr>
                <w:noProof/>
                <w:webHidden/>
              </w:rPr>
              <w:instrText xml:space="preserve"> PAGEREF _Toc237414278 \h </w:instrText>
            </w:r>
            <w:r>
              <w:rPr>
                <w:noProof/>
                <w:webHidden/>
              </w:rPr>
            </w:r>
            <w:r>
              <w:rPr>
                <w:noProof/>
                <w:webHidden/>
              </w:rPr>
              <w:fldChar w:fldCharType="separate"/>
            </w:r>
            <w:r w:rsidR="0046425D">
              <w:rPr>
                <w:noProof/>
                <w:webHidden/>
              </w:rPr>
              <w:t>18</w:t>
            </w:r>
            <w:r>
              <w:rPr>
                <w:noProof/>
                <w:webHidden/>
              </w:rPr>
              <w:fldChar w:fldCharType="end"/>
            </w:r>
          </w:hyperlink>
        </w:p>
        <w:p w:rsidR="00CA648C" w:rsidRDefault="00CA648C" w14:paraId="63688042" w14:textId="2DB2844F">
          <w:pPr>
            <w:pStyle w:val="TOC2"/>
            <w:tabs>
              <w:tab w:val="right" w:leader="dot" w:pos="9350"/>
            </w:tabs>
            <w:rPr>
              <w:rFonts w:asciiTheme="minorHAnsi" w:hAnsiTheme="minorHAnsi" w:cstheme="minorBidi"/>
              <w:noProof/>
              <w:kern w:val="2"/>
              <w:sz w:val="24"/>
              <w:szCs w:val="24"/>
              <w14:ligatures w14:val="standardContextual"/>
            </w:rPr>
          </w:pPr>
          <w:hyperlink w:history="1" w:anchor="_Toc237414279">
            <w:r w:rsidRPr="003049EB">
              <w:rPr>
                <w:rStyle w:val="Hyperlink"/>
                <w:noProof/>
              </w:rPr>
              <w:t>8.6.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_Toc237414279 \h </w:instrText>
            </w:r>
            <w:r>
              <w:rPr>
                <w:noProof/>
                <w:webHidden/>
              </w:rPr>
            </w:r>
            <w:r>
              <w:rPr>
                <w:noProof/>
                <w:webHidden/>
              </w:rPr>
              <w:fldChar w:fldCharType="separate"/>
            </w:r>
            <w:r w:rsidR="0046425D">
              <w:rPr>
                <w:noProof/>
                <w:webHidden/>
              </w:rPr>
              <w:t>19</w:t>
            </w:r>
            <w:r>
              <w:rPr>
                <w:noProof/>
                <w:webHidden/>
              </w:rPr>
              <w:fldChar w:fldCharType="end"/>
            </w:r>
          </w:hyperlink>
        </w:p>
        <w:p w:rsidR="00CA648C" w:rsidRDefault="00CA648C" w14:paraId="3B0D5D83" w14:textId="3DFF4A5F">
          <w:pPr>
            <w:pStyle w:val="TOC1"/>
            <w:tabs>
              <w:tab w:val="right" w:leader="dot" w:pos="9350"/>
            </w:tabs>
            <w:rPr>
              <w:rFonts w:asciiTheme="minorHAnsi" w:hAnsiTheme="minorHAnsi" w:cstheme="minorBidi"/>
              <w:noProof/>
              <w:kern w:val="2"/>
              <w:sz w:val="24"/>
              <w:szCs w:val="24"/>
              <w14:ligatures w14:val="standardContextual"/>
            </w:rPr>
          </w:pPr>
          <w:hyperlink w:history="1" w:anchor="_Toc237414280">
            <w:r w:rsidRPr="003049EB">
              <w:rPr>
                <w:rStyle w:val="Hyperlink"/>
                <w:noProof/>
              </w:rPr>
              <w:t>9.</w:t>
            </w:r>
            <w:r>
              <w:rPr>
                <w:rFonts w:asciiTheme="minorHAnsi" w:hAnsiTheme="minorHAnsi" w:cstheme="minorBidi"/>
                <w:noProof/>
                <w:kern w:val="2"/>
                <w:sz w:val="24"/>
                <w:szCs w:val="24"/>
                <w14:ligatures w14:val="standardContextual"/>
              </w:rPr>
              <w:tab/>
            </w:r>
            <w:r w:rsidRPr="003049EB">
              <w:rPr>
                <w:rStyle w:val="Hyperlink"/>
                <w:noProof/>
              </w:rPr>
              <w:t>Section 854(b) Requirements</w:t>
            </w:r>
            <w:r>
              <w:rPr>
                <w:noProof/>
                <w:webHidden/>
              </w:rPr>
              <w:tab/>
            </w:r>
            <w:r>
              <w:rPr>
                <w:noProof/>
                <w:webHidden/>
              </w:rPr>
              <w:fldChar w:fldCharType="begin"/>
            </w:r>
            <w:r>
              <w:rPr>
                <w:noProof/>
                <w:webHidden/>
              </w:rPr>
              <w:instrText xml:space="preserve"> PAGEREF _Toc237414280 \h </w:instrText>
            </w:r>
            <w:r>
              <w:rPr>
                <w:noProof/>
                <w:webHidden/>
              </w:rPr>
            </w:r>
            <w:r>
              <w:rPr>
                <w:noProof/>
                <w:webHidden/>
              </w:rPr>
              <w:fldChar w:fldCharType="separate"/>
            </w:r>
            <w:r w:rsidR="0046425D">
              <w:rPr>
                <w:noProof/>
                <w:webHidden/>
              </w:rPr>
              <w:t>19</w:t>
            </w:r>
            <w:r>
              <w:rPr>
                <w:noProof/>
                <w:webHidden/>
              </w:rPr>
              <w:fldChar w:fldCharType="end"/>
            </w:r>
          </w:hyperlink>
        </w:p>
        <w:p w:rsidR="00CA648C" w:rsidRDefault="00CA648C" w14:paraId="0AC935E5" w14:textId="37DC8DCD">
          <w:pPr>
            <w:pStyle w:val="TOC2"/>
            <w:tabs>
              <w:tab w:val="right" w:leader="dot" w:pos="9350"/>
            </w:tabs>
            <w:rPr>
              <w:rFonts w:asciiTheme="minorHAnsi" w:hAnsiTheme="minorHAnsi" w:cstheme="minorBidi"/>
              <w:noProof/>
              <w:kern w:val="2"/>
              <w:sz w:val="24"/>
              <w:szCs w:val="24"/>
              <w14:ligatures w14:val="standardContextual"/>
            </w:rPr>
          </w:pPr>
          <w:hyperlink w:history="1" w:anchor="_Toc237414281">
            <w:r w:rsidRPr="003049EB">
              <w:rPr>
                <w:rStyle w:val="Hyperlink"/>
                <w:noProof/>
              </w:rPr>
              <w:t>9.1.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_Toc237414281 \h </w:instrText>
            </w:r>
            <w:r>
              <w:rPr>
                <w:noProof/>
                <w:webHidden/>
              </w:rPr>
            </w:r>
            <w:r>
              <w:rPr>
                <w:noProof/>
                <w:webHidden/>
              </w:rPr>
              <w:fldChar w:fldCharType="separate"/>
            </w:r>
            <w:r w:rsidR="0046425D">
              <w:rPr>
                <w:noProof/>
                <w:webHidden/>
              </w:rPr>
              <w:t>19</w:t>
            </w:r>
            <w:r>
              <w:rPr>
                <w:noProof/>
                <w:webHidden/>
              </w:rPr>
              <w:fldChar w:fldCharType="end"/>
            </w:r>
          </w:hyperlink>
        </w:p>
        <w:p w:rsidR="00CA648C" w:rsidRDefault="00CA648C" w14:paraId="64255AB8" w14:textId="4D453DDC">
          <w:pPr>
            <w:pStyle w:val="TOC2"/>
            <w:tabs>
              <w:tab w:val="right" w:leader="dot" w:pos="9350"/>
            </w:tabs>
            <w:rPr>
              <w:rFonts w:asciiTheme="minorHAnsi" w:hAnsiTheme="minorHAnsi" w:cstheme="minorBidi"/>
              <w:noProof/>
              <w:kern w:val="2"/>
              <w:sz w:val="24"/>
              <w:szCs w:val="24"/>
              <w14:ligatures w14:val="standardContextual"/>
            </w:rPr>
          </w:pPr>
          <w:hyperlink w:history="1" w:anchor="_Toc237414282">
            <w:r w:rsidRPr="003049EB">
              <w:rPr>
                <w:rStyle w:val="Hyperlink"/>
                <w:noProof/>
              </w:rPr>
              <w:t>9.2.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_Toc237414282 \h </w:instrText>
            </w:r>
            <w:r>
              <w:rPr>
                <w:noProof/>
                <w:webHidden/>
              </w:rPr>
            </w:r>
            <w:r>
              <w:rPr>
                <w:noProof/>
                <w:webHidden/>
              </w:rPr>
              <w:fldChar w:fldCharType="separate"/>
            </w:r>
            <w:r w:rsidR="0046425D">
              <w:rPr>
                <w:noProof/>
                <w:webHidden/>
              </w:rPr>
              <w:t>21</w:t>
            </w:r>
            <w:r>
              <w:rPr>
                <w:noProof/>
                <w:webHidden/>
              </w:rPr>
              <w:fldChar w:fldCharType="end"/>
            </w:r>
          </w:hyperlink>
        </w:p>
        <w:p w:rsidR="00CA648C" w:rsidRDefault="00CA648C" w14:paraId="08163E75" w14:textId="7B9A3D6C">
          <w:pPr>
            <w:pStyle w:val="TOC2"/>
            <w:tabs>
              <w:tab w:val="right" w:leader="dot" w:pos="9350"/>
            </w:tabs>
            <w:rPr>
              <w:rFonts w:asciiTheme="minorHAnsi" w:hAnsiTheme="minorHAnsi" w:cstheme="minorBidi"/>
              <w:noProof/>
              <w:kern w:val="2"/>
              <w:sz w:val="24"/>
              <w:szCs w:val="24"/>
              <w14:ligatures w14:val="standardContextual"/>
            </w:rPr>
          </w:pPr>
          <w:hyperlink w:history="1" w:anchor="_Toc237414283">
            <w:r w:rsidRPr="003049EB">
              <w:rPr>
                <w:rStyle w:val="Hyperlink"/>
                <w:noProof/>
              </w:rPr>
              <w:t>9.3.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_Toc237414283 \h </w:instrText>
            </w:r>
            <w:r>
              <w:rPr>
                <w:noProof/>
                <w:webHidden/>
              </w:rPr>
            </w:r>
            <w:r>
              <w:rPr>
                <w:noProof/>
                <w:webHidden/>
              </w:rPr>
              <w:fldChar w:fldCharType="separate"/>
            </w:r>
            <w:r w:rsidR="0046425D">
              <w:rPr>
                <w:noProof/>
                <w:webHidden/>
              </w:rPr>
              <w:t>21</w:t>
            </w:r>
            <w:r>
              <w:rPr>
                <w:noProof/>
                <w:webHidden/>
              </w:rPr>
              <w:fldChar w:fldCharType="end"/>
            </w:r>
          </w:hyperlink>
        </w:p>
        <w:p w:rsidR="00CA648C" w:rsidRDefault="00CA648C" w14:paraId="5866BA69" w14:textId="05C41EE9">
          <w:pPr>
            <w:pStyle w:val="TOC2"/>
            <w:tabs>
              <w:tab w:val="right" w:leader="dot" w:pos="9350"/>
            </w:tabs>
            <w:rPr>
              <w:rFonts w:asciiTheme="minorHAnsi" w:hAnsiTheme="minorHAnsi" w:cstheme="minorBidi"/>
              <w:noProof/>
              <w:kern w:val="2"/>
              <w:sz w:val="24"/>
              <w:szCs w:val="24"/>
              <w14:ligatures w14:val="standardContextual"/>
            </w:rPr>
          </w:pPr>
          <w:hyperlink w:history="1" w:anchor="_Toc237414284">
            <w:r w:rsidRPr="003049EB">
              <w:rPr>
                <w:rStyle w:val="Hyperlink"/>
                <w:noProof/>
              </w:rPr>
              <w:t>9.4.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_Toc237414284 \h </w:instrText>
            </w:r>
            <w:r>
              <w:rPr>
                <w:noProof/>
                <w:webHidden/>
              </w:rPr>
            </w:r>
            <w:r>
              <w:rPr>
                <w:noProof/>
                <w:webHidden/>
              </w:rPr>
              <w:fldChar w:fldCharType="separate"/>
            </w:r>
            <w:r w:rsidR="0046425D">
              <w:rPr>
                <w:noProof/>
                <w:webHidden/>
              </w:rPr>
              <w:t>22</w:t>
            </w:r>
            <w:r>
              <w:rPr>
                <w:noProof/>
                <w:webHidden/>
              </w:rPr>
              <w:fldChar w:fldCharType="end"/>
            </w:r>
          </w:hyperlink>
        </w:p>
        <w:p w:rsidR="00CA648C" w:rsidRDefault="00CA648C" w14:paraId="780A38EA" w14:textId="73F3C4E7">
          <w:pPr>
            <w:pStyle w:val="TOC2"/>
            <w:tabs>
              <w:tab w:val="right" w:leader="dot" w:pos="9350"/>
            </w:tabs>
            <w:rPr>
              <w:rFonts w:asciiTheme="minorHAnsi" w:hAnsiTheme="minorHAnsi" w:cstheme="minorBidi"/>
              <w:noProof/>
              <w:kern w:val="2"/>
              <w:sz w:val="24"/>
              <w:szCs w:val="24"/>
              <w14:ligatures w14:val="standardContextual"/>
            </w:rPr>
          </w:pPr>
          <w:hyperlink w:history="1" w:anchor="_Toc237414285">
            <w:r w:rsidRPr="003049EB">
              <w:rPr>
                <w:rStyle w:val="Hyperlink"/>
                <w:noProof/>
              </w:rPr>
              <w:t>9.5.</w:t>
            </w:r>
            <w:r>
              <w:rPr>
                <w:rFonts w:asciiTheme="minorHAnsi" w:hAnsiTheme="minorHAnsi" w:cstheme="minorBidi"/>
                <w:noProof/>
                <w:kern w:val="2"/>
                <w:sz w:val="24"/>
                <w:szCs w:val="24"/>
                <w14:ligatures w14:val="standardContextual"/>
              </w:rPr>
              <w:tab/>
            </w:r>
            <w:r w:rsidRPr="003049EB">
              <w:rPr>
                <w:rStyle w:val="Hyperlink"/>
                <w:noProof/>
              </w:rPr>
              <w:t>Joint Advocates (CforAT, CADE, DELA, EBBC, FCDI)</w:t>
            </w:r>
            <w:r>
              <w:rPr>
                <w:noProof/>
                <w:webHidden/>
              </w:rPr>
              <w:tab/>
            </w:r>
            <w:r>
              <w:rPr>
                <w:noProof/>
                <w:webHidden/>
              </w:rPr>
              <w:fldChar w:fldCharType="begin"/>
            </w:r>
            <w:r>
              <w:rPr>
                <w:noProof/>
                <w:webHidden/>
              </w:rPr>
              <w:instrText xml:space="preserve"> PAGEREF _Toc237414285 \h </w:instrText>
            </w:r>
            <w:r>
              <w:rPr>
                <w:noProof/>
                <w:webHidden/>
              </w:rPr>
            </w:r>
            <w:r>
              <w:rPr>
                <w:noProof/>
                <w:webHidden/>
              </w:rPr>
              <w:fldChar w:fldCharType="separate"/>
            </w:r>
            <w:r w:rsidR="0046425D">
              <w:rPr>
                <w:noProof/>
                <w:webHidden/>
              </w:rPr>
              <w:t>23</w:t>
            </w:r>
            <w:r>
              <w:rPr>
                <w:noProof/>
                <w:webHidden/>
              </w:rPr>
              <w:fldChar w:fldCharType="end"/>
            </w:r>
          </w:hyperlink>
        </w:p>
        <w:p w:rsidR="00CA648C" w:rsidRDefault="00CA648C" w14:paraId="3B3662FE" w14:textId="17DF6980">
          <w:pPr>
            <w:pStyle w:val="TOC2"/>
            <w:tabs>
              <w:tab w:val="right" w:leader="dot" w:pos="9350"/>
            </w:tabs>
            <w:rPr>
              <w:rFonts w:asciiTheme="minorHAnsi" w:hAnsiTheme="minorHAnsi" w:cstheme="minorBidi"/>
              <w:noProof/>
              <w:kern w:val="2"/>
              <w:sz w:val="24"/>
              <w:szCs w:val="24"/>
              <w14:ligatures w14:val="standardContextual"/>
            </w:rPr>
          </w:pPr>
          <w:hyperlink w:history="1" w:anchor="_Toc237414286">
            <w:r w:rsidRPr="003049EB">
              <w:rPr>
                <w:rStyle w:val="Hyperlink"/>
                <w:noProof/>
              </w:rPr>
              <w:t>9.6.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_Toc237414286 \h </w:instrText>
            </w:r>
            <w:r>
              <w:rPr>
                <w:noProof/>
                <w:webHidden/>
              </w:rPr>
            </w:r>
            <w:r>
              <w:rPr>
                <w:noProof/>
                <w:webHidden/>
              </w:rPr>
              <w:fldChar w:fldCharType="separate"/>
            </w:r>
            <w:r w:rsidR="0046425D">
              <w:rPr>
                <w:noProof/>
                <w:webHidden/>
              </w:rPr>
              <w:t>23</w:t>
            </w:r>
            <w:r>
              <w:rPr>
                <w:noProof/>
                <w:webHidden/>
              </w:rPr>
              <w:fldChar w:fldCharType="end"/>
            </w:r>
          </w:hyperlink>
        </w:p>
        <w:p w:rsidR="00CA648C" w:rsidRDefault="00CA648C" w14:paraId="30807906" w14:textId="6980F882">
          <w:pPr>
            <w:pStyle w:val="TOC1"/>
            <w:tabs>
              <w:tab w:val="right" w:leader="dot" w:pos="9350"/>
            </w:tabs>
            <w:rPr>
              <w:rFonts w:asciiTheme="minorHAnsi" w:hAnsiTheme="minorHAnsi" w:cstheme="minorBidi"/>
              <w:noProof/>
              <w:kern w:val="2"/>
              <w:sz w:val="24"/>
              <w:szCs w:val="24"/>
              <w14:ligatures w14:val="standardContextual"/>
            </w:rPr>
          </w:pPr>
          <w:hyperlink w:history="1" w:anchor="_Toc237414287">
            <w:r w:rsidRPr="003049EB">
              <w:rPr>
                <w:rStyle w:val="Hyperlink"/>
                <w:bCs/>
                <w:noProof/>
              </w:rPr>
              <w:t>10.</w:t>
            </w:r>
            <w:r>
              <w:rPr>
                <w:rFonts w:asciiTheme="minorHAnsi" w:hAnsiTheme="minorHAnsi" w:cstheme="minorBidi"/>
                <w:noProof/>
                <w:kern w:val="2"/>
                <w:sz w:val="24"/>
                <w:szCs w:val="24"/>
                <w14:ligatures w14:val="standardContextual"/>
              </w:rPr>
              <w:tab/>
            </w:r>
            <w:r w:rsidRPr="003049EB">
              <w:rPr>
                <w:rStyle w:val="Hyperlink"/>
                <w:bCs/>
                <w:noProof/>
              </w:rPr>
              <w:t>Section 854(c) Requirements</w:t>
            </w:r>
            <w:r>
              <w:rPr>
                <w:noProof/>
                <w:webHidden/>
              </w:rPr>
              <w:tab/>
            </w:r>
            <w:r>
              <w:rPr>
                <w:noProof/>
                <w:webHidden/>
              </w:rPr>
              <w:fldChar w:fldCharType="begin"/>
            </w:r>
            <w:r>
              <w:rPr>
                <w:noProof/>
                <w:webHidden/>
              </w:rPr>
              <w:instrText xml:space="preserve"> PAGEREF _Toc237414287 \h </w:instrText>
            </w:r>
            <w:r>
              <w:rPr>
                <w:noProof/>
                <w:webHidden/>
              </w:rPr>
            </w:r>
            <w:r>
              <w:rPr>
                <w:noProof/>
                <w:webHidden/>
              </w:rPr>
              <w:fldChar w:fldCharType="separate"/>
            </w:r>
            <w:r w:rsidR="0046425D">
              <w:rPr>
                <w:noProof/>
                <w:webHidden/>
              </w:rPr>
              <w:t>24</w:t>
            </w:r>
            <w:r>
              <w:rPr>
                <w:noProof/>
                <w:webHidden/>
              </w:rPr>
              <w:fldChar w:fldCharType="end"/>
            </w:r>
          </w:hyperlink>
        </w:p>
        <w:p w:rsidR="00CA648C" w:rsidRDefault="00CA648C" w14:paraId="4BAFB159" w14:textId="11AF4BE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88">
            <w:r w:rsidRPr="003049EB">
              <w:rPr>
                <w:rStyle w:val="Hyperlink"/>
                <w:noProof/>
              </w:rPr>
              <w:t>10.1.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_Toc237414288 \h </w:instrText>
            </w:r>
            <w:r>
              <w:rPr>
                <w:noProof/>
                <w:webHidden/>
              </w:rPr>
            </w:r>
            <w:r>
              <w:rPr>
                <w:noProof/>
                <w:webHidden/>
              </w:rPr>
              <w:fldChar w:fldCharType="separate"/>
            </w:r>
            <w:r w:rsidR="0046425D">
              <w:rPr>
                <w:noProof/>
                <w:webHidden/>
              </w:rPr>
              <w:t>24</w:t>
            </w:r>
            <w:r>
              <w:rPr>
                <w:noProof/>
                <w:webHidden/>
              </w:rPr>
              <w:fldChar w:fldCharType="end"/>
            </w:r>
          </w:hyperlink>
        </w:p>
        <w:p w:rsidR="00CA648C" w:rsidRDefault="00CA648C" w14:paraId="2E3378D4" w14:textId="5221C9E3">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89">
            <w:r w:rsidRPr="003049EB">
              <w:rPr>
                <w:rStyle w:val="Hyperlink"/>
                <w:noProof/>
              </w:rPr>
              <w:t>10.2.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_Toc237414289 \h </w:instrText>
            </w:r>
            <w:r>
              <w:rPr>
                <w:noProof/>
                <w:webHidden/>
              </w:rPr>
            </w:r>
            <w:r>
              <w:rPr>
                <w:noProof/>
                <w:webHidden/>
              </w:rPr>
              <w:fldChar w:fldCharType="separate"/>
            </w:r>
            <w:r w:rsidR="0046425D">
              <w:rPr>
                <w:noProof/>
                <w:webHidden/>
              </w:rPr>
              <w:t>26</w:t>
            </w:r>
            <w:r>
              <w:rPr>
                <w:noProof/>
                <w:webHidden/>
              </w:rPr>
              <w:fldChar w:fldCharType="end"/>
            </w:r>
          </w:hyperlink>
        </w:p>
        <w:p w:rsidR="00CA648C" w:rsidRDefault="00CA648C" w14:paraId="07AF1A29" w14:textId="4DC276DA">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0">
            <w:r w:rsidRPr="003049EB">
              <w:rPr>
                <w:rStyle w:val="Hyperlink"/>
                <w:noProof/>
              </w:rPr>
              <w:t>10.3.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_Toc237414290 \h </w:instrText>
            </w:r>
            <w:r>
              <w:rPr>
                <w:noProof/>
                <w:webHidden/>
              </w:rPr>
            </w:r>
            <w:r>
              <w:rPr>
                <w:noProof/>
                <w:webHidden/>
              </w:rPr>
              <w:fldChar w:fldCharType="separate"/>
            </w:r>
            <w:r w:rsidR="0046425D">
              <w:rPr>
                <w:noProof/>
                <w:webHidden/>
              </w:rPr>
              <w:t>27</w:t>
            </w:r>
            <w:r>
              <w:rPr>
                <w:noProof/>
                <w:webHidden/>
              </w:rPr>
              <w:fldChar w:fldCharType="end"/>
            </w:r>
          </w:hyperlink>
        </w:p>
        <w:p w:rsidR="00CA648C" w:rsidRDefault="00CA648C" w14:paraId="638B52C3" w14:textId="1AA254CE">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1">
            <w:r w:rsidRPr="003049EB">
              <w:rPr>
                <w:rStyle w:val="Hyperlink"/>
                <w:noProof/>
              </w:rPr>
              <w:t>10.4.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_Toc237414291 \h </w:instrText>
            </w:r>
            <w:r>
              <w:rPr>
                <w:noProof/>
                <w:webHidden/>
              </w:rPr>
            </w:r>
            <w:r>
              <w:rPr>
                <w:noProof/>
                <w:webHidden/>
              </w:rPr>
              <w:fldChar w:fldCharType="separate"/>
            </w:r>
            <w:r w:rsidR="0046425D">
              <w:rPr>
                <w:noProof/>
                <w:webHidden/>
              </w:rPr>
              <w:t>27</w:t>
            </w:r>
            <w:r>
              <w:rPr>
                <w:noProof/>
                <w:webHidden/>
              </w:rPr>
              <w:fldChar w:fldCharType="end"/>
            </w:r>
          </w:hyperlink>
        </w:p>
        <w:p w:rsidR="00CA648C" w:rsidRDefault="00CA648C" w14:paraId="72F2E1B2" w14:textId="05B2D561">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2">
            <w:r w:rsidRPr="003049EB">
              <w:rPr>
                <w:rStyle w:val="Hyperlink"/>
                <w:noProof/>
              </w:rPr>
              <w:t>10.5.</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_Toc237414292 \h </w:instrText>
            </w:r>
            <w:r>
              <w:rPr>
                <w:noProof/>
                <w:webHidden/>
              </w:rPr>
            </w:r>
            <w:r>
              <w:rPr>
                <w:noProof/>
                <w:webHidden/>
              </w:rPr>
              <w:fldChar w:fldCharType="separate"/>
            </w:r>
            <w:r w:rsidR="0046425D">
              <w:rPr>
                <w:noProof/>
                <w:webHidden/>
              </w:rPr>
              <w:t>27</w:t>
            </w:r>
            <w:r>
              <w:rPr>
                <w:noProof/>
                <w:webHidden/>
              </w:rPr>
              <w:fldChar w:fldCharType="end"/>
            </w:r>
          </w:hyperlink>
        </w:p>
        <w:p w:rsidR="00CA648C" w:rsidRDefault="00CA648C" w14:paraId="6AC96837" w14:textId="3A09EBE6">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3">
            <w:r w:rsidRPr="003049EB">
              <w:rPr>
                <w:rStyle w:val="Hyperlink"/>
                <w:noProof/>
              </w:rPr>
              <w:t>10.6.</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_Toc237414293 \h </w:instrText>
            </w:r>
            <w:r>
              <w:rPr>
                <w:noProof/>
                <w:webHidden/>
              </w:rPr>
            </w:r>
            <w:r>
              <w:rPr>
                <w:noProof/>
                <w:webHidden/>
              </w:rPr>
              <w:fldChar w:fldCharType="separate"/>
            </w:r>
            <w:r w:rsidR="0046425D">
              <w:rPr>
                <w:noProof/>
                <w:webHidden/>
              </w:rPr>
              <w:t>28</w:t>
            </w:r>
            <w:r>
              <w:rPr>
                <w:noProof/>
                <w:webHidden/>
              </w:rPr>
              <w:fldChar w:fldCharType="end"/>
            </w:r>
          </w:hyperlink>
        </w:p>
        <w:p w:rsidR="00CA648C" w:rsidRDefault="00CA648C" w14:paraId="4BAFFE3D" w14:textId="79539666">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4">
            <w:r w:rsidRPr="003049EB">
              <w:rPr>
                <w:rStyle w:val="Hyperlink"/>
                <w:noProof/>
              </w:rPr>
              <w:t>10.7.</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_Toc237414294 \h </w:instrText>
            </w:r>
            <w:r>
              <w:rPr>
                <w:noProof/>
                <w:webHidden/>
              </w:rPr>
            </w:r>
            <w:r>
              <w:rPr>
                <w:noProof/>
                <w:webHidden/>
              </w:rPr>
              <w:fldChar w:fldCharType="separate"/>
            </w:r>
            <w:r w:rsidR="0046425D">
              <w:rPr>
                <w:noProof/>
                <w:webHidden/>
              </w:rPr>
              <w:t>28</w:t>
            </w:r>
            <w:r>
              <w:rPr>
                <w:noProof/>
                <w:webHidden/>
              </w:rPr>
              <w:fldChar w:fldCharType="end"/>
            </w:r>
          </w:hyperlink>
        </w:p>
        <w:p w:rsidR="00CA648C" w:rsidRDefault="00CA648C" w14:paraId="39B95888" w14:textId="5296B517">
          <w:pPr>
            <w:pStyle w:val="TOC1"/>
            <w:tabs>
              <w:tab w:val="right" w:leader="dot" w:pos="9350"/>
            </w:tabs>
            <w:rPr>
              <w:rFonts w:asciiTheme="minorHAnsi" w:hAnsiTheme="minorHAnsi" w:cstheme="minorBidi"/>
              <w:noProof/>
              <w:kern w:val="2"/>
              <w:sz w:val="24"/>
              <w:szCs w:val="24"/>
              <w14:ligatures w14:val="standardContextual"/>
            </w:rPr>
          </w:pPr>
          <w:hyperlink w:history="1" w:anchor="_Toc237414295">
            <w:r w:rsidRPr="003049EB">
              <w:rPr>
                <w:rStyle w:val="Hyperlink"/>
                <w:noProof/>
              </w:rPr>
              <w:t>11.</w:t>
            </w:r>
            <w:r>
              <w:rPr>
                <w:rFonts w:asciiTheme="minorHAnsi" w:hAnsiTheme="minorHAnsi" w:cstheme="minorBidi"/>
                <w:noProof/>
                <w:kern w:val="2"/>
                <w:sz w:val="24"/>
                <w:szCs w:val="24"/>
                <w14:ligatures w14:val="standardContextual"/>
              </w:rPr>
              <w:tab/>
            </w:r>
            <w:r w:rsidRPr="003049EB">
              <w:rPr>
                <w:rStyle w:val="Hyperlink"/>
                <w:noProof/>
              </w:rPr>
              <w:t>ESJ Action Plan</w:t>
            </w:r>
            <w:r>
              <w:rPr>
                <w:noProof/>
                <w:webHidden/>
              </w:rPr>
              <w:tab/>
            </w:r>
            <w:r>
              <w:rPr>
                <w:noProof/>
                <w:webHidden/>
              </w:rPr>
              <w:fldChar w:fldCharType="begin"/>
            </w:r>
            <w:r>
              <w:rPr>
                <w:noProof/>
                <w:webHidden/>
              </w:rPr>
              <w:instrText xml:space="preserve"> PAGEREF _Toc237414295 \h </w:instrText>
            </w:r>
            <w:r>
              <w:rPr>
                <w:noProof/>
                <w:webHidden/>
              </w:rPr>
            </w:r>
            <w:r>
              <w:rPr>
                <w:noProof/>
                <w:webHidden/>
              </w:rPr>
              <w:fldChar w:fldCharType="separate"/>
            </w:r>
            <w:r w:rsidR="0046425D">
              <w:rPr>
                <w:noProof/>
                <w:webHidden/>
              </w:rPr>
              <w:t>28</w:t>
            </w:r>
            <w:r>
              <w:rPr>
                <w:noProof/>
                <w:webHidden/>
              </w:rPr>
              <w:fldChar w:fldCharType="end"/>
            </w:r>
          </w:hyperlink>
        </w:p>
        <w:p w:rsidR="00CA648C" w:rsidRDefault="00CA648C" w14:paraId="1686223D" w14:textId="7E98FE76">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6">
            <w:r w:rsidRPr="003049EB">
              <w:rPr>
                <w:rStyle w:val="Hyperlink"/>
                <w:noProof/>
              </w:rPr>
              <w:t>11.1.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_Toc237414296 \h </w:instrText>
            </w:r>
            <w:r>
              <w:rPr>
                <w:noProof/>
                <w:webHidden/>
              </w:rPr>
            </w:r>
            <w:r>
              <w:rPr>
                <w:noProof/>
                <w:webHidden/>
              </w:rPr>
              <w:fldChar w:fldCharType="separate"/>
            </w:r>
            <w:r w:rsidR="0046425D">
              <w:rPr>
                <w:noProof/>
                <w:webHidden/>
              </w:rPr>
              <w:t>29</w:t>
            </w:r>
            <w:r>
              <w:rPr>
                <w:noProof/>
                <w:webHidden/>
              </w:rPr>
              <w:fldChar w:fldCharType="end"/>
            </w:r>
          </w:hyperlink>
        </w:p>
        <w:p w:rsidR="00CA648C" w:rsidRDefault="00CA648C" w14:paraId="32DC46EB" w14:textId="6F82824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7">
            <w:r w:rsidRPr="003049EB">
              <w:rPr>
                <w:rStyle w:val="Hyperlink"/>
                <w:noProof/>
              </w:rPr>
              <w:t>11.2.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_Toc237414297 \h </w:instrText>
            </w:r>
            <w:r>
              <w:rPr>
                <w:noProof/>
                <w:webHidden/>
              </w:rPr>
            </w:r>
            <w:r>
              <w:rPr>
                <w:noProof/>
                <w:webHidden/>
              </w:rPr>
              <w:fldChar w:fldCharType="separate"/>
            </w:r>
            <w:r w:rsidR="0046425D">
              <w:rPr>
                <w:noProof/>
                <w:webHidden/>
              </w:rPr>
              <w:t>30</w:t>
            </w:r>
            <w:r>
              <w:rPr>
                <w:noProof/>
                <w:webHidden/>
              </w:rPr>
              <w:fldChar w:fldCharType="end"/>
            </w:r>
          </w:hyperlink>
        </w:p>
        <w:p w:rsidR="00CA648C" w:rsidRDefault="00CA648C" w14:paraId="47996728" w14:textId="471FEDF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8">
            <w:r w:rsidRPr="003049EB">
              <w:rPr>
                <w:rStyle w:val="Hyperlink"/>
                <w:noProof/>
              </w:rPr>
              <w:t>11.3.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_Toc237414298 \h </w:instrText>
            </w:r>
            <w:r>
              <w:rPr>
                <w:noProof/>
                <w:webHidden/>
              </w:rPr>
            </w:r>
            <w:r>
              <w:rPr>
                <w:noProof/>
                <w:webHidden/>
              </w:rPr>
              <w:fldChar w:fldCharType="separate"/>
            </w:r>
            <w:r w:rsidR="0046425D">
              <w:rPr>
                <w:noProof/>
                <w:webHidden/>
              </w:rPr>
              <w:t>30</w:t>
            </w:r>
            <w:r>
              <w:rPr>
                <w:noProof/>
                <w:webHidden/>
              </w:rPr>
              <w:fldChar w:fldCharType="end"/>
            </w:r>
          </w:hyperlink>
        </w:p>
        <w:p w:rsidR="00CA648C" w:rsidRDefault="00CA648C" w14:paraId="631755CD" w14:textId="224A13A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9">
            <w:r w:rsidRPr="003049EB">
              <w:rPr>
                <w:rStyle w:val="Hyperlink"/>
                <w:noProof/>
              </w:rPr>
              <w:t>11.4.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_Toc237414299 \h </w:instrText>
            </w:r>
            <w:r>
              <w:rPr>
                <w:noProof/>
                <w:webHidden/>
              </w:rPr>
            </w:r>
            <w:r>
              <w:rPr>
                <w:noProof/>
                <w:webHidden/>
              </w:rPr>
              <w:fldChar w:fldCharType="separate"/>
            </w:r>
            <w:r w:rsidR="0046425D">
              <w:rPr>
                <w:noProof/>
                <w:webHidden/>
              </w:rPr>
              <w:t>31</w:t>
            </w:r>
            <w:r>
              <w:rPr>
                <w:noProof/>
                <w:webHidden/>
              </w:rPr>
              <w:fldChar w:fldCharType="end"/>
            </w:r>
          </w:hyperlink>
        </w:p>
        <w:p w:rsidR="00CA648C" w:rsidRDefault="00CA648C" w14:paraId="1143855F" w14:textId="200DE92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0">
            <w:r w:rsidRPr="003049EB">
              <w:rPr>
                <w:rStyle w:val="Hyperlink"/>
                <w:noProof/>
              </w:rPr>
              <w:t>11.5.</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_Toc237414300 \h </w:instrText>
            </w:r>
            <w:r>
              <w:rPr>
                <w:noProof/>
                <w:webHidden/>
              </w:rPr>
            </w:r>
            <w:r>
              <w:rPr>
                <w:noProof/>
                <w:webHidden/>
              </w:rPr>
              <w:fldChar w:fldCharType="separate"/>
            </w:r>
            <w:r w:rsidR="0046425D">
              <w:rPr>
                <w:noProof/>
                <w:webHidden/>
              </w:rPr>
              <w:t>31</w:t>
            </w:r>
            <w:r>
              <w:rPr>
                <w:noProof/>
                <w:webHidden/>
              </w:rPr>
              <w:fldChar w:fldCharType="end"/>
            </w:r>
          </w:hyperlink>
        </w:p>
        <w:p w:rsidR="00CA648C" w:rsidRDefault="00CA648C" w14:paraId="66605691" w14:textId="1BCAD090">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1">
            <w:r w:rsidRPr="003049EB">
              <w:rPr>
                <w:rStyle w:val="Hyperlink"/>
                <w:noProof/>
              </w:rPr>
              <w:t>11.6.</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_Toc237414301 \h </w:instrText>
            </w:r>
            <w:r>
              <w:rPr>
                <w:noProof/>
                <w:webHidden/>
              </w:rPr>
            </w:r>
            <w:r>
              <w:rPr>
                <w:noProof/>
                <w:webHidden/>
              </w:rPr>
              <w:fldChar w:fldCharType="separate"/>
            </w:r>
            <w:r w:rsidR="0046425D">
              <w:rPr>
                <w:noProof/>
                <w:webHidden/>
              </w:rPr>
              <w:t>32</w:t>
            </w:r>
            <w:r>
              <w:rPr>
                <w:noProof/>
                <w:webHidden/>
              </w:rPr>
              <w:fldChar w:fldCharType="end"/>
            </w:r>
          </w:hyperlink>
        </w:p>
        <w:p w:rsidR="00CA648C" w:rsidRDefault="00CA648C" w14:paraId="18E5D657" w14:textId="0A151886">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2">
            <w:r w:rsidRPr="003049EB">
              <w:rPr>
                <w:rStyle w:val="Hyperlink"/>
                <w:noProof/>
              </w:rPr>
              <w:t>11.7.</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_Toc237414302 \h </w:instrText>
            </w:r>
            <w:r>
              <w:rPr>
                <w:noProof/>
                <w:webHidden/>
              </w:rPr>
            </w:r>
            <w:r>
              <w:rPr>
                <w:noProof/>
                <w:webHidden/>
              </w:rPr>
              <w:fldChar w:fldCharType="separate"/>
            </w:r>
            <w:r w:rsidR="0046425D">
              <w:rPr>
                <w:noProof/>
                <w:webHidden/>
              </w:rPr>
              <w:t>32</w:t>
            </w:r>
            <w:r>
              <w:rPr>
                <w:noProof/>
                <w:webHidden/>
              </w:rPr>
              <w:fldChar w:fldCharType="end"/>
            </w:r>
          </w:hyperlink>
        </w:p>
        <w:p w:rsidR="00CA648C" w:rsidRDefault="00CA648C" w14:paraId="445C7D08" w14:textId="22EA9E60">
          <w:pPr>
            <w:pStyle w:val="TOC1"/>
            <w:tabs>
              <w:tab w:val="right" w:leader="dot" w:pos="9350"/>
            </w:tabs>
            <w:rPr>
              <w:rFonts w:asciiTheme="minorHAnsi" w:hAnsiTheme="minorHAnsi" w:cstheme="minorBidi"/>
              <w:noProof/>
              <w:kern w:val="2"/>
              <w:sz w:val="24"/>
              <w:szCs w:val="24"/>
              <w14:ligatures w14:val="standardContextual"/>
            </w:rPr>
          </w:pPr>
          <w:hyperlink w:history="1" w:anchor="_Toc237414303">
            <w:r w:rsidRPr="003049EB">
              <w:rPr>
                <w:rStyle w:val="Hyperlink"/>
                <w:noProof/>
              </w:rPr>
              <w:t>12.</w:t>
            </w:r>
            <w:r>
              <w:rPr>
                <w:rFonts w:asciiTheme="minorHAnsi" w:hAnsiTheme="minorHAnsi" w:cstheme="minorBidi"/>
                <w:noProof/>
                <w:kern w:val="2"/>
                <w:sz w:val="24"/>
                <w:szCs w:val="24"/>
                <w14:ligatures w14:val="standardContextual"/>
              </w:rPr>
              <w:tab/>
            </w:r>
            <w:r w:rsidRPr="003049EB">
              <w:rPr>
                <w:rStyle w:val="Hyperlink"/>
                <w:noProof/>
              </w:rPr>
              <w:t>Public Safety</w:t>
            </w:r>
            <w:r>
              <w:rPr>
                <w:noProof/>
                <w:webHidden/>
              </w:rPr>
              <w:tab/>
            </w:r>
            <w:r>
              <w:rPr>
                <w:noProof/>
                <w:webHidden/>
              </w:rPr>
              <w:fldChar w:fldCharType="begin"/>
            </w:r>
            <w:r>
              <w:rPr>
                <w:noProof/>
                <w:webHidden/>
              </w:rPr>
              <w:instrText xml:space="preserve"> PAGEREF _Toc237414303 \h </w:instrText>
            </w:r>
            <w:r>
              <w:rPr>
                <w:noProof/>
                <w:webHidden/>
              </w:rPr>
            </w:r>
            <w:r>
              <w:rPr>
                <w:noProof/>
                <w:webHidden/>
              </w:rPr>
              <w:fldChar w:fldCharType="separate"/>
            </w:r>
            <w:r w:rsidR="0046425D">
              <w:rPr>
                <w:noProof/>
                <w:webHidden/>
              </w:rPr>
              <w:t>33</w:t>
            </w:r>
            <w:r>
              <w:rPr>
                <w:noProof/>
                <w:webHidden/>
              </w:rPr>
              <w:fldChar w:fldCharType="end"/>
            </w:r>
          </w:hyperlink>
        </w:p>
        <w:p w:rsidR="00CA648C" w:rsidRDefault="00CA648C" w14:paraId="2B3562F1" w14:textId="43D9102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4">
            <w:r w:rsidRPr="003049EB">
              <w:rPr>
                <w:rStyle w:val="Hyperlink"/>
                <w:noProof/>
              </w:rPr>
              <w:t>12.1.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_Toc237414304 \h </w:instrText>
            </w:r>
            <w:r>
              <w:rPr>
                <w:noProof/>
                <w:webHidden/>
              </w:rPr>
            </w:r>
            <w:r>
              <w:rPr>
                <w:noProof/>
                <w:webHidden/>
              </w:rPr>
              <w:fldChar w:fldCharType="separate"/>
            </w:r>
            <w:r w:rsidR="0046425D">
              <w:rPr>
                <w:noProof/>
                <w:webHidden/>
              </w:rPr>
              <w:t>33</w:t>
            </w:r>
            <w:r>
              <w:rPr>
                <w:noProof/>
                <w:webHidden/>
              </w:rPr>
              <w:fldChar w:fldCharType="end"/>
            </w:r>
          </w:hyperlink>
        </w:p>
        <w:p w:rsidR="00CA648C" w:rsidRDefault="00CA648C" w14:paraId="3A217285" w14:textId="3FB4F5C0">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5">
            <w:r w:rsidRPr="003049EB">
              <w:rPr>
                <w:rStyle w:val="Hyperlink"/>
                <w:noProof/>
              </w:rPr>
              <w:t>12.2.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_Toc237414305 \h </w:instrText>
            </w:r>
            <w:r>
              <w:rPr>
                <w:noProof/>
                <w:webHidden/>
              </w:rPr>
            </w:r>
            <w:r>
              <w:rPr>
                <w:noProof/>
                <w:webHidden/>
              </w:rPr>
              <w:fldChar w:fldCharType="separate"/>
            </w:r>
            <w:r w:rsidR="0046425D">
              <w:rPr>
                <w:noProof/>
                <w:webHidden/>
              </w:rPr>
              <w:t>33</w:t>
            </w:r>
            <w:r>
              <w:rPr>
                <w:noProof/>
                <w:webHidden/>
              </w:rPr>
              <w:fldChar w:fldCharType="end"/>
            </w:r>
          </w:hyperlink>
        </w:p>
        <w:p w:rsidR="00CA648C" w:rsidRDefault="00CA648C" w14:paraId="30333049" w14:textId="0424009E">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6">
            <w:r w:rsidRPr="003049EB">
              <w:rPr>
                <w:rStyle w:val="Hyperlink"/>
                <w:noProof/>
              </w:rPr>
              <w:t>12.3.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_Toc237414306 \h </w:instrText>
            </w:r>
            <w:r>
              <w:rPr>
                <w:noProof/>
                <w:webHidden/>
              </w:rPr>
            </w:r>
            <w:r>
              <w:rPr>
                <w:noProof/>
                <w:webHidden/>
              </w:rPr>
              <w:fldChar w:fldCharType="separate"/>
            </w:r>
            <w:r w:rsidR="0046425D">
              <w:rPr>
                <w:noProof/>
                <w:webHidden/>
              </w:rPr>
              <w:t>33</w:t>
            </w:r>
            <w:r>
              <w:rPr>
                <w:noProof/>
                <w:webHidden/>
              </w:rPr>
              <w:fldChar w:fldCharType="end"/>
            </w:r>
          </w:hyperlink>
        </w:p>
        <w:p w:rsidR="00CA648C" w:rsidRDefault="00CA648C" w14:paraId="36D01D70" w14:textId="5556453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7">
            <w:r w:rsidRPr="003049EB">
              <w:rPr>
                <w:rStyle w:val="Hyperlink"/>
                <w:noProof/>
              </w:rPr>
              <w:t>12.4.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_Toc237414307 \h </w:instrText>
            </w:r>
            <w:r>
              <w:rPr>
                <w:noProof/>
                <w:webHidden/>
              </w:rPr>
            </w:r>
            <w:r>
              <w:rPr>
                <w:noProof/>
                <w:webHidden/>
              </w:rPr>
              <w:fldChar w:fldCharType="separate"/>
            </w:r>
            <w:r w:rsidR="0046425D">
              <w:rPr>
                <w:noProof/>
                <w:webHidden/>
              </w:rPr>
              <w:t>34</w:t>
            </w:r>
            <w:r>
              <w:rPr>
                <w:noProof/>
                <w:webHidden/>
              </w:rPr>
              <w:fldChar w:fldCharType="end"/>
            </w:r>
          </w:hyperlink>
        </w:p>
        <w:p w:rsidR="00CA648C" w:rsidRDefault="00CA648C" w14:paraId="69061F03" w14:textId="380CCFDB">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8">
            <w:r w:rsidRPr="003049EB">
              <w:rPr>
                <w:rStyle w:val="Hyperlink"/>
                <w:noProof/>
              </w:rPr>
              <w:t>12.5.</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_Toc237414308 \h </w:instrText>
            </w:r>
            <w:r>
              <w:rPr>
                <w:noProof/>
                <w:webHidden/>
              </w:rPr>
            </w:r>
            <w:r>
              <w:rPr>
                <w:noProof/>
                <w:webHidden/>
              </w:rPr>
              <w:fldChar w:fldCharType="separate"/>
            </w:r>
            <w:r w:rsidR="0046425D">
              <w:rPr>
                <w:noProof/>
                <w:webHidden/>
              </w:rPr>
              <w:t>34</w:t>
            </w:r>
            <w:r>
              <w:rPr>
                <w:noProof/>
                <w:webHidden/>
              </w:rPr>
              <w:fldChar w:fldCharType="end"/>
            </w:r>
          </w:hyperlink>
        </w:p>
        <w:p w:rsidR="00CA648C" w:rsidRDefault="00CA648C" w14:paraId="2AE0A150" w14:textId="05A50D59">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9">
            <w:r w:rsidRPr="003049EB">
              <w:rPr>
                <w:rStyle w:val="Hyperlink"/>
                <w:noProof/>
              </w:rPr>
              <w:t>12.6.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_Toc237414309 \h </w:instrText>
            </w:r>
            <w:r>
              <w:rPr>
                <w:noProof/>
                <w:webHidden/>
              </w:rPr>
            </w:r>
            <w:r>
              <w:rPr>
                <w:noProof/>
                <w:webHidden/>
              </w:rPr>
              <w:fldChar w:fldCharType="separate"/>
            </w:r>
            <w:r w:rsidR="0046425D">
              <w:rPr>
                <w:noProof/>
                <w:webHidden/>
              </w:rPr>
              <w:t>34</w:t>
            </w:r>
            <w:r>
              <w:rPr>
                <w:noProof/>
                <w:webHidden/>
              </w:rPr>
              <w:fldChar w:fldCharType="end"/>
            </w:r>
          </w:hyperlink>
        </w:p>
        <w:p w:rsidR="00CA648C" w:rsidRDefault="00CA648C" w14:paraId="06995122" w14:textId="7810AF01">
          <w:pPr>
            <w:pStyle w:val="TOC1"/>
            <w:tabs>
              <w:tab w:val="right" w:leader="dot" w:pos="9350"/>
            </w:tabs>
            <w:rPr>
              <w:rFonts w:asciiTheme="minorHAnsi" w:hAnsiTheme="minorHAnsi" w:cstheme="minorBidi"/>
              <w:noProof/>
              <w:kern w:val="2"/>
              <w:sz w:val="24"/>
              <w:szCs w:val="24"/>
              <w14:ligatures w14:val="standardContextual"/>
            </w:rPr>
          </w:pPr>
          <w:hyperlink w:history="1" w:anchor="_Toc237414310">
            <w:r w:rsidRPr="003049EB">
              <w:rPr>
                <w:rStyle w:val="Hyperlink"/>
                <w:noProof/>
              </w:rPr>
              <w:t>13.</w:t>
            </w:r>
            <w:r>
              <w:rPr>
                <w:rFonts w:asciiTheme="minorHAnsi" w:hAnsiTheme="minorHAnsi" w:cstheme="minorBidi"/>
                <w:noProof/>
                <w:kern w:val="2"/>
                <w:sz w:val="24"/>
                <w:szCs w:val="24"/>
                <w14:ligatures w14:val="standardContextual"/>
              </w:rPr>
              <w:tab/>
            </w:r>
            <w:r w:rsidRPr="003049EB">
              <w:rPr>
                <w:rStyle w:val="Hyperlink"/>
                <w:noProof/>
              </w:rPr>
              <w:t>Settlement Agreements</w:t>
            </w:r>
            <w:r>
              <w:rPr>
                <w:noProof/>
                <w:webHidden/>
              </w:rPr>
              <w:tab/>
            </w:r>
            <w:r>
              <w:rPr>
                <w:noProof/>
                <w:webHidden/>
              </w:rPr>
              <w:fldChar w:fldCharType="begin"/>
            </w:r>
            <w:r>
              <w:rPr>
                <w:noProof/>
                <w:webHidden/>
              </w:rPr>
              <w:instrText xml:space="preserve"> PAGEREF _Toc237414310 \h </w:instrText>
            </w:r>
            <w:r>
              <w:rPr>
                <w:noProof/>
                <w:webHidden/>
              </w:rPr>
            </w:r>
            <w:r>
              <w:rPr>
                <w:noProof/>
                <w:webHidden/>
              </w:rPr>
              <w:fldChar w:fldCharType="separate"/>
            </w:r>
            <w:r w:rsidR="0046425D">
              <w:rPr>
                <w:noProof/>
                <w:webHidden/>
              </w:rPr>
              <w:t>35</w:t>
            </w:r>
            <w:r>
              <w:rPr>
                <w:noProof/>
                <w:webHidden/>
              </w:rPr>
              <w:fldChar w:fldCharType="end"/>
            </w:r>
          </w:hyperlink>
        </w:p>
        <w:p w:rsidR="00CA648C" w:rsidRDefault="00CA648C" w14:paraId="42CA3B60" w14:textId="0C20152C">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1">
            <w:r w:rsidRPr="003049EB">
              <w:rPr>
                <w:rStyle w:val="Hyperlink"/>
                <w:noProof/>
              </w:rPr>
              <w:t>13.1.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_Toc237414311 \h </w:instrText>
            </w:r>
            <w:r>
              <w:rPr>
                <w:noProof/>
                <w:webHidden/>
              </w:rPr>
            </w:r>
            <w:r>
              <w:rPr>
                <w:noProof/>
                <w:webHidden/>
              </w:rPr>
              <w:fldChar w:fldCharType="separate"/>
            </w:r>
            <w:r w:rsidR="0046425D">
              <w:rPr>
                <w:noProof/>
                <w:webHidden/>
              </w:rPr>
              <w:t>35</w:t>
            </w:r>
            <w:r>
              <w:rPr>
                <w:noProof/>
                <w:webHidden/>
              </w:rPr>
              <w:fldChar w:fldCharType="end"/>
            </w:r>
          </w:hyperlink>
        </w:p>
        <w:p w:rsidR="00CA648C" w:rsidRDefault="00CA648C" w14:paraId="6354AA4A" w14:textId="6D478773">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2">
            <w:r w:rsidRPr="003049EB">
              <w:rPr>
                <w:rStyle w:val="Hyperlink"/>
                <w:noProof/>
              </w:rPr>
              <w:t>13.2.</w:t>
            </w:r>
            <w:r>
              <w:rPr>
                <w:rFonts w:asciiTheme="minorHAnsi" w:hAnsiTheme="minorHAnsi" w:cstheme="minorBidi"/>
                <w:noProof/>
                <w:kern w:val="2"/>
                <w:sz w:val="24"/>
                <w:szCs w:val="24"/>
                <w14:ligatures w14:val="standardContextual"/>
              </w:rPr>
              <w:tab/>
            </w:r>
            <w:r w:rsidRPr="003049EB">
              <w:rPr>
                <w:rStyle w:val="Hyperlink"/>
                <w:noProof/>
              </w:rPr>
              <w:t>Joint Applicant and CETF</w:t>
            </w:r>
            <w:r>
              <w:rPr>
                <w:noProof/>
                <w:webHidden/>
              </w:rPr>
              <w:tab/>
            </w:r>
            <w:r>
              <w:rPr>
                <w:noProof/>
                <w:webHidden/>
              </w:rPr>
              <w:fldChar w:fldCharType="begin"/>
            </w:r>
            <w:r>
              <w:rPr>
                <w:noProof/>
                <w:webHidden/>
              </w:rPr>
              <w:instrText xml:space="preserve"> PAGEREF _Toc237414312 \h </w:instrText>
            </w:r>
            <w:r>
              <w:rPr>
                <w:noProof/>
                <w:webHidden/>
              </w:rPr>
            </w:r>
            <w:r>
              <w:rPr>
                <w:noProof/>
                <w:webHidden/>
              </w:rPr>
              <w:fldChar w:fldCharType="separate"/>
            </w:r>
            <w:r w:rsidR="0046425D">
              <w:rPr>
                <w:noProof/>
                <w:webHidden/>
              </w:rPr>
              <w:t>37</w:t>
            </w:r>
            <w:r>
              <w:rPr>
                <w:noProof/>
                <w:webHidden/>
              </w:rPr>
              <w:fldChar w:fldCharType="end"/>
            </w:r>
          </w:hyperlink>
        </w:p>
        <w:p w:rsidR="00CA648C" w:rsidRDefault="00CA648C" w14:paraId="4215BF9C" w14:textId="782464F3">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3">
            <w:r w:rsidRPr="003049EB">
              <w:rPr>
                <w:rStyle w:val="Hyperlink"/>
                <w:noProof/>
              </w:rPr>
              <w:t>13.3.</w:t>
            </w:r>
            <w:r>
              <w:rPr>
                <w:rFonts w:asciiTheme="minorHAnsi" w:hAnsiTheme="minorHAnsi" w:cstheme="minorBidi"/>
                <w:noProof/>
                <w:kern w:val="2"/>
                <w:sz w:val="24"/>
                <w:szCs w:val="24"/>
                <w14:ligatures w14:val="standardContextual"/>
              </w:rPr>
              <w:tab/>
            </w:r>
            <w:r w:rsidRPr="003049EB">
              <w:rPr>
                <w:rStyle w:val="Hyperlink"/>
                <w:noProof/>
              </w:rPr>
              <w:t>Standard of Review</w:t>
            </w:r>
            <w:r>
              <w:rPr>
                <w:noProof/>
                <w:webHidden/>
              </w:rPr>
              <w:tab/>
            </w:r>
            <w:r>
              <w:rPr>
                <w:noProof/>
                <w:webHidden/>
              </w:rPr>
              <w:fldChar w:fldCharType="begin"/>
            </w:r>
            <w:r>
              <w:rPr>
                <w:noProof/>
                <w:webHidden/>
              </w:rPr>
              <w:instrText xml:space="preserve"> PAGEREF _Toc237414313 \h </w:instrText>
            </w:r>
            <w:r>
              <w:rPr>
                <w:noProof/>
                <w:webHidden/>
              </w:rPr>
            </w:r>
            <w:r>
              <w:rPr>
                <w:noProof/>
                <w:webHidden/>
              </w:rPr>
              <w:fldChar w:fldCharType="separate"/>
            </w:r>
            <w:r w:rsidR="0046425D">
              <w:rPr>
                <w:noProof/>
                <w:webHidden/>
              </w:rPr>
              <w:t>38</w:t>
            </w:r>
            <w:r>
              <w:rPr>
                <w:noProof/>
                <w:webHidden/>
              </w:rPr>
              <w:fldChar w:fldCharType="end"/>
            </w:r>
          </w:hyperlink>
        </w:p>
        <w:p w:rsidR="00CA648C" w:rsidRDefault="00CA648C" w14:paraId="57649EA2" w14:textId="4490675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4">
            <w:r w:rsidRPr="003049EB">
              <w:rPr>
                <w:rStyle w:val="Hyperlink"/>
                <w:noProof/>
              </w:rPr>
              <w:t>13.4.</w:t>
            </w:r>
            <w:r>
              <w:rPr>
                <w:rFonts w:asciiTheme="minorHAnsi" w:hAnsiTheme="minorHAnsi" w:cstheme="minorBidi"/>
                <w:noProof/>
                <w:kern w:val="2"/>
                <w:sz w:val="24"/>
                <w:szCs w:val="24"/>
                <w14:ligatures w14:val="standardContextual"/>
              </w:rPr>
              <w:tab/>
            </w:r>
            <w:r w:rsidRPr="003049EB">
              <w:rPr>
                <w:rStyle w:val="Hyperlink"/>
                <w:noProof/>
              </w:rPr>
              <w:t>Rule 12.1(c)</w:t>
            </w:r>
            <w:r>
              <w:rPr>
                <w:noProof/>
                <w:webHidden/>
              </w:rPr>
              <w:tab/>
            </w:r>
            <w:r>
              <w:rPr>
                <w:noProof/>
                <w:webHidden/>
              </w:rPr>
              <w:fldChar w:fldCharType="begin"/>
            </w:r>
            <w:r>
              <w:rPr>
                <w:noProof/>
                <w:webHidden/>
              </w:rPr>
              <w:instrText xml:space="preserve"> PAGEREF _Toc237414314 \h </w:instrText>
            </w:r>
            <w:r>
              <w:rPr>
                <w:noProof/>
                <w:webHidden/>
              </w:rPr>
            </w:r>
            <w:r>
              <w:rPr>
                <w:noProof/>
                <w:webHidden/>
              </w:rPr>
              <w:fldChar w:fldCharType="separate"/>
            </w:r>
            <w:r w:rsidR="0046425D">
              <w:rPr>
                <w:noProof/>
                <w:webHidden/>
              </w:rPr>
              <w:t>39</w:t>
            </w:r>
            <w:r>
              <w:rPr>
                <w:noProof/>
                <w:webHidden/>
              </w:rPr>
              <w:fldChar w:fldCharType="end"/>
            </w:r>
          </w:hyperlink>
        </w:p>
        <w:p w:rsidR="00CA648C" w:rsidRDefault="00CA648C" w14:paraId="4A269A52" w14:textId="7EF879E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5">
            <w:r w:rsidRPr="003049EB">
              <w:rPr>
                <w:rStyle w:val="Hyperlink"/>
                <w:noProof/>
              </w:rPr>
              <w:t>13.5.</w:t>
            </w:r>
            <w:r>
              <w:rPr>
                <w:rFonts w:asciiTheme="minorHAnsi" w:hAnsiTheme="minorHAnsi" w:cstheme="minorBidi"/>
                <w:noProof/>
                <w:kern w:val="2"/>
                <w:sz w:val="24"/>
                <w:szCs w:val="24"/>
                <w14:ligatures w14:val="standardContextual"/>
              </w:rPr>
              <w:tab/>
            </w:r>
            <w:r w:rsidRPr="003049EB">
              <w:rPr>
                <w:rStyle w:val="Hyperlink"/>
                <w:noProof/>
              </w:rPr>
              <w:t>Reasonable In Light of the Whole Record</w:t>
            </w:r>
            <w:r>
              <w:rPr>
                <w:noProof/>
                <w:webHidden/>
              </w:rPr>
              <w:tab/>
            </w:r>
            <w:r>
              <w:rPr>
                <w:noProof/>
                <w:webHidden/>
              </w:rPr>
              <w:fldChar w:fldCharType="begin"/>
            </w:r>
            <w:r>
              <w:rPr>
                <w:noProof/>
                <w:webHidden/>
              </w:rPr>
              <w:instrText xml:space="preserve"> PAGEREF _Toc237414315 \h </w:instrText>
            </w:r>
            <w:r>
              <w:rPr>
                <w:noProof/>
                <w:webHidden/>
              </w:rPr>
            </w:r>
            <w:r>
              <w:rPr>
                <w:noProof/>
                <w:webHidden/>
              </w:rPr>
              <w:fldChar w:fldCharType="separate"/>
            </w:r>
            <w:r w:rsidR="0046425D">
              <w:rPr>
                <w:noProof/>
                <w:webHidden/>
              </w:rPr>
              <w:t>39</w:t>
            </w:r>
            <w:r>
              <w:rPr>
                <w:noProof/>
                <w:webHidden/>
              </w:rPr>
              <w:fldChar w:fldCharType="end"/>
            </w:r>
          </w:hyperlink>
        </w:p>
        <w:p w:rsidR="00CA648C" w:rsidRDefault="00CA648C" w14:paraId="45FB2417" w14:textId="750BA35D">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6">
            <w:r w:rsidRPr="003049EB">
              <w:rPr>
                <w:rStyle w:val="Hyperlink"/>
                <w:noProof/>
              </w:rPr>
              <w:t>13.5.1.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_Toc237414316 \h </w:instrText>
            </w:r>
            <w:r>
              <w:rPr>
                <w:noProof/>
                <w:webHidden/>
              </w:rPr>
            </w:r>
            <w:r>
              <w:rPr>
                <w:noProof/>
                <w:webHidden/>
              </w:rPr>
              <w:fldChar w:fldCharType="separate"/>
            </w:r>
            <w:r w:rsidR="0046425D">
              <w:rPr>
                <w:noProof/>
                <w:webHidden/>
              </w:rPr>
              <w:t>40</w:t>
            </w:r>
            <w:r>
              <w:rPr>
                <w:noProof/>
                <w:webHidden/>
              </w:rPr>
              <w:fldChar w:fldCharType="end"/>
            </w:r>
          </w:hyperlink>
        </w:p>
        <w:p w:rsidR="00CA648C" w:rsidRDefault="00CA648C" w14:paraId="4EA45A33" w14:textId="62E6102A">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7">
            <w:r w:rsidRPr="003049EB">
              <w:rPr>
                <w:rStyle w:val="Hyperlink"/>
                <w:noProof/>
              </w:rPr>
              <w:t>13.5.2.</w:t>
            </w:r>
            <w:r>
              <w:rPr>
                <w:rFonts w:asciiTheme="minorHAnsi" w:hAnsiTheme="minorHAnsi" w:cstheme="minorBidi"/>
                <w:noProof/>
                <w:kern w:val="2"/>
                <w:sz w:val="24"/>
                <w:szCs w:val="24"/>
                <w14:ligatures w14:val="standardContextual"/>
              </w:rPr>
              <w:tab/>
            </w:r>
            <w:r w:rsidRPr="003049EB">
              <w:rPr>
                <w:rStyle w:val="Hyperlink"/>
                <w:noProof/>
              </w:rPr>
              <w:t>Joint Applicants and CETF</w:t>
            </w:r>
            <w:r>
              <w:rPr>
                <w:noProof/>
                <w:webHidden/>
              </w:rPr>
              <w:tab/>
            </w:r>
            <w:r>
              <w:rPr>
                <w:noProof/>
                <w:webHidden/>
              </w:rPr>
              <w:fldChar w:fldCharType="begin"/>
            </w:r>
            <w:r>
              <w:rPr>
                <w:noProof/>
                <w:webHidden/>
              </w:rPr>
              <w:instrText xml:space="preserve"> PAGEREF _Toc237414317 \h </w:instrText>
            </w:r>
            <w:r>
              <w:rPr>
                <w:noProof/>
                <w:webHidden/>
              </w:rPr>
            </w:r>
            <w:r>
              <w:rPr>
                <w:noProof/>
                <w:webHidden/>
              </w:rPr>
              <w:fldChar w:fldCharType="separate"/>
            </w:r>
            <w:r w:rsidR="0046425D">
              <w:rPr>
                <w:noProof/>
                <w:webHidden/>
              </w:rPr>
              <w:t>40</w:t>
            </w:r>
            <w:r>
              <w:rPr>
                <w:noProof/>
                <w:webHidden/>
              </w:rPr>
              <w:fldChar w:fldCharType="end"/>
            </w:r>
          </w:hyperlink>
        </w:p>
        <w:p w:rsidR="00CA648C" w:rsidRDefault="00CA648C" w14:paraId="12253A2F" w14:textId="22D1D064">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8">
            <w:r w:rsidRPr="003049EB">
              <w:rPr>
                <w:rStyle w:val="Hyperlink"/>
                <w:noProof/>
              </w:rPr>
              <w:t>13.5.3.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_Toc237414318 \h </w:instrText>
            </w:r>
            <w:r>
              <w:rPr>
                <w:noProof/>
                <w:webHidden/>
              </w:rPr>
            </w:r>
            <w:r>
              <w:rPr>
                <w:noProof/>
                <w:webHidden/>
              </w:rPr>
              <w:fldChar w:fldCharType="separate"/>
            </w:r>
            <w:r w:rsidR="0046425D">
              <w:rPr>
                <w:noProof/>
                <w:webHidden/>
              </w:rPr>
              <w:t>41</w:t>
            </w:r>
            <w:r>
              <w:rPr>
                <w:noProof/>
                <w:webHidden/>
              </w:rPr>
              <w:fldChar w:fldCharType="end"/>
            </w:r>
          </w:hyperlink>
        </w:p>
        <w:p w:rsidR="00CA648C" w:rsidRDefault="00CA648C" w14:paraId="3935E6E1" w14:textId="1722E528">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9">
            <w:r w:rsidRPr="003049EB">
              <w:rPr>
                <w:rStyle w:val="Hyperlink"/>
                <w:noProof/>
              </w:rPr>
              <w:t>13.5.4.</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_Toc237414319 \h </w:instrText>
            </w:r>
            <w:r>
              <w:rPr>
                <w:noProof/>
                <w:webHidden/>
              </w:rPr>
            </w:r>
            <w:r>
              <w:rPr>
                <w:noProof/>
                <w:webHidden/>
              </w:rPr>
              <w:fldChar w:fldCharType="separate"/>
            </w:r>
            <w:r w:rsidR="0046425D">
              <w:rPr>
                <w:noProof/>
                <w:webHidden/>
              </w:rPr>
              <w:t>41</w:t>
            </w:r>
            <w:r>
              <w:rPr>
                <w:noProof/>
                <w:webHidden/>
              </w:rPr>
              <w:fldChar w:fldCharType="end"/>
            </w:r>
          </w:hyperlink>
        </w:p>
        <w:p w:rsidR="00CA648C" w:rsidRDefault="00CA648C" w14:paraId="63E71C5B" w14:textId="15F7D6F9">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0">
            <w:r w:rsidRPr="003049EB">
              <w:rPr>
                <w:rStyle w:val="Hyperlink"/>
                <w:noProof/>
              </w:rPr>
              <w:t>13.5.5.</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_Toc237414320 \h </w:instrText>
            </w:r>
            <w:r>
              <w:rPr>
                <w:noProof/>
                <w:webHidden/>
              </w:rPr>
            </w:r>
            <w:r>
              <w:rPr>
                <w:noProof/>
                <w:webHidden/>
              </w:rPr>
              <w:fldChar w:fldCharType="separate"/>
            </w:r>
            <w:r w:rsidR="0046425D">
              <w:rPr>
                <w:noProof/>
                <w:webHidden/>
              </w:rPr>
              <w:t>42</w:t>
            </w:r>
            <w:r>
              <w:rPr>
                <w:noProof/>
                <w:webHidden/>
              </w:rPr>
              <w:fldChar w:fldCharType="end"/>
            </w:r>
          </w:hyperlink>
        </w:p>
        <w:p w:rsidR="00CA648C" w:rsidRDefault="00CA648C" w14:paraId="3437A800" w14:textId="57ED353B">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1">
            <w:r w:rsidRPr="003049EB">
              <w:rPr>
                <w:rStyle w:val="Hyperlink"/>
                <w:noProof/>
              </w:rPr>
              <w:t>13.5.6.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_Toc237414321 \h </w:instrText>
            </w:r>
            <w:r>
              <w:rPr>
                <w:noProof/>
                <w:webHidden/>
              </w:rPr>
            </w:r>
            <w:r>
              <w:rPr>
                <w:noProof/>
                <w:webHidden/>
              </w:rPr>
              <w:fldChar w:fldCharType="separate"/>
            </w:r>
            <w:r w:rsidR="0046425D">
              <w:rPr>
                <w:noProof/>
                <w:webHidden/>
              </w:rPr>
              <w:t>42</w:t>
            </w:r>
            <w:r>
              <w:rPr>
                <w:noProof/>
                <w:webHidden/>
              </w:rPr>
              <w:fldChar w:fldCharType="end"/>
            </w:r>
          </w:hyperlink>
        </w:p>
        <w:p w:rsidR="00CA648C" w:rsidRDefault="00CA648C" w14:paraId="5634D2C7" w14:textId="031545CB">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22">
            <w:r w:rsidRPr="003049EB">
              <w:rPr>
                <w:rStyle w:val="Hyperlink"/>
                <w:noProof/>
              </w:rPr>
              <w:t>13.6.</w:t>
            </w:r>
            <w:r>
              <w:rPr>
                <w:rFonts w:asciiTheme="minorHAnsi" w:hAnsiTheme="minorHAnsi" w:cstheme="minorBidi"/>
                <w:noProof/>
                <w:kern w:val="2"/>
                <w:sz w:val="24"/>
                <w:szCs w:val="24"/>
                <w14:ligatures w14:val="standardContextual"/>
              </w:rPr>
              <w:tab/>
            </w:r>
            <w:r w:rsidRPr="003049EB">
              <w:rPr>
                <w:rStyle w:val="Hyperlink"/>
                <w:noProof/>
              </w:rPr>
              <w:t>Consistent with the Law</w:t>
            </w:r>
            <w:r>
              <w:rPr>
                <w:noProof/>
                <w:webHidden/>
              </w:rPr>
              <w:tab/>
            </w:r>
            <w:r>
              <w:rPr>
                <w:noProof/>
                <w:webHidden/>
              </w:rPr>
              <w:fldChar w:fldCharType="begin"/>
            </w:r>
            <w:r>
              <w:rPr>
                <w:noProof/>
                <w:webHidden/>
              </w:rPr>
              <w:instrText xml:space="preserve"> PAGEREF _Toc237414322 \h </w:instrText>
            </w:r>
            <w:r>
              <w:rPr>
                <w:noProof/>
                <w:webHidden/>
              </w:rPr>
            </w:r>
            <w:r>
              <w:rPr>
                <w:noProof/>
                <w:webHidden/>
              </w:rPr>
              <w:fldChar w:fldCharType="separate"/>
            </w:r>
            <w:r w:rsidR="0046425D">
              <w:rPr>
                <w:noProof/>
                <w:webHidden/>
              </w:rPr>
              <w:t>44</w:t>
            </w:r>
            <w:r>
              <w:rPr>
                <w:noProof/>
                <w:webHidden/>
              </w:rPr>
              <w:fldChar w:fldCharType="end"/>
            </w:r>
          </w:hyperlink>
        </w:p>
        <w:p w:rsidR="00CA648C" w:rsidRDefault="00CA648C" w14:paraId="438700C6" w14:textId="1013CBC3">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3">
            <w:r w:rsidRPr="003049EB">
              <w:rPr>
                <w:rStyle w:val="Hyperlink"/>
                <w:noProof/>
              </w:rPr>
              <w:t>13.6.1.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_Toc237414323 \h </w:instrText>
            </w:r>
            <w:r>
              <w:rPr>
                <w:noProof/>
                <w:webHidden/>
              </w:rPr>
            </w:r>
            <w:r>
              <w:rPr>
                <w:noProof/>
                <w:webHidden/>
              </w:rPr>
              <w:fldChar w:fldCharType="separate"/>
            </w:r>
            <w:r w:rsidR="0046425D">
              <w:rPr>
                <w:noProof/>
                <w:webHidden/>
              </w:rPr>
              <w:t>44</w:t>
            </w:r>
            <w:r>
              <w:rPr>
                <w:noProof/>
                <w:webHidden/>
              </w:rPr>
              <w:fldChar w:fldCharType="end"/>
            </w:r>
          </w:hyperlink>
        </w:p>
        <w:p w:rsidR="00CA648C" w:rsidRDefault="00CA648C" w14:paraId="2D3575A9" w14:textId="3CCC2DF8">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4">
            <w:r w:rsidRPr="003049EB">
              <w:rPr>
                <w:rStyle w:val="Hyperlink"/>
                <w:noProof/>
              </w:rPr>
              <w:t>13.6.2.</w:t>
            </w:r>
            <w:r>
              <w:rPr>
                <w:rFonts w:asciiTheme="minorHAnsi" w:hAnsiTheme="minorHAnsi" w:cstheme="minorBidi"/>
                <w:noProof/>
                <w:kern w:val="2"/>
                <w:sz w:val="24"/>
                <w:szCs w:val="24"/>
                <w14:ligatures w14:val="standardContextual"/>
              </w:rPr>
              <w:tab/>
            </w:r>
            <w:r w:rsidRPr="003049EB">
              <w:rPr>
                <w:rStyle w:val="Hyperlink"/>
                <w:noProof/>
              </w:rPr>
              <w:t>Joint Applicants and CETF</w:t>
            </w:r>
            <w:r>
              <w:rPr>
                <w:noProof/>
                <w:webHidden/>
              </w:rPr>
              <w:tab/>
            </w:r>
            <w:r>
              <w:rPr>
                <w:noProof/>
                <w:webHidden/>
              </w:rPr>
              <w:fldChar w:fldCharType="begin"/>
            </w:r>
            <w:r>
              <w:rPr>
                <w:noProof/>
                <w:webHidden/>
              </w:rPr>
              <w:instrText xml:space="preserve"> PAGEREF _Toc237414324 \h </w:instrText>
            </w:r>
            <w:r>
              <w:rPr>
                <w:noProof/>
                <w:webHidden/>
              </w:rPr>
            </w:r>
            <w:r>
              <w:rPr>
                <w:noProof/>
                <w:webHidden/>
              </w:rPr>
              <w:fldChar w:fldCharType="separate"/>
            </w:r>
            <w:r w:rsidR="0046425D">
              <w:rPr>
                <w:noProof/>
                <w:webHidden/>
              </w:rPr>
              <w:t>44</w:t>
            </w:r>
            <w:r>
              <w:rPr>
                <w:noProof/>
                <w:webHidden/>
              </w:rPr>
              <w:fldChar w:fldCharType="end"/>
            </w:r>
          </w:hyperlink>
        </w:p>
        <w:p w:rsidR="00CA648C" w:rsidRDefault="00CA648C" w14:paraId="76EFA40A" w14:textId="5BB4F26C">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5">
            <w:r w:rsidRPr="003049EB">
              <w:rPr>
                <w:rStyle w:val="Hyperlink"/>
                <w:noProof/>
              </w:rPr>
              <w:t>13.6.3.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_Toc237414325 \h </w:instrText>
            </w:r>
            <w:r>
              <w:rPr>
                <w:noProof/>
                <w:webHidden/>
              </w:rPr>
            </w:r>
            <w:r>
              <w:rPr>
                <w:noProof/>
                <w:webHidden/>
              </w:rPr>
              <w:fldChar w:fldCharType="separate"/>
            </w:r>
            <w:r w:rsidR="0046425D">
              <w:rPr>
                <w:noProof/>
                <w:webHidden/>
              </w:rPr>
              <w:t>45</w:t>
            </w:r>
            <w:r>
              <w:rPr>
                <w:noProof/>
                <w:webHidden/>
              </w:rPr>
              <w:fldChar w:fldCharType="end"/>
            </w:r>
          </w:hyperlink>
        </w:p>
        <w:p w:rsidR="00CA648C" w:rsidRDefault="00CA648C" w14:paraId="6275170E" w14:textId="1433E671">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6">
            <w:r w:rsidRPr="003049EB">
              <w:rPr>
                <w:rStyle w:val="Hyperlink"/>
                <w:noProof/>
              </w:rPr>
              <w:t>13.6.4.</w:t>
            </w:r>
            <w:r>
              <w:rPr>
                <w:rFonts w:asciiTheme="minorHAnsi" w:hAnsiTheme="minorHAnsi" w:cstheme="minorBidi"/>
                <w:noProof/>
                <w:kern w:val="2"/>
                <w:sz w:val="24"/>
                <w:szCs w:val="24"/>
                <w14:ligatures w14:val="standardContextual"/>
              </w:rPr>
              <w:tab/>
            </w:r>
            <w:r w:rsidRPr="003049EB">
              <w:rPr>
                <w:rStyle w:val="Hyperlink"/>
                <w:noProof/>
              </w:rPr>
              <w:t>Joint Advocates (CforAT, Media Alliance, CADE, FCDI, EBBC, and DELA)</w:t>
            </w:r>
            <w:r>
              <w:rPr>
                <w:noProof/>
                <w:webHidden/>
              </w:rPr>
              <w:tab/>
            </w:r>
            <w:r>
              <w:rPr>
                <w:noProof/>
                <w:webHidden/>
              </w:rPr>
              <w:fldChar w:fldCharType="begin"/>
            </w:r>
            <w:r>
              <w:rPr>
                <w:noProof/>
                <w:webHidden/>
              </w:rPr>
              <w:instrText xml:space="preserve"> PAGEREF _Toc237414326 \h </w:instrText>
            </w:r>
            <w:r>
              <w:rPr>
                <w:noProof/>
                <w:webHidden/>
              </w:rPr>
            </w:r>
            <w:r>
              <w:rPr>
                <w:noProof/>
                <w:webHidden/>
              </w:rPr>
              <w:fldChar w:fldCharType="separate"/>
            </w:r>
            <w:r w:rsidR="0046425D">
              <w:rPr>
                <w:noProof/>
                <w:webHidden/>
              </w:rPr>
              <w:t>45</w:t>
            </w:r>
            <w:r>
              <w:rPr>
                <w:noProof/>
                <w:webHidden/>
              </w:rPr>
              <w:fldChar w:fldCharType="end"/>
            </w:r>
          </w:hyperlink>
        </w:p>
        <w:p w:rsidR="00CA648C" w:rsidRDefault="00CA648C" w14:paraId="41026501" w14:textId="3E7BD395">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7">
            <w:r w:rsidRPr="003049EB">
              <w:rPr>
                <w:rStyle w:val="Hyperlink"/>
                <w:noProof/>
              </w:rPr>
              <w:t>13.6.5.</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_Toc237414327 \h </w:instrText>
            </w:r>
            <w:r>
              <w:rPr>
                <w:noProof/>
                <w:webHidden/>
              </w:rPr>
            </w:r>
            <w:r>
              <w:rPr>
                <w:noProof/>
                <w:webHidden/>
              </w:rPr>
              <w:fldChar w:fldCharType="separate"/>
            </w:r>
            <w:r w:rsidR="0046425D">
              <w:rPr>
                <w:noProof/>
                <w:webHidden/>
              </w:rPr>
              <w:t>45</w:t>
            </w:r>
            <w:r>
              <w:rPr>
                <w:noProof/>
                <w:webHidden/>
              </w:rPr>
              <w:fldChar w:fldCharType="end"/>
            </w:r>
          </w:hyperlink>
        </w:p>
        <w:p w:rsidR="00CA648C" w:rsidRDefault="00CA648C" w14:paraId="13E9A6F1" w14:textId="1617AC8F">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8">
            <w:r w:rsidRPr="003049EB">
              <w:rPr>
                <w:rStyle w:val="Hyperlink"/>
                <w:noProof/>
              </w:rPr>
              <w:t>13.6.6.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_Toc237414328 \h </w:instrText>
            </w:r>
            <w:r>
              <w:rPr>
                <w:noProof/>
                <w:webHidden/>
              </w:rPr>
            </w:r>
            <w:r>
              <w:rPr>
                <w:noProof/>
                <w:webHidden/>
              </w:rPr>
              <w:fldChar w:fldCharType="separate"/>
            </w:r>
            <w:r w:rsidR="0046425D">
              <w:rPr>
                <w:noProof/>
                <w:webHidden/>
              </w:rPr>
              <w:t>45</w:t>
            </w:r>
            <w:r>
              <w:rPr>
                <w:noProof/>
                <w:webHidden/>
              </w:rPr>
              <w:fldChar w:fldCharType="end"/>
            </w:r>
          </w:hyperlink>
        </w:p>
        <w:p w:rsidR="00CA648C" w:rsidRDefault="00CA648C" w14:paraId="05B61B49" w14:textId="7E5D32AC">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29">
            <w:r w:rsidRPr="003049EB">
              <w:rPr>
                <w:rStyle w:val="Hyperlink"/>
                <w:noProof/>
              </w:rPr>
              <w:t>13.7.</w:t>
            </w:r>
            <w:r>
              <w:rPr>
                <w:rFonts w:asciiTheme="minorHAnsi" w:hAnsiTheme="minorHAnsi" w:cstheme="minorBidi"/>
                <w:noProof/>
                <w:kern w:val="2"/>
                <w:sz w:val="24"/>
                <w:szCs w:val="24"/>
                <w14:ligatures w14:val="standardContextual"/>
              </w:rPr>
              <w:tab/>
            </w:r>
            <w:r w:rsidRPr="003049EB">
              <w:rPr>
                <w:rStyle w:val="Hyperlink"/>
                <w:noProof/>
              </w:rPr>
              <w:t>In the Public Interest</w:t>
            </w:r>
            <w:r>
              <w:rPr>
                <w:noProof/>
                <w:webHidden/>
              </w:rPr>
              <w:tab/>
            </w:r>
            <w:r>
              <w:rPr>
                <w:noProof/>
                <w:webHidden/>
              </w:rPr>
              <w:fldChar w:fldCharType="begin"/>
            </w:r>
            <w:r>
              <w:rPr>
                <w:noProof/>
                <w:webHidden/>
              </w:rPr>
              <w:instrText xml:space="preserve"> PAGEREF _Toc237414329 \h </w:instrText>
            </w:r>
            <w:r>
              <w:rPr>
                <w:noProof/>
                <w:webHidden/>
              </w:rPr>
            </w:r>
            <w:r>
              <w:rPr>
                <w:noProof/>
                <w:webHidden/>
              </w:rPr>
              <w:fldChar w:fldCharType="separate"/>
            </w:r>
            <w:r w:rsidR="0046425D">
              <w:rPr>
                <w:noProof/>
                <w:webHidden/>
              </w:rPr>
              <w:t>46</w:t>
            </w:r>
            <w:r>
              <w:rPr>
                <w:noProof/>
                <w:webHidden/>
              </w:rPr>
              <w:fldChar w:fldCharType="end"/>
            </w:r>
          </w:hyperlink>
        </w:p>
        <w:p w:rsidR="00CA648C" w:rsidRDefault="00CA648C" w14:paraId="364167AF" w14:textId="029DA1C8">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0">
            <w:r w:rsidRPr="003049EB">
              <w:rPr>
                <w:rStyle w:val="Hyperlink"/>
                <w:noProof/>
              </w:rPr>
              <w:t>13.7.1.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_Toc237414330 \h </w:instrText>
            </w:r>
            <w:r>
              <w:rPr>
                <w:noProof/>
                <w:webHidden/>
              </w:rPr>
            </w:r>
            <w:r>
              <w:rPr>
                <w:noProof/>
                <w:webHidden/>
              </w:rPr>
              <w:fldChar w:fldCharType="separate"/>
            </w:r>
            <w:r w:rsidR="0046425D">
              <w:rPr>
                <w:noProof/>
                <w:webHidden/>
              </w:rPr>
              <w:t>46</w:t>
            </w:r>
            <w:r>
              <w:rPr>
                <w:noProof/>
                <w:webHidden/>
              </w:rPr>
              <w:fldChar w:fldCharType="end"/>
            </w:r>
          </w:hyperlink>
        </w:p>
        <w:p w:rsidR="00CA648C" w:rsidRDefault="00CA648C" w14:paraId="063365D7" w14:textId="4E1AB936">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1">
            <w:r w:rsidRPr="003049EB">
              <w:rPr>
                <w:rStyle w:val="Hyperlink"/>
                <w:noProof/>
              </w:rPr>
              <w:t>13.7.2.</w:t>
            </w:r>
            <w:r>
              <w:rPr>
                <w:rFonts w:asciiTheme="minorHAnsi" w:hAnsiTheme="minorHAnsi" w:cstheme="minorBidi"/>
                <w:noProof/>
                <w:kern w:val="2"/>
                <w:sz w:val="24"/>
                <w:szCs w:val="24"/>
                <w14:ligatures w14:val="standardContextual"/>
              </w:rPr>
              <w:tab/>
            </w:r>
            <w:r w:rsidRPr="003049EB">
              <w:rPr>
                <w:rStyle w:val="Hyperlink"/>
                <w:noProof/>
              </w:rPr>
              <w:t>Joint Applicants and CETF</w:t>
            </w:r>
            <w:r>
              <w:rPr>
                <w:noProof/>
                <w:webHidden/>
              </w:rPr>
              <w:tab/>
            </w:r>
            <w:r>
              <w:rPr>
                <w:noProof/>
                <w:webHidden/>
              </w:rPr>
              <w:fldChar w:fldCharType="begin"/>
            </w:r>
            <w:r>
              <w:rPr>
                <w:noProof/>
                <w:webHidden/>
              </w:rPr>
              <w:instrText xml:space="preserve"> PAGEREF _Toc237414331 \h </w:instrText>
            </w:r>
            <w:r>
              <w:rPr>
                <w:noProof/>
                <w:webHidden/>
              </w:rPr>
            </w:r>
            <w:r>
              <w:rPr>
                <w:noProof/>
                <w:webHidden/>
              </w:rPr>
              <w:fldChar w:fldCharType="separate"/>
            </w:r>
            <w:r w:rsidR="0046425D">
              <w:rPr>
                <w:noProof/>
                <w:webHidden/>
              </w:rPr>
              <w:t>46</w:t>
            </w:r>
            <w:r>
              <w:rPr>
                <w:noProof/>
                <w:webHidden/>
              </w:rPr>
              <w:fldChar w:fldCharType="end"/>
            </w:r>
          </w:hyperlink>
        </w:p>
        <w:p w:rsidR="00CA648C" w:rsidRDefault="00CA648C" w14:paraId="7CD6A498" w14:textId="5A019B84">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2">
            <w:r w:rsidRPr="003049EB">
              <w:rPr>
                <w:rStyle w:val="Hyperlink"/>
                <w:noProof/>
              </w:rPr>
              <w:t>13.7.3.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_Toc237414332 \h </w:instrText>
            </w:r>
            <w:r>
              <w:rPr>
                <w:noProof/>
                <w:webHidden/>
              </w:rPr>
            </w:r>
            <w:r>
              <w:rPr>
                <w:noProof/>
                <w:webHidden/>
              </w:rPr>
              <w:fldChar w:fldCharType="separate"/>
            </w:r>
            <w:r w:rsidR="0046425D">
              <w:rPr>
                <w:noProof/>
                <w:webHidden/>
              </w:rPr>
              <w:t>47</w:t>
            </w:r>
            <w:r>
              <w:rPr>
                <w:noProof/>
                <w:webHidden/>
              </w:rPr>
              <w:fldChar w:fldCharType="end"/>
            </w:r>
          </w:hyperlink>
        </w:p>
        <w:p w:rsidR="00CA648C" w:rsidRDefault="00CA648C" w14:paraId="517563F6" w14:textId="52EAF0E4">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3">
            <w:r w:rsidRPr="003049EB">
              <w:rPr>
                <w:rStyle w:val="Hyperlink"/>
                <w:noProof/>
              </w:rPr>
              <w:t>13.7.4.</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_Toc237414333 \h </w:instrText>
            </w:r>
            <w:r>
              <w:rPr>
                <w:noProof/>
                <w:webHidden/>
              </w:rPr>
            </w:r>
            <w:r>
              <w:rPr>
                <w:noProof/>
                <w:webHidden/>
              </w:rPr>
              <w:fldChar w:fldCharType="separate"/>
            </w:r>
            <w:r w:rsidR="0046425D">
              <w:rPr>
                <w:noProof/>
                <w:webHidden/>
              </w:rPr>
              <w:t>48</w:t>
            </w:r>
            <w:r>
              <w:rPr>
                <w:noProof/>
                <w:webHidden/>
              </w:rPr>
              <w:fldChar w:fldCharType="end"/>
            </w:r>
          </w:hyperlink>
        </w:p>
        <w:p w:rsidR="00CA648C" w:rsidRDefault="00CA648C" w14:paraId="1F88C13E" w14:textId="6A3F45ED">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4">
            <w:r w:rsidRPr="003049EB">
              <w:rPr>
                <w:rStyle w:val="Hyperlink"/>
                <w:noProof/>
              </w:rPr>
              <w:t>13.7.5.</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_Toc237414334 \h </w:instrText>
            </w:r>
            <w:r>
              <w:rPr>
                <w:noProof/>
                <w:webHidden/>
              </w:rPr>
            </w:r>
            <w:r>
              <w:rPr>
                <w:noProof/>
                <w:webHidden/>
              </w:rPr>
              <w:fldChar w:fldCharType="separate"/>
            </w:r>
            <w:r w:rsidR="0046425D">
              <w:rPr>
                <w:noProof/>
                <w:webHidden/>
              </w:rPr>
              <w:t>48</w:t>
            </w:r>
            <w:r>
              <w:rPr>
                <w:noProof/>
                <w:webHidden/>
              </w:rPr>
              <w:fldChar w:fldCharType="end"/>
            </w:r>
          </w:hyperlink>
        </w:p>
        <w:p w:rsidR="00CA648C" w:rsidRDefault="00CA648C" w14:paraId="5C6A1813" w14:textId="07697492">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5">
            <w:r w:rsidRPr="003049EB">
              <w:rPr>
                <w:rStyle w:val="Hyperlink"/>
                <w:noProof/>
              </w:rPr>
              <w:t>13.7.6.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_Toc237414335 \h </w:instrText>
            </w:r>
            <w:r>
              <w:rPr>
                <w:noProof/>
                <w:webHidden/>
              </w:rPr>
            </w:r>
            <w:r>
              <w:rPr>
                <w:noProof/>
                <w:webHidden/>
              </w:rPr>
              <w:fldChar w:fldCharType="separate"/>
            </w:r>
            <w:r w:rsidR="0046425D">
              <w:rPr>
                <w:noProof/>
                <w:webHidden/>
              </w:rPr>
              <w:t>49</w:t>
            </w:r>
            <w:r>
              <w:rPr>
                <w:noProof/>
                <w:webHidden/>
              </w:rPr>
              <w:fldChar w:fldCharType="end"/>
            </w:r>
          </w:hyperlink>
        </w:p>
        <w:p w:rsidR="00CA648C" w:rsidRDefault="00CA648C" w14:paraId="6D2A85B7" w14:textId="057F47B1">
          <w:pPr>
            <w:pStyle w:val="TOC1"/>
            <w:tabs>
              <w:tab w:val="right" w:leader="dot" w:pos="9350"/>
            </w:tabs>
            <w:rPr>
              <w:rFonts w:asciiTheme="minorHAnsi" w:hAnsiTheme="minorHAnsi" w:cstheme="minorBidi"/>
              <w:noProof/>
              <w:kern w:val="2"/>
              <w:sz w:val="24"/>
              <w:szCs w:val="24"/>
              <w14:ligatures w14:val="standardContextual"/>
            </w:rPr>
          </w:pPr>
          <w:hyperlink w:history="1" w:anchor="_Toc237414336">
            <w:r w:rsidRPr="003049EB">
              <w:rPr>
                <w:rStyle w:val="Hyperlink"/>
                <w:noProof/>
              </w:rPr>
              <w:t>14.</w:t>
            </w:r>
            <w:r>
              <w:rPr>
                <w:rFonts w:asciiTheme="minorHAnsi" w:hAnsiTheme="minorHAnsi" w:cstheme="minorBidi"/>
                <w:noProof/>
                <w:kern w:val="2"/>
                <w:sz w:val="24"/>
                <w:szCs w:val="24"/>
                <w14:ligatures w14:val="standardContextual"/>
              </w:rPr>
              <w:tab/>
            </w:r>
            <w:r w:rsidRPr="003049EB">
              <w:rPr>
                <w:rStyle w:val="Hyperlink"/>
                <w:noProof/>
              </w:rPr>
              <w:t>Mitigation Measures Required to Find the Proposed Transaction in the Public Interest under Pub. Util. Code Sec. 854(c)(8)</w:t>
            </w:r>
            <w:r>
              <w:rPr>
                <w:noProof/>
                <w:webHidden/>
              </w:rPr>
              <w:tab/>
            </w:r>
            <w:r>
              <w:rPr>
                <w:noProof/>
                <w:webHidden/>
              </w:rPr>
              <w:fldChar w:fldCharType="begin"/>
            </w:r>
            <w:r>
              <w:rPr>
                <w:noProof/>
                <w:webHidden/>
              </w:rPr>
              <w:instrText xml:space="preserve"> PAGEREF _Toc237414336 \h </w:instrText>
            </w:r>
            <w:r>
              <w:rPr>
                <w:noProof/>
                <w:webHidden/>
              </w:rPr>
            </w:r>
            <w:r>
              <w:rPr>
                <w:noProof/>
                <w:webHidden/>
              </w:rPr>
              <w:fldChar w:fldCharType="separate"/>
            </w:r>
            <w:r w:rsidR="0046425D">
              <w:rPr>
                <w:noProof/>
                <w:webHidden/>
              </w:rPr>
              <w:t>49</w:t>
            </w:r>
            <w:r>
              <w:rPr>
                <w:noProof/>
                <w:webHidden/>
              </w:rPr>
              <w:fldChar w:fldCharType="end"/>
            </w:r>
          </w:hyperlink>
        </w:p>
        <w:p w:rsidR="00CA648C" w:rsidRDefault="00CA648C" w14:paraId="13589E24" w14:textId="5A41EFBA">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37">
            <w:r w:rsidRPr="003049EB">
              <w:rPr>
                <w:rStyle w:val="Hyperlink"/>
                <w:noProof/>
              </w:rPr>
              <w:t>14.1.</w:t>
            </w:r>
            <w:r>
              <w:rPr>
                <w:rFonts w:asciiTheme="minorHAnsi" w:hAnsiTheme="minorHAnsi" w:cstheme="minorBidi"/>
                <w:noProof/>
                <w:kern w:val="2"/>
                <w:sz w:val="24"/>
                <w:szCs w:val="24"/>
                <w14:ligatures w14:val="standardContextual"/>
              </w:rPr>
              <w:tab/>
            </w:r>
            <w:r w:rsidRPr="003049EB">
              <w:rPr>
                <w:rStyle w:val="Hyperlink"/>
                <w:noProof/>
              </w:rPr>
              <w:t>Mitigation Measure 1: Public Safety - Provide Battery Backup Availability and Annual Notice</w:t>
            </w:r>
            <w:r>
              <w:rPr>
                <w:noProof/>
                <w:webHidden/>
              </w:rPr>
              <w:tab/>
            </w:r>
            <w:r>
              <w:rPr>
                <w:noProof/>
                <w:webHidden/>
              </w:rPr>
              <w:fldChar w:fldCharType="begin"/>
            </w:r>
            <w:r>
              <w:rPr>
                <w:noProof/>
                <w:webHidden/>
              </w:rPr>
              <w:instrText xml:space="preserve"> PAGEREF _Toc237414337 \h </w:instrText>
            </w:r>
            <w:r>
              <w:rPr>
                <w:noProof/>
                <w:webHidden/>
              </w:rPr>
            </w:r>
            <w:r>
              <w:rPr>
                <w:noProof/>
                <w:webHidden/>
              </w:rPr>
              <w:fldChar w:fldCharType="separate"/>
            </w:r>
            <w:r w:rsidR="0046425D">
              <w:rPr>
                <w:noProof/>
                <w:webHidden/>
              </w:rPr>
              <w:t>50</w:t>
            </w:r>
            <w:r>
              <w:rPr>
                <w:noProof/>
                <w:webHidden/>
              </w:rPr>
              <w:fldChar w:fldCharType="end"/>
            </w:r>
          </w:hyperlink>
        </w:p>
        <w:p w:rsidR="00CA648C" w:rsidRDefault="00CA648C" w14:paraId="49B78AD8" w14:textId="514216B3">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38">
            <w:r w:rsidRPr="003049EB">
              <w:rPr>
                <w:rStyle w:val="Hyperlink"/>
                <w:noProof/>
              </w:rPr>
              <w:t>14.2.</w:t>
            </w:r>
            <w:r>
              <w:rPr>
                <w:rFonts w:asciiTheme="minorHAnsi" w:hAnsiTheme="minorHAnsi" w:cstheme="minorBidi"/>
                <w:noProof/>
                <w:kern w:val="2"/>
                <w:sz w:val="24"/>
                <w:szCs w:val="24"/>
                <w14:ligatures w14:val="standardContextual"/>
              </w:rPr>
              <w:tab/>
            </w:r>
            <w:r w:rsidRPr="003049EB">
              <w:rPr>
                <w:rStyle w:val="Hyperlink"/>
                <w:noProof/>
              </w:rPr>
              <w:t>Mitigation Measure 2: Public Safety – Ensure Resiliency and Reliability of the Broadband Network</w:t>
            </w:r>
            <w:r>
              <w:rPr>
                <w:noProof/>
                <w:webHidden/>
              </w:rPr>
              <w:tab/>
            </w:r>
            <w:r>
              <w:rPr>
                <w:noProof/>
                <w:webHidden/>
              </w:rPr>
              <w:fldChar w:fldCharType="begin"/>
            </w:r>
            <w:r>
              <w:rPr>
                <w:noProof/>
                <w:webHidden/>
              </w:rPr>
              <w:instrText xml:space="preserve"> PAGEREF _Toc237414338 \h </w:instrText>
            </w:r>
            <w:r>
              <w:rPr>
                <w:noProof/>
                <w:webHidden/>
              </w:rPr>
            </w:r>
            <w:r>
              <w:rPr>
                <w:noProof/>
                <w:webHidden/>
              </w:rPr>
              <w:fldChar w:fldCharType="separate"/>
            </w:r>
            <w:r w:rsidR="0046425D">
              <w:rPr>
                <w:noProof/>
                <w:webHidden/>
              </w:rPr>
              <w:t>50</w:t>
            </w:r>
            <w:r>
              <w:rPr>
                <w:noProof/>
                <w:webHidden/>
              </w:rPr>
              <w:fldChar w:fldCharType="end"/>
            </w:r>
          </w:hyperlink>
        </w:p>
        <w:p w:rsidR="00CA648C" w:rsidRDefault="00CA648C" w14:paraId="21564A0D" w14:textId="51CF9F2C">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39">
            <w:r w:rsidRPr="003049EB">
              <w:rPr>
                <w:rStyle w:val="Hyperlink"/>
                <w:noProof/>
              </w:rPr>
              <w:t>14.3.</w:t>
            </w:r>
            <w:r>
              <w:rPr>
                <w:rFonts w:asciiTheme="minorHAnsi" w:hAnsiTheme="minorHAnsi" w:cstheme="minorBidi"/>
                <w:noProof/>
                <w:kern w:val="2"/>
                <w:sz w:val="24"/>
                <w:szCs w:val="24"/>
                <w14:ligatures w14:val="standardContextual"/>
              </w:rPr>
              <w:tab/>
            </w:r>
            <w:r w:rsidRPr="003049EB">
              <w:rPr>
                <w:rStyle w:val="Hyperlink"/>
                <w:noProof/>
              </w:rPr>
              <w:t>Mitigation 3: Require Adherence to the Current Laws for PEG Channel Management</w:t>
            </w:r>
            <w:r>
              <w:rPr>
                <w:noProof/>
                <w:webHidden/>
              </w:rPr>
              <w:tab/>
            </w:r>
            <w:r>
              <w:rPr>
                <w:noProof/>
                <w:webHidden/>
              </w:rPr>
              <w:fldChar w:fldCharType="begin"/>
            </w:r>
            <w:r>
              <w:rPr>
                <w:noProof/>
                <w:webHidden/>
              </w:rPr>
              <w:instrText xml:space="preserve"> PAGEREF _Toc237414339 \h </w:instrText>
            </w:r>
            <w:r>
              <w:rPr>
                <w:noProof/>
                <w:webHidden/>
              </w:rPr>
            </w:r>
            <w:r>
              <w:rPr>
                <w:noProof/>
                <w:webHidden/>
              </w:rPr>
              <w:fldChar w:fldCharType="separate"/>
            </w:r>
            <w:r w:rsidR="0046425D">
              <w:rPr>
                <w:noProof/>
                <w:webHidden/>
              </w:rPr>
              <w:t>51</w:t>
            </w:r>
            <w:r>
              <w:rPr>
                <w:noProof/>
                <w:webHidden/>
              </w:rPr>
              <w:fldChar w:fldCharType="end"/>
            </w:r>
          </w:hyperlink>
        </w:p>
        <w:p w:rsidR="00CA648C" w:rsidRDefault="00CA648C" w14:paraId="06639670" w14:textId="5F27B278">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0">
            <w:r w:rsidRPr="003049EB">
              <w:rPr>
                <w:rStyle w:val="Hyperlink"/>
                <w:noProof/>
              </w:rPr>
              <w:t>14.4.</w:t>
            </w:r>
            <w:r>
              <w:rPr>
                <w:rFonts w:asciiTheme="minorHAnsi" w:hAnsiTheme="minorHAnsi" w:cstheme="minorBidi"/>
                <w:noProof/>
                <w:kern w:val="2"/>
                <w:sz w:val="24"/>
                <w:szCs w:val="24"/>
                <w14:ligatures w14:val="standardContextual"/>
              </w:rPr>
              <w:tab/>
            </w:r>
            <w:r w:rsidRPr="003049EB">
              <w:rPr>
                <w:rStyle w:val="Hyperlink"/>
                <w:noProof/>
              </w:rPr>
              <w:t>Mitigation 4: Honoring Agreements</w:t>
            </w:r>
            <w:r>
              <w:rPr>
                <w:noProof/>
                <w:webHidden/>
              </w:rPr>
              <w:tab/>
            </w:r>
            <w:r>
              <w:rPr>
                <w:noProof/>
                <w:webHidden/>
              </w:rPr>
              <w:fldChar w:fldCharType="begin"/>
            </w:r>
            <w:r>
              <w:rPr>
                <w:noProof/>
                <w:webHidden/>
              </w:rPr>
              <w:instrText xml:space="preserve"> PAGEREF _Toc237414340 \h </w:instrText>
            </w:r>
            <w:r>
              <w:rPr>
                <w:noProof/>
                <w:webHidden/>
              </w:rPr>
            </w:r>
            <w:r>
              <w:rPr>
                <w:noProof/>
                <w:webHidden/>
              </w:rPr>
              <w:fldChar w:fldCharType="separate"/>
            </w:r>
            <w:r w:rsidR="0046425D">
              <w:rPr>
                <w:noProof/>
                <w:webHidden/>
              </w:rPr>
              <w:t>53</w:t>
            </w:r>
            <w:r>
              <w:rPr>
                <w:noProof/>
                <w:webHidden/>
              </w:rPr>
              <w:fldChar w:fldCharType="end"/>
            </w:r>
          </w:hyperlink>
        </w:p>
        <w:p w:rsidR="00CA648C" w:rsidRDefault="00CA648C" w14:paraId="358F05A1" w14:textId="39B3649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1">
            <w:r w:rsidRPr="003049EB">
              <w:rPr>
                <w:rStyle w:val="Hyperlink"/>
                <w:noProof/>
              </w:rPr>
              <w:t>14.5.</w:t>
            </w:r>
            <w:r>
              <w:rPr>
                <w:rFonts w:asciiTheme="minorHAnsi" w:hAnsiTheme="minorHAnsi" w:cstheme="minorBidi"/>
                <w:noProof/>
                <w:kern w:val="2"/>
                <w:sz w:val="24"/>
                <w:szCs w:val="24"/>
                <w14:ligatures w14:val="standardContextual"/>
              </w:rPr>
              <w:tab/>
            </w:r>
            <w:r w:rsidRPr="003049EB">
              <w:rPr>
                <w:rStyle w:val="Hyperlink"/>
                <w:noProof/>
              </w:rPr>
              <w:t>Mitigation 5: No Hidden Fees</w:t>
            </w:r>
            <w:r>
              <w:rPr>
                <w:noProof/>
                <w:webHidden/>
              </w:rPr>
              <w:tab/>
            </w:r>
            <w:r>
              <w:rPr>
                <w:noProof/>
                <w:webHidden/>
              </w:rPr>
              <w:fldChar w:fldCharType="begin"/>
            </w:r>
            <w:r>
              <w:rPr>
                <w:noProof/>
                <w:webHidden/>
              </w:rPr>
              <w:instrText xml:space="preserve"> PAGEREF _Toc237414341 \h </w:instrText>
            </w:r>
            <w:r>
              <w:rPr>
                <w:noProof/>
                <w:webHidden/>
              </w:rPr>
            </w:r>
            <w:r>
              <w:rPr>
                <w:noProof/>
                <w:webHidden/>
              </w:rPr>
              <w:fldChar w:fldCharType="separate"/>
            </w:r>
            <w:r w:rsidR="0046425D">
              <w:rPr>
                <w:noProof/>
                <w:webHidden/>
              </w:rPr>
              <w:t>54</w:t>
            </w:r>
            <w:r>
              <w:rPr>
                <w:noProof/>
                <w:webHidden/>
              </w:rPr>
              <w:fldChar w:fldCharType="end"/>
            </w:r>
          </w:hyperlink>
        </w:p>
        <w:p w:rsidR="00CA648C" w:rsidRDefault="00CA648C" w14:paraId="4AD7BB24" w14:textId="6025B80C">
          <w:pPr>
            <w:pStyle w:val="TOC1"/>
            <w:tabs>
              <w:tab w:val="right" w:leader="dot" w:pos="9350"/>
            </w:tabs>
            <w:rPr>
              <w:rFonts w:asciiTheme="minorHAnsi" w:hAnsiTheme="minorHAnsi" w:cstheme="minorBidi"/>
              <w:noProof/>
              <w:kern w:val="2"/>
              <w:sz w:val="24"/>
              <w:szCs w:val="24"/>
              <w14:ligatures w14:val="standardContextual"/>
            </w:rPr>
          </w:pPr>
          <w:hyperlink w:history="1" w:anchor="_Toc237414342">
            <w:r w:rsidRPr="003049EB">
              <w:rPr>
                <w:rStyle w:val="Hyperlink"/>
                <w:noProof/>
              </w:rPr>
              <w:t>15.</w:t>
            </w:r>
            <w:r>
              <w:rPr>
                <w:rFonts w:asciiTheme="minorHAnsi" w:hAnsiTheme="minorHAnsi" w:cstheme="minorBidi"/>
                <w:noProof/>
                <w:kern w:val="2"/>
                <w:sz w:val="24"/>
                <w:szCs w:val="24"/>
                <w14:ligatures w14:val="standardContextual"/>
              </w:rPr>
              <w:tab/>
            </w:r>
            <w:r w:rsidRPr="003049EB">
              <w:rPr>
                <w:rStyle w:val="Hyperlink"/>
                <w:noProof/>
              </w:rPr>
              <w:t>Enforcement and Reporting</w:t>
            </w:r>
            <w:r>
              <w:rPr>
                <w:noProof/>
                <w:webHidden/>
              </w:rPr>
              <w:tab/>
            </w:r>
            <w:r>
              <w:rPr>
                <w:noProof/>
                <w:webHidden/>
              </w:rPr>
              <w:fldChar w:fldCharType="begin"/>
            </w:r>
            <w:r>
              <w:rPr>
                <w:noProof/>
                <w:webHidden/>
              </w:rPr>
              <w:instrText xml:space="preserve"> PAGEREF _Toc237414342 \h </w:instrText>
            </w:r>
            <w:r>
              <w:rPr>
                <w:noProof/>
                <w:webHidden/>
              </w:rPr>
            </w:r>
            <w:r>
              <w:rPr>
                <w:noProof/>
                <w:webHidden/>
              </w:rPr>
              <w:fldChar w:fldCharType="separate"/>
            </w:r>
            <w:r w:rsidR="0046425D">
              <w:rPr>
                <w:noProof/>
                <w:webHidden/>
              </w:rPr>
              <w:t>55</w:t>
            </w:r>
            <w:r>
              <w:rPr>
                <w:noProof/>
                <w:webHidden/>
              </w:rPr>
              <w:fldChar w:fldCharType="end"/>
            </w:r>
          </w:hyperlink>
        </w:p>
        <w:p w:rsidR="00CA648C" w:rsidRDefault="00CA648C" w14:paraId="5133431F" w14:textId="1039546D">
          <w:pPr>
            <w:pStyle w:val="TOC1"/>
            <w:tabs>
              <w:tab w:val="right" w:leader="dot" w:pos="9350"/>
            </w:tabs>
            <w:rPr>
              <w:rFonts w:asciiTheme="minorHAnsi" w:hAnsiTheme="minorHAnsi" w:cstheme="minorBidi"/>
              <w:noProof/>
              <w:kern w:val="2"/>
              <w:sz w:val="24"/>
              <w:szCs w:val="24"/>
              <w14:ligatures w14:val="standardContextual"/>
            </w:rPr>
          </w:pPr>
          <w:hyperlink w:history="1" w:anchor="_Toc237414343">
            <w:r w:rsidRPr="003049EB">
              <w:rPr>
                <w:rStyle w:val="Hyperlink"/>
                <w:noProof/>
              </w:rPr>
              <w:t>16.</w:t>
            </w:r>
            <w:r>
              <w:rPr>
                <w:rFonts w:asciiTheme="minorHAnsi" w:hAnsiTheme="minorHAnsi" w:cstheme="minorBidi"/>
                <w:noProof/>
                <w:kern w:val="2"/>
                <w:sz w:val="24"/>
                <w:szCs w:val="24"/>
                <w14:ligatures w14:val="standardContextual"/>
              </w:rPr>
              <w:tab/>
            </w:r>
            <w:r w:rsidRPr="003049EB">
              <w:rPr>
                <w:rStyle w:val="Hyperlink"/>
                <w:noProof/>
              </w:rPr>
              <w:t>Summary of Public Comment</w:t>
            </w:r>
            <w:r>
              <w:rPr>
                <w:noProof/>
                <w:webHidden/>
              </w:rPr>
              <w:tab/>
            </w:r>
            <w:r>
              <w:rPr>
                <w:noProof/>
                <w:webHidden/>
              </w:rPr>
              <w:fldChar w:fldCharType="begin"/>
            </w:r>
            <w:r>
              <w:rPr>
                <w:noProof/>
                <w:webHidden/>
              </w:rPr>
              <w:instrText xml:space="preserve"> PAGEREF _Toc237414343 \h </w:instrText>
            </w:r>
            <w:r>
              <w:rPr>
                <w:noProof/>
                <w:webHidden/>
              </w:rPr>
            </w:r>
            <w:r>
              <w:rPr>
                <w:noProof/>
                <w:webHidden/>
              </w:rPr>
              <w:fldChar w:fldCharType="separate"/>
            </w:r>
            <w:r w:rsidR="0046425D">
              <w:rPr>
                <w:noProof/>
                <w:webHidden/>
              </w:rPr>
              <w:t>55</w:t>
            </w:r>
            <w:r>
              <w:rPr>
                <w:noProof/>
                <w:webHidden/>
              </w:rPr>
              <w:fldChar w:fldCharType="end"/>
            </w:r>
          </w:hyperlink>
        </w:p>
        <w:p w:rsidR="00CA648C" w:rsidRDefault="00CA648C" w14:paraId="36A2DD72" w14:textId="0306989B">
          <w:pPr>
            <w:pStyle w:val="TOC1"/>
            <w:tabs>
              <w:tab w:val="right" w:leader="dot" w:pos="9350"/>
            </w:tabs>
            <w:rPr>
              <w:rFonts w:asciiTheme="minorHAnsi" w:hAnsiTheme="minorHAnsi" w:cstheme="minorBidi"/>
              <w:noProof/>
              <w:kern w:val="2"/>
              <w:sz w:val="24"/>
              <w:szCs w:val="24"/>
              <w14:ligatures w14:val="standardContextual"/>
            </w:rPr>
          </w:pPr>
          <w:hyperlink w:history="1" w:anchor="_Toc237414344">
            <w:r w:rsidRPr="003049EB">
              <w:rPr>
                <w:rStyle w:val="Hyperlink"/>
                <w:noProof/>
              </w:rPr>
              <w:t>17.</w:t>
            </w:r>
            <w:r>
              <w:rPr>
                <w:rFonts w:asciiTheme="minorHAnsi" w:hAnsiTheme="minorHAnsi" w:cstheme="minorBidi"/>
                <w:noProof/>
                <w:kern w:val="2"/>
                <w:sz w:val="24"/>
                <w:szCs w:val="24"/>
                <w14:ligatures w14:val="standardContextual"/>
              </w:rPr>
              <w:tab/>
            </w:r>
            <w:r w:rsidRPr="003049EB">
              <w:rPr>
                <w:rStyle w:val="Hyperlink"/>
                <w:noProof/>
              </w:rPr>
              <w:t>Procedural Matters</w:t>
            </w:r>
            <w:r>
              <w:rPr>
                <w:noProof/>
                <w:webHidden/>
              </w:rPr>
              <w:tab/>
            </w:r>
            <w:r>
              <w:rPr>
                <w:noProof/>
                <w:webHidden/>
              </w:rPr>
              <w:fldChar w:fldCharType="begin"/>
            </w:r>
            <w:r>
              <w:rPr>
                <w:noProof/>
                <w:webHidden/>
              </w:rPr>
              <w:instrText xml:space="preserve"> PAGEREF _Toc237414344 \h </w:instrText>
            </w:r>
            <w:r>
              <w:rPr>
                <w:noProof/>
                <w:webHidden/>
              </w:rPr>
            </w:r>
            <w:r>
              <w:rPr>
                <w:noProof/>
                <w:webHidden/>
              </w:rPr>
              <w:fldChar w:fldCharType="separate"/>
            </w:r>
            <w:r w:rsidR="0046425D">
              <w:rPr>
                <w:noProof/>
                <w:webHidden/>
              </w:rPr>
              <w:t>55</w:t>
            </w:r>
            <w:r>
              <w:rPr>
                <w:noProof/>
                <w:webHidden/>
              </w:rPr>
              <w:fldChar w:fldCharType="end"/>
            </w:r>
          </w:hyperlink>
        </w:p>
        <w:p w:rsidR="00CA648C" w:rsidRDefault="00CA648C" w14:paraId="21162872" w14:textId="6577B74B">
          <w:pPr>
            <w:pStyle w:val="TOC1"/>
            <w:tabs>
              <w:tab w:val="right" w:leader="dot" w:pos="9350"/>
            </w:tabs>
            <w:rPr>
              <w:rFonts w:asciiTheme="minorHAnsi" w:hAnsiTheme="minorHAnsi" w:cstheme="minorBidi"/>
              <w:noProof/>
              <w:kern w:val="2"/>
              <w:sz w:val="24"/>
              <w:szCs w:val="24"/>
              <w14:ligatures w14:val="standardContextual"/>
            </w:rPr>
          </w:pPr>
          <w:hyperlink w:history="1" w:anchor="_Toc237414345">
            <w:r w:rsidRPr="003049EB">
              <w:rPr>
                <w:rStyle w:val="Hyperlink"/>
                <w:noProof/>
              </w:rPr>
              <w:t>18.</w:t>
            </w:r>
            <w:r>
              <w:rPr>
                <w:rFonts w:asciiTheme="minorHAnsi" w:hAnsiTheme="minorHAnsi" w:cstheme="minorBidi"/>
                <w:noProof/>
                <w:kern w:val="2"/>
                <w:sz w:val="24"/>
                <w:szCs w:val="24"/>
                <w14:ligatures w14:val="standardContextual"/>
              </w:rPr>
              <w:tab/>
            </w:r>
            <w:r w:rsidRPr="003049EB">
              <w:rPr>
                <w:rStyle w:val="Hyperlink"/>
                <w:noProof/>
              </w:rPr>
              <w:t>Comments on Proposed Decision</w:t>
            </w:r>
            <w:r>
              <w:rPr>
                <w:noProof/>
                <w:webHidden/>
              </w:rPr>
              <w:tab/>
            </w:r>
            <w:r>
              <w:rPr>
                <w:noProof/>
                <w:webHidden/>
              </w:rPr>
              <w:fldChar w:fldCharType="begin"/>
            </w:r>
            <w:r>
              <w:rPr>
                <w:noProof/>
                <w:webHidden/>
              </w:rPr>
              <w:instrText xml:space="preserve"> PAGEREF _Toc237414345 \h </w:instrText>
            </w:r>
            <w:r>
              <w:rPr>
                <w:noProof/>
                <w:webHidden/>
              </w:rPr>
            </w:r>
            <w:r>
              <w:rPr>
                <w:noProof/>
                <w:webHidden/>
              </w:rPr>
              <w:fldChar w:fldCharType="separate"/>
            </w:r>
            <w:r w:rsidR="0046425D">
              <w:rPr>
                <w:noProof/>
                <w:webHidden/>
              </w:rPr>
              <w:t>58</w:t>
            </w:r>
            <w:r>
              <w:rPr>
                <w:noProof/>
                <w:webHidden/>
              </w:rPr>
              <w:fldChar w:fldCharType="end"/>
            </w:r>
          </w:hyperlink>
        </w:p>
        <w:p w:rsidR="00CA648C" w:rsidRDefault="00CA648C" w14:paraId="6A1A6292" w14:textId="39C5571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6">
            <w:r w:rsidRPr="003049EB">
              <w:rPr>
                <w:rStyle w:val="Hyperlink"/>
                <w:noProof/>
              </w:rPr>
              <w:t>18.1.</w:t>
            </w:r>
            <w:r>
              <w:rPr>
                <w:rFonts w:asciiTheme="minorHAnsi" w:hAnsiTheme="minorHAnsi" w:cstheme="minorBidi"/>
                <w:noProof/>
                <w:kern w:val="2"/>
                <w:sz w:val="24"/>
                <w:szCs w:val="24"/>
                <w14:ligatures w14:val="standardContextual"/>
              </w:rPr>
              <w:tab/>
            </w:r>
            <w:r w:rsidRPr="003049EB">
              <w:rPr>
                <w:rStyle w:val="Hyperlink"/>
                <w:noProof/>
              </w:rPr>
              <w:t>Ordering Paragraph 4</w:t>
            </w:r>
            <w:r>
              <w:rPr>
                <w:noProof/>
                <w:webHidden/>
              </w:rPr>
              <w:tab/>
            </w:r>
            <w:r>
              <w:rPr>
                <w:noProof/>
                <w:webHidden/>
              </w:rPr>
              <w:fldChar w:fldCharType="begin"/>
            </w:r>
            <w:r>
              <w:rPr>
                <w:noProof/>
                <w:webHidden/>
              </w:rPr>
              <w:instrText xml:space="preserve"> PAGEREF _Toc237414346 \h </w:instrText>
            </w:r>
            <w:r>
              <w:rPr>
                <w:noProof/>
                <w:webHidden/>
              </w:rPr>
            </w:r>
            <w:r>
              <w:rPr>
                <w:noProof/>
                <w:webHidden/>
              </w:rPr>
              <w:fldChar w:fldCharType="separate"/>
            </w:r>
            <w:r w:rsidR="0046425D">
              <w:rPr>
                <w:noProof/>
                <w:webHidden/>
              </w:rPr>
              <w:t>58</w:t>
            </w:r>
            <w:r>
              <w:rPr>
                <w:noProof/>
                <w:webHidden/>
              </w:rPr>
              <w:fldChar w:fldCharType="end"/>
            </w:r>
          </w:hyperlink>
        </w:p>
        <w:p w:rsidR="00CA648C" w:rsidRDefault="00CA648C" w14:paraId="11446DFB" w14:textId="4FB70DAD">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7">
            <w:r w:rsidRPr="003049EB">
              <w:rPr>
                <w:rStyle w:val="Hyperlink"/>
                <w:noProof/>
              </w:rPr>
              <w:t>18.2.</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_Toc237414347 \h </w:instrText>
            </w:r>
            <w:r>
              <w:rPr>
                <w:noProof/>
                <w:webHidden/>
              </w:rPr>
            </w:r>
            <w:r>
              <w:rPr>
                <w:noProof/>
                <w:webHidden/>
              </w:rPr>
              <w:fldChar w:fldCharType="separate"/>
            </w:r>
            <w:r w:rsidR="0046425D">
              <w:rPr>
                <w:noProof/>
                <w:webHidden/>
              </w:rPr>
              <w:t>59</w:t>
            </w:r>
            <w:r>
              <w:rPr>
                <w:noProof/>
                <w:webHidden/>
              </w:rPr>
              <w:fldChar w:fldCharType="end"/>
            </w:r>
          </w:hyperlink>
        </w:p>
        <w:p w:rsidR="00CA648C" w:rsidRDefault="00CA648C" w14:paraId="093C0217" w14:textId="7E40B93E">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48">
            <w:r w:rsidRPr="003049EB">
              <w:rPr>
                <w:rStyle w:val="Hyperlink"/>
                <w:noProof/>
              </w:rPr>
              <w:t>18.2.1.</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_Toc237414348 \h </w:instrText>
            </w:r>
            <w:r>
              <w:rPr>
                <w:noProof/>
                <w:webHidden/>
              </w:rPr>
            </w:r>
            <w:r>
              <w:rPr>
                <w:noProof/>
                <w:webHidden/>
              </w:rPr>
              <w:fldChar w:fldCharType="separate"/>
            </w:r>
            <w:r w:rsidR="0046425D">
              <w:rPr>
                <w:noProof/>
                <w:webHidden/>
              </w:rPr>
              <w:t>59</w:t>
            </w:r>
            <w:r>
              <w:rPr>
                <w:noProof/>
                <w:webHidden/>
              </w:rPr>
              <w:fldChar w:fldCharType="end"/>
            </w:r>
          </w:hyperlink>
        </w:p>
        <w:p w:rsidR="00CA648C" w:rsidRDefault="00CA648C" w14:paraId="5E28DFE8" w14:textId="07AA73DC">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49">
            <w:r w:rsidRPr="003049EB">
              <w:rPr>
                <w:rStyle w:val="Hyperlink"/>
                <w:noProof/>
              </w:rPr>
              <w:t>18.2.2.</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_Toc237414349 \h </w:instrText>
            </w:r>
            <w:r>
              <w:rPr>
                <w:noProof/>
                <w:webHidden/>
              </w:rPr>
            </w:r>
            <w:r>
              <w:rPr>
                <w:noProof/>
                <w:webHidden/>
              </w:rPr>
              <w:fldChar w:fldCharType="separate"/>
            </w:r>
            <w:r w:rsidR="0046425D">
              <w:rPr>
                <w:noProof/>
                <w:webHidden/>
              </w:rPr>
              <w:t>59</w:t>
            </w:r>
            <w:r>
              <w:rPr>
                <w:noProof/>
                <w:webHidden/>
              </w:rPr>
              <w:fldChar w:fldCharType="end"/>
            </w:r>
          </w:hyperlink>
        </w:p>
        <w:p w:rsidR="00CA648C" w:rsidRDefault="00CA648C" w14:paraId="61229FEB" w14:textId="11E36B0C">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0">
            <w:r w:rsidRPr="003049EB">
              <w:rPr>
                <w:rStyle w:val="Hyperlink"/>
                <w:noProof/>
              </w:rPr>
              <w:t>18.2.3.</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_Toc237414350 \h </w:instrText>
            </w:r>
            <w:r>
              <w:rPr>
                <w:noProof/>
                <w:webHidden/>
              </w:rPr>
            </w:r>
            <w:r>
              <w:rPr>
                <w:noProof/>
                <w:webHidden/>
              </w:rPr>
              <w:fldChar w:fldCharType="separate"/>
            </w:r>
            <w:r w:rsidR="0046425D">
              <w:rPr>
                <w:noProof/>
                <w:webHidden/>
              </w:rPr>
              <w:t>59</w:t>
            </w:r>
            <w:r>
              <w:rPr>
                <w:noProof/>
                <w:webHidden/>
              </w:rPr>
              <w:fldChar w:fldCharType="end"/>
            </w:r>
          </w:hyperlink>
        </w:p>
        <w:p w:rsidR="00CA648C" w:rsidRDefault="00CA648C" w14:paraId="085DF602" w14:textId="0F8D9E0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1">
            <w:r w:rsidRPr="003049EB">
              <w:rPr>
                <w:rStyle w:val="Hyperlink"/>
                <w:noProof/>
              </w:rPr>
              <w:t>18.3.</w:t>
            </w:r>
            <w:r>
              <w:rPr>
                <w:rFonts w:asciiTheme="minorHAnsi" w:hAnsiTheme="minorHAnsi" w:cstheme="minorBidi"/>
                <w:noProof/>
                <w:kern w:val="2"/>
                <w:sz w:val="24"/>
                <w:szCs w:val="24"/>
                <w14:ligatures w14:val="standardContextual"/>
              </w:rPr>
              <w:tab/>
            </w:r>
            <w:r w:rsidRPr="003049EB">
              <w:rPr>
                <w:rStyle w:val="Hyperlink"/>
                <w:noProof/>
              </w:rPr>
              <w:t>Ordering Paragraphs 5 and 6</w:t>
            </w:r>
            <w:r>
              <w:rPr>
                <w:noProof/>
                <w:webHidden/>
              </w:rPr>
              <w:tab/>
            </w:r>
            <w:r>
              <w:rPr>
                <w:noProof/>
                <w:webHidden/>
              </w:rPr>
              <w:fldChar w:fldCharType="begin"/>
            </w:r>
            <w:r>
              <w:rPr>
                <w:noProof/>
                <w:webHidden/>
              </w:rPr>
              <w:instrText xml:space="preserve"> PAGEREF _Toc237414351 \h </w:instrText>
            </w:r>
            <w:r>
              <w:rPr>
                <w:noProof/>
                <w:webHidden/>
              </w:rPr>
            </w:r>
            <w:r>
              <w:rPr>
                <w:noProof/>
                <w:webHidden/>
              </w:rPr>
              <w:fldChar w:fldCharType="separate"/>
            </w:r>
            <w:r w:rsidR="0046425D">
              <w:rPr>
                <w:noProof/>
                <w:webHidden/>
              </w:rPr>
              <w:t>60</w:t>
            </w:r>
            <w:r>
              <w:rPr>
                <w:noProof/>
                <w:webHidden/>
              </w:rPr>
              <w:fldChar w:fldCharType="end"/>
            </w:r>
          </w:hyperlink>
        </w:p>
        <w:p w:rsidR="00CA648C" w:rsidRDefault="00CA648C" w14:paraId="17B352F7" w14:textId="43B7F6F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2">
            <w:r w:rsidRPr="003049EB">
              <w:rPr>
                <w:rStyle w:val="Hyperlink"/>
                <w:noProof/>
              </w:rPr>
              <w:t>18.4.</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_Toc237414352 \h </w:instrText>
            </w:r>
            <w:r>
              <w:rPr>
                <w:noProof/>
                <w:webHidden/>
              </w:rPr>
            </w:r>
            <w:r>
              <w:rPr>
                <w:noProof/>
                <w:webHidden/>
              </w:rPr>
              <w:fldChar w:fldCharType="separate"/>
            </w:r>
            <w:r w:rsidR="0046425D">
              <w:rPr>
                <w:noProof/>
                <w:webHidden/>
              </w:rPr>
              <w:t>60</w:t>
            </w:r>
            <w:r>
              <w:rPr>
                <w:noProof/>
                <w:webHidden/>
              </w:rPr>
              <w:fldChar w:fldCharType="end"/>
            </w:r>
          </w:hyperlink>
        </w:p>
        <w:p w:rsidR="00CA648C" w:rsidRDefault="00CA648C" w14:paraId="558295F6" w14:textId="51FFF05D">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3">
            <w:r w:rsidRPr="003049EB">
              <w:rPr>
                <w:rStyle w:val="Hyperlink"/>
                <w:noProof/>
              </w:rPr>
              <w:t>18.4.1.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_Toc237414353 \h </w:instrText>
            </w:r>
            <w:r>
              <w:rPr>
                <w:noProof/>
                <w:webHidden/>
              </w:rPr>
            </w:r>
            <w:r>
              <w:rPr>
                <w:noProof/>
                <w:webHidden/>
              </w:rPr>
              <w:fldChar w:fldCharType="separate"/>
            </w:r>
            <w:r w:rsidR="0046425D">
              <w:rPr>
                <w:noProof/>
                <w:webHidden/>
              </w:rPr>
              <w:t>60</w:t>
            </w:r>
            <w:r>
              <w:rPr>
                <w:noProof/>
                <w:webHidden/>
              </w:rPr>
              <w:fldChar w:fldCharType="end"/>
            </w:r>
          </w:hyperlink>
        </w:p>
        <w:p w:rsidR="00CA648C" w:rsidRDefault="00CA648C" w14:paraId="0DBFDC1B" w14:textId="78248D1F">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4">
            <w:r w:rsidRPr="003049EB">
              <w:rPr>
                <w:rStyle w:val="Hyperlink"/>
                <w:noProof/>
              </w:rPr>
              <w:t>18.4.2.</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_Toc237414354 \h </w:instrText>
            </w:r>
            <w:r>
              <w:rPr>
                <w:noProof/>
                <w:webHidden/>
              </w:rPr>
            </w:r>
            <w:r>
              <w:rPr>
                <w:noProof/>
                <w:webHidden/>
              </w:rPr>
              <w:fldChar w:fldCharType="separate"/>
            </w:r>
            <w:r w:rsidR="0046425D">
              <w:rPr>
                <w:noProof/>
                <w:webHidden/>
              </w:rPr>
              <w:t>60</w:t>
            </w:r>
            <w:r>
              <w:rPr>
                <w:noProof/>
                <w:webHidden/>
              </w:rPr>
              <w:fldChar w:fldCharType="end"/>
            </w:r>
          </w:hyperlink>
        </w:p>
        <w:p w:rsidR="00CA648C" w:rsidRDefault="00CA648C" w14:paraId="146BB434" w14:textId="0DAECEF6">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5">
            <w:r w:rsidRPr="003049EB">
              <w:rPr>
                <w:rStyle w:val="Hyperlink"/>
                <w:noProof/>
              </w:rPr>
              <w:t>18.4.3.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_Toc237414355 \h </w:instrText>
            </w:r>
            <w:r>
              <w:rPr>
                <w:noProof/>
                <w:webHidden/>
              </w:rPr>
            </w:r>
            <w:r>
              <w:rPr>
                <w:noProof/>
                <w:webHidden/>
              </w:rPr>
              <w:fldChar w:fldCharType="separate"/>
            </w:r>
            <w:r w:rsidR="0046425D">
              <w:rPr>
                <w:noProof/>
                <w:webHidden/>
              </w:rPr>
              <w:t>61</w:t>
            </w:r>
            <w:r>
              <w:rPr>
                <w:noProof/>
                <w:webHidden/>
              </w:rPr>
              <w:fldChar w:fldCharType="end"/>
            </w:r>
          </w:hyperlink>
        </w:p>
        <w:p w:rsidR="00CA648C" w:rsidRDefault="00CA648C" w14:paraId="02ECF1CE" w14:textId="13DFF8FE">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6">
            <w:r w:rsidRPr="003049EB">
              <w:rPr>
                <w:rStyle w:val="Hyperlink"/>
                <w:noProof/>
              </w:rPr>
              <w:t>18.4.4.</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_Toc237414356 \h </w:instrText>
            </w:r>
            <w:r>
              <w:rPr>
                <w:noProof/>
                <w:webHidden/>
              </w:rPr>
            </w:r>
            <w:r>
              <w:rPr>
                <w:noProof/>
                <w:webHidden/>
              </w:rPr>
              <w:fldChar w:fldCharType="separate"/>
            </w:r>
            <w:r w:rsidR="0046425D">
              <w:rPr>
                <w:noProof/>
                <w:webHidden/>
              </w:rPr>
              <w:t>61</w:t>
            </w:r>
            <w:r>
              <w:rPr>
                <w:noProof/>
                <w:webHidden/>
              </w:rPr>
              <w:fldChar w:fldCharType="end"/>
            </w:r>
          </w:hyperlink>
        </w:p>
        <w:p w:rsidR="00CA648C" w:rsidRDefault="00CA648C" w14:paraId="5705272E" w14:textId="65A7C8D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7">
            <w:r w:rsidRPr="003049EB">
              <w:rPr>
                <w:rStyle w:val="Hyperlink"/>
                <w:noProof/>
              </w:rPr>
              <w:t>18.5.</w:t>
            </w:r>
            <w:r>
              <w:rPr>
                <w:rFonts w:asciiTheme="minorHAnsi" w:hAnsiTheme="minorHAnsi" w:cstheme="minorBidi"/>
                <w:noProof/>
                <w:kern w:val="2"/>
                <w:sz w:val="24"/>
                <w:szCs w:val="24"/>
                <w14:ligatures w14:val="standardContextual"/>
              </w:rPr>
              <w:tab/>
            </w:r>
            <w:r w:rsidRPr="003049EB">
              <w:rPr>
                <w:rStyle w:val="Hyperlink"/>
                <w:noProof/>
              </w:rPr>
              <w:t>Ordering Paragraphs 7 and 8</w:t>
            </w:r>
            <w:r>
              <w:rPr>
                <w:noProof/>
                <w:webHidden/>
              </w:rPr>
              <w:tab/>
            </w:r>
            <w:r>
              <w:rPr>
                <w:noProof/>
                <w:webHidden/>
              </w:rPr>
              <w:fldChar w:fldCharType="begin"/>
            </w:r>
            <w:r>
              <w:rPr>
                <w:noProof/>
                <w:webHidden/>
              </w:rPr>
              <w:instrText xml:space="preserve"> PAGEREF _Toc237414357 \h </w:instrText>
            </w:r>
            <w:r>
              <w:rPr>
                <w:noProof/>
                <w:webHidden/>
              </w:rPr>
            </w:r>
            <w:r>
              <w:rPr>
                <w:noProof/>
                <w:webHidden/>
              </w:rPr>
              <w:fldChar w:fldCharType="separate"/>
            </w:r>
            <w:r w:rsidR="0046425D">
              <w:rPr>
                <w:noProof/>
                <w:webHidden/>
              </w:rPr>
              <w:t>61</w:t>
            </w:r>
            <w:r>
              <w:rPr>
                <w:noProof/>
                <w:webHidden/>
              </w:rPr>
              <w:fldChar w:fldCharType="end"/>
            </w:r>
          </w:hyperlink>
        </w:p>
        <w:p w:rsidR="00CA648C" w:rsidRDefault="00CA648C" w14:paraId="7BBCE427" w14:textId="6FA4A94D">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8">
            <w:r w:rsidRPr="003049EB">
              <w:rPr>
                <w:rStyle w:val="Hyperlink"/>
                <w:noProof/>
              </w:rPr>
              <w:t>18.6.</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_Toc237414358 \h </w:instrText>
            </w:r>
            <w:r>
              <w:rPr>
                <w:noProof/>
                <w:webHidden/>
              </w:rPr>
            </w:r>
            <w:r>
              <w:rPr>
                <w:noProof/>
                <w:webHidden/>
              </w:rPr>
              <w:fldChar w:fldCharType="separate"/>
            </w:r>
            <w:r w:rsidR="0046425D">
              <w:rPr>
                <w:noProof/>
                <w:webHidden/>
              </w:rPr>
              <w:t>62</w:t>
            </w:r>
            <w:r>
              <w:rPr>
                <w:noProof/>
                <w:webHidden/>
              </w:rPr>
              <w:fldChar w:fldCharType="end"/>
            </w:r>
          </w:hyperlink>
        </w:p>
        <w:p w:rsidR="00CA648C" w:rsidRDefault="00CA648C" w14:paraId="1889B836" w14:textId="47A4E0D8">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9">
            <w:r w:rsidRPr="003049EB">
              <w:rPr>
                <w:rStyle w:val="Hyperlink"/>
                <w:noProof/>
              </w:rPr>
              <w:t>18.6.1.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_Toc237414359 \h </w:instrText>
            </w:r>
            <w:r>
              <w:rPr>
                <w:noProof/>
                <w:webHidden/>
              </w:rPr>
            </w:r>
            <w:r>
              <w:rPr>
                <w:noProof/>
                <w:webHidden/>
              </w:rPr>
              <w:fldChar w:fldCharType="separate"/>
            </w:r>
            <w:r w:rsidR="0046425D">
              <w:rPr>
                <w:noProof/>
                <w:webHidden/>
              </w:rPr>
              <w:t>62</w:t>
            </w:r>
            <w:r>
              <w:rPr>
                <w:noProof/>
                <w:webHidden/>
              </w:rPr>
              <w:fldChar w:fldCharType="end"/>
            </w:r>
          </w:hyperlink>
        </w:p>
        <w:p w:rsidR="00CA648C" w:rsidRDefault="00CA648C" w14:paraId="766CB5D2" w14:textId="72817140">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0">
            <w:r w:rsidRPr="003049EB">
              <w:rPr>
                <w:rStyle w:val="Hyperlink"/>
                <w:noProof/>
              </w:rPr>
              <w:t>18.6.2.</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_Toc237414360 \h </w:instrText>
            </w:r>
            <w:r>
              <w:rPr>
                <w:noProof/>
                <w:webHidden/>
              </w:rPr>
            </w:r>
            <w:r>
              <w:rPr>
                <w:noProof/>
                <w:webHidden/>
              </w:rPr>
              <w:fldChar w:fldCharType="separate"/>
            </w:r>
            <w:r w:rsidR="0046425D">
              <w:rPr>
                <w:noProof/>
                <w:webHidden/>
              </w:rPr>
              <w:t>62</w:t>
            </w:r>
            <w:r>
              <w:rPr>
                <w:noProof/>
                <w:webHidden/>
              </w:rPr>
              <w:fldChar w:fldCharType="end"/>
            </w:r>
          </w:hyperlink>
        </w:p>
        <w:p w:rsidR="00CA648C" w:rsidRDefault="00CA648C" w14:paraId="4388410F" w14:textId="3DF685FF">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1">
            <w:r w:rsidRPr="003049EB">
              <w:rPr>
                <w:rStyle w:val="Hyperlink"/>
                <w:noProof/>
              </w:rPr>
              <w:t>18.6.3.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_Toc237414361 \h </w:instrText>
            </w:r>
            <w:r>
              <w:rPr>
                <w:noProof/>
                <w:webHidden/>
              </w:rPr>
            </w:r>
            <w:r>
              <w:rPr>
                <w:noProof/>
                <w:webHidden/>
              </w:rPr>
              <w:fldChar w:fldCharType="separate"/>
            </w:r>
            <w:r w:rsidR="0046425D">
              <w:rPr>
                <w:noProof/>
                <w:webHidden/>
              </w:rPr>
              <w:t>62</w:t>
            </w:r>
            <w:r>
              <w:rPr>
                <w:noProof/>
                <w:webHidden/>
              </w:rPr>
              <w:fldChar w:fldCharType="end"/>
            </w:r>
          </w:hyperlink>
        </w:p>
        <w:p w:rsidR="00CA648C" w:rsidRDefault="00CA648C" w14:paraId="5D34BB62" w14:textId="4DF6E94A">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2">
            <w:r w:rsidRPr="003049EB">
              <w:rPr>
                <w:rStyle w:val="Hyperlink"/>
                <w:noProof/>
              </w:rPr>
              <w:t>18.6.4.</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_Toc237414362 \h </w:instrText>
            </w:r>
            <w:r>
              <w:rPr>
                <w:noProof/>
                <w:webHidden/>
              </w:rPr>
            </w:r>
            <w:r>
              <w:rPr>
                <w:noProof/>
                <w:webHidden/>
              </w:rPr>
              <w:fldChar w:fldCharType="separate"/>
            </w:r>
            <w:r w:rsidR="0046425D">
              <w:rPr>
                <w:noProof/>
                <w:webHidden/>
              </w:rPr>
              <w:t>62</w:t>
            </w:r>
            <w:r>
              <w:rPr>
                <w:noProof/>
                <w:webHidden/>
              </w:rPr>
              <w:fldChar w:fldCharType="end"/>
            </w:r>
          </w:hyperlink>
        </w:p>
        <w:p w:rsidR="00CA648C" w:rsidRDefault="00CA648C" w14:paraId="4B057DC3" w14:textId="737B839F">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3">
            <w:r w:rsidRPr="003049EB">
              <w:rPr>
                <w:rStyle w:val="Hyperlink"/>
                <w:noProof/>
              </w:rPr>
              <w:t>18.6.5.</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_Toc237414363 \h </w:instrText>
            </w:r>
            <w:r>
              <w:rPr>
                <w:noProof/>
                <w:webHidden/>
              </w:rPr>
            </w:r>
            <w:r>
              <w:rPr>
                <w:noProof/>
                <w:webHidden/>
              </w:rPr>
              <w:fldChar w:fldCharType="separate"/>
            </w:r>
            <w:r w:rsidR="0046425D">
              <w:rPr>
                <w:noProof/>
                <w:webHidden/>
              </w:rPr>
              <w:t>63</w:t>
            </w:r>
            <w:r>
              <w:rPr>
                <w:noProof/>
                <w:webHidden/>
              </w:rPr>
              <w:fldChar w:fldCharType="end"/>
            </w:r>
          </w:hyperlink>
        </w:p>
        <w:p w:rsidR="00CA648C" w:rsidRDefault="00CA648C" w14:paraId="2CB66F8B" w14:textId="567B2234">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4">
            <w:r w:rsidRPr="003049EB">
              <w:rPr>
                <w:rStyle w:val="Hyperlink"/>
                <w:noProof/>
              </w:rPr>
              <w:t>18.6.6.</w:t>
            </w:r>
            <w:r>
              <w:rPr>
                <w:rFonts w:asciiTheme="minorHAnsi" w:hAnsiTheme="minorHAnsi" w:cstheme="minorBidi"/>
                <w:noProof/>
                <w:kern w:val="2"/>
                <w:sz w:val="24"/>
                <w:szCs w:val="24"/>
                <w14:ligatures w14:val="standardContextual"/>
              </w:rPr>
              <w:tab/>
            </w:r>
            <w:r w:rsidRPr="003049EB">
              <w:rPr>
                <w:rStyle w:val="Hyperlink"/>
                <w:noProof/>
              </w:rPr>
              <w:t>Tribal Liaison</w:t>
            </w:r>
            <w:r>
              <w:rPr>
                <w:noProof/>
                <w:webHidden/>
              </w:rPr>
              <w:tab/>
            </w:r>
            <w:r>
              <w:rPr>
                <w:noProof/>
                <w:webHidden/>
              </w:rPr>
              <w:fldChar w:fldCharType="begin"/>
            </w:r>
            <w:r>
              <w:rPr>
                <w:noProof/>
                <w:webHidden/>
              </w:rPr>
              <w:instrText xml:space="preserve"> PAGEREF _Toc237414364 \h </w:instrText>
            </w:r>
            <w:r>
              <w:rPr>
                <w:noProof/>
                <w:webHidden/>
              </w:rPr>
            </w:r>
            <w:r>
              <w:rPr>
                <w:noProof/>
                <w:webHidden/>
              </w:rPr>
              <w:fldChar w:fldCharType="separate"/>
            </w:r>
            <w:r w:rsidR="0046425D">
              <w:rPr>
                <w:noProof/>
                <w:webHidden/>
              </w:rPr>
              <w:t>63</w:t>
            </w:r>
            <w:r>
              <w:rPr>
                <w:noProof/>
                <w:webHidden/>
              </w:rPr>
              <w:fldChar w:fldCharType="end"/>
            </w:r>
          </w:hyperlink>
        </w:p>
        <w:p w:rsidR="00CA648C" w:rsidRDefault="00CA648C" w14:paraId="6DE1E8D5" w14:textId="33F418AA">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65">
            <w:r w:rsidRPr="003049EB">
              <w:rPr>
                <w:rStyle w:val="Hyperlink"/>
                <w:noProof/>
              </w:rPr>
              <w:t>18.7.</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_Toc237414365 \h </w:instrText>
            </w:r>
            <w:r>
              <w:rPr>
                <w:noProof/>
                <w:webHidden/>
              </w:rPr>
            </w:r>
            <w:r>
              <w:rPr>
                <w:noProof/>
                <w:webHidden/>
              </w:rPr>
              <w:fldChar w:fldCharType="separate"/>
            </w:r>
            <w:r w:rsidR="0046425D">
              <w:rPr>
                <w:noProof/>
                <w:webHidden/>
              </w:rPr>
              <w:t>63</w:t>
            </w:r>
            <w:r>
              <w:rPr>
                <w:noProof/>
                <w:webHidden/>
              </w:rPr>
              <w:fldChar w:fldCharType="end"/>
            </w:r>
          </w:hyperlink>
        </w:p>
        <w:p w:rsidR="00CA648C" w:rsidRDefault="00CA648C" w14:paraId="0EAE1C35" w14:textId="4508B23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6">
            <w:r w:rsidRPr="003049EB">
              <w:rPr>
                <w:rStyle w:val="Hyperlink"/>
                <w:noProof/>
              </w:rPr>
              <w:t>18.7.1.</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_Toc237414366 \h </w:instrText>
            </w:r>
            <w:r>
              <w:rPr>
                <w:noProof/>
                <w:webHidden/>
              </w:rPr>
            </w:r>
            <w:r>
              <w:rPr>
                <w:noProof/>
                <w:webHidden/>
              </w:rPr>
              <w:fldChar w:fldCharType="separate"/>
            </w:r>
            <w:r w:rsidR="0046425D">
              <w:rPr>
                <w:noProof/>
                <w:webHidden/>
              </w:rPr>
              <w:t>63</w:t>
            </w:r>
            <w:r>
              <w:rPr>
                <w:noProof/>
                <w:webHidden/>
              </w:rPr>
              <w:fldChar w:fldCharType="end"/>
            </w:r>
          </w:hyperlink>
        </w:p>
        <w:p w:rsidR="00CA648C" w:rsidRDefault="00CA648C" w14:paraId="487CD53A" w14:textId="18E30736">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7">
            <w:r w:rsidRPr="003049EB">
              <w:rPr>
                <w:rStyle w:val="Hyperlink"/>
                <w:noProof/>
              </w:rPr>
              <w:t>18.7.2.</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_Toc237414367 \h </w:instrText>
            </w:r>
            <w:r>
              <w:rPr>
                <w:noProof/>
                <w:webHidden/>
              </w:rPr>
            </w:r>
            <w:r>
              <w:rPr>
                <w:noProof/>
                <w:webHidden/>
              </w:rPr>
              <w:fldChar w:fldCharType="separate"/>
            </w:r>
            <w:r w:rsidR="0046425D">
              <w:rPr>
                <w:noProof/>
                <w:webHidden/>
              </w:rPr>
              <w:t>64</w:t>
            </w:r>
            <w:r>
              <w:rPr>
                <w:noProof/>
                <w:webHidden/>
              </w:rPr>
              <w:fldChar w:fldCharType="end"/>
            </w:r>
          </w:hyperlink>
        </w:p>
        <w:p w:rsidR="00CA648C" w:rsidRDefault="00CA648C" w14:paraId="780CDFD8" w14:textId="56C72BD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8">
            <w:r w:rsidRPr="003049EB">
              <w:rPr>
                <w:rStyle w:val="Hyperlink"/>
                <w:noProof/>
              </w:rPr>
              <w:t>18.7.3.</w:t>
            </w:r>
            <w:r>
              <w:rPr>
                <w:rFonts w:asciiTheme="minorHAnsi" w:hAnsiTheme="minorHAnsi" w:cstheme="minorBidi"/>
                <w:noProof/>
                <w:kern w:val="2"/>
                <w:sz w:val="24"/>
                <w:szCs w:val="24"/>
                <w14:ligatures w14:val="standardContextual"/>
              </w:rPr>
              <w:tab/>
            </w:r>
            <w:r w:rsidRPr="003049EB">
              <w:rPr>
                <w:rStyle w:val="Hyperlink"/>
                <w:noProof/>
              </w:rPr>
              <w:t>The Joint Advocates</w:t>
            </w:r>
            <w:r>
              <w:rPr>
                <w:noProof/>
                <w:webHidden/>
              </w:rPr>
              <w:tab/>
            </w:r>
            <w:r>
              <w:rPr>
                <w:noProof/>
                <w:webHidden/>
              </w:rPr>
              <w:fldChar w:fldCharType="begin"/>
            </w:r>
            <w:r>
              <w:rPr>
                <w:noProof/>
                <w:webHidden/>
              </w:rPr>
              <w:instrText xml:space="preserve"> PAGEREF _Toc237414368 \h </w:instrText>
            </w:r>
            <w:r>
              <w:rPr>
                <w:noProof/>
                <w:webHidden/>
              </w:rPr>
            </w:r>
            <w:r>
              <w:rPr>
                <w:noProof/>
                <w:webHidden/>
              </w:rPr>
              <w:fldChar w:fldCharType="separate"/>
            </w:r>
            <w:r w:rsidR="0046425D">
              <w:rPr>
                <w:noProof/>
                <w:webHidden/>
              </w:rPr>
              <w:t>64</w:t>
            </w:r>
            <w:r>
              <w:rPr>
                <w:noProof/>
                <w:webHidden/>
              </w:rPr>
              <w:fldChar w:fldCharType="end"/>
            </w:r>
          </w:hyperlink>
        </w:p>
        <w:p w:rsidR="00CA648C" w:rsidRDefault="00CA648C" w14:paraId="20F45024" w14:textId="0B7857FC">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9">
            <w:r w:rsidRPr="003049EB">
              <w:rPr>
                <w:rStyle w:val="Hyperlink"/>
                <w:noProof/>
              </w:rPr>
              <w:t>18.7.4.</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_Toc237414369 \h </w:instrText>
            </w:r>
            <w:r>
              <w:rPr>
                <w:noProof/>
                <w:webHidden/>
              </w:rPr>
            </w:r>
            <w:r>
              <w:rPr>
                <w:noProof/>
                <w:webHidden/>
              </w:rPr>
              <w:fldChar w:fldCharType="separate"/>
            </w:r>
            <w:r w:rsidR="0046425D">
              <w:rPr>
                <w:noProof/>
                <w:webHidden/>
              </w:rPr>
              <w:t>64</w:t>
            </w:r>
            <w:r>
              <w:rPr>
                <w:noProof/>
                <w:webHidden/>
              </w:rPr>
              <w:fldChar w:fldCharType="end"/>
            </w:r>
          </w:hyperlink>
        </w:p>
        <w:p w:rsidR="00CA648C" w:rsidRDefault="00CA648C" w14:paraId="57B3337E" w14:textId="313C0C2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70">
            <w:r w:rsidRPr="003049EB">
              <w:rPr>
                <w:rStyle w:val="Hyperlink"/>
                <w:noProof/>
              </w:rPr>
              <w:t>18.7.5.</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_Toc237414370 \h </w:instrText>
            </w:r>
            <w:r>
              <w:rPr>
                <w:noProof/>
                <w:webHidden/>
              </w:rPr>
            </w:r>
            <w:r>
              <w:rPr>
                <w:noProof/>
                <w:webHidden/>
              </w:rPr>
              <w:fldChar w:fldCharType="separate"/>
            </w:r>
            <w:r w:rsidR="0046425D">
              <w:rPr>
                <w:noProof/>
                <w:webHidden/>
              </w:rPr>
              <w:t>64</w:t>
            </w:r>
            <w:r>
              <w:rPr>
                <w:noProof/>
                <w:webHidden/>
              </w:rPr>
              <w:fldChar w:fldCharType="end"/>
            </w:r>
          </w:hyperlink>
        </w:p>
        <w:p w:rsidR="00CA648C" w:rsidRDefault="00CA648C" w14:paraId="10CB4E61" w14:textId="42C90518">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71">
            <w:r w:rsidRPr="003049EB">
              <w:rPr>
                <w:rStyle w:val="Hyperlink"/>
                <w:noProof/>
              </w:rPr>
              <w:t>18.7.6.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_Toc237414371 \h </w:instrText>
            </w:r>
            <w:r>
              <w:rPr>
                <w:noProof/>
                <w:webHidden/>
              </w:rPr>
            </w:r>
            <w:r>
              <w:rPr>
                <w:noProof/>
                <w:webHidden/>
              </w:rPr>
              <w:fldChar w:fldCharType="separate"/>
            </w:r>
            <w:r w:rsidR="0046425D">
              <w:rPr>
                <w:noProof/>
                <w:webHidden/>
              </w:rPr>
              <w:t>65</w:t>
            </w:r>
            <w:r>
              <w:rPr>
                <w:noProof/>
                <w:webHidden/>
              </w:rPr>
              <w:fldChar w:fldCharType="end"/>
            </w:r>
          </w:hyperlink>
        </w:p>
        <w:p w:rsidR="00CA648C" w:rsidRDefault="00CA648C" w14:paraId="628A9E67" w14:textId="33913214">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72">
            <w:r w:rsidRPr="003049EB">
              <w:rPr>
                <w:rStyle w:val="Hyperlink"/>
                <w:noProof/>
              </w:rPr>
              <w:t>18.8.</w:t>
            </w:r>
            <w:r>
              <w:rPr>
                <w:rFonts w:asciiTheme="minorHAnsi" w:hAnsiTheme="minorHAnsi" w:cstheme="minorBidi"/>
                <w:noProof/>
                <w:kern w:val="2"/>
                <w:sz w:val="24"/>
                <w:szCs w:val="24"/>
                <w14:ligatures w14:val="standardContextual"/>
              </w:rPr>
              <w:tab/>
            </w:r>
            <w:r w:rsidRPr="003049EB">
              <w:rPr>
                <w:rStyle w:val="Hyperlink"/>
                <w:noProof/>
              </w:rPr>
              <w:t>Enforcement</w:t>
            </w:r>
            <w:r>
              <w:rPr>
                <w:noProof/>
                <w:webHidden/>
              </w:rPr>
              <w:tab/>
            </w:r>
            <w:r>
              <w:rPr>
                <w:noProof/>
                <w:webHidden/>
              </w:rPr>
              <w:fldChar w:fldCharType="begin"/>
            </w:r>
            <w:r>
              <w:rPr>
                <w:noProof/>
                <w:webHidden/>
              </w:rPr>
              <w:instrText xml:space="preserve"> PAGEREF _Toc237414372 \h </w:instrText>
            </w:r>
            <w:r>
              <w:rPr>
                <w:noProof/>
                <w:webHidden/>
              </w:rPr>
            </w:r>
            <w:r>
              <w:rPr>
                <w:noProof/>
                <w:webHidden/>
              </w:rPr>
              <w:fldChar w:fldCharType="separate"/>
            </w:r>
            <w:r w:rsidR="0046425D">
              <w:rPr>
                <w:noProof/>
                <w:webHidden/>
              </w:rPr>
              <w:t>65</w:t>
            </w:r>
            <w:r>
              <w:rPr>
                <w:noProof/>
                <w:webHidden/>
              </w:rPr>
              <w:fldChar w:fldCharType="end"/>
            </w:r>
          </w:hyperlink>
        </w:p>
        <w:p w:rsidR="00CA648C" w:rsidRDefault="00CA648C" w14:paraId="7AEBB3F9" w14:textId="35E14B9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73">
            <w:r w:rsidRPr="003049EB">
              <w:rPr>
                <w:rStyle w:val="Hyperlink"/>
                <w:noProof/>
              </w:rPr>
              <w:t>18.9.</w:t>
            </w:r>
            <w:r>
              <w:rPr>
                <w:rFonts w:asciiTheme="minorHAnsi" w:hAnsiTheme="minorHAnsi" w:cstheme="minorBidi"/>
                <w:noProof/>
                <w:kern w:val="2"/>
                <w:sz w:val="24"/>
                <w:szCs w:val="24"/>
                <w14:ligatures w14:val="standardContextual"/>
              </w:rPr>
              <w:tab/>
            </w:r>
            <w:r w:rsidRPr="003049EB">
              <w:rPr>
                <w:rStyle w:val="Hyperlink"/>
                <w:noProof/>
              </w:rPr>
              <w:t>Other</w:t>
            </w:r>
            <w:r>
              <w:rPr>
                <w:noProof/>
                <w:webHidden/>
              </w:rPr>
              <w:tab/>
            </w:r>
            <w:r>
              <w:rPr>
                <w:noProof/>
                <w:webHidden/>
              </w:rPr>
              <w:fldChar w:fldCharType="begin"/>
            </w:r>
            <w:r>
              <w:rPr>
                <w:noProof/>
                <w:webHidden/>
              </w:rPr>
              <w:instrText xml:space="preserve"> PAGEREF _Toc237414373 \h </w:instrText>
            </w:r>
            <w:r>
              <w:rPr>
                <w:noProof/>
                <w:webHidden/>
              </w:rPr>
            </w:r>
            <w:r>
              <w:rPr>
                <w:noProof/>
                <w:webHidden/>
              </w:rPr>
              <w:fldChar w:fldCharType="separate"/>
            </w:r>
            <w:r w:rsidR="0046425D">
              <w:rPr>
                <w:noProof/>
                <w:webHidden/>
              </w:rPr>
              <w:t>66</w:t>
            </w:r>
            <w:r>
              <w:rPr>
                <w:noProof/>
                <w:webHidden/>
              </w:rPr>
              <w:fldChar w:fldCharType="end"/>
            </w:r>
          </w:hyperlink>
        </w:p>
        <w:p w:rsidR="00CA648C" w:rsidRDefault="00CA648C" w14:paraId="3F646080" w14:textId="7F985BD1">
          <w:pPr>
            <w:pStyle w:val="TOC1"/>
            <w:tabs>
              <w:tab w:val="right" w:leader="dot" w:pos="9350"/>
            </w:tabs>
            <w:rPr>
              <w:rFonts w:asciiTheme="minorHAnsi" w:hAnsiTheme="minorHAnsi" w:cstheme="minorBidi"/>
              <w:noProof/>
              <w:kern w:val="2"/>
              <w:sz w:val="24"/>
              <w:szCs w:val="24"/>
              <w14:ligatures w14:val="standardContextual"/>
            </w:rPr>
          </w:pPr>
          <w:hyperlink w:history="1" w:anchor="_Toc237414374">
            <w:r w:rsidRPr="003049EB">
              <w:rPr>
                <w:rStyle w:val="Hyperlink"/>
                <w:noProof/>
              </w:rPr>
              <w:t>19.</w:t>
            </w:r>
            <w:r>
              <w:rPr>
                <w:rFonts w:asciiTheme="minorHAnsi" w:hAnsiTheme="minorHAnsi" w:cstheme="minorBidi"/>
                <w:noProof/>
                <w:kern w:val="2"/>
                <w:sz w:val="24"/>
                <w:szCs w:val="24"/>
                <w14:ligatures w14:val="standardContextual"/>
              </w:rPr>
              <w:tab/>
            </w:r>
            <w:r w:rsidRPr="003049EB">
              <w:rPr>
                <w:rStyle w:val="Hyperlink"/>
                <w:noProof/>
              </w:rPr>
              <w:t>Assignment of Proceeding</w:t>
            </w:r>
            <w:r>
              <w:rPr>
                <w:noProof/>
                <w:webHidden/>
              </w:rPr>
              <w:tab/>
            </w:r>
            <w:r>
              <w:rPr>
                <w:noProof/>
                <w:webHidden/>
              </w:rPr>
              <w:fldChar w:fldCharType="begin"/>
            </w:r>
            <w:r>
              <w:rPr>
                <w:noProof/>
                <w:webHidden/>
              </w:rPr>
              <w:instrText xml:space="preserve"> PAGEREF _Toc237414374 \h </w:instrText>
            </w:r>
            <w:r>
              <w:rPr>
                <w:noProof/>
                <w:webHidden/>
              </w:rPr>
            </w:r>
            <w:r>
              <w:rPr>
                <w:noProof/>
                <w:webHidden/>
              </w:rPr>
              <w:fldChar w:fldCharType="separate"/>
            </w:r>
            <w:r w:rsidR="0046425D">
              <w:rPr>
                <w:noProof/>
                <w:webHidden/>
              </w:rPr>
              <w:t>66</w:t>
            </w:r>
            <w:r>
              <w:rPr>
                <w:noProof/>
                <w:webHidden/>
              </w:rPr>
              <w:fldChar w:fldCharType="end"/>
            </w:r>
          </w:hyperlink>
        </w:p>
        <w:p w:rsidR="00CA648C" w:rsidRDefault="00CA648C" w14:paraId="08D6F0E2" w14:textId="1461FD34">
          <w:pPr>
            <w:pStyle w:val="TOC1"/>
            <w:tabs>
              <w:tab w:val="right" w:leader="dot" w:pos="9350"/>
            </w:tabs>
            <w:rPr>
              <w:rFonts w:asciiTheme="minorHAnsi" w:hAnsiTheme="minorHAnsi" w:cstheme="minorBidi"/>
              <w:noProof/>
              <w:kern w:val="2"/>
              <w:sz w:val="24"/>
              <w:szCs w:val="24"/>
              <w14:ligatures w14:val="standardContextual"/>
            </w:rPr>
          </w:pPr>
          <w:hyperlink w:history="1" w:anchor="_Toc237414375">
            <w:r w:rsidRPr="003049EB">
              <w:rPr>
                <w:rStyle w:val="Hyperlink"/>
                <w:noProof/>
              </w:rPr>
              <w:t>Findings of Fact</w:t>
            </w:r>
            <w:r>
              <w:rPr>
                <w:noProof/>
                <w:webHidden/>
              </w:rPr>
              <w:tab/>
            </w:r>
            <w:r>
              <w:rPr>
                <w:noProof/>
                <w:webHidden/>
              </w:rPr>
              <w:fldChar w:fldCharType="begin"/>
            </w:r>
            <w:r>
              <w:rPr>
                <w:noProof/>
                <w:webHidden/>
              </w:rPr>
              <w:instrText xml:space="preserve"> PAGEREF _Toc237414375 \h </w:instrText>
            </w:r>
            <w:r>
              <w:rPr>
                <w:noProof/>
                <w:webHidden/>
              </w:rPr>
            </w:r>
            <w:r>
              <w:rPr>
                <w:noProof/>
                <w:webHidden/>
              </w:rPr>
              <w:fldChar w:fldCharType="separate"/>
            </w:r>
            <w:r w:rsidR="0046425D">
              <w:rPr>
                <w:noProof/>
                <w:webHidden/>
              </w:rPr>
              <w:t>66</w:t>
            </w:r>
            <w:r>
              <w:rPr>
                <w:noProof/>
                <w:webHidden/>
              </w:rPr>
              <w:fldChar w:fldCharType="end"/>
            </w:r>
          </w:hyperlink>
        </w:p>
        <w:p w:rsidR="00CA648C" w:rsidRDefault="00CA648C" w14:paraId="38E3D489" w14:textId="06CF66BA">
          <w:pPr>
            <w:pStyle w:val="TOC1"/>
            <w:tabs>
              <w:tab w:val="right" w:leader="dot" w:pos="9350"/>
            </w:tabs>
            <w:rPr>
              <w:rFonts w:asciiTheme="minorHAnsi" w:hAnsiTheme="minorHAnsi" w:cstheme="minorBidi"/>
              <w:noProof/>
              <w:kern w:val="2"/>
              <w:sz w:val="24"/>
              <w:szCs w:val="24"/>
              <w14:ligatures w14:val="standardContextual"/>
            </w:rPr>
          </w:pPr>
          <w:hyperlink w:history="1" w:anchor="_Toc237414376">
            <w:r w:rsidRPr="003049EB">
              <w:rPr>
                <w:rStyle w:val="Hyperlink"/>
                <w:noProof/>
              </w:rPr>
              <w:t>Conclusions of Law</w:t>
            </w:r>
            <w:r>
              <w:rPr>
                <w:noProof/>
                <w:webHidden/>
              </w:rPr>
              <w:tab/>
            </w:r>
            <w:r>
              <w:rPr>
                <w:noProof/>
                <w:webHidden/>
              </w:rPr>
              <w:fldChar w:fldCharType="begin"/>
            </w:r>
            <w:r>
              <w:rPr>
                <w:noProof/>
                <w:webHidden/>
              </w:rPr>
              <w:instrText xml:space="preserve"> PAGEREF _Toc237414376 \h </w:instrText>
            </w:r>
            <w:r>
              <w:rPr>
                <w:noProof/>
                <w:webHidden/>
              </w:rPr>
            </w:r>
            <w:r>
              <w:rPr>
                <w:noProof/>
                <w:webHidden/>
              </w:rPr>
              <w:fldChar w:fldCharType="separate"/>
            </w:r>
            <w:r w:rsidR="0046425D">
              <w:rPr>
                <w:noProof/>
                <w:webHidden/>
              </w:rPr>
              <w:t>71</w:t>
            </w:r>
            <w:r>
              <w:rPr>
                <w:noProof/>
                <w:webHidden/>
              </w:rPr>
              <w:fldChar w:fldCharType="end"/>
            </w:r>
          </w:hyperlink>
        </w:p>
        <w:p w:rsidR="00CA648C" w:rsidRDefault="00CA648C" w14:paraId="175D5BB9" w14:textId="2D9B9ABC">
          <w:pPr>
            <w:pStyle w:val="TOC1"/>
            <w:tabs>
              <w:tab w:val="right" w:leader="dot" w:pos="9350"/>
            </w:tabs>
            <w:rPr>
              <w:rFonts w:asciiTheme="minorHAnsi" w:hAnsiTheme="minorHAnsi" w:cstheme="minorBidi"/>
              <w:noProof/>
              <w:kern w:val="2"/>
              <w:sz w:val="24"/>
              <w:szCs w:val="24"/>
              <w14:ligatures w14:val="standardContextual"/>
            </w:rPr>
          </w:pPr>
          <w:hyperlink w:history="1" w:anchor="_Toc237414377">
            <w:r w:rsidRPr="003049EB">
              <w:rPr>
                <w:rStyle w:val="Hyperlink"/>
                <w:noProof/>
              </w:rPr>
              <w:t>ORDER</w:t>
            </w:r>
            <w:r>
              <w:rPr>
                <w:noProof/>
                <w:webHidden/>
              </w:rPr>
              <w:tab/>
            </w:r>
            <w:r>
              <w:rPr>
                <w:noProof/>
                <w:webHidden/>
              </w:rPr>
              <w:fldChar w:fldCharType="begin"/>
            </w:r>
            <w:r>
              <w:rPr>
                <w:noProof/>
                <w:webHidden/>
              </w:rPr>
              <w:instrText xml:space="preserve"> PAGEREF _Toc237414377 \h </w:instrText>
            </w:r>
            <w:r>
              <w:rPr>
                <w:noProof/>
                <w:webHidden/>
              </w:rPr>
            </w:r>
            <w:r>
              <w:rPr>
                <w:noProof/>
                <w:webHidden/>
              </w:rPr>
              <w:fldChar w:fldCharType="separate"/>
            </w:r>
            <w:r w:rsidR="0046425D">
              <w:rPr>
                <w:noProof/>
                <w:webHidden/>
              </w:rPr>
              <w:t>75</w:t>
            </w:r>
            <w:r>
              <w:rPr>
                <w:noProof/>
                <w:webHidden/>
              </w:rPr>
              <w:fldChar w:fldCharType="end"/>
            </w:r>
          </w:hyperlink>
        </w:p>
        <w:p w:rsidR="00D82A43" w:rsidP="008C7413" w:rsidRDefault="008C7413" w14:paraId="2E49D703" w14:textId="73947469">
          <w:pPr>
            <w:pStyle w:val="TOC1"/>
            <w:tabs>
              <w:tab w:val="right" w:leader="dot" w:pos="9350"/>
            </w:tabs>
          </w:pPr>
          <w:r>
            <w:rPr>
              <w:rFonts w:asciiTheme="minorHAnsi" w:hAnsiTheme="minorHAnsi"/>
              <w:sz w:val="22"/>
            </w:rPr>
            <w:fldChar w:fldCharType="end"/>
          </w:r>
        </w:p>
      </w:sdtContent>
    </w:sdt>
    <w:p w:rsidR="00AF4B8A" w:rsidP="00AF4B8A" w:rsidRDefault="00AC4936" w14:paraId="14F4BE0B" w14:textId="518C4876">
      <w:pPr>
        <w:spacing w:line="240" w:lineRule="auto"/>
        <w:ind w:firstLine="0"/>
        <w:rPr>
          <w:rFonts w:cs="Arial"/>
          <w:szCs w:val="26"/>
        </w:rPr>
      </w:pPr>
      <w:r w:rsidRPr="0098655A">
        <w:rPr>
          <w:rFonts w:cs="Arial"/>
          <w:b/>
          <w:szCs w:val="26"/>
        </w:rPr>
        <w:t>A</w:t>
      </w:r>
      <w:r>
        <w:rPr>
          <w:rFonts w:cs="Arial"/>
          <w:b/>
          <w:szCs w:val="26"/>
        </w:rPr>
        <w:t>ttachment</w:t>
      </w:r>
      <w:r w:rsidRPr="0098655A">
        <w:rPr>
          <w:rFonts w:cs="Arial"/>
          <w:b/>
          <w:szCs w:val="26"/>
        </w:rPr>
        <w:t xml:space="preserve"> </w:t>
      </w:r>
      <w:r w:rsidR="00AF4B8A">
        <w:rPr>
          <w:rFonts w:cs="Arial"/>
          <w:b/>
          <w:szCs w:val="26"/>
        </w:rPr>
        <w:t>A</w:t>
      </w:r>
      <w:r w:rsidRPr="0098655A" w:rsidR="00AF4B8A">
        <w:rPr>
          <w:rFonts w:cs="Arial"/>
          <w:szCs w:val="26"/>
        </w:rPr>
        <w:t xml:space="preserve"> – </w:t>
      </w:r>
      <w:r w:rsidR="00AF4B8A">
        <w:rPr>
          <w:rFonts w:cs="Arial"/>
          <w:szCs w:val="26"/>
        </w:rPr>
        <w:t>Joint Applicants/ Cal Advocates Settlement</w:t>
      </w:r>
    </w:p>
    <w:p w:rsidRPr="006751FF" w:rsidR="00D44DB6" w:rsidP="00D44DB6" w:rsidRDefault="00AC4936" w14:paraId="17FF05AF" w14:textId="1A179F0E">
      <w:pPr>
        <w:spacing w:line="240" w:lineRule="auto"/>
        <w:ind w:firstLine="0"/>
        <w:rPr>
          <w:rFonts w:cs="Arial"/>
          <w:szCs w:val="26"/>
        </w:rPr>
        <w:sectPr w:rsidRPr="006751FF" w:rsidR="00D44DB6" w:rsidSect="00D44DB6">
          <w:headerReference w:type="default" r:id="rId12"/>
          <w:footerReference w:type="default" r:id="rId13"/>
          <w:pgSz w:w="12240" w:h="15840"/>
          <w:pgMar w:top="1728" w:right="1440" w:bottom="1440" w:left="1440" w:header="720" w:footer="720" w:gutter="0"/>
          <w:pgNumType w:fmt="lowerRoman" w:start="1"/>
          <w:cols w:space="720"/>
          <w:docGrid w:linePitch="360"/>
        </w:sectPr>
      </w:pPr>
      <w:r w:rsidRPr="0098655A">
        <w:rPr>
          <w:rFonts w:cs="Arial"/>
          <w:b/>
          <w:szCs w:val="26"/>
        </w:rPr>
        <w:t>A</w:t>
      </w:r>
      <w:r>
        <w:rPr>
          <w:rFonts w:cs="Arial"/>
          <w:b/>
          <w:szCs w:val="26"/>
        </w:rPr>
        <w:t>ttachment</w:t>
      </w:r>
      <w:r w:rsidRPr="0098655A" w:rsidR="0098655A">
        <w:rPr>
          <w:rFonts w:cs="Arial"/>
          <w:b/>
          <w:szCs w:val="26"/>
        </w:rPr>
        <w:t xml:space="preserve"> B</w:t>
      </w:r>
      <w:r w:rsidRPr="0098655A" w:rsidR="0098655A">
        <w:rPr>
          <w:rFonts w:cs="Arial"/>
          <w:szCs w:val="26"/>
        </w:rPr>
        <w:t xml:space="preserve"> – </w:t>
      </w:r>
      <w:r w:rsidR="007C14C6">
        <w:rPr>
          <w:rFonts w:cs="Arial"/>
          <w:szCs w:val="26"/>
        </w:rPr>
        <w:t>Joint Applicants/ CETF Settlement</w:t>
      </w:r>
      <w:r w:rsidRPr="006751FF" w:rsidR="00D44DB6">
        <w:rPr>
          <w:rFonts w:cs="Arial"/>
          <w:b/>
          <w:bCs/>
          <w:i/>
          <w:szCs w:val="26"/>
        </w:rPr>
        <w:t>s</w:t>
      </w:r>
      <w:r w:rsidRPr="006751FF" w:rsidR="00D44DB6">
        <w:rPr>
          <w:rFonts w:cs="Arial"/>
          <w:i/>
          <w:szCs w:val="26"/>
        </w:rPr>
        <w:t>.</w:t>
      </w:r>
    </w:p>
    <w:p w:rsidR="0098655A" w:rsidP="00597E8C" w:rsidRDefault="00597E8C" w14:paraId="2D89BAAE" w14:textId="46058F09">
      <w:pPr>
        <w:pStyle w:val="Dummy"/>
        <w:jc w:val="center"/>
      </w:pPr>
      <w:bookmarkStart w:name="_Toc237414257" w:id="1"/>
      <w:r>
        <w:lastRenderedPageBreak/>
        <w:t>DECISION GRANTING INDIRECT TRANSFER OF CONTROL SUBJECT TO THE SETTLEMENT AGREEMENTS AND MITIGATION MEASURES</w:t>
      </w:r>
      <w:bookmarkEnd w:id="1"/>
    </w:p>
    <w:p w:rsidR="005A148C" w:rsidP="005A148C" w:rsidRDefault="005A148C" w14:paraId="17CB7038" w14:textId="77777777">
      <w:pPr>
        <w:pStyle w:val="Dummy"/>
      </w:pPr>
      <w:bookmarkStart w:name="_Toc8123714" w:id="2"/>
      <w:bookmarkStart w:name="_Toc237414258" w:id="3"/>
      <w:r>
        <w:t>Summary</w:t>
      </w:r>
      <w:bookmarkEnd w:id="2"/>
      <w:bookmarkEnd w:id="3"/>
    </w:p>
    <w:p w:rsidRPr="00E92CFF" w:rsidR="00E92CFF" w:rsidP="00E92CFF" w:rsidRDefault="00E92CFF" w14:paraId="4C260F63" w14:textId="7A642F30">
      <w:pPr>
        <w:pStyle w:val="Standard"/>
      </w:pPr>
      <w:r w:rsidRPr="00E92CFF">
        <w:t xml:space="preserve">This decision </w:t>
      </w:r>
      <w:r w:rsidR="00882F9B">
        <w:t>grants</w:t>
      </w:r>
      <w:r w:rsidRPr="00E92CFF">
        <w:t xml:space="preserve"> the </w:t>
      </w:r>
      <w:r>
        <w:t xml:space="preserve">indirect </w:t>
      </w:r>
      <w:r w:rsidRPr="00E92CFF">
        <w:t xml:space="preserve">transfer of control of </w:t>
      </w:r>
      <w:r w:rsidRPr="00882F9B">
        <w:rPr>
          <w:szCs w:val="26"/>
        </w:rPr>
        <w:t>Cox California Telcom, LLC (U</w:t>
      </w:r>
      <w:r w:rsidRPr="00882F9B">
        <w:rPr>
          <w:szCs w:val="26"/>
        </w:rPr>
        <w:noBreakHyphen/>
        <w:t>5684</w:t>
      </w:r>
      <w:r w:rsidRPr="00882F9B">
        <w:rPr>
          <w:szCs w:val="26"/>
        </w:rPr>
        <w:noBreakHyphen/>
        <w:t>C)</w:t>
      </w:r>
      <w:r w:rsidRPr="000B234F">
        <w:rPr>
          <w:i/>
          <w:iCs/>
          <w:szCs w:val="26"/>
        </w:rPr>
        <w:t xml:space="preserve"> </w:t>
      </w:r>
      <w:r w:rsidRPr="00E92CFF">
        <w:t xml:space="preserve">to </w:t>
      </w:r>
      <w:r w:rsidRPr="000B234F">
        <w:rPr>
          <w:szCs w:val="26"/>
        </w:rPr>
        <w:t>Charter Communications, Inc., Charter Communications Holdings, LLC, and Cox Enterprises, Inc.,</w:t>
      </w:r>
      <w:r>
        <w:rPr>
          <w:szCs w:val="26"/>
        </w:rPr>
        <w:t xml:space="preserve"> </w:t>
      </w:r>
      <w:r w:rsidRPr="001713B1">
        <w:t>pursuant to Public Utilities Code Section 854</w:t>
      </w:r>
      <w:r w:rsidRPr="001713B1" w:rsidR="00882F9B">
        <w:t xml:space="preserve"> and California Public Utilities Commission Rules of Practice and Procedure </w:t>
      </w:r>
      <w:r w:rsidRPr="001713B1" w:rsidR="005A2FC7">
        <w:t xml:space="preserve">Article </w:t>
      </w:r>
      <w:r w:rsidRPr="001713B1" w:rsidR="00882F9B">
        <w:t>12</w:t>
      </w:r>
      <w:r w:rsidRPr="001713B1">
        <w:t xml:space="preserve"> </w:t>
      </w:r>
      <w:r w:rsidRPr="001713B1" w:rsidR="00882F9B">
        <w:t xml:space="preserve">subject to </w:t>
      </w:r>
      <w:r w:rsidRPr="001713B1" w:rsidR="00613E2F">
        <w:t xml:space="preserve">the terms of </w:t>
      </w:r>
      <w:r w:rsidRPr="001713B1" w:rsidR="001848DA">
        <w:t>the</w:t>
      </w:r>
      <w:r w:rsidR="001848DA">
        <w:t xml:space="preserve"> </w:t>
      </w:r>
      <w:r w:rsidR="00DA3C18">
        <w:t xml:space="preserve">two </w:t>
      </w:r>
      <w:r w:rsidR="001848DA">
        <w:t>settlement</w:t>
      </w:r>
      <w:r w:rsidR="00DA3C18">
        <w:t xml:space="preserve"> agreement</w:t>
      </w:r>
      <w:r w:rsidR="001848DA">
        <w:t>s and the required mitigation measures</w:t>
      </w:r>
      <w:r w:rsidRPr="00613E2F" w:rsidR="00613E2F">
        <w:t>.</w:t>
      </w:r>
      <w:r w:rsidRPr="00E92CFF">
        <w:t xml:space="preserve"> </w:t>
      </w:r>
    </w:p>
    <w:p w:rsidR="001F6685" w:rsidP="001F6685" w:rsidRDefault="00E92CFF" w14:paraId="7387EF90" w14:textId="0220BA18">
      <w:pPr>
        <w:pStyle w:val="Standard"/>
      </w:pPr>
      <w:r w:rsidRPr="00E92CFF">
        <w:t>This proceeding is closed.</w:t>
      </w:r>
      <w:bookmarkStart w:name="_Toc8123715" w:id="4"/>
    </w:p>
    <w:p w:rsidR="00882F9B" w:rsidP="006751FF" w:rsidRDefault="001F6685" w14:paraId="21C851C3" w14:textId="2EE3C84D">
      <w:pPr>
        <w:pStyle w:val="Heading1"/>
      </w:pPr>
      <w:bookmarkStart w:name="_Toc237414259" w:id="5"/>
      <w:r>
        <w:t xml:space="preserve">Transaction </w:t>
      </w:r>
      <w:r w:rsidR="00882F9B">
        <w:t>Background</w:t>
      </w:r>
      <w:bookmarkEnd w:id="5"/>
    </w:p>
    <w:p w:rsidR="000540DE" w:rsidP="000540DE" w:rsidRDefault="000540DE" w14:paraId="79E2A550" w14:textId="0E823649">
      <w:bookmarkStart w:name="_Toc8123716" w:id="6"/>
      <w:bookmarkEnd w:id="4"/>
      <w:r>
        <w:t xml:space="preserve">On May 16, 2025, </w:t>
      </w:r>
      <w:r w:rsidRPr="009B5FC6">
        <w:t>Charter</w:t>
      </w:r>
      <w:r>
        <w:t xml:space="preserve"> </w:t>
      </w:r>
      <w:r w:rsidRPr="009B5FC6">
        <w:t>Communications, Inc.</w:t>
      </w:r>
      <w:r>
        <w:t xml:space="preserve"> (Charter), its </w:t>
      </w:r>
      <w:r w:rsidRPr="009B5FC6">
        <w:t>subsidiary Charter Holdings</w:t>
      </w:r>
      <w:r>
        <w:t>, LLC (Charter Holdings)</w:t>
      </w:r>
      <w:r w:rsidRPr="009B5FC6">
        <w:t>, and</w:t>
      </w:r>
      <w:r>
        <w:t xml:space="preserve"> Cox Enterprises, Inc. (CEI) </w:t>
      </w:r>
      <w:r w:rsidRPr="009B5FC6">
        <w:t>entered into a</w:t>
      </w:r>
      <w:r>
        <w:t xml:space="preserve"> transaction agreement that would result in Cox Communications, Inc. (Cox) under the common ownership of Charter and CEI.</w:t>
      </w:r>
      <w:r>
        <w:rPr>
          <w:rStyle w:val="FootnoteReference"/>
        </w:rPr>
        <w:footnoteReference w:id="2"/>
      </w:r>
      <w:r>
        <w:t xml:space="preserve">  CEI is the parent company of Cox, the subsidiary to be acquired by Charter.  Cox California Telecom, LLC (U-5684-C) (Cox California), is a subsidiary of Cox, and the named company subject to the indirect transfer of control request before the California Public Utilities Commission (Commission).  Upon approval, Cox California will become a subsidiary of Charter.  Charter, Charter Holdings, CEI, and Cox California are, herein, the Joint Applicants.</w:t>
      </w:r>
      <w:r>
        <w:rPr>
          <w:rStyle w:val="FootnoteReference"/>
        </w:rPr>
        <w:footnoteReference w:id="3"/>
      </w:r>
      <w:r>
        <w:t xml:space="preserve"> </w:t>
      </w:r>
    </w:p>
    <w:p w:rsidR="000540DE" w:rsidP="000540DE" w:rsidRDefault="000540DE" w14:paraId="06ECD924" w14:textId="34694B96">
      <w:pPr>
        <w:pStyle w:val="Standard"/>
      </w:pPr>
      <w:r>
        <w:t xml:space="preserve">Charter is a holding company, and through subsidiary operations, provides broadband, cable, residential, and business services such as internet, video services, mobile wireless services, Voice over Internet Protocol (VoIP), </w:t>
      </w:r>
      <w:r w:rsidRPr="00875288">
        <w:lastRenderedPageBreak/>
        <w:t>managed cloud services,</w:t>
      </w:r>
      <w:r>
        <w:t xml:space="preserve"> </w:t>
      </w:r>
      <w:r w:rsidRPr="00875288">
        <w:t xml:space="preserve">security, enterprise </w:t>
      </w:r>
      <w:r>
        <w:t>i</w:t>
      </w:r>
      <w:r w:rsidRPr="00875288">
        <w:t>nternet, networking products, and voice services for enterprise customers</w:t>
      </w:r>
      <w:r>
        <w:t>, for over 31.2 million customers.  Charter has a residential footprint across 41 states, including California, and an even broader reach for its enterprise service offerings.</w:t>
      </w:r>
      <w:r>
        <w:rPr>
          <w:rStyle w:val="FootnoteReference"/>
        </w:rPr>
        <w:footnoteReference w:id="4"/>
      </w:r>
      <w:r>
        <w:t xml:space="preserve"> </w:t>
      </w:r>
    </w:p>
    <w:p w:rsidR="000540DE" w:rsidP="000540DE" w:rsidRDefault="000540DE" w14:paraId="4752DCEB" w14:textId="0DA89319">
      <w:pPr>
        <w:pStyle w:val="Standard"/>
      </w:pPr>
      <w:r>
        <w:t xml:space="preserve">CEI is a privately held, family corporation and the current ultimate parent company of </w:t>
      </w:r>
      <w:r w:rsidRPr="00981198">
        <w:t>Cox</w:t>
      </w:r>
      <w:r>
        <w:t xml:space="preserve"> and its subsidiaries.</w:t>
      </w:r>
      <w:r>
        <w:rPr>
          <w:rStyle w:val="FootnoteReference"/>
        </w:rPr>
        <w:footnoteReference w:id="5"/>
      </w:r>
      <w:r>
        <w:t xml:space="preserve">  Cox’s subsidiaries </w:t>
      </w:r>
      <w:r w:rsidRPr="00981198">
        <w:t>operate fiber-optic and hybrid fiber/coaxial cable in 35 states</w:t>
      </w:r>
      <w:r>
        <w:t>, provide broadband service to residential, small and medium-sized business customers, residential video service, streaming video services platforms, residential and business voice service, mobile voice and data service, and enterprise broadband service across 18 states, including California.</w:t>
      </w:r>
      <w:r>
        <w:rPr>
          <w:rStyle w:val="FootnoteReference"/>
        </w:rPr>
        <w:footnoteReference w:id="6"/>
      </w:r>
    </w:p>
    <w:p w:rsidRPr="00DE554E" w:rsidR="000540DE" w:rsidP="00DE554E" w:rsidRDefault="00DE554E" w14:paraId="713513A3" w14:textId="3B9C781D">
      <w:pPr>
        <w:pStyle w:val="Standard"/>
      </w:pPr>
      <w:r>
        <w:t>The Joint Applicants assert that the transaction will bring significant public benefits to California, “</w:t>
      </w:r>
      <w:r w:rsidRPr="009B5FC6">
        <w:t>arising both from its direct effects on the regulated</w:t>
      </w:r>
      <w:r>
        <w:t xml:space="preserve"> </w:t>
      </w:r>
      <w:r w:rsidRPr="009B5FC6">
        <w:t>telecommunications services offered by Cox California as well as from the broader combination of Charter and Cox into</w:t>
      </w:r>
      <w:r>
        <w:t xml:space="preserve"> </w:t>
      </w:r>
      <w:r w:rsidRPr="009B5FC6">
        <w:t>a combined company.</w:t>
      </w:r>
      <w:r>
        <w:t>”</w:t>
      </w:r>
      <w:r>
        <w:rPr>
          <w:rStyle w:val="FootnoteReference"/>
        </w:rPr>
        <w:footnoteReference w:id="7"/>
      </w:r>
      <w:r>
        <w:t xml:space="preserve">  </w:t>
      </w:r>
      <w:r w:rsidR="000540DE">
        <w:rPr>
          <w:szCs w:val="26"/>
        </w:rPr>
        <w:t>Charter and Charter Holdings provided organizational diagrams depicting the corporate structures post-transaction, as shown below.</w:t>
      </w:r>
      <w:r w:rsidR="000540DE">
        <w:rPr>
          <w:rStyle w:val="FootnoteReference"/>
          <w:szCs w:val="26"/>
        </w:rPr>
        <w:footnoteReference w:id="8"/>
      </w:r>
    </w:p>
    <w:p w:rsidR="000540DE" w:rsidP="000540DE" w:rsidRDefault="000540DE" w14:paraId="1C3F425D" w14:textId="77777777">
      <w:pPr>
        <w:pStyle w:val="Standard"/>
        <w:ind w:left="720" w:firstLine="0"/>
      </w:pPr>
      <w:r w:rsidRPr="006A78F1">
        <w:rPr>
          <w:noProof/>
          <w:szCs w:val="26"/>
        </w:rPr>
        <w:lastRenderedPageBreak/>
        <w:drawing>
          <wp:inline distT="0" distB="0" distL="0" distR="0" wp14:anchorId="41E19DDC" wp14:editId="220B290F">
            <wp:extent cx="3924848" cy="4001058"/>
            <wp:effectExtent l="0" t="0" r="0" b="0"/>
            <wp:docPr id="1181168177" name="Picture 1" descr="P17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68177" name="Picture 1" descr="P176#yIS1"/>
                    <pic:cNvPicPr/>
                  </pic:nvPicPr>
                  <pic:blipFill>
                    <a:blip r:embed="rId14"/>
                    <a:stretch>
                      <a:fillRect/>
                    </a:stretch>
                  </pic:blipFill>
                  <pic:spPr>
                    <a:xfrm>
                      <a:off x="0" y="0"/>
                      <a:ext cx="3924848" cy="4001058"/>
                    </a:xfrm>
                    <a:prstGeom prst="rect">
                      <a:avLst/>
                    </a:prstGeom>
                  </pic:spPr>
                </pic:pic>
              </a:graphicData>
            </a:graphic>
          </wp:inline>
        </w:drawing>
      </w:r>
      <w:r>
        <w:rPr>
          <w:szCs w:val="26"/>
        </w:rPr>
        <w:t xml:space="preserve"> </w:t>
      </w:r>
    </w:p>
    <w:p w:rsidR="00215596" w:rsidP="00375ADC" w:rsidRDefault="00B9089C" w14:paraId="6618CB75" w14:textId="0424F838">
      <w:pPr>
        <w:pStyle w:val="Standard"/>
        <w:ind w:firstLine="360"/>
        <w:rPr>
          <w:szCs w:val="26"/>
        </w:rPr>
      </w:pPr>
      <w:r>
        <w:rPr>
          <w:szCs w:val="26"/>
        </w:rPr>
        <w:t xml:space="preserve"> </w:t>
      </w:r>
    </w:p>
    <w:p w:rsidR="0063491C" w:rsidP="006751FF" w:rsidRDefault="0063491C" w14:paraId="3BD138A8" w14:textId="77777777">
      <w:pPr>
        <w:pStyle w:val="Heading1"/>
      </w:pPr>
      <w:bookmarkStart w:name="_Toc8123717" w:id="7"/>
      <w:bookmarkStart w:name="_Toc237414260" w:id="8"/>
      <w:bookmarkEnd w:id="6"/>
      <w:r>
        <w:t>Procedural Background</w:t>
      </w:r>
      <w:bookmarkEnd w:id="7"/>
      <w:bookmarkEnd w:id="8"/>
    </w:p>
    <w:p w:rsidR="00304DC0" w:rsidP="00304DC0" w:rsidRDefault="00304DC0" w14:paraId="44655CAE" w14:textId="77777777">
      <w:pPr>
        <w:pStyle w:val="Standard"/>
      </w:pPr>
      <w:r>
        <w:t xml:space="preserve">On July 30, 2025, the Joint Applicants filed this application for an indirect transfer of control of Cox California.  On September 5, 2025, the Public Advocates Office at the California Public Utilities Commission (Cal Advocates) and, jointly, The Utility Reform Network (TURN) and Center for Accessible Technology (CforAT) protested the application.  On September 15, 2025, the Joint Applicants filed a reply to Cal Advocates’ and the joint protest of TURN and CforAT. </w:t>
      </w:r>
    </w:p>
    <w:p w:rsidR="00304DC0" w:rsidP="00304DC0" w:rsidRDefault="00304DC0" w14:paraId="7FA15D9E" w14:textId="77777777">
      <w:pPr>
        <w:pStyle w:val="Standard"/>
      </w:pPr>
      <w:r>
        <w:t>On October 3, 2025, the assigned Administrative Law Judge (ALJ) held a prehearing conference to determine the parties, positions of the parties, scope and schedule of the proceeding, and other procedural matters.</w:t>
      </w:r>
    </w:p>
    <w:p w:rsidR="00304DC0" w:rsidP="00304DC0" w:rsidRDefault="00304DC0" w14:paraId="6C917181" w14:textId="15C28B20">
      <w:pPr>
        <w:pStyle w:val="Standard"/>
      </w:pPr>
      <w:r>
        <w:t xml:space="preserve">To assist the Joint Applicants in the task of completing their application, the assigned ALJ also issued five rulings requesting additional information.  The </w:t>
      </w:r>
      <w:r>
        <w:lastRenderedPageBreak/>
        <w:t xml:space="preserve">rulings requesting additional information were issued on September 5, 2025, October 7, 2025, November 17, 2025, February 13, 2026, and March 18, 2026.  Joint Applicants requested and received additional time to respond to the October 7 and the November 17 rulings.  </w:t>
      </w:r>
    </w:p>
    <w:p w:rsidR="00304DC0" w:rsidP="00304DC0" w:rsidRDefault="00304DC0" w14:paraId="22BC4C7D" w14:textId="7CB8C61A">
      <w:pPr>
        <w:pStyle w:val="Standard"/>
      </w:pPr>
      <w:r>
        <w:t>The November 17, 2025 ruling required Joint Applicants to provide the Hart-Scott-Rodino (HSR) federal premerger notification that Joint Applicants filed with the Federal Trade Commission (FTC) and federal Department of Justice (DOJ) in August 2025.</w:t>
      </w:r>
      <w:r w:rsidR="009E52C3">
        <w:rPr>
          <w:rStyle w:val="FootnoteReference"/>
        </w:rPr>
        <w:footnoteReference w:id="9"/>
      </w:r>
      <w:r>
        <w:t xml:space="preserve">  The HSR notification provides the FTC and DOJ with information about larger mergers and acquisitions before they occur.  </w:t>
      </w:r>
    </w:p>
    <w:p w:rsidR="00304DC0" w:rsidP="00304DC0" w:rsidRDefault="00304DC0" w14:paraId="2CCF1D2B" w14:textId="77777777">
      <w:pPr>
        <w:pStyle w:val="Standard"/>
      </w:pPr>
      <w:r>
        <w:t>The ALJ granted motions for party status to Media Alliance on November 3, 2025, and California Emerging Technology Fund (CETF) on November 17, 2025.</w:t>
      </w:r>
    </w:p>
    <w:p w:rsidR="00304DC0" w:rsidP="00304DC0" w:rsidRDefault="00304DC0" w14:paraId="209ED895" w14:textId="77777777">
      <w:pPr>
        <w:pStyle w:val="Standard"/>
      </w:pPr>
      <w:r>
        <w:t xml:space="preserve">On December 9, 2025, the assigned Commissioner issued the Scoping Memo and Ruling (Scoping Ruling). </w:t>
      </w:r>
    </w:p>
    <w:p w:rsidR="00304DC0" w:rsidP="00304DC0" w:rsidRDefault="00304DC0" w14:paraId="08E79D6E" w14:textId="6F4DDE0D">
      <w:pPr>
        <w:pStyle w:val="Standard"/>
      </w:pPr>
      <w:r>
        <w:t xml:space="preserve">On December 23, 2025, Cal Advocates filed a </w:t>
      </w:r>
      <w:r w:rsidR="004C54E5">
        <w:t>m</w:t>
      </w:r>
      <w:r>
        <w:t xml:space="preserve">otion to compel Joint Applicants to produce documents responsive to their outstanding data requests.   </w:t>
      </w:r>
    </w:p>
    <w:p w:rsidR="00304DC0" w:rsidP="00304DC0" w:rsidRDefault="00304DC0" w14:paraId="388F3B82" w14:textId="5FB3046B">
      <w:pPr>
        <w:pStyle w:val="Standard"/>
      </w:pPr>
      <w:r>
        <w:lastRenderedPageBreak/>
        <w:t xml:space="preserve">On December 30, 2025, Joint Applicants filed a motion requesting that the Commission amend and clarify the Scoping Ruling and shorten the schedule of the proceeding.   </w:t>
      </w:r>
    </w:p>
    <w:p w:rsidR="00304DC0" w:rsidP="00304DC0" w:rsidRDefault="00304DC0" w14:paraId="69EACD0E" w14:textId="5794BDEB">
      <w:pPr>
        <w:pStyle w:val="Standard"/>
      </w:pPr>
      <w:r>
        <w:t>On January 9, 2026, the Cal Advocates’ Motion to Compel Discovery was granted, requiring Joint Applicants to produce full, complete, and unredacted responses to Cal Advocates Data Requests within five business days.</w:t>
      </w:r>
      <w:r w:rsidR="00815338">
        <w:rPr>
          <w:rStyle w:val="FootnoteReference"/>
        </w:rPr>
        <w:footnoteReference w:id="10"/>
      </w:r>
      <w:r>
        <w:t xml:space="preserve">  </w:t>
      </w:r>
    </w:p>
    <w:p w:rsidR="00304DC0" w:rsidP="00304DC0" w:rsidRDefault="00304DC0" w14:paraId="6FC98253" w14:textId="4E803754">
      <w:pPr>
        <w:pStyle w:val="Standard"/>
      </w:pPr>
      <w:r>
        <w:t xml:space="preserve"> On January 16, 2026, Cal Advocates requested extensions of time for some procedural events and the ALJ denied that motion on January 28, 2026.  </w:t>
      </w:r>
    </w:p>
    <w:p w:rsidR="00304DC0" w:rsidP="00304DC0" w:rsidRDefault="00304DC0" w14:paraId="2099AE1A" w14:textId="71BD5BCD">
      <w:pPr>
        <w:pStyle w:val="Standard"/>
      </w:pPr>
      <w:r>
        <w:t xml:space="preserve">On February 9, 2026, CforAT filed a second and third motion to compel Joint Applicants to respond to their outstanding discovery requests.  </w:t>
      </w:r>
    </w:p>
    <w:p w:rsidR="00304DC0" w:rsidP="00304DC0" w:rsidRDefault="00304DC0" w14:paraId="42B8F057" w14:textId="77777777">
      <w:pPr>
        <w:pStyle w:val="Standard"/>
      </w:pPr>
      <w:r>
        <w:t>On February 12, 2026, TURN, CforAT, Media Alliance, and Cal Advocates filed a joint motion requesting evidentiary hearings in this proceeding.</w:t>
      </w:r>
    </w:p>
    <w:p w:rsidR="00304DC0" w:rsidP="00304DC0" w:rsidRDefault="00304DC0" w14:paraId="4BE90BBA" w14:textId="77777777">
      <w:pPr>
        <w:pStyle w:val="Standard"/>
      </w:pPr>
      <w:r>
        <w:t xml:space="preserve">On February 19, 2026, Joint Applicants filed separate responses in opposition to CforAT’s motions to compel.  </w:t>
      </w:r>
    </w:p>
    <w:p w:rsidR="00304DC0" w:rsidP="00304DC0" w:rsidRDefault="00304DC0" w14:paraId="4673BB68" w14:textId="0046BE8F">
      <w:pPr>
        <w:pStyle w:val="Standard"/>
      </w:pPr>
      <w:r>
        <w:t xml:space="preserve">During the month of February, the Commission held Public Participation Hearings (PPHs) both virtually and in person in Los Angeles and </w:t>
      </w:r>
      <w:r w:rsidR="0048743E">
        <w:t xml:space="preserve">National </w:t>
      </w:r>
      <w:r>
        <w:t>City.</w:t>
      </w:r>
      <w:r w:rsidR="00F90C65">
        <w:rPr>
          <w:rStyle w:val="FootnoteReference"/>
        </w:rPr>
        <w:footnoteReference w:id="11"/>
      </w:r>
      <w:r>
        <w:t xml:space="preserve">  </w:t>
      </w:r>
    </w:p>
    <w:p w:rsidR="00CB172B" w:rsidP="00304DC0" w:rsidRDefault="00304DC0" w14:paraId="546900F7" w14:textId="77777777">
      <w:pPr>
        <w:pStyle w:val="Standard"/>
      </w:pPr>
      <w:r>
        <w:t xml:space="preserve">On March 2, 2026, the assigned ALJ issued a ruling confirming the dates of the evidentiary hearings, providing instructions for evidentiary hearings and </w:t>
      </w:r>
      <w:r>
        <w:lastRenderedPageBreak/>
        <w:t xml:space="preserve">briefs, and shortening the timeline for the filing of opening and reply briefs in this case.  </w:t>
      </w:r>
    </w:p>
    <w:p w:rsidR="00304DC0" w:rsidP="00304DC0" w:rsidRDefault="00304DC0" w14:paraId="60E960A4" w14:textId="43D4C3D1">
      <w:pPr>
        <w:pStyle w:val="Standard"/>
      </w:pPr>
      <w:r>
        <w:t>On March 13, 2026, the assigned ALJ granted CforAT’s motions to compel discovery.</w:t>
      </w:r>
    </w:p>
    <w:p w:rsidR="00304DC0" w:rsidP="00304DC0" w:rsidRDefault="00304DC0" w14:paraId="742D67F0" w14:textId="77777777">
      <w:pPr>
        <w:pStyle w:val="Standard"/>
      </w:pPr>
      <w:r>
        <w:t xml:space="preserve">On April 17, 2026 Joint Applicants, Cal Advocates, and CETF, waived their planned cross examination.   </w:t>
      </w:r>
    </w:p>
    <w:p w:rsidR="00304DC0" w:rsidP="00304DC0" w:rsidRDefault="00304DC0" w14:paraId="0CF965C4" w14:textId="77777777">
      <w:pPr>
        <w:pStyle w:val="Standard"/>
      </w:pPr>
      <w:r>
        <w:t>The assigned ALJ denied Stephen Lane’s motion for party status on April 6, 2026, and granted Digital Equity Los Angeles’s (DELA) motion for party status on April 8, 2026.</w:t>
      </w:r>
    </w:p>
    <w:p w:rsidR="00304DC0" w:rsidP="00304DC0" w:rsidRDefault="00304DC0" w14:paraId="62433E78" w14:textId="350933CA">
      <w:pPr>
        <w:pStyle w:val="Standard"/>
      </w:pPr>
      <w:r>
        <w:t xml:space="preserve">The assigned ALJ presided over evidentiary hearings throughout the week of April 20, 2026.  The Assigned ALJ granted party status for California Alliance for Digital Equity (CADE), Fresno Coalition for Digital Inclusion (FCDI), The Association for Broadband Without Boundaries, and East Bay Broadband Consortium (EBBC), at the beginning of evidentiary hearings, on the record.  Two </w:t>
      </w:r>
      <w:r w:rsidR="00694E27">
        <w:t xml:space="preserve">motions </w:t>
      </w:r>
      <w:r>
        <w:t xml:space="preserve">to </w:t>
      </w:r>
      <w:r w:rsidR="00694E27">
        <w:t xml:space="preserve">strike </w:t>
      </w:r>
      <w:r>
        <w:t xml:space="preserve">testimony </w:t>
      </w:r>
      <w:r w:rsidR="00694E27">
        <w:t>filed by Joint Applicants</w:t>
      </w:r>
      <w:r w:rsidR="00BB3F55">
        <w:t>,</w:t>
      </w:r>
      <w:r w:rsidR="00694E27">
        <w:t xml:space="preserve"> </w:t>
      </w:r>
      <w:r>
        <w:t xml:space="preserve">and a </w:t>
      </w:r>
      <w:r w:rsidR="00BB3F55">
        <w:t xml:space="preserve">motion </w:t>
      </w:r>
      <w:r>
        <w:t xml:space="preserve">for an </w:t>
      </w:r>
      <w:r w:rsidR="00BB3F55">
        <w:t xml:space="preserve">order </w:t>
      </w:r>
      <w:r>
        <w:t>barring testimony</w:t>
      </w:r>
      <w:r w:rsidR="00BB3F55">
        <w:t>, filed by CforAT</w:t>
      </w:r>
      <w:r>
        <w:t xml:space="preserve"> were also denied on the record.</w:t>
      </w:r>
      <w:r w:rsidR="00694E27">
        <w:rPr>
          <w:rStyle w:val="FootnoteReference"/>
        </w:rPr>
        <w:footnoteReference w:id="12"/>
      </w:r>
      <w:r>
        <w:t xml:space="preserve"> </w:t>
      </w:r>
    </w:p>
    <w:p w:rsidR="00304DC0" w:rsidP="00304DC0" w:rsidRDefault="00304DC0" w14:paraId="48C060AD" w14:textId="3D149CEF">
      <w:pPr>
        <w:pStyle w:val="Standard"/>
      </w:pPr>
      <w:r>
        <w:t xml:space="preserve">On May 1, 2026, Joint Applicants and Cal Advocates filed a </w:t>
      </w:r>
      <w:r w:rsidR="00936E4F">
        <w:t xml:space="preserve">motion </w:t>
      </w:r>
      <w:r>
        <w:t xml:space="preserve">to </w:t>
      </w:r>
      <w:r w:rsidR="00936E4F">
        <w:t xml:space="preserve">adopt </w:t>
      </w:r>
      <w:r>
        <w:t>a settlement agreement</w:t>
      </w:r>
      <w:r w:rsidR="00644B1F">
        <w:t xml:space="preserve"> (</w:t>
      </w:r>
      <w:r w:rsidR="001848DA">
        <w:t xml:space="preserve">Joint </w:t>
      </w:r>
      <w:r w:rsidR="00644B1F">
        <w:t xml:space="preserve">Applicants-Cal Advocates </w:t>
      </w:r>
      <w:r w:rsidR="001848DA">
        <w:t xml:space="preserve">Settlement </w:t>
      </w:r>
      <w:r w:rsidR="00644B1F">
        <w:t>Agreement)</w:t>
      </w:r>
      <w:r>
        <w:t xml:space="preserve">.  In the motion, Joint Applicants and Cal Advocates agreed that </w:t>
      </w:r>
      <w:r>
        <w:lastRenderedPageBreak/>
        <w:t>through substantial and lengthy negotiations, they were able to reach agreement on all issues raised by Cal Advocates.</w:t>
      </w:r>
      <w:r w:rsidR="004627B2">
        <w:rPr>
          <w:rStyle w:val="FootnoteReference"/>
        </w:rPr>
        <w:footnoteReference w:id="13"/>
      </w:r>
      <w:r>
        <w:t xml:space="preserve">  </w:t>
      </w:r>
    </w:p>
    <w:p w:rsidR="00304DC0" w:rsidP="00304DC0" w:rsidRDefault="00304DC0" w14:paraId="1749B9F2" w14:textId="5AD548CD">
      <w:pPr>
        <w:pStyle w:val="Standard"/>
      </w:pPr>
      <w:r>
        <w:t xml:space="preserve">Also on May 1, 2026, Joint Applicants and CETF filed a </w:t>
      </w:r>
      <w:r w:rsidR="00E37C26">
        <w:t>m</w:t>
      </w:r>
      <w:r>
        <w:t xml:space="preserve">otion to </w:t>
      </w:r>
      <w:r w:rsidR="00E37C26">
        <w:t xml:space="preserve">adopt </w:t>
      </w:r>
      <w:r>
        <w:t xml:space="preserve">a </w:t>
      </w:r>
      <w:r w:rsidR="00136F3E">
        <w:t xml:space="preserve">separate </w:t>
      </w:r>
      <w:r>
        <w:t>settlement agreement</w:t>
      </w:r>
      <w:r w:rsidR="00644B1F">
        <w:t xml:space="preserve"> (</w:t>
      </w:r>
      <w:r w:rsidR="001848DA">
        <w:t>Joint Applicants-CETF Settlement Agreement</w:t>
      </w:r>
      <w:r w:rsidR="00644B1F">
        <w:t>)</w:t>
      </w:r>
      <w:r>
        <w:t>.  In the motion, Joint Applicants and CETF indicate that the memorandum of understanding (MOU) developed, “between the parties is the product of substantial and lengthy negotiations, through which the Settling Parties were able to reach an agreement, and reflects the resolution of all concerns raised by CETF in this Proceeding.”</w:t>
      </w:r>
      <w:r w:rsidR="00136F3E">
        <w:rPr>
          <w:rStyle w:val="FootnoteReference"/>
        </w:rPr>
        <w:footnoteReference w:id="14"/>
      </w:r>
      <w:r>
        <w:t xml:space="preserve"> </w:t>
      </w:r>
    </w:p>
    <w:p w:rsidR="00304DC0" w:rsidP="00304DC0" w:rsidRDefault="00304DC0" w14:paraId="026F3E60" w14:textId="4010A723">
      <w:pPr>
        <w:pStyle w:val="Standard"/>
      </w:pPr>
      <w:r>
        <w:t xml:space="preserve">On May 4, 2026, Joint Applicants filed a motion requesting modification to the deadline to submit comments on the </w:t>
      </w:r>
      <w:r w:rsidR="001848DA">
        <w:t>Joint Applicants-Cal Advocates Settlement Agreement and the Joint Applicants-CETF Settlement Agreement (collectively the “S</w:t>
      </w:r>
      <w:r>
        <w:t xml:space="preserve">ettlement </w:t>
      </w:r>
      <w:r w:rsidR="001848DA">
        <w:t>A</w:t>
      </w:r>
      <w:r>
        <w:t>greements</w:t>
      </w:r>
      <w:r w:rsidR="001848DA">
        <w:t>”)</w:t>
      </w:r>
      <w:r>
        <w:t xml:space="preserve">.  On May 7, 2026, TURN and CforAT filed a joint response to the motion requesting modification to settlement comment deadlines.  On May 8, 2026, Media Alliance filed an opposition to the motion. </w:t>
      </w:r>
    </w:p>
    <w:p w:rsidR="00304DC0" w:rsidP="00304DC0" w:rsidRDefault="00304DC0" w14:paraId="00B8AAF7" w14:textId="77777777">
      <w:pPr>
        <w:pStyle w:val="Standard"/>
      </w:pPr>
      <w:r>
        <w:t>The assigned ALJ denied Stephen Lane’s motion for limited party status on May 14, 2026.</w:t>
      </w:r>
    </w:p>
    <w:p w:rsidR="00304DC0" w:rsidP="00304DC0" w:rsidRDefault="00304DC0" w14:paraId="47838127" w14:textId="77777777">
      <w:pPr>
        <w:pStyle w:val="Standard"/>
      </w:pPr>
      <w:r>
        <w:t xml:space="preserve">On May 22, 2026, opening briefs were filed by Cal Advocates; CETF; Joint Advocates (CforAT, CADE, DELA, EBBC, and FCDI); Joint Applicants; Media Alliance; and TURN.   </w:t>
      </w:r>
    </w:p>
    <w:p w:rsidR="00304DC0" w:rsidP="00304DC0" w:rsidRDefault="00304DC0" w14:paraId="1AFE8138" w14:textId="77777777">
      <w:pPr>
        <w:pStyle w:val="Standard"/>
      </w:pPr>
      <w:r>
        <w:lastRenderedPageBreak/>
        <w:t>On June 1, 2026, CforAT; Joint Advocates (CADE, EBBC, FCDI, and Media Alliance); and TURN filed comments on the two individual party settlement agreements.</w:t>
      </w:r>
    </w:p>
    <w:p w:rsidR="00304DC0" w:rsidP="00304DC0" w:rsidRDefault="00304DC0" w14:paraId="30AFEFBA" w14:textId="4FA8244D">
      <w:pPr>
        <w:pStyle w:val="Standard"/>
      </w:pPr>
      <w:r>
        <w:t xml:space="preserve">The assigned ALJ granted the National Institute for Workers’ Rights </w:t>
      </w:r>
      <w:r w:rsidR="000B4990">
        <w:t xml:space="preserve">(NIWR) </w:t>
      </w:r>
      <w:r>
        <w:t xml:space="preserve">motion for party status on June 4, 2026 </w:t>
      </w:r>
    </w:p>
    <w:p w:rsidR="00304DC0" w:rsidP="00304DC0" w:rsidRDefault="00304DC0" w14:paraId="688C76C1" w14:textId="77777777">
      <w:pPr>
        <w:pStyle w:val="Standard"/>
      </w:pPr>
      <w:r>
        <w:t>On June 5, 2026, reply briefs were filed by CETF; Joint Advocates (CforAT, CADE, DELA, EBBC, FCDI, and Media Alliance); Joint Applicants; and TURN.</w:t>
      </w:r>
    </w:p>
    <w:p w:rsidR="00304DC0" w:rsidP="00304DC0" w:rsidRDefault="00304DC0" w14:paraId="6FB4AF30" w14:textId="2EC7E490">
      <w:pPr>
        <w:pStyle w:val="Standard"/>
      </w:pPr>
      <w:r>
        <w:t>On June 5, 2026, The Association for Broadband Without Boundaries moved to withdraw as a party to the proceeding.</w:t>
      </w:r>
    </w:p>
    <w:p w:rsidR="00304DC0" w:rsidP="00304DC0" w:rsidRDefault="00304DC0" w14:paraId="01B1C5EB" w14:textId="332263DA">
      <w:pPr>
        <w:pStyle w:val="Standard"/>
      </w:pPr>
      <w:r>
        <w:t xml:space="preserve">On June 9, 2026, CforAT filed a </w:t>
      </w:r>
      <w:r w:rsidR="00FE6BDA">
        <w:t xml:space="preserve">motion </w:t>
      </w:r>
      <w:r>
        <w:t xml:space="preserve">to </w:t>
      </w:r>
      <w:r w:rsidR="00FE6BDA">
        <w:t xml:space="preserve">strike portions </w:t>
      </w:r>
      <w:r>
        <w:t>of Joint Applicants’ opening and reply briefs</w:t>
      </w:r>
      <w:r w:rsidR="00DE554E">
        <w:t>, the entirety of CETF’s opening and reply briefs, and the entirety of Cal Advocates’ opening brief</w:t>
      </w:r>
      <w:r>
        <w:t>.</w:t>
      </w:r>
    </w:p>
    <w:p w:rsidR="00CB172B" w:rsidP="00304DC0" w:rsidRDefault="00304DC0" w14:paraId="7C3D2EB3" w14:textId="77777777">
      <w:pPr>
        <w:pStyle w:val="Standard"/>
      </w:pPr>
      <w:r>
        <w:t xml:space="preserve">On June 16, 2026, parties filed reply comments on the settlement agreements. </w:t>
      </w:r>
    </w:p>
    <w:p w:rsidR="00882F9B" w:rsidP="00304DC0" w:rsidRDefault="00882F9B" w14:paraId="21514C10" w14:textId="2FC0CD1E">
      <w:pPr>
        <w:pStyle w:val="Standard"/>
      </w:pPr>
      <w:r>
        <w:t xml:space="preserve">On June 17, 2026, the Joint Applicants filed a </w:t>
      </w:r>
      <w:r w:rsidR="00FE6BDA">
        <w:t xml:space="preserve">motion </w:t>
      </w:r>
      <w:r>
        <w:t xml:space="preserve">to </w:t>
      </w:r>
      <w:r w:rsidR="00FE6BDA">
        <w:t xml:space="preserve">strike </w:t>
      </w:r>
      <w:r>
        <w:t>portions of Joint Advocates’ and Media Alliance’s briefs.</w:t>
      </w:r>
    </w:p>
    <w:p w:rsidR="00882F9B" w:rsidP="00CF0BDA" w:rsidRDefault="00882F9B" w14:paraId="4BEA283D" w14:textId="30CD2CBD">
      <w:pPr>
        <w:pStyle w:val="Standard"/>
      </w:pPr>
      <w:r>
        <w:t>On June 19, 202</w:t>
      </w:r>
      <w:r w:rsidR="00126573">
        <w:t>6</w:t>
      </w:r>
      <w:r>
        <w:t xml:space="preserve">, Joint Applicants filed a response to CforAT’s </w:t>
      </w:r>
      <w:r w:rsidR="00FE6BDA">
        <w:t xml:space="preserve">motion </w:t>
      </w:r>
      <w:r>
        <w:t xml:space="preserve">to </w:t>
      </w:r>
      <w:r w:rsidR="00FE6BDA">
        <w:t>strike</w:t>
      </w:r>
      <w:r>
        <w:t>.</w:t>
      </w:r>
    </w:p>
    <w:p w:rsidR="00882F9B" w:rsidP="00126573" w:rsidRDefault="00882F9B" w14:paraId="7C5DF2F4" w14:textId="222EE47B">
      <w:pPr>
        <w:pStyle w:val="Standard"/>
      </w:pPr>
      <w:r w:rsidRPr="000540DE">
        <w:t>On June 2</w:t>
      </w:r>
      <w:r w:rsidRPr="000540DE" w:rsidR="005F76EF">
        <w:t>2</w:t>
      </w:r>
      <w:r w:rsidRPr="000540DE">
        <w:t>, 202</w:t>
      </w:r>
      <w:r w:rsidRPr="000540DE" w:rsidR="00126573">
        <w:t>6</w:t>
      </w:r>
      <w:r w:rsidRPr="000540DE">
        <w:t xml:space="preserve">, Media Alliance filed </w:t>
      </w:r>
      <w:r w:rsidRPr="000540DE" w:rsidR="005F76EF">
        <w:t xml:space="preserve">an opposition </w:t>
      </w:r>
      <w:r w:rsidRPr="000540DE">
        <w:t>to Joint Applicants</w:t>
      </w:r>
      <w:r w:rsidR="004C54E5">
        <w:t>’</w:t>
      </w:r>
      <w:r w:rsidRPr="000540DE">
        <w:t xml:space="preserve"> </w:t>
      </w:r>
      <w:r w:rsidR="00FE6BDA">
        <w:t>m</w:t>
      </w:r>
      <w:r w:rsidRPr="000540DE" w:rsidR="00FE6BDA">
        <w:t xml:space="preserve">otion </w:t>
      </w:r>
      <w:r w:rsidRPr="000540DE">
        <w:t xml:space="preserve">to </w:t>
      </w:r>
      <w:r w:rsidR="00FE6BDA">
        <w:t>s</w:t>
      </w:r>
      <w:r w:rsidRPr="000540DE" w:rsidR="00FE6BDA">
        <w:t>trike</w:t>
      </w:r>
      <w:r w:rsidRPr="000540DE">
        <w:t>.</w:t>
      </w:r>
      <w:r>
        <w:t xml:space="preserve"> </w:t>
      </w:r>
      <w:r w:rsidR="00126573">
        <w:t xml:space="preserve">  </w:t>
      </w:r>
    </w:p>
    <w:p w:rsidRPr="002E3902" w:rsidR="00D05990" w:rsidP="002E3902" w:rsidRDefault="00D05990" w14:paraId="3B514CCD" w14:textId="2F93C1AC">
      <w:pPr>
        <w:rPr>
          <w:highlight w:val="yellow"/>
        </w:rPr>
      </w:pPr>
      <w:r w:rsidRPr="00955D27">
        <w:t xml:space="preserve">On June 24, 2026, Cal Advocates filed a </w:t>
      </w:r>
      <w:r w:rsidR="00667A01">
        <w:t>re</w:t>
      </w:r>
      <w:r w:rsidRPr="00955D27">
        <w:t>sponse to C</w:t>
      </w:r>
      <w:r>
        <w:t xml:space="preserve">forAT’s </w:t>
      </w:r>
      <w:r w:rsidR="00667A01">
        <w:t>m</w:t>
      </w:r>
      <w:r w:rsidRPr="00955D27">
        <w:t xml:space="preserve">otion to </w:t>
      </w:r>
      <w:r w:rsidR="00667A01">
        <w:t>s</w:t>
      </w:r>
      <w:r w:rsidRPr="00955D27">
        <w:t xml:space="preserve">trike the entirety of Cal Advocates' </w:t>
      </w:r>
      <w:r w:rsidR="004C54E5">
        <w:t>o</w:t>
      </w:r>
      <w:r w:rsidRPr="00955D27">
        <w:t xml:space="preserve">pening </w:t>
      </w:r>
      <w:r w:rsidR="004C54E5">
        <w:t>b</w:t>
      </w:r>
      <w:r w:rsidRPr="00955D27">
        <w:t>rief.</w:t>
      </w:r>
      <w:r w:rsidRPr="00955D27">
        <w:rPr>
          <w:highlight w:val="yellow"/>
        </w:rPr>
        <w:t xml:space="preserve">  </w:t>
      </w:r>
    </w:p>
    <w:p w:rsidR="00683B2C" w:rsidP="006751FF" w:rsidRDefault="00683B2C" w14:paraId="52B8E019" w14:textId="77777777">
      <w:pPr>
        <w:pStyle w:val="Heading1"/>
      </w:pPr>
      <w:bookmarkStart w:name="_Toc237414261" w:id="9"/>
      <w:r>
        <w:t>Submission Date</w:t>
      </w:r>
      <w:bookmarkEnd w:id="9"/>
    </w:p>
    <w:p w:rsidR="00683B2C" w:rsidP="00882F9B" w:rsidRDefault="00B8527D" w14:paraId="76639202" w14:textId="2144967B">
      <w:pPr>
        <w:pStyle w:val="Standard"/>
      </w:pPr>
      <w:r w:rsidRPr="00955D27">
        <w:t xml:space="preserve">This matter was submitted on June 24, 2026, upon Cal Advocates’ filing of their </w:t>
      </w:r>
      <w:r w:rsidR="00C60DA0">
        <w:t>r</w:t>
      </w:r>
      <w:r w:rsidRPr="00955D27">
        <w:t xml:space="preserve">esponse to </w:t>
      </w:r>
      <w:r>
        <w:t>CforAT’s</w:t>
      </w:r>
      <w:r w:rsidRPr="00955D27">
        <w:t xml:space="preserve"> Motion to Strike the entirety of Cal Advocates' </w:t>
      </w:r>
      <w:r w:rsidR="00C60DA0">
        <w:t>o</w:t>
      </w:r>
      <w:r w:rsidRPr="00955D27">
        <w:t xml:space="preserve">pening </w:t>
      </w:r>
      <w:r w:rsidR="00C60DA0">
        <w:t>b</w:t>
      </w:r>
      <w:r w:rsidRPr="00955D27">
        <w:t>rief</w:t>
      </w:r>
      <w:r>
        <w:t>.</w:t>
      </w:r>
      <w:r w:rsidRPr="00FF0265" w:rsidDel="00B8527D">
        <w:t xml:space="preserve"> </w:t>
      </w:r>
      <w:r w:rsidR="00BC40CD">
        <w:t xml:space="preserve"> </w:t>
      </w:r>
    </w:p>
    <w:p w:rsidRPr="00395AA5" w:rsidR="008B5B8C" w:rsidP="006751FF" w:rsidRDefault="0063491C" w14:paraId="3FC75956" w14:textId="778E3666">
      <w:pPr>
        <w:pStyle w:val="Heading1"/>
      </w:pPr>
      <w:bookmarkStart w:name="_Toc8123718" w:id="10"/>
      <w:bookmarkStart w:name="_Toc237414262" w:id="11"/>
      <w:r w:rsidRPr="00395AA5">
        <w:lastRenderedPageBreak/>
        <w:t>Jurisdiction</w:t>
      </w:r>
      <w:bookmarkEnd w:id="10"/>
      <w:bookmarkEnd w:id="11"/>
    </w:p>
    <w:p w:rsidR="00724D73" w:rsidP="00724D73" w:rsidRDefault="005C40CA" w14:paraId="21A52E05" w14:textId="4356C15B">
      <w:r w:rsidRPr="005C40CA">
        <w:t>The Commission has authority to review transfers of control for telephone corporations pursuant to Public Utilities (Pub. Util.) Code Section 854.  Specifically, Pub. Util. Code Section 854 prohibits a corporation, whether organized under the laws of this state or not, from indirectly merging, acquiring, or controlling, any public utility doing business in California without first securing authorization from the Commission.  Cox California is a telephone corporation and public utility under the regulatory jurisdiction of the Commission.</w:t>
      </w:r>
      <w:r w:rsidR="00C60DA0">
        <w:rPr>
          <w:rStyle w:val="FootnoteReference"/>
        </w:rPr>
        <w:footnoteReference w:id="15"/>
      </w:r>
      <w:r w:rsidRPr="005C40CA">
        <w:t xml:space="preserve">  Because the transaction agreement would result in the indirect transfer of Cox California, as a subsidiary of Cox, to the common ownership of Charter and CEI, the Commission has jurisdiction to review Joint Applicants’ application.</w:t>
      </w:r>
    </w:p>
    <w:p w:rsidR="009C09F0" w:rsidP="006751FF" w:rsidRDefault="009C09F0" w14:paraId="7A4C1465" w14:textId="227426A3">
      <w:pPr>
        <w:pStyle w:val="Heading1"/>
      </w:pPr>
      <w:bookmarkStart w:name="_Toc237414263" w:id="12"/>
      <w:bookmarkStart w:name="_Toc8123719" w:id="13"/>
      <w:r>
        <w:t>Issues Before the Commission</w:t>
      </w:r>
      <w:bookmarkEnd w:id="12"/>
    </w:p>
    <w:p w:rsidRPr="000D3EA1" w:rsidR="009C09F0" w:rsidP="009C09F0" w:rsidRDefault="009C09F0" w14:paraId="78FAFB1B" w14:textId="77777777">
      <w:pPr>
        <w:pStyle w:val="Standard"/>
      </w:pPr>
      <w:r w:rsidRPr="000D3EA1">
        <w:t>The issues to be determined or otherwise considered are:</w:t>
      </w:r>
    </w:p>
    <w:p w:rsidRPr="007430A4" w:rsidR="009C09F0" w:rsidRDefault="00661EB7" w14:paraId="4F802056" w14:textId="54C5A791">
      <w:pPr>
        <w:pStyle w:val="Standard"/>
        <w:numPr>
          <w:ilvl w:val="0"/>
          <w:numId w:val="7"/>
        </w:numPr>
        <w:spacing w:after="120" w:line="240" w:lineRule="auto"/>
        <w:ind w:left="1080" w:right="1440" w:hanging="360"/>
      </w:pPr>
      <w:r w:rsidRPr="007430A4">
        <w:t>Whether the</w:t>
      </w:r>
      <w:r>
        <w:t xml:space="preserve"> application</w:t>
      </w:r>
      <w:r w:rsidRPr="007430A4">
        <w:t xml:space="preserve"> meets the requirements of Pub. Util. Code Section 854.</w:t>
      </w:r>
      <w:r w:rsidRPr="007430A4" w:rsidR="009C09F0">
        <w:t xml:space="preserve"> </w:t>
      </w:r>
    </w:p>
    <w:p w:rsidR="009C09F0" w:rsidRDefault="00661EB7" w14:paraId="016561E1" w14:textId="1835EF5F">
      <w:pPr>
        <w:pStyle w:val="Standard"/>
        <w:numPr>
          <w:ilvl w:val="0"/>
          <w:numId w:val="7"/>
        </w:numPr>
        <w:spacing w:after="120" w:line="240" w:lineRule="auto"/>
        <w:ind w:left="1080" w:right="1440" w:hanging="360"/>
      </w:pPr>
      <w:r w:rsidRPr="007430A4">
        <w:t xml:space="preserve">Whether granting the </w:t>
      </w:r>
      <w:r>
        <w:t>a</w:t>
      </w:r>
      <w:r w:rsidRPr="007430A4">
        <w:t xml:space="preserve">pplication impacts environmental and social justice </w:t>
      </w:r>
      <w:r>
        <w:t xml:space="preserve">(ESJ) </w:t>
      </w:r>
      <w:r w:rsidRPr="007430A4">
        <w:t xml:space="preserve">communities, including the extent to which the transfer may impact the achievement of any of the nine goals of the Commission’s </w:t>
      </w:r>
      <w:r>
        <w:t>ESJ</w:t>
      </w:r>
      <w:r w:rsidRPr="007430A4">
        <w:t xml:space="preserve"> Action Plan.</w:t>
      </w:r>
      <w:r w:rsidRPr="007430A4" w:rsidR="009C09F0">
        <w:t xml:space="preserve"> </w:t>
      </w:r>
    </w:p>
    <w:p w:rsidRPr="006751FF" w:rsidR="009C09F0" w:rsidRDefault="009C09F0" w14:paraId="446876E0" w14:textId="2E23940E">
      <w:pPr>
        <w:pStyle w:val="Standard"/>
        <w:numPr>
          <w:ilvl w:val="0"/>
          <w:numId w:val="7"/>
        </w:numPr>
        <w:spacing w:after="120" w:line="240" w:lineRule="auto"/>
        <w:ind w:left="1080" w:right="1440" w:hanging="360"/>
      </w:pPr>
      <w:r w:rsidRPr="007430A4">
        <w:t xml:space="preserve">Whether granting the </w:t>
      </w:r>
      <w:r w:rsidR="00661EB7">
        <w:t>a</w:t>
      </w:r>
      <w:r w:rsidRPr="007430A4">
        <w:t xml:space="preserve">pplication impacts public safety. </w:t>
      </w:r>
      <w:bookmarkEnd w:id="13"/>
    </w:p>
    <w:p w:rsidR="00E15AD0" w:rsidP="006751FF" w:rsidRDefault="00E15AD0" w14:paraId="515F78BE" w14:textId="560AC403">
      <w:pPr>
        <w:pStyle w:val="Heading1"/>
      </w:pPr>
      <w:bookmarkStart w:name="_Toc237414264" w:id="14"/>
      <w:bookmarkStart w:name="_Toc232121630" w:id="15"/>
      <w:bookmarkStart w:name="_Toc233342612" w:id="16"/>
      <w:r>
        <w:t>Public Participation Hearings and Comment</w:t>
      </w:r>
      <w:bookmarkEnd w:id="14"/>
    </w:p>
    <w:p w:rsidR="00E15AD0" w:rsidP="00E15AD0" w:rsidRDefault="00E15AD0" w14:paraId="56A7EE15" w14:textId="63009C35">
      <w:r w:rsidRPr="003369EA">
        <w:t xml:space="preserve">During the month of February 2026, the Commission held PPHs both virtually and in person in Los Angeles and </w:t>
      </w:r>
      <w:r w:rsidR="00FF4921">
        <w:t>National</w:t>
      </w:r>
      <w:r w:rsidRPr="003369EA" w:rsidR="00FF4921">
        <w:t xml:space="preserve"> </w:t>
      </w:r>
      <w:r w:rsidRPr="003369EA">
        <w:t xml:space="preserve">City.  Members of the public at the PPHs supported the transaction, expecting it would bring public benefits </w:t>
      </w:r>
      <w:r w:rsidRPr="003369EA">
        <w:lastRenderedPageBreak/>
        <w:t>such as bill reductions, outage reimbursements, and high-quality internet access to unserved communities, thereby unlocking educational, health, and economic potential.</w:t>
      </w:r>
      <w:r w:rsidR="004C54E5">
        <w:t xml:space="preserve"> </w:t>
      </w:r>
      <w:r w:rsidRPr="003369EA">
        <w:t xml:space="preserve"> Some public commenters demanded that the Commission ensure the merged company delivers these benefits, connects underserved areas, and offers nondiscriminatory pricing. </w:t>
      </w:r>
      <w:r w:rsidR="004C54E5">
        <w:t xml:space="preserve"> </w:t>
      </w:r>
      <w:r w:rsidRPr="003369EA">
        <w:t>They also noted that current rules require dropping internet plans for 30 days to qualify for low-income plans, criticized the inadequate treatment of PEG channels, and highlighted how the Joint Applicants engaged with communities and invested in beneficial programs and community organizations.</w:t>
      </w:r>
    </w:p>
    <w:p w:rsidR="00E15AD0" w:rsidP="00E15AD0" w:rsidRDefault="00E15AD0" w14:paraId="69C7E6B1" w14:textId="0C41764E">
      <w:pPr>
        <w:autoSpaceDE w:val="0"/>
        <w:autoSpaceDN w:val="0"/>
        <w:adjustRightInd w:val="0"/>
        <w:rPr>
          <w:szCs w:val="26"/>
        </w:rPr>
      </w:pPr>
      <w:r w:rsidRPr="002E6886">
        <w:rPr>
          <w:rFonts w:eastAsia="Times New Roman" w:cs="Times New Roman"/>
          <w:szCs w:val="26"/>
        </w:rPr>
        <w:t xml:space="preserve">The Commission </w:t>
      </w:r>
      <w:r>
        <w:rPr>
          <w:rFonts w:eastAsia="Times New Roman" w:cs="Times New Roman"/>
          <w:szCs w:val="26"/>
        </w:rPr>
        <w:t xml:space="preserve">also </w:t>
      </w:r>
      <w:r w:rsidRPr="002E6886">
        <w:rPr>
          <w:rFonts w:eastAsia="Times New Roman" w:cs="Times New Roman"/>
          <w:szCs w:val="26"/>
        </w:rPr>
        <w:t xml:space="preserve">received </w:t>
      </w:r>
      <w:r>
        <w:rPr>
          <w:szCs w:val="26"/>
        </w:rPr>
        <w:t>749</w:t>
      </w:r>
      <w:r w:rsidRPr="002E6886">
        <w:rPr>
          <w:rFonts w:eastAsia="Times New Roman" w:cs="Times New Roman"/>
          <w:szCs w:val="26"/>
        </w:rPr>
        <w:t xml:space="preserve"> comments on the Docket Card for this proceeding. </w:t>
      </w:r>
      <w:r w:rsidR="004C54E5">
        <w:rPr>
          <w:rFonts w:eastAsia="Times New Roman" w:cs="Times New Roman"/>
          <w:szCs w:val="26"/>
        </w:rPr>
        <w:t xml:space="preserve"> </w:t>
      </w:r>
      <w:r>
        <w:rPr>
          <w:rFonts w:eastAsia="Times New Roman" w:cs="Times New Roman"/>
          <w:szCs w:val="26"/>
        </w:rPr>
        <w:t>Written comments were also similar to those presented by members of the public at the PPHs.</w:t>
      </w:r>
      <w:r w:rsidRPr="002E6886">
        <w:rPr>
          <w:rFonts w:eastAsia="Times New Roman" w:cs="Times New Roman"/>
          <w:szCs w:val="26"/>
        </w:rPr>
        <w:t xml:space="preserve"> </w:t>
      </w:r>
    </w:p>
    <w:p w:rsidR="00E15AD0" w:rsidP="00E15AD0" w:rsidRDefault="00E15AD0" w14:paraId="34E9F2A3" w14:textId="77777777">
      <w:r w:rsidRPr="000B234F">
        <w:rPr>
          <w:szCs w:val="26"/>
        </w:rPr>
        <w:t xml:space="preserve">The Commission thanks the members of the public who participated in the hearings and provided clarity as to their expected outcomes of this proceeding. </w:t>
      </w:r>
      <w:r>
        <w:rPr>
          <w:szCs w:val="26"/>
        </w:rPr>
        <w:t xml:space="preserve"> </w:t>
      </w:r>
    </w:p>
    <w:p w:rsidRPr="002C7795" w:rsidR="00661EB7" w:rsidP="006751FF" w:rsidRDefault="00661EB7" w14:paraId="5DD061B0" w14:textId="75C452BA">
      <w:pPr>
        <w:pStyle w:val="Heading1"/>
      </w:pPr>
      <w:bookmarkStart w:name="_Toc237414265" w:id="17"/>
      <w:r>
        <w:t xml:space="preserve">Application of </w:t>
      </w:r>
      <w:r w:rsidRPr="002C7795">
        <w:t>Section 854(a)</w:t>
      </w:r>
      <w:r>
        <w:t>-(c)</w:t>
      </w:r>
      <w:bookmarkEnd w:id="15"/>
      <w:bookmarkEnd w:id="16"/>
      <w:bookmarkEnd w:id="17"/>
      <w:r w:rsidRPr="002C7795">
        <w:t xml:space="preserve"> </w:t>
      </w:r>
    </w:p>
    <w:p w:rsidRPr="006152F7" w:rsidR="00661EB7" w:rsidP="00661EB7" w:rsidRDefault="00661EB7" w14:paraId="1E407BF3" w14:textId="77777777">
      <w:r>
        <w:t>Based on the analysis below, we consider Pub. Util. Code Section 854(a)-(c) when assessing whether to grant the application.</w:t>
      </w:r>
    </w:p>
    <w:p w:rsidRPr="002C7795" w:rsidR="00661EB7" w:rsidP="006751FF" w:rsidRDefault="00661EB7" w14:paraId="2ADFD90B" w14:textId="77777777">
      <w:pPr>
        <w:pStyle w:val="Heading2"/>
      </w:pPr>
      <w:bookmarkStart w:name="_Toc232121631" w:id="18"/>
      <w:bookmarkStart w:name="_Toc233342613" w:id="19"/>
      <w:bookmarkStart w:name="_Toc237414266" w:id="20"/>
      <w:r w:rsidRPr="002C7795">
        <w:t>Background</w:t>
      </w:r>
      <w:bookmarkEnd w:id="18"/>
      <w:bookmarkEnd w:id="19"/>
      <w:bookmarkEnd w:id="20"/>
    </w:p>
    <w:p w:rsidRPr="00395AA5" w:rsidR="00661EB7" w:rsidP="00661EB7" w:rsidRDefault="00661EB7" w14:paraId="68964493" w14:textId="77777777">
      <w:pPr>
        <w:pStyle w:val="Default"/>
        <w:spacing w:after="160"/>
        <w:ind w:firstLine="720"/>
        <w:rPr>
          <w:rFonts w:ascii="Book Antiqua" w:hAnsi="Book Antiqua"/>
          <w:sz w:val="26"/>
          <w:szCs w:val="26"/>
        </w:rPr>
      </w:pPr>
      <w:r w:rsidRPr="00395AA5">
        <w:rPr>
          <w:rFonts w:ascii="Book Antiqua" w:hAnsi="Book Antiqua"/>
          <w:sz w:val="26"/>
          <w:szCs w:val="26"/>
        </w:rPr>
        <w:t xml:space="preserve">Section 854(a) states that: </w:t>
      </w:r>
    </w:p>
    <w:p w:rsidR="00661EB7" w:rsidP="006751FF" w:rsidRDefault="00661EB7" w14:paraId="67D1A37A" w14:textId="77777777">
      <w:pPr>
        <w:pStyle w:val="BlockQuote"/>
      </w:pPr>
      <w:r w:rsidRPr="00395AA5">
        <w:t xml:space="preserve">A corporation, whether or not organized under the laws of California, shall not directly or indirectly merge, acquire, or control … any public utility organized and doing business in California without first securing authorization to do so from the commission. The commission may establish, by order or rule, the definitions of what constitutes a merger, acquisition, or control activity that is subject to this section. </w:t>
      </w:r>
    </w:p>
    <w:p w:rsidR="00661EB7" w:rsidP="002E3902" w:rsidRDefault="00661EB7" w14:paraId="7079649F" w14:textId="4C04C769">
      <w:pPr>
        <w:rPr>
          <w:szCs w:val="26"/>
        </w:rPr>
      </w:pPr>
      <w:r>
        <w:rPr>
          <w:szCs w:val="26"/>
        </w:rPr>
        <w:t xml:space="preserve">No party has argued that the Joint Applicants have undertaken the proposed transaction without prior authorization, and we agree with this </w:t>
      </w:r>
      <w:r>
        <w:rPr>
          <w:szCs w:val="26"/>
        </w:rPr>
        <w:lastRenderedPageBreak/>
        <w:t>assessment.  Rather, the parties dispute whether the Commission should review the application under Pub. Util. Code Section 854(a) alone,</w:t>
      </w:r>
      <w:r w:rsidR="003E2A1F">
        <w:rPr>
          <w:rStyle w:val="FootnoteReference"/>
          <w:szCs w:val="26"/>
        </w:rPr>
        <w:footnoteReference w:id="16"/>
      </w:r>
      <w:r>
        <w:rPr>
          <w:szCs w:val="26"/>
        </w:rPr>
        <w:t xml:space="preserve"> or whether the Commission should also analyze the application under sub-parts (b) and (c) of Pub. Util. Code Section 854.</w:t>
      </w:r>
      <w:r w:rsidR="002E27A5">
        <w:rPr>
          <w:rStyle w:val="FootnoteReference"/>
          <w:szCs w:val="26"/>
        </w:rPr>
        <w:footnoteReference w:id="17"/>
      </w:r>
    </w:p>
    <w:p w:rsidR="00661EB7" w:rsidP="00661EB7" w:rsidRDefault="00661EB7" w14:paraId="7C1617C7" w14:textId="1C800E33">
      <w:pPr>
        <w:ind w:firstLine="0"/>
        <w:rPr>
          <w:szCs w:val="26"/>
        </w:rPr>
      </w:pPr>
      <w:r>
        <w:rPr>
          <w:szCs w:val="26"/>
        </w:rPr>
        <w:tab/>
        <w:t>Section 854(b) states, in relevant part, that</w:t>
      </w:r>
      <w:r w:rsidR="006751FF">
        <w:rPr>
          <w:szCs w:val="26"/>
        </w:rPr>
        <w:t>:</w:t>
      </w:r>
    </w:p>
    <w:p w:rsidR="00661EB7" w:rsidP="006751FF" w:rsidRDefault="00661EB7" w14:paraId="769B1C69" w14:textId="77777777">
      <w:pPr>
        <w:pStyle w:val="BlockQuote"/>
      </w:pPr>
      <w:r>
        <w:t xml:space="preserve">Before authorizing the merger, acquisition, or control of any electrical, gas or telephone corporation organized and doing business in this state, if any utility that is a part to the proposed transaction has gross annual California revenues exceeding $500 million, the Commission shall find that the proposal does all of the following: </w:t>
      </w:r>
    </w:p>
    <w:p w:rsidR="00661EB7" w:rsidP="006751FF" w:rsidRDefault="00661EB7" w14:paraId="379DD05F" w14:textId="77777777">
      <w:pPr>
        <w:pStyle w:val="BlockQuote"/>
      </w:pPr>
      <w:r>
        <w:t xml:space="preserve">(1) Provide short-term and long-term economic benefits to ratepayers. </w:t>
      </w:r>
    </w:p>
    <w:p w:rsidR="00661EB7" w:rsidP="00661EB7" w:rsidRDefault="00661EB7" w14:paraId="3C4F9977" w14:textId="77777777">
      <w:pPr>
        <w:spacing w:after="120" w:line="240" w:lineRule="auto"/>
        <w:ind w:left="1080" w:right="720" w:firstLine="0"/>
        <w:rPr>
          <w:szCs w:val="26"/>
        </w:rPr>
      </w:pPr>
      <w:r>
        <w:rPr>
          <w:szCs w:val="26"/>
        </w:rPr>
        <w:t>…</w:t>
      </w:r>
    </w:p>
    <w:p w:rsidR="00661EB7" w:rsidP="006751FF" w:rsidRDefault="00661EB7" w14:paraId="54BF329C" w14:textId="77777777">
      <w:pPr>
        <w:pStyle w:val="BlockQuote"/>
      </w:pPr>
      <w:r>
        <w:t>(3) Not adversely affect competition. In making this finding, the commission shall request an advisory opinion from the Attorney General regarding whether competition will be adversely affected and what mitigation measures could be adopted to avoid this result.</w:t>
      </w:r>
    </w:p>
    <w:p w:rsidR="00DE554E" w:rsidP="00FC7782" w:rsidRDefault="00DE554E" w14:paraId="010C04BB" w14:textId="50933EDC">
      <w:pPr>
        <w:pStyle w:val="Standard"/>
      </w:pPr>
      <w:r>
        <w:t>With respect to Section 854(b)(3), the Commission sought and received such an advisory opinion.  The Attorney General declined to provide a formal opinion.</w:t>
      </w:r>
    </w:p>
    <w:p w:rsidR="00661EB7" w:rsidP="00661EB7" w:rsidRDefault="00661EB7" w14:paraId="5A99E87B" w14:textId="77777777">
      <w:pPr>
        <w:spacing w:after="120" w:line="240" w:lineRule="auto"/>
        <w:ind w:right="720" w:firstLine="0"/>
        <w:rPr>
          <w:szCs w:val="26"/>
        </w:rPr>
      </w:pPr>
      <w:r>
        <w:rPr>
          <w:szCs w:val="26"/>
        </w:rPr>
        <w:tab/>
        <w:t>Section 854(c) states:</w:t>
      </w:r>
    </w:p>
    <w:p w:rsidR="00661EB7" w:rsidP="006751FF" w:rsidRDefault="00661EB7" w14:paraId="5D78A0B5" w14:textId="77777777">
      <w:pPr>
        <w:pStyle w:val="BlockQuote"/>
      </w:pPr>
      <w:r>
        <w:t xml:space="preserve">Before authorizing the merger, acquisition, or control of any electrical, gas, or telephone corporation organized and doing business in this state, if any entity that is a party to the proposed transaction has gross annual California revenues exceeding five </w:t>
      </w:r>
      <w:r>
        <w:lastRenderedPageBreak/>
        <w:t>hundred million dollars ($500,000,000), the commission shall consider each of the criteria listed in paragraphs (1) to (8) inclusive, and find, on balance, that the merger, acquisition, or control proposal is in the public interest.</w:t>
      </w:r>
    </w:p>
    <w:p w:rsidR="00661EB7" w:rsidP="006751FF" w:rsidRDefault="00661EB7" w14:paraId="77BA1A6A" w14:textId="77777777">
      <w:pPr>
        <w:pStyle w:val="BlockQuote"/>
      </w:pPr>
      <w:r>
        <w:t>(1) Maintain or improve the financial condition of the resulting public utility doing business in the state.</w:t>
      </w:r>
    </w:p>
    <w:p w:rsidR="00661EB7" w:rsidP="006751FF" w:rsidRDefault="00661EB7" w14:paraId="39944C78" w14:textId="77777777">
      <w:pPr>
        <w:pStyle w:val="BlockQuote"/>
      </w:pPr>
      <w:r>
        <w:t>(2) Maintain or improve the quality of service to public utility ratepayers in the state.</w:t>
      </w:r>
    </w:p>
    <w:p w:rsidR="00661EB7" w:rsidP="006751FF" w:rsidRDefault="00661EB7" w14:paraId="09466A18" w14:textId="77777777">
      <w:pPr>
        <w:pStyle w:val="BlockQuote"/>
      </w:pPr>
      <w:r>
        <w:t>(3) Maintain or improve the quality of management of the resulting public utility doing business in the state.</w:t>
      </w:r>
    </w:p>
    <w:p w:rsidR="00661EB7" w:rsidP="006751FF" w:rsidRDefault="00661EB7" w14:paraId="6D60CDAB" w14:textId="77777777">
      <w:pPr>
        <w:pStyle w:val="BlockQuote"/>
      </w:pPr>
      <w:r>
        <w:t>(4) Be fair and reasonable to affected public utility employees, including both union and nonunion employees.</w:t>
      </w:r>
    </w:p>
    <w:p w:rsidR="00661EB7" w:rsidP="006751FF" w:rsidRDefault="00661EB7" w14:paraId="35BF06BE" w14:textId="77777777">
      <w:pPr>
        <w:pStyle w:val="BlockQuote"/>
      </w:pPr>
      <w:r>
        <w:t>(5) Be fair and reasonable to the majority of all affected public utility shareholders.</w:t>
      </w:r>
    </w:p>
    <w:p w:rsidR="00661EB7" w:rsidP="006751FF" w:rsidRDefault="00661EB7" w14:paraId="7C7276F8" w14:textId="77777777">
      <w:pPr>
        <w:pStyle w:val="BlockQuote"/>
      </w:pPr>
      <w:r>
        <w:t>(6) Be beneficial on an overall basis to state and local economies and to the communities in the area served by the resulting public utility.</w:t>
      </w:r>
    </w:p>
    <w:p w:rsidR="00661EB7" w:rsidP="006751FF" w:rsidRDefault="00661EB7" w14:paraId="4E4B0107" w14:textId="77777777">
      <w:pPr>
        <w:pStyle w:val="BlockQuote"/>
      </w:pPr>
      <w:r>
        <w:t>(7) Preserve the jurisdiction of the commission and the capacity of the commission to effectively regulate and audit public utility operations in the state.</w:t>
      </w:r>
    </w:p>
    <w:p w:rsidRPr="000848AA" w:rsidR="00661EB7" w:rsidP="006751FF" w:rsidRDefault="00661EB7" w14:paraId="2E7349FA" w14:textId="77777777">
      <w:pPr>
        <w:pStyle w:val="BlockQuote"/>
      </w:pPr>
      <w:r>
        <w:t>(8) Provide mitigation measures to prevent significant adverse consequences that may result.</w:t>
      </w:r>
    </w:p>
    <w:p w:rsidR="00661EB7" w:rsidP="00661EB7" w:rsidRDefault="00661EB7" w14:paraId="17E9CCE5" w14:textId="6E62D24C">
      <w:pPr>
        <w:rPr>
          <w:szCs w:val="26"/>
        </w:rPr>
      </w:pPr>
      <w:r w:rsidRPr="6CF2480A">
        <w:t xml:space="preserve">The purpose of </w:t>
      </w:r>
      <w:r w:rsidR="00C10F59">
        <w:t xml:space="preserve">Pub. Util. Code Section 854 </w:t>
      </w:r>
      <w:r w:rsidRPr="6CF2480A">
        <w:t>is to enable the Commission, before any transfer of public utility authority is consummated, to review the proposal and to take such action, as a condition of the transfer, as the public interest may require.</w:t>
      </w:r>
      <w:r w:rsidRPr="6CF2480A">
        <w:rPr>
          <w:rStyle w:val="FootnoteReference"/>
        </w:rPr>
        <w:footnoteReference w:id="18"/>
      </w:r>
      <w:r w:rsidRPr="003E16FA">
        <w:rPr>
          <w:szCs w:val="26"/>
        </w:rPr>
        <w:t xml:space="preserve"> </w:t>
      </w:r>
      <w:r>
        <w:rPr>
          <w:szCs w:val="26"/>
        </w:rPr>
        <w:t xml:space="preserve"> </w:t>
      </w:r>
      <w:r w:rsidRPr="6CF2480A">
        <w:t>The Commission has broad discretion under Pub Util. Code Section 854 to approve or reject a proposed transaction</w:t>
      </w:r>
      <w:r>
        <w:rPr>
          <w:szCs w:val="26"/>
        </w:rPr>
        <w:t xml:space="preserve">.  </w:t>
      </w:r>
    </w:p>
    <w:p w:rsidR="00661EB7" w:rsidP="006751FF" w:rsidRDefault="00661EB7" w14:paraId="7F663532" w14:textId="0BD3BCFA">
      <w:pPr>
        <w:pStyle w:val="Heading2"/>
      </w:pPr>
      <w:bookmarkStart w:name="_Toc232121632" w:id="21"/>
      <w:bookmarkStart w:name="_Toc233342614" w:id="22"/>
      <w:bookmarkStart w:name="_Toc237414267" w:id="23"/>
      <w:r>
        <w:t>Joint Applicants</w:t>
      </w:r>
      <w:bookmarkEnd w:id="21"/>
      <w:bookmarkEnd w:id="22"/>
      <w:bookmarkEnd w:id="23"/>
    </w:p>
    <w:p w:rsidR="00661EB7" w:rsidP="00C421ED" w:rsidRDefault="00661EB7" w14:paraId="0114C82E" w14:textId="5BAC2C50">
      <w:r>
        <w:t xml:space="preserve">Joint Applicants assert that Pub. Util. Code Section 854(b) and (c) do not apply to the transfer because the transaction is taking place at the holding </w:t>
      </w:r>
      <w:r>
        <w:lastRenderedPageBreak/>
        <w:t>company level and the only utility impacted by the transfer is Cox California.</w:t>
      </w:r>
      <w:r>
        <w:rPr>
          <w:rStyle w:val="FootnoteReference"/>
        </w:rPr>
        <w:footnoteReference w:id="19"/>
      </w:r>
      <w:r>
        <w:t xml:space="preserve">  According to Joint Applicants, Cox California has gross annual revenues below the $500 million threshold making Section 854(b) inapplicable.  Similarly, the Joint Applicants state that Section 854(c) is inapplicable because the Joint Applicants that are parties to the proposed transaction — Charter, Charter Holdings, and CEI — are holding companies that do not generate California revenue and, even if they did, the Commission has significant flexibility to review the application without applying Section 854(c).</w:t>
      </w:r>
      <w:r>
        <w:rPr>
          <w:rStyle w:val="FootnoteReference"/>
        </w:rPr>
        <w:footnoteReference w:id="20"/>
      </w:r>
      <w:r>
        <w:tab/>
      </w:r>
    </w:p>
    <w:p w:rsidR="00661EB7" w:rsidP="006751FF" w:rsidRDefault="00661EB7" w14:paraId="15504E80" w14:textId="77777777">
      <w:pPr>
        <w:pStyle w:val="Heading2"/>
      </w:pPr>
      <w:bookmarkStart w:name="_Toc233110233" w:id="24"/>
      <w:bookmarkStart w:name="_Toc233110805" w:id="25"/>
      <w:bookmarkStart w:name="_Toc233111154" w:id="26"/>
      <w:bookmarkStart w:name="_Toc233116591" w:id="27"/>
      <w:bookmarkStart w:name="_Toc233228665" w:id="28"/>
      <w:bookmarkStart w:name="_Toc233228786" w:id="29"/>
      <w:bookmarkStart w:name="_Toc233110234" w:id="30"/>
      <w:bookmarkStart w:name="_Toc233110806" w:id="31"/>
      <w:bookmarkStart w:name="_Toc233111155" w:id="32"/>
      <w:bookmarkStart w:name="_Toc233116592" w:id="33"/>
      <w:bookmarkStart w:name="_Toc233228666" w:id="34"/>
      <w:bookmarkStart w:name="_Toc233228787" w:id="35"/>
      <w:bookmarkStart w:name="_Toc233110235" w:id="36"/>
      <w:bookmarkStart w:name="_Toc233110807" w:id="37"/>
      <w:bookmarkStart w:name="_Toc233111156" w:id="38"/>
      <w:bookmarkStart w:name="_Toc233116593" w:id="39"/>
      <w:bookmarkStart w:name="_Toc233228667" w:id="40"/>
      <w:bookmarkStart w:name="_Toc233228788" w:id="41"/>
      <w:bookmarkStart w:name="_Toc233239880" w:id="42"/>
      <w:bookmarkStart w:name="_Toc232121634" w:id="43"/>
      <w:bookmarkStart w:name="_Toc233342615" w:id="44"/>
      <w:bookmarkStart w:name="_Toc237414268" w:id="4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2C7795">
        <w:t>Cal Advocates</w:t>
      </w:r>
      <w:bookmarkEnd w:id="43"/>
      <w:bookmarkEnd w:id="44"/>
      <w:bookmarkEnd w:id="45"/>
      <w:r>
        <w:t xml:space="preserve">  </w:t>
      </w:r>
    </w:p>
    <w:p w:rsidR="00661EB7" w:rsidP="00661EB7" w:rsidRDefault="27205BA8" w14:paraId="44E04A69" w14:textId="2BB4B51F">
      <w:r>
        <w:t>Cal Advocates argues that Pub. Util. Code Section 854(b) and (c) should apply.</w:t>
      </w:r>
      <w:r w:rsidR="00661EB7">
        <w:rPr>
          <w:rStyle w:val="FootnoteReference"/>
        </w:rPr>
        <w:footnoteReference w:id="21"/>
      </w:r>
      <w:r>
        <w:t xml:space="preserve">  Regarding Section 854(b), Cal Advocates recommends that the Commission evaluate Cox California’s revenue, as well as Cox because excluding one of the largest broadband and video services providers in the state “would be illogical,” since Joint Applicants discuss the benefits of the transaction associated with both broadband and video.</w:t>
      </w:r>
      <w:r w:rsidR="00661EB7">
        <w:rPr>
          <w:rStyle w:val="FootnoteReference"/>
        </w:rPr>
        <w:footnoteReference w:id="22"/>
      </w:r>
      <w:r>
        <w:t xml:space="preserve"> Additionally, the Commission must ensure that the public interest benefits of an application are properly vetted and ensured, even when a merger is structured at the holding company level.  The alternatively would render Section 854 meaningless because mergers would then always take place at the holding company level, rather than at the utility level, to evade public impact scrutiny.</w:t>
      </w:r>
      <w:r w:rsidR="00661EB7">
        <w:rPr>
          <w:rStyle w:val="FootnoteReference"/>
        </w:rPr>
        <w:footnoteReference w:id="23"/>
      </w:r>
      <w:r>
        <w:t xml:space="preserve"> </w:t>
      </w:r>
    </w:p>
    <w:p w:rsidRPr="00B12F84" w:rsidR="00661EB7" w:rsidP="00661EB7" w:rsidRDefault="00661EB7" w14:paraId="6B936F2D" w14:textId="4E953130">
      <w:r>
        <w:lastRenderedPageBreak/>
        <w:t>Regarding Section 854(c), Cal Advocates put forward legal authority supporting the argument that Section 854(c) is applicable even if the holding companies at the top of the transaction do not collect California revenue.</w:t>
      </w:r>
      <w:r>
        <w:rPr>
          <w:rStyle w:val="FootnoteReference"/>
        </w:rPr>
        <w:footnoteReference w:id="24"/>
      </w:r>
      <w:r>
        <w:t xml:space="preserve"> </w:t>
      </w:r>
    </w:p>
    <w:p w:rsidR="00661EB7" w:rsidP="006751FF" w:rsidRDefault="00661EB7" w14:paraId="121D0F61" w14:textId="77777777">
      <w:pPr>
        <w:pStyle w:val="Heading2"/>
      </w:pPr>
      <w:bookmarkStart w:name="_Toc232121635" w:id="46"/>
      <w:bookmarkStart w:name="_Toc233342616" w:id="47"/>
      <w:bookmarkStart w:name="_Toc237414269" w:id="48"/>
      <w:r>
        <w:t>CETF</w:t>
      </w:r>
      <w:bookmarkEnd w:id="46"/>
      <w:bookmarkEnd w:id="47"/>
      <w:bookmarkEnd w:id="48"/>
    </w:p>
    <w:p w:rsidR="00661EB7" w:rsidP="00661EB7" w:rsidRDefault="27205BA8" w14:paraId="7FE3C3CB" w14:textId="4C8CF0DA">
      <w:r>
        <w:t xml:space="preserve">CETF asserts that the appropriate standard of review for this transfer of control is Pub. Util. Code Section 854(a). </w:t>
      </w:r>
      <w:r w:rsidR="004C54E5">
        <w:t xml:space="preserve"> </w:t>
      </w:r>
      <w:r>
        <w:t xml:space="preserve">Throughout the proceeding, CETF advocated for a robust public interest analysis under Pub. Util. Code </w:t>
      </w:r>
      <w:r w:rsidR="004C54E5">
        <w:t xml:space="preserve">Section </w:t>
      </w:r>
      <w:r>
        <w:t>854, with appropriate, fair, and comparable benefits as required in other telecommunications transfers of control.  CEFT urged the Commission to determine whether the resulting transaction affirmat</w:t>
      </w:r>
      <w:r w:rsidR="2DCBBA62">
        <w:t>ively</w:t>
      </w:r>
      <w:r>
        <w:t xml:space="preserve"> produced measurable, verifiable, and enforceable public benefits for customers.</w:t>
      </w:r>
      <w:r w:rsidRPr="004B0437">
        <w:rPr>
          <w:rStyle w:val="FootnoteReference"/>
        </w:rPr>
        <w:t xml:space="preserve"> </w:t>
      </w:r>
      <w:r w:rsidR="00C421ED">
        <w:rPr>
          <w:rStyle w:val="FootnoteReference"/>
        </w:rPr>
        <w:footnoteReference w:id="25"/>
      </w:r>
      <w:r w:rsidR="22C62748">
        <w:t xml:space="preserve">  </w:t>
      </w:r>
    </w:p>
    <w:p w:rsidR="00661EB7" w:rsidP="006751FF" w:rsidRDefault="00661EB7" w14:paraId="5FDB2E7E" w14:textId="77777777">
      <w:pPr>
        <w:pStyle w:val="Heading2"/>
      </w:pPr>
      <w:bookmarkStart w:name="_Toc232121636" w:id="49"/>
      <w:bookmarkStart w:name="_Toc233342617" w:id="50"/>
      <w:bookmarkStart w:name="_Toc237414270" w:id="51"/>
      <w:r>
        <w:t>TURN</w:t>
      </w:r>
      <w:bookmarkEnd w:id="49"/>
      <w:bookmarkEnd w:id="50"/>
      <w:bookmarkEnd w:id="51"/>
    </w:p>
    <w:p w:rsidRPr="00862B1C" w:rsidR="00661EB7" w:rsidP="00661EB7" w:rsidRDefault="27205BA8" w14:paraId="76937967" w14:textId="764773C1">
      <w:pPr>
        <w:pStyle w:val="Standard"/>
      </w:pPr>
      <w:r>
        <w:t>TURN acknowledges that the Commission has broad authority to examine transactions under Pub. Util. Code Section 854(a) alone.</w:t>
      </w:r>
      <w:r w:rsidR="00661EB7">
        <w:rPr>
          <w:rStyle w:val="FootnoteReference"/>
        </w:rPr>
        <w:footnoteReference w:id="26"/>
      </w:r>
      <w:r>
        <w:t xml:space="preserve">  However, TURN also argues that the Commission should give no weight to the conclusion that only Pub. Util. Code Section 854(a) applies.</w:t>
      </w:r>
      <w:r w:rsidR="00661EB7">
        <w:rPr>
          <w:rStyle w:val="FootnoteReference"/>
        </w:rPr>
        <w:footnoteReference w:id="27"/>
      </w:r>
      <w:r>
        <w:t xml:space="preserve">  To TURN, because the transaction is subject to Section 854(a)-(c), as well as other scoped issues, the Commission should balance the output of the review across the subjects to determine if it meets the standard. </w:t>
      </w:r>
    </w:p>
    <w:p w:rsidR="00661EB7" w:rsidP="006751FF" w:rsidRDefault="00661EB7" w14:paraId="12A55843" w14:textId="77777777">
      <w:pPr>
        <w:pStyle w:val="Heading2"/>
      </w:pPr>
      <w:bookmarkStart w:name="_Toc232121637" w:id="52"/>
      <w:bookmarkStart w:name="_Toc233342618" w:id="53"/>
      <w:bookmarkStart w:name="_Toc237414271" w:id="54"/>
      <w:r>
        <w:t>CforAT</w:t>
      </w:r>
      <w:bookmarkEnd w:id="52"/>
      <w:bookmarkEnd w:id="53"/>
      <w:bookmarkEnd w:id="54"/>
      <w:r>
        <w:t xml:space="preserve"> </w:t>
      </w:r>
    </w:p>
    <w:p w:rsidR="00661EB7" w:rsidP="00661EB7" w:rsidRDefault="00661EB7" w14:paraId="2F3E707F" w14:textId="38C709D8">
      <w:r>
        <w:t xml:space="preserve">CforAT states that the Commission looking at an application through the 854(a)-(c) factors does not equate to the Commission’s ability to impose </w:t>
      </w:r>
      <w:r>
        <w:lastRenderedPageBreak/>
        <w:t>conditions related to every topic under that examination.</w:t>
      </w:r>
      <w:r>
        <w:rPr>
          <w:rStyle w:val="FootnoteReference"/>
        </w:rPr>
        <w:footnoteReference w:id="28"/>
      </w:r>
      <w:r>
        <w:t xml:space="preserve"> CforAT urges the Commission to consider the revenues of Cox’s affiliates when determining whether to apply Section 854(b) and (c).</w:t>
      </w:r>
      <w:r>
        <w:rPr>
          <w:rStyle w:val="FootnoteReference"/>
        </w:rPr>
        <w:footnoteReference w:id="29"/>
      </w:r>
      <w:r>
        <w:t xml:space="preserve">  According to CforAt, “it is entirely possible that Cox alone has annual revenue exceeding $500 million in California.”</w:t>
      </w:r>
      <w:r>
        <w:rPr>
          <w:rStyle w:val="FootnoteReference"/>
        </w:rPr>
        <w:footnoteReference w:id="30"/>
      </w:r>
      <w:r>
        <w:t xml:space="preserve">  </w:t>
      </w:r>
      <w:r w:rsidR="000C39CA">
        <w:t>According to CforAT</w:t>
      </w:r>
      <w:r>
        <w:t>, Cox, not Cox California, could meet the revenue threshold and make Section 854(b) and (c) applicable.</w:t>
      </w:r>
      <w:r>
        <w:rPr>
          <w:rStyle w:val="FootnoteReference"/>
        </w:rPr>
        <w:footnoteReference w:id="31"/>
      </w:r>
    </w:p>
    <w:p w:rsidR="00661EB7" w:rsidP="006751FF" w:rsidRDefault="00661EB7" w14:paraId="096E8D2F" w14:textId="77777777">
      <w:pPr>
        <w:pStyle w:val="Heading2"/>
      </w:pPr>
      <w:bookmarkStart w:name="_Toc233110243" w:id="55"/>
      <w:bookmarkStart w:name="_Toc233110814" w:id="56"/>
      <w:bookmarkStart w:name="_Toc233111163" w:id="57"/>
      <w:bookmarkStart w:name="_Toc233116599" w:id="58"/>
      <w:bookmarkStart w:name="_Toc233228673" w:id="59"/>
      <w:bookmarkStart w:name="_Toc233228794" w:id="60"/>
      <w:bookmarkStart w:name="_Toc233110244" w:id="61"/>
      <w:bookmarkStart w:name="_Toc233110815" w:id="62"/>
      <w:bookmarkStart w:name="_Toc233111164" w:id="63"/>
      <w:bookmarkStart w:name="_Toc233116600" w:id="64"/>
      <w:bookmarkStart w:name="_Toc233228674" w:id="65"/>
      <w:bookmarkStart w:name="_Toc233228795" w:id="66"/>
      <w:bookmarkStart w:name="_Toc233110245" w:id="67"/>
      <w:bookmarkStart w:name="_Toc233110816" w:id="68"/>
      <w:bookmarkStart w:name="_Toc233111165" w:id="69"/>
      <w:bookmarkStart w:name="_Toc233116601" w:id="70"/>
      <w:bookmarkStart w:name="_Toc233228675" w:id="71"/>
      <w:bookmarkStart w:name="_Toc233228796" w:id="72"/>
      <w:bookmarkStart w:name="_Toc233342619" w:id="73"/>
      <w:bookmarkStart w:name="_Toc237414272" w:id="7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t>Discussion</w:t>
      </w:r>
      <w:bookmarkEnd w:id="73"/>
      <w:bookmarkEnd w:id="74"/>
    </w:p>
    <w:p w:rsidR="00AC20E0" w:rsidP="00AC20E0" w:rsidRDefault="00AC20E0" w14:paraId="33E0B5BA" w14:textId="77777777">
      <w:r w:rsidRPr="00955D27">
        <w:t xml:space="preserve">We find that it is appropriate to consider </w:t>
      </w:r>
      <w:r>
        <w:t xml:space="preserve">all of </w:t>
      </w:r>
      <w:r w:rsidRPr="00955D27">
        <w:t>the various factors in Pub. Util. Code Section 854(a)-(c) when reviewing the application.  Pursuant to the prehearing conference discussion, the broad language of the Scoping Ruling, and parties’ testimony and briefs, parties have had notice that we may consider Section 854(b) and (c), as well as (a).  Moreover, we have the authority to consider Section (b) and (c)</w:t>
      </w:r>
      <w:r>
        <w:t xml:space="preserve">.  </w:t>
      </w:r>
    </w:p>
    <w:p w:rsidR="00AC20E0" w:rsidP="00AC20E0" w:rsidRDefault="00AC20E0" w14:paraId="4EA8808E" w14:textId="5E7F7D2B">
      <w:r>
        <w:t>In</w:t>
      </w:r>
      <w:r w:rsidRPr="00955D27">
        <w:t xml:space="preserve"> D</w:t>
      </w:r>
      <w:r>
        <w:t>ecision (D</w:t>
      </w:r>
      <w:r w:rsidRPr="00955D27">
        <w:t>.</w:t>
      </w:r>
      <w:r>
        <w:t xml:space="preserve">) </w:t>
      </w:r>
      <w:r w:rsidRPr="00955D27">
        <w:t xml:space="preserve">97-03-067, the Commission found that, </w:t>
      </w:r>
      <w:r w:rsidRPr="00955D27">
        <w:rPr>
          <w:rFonts w:eastAsia="Book Antiqua" w:cs="Book Antiqua"/>
        </w:rPr>
        <w:t>“</w:t>
      </w:r>
      <w:r>
        <w:rPr>
          <w:rFonts w:eastAsia="Book Antiqua" w:cs="Book Antiqua"/>
        </w:rPr>
        <w:t>[a]</w:t>
      </w:r>
      <w:r w:rsidRPr="00955D27">
        <w:rPr>
          <w:rFonts w:eastAsia="Book Antiqua" w:cs="Book Antiqua"/>
        </w:rPr>
        <w:t xml:space="preserve"> broader, rather than technically narrow interpretation of § 854(b) is consistent with § 854(e) since § 854(e) places the burden of proving compliance with §</w:t>
      </w:r>
      <w:r>
        <w:rPr>
          <w:rFonts w:eastAsia="Book Antiqua" w:cs="Book Antiqua"/>
        </w:rPr>
        <w:t xml:space="preserve"> </w:t>
      </w:r>
      <w:r w:rsidRPr="00955D27">
        <w:rPr>
          <w:rFonts w:eastAsia="Book Antiqua" w:cs="Book Antiqua"/>
        </w:rPr>
        <w:t>854(b) on the person or corporation seeking acquisition or control of the public utility, not solely on the utility</w:t>
      </w:r>
      <w:r w:rsidRPr="001C6BAD">
        <w:rPr>
          <w:rFonts w:eastAsia="Book Antiqua" w:cs="Book Antiqua"/>
        </w:rPr>
        <w:t>.”</w:t>
      </w:r>
      <w:r w:rsidRPr="000749F8">
        <w:rPr>
          <w:vertAlign w:val="superscript"/>
        </w:rPr>
        <w:footnoteReference w:id="32"/>
      </w:r>
      <w:r w:rsidRPr="001C6BAD">
        <w:t xml:space="preserve">  </w:t>
      </w:r>
      <w:r w:rsidRPr="000749F8">
        <w:t>The</w:t>
      </w:r>
      <w:r w:rsidRPr="00955D27">
        <w:t xml:space="preserve"> Commission has consistently operated under the presumption, </w:t>
      </w:r>
      <w:r w:rsidRPr="00955D27">
        <w:lastRenderedPageBreak/>
        <w:t>that where a non-utility, non-party is a ”key to the merger”</w:t>
      </w:r>
      <w:r>
        <w:t xml:space="preserve"> and</w:t>
      </w:r>
      <w:r w:rsidRPr="00955D27">
        <w:t xml:space="preserve"> involved in many of the economic benefits in an application, the party‘s revenues can be considered under Section</w:t>
      </w:r>
      <w:r w:rsidRPr="00955D27">
        <w:rPr>
          <w:rFonts w:eastAsia="Book Antiqua" w:cs="Book Antiqua"/>
        </w:rPr>
        <w:t xml:space="preserve"> 854(b)</w:t>
      </w:r>
      <w:r w:rsidRPr="00955D27" w:rsidDel="277C693C">
        <w:rPr>
          <w:rFonts w:eastAsia="Book Antiqua" w:cs="Book Antiqua"/>
        </w:rPr>
        <w:t>.</w:t>
      </w:r>
      <w:r w:rsidRPr="00955D27">
        <w:rPr>
          <w:rFonts w:eastAsia="Book Antiqua" w:cs="Book Antiqua"/>
          <w:vertAlign w:val="superscript"/>
        </w:rPr>
        <w:footnoteReference w:id="33"/>
      </w:r>
      <w:r>
        <w:rPr>
          <w:rFonts w:eastAsia="Book Antiqua" w:cs="Book Antiqua"/>
        </w:rPr>
        <w:t xml:space="preserve">  </w:t>
      </w:r>
      <w:r>
        <w:t>Here, that presumption applies to Cox’s revenues, which</w:t>
      </w:r>
      <w:r w:rsidRPr="00955D27">
        <w:t xml:space="preserve"> exceed $500 million in California</w:t>
      </w:r>
      <w:r>
        <w:t xml:space="preserve"> annually</w:t>
      </w:r>
      <w:r w:rsidRPr="00955D27">
        <w:t>.</w:t>
      </w:r>
      <w:r w:rsidRPr="00955D27">
        <w:rPr>
          <w:vertAlign w:val="superscript"/>
        </w:rPr>
        <w:footnoteReference w:id="34"/>
      </w:r>
    </w:p>
    <w:p w:rsidRPr="00A343B7" w:rsidR="00661EB7" w:rsidP="00AC20E0" w:rsidRDefault="00AC20E0" w14:paraId="712AFDC4" w14:textId="5BF1BF2C">
      <w:r>
        <w:t>Similarly, Section 854(c) would apply because the entities that are party to the proposed transaction —Charter, Charter Holdings, CEI, and Cox —have gross annual California revenues exceeding $500 million.</w:t>
      </w:r>
      <w:r w:rsidRPr="00275D1A">
        <w:rPr>
          <w:vertAlign w:val="superscript"/>
        </w:rPr>
        <w:t xml:space="preserve"> </w:t>
      </w:r>
      <w:r w:rsidRPr="00955D27">
        <w:rPr>
          <w:vertAlign w:val="superscript"/>
        </w:rPr>
        <w:footnoteReference w:id="35"/>
      </w:r>
    </w:p>
    <w:p w:rsidR="00661EB7" w:rsidP="006751FF" w:rsidRDefault="00661EB7" w14:paraId="528E6154" w14:textId="3C49819E">
      <w:pPr>
        <w:pStyle w:val="Heading1"/>
      </w:pPr>
      <w:bookmarkStart w:name="_Toc233342620" w:id="75"/>
      <w:bookmarkStart w:name="_Toc237414273" w:id="76"/>
      <w:bookmarkStart w:name="_Toc232121639" w:id="77"/>
      <w:r>
        <w:t>Section 854(a)</w:t>
      </w:r>
      <w:bookmarkEnd w:id="75"/>
      <w:r w:rsidR="00BC5BDF">
        <w:t xml:space="preserve"> Requirements</w:t>
      </w:r>
      <w:bookmarkEnd w:id="76"/>
    </w:p>
    <w:p w:rsidRPr="000967ED" w:rsidR="00661EB7" w:rsidP="002E3902" w:rsidRDefault="00661EB7" w14:paraId="3B38AFFA" w14:textId="77777777">
      <w:pPr>
        <w:pStyle w:val="Standard"/>
      </w:pPr>
      <w:r>
        <w:t>First, we consider whether the application satisfies the requirements of Pub. Util. Code Section 854(a).</w:t>
      </w:r>
    </w:p>
    <w:p w:rsidRPr="000967ED" w:rsidR="00661EB7" w:rsidP="006751FF" w:rsidRDefault="00661EB7" w14:paraId="08C3E935" w14:textId="02184EFA">
      <w:pPr>
        <w:pStyle w:val="Heading2"/>
      </w:pPr>
      <w:bookmarkStart w:name="_Toc237414274" w:id="78"/>
      <w:r w:rsidRPr="000967ED">
        <w:t>Joint Applicants</w:t>
      </w:r>
      <w:bookmarkEnd w:id="78"/>
    </w:p>
    <w:p w:rsidR="00661EB7" w:rsidP="002E3902" w:rsidRDefault="00661EB7" w14:paraId="5ED6527F" w14:textId="043581E4">
      <w:pPr>
        <w:pStyle w:val="Standard"/>
      </w:pPr>
      <w:r>
        <w:t>Joint Applicants assert that a transfer of control satisfies Pub. Util. Code Section 854(a) if, on balance, it</w:t>
      </w:r>
      <w:r w:rsidRPr="0098225A">
        <w:t xml:space="preserve"> is not</w:t>
      </w:r>
      <w:r>
        <w:t>,</w:t>
      </w:r>
      <w:r w:rsidRPr="0098225A">
        <w:t xml:space="preserve"> “adverse to the public interest</w:t>
      </w:r>
      <w:r>
        <w:t>.</w:t>
      </w:r>
      <w:r w:rsidRPr="0098225A">
        <w:t>”</w:t>
      </w:r>
      <w:r>
        <w:rPr>
          <w:rStyle w:val="FootnoteReference"/>
        </w:rPr>
        <w:footnoteReference w:id="36"/>
      </w:r>
      <w:r w:rsidRPr="0098225A">
        <w:t xml:space="preserve"> </w:t>
      </w:r>
      <w:r>
        <w:t xml:space="preserve"> Joint Applicants additionally note that when </w:t>
      </w:r>
      <w:r w:rsidRPr="0098225A">
        <w:t xml:space="preserve">the Commission </w:t>
      </w:r>
      <w:r>
        <w:t xml:space="preserve">has previously </w:t>
      </w:r>
      <w:r w:rsidRPr="0098225A">
        <w:t>approved transfers of control</w:t>
      </w:r>
      <w:r>
        <w:t xml:space="preserve">, </w:t>
      </w:r>
      <w:r w:rsidRPr="0098225A">
        <w:t xml:space="preserve">the Commission </w:t>
      </w:r>
      <w:r>
        <w:t>has reasoned that Pub. Util. Code</w:t>
      </w:r>
      <w:r w:rsidRPr="0098225A">
        <w:t xml:space="preserve"> </w:t>
      </w:r>
      <w:r>
        <w:t>Section 8</w:t>
      </w:r>
      <w:r w:rsidRPr="0098225A">
        <w:t>54(a) transactions</w:t>
      </w:r>
      <w:r>
        <w:t>, “</w:t>
      </w:r>
      <w:r w:rsidRPr="0098225A">
        <w:t>should be approved absent a compelling reason to the contrary.</w:t>
      </w:r>
      <w:r>
        <w:t>”</w:t>
      </w:r>
      <w:r>
        <w:rPr>
          <w:rStyle w:val="FootnoteReference"/>
        </w:rPr>
        <w:footnoteReference w:id="37"/>
      </w:r>
    </w:p>
    <w:p w:rsidR="00661EB7" w:rsidP="00661EB7" w:rsidRDefault="00B550C6" w14:paraId="5F27AD79" w14:textId="13C4BEE7">
      <w:pPr>
        <w:pStyle w:val="Standard"/>
        <w:ind w:firstLine="360"/>
      </w:pPr>
      <w:r>
        <w:tab/>
      </w:r>
      <w:r w:rsidR="00661EB7">
        <w:t xml:space="preserve">Joint Applicants assert that the transfer satisfies any public interest standard under Pub. Util. Code Section 854 because the record demonstrates that the transfer, considered with the </w:t>
      </w:r>
      <w:r w:rsidR="001F5051">
        <w:t xml:space="preserve">Settlements Agreements’ </w:t>
      </w:r>
      <w:r w:rsidR="00661EB7">
        <w:t xml:space="preserve">commitments made to </w:t>
      </w:r>
      <w:r w:rsidR="00661EB7">
        <w:lastRenderedPageBreak/>
        <w:t>Cal Advocates and CETF produces public interest benefits without transaction-specific harms.</w:t>
      </w:r>
      <w:r w:rsidR="00661EB7">
        <w:rPr>
          <w:rStyle w:val="FootnoteReference"/>
        </w:rPr>
        <w:footnoteReference w:id="38"/>
      </w:r>
      <w:r w:rsidR="00661EB7">
        <w:t xml:space="preserve">  </w:t>
      </w:r>
      <w:r w:rsidR="00E44147">
        <w:t>S</w:t>
      </w:r>
      <w:r w:rsidR="00661EB7">
        <w:t xml:space="preserve">ettlement </w:t>
      </w:r>
      <w:r w:rsidR="00E44147">
        <w:t xml:space="preserve">Agreements </w:t>
      </w:r>
      <w:r w:rsidR="00661EB7">
        <w:t xml:space="preserve">are discussed further, below. </w:t>
      </w:r>
    </w:p>
    <w:p w:rsidR="00661EB7" w:rsidP="006751FF" w:rsidRDefault="00661EB7" w14:paraId="1036E4E9" w14:textId="77777777">
      <w:pPr>
        <w:pStyle w:val="Heading2"/>
      </w:pPr>
      <w:bookmarkStart w:name="_Toc233239887" w:id="79"/>
      <w:bookmarkStart w:name="_Toc233240021" w:id="80"/>
      <w:bookmarkStart w:name="_Toc233273756" w:id="81"/>
      <w:bookmarkStart w:name="_Toc233342621" w:id="82"/>
      <w:bookmarkStart w:name="_Toc237414275" w:id="83"/>
      <w:bookmarkEnd w:id="79"/>
      <w:bookmarkEnd w:id="80"/>
      <w:bookmarkEnd w:id="81"/>
      <w:r w:rsidRPr="000967ED">
        <w:t>Cal Advocates</w:t>
      </w:r>
      <w:bookmarkEnd w:id="82"/>
      <w:bookmarkEnd w:id="83"/>
    </w:p>
    <w:p w:rsidRPr="00862B1C" w:rsidR="00661EB7" w:rsidP="002E3902" w:rsidRDefault="00661EB7" w14:paraId="24F86BFA" w14:textId="7DDC6ACC">
      <w:pPr>
        <w:pStyle w:val="Standard"/>
        <w:rPr>
          <w:rFonts w:cs="Arial"/>
          <w:bCs/>
          <w:szCs w:val="26"/>
        </w:rPr>
      </w:pPr>
      <w:r>
        <w:t xml:space="preserve">Cal Advocates asserts that </w:t>
      </w:r>
      <w:r w:rsidR="00277125">
        <w:t xml:space="preserve">the Joint Applicant-Cal Advocates Settlement Agreement </w:t>
      </w:r>
      <w:r>
        <w:t>satisfies the public interest requirements of Pub. Util. Code Section 854(a).</w:t>
      </w:r>
      <w:r>
        <w:rPr>
          <w:rStyle w:val="FootnoteReference"/>
        </w:rPr>
        <w:footnoteReference w:id="39"/>
      </w:r>
      <w:r w:rsidRPr="00A50E28">
        <w:rPr>
          <w:rStyle w:val="FootnoteReference"/>
        </w:rPr>
        <w:t xml:space="preserve"> </w:t>
      </w:r>
      <w:r>
        <w:t xml:space="preserve"> The </w:t>
      </w:r>
      <w:r w:rsidR="00E16956">
        <w:t xml:space="preserve">Joint Applicant-Cal Advocates Settlement Agreement </w:t>
      </w:r>
      <w:r>
        <w:t xml:space="preserve">is considered in more detail below. </w:t>
      </w:r>
    </w:p>
    <w:p w:rsidR="00661EB7" w:rsidP="006751FF" w:rsidRDefault="00661EB7" w14:paraId="69532B89" w14:textId="77777777">
      <w:pPr>
        <w:pStyle w:val="Heading2"/>
      </w:pPr>
      <w:bookmarkStart w:name="_Toc233342622" w:id="84"/>
      <w:bookmarkStart w:name="_Toc237414276" w:id="85"/>
      <w:r>
        <w:t>CETF</w:t>
      </w:r>
      <w:bookmarkEnd w:id="84"/>
      <w:bookmarkEnd w:id="85"/>
    </w:p>
    <w:p w:rsidR="00661EB7" w:rsidP="002E3902" w:rsidRDefault="00F50B14" w14:paraId="36BA1F2E" w14:textId="0BFA0DDF">
      <w:pPr>
        <w:pStyle w:val="Standard"/>
      </w:pPr>
      <w:r>
        <w:t xml:space="preserve">CETF </w:t>
      </w:r>
      <w:r w:rsidR="00E16956">
        <w:t xml:space="preserve">argues </w:t>
      </w:r>
      <w:r w:rsidR="00661EB7">
        <w:t xml:space="preserve">that the </w:t>
      </w:r>
      <w:r w:rsidR="004A2811">
        <w:t xml:space="preserve">Joint Applicant-CETF Settlement Agreement </w:t>
      </w:r>
      <w:r w:rsidR="00661EB7">
        <w:t xml:space="preserve">will </w:t>
      </w:r>
      <w:r w:rsidR="00C27023">
        <w:t xml:space="preserve">provide the </w:t>
      </w:r>
      <w:r w:rsidR="00661EB7">
        <w:t>enforceable commitments necessary to find the transaction in the public interest.</w:t>
      </w:r>
      <w:r w:rsidR="000A1F63">
        <w:rPr>
          <w:rStyle w:val="FootnoteReference"/>
        </w:rPr>
        <w:footnoteReference w:id="40"/>
      </w:r>
      <w:r w:rsidR="00661EB7">
        <w:t xml:space="preserve">  The </w:t>
      </w:r>
      <w:r w:rsidR="00C27023">
        <w:t xml:space="preserve">Joint Applicant-CETF Settlement Agreement </w:t>
      </w:r>
      <w:r w:rsidR="00661EB7">
        <w:t>is considered in more detail below.</w:t>
      </w:r>
    </w:p>
    <w:p w:rsidRPr="005C165C" w:rsidR="00661EB7" w:rsidP="006751FF" w:rsidRDefault="00661EB7" w14:paraId="1D4AFD95" w14:textId="77777777">
      <w:pPr>
        <w:pStyle w:val="Heading2"/>
      </w:pPr>
      <w:bookmarkStart w:name="_Toc233342623" w:id="86"/>
      <w:bookmarkStart w:name="_Toc237414277" w:id="87"/>
      <w:r w:rsidRPr="005C165C">
        <w:t>TURN</w:t>
      </w:r>
      <w:bookmarkEnd w:id="86"/>
      <w:bookmarkEnd w:id="87"/>
    </w:p>
    <w:p w:rsidR="00661EB7" w:rsidP="00661EB7" w:rsidRDefault="00661EB7" w14:paraId="60EEF6BF" w14:textId="12F2DDEF">
      <w:pPr>
        <w:pStyle w:val="Standard"/>
      </w:pPr>
      <w:r>
        <w:t>TURN</w:t>
      </w:r>
      <w:r w:rsidR="00E83903">
        <w:t xml:space="preserve"> states that </w:t>
      </w:r>
      <w:r>
        <w:t>the application does not meet the requirements of Pub. Util. Code Section 854(a).  TURN argues that the Commission should reject the proposed transaction for failing to meet the standard of Pub. Util. Code Section 854</w:t>
      </w:r>
      <w:r w:rsidR="00E73A37">
        <w:t>(a)</w:t>
      </w:r>
      <w:r>
        <w:t>, or alternatively, recommends that the Commission adopt conditions and mitigation measures if it does approve the proposed transaction.</w:t>
      </w:r>
      <w:r>
        <w:rPr>
          <w:rStyle w:val="FootnoteReference"/>
        </w:rPr>
        <w:footnoteReference w:id="41"/>
      </w:r>
    </w:p>
    <w:p w:rsidRPr="005C165C" w:rsidR="00661EB7" w:rsidP="006751FF" w:rsidRDefault="00661EB7" w14:paraId="4A7CF160" w14:textId="69E2DDE8">
      <w:pPr>
        <w:pStyle w:val="Heading2"/>
      </w:pPr>
      <w:bookmarkStart w:name="_Toc233342624" w:id="88"/>
      <w:bookmarkStart w:name="_Toc237414278" w:id="89"/>
      <w:r w:rsidRPr="005C165C">
        <w:t xml:space="preserve">Joint Advocates </w:t>
      </w:r>
      <w:r w:rsidR="005A006E">
        <w:t>(</w:t>
      </w:r>
      <w:r w:rsidRPr="005C165C">
        <w:t>CforAT, CADE, DELA, EBBC, FCDI</w:t>
      </w:r>
      <w:bookmarkEnd w:id="88"/>
      <w:r w:rsidR="00C24676">
        <w:t>)</w:t>
      </w:r>
      <w:bookmarkEnd w:id="89"/>
    </w:p>
    <w:p w:rsidRPr="00795931" w:rsidR="00661EB7" w:rsidP="001D048B" w:rsidRDefault="00661EB7" w14:paraId="0903B742" w14:textId="6D71E07B">
      <w:pPr>
        <w:rPr>
          <w:rFonts w:ascii="Arial" w:hAnsi="Arial" w:cs="Arial"/>
          <w:b/>
          <w:bCs/>
        </w:rPr>
      </w:pPr>
      <w:r>
        <w:t xml:space="preserve">The Joint Advocates indicate that the application fails to meet the standard of Pub. Util. Code Section 854(a) because it fails to </w:t>
      </w:r>
      <w:r w:rsidRPr="00943D8D">
        <w:t xml:space="preserve">address the fact that any </w:t>
      </w:r>
      <w:r>
        <w:lastRenderedPageBreak/>
        <w:t xml:space="preserve">potential </w:t>
      </w:r>
      <w:r w:rsidRPr="00943D8D">
        <w:t xml:space="preserve">harms from the proposed transaction </w:t>
      </w:r>
      <w:r>
        <w:t xml:space="preserve">will </w:t>
      </w:r>
      <w:r w:rsidRPr="00943D8D">
        <w:t>disproportionately impact people with disabilities, people of color, and low-income households.</w:t>
      </w:r>
      <w:r w:rsidR="00C24676">
        <w:rPr>
          <w:rStyle w:val="FootnoteReference"/>
        </w:rPr>
        <w:footnoteReference w:id="42"/>
      </w:r>
      <w:r>
        <w:t xml:space="preserve">  Additionally, the Joint Advocates assert that the application fails to demonstrate how transaction benefits will flow directly to, “</w:t>
      </w:r>
      <w:r w:rsidRPr="00943D8D">
        <w:t>historically underserved customers, or, for that matter, any customers.</w:t>
      </w:r>
      <w:r>
        <w:t>”</w:t>
      </w:r>
      <w:r>
        <w:rPr>
          <w:rStyle w:val="FootnoteReference"/>
        </w:rPr>
        <w:footnoteReference w:id="43"/>
      </w:r>
      <w:r>
        <w:t xml:space="preserve">  Final</w:t>
      </w:r>
      <w:r w:rsidR="004A1DB3">
        <w:t>l</w:t>
      </w:r>
      <w:r>
        <w:t>y, the Joint Advocates voice concern that the post-merger company is sacrificing their, “</w:t>
      </w:r>
      <w:r w:rsidRPr="00263735">
        <w:t>long-claimed commitments to diversity, equity, and inclusion on the altar of profit</w:t>
      </w:r>
      <w:r>
        <w:t>.”</w:t>
      </w:r>
      <w:r>
        <w:rPr>
          <w:rStyle w:val="FootnoteReference"/>
        </w:rPr>
        <w:footnoteReference w:id="44"/>
      </w:r>
      <w:r w:rsidR="00BA4CBE">
        <w:t xml:space="preserve"> </w:t>
      </w:r>
      <w:r w:rsidR="001D048B">
        <w:t xml:space="preserve"> </w:t>
      </w:r>
      <w:r>
        <w:t>The Joint Advocates encourage the Commission to deny the Joint Application.</w:t>
      </w:r>
      <w:r w:rsidRPr="00263735">
        <w:rPr>
          <w:rStyle w:val="FootnoteReference"/>
        </w:rPr>
        <w:t xml:space="preserve"> </w:t>
      </w:r>
      <w:r>
        <w:rPr>
          <w:rStyle w:val="FootnoteReference"/>
        </w:rPr>
        <w:footnoteReference w:id="45"/>
      </w:r>
    </w:p>
    <w:p w:rsidRPr="000967ED" w:rsidR="00661EB7" w:rsidP="006751FF" w:rsidRDefault="00661EB7" w14:paraId="6E9A167F" w14:textId="77777777">
      <w:pPr>
        <w:pStyle w:val="Heading2"/>
      </w:pPr>
      <w:bookmarkStart w:name="_Toc237414279" w:id="90"/>
      <w:r>
        <w:t>Discussion</w:t>
      </w:r>
      <w:bookmarkEnd w:id="90"/>
    </w:p>
    <w:p w:rsidR="00661EB7" w:rsidP="00661EB7" w:rsidRDefault="00661EB7" w14:paraId="285DF6D5" w14:textId="0007A221">
      <w:pPr>
        <w:rPr>
          <w:highlight w:val="yellow"/>
        </w:rPr>
      </w:pPr>
      <w:r w:rsidRPr="00011A34">
        <w:t xml:space="preserve">As stated above, no party argued that the Joint Applicants have undertaken the proposed transaction without prior authorization in violation of Pub. Util. Code Section 854(a), and we agree with this assessment.  </w:t>
      </w:r>
      <w:r w:rsidR="00BA4CBE">
        <w:t>Therefore, the Joint Applicants have satisfied this basic requirement of Section 854(a).</w:t>
      </w:r>
      <w:r w:rsidR="00F5304E">
        <w:t xml:space="preserve"> </w:t>
      </w:r>
    </w:p>
    <w:p w:rsidRPr="00D953DD" w:rsidR="00661EB7" w:rsidP="006751FF" w:rsidRDefault="00661EB7" w14:paraId="37D3040C" w14:textId="77777777">
      <w:pPr>
        <w:pStyle w:val="Heading1"/>
      </w:pPr>
      <w:bookmarkStart w:name="_Toc233342625" w:id="91"/>
      <w:bookmarkStart w:name="_Toc237414280" w:id="92"/>
      <w:r w:rsidRPr="00D953DD">
        <w:t>Section 854(b)</w:t>
      </w:r>
      <w:r>
        <w:t xml:space="preserve"> Requirements</w:t>
      </w:r>
      <w:bookmarkEnd w:id="77"/>
      <w:bookmarkEnd w:id="91"/>
      <w:bookmarkEnd w:id="92"/>
    </w:p>
    <w:p w:rsidR="00661EB7" w:rsidP="00661EB7" w:rsidRDefault="00661EB7" w14:paraId="354F22D1" w14:textId="77777777">
      <w:r>
        <w:t>Next, we consider whether the application satisfies the elements of Pub. Util. Code Section 854(b).</w:t>
      </w:r>
    </w:p>
    <w:p w:rsidR="00661EB7" w:rsidP="006751FF" w:rsidRDefault="00661EB7" w14:paraId="37F77954" w14:textId="17B6D2FD">
      <w:pPr>
        <w:pStyle w:val="Heading2"/>
      </w:pPr>
      <w:bookmarkStart w:name="_Toc233110250" w:id="93"/>
      <w:bookmarkStart w:name="_Toc233110821" w:id="94"/>
      <w:bookmarkStart w:name="_Toc233111170" w:id="95"/>
      <w:bookmarkStart w:name="_Toc233116606" w:id="96"/>
      <w:bookmarkStart w:name="_Toc233110251" w:id="97"/>
      <w:bookmarkStart w:name="_Toc233110822" w:id="98"/>
      <w:bookmarkStart w:name="_Toc233111171" w:id="99"/>
      <w:bookmarkStart w:name="_Toc233116607" w:id="100"/>
      <w:bookmarkStart w:name="_Toc233110252" w:id="101"/>
      <w:bookmarkStart w:name="_Toc233110823" w:id="102"/>
      <w:bookmarkStart w:name="_Toc233111172" w:id="103"/>
      <w:bookmarkStart w:name="_Toc233116608" w:id="104"/>
      <w:bookmarkStart w:name="_Toc233110253" w:id="105"/>
      <w:bookmarkStart w:name="_Toc233110824" w:id="106"/>
      <w:bookmarkStart w:name="_Toc233111173" w:id="107"/>
      <w:bookmarkStart w:name="_Toc233116609" w:id="108"/>
      <w:bookmarkStart w:name="_Toc233110254" w:id="109"/>
      <w:bookmarkStart w:name="_Toc233110825" w:id="110"/>
      <w:bookmarkStart w:name="_Toc233111174" w:id="111"/>
      <w:bookmarkStart w:name="_Toc233116610" w:id="112"/>
      <w:bookmarkStart w:name="_Toc233110255" w:id="113"/>
      <w:bookmarkStart w:name="_Toc233110826" w:id="114"/>
      <w:bookmarkStart w:name="_Toc233111175" w:id="115"/>
      <w:bookmarkStart w:name="_Toc233116611" w:id="116"/>
      <w:bookmarkStart w:name="_Toc232121641" w:id="117"/>
      <w:bookmarkStart w:name="_Toc233342626" w:id="118"/>
      <w:bookmarkStart w:name="_Toc237414281" w:id="11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t>Joint Applicants</w:t>
      </w:r>
      <w:bookmarkEnd w:id="117"/>
      <w:bookmarkEnd w:id="118"/>
      <w:bookmarkEnd w:id="119"/>
    </w:p>
    <w:p w:rsidR="00661EB7" w:rsidP="00661EB7" w:rsidRDefault="00661EB7" w14:paraId="2BF65758" w14:textId="44BDB9AF">
      <w:r>
        <w:t xml:space="preserve">Joint Applicants argue that </w:t>
      </w:r>
      <w:r w:rsidRPr="00CB0B2E">
        <w:t xml:space="preserve">the record shows that </w:t>
      </w:r>
      <w:r>
        <w:t xml:space="preserve">the transaction </w:t>
      </w:r>
      <w:r w:rsidRPr="00CB0B2E">
        <w:t>will “[p]rovide short-term and long-term economic benefits” to customers and shareholders and will “[n]ot adversely affect competition” as required by Section 854(b)</w:t>
      </w:r>
      <w:r>
        <w:t>.</w:t>
      </w:r>
      <w:r>
        <w:rPr>
          <w:rStyle w:val="FootnoteReference"/>
        </w:rPr>
        <w:footnoteReference w:id="46"/>
      </w:r>
    </w:p>
    <w:p w:rsidR="00661EB7" w:rsidP="00661EB7" w:rsidRDefault="00661EB7" w14:paraId="24819DEB" w14:textId="54DA3121">
      <w:r>
        <w:lastRenderedPageBreak/>
        <w:t>With regards to short-term and long-term benefits required by Section 854(b)(1), Joint Applicants indicate that customers in the current Cox territory will gain access to all of the advanced telecommunications services provided by the post-merger company.</w:t>
      </w:r>
      <w:r>
        <w:rPr>
          <w:rStyle w:val="FootnoteReference"/>
        </w:rPr>
        <w:footnoteReference w:id="47"/>
      </w:r>
      <w:r>
        <w:t xml:space="preserve">  Specifically, the Joint Applicants assert that the post-merger company will be incentivized to provide broadband based benefits to customers, including faster broadband and tailored customer enterprise equipment, and will improve mobile service options for customers across its footprint.</w:t>
      </w:r>
      <w:r>
        <w:rPr>
          <w:rStyle w:val="FootnoteReference"/>
        </w:rPr>
        <w:footnoteReference w:id="48"/>
      </w:r>
      <w:r>
        <w:t xml:space="preserve">  </w:t>
      </w:r>
    </w:p>
    <w:p w:rsidR="00661EB7" w:rsidP="00661EB7" w:rsidRDefault="00661EB7" w14:paraId="1B93F6C6" w14:textId="519BA7D0">
      <w:r>
        <w:t>With regards to pricing, Joint Applicants offer their witness’ testimony that the post-merger company’s “</w:t>
      </w:r>
      <w:r w:rsidRPr="00BB0DFA">
        <w:t xml:space="preserve">efficiency-related cost-savings will incentivize more competitive pricing across </w:t>
      </w:r>
      <w:r>
        <w:t>product service offerings as ‘</w:t>
      </w:r>
      <w:r w:rsidRPr="00BB0DFA">
        <w:t>a profit- maximizing fir</w:t>
      </w:r>
      <w:r>
        <w:t>m</w:t>
      </w:r>
      <w:r w:rsidRPr="00BB0DFA">
        <w:t xml:space="preserve"> is incentivized</w:t>
      </w:r>
      <w:r>
        <w:t>’</w:t>
      </w:r>
      <w:r w:rsidRPr="00BB0DFA">
        <w:t xml:space="preserve"> to</w:t>
      </w:r>
      <w:r>
        <w:t xml:space="preserve"> ‘</w:t>
      </w:r>
      <w:r w:rsidRPr="00BB0DFA">
        <w:t>pass through lower marginal costs in the form of lower prices or h</w:t>
      </w:r>
      <w:r>
        <w:t>i</w:t>
      </w:r>
      <w:r w:rsidRPr="00BB0DFA">
        <w:t>gher qu</w:t>
      </w:r>
      <w:r>
        <w:t>a</w:t>
      </w:r>
      <w:r w:rsidRPr="00BB0DFA">
        <w:t>lity because doing so increases profit.</w:t>
      </w:r>
      <w:r>
        <w:t>’”</w:t>
      </w:r>
      <w:r>
        <w:rPr>
          <w:rStyle w:val="FootnoteReference"/>
        </w:rPr>
        <w:footnoteReference w:id="49"/>
      </w:r>
    </w:p>
    <w:p w:rsidR="00661EB7" w:rsidP="00661EB7" w:rsidRDefault="00661EB7" w14:paraId="166EB877" w14:textId="1A02C976">
      <w:pPr>
        <w:rPr>
          <w:b/>
          <w:bCs/>
          <w:color w:val="FF0000"/>
        </w:rPr>
      </w:pPr>
      <w:r>
        <w:t xml:space="preserve">Joint Applicants offer that the larger company will be more able to compete </w:t>
      </w:r>
      <w:r w:rsidR="4265EAA5">
        <w:t xml:space="preserve">with rival </w:t>
      </w:r>
      <w:r>
        <w:t>national companies, thus enabling it to better compete especially in the commercial enterprise marketplace, expanding competition.</w:t>
      </w:r>
      <w:r>
        <w:rPr>
          <w:rStyle w:val="FootnoteReference"/>
        </w:rPr>
        <w:footnoteReference w:id="50"/>
      </w:r>
      <w:r>
        <w:t xml:space="preserve"> The Joint Applicants together will be able to offer their enterprise services at lower prices when they no longer having to bill for a subcontracting firm and again for the firm holding the customer relationship, resulting in lower prices.</w:t>
      </w:r>
      <w:r>
        <w:rPr>
          <w:rStyle w:val="FootnoteReference"/>
        </w:rPr>
        <w:footnoteReference w:id="51"/>
      </w:r>
      <w:r>
        <w:t xml:space="preserve"> </w:t>
      </w:r>
    </w:p>
    <w:p w:rsidR="00661EB7" w:rsidP="00661EB7" w:rsidRDefault="00661EB7" w14:paraId="30A758FD" w14:textId="77F7804A">
      <w:r>
        <w:lastRenderedPageBreak/>
        <w:t>Joint Applicants also highlight the post-merger company’s ability to promote video competition and consumer choice because customers will have access to innovative and competitive video products.</w:t>
      </w:r>
      <w:r>
        <w:rPr>
          <w:rStyle w:val="FootnoteReference"/>
        </w:rPr>
        <w:footnoteReference w:id="52"/>
      </w:r>
    </w:p>
    <w:p w:rsidRPr="005905DB" w:rsidR="00661EB7" w:rsidP="00661EB7" w:rsidRDefault="00661EB7" w14:paraId="1F0DBEC0" w14:textId="6D01A193">
      <w:pPr>
        <w:rPr>
          <w:b/>
          <w:bCs/>
          <w:color w:val="FF0000"/>
        </w:rPr>
      </w:pPr>
      <w:r>
        <w:t>Joint Applicants assert that Charter and Cox do not compete because of their non-overlapping footprint and when the two companies merge, there will not be a material reduction in customer options.</w:t>
      </w:r>
      <w:r>
        <w:rPr>
          <w:rStyle w:val="FootnoteReference"/>
        </w:rPr>
        <w:footnoteReference w:id="53"/>
      </w:r>
      <w:r>
        <w:t xml:space="preserve"> </w:t>
      </w:r>
    </w:p>
    <w:p w:rsidRPr="00EF5F49" w:rsidR="00661EB7" w:rsidP="00661EB7" w:rsidRDefault="00661EB7" w14:paraId="6D5B813F" w14:textId="77777777">
      <w:r>
        <w:t xml:space="preserve">Joint Applicants’ settlement positions will be considered below. </w:t>
      </w:r>
    </w:p>
    <w:p w:rsidR="00661EB7" w:rsidP="006751FF" w:rsidRDefault="00661EB7" w14:paraId="6A7A4240" w14:textId="77777777">
      <w:pPr>
        <w:pStyle w:val="Heading2"/>
      </w:pPr>
      <w:bookmarkStart w:name="_Toc233239894" w:id="120"/>
      <w:bookmarkStart w:name="_Toc233240028" w:id="121"/>
      <w:bookmarkStart w:name="_Toc233273763" w:id="122"/>
      <w:bookmarkStart w:name="_Toc233342627" w:id="123"/>
      <w:bookmarkStart w:name="_Toc237414282" w:id="124"/>
      <w:bookmarkEnd w:id="120"/>
      <w:bookmarkEnd w:id="121"/>
      <w:bookmarkEnd w:id="122"/>
      <w:r>
        <w:t>Cal Advocates</w:t>
      </w:r>
      <w:bookmarkEnd w:id="123"/>
      <w:bookmarkEnd w:id="124"/>
    </w:p>
    <w:p w:rsidR="00661EB7" w:rsidP="00BB3ACB" w:rsidRDefault="00661EB7" w14:paraId="4DB4A3E7" w14:textId="72A066A1">
      <w:r>
        <w:t>Cal</w:t>
      </w:r>
      <w:r w:rsidRPr="002A1241">
        <w:t xml:space="preserve"> Advocates contend</w:t>
      </w:r>
      <w:r w:rsidR="00D3734F">
        <w:t>s</w:t>
      </w:r>
      <w:r w:rsidRPr="002A1241">
        <w:t xml:space="preserve"> that the Joint Application</w:t>
      </w:r>
      <w:r w:rsidR="000F6876">
        <w:t>, in concert with the Joint Applicants-Cal Advocates Settlement Agreement,</w:t>
      </w:r>
      <w:r w:rsidRPr="002A1241">
        <w:t xml:space="preserve"> meets </w:t>
      </w:r>
      <w:r>
        <w:t>Section</w:t>
      </w:r>
      <w:r w:rsidRPr="002A1241">
        <w:t xml:space="preserve"> 854(b)(1)</w:t>
      </w:r>
      <w:r>
        <w:t>’s</w:t>
      </w:r>
      <w:r w:rsidRPr="002A1241">
        <w:t xml:space="preserve"> requirements, which necessitate </w:t>
      </w:r>
      <w:r>
        <w:t xml:space="preserve">that the transaction provide </w:t>
      </w:r>
      <w:r w:rsidRPr="001F3376">
        <w:t>short-term and long-term economic benefits to</w:t>
      </w:r>
      <w:r>
        <w:t xml:space="preserve"> </w:t>
      </w:r>
      <w:r w:rsidRPr="001F3376">
        <w:t>customers</w:t>
      </w:r>
      <w:r>
        <w:t xml:space="preserve">. </w:t>
      </w:r>
      <w:r w:rsidR="00D362E9">
        <w:t xml:space="preserve"> The Joint Applicant-Cal Advocates Settlement Agreement </w:t>
      </w:r>
      <w:r w:rsidRPr="00914096" w:rsidR="00914096">
        <w:t>provides affordable</w:t>
      </w:r>
      <w:r w:rsidR="00914096">
        <w:t xml:space="preserve"> </w:t>
      </w:r>
      <w:r w:rsidRPr="00914096" w:rsidR="00914096">
        <w:t>high-speed broadband services to low-income Californians for a five-year period and caps</w:t>
      </w:r>
      <w:r w:rsidR="00914096">
        <w:t xml:space="preserve"> </w:t>
      </w:r>
      <w:r w:rsidRPr="00914096" w:rsidR="00914096">
        <w:t>post-merger Charter’s promotional pricing for a three-year period.</w:t>
      </w:r>
      <w:r w:rsidR="00BA4CBE">
        <w:t xml:space="preserve"> </w:t>
      </w:r>
      <w:r w:rsidRPr="00914096" w:rsidR="00914096">
        <w:t xml:space="preserve"> </w:t>
      </w:r>
      <w:r>
        <w:t xml:space="preserve">Cal Advocates </w:t>
      </w:r>
      <w:r w:rsidR="00BB3ACB">
        <w:t xml:space="preserve">thus argues </w:t>
      </w:r>
      <w:r>
        <w:t xml:space="preserve">that the terms of </w:t>
      </w:r>
      <w:r w:rsidR="00990290">
        <w:t>the Joint Applicant-Cal Advocates Settlement Agreement</w:t>
      </w:r>
      <w:r w:rsidDel="00990290" w:rsidR="00990290">
        <w:t xml:space="preserve"> </w:t>
      </w:r>
      <w:r w:rsidR="00B14396">
        <w:t xml:space="preserve">ensures that </w:t>
      </w:r>
      <w:r>
        <w:t>the transaction provide</w:t>
      </w:r>
      <w:r w:rsidR="00B14396">
        <w:t>s</w:t>
      </w:r>
      <w:r>
        <w:t xml:space="preserve"> </w:t>
      </w:r>
      <w:r w:rsidRPr="000618F8">
        <w:t>short-term and long-term economic benefits to</w:t>
      </w:r>
      <w:r>
        <w:t xml:space="preserve"> </w:t>
      </w:r>
      <w:r w:rsidRPr="000618F8">
        <w:t>customers</w:t>
      </w:r>
      <w:r>
        <w:t>, as required by Section 854(b)(1).</w:t>
      </w:r>
      <w:r>
        <w:rPr>
          <w:rStyle w:val="FootnoteReference"/>
        </w:rPr>
        <w:footnoteReference w:id="54"/>
      </w:r>
      <w:r>
        <w:t xml:space="preserve"> </w:t>
      </w:r>
    </w:p>
    <w:p w:rsidRPr="00EF5F49" w:rsidR="00661EB7" w:rsidP="00661EB7" w:rsidRDefault="00661EB7" w14:paraId="2600B461" w14:textId="11B05129">
      <w:r>
        <w:t xml:space="preserve">The </w:t>
      </w:r>
      <w:r w:rsidR="00914096">
        <w:t>Joint Applicant-Cal Advocates Settlement Agreement</w:t>
      </w:r>
      <w:r>
        <w:t xml:space="preserve">, as noted above, will be discussed in detail below. </w:t>
      </w:r>
    </w:p>
    <w:p w:rsidR="00661EB7" w:rsidP="006751FF" w:rsidRDefault="00661EB7" w14:paraId="0414B074" w14:textId="77777777">
      <w:pPr>
        <w:pStyle w:val="Heading2"/>
      </w:pPr>
      <w:bookmarkStart w:name="_Toc233342628" w:id="125"/>
      <w:bookmarkStart w:name="_Toc237414283" w:id="126"/>
      <w:r>
        <w:t>CETF</w:t>
      </w:r>
      <w:bookmarkEnd w:id="125"/>
      <w:bookmarkEnd w:id="126"/>
    </w:p>
    <w:p w:rsidRPr="00E049AF" w:rsidR="00661EB7" w:rsidP="002160C0" w:rsidRDefault="00661EB7" w14:paraId="479221C1" w14:textId="0E8E33CA">
      <w:r>
        <w:t xml:space="preserve">CETF states that the </w:t>
      </w:r>
      <w:r w:rsidR="003E70CA">
        <w:t>Joint A</w:t>
      </w:r>
      <w:r>
        <w:t>pplication</w:t>
      </w:r>
      <w:r w:rsidR="003E70CA">
        <w:t>, in concert</w:t>
      </w:r>
      <w:r>
        <w:t xml:space="preserve"> </w:t>
      </w:r>
      <w:r w:rsidR="003E70CA">
        <w:t xml:space="preserve">with the Joint Applicant-CETF Settlement Agreement, </w:t>
      </w:r>
      <w:r>
        <w:t>meet</w:t>
      </w:r>
      <w:r w:rsidR="003E70CA">
        <w:t>s</w:t>
      </w:r>
      <w:r>
        <w:t xml:space="preserve"> the standard of Pub. Util. Code Section </w:t>
      </w:r>
      <w:r>
        <w:lastRenderedPageBreak/>
        <w:t xml:space="preserve">854(b).  CETF argues that </w:t>
      </w:r>
      <w:r w:rsidR="00FF5A69">
        <w:t>the evidentiary record contains concrete</w:t>
      </w:r>
      <w:r w:rsidR="005440A7">
        <w:t>, measurable, and enforceable obligations, supported by deployment milestones, reporting requirements, annual accountability measures, performance guarantees, and consumer protection reforms contained in the Joint Applicant-CETF Settlement Agreement.</w:t>
      </w:r>
      <w:r>
        <w:rPr>
          <w:rStyle w:val="FootnoteReference"/>
        </w:rPr>
        <w:footnoteReference w:id="55"/>
      </w:r>
      <w:r>
        <w:t xml:space="preserve"> The </w:t>
      </w:r>
      <w:r w:rsidR="002160C0">
        <w:t>Joint Applicant-CETF Settlement Agreement</w:t>
      </w:r>
      <w:r>
        <w:t xml:space="preserve">, as noted above, will be discussed in detail below. </w:t>
      </w:r>
    </w:p>
    <w:p w:rsidR="00661EB7" w:rsidP="006751FF" w:rsidRDefault="00661EB7" w14:paraId="4C25D097" w14:textId="77777777">
      <w:pPr>
        <w:pStyle w:val="Heading2"/>
      </w:pPr>
      <w:bookmarkStart w:name="_Toc233342629" w:id="127"/>
      <w:bookmarkStart w:name="_Toc237414284" w:id="128"/>
      <w:r>
        <w:t>TURN</w:t>
      </w:r>
      <w:bookmarkEnd w:id="127"/>
      <w:bookmarkEnd w:id="128"/>
    </w:p>
    <w:p w:rsidR="00661EB7" w:rsidP="00661EB7" w:rsidRDefault="00661EB7" w14:paraId="61C004C6" w14:textId="77777777">
      <w:r>
        <w:t xml:space="preserve">TURN argues that the Commission ought to deny the proposed transaction under Pub. Util. Code Section 854(b). </w:t>
      </w:r>
    </w:p>
    <w:p w:rsidRPr="00567F9D" w:rsidR="00661EB7" w:rsidP="00661EB7" w:rsidRDefault="00661EB7" w14:paraId="1E840A8E" w14:textId="00658542">
      <w:pPr>
        <w:rPr>
          <w:color w:val="FF0000"/>
        </w:rPr>
      </w:pPr>
      <w:r>
        <w:t>I</w:t>
      </w:r>
      <w:r w:rsidRPr="00C44607">
        <w:t>n consideration of Pub. Util Code Sec</w:t>
      </w:r>
      <w:r>
        <w:t>tion</w:t>
      </w:r>
      <w:r w:rsidRPr="00C44607">
        <w:t xml:space="preserve"> 854(b)</w:t>
      </w:r>
      <w:r>
        <w:t>(1), TURN argues that absent mitigation measures, the application fails to provide the short-term and long-term benefits</w:t>
      </w:r>
      <w:r w:rsidR="002401B6">
        <w:t>.</w:t>
      </w:r>
      <w:r>
        <w:t xml:space="preserve"> </w:t>
      </w:r>
      <w:r w:rsidR="00BA4CBE">
        <w:t xml:space="preserve"> </w:t>
      </w:r>
      <w:r w:rsidR="002401B6">
        <w:t xml:space="preserve">TURN cited </w:t>
      </w:r>
      <w:r w:rsidR="00B1194E">
        <w:t xml:space="preserve">Charter’s </w:t>
      </w:r>
      <w:r w:rsidRPr="00B1194E" w:rsidR="00B1194E">
        <w:t>opaque bundling and promotional practices, discriminatory pricing practices, Charter’s practice of upselling, reduced access to low-income service offerings, and lack of infrastructure deployment in Joint Applicants’ service territories.</w:t>
      </w:r>
      <w:r w:rsidR="00B1194E">
        <w:rPr>
          <w:rStyle w:val="FootnoteReference"/>
        </w:rPr>
        <w:footnoteReference w:id="56"/>
      </w:r>
    </w:p>
    <w:p w:rsidR="00661EB7" w:rsidP="00AF4B8A" w:rsidRDefault="00661EB7" w14:paraId="060831DF" w14:textId="51B5E348">
      <w:r>
        <w:t>I</w:t>
      </w:r>
      <w:r w:rsidRPr="00C44607">
        <w:t xml:space="preserve">n consideration of </w:t>
      </w:r>
      <w:r>
        <w:t xml:space="preserve">Section 854(b)(3), TURN argues that the application does not contain </w:t>
      </w:r>
      <w:r w:rsidRPr="00A02532">
        <w:t>specific, concrete, and measurable commitments in these areas</w:t>
      </w:r>
      <w:r>
        <w:t xml:space="preserve"> to determine that the transaction on its face will not adversely impact competition.</w:t>
      </w:r>
      <w:r>
        <w:rPr>
          <w:rStyle w:val="FootnoteReference"/>
        </w:rPr>
        <w:footnoteReference w:id="57"/>
      </w:r>
    </w:p>
    <w:p w:rsidRPr="00EF5F49" w:rsidR="00661EB7" w:rsidP="00661EB7" w:rsidRDefault="00661EB7" w14:paraId="2B57676E" w14:textId="77777777">
      <w:pPr>
        <w:pStyle w:val="Standard"/>
      </w:pPr>
      <w:r>
        <w:t xml:space="preserve">TURN argues that the application on its face does not meet the requirements of Pub. Util. Code Section 854(b) unless the Commission crafts </w:t>
      </w:r>
      <w:r>
        <w:lastRenderedPageBreak/>
        <w:t xml:space="preserve">mitigation measures to implement measurable, reportable, and enforceable public benefits. </w:t>
      </w:r>
    </w:p>
    <w:p w:rsidR="00661EB7" w:rsidP="006751FF" w:rsidRDefault="00661EB7" w14:paraId="53279F15" w14:textId="77777777">
      <w:pPr>
        <w:pStyle w:val="Heading2"/>
      </w:pPr>
      <w:bookmarkStart w:name="_Toc233342630" w:id="129"/>
      <w:bookmarkStart w:name="_Toc237414285" w:id="130"/>
      <w:r>
        <w:t>Joint Advocates (CforAT, CADE, DELA, EBBC, FCDI)</w:t>
      </w:r>
      <w:bookmarkEnd w:id="129"/>
      <w:bookmarkEnd w:id="130"/>
    </w:p>
    <w:p w:rsidR="00661EB7" w:rsidP="00661EB7" w:rsidRDefault="00661EB7" w14:paraId="320EC458" w14:textId="77777777">
      <w:r>
        <w:t xml:space="preserve">Joint Advocates assert that the application alone would not meet the standard of Pub. Util. Code Section 854(b).  </w:t>
      </w:r>
    </w:p>
    <w:p w:rsidR="00661EB7" w:rsidP="00661EB7" w:rsidRDefault="00661EB7" w14:paraId="7B8F2407" w14:textId="49DD24BD">
      <w:r>
        <w:t xml:space="preserve">With respect to Section 854(b)(1)’s short-term and long-term economic benefits, Joint Advocates </w:t>
      </w:r>
      <w:r w:rsidR="007D4DEA">
        <w:t xml:space="preserve">argue that while Joint Applicants claim that </w:t>
      </w:r>
      <w:r>
        <w:t>a post-merger company will create incentives for the company to take action to deliver better value at lower prices to consumers in the short- and long-term</w:t>
      </w:r>
      <w:r w:rsidR="00AF3291">
        <w:t xml:space="preserve">, the Joint </w:t>
      </w:r>
      <w:r w:rsidR="00BA4CBE">
        <w:t>A</w:t>
      </w:r>
      <w:r w:rsidR="00AF3291">
        <w:t>pplicants make no commitment to do so</w:t>
      </w:r>
      <w:r>
        <w:t>.</w:t>
      </w:r>
      <w:r>
        <w:rPr>
          <w:rStyle w:val="FootnoteReference"/>
        </w:rPr>
        <w:footnoteReference w:id="58"/>
      </w:r>
      <w:r>
        <w:t xml:space="preserve">  </w:t>
      </w:r>
    </w:p>
    <w:p w:rsidR="00661EB7" w:rsidP="00661EB7" w:rsidRDefault="00661EB7" w14:paraId="13C09D2A" w14:textId="43D737E2">
      <w:pPr>
        <w:pStyle w:val="Standard"/>
      </w:pPr>
      <w:r w:rsidRPr="0053315A">
        <w:t xml:space="preserve">With respect to </w:t>
      </w:r>
      <w:r>
        <w:t xml:space="preserve">Section 854(b)(3)’s requirement that the transaction </w:t>
      </w:r>
      <w:r w:rsidRPr="0053315A">
        <w:t xml:space="preserve">not adversely impact competition, </w:t>
      </w:r>
      <w:r>
        <w:t>Joint Advocates argue that the Joint Applicants have not met their burden of proof.  Joint Advocates highlight that Joint Applicants compete in the same product market even where service territories don’t overlap.  The merger, then, will reduce this competition when the two companies become one and the choice between companies no longer exists.</w:t>
      </w:r>
      <w:r>
        <w:rPr>
          <w:rStyle w:val="FootnoteReference"/>
        </w:rPr>
        <w:footnoteReference w:id="59"/>
      </w:r>
    </w:p>
    <w:p w:rsidR="00661EB7" w:rsidP="006751FF" w:rsidRDefault="00661EB7" w14:paraId="5F5A22A2" w14:textId="77777777">
      <w:pPr>
        <w:pStyle w:val="Heading2"/>
      </w:pPr>
      <w:bookmarkStart w:name="_Toc233342631" w:id="131"/>
      <w:bookmarkStart w:name="_Toc237414286" w:id="132"/>
      <w:r>
        <w:t>Discussion</w:t>
      </w:r>
      <w:bookmarkEnd w:id="131"/>
      <w:bookmarkEnd w:id="132"/>
    </w:p>
    <w:p w:rsidRPr="00011333" w:rsidR="00661EB7" w:rsidP="00661EB7" w:rsidRDefault="004D0F51" w14:paraId="1FEF7A8B" w14:textId="1903DBAC">
      <w:r>
        <w:t xml:space="preserve">We </w:t>
      </w:r>
      <w:r w:rsidR="00D73F78">
        <w:t xml:space="preserve">find </w:t>
      </w:r>
      <w:r>
        <w:t>that the Joint Application,</w:t>
      </w:r>
      <w:r w:rsidR="00E557C2">
        <w:t xml:space="preserve"> </w:t>
      </w:r>
      <w:r>
        <w:t xml:space="preserve">when paired with the </w:t>
      </w:r>
      <w:r w:rsidR="00E557C2">
        <w:t>Settlement Agreements</w:t>
      </w:r>
      <w:r w:rsidR="005C7567">
        <w:t xml:space="preserve"> and additional mitigation measures discussed below</w:t>
      </w:r>
      <w:r w:rsidR="00E557C2">
        <w:t xml:space="preserve">, satisfies the conditions of </w:t>
      </w:r>
      <w:r w:rsidR="00A20A3F">
        <w:t xml:space="preserve">Pub. Util. Code Section </w:t>
      </w:r>
      <w:r w:rsidR="00D73F78">
        <w:t>854(b).</w:t>
      </w:r>
      <w:r w:rsidR="00661EB7">
        <w:t xml:space="preserve"> </w:t>
      </w:r>
      <w:r w:rsidRPr="00011333" w:rsidR="00661EB7">
        <w:t>The Joint Applica</w:t>
      </w:r>
      <w:r w:rsidRPr="00011333" w:rsidR="00F46103">
        <w:t xml:space="preserve">tion, </w:t>
      </w:r>
      <w:r w:rsidR="00050EA8">
        <w:t xml:space="preserve">along with the Settlement Agreements and additional mitigation measures, </w:t>
      </w:r>
      <w:r w:rsidRPr="00011333" w:rsidR="00661EB7">
        <w:t xml:space="preserve">demonstrate that the transaction </w:t>
      </w:r>
      <w:r w:rsidR="00050EA8">
        <w:t xml:space="preserve">will </w:t>
      </w:r>
      <w:r w:rsidRPr="00011333" w:rsidR="00661EB7">
        <w:t xml:space="preserve">provide customer benefits like pricing, participation in </w:t>
      </w:r>
      <w:r w:rsidRPr="00011333" w:rsidR="00661EB7">
        <w:lastRenderedPageBreak/>
        <w:t>low-income programs, and investment commitment</w:t>
      </w:r>
      <w:r w:rsidR="001529FA">
        <w:t>s</w:t>
      </w:r>
      <w:r w:rsidRPr="00011333" w:rsidR="00661EB7">
        <w:t xml:space="preserve">, with measurable, reportable commitments.  </w:t>
      </w:r>
    </w:p>
    <w:p w:rsidRPr="00011333" w:rsidR="00661EB7" w:rsidP="00661EB7" w:rsidRDefault="001304CB" w14:paraId="72FF48A6" w14:textId="3287AF0C">
      <w:pPr>
        <w:rPr>
          <w:rFonts w:cs="Times New Roman"/>
          <w:color w:val="7030A0"/>
          <w:szCs w:val="26"/>
        </w:rPr>
      </w:pPr>
      <w:r w:rsidRPr="001304CB">
        <w:rPr>
          <w:rFonts w:cs="Times New Roman"/>
        </w:rPr>
        <w:t>With respect to Section 854(b)(3), the Commission sought and received an advisory opinion</w:t>
      </w:r>
      <w:r w:rsidR="00BE4673">
        <w:rPr>
          <w:rFonts w:cs="Times New Roman"/>
        </w:rPr>
        <w:t xml:space="preserve"> from the Attorney General, as directed</w:t>
      </w:r>
      <w:r w:rsidRPr="001304CB">
        <w:rPr>
          <w:rFonts w:cs="Times New Roman"/>
        </w:rPr>
        <w:t>.  In an email dated June 2, 2026, the Office of the Attorney General advised</w:t>
      </w:r>
      <w:r w:rsidR="009F344C">
        <w:rPr>
          <w:rFonts w:cs="Times New Roman"/>
        </w:rPr>
        <w:t>:</w:t>
      </w:r>
      <w:r w:rsidRPr="001304CB">
        <w:rPr>
          <w:rFonts w:cs="Times New Roman"/>
        </w:rPr>
        <w:t> </w:t>
      </w:r>
      <w:r w:rsidR="009F344C">
        <w:rPr>
          <w:rFonts w:cs="Times New Roman"/>
        </w:rPr>
        <w:t>“</w:t>
      </w:r>
      <w:r w:rsidRPr="009F344C" w:rsidR="009F344C">
        <w:rPr>
          <w:rFonts w:cs="Times New Roman"/>
        </w:rPr>
        <w:t>Based on our review of available information, the Antitrust Section does not have competition-related concerns about the Charter-Cox transaction.</w:t>
      </w:r>
      <w:r w:rsidR="009F344C">
        <w:rPr>
          <w:rFonts w:cs="Times New Roman"/>
        </w:rPr>
        <w:t>”</w:t>
      </w:r>
      <w:r w:rsidR="00222B02">
        <w:rPr>
          <w:rStyle w:val="FootnoteReference"/>
          <w:rFonts w:cs="Times New Roman"/>
        </w:rPr>
        <w:footnoteReference w:id="60"/>
      </w:r>
    </w:p>
    <w:p w:rsidRPr="009B726A" w:rsidR="00661EB7" w:rsidP="00661EB7" w:rsidRDefault="00661EB7" w14:paraId="6918ECF8" w14:textId="4206BDEB">
      <w:pPr>
        <w:rPr>
          <w:rFonts w:cs="Times New Roman"/>
          <w:szCs w:val="26"/>
        </w:rPr>
      </w:pPr>
      <w:r w:rsidRPr="00011333">
        <w:t xml:space="preserve">The Commission will consider </w:t>
      </w:r>
      <w:r w:rsidR="002B2B2F">
        <w:t>the S</w:t>
      </w:r>
      <w:r w:rsidRPr="00011333">
        <w:t xml:space="preserve">ettlement </w:t>
      </w:r>
      <w:r w:rsidR="002B2B2F">
        <w:t>A</w:t>
      </w:r>
      <w:r w:rsidRPr="00011333" w:rsidR="002B2B2F">
        <w:t xml:space="preserve">greements </w:t>
      </w:r>
      <w:r w:rsidR="002B2B2F">
        <w:t xml:space="preserve">and further mitigation measures </w:t>
      </w:r>
      <w:r w:rsidRPr="00011333">
        <w:t>below.</w:t>
      </w:r>
    </w:p>
    <w:p w:rsidR="00661EB7" w:rsidP="006751FF" w:rsidRDefault="00661EB7" w14:paraId="7C47CA58" w14:textId="11FAA17C">
      <w:pPr>
        <w:pStyle w:val="Heading1"/>
        <w:rPr>
          <w:bCs/>
        </w:rPr>
      </w:pPr>
      <w:bookmarkStart w:name="_Toc233110836" w:id="133"/>
      <w:bookmarkStart w:name="_Toc233111185" w:id="134"/>
      <w:bookmarkStart w:name="_Toc233116621" w:id="135"/>
      <w:bookmarkStart w:name="_Toc233110266" w:id="136"/>
      <w:bookmarkStart w:name="_Toc233110837" w:id="137"/>
      <w:bookmarkStart w:name="_Toc233111186" w:id="138"/>
      <w:bookmarkStart w:name="_Toc233116622" w:id="139"/>
      <w:bookmarkStart w:name="_Toc233342632" w:id="140"/>
      <w:bookmarkStart w:name="_Toc237414287" w:id="141"/>
      <w:bookmarkStart w:name="_Toc232121649" w:id="142"/>
      <w:bookmarkEnd w:id="133"/>
      <w:bookmarkEnd w:id="134"/>
      <w:bookmarkEnd w:id="135"/>
      <w:bookmarkEnd w:id="136"/>
      <w:bookmarkEnd w:id="137"/>
      <w:bookmarkEnd w:id="138"/>
      <w:bookmarkEnd w:id="139"/>
      <w:r w:rsidRPr="001144C1">
        <w:rPr>
          <w:bCs/>
        </w:rPr>
        <w:t>Section 854(c)</w:t>
      </w:r>
      <w:r w:rsidR="00BC5BDF">
        <w:rPr>
          <w:bCs/>
        </w:rPr>
        <w:t xml:space="preserve"> Requirements</w:t>
      </w:r>
      <w:bookmarkEnd w:id="140"/>
      <w:bookmarkEnd w:id="141"/>
    </w:p>
    <w:p w:rsidRPr="00EF5F49" w:rsidR="00661EB7" w:rsidP="00661EB7" w:rsidRDefault="00661EB7" w14:paraId="692A9385" w14:textId="77777777">
      <w:pPr>
        <w:pStyle w:val="Standard"/>
      </w:pPr>
      <w:r>
        <w:t xml:space="preserve">Next we consider whether the application satisfies the elements of Pub. Util. Code Section 854(c).  </w:t>
      </w:r>
    </w:p>
    <w:p w:rsidR="00661EB7" w:rsidP="00FC7782" w:rsidRDefault="00661EB7" w14:paraId="216A3168" w14:textId="474881AD">
      <w:pPr>
        <w:pStyle w:val="Heading2"/>
      </w:pPr>
      <w:bookmarkStart w:name="_Toc233110268" w:id="143"/>
      <w:bookmarkStart w:name="_Toc233110839" w:id="144"/>
      <w:bookmarkStart w:name="_Toc233111188" w:id="145"/>
      <w:bookmarkStart w:name="_Toc233116624" w:id="146"/>
      <w:bookmarkStart w:name="_Toc233110269" w:id="147"/>
      <w:bookmarkStart w:name="_Toc233110840" w:id="148"/>
      <w:bookmarkStart w:name="_Toc233111189" w:id="149"/>
      <w:bookmarkStart w:name="_Toc233116625" w:id="150"/>
      <w:bookmarkStart w:name="_Toc233110270" w:id="151"/>
      <w:bookmarkStart w:name="_Toc233110841" w:id="152"/>
      <w:bookmarkStart w:name="_Toc233111190" w:id="153"/>
      <w:bookmarkStart w:name="_Toc233116626" w:id="154"/>
      <w:bookmarkStart w:name="_Toc233110271" w:id="155"/>
      <w:bookmarkStart w:name="_Toc233110842" w:id="156"/>
      <w:bookmarkStart w:name="_Toc233111191" w:id="157"/>
      <w:bookmarkStart w:name="_Toc233116627" w:id="158"/>
      <w:bookmarkStart w:name="_Toc233110272" w:id="159"/>
      <w:bookmarkStart w:name="_Toc233110843" w:id="160"/>
      <w:bookmarkStart w:name="_Toc233111192" w:id="161"/>
      <w:bookmarkStart w:name="_Toc233116628" w:id="162"/>
      <w:bookmarkStart w:name="_Toc233110273" w:id="163"/>
      <w:bookmarkStart w:name="_Toc233110844" w:id="164"/>
      <w:bookmarkStart w:name="_Toc233111193" w:id="165"/>
      <w:bookmarkStart w:name="_Toc233116629" w:id="166"/>
      <w:bookmarkStart w:name="_Toc233110274" w:id="167"/>
      <w:bookmarkStart w:name="_Toc233110845" w:id="168"/>
      <w:bookmarkStart w:name="_Toc233111194" w:id="169"/>
      <w:bookmarkStart w:name="_Toc233116630" w:id="170"/>
      <w:bookmarkStart w:name="_Toc233110275" w:id="171"/>
      <w:bookmarkStart w:name="_Toc233110846" w:id="172"/>
      <w:bookmarkStart w:name="_Toc233111195" w:id="173"/>
      <w:bookmarkStart w:name="_Toc233116631" w:id="174"/>
      <w:bookmarkStart w:name="_Toc233110276" w:id="175"/>
      <w:bookmarkStart w:name="_Toc233110847" w:id="176"/>
      <w:bookmarkStart w:name="_Toc233111196" w:id="177"/>
      <w:bookmarkStart w:name="_Toc233116632" w:id="178"/>
      <w:bookmarkStart w:name="_Toc233110277" w:id="179"/>
      <w:bookmarkStart w:name="_Toc233110848" w:id="180"/>
      <w:bookmarkStart w:name="_Toc233111197" w:id="181"/>
      <w:bookmarkStart w:name="_Toc233116633" w:id="182"/>
      <w:bookmarkStart w:name="_Toc233110278" w:id="183"/>
      <w:bookmarkStart w:name="_Toc233110849" w:id="184"/>
      <w:bookmarkStart w:name="_Toc233111198" w:id="185"/>
      <w:bookmarkStart w:name="_Toc233116634" w:id="186"/>
      <w:bookmarkStart w:name="_Toc233342633" w:id="187"/>
      <w:bookmarkStart w:name="_Toc237414288" w:id="18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t>Joint Applicants</w:t>
      </w:r>
      <w:bookmarkEnd w:id="187"/>
      <w:bookmarkEnd w:id="188"/>
    </w:p>
    <w:p w:rsidR="00661EB7" w:rsidP="00661EB7" w:rsidRDefault="00661EB7" w14:paraId="01F61F54" w14:textId="1A531FF3">
      <w:r w:rsidRPr="007F6420">
        <w:t xml:space="preserve">Joint Applicants </w:t>
      </w:r>
      <w:r w:rsidR="009432FD">
        <w:t xml:space="preserve">argue </w:t>
      </w:r>
      <w:r w:rsidRPr="007F6420">
        <w:t>that th</w:t>
      </w:r>
      <w:r>
        <w:t xml:space="preserve">is transaction </w:t>
      </w:r>
      <w:r w:rsidR="009432FD">
        <w:t xml:space="preserve">satisfies the requirements </w:t>
      </w:r>
      <w:r w:rsidRPr="007F6420">
        <w:t xml:space="preserve">of Sections 854(c) and request approval of the </w:t>
      </w:r>
      <w:r>
        <w:t>t</w:t>
      </w:r>
      <w:r w:rsidRPr="007F6420">
        <w:t>ransfer under any Section 854</w:t>
      </w:r>
      <w:r>
        <w:t>(c)</w:t>
      </w:r>
      <w:r w:rsidRPr="007F6420">
        <w:t xml:space="preserve"> subpart</w:t>
      </w:r>
      <w:r>
        <w:t>s</w:t>
      </w:r>
      <w:r w:rsidRPr="007F6420">
        <w:t xml:space="preserve"> that the Commission applies to its review of the Joint Application.</w:t>
      </w:r>
      <w:r>
        <w:rPr>
          <w:rStyle w:val="FootnoteReference"/>
        </w:rPr>
        <w:footnoteReference w:id="61"/>
      </w:r>
    </w:p>
    <w:p w:rsidRPr="007E5984" w:rsidR="00661EB7" w:rsidP="00661EB7" w:rsidRDefault="00661EB7" w14:paraId="5A1C8400" w14:textId="01FD76C9">
      <w:r>
        <w:t>Under Section 854(c)(1), Joint Applicants claim that t</w:t>
      </w:r>
      <w:r w:rsidRPr="00E816A5">
        <w:t xml:space="preserve">he </w:t>
      </w:r>
      <w:r>
        <w:t>t</w:t>
      </w:r>
      <w:r w:rsidRPr="00E816A5">
        <w:t xml:space="preserve">ransaction will strengthen the </w:t>
      </w:r>
      <w:r>
        <w:t>post-merger</w:t>
      </w:r>
      <w:r w:rsidRPr="00E816A5">
        <w:t xml:space="preserve"> company’s position</w:t>
      </w:r>
      <w:r>
        <w:t xml:space="preserve"> </w:t>
      </w:r>
      <w:r w:rsidRPr="00E816A5">
        <w:t>as</w:t>
      </w:r>
      <w:r>
        <w:t>, “</w:t>
      </w:r>
      <w:r w:rsidRPr="00E816A5">
        <w:t>an investor and innovator in broadband, mobile, video, voice, and enterprise services, delivering</w:t>
      </w:r>
      <w:r>
        <w:t xml:space="preserve"> </w:t>
      </w:r>
      <w:r w:rsidRPr="00E816A5">
        <w:t xml:space="preserve">better options and more competitive pricing across the range of products offered to </w:t>
      </w:r>
      <w:r w:rsidRPr="007E5984">
        <w:t>California consumers and businesses.”</w:t>
      </w:r>
      <w:r w:rsidRPr="007E5984">
        <w:rPr>
          <w:rStyle w:val="FootnoteReference"/>
        </w:rPr>
        <w:footnoteReference w:id="62"/>
      </w:r>
    </w:p>
    <w:p w:rsidRPr="007E5984" w:rsidR="00661EB7" w:rsidP="00661EB7" w:rsidRDefault="00661EB7" w14:paraId="20D73A6E" w14:textId="10109D45">
      <w:r w:rsidRPr="007E5984">
        <w:lastRenderedPageBreak/>
        <w:t>Under</w:t>
      </w:r>
      <w:r w:rsidR="00BC5BDF">
        <w:t xml:space="preserve"> Section </w:t>
      </w:r>
      <w:r w:rsidRPr="007E5984">
        <w:t>8</w:t>
      </w:r>
      <w:r w:rsidR="00BC5BDF">
        <w:t>54</w:t>
      </w:r>
      <w:r w:rsidRPr="007E5984">
        <w:t>(c)(2), Joint Applicants indicate that the transaction will provide additional scale, create synergies and operating efficiencies that will lead to lower costs, greater benefits across Charter’s products and services, including voice, enterprise, broadband, mobile, and video, and increased public safety benefits and resiliency to serve the post-merger company’s’ customers.</w:t>
      </w:r>
      <w:r w:rsidRPr="007E5984">
        <w:rPr>
          <w:rStyle w:val="FootnoteReference"/>
        </w:rPr>
        <w:footnoteReference w:id="63"/>
      </w:r>
      <w:r w:rsidR="009432FD">
        <w:t xml:space="preserve"> </w:t>
      </w:r>
      <w:r>
        <w:t>The Joint Application indicates that the transaction will accelerate investment and upgrades to its network, “</w:t>
      </w:r>
      <w:r w:rsidRPr="00EE5014">
        <w:t>leverage economies of scale to make more efficient</w:t>
      </w:r>
      <w:r>
        <w:t xml:space="preserve"> </w:t>
      </w:r>
      <w:r w:rsidRPr="00EE5014">
        <w:t>network upgrade investments and overcome technical limitations and higher costs</w:t>
      </w:r>
      <w:r>
        <w:t>.”</w:t>
      </w:r>
      <w:r>
        <w:rPr>
          <w:rStyle w:val="FootnoteReference"/>
        </w:rPr>
        <w:footnoteReference w:id="64"/>
      </w:r>
    </w:p>
    <w:p w:rsidRPr="007E5984" w:rsidR="00661EB7" w:rsidP="00661EB7" w:rsidRDefault="0039435A" w14:paraId="7BE94C86" w14:textId="686E19FC">
      <w:r>
        <w:t xml:space="preserve">Under </w:t>
      </w:r>
      <w:r w:rsidRPr="007E5984" w:rsidR="00661EB7">
        <w:t xml:space="preserve">Section 854(c)(3), </w:t>
      </w:r>
      <w:r w:rsidRPr="007E5984">
        <w:t xml:space="preserve">Joint Applicants argue </w:t>
      </w:r>
      <w:r w:rsidRPr="007E5984" w:rsidR="00661EB7">
        <w:t>that the post-merger management team has decades of experience and in-depth knowledge of the intricacies of communications, broadband, multichannel video programming distribution, and enterprise businesses.</w:t>
      </w:r>
      <w:r w:rsidRPr="007E5984" w:rsidR="00661EB7">
        <w:rPr>
          <w:rStyle w:val="FootnoteReference"/>
        </w:rPr>
        <w:footnoteReference w:id="65"/>
      </w:r>
    </w:p>
    <w:p w:rsidRPr="007E5984" w:rsidR="00661EB7" w:rsidP="00661EB7" w:rsidRDefault="00661EB7" w14:paraId="4029A438" w14:textId="62E7C20B">
      <w:r w:rsidRPr="007E5984">
        <w:t xml:space="preserve">Under </w:t>
      </w:r>
      <w:r w:rsidR="00BC5BDF">
        <w:t xml:space="preserve">Section </w:t>
      </w:r>
      <w:r w:rsidRPr="007E5984">
        <w:t>854(c)(4), Joint Applicants raise their workforce investments, including training and benefits, and US-based employment commitment.</w:t>
      </w:r>
      <w:r w:rsidRPr="007E5984">
        <w:rPr>
          <w:rStyle w:val="FootnoteReference"/>
        </w:rPr>
        <w:t xml:space="preserve"> </w:t>
      </w:r>
      <w:r w:rsidRPr="007E5984">
        <w:rPr>
          <w:rStyle w:val="FootnoteReference"/>
        </w:rPr>
        <w:footnoteReference w:id="66"/>
      </w:r>
      <w:r w:rsidRPr="007E5984">
        <w:t xml:space="preserve"> </w:t>
      </w:r>
    </w:p>
    <w:p w:rsidR="00661EB7" w:rsidP="00661EB7" w:rsidRDefault="00661EB7" w14:paraId="144F208B" w14:textId="700C169B">
      <w:r w:rsidRPr="007E5984">
        <w:t xml:space="preserve">Under </w:t>
      </w:r>
      <w:r w:rsidR="00BC5BDF">
        <w:t xml:space="preserve">Section </w:t>
      </w:r>
      <w:r w:rsidRPr="007E5984">
        <w:t xml:space="preserve">854(c)(5), </w:t>
      </w:r>
      <w:r w:rsidR="00316DFA">
        <w:t xml:space="preserve">the </w:t>
      </w:r>
      <w:r>
        <w:t>Joint Applicants’ boards of directors have concluded that the transaction is in the best interest of shareholders.</w:t>
      </w:r>
      <w:r w:rsidR="002635B2">
        <w:t xml:space="preserve">  Cox California is a wholly owned subsidiary of a privately held, family-owned company.</w:t>
      </w:r>
      <w:r>
        <w:rPr>
          <w:rStyle w:val="FootnoteReference"/>
        </w:rPr>
        <w:footnoteReference w:id="67"/>
      </w:r>
      <w:r>
        <w:t xml:space="preserve"> </w:t>
      </w:r>
    </w:p>
    <w:p w:rsidR="00661EB7" w:rsidP="0039435A" w:rsidRDefault="00661EB7" w14:paraId="2C331841" w14:textId="24F78A10">
      <w:r>
        <w:lastRenderedPageBreak/>
        <w:t xml:space="preserve">Under </w:t>
      </w:r>
      <w:r w:rsidR="00BC5BDF">
        <w:t xml:space="preserve">Section </w:t>
      </w:r>
      <w:r>
        <w:t>854(c)(6), Joint Applicants share that the post-merger company will “</w:t>
      </w:r>
      <w:r w:rsidRPr="00955DF9">
        <w:t>generate substantial pro-consumer and pro-competitive</w:t>
      </w:r>
      <w:r>
        <w:t xml:space="preserve"> </w:t>
      </w:r>
      <w:r w:rsidRPr="00955DF9">
        <w:t>benefits, including accelerated deployment of advanced technology, increased pressure on markets</w:t>
      </w:r>
      <w:r>
        <w:t xml:space="preserve"> </w:t>
      </w:r>
      <w:r w:rsidRPr="00955DF9">
        <w:t>to keep prices lower, workforce development benefits and significant investments in advancement</w:t>
      </w:r>
      <w:r>
        <w:t xml:space="preserve"> </w:t>
      </w:r>
      <w:r w:rsidRPr="00955DF9">
        <w:t>for employees of the combined company, and improved service, product value and customer</w:t>
      </w:r>
      <w:r>
        <w:t xml:space="preserve"> </w:t>
      </w:r>
      <w:r w:rsidRPr="00955DF9">
        <w:t>service.</w:t>
      </w:r>
      <w:r>
        <w:t>”</w:t>
      </w:r>
      <w:r>
        <w:rPr>
          <w:rStyle w:val="FootnoteReference"/>
        </w:rPr>
        <w:footnoteReference w:id="68"/>
      </w:r>
      <w:r>
        <w:t xml:space="preserve">  Joint Applicants, through their subsidiaries, are leading cable operators across the country and in California and indicate in their Joint Application that the post-merger company will be able to offer better cable service to customers across its footprint.</w:t>
      </w:r>
      <w:r>
        <w:rPr>
          <w:rStyle w:val="FootnoteReference"/>
        </w:rPr>
        <w:footnoteReference w:id="69"/>
      </w:r>
      <w:r>
        <w:t xml:space="preserve">  </w:t>
      </w:r>
    </w:p>
    <w:p w:rsidR="00661EB7" w:rsidP="00661EB7" w:rsidRDefault="00661EB7" w14:paraId="3F3631C8" w14:textId="47785A62">
      <w:r>
        <w:t xml:space="preserve">Joint Applicants </w:t>
      </w:r>
      <w:r w:rsidR="0039435A">
        <w:t xml:space="preserve">argue </w:t>
      </w:r>
      <w:r>
        <w:t>that the transaction</w:t>
      </w:r>
      <w:r w:rsidRPr="007F6420">
        <w:t xml:space="preserve"> will “[b]e beneficial on an overall basis to state and local economies and to the communities in the area served by” the combined company, by “[m]aintain[ing] or improv[ing]” elements such as the financial condition of Cox California, the quality of service to customers, the quality of management, the treatment of employees, and the</w:t>
      </w:r>
      <w:r>
        <w:t xml:space="preserve"> </w:t>
      </w:r>
      <w:r w:rsidRPr="007F6420">
        <w:t>impact on shareholders, while preserving the Commission’s jurisdiction as required by Section 854(c).</w:t>
      </w:r>
      <w:r>
        <w:rPr>
          <w:rStyle w:val="FootnoteReference"/>
        </w:rPr>
        <w:footnoteReference w:id="70"/>
      </w:r>
    </w:p>
    <w:p w:rsidR="00661EB7" w:rsidP="00FC7782" w:rsidRDefault="00661EB7" w14:paraId="1D209A07" w14:textId="77777777">
      <w:pPr>
        <w:pStyle w:val="Heading2"/>
      </w:pPr>
      <w:bookmarkStart w:name="_Toc233239902" w:id="189"/>
      <w:bookmarkStart w:name="_Toc233240036" w:id="190"/>
      <w:bookmarkStart w:name="_Toc233273771" w:id="191"/>
      <w:bookmarkStart w:name="_Toc233342634" w:id="192"/>
      <w:bookmarkStart w:name="_Toc237414289" w:id="193"/>
      <w:bookmarkEnd w:id="189"/>
      <w:bookmarkEnd w:id="190"/>
      <w:bookmarkEnd w:id="191"/>
      <w:r>
        <w:t>Cal Advocates</w:t>
      </w:r>
      <w:bookmarkEnd w:id="192"/>
      <w:bookmarkEnd w:id="193"/>
    </w:p>
    <w:p w:rsidR="00661EB7" w:rsidP="00661EB7" w:rsidRDefault="00661EB7" w14:paraId="06C1C641" w14:textId="6F3041E2">
      <w:r>
        <w:t xml:space="preserve">Cal Advocates </w:t>
      </w:r>
      <w:r w:rsidR="0039435A">
        <w:t xml:space="preserve">asserts that by adopting </w:t>
      </w:r>
      <w:r w:rsidR="00563FB0">
        <w:t xml:space="preserve">the </w:t>
      </w:r>
      <w:r>
        <w:t>Joint Applicants</w:t>
      </w:r>
      <w:r w:rsidR="00563FB0">
        <w:t>-Cal Advocates Settlement Agreement,</w:t>
      </w:r>
      <w:r>
        <w:t xml:space="preserve"> </w:t>
      </w:r>
      <w:r w:rsidR="0039435A">
        <w:t xml:space="preserve">the Commission will </w:t>
      </w:r>
      <w:r>
        <w:t xml:space="preserve">ensure that the transaction meets the requirements </w:t>
      </w:r>
      <w:r w:rsidR="0039435A">
        <w:t>of Pub. Util. Code Section 854(c)</w:t>
      </w:r>
      <w:r>
        <w:t xml:space="preserve">.  Cal Advocates states that </w:t>
      </w:r>
      <w:r w:rsidR="008170EC">
        <w:t xml:space="preserve">through </w:t>
      </w:r>
      <w:r>
        <w:t xml:space="preserve">the implementation of the </w:t>
      </w:r>
      <w:r w:rsidR="008170EC">
        <w:t>Joint Applicants-Cal Advocates Settlement Agreement</w:t>
      </w:r>
      <w:r>
        <w:t xml:space="preserve">, the transaction will </w:t>
      </w:r>
      <w:r w:rsidRPr="000618F8">
        <w:t>satisfy</w:t>
      </w:r>
      <w:r>
        <w:t xml:space="preserve"> </w:t>
      </w:r>
      <w:r w:rsidR="004B1D67">
        <w:t xml:space="preserve">Pub. Util. Code </w:t>
      </w:r>
      <w:r w:rsidRPr="000618F8">
        <w:t>Section 854(c)(6)</w:t>
      </w:r>
      <w:r>
        <w:t>.</w:t>
      </w:r>
      <w:r>
        <w:rPr>
          <w:rStyle w:val="FootnoteReference"/>
        </w:rPr>
        <w:footnoteReference w:id="71"/>
      </w:r>
    </w:p>
    <w:p w:rsidRPr="00EF5F49" w:rsidR="00661EB7" w:rsidP="00661EB7" w:rsidRDefault="00661EB7" w14:paraId="52DF5892" w14:textId="2EF25928">
      <w:r>
        <w:lastRenderedPageBreak/>
        <w:t xml:space="preserve">The </w:t>
      </w:r>
      <w:r w:rsidR="004B1D67">
        <w:t>Joint Applicants-Cal Advocates Settlement Agreement</w:t>
      </w:r>
      <w:r w:rsidDel="004B1D67" w:rsidR="004B1D67">
        <w:t xml:space="preserve"> </w:t>
      </w:r>
      <w:r>
        <w:t xml:space="preserve">will be reviewed below. </w:t>
      </w:r>
    </w:p>
    <w:p w:rsidR="00BC5BDF" w:rsidP="00BC5BDF" w:rsidRDefault="00BC5BDF" w14:paraId="2F8C317A" w14:textId="498DBEF1">
      <w:pPr>
        <w:pStyle w:val="Heading2"/>
      </w:pPr>
      <w:bookmarkStart w:name="_Toc237414290" w:id="194"/>
      <w:bookmarkStart w:name="_Toc233342636" w:id="195"/>
      <w:r>
        <w:t>CETF</w:t>
      </w:r>
      <w:bookmarkEnd w:id="194"/>
    </w:p>
    <w:p w:rsidRPr="00955D27" w:rsidR="008657CF" w:rsidP="008657CF" w:rsidRDefault="008657CF" w14:paraId="22EFD9B6" w14:textId="295C649A">
      <w:pPr>
        <w:rPr>
          <w:vertAlign w:val="superscript"/>
        </w:rPr>
      </w:pPr>
      <w:r w:rsidRPr="00955D27">
        <w:t xml:space="preserve">CETF cautions that it has frank concerns that if other parties suggest additional requirements for consideration under Pub. </w:t>
      </w:r>
      <w:r>
        <w:rPr>
          <w:szCs w:val="26"/>
        </w:rPr>
        <w:t xml:space="preserve">Util. </w:t>
      </w:r>
      <w:r w:rsidRPr="00955D27">
        <w:t>Code Section 854(c)(8), additional conditions, “may dilute, modify delay or interfere with the many benefits achieved by CETF.”</w:t>
      </w:r>
      <w:r w:rsidRPr="00955D27">
        <w:rPr>
          <w:vertAlign w:val="superscript"/>
        </w:rPr>
        <w:footnoteReference w:id="72"/>
      </w:r>
    </w:p>
    <w:p w:rsidRPr="00955D27" w:rsidR="008657CF" w:rsidP="008657CF" w:rsidRDefault="008657CF" w14:paraId="667FD8A2" w14:textId="77777777">
      <w:r w:rsidRPr="00955D27">
        <w:t xml:space="preserve">CETF acknowledges, however, that the Commission has authority to consider additional mitigation measures, but indicates that with the </w:t>
      </w:r>
      <w:r>
        <w:t xml:space="preserve">Joint Applicant/ CETF single party </w:t>
      </w:r>
      <w:r w:rsidRPr="00955D27">
        <w:t>settlement agreement, the record supports immediate approval of the transaction.</w:t>
      </w:r>
    </w:p>
    <w:p w:rsidR="00661EB7" w:rsidP="00FC7782" w:rsidRDefault="00661EB7" w14:paraId="7DAA005E" w14:textId="2B27C3B8">
      <w:pPr>
        <w:pStyle w:val="Heading2"/>
      </w:pPr>
      <w:bookmarkStart w:name="_Toc237414291" w:id="196"/>
      <w:r>
        <w:t>TURN</w:t>
      </w:r>
      <w:bookmarkEnd w:id="195"/>
      <w:bookmarkEnd w:id="196"/>
    </w:p>
    <w:p w:rsidR="00661EB7" w:rsidP="003020E8" w:rsidRDefault="00661EB7" w14:paraId="03772B3E" w14:textId="588C3831">
      <w:r>
        <w:t xml:space="preserve">TURN argues </w:t>
      </w:r>
      <w:r w:rsidR="003020E8">
        <w:t xml:space="preserve">that the </w:t>
      </w:r>
      <w:r w:rsidR="00EB3BDF">
        <w:t xml:space="preserve">Joint Application has not shown that the proposed transaction will improve service quality, </w:t>
      </w:r>
      <w:r w:rsidR="00FB26FD">
        <w:t>will improve quality of management,</w:t>
      </w:r>
      <w:r w:rsidR="008F0591">
        <w:t xml:space="preserve"> is fair and reasonable to affected employees, </w:t>
      </w:r>
      <w:r w:rsidR="003B0581">
        <w:t xml:space="preserve">is likely to create jobs in California, provide employee benefits, </w:t>
      </w:r>
      <w:r w:rsidR="008C3684">
        <w:t xml:space="preserve">protects employee diversity, </w:t>
      </w:r>
      <w:r w:rsidR="00FB20A0">
        <w:t>will positively impact state and local economies, and protect Commission jurisdiction.</w:t>
      </w:r>
      <w:r w:rsidR="00FB26FD">
        <w:t xml:space="preserve"> </w:t>
      </w:r>
      <w:r>
        <w:rPr>
          <w:rStyle w:val="FootnoteReference"/>
        </w:rPr>
        <w:footnoteReference w:id="73"/>
      </w:r>
      <w:r>
        <w:t xml:space="preserve">  </w:t>
      </w:r>
    </w:p>
    <w:p w:rsidR="00661EB7" w:rsidP="00661EB7" w:rsidRDefault="00661EB7" w14:paraId="0DC2A7A4" w14:textId="1F5BB562">
      <w:r>
        <w:t xml:space="preserve">On balance, TURN argues that the transaction fails the test of </w:t>
      </w:r>
      <w:r w:rsidR="00BA4CBE">
        <w:t xml:space="preserve">Section </w:t>
      </w:r>
      <w:r>
        <w:t xml:space="preserve">854(c) and proposes a variety of mitigation measures for further discussion below. </w:t>
      </w:r>
    </w:p>
    <w:p w:rsidR="00661EB7" w:rsidP="00FC7782" w:rsidRDefault="00661EB7" w14:paraId="7FA6084E" w14:textId="77777777">
      <w:pPr>
        <w:pStyle w:val="Heading2"/>
      </w:pPr>
      <w:bookmarkStart w:name="_Toc233342637" w:id="197"/>
      <w:bookmarkStart w:name="_Toc237414292" w:id="198"/>
      <w:r>
        <w:t>Joint Advocates</w:t>
      </w:r>
      <w:bookmarkEnd w:id="197"/>
      <w:bookmarkEnd w:id="198"/>
    </w:p>
    <w:p w:rsidR="00661EB7" w:rsidP="00661EB7" w:rsidRDefault="00661EB7" w14:paraId="1F998E5A" w14:textId="4747A6AF">
      <w:r>
        <w:t xml:space="preserve">Joint Advocates express concern that the application does not meet the standard of </w:t>
      </w:r>
      <w:r w:rsidR="00BC5BDF">
        <w:t xml:space="preserve">Section </w:t>
      </w:r>
      <w:r>
        <w:t xml:space="preserve">854(c).  Joint Applicants make great efforts to note that should the proposed transaction be approved, the post-merger company would </w:t>
      </w:r>
      <w:r>
        <w:lastRenderedPageBreak/>
        <w:t>be incentivized to do certain things that would be in the public interest.  However, Joint Advocates assert that the incentive is not measurable.</w:t>
      </w:r>
      <w:r w:rsidRPr="00E06A1C">
        <w:rPr>
          <w:rStyle w:val="FootnoteReference"/>
        </w:rPr>
        <w:t xml:space="preserve"> </w:t>
      </w:r>
      <w:r>
        <w:rPr>
          <w:rStyle w:val="FootnoteReference"/>
        </w:rPr>
        <w:footnoteReference w:id="74"/>
      </w:r>
      <w:r>
        <w:t xml:space="preserve">  Therefore, the Joint Advocates argue that the Joint Applicants fail to commit to take the incentivized actions to benefit the public interest.</w:t>
      </w:r>
      <w:r>
        <w:rPr>
          <w:rStyle w:val="FootnoteReference"/>
        </w:rPr>
        <w:footnoteReference w:id="75"/>
      </w:r>
    </w:p>
    <w:p w:rsidR="00661EB7" w:rsidP="006751FF" w:rsidRDefault="00661EB7" w14:paraId="769BD1F6" w14:textId="77777777">
      <w:pPr>
        <w:pStyle w:val="Heading2"/>
      </w:pPr>
      <w:bookmarkStart w:name="_Toc233342638" w:id="199"/>
      <w:bookmarkStart w:name="_Toc237414293" w:id="200"/>
      <w:r w:rsidRPr="00011A34">
        <w:t>Media</w:t>
      </w:r>
      <w:r w:rsidRPr="004072F8">
        <w:t xml:space="preserve"> </w:t>
      </w:r>
      <w:r w:rsidRPr="00011A34">
        <w:t>Alliance</w:t>
      </w:r>
      <w:bookmarkEnd w:id="199"/>
      <w:bookmarkEnd w:id="200"/>
      <w:r>
        <w:t xml:space="preserve">  </w:t>
      </w:r>
    </w:p>
    <w:p w:rsidRPr="00EF5F49" w:rsidR="00661EB7" w:rsidP="00661EB7" w:rsidRDefault="00661EB7" w14:paraId="04A89301" w14:textId="22D27293">
      <w:r>
        <w:t xml:space="preserve">Media Alliance </w:t>
      </w:r>
      <w:r w:rsidR="0039435A">
        <w:t>argue</w:t>
      </w:r>
      <w:r w:rsidR="00BC5BDF">
        <w:t>s</w:t>
      </w:r>
      <w:r w:rsidR="0039435A">
        <w:t xml:space="preserve"> that</w:t>
      </w:r>
      <w:r w:rsidR="005D64A3">
        <w:t xml:space="preserve">, due to past </w:t>
      </w:r>
      <w:r w:rsidR="007B3ECB">
        <w:t>issues with the Joint Applicants trea</w:t>
      </w:r>
      <w:r w:rsidR="00E95FC9">
        <w:t xml:space="preserve">tment of </w:t>
      </w:r>
      <w:r w:rsidRPr="005767BC" w:rsidR="00967111">
        <w:t>Public</w:t>
      </w:r>
      <w:r w:rsidR="00967111">
        <w:t>, Educational, and Government-Access (PEG)</w:t>
      </w:r>
      <w:r w:rsidR="00892673">
        <w:t xml:space="preserve"> channels</w:t>
      </w:r>
      <w:r w:rsidR="00967111">
        <w:t xml:space="preserve"> </w:t>
      </w:r>
      <w:r w:rsidR="0039435A">
        <w:t xml:space="preserve"> </w:t>
      </w:r>
      <w:r w:rsidR="00754A93">
        <w:t xml:space="preserve">proposed transaction would not be beneficial on an overall basis to state and local economies and to the communities </w:t>
      </w:r>
      <w:r w:rsidR="00772D9E">
        <w:t>in the area served by the resulting public utility, as required by Pub. Util. Code Section 854(c)(6)</w:t>
      </w:r>
      <w:r>
        <w:t>.</w:t>
      </w:r>
      <w:r>
        <w:rPr>
          <w:rStyle w:val="FootnoteReference"/>
        </w:rPr>
        <w:footnoteReference w:id="76"/>
      </w:r>
      <w:r>
        <w:t xml:space="preserve">  </w:t>
      </w:r>
    </w:p>
    <w:p w:rsidRPr="000B0943" w:rsidR="00661EB7" w:rsidP="006751FF" w:rsidRDefault="00661EB7" w14:paraId="521C481B" w14:textId="77777777">
      <w:pPr>
        <w:pStyle w:val="Heading2"/>
      </w:pPr>
      <w:bookmarkStart w:name="_Toc233342639" w:id="201"/>
      <w:bookmarkStart w:name="_Toc237414294" w:id="202"/>
      <w:r w:rsidRPr="000B0943">
        <w:t>Discussion</w:t>
      </w:r>
      <w:bookmarkEnd w:id="201"/>
      <w:bookmarkEnd w:id="202"/>
    </w:p>
    <w:p w:rsidR="000A1CD9" w:rsidP="00661EB7" w:rsidRDefault="000A1CD9" w14:paraId="6ACECC90" w14:textId="53D397B3">
      <w:pPr>
        <w:pStyle w:val="Standard"/>
      </w:pPr>
      <w:r>
        <w:t>We find that the Joint Application, when paired with the Settlement Agreements and additional mitigation measures discussed below, satisfies the conditions of Pub. Util. Code Section 854(c).</w:t>
      </w:r>
      <w:r w:rsidR="0084668F">
        <w:t xml:space="preserve">  We find the Joint Applicants and Cal Advocates arguments in this regard compelling.  We are also moved </w:t>
      </w:r>
      <w:r w:rsidR="005C5642">
        <w:t xml:space="preserve">by Media Alliance’s arguments and will </w:t>
      </w:r>
      <w:r w:rsidR="001C3529">
        <w:t xml:space="preserve">discuss </w:t>
      </w:r>
      <w:r w:rsidR="005C5642">
        <w:t xml:space="preserve">mitigation measures to address its concerns </w:t>
      </w:r>
      <w:r w:rsidR="001C3529">
        <w:t>below.</w:t>
      </w:r>
    </w:p>
    <w:p w:rsidR="00661EB7" w:rsidP="00FC7782" w:rsidRDefault="00661EB7" w14:paraId="37770608" w14:textId="2AAAA138">
      <w:pPr>
        <w:pStyle w:val="Heading1"/>
      </w:pPr>
      <w:bookmarkStart w:name="_Toc233342640" w:id="203"/>
      <w:bookmarkStart w:name="_Toc237414295" w:id="204"/>
      <w:bookmarkStart w:name="_Toc232121659" w:id="205"/>
      <w:bookmarkEnd w:id="142"/>
      <w:r>
        <w:t>ESJ</w:t>
      </w:r>
      <w:r w:rsidRPr="000618F8">
        <w:t xml:space="preserve"> Action Plan</w:t>
      </w:r>
      <w:bookmarkEnd w:id="203"/>
      <w:bookmarkEnd w:id="204"/>
    </w:p>
    <w:p w:rsidR="00661EB7" w:rsidP="00661EB7" w:rsidRDefault="00661EB7" w14:paraId="6C2F1FC5" w14:textId="7E82338F">
      <w:r>
        <w:t>Here we consider whether granting the application impacts ESJ communities, including the extent to which the transfer may impact the achievement of any of the nine goals of the Commission’s ESJ Action Plan.</w:t>
      </w:r>
      <w:r>
        <w:rPr>
          <w:rStyle w:val="FootnoteReference"/>
        </w:rPr>
        <w:footnoteReference w:id="77"/>
      </w:r>
      <w:r>
        <w:t xml:space="preserve">  </w:t>
      </w:r>
      <w:r>
        <w:lastRenderedPageBreak/>
        <w:t>Specifically, we assess the application’s adherence to the following ESJ Action Plan goals:</w:t>
      </w:r>
    </w:p>
    <w:p w:rsidRPr="001A1DDB" w:rsidR="00661EB7" w:rsidP="006751FF" w:rsidRDefault="00661EB7" w14:paraId="66E2B19D" w14:textId="77777777">
      <w:pPr>
        <w:pStyle w:val="ListBullet"/>
        <w:ind w:right="1440"/>
      </w:pPr>
      <w:r w:rsidRPr="001A1DDB">
        <w:t xml:space="preserve">Goal 3: Strive to improve access to high-quality communications services for ESJ communities </w:t>
      </w:r>
    </w:p>
    <w:p w:rsidRPr="001A1DDB" w:rsidR="00661EB7" w:rsidP="006751FF" w:rsidRDefault="00661EB7" w14:paraId="21C4C75A" w14:textId="77777777">
      <w:pPr>
        <w:pStyle w:val="ListBullet"/>
        <w:ind w:right="1440"/>
      </w:pPr>
      <w:r w:rsidRPr="001A1DDB">
        <w:t xml:space="preserve">Goal 5: Enhance outreach and public participation opportunities for ESJ communities to meaningfully participate in the </w:t>
      </w:r>
      <w:r>
        <w:t>Commission</w:t>
      </w:r>
      <w:r w:rsidRPr="001A1DDB">
        <w:t xml:space="preserve">’s decision-making process and benefit from </w:t>
      </w:r>
      <w:r>
        <w:t>Commission</w:t>
      </w:r>
      <w:r w:rsidRPr="001A1DDB">
        <w:t xml:space="preserve"> programs </w:t>
      </w:r>
    </w:p>
    <w:p w:rsidRPr="00F43520" w:rsidR="00661EB7" w:rsidP="006751FF" w:rsidRDefault="00661EB7" w14:paraId="15209014" w14:textId="77777777">
      <w:pPr>
        <w:pStyle w:val="ListBullet"/>
        <w:ind w:right="1440"/>
      </w:pPr>
      <w:r w:rsidRPr="001A1DDB">
        <w:t xml:space="preserve">Goal 6: </w:t>
      </w:r>
      <w:r w:rsidRPr="00F43520">
        <w:t xml:space="preserve">Enhance enforcement to ensure safety and consumer protection for all, especially for ESJ communities </w:t>
      </w:r>
    </w:p>
    <w:p w:rsidRPr="00F43520" w:rsidR="00661EB7" w:rsidP="006751FF" w:rsidRDefault="00661EB7" w14:paraId="1D441494" w14:textId="77777777">
      <w:pPr>
        <w:pStyle w:val="ListBullet"/>
        <w:ind w:right="1440"/>
      </w:pPr>
      <w:r w:rsidRPr="00F43520">
        <w:t xml:space="preserve">Goal 7: Promote high road career paths and economic opportunities for residents of ESJ communities </w:t>
      </w:r>
    </w:p>
    <w:p w:rsidRPr="00B131BD" w:rsidR="00661EB7" w:rsidP="006751FF" w:rsidRDefault="00661EB7" w14:paraId="4D796C08" w14:textId="67D9CE6B">
      <w:pPr>
        <w:pStyle w:val="Heading2"/>
      </w:pPr>
      <w:bookmarkStart w:name="_Toc232121667" w:id="206"/>
      <w:bookmarkStart w:name="_Toc233342641" w:id="207"/>
      <w:bookmarkStart w:name="_Toc237414296" w:id="208"/>
      <w:r w:rsidRPr="00B131BD">
        <w:t>Joint Applicants</w:t>
      </w:r>
      <w:bookmarkEnd w:id="206"/>
      <w:bookmarkEnd w:id="207"/>
      <w:bookmarkEnd w:id="208"/>
    </w:p>
    <w:p w:rsidRPr="00B131BD" w:rsidR="00661EB7" w:rsidP="00661EB7" w:rsidRDefault="00661EB7" w14:paraId="46324992" w14:textId="77777777">
      <w:pPr>
        <w:rPr>
          <w:rFonts w:cs="Times New Roman"/>
          <w:szCs w:val="26"/>
        </w:rPr>
      </w:pPr>
      <w:r w:rsidRPr="00B131BD">
        <w:rPr>
          <w:rFonts w:cs="Times New Roman"/>
          <w:szCs w:val="26"/>
        </w:rPr>
        <w:t xml:space="preserve">Joint Applicants contend that the goals of ESJ Action Plan are advanced via the standard business practices of Joint Applicants and through the price benefits of the larger post-merger company. </w:t>
      </w:r>
    </w:p>
    <w:p w:rsidRPr="00B131BD" w:rsidR="00661EB7" w:rsidP="00661EB7" w:rsidRDefault="00661EB7" w14:paraId="123D37A4" w14:textId="1F13C305">
      <w:pPr>
        <w:rPr>
          <w:rFonts w:cs="Times New Roman"/>
          <w:szCs w:val="26"/>
        </w:rPr>
      </w:pPr>
      <w:r w:rsidRPr="00B131BD">
        <w:rPr>
          <w:rFonts w:cs="Times New Roman"/>
          <w:szCs w:val="26"/>
        </w:rPr>
        <w:t xml:space="preserve">To Goal 3.4, extend essential communications services to </w:t>
      </w:r>
      <w:r w:rsidR="004F7703">
        <w:rPr>
          <w:rFonts w:cs="Times New Roman"/>
          <w:szCs w:val="26"/>
        </w:rPr>
        <w:t>ESJ</w:t>
      </w:r>
      <w:r w:rsidRPr="00B131BD">
        <w:rPr>
          <w:rFonts w:cs="Times New Roman"/>
          <w:szCs w:val="26"/>
        </w:rPr>
        <w:t xml:space="preserve"> communities, ensure implementation of new investments that offer ESJ communities’ access to essential communications services at affordable rates:</w:t>
      </w:r>
    </w:p>
    <w:p w:rsidRPr="00B131BD" w:rsidR="00661EB7" w:rsidP="00661EB7" w:rsidRDefault="00661EB7" w14:paraId="518C3AA3" w14:textId="6401040F">
      <w:pPr>
        <w:rPr>
          <w:rFonts w:cs="Times New Roman"/>
          <w:szCs w:val="26"/>
        </w:rPr>
      </w:pPr>
      <w:r w:rsidRPr="6CF2480A">
        <w:rPr>
          <w:rFonts w:cs="Times New Roman"/>
        </w:rPr>
        <w:t xml:space="preserve">Joint Applicants currently offer affordable broadband (Spectrum Internet Assist (SIA)) </w:t>
      </w:r>
      <w:r w:rsidR="004F7703">
        <w:rPr>
          <w:rFonts w:cs="Times New Roman"/>
        </w:rPr>
        <w:t xml:space="preserve">to </w:t>
      </w:r>
      <w:r w:rsidRPr="6CF2480A">
        <w:rPr>
          <w:rFonts w:cs="Times New Roman"/>
        </w:rPr>
        <w:t>low-income customers across its footprint.  The post-merger company intends to enable access to SIA more broadly, “even if customers have not qualified for a low-income option before.”</w:t>
      </w:r>
      <w:r w:rsidRPr="6CF2480A">
        <w:rPr>
          <w:rStyle w:val="FootnoteReference"/>
          <w:rFonts w:cs="Times New Roman"/>
        </w:rPr>
        <w:footnoteReference w:id="78"/>
      </w:r>
      <w:r w:rsidRPr="6CF2480A">
        <w:rPr>
          <w:rFonts w:cs="Times New Roman"/>
        </w:rPr>
        <w:t xml:space="preserve">  Joint Applicants indicate that customers in ESJ communities currently benefit from the affordable prices that </w:t>
      </w:r>
      <w:r w:rsidRPr="6CF2480A">
        <w:rPr>
          <w:rFonts w:cs="Times New Roman"/>
        </w:rPr>
        <w:lastRenderedPageBreak/>
        <w:t xml:space="preserve">Charter maintains through its service areas and post-merger, their low residential rates will ensure affordable service across an even greater footprint. </w:t>
      </w:r>
    </w:p>
    <w:p w:rsidRPr="00B131BD" w:rsidR="00661EB7" w:rsidP="00661EB7" w:rsidRDefault="00661EB7" w14:paraId="0BB25191" w14:textId="1605B142">
      <w:pPr>
        <w:rPr>
          <w:rFonts w:cs="Times New Roman"/>
          <w:szCs w:val="26"/>
        </w:rPr>
      </w:pPr>
      <w:r w:rsidRPr="6CF2480A">
        <w:rPr>
          <w:rFonts w:cs="Times New Roman"/>
        </w:rPr>
        <w:t>Additionally, Joint Applicants affirm that identified ESJ communities already benefit from Joint Applicants’ philanthropic efforts which, “[P]romote career paths, digital literacy, and economic opportunity. . . including the Loan Fund, Spectrum Community Center Assist, and the Broadband Field Technician Apprenticeship Program.”</w:t>
      </w:r>
      <w:r w:rsidRPr="6CF2480A">
        <w:rPr>
          <w:rStyle w:val="FootnoteReference"/>
          <w:rFonts w:cs="Times New Roman"/>
        </w:rPr>
        <w:footnoteReference w:id="79"/>
      </w:r>
      <w:r w:rsidRPr="6CF2480A">
        <w:rPr>
          <w:rFonts w:cs="Times New Roman"/>
        </w:rPr>
        <w:t xml:space="preserve">  The post-merger company would have the capacity to expand access to programs that bolster digital literacy and economic opportunity to communications services for those who would not have previously had it, including ESJ communities. </w:t>
      </w:r>
    </w:p>
    <w:p w:rsidRPr="00B131BD" w:rsidR="00661EB7" w:rsidP="00661EB7" w:rsidRDefault="00661EB7" w14:paraId="548C71CC" w14:textId="31064341">
      <w:pPr>
        <w:rPr>
          <w:rFonts w:cs="Times New Roman"/>
          <w:szCs w:val="26"/>
        </w:rPr>
      </w:pPr>
      <w:r w:rsidRPr="00B131BD">
        <w:rPr>
          <w:rFonts w:cs="Times New Roman"/>
          <w:szCs w:val="26"/>
        </w:rPr>
        <w:t xml:space="preserve">The Joint Applicants do not directly address low-income or </w:t>
      </w:r>
      <w:r w:rsidR="00BA4CBE">
        <w:rPr>
          <w:rFonts w:cs="Times New Roman"/>
          <w:szCs w:val="26"/>
        </w:rPr>
        <w:t>T</w:t>
      </w:r>
      <w:r w:rsidRPr="00B131BD">
        <w:rPr>
          <w:rFonts w:cs="Times New Roman"/>
          <w:szCs w:val="26"/>
        </w:rPr>
        <w:t xml:space="preserve">ribal engagement in their initial application, but consistently reaffirm, through their other documents, a commitment to maintaining philanthropic programs and low-income offerings to benefit ESJ communities broadly. </w:t>
      </w:r>
    </w:p>
    <w:p w:rsidRPr="00B131BD" w:rsidR="00661EB7" w:rsidP="006751FF" w:rsidRDefault="00661EB7" w14:paraId="50AF843A" w14:textId="77777777">
      <w:pPr>
        <w:pStyle w:val="Heading2"/>
      </w:pPr>
      <w:bookmarkStart w:name="_Toc233239911" w:id="209"/>
      <w:bookmarkStart w:name="_Toc233240045" w:id="210"/>
      <w:bookmarkStart w:name="_Toc233273780" w:id="211"/>
      <w:bookmarkStart w:name="_Toc232121669" w:id="212"/>
      <w:bookmarkStart w:name="_Toc233342642" w:id="213"/>
      <w:bookmarkStart w:name="_Toc237414297" w:id="214"/>
      <w:bookmarkEnd w:id="209"/>
      <w:bookmarkEnd w:id="210"/>
      <w:bookmarkEnd w:id="211"/>
      <w:r w:rsidRPr="00B131BD">
        <w:t>Cal Advocates</w:t>
      </w:r>
      <w:bookmarkEnd w:id="212"/>
      <w:bookmarkEnd w:id="213"/>
      <w:bookmarkEnd w:id="214"/>
    </w:p>
    <w:p w:rsidRPr="00F43520" w:rsidR="00661EB7" w:rsidP="00661EB7" w:rsidRDefault="000C40AD" w14:paraId="4BED4152" w14:textId="736DE37A">
      <w:pPr>
        <w:rPr>
          <w:szCs w:val="26"/>
        </w:rPr>
      </w:pPr>
      <w:r>
        <w:t>Cal Advocates argue</w:t>
      </w:r>
      <w:r w:rsidR="008657CF">
        <w:t>s</w:t>
      </w:r>
      <w:r>
        <w:t xml:space="preserve"> that t</w:t>
      </w:r>
      <w:r w:rsidRPr="6CF2480A" w:rsidR="00661EB7">
        <w:t>he terms of the Joint Applicant</w:t>
      </w:r>
      <w:r>
        <w:t>-</w:t>
      </w:r>
      <w:r w:rsidRPr="6CF2480A" w:rsidR="00661EB7">
        <w:t>Cal Advocates</w:t>
      </w:r>
      <w:r w:rsidRPr="00F43520" w:rsidR="00661EB7">
        <w:rPr>
          <w:szCs w:val="26"/>
        </w:rPr>
        <w:t xml:space="preserve"> </w:t>
      </w:r>
      <w:r>
        <w:t>S</w:t>
      </w:r>
      <w:r w:rsidRPr="6CF2480A">
        <w:t xml:space="preserve">ettlement </w:t>
      </w:r>
      <w:r>
        <w:t>A</w:t>
      </w:r>
      <w:r w:rsidRPr="6CF2480A">
        <w:t>greement</w:t>
      </w:r>
      <w:r w:rsidRPr="6CF2480A" w:rsidR="00661EB7">
        <w:t xml:space="preserve"> meet the goals of the ESJ Action Plan.</w:t>
      </w:r>
      <w:r w:rsidRPr="6CF2480A" w:rsidR="00661EB7">
        <w:rPr>
          <w:rStyle w:val="FootnoteReference"/>
        </w:rPr>
        <w:footnoteReference w:id="80"/>
      </w:r>
      <w:r w:rsidRPr="00F43520" w:rsidR="00661EB7">
        <w:rPr>
          <w:szCs w:val="26"/>
        </w:rPr>
        <w:t xml:space="preserve"> </w:t>
      </w:r>
    </w:p>
    <w:p w:rsidRPr="00F43520" w:rsidR="00661EB7" w:rsidP="00661EB7" w:rsidRDefault="00661EB7" w14:paraId="67EFB251" w14:textId="798F4289">
      <w:pPr>
        <w:rPr>
          <w:szCs w:val="26"/>
        </w:rPr>
      </w:pPr>
      <w:r w:rsidRPr="00F43520">
        <w:rPr>
          <w:szCs w:val="26"/>
        </w:rPr>
        <w:t xml:space="preserve">The </w:t>
      </w:r>
      <w:r w:rsidRPr="6CF2480A" w:rsidR="000C40AD">
        <w:t>Joint Applicant</w:t>
      </w:r>
      <w:r w:rsidR="000C40AD">
        <w:t>-</w:t>
      </w:r>
      <w:r w:rsidRPr="6CF2480A" w:rsidR="000C40AD">
        <w:t>Cal Advocates</w:t>
      </w:r>
      <w:r w:rsidRPr="00F43520" w:rsidR="000C40AD">
        <w:rPr>
          <w:szCs w:val="26"/>
        </w:rPr>
        <w:t xml:space="preserve"> </w:t>
      </w:r>
      <w:r w:rsidR="000C40AD">
        <w:t>S</w:t>
      </w:r>
      <w:r w:rsidRPr="6CF2480A" w:rsidR="000C40AD">
        <w:t xml:space="preserve">ettlement </w:t>
      </w:r>
      <w:r w:rsidR="000C40AD">
        <w:t>A</w:t>
      </w:r>
      <w:r w:rsidRPr="6CF2480A" w:rsidR="000C40AD">
        <w:t>greement</w:t>
      </w:r>
      <w:r w:rsidRPr="00F43520" w:rsidDel="000C40AD" w:rsidR="000C40AD">
        <w:rPr>
          <w:szCs w:val="26"/>
        </w:rPr>
        <w:t xml:space="preserve"> </w:t>
      </w:r>
      <w:r w:rsidRPr="00F43520">
        <w:rPr>
          <w:szCs w:val="26"/>
        </w:rPr>
        <w:t xml:space="preserve">will be considered below. </w:t>
      </w:r>
    </w:p>
    <w:p w:rsidRPr="00DD4F28" w:rsidR="00661EB7" w:rsidP="006751FF" w:rsidRDefault="00661EB7" w14:paraId="7198AADC" w14:textId="77777777">
      <w:pPr>
        <w:pStyle w:val="Heading2"/>
      </w:pPr>
      <w:bookmarkStart w:name="_Toc233342643" w:id="215"/>
      <w:bookmarkStart w:name="_Toc237414298" w:id="216"/>
      <w:r w:rsidRPr="00DD4F28">
        <w:t>CETF</w:t>
      </w:r>
      <w:bookmarkEnd w:id="215"/>
      <w:bookmarkEnd w:id="216"/>
    </w:p>
    <w:p w:rsidR="00B11704" w:rsidP="00661EB7" w:rsidRDefault="00661EB7" w14:paraId="1FC42121" w14:textId="59BCA97E">
      <w:r>
        <w:t xml:space="preserve">CETF </w:t>
      </w:r>
      <w:r w:rsidR="007D3920">
        <w:t>argues that t</w:t>
      </w:r>
      <w:r w:rsidRPr="6CF2480A" w:rsidR="007D3920">
        <w:t>he terms of the Joint Applicant</w:t>
      </w:r>
      <w:r w:rsidR="007D3920">
        <w:t>-CETF S</w:t>
      </w:r>
      <w:r w:rsidRPr="6CF2480A" w:rsidR="007D3920">
        <w:t xml:space="preserve">ettlement </w:t>
      </w:r>
      <w:r w:rsidR="007D3920">
        <w:t>A</w:t>
      </w:r>
      <w:r w:rsidRPr="6CF2480A" w:rsidR="007D3920">
        <w:t>greement</w:t>
      </w:r>
      <w:r>
        <w:t xml:space="preserve"> meets the goals of the ESJ Action Plan.</w:t>
      </w:r>
      <w:r>
        <w:rPr>
          <w:rStyle w:val="FootnoteReference"/>
        </w:rPr>
        <w:footnoteReference w:id="81"/>
      </w:r>
      <w:r>
        <w:t xml:space="preserve"> </w:t>
      </w:r>
    </w:p>
    <w:p w:rsidRPr="00EF5F49" w:rsidR="00661EB7" w:rsidP="00661EB7" w:rsidRDefault="00661EB7" w14:paraId="08DFA72C" w14:textId="78FDAB03">
      <w:r>
        <w:t xml:space="preserve">The </w:t>
      </w:r>
      <w:r w:rsidRPr="6CF2480A" w:rsidR="00D92363">
        <w:t>Joint Applicant</w:t>
      </w:r>
      <w:r w:rsidR="00D92363">
        <w:t>-CETF S</w:t>
      </w:r>
      <w:r w:rsidRPr="6CF2480A" w:rsidR="00D92363">
        <w:t xml:space="preserve">ettlement </w:t>
      </w:r>
      <w:r w:rsidR="00D92363">
        <w:t>A</w:t>
      </w:r>
      <w:r w:rsidRPr="6CF2480A" w:rsidR="00D92363">
        <w:t>greement</w:t>
      </w:r>
      <w:r w:rsidR="008657CF">
        <w:t xml:space="preserve"> </w:t>
      </w:r>
      <w:r>
        <w:t xml:space="preserve">will be considered below. </w:t>
      </w:r>
    </w:p>
    <w:p w:rsidR="00661EB7" w:rsidP="006751FF" w:rsidRDefault="00661EB7" w14:paraId="3081EAF3" w14:textId="77777777">
      <w:pPr>
        <w:pStyle w:val="Heading2"/>
      </w:pPr>
      <w:bookmarkStart w:name="_Toc233342644" w:id="217"/>
      <w:bookmarkStart w:name="_Toc237414299" w:id="218"/>
      <w:r>
        <w:lastRenderedPageBreak/>
        <w:t>TURN</w:t>
      </w:r>
      <w:bookmarkEnd w:id="217"/>
      <w:bookmarkEnd w:id="218"/>
    </w:p>
    <w:p w:rsidR="00661EB7" w:rsidP="000143DE" w:rsidRDefault="00661EB7" w14:paraId="5F173DFF" w14:textId="35BF2F73">
      <w:pPr>
        <w:pStyle w:val="Standard"/>
        <w:rPr>
          <w:rStyle w:val="FootnoteReference"/>
        </w:rPr>
      </w:pPr>
      <w:r>
        <w:t xml:space="preserve">TURN argues that the Joint Applicants provided </w:t>
      </w:r>
      <w:r w:rsidRPr="00F74CE5">
        <w:t xml:space="preserve">general information </w:t>
      </w:r>
      <w:r w:rsidR="005E63EE">
        <w:t xml:space="preserve">on Commission programs and relied on </w:t>
      </w:r>
      <w:r>
        <w:t>past philanthropic activities</w:t>
      </w:r>
      <w:r w:rsidR="00C5713B">
        <w:t xml:space="preserve">, </w:t>
      </w:r>
      <w:r w:rsidR="0031195E">
        <w:t xml:space="preserve">while failing to </w:t>
      </w:r>
      <w:r>
        <w:t>include measurable Diversity Equity an</w:t>
      </w:r>
      <w:r w:rsidR="008657CF">
        <w:t>d</w:t>
      </w:r>
      <w:r>
        <w:t xml:space="preserve"> Inclusion (DEI) commitments.</w:t>
      </w:r>
      <w:r w:rsidRPr="00F74CE5">
        <w:rPr>
          <w:rStyle w:val="FootnoteReference"/>
        </w:rPr>
        <w:t xml:space="preserve"> </w:t>
      </w:r>
      <w:r>
        <w:rPr>
          <w:rStyle w:val="FootnoteReference"/>
        </w:rPr>
        <w:footnoteReference w:id="82"/>
      </w:r>
      <w:r>
        <w:t xml:space="preserve">  </w:t>
      </w:r>
    </w:p>
    <w:p w:rsidR="00661EB7" w:rsidP="00661EB7" w:rsidRDefault="00661EB7" w14:paraId="19B23D01" w14:textId="028C1F1B">
      <w:pPr>
        <w:pStyle w:val="Standard"/>
      </w:pPr>
      <w:r>
        <w:t>TURN argues that Joint Applicants’ consideration of the post-merger company’s impact on Tribes lacks the robust engagement expected of a transaction considering the goals of the Commission’s ESJ Action Plan</w:t>
      </w:r>
      <w:r w:rsidRPr="008B2031">
        <w:t>.</w:t>
      </w:r>
      <w:r w:rsidRPr="008B2031">
        <w:rPr>
          <w:rStyle w:val="FootnoteReference"/>
        </w:rPr>
        <w:t xml:space="preserve"> </w:t>
      </w:r>
      <w:r>
        <w:rPr>
          <w:rStyle w:val="FootnoteReference"/>
        </w:rPr>
        <w:footnoteReference w:id="83"/>
      </w:r>
    </w:p>
    <w:p w:rsidRPr="00791477" w:rsidR="00661EB7" w:rsidP="006751FF" w:rsidRDefault="00661EB7" w14:paraId="1D98A8D3" w14:textId="77777777">
      <w:pPr>
        <w:pStyle w:val="Heading2"/>
      </w:pPr>
      <w:bookmarkStart w:name="_Toc237414300" w:id="219"/>
      <w:bookmarkStart w:name="_Toc233342645" w:id="220"/>
      <w:r w:rsidRPr="00791477">
        <w:t>Media Alliance</w:t>
      </w:r>
      <w:bookmarkEnd w:id="219"/>
      <w:r w:rsidRPr="00791477">
        <w:t xml:space="preserve">  </w:t>
      </w:r>
      <w:bookmarkEnd w:id="220"/>
    </w:p>
    <w:p w:rsidR="00661EB7" w:rsidP="00E90FB9" w:rsidRDefault="00661EB7" w14:paraId="584109E4" w14:textId="2203C3F1">
      <w:r>
        <w:t>According to Media Alliance, there is a significant overlap between low-income Californians, ESJ communities, and those who lack of access to highspeed broadband, devices, and necessary additional resources, and legacy cable customers.</w:t>
      </w:r>
      <w:r>
        <w:rPr>
          <w:rStyle w:val="FootnoteReference"/>
        </w:rPr>
        <w:footnoteReference w:id="84"/>
      </w:r>
      <w:r>
        <w:t xml:space="preserve"> </w:t>
      </w:r>
      <w:r w:rsidR="00BA4CBE">
        <w:t xml:space="preserve"> </w:t>
      </w:r>
      <w:r>
        <w:t>Media Alliance explains that p</w:t>
      </w:r>
      <w:r w:rsidRPr="0004168A">
        <w:t xml:space="preserve">ublic benefit channels </w:t>
      </w:r>
      <w:r>
        <w:t>provide local news, training and equipment, and civic information, as a trusted and known messenger in local communities.</w:t>
      </w:r>
      <w:r>
        <w:rPr>
          <w:rStyle w:val="FootnoteReference"/>
        </w:rPr>
        <w:footnoteReference w:id="85"/>
      </w:r>
      <w:r>
        <w:t xml:space="preserve"> </w:t>
      </w:r>
      <w:r w:rsidR="00BA4CBE">
        <w:t xml:space="preserve"> </w:t>
      </w:r>
      <w:r>
        <w:t xml:space="preserve">Media Alliance reminds the Commission that in order to take advantage of streaming services, a customer needs a high-speed broadband connection, a device, and an amount of tech-savvy (some English fluency is </w:t>
      </w:r>
      <w:r w:rsidRPr="00791477">
        <w:t>also helpful).</w:t>
      </w:r>
      <w:r w:rsidRPr="00791477">
        <w:rPr>
          <w:vertAlign w:val="superscript"/>
        </w:rPr>
        <w:footnoteReference w:id="86"/>
      </w:r>
      <w:r w:rsidRPr="00912B44">
        <w:rPr>
          <w:vertAlign w:val="superscript"/>
        </w:rPr>
        <w:t xml:space="preserve"> </w:t>
      </w:r>
    </w:p>
    <w:p w:rsidR="00661EB7" w:rsidP="00661EB7" w:rsidRDefault="00661EB7" w14:paraId="522551D5" w14:textId="0580AA21">
      <w:r>
        <w:t xml:space="preserve">Media </w:t>
      </w:r>
      <w:r w:rsidR="00302E1A">
        <w:t>Alliance</w:t>
      </w:r>
      <w:r>
        <w:t xml:space="preserve"> reminds the Commission that the Joint Applicants are among the largest providers of cable service in California and indicate that Joint Applicants advocate that the post-merger company will enable the provision of better cable and video services. </w:t>
      </w:r>
      <w:r w:rsidR="00BA4CBE">
        <w:t xml:space="preserve"> </w:t>
      </w:r>
      <w:r>
        <w:t>To ensure that the transaction achieve</w:t>
      </w:r>
      <w:r w:rsidR="00BA4CBE">
        <w:t>s</w:t>
      </w:r>
      <w:r>
        <w:t xml:space="preserve"> requisite </w:t>
      </w:r>
      <w:r>
        <w:lastRenderedPageBreak/>
        <w:t>public benefit on balance, mitigation measures should be added so PEG channels continue to receive the benefits of the law and that local ESJ communities are not left behind.</w:t>
      </w:r>
      <w:r>
        <w:rPr>
          <w:rStyle w:val="FootnoteReference"/>
        </w:rPr>
        <w:footnoteReference w:id="87"/>
      </w:r>
    </w:p>
    <w:p w:rsidRPr="00EF5F49" w:rsidR="00661EB7" w:rsidP="00661EB7" w:rsidRDefault="00661EB7" w14:paraId="7CC148B1" w14:textId="49866311">
      <w:r>
        <w:t>Mitigation measures will be considered under Section 854(c)(8)</w:t>
      </w:r>
      <w:r w:rsidR="008657CF">
        <w:t xml:space="preserve"> below</w:t>
      </w:r>
      <w:r>
        <w:t>.</w:t>
      </w:r>
    </w:p>
    <w:p w:rsidR="00661EB7" w:rsidP="006751FF" w:rsidRDefault="00661EB7" w14:paraId="1E0EB938" w14:textId="77777777">
      <w:pPr>
        <w:pStyle w:val="Heading2"/>
      </w:pPr>
      <w:bookmarkStart w:name="_Toc233342646" w:id="221"/>
      <w:bookmarkStart w:name="_Toc237414301" w:id="222"/>
      <w:r>
        <w:t>Joint Advocates</w:t>
      </w:r>
      <w:bookmarkEnd w:id="221"/>
      <w:bookmarkEnd w:id="222"/>
    </w:p>
    <w:p w:rsidR="00661EB7" w:rsidP="002E3902" w:rsidRDefault="00295C18" w14:paraId="35E46A31" w14:textId="340B6298">
      <w:pPr>
        <w:pStyle w:val="Standard"/>
      </w:pPr>
      <w:r>
        <w:t xml:space="preserve">The Joint Advocates, such as </w:t>
      </w:r>
      <w:r w:rsidRPr="00955D27">
        <w:t>CforAT, Media Alliance, CADE, FCDI, DELA, and EBBC</w:t>
      </w:r>
      <w:r>
        <w:t>,</w:t>
      </w:r>
      <w:r w:rsidRPr="00955D27">
        <w:t xml:space="preserve"> discuss shortcomings </w:t>
      </w:r>
      <w:r>
        <w:t xml:space="preserve">of the application </w:t>
      </w:r>
      <w:r w:rsidRPr="00955D27">
        <w:t xml:space="preserve">related to ESJ communities. </w:t>
      </w:r>
      <w:r>
        <w:t xml:space="preserve"> </w:t>
      </w:r>
      <w:r w:rsidRPr="00955D27">
        <w:t>Specifically, the Joint Advocates echo TURN’s frustration with the Joint Applicant</w:t>
      </w:r>
      <w:r>
        <w:t>s</w:t>
      </w:r>
      <w:r w:rsidRPr="00955D27">
        <w:t>’ witness and their lack of fluency with the ESJ Action Plan.</w:t>
      </w:r>
      <w:r w:rsidRPr="58BB0CDB" w:rsidR="00661EB7">
        <w:rPr>
          <w:rStyle w:val="FootnoteReference"/>
        </w:rPr>
        <w:footnoteReference w:id="88"/>
      </w:r>
      <w:r w:rsidR="00661EB7">
        <w:t xml:space="preserve"> </w:t>
      </w:r>
    </w:p>
    <w:p w:rsidRPr="00791477" w:rsidR="00661EB7" w:rsidP="006751FF" w:rsidRDefault="00661EB7" w14:paraId="794C0CE5" w14:textId="77777777">
      <w:pPr>
        <w:pStyle w:val="Heading2"/>
      </w:pPr>
      <w:bookmarkStart w:name="_Toc233342647" w:id="223"/>
      <w:bookmarkStart w:name="_Toc237414302" w:id="224"/>
      <w:r w:rsidRPr="00791477">
        <w:t>Discussion</w:t>
      </w:r>
      <w:bookmarkEnd w:id="223"/>
      <w:bookmarkEnd w:id="224"/>
    </w:p>
    <w:p w:rsidR="00661EB7" w:rsidP="00661EB7" w:rsidRDefault="00661EB7" w14:paraId="75979B2F" w14:textId="53AEE722">
      <w:pPr>
        <w:rPr>
          <w:rFonts w:eastAsia="Book Antiqua" w:cs="Book Antiqua"/>
        </w:rPr>
      </w:pPr>
      <w:r w:rsidRPr="0A7A686C">
        <w:rPr>
          <w:rFonts w:eastAsia="Book Antiqua" w:cs="Book Antiqua"/>
        </w:rPr>
        <w:t>The Joint Application benefit</w:t>
      </w:r>
      <w:r w:rsidR="00BA4CBE">
        <w:rPr>
          <w:rFonts w:eastAsia="Book Antiqua" w:cs="Book Antiqua"/>
        </w:rPr>
        <w:t>s</w:t>
      </w:r>
      <w:r w:rsidRPr="0A7A686C">
        <w:rPr>
          <w:rFonts w:eastAsia="Book Antiqua" w:cs="Book Antiqua"/>
        </w:rPr>
        <w:t xml:space="preserve"> ESJ communities with the programs offered</w:t>
      </w:r>
      <w:r w:rsidR="006D058D">
        <w:rPr>
          <w:rFonts w:eastAsia="Book Antiqua" w:cs="Book Antiqua"/>
        </w:rPr>
        <w:t xml:space="preserve"> when combined with the Settlement Agreements and the additional mitigation measures discussed below</w:t>
      </w:r>
      <w:r w:rsidRPr="0A7A686C">
        <w:rPr>
          <w:rFonts w:eastAsia="Book Antiqua" w:cs="Book Antiqua"/>
        </w:rPr>
        <w:t xml:space="preserve">. </w:t>
      </w:r>
    </w:p>
    <w:p w:rsidRPr="00E22179" w:rsidR="00661EB7" w:rsidP="00661EB7" w:rsidRDefault="00661EB7" w14:paraId="54294CCA" w14:textId="33D23A4F">
      <w:r w:rsidRPr="00E22179">
        <w:t xml:space="preserve">Joint Applicants </w:t>
      </w:r>
      <w:r w:rsidR="002B0BC5">
        <w:t xml:space="preserve">state that </w:t>
      </w:r>
      <w:r w:rsidRPr="00E22179">
        <w:t xml:space="preserve">all customers across the post-merger company footprint will become eligible for the </w:t>
      </w:r>
      <w:r w:rsidRPr="00E22179" w:rsidR="00B11704">
        <w:t>low-income</w:t>
      </w:r>
      <w:r w:rsidRPr="00E22179">
        <w:t xml:space="preserve"> program currently offered.  The post-merger company will have approximately 397,000 households in Charter’s service area and 32,000 households in Cox’s service area with low-income eligible customers.</w:t>
      </w:r>
      <w:r w:rsidRPr="00E22179">
        <w:rPr>
          <w:rStyle w:val="FootnoteReference"/>
        </w:rPr>
        <w:footnoteReference w:id="89"/>
      </w:r>
      <w:r w:rsidRPr="00E22179">
        <w:t xml:space="preserve"> </w:t>
      </w:r>
    </w:p>
    <w:p w:rsidRPr="00E22179" w:rsidR="00661EB7" w:rsidP="00661EB7" w:rsidRDefault="00661EB7" w14:paraId="4F73BED1" w14:textId="77777777">
      <w:r w:rsidRPr="00E22179">
        <w:t xml:space="preserve">Customers across the post-merger company footprint generally will reap the benefits of low-income service offerings, not just the Cox California customers, the utility subject to this indirect transfer. </w:t>
      </w:r>
    </w:p>
    <w:p w:rsidRPr="002B0BC5" w:rsidR="00661EB7" w:rsidP="00661EB7" w:rsidRDefault="00661EB7" w14:paraId="266C452C" w14:textId="2E445B26">
      <w:pPr>
        <w:rPr>
          <w:rFonts w:cs="Times New Roman"/>
        </w:rPr>
      </w:pPr>
      <w:r w:rsidRPr="002B0BC5">
        <w:rPr>
          <w:rFonts w:cs="Times New Roman"/>
        </w:rPr>
        <w:lastRenderedPageBreak/>
        <w:t xml:space="preserve">Philanthropic benefits include promotion of digital literacy, access to the Loan Fund, and workforce benefits to promote career paths including the Broadband Field Technician Apprenticeship program. </w:t>
      </w:r>
    </w:p>
    <w:p w:rsidR="004F7703" w:rsidP="006751FF" w:rsidRDefault="004F7703" w14:paraId="0053E444" w14:textId="6A7741F2">
      <w:pPr>
        <w:pStyle w:val="Heading1"/>
      </w:pPr>
      <w:bookmarkStart w:name="_Toc237414303" w:id="225"/>
      <w:r>
        <w:t>Public Safety</w:t>
      </w:r>
      <w:bookmarkEnd w:id="225"/>
    </w:p>
    <w:p w:rsidRPr="00F43520" w:rsidR="004F7703" w:rsidP="004F7703" w:rsidRDefault="004F7703" w14:paraId="058FB547" w14:textId="17FE20B9">
      <w:pPr>
        <w:rPr>
          <w:b/>
          <w:bCs/>
          <w:szCs w:val="26"/>
        </w:rPr>
      </w:pPr>
      <w:r w:rsidRPr="00F43520">
        <w:rPr>
          <w:szCs w:val="26"/>
        </w:rPr>
        <w:t xml:space="preserve">We </w:t>
      </w:r>
      <w:r w:rsidR="002B0BC5">
        <w:rPr>
          <w:szCs w:val="26"/>
        </w:rPr>
        <w:t xml:space="preserve">must </w:t>
      </w:r>
      <w:r w:rsidRPr="00F43520">
        <w:rPr>
          <w:szCs w:val="26"/>
        </w:rPr>
        <w:t>also consider whether granting the application impacts public safety</w:t>
      </w:r>
      <w:r w:rsidR="002B0BC5">
        <w:rPr>
          <w:szCs w:val="26"/>
        </w:rPr>
        <w:t>, either positively or negatively</w:t>
      </w:r>
      <w:r w:rsidRPr="00F43520">
        <w:rPr>
          <w:szCs w:val="26"/>
        </w:rPr>
        <w:t xml:space="preserve">. </w:t>
      </w:r>
    </w:p>
    <w:p w:rsidRPr="00B131BD" w:rsidR="004F7703" w:rsidP="006751FF" w:rsidRDefault="004F7703" w14:paraId="752A083B" w14:textId="36DBC29F">
      <w:pPr>
        <w:pStyle w:val="Heading2"/>
      </w:pPr>
      <w:bookmarkStart w:name="_Toc237414304" w:id="226"/>
      <w:r w:rsidRPr="00B131BD">
        <w:t>Joint Applicants</w:t>
      </w:r>
      <w:bookmarkEnd w:id="226"/>
    </w:p>
    <w:p w:rsidRPr="00F43520" w:rsidR="004F7703" w:rsidP="004F7703" w:rsidRDefault="004F7703" w14:paraId="528D5269" w14:textId="2313C16B">
      <w:pPr>
        <w:rPr>
          <w:szCs w:val="26"/>
        </w:rPr>
      </w:pPr>
      <w:r w:rsidRPr="6CF2480A">
        <w:t>Joint Applicants share that the post-merger company will improve public safety and communications resiliency during natural disasters and emergencies by having access to a larger pool of personnel and critical equipment distributed across the larger post-merger company footprint, redundant network routes to increase resilience and minimize service disruptions, and provide enterprise-grade cloud backup and disaster recovery service solutions to critical institutions and businesses throughout post-merger company footprint.  A post-merger company’s increase in size and geographic footprint will provide continuity and security of essential operations during and after emergencies.</w:t>
      </w:r>
      <w:r w:rsidRPr="6CF2480A">
        <w:rPr>
          <w:rStyle w:val="FootnoteReference"/>
        </w:rPr>
        <w:footnoteReference w:id="90"/>
      </w:r>
    </w:p>
    <w:p w:rsidRPr="00B131BD" w:rsidR="004F7703" w:rsidP="006751FF" w:rsidRDefault="004F7703" w14:paraId="129F774A" w14:textId="77777777">
      <w:pPr>
        <w:pStyle w:val="Heading2"/>
      </w:pPr>
      <w:bookmarkStart w:name="_Toc237414305" w:id="227"/>
      <w:r w:rsidRPr="00B131BD">
        <w:t>Cal Advocates</w:t>
      </w:r>
      <w:bookmarkEnd w:id="227"/>
    </w:p>
    <w:p w:rsidRPr="00F43520" w:rsidR="004F7703" w:rsidP="004F7703" w:rsidRDefault="00DB214B" w14:paraId="24B06A96" w14:textId="47EFDBBF">
      <w:pPr>
        <w:rPr>
          <w:szCs w:val="26"/>
        </w:rPr>
      </w:pPr>
      <w:r>
        <w:t xml:space="preserve">Cal Advocates defers the question of public safety to other </w:t>
      </w:r>
      <w:r w:rsidR="0044226F">
        <w:t xml:space="preserve">Commission </w:t>
      </w:r>
      <w:r w:rsidR="008657CF">
        <w:t>p</w:t>
      </w:r>
      <w:r w:rsidR="0044226F">
        <w:t>roceedings</w:t>
      </w:r>
      <w:r w:rsidRPr="6CF2480A" w:rsidR="004F7703">
        <w:t>.</w:t>
      </w:r>
      <w:r w:rsidRPr="6CF2480A" w:rsidR="004F7703">
        <w:rPr>
          <w:rStyle w:val="FootnoteReference"/>
        </w:rPr>
        <w:footnoteReference w:id="91"/>
      </w:r>
      <w:r w:rsidRPr="00F43520" w:rsidR="004F7703">
        <w:rPr>
          <w:szCs w:val="26"/>
        </w:rPr>
        <w:t xml:space="preserve"> </w:t>
      </w:r>
    </w:p>
    <w:p w:rsidRPr="00DD4F28" w:rsidR="004F7703" w:rsidP="00787AFF" w:rsidRDefault="004F7703" w14:paraId="52E82934" w14:textId="77777777">
      <w:pPr>
        <w:pStyle w:val="Heading2"/>
      </w:pPr>
      <w:bookmarkStart w:name="_Toc237414306" w:id="228"/>
      <w:r w:rsidRPr="00DD4F28">
        <w:t>CETF</w:t>
      </w:r>
      <w:bookmarkEnd w:id="228"/>
    </w:p>
    <w:p w:rsidR="004F7703" w:rsidP="004F7703" w:rsidRDefault="004F7703" w14:paraId="18B9ED09" w14:textId="57CDF8DD">
      <w:r>
        <w:t xml:space="preserve">CETF </w:t>
      </w:r>
      <w:r w:rsidR="00B4754E">
        <w:t xml:space="preserve">cites the commitments to deploy reliable broadband infrastructure in the Joint Applicants-CETF Settlement Agreement </w:t>
      </w:r>
      <w:r w:rsidR="00CC1661">
        <w:t xml:space="preserve">as a demonstrated improvement to </w:t>
      </w:r>
      <w:r w:rsidR="003513E0">
        <w:t>public safety</w:t>
      </w:r>
      <w:r w:rsidRPr="00E833F9">
        <w:t>.</w:t>
      </w:r>
      <w:r w:rsidR="00B11704">
        <w:rPr>
          <w:rStyle w:val="FootnoteReference"/>
        </w:rPr>
        <w:footnoteReference w:id="92"/>
      </w:r>
      <w:r w:rsidRPr="00E833F9">
        <w:t xml:space="preserve"> </w:t>
      </w:r>
    </w:p>
    <w:p w:rsidR="004F7703" w:rsidP="00787AFF" w:rsidRDefault="004F7703" w14:paraId="091EFE1C" w14:textId="77777777">
      <w:pPr>
        <w:pStyle w:val="Heading2"/>
      </w:pPr>
      <w:bookmarkStart w:name="_Toc237414307" w:id="229"/>
      <w:r>
        <w:lastRenderedPageBreak/>
        <w:t>TURN</w:t>
      </w:r>
      <w:bookmarkEnd w:id="229"/>
    </w:p>
    <w:p w:rsidRPr="00791477" w:rsidR="004F7703" w:rsidP="004F7703" w:rsidRDefault="004F7703" w14:paraId="1E50D2E6" w14:textId="13D12542">
      <w:pPr>
        <w:pStyle w:val="Standard"/>
      </w:pPr>
      <w:r>
        <w:t xml:space="preserve">TURN highlights that the Joint Applicants state that the larger company will have additional access to workforce and equipment to reconnect customers after disaster.  However, TURN suggests that the post-merger company could take additional steps to increase the safety and resilience of customer </w:t>
      </w:r>
      <w:r w:rsidRPr="00791477">
        <w:t>premises across the entire footprint, especially for customers who cannot afford to do so on their own.</w:t>
      </w:r>
      <w:r w:rsidRPr="00791477">
        <w:rPr>
          <w:rStyle w:val="FootnoteReference"/>
        </w:rPr>
        <w:footnoteReference w:id="93"/>
      </w:r>
      <w:r w:rsidRPr="00791477">
        <w:t xml:space="preserve"> </w:t>
      </w:r>
    </w:p>
    <w:p w:rsidR="004F7703" w:rsidP="00787AFF" w:rsidRDefault="004F7703" w14:paraId="31995638" w14:textId="77777777">
      <w:pPr>
        <w:pStyle w:val="Heading2"/>
      </w:pPr>
      <w:bookmarkStart w:name="_Toc237414308" w:id="230"/>
      <w:r>
        <w:t>Joint Advocates</w:t>
      </w:r>
      <w:bookmarkEnd w:id="230"/>
    </w:p>
    <w:p w:rsidRPr="00791477" w:rsidR="004F7703" w:rsidP="002E3902" w:rsidRDefault="00F3163C" w14:paraId="6743FB5E" w14:textId="5F527B2A">
      <w:pPr>
        <w:pStyle w:val="Standard"/>
      </w:pPr>
      <w:r>
        <w:t xml:space="preserve">The </w:t>
      </w:r>
      <w:r w:rsidR="004F7703">
        <w:t>Joint Advocates also indicate that the application describes some of the Joint Applicants’ commitments to restoration of service for disaster impacted customers, a public safety feature.</w:t>
      </w:r>
      <w:r w:rsidR="004F7703">
        <w:rPr>
          <w:rStyle w:val="FootnoteReference"/>
        </w:rPr>
        <w:footnoteReference w:id="94"/>
      </w:r>
      <w:r w:rsidR="004F7703">
        <w:t xml:space="preserve">  Additionally, the Joint Advocates assert that the Joint Applicants fails to engage with the question of PEG channel treatment by the post-merger company, showing a lack of commitment to the needs of local communities.</w:t>
      </w:r>
      <w:r w:rsidRPr="001A1DDB" w:rsidR="004F7703">
        <w:rPr>
          <w:rStyle w:val="FootnoteReference"/>
        </w:rPr>
        <w:t xml:space="preserve"> </w:t>
      </w:r>
      <w:r w:rsidR="004F7703">
        <w:rPr>
          <w:rStyle w:val="FootnoteReference"/>
        </w:rPr>
        <w:footnoteReference w:id="95"/>
      </w:r>
      <w:r w:rsidR="004F7703">
        <w:t xml:space="preserve">  The lack of commitments prevents </w:t>
      </w:r>
      <w:r w:rsidR="000310B7">
        <w:t xml:space="preserve">the Joint Advocates </w:t>
      </w:r>
      <w:r w:rsidRPr="00791477" w:rsidR="004F7703">
        <w:t xml:space="preserve">from </w:t>
      </w:r>
      <w:r w:rsidR="007A0871">
        <w:t xml:space="preserve">determining that </w:t>
      </w:r>
      <w:r w:rsidRPr="00791477" w:rsidR="004F7703">
        <w:t>the transaction improves public safety.</w:t>
      </w:r>
    </w:p>
    <w:p w:rsidRPr="00791477" w:rsidR="004F7703" w:rsidP="00787AFF" w:rsidRDefault="004F7703" w14:paraId="360F3086" w14:textId="77777777">
      <w:pPr>
        <w:pStyle w:val="Heading2"/>
      </w:pPr>
      <w:bookmarkStart w:name="_Toc237414309" w:id="231"/>
      <w:r w:rsidRPr="00791477">
        <w:t>Discussion</w:t>
      </w:r>
      <w:bookmarkEnd w:id="231"/>
    </w:p>
    <w:p w:rsidR="004F7703" w:rsidP="007A4518" w:rsidRDefault="004F7703" w14:paraId="7FC54351" w14:textId="31D3E6A7">
      <w:pPr>
        <w:rPr>
          <w:rFonts w:eastAsia="Book Antiqua" w:cs="Book Antiqua"/>
        </w:rPr>
      </w:pPr>
      <w:r w:rsidRPr="0A7A686C">
        <w:rPr>
          <w:rFonts w:eastAsia="Book Antiqua" w:cs="Book Antiqua"/>
        </w:rPr>
        <w:t>The Joint Application,</w:t>
      </w:r>
      <w:r w:rsidR="003E23D1">
        <w:rPr>
          <w:rFonts w:eastAsia="Book Antiqua" w:cs="Book Antiqua"/>
        </w:rPr>
        <w:t xml:space="preserve"> in concert with the Settlement Agreements, go a long way to addressing public safety concerns, but </w:t>
      </w:r>
      <w:r w:rsidR="007A4518">
        <w:rPr>
          <w:rFonts w:eastAsia="Book Antiqua" w:cs="Book Antiqua"/>
        </w:rPr>
        <w:t>further mitigation measures are needed.</w:t>
      </w:r>
      <w:r w:rsidR="00EA184D">
        <w:rPr>
          <w:rFonts w:eastAsia="Book Antiqua" w:cs="Book Antiqua"/>
        </w:rPr>
        <w:t xml:space="preserve"> </w:t>
      </w:r>
    </w:p>
    <w:p w:rsidRPr="009C1B68" w:rsidR="00EA184D" w:rsidP="00661EB7" w:rsidRDefault="00EA184D" w14:paraId="651A97C7" w14:textId="4D4B963C">
      <w:r>
        <w:t>Those mitigation measures will be considered under Section 854(c)(8)</w:t>
      </w:r>
      <w:r w:rsidR="008B4259">
        <w:t xml:space="preserve"> below</w:t>
      </w:r>
      <w:r>
        <w:t>.</w:t>
      </w:r>
    </w:p>
    <w:p w:rsidR="00661EB7" w:rsidP="00787AFF" w:rsidRDefault="00661EB7" w14:paraId="3AE72408" w14:textId="77777777">
      <w:pPr>
        <w:pStyle w:val="Heading1"/>
      </w:pPr>
      <w:bookmarkStart w:name="_Toc233228707" w:id="232"/>
      <w:bookmarkStart w:name="_Toc233228828" w:id="233"/>
      <w:bookmarkStart w:name="_Toc233110312" w:id="234"/>
      <w:bookmarkStart w:name="_Toc233110882" w:id="235"/>
      <w:bookmarkStart w:name="_Toc233111231" w:id="236"/>
      <w:bookmarkStart w:name="_Toc233116667" w:id="237"/>
      <w:bookmarkStart w:name="_Toc233110313" w:id="238"/>
      <w:bookmarkStart w:name="_Toc233110883" w:id="239"/>
      <w:bookmarkStart w:name="_Toc233111232" w:id="240"/>
      <w:bookmarkStart w:name="_Toc233116668" w:id="241"/>
      <w:bookmarkStart w:name="_Toc233110314" w:id="242"/>
      <w:bookmarkStart w:name="_Toc233110884" w:id="243"/>
      <w:bookmarkStart w:name="_Toc233111233" w:id="244"/>
      <w:bookmarkStart w:name="_Toc233116669" w:id="245"/>
      <w:bookmarkStart w:name="_Toc233110315" w:id="246"/>
      <w:bookmarkStart w:name="_Toc233110885" w:id="247"/>
      <w:bookmarkStart w:name="_Toc233111234" w:id="248"/>
      <w:bookmarkStart w:name="_Toc233116670" w:id="249"/>
      <w:bookmarkStart w:name="_Toc233342662" w:id="250"/>
      <w:bookmarkStart w:name="_Toc237414310" w:id="251"/>
      <w:bookmarkEnd w:id="205"/>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lastRenderedPageBreak/>
        <w:t>Settlement Agreements</w:t>
      </w:r>
      <w:bookmarkEnd w:id="250"/>
      <w:bookmarkEnd w:id="251"/>
      <w:r>
        <w:t xml:space="preserve"> </w:t>
      </w:r>
    </w:p>
    <w:p w:rsidR="00B64426" w:rsidP="00661EB7" w:rsidRDefault="00B64426" w14:paraId="1D6659BF" w14:textId="2642B527">
      <w:r w:rsidRPr="00B64426">
        <w:t>On May 1, 2026, Joint Applicants and Cal Advocates filed a Joint Motion for Adoption of Settlement Agreement.  The Joint Motion indicated that Joint Applicants and Cal Advocates came to a settlement position after “substantial and lengthy negotiations.”  Joint Applicants and Cal Advocates request that the Commission adopt the Joint Applicants-</w:t>
      </w:r>
      <w:r w:rsidR="00C314FC">
        <w:t>Cal Advocates</w:t>
      </w:r>
      <w:r w:rsidRPr="00B64426">
        <w:t xml:space="preserve"> Settlement Agreement in its entirety as a resolution of the issues raised by Cal Advocates in the proceeding.  </w:t>
      </w:r>
    </w:p>
    <w:p w:rsidR="00661EB7" w:rsidP="00661EB7" w:rsidRDefault="00661EB7" w14:paraId="505E18F4" w14:textId="7A4BE567">
      <w:r>
        <w:t xml:space="preserve">On May 1, 2026, Joint Applicants and CETF filed a Joint Motion requesting that the Commission adopt </w:t>
      </w:r>
      <w:r w:rsidR="00B64426">
        <w:t>the Joint Applicants-CETF Settlement Agreement</w:t>
      </w:r>
      <w:r>
        <w:t xml:space="preserve">.  The Joint Motion indicated that the </w:t>
      </w:r>
      <w:r w:rsidR="00B64426">
        <w:t xml:space="preserve">Joint Applicants-CETF Settlement Agreement </w:t>
      </w:r>
      <w:r>
        <w:t>was achieved through substantial and lengthy negotiations and an agreement was reached on all concerns raised by CETF in the proceeding.</w:t>
      </w:r>
      <w:r w:rsidRPr="00264327">
        <w:rPr>
          <w:rStyle w:val="FootnoteReference"/>
        </w:rPr>
        <w:t xml:space="preserve"> </w:t>
      </w:r>
      <w:r>
        <w:rPr>
          <w:rStyle w:val="FootnoteReference"/>
        </w:rPr>
        <w:footnoteReference w:id="96"/>
      </w:r>
    </w:p>
    <w:p w:rsidR="00B64426" w:rsidP="00787AFF" w:rsidRDefault="00B64426" w14:paraId="45CA7462" w14:textId="77777777">
      <w:pPr>
        <w:pStyle w:val="Heading2"/>
      </w:pPr>
      <w:bookmarkStart w:name="_Toc233342664" w:id="252"/>
      <w:bookmarkStart w:name="_Toc237414311" w:id="253"/>
      <w:bookmarkStart w:name="_Toc233342663" w:id="254"/>
      <w:r>
        <w:t>Joint Applicants and Cal Advocates</w:t>
      </w:r>
      <w:bookmarkEnd w:id="252"/>
      <w:bookmarkEnd w:id="253"/>
    </w:p>
    <w:p w:rsidR="00B11704" w:rsidP="00AF4B8A" w:rsidRDefault="00B64426" w14:paraId="30A2D832" w14:textId="4CAC96E1">
      <w:pPr>
        <w:autoSpaceDE w:val="0"/>
        <w:autoSpaceDN w:val="0"/>
        <w:adjustRightInd w:val="0"/>
        <w:spacing w:before="160"/>
      </w:pPr>
      <w:r>
        <w:t xml:space="preserve">According to the Joint Motion, the </w:t>
      </w:r>
      <w:r w:rsidRPr="00B64426" w:rsidR="00C314FC">
        <w:t>Joint Applicants-</w:t>
      </w:r>
      <w:r w:rsidR="00C314FC">
        <w:t>Cal Advocates</w:t>
      </w:r>
      <w:r w:rsidRPr="00B64426" w:rsidR="00C314FC">
        <w:t xml:space="preserve"> Settlement Agreement</w:t>
      </w:r>
      <w:r w:rsidR="00C314FC">
        <w:t xml:space="preserve"> </w:t>
      </w:r>
      <w:r>
        <w:t xml:space="preserve">directly addresses the issues Cal Advocates raised in the proceeding.  Joint Applicants and Cal Advocates state that they made commitments about </w:t>
      </w:r>
      <w:r w:rsidRPr="00D6386D">
        <w:t>broadband affordability and adoption, advertising of low-income offers, promotional pricing practices, public safety, resiliency, and broadband adoption reporting.</w:t>
      </w:r>
      <w:r>
        <w:rPr>
          <w:rStyle w:val="FootnoteReference"/>
        </w:rPr>
        <w:footnoteReference w:id="97"/>
      </w:r>
      <w:r w:rsidRPr="00D6386D">
        <w:t xml:space="preserve"> </w:t>
      </w:r>
    </w:p>
    <w:p w:rsidR="00B04742" w:rsidP="00FC7782" w:rsidRDefault="00F57A2F" w14:paraId="733C09B5" w14:textId="14251653">
      <w:pPr>
        <w:autoSpaceDE w:val="0"/>
        <w:autoSpaceDN w:val="0"/>
        <w:adjustRightInd w:val="0"/>
      </w:pPr>
      <w:r>
        <w:rPr>
          <w:rFonts w:cs="CIDFont+F2"/>
          <w:szCs w:val="26"/>
        </w:rPr>
        <w:t>Among other com</w:t>
      </w:r>
      <w:r w:rsidR="004D284B">
        <w:rPr>
          <w:rFonts w:cs="CIDFont+F2"/>
          <w:szCs w:val="26"/>
        </w:rPr>
        <w:t>m</w:t>
      </w:r>
      <w:r>
        <w:rPr>
          <w:rFonts w:cs="CIDFont+F2"/>
          <w:szCs w:val="26"/>
        </w:rPr>
        <w:t>itments</w:t>
      </w:r>
      <w:r w:rsidR="001A1822">
        <w:rPr>
          <w:rFonts w:cs="CIDFont+F2"/>
          <w:szCs w:val="26"/>
        </w:rPr>
        <w:t xml:space="preserve">, </w:t>
      </w:r>
      <w:r w:rsidR="00061B1E">
        <w:rPr>
          <w:rFonts w:cs="CIDFont+F2"/>
          <w:szCs w:val="26"/>
        </w:rPr>
        <w:t xml:space="preserve">the Joint Applicants committed to </w:t>
      </w:r>
      <w:r w:rsidRPr="00F429FF" w:rsidR="00022EE3">
        <w:t xml:space="preserve">offer all new and existing low-income customers across the service footprint four new </w:t>
      </w:r>
      <w:r w:rsidRPr="00F429FF" w:rsidR="00022EE3">
        <w:lastRenderedPageBreak/>
        <w:t>tiers of service for low-income customers, referred to as the New California LifeLine Service Tiers</w:t>
      </w:r>
      <w:r w:rsidR="00022EE3">
        <w:t>, for 5 years.</w:t>
      </w:r>
      <w:r w:rsidR="004D284B">
        <w:rPr>
          <w:rStyle w:val="FootnoteReference"/>
        </w:rPr>
        <w:footnoteReference w:id="98"/>
      </w:r>
      <w:r w:rsidR="00022EE3">
        <w:t xml:space="preserve">  These t</w:t>
      </w:r>
      <w:r w:rsidR="00123B89">
        <w:t>iers include:</w:t>
      </w:r>
    </w:p>
    <w:p w:rsidRPr="001A79CF" w:rsidR="009F7EE9" w:rsidRDefault="009F7EE9" w14:paraId="5DCC87AE" w14:textId="1C11E29D">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Standalone 100/20 M</w:t>
      </w:r>
      <w:r w:rsidR="002C1CDC">
        <w:rPr>
          <w:rFonts w:ascii="Book Antiqua" w:hAnsi="Book Antiqua"/>
          <w:sz w:val="26"/>
          <w:szCs w:val="26"/>
        </w:rPr>
        <w:t>egabytes per second (M</w:t>
      </w:r>
      <w:r w:rsidRPr="001A79CF">
        <w:rPr>
          <w:rFonts w:ascii="Book Antiqua" w:hAnsi="Book Antiqua"/>
          <w:sz w:val="26"/>
          <w:szCs w:val="26"/>
        </w:rPr>
        <w:t>bps</w:t>
      </w:r>
      <w:r w:rsidR="002C1CDC">
        <w:rPr>
          <w:rFonts w:ascii="Book Antiqua" w:hAnsi="Book Antiqua"/>
          <w:sz w:val="26"/>
          <w:szCs w:val="26"/>
        </w:rPr>
        <w:t>)</w:t>
      </w:r>
      <w:r w:rsidRPr="001A79CF">
        <w:rPr>
          <w:rFonts w:ascii="Book Antiqua" w:hAnsi="Book Antiqua"/>
          <w:sz w:val="26"/>
          <w:szCs w:val="26"/>
        </w:rPr>
        <w:t xml:space="preserve"> for $20 per month - residential home internet access service</w:t>
      </w:r>
      <w:r w:rsidR="00143547">
        <w:rPr>
          <w:rFonts w:ascii="Book Antiqua" w:hAnsi="Book Antiqua"/>
          <w:sz w:val="26"/>
          <w:szCs w:val="26"/>
        </w:rPr>
        <w:t xml:space="preserve">; </w:t>
      </w:r>
    </w:p>
    <w:p w:rsidRPr="001A79CF" w:rsidR="009F7EE9" w:rsidRDefault="009F7EE9" w14:paraId="0A7E06E4" w14:textId="22C3BB01">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Standalone 500/20 Mbps for $50 per month</w:t>
      </w:r>
      <w:r w:rsidR="008B4259">
        <w:rPr>
          <w:rFonts w:ascii="Book Antiqua" w:hAnsi="Book Antiqua"/>
          <w:sz w:val="26"/>
          <w:szCs w:val="26"/>
        </w:rPr>
        <w:t xml:space="preserve"> </w:t>
      </w:r>
      <w:r w:rsidRPr="001A79CF">
        <w:rPr>
          <w:rFonts w:ascii="Book Antiqua" w:hAnsi="Book Antiqua"/>
          <w:sz w:val="26"/>
          <w:szCs w:val="26"/>
        </w:rPr>
        <w:t>- residential home internet access service</w:t>
      </w:r>
      <w:r w:rsidR="00143547">
        <w:rPr>
          <w:rFonts w:ascii="Book Antiqua" w:hAnsi="Book Antiqua"/>
          <w:sz w:val="26"/>
          <w:szCs w:val="26"/>
        </w:rPr>
        <w:t>;</w:t>
      </w:r>
    </w:p>
    <w:p w:rsidRPr="001A79CF" w:rsidR="009F7EE9" w:rsidRDefault="009F7EE9" w14:paraId="1FDB02CA" w14:textId="4345CB06">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Bundled 100/20 Mbps for $30 per month - residential home internet access service plus residential wireline voice service bundle</w:t>
      </w:r>
      <w:r w:rsidR="00143547">
        <w:rPr>
          <w:rFonts w:ascii="Book Antiqua" w:hAnsi="Book Antiqua"/>
          <w:sz w:val="26"/>
          <w:szCs w:val="26"/>
        </w:rPr>
        <w:t>; and</w:t>
      </w:r>
    </w:p>
    <w:p w:rsidRPr="001A79CF" w:rsidR="009F7EE9" w:rsidRDefault="009F7EE9" w14:paraId="3006CE6F" w14:textId="6DD626CC">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Bundled 500/20 Mbps for $50/ per month - residential home internet access service plus residential wireline voice service bundle.</w:t>
      </w:r>
      <w:r w:rsidR="004D284B">
        <w:rPr>
          <w:rStyle w:val="FootnoteReference"/>
          <w:rFonts w:ascii="Book Antiqua" w:hAnsi="Book Antiqua"/>
          <w:sz w:val="26"/>
          <w:szCs w:val="26"/>
        </w:rPr>
        <w:footnoteReference w:id="99"/>
      </w:r>
    </w:p>
    <w:p w:rsidR="00E34A69" w:rsidP="00677ABB" w:rsidRDefault="00677ABB" w14:paraId="3219AEF2" w14:textId="4B9B463C">
      <w:pPr>
        <w:autoSpaceDE w:val="0"/>
        <w:autoSpaceDN w:val="0"/>
        <w:adjustRightInd w:val="0"/>
        <w:spacing w:before="160"/>
        <w:ind w:firstLine="0"/>
        <w:rPr>
          <w:szCs w:val="26"/>
        </w:rPr>
      </w:pPr>
      <w:r>
        <w:rPr>
          <w:rFonts w:cs="CIDFont+F2"/>
          <w:szCs w:val="26"/>
        </w:rPr>
        <w:t xml:space="preserve">Additionally, the Joint Applicants committed to </w:t>
      </w:r>
      <w:r w:rsidRPr="001A79CF" w:rsidR="00A95A45">
        <w:rPr>
          <w:szCs w:val="26"/>
        </w:rPr>
        <w:t>offer new and existing low-income eligible customers across its footprint access to residential home inter</w:t>
      </w:r>
      <w:r w:rsidR="00A95A45">
        <w:rPr>
          <w:szCs w:val="26"/>
        </w:rPr>
        <w:t>net</w:t>
      </w:r>
      <w:r w:rsidRPr="001A79CF" w:rsidR="00A95A45">
        <w:rPr>
          <w:szCs w:val="26"/>
        </w:rPr>
        <w:t xml:space="preserve"> access plans at 100/20 Mbps service for $20 per month in a Standalone Non-LifeLine Service Tier</w:t>
      </w:r>
      <w:r w:rsidR="00A95A45">
        <w:rPr>
          <w:szCs w:val="26"/>
        </w:rPr>
        <w:t xml:space="preserve"> </w:t>
      </w:r>
      <w:r w:rsidR="00F03248">
        <w:rPr>
          <w:szCs w:val="26"/>
        </w:rPr>
        <w:t>for five years</w:t>
      </w:r>
      <w:r w:rsidR="00E24150">
        <w:rPr>
          <w:szCs w:val="26"/>
        </w:rPr>
        <w:t>.</w:t>
      </w:r>
      <w:r w:rsidR="004D284B">
        <w:rPr>
          <w:rStyle w:val="FootnoteReference"/>
          <w:szCs w:val="26"/>
        </w:rPr>
        <w:footnoteReference w:id="100"/>
      </w:r>
      <w:r w:rsidR="00136663">
        <w:rPr>
          <w:szCs w:val="26"/>
        </w:rPr>
        <w:t xml:space="preserve"> </w:t>
      </w:r>
    </w:p>
    <w:p w:rsidR="00123B89" w:rsidP="00FC7782" w:rsidRDefault="00E34A69" w14:paraId="1DCA3122" w14:textId="092600EE">
      <w:pPr>
        <w:autoSpaceDE w:val="0"/>
        <w:autoSpaceDN w:val="0"/>
        <w:adjustRightInd w:val="0"/>
        <w:rPr>
          <w:rFonts w:cs="CIDFont+F2"/>
          <w:szCs w:val="26"/>
        </w:rPr>
      </w:pPr>
      <w:r>
        <w:rPr>
          <w:szCs w:val="26"/>
        </w:rPr>
        <w:t>Further</w:t>
      </w:r>
      <w:r w:rsidR="00EF29E2">
        <w:rPr>
          <w:szCs w:val="26"/>
        </w:rPr>
        <w:t xml:space="preserve">, the Joint Applicants </w:t>
      </w:r>
      <w:r w:rsidR="002E027F">
        <w:rPr>
          <w:szCs w:val="26"/>
        </w:rPr>
        <w:t xml:space="preserve">committed to </w:t>
      </w:r>
      <w:r w:rsidRPr="001A79CF" w:rsidR="00DA3A2B">
        <w:rPr>
          <w:szCs w:val="26"/>
        </w:rPr>
        <w:t xml:space="preserve">offer new residential broadband customers promotional pricing </w:t>
      </w:r>
      <w:r w:rsidR="007D41FE">
        <w:rPr>
          <w:szCs w:val="26"/>
        </w:rPr>
        <w:t xml:space="preserve">for three years </w:t>
      </w:r>
      <w:r w:rsidRPr="001A79CF" w:rsidR="00DA3A2B">
        <w:rPr>
          <w:szCs w:val="26"/>
        </w:rPr>
        <w:t xml:space="preserve">across its footprint of $70 for 1000/35 Mbps service, $50 for 500/20 Mbps service, and $30 for 100/20 Mbps service, with the following </w:t>
      </w:r>
      <w:r w:rsidR="007228A8">
        <w:rPr>
          <w:szCs w:val="26"/>
        </w:rPr>
        <w:t xml:space="preserve">lower-priced </w:t>
      </w:r>
      <w:r w:rsidRPr="001A79CF" w:rsidR="00DA3A2B">
        <w:rPr>
          <w:szCs w:val="26"/>
        </w:rPr>
        <w:t>exceptions:</w:t>
      </w:r>
    </w:p>
    <w:p w:rsidRPr="001A79CF" w:rsidR="004F640C" w:rsidRDefault="004F640C" w14:paraId="3A21C94E" w14:textId="4B93D7B0">
      <w:pPr>
        <w:pStyle w:val="OP"/>
        <w:numPr>
          <w:ilvl w:val="2"/>
          <w:numId w:val="9"/>
        </w:numPr>
        <w:spacing w:after="120" w:line="240" w:lineRule="auto"/>
        <w:ind w:left="907" w:right="1440"/>
        <w:rPr>
          <w:szCs w:val="26"/>
        </w:rPr>
      </w:pPr>
      <w:r w:rsidRPr="001A79CF">
        <w:rPr>
          <w:szCs w:val="26"/>
        </w:rPr>
        <w:t xml:space="preserve">Promotions in response to competitor pricing and offers, new competitor entry or expansion, competitor network upgrades, and the near-term expected entry, expansion or upgrade of a competitor may be set below the statewide promotional price. </w:t>
      </w:r>
      <w:r w:rsidR="002C1CDC">
        <w:rPr>
          <w:szCs w:val="26"/>
        </w:rPr>
        <w:t xml:space="preserve"> </w:t>
      </w:r>
      <w:r w:rsidRPr="001A79CF">
        <w:rPr>
          <w:szCs w:val="26"/>
        </w:rPr>
        <w:t xml:space="preserve">Once </w:t>
      </w:r>
      <w:r w:rsidR="002C1CDC">
        <w:rPr>
          <w:szCs w:val="26"/>
        </w:rPr>
        <w:t>the post-merger company</w:t>
      </w:r>
      <w:r w:rsidRPr="001A79CF">
        <w:rPr>
          <w:szCs w:val="26"/>
        </w:rPr>
        <w:t xml:space="preserve"> establishes such a lower promotional price under this </w:t>
      </w:r>
      <w:r w:rsidRPr="001A79CF">
        <w:rPr>
          <w:szCs w:val="26"/>
        </w:rPr>
        <w:lastRenderedPageBreak/>
        <w:t>exception that is offered for more than 30 days, it should adjust the statewide promotional price as necessary to ensure that the difference between the statewide promotional price and the lower promotional price does not exceed $15 per month or, in the case of an offer of free service, 20% of the customer’s expected annual service revenue;</w:t>
      </w:r>
    </w:p>
    <w:p w:rsidRPr="001A79CF" w:rsidR="004F640C" w:rsidRDefault="004F640C" w14:paraId="3D347674" w14:textId="77777777">
      <w:pPr>
        <w:pStyle w:val="OP"/>
        <w:numPr>
          <w:ilvl w:val="2"/>
          <w:numId w:val="9"/>
        </w:numPr>
        <w:ind w:left="900" w:right="1440"/>
        <w:rPr>
          <w:szCs w:val="26"/>
        </w:rPr>
      </w:pPr>
      <w:r w:rsidRPr="001A79CF">
        <w:rPr>
          <w:szCs w:val="26"/>
        </w:rPr>
        <w:t>Promotions to former customers or customers in retention;</w:t>
      </w:r>
    </w:p>
    <w:p w:rsidRPr="001A79CF" w:rsidR="004F640C" w:rsidRDefault="004F640C" w14:paraId="20B104B4" w14:textId="77777777">
      <w:pPr>
        <w:pStyle w:val="OP"/>
        <w:numPr>
          <w:ilvl w:val="2"/>
          <w:numId w:val="9"/>
        </w:numPr>
        <w:spacing w:after="120" w:line="240" w:lineRule="auto"/>
        <w:ind w:left="907" w:right="1440"/>
        <w:rPr>
          <w:szCs w:val="26"/>
        </w:rPr>
      </w:pPr>
      <w:r w:rsidRPr="001A79CF">
        <w:rPr>
          <w:szCs w:val="26"/>
        </w:rPr>
        <w:t>Promotions related to “Back to School” in zip codes immediately adjacent to Colleges and Universities;</w:t>
      </w:r>
    </w:p>
    <w:p w:rsidRPr="001A79CF" w:rsidR="004F640C" w:rsidRDefault="004F640C" w14:paraId="420E2896" w14:textId="77777777">
      <w:pPr>
        <w:pStyle w:val="OP"/>
        <w:numPr>
          <w:ilvl w:val="2"/>
          <w:numId w:val="9"/>
        </w:numPr>
        <w:ind w:left="900" w:right="1440"/>
        <w:rPr>
          <w:szCs w:val="26"/>
        </w:rPr>
      </w:pPr>
      <w:r w:rsidRPr="001A79CF">
        <w:rPr>
          <w:szCs w:val="26"/>
        </w:rPr>
        <w:t>Promotions to low-income households; and</w:t>
      </w:r>
    </w:p>
    <w:p w:rsidR="004F640C" w:rsidRDefault="004F640C" w14:paraId="3437C900" w14:textId="1EE25BD1">
      <w:pPr>
        <w:pStyle w:val="OP"/>
        <w:numPr>
          <w:ilvl w:val="2"/>
          <w:numId w:val="9"/>
        </w:numPr>
        <w:spacing w:line="240" w:lineRule="auto"/>
        <w:ind w:left="900" w:right="1440"/>
        <w:rPr>
          <w:szCs w:val="26"/>
        </w:rPr>
      </w:pPr>
      <w:r w:rsidRPr="001A79CF">
        <w:rPr>
          <w:szCs w:val="26"/>
        </w:rPr>
        <w:t>Promotions as part of a disaster recovery effort, including in response to natural disasters.</w:t>
      </w:r>
      <w:r w:rsidR="004D284B">
        <w:rPr>
          <w:rStyle w:val="FootnoteReference"/>
          <w:szCs w:val="26"/>
        </w:rPr>
        <w:footnoteReference w:id="101"/>
      </w:r>
    </w:p>
    <w:p w:rsidR="004F640C" w:rsidP="00787AFF" w:rsidRDefault="00AA16D2" w14:paraId="5D7659F5" w14:textId="65F2C223">
      <w:pPr>
        <w:autoSpaceDE w:val="0"/>
        <w:autoSpaceDN w:val="0"/>
        <w:adjustRightInd w:val="0"/>
        <w:spacing w:before="160"/>
        <w:rPr>
          <w:rFonts w:cs="CIDFont+F2"/>
          <w:szCs w:val="26"/>
        </w:rPr>
      </w:pPr>
      <w:r>
        <w:rPr>
          <w:rFonts w:cs="CIDFont+F2"/>
          <w:szCs w:val="26"/>
        </w:rPr>
        <w:t xml:space="preserve">We </w:t>
      </w:r>
      <w:r w:rsidR="00B9161E">
        <w:rPr>
          <w:rFonts w:cs="CIDFont+F2"/>
          <w:szCs w:val="26"/>
        </w:rPr>
        <w:t xml:space="preserve">interpret the settlement to apply </w:t>
      </w:r>
      <w:r>
        <w:rPr>
          <w:rFonts w:cs="CIDFont+F2"/>
          <w:szCs w:val="26"/>
        </w:rPr>
        <w:t>these exceptions consistently</w:t>
      </w:r>
      <w:r w:rsidR="005643E1">
        <w:rPr>
          <w:rFonts w:cs="CIDFont+F2"/>
          <w:szCs w:val="26"/>
        </w:rPr>
        <w:t xml:space="preserve"> throughout the post-merger </w:t>
      </w:r>
      <w:r w:rsidR="00107323">
        <w:rPr>
          <w:rFonts w:cs="CIDFont+F2"/>
          <w:szCs w:val="26"/>
        </w:rPr>
        <w:t xml:space="preserve">company </w:t>
      </w:r>
      <w:r w:rsidR="005F00C7">
        <w:rPr>
          <w:rFonts w:cs="CIDFont+F2"/>
          <w:szCs w:val="26"/>
        </w:rPr>
        <w:t>footprint</w:t>
      </w:r>
      <w:r w:rsidR="000842B4">
        <w:rPr>
          <w:rFonts w:cs="CIDFont+F2"/>
          <w:szCs w:val="26"/>
        </w:rPr>
        <w:t xml:space="preserve">.  </w:t>
      </w:r>
    </w:p>
    <w:p w:rsidRPr="00096E23" w:rsidR="00B64426" w:rsidP="00FC7782" w:rsidRDefault="008A0085" w14:paraId="318E0A0F" w14:textId="527E5307">
      <w:pPr>
        <w:autoSpaceDE w:val="0"/>
        <w:autoSpaceDN w:val="0"/>
        <w:adjustRightInd w:val="0"/>
        <w:rPr>
          <w:rFonts w:cs="CIDFont+F2"/>
          <w:szCs w:val="26"/>
        </w:rPr>
      </w:pPr>
      <w:r>
        <w:rPr>
          <w:rFonts w:cs="CIDFont+F2"/>
          <w:szCs w:val="26"/>
        </w:rPr>
        <w:t xml:space="preserve">The </w:t>
      </w:r>
      <w:r w:rsidRPr="00B64426" w:rsidR="00C314FC">
        <w:t>Joint Applicants-</w:t>
      </w:r>
      <w:r w:rsidR="00C314FC">
        <w:t>Cal Advocates</w:t>
      </w:r>
      <w:r w:rsidRPr="00B64426" w:rsidR="00C314FC">
        <w:t xml:space="preserve"> Settlement Agreement</w:t>
      </w:r>
      <w:r w:rsidRPr="00096E23" w:rsidR="00C314FC">
        <w:rPr>
          <w:rFonts w:cs="CIDFont+F2"/>
          <w:szCs w:val="26"/>
        </w:rPr>
        <w:t xml:space="preserve"> </w:t>
      </w:r>
      <w:r w:rsidRPr="00096E23" w:rsidR="00B64426">
        <w:rPr>
          <w:rFonts w:cs="CIDFont+F2"/>
          <w:szCs w:val="26"/>
        </w:rPr>
        <w:t xml:space="preserve">is attached to this document as </w:t>
      </w:r>
      <w:r w:rsidRPr="00151621" w:rsidR="00AC4936">
        <w:rPr>
          <w:rFonts w:cs="Arial"/>
          <w:bCs/>
          <w:szCs w:val="26"/>
        </w:rPr>
        <w:t>Attachment</w:t>
      </w:r>
      <w:r w:rsidRPr="0098655A" w:rsidR="00AC4936">
        <w:rPr>
          <w:rFonts w:cs="Arial"/>
          <w:b/>
          <w:szCs w:val="26"/>
        </w:rPr>
        <w:t xml:space="preserve"> </w:t>
      </w:r>
      <w:r w:rsidR="00B64426">
        <w:rPr>
          <w:rFonts w:cs="CIDFont+F2"/>
          <w:szCs w:val="26"/>
        </w:rPr>
        <w:t>A</w:t>
      </w:r>
      <w:r w:rsidRPr="00096E23" w:rsidR="00B64426">
        <w:rPr>
          <w:rFonts w:cs="CIDFont+F2"/>
          <w:szCs w:val="26"/>
        </w:rPr>
        <w:t>.</w:t>
      </w:r>
    </w:p>
    <w:p w:rsidR="00661EB7" w:rsidP="00787AFF" w:rsidRDefault="00661EB7" w14:paraId="4ACF4136" w14:textId="77777777">
      <w:pPr>
        <w:pStyle w:val="Heading2"/>
      </w:pPr>
      <w:bookmarkStart w:name="_Toc237414312" w:id="255"/>
      <w:r>
        <w:t>Joint Applicant and CETF</w:t>
      </w:r>
      <w:bookmarkEnd w:id="254"/>
      <w:bookmarkEnd w:id="255"/>
    </w:p>
    <w:p w:rsidR="00661EB7" w:rsidP="00661EB7" w:rsidRDefault="00661EB7" w14:paraId="0C05823F" w14:textId="77777777">
      <w:r>
        <w:t xml:space="preserve">In the Joint Motion, Joint Applicants and CETF indicate that they made commitments about: </w:t>
      </w:r>
    </w:p>
    <w:p w:rsidRPr="00787AFF" w:rsidR="00661EB7" w:rsidRDefault="00661EB7" w14:paraId="4A626541"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broadband affordability and adoption; </w:t>
      </w:r>
    </w:p>
    <w:p w:rsidRPr="00787AFF" w:rsidR="00661EB7" w:rsidRDefault="00661EB7" w14:paraId="3BD35B8F"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sales practices and advertising of low-income offers; </w:t>
      </w:r>
    </w:p>
    <w:p w:rsidRPr="00787AFF" w:rsidR="00661EB7" w:rsidRDefault="00661EB7" w14:paraId="366C5AD6"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financial support for a broad array of digital inclusion programs;</w:t>
      </w:r>
    </w:p>
    <w:p w:rsidRPr="00787AFF" w:rsidR="00661EB7" w:rsidRDefault="00661EB7" w14:paraId="75E58E11"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infrastructure upgrades, network evolution, and expansion investments; </w:t>
      </w:r>
    </w:p>
    <w:p w:rsidRPr="00787AFF" w:rsidR="00661EB7" w:rsidRDefault="00661EB7" w14:paraId="02882993"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Tribal and other stakeholder consultation and outreach; </w:t>
      </w:r>
    </w:p>
    <w:p w:rsidRPr="00787AFF" w:rsidR="00661EB7" w:rsidRDefault="00661EB7" w14:paraId="3CAFA892" w14:textId="004D95E6">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small business and workforce development investments;</w:t>
      </w:r>
      <w:r w:rsidR="008B4259">
        <w:rPr>
          <w:rFonts w:ascii="Book Antiqua" w:hAnsi="Book Antiqua"/>
          <w:sz w:val="26"/>
          <w:szCs w:val="26"/>
        </w:rPr>
        <w:t xml:space="preserve"> and</w:t>
      </w:r>
    </w:p>
    <w:p w:rsidRPr="00787AFF" w:rsidR="00661EB7" w:rsidRDefault="00661EB7" w14:paraId="39E2BD69" w14:textId="6CE9299B">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lastRenderedPageBreak/>
        <w:t>continued participation and reporting under G.O. 156.</w:t>
      </w:r>
      <w:r w:rsidRPr="00787AFF">
        <w:rPr>
          <w:rStyle w:val="FootnoteReference"/>
          <w:rFonts w:ascii="Book Antiqua" w:hAnsi="Book Antiqua"/>
          <w:sz w:val="26"/>
          <w:szCs w:val="26"/>
        </w:rPr>
        <w:footnoteReference w:id="102"/>
      </w:r>
    </w:p>
    <w:p w:rsidR="00ED4E96" w:rsidP="00ED4E96" w:rsidRDefault="00661EB7" w14:paraId="454014A7" w14:textId="1095ABE1">
      <w:pPr>
        <w:autoSpaceDE w:val="0"/>
        <w:autoSpaceDN w:val="0"/>
        <w:adjustRightInd w:val="0"/>
        <w:spacing w:before="160"/>
      </w:pPr>
      <w:r>
        <w:t xml:space="preserve">Joint Applicants and CETF describe </w:t>
      </w:r>
      <w:r w:rsidR="00B64426">
        <w:t xml:space="preserve">the Joint Applicants-CETF Settlement Agreement </w:t>
      </w:r>
      <w:r>
        <w:t>as “</w:t>
      </w:r>
      <w:r w:rsidRPr="00E21089">
        <w:t xml:space="preserve">an </w:t>
      </w:r>
      <w:r>
        <w:t>‘</w:t>
      </w:r>
      <w:r w:rsidRPr="00E21089">
        <w:t>appropriate, fair and comparable</w:t>
      </w:r>
      <w:r>
        <w:t xml:space="preserve">’ </w:t>
      </w:r>
      <w:r w:rsidRPr="00E21089">
        <w:t>set of public benefits to</w:t>
      </w:r>
      <w:r>
        <w:t xml:space="preserve"> </w:t>
      </w:r>
      <w:r w:rsidRPr="00E21089">
        <w:t>consumers, particularly in the areas of broadband deployment, digital inclusion, affordable offers,</w:t>
      </w:r>
      <w:r>
        <w:t xml:space="preserve"> </w:t>
      </w:r>
      <w:r w:rsidRPr="00E21089">
        <w:t xml:space="preserve">and compliance with </w:t>
      </w:r>
      <w:r w:rsidR="002C1CDC">
        <w:t>[General Order (</w:t>
      </w:r>
      <w:r w:rsidRPr="00E21089">
        <w:t>GO</w:t>
      </w:r>
      <w:r w:rsidR="002C1CDC">
        <w:t>)]</w:t>
      </w:r>
      <w:r w:rsidRPr="00E21089">
        <w:t xml:space="preserve"> 156 and the Commission’s Environmental and Social Justice Action</w:t>
      </w:r>
      <w:r>
        <w:t xml:space="preserve"> Plan.”</w:t>
      </w:r>
      <w:r>
        <w:rPr>
          <w:rStyle w:val="FootnoteReference"/>
        </w:rPr>
        <w:footnoteReference w:id="103"/>
      </w:r>
      <w:r w:rsidR="002B6BF8">
        <w:t xml:space="preserve"> </w:t>
      </w:r>
      <w:r w:rsidR="002C1CDC">
        <w:t xml:space="preserve"> </w:t>
      </w:r>
      <w:r w:rsidR="00A30989">
        <w:t xml:space="preserve">Further, </w:t>
      </w:r>
      <w:r w:rsidR="00C723B4">
        <w:t xml:space="preserve">CETF states that </w:t>
      </w:r>
      <w:r w:rsidR="00A30989">
        <w:t xml:space="preserve">the Joint-Applicants-CETF Settlement Agreement </w:t>
      </w:r>
      <w:r w:rsidR="00577AF5">
        <w:t>“</w:t>
      </w:r>
      <w:r w:rsidRPr="0098031A" w:rsidR="0098031A">
        <w:t>addresses CETF’s other primary concern that Charter’s current low-cost offerings</w:t>
      </w:r>
      <w:r w:rsidR="0098031A">
        <w:t xml:space="preserve"> </w:t>
      </w:r>
      <w:r w:rsidRPr="0098031A" w:rsidR="0098031A">
        <w:t>are not available to anyone who has been an existing Charter customer within the 30 days prior to</w:t>
      </w:r>
      <w:r w:rsidR="0098031A">
        <w:t xml:space="preserve"> </w:t>
      </w:r>
      <w:r w:rsidRPr="0098031A" w:rsidR="0098031A">
        <w:t>accessing a low-income plan.</w:t>
      </w:r>
      <w:r w:rsidR="0098031A">
        <w:t>”</w:t>
      </w:r>
      <w:r w:rsidR="002D08B2">
        <w:rPr>
          <w:rStyle w:val="FootnoteReference"/>
        </w:rPr>
        <w:footnoteReference w:id="104"/>
      </w:r>
      <w:r w:rsidR="00577AF5">
        <w:t xml:space="preserve"> </w:t>
      </w:r>
    </w:p>
    <w:p w:rsidRPr="0060480F" w:rsidR="00661EB7" w:rsidP="00FC7782" w:rsidRDefault="00ED4E96" w14:paraId="1A392822" w14:textId="66822F74">
      <w:pPr>
        <w:autoSpaceDE w:val="0"/>
        <w:autoSpaceDN w:val="0"/>
        <w:adjustRightInd w:val="0"/>
        <w:rPr>
          <w:rFonts w:cs="CIDFont+F2"/>
          <w:szCs w:val="26"/>
        </w:rPr>
      </w:pPr>
      <w:r>
        <w:rPr>
          <w:rFonts w:cs="CIDFont+F2"/>
          <w:szCs w:val="26"/>
        </w:rPr>
        <w:t>Additional details about the commitments in t</w:t>
      </w:r>
      <w:r w:rsidR="00661EB7">
        <w:rPr>
          <w:rFonts w:cs="CIDFont+F2"/>
          <w:szCs w:val="26"/>
        </w:rPr>
        <w:t xml:space="preserve">he </w:t>
      </w:r>
      <w:r w:rsidRPr="00B64426" w:rsidR="00C314FC">
        <w:t>Joint Applicants-</w:t>
      </w:r>
      <w:r w:rsidR="00C314FC">
        <w:t xml:space="preserve">CETF </w:t>
      </w:r>
      <w:r w:rsidRPr="00B64426" w:rsidR="00C314FC">
        <w:t>Settlement Agreement</w:t>
      </w:r>
      <w:r w:rsidR="00C314FC">
        <w:rPr>
          <w:rFonts w:cs="CIDFont+F2"/>
          <w:szCs w:val="26"/>
        </w:rPr>
        <w:t xml:space="preserve"> </w:t>
      </w:r>
      <w:r>
        <w:rPr>
          <w:rFonts w:cs="CIDFont+F2"/>
          <w:szCs w:val="26"/>
        </w:rPr>
        <w:t>can be found in</w:t>
      </w:r>
      <w:r w:rsidR="00661EB7">
        <w:rPr>
          <w:rFonts w:cs="CIDFont+F2"/>
          <w:szCs w:val="26"/>
        </w:rPr>
        <w:t xml:space="preserve"> </w:t>
      </w:r>
      <w:r w:rsidRPr="00151621" w:rsidR="00AC4936">
        <w:rPr>
          <w:rFonts w:cs="Arial"/>
          <w:bCs/>
          <w:szCs w:val="26"/>
        </w:rPr>
        <w:t>Attachment</w:t>
      </w:r>
      <w:r w:rsidRPr="0098655A" w:rsidR="00AC4936">
        <w:rPr>
          <w:rFonts w:cs="Arial"/>
          <w:b/>
          <w:szCs w:val="26"/>
        </w:rPr>
        <w:t xml:space="preserve"> </w:t>
      </w:r>
      <w:r w:rsidR="00661EB7">
        <w:rPr>
          <w:rFonts w:cs="CIDFont+F2"/>
          <w:szCs w:val="26"/>
        </w:rPr>
        <w:t>B</w:t>
      </w:r>
      <w:r>
        <w:rPr>
          <w:rFonts w:cs="CIDFont+F2"/>
          <w:szCs w:val="26"/>
        </w:rPr>
        <w:t xml:space="preserve"> of this decision</w:t>
      </w:r>
      <w:r w:rsidR="00661EB7">
        <w:rPr>
          <w:rFonts w:cs="CIDFont+F2"/>
          <w:szCs w:val="26"/>
        </w:rPr>
        <w:t>.</w:t>
      </w:r>
    </w:p>
    <w:p w:rsidR="00661EB7" w:rsidP="00787AFF" w:rsidRDefault="00661EB7" w14:paraId="49987FC8" w14:textId="77777777">
      <w:pPr>
        <w:pStyle w:val="Heading2"/>
      </w:pPr>
      <w:bookmarkStart w:name="_Toc233342665" w:id="256"/>
      <w:bookmarkStart w:name="_Toc237414313" w:id="257"/>
      <w:r>
        <w:t>Standard of Review</w:t>
      </w:r>
      <w:bookmarkEnd w:id="256"/>
      <w:bookmarkEnd w:id="257"/>
      <w:r>
        <w:t xml:space="preserve"> </w:t>
      </w:r>
    </w:p>
    <w:p w:rsidR="00661EB7" w:rsidP="00661EB7" w:rsidRDefault="00661EB7" w14:paraId="7A6AF8CA" w14:textId="77777777">
      <w:r>
        <w:t xml:space="preserve">The Commission’s Rules of Practice and Procedure (Rules) Article 12 governs the consideration of settlements. </w:t>
      </w:r>
    </w:p>
    <w:p w:rsidR="00661EB7" w:rsidP="00661EB7" w:rsidRDefault="00661EB7" w14:paraId="74D7551E" w14:textId="77777777">
      <w:r>
        <w:t>Rule 12.1(c)</w:t>
      </w:r>
      <w:r w:rsidRPr="007D6DBE">
        <w:rPr>
          <w:rFonts w:ascii="Verdana" w:hAnsi="Verdana" w:cs="Verdana"/>
          <w:color w:val="000000"/>
          <w:sz w:val="23"/>
          <w:szCs w:val="23"/>
        </w:rPr>
        <w:t xml:space="preserve"> </w:t>
      </w:r>
      <w:r w:rsidRPr="00C47F68">
        <w:t>states</w:t>
      </w:r>
      <w:r>
        <w:t xml:space="preserve"> that s</w:t>
      </w:r>
      <w:r w:rsidRPr="007D6DBE">
        <w:t>ettlements should ordinarily not include deadlines for Commission approval</w:t>
      </w:r>
      <w:r>
        <w:t xml:space="preserve">. </w:t>
      </w:r>
      <w:r w:rsidRPr="007D6DBE">
        <w:t xml:space="preserve"> </w:t>
      </w:r>
      <w:r>
        <w:t>H</w:t>
      </w:r>
      <w:r w:rsidRPr="007D6DBE">
        <w:t>owever, in the rare case where delay beyond a certain date would invalidate the basis for the proposal, the timing urgency must be clearly stated and fully justified in the motion.</w:t>
      </w:r>
    </w:p>
    <w:p w:rsidR="00661EB7" w:rsidP="00661EB7" w:rsidRDefault="00661EB7" w14:paraId="03E943EF" w14:textId="77777777">
      <w:r w:rsidRPr="00C47F68">
        <w:t>Rule 12.1(d) states, in part,</w:t>
      </w:r>
      <w:r>
        <w:t xml:space="preserve"> that t</w:t>
      </w:r>
      <w:r w:rsidRPr="007D6DBE">
        <w:t xml:space="preserve">he Commission will not approve settlements, whether contested or uncontested, unless the settlement is </w:t>
      </w:r>
      <w:r w:rsidRPr="007D6DBE">
        <w:lastRenderedPageBreak/>
        <w:t>reasonable in light of the whole record, consistent with law, and in the public interest.</w:t>
      </w:r>
    </w:p>
    <w:p w:rsidR="00661EB7" w:rsidP="00787AFF" w:rsidRDefault="00661EB7" w14:paraId="72018C44" w14:textId="77777777">
      <w:pPr>
        <w:pStyle w:val="Heading2"/>
      </w:pPr>
      <w:bookmarkStart w:name="_Toc233342666" w:id="258"/>
      <w:bookmarkStart w:name="_Toc237414314" w:id="259"/>
      <w:r>
        <w:t>Rule 12.1(c)</w:t>
      </w:r>
      <w:bookmarkEnd w:id="258"/>
      <w:bookmarkEnd w:id="259"/>
    </w:p>
    <w:p w:rsidR="00661EB7" w:rsidP="00661EB7" w:rsidRDefault="00661EB7" w14:paraId="406F09C2" w14:textId="0E5A7711">
      <w:pPr>
        <w:pStyle w:val="Standard"/>
      </w:pPr>
      <w:r>
        <w:t>The Joint Applicants</w:t>
      </w:r>
      <w:r w:rsidR="00A01855">
        <w:t>-</w:t>
      </w:r>
      <w:r>
        <w:t xml:space="preserve">Cal Advocates </w:t>
      </w:r>
      <w:r w:rsidR="00A01855">
        <w:t xml:space="preserve">Settlement Agreement </w:t>
      </w:r>
      <w:r>
        <w:t xml:space="preserve">has no adoption deadline. However, the Joint Applicants and CETF </w:t>
      </w:r>
      <w:r w:rsidR="00D25579">
        <w:t xml:space="preserve">request, due to </w:t>
      </w:r>
      <w:r>
        <w:t xml:space="preserve">urgency, to accelerate the Commission’s adoption of their settlement by June 30, 2026.  </w:t>
      </w:r>
      <w:r w:rsidR="003F58A7">
        <w:t xml:space="preserve">We deny </w:t>
      </w:r>
      <w:r w:rsidR="00F26265">
        <w:t>their</w:t>
      </w:r>
      <w:r w:rsidR="00EF5174">
        <w:t xml:space="preserve"> request. </w:t>
      </w:r>
    </w:p>
    <w:p w:rsidR="00661EB7" w:rsidP="00661EB7" w:rsidRDefault="00661EB7" w14:paraId="7ED63775" w14:textId="77777777">
      <w:pPr>
        <w:pStyle w:val="Standard"/>
      </w:pPr>
      <w:r>
        <w:t xml:space="preserve">CETF indicates that the urgency associated with adopting their settlement is the </w:t>
      </w:r>
      <w:r w:rsidRPr="000E5BD2">
        <w:t>clearance period</w:t>
      </w:r>
      <w:r>
        <w:t xml:space="preserve"> associated with their federal HSR filing.  CETF also indicates that </w:t>
      </w:r>
      <w:r w:rsidRPr="000E5BD2">
        <w:t>would cause material and business disruptions.</w:t>
      </w:r>
      <w:r>
        <w:t xml:space="preserve"> </w:t>
      </w:r>
    </w:p>
    <w:p w:rsidR="00661EB7" w:rsidP="00661EB7" w:rsidRDefault="00661EB7" w14:paraId="7B1A777D" w14:textId="0B4D3691">
      <w:pPr>
        <w:pStyle w:val="Standard"/>
      </w:pPr>
      <w:r>
        <w:t xml:space="preserve">The Commission is unmoved by these arguments. </w:t>
      </w:r>
      <w:r w:rsidR="008E1D0A">
        <w:t xml:space="preserve">The assigned ALJ provided an opportunity for the Joint Applicants to make their scheduling needs, such as deadlines, known, at the prehearing conference.  Joint Applicants did not request expedited review of their application.  </w:t>
      </w:r>
      <w:r>
        <w:t xml:space="preserve">It is incumbent upon Joint Applicants to make their needs, such as deadlines, known so that reviewing agencies can respond to the requests before it.  </w:t>
      </w:r>
    </w:p>
    <w:p w:rsidR="00661EB7" w:rsidP="00661EB7" w:rsidRDefault="008E1D0A" w14:paraId="4166FD82" w14:textId="58EFA2DD">
      <w:pPr>
        <w:pStyle w:val="Standard"/>
      </w:pPr>
      <w:r w:rsidRPr="00955D27">
        <w:t>TURN notes that the Joint Applicants/CETF settlement fails to justify its urgency request, as it must under Rule 12.1(c).</w:t>
      </w:r>
      <w:r w:rsidRPr="00955D27">
        <w:rPr>
          <w:vertAlign w:val="superscript"/>
        </w:rPr>
        <w:footnoteReference w:id="105"/>
      </w:r>
      <w:r w:rsidRPr="00955D27">
        <w:t xml:space="preserve">  </w:t>
      </w:r>
      <w:r w:rsidR="00661EB7">
        <w:t>Rule 12.1(c) is</w:t>
      </w:r>
      <w:r w:rsidRPr="00BD3CE2" w:rsidR="00661EB7">
        <w:t xml:space="preserve"> not</w:t>
      </w:r>
      <w:r w:rsidR="00661EB7">
        <w:t xml:space="preserve"> satisfied without a clearly stated and fully justified reason for the urgency in the motion. Therefore, we deny the request to accelerate adoption of the settlement. </w:t>
      </w:r>
      <w:bookmarkStart w:name="_Toc233110322" w:id="260"/>
      <w:bookmarkStart w:name="_Toc233110323" w:id="261"/>
      <w:bookmarkStart w:name="_Toc233110324" w:id="262"/>
      <w:bookmarkStart w:name="_Toc233110325" w:id="263"/>
      <w:bookmarkEnd w:id="260"/>
      <w:bookmarkEnd w:id="261"/>
      <w:bookmarkEnd w:id="262"/>
      <w:bookmarkEnd w:id="263"/>
      <w:r w:rsidR="00661EB7">
        <w:t xml:space="preserve"> </w:t>
      </w:r>
    </w:p>
    <w:p w:rsidR="00661EB7" w:rsidP="00787AFF" w:rsidRDefault="00661EB7" w14:paraId="27182AE3" w14:textId="77777777">
      <w:pPr>
        <w:pStyle w:val="Heading2"/>
      </w:pPr>
      <w:bookmarkStart w:name="_Toc233342667" w:id="264"/>
      <w:bookmarkStart w:name="_Toc237414315" w:id="265"/>
      <w:r>
        <w:t>Reasonable In Light of the Whole Record</w:t>
      </w:r>
      <w:bookmarkEnd w:id="264"/>
      <w:bookmarkEnd w:id="265"/>
      <w:r>
        <w:t xml:space="preserve"> </w:t>
      </w:r>
    </w:p>
    <w:p w:rsidR="00661EB7" w:rsidP="00661EB7" w:rsidRDefault="00661EB7" w14:paraId="653204F4" w14:textId="0AC4942A">
      <w:pPr>
        <w:pStyle w:val="Standard"/>
      </w:pPr>
      <w:r>
        <w:t xml:space="preserve">The first question the Commission must consider is whether the </w:t>
      </w:r>
      <w:r w:rsidR="00C314FC">
        <w:t>S</w:t>
      </w:r>
      <w:r>
        <w:t xml:space="preserve">ettlement </w:t>
      </w:r>
      <w:r w:rsidR="00C314FC">
        <w:t>A</w:t>
      </w:r>
      <w:r>
        <w:t xml:space="preserve">greements are reasonable in light of the whole record.  </w:t>
      </w:r>
    </w:p>
    <w:p w:rsidR="00001054" w:rsidP="00787AFF" w:rsidRDefault="00001054" w14:paraId="3542ADF7" w14:textId="030616F6">
      <w:pPr>
        <w:pStyle w:val="Heading3"/>
      </w:pPr>
      <w:bookmarkStart w:name="_Toc233110330" w:id="266"/>
      <w:bookmarkStart w:name="_Toc233110895" w:id="267"/>
      <w:bookmarkStart w:name="_Toc233111241" w:id="268"/>
      <w:bookmarkStart w:name="_Toc233116677" w:id="269"/>
      <w:bookmarkStart w:name="_Toc237414316" w:id="270"/>
      <w:bookmarkStart w:name="_Toc233342668" w:id="271"/>
      <w:bookmarkEnd w:id="266"/>
      <w:bookmarkEnd w:id="267"/>
      <w:bookmarkEnd w:id="268"/>
      <w:bookmarkEnd w:id="269"/>
      <w:r>
        <w:lastRenderedPageBreak/>
        <w:t>Joint Applicants and Cal Advocates</w:t>
      </w:r>
      <w:bookmarkEnd w:id="270"/>
      <w:r>
        <w:t xml:space="preserve"> </w:t>
      </w:r>
    </w:p>
    <w:p w:rsidRPr="00461798" w:rsidR="00001054" w:rsidP="00001054" w:rsidRDefault="00001054" w14:paraId="5A18AA6E" w14:textId="6D79C315">
      <w:pPr>
        <w:pStyle w:val="Standard"/>
      </w:pPr>
      <w:r>
        <w:t xml:space="preserve">In their Joint Motion, Joint Applicants and Cal Advocates assert that the terms of the </w:t>
      </w:r>
      <w:r w:rsidRPr="00B64426">
        <w:t>Joint Applicants-</w:t>
      </w:r>
      <w:r>
        <w:t xml:space="preserve">Cal Advocates </w:t>
      </w:r>
      <w:r w:rsidRPr="00B64426">
        <w:t>Settlement Agreement</w:t>
      </w:r>
      <w:r>
        <w:t xml:space="preserve"> are reasonable in light of the general record established to support the transfer and the concerns expressed by Cal Advocates in its pleadings and testimony.</w:t>
      </w:r>
      <w:r>
        <w:rPr>
          <w:rStyle w:val="FootnoteReference"/>
        </w:rPr>
        <w:footnoteReference w:id="106"/>
      </w:r>
      <w:r>
        <w:t xml:space="preserve">  Specifically, Joint Applicants and Cal Advocates highlight that the </w:t>
      </w:r>
      <w:r w:rsidRPr="00B64426">
        <w:t>Joint Applicants-</w:t>
      </w:r>
      <w:r>
        <w:t xml:space="preserve">Cal Advocates </w:t>
      </w:r>
      <w:r w:rsidRPr="00B64426">
        <w:t>Settlement Agreement</w:t>
      </w:r>
      <w:r>
        <w:t xml:space="preserve"> makes substantial commitments “with respect to broadband affordability and adoption, advertising of low-income offers, promotional pricing practices, public safety, resiliency, and broadband adoption reporting.”</w:t>
      </w:r>
      <w:r>
        <w:rPr>
          <w:rStyle w:val="FootnoteReference"/>
        </w:rPr>
        <w:footnoteReference w:id="107"/>
      </w:r>
    </w:p>
    <w:p w:rsidR="00661EB7" w:rsidP="00787AFF" w:rsidRDefault="00661EB7" w14:paraId="4AF4F136" w14:textId="362F12F4">
      <w:pPr>
        <w:pStyle w:val="Heading3"/>
      </w:pPr>
      <w:bookmarkStart w:name="_Toc237414317" w:id="272"/>
      <w:r>
        <w:t>Joint Applicants and CETF</w:t>
      </w:r>
      <w:bookmarkEnd w:id="271"/>
      <w:bookmarkEnd w:id="272"/>
    </w:p>
    <w:p w:rsidRPr="006F1D2E" w:rsidR="00661EB7" w:rsidP="00661EB7" w:rsidRDefault="00661EB7" w14:paraId="31D68606" w14:textId="2B9ACED1">
      <w:pPr>
        <w:pStyle w:val="Standard"/>
      </w:pPr>
      <w:r>
        <w:t xml:space="preserve">In their Joint Motion, Joint Applicants and CETF assert that the terms of the </w:t>
      </w:r>
      <w:r w:rsidRPr="00B64426" w:rsidR="00C314FC">
        <w:t>Joint Applicants-</w:t>
      </w:r>
      <w:r w:rsidR="00C314FC">
        <w:t xml:space="preserve">CETF </w:t>
      </w:r>
      <w:r w:rsidRPr="00B64426" w:rsidR="00C314FC">
        <w:t>Settlement Agreement</w:t>
      </w:r>
      <w:r w:rsidR="00C314FC">
        <w:t xml:space="preserve"> </w:t>
      </w:r>
      <w:r>
        <w:t>are reasonable in light of the general record established to support the transfer and the concerns expressed by CETF in its pleadings and testimony.</w:t>
      </w:r>
      <w:r>
        <w:rPr>
          <w:rStyle w:val="FootnoteReference"/>
        </w:rPr>
        <w:footnoteReference w:id="108"/>
      </w:r>
      <w:r>
        <w:t xml:space="preserve">  Specifically, Joint Applicants and CETF highlight that the </w:t>
      </w:r>
      <w:r w:rsidRPr="00B64426" w:rsidR="00C314FC">
        <w:t>Joint Applicants-</w:t>
      </w:r>
      <w:r w:rsidR="00C314FC">
        <w:t xml:space="preserve">CETF </w:t>
      </w:r>
      <w:r w:rsidRPr="00B64426" w:rsidR="00C314FC">
        <w:t>Settlement Agreement</w:t>
      </w:r>
      <w:r w:rsidR="00C314FC">
        <w:t xml:space="preserve"> </w:t>
      </w:r>
      <w:r>
        <w:t>directly addresses the broad array of issues CETF raised and offers an “’appropriate, fair and comparable’ set of public benefits to consumers, particularly in the areas of broadband deployment, digital inclusion, affordable offers, and compliance with GO 156 and the Commissions [ESJ] Action Plan.”</w:t>
      </w:r>
      <w:r>
        <w:rPr>
          <w:rStyle w:val="FootnoteReference"/>
        </w:rPr>
        <w:footnoteReference w:id="109"/>
      </w:r>
    </w:p>
    <w:p w:rsidRPr="00F46103" w:rsidR="00661EB7" w:rsidP="00787AFF" w:rsidRDefault="00661EB7" w14:paraId="65B3C05D" w14:textId="77777777">
      <w:pPr>
        <w:pStyle w:val="Heading3"/>
      </w:pPr>
      <w:bookmarkStart w:name="_Toc233228728" w:id="273"/>
      <w:bookmarkStart w:name="_Toc233228849" w:id="274"/>
      <w:bookmarkStart w:name="_Toc233228729" w:id="275"/>
      <w:bookmarkStart w:name="_Toc233228850" w:id="276"/>
      <w:bookmarkStart w:name="_Toc233228730" w:id="277"/>
      <w:bookmarkStart w:name="_Toc233228851" w:id="278"/>
      <w:bookmarkStart w:name="_Toc233228731" w:id="279"/>
      <w:bookmarkStart w:name="_Toc233228852" w:id="280"/>
      <w:bookmarkStart w:name="_Toc233239940" w:id="281"/>
      <w:bookmarkStart w:name="_Toc233240074" w:id="282"/>
      <w:bookmarkStart w:name="_Toc233273809" w:id="283"/>
      <w:bookmarkStart w:name="_Toc233110333" w:id="284"/>
      <w:bookmarkStart w:name="_Toc233110898" w:id="285"/>
      <w:bookmarkStart w:name="_Toc233111244" w:id="286"/>
      <w:bookmarkStart w:name="_Toc233116680" w:id="287"/>
      <w:bookmarkStart w:name="_Toc233228734" w:id="288"/>
      <w:bookmarkStart w:name="_Toc233228855" w:id="289"/>
      <w:bookmarkStart w:name="_Toc233110334" w:id="290"/>
      <w:bookmarkStart w:name="_Toc233110899" w:id="291"/>
      <w:bookmarkStart w:name="_Toc233111245" w:id="292"/>
      <w:bookmarkStart w:name="_Toc233116681" w:id="293"/>
      <w:bookmarkStart w:name="_Toc233228735" w:id="294"/>
      <w:bookmarkStart w:name="_Toc233228856" w:id="295"/>
      <w:bookmarkStart w:name="_Toc233342670" w:id="296"/>
      <w:bookmarkStart w:name="_Toc237414318" w:id="297"/>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F46103">
        <w:lastRenderedPageBreak/>
        <w:t>TURN</w:t>
      </w:r>
      <w:bookmarkEnd w:id="296"/>
      <w:bookmarkEnd w:id="297"/>
    </w:p>
    <w:p w:rsidRPr="002857BF" w:rsidR="00661EB7" w:rsidP="00661EB7" w:rsidRDefault="649618A4" w14:paraId="3BE79790" w14:textId="419DF96C">
      <w:pPr>
        <w:pStyle w:val="Standard"/>
      </w:pPr>
      <w:r>
        <w:t>TURN did not explicitly state</w:t>
      </w:r>
      <w:r w:rsidR="13053F25">
        <w:t xml:space="preserve"> whether the settlement agreements are reasonable in light of the record.  Instead, TURN focuses on whether the settlement agreements are in the public interest. The discussion of public interest is below.</w:t>
      </w:r>
    </w:p>
    <w:p w:rsidR="00661EB7" w:rsidP="00787AFF" w:rsidRDefault="00661EB7" w14:paraId="3EAE38BE" w14:textId="77777777">
      <w:pPr>
        <w:pStyle w:val="Heading3"/>
      </w:pPr>
      <w:bookmarkStart w:name="_Toc233110357" w:id="298"/>
      <w:bookmarkStart w:name="_Toc233110922" w:id="299"/>
      <w:bookmarkStart w:name="_Toc233111268" w:id="300"/>
      <w:bookmarkStart w:name="_Toc233116704" w:id="301"/>
      <w:bookmarkStart w:name="_Toc233228737" w:id="302"/>
      <w:bookmarkStart w:name="_Toc233228858" w:id="303"/>
      <w:bookmarkStart w:name="_Toc233110358" w:id="304"/>
      <w:bookmarkStart w:name="_Toc233110923" w:id="305"/>
      <w:bookmarkStart w:name="_Toc233111269" w:id="306"/>
      <w:bookmarkStart w:name="_Toc233116705" w:id="307"/>
      <w:bookmarkStart w:name="_Toc233228738" w:id="308"/>
      <w:bookmarkStart w:name="_Toc233228859" w:id="309"/>
      <w:bookmarkStart w:name="_Toc233110359" w:id="310"/>
      <w:bookmarkStart w:name="_Toc233110924" w:id="311"/>
      <w:bookmarkStart w:name="_Toc233111270" w:id="312"/>
      <w:bookmarkStart w:name="_Toc233116706" w:id="313"/>
      <w:bookmarkStart w:name="_Toc233228739" w:id="314"/>
      <w:bookmarkStart w:name="_Toc233228860" w:id="315"/>
      <w:bookmarkStart w:name="_Toc233110360" w:id="316"/>
      <w:bookmarkStart w:name="_Toc233110925" w:id="317"/>
      <w:bookmarkStart w:name="_Toc233111271" w:id="318"/>
      <w:bookmarkStart w:name="_Toc233116707" w:id="319"/>
      <w:bookmarkStart w:name="_Toc233228740" w:id="320"/>
      <w:bookmarkStart w:name="_Toc233228861" w:id="321"/>
      <w:bookmarkStart w:name="_Toc233110361" w:id="322"/>
      <w:bookmarkStart w:name="_Toc233110926" w:id="323"/>
      <w:bookmarkStart w:name="_Toc233111272" w:id="324"/>
      <w:bookmarkStart w:name="_Toc233116708" w:id="325"/>
      <w:bookmarkStart w:name="_Toc233228741" w:id="326"/>
      <w:bookmarkStart w:name="_Toc233228862" w:id="327"/>
      <w:bookmarkStart w:name="_Toc233110362" w:id="328"/>
      <w:bookmarkStart w:name="_Toc233110927" w:id="329"/>
      <w:bookmarkStart w:name="_Toc233111273" w:id="330"/>
      <w:bookmarkStart w:name="_Toc233116709" w:id="331"/>
      <w:bookmarkStart w:name="_Toc233228742" w:id="332"/>
      <w:bookmarkStart w:name="_Toc233228863" w:id="333"/>
      <w:bookmarkStart w:name="_Toc233342671" w:id="334"/>
      <w:bookmarkStart w:name="_Toc237414319" w:id="335"/>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t>Joint Advocates</w:t>
      </w:r>
      <w:bookmarkEnd w:id="334"/>
      <w:bookmarkEnd w:id="335"/>
    </w:p>
    <w:p w:rsidR="00661EB7" w:rsidP="00661EB7" w:rsidRDefault="00661EB7" w14:paraId="3CC3AB2A" w14:textId="5B6A0874">
      <w:pPr>
        <w:autoSpaceDE w:val="0"/>
        <w:autoSpaceDN w:val="0"/>
        <w:adjustRightInd w:val="0"/>
        <w:rPr>
          <w:rFonts w:cs="TimesNewRomanPSMT"/>
        </w:rPr>
      </w:pPr>
      <w:r w:rsidRPr="0021023F">
        <w:rPr>
          <w:rFonts w:cs="TimesNewRomanPSMT"/>
        </w:rPr>
        <w:t>Media Alliance</w:t>
      </w:r>
      <w:r>
        <w:rPr>
          <w:rFonts w:cs="TimesNewRomanPSMT"/>
        </w:rPr>
        <w:t>, CADE</w:t>
      </w:r>
      <w:r w:rsidRPr="0021023F">
        <w:rPr>
          <w:rFonts w:cs="TimesNewRomanPSMT"/>
        </w:rPr>
        <w:t xml:space="preserve">, </w:t>
      </w:r>
      <w:r>
        <w:rPr>
          <w:rFonts w:cs="TimesNewRomanPSMT"/>
        </w:rPr>
        <w:t>FCDI</w:t>
      </w:r>
      <w:r w:rsidRPr="0021023F">
        <w:rPr>
          <w:rFonts w:cs="TimesNewRomanPSMT"/>
        </w:rPr>
        <w:t xml:space="preserve">, </w:t>
      </w:r>
      <w:r>
        <w:rPr>
          <w:rFonts w:cs="TimesNewRomanPSMT"/>
        </w:rPr>
        <w:t>EBBC</w:t>
      </w:r>
      <w:r w:rsidRPr="0021023F">
        <w:rPr>
          <w:rFonts w:cs="TimesNewRomanPSMT"/>
        </w:rPr>
        <w:t xml:space="preserve">, and </w:t>
      </w:r>
      <w:r>
        <w:rPr>
          <w:rFonts w:cs="TimesNewRomanPSMT"/>
        </w:rPr>
        <w:t xml:space="preserve">DELA, as Joint </w:t>
      </w:r>
      <w:r w:rsidRPr="0021023F">
        <w:rPr>
          <w:rFonts w:cs="TimesNewRomanPSMT"/>
        </w:rPr>
        <w:t xml:space="preserve">Advocates submitted comments on </w:t>
      </w:r>
      <w:r w:rsidR="003A0B80">
        <w:rPr>
          <w:rFonts w:cs="TimesNewRomanPSMT"/>
        </w:rPr>
        <w:t>the S</w:t>
      </w:r>
      <w:r w:rsidRPr="0021023F">
        <w:rPr>
          <w:rFonts w:cs="TimesNewRomanPSMT"/>
        </w:rPr>
        <w:t xml:space="preserve">ettlement </w:t>
      </w:r>
      <w:r w:rsidR="003A0B80">
        <w:rPr>
          <w:rFonts w:cs="TimesNewRomanPSMT"/>
        </w:rPr>
        <w:t>A</w:t>
      </w:r>
      <w:r w:rsidRPr="0021023F" w:rsidR="003A0B80">
        <w:rPr>
          <w:rFonts w:cs="TimesNewRomanPSMT"/>
        </w:rPr>
        <w:t>greement</w:t>
      </w:r>
      <w:r w:rsidR="003A0B80">
        <w:rPr>
          <w:rFonts w:cs="TimesNewRomanPSMT"/>
        </w:rPr>
        <w:t xml:space="preserve">s to identify </w:t>
      </w:r>
      <w:r>
        <w:rPr>
          <w:rFonts w:cs="TimesNewRomanPSMT"/>
        </w:rPr>
        <w:t xml:space="preserve">areas where the </w:t>
      </w:r>
      <w:r w:rsidR="003A0B80">
        <w:rPr>
          <w:rFonts w:cs="TimesNewRomanPSMT"/>
        </w:rPr>
        <w:t xml:space="preserve">Settlement Agreements </w:t>
      </w:r>
      <w:r>
        <w:rPr>
          <w:rFonts w:cs="TimesNewRomanPSMT"/>
        </w:rPr>
        <w:t>and the record are not aligned.</w:t>
      </w:r>
    </w:p>
    <w:p w:rsidRPr="0021023F" w:rsidR="00661EB7" w:rsidP="00661EB7" w:rsidRDefault="00661EB7" w14:paraId="398A3171" w14:textId="1990D9A1">
      <w:pPr>
        <w:autoSpaceDE w:val="0"/>
        <w:autoSpaceDN w:val="0"/>
        <w:adjustRightInd w:val="0"/>
        <w:rPr>
          <w:rFonts w:cs="TimesNewRomanPSMT"/>
        </w:rPr>
      </w:pPr>
      <w:r>
        <w:rPr>
          <w:rFonts w:cs="TimesNewRomanPSMT"/>
        </w:rPr>
        <w:t xml:space="preserve">For example, they note that the </w:t>
      </w:r>
      <w:r w:rsidR="003A0B80">
        <w:rPr>
          <w:rFonts w:cs="TimesNewRomanPSMT"/>
        </w:rPr>
        <w:t xml:space="preserve">Settlement Agreements </w:t>
      </w:r>
      <w:r>
        <w:rPr>
          <w:rFonts w:cs="TimesNewRomanPSMT"/>
        </w:rPr>
        <w:t>are silent on the disaster resiliency issues DELA raised in the record.</w:t>
      </w:r>
      <w:r>
        <w:rPr>
          <w:rStyle w:val="FootnoteReference"/>
          <w:rFonts w:cs="TimesNewRomanPSMT"/>
        </w:rPr>
        <w:footnoteReference w:id="110"/>
      </w:r>
      <w:r>
        <w:rPr>
          <w:rFonts w:cs="TimesNewRomanPSMT"/>
        </w:rPr>
        <w:t xml:space="preserve">  The Joint Advocates also highlight “the depth of the affordability crisis documented in the record” to both (1) support the </w:t>
      </w:r>
      <w:r w:rsidRPr="00B64426" w:rsidR="00C314FC">
        <w:t>Joint Applicants-</w:t>
      </w:r>
      <w:r w:rsidR="00C314FC">
        <w:t xml:space="preserve">Cal Advocates </w:t>
      </w:r>
      <w:r w:rsidRPr="00B64426" w:rsidR="00C314FC">
        <w:t>Settlement Agreement</w:t>
      </w:r>
      <w:r>
        <w:rPr>
          <w:rFonts w:cs="TimesNewRomanPSMT"/>
        </w:rPr>
        <w:t>’s commitments to establish new California LifeLine Service Tiers and fixed pricing provisions and (2) assert that a five-year term is insufficient.</w:t>
      </w:r>
      <w:r>
        <w:rPr>
          <w:rStyle w:val="FootnoteReference"/>
          <w:rFonts w:cs="TimesNewRomanPSMT"/>
        </w:rPr>
        <w:footnoteReference w:id="111"/>
      </w:r>
      <w:r>
        <w:rPr>
          <w:rFonts w:cs="TimesNewRomanPSMT"/>
        </w:rPr>
        <w:t xml:space="preserve">  Separately, the Joint Applicants note that the </w:t>
      </w:r>
      <w:r w:rsidRPr="00B64426" w:rsidR="00C314FC">
        <w:t>Joint Applicants-</w:t>
      </w:r>
      <w:r w:rsidR="00C314FC">
        <w:t xml:space="preserve">Cal Advocates </w:t>
      </w:r>
      <w:r w:rsidRPr="00B64426" w:rsidR="00C314FC">
        <w:t>Settlement Agreement</w:t>
      </w:r>
      <w:r w:rsidR="00C314FC">
        <w:t xml:space="preserve"> </w:t>
      </w:r>
      <w:r>
        <w:rPr>
          <w:rFonts w:cs="TimesNewRomanPSMT"/>
        </w:rPr>
        <w:t>does not address Charter’s practice of reporting customers to credit reporting agencies, despite the record that such reporting can affect a customer’s future eligibility for low-income plans.</w:t>
      </w:r>
      <w:r>
        <w:rPr>
          <w:rStyle w:val="FootnoteReference"/>
          <w:rFonts w:cs="TimesNewRomanPSMT"/>
        </w:rPr>
        <w:footnoteReference w:id="112"/>
      </w:r>
      <w:r w:rsidRPr="0021023F">
        <w:rPr>
          <w:rFonts w:cs="TimesNewRomanPSMT"/>
        </w:rPr>
        <w:t xml:space="preserve"> </w:t>
      </w:r>
      <w:r>
        <w:rPr>
          <w:rFonts w:cs="TimesNewRomanPSMT"/>
        </w:rPr>
        <w:t xml:space="preserve"> Finally, the Joint Advocates assert that neither of the settlement agreements address concerns raised by CforAT and CADE about the proposed transaction’s impacts on jobs — jobs in unrepresented and underrepresented communities.</w:t>
      </w:r>
      <w:r>
        <w:rPr>
          <w:rStyle w:val="FootnoteReference"/>
          <w:rFonts w:cs="TimesNewRomanPSMT"/>
        </w:rPr>
        <w:footnoteReference w:id="113"/>
      </w:r>
    </w:p>
    <w:p w:rsidRPr="00DD4F28" w:rsidR="00661EB7" w:rsidP="00787AFF" w:rsidRDefault="00661EB7" w14:paraId="059784F6" w14:textId="77777777">
      <w:pPr>
        <w:pStyle w:val="Heading3"/>
      </w:pPr>
      <w:bookmarkStart w:name="_Toc233110364" w:id="336"/>
      <w:bookmarkStart w:name="_Toc233110929" w:id="337"/>
      <w:bookmarkStart w:name="_Toc233111275" w:id="338"/>
      <w:bookmarkStart w:name="_Toc233116711" w:id="339"/>
      <w:bookmarkStart w:name="_Toc233228744" w:id="340"/>
      <w:bookmarkStart w:name="_Toc233228865" w:id="341"/>
      <w:bookmarkStart w:name="_Toc233110365" w:id="342"/>
      <w:bookmarkStart w:name="_Toc233110930" w:id="343"/>
      <w:bookmarkStart w:name="_Toc233111276" w:id="344"/>
      <w:bookmarkStart w:name="_Toc233116712" w:id="345"/>
      <w:bookmarkStart w:name="_Toc233228745" w:id="346"/>
      <w:bookmarkStart w:name="_Toc233228866" w:id="347"/>
      <w:bookmarkStart w:name="_Toc233110366" w:id="348"/>
      <w:bookmarkStart w:name="_Toc233110931" w:id="349"/>
      <w:bookmarkStart w:name="_Toc233111277" w:id="350"/>
      <w:bookmarkStart w:name="_Toc233116713" w:id="351"/>
      <w:bookmarkStart w:name="_Toc233228746" w:id="352"/>
      <w:bookmarkStart w:name="_Toc233228867" w:id="353"/>
      <w:bookmarkStart w:name="_Toc233110367" w:id="354"/>
      <w:bookmarkStart w:name="_Toc233110932" w:id="355"/>
      <w:bookmarkStart w:name="_Toc233111278" w:id="356"/>
      <w:bookmarkStart w:name="_Toc233116714" w:id="357"/>
      <w:bookmarkStart w:name="_Toc233228747" w:id="358"/>
      <w:bookmarkStart w:name="_Toc233228868" w:id="359"/>
      <w:bookmarkStart w:name="_Toc233110368" w:id="360"/>
      <w:bookmarkStart w:name="_Toc233110933" w:id="361"/>
      <w:bookmarkStart w:name="_Toc233111279" w:id="362"/>
      <w:bookmarkStart w:name="_Toc233116715" w:id="363"/>
      <w:bookmarkStart w:name="_Toc233228748" w:id="364"/>
      <w:bookmarkStart w:name="_Toc233228869" w:id="365"/>
      <w:bookmarkStart w:name="_Toc233110369" w:id="366"/>
      <w:bookmarkStart w:name="_Toc233110934" w:id="367"/>
      <w:bookmarkStart w:name="_Toc233111280" w:id="368"/>
      <w:bookmarkStart w:name="_Toc233116716" w:id="369"/>
      <w:bookmarkStart w:name="_Toc233228749" w:id="370"/>
      <w:bookmarkStart w:name="_Toc233228870" w:id="371"/>
      <w:bookmarkStart w:name="_Toc233110370" w:id="372"/>
      <w:bookmarkStart w:name="_Toc233110935" w:id="373"/>
      <w:bookmarkStart w:name="_Toc233111281" w:id="374"/>
      <w:bookmarkStart w:name="_Toc233116717" w:id="375"/>
      <w:bookmarkStart w:name="_Toc233228750" w:id="376"/>
      <w:bookmarkStart w:name="_Toc233228871" w:id="377"/>
      <w:bookmarkStart w:name="_Toc233110371" w:id="378"/>
      <w:bookmarkStart w:name="_Toc233110936" w:id="379"/>
      <w:bookmarkStart w:name="_Toc233111282" w:id="380"/>
      <w:bookmarkStart w:name="_Toc233116718" w:id="381"/>
      <w:bookmarkStart w:name="_Toc233228751" w:id="382"/>
      <w:bookmarkStart w:name="_Toc233228872" w:id="383"/>
      <w:bookmarkStart w:name="_Toc233110372" w:id="384"/>
      <w:bookmarkStart w:name="_Toc233110937" w:id="385"/>
      <w:bookmarkStart w:name="_Toc233111283" w:id="386"/>
      <w:bookmarkStart w:name="_Toc233116719" w:id="387"/>
      <w:bookmarkStart w:name="_Toc233228752" w:id="388"/>
      <w:bookmarkStart w:name="_Toc233228873" w:id="389"/>
      <w:bookmarkStart w:name="_Toc233110373" w:id="390"/>
      <w:bookmarkStart w:name="_Toc233110938" w:id="391"/>
      <w:bookmarkStart w:name="_Toc233111284" w:id="392"/>
      <w:bookmarkStart w:name="_Toc233116720" w:id="393"/>
      <w:bookmarkStart w:name="_Toc233228753" w:id="394"/>
      <w:bookmarkStart w:name="_Toc233228874" w:id="395"/>
      <w:bookmarkStart w:name="_Toc233110374" w:id="396"/>
      <w:bookmarkStart w:name="_Toc233110939" w:id="397"/>
      <w:bookmarkStart w:name="_Toc233111285" w:id="398"/>
      <w:bookmarkStart w:name="_Toc233116721" w:id="399"/>
      <w:bookmarkStart w:name="_Toc233228754" w:id="400"/>
      <w:bookmarkStart w:name="_Toc233228875" w:id="401"/>
      <w:bookmarkStart w:name="_Toc233342672" w:id="402"/>
      <w:bookmarkStart w:name="_Toc237414320" w:id="403"/>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DD4F28">
        <w:lastRenderedPageBreak/>
        <w:t>CforAT</w:t>
      </w:r>
      <w:bookmarkEnd w:id="402"/>
      <w:bookmarkEnd w:id="403"/>
    </w:p>
    <w:p w:rsidR="00661EB7" w:rsidP="00661EB7" w:rsidRDefault="00661EB7" w14:paraId="20D47ABB" w14:textId="7C72D4B3">
      <w:pPr>
        <w:rPr>
          <w:szCs w:val="26"/>
        </w:rPr>
      </w:pPr>
      <w:r w:rsidRPr="6CF2480A">
        <w:t xml:space="preserve">CforAT opposes the </w:t>
      </w:r>
      <w:r w:rsidR="00C314FC">
        <w:t>S</w:t>
      </w:r>
      <w:r w:rsidRPr="6CF2480A">
        <w:t xml:space="preserve">ettlement </w:t>
      </w:r>
      <w:r w:rsidR="00C314FC">
        <w:t>A</w:t>
      </w:r>
      <w:r w:rsidRPr="6CF2480A">
        <w:t>greements because they “do not address the majority of the issues raised in this proceeding and are therefore not reasonable in light of the entire record.”</w:t>
      </w:r>
      <w:r w:rsidRPr="6CF2480A">
        <w:rPr>
          <w:rStyle w:val="FootnoteReference"/>
        </w:rPr>
        <w:footnoteReference w:id="114"/>
      </w:r>
      <w:r w:rsidRPr="6CF2480A">
        <w:t xml:space="preserve">  CforAT </w:t>
      </w:r>
      <w:r w:rsidR="003A0B80">
        <w:t>argues</w:t>
      </w:r>
      <w:r w:rsidRPr="6CF2480A" w:rsidR="003A0B80">
        <w:t xml:space="preserve"> </w:t>
      </w:r>
      <w:r w:rsidRPr="6CF2480A">
        <w:t>that based on the record, the settlement terms for “affordable” broadband service will not be effective in supporting many customers in the combined company’s territory.</w:t>
      </w:r>
      <w:r w:rsidRPr="6CF2480A">
        <w:rPr>
          <w:rStyle w:val="FootnoteReference"/>
        </w:rPr>
        <w:footnoteReference w:id="115"/>
      </w:r>
      <w:r w:rsidRPr="6CF2480A">
        <w:t xml:space="preserve">  CforAT also asserts that the record indicates that the loopholes and exceptions to the</w:t>
      </w:r>
      <w:r w:rsidRPr="00C314FC" w:rsidR="00C314FC">
        <w:t xml:space="preserve"> </w:t>
      </w:r>
      <w:r w:rsidRPr="00B64426" w:rsidR="00C314FC">
        <w:t>Joint Applicants-</w:t>
      </w:r>
      <w:r w:rsidR="00C314FC">
        <w:t xml:space="preserve">Cal Advocates </w:t>
      </w:r>
      <w:r w:rsidRPr="00B64426" w:rsidR="00C314FC">
        <w:t>Settlement Agreement</w:t>
      </w:r>
      <w:r w:rsidR="00C314FC">
        <w:t xml:space="preserve"> </w:t>
      </w:r>
      <w:r w:rsidRPr="6CF2480A">
        <w:t>would completely cut the public interest benefits of the promotional pricing commitment.</w:t>
      </w:r>
      <w:r w:rsidRPr="6CF2480A">
        <w:rPr>
          <w:rStyle w:val="FootnoteReference"/>
        </w:rPr>
        <w:footnoteReference w:id="116"/>
      </w:r>
      <w:r w:rsidRPr="6CF2480A">
        <w:t xml:space="preserve">  Finally, CforAT expresses concern that the </w:t>
      </w:r>
      <w:r w:rsidRPr="00B64426" w:rsidR="00C314FC">
        <w:t>Joint Applicants-</w:t>
      </w:r>
      <w:r w:rsidR="00C314FC">
        <w:t xml:space="preserve">Cal Advocates </w:t>
      </w:r>
      <w:r w:rsidRPr="00B64426" w:rsidR="00C314FC">
        <w:t>Settlement Agreement</w:t>
      </w:r>
      <w:r w:rsidRPr="6CF2480A">
        <w:t>’s lack of terms on wireless service quality rules is inconsistent with the ample evidence in the record about the proposed transaction’s significant risk to service quality.</w:t>
      </w:r>
      <w:r w:rsidRPr="6CF2480A">
        <w:rPr>
          <w:rStyle w:val="FootnoteReference"/>
        </w:rPr>
        <w:footnoteReference w:id="117"/>
      </w:r>
    </w:p>
    <w:p w:rsidR="00661EB7" w:rsidP="00787AFF" w:rsidRDefault="00661EB7" w14:paraId="1275159A" w14:textId="77777777">
      <w:pPr>
        <w:pStyle w:val="Heading3"/>
      </w:pPr>
      <w:bookmarkStart w:name="_Toc233342673" w:id="404"/>
      <w:bookmarkStart w:name="_Toc237414321" w:id="405"/>
      <w:r>
        <w:t>Discussion</w:t>
      </w:r>
      <w:bookmarkEnd w:id="404"/>
      <w:bookmarkEnd w:id="405"/>
    </w:p>
    <w:p w:rsidR="00FC6F3A" w:rsidP="00661EB7" w:rsidRDefault="00FC6F3A" w14:paraId="3B568C51" w14:textId="5AE9CE3A">
      <w:pPr>
        <w:pStyle w:val="Standard"/>
      </w:pPr>
      <w:r>
        <w:t xml:space="preserve">The </w:t>
      </w:r>
      <w:r w:rsidRPr="00B64426">
        <w:t>Joint Applicants-</w:t>
      </w:r>
      <w:r>
        <w:t xml:space="preserve">Cal Advocates </w:t>
      </w:r>
      <w:r w:rsidRPr="00B64426">
        <w:t>Settlement Agreement</w:t>
      </w:r>
      <w:r>
        <w:t xml:space="preserve"> </w:t>
      </w:r>
      <w:r w:rsidR="00A0280B">
        <w:t>is reasonable in light of the whole record</w:t>
      </w:r>
      <w:r>
        <w:t xml:space="preserve"> on the issue of low-income offerings for the post-merger company.  </w:t>
      </w:r>
      <w:r w:rsidR="00A0280B">
        <w:t>However, approval of the transaction</w:t>
      </w:r>
      <w:r w:rsidR="00F12F9A">
        <w:t xml:space="preserve"> </w:t>
      </w:r>
      <w:r w:rsidR="00A0280B">
        <w:t xml:space="preserve">necessitates the adoption of </w:t>
      </w:r>
      <w:r w:rsidR="00F12F9A">
        <w:t xml:space="preserve"> mitigation measures to address concerns of the non-settling parties in areas not addressed by the Settlement Agreements.</w:t>
      </w:r>
    </w:p>
    <w:p w:rsidRPr="00B75A0F" w:rsidR="00661EB7" w:rsidP="00661EB7" w:rsidRDefault="6F41CBFD" w14:paraId="62E64872" w14:textId="5C56C240">
      <w:r>
        <w:t xml:space="preserve">Our review shows that while each settlement is </w:t>
      </w:r>
      <w:r w:rsidR="7F65B676">
        <w:t xml:space="preserve">reasonable given their individual terms and conditions, </w:t>
      </w:r>
      <w:r w:rsidR="579813C7">
        <w:t xml:space="preserve">the Settlement Agreements may contain </w:t>
      </w:r>
      <w:r w:rsidR="579813C7">
        <w:lastRenderedPageBreak/>
        <w:t xml:space="preserve">discrepancies </w:t>
      </w:r>
      <w:r w:rsidR="61CD64DD">
        <w:t>when considered together</w:t>
      </w:r>
      <w:r w:rsidR="13053F25">
        <w:t>.</w:t>
      </w:r>
      <w:r w:rsidR="00661EB7">
        <w:rPr>
          <w:rStyle w:val="FootnoteReference"/>
        </w:rPr>
        <w:footnoteReference w:id="118"/>
      </w:r>
      <w:r w:rsidR="13053F25">
        <w:t xml:space="preserve">  </w:t>
      </w:r>
      <w:r w:rsidR="3CB5B7B4">
        <w:t>Further, while t</w:t>
      </w:r>
      <w:r w:rsidR="3CB5B7B4">
        <w:rPr>
          <w:rFonts w:cs="Arial"/>
        </w:rPr>
        <w:t xml:space="preserve">he </w:t>
      </w:r>
      <w:r w:rsidRPr="00B64426" w:rsidR="3CB5B7B4">
        <w:t>Joint Applicants-</w:t>
      </w:r>
      <w:r w:rsidR="3CB5B7B4">
        <w:t xml:space="preserve">CETF </w:t>
      </w:r>
      <w:r w:rsidRPr="00B64426" w:rsidR="3CB5B7B4">
        <w:t>Settlement Agreement</w:t>
      </w:r>
      <w:r w:rsidR="3CB5B7B4">
        <w:t xml:space="preserve"> asserts that it will be the controlling document in any conflict between the two agreements, the </w:t>
      </w:r>
      <w:r w:rsidRPr="00B64426" w:rsidR="3CB5B7B4">
        <w:t>Joint Applicants-</w:t>
      </w:r>
      <w:r w:rsidR="3CB5B7B4">
        <w:t xml:space="preserve">Cal Advocates </w:t>
      </w:r>
      <w:r w:rsidRPr="00B64426" w:rsidR="3CB5B7B4">
        <w:t>Settlement Agreement</w:t>
      </w:r>
      <w:r w:rsidR="3CB5B7B4">
        <w:t xml:space="preserve"> is silent as to other agreements.  </w:t>
      </w:r>
      <w:r w:rsidR="00667CFA">
        <w:t xml:space="preserve">As Cal Advocates would be the party to give up its rights by subordinating its concerns to the Joint Applicants and CETF, the Joint Applicants-Cal Advocates Settlement Agreement is the only agreement that can declare the Joint Applicants-CETF Settlement Agreement superior.  </w:t>
      </w:r>
      <w:r w:rsidR="3CB5B7B4">
        <w:t xml:space="preserve">We have concerns about this, as the </w:t>
      </w:r>
      <w:r w:rsidRPr="00B64426" w:rsidR="3CB5B7B4">
        <w:t>Joint Applicants-</w:t>
      </w:r>
      <w:r w:rsidR="3CB5B7B4">
        <w:t xml:space="preserve">Cal Advocates </w:t>
      </w:r>
      <w:r w:rsidRPr="00B64426" w:rsidR="3CB5B7B4">
        <w:t>Settlement Agreement</w:t>
      </w:r>
      <w:r w:rsidR="3CB5B7B4">
        <w:t xml:space="preserve"> is the more detailed document as to the structure for low-income offerings.  I</w:t>
      </w:r>
      <w:r w:rsidR="64558506">
        <w:rPr>
          <w:rFonts w:cs="Arial"/>
        </w:rPr>
        <w:t>nconsistenc</w:t>
      </w:r>
      <w:r w:rsidR="3CB5B7B4">
        <w:rPr>
          <w:rFonts w:cs="Arial"/>
        </w:rPr>
        <w:t>ies in this area</w:t>
      </w:r>
      <w:r w:rsidR="64558506">
        <w:rPr>
          <w:rFonts w:cs="Arial"/>
        </w:rPr>
        <w:t xml:space="preserve"> </w:t>
      </w:r>
      <w:r w:rsidR="0BEE07AC">
        <w:rPr>
          <w:rFonts w:cs="Arial"/>
        </w:rPr>
        <w:t xml:space="preserve">could impact </w:t>
      </w:r>
      <w:r w:rsidRPr="6CF2480A" w:rsidR="13053F25">
        <w:rPr>
          <w:rFonts w:cs="Arial"/>
        </w:rPr>
        <w:t xml:space="preserve">the post-merger company’s commitment to institute its </w:t>
      </w:r>
      <w:r w:rsidRPr="6CF2480A" w:rsidR="13053F25">
        <w:t>New California LifeLine Service Tiers</w:t>
      </w:r>
      <w:r w:rsidRPr="6CF2480A" w:rsidR="13053F25">
        <w:rPr>
          <w:rFonts w:cs="Arial"/>
        </w:rPr>
        <w:t xml:space="preserve"> and the </w:t>
      </w:r>
      <w:r w:rsidRPr="6CF2480A" w:rsidR="13053F25">
        <w:t>Standalone Non-LifeLine Service Tier</w:t>
      </w:r>
      <w:r w:rsidRPr="6CF2480A" w:rsidR="13053F25">
        <w:rPr>
          <w:rFonts w:cs="Arial"/>
        </w:rPr>
        <w:t xml:space="preserve">. </w:t>
      </w:r>
      <w:r w:rsidR="14AE56C8">
        <w:rPr>
          <w:rFonts w:cs="Arial"/>
        </w:rPr>
        <w:t xml:space="preserve"> </w:t>
      </w:r>
    </w:p>
    <w:p w:rsidR="00661EB7" w:rsidP="00661EB7" w:rsidRDefault="00C575B4" w14:paraId="3776183A" w14:textId="49A7D642">
      <w:pPr>
        <w:pStyle w:val="Standard"/>
      </w:pPr>
      <w:r>
        <w:t>To avoid</w:t>
      </w:r>
      <w:r w:rsidR="00661EB7">
        <w:t xml:space="preserve"> render</w:t>
      </w:r>
      <w:r>
        <w:t>ing</w:t>
      </w:r>
      <w:r w:rsidR="00661EB7">
        <w:t xml:space="preserve"> terms of the </w:t>
      </w:r>
      <w:r w:rsidRPr="00B64426" w:rsidR="004053E9">
        <w:t>Joint Applicants-</w:t>
      </w:r>
      <w:r w:rsidR="004053E9">
        <w:t xml:space="preserve">Cal Advocates </w:t>
      </w:r>
      <w:r w:rsidRPr="00B64426" w:rsidR="004053E9">
        <w:t>Settlement Agreement</w:t>
      </w:r>
      <w:r w:rsidR="004053E9">
        <w:t xml:space="preserve"> </w:t>
      </w:r>
      <w:r w:rsidR="00661EB7">
        <w:t>void</w:t>
      </w:r>
      <w:r w:rsidR="00FC6F3A">
        <w:t xml:space="preserve"> on the</w:t>
      </w:r>
      <w:r w:rsidR="004053E9">
        <w:t xml:space="preserve"> low-income offerings</w:t>
      </w:r>
      <w:r w:rsidR="00A0280B">
        <w:t>,</w:t>
      </w:r>
      <w:r w:rsidR="00FC6F3A">
        <w:t xml:space="preserve"> </w:t>
      </w:r>
      <w:r w:rsidR="00661EB7">
        <w:t xml:space="preserve">we </w:t>
      </w:r>
      <w:r w:rsidR="004053E9">
        <w:t xml:space="preserve">clarify that </w:t>
      </w:r>
      <w:r w:rsidR="00661EB7">
        <w:t xml:space="preserve">the </w:t>
      </w:r>
      <w:r w:rsidRPr="00B64426" w:rsidR="004053E9">
        <w:t>Joint Applicants-</w:t>
      </w:r>
      <w:r w:rsidR="004053E9">
        <w:t xml:space="preserve">Cal Advocates </w:t>
      </w:r>
      <w:r w:rsidRPr="00B64426" w:rsidR="004053E9">
        <w:t>Settlement Agreement</w:t>
      </w:r>
      <w:r w:rsidR="004053E9">
        <w:t xml:space="preserve"> will be the controlling agreement </w:t>
      </w:r>
      <w:r w:rsidR="00FC6F3A">
        <w:t>governing</w:t>
      </w:r>
      <w:r w:rsidR="004053E9">
        <w:t xml:space="preserve"> low-income offerings for the post-merger company</w:t>
      </w:r>
      <w:r w:rsidR="00661EB7">
        <w:t xml:space="preserve">.  </w:t>
      </w:r>
      <w:r w:rsidR="000B4990">
        <w:t>CETF and Joint Applicants agreed to this clarification and CETF requested to remove the subordination clause in its Settlement Agreement, which we grant.</w:t>
      </w:r>
      <w:r w:rsidR="000B4990">
        <w:rPr>
          <w:rStyle w:val="FootnoteReference"/>
        </w:rPr>
        <w:footnoteReference w:id="119"/>
      </w:r>
      <w:r w:rsidR="000B4990">
        <w:t xml:space="preserve">  </w:t>
      </w:r>
      <w:r w:rsidR="00AF742F">
        <w:t>T</w:t>
      </w:r>
      <w:r w:rsidR="00FE2362">
        <w:t>he post</w:t>
      </w:r>
      <w:r w:rsidR="000B4990">
        <w:t>-</w:t>
      </w:r>
      <w:r w:rsidR="00FE2362">
        <w:t xml:space="preserve">merger company shall not </w:t>
      </w:r>
      <w:r w:rsidR="00120362">
        <w:t xml:space="preserve">require any cessations of service </w:t>
      </w:r>
      <w:r w:rsidR="00227415">
        <w:t>before a</w:t>
      </w:r>
      <w:r w:rsidR="00C40839">
        <w:t>ccessing low-income programs under these settlement agreements.</w:t>
      </w:r>
      <w:r w:rsidR="00C40839">
        <w:rPr>
          <w:rStyle w:val="FootnoteReference"/>
        </w:rPr>
        <w:footnoteReference w:id="120"/>
      </w:r>
      <w:r w:rsidR="00C40839">
        <w:t xml:space="preserve">  </w:t>
      </w:r>
      <w:r w:rsidR="00661EB7">
        <w:t xml:space="preserve">These </w:t>
      </w:r>
      <w:r w:rsidR="004053E9">
        <w:t>clarifications</w:t>
      </w:r>
      <w:r w:rsidR="00661EB7">
        <w:t xml:space="preserve"> </w:t>
      </w:r>
      <w:r w:rsidR="00661EB7">
        <w:lastRenderedPageBreak/>
        <w:t>are necessary to find that the settlement agreements are reasonable in light of the whole record.</w:t>
      </w:r>
      <w:r w:rsidRPr="00620C1F" w:rsidR="00661EB7">
        <w:t xml:space="preserve"> </w:t>
      </w:r>
      <w:r w:rsidR="00661EB7">
        <w:t xml:space="preserve"> </w:t>
      </w:r>
    </w:p>
    <w:p w:rsidRPr="00862B1C" w:rsidR="00F12F9A" w:rsidP="00661EB7" w:rsidRDefault="00F12F9A" w14:paraId="68217DC5" w14:textId="014BD09A">
      <w:pPr>
        <w:pStyle w:val="Standard"/>
      </w:pPr>
      <w:r>
        <w:t xml:space="preserve">Finally, we acknowledge that the settlement agreements are based on the record developed by the Joint Applicants, Cal Advocates, and CETF. </w:t>
      </w:r>
      <w:r w:rsidRPr="003C7FC1">
        <w:t xml:space="preserve">However, </w:t>
      </w:r>
      <w:r w:rsidR="002A3DF7">
        <w:t xml:space="preserve">we </w:t>
      </w:r>
      <w:r w:rsidRPr="003C7FC1">
        <w:t>note that concerns raised by non-intervening parties have not been fully addressed</w:t>
      </w:r>
      <w:r w:rsidR="002A3DF7">
        <w:t xml:space="preserve">, as some parties </w:t>
      </w:r>
      <w:r w:rsidR="00E206B2">
        <w:t>did not participate in settlement discussions with the Joint Applicants</w:t>
      </w:r>
      <w:r w:rsidRPr="003C7FC1">
        <w:t>.</w:t>
      </w:r>
      <w:r w:rsidR="00C650F0">
        <w:t xml:space="preserve"> </w:t>
      </w:r>
      <w:r w:rsidRPr="003C7FC1">
        <w:t xml:space="preserve"> Therefore, these issues warrant consideration </w:t>
      </w:r>
      <w:r>
        <w:t>through</w:t>
      </w:r>
      <w:r w:rsidRPr="003C7FC1">
        <w:t xml:space="preserve"> the proposed mitigation measures</w:t>
      </w:r>
      <w:r>
        <w:t xml:space="preserve"> discussed in this decision</w:t>
      </w:r>
      <w:r w:rsidR="005D3D17">
        <w:t xml:space="preserve"> below</w:t>
      </w:r>
      <w:r w:rsidRPr="003C7FC1">
        <w:t>.</w:t>
      </w:r>
    </w:p>
    <w:p w:rsidR="00661EB7" w:rsidP="00787AFF" w:rsidRDefault="00661EB7" w14:paraId="488C489B" w14:textId="77777777">
      <w:pPr>
        <w:pStyle w:val="Heading2"/>
      </w:pPr>
      <w:bookmarkStart w:name="_Toc233342674" w:id="406"/>
      <w:bookmarkStart w:name="_Toc237414322" w:id="407"/>
      <w:r>
        <w:t>Consistent with the Law</w:t>
      </w:r>
      <w:bookmarkEnd w:id="406"/>
      <w:bookmarkEnd w:id="407"/>
    </w:p>
    <w:p w:rsidRPr="00CB133E" w:rsidR="00661EB7" w:rsidP="00661EB7" w:rsidRDefault="00661EB7" w14:paraId="48CA2C7D" w14:textId="4C788027">
      <w:pPr>
        <w:pStyle w:val="Standard"/>
      </w:pPr>
      <w:r>
        <w:t xml:space="preserve">The second question the Commission must consider is whether the </w:t>
      </w:r>
      <w:r w:rsidR="000B05A2">
        <w:t>S</w:t>
      </w:r>
      <w:r>
        <w:t xml:space="preserve">ettlement </w:t>
      </w:r>
      <w:r w:rsidR="000B05A2">
        <w:t>A</w:t>
      </w:r>
      <w:r>
        <w:t xml:space="preserve">greements are consistent with the law. </w:t>
      </w:r>
    </w:p>
    <w:p w:rsidR="00DB2F13" w:rsidP="00787AFF" w:rsidRDefault="00DB2F13" w14:paraId="52DAEF3B" w14:textId="650154A1">
      <w:pPr>
        <w:pStyle w:val="Heading3"/>
      </w:pPr>
      <w:bookmarkStart w:name="_Toc237414323" w:id="408"/>
      <w:bookmarkStart w:name="_Toc233342675" w:id="409"/>
      <w:r>
        <w:t>Joint Applicants and Cal Advocates</w:t>
      </w:r>
      <w:bookmarkEnd w:id="408"/>
    </w:p>
    <w:p w:rsidRPr="001276A5" w:rsidR="00DB2F13" w:rsidP="00DB2F13" w:rsidRDefault="00DB2F13" w14:paraId="34189B80" w14:textId="11EE27B0">
      <w:pPr>
        <w:autoSpaceDE w:val="0"/>
        <w:autoSpaceDN w:val="0"/>
        <w:adjustRightInd w:val="0"/>
      </w:pPr>
      <w:r w:rsidRPr="6CF2480A">
        <w:rPr>
          <w:rFonts w:cs="*Times New Roman-3420-Identity-"/>
        </w:rPr>
        <w:t xml:space="preserve">Joint Applicants and Cal Advocates indicate that </w:t>
      </w:r>
      <w:r>
        <w:rPr>
          <w:rFonts w:cs="*Times New Roman-3420-Identity-"/>
        </w:rPr>
        <w:t xml:space="preserve">the </w:t>
      </w:r>
      <w:r w:rsidRPr="00B64426">
        <w:t>Joint Applicants-</w:t>
      </w:r>
      <w:r w:rsidR="00D91F36">
        <w:t>Cal Advocates</w:t>
      </w:r>
      <w:r>
        <w:t xml:space="preserve"> </w:t>
      </w:r>
      <w:r w:rsidRPr="00B64426">
        <w:t>Settlement Agreement</w:t>
      </w:r>
      <w:r>
        <w:t xml:space="preserve"> </w:t>
      </w:r>
      <w:r w:rsidRPr="6CF2480A">
        <w:rPr>
          <w:rFonts w:cs="*Times New Roman-3420-Identity-"/>
        </w:rPr>
        <w:t>is fully consistent with the requirements of Section 854 and with all other applicable provisions of California law.</w:t>
      </w:r>
      <w:r w:rsidR="00142501">
        <w:rPr>
          <w:rFonts w:cs="*Times New Roman-3420-Identity-"/>
        </w:rPr>
        <w:t xml:space="preserve">  The Agreement imposes no conditions that conflict with any applicable statute.</w:t>
      </w:r>
      <w:r w:rsidRPr="6CF2480A">
        <w:rPr>
          <w:rStyle w:val="FootnoteReference"/>
          <w:rFonts w:cs="*Times New Roman-3420-Identity-"/>
        </w:rPr>
        <w:footnoteReference w:id="121"/>
      </w:r>
      <w:r w:rsidR="00D91F36">
        <w:rPr>
          <w:rFonts w:cs="*Times New Roman-3420-Identity-"/>
        </w:rPr>
        <w:t xml:space="preserve">  </w:t>
      </w:r>
    </w:p>
    <w:p w:rsidR="00661EB7" w:rsidP="00787AFF" w:rsidRDefault="00661EB7" w14:paraId="0F198A82" w14:textId="7873AF96">
      <w:pPr>
        <w:pStyle w:val="Heading3"/>
      </w:pPr>
      <w:bookmarkStart w:name="_Toc237414324" w:id="410"/>
      <w:r>
        <w:t>Joint Applicants and CETF</w:t>
      </w:r>
      <w:bookmarkEnd w:id="409"/>
      <w:bookmarkEnd w:id="410"/>
    </w:p>
    <w:p w:rsidRPr="005E7825" w:rsidR="00661EB7" w:rsidP="00661EB7" w:rsidRDefault="00661EB7" w14:paraId="61E3618F" w14:textId="787538DE">
      <w:pPr>
        <w:pStyle w:val="Standard"/>
      </w:pPr>
      <w:r w:rsidRPr="6CF2480A">
        <w:rPr>
          <w:rFonts w:cs="*Times New Roman-3420-Identity-"/>
        </w:rPr>
        <w:t>Joint Applicants and C</w:t>
      </w:r>
      <w:r w:rsidR="00D91F36">
        <w:rPr>
          <w:rFonts w:cs="*Times New Roman-3420-Identity-"/>
        </w:rPr>
        <w:t>ETF</w:t>
      </w:r>
      <w:r w:rsidRPr="6CF2480A">
        <w:rPr>
          <w:rFonts w:cs="*Times New Roman-3420-Identity-"/>
        </w:rPr>
        <w:t xml:space="preserve"> indicate that </w:t>
      </w:r>
      <w:r w:rsidR="000B05A2">
        <w:rPr>
          <w:rFonts w:cs="*Times New Roman-3420-Identity-"/>
        </w:rPr>
        <w:t xml:space="preserve">the </w:t>
      </w:r>
      <w:r w:rsidRPr="00B64426" w:rsidR="000B05A2">
        <w:t>Joint Applicants-</w:t>
      </w:r>
      <w:r w:rsidR="000B05A2">
        <w:t>C</w:t>
      </w:r>
      <w:r w:rsidR="00D91F36">
        <w:t>ETF</w:t>
      </w:r>
      <w:r w:rsidR="000B05A2">
        <w:t xml:space="preserve"> </w:t>
      </w:r>
      <w:r w:rsidRPr="00B64426" w:rsidR="000B05A2">
        <w:t>Settlement Agreement</w:t>
      </w:r>
      <w:r w:rsidR="000B05A2">
        <w:t xml:space="preserve"> </w:t>
      </w:r>
      <w:r w:rsidRPr="6CF2480A">
        <w:rPr>
          <w:rFonts w:cs="*Times New Roman-3420-Identity-"/>
        </w:rPr>
        <w:t>is fully consistent with the requirements of Section 854 and with all other applicable provisions of California law.</w:t>
      </w:r>
      <w:r w:rsidR="00C378C2">
        <w:rPr>
          <w:rFonts w:cs="*Times New Roman-3420-Identity-"/>
        </w:rPr>
        <w:t xml:space="preserve">  The Agreement imposes no conditions that conflict with any applicable statute.</w:t>
      </w:r>
      <w:r w:rsidRPr="6CF2480A">
        <w:rPr>
          <w:rStyle w:val="FootnoteReference"/>
          <w:rFonts w:cs="*Times New Roman-3420-Identity-"/>
        </w:rPr>
        <w:footnoteReference w:id="122"/>
      </w:r>
    </w:p>
    <w:p w:rsidR="00661EB7" w:rsidP="00787AFF" w:rsidRDefault="00661EB7" w14:paraId="3118ECE4" w14:textId="77777777">
      <w:pPr>
        <w:pStyle w:val="Heading3"/>
      </w:pPr>
      <w:bookmarkStart w:name="_Toc233239948" w:id="411"/>
      <w:bookmarkStart w:name="_Toc233240082" w:id="412"/>
      <w:bookmarkStart w:name="_Toc233273817" w:id="413"/>
      <w:bookmarkStart w:name="_Toc233342677" w:id="414"/>
      <w:bookmarkStart w:name="_Toc237414325" w:id="415"/>
      <w:bookmarkEnd w:id="411"/>
      <w:bookmarkEnd w:id="412"/>
      <w:bookmarkEnd w:id="413"/>
      <w:r>
        <w:lastRenderedPageBreak/>
        <w:t>TURN</w:t>
      </w:r>
      <w:bookmarkEnd w:id="414"/>
      <w:bookmarkEnd w:id="415"/>
    </w:p>
    <w:p w:rsidRPr="003A201B" w:rsidR="00661EB7" w:rsidP="00661EB7" w:rsidRDefault="00661EB7" w14:paraId="2444A76B" w14:textId="441383C0">
      <w:pPr>
        <w:autoSpaceDE w:val="0"/>
        <w:autoSpaceDN w:val="0"/>
        <w:adjustRightInd w:val="0"/>
        <w:rPr>
          <w:rFonts w:cs="TimesNewRomanPSMT"/>
          <w:szCs w:val="26"/>
        </w:rPr>
      </w:pPr>
      <w:r w:rsidRPr="60D2D677">
        <w:rPr>
          <w:rFonts w:cs="TimesNewRomanPSMT"/>
        </w:rPr>
        <w:t xml:space="preserve">TURN disagrees that the </w:t>
      </w:r>
      <w:r w:rsidR="000B05A2">
        <w:rPr>
          <w:rFonts w:cs="TimesNewRomanPSMT"/>
        </w:rPr>
        <w:t xml:space="preserve">Settlement Agreements are </w:t>
      </w:r>
      <w:r w:rsidRPr="60D2D677">
        <w:rPr>
          <w:rFonts w:cs="TimesNewRomanPSMT"/>
        </w:rPr>
        <w:t>consistent with the public interest standard in Section 854.</w:t>
      </w:r>
      <w:r w:rsidRPr="60D2D677">
        <w:rPr>
          <w:rStyle w:val="FootnoteReference"/>
          <w:rFonts w:cs="TimesNewRomanPSMT"/>
        </w:rPr>
        <w:footnoteReference w:id="123"/>
      </w:r>
      <w:r w:rsidRPr="60D2D677">
        <w:rPr>
          <w:rFonts w:cs="TimesNewRomanPSMT"/>
        </w:rPr>
        <w:t xml:space="preserve"> </w:t>
      </w:r>
    </w:p>
    <w:p w:rsidR="00661EB7" w:rsidP="00787AFF" w:rsidRDefault="00661EB7" w14:paraId="78D77D5F" w14:textId="1448CBB5">
      <w:pPr>
        <w:pStyle w:val="Heading3"/>
      </w:pPr>
      <w:bookmarkStart w:name="_Toc233342678" w:id="416"/>
      <w:bookmarkStart w:name="_Toc237414326" w:id="417"/>
      <w:r>
        <w:t>Joint Advocates</w:t>
      </w:r>
      <w:bookmarkEnd w:id="416"/>
      <w:r w:rsidR="00F74C14">
        <w:t xml:space="preserve"> (CforAT, Media Alliance, CADE, FCDI, EBBC, and DELA)</w:t>
      </w:r>
      <w:bookmarkEnd w:id="417"/>
    </w:p>
    <w:p w:rsidR="00661EB7" w:rsidP="00661EB7" w:rsidRDefault="00661EB7" w14:paraId="7DF1ACFB" w14:textId="3BB23431">
      <w:pPr>
        <w:pStyle w:val="Standard"/>
      </w:pPr>
      <w:r>
        <w:t xml:space="preserve">Joint Advocates </w:t>
      </w:r>
      <w:r w:rsidR="00F171CF">
        <w:t xml:space="preserve">argue that </w:t>
      </w:r>
      <w:r w:rsidR="00DD2B2E">
        <w:t>the Settlement Agreements</w:t>
      </w:r>
      <w:r w:rsidR="005D3D17">
        <w:t>’</w:t>
      </w:r>
      <w:r w:rsidR="00DD2B2E">
        <w:t xml:space="preserve"> </w:t>
      </w:r>
      <w:r w:rsidR="00D51AE2">
        <w:t xml:space="preserve">failure to address </w:t>
      </w:r>
      <w:r w:rsidR="00DD2B2E">
        <w:t xml:space="preserve">the law </w:t>
      </w:r>
      <w:r w:rsidR="00D51AE2">
        <w:t xml:space="preserve">governing </w:t>
      </w:r>
      <w:r w:rsidR="005D3D17">
        <w:t>PEG</w:t>
      </w:r>
      <w:r w:rsidRPr="003A201B" w:rsidR="00DD2B2E">
        <w:t xml:space="preserve"> Access Channels</w:t>
      </w:r>
      <w:r w:rsidRPr="001130AE" w:rsidR="00DD2B2E">
        <w:t xml:space="preserve">, </w:t>
      </w:r>
      <w:r w:rsidR="001818DA">
        <w:t>render the Settlement Agreements in</w:t>
      </w:r>
      <w:r w:rsidR="00DD2B2E">
        <w:t>consistent with the law.</w:t>
      </w:r>
      <w:r>
        <w:rPr>
          <w:rStyle w:val="FootnoteReference"/>
        </w:rPr>
        <w:footnoteReference w:id="124"/>
      </w:r>
      <w:r>
        <w:t xml:space="preserve"> </w:t>
      </w:r>
    </w:p>
    <w:p w:rsidR="00661EB7" w:rsidP="00787AFF" w:rsidRDefault="00661EB7" w14:paraId="3B86029C" w14:textId="77777777">
      <w:pPr>
        <w:pStyle w:val="Heading3"/>
      </w:pPr>
      <w:bookmarkStart w:name="_Toc233342679" w:id="418"/>
      <w:bookmarkStart w:name="_Toc237414327" w:id="419"/>
      <w:r>
        <w:t>CforAT</w:t>
      </w:r>
      <w:bookmarkEnd w:id="418"/>
      <w:bookmarkEnd w:id="419"/>
    </w:p>
    <w:p w:rsidRPr="00C47F22" w:rsidR="00661EB7" w:rsidP="00661EB7" w:rsidRDefault="00661EB7" w14:paraId="1F1EE407" w14:textId="3E8914AB">
      <w:pPr>
        <w:autoSpaceDE w:val="0"/>
        <w:autoSpaceDN w:val="0"/>
        <w:adjustRightInd w:val="0"/>
      </w:pPr>
      <w:r w:rsidRPr="6CF2480A">
        <w:rPr>
          <w:rFonts w:cs="TimesNewRomanPSMT"/>
        </w:rPr>
        <w:t xml:space="preserve">CforAT comments that the </w:t>
      </w:r>
      <w:r w:rsidR="000B05A2">
        <w:rPr>
          <w:rFonts w:cs="TimesNewRomanPSMT"/>
        </w:rPr>
        <w:t>S</w:t>
      </w:r>
      <w:r w:rsidRPr="6CF2480A">
        <w:rPr>
          <w:rFonts w:cs="TimesNewRomanPSMT"/>
        </w:rPr>
        <w:t>ettlement</w:t>
      </w:r>
      <w:r w:rsidR="000B05A2">
        <w:rPr>
          <w:rFonts w:cs="TimesNewRomanPSMT"/>
        </w:rPr>
        <w:t xml:space="preserve"> Agreements</w:t>
      </w:r>
      <w:r w:rsidRPr="6CF2480A">
        <w:rPr>
          <w:rFonts w:cs="TimesNewRomanPSMT"/>
        </w:rPr>
        <w:t xml:space="preserve"> are not consistent with law particularly regarding disability equity, racial equity, and supplier diversity</w:t>
      </w:r>
      <w:r w:rsidRPr="24DDDA34">
        <w:rPr>
          <w:rFonts w:cs="TimesNewRomanPSMT"/>
        </w:rPr>
        <w:t>.</w:t>
      </w:r>
      <w:r>
        <w:rPr>
          <w:rStyle w:val="FootnoteReference"/>
          <w:rFonts w:cs="TimesNewRomanPSMT"/>
          <w:szCs w:val="26"/>
        </w:rPr>
        <w:footnoteReference w:id="125"/>
      </w:r>
    </w:p>
    <w:p w:rsidR="00661EB7" w:rsidP="00787AFF" w:rsidRDefault="00661EB7" w14:paraId="7F1EB3B6" w14:textId="77777777">
      <w:pPr>
        <w:pStyle w:val="Heading3"/>
      </w:pPr>
      <w:bookmarkStart w:name="_Toc233342680" w:id="420"/>
      <w:bookmarkStart w:name="_Toc237414328" w:id="421"/>
      <w:r>
        <w:t>Discussion</w:t>
      </w:r>
      <w:bookmarkEnd w:id="420"/>
      <w:bookmarkEnd w:id="421"/>
    </w:p>
    <w:p w:rsidR="004F1F6D" w:rsidP="00661EB7" w:rsidRDefault="00D61F42" w14:paraId="732E93A1" w14:textId="424B6EFB">
      <w:r>
        <w:t xml:space="preserve">We find that the </w:t>
      </w:r>
      <w:r w:rsidR="0048548C">
        <w:t xml:space="preserve">Settlement Agreements </w:t>
      </w:r>
      <w:r>
        <w:t>under consideration are consistent with the la</w:t>
      </w:r>
      <w:r w:rsidR="002B26B8">
        <w:t>w.</w:t>
      </w:r>
      <w:r>
        <w:t xml:space="preserve"> </w:t>
      </w:r>
    </w:p>
    <w:p w:rsidR="00661EB7" w:rsidP="00661EB7" w:rsidRDefault="00661EB7" w14:paraId="57E13EC8" w14:textId="6FF10B9C">
      <w:r w:rsidRPr="00E57DB0">
        <w:t xml:space="preserve">The Joint Applicant and both parties that participated in individual settlement talks </w:t>
      </w:r>
      <w:r w:rsidR="00C23C70">
        <w:t>assert</w:t>
      </w:r>
      <w:r w:rsidRPr="00E57DB0">
        <w:t xml:space="preserve"> that the </w:t>
      </w:r>
      <w:r w:rsidR="00146DDD">
        <w:t xml:space="preserve">Settlement Agreements </w:t>
      </w:r>
      <w:r w:rsidRPr="00E57DB0">
        <w:t>are consistent with the law.  The parties that were not participants in any settlement process are unable to conclude that the individual party settlements are consistent with the law.</w:t>
      </w:r>
      <w:r w:rsidR="000B05A2">
        <w:t xml:space="preserve"> </w:t>
      </w:r>
    </w:p>
    <w:p w:rsidR="0076324F" w:rsidP="0076324F" w:rsidRDefault="0076324F" w14:paraId="0B0DCD51" w14:textId="41204719">
      <w:r>
        <w:t xml:space="preserve">Because the transaction must be consistent with Pub. Util. Code Section 854 and its broad public interest considerations, we cannot find that the </w:t>
      </w:r>
      <w:r>
        <w:lastRenderedPageBreak/>
        <w:t>settlement agreements are consistent with the law unless we find that the Settlement Agreements are consistent with the public interest.  Our discussion of the public interest aspects of the settlement agreements is below.</w:t>
      </w:r>
    </w:p>
    <w:p w:rsidR="00661EB7" w:rsidP="00787AFF" w:rsidRDefault="00661EB7" w14:paraId="130370C2" w14:textId="77777777">
      <w:pPr>
        <w:pStyle w:val="Heading2"/>
      </w:pPr>
      <w:bookmarkStart w:name="_Toc233342681" w:id="422"/>
      <w:bookmarkStart w:name="_Toc237414329" w:id="423"/>
      <w:r>
        <w:t>In the Public Interest</w:t>
      </w:r>
      <w:bookmarkEnd w:id="422"/>
      <w:bookmarkEnd w:id="423"/>
    </w:p>
    <w:p w:rsidRPr="00CB133E" w:rsidR="00661EB7" w:rsidP="00661EB7" w:rsidRDefault="00661EB7" w14:paraId="06098744" w14:textId="4196592D">
      <w:pPr>
        <w:pStyle w:val="Standard"/>
      </w:pPr>
      <w:r>
        <w:t xml:space="preserve">The third question the Commission must consider is whether the two </w:t>
      </w:r>
      <w:r w:rsidR="0076324F">
        <w:t>S</w:t>
      </w:r>
      <w:r>
        <w:t xml:space="preserve">ettlement </w:t>
      </w:r>
      <w:r w:rsidR="0076324F">
        <w:t>A</w:t>
      </w:r>
      <w:r>
        <w:t xml:space="preserve">greements are in the public interest. </w:t>
      </w:r>
    </w:p>
    <w:p w:rsidR="00661EB7" w:rsidP="00787AFF" w:rsidRDefault="00661EB7" w14:paraId="70251D23" w14:textId="36DE9B92">
      <w:pPr>
        <w:pStyle w:val="Heading3"/>
      </w:pPr>
      <w:bookmarkStart w:name="_Toc233342683" w:id="424"/>
      <w:bookmarkStart w:name="_Toc237414330" w:id="425"/>
      <w:r>
        <w:t>Joint Applicants and Cal Advocates</w:t>
      </w:r>
      <w:bookmarkEnd w:id="424"/>
      <w:bookmarkEnd w:id="425"/>
    </w:p>
    <w:p w:rsidR="00661EB7" w:rsidP="00661EB7" w:rsidRDefault="00434562" w14:paraId="3A18F092" w14:textId="64393E0F">
      <w:pPr>
        <w:pStyle w:val="Standard"/>
      </w:pPr>
      <w:r w:rsidRPr="00434562">
        <w:t xml:space="preserve">Cal Advocates state that </w:t>
      </w:r>
      <w:r>
        <w:t xml:space="preserve">the </w:t>
      </w:r>
      <w:r w:rsidRPr="00B64426">
        <w:t>Joint Applicants-</w:t>
      </w:r>
      <w:r>
        <w:t xml:space="preserve">Cal Advocates </w:t>
      </w:r>
      <w:r w:rsidRPr="00B64426">
        <w:t>Settlement Agreement</w:t>
      </w:r>
      <w:r>
        <w:t xml:space="preserve"> </w:t>
      </w:r>
      <w:r w:rsidRPr="00434562">
        <w:t>is drafted to provide, “meaningful, enforceable, and transaction-specific consumer protections beyond what would exist if the proposed transaction were approved absent the Agreement,” and is therefore in the public interest.</w:t>
      </w:r>
      <w:r w:rsidR="00794A75">
        <w:rPr>
          <w:rStyle w:val="FootnoteReference"/>
        </w:rPr>
        <w:footnoteReference w:id="126"/>
      </w:r>
      <w:r w:rsidR="0076324F">
        <w:t xml:space="preserve"> </w:t>
      </w:r>
      <w:r w:rsidRPr="00434562">
        <w:t xml:space="preserve">Cal Advocates encourages the Commission to adopt </w:t>
      </w:r>
      <w:r>
        <w:t xml:space="preserve">the </w:t>
      </w:r>
      <w:r w:rsidRPr="00B64426">
        <w:t>Joint Applicants-</w:t>
      </w:r>
      <w:r>
        <w:t xml:space="preserve">Cal Advocates </w:t>
      </w:r>
      <w:r w:rsidRPr="00B64426">
        <w:t>Settlement Agreement</w:t>
      </w:r>
      <w:r>
        <w:t xml:space="preserve"> </w:t>
      </w:r>
      <w:r w:rsidRPr="00434562">
        <w:t>as a condition of approval.</w:t>
      </w:r>
      <w:r w:rsidR="00CF2859">
        <w:rPr>
          <w:rStyle w:val="FootnoteReference"/>
        </w:rPr>
        <w:footnoteReference w:id="127"/>
      </w:r>
    </w:p>
    <w:p w:rsidR="00602730" w:rsidP="00787AFF" w:rsidRDefault="00602730" w14:paraId="75CB38B9" w14:textId="0AD608DA">
      <w:pPr>
        <w:pStyle w:val="Heading3"/>
      </w:pPr>
      <w:bookmarkStart w:name="_Toc237414331" w:id="426"/>
      <w:r>
        <w:t>Joint Applicants and CETF</w:t>
      </w:r>
      <w:bookmarkEnd w:id="426"/>
    </w:p>
    <w:p w:rsidR="00602730" w:rsidP="00602730" w:rsidRDefault="00602730" w14:paraId="104C1A1B" w14:textId="77777777">
      <w:pPr>
        <w:pStyle w:val="Standard"/>
        <w:rPr>
          <w:rFonts w:ascii="Segoe UI" w:hAnsi="Segoe UI"/>
          <w:sz w:val="18"/>
          <w:szCs w:val="18"/>
        </w:rPr>
      </w:pPr>
      <w:r>
        <w:rPr>
          <w:rStyle w:val="normaltextrun"/>
          <w:rFonts w:cs="Segoe UI"/>
          <w:szCs w:val="26"/>
        </w:rPr>
        <w:t xml:space="preserve">CETF indicates that the </w:t>
      </w:r>
      <w:r w:rsidRPr="00B64426">
        <w:t>Joint Applicants-</w:t>
      </w:r>
      <w:r>
        <w:t xml:space="preserve">Cal Advocates </w:t>
      </w:r>
      <w:r w:rsidRPr="00B64426">
        <w:t>Settlement Agreement</w:t>
      </w:r>
      <w:r>
        <w:rPr>
          <w:rStyle w:val="normaltextrun"/>
          <w:rFonts w:cs="Segoe UI"/>
          <w:szCs w:val="26"/>
        </w:rPr>
        <w:t xml:space="preserve">, negotiated over months, along with the </w:t>
      </w:r>
      <w:r w:rsidRPr="00B64426">
        <w:t>Joint Applicants-</w:t>
      </w:r>
      <w:r>
        <w:t xml:space="preserve">Cal Advocates </w:t>
      </w:r>
      <w:r w:rsidRPr="00B64426">
        <w:t>Settlement Agreement</w:t>
      </w:r>
      <w:r>
        <w:t xml:space="preserve"> </w:t>
      </w:r>
      <w:r>
        <w:rPr>
          <w:rStyle w:val="normaltextrun"/>
          <w:rFonts w:cs="Segoe UI"/>
          <w:szCs w:val="26"/>
        </w:rPr>
        <w:t>transforms the Joint Application. </w:t>
      </w:r>
      <w:r>
        <w:rPr>
          <w:rStyle w:val="eop"/>
          <w:rFonts w:cs="Segoe UI"/>
          <w:szCs w:val="26"/>
        </w:rPr>
        <w:t> </w:t>
      </w:r>
    </w:p>
    <w:p w:rsidR="00602730" w:rsidP="00602730" w:rsidRDefault="00602730" w14:paraId="52922BE4" w14:textId="030EB52C">
      <w:pPr>
        <w:pStyle w:val="Standard"/>
        <w:rPr>
          <w:rFonts w:ascii="Segoe UI" w:hAnsi="Segoe UI"/>
          <w:sz w:val="18"/>
          <w:szCs w:val="18"/>
        </w:rPr>
      </w:pPr>
      <w:r>
        <w:rPr>
          <w:rStyle w:val="normaltextrun"/>
          <w:rFonts w:cs="Segoe UI"/>
          <w:szCs w:val="26"/>
        </w:rPr>
        <w:t xml:space="preserve">CETF indicates that the Joint Application was deficient by failing to commit to public benefits in the following areas: infrastructure deployment, affordable broadband offers, digital inclusion, public safety, call center practices, ESJ impacts, Tribal engagement, and supplier diversity. CETF believes that the </w:t>
      </w:r>
      <w:r w:rsidRPr="00B64426">
        <w:t>Joint Applicants-</w:t>
      </w:r>
      <w:r>
        <w:t xml:space="preserve">Cal Advocates </w:t>
      </w:r>
      <w:r w:rsidRPr="00B64426">
        <w:t>Settlement Agreement</w:t>
      </w:r>
      <w:r>
        <w:t xml:space="preserve"> </w:t>
      </w:r>
      <w:r>
        <w:rPr>
          <w:rStyle w:val="normaltextrun"/>
          <w:rFonts w:cs="Segoe UI"/>
          <w:szCs w:val="26"/>
        </w:rPr>
        <w:t xml:space="preserve">and </w:t>
      </w:r>
      <w:r w:rsidRPr="00B64426">
        <w:t>Joint Applicants-</w:t>
      </w:r>
      <w:r w:rsidR="00CF2859">
        <w:t>CETF</w:t>
      </w:r>
      <w:r>
        <w:t xml:space="preserve"> </w:t>
      </w:r>
      <w:r w:rsidRPr="00B64426">
        <w:t>Settlement Agreement</w:t>
      </w:r>
      <w:r>
        <w:t xml:space="preserve"> </w:t>
      </w:r>
      <w:r>
        <w:rPr>
          <w:rStyle w:val="normaltextrun"/>
          <w:rFonts w:cs="Segoe UI"/>
          <w:szCs w:val="26"/>
        </w:rPr>
        <w:t xml:space="preserve">secure, “concrete, measurable, and </w:t>
      </w:r>
      <w:r>
        <w:rPr>
          <w:rStyle w:val="normaltextrun"/>
          <w:rFonts w:cs="Segoe UI"/>
          <w:szCs w:val="26"/>
        </w:rPr>
        <w:lastRenderedPageBreak/>
        <w:t>enforceable commitments that directly respond to the issues that were litigated.”</w:t>
      </w:r>
      <w:r w:rsidR="00B72436">
        <w:rPr>
          <w:rStyle w:val="FootnoteReference"/>
          <w:rFonts w:cs="Segoe UI"/>
          <w:szCs w:val="26"/>
        </w:rPr>
        <w:footnoteReference w:id="128"/>
      </w:r>
      <w:r>
        <w:rPr>
          <w:rStyle w:val="normaltextrun"/>
          <w:rFonts w:cs="Segoe UI"/>
          <w:sz w:val="20"/>
          <w:szCs w:val="20"/>
          <w:vertAlign w:val="superscript"/>
        </w:rPr>
        <w:t> </w:t>
      </w:r>
    </w:p>
    <w:p w:rsidRPr="009F4900" w:rsidR="00602730" w:rsidP="00667CFA" w:rsidRDefault="00602730" w14:paraId="1FE0F301" w14:textId="7754BE58">
      <w:pPr>
        <w:pStyle w:val="Standard"/>
      </w:pPr>
      <w:r>
        <w:rPr>
          <w:rStyle w:val="normaltextrun"/>
          <w:rFonts w:cs="Segoe UI"/>
          <w:szCs w:val="26"/>
        </w:rPr>
        <w:t>CETF requests that the Commission, “approve both the CETF and Cal Advocates Settlement Agreements, make them enforceable Commission conditions, retain post-approval enforcement jurisdiction, and act in time for the transaction to close before the Hart-Scott-Rodino clearance expires in mid-September 2026.”</w:t>
      </w:r>
      <w:bookmarkStart w:name="_Toc232121665" w:id="427"/>
      <w:bookmarkStart w:name="_Toc8123724" w:id="428"/>
      <w:r w:rsidR="00B72436">
        <w:rPr>
          <w:rStyle w:val="FootnoteReference"/>
          <w:rFonts w:cs="Segoe UI"/>
          <w:szCs w:val="26"/>
        </w:rPr>
        <w:footnoteReference w:id="129"/>
      </w:r>
    </w:p>
    <w:p w:rsidR="00661EB7" w:rsidP="00787AFF" w:rsidRDefault="00661EB7" w14:paraId="69D1E34F" w14:textId="77777777">
      <w:pPr>
        <w:pStyle w:val="Heading3"/>
      </w:pPr>
      <w:bookmarkStart w:name="_Toc233239956" w:id="429"/>
      <w:bookmarkStart w:name="_Toc233240090" w:id="430"/>
      <w:bookmarkStart w:name="_Toc233273825" w:id="431"/>
      <w:bookmarkStart w:name="_Toc233342684" w:id="432"/>
      <w:bookmarkStart w:name="_Toc237414332" w:id="433"/>
      <w:bookmarkEnd w:id="429"/>
      <w:bookmarkEnd w:id="430"/>
      <w:bookmarkEnd w:id="431"/>
      <w:r>
        <w:t>TURN</w:t>
      </w:r>
      <w:bookmarkEnd w:id="432"/>
      <w:bookmarkEnd w:id="433"/>
    </w:p>
    <w:p w:rsidR="00661EB7" w:rsidP="00661EB7" w:rsidRDefault="00661EB7" w14:paraId="340A3879" w14:textId="57896A21">
      <w:pPr>
        <w:pStyle w:val="Standard"/>
      </w:pPr>
      <w:r>
        <w:t xml:space="preserve">TURN opposes both the </w:t>
      </w:r>
      <w:r w:rsidRPr="00B64426" w:rsidR="000B05A2">
        <w:t>Joint Applicants-</w:t>
      </w:r>
      <w:r w:rsidR="000B05A2">
        <w:t xml:space="preserve">CETF </w:t>
      </w:r>
      <w:r w:rsidRPr="00B64426" w:rsidR="000B05A2">
        <w:t>Settlement Agreement</w:t>
      </w:r>
      <w:r w:rsidR="000B05A2">
        <w:t xml:space="preserve"> </w:t>
      </w:r>
      <w:r>
        <w:t xml:space="preserve">and the </w:t>
      </w:r>
      <w:r w:rsidRPr="00B64426" w:rsidR="000B05A2">
        <w:t>Joint Applicants-</w:t>
      </w:r>
      <w:r w:rsidR="000B05A2">
        <w:t xml:space="preserve">Cal Advocates </w:t>
      </w:r>
      <w:r w:rsidRPr="00B64426" w:rsidR="000B05A2">
        <w:t>Settlement Agreement</w:t>
      </w:r>
      <w:r w:rsidR="000B05A2">
        <w:t xml:space="preserve"> </w:t>
      </w:r>
      <w:r>
        <w:t>unless the Commission amends the settlements to be in the public interest or imposes additional conditions.</w:t>
      </w:r>
      <w:r>
        <w:rPr>
          <w:rStyle w:val="FootnoteReference"/>
        </w:rPr>
        <w:footnoteReference w:id="130"/>
      </w:r>
      <w:r>
        <w:t xml:space="preserve">  TURN reminds the Commission in its comments on the proposed settlements that the Commission may adopt the settlement conditions while also imposing additional conditions on a transfer of control subject to Pub. Util. Code Sec</w:t>
      </w:r>
      <w:r w:rsidR="005D3D17">
        <w:t>tion</w:t>
      </w:r>
      <w:r>
        <w:t xml:space="preserve"> 854 review.</w:t>
      </w:r>
      <w:r>
        <w:rPr>
          <w:rStyle w:val="FootnoteReference"/>
        </w:rPr>
        <w:footnoteReference w:id="131"/>
      </w:r>
    </w:p>
    <w:p w:rsidR="00661EB7" w:rsidP="00661EB7" w:rsidRDefault="00661EB7" w14:paraId="15D59C9F" w14:textId="4DB96A60">
      <w:pPr>
        <w:pStyle w:val="Standard"/>
      </w:pPr>
      <w:r w:rsidRPr="00B77D41">
        <w:lastRenderedPageBreak/>
        <w:t xml:space="preserve">TURN urges the Commission to reject the proposed settlements, propose alternative terms to prevent public interest harms, </w:t>
      </w:r>
      <w:r w:rsidR="00B5554B">
        <w:t>or</w:t>
      </w:r>
      <w:r w:rsidRPr="00B77D41" w:rsidR="00B5554B">
        <w:t xml:space="preserve"> </w:t>
      </w:r>
      <w:r w:rsidRPr="00B77D41">
        <w:t>implement its own conditions that benefit the public interest.</w:t>
      </w:r>
      <w:r>
        <w:rPr>
          <w:rStyle w:val="FootnoteReference"/>
        </w:rPr>
        <w:footnoteReference w:id="132"/>
      </w:r>
      <w:r w:rsidRPr="0074533D">
        <w:rPr>
          <w:rStyle w:val="FootnoteReference"/>
        </w:rPr>
        <w:t xml:space="preserve"> </w:t>
      </w:r>
    </w:p>
    <w:p w:rsidR="00661EB7" w:rsidP="00787AFF" w:rsidRDefault="00661EB7" w14:paraId="22E35ED5" w14:textId="77777777">
      <w:pPr>
        <w:pStyle w:val="Heading3"/>
      </w:pPr>
      <w:bookmarkStart w:name="_Toc233342685" w:id="434"/>
      <w:bookmarkStart w:name="_Toc237414333" w:id="435"/>
      <w:r>
        <w:t>Joint Advocates</w:t>
      </w:r>
      <w:bookmarkEnd w:id="434"/>
      <w:bookmarkEnd w:id="435"/>
    </w:p>
    <w:p w:rsidRPr="005C165C" w:rsidR="00661EB7" w:rsidP="00661EB7" w:rsidRDefault="00434562" w14:paraId="7D2392D4" w14:textId="7EBFC4AB">
      <w:pPr>
        <w:pStyle w:val="Standard"/>
      </w:pPr>
      <w:r>
        <w:rPr>
          <w:rStyle w:val="normaltextrun"/>
          <w:rFonts w:cs="Segoe UI"/>
          <w:szCs w:val="26"/>
        </w:rPr>
        <w:t>Joint Advocates indicate that the Settlement Agreements fail to sufficiently address the public safety issues currently present in Joint Applicant’s service territory and fail to put forward mitigation commitments.</w:t>
      </w:r>
      <w:r w:rsidR="00433ADC">
        <w:rPr>
          <w:rStyle w:val="FootnoteReference"/>
          <w:rFonts w:cs="Segoe UI"/>
          <w:szCs w:val="26"/>
        </w:rPr>
        <w:footnoteReference w:id="133"/>
      </w:r>
      <w:r>
        <w:rPr>
          <w:rStyle w:val="normaltextrun"/>
          <w:rFonts w:cs="Segoe UI"/>
          <w:szCs w:val="26"/>
        </w:rPr>
        <w:t>  Additionally, Joint Advocates maintain that without evidentiary support, the claims made about the Settlement Agreements’ actual impact on the public benefits should be viewed with skepticism.  Joint Applicants are also concerned that the Settlement Agreements do not create sufficiently robust, durable affordability benefits to future customers.</w:t>
      </w:r>
      <w:r w:rsidR="00CF7358">
        <w:rPr>
          <w:rStyle w:val="FootnoteReference"/>
          <w:rFonts w:cs="Segoe UI"/>
          <w:szCs w:val="26"/>
        </w:rPr>
        <w:footnoteReference w:id="134"/>
      </w:r>
      <w:r>
        <w:rPr>
          <w:rStyle w:val="normaltextrun"/>
          <w:rFonts w:cs="Segoe UI"/>
          <w:sz w:val="20"/>
          <w:szCs w:val="20"/>
          <w:vertAlign w:val="superscript"/>
        </w:rPr>
        <w:t> </w:t>
      </w:r>
    </w:p>
    <w:p w:rsidR="00661EB7" w:rsidP="00787AFF" w:rsidRDefault="00661EB7" w14:paraId="58C4DC1B" w14:textId="77777777">
      <w:pPr>
        <w:pStyle w:val="Heading3"/>
      </w:pPr>
      <w:bookmarkStart w:name="_Toc233342686" w:id="436"/>
      <w:bookmarkStart w:name="_Toc237414334" w:id="437"/>
      <w:r>
        <w:t>CforAT</w:t>
      </w:r>
      <w:bookmarkEnd w:id="436"/>
      <w:bookmarkEnd w:id="437"/>
    </w:p>
    <w:p w:rsidRPr="00D16813" w:rsidR="00661EB7" w:rsidP="00661EB7" w:rsidRDefault="00661EB7" w14:paraId="133CD2D9" w14:textId="04CDAC71">
      <w:pPr>
        <w:pStyle w:val="Standard"/>
      </w:pPr>
      <w:r w:rsidRPr="001A071B">
        <w:t xml:space="preserve">CforAT writes that the </w:t>
      </w:r>
      <w:r w:rsidR="00F46103">
        <w:t>S</w:t>
      </w:r>
      <w:r w:rsidRPr="001A071B">
        <w:t>ettlement</w:t>
      </w:r>
      <w:r w:rsidR="00F46103">
        <w:t xml:space="preserve"> Agreement</w:t>
      </w:r>
      <w:r w:rsidRPr="001A071B">
        <w:t>s do not include well-negotiated, enforceable terms, contain ambiguities, too many exceptions, and lack associated penalties to bind performance.</w:t>
      </w:r>
      <w:r w:rsidRPr="6CF2480A">
        <w:rPr>
          <w:rStyle w:val="FootnoteReference"/>
        </w:rPr>
        <w:footnoteReference w:id="135"/>
      </w:r>
      <w:r w:rsidRPr="001A071B">
        <w:t xml:space="preserve">  </w:t>
      </w:r>
      <w:r>
        <w:t>CforAT indicates that it supports the comments submitted by the Joint Advocates.</w:t>
      </w:r>
      <w:r>
        <w:rPr>
          <w:rStyle w:val="FootnoteReference"/>
        </w:rPr>
        <w:footnoteReference w:id="136"/>
      </w:r>
    </w:p>
    <w:p w:rsidR="00661EB7" w:rsidP="00787AFF" w:rsidRDefault="00661EB7" w14:paraId="2F5618F1" w14:textId="77777777">
      <w:pPr>
        <w:pStyle w:val="Heading3"/>
      </w:pPr>
      <w:bookmarkStart w:name="_Toc233342687" w:id="438"/>
      <w:bookmarkStart w:name="_Toc237414335" w:id="439"/>
      <w:r>
        <w:lastRenderedPageBreak/>
        <w:t>Discussion</w:t>
      </w:r>
      <w:bookmarkEnd w:id="438"/>
      <w:bookmarkEnd w:id="439"/>
      <w:r>
        <w:t xml:space="preserve"> </w:t>
      </w:r>
    </w:p>
    <w:p w:rsidR="0047210D" w:rsidP="00661EB7" w:rsidRDefault="0047210D" w14:paraId="1D112435" w14:textId="65BF8EAE">
      <w:pPr>
        <w:pStyle w:val="Standard"/>
      </w:pPr>
      <w:r>
        <w:t xml:space="preserve">The Commission finds that the </w:t>
      </w:r>
      <w:r w:rsidR="005E4B6D">
        <w:t>S</w:t>
      </w:r>
      <w:r>
        <w:t xml:space="preserve">ettlement </w:t>
      </w:r>
      <w:r w:rsidR="005E4B6D">
        <w:t>A</w:t>
      </w:r>
      <w:r>
        <w:t xml:space="preserve">greements are in the public interest. </w:t>
      </w:r>
    </w:p>
    <w:p w:rsidRPr="003531C2" w:rsidR="00661EB7" w:rsidP="00661EB7" w:rsidRDefault="13053F25" w14:paraId="15078F06" w14:textId="615D257E">
      <w:pPr>
        <w:pStyle w:val="Standard"/>
      </w:pPr>
      <w:r>
        <w:t xml:space="preserve">CforAT, CADE, DELA, Media Alliance, EBBC, and FDCI agree that </w:t>
      </w:r>
      <w:r w:rsidR="00513B1D">
        <w:t>“</w:t>
      </w:r>
      <w:r>
        <w:t xml:space="preserve">the </w:t>
      </w:r>
      <w:r w:rsidR="00E52906">
        <w:t>S</w:t>
      </w:r>
      <w:r>
        <w:t xml:space="preserve">ettlement </w:t>
      </w:r>
      <w:r w:rsidR="00E52906">
        <w:t>A</w:t>
      </w:r>
      <w:r>
        <w:t xml:space="preserve">greements </w:t>
      </w:r>
      <w:r w:rsidR="00574433">
        <w:t xml:space="preserve">represent initial steps to </w:t>
      </w:r>
      <w:r>
        <w:t xml:space="preserve">move the </w:t>
      </w:r>
      <w:r w:rsidR="004D4956">
        <w:t xml:space="preserve">proposed </w:t>
      </w:r>
      <w:r>
        <w:t>transaction towards the public interest</w:t>
      </w:r>
      <w:r w:rsidR="488F4A07">
        <w:t>.</w:t>
      </w:r>
      <w:r w:rsidR="00513B1D">
        <w:t>”</w:t>
      </w:r>
      <w:r w:rsidR="488F4A07">
        <w:t xml:space="preserve"> They also note that it </w:t>
      </w:r>
      <w:r>
        <w:t xml:space="preserve">is necessary to make sure that transaction commits to </w:t>
      </w:r>
      <w:r w:rsidRPr="00A76F98">
        <w:t>measurable, verifiable, and enforceable commitments</w:t>
      </w:r>
      <w:r>
        <w:t xml:space="preserve"> in the public interest, for which the post-merger company can be held accountable.</w:t>
      </w:r>
      <w:r w:rsidR="00661EB7">
        <w:rPr>
          <w:rStyle w:val="FootnoteReference"/>
        </w:rPr>
        <w:footnoteReference w:id="137"/>
      </w:r>
      <w:r>
        <w:t xml:space="preserve">  </w:t>
      </w:r>
    </w:p>
    <w:p w:rsidR="00661EB7" w:rsidP="00661EB7" w:rsidRDefault="00434562" w14:paraId="5E0698DE" w14:textId="58B8DA84">
      <w:r>
        <w:t xml:space="preserve">We find that the Settlement Agreements, when paired with the mitigations discussed above to address concerns raised by parties outside the agreement, </w:t>
      </w:r>
      <w:r w:rsidR="005E4B6D">
        <w:t>are</w:t>
      </w:r>
      <w:r>
        <w:t xml:space="preserve"> in the public interest.</w:t>
      </w:r>
    </w:p>
    <w:p w:rsidR="00381F26" w:rsidP="00787AFF" w:rsidRDefault="00381F26" w14:paraId="4F5F3D07" w14:textId="77777777">
      <w:pPr>
        <w:pStyle w:val="Heading1"/>
      </w:pPr>
      <w:bookmarkStart w:name="_Toc233110401" w:id="440"/>
      <w:bookmarkStart w:name="_Toc233110965" w:id="441"/>
      <w:bookmarkStart w:name="_Toc233111311" w:id="442"/>
      <w:bookmarkStart w:name="_Toc233116747" w:id="443"/>
      <w:bookmarkStart w:name="_Toc233110402" w:id="444"/>
      <w:bookmarkStart w:name="_Toc233110966" w:id="445"/>
      <w:bookmarkStart w:name="_Toc233111312" w:id="446"/>
      <w:bookmarkStart w:name="_Toc233116748" w:id="447"/>
      <w:bookmarkStart w:name="_Toc233110403" w:id="448"/>
      <w:bookmarkStart w:name="_Toc233110967" w:id="449"/>
      <w:bookmarkStart w:name="_Toc233111313" w:id="450"/>
      <w:bookmarkStart w:name="_Toc233116749" w:id="451"/>
      <w:bookmarkStart w:name="_Toc233110404" w:id="452"/>
      <w:bookmarkStart w:name="_Toc233110968" w:id="453"/>
      <w:bookmarkStart w:name="_Toc233111314" w:id="454"/>
      <w:bookmarkStart w:name="_Toc233116750" w:id="455"/>
      <w:bookmarkStart w:name="_Toc233110405" w:id="456"/>
      <w:bookmarkStart w:name="_Toc233110969" w:id="457"/>
      <w:bookmarkStart w:name="_Toc233111315" w:id="458"/>
      <w:bookmarkStart w:name="_Toc233116751" w:id="459"/>
      <w:bookmarkStart w:name="_Toc237414336" w:id="460"/>
      <w:bookmarkStart w:name="_Toc233342691" w:id="461"/>
      <w:bookmarkStart w:name="_Toc8123721" w:id="462"/>
      <w:bookmarkEnd w:id="427"/>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t>Mitigation Measures Required to Find the Proposed Transaction in the Public Interest under Pub. Util. Code Sec. 854(c)(8)</w:t>
      </w:r>
      <w:bookmarkEnd w:id="460"/>
    </w:p>
    <w:p w:rsidR="00381F26" w:rsidP="00381F26" w:rsidRDefault="00381F26" w14:paraId="2532C7BB" w14:textId="418879FE">
      <w:pPr>
        <w:tabs>
          <w:tab w:val="num" w:pos="1080"/>
        </w:tabs>
        <w:rPr>
          <w:rFonts w:eastAsia="Times New Roman" w:cs="Times New Roman"/>
          <w:color w:val="000000" w:themeColor="text1"/>
        </w:rPr>
      </w:pPr>
      <w:r>
        <w:t xml:space="preserve">Pub. Util. Code Section 854(c)(8) requires the Commission to consider mitigation measures to prevent significant adverse consequences that may result because </w:t>
      </w:r>
      <w:r w:rsidRPr="00A343B7">
        <w:t xml:space="preserve">of the transaction.  </w:t>
      </w:r>
      <w:r w:rsidR="00C310FD">
        <w:t xml:space="preserve">While the Settlement Agreements address the concerns of Cal Advocates and CETF, </w:t>
      </w:r>
      <w:r w:rsidR="001473BE">
        <w:t xml:space="preserve">the remaining </w:t>
      </w:r>
      <w:r w:rsidR="004A4AC8">
        <w:t xml:space="preserve">intervenors </w:t>
      </w:r>
      <w:r w:rsidR="002F3879">
        <w:t>have presented persuasive facts and arguments that the transaction may have significant adverse consequences unless we adopt additional mitigation measures</w:t>
      </w:r>
    </w:p>
    <w:p w:rsidRPr="002E3FEF" w:rsidR="00381F26" w:rsidP="00381F26" w:rsidRDefault="00381F26" w14:paraId="326B7C2F" w14:textId="459A756B">
      <w:r>
        <w:t xml:space="preserve"> When paired with the Settlement Agreements, the five mitigation measures adopted herein will </w:t>
      </w:r>
      <w:r w:rsidR="002F3879">
        <w:t xml:space="preserve">address the transaction’s potential to result in significant adverse consequences and </w:t>
      </w:r>
      <w:r>
        <w:t>make the merger in the public interest.</w:t>
      </w:r>
    </w:p>
    <w:p w:rsidR="00381F26" w:rsidP="00787AFF" w:rsidRDefault="00381F26" w14:paraId="6DC7F7CC" w14:textId="116613B4">
      <w:pPr>
        <w:pStyle w:val="Heading2"/>
      </w:pPr>
      <w:bookmarkStart w:name="_Toc237414337" w:id="463"/>
      <w:r>
        <w:lastRenderedPageBreak/>
        <w:t>Mitigation Measure 1: Public Safety - Provide Battery Backup Availability and Annual Notice</w:t>
      </w:r>
      <w:bookmarkEnd w:id="463"/>
    </w:p>
    <w:p w:rsidRPr="00955D27" w:rsidR="00126ADC" w:rsidP="00126ADC" w:rsidRDefault="00126ADC" w14:paraId="0445CFCC" w14:textId="4D7446B0">
      <w:pPr>
        <w:tabs>
          <w:tab w:val="num" w:pos="1080"/>
        </w:tabs>
      </w:pPr>
      <w:r w:rsidRPr="00955D27">
        <w:t>In response to a Cal Advocates data request, Joint Applicants confirmed that a significant portion of service outages occur because of power outages.</w:t>
      </w:r>
      <w:r w:rsidRPr="00955D27">
        <w:rPr>
          <w:vertAlign w:val="superscript"/>
        </w:rPr>
        <w:footnoteReference w:id="138"/>
      </w:r>
      <w:r w:rsidRPr="00955D27">
        <w:t xml:space="preserve">  To improve public safety outcomes and increase public safety and communications resiliency</w:t>
      </w:r>
      <w:r>
        <w:t xml:space="preserve"> resulting from the transaction</w:t>
      </w:r>
      <w:r w:rsidRPr="00955D27">
        <w:t xml:space="preserve">, especially during natural disasters, mitigation </w:t>
      </w:r>
      <w:r>
        <w:t xml:space="preserve">measures </w:t>
      </w:r>
      <w:r w:rsidRPr="00955D27">
        <w:t>must be implemented, tracked</w:t>
      </w:r>
      <w:r>
        <w:t>,</w:t>
      </w:r>
      <w:r w:rsidRPr="00955D27">
        <w:t xml:space="preserve"> and reported.</w:t>
      </w:r>
    </w:p>
    <w:p w:rsidRPr="007E3092" w:rsidR="00381F26" w:rsidP="00381F26" w:rsidRDefault="00126ADC" w14:paraId="0A293386" w14:textId="00C8A7B5">
      <w:pPr>
        <w:pStyle w:val="Standard"/>
      </w:pPr>
      <w:r w:rsidRPr="00955D27">
        <w:t xml:space="preserve">The post-merger company </w:t>
      </w:r>
      <w:r w:rsidRPr="00955D27">
        <w:rPr>
          <w:rFonts w:eastAsia="Times New Roman" w:cs="Times New Roman"/>
          <w:color w:val="000000" w:themeColor="text1"/>
        </w:rPr>
        <w:t>shall make available to all new residential wireline voice service customers in California access to at least one battery backup solution that provides 72 hours of standby time.</w:t>
      </w:r>
      <w:r w:rsidRPr="00955D27">
        <w:rPr>
          <w:rFonts w:eastAsia="Times New Roman" w:cs="Times New Roman"/>
          <w:color w:val="000000" w:themeColor="text1"/>
          <w:vertAlign w:val="superscript"/>
        </w:rPr>
        <w:footnoteReference w:id="139"/>
      </w:r>
      <w:r w:rsidRPr="00955D27">
        <w:rPr>
          <w:rFonts w:eastAsia="Times New Roman" w:cs="Times New Roman"/>
          <w:color w:val="000000" w:themeColor="text1"/>
        </w:rPr>
        <w:t xml:space="preserve">  By March 1, 2027, </w:t>
      </w:r>
      <w:r>
        <w:rPr>
          <w:rFonts w:eastAsia="Times New Roman" w:cs="Times New Roman"/>
          <w:color w:val="000000" w:themeColor="text1"/>
        </w:rPr>
        <w:t xml:space="preserve">and annually for ten (10) years, </w:t>
      </w:r>
      <w:r w:rsidRPr="00955D27">
        <w:rPr>
          <w:rFonts w:eastAsia="Times New Roman" w:cs="Times New Roman"/>
          <w:color w:val="000000" w:themeColor="text1"/>
        </w:rPr>
        <w:t xml:space="preserve">the post-merger company shall provide an annual notice to all their residential wireline voice service customers in California disclosing relevant information regarding battery backup solutions.  </w:t>
      </w:r>
      <w:r w:rsidR="79B4C909">
        <w:rPr>
          <w:rFonts w:eastAsia="Times New Roman" w:cs="Times New Roman"/>
          <w:color w:val="000000" w:themeColor="text1"/>
        </w:rPr>
        <w:t xml:space="preserve">The post-merger company will include this notice in </w:t>
      </w:r>
      <w:r w:rsidR="34669320">
        <w:rPr>
          <w:rFonts w:eastAsia="Times New Roman" w:cs="Times New Roman"/>
          <w:color w:val="000000" w:themeColor="text1"/>
        </w:rPr>
        <w:t xml:space="preserve">a </w:t>
      </w:r>
      <w:r w:rsidR="79B4C909">
        <w:rPr>
          <w:rFonts w:eastAsia="Times New Roman" w:cs="Times New Roman"/>
          <w:color w:val="000000" w:themeColor="text1"/>
        </w:rPr>
        <w:t xml:space="preserve">March 1 Tier </w:t>
      </w:r>
      <w:r w:rsidR="6EE9D6CD">
        <w:rPr>
          <w:rFonts w:eastAsia="Times New Roman" w:cs="Times New Roman"/>
          <w:color w:val="000000" w:themeColor="text1"/>
        </w:rPr>
        <w:t xml:space="preserve">1 </w:t>
      </w:r>
      <w:r w:rsidR="79B4C909">
        <w:rPr>
          <w:rFonts w:eastAsia="Times New Roman" w:cs="Times New Roman"/>
          <w:color w:val="000000" w:themeColor="text1"/>
        </w:rPr>
        <w:t>advice letter to the Commission.</w:t>
      </w:r>
    </w:p>
    <w:p w:rsidR="00381F26" w:rsidP="00787AFF" w:rsidRDefault="00381F26" w14:paraId="69AA6183" w14:textId="77777777">
      <w:pPr>
        <w:pStyle w:val="Heading2"/>
      </w:pPr>
      <w:bookmarkStart w:name="_Toc237414338" w:id="464"/>
      <w:r>
        <w:t>Mitigation Measure 2: Public Safety – Ensure Resiliency and Reliability of the Broadband Network</w:t>
      </w:r>
      <w:bookmarkEnd w:id="464"/>
    </w:p>
    <w:p w:rsidR="00381F26" w:rsidP="00381F26" w:rsidRDefault="002F3879" w14:paraId="486BC385" w14:textId="3970C93B">
      <w:pPr>
        <w:tabs>
          <w:tab w:val="num" w:pos="1080"/>
        </w:tabs>
      </w:pPr>
      <w:r>
        <w:t>Parties raised concerns about the post-merger company’s</w:t>
      </w:r>
      <w:r w:rsidR="00F04B19">
        <w:t xml:space="preserve"> </w:t>
      </w:r>
      <w:r w:rsidRPr="00955D27">
        <w:t>reimbursement of non-planned outages</w:t>
      </w:r>
      <w:r>
        <w:t>.</w:t>
      </w:r>
      <w:r>
        <w:rPr>
          <w:rStyle w:val="FootnoteReference"/>
        </w:rPr>
        <w:footnoteReference w:id="140"/>
      </w:r>
      <w:r>
        <w:t xml:space="preserve">  In comments, the public also expressed its expectation that the post-merger company would reimburse for service outages and provide flexible and transparent pricing and options.  Joint Applicants fail to demonstrate that the transaction will not have an adverse impact on consumers </w:t>
      </w:r>
      <w:r>
        <w:lastRenderedPageBreak/>
        <w:t xml:space="preserve">in these areas.  </w:t>
      </w:r>
      <w:r w:rsidR="00381F26">
        <w:t>Californians rely on their broadband network.  When they pay for that network, they expect the network to be operational.</w:t>
      </w:r>
      <w:r w:rsidR="00CA473A">
        <w:rPr>
          <w:rStyle w:val="FootnoteReference"/>
        </w:rPr>
        <w:footnoteReference w:id="141"/>
      </w:r>
    </w:p>
    <w:p w:rsidRPr="007E3092" w:rsidR="00381F26" w:rsidP="00381F26" w:rsidRDefault="00381F26" w14:paraId="6938927E" w14:textId="36E4B5C9">
      <w:pPr>
        <w:pStyle w:val="Standard"/>
      </w:pPr>
      <w:r w:rsidRPr="005767BC">
        <w:t xml:space="preserve">For network outages </w:t>
      </w:r>
      <w:r>
        <w:t xml:space="preserve">in which </w:t>
      </w:r>
      <w:r w:rsidRPr="005767BC">
        <w:t xml:space="preserve">a standalone broadband customer is unable to access the internet for two hours or more in a day, </w:t>
      </w:r>
      <w:r>
        <w:t xml:space="preserve">the customers should not have to pay for that day. </w:t>
      </w:r>
      <w:r w:rsidR="005E4B6D">
        <w:t xml:space="preserve"> </w:t>
      </w:r>
      <w:r>
        <w:t>T</w:t>
      </w:r>
      <w:r w:rsidRPr="005767BC">
        <w:t xml:space="preserve">he post-merger company </w:t>
      </w:r>
      <w:r>
        <w:t xml:space="preserve">shall </w:t>
      </w:r>
      <w:r w:rsidRPr="005767BC">
        <w:t xml:space="preserve">automatically issue a customer credit equal to 1/30th of service’s monthly bill for each day the outage lasts 2-hours or more.  </w:t>
      </w:r>
      <w:r w:rsidR="00F71FB6">
        <w:t xml:space="preserve">Outages caused by natural catastrophes or planned overnight scheduled maintenance in which a customer is notified prior to the maintenance shall be excluded. </w:t>
      </w:r>
      <w:r w:rsidR="005E4B6D">
        <w:t xml:space="preserve"> </w:t>
      </w:r>
      <w:r>
        <w:t>The post-merger company shall reflect a</w:t>
      </w:r>
      <w:r w:rsidRPr="005767BC">
        <w:t xml:space="preserve">pplicable automatic customer credits on the customer’s bill within 60 days after the last day of the billing period </w:t>
      </w:r>
      <w:r>
        <w:t xml:space="preserve">to </w:t>
      </w:r>
      <w:r w:rsidRPr="005767BC">
        <w:t>which the credit applies.  The automatic customer credit applies only to charges associated with the service.</w:t>
      </w:r>
      <w:r w:rsidR="0040309E">
        <w:rPr>
          <w:rStyle w:val="FootnoteReference"/>
        </w:rPr>
        <w:footnoteReference w:id="142"/>
      </w:r>
    </w:p>
    <w:p w:rsidR="00381F26" w:rsidP="00787AFF" w:rsidRDefault="00381F26" w14:paraId="3A58C90F" w14:textId="77777777">
      <w:pPr>
        <w:pStyle w:val="Heading2"/>
      </w:pPr>
      <w:bookmarkStart w:name="_Toc237414339" w:id="465"/>
      <w:r>
        <w:t>Mitigation 3: Require Adherence to the Current Laws for PEG Channel Management</w:t>
      </w:r>
      <w:bookmarkEnd w:id="465"/>
    </w:p>
    <w:p w:rsidR="00F14A9D" w:rsidP="00F14A9D" w:rsidRDefault="00F14A9D" w14:paraId="22DF1E47" w14:textId="7F1EBDFA">
      <w:r>
        <w:t>Media Alliance argues that both Charter and Cox are video franchise holders subject to Commission jurisdiction.  Public participants, both in person and in comments on the docket card, stated the post-merger company must observe the requirements of Pub. Util. Code Section 5870.  Continuing the provision of PEG channel capacity for public, educational and governmental programming, would be in the public interest because of the legacy cable customers who continue to fund them, the local communities who continue to expect their programming, and the training and development opportunities afforded by them.</w:t>
      </w:r>
      <w:r w:rsidR="0040309E">
        <w:rPr>
          <w:rStyle w:val="FootnoteReference"/>
        </w:rPr>
        <w:footnoteReference w:id="143"/>
      </w:r>
      <w:r>
        <w:t xml:space="preserve">   </w:t>
      </w:r>
    </w:p>
    <w:p w:rsidR="00316C57" w:rsidP="00F14A9D" w:rsidRDefault="00F14A9D" w14:paraId="4759A004" w14:textId="69863E7E">
      <w:r>
        <w:lastRenderedPageBreak/>
        <w:t>Media Alliance indicates that there are billing issues that require fixing.</w:t>
      </w:r>
      <w:r w:rsidR="00886F8A">
        <w:rPr>
          <w:rStyle w:val="FootnoteReference"/>
        </w:rPr>
        <w:footnoteReference w:id="144"/>
      </w:r>
      <w:r>
        <w:t xml:space="preserve">  Media Alliance also urges the Commission to assure that the post-merger company will treat PEG channel lawfully and in a non-discriminatory manner that allows Californians to receive and utilize the public interest benefits they are entitled to,</w:t>
      </w:r>
      <w:r w:rsidR="00886F8A">
        <w:rPr>
          <w:rStyle w:val="FootnoteReference"/>
        </w:rPr>
        <w:footnoteReference w:id="145"/>
      </w:r>
      <w:r>
        <w:t xml:space="preserve"> as well as assure that non-commercial video be broadcast as submitted.</w:t>
      </w:r>
      <w:r w:rsidR="00474E40">
        <w:rPr>
          <w:rStyle w:val="FootnoteReference"/>
        </w:rPr>
        <w:footnoteReference w:id="146"/>
      </w:r>
      <w:r>
        <w:t xml:space="preserve">  Where the Joint Applicants are among the largest providers of cable services to California, Media Alliance indicates that there are some practices with respect to the treatment of PEG stations that require a closer look</w:t>
      </w:r>
      <w:r w:rsidR="00E91892">
        <w:t>, such as degrading video content on public benefit channels by compressing it into standard definition prior to broadcast</w:t>
      </w:r>
      <w:r>
        <w:t>.</w:t>
      </w:r>
      <w:r w:rsidR="00E91892">
        <w:rPr>
          <w:rStyle w:val="FootnoteReference"/>
        </w:rPr>
        <w:footnoteReference w:id="147"/>
      </w:r>
      <w:r>
        <w:t xml:space="preserve">  </w:t>
      </w:r>
    </w:p>
    <w:p w:rsidR="00381F26" w:rsidP="00381F26" w:rsidRDefault="00381F26" w14:paraId="7B2623C1" w14:textId="5E1845BB">
      <w:r>
        <w:t>We agree with Media Alliance that there is significant overlap among low-income Californians, ESJ communities, those who lack access to high-speed broadband, devices, and necessary additional resources, and legacy cable customers.</w:t>
      </w:r>
      <w:r>
        <w:rPr>
          <w:rStyle w:val="FootnoteReference"/>
        </w:rPr>
        <w:footnoteReference w:id="148"/>
      </w:r>
      <w:r>
        <w:t xml:space="preserve"> </w:t>
      </w:r>
      <w:r w:rsidR="00101081">
        <w:t xml:space="preserve"> </w:t>
      </w:r>
      <w:r>
        <w:t>The p</w:t>
      </w:r>
      <w:r w:rsidRPr="0004168A">
        <w:t xml:space="preserve">ublic benefit channels </w:t>
      </w:r>
      <w:r>
        <w:t>provide local news, training and equipment, and civic information, as a trusted and known messenger in local communities.</w:t>
      </w:r>
      <w:r w:rsidR="009B4BE6">
        <w:t xml:space="preserve">  Further, to allow the Joint Applicants to continue to flout Pub. Util. Code Section 5870 would prevent the Commission from effectively regulating utility operations under Pub. Util. Code Section 854(c)(7).  </w:t>
      </w:r>
      <w:r>
        <w:t xml:space="preserve"> </w:t>
      </w:r>
    </w:p>
    <w:p w:rsidR="00381F26" w:rsidP="00381F26" w:rsidRDefault="00D75B38" w14:paraId="0136A51E" w14:textId="074AAA32">
      <w:r w:rsidRPr="00955D27">
        <w:t xml:space="preserve">To resolve the question of Public Benefit Channel treatment, within nine months of </w:t>
      </w:r>
      <w:r>
        <w:t>the effective date of this d</w:t>
      </w:r>
      <w:r w:rsidRPr="00955D27">
        <w:t xml:space="preserve">ecision, the post-merger company will audit its relationships with all of the PEG channels in its footprint and submit the </w:t>
      </w:r>
      <w:r w:rsidRPr="00955D27">
        <w:lastRenderedPageBreak/>
        <w:t>report to the Commission</w:t>
      </w:r>
      <w:r>
        <w:t xml:space="preserve"> via a Tier 1 </w:t>
      </w:r>
      <w:r w:rsidR="00AF12A9">
        <w:t>a</w:t>
      </w:r>
      <w:r>
        <w:t xml:space="preserve">dvice </w:t>
      </w:r>
      <w:r w:rsidR="00AF12A9">
        <w:t>l</w:t>
      </w:r>
      <w:r>
        <w:t>etter,</w:t>
      </w:r>
      <w:r w:rsidRPr="00955D27">
        <w:t xml:space="preserve"> detailing the parameters of its PEG channel relationships, including:</w:t>
      </w:r>
      <w:r w:rsidR="00381F26">
        <w:t xml:space="preserve"> </w:t>
      </w:r>
    </w:p>
    <w:p w:rsidR="00381F26" w:rsidP="00787AFF" w:rsidRDefault="00381F26" w14:paraId="28692912" w14:textId="585839CD">
      <w:pPr>
        <w:pStyle w:val="ListAlpha"/>
        <w:ind w:right="1440"/>
      </w:pPr>
      <w:r>
        <w:t xml:space="preserve">the fees charged to and paid by each PEG channel within the post-merger company footprint; </w:t>
      </w:r>
    </w:p>
    <w:p w:rsidR="00381F26" w:rsidP="00787AFF" w:rsidRDefault="00381F26" w14:paraId="655961B8" w14:textId="42D94DE7">
      <w:pPr>
        <w:pStyle w:val="ListAlpha"/>
        <w:ind w:right="1440"/>
      </w:pPr>
      <w:r>
        <w:t xml:space="preserve">a narrative as to how the post-merger company is complying with current Commission jurisdiction, Pub. Util. Code Section </w:t>
      </w:r>
      <w:r w:rsidRPr="0004168A">
        <w:t>5870</w:t>
      </w:r>
      <w:r>
        <w:t xml:space="preserve">, for each PEG station; </w:t>
      </w:r>
    </w:p>
    <w:p w:rsidR="00381F26" w:rsidP="00787AFF" w:rsidRDefault="00381F26" w14:paraId="3106AE71" w14:textId="765BE421">
      <w:pPr>
        <w:pStyle w:val="ListAlpha"/>
        <w:ind w:right="1440"/>
      </w:pPr>
      <w:r>
        <w:t xml:space="preserve">identification of the public benefit channel number for each PEG station; </w:t>
      </w:r>
    </w:p>
    <w:p w:rsidR="00381F26" w:rsidP="00787AFF" w:rsidRDefault="00381F26" w14:paraId="685EF812" w14:textId="0E1421FD">
      <w:pPr>
        <w:pStyle w:val="ListAlpha"/>
        <w:ind w:right="1440"/>
      </w:pPr>
      <w:r>
        <w:t xml:space="preserve">a description of the treatment each PEG channel receives on cable channel guides and navigation systems; </w:t>
      </w:r>
    </w:p>
    <w:p w:rsidR="00381F26" w:rsidP="00787AFF" w:rsidRDefault="00381F26" w14:paraId="1E5FAE45" w14:textId="73EB548D">
      <w:pPr>
        <w:pStyle w:val="ListAlpha"/>
        <w:ind w:right="1440"/>
      </w:pPr>
      <w:r>
        <w:t xml:space="preserve">a narrative describing the treatment of video content submitted by the public and the process by which it is prepared for and then broadcast.  </w:t>
      </w:r>
    </w:p>
    <w:p w:rsidR="00E91892" w:rsidP="00E91892" w:rsidRDefault="00381F26" w14:paraId="7A8C03D2" w14:textId="77777777">
      <w:r>
        <w:t xml:space="preserve">The post-merger company </w:t>
      </w:r>
      <w:r w:rsidR="00781DF5">
        <w:t xml:space="preserve">shall </w:t>
      </w:r>
      <w:r>
        <w:t xml:space="preserve">submit that report to the Commission via a Tier </w:t>
      </w:r>
      <w:r w:rsidR="00F500AB">
        <w:t xml:space="preserve">1 </w:t>
      </w:r>
      <w:r>
        <w:t>advice letter and include an attestation that it has also sent the information to the Alliance for Community Media, the Public Benefits Channel trade organization</w:t>
      </w:r>
      <w:r w:rsidRPr="00063C9F">
        <w:t>.</w:t>
      </w:r>
    </w:p>
    <w:p w:rsidRPr="002A751F" w:rsidR="00381F26" w:rsidP="00E91892" w:rsidRDefault="00E91892" w14:paraId="57AD5DD7" w14:textId="5E624208">
      <w:r>
        <w:t>T</w:t>
      </w:r>
      <w:r w:rsidRPr="00955D27">
        <w:t xml:space="preserve">he post-merger company </w:t>
      </w:r>
      <w:r>
        <w:t>shall</w:t>
      </w:r>
      <w:r w:rsidRPr="00955D27">
        <w:t xml:space="preserve"> broadcast all PEG programming throughout its entire footprint </w:t>
      </w:r>
      <w:r>
        <w:t>in</w:t>
      </w:r>
      <w:r w:rsidRPr="00955D27">
        <w:t xml:space="preserve"> HD streaming quality</w:t>
      </w:r>
      <w:r>
        <w:t>, to make</w:t>
      </w:r>
      <w:r w:rsidRPr="00955D27">
        <w:t xml:space="preserve"> PEG programming schedules be made available on all electronic programming guides and, immediately following the issuance of this decision, cease charging PEG channels for services</w:t>
      </w:r>
      <w:r>
        <w:t xml:space="preserve"> per Public Utilities Code Section </w:t>
      </w:r>
      <w:r w:rsidRPr="00955D27">
        <w:t>5870</w:t>
      </w:r>
      <w:r>
        <w:t>.</w:t>
      </w:r>
      <w:r w:rsidRPr="00063C9F" w:rsidR="00381F26">
        <w:t xml:space="preserve">  </w:t>
      </w:r>
    </w:p>
    <w:p w:rsidR="00381F26" w:rsidP="00787AFF" w:rsidRDefault="00381F26" w14:paraId="30F5D39A" w14:textId="2C75691D">
      <w:pPr>
        <w:pStyle w:val="Heading2"/>
      </w:pPr>
      <w:bookmarkStart w:name="_Toc237414340" w:id="466"/>
      <w:r>
        <w:t>Mitigation 4: Honoring Agreements</w:t>
      </w:r>
      <w:bookmarkEnd w:id="466"/>
    </w:p>
    <w:p w:rsidR="00381F26" w:rsidP="00381F26" w:rsidRDefault="00381F26" w14:paraId="61C39442" w14:textId="64380E98">
      <w:r>
        <w:t>When customers sign an agreement with their broadband provider, they expect that agreement to be honored, even if that broadband provider changes owners.  The Joint Applicants committed to the state of Connecticut that they would honor “price for life” agreements</w:t>
      </w:r>
      <w:r w:rsidR="00897D3F">
        <w:t>, or an agreement not to raise prices,</w:t>
      </w:r>
      <w:r>
        <w:t xml:space="preserve"> </w:t>
      </w:r>
      <w:r>
        <w:lastRenderedPageBreak/>
        <w:t>with residential customers.</w:t>
      </w:r>
      <w:r>
        <w:rPr>
          <w:rStyle w:val="FootnoteReference"/>
        </w:rPr>
        <w:footnoteReference w:id="149"/>
      </w:r>
      <w:r w:rsidR="00AF12A9">
        <w:t xml:space="preserve">  Failure to make the same commitment in California would expose the public to potentially significant adverse impacts from the transaction.</w:t>
      </w:r>
    </w:p>
    <w:p w:rsidR="00381F26" w:rsidP="00381F26" w:rsidRDefault="00381F26" w14:paraId="271B9599" w14:textId="2968C500">
      <w:r w:rsidRPr="006B06F5">
        <w:t xml:space="preserve">For residential customers with a valid “price for life” agreement for any Covered Service entered prior to the </w:t>
      </w:r>
      <w:r w:rsidR="00101081">
        <w:t>t</w:t>
      </w:r>
      <w:r w:rsidRPr="006B06F5">
        <w:t xml:space="preserve">ransaction close, </w:t>
      </w:r>
      <w:r>
        <w:t xml:space="preserve">the post-merger company </w:t>
      </w:r>
      <w:r w:rsidR="00AF12A9">
        <w:t>shall</w:t>
      </w:r>
      <w:r w:rsidRPr="006B06F5">
        <w:t xml:space="preserve"> honor the agreement in accordance with its terms, provided </w:t>
      </w:r>
      <w:r>
        <w:t xml:space="preserve">the post-merger company </w:t>
      </w:r>
      <w:r w:rsidRPr="006B06F5">
        <w:t>is practically capable of doing so, and only for the period in which service remains generally available for sale</w:t>
      </w:r>
      <w:r>
        <w:t>.</w:t>
      </w:r>
    </w:p>
    <w:p w:rsidR="00381F26" w:rsidP="00787AFF" w:rsidRDefault="00381F26" w14:paraId="6846DE74" w14:textId="186A484A">
      <w:pPr>
        <w:pStyle w:val="Heading2"/>
      </w:pPr>
      <w:bookmarkStart w:name="_Toc237414341" w:id="467"/>
      <w:r>
        <w:t>Mitigation 5: No Hidden Fees</w:t>
      </w:r>
      <w:bookmarkEnd w:id="467"/>
    </w:p>
    <w:p w:rsidR="00381F26" w:rsidP="00AF12A9" w:rsidRDefault="00381F26" w14:paraId="01D0FA1C" w14:textId="5594BA21">
      <w:r>
        <w:t>Hidden fees can build distrust between customers and their broadband provider.  The Joint Applicants committed to the state of New York that they would not charge customers to exchange equipment if they upgraded or downgraded their service.</w:t>
      </w:r>
      <w:r>
        <w:rPr>
          <w:rStyle w:val="FootnoteReference"/>
        </w:rPr>
        <w:footnoteReference w:id="150"/>
      </w:r>
      <w:r w:rsidR="00AF12A9">
        <w:t xml:space="preserve">  Failure to make the same commitment in California would expose the public to potentially significant adverse impacts from the transaction.</w:t>
      </w:r>
    </w:p>
    <w:p w:rsidR="003B5262" w:rsidP="007238AE" w:rsidRDefault="00381F26" w14:paraId="61EF1BFB" w14:textId="1A295557">
      <w:r>
        <w:t xml:space="preserve">The post-merger company </w:t>
      </w:r>
      <w:r w:rsidRPr="006B06F5">
        <w:t xml:space="preserve">shall not charge fees to residential cable television service customers to exchange equipment when a consumer requests an upgrade or downgrade of service or chooses to return rented equipment for such cable television service. </w:t>
      </w:r>
      <w:r>
        <w:t xml:space="preserve"> </w:t>
      </w:r>
      <w:r w:rsidRPr="006B06F5">
        <w:t xml:space="preserve">Nothing herein shall preclude </w:t>
      </w:r>
      <w:r>
        <w:t xml:space="preserve">the post-merger company </w:t>
      </w:r>
      <w:r w:rsidRPr="006B06F5">
        <w:t>from charging customers to return or exchange equipment by mail or other similar delivery means, or for any installation charge or service call requested by the customer for the purpose of performing such equipment exchange</w:t>
      </w:r>
      <w:r>
        <w:t>.</w:t>
      </w:r>
    </w:p>
    <w:p w:rsidR="00661EB7" w:rsidP="00787AFF" w:rsidRDefault="00201959" w14:paraId="1D8FC987" w14:textId="5A7AF9EF">
      <w:pPr>
        <w:pStyle w:val="Heading1"/>
      </w:pPr>
      <w:bookmarkStart w:name="_Toc237414342" w:id="468"/>
      <w:bookmarkEnd w:id="461"/>
      <w:r>
        <w:lastRenderedPageBreak/>
        <w:t>Enforcement</w:t>
      </w:r>
      <w:r w:rsidR="0087678E">
        <w:t xml:space="preserve"> and Reporting</w:t>
      </w:r>
      <w:bookmarkEnd w:id="468"/>
    </w:p>
    <w:p w:rsidRPr="00ED69A7" w:rsidR="00ED69A7" w:rsidP="00ED69A7" w:rsidRDefault="00ED69A7" w14:paraId="0CA6DCF5" w14:textId="73E6C9B4">
      <w:pPr>
        <w:pStyle w:val="Standard"/>
      </w:pPr>
      <w:r w:rsidRPr="00EC31A8">
        <w:t xml:space="preserve">Commission staff is authorized to draft a Resolution for Commission consideration reflecting an enforcement program that covers compliance with the terms of the </w:t>
      </w:r>
      <w:r w:rsidR="00AF12A9">
        <w:t xml:space="preserve">mitigation measures as reflected in the </w:t>
      </w:r>
      <w:r w:rsidRPr="00EC31A8">
        <w:t xml:space="preserve">Ordering Paragraphs, including, without limitation, the post-merger company’s reporting requirements, service quality requirements, infrastructure investment requirements, requests for changes to conditions via a petition for modification, and the terms of any Settlement Agreements. </w:t>
      </w:r>
      <w:r w:rsidR="00101081">
        <w:t xml:space="preserve"> </w:t>
      </w:r>
      <w:r w:rsidRPr="00EC31A8">
        <w:t xml:space="preserve">The proposed enforcement program will specify a citation amount for each term, proposed remedies for lack of compliance, the use of Corrective Action Plans, and explore penalty mechanisms, including monetary fines. </w:t>
      </w:r>
      <w:r w:rsidR="00101081">
        <w:t xml:space="preserve"> </w:t>
      </w:r>
      <w:r w:rsidRPr="00EC31A8">
        <w:t>Enforcement program appeals will be pursuant to Resolution ALJ-377 or its successor.</w:t>
      </w:r>
    </w:p>
    <w:p w:rsidR="00C77C12" w:rsidP="00787AFF" w:rsidRDefault="00C77C12" w14:paraId="54843DF0" w14:textId="11A5D6EB">
      <w:pPr>
        <w:pStyle w:val="Heading1"/>
      </w:pPr>
      <w:bookmarkStart w:name="_Toc237414343" w:id="469"/>
      <w:r>
        <w:t>Summary of Public Comment</w:t>
      </w:r>
      <w:bookmarkEnd w:id="469"/>
    </w:p>
    <w:p w:rsidR="00661EB7" w:rsidP="00661EB7" w:rsidRDefault="00661EB7" w14:paraId="30331131" w14:textId="3AED43DB">
      <w:r w:rsidRPr="002E6E26">
        <w:t>Rule 1.18 allows any member of the public to submit written comment in any Commission proceeding using the “Public Comment” tab of the online Docket Card for that proceeding on the Commission’s website.  Rule 1.18(b) requires that relevant written comment submitted in a proceeding be summarized in the final decision issued in that proceeding.</w:t>
      </w:r>
      <w:bookmarkStart w:name="_Toc8123723" w:id="470"/>
      <w:bookmarkEnd w:id="462"/>
      <w:r>
        <w:t xml:space="preserve">  </w:t>
      </w:r>
      <w:r w:rsidRPr="00955D27" w:rsidR="00E15AD0">
        <w:t xml:space="preserve">The public comments were summarized the Public </w:t>
      </w:r>
      <w:r w:rsidR="00E15AD0">
        <w:t xml:space="preserve">Participation Hearings and Comment </w:t>
      </w:r>
      <w:r w:rsidRPr="00955D27" w:rsidR="00E15AD0">
        <w:t>section, above.</w:t>
      </w:r>
    </w:p>
    <w:p w:rsidR="00661EB7" w:rsidP="00787AFF" w:rsidRDefault="00661EB7" w14:paraId="322753C7" w14:textId="77777777">
      <w:pPr>
        <w:pStyle w:val="Heading1"/>
      </w:pPr>
      <w:bookmarkStart w:name="_Toc233342692" w:id="471"/>
      <w:bookmarkStart w:name="_Toc237414344" w:id="472"/>
      <w:r>
        <w:t>Procedural Matters</w:t>
      </w:r>
      <w:bookmarkEnd w:id="471"/>
      <w:bookmarkEnd w:id="472"/>
    </w:p>
    <w:p w:rsidR="000B4990" w:rsidP="000B4990" w:rsidRDefault="000B4990" w14:paraId="61CF9BA9" w14:textId="096B0103">
      <w:pPr>
        <w:pStyle w:val="Standard"/>
      </w:pPr>
      <w:r>
        <w:t xml:space="preserve">On June 5, 2026, TURN filed a motion to file certain portions of its reply brief under seal.  According to TURN, its reply brief contains material that Charter designated as confidential or highly confidential and discusses portions of the evidentiary hearing transcript that the ALJ placed under seal.  The declarations Charter provided to TURN to support their claim of confidentiality </w:t>
      </w:r>
      <w:r>
        <w:lastRenderedPageBreak/>
        <w:t>or high confidentiality cite to specific state statutes, administrative regulations</w:t>
      </w:r>
      <w:r w:rsidR="009E1176">
        <w:t>,</w:t>
      </w:r>
      <w:r>
        <w:t xml:space="preserve"> and Commission general orders and decisions.</w:t>
      </w:r>
    </w:p>
    <w:p w:rsidR="000B4990" w:rsidP="000B4990" w:rsidRDefault="000B4990" w14:paraId="749380A7" w14:textId="119AE04D">
      <w:pPr>
        <w:pStyle w:val="Standard"/>
      </w:pPr>
      <w:r>
        <w:t xml:space="preserve">On June 1, 2026, TURN filed a motion to file certain redacted portions of its opening comments on the settlement agreement between the Joint Applicants and CETF under seal. </w:t>
      </w:r>
      <w:r w:rsidR="009E1176">
        <w:t xml:space="preserve"> </w:t>
      </w:r>
      <w:r>
        <w:t xml:space="preserve">TURN states that its opening comments contain discuss of material that Charter designated as confidential and portions of the evidentiary hearing transcript the ALJ placed under seal. </w:t>
      </w:r>
      <w:r w:rsidR="009E1176">
        <w:t xml:space="preserve"> </w:t>
      </w:r>
      <w:r>
        <w:t>The declarations Charter provided to TURN in support of their claim confidentiality cite to specific state statutes, administrative regulations, and Commission general orders and decisions.</w:t>
      </w:r>
    </w:p>
    <w:p w:rsidR="000B4990" w:rsidP="000B4990" w:rsidRDefault="000B4990" w14:paraId="59BB73D6" w14:textId="77777777">
      <w:pPr>
        <w:pStyle w:val="Standard"/>
      </w:pPr>
      <w:r>
        <w:t>On May 22, 2026, the Joint Applicants filed a motion to file under seal the confidential information of the CEI-affiliated companies included in their opening brief.  According to Joint Applicants, Footnote 154 of the opening brief includes non-public, proprietary information which is competitively sensitive, valuable to Cox, and the disclosure of which would be harmful to Cox.</w:t>
      </w:r>
    </w:p>
    <w:p w:rsidR="000B4990" w:rsidP="000B4990" w:rsidRDefault="000B4990" w14:paraId="0757CB9C" w14:textId="5DEAC9FB">
      <w:pPr>
        <w:pStyle w:val="Standard"/>
      </w:pPr>
      <w:r>
        <w:t xml:space="preserve">On May 1, 2026, Charter filed a motion for leave to file under seal portions of the Joint Applicants/CETF Settlement Agreement. </w:t>
      </w:r>
      <w:r w:rsidR="009E1176">
        <w:t xml:space="preserve"> </w:t>
      </w:r>
      <w:r>
        <w:t>Specifically, Charter requests confidential treatment for Attachment A to the Settlement Agreement because it contains location information for anchor institutions that constitutes network and subscriber location information protected under state and federal law.</w:t>
      </w:r>
    </w:p>
    <w:p w:rsidR="000B4990" w:rsidP="000B4990" w:rsidRDefault="000B4990" w14:paraId="4E2AE49B" w14:textId="79225FB5">
      <w:pPr>
        <w:pStyle w:val="Standard"/>
      </w:pPr>
      <w:r>
        <w:t xml:space="preserve">On January 14, 2026, Cal Advocates filed a motion for leave to file under seal their response to the Joint Applicants’ motion to modify the assigned Commissioner’s Scoping Memo. </w:t>
      </w:r>
      <w:r w:rsidR="009E1176">
        <w:t xml:space="preserve"> </w:t>
      </w:r>
      <w:r>
        <w:t>According to Cal Advocates, certain portions of Joint Applicants’ motion contain material that the Joint Applicants designated as confidential.</w:t>
      </w:r>
    </w:p>
    <w:p w:rsidR="000B4990" w:rsidP="000B4990" w:rsidRDefault="000B4990" w14:paraId="5E90EC58" w14:textId="64299212">
      <w:pPr>
        <w:pStyle w:val="Standard"/>
      </w:pPr>
      <w:r>
        <w:lastRenderedPageBreak/>
        <w:t xml:space="preserve">On January 2, 2026, Charter filed a motion for leave to file under seal Attachment 1 to its response to Cal Advocates’ motion to compel. </w:t>
      </w:r>
      <w:r w:rsidR="009E1176">
        <w:t xml:space="preserve"> </w:t>
      </w:r>
      <w:r>
        <w:t xml:space="preserve">Charter states that Attachment 1 contains communications between counsel for Charter and counsel for Cal Advocates that are exempted or prohibited from disclosure pursuant to federal and state law, including provisions of the Evidence Code relating to privilege. </w:t>
      </w:r>
    </w:p>
    <w:p w:rsidR="000B4990" w:rsidP="000B4990" w:rsidRDefault="000B4990" w14:paraId="78C7C43B" w14:textId="7C2B7752">
      <w:pPr>
        <w:pStyle w:val="Standard"/>
      </w:pPr>
      <w:r>
        <w:t>On December 30, 2025, the Joint Applicants filed a motion for leave to file under seal portions of their motion to amend the assigned Commissioner’s Scoping Memo. Specifically, Joint Applicants state the redacted portions of  Section III.A.1 of the motion to amend contain information related to the federal review process and timeline regarding the national transaction</w:t>
      </w:r>
      <w:r w:rsidR="009E1176">
        <w:t>, which is confidential</w:t>
      </w:r>
      <w:r>
        <w:t xml:space="preserve"> because it is not public and protected from disclosure under federal and state law.</w:t>
      </w:r>
    </w:p>
    <w:p w:rsidR="000B4990" w:rsidP="000B4990" w:rsidRDefault="000B4990" w14:paraId="22C00A97" w14:textId="1A65CA34">
      <w:pPr>
        <w:pStyle w:val="Standard"/>
      </w:pPr>
      <w:r>
        <w:t xml:space="preserve">On December 23, 2025, Cal Advocates filed a motion for leave to file under seal Attachments 2, 4, 5, and 6 to its motion to compel data request responses from Charter. </w:t>
      </w:r>
      <w:r w:rsidR="009E1176">
        <w:t xml:space="preserve"> </w:t>
      </w:r>
      <w:r>
        <w:t>The request is based on Charter’s identification of such information as confidential.</w:t>
      </w:r>
    </w:p>
    <w:p w:rsidR="000B4990" w:rsidP="000B4990" w:rsidRDefault="000B4990" w14:paraId="3C62FFC6" w14:textId="0A06106D">
      <w:pPr>
        <w:pStyle w:val="Standard"/>
      </w:pPr>
      <w:r>
        <w:t xml:space="preserve">On December 10, 2025, Charter filed a motion for leave to file under seal Attachments 1-A, 1-B, 2-B, and 3 to its the Response to the ALJ inquiry. </w:t>
      </w:r>
      <w:r w:rsidR="009E1176">
        <w:t xml:space="preserve"> </w:t>
      </w:r>
      <w:r>
        <w:t>Charter states that this information is not publicly available and is the type of material protected from disclosure under federal and state law.</w:t>
      </w:r>
    </w:p>
    <w:p w:rsidR="000B4990" w:rsidP="000B4990" w:rsidRDefault="000B4990" w14:paraId="3CFB1C42" w14:textId="50224F5D">
      <w:pPr>
        <w:pStyle w:val="Standard"/>
      </w:pPr>
      <w:r>
        <w:t xml:space="preserve">On September 15, 2025, Cox California filed a motion for leave to file under seal Attachments 1, 2, 4, and 5 of its Response to the ALJ inquiry.  </w:t>
      </w:r>
      <w:r w:rsidR="009E1176">
        <w:t xml:space="preserve"> </w:t>
      </w:r>
      <w:r>
        <w:t xml:space="preserve">According to Cox California, the documents contain financial information that is the same or substantially similar to the financial materials the Commission </w:t>
      </w:r>
      <w:r>
        <w:lastRenderedPageBreak/>
        <w:t>identified as eligible for confidential treatment in D.24-11-003. The documents also contain FCC and customer data that is not available to the public.</w:t>
      </w:r>
    </w:p>
    <w:p w:rsidR="000B4990" w:rsidP="000B4990" w:rsidRDefault="000B4990" w14:paraId="0877D4D7" w14:textId="1D9BB1B9">
      <w:pPr>
        <w:pStyle w:val="Standard"/>
      </w:pPr>
      <w:r>
        <w:t xml:space="preserve">No parties oppose </w:t>
      </w:r>
      <w:r w:rsidR="009E1176">
        <w:t xml:space="preserve">these </w:t>
      </w:r>
      <w:r>
        <w:t xml:space="preserve">motions. </w:t>
      </w:r>
      <w:r w:rsidR="009E1176">
        <w:t xml:space="preserve"> </w:t>
      </w:r>
      <w:r>
        <w:t xml:space="preserve">We have reviewed the documents and grant all above motions for leave to file under seal. </w:t>
      </w:r>
      <w:r w:rsidR="009E1176">
        <w:t xml:space="preserve"> Accordingly, t</w:t>
      </w:r>
      <w:r>
        <w:t>h</w:t>
      </w:r>
      <w:r w:rsidR="009E1176">
        <w:t>is</w:t>
      </w:r>
      <w:r>
        <w:t xml:space="preserve"> </w:t>
      </w:r>
      <w:r w:rsidR="009E1176">
        <w:t>information</w:t>
      </w:r>
      <w:r>
        <w:t xml:space="preserve"> </w:t>
      </w:r>
      <w:r w:rsidR="009E1176">
        <w:t>is</w:t>
      </w:r>
      <w:r>
        <w:t xml:space="preserve"> granted confidential treatment for a period of three years. </w:t>
      </w:r>
      <w:r w:rsidR="009E1176">
        <w:t xml:space="preserve"> </w:t>
      </w:r>
      <w:r>
        <w:t>During this three</w:t>
      </w:r>
      <w:r w:rsidR="009E1176">
        <w:t>-</w:t>
      </w:r>
      <w:r>
        <w:t xml:space="preserve">year period, this information shall not be publicly disclosed except on further Commission order or ALJ ruling. </w:t>
      </w:r>
      <w:r w:rsidR="009E1176">
        <w:t xml:space="preserve"> </w:t>
      </w:r>
      <w:r>
        <w:t>If the Joint Applicants, Charter, or Cox California believe that it is necessary for this information to remain under seal for longer than three years, the Joint Applicants, Charter, or Cox California may file a motion showing good cause for extending this order by no later than 30 days before the expiration of the grant of confidentiality.</w:t>
      </w:r>
    </w:p>
    <w:p w:rsidRPr="008B175A" w:rsidR="00661EB7" w:rsidP="00661EB7" w:rsidRDefault="00661EB7" w14:paraId="29C5BE01" w14:textId="77777777">
      <w:pPr>
        <w:pStyle w:val="Standard"/>
      </w:pPr>
      <w:r w:rsidRPr="008B175A">
        <w:t>This decision affirms all rulings made by the A</w:t>
      </w:r>
      <w:r>
        <w:t>LJ</w:t>
      </w:r>
      <w:r w:rsidRPr="008B175A">
        <w:t xml:space="preserve"> and assigned Commissioner in this proceeding. All motions not ruled on are deemed denied.</w:t>
      </w:r>
    </w:p>
    <w:p w:rsidR="00661EB7" w:rsidP="00E750C0" w:rsidRDefault="00661EB7" w14:paraId="2216F57F" w14:textId="77777777">
      <w:pPr>
        <w:pStyle w:val="Heading1"/>
      </w:pPr>
      <w:bookmarkStart w:name="_Toc233342693" w:id="473"/>
      <w:bookmarkStart w:name="_Toc237414345" w:id="474"/>
      <w:r>
        <w:t>Comments on Proposed Decision</w:t>
      </w:r>
      <w:bookmarkEnd w:id="470"/>
      <w:bookmarkEnd w:id="473"/>
      <w:bookmarkEnd w:id="474"/>
    </w:p>
    <w:p w:rsidR="00661EB7" w:rsidP="00661EB7" w:rsidRDefault="00661EB7" w14:paraId="65D4C766" w14:textId="6C103109">
      <w:pPr>
        <w:pStyle w:val="Standard"/>
      </w:pPr>
      <w:r w:rsidRPr="007C2627">
        <w:t xml:space="preserve">The </w:t>
      </w:r>
      <w:r w:rsidR="00AF12A9">
        <w:t xml:space="preserve">alternate </w:t>
      </w:r>
      <w:r w:rsidRPr="007C2627">
        <w:t xml:space="preserve">proposed decision of </w:t>
      </w:r>
      <w:r w:rsidR="00AF12A9">
        <w:t>Commissioner Matthew Baker</w:t>
      </w:r>
      <w:r w:rsidRPr="007C2627">
        <w:t xml:space="preserve"> in this matter was mailed to the parties in accordance with Pub. Util. Code Section 311</w:t>
      </w:r>
      <w:r w:rsidR="009E1176">
        <w:t xml:space="preserve"> </w:t>
      </w:r>
      <w:r w:rsidRPr="007C2627">
        <w:t xml:space="preserve">and comments are allowed under Rule 14.3 of the Commission’s Rules of Practice and Procedure.  </w:t>
      </w:r>
      <w:r w:rsidR="009E1176">
        <w:t xml:space="preserve">Opening comments were filed by NIWR on July 27, 2026, and CETF, Joint Advocates, Joint Applicants, Media Alliance, and TURN on July 29, 2026.  Reply comments were filed by </w:t>
      </w:r>
      <w:r w:rsidR="00304DC9">
        <w:t>CETF, Joint Advocates, Joint Applicants, Media Alliance, and TURN on August 3, 2026.  We reviewed these comments, focusing on claims of factual, legal, or technical errors pursuant to Rule 14.3(c).  We address certain comments here and within the revised decision.</w:t>
      </w:r>
    </w:p>
    <w:p w:rsidRPr="00304DC9" w:rsidR="00304DC9" w:rsidP="00E750C0" w:rsidRDefault="00304DC9" w14:paraId="0E923D6E" w14:textId="40D99BEF">
      <w:pPr>
        <w:pStyle w:val="Heading2"/>
      </w:pPr>
      <w:bookmarkStart w:name="_Toc237414346" w:id="475"/>
      <w:r w:rsidRPr="00304DC9">
        <w:t>Ordering Paragraph 4</w:t>
      </w:r>
      <w:bookmarkEnd w:id="475"/>
    </w:p>
    <w:p w:rsidR="00304DC9" w:rsidP="00304DC9" w:rsidRDefault="00304DC9" w14:paraId="3999EC1E" w14:textId="3B25ABD1">
      <w:pPr>
        <w:pStyle w:val="Standard"/>
      </w:pPr>
      <w:r>
        <w:t>TURN alleged that the Alternate Proposed Decision (APD) erred in Ordering Paragraph (OP) 4 by requiring the post-merger company to offer a 72-</w:t>
      </w:r>
      <w:r>
        <w:lastRenderedPageBreak/>
        <w:t>hour battery backup solution.  The Joint Applicants expressed general support for OP 4 and urged specific changes for the final decision.  We adopt changes to OP 4 and the related portions of the proposed decision as discussed herein.</w:t>
      </w:r>
    </w:p>
    <w:p w:rsidR="00304DC9" w:rsidP="00E750C0" w:rsidRDefault="00304DC9" w14:paraId="610410C4" w14:textId="77777777">
      <w:pPr>
        <w:pStyle w:val="Heading2"/>
      </w:pPr>
      <w:bookmarkStart w:name="_Toc237414347" w:id="476"/>
      <w:r>
        <w:t>Party Positions</w:t>
      </w:r>
      <w:bookmarkEnd w:id="476"/>
    </w:p>
    <w:p w:rsidR="00304DC9" w:rsidP="00E750C0" w:rsidRDefault="00304DC9" w14:paraId="74040F2F" w14:textId="77777777">
      <w:pPr>
        <w:pStyle w:val="Heading3"/>
      </w:pPr>
      <w:bookmarkStart w:name="_Toc237414348" w:id="477"/>
      <w:r>
        <w:t>TURN</w:t>
      </w:r>
      <w:bookmarkEnd w:id="477"/>
    </w:p>
    <w:p w:rsidRPr="00006996" w:rsidR="00304DC9" w:rsidP="00304DC9" w:rsidRDefault="00304DC9" w14:paraId="5AC77210" w14:textId="77777777">
      <w:pPr>
        <w:pStyle w:val="Standard"/>
        <w:ind w:firstLine="630"/>
      </w:pPr>
      <w:r>
        <w:t>TURN argued that the APD erred in limiting access to a battery backup solution to new customers.</w:t>
      </w:r>
      <w:r>
        <w:rPr>
          <w:rStyle w:val="FootnoteReference"/>
        </w:rPr>
        <w:footnoteReference w:id="151"/>
      </w:r>
      <w:r>
        <w:t xml:space="preserve">  TURN recommended that Charter offer backup battery solutions to all customers.</w:t>
      </w:r>
      <w:r>
        <w:rPr>
          <w:rStyle w:val="FootnoteReference"/>
        </w:rPr>
        <w:footnoteReference w:id="152"/>
      </w:r>
      <w:r>
        <w:t xml:space="preserve">  TURN further recommended that Charter offer backup battery solutions at no cost.</w:t>
      </w:r>
      <w:r>
        <w:rPr>
          <w:rStyle w:val="FootnoteReference"/>
        </w:rPr>
        <w:footnoteReference w:id="153"/>
      </w:r>
    </w:p>
    <w:p w:rsidR="00304DC9" w:rsidP="00E750C0" w:rsidRDefault="00304DC9" w14:paraId="306FB08C" w14:textId="77777777">
      <w:pPr>
        <w:pStyle w:val="Heading3"/>
      </w:pPr>
      <w:bookmarkStart w:name="_Toc237414349" w:id="478"/>
      <w:r>
        <w:t>Joint Applicants</w:t>
      </w:r>
      <w:bookmarkEnd w:id="478"/>
    </w:p>
    <w:p w:rsidRPr="00006996" w:rsidR="00304DC9" w:rsidP="00304DC9" w:rsidRDefault="00304DC9" w14:paraId="47D4B171" w14:textId="77777777">
      <w:pPr>
        <w:pStyle w:val="Standard"/>
        <w:ind w:firstLine="630"/>
      </w:pPr>
      <w:r>
        <w:t>The Joint Applicants ask for 180 days to implement the 72-hour battery requirement after closing of the transaction, as they do not currently have a single battery that can last 72 hours.</w:t>
      </w:r>
      <w:r>
        <w:rPr>
          <w:rStyle w:val="FootnoteReference"/>
        </w:rPr>
        <w:footnoteReference w:id="154"/>
      </w:r>
      <w:r>
        <w:t xml:space="preserve">  The Joint Applicants note that the post-merger company would satisfy this condition without any implementation period by making available a three-pack of 24-hour battery backup solutions.</w:t>
      </w:r>
      <w:r>
        <w:rPr>
          <w:rStyle w:val="FootnoteReference"/>
        </w:rPr>
        <w:footnoteReference w:id="155"/>
      </w:r>
      <w:r>
        <w:tab/>
      </w:r>
    </w:p>
    <w:p w:rsidR="00304DC9" w:rsidP="00E750C0" w:rsidRDefault="00304DC9" w14:paraId="45A819F0" w14:textId="77777777">
      <w:pPr>
        <w:pStyle w:val="Heading3"/>
      </w:pPr>
      <w:bookmarkStart w:name="_Toc237414350" w:id="479"/>
      <w:r>
        <w:t>Discussion.</w:t>
      </w:r>
      <w:bookmarkEnd w:id="479"/>
    </w:p>
    <w:p w:rsidR="00304DC9" w:rsidP="00304DC9" w:rsidRDefault="00304DC9" w14:paraId="5CF7D684" w14:textId="77777777">
      <w:pPr>
        <w:pStyle w:val="Standard"/>
        <w:ind w:firstLine="630"/>
      </w:pPr>
      <w:r>
        <w:t>We agree with TURN that the post-merger company should offer a 72-hour backup battery solution to all residential customers, not just new residential customers.  We disagree that the post-merger company should make that offering at no cost.</w:t>
      </w:r>
    </w:p>
    <w:p w:rsidR="00304DC9" w:rsidP="00304DC9" w:rsidRDefault="00304DC9" w14:paraId="6437D474" w14:textId="77777777">
      <w:pPr>
        <w:pStyle w:val="Standard"/>
        <w:ind w:firstLine="630"/>
      </w:pPr>
      <w:r>
        <w:lastRenderedPageBreak/>
        <w:t>Further, we decline to add a 180-day implementation to OP 4.  The condition can be met using multiple batteries, as the Joint Applicants suggested.</w:t>
      </w:r>
    </w:p>
    <w:p w:rsidR="00304DC9" w:rsidP="00E750C0" w:rsidRDefault="00304DC9" w14:paraId="11402408" w14:textId="77777777">
      <w:pPr>
        <w:pStyle w:val="Heading2"/>
      </w:pPr>
      <w:bookmarkStart w:name="_Toc237414351" w:id="480"/>
      <w:r>
        <w:t>Ordering Paragraphs 5 and 6</w:t>
      </w:r>
      <w:bookmarkEnd w:id="480"/>
    </w:p>
    <w:p w:rsidR="00304DC9" w:rsidP="00304DC9" w:rsidRDefault="00304DC9" w14:paraId="64B30AB7" w14:textId="76DD07B5">
      <w:pPr>
        <w:pStyle w:val="Standard"/>
      </w:pPr>
      <w:r>
        <w:t>The Joint Applicants and CETF each allege error in OP 5 and OP 6, which requires the customer to be credited for days with outages exceeding two hours for services in OP 5 and broadband services in OP 6.  TURN expressed general support for OP 5 and OP 6.  We adopt changes to OP 5 and the related portions of the decision as discussed herein.</w:t>
      </w:r>
    </w:p>
    <w:p w:rsidR="00304DC9" w:rsidP="00E750C0" w:rsidRDefault="00304DC9" w14:paraId="43AEF715" w14:textId="77777777">
      <w:pPr>
        <w:pStyle w:val="Heading2"/>
      </w:pPr>
      <w:bookmarkStart w:name="_Toc237414352" w:id="481"/>
      <w:r>
        <w:t>Party Positions</w:t>
      </w:r>
      <w:bookmarkEnd w:id="481"/>
    </w:p>
    <w:p w:rsidR="00304DC9" w:rsidP="00E750C0" w:rsidRDefault="00304DC9" w14:paraId="2A49A9FC" w14:textId="77777777">
      <w:pPr>
        <w:pStyle w:val="Heading3"/>
      </w:pPr>
      <w:bookmarkStart w:name="_Toc237414353" w:id="482"/>
      <w:r>
        <w:t>Joint Applicants</w:t>
      </w:r>
      <w:bookmarkEnd w:id="482"/>
    </w:p>
    <w:p w:rsidRPr="00006996" w:rsidR="00304DC9" w:rsidP="00304DC9" w:rsidRDefault="00304DC9" w14:paraId="670AFBB7" w14:textId="4EBE7F99">
      <w:pPr>
        <w:pStyle w:val="Standard"/>
        <w:ind w:firstLine="630"/>
      </w:pPr>
      <w:r>
        <w:t>The Joint Applicants argued that the APD does not have a record that justifies the customer-credit condition in OP 5 and OP 6.</w:t>
      </w:r>
      <w:r>
        <w:rPr>
          <w:rStyle w:val="FootnoteReference"/>
        </w:rPr>
        <w:footnoteReference w:id="156"/>
      </w:r>
      <w:r>
        <w:t xml:space="preserve">  The Joint Applicants recommend that OP 5 have a five</w:t>
      </w:r>
      <w:r w:rsidR="00EE1618">
        <w:t>-</w:t>
      </w:r>
      <w:r>
        <w:t>year duration, apply to voice only, apply only to outages lasting more than 24 hours, and include the exemptions present in GO 133-E.</w:t>
      </w:r>
      <w:r>
        <w:rPr>
          <w:rStyle w:val="FootnoteReference"/>
        </w:rPr>
        <w:footnoteReference w:id="157"/>
      </w:r>
      <w:r>
        <w:t xml:space="preserve">  The Joint Applicants recommend that OP 6 apply only to outages lasting more than 24 hours, include the exemptions present in GO 133-E, and should have a three</w:t>
      </w:r>
      <w:r w:rsidR="00EE1618">
        <w:t>-</w:t>
      </w:r>
      <w:r>
        <w:t>year duration.</w:t>
      </w:r>
      <w:r>
        <w:rPr>
          <w:rStyle w:val="FootnoteReference"/>
        </w:rPr>
        <w:footnoteReference w:id="158"/>
      </w:r>
    </w:p>
    <w:p w:rsidR="00304DC9" w:rsidP="00E750C0" w:rsidRDefault="00304DC9" w14:paraId="2B678D26" w14:textId="77777777">
      <w:pPr>
        <w:pStyle w:val="Heading3"/>
      </w:pPr>
      <w:bookmarkStart w:name="_Toc237414354" w:id="483"/>
      <w:r>
        <w:t>CETF</w:t>
      </w:r>
      <w:bookmarkEnd w:id="483"/>
    </w:p>
    <w:p w:rsidR="00304DC9" w:rsidP="00304DC9" w:rsidRDefault="00304DC9" w14:paraId="3E9EB356" w14:textId="77777777">
      <w:pPr>
        <w:pStyle w:val="Standard"/>
        <w:ind w:firstLine="630"/>
      </w:pPr>
      <w:r>
        <w:t>CETF argues that OP 5 and OP 6 should be deleted.</w:t>
      </w:r>
      <w:r>
        <w:rPr>
          <w:rStyle w:val="FootnoteReference"/>
        </w:rPr>
        <w:footnoteReference w:id="159"/>
      </w:r>
      <w:r>
        <w:t xml:space="preserve">  In the alternative, CETF argues that OP 5 and OP 6 should be harmonized with voice outage credit rules.</w:t>
      </w:r>
      <w:r>
        <w:rPr>
          <w:rStyle w:val="FootnoteReference"/>
        </w:rPr>
        <w:footnoteReference w:id="160"/>
      </w:r>
    </w:p>
    <w:p w:rsidR="00304DC9" w:rsidP="00E750C0" w:rsidRDefault="00304DC9" w14:paraId="6952BD7C" w14:textId="77777777">
      <w:pPr>
        <w:pStyle w:val="Heading3"/>
      </w:pPr>
      <w:bookmarkStart w:name="_Toc237414355" w:id="484"/>
      <w:r>
        <w:lastRenderedPageBreak/>
        <w:t>TURN</w:t>
      </w:r>
      <w:bookmarkEnd w:id="484"/>
    </w:p>
    <w:p w:rsidRPr="00006996" w:rsidR="00304DC9" w:rsidP="00304DC9" w:rsidRDefault="00304DC9" w14:paraId="263C36AF" w14:textId="77777777">
      <w:pPr>
        <w:pStyle w:val="Standard"/>
        <w:ind w:firstLine="630"/>
      </w:pPr>
      <w:r>
        <w:t>TURN opposes the recommendations of the Joint Applicants and CETF.</w:t>
      </w:r>
      <w:r>
        <w:rPr>
          <w:rStyle w:val="FootnoteReference"/>
        </w:rPr>
        <w:footnoteReference w:id="161"/>
      </w:r>
      <w:r>
        <w:t xml:space="preserve">  TURN argues: “the purpose of mitigation measures is to ensure a particular transaction meets the public interest standard, not to ensure that the parties to that transaction receive the same regulatory treatment as their competitors.”</w:t>
      </w:r>
      <w:r>
        <w:rPr>
          <w:rStyle w:val="FootnoteReference"/>
        </w:rPr>
        <w:footnoteReference w:id="162"/>
      </w:r>
      <w:r>
        <w:t xml:space="preserve">  TURN also argues that the Commission should require the post-merger company to substantiate any claims to an exemption.</w:t>
      </w:r>
      <w:r>
        <w:tab/>
      </w:r>
    </w:p>
    <w:p w:rsidR="00304DC9" w:rsidP="00E750C0" w:rsidRDefault="00304DC9" w14:paraId="6F0A9BFB" w14:textId="20B040E3">
      <w:pPr>
        <w:pStyle w:val="Heading3"/>
      </w:pPr>
      <w:bookmarkStart w:name="_Toc237414356" w:id="485"/>
      <w:r>
        <w:t>Discussion</w:t>
      </w:r>
      <w:bookmarkEnd w:id="485"/>
    </w:p>
    <w:p w:rsidR="00304DC9" w:rsidP="00304DC9" w:rsidRDefault="00304DC9" w14:paraId="050EE62C" w14:textId="56ED172D">
      <w:pPr>
        <w:pStyle w:val="Standard"/>
        <w:ind w:firstLine="630"/>
      </w:pPr>
      <w:r>
        <w:t>We have amended OP 5 to clarify that this condition applies for voice service, whether V</w:t>
      </w:r>
      <w:r w:rsidR="00EE1618">
        <w:t>o</w:t>
      </w:r>
      <w:r>
        <w:t xml:space="preserve">IP, twisted copper pairs, or mobile.  We have also amended OP 5 to add exemptions to bring OP 5 in alignment with GO 133-E.  </w:t>
      </w:r>
    </w:p>
    <w:p w:rsidR="00304DC9" w:rsidP="00304DC9" w:rsidRDefault="00304DC9" w14:paraId="61D8CBE9" w14:textId="396D75B1">
      <w:pPr>
        <w:pStyle w:val="Standard"/>
      </w:pPr>
      <w:r>
        <w:t xml:space="preserve">We decline to change the two-hour standard to a 24-hour standard. Following GO 133-E is a legal requirement and not a mitigation measure. The mitigation measures described in OP 5 and OP 6 will be in effect for 10 years, in line with prior Commission Decisions. </w:t>
      </w:r>
    </w:p>
    <w:p w:rsidR="00EE1618" w:rsidP="00E750C0" w:rsidRDefault="00EE1618" w14:paraId="3015C213" w14:textId="77777777">
      <w:pPr>
        <w:pStyle w:val="Heading2"/>
      </w:pPr>
      <w:bookmarkStart w:name="_Toc237414357" w:id="486"/>
      <w:r>
        <w:t>Ordering Paragraphs 7 and 8</w:t>
      </w:r>
      <w:bookmarkEnd w:id="486"/>
    </w:p>
    <w:p w:rsidR="00EE1618" w:rsidP="00EE1618" w:rsidRDefault="00EE1618" w14:paraId="4DC31EF4" w14:textId="7044D9E5">
      <w:pPr>
        <w:pStyle w:val="Standard"/>
      </w:pPr>
      <w:r>
        <w:t>The Joint Applicants and CETF recommend amendments for OP 7 and OP 8, which seek to bolster the post-merger company’s support of PEG channels.  TURN and Media Alliance expressed general support for OP 7 and OP 8.  We adopt changes to OP 7 and OP 8 and the related portions of the proposed decision as discussed herein.</w:t>
      </w:r>
    </w:p>
    <w:p w:rsidR="00EE1618" w:rsidP="00E750C0" w:rsidRDefault="00EE1618" w14:paraId="51875E7E" w14:textId="77777777">
      <w:pPr>
        <w:pStyle w:val="Heading2"/>
      </w:pPr>
      <w:bookmarkStart w:name="_Toc237414358" w:id="487"/>
      <w:r>
        <w:lastRenderedPageBreak/>
        <w:t>Party Positions</w:t>
      </w:r>
      <w:bookmarkEnd w:id="487"/>
    </w:p>
    <w:p w:rsidR="00EE1618" w:rsidP="00E750C0" w:rsidRDefault="00EE1618" w14:paraId="5140D82C" w14:textId="77777777">
      <w:pPr>
        <w:pStyle w:val="Heading3"/>
      </w:pPr>
      <w:bookmarkStart w:name="_Toc237414359" w:id="488"/>
      <w:r>
        <w:t>Joint Applicants</w:t>
      </w:r>
      <w:bookmarkEnd w:id="488"/>
    </w:p>
    <w:p w:rsidRPr="00006996" w:rsidR="00EE1618" w:rsidP="00EE1618" w:rsidRDefault="00EE1618" w14:paraId="3FB1E601" w14:textId="77777777">
      <w:pPr>
        <w:pStyle w:val="Standard"/>
        <w:ind w:firstLine="630"/>
      </w:pPr>
      <w:r>
        <w:t>The Joint Applicants argued that free PEG video transport should be prospective only based on a reasonable previous interpretation of the law.</w:t>
      </w:r>
      <w:r>
        <w:rPr>
          <w:rStyle w:val="FootnoteReference"/>
        </w:rPr>
        <w:footnoteReference w:id="163"/>
      </w:r>
      <w:r>
        <w:t xml:space="preserve">  The Joint Applicants recommend that OP 8 require local communities to request HD transmission, allow for 180 days to implement, and limit HD transmission and access to the electric program guide to a single channel.</w:t>
      </w:r>
      <w:r>
        <w:rPr>
          <w:rStyle w:val="FootnoteReference"/>
        </w:rPr>
        <w:footnoteReference w:id="164"/>
      </w:r>
      <w:r>
        <w:t xml:space="preserve">  </w:t>
      </w:r>
    </w:p>
    <w:p w:rsidR="00EE1618" w:rsidP="00E750C0" w:rsidRDefault="00EE1618" w14:paraId="26D17BEC" w14:textId="77777777">
      <w:pPr>
        <w:pStyle w:val="Heading3"/>
      </w:pPr>
      <w:bookmarkStart w:name="_Toc237414360" w:id="489"/>
      <w:r>
        <w:t>CETF</w:t>
      </w:r>
      <w:bookmarkEnd w:id="489"/>
    </w:p>
    <w:p w:rsidR="00EE1618" w:rsidP="00EE1618" w:rsidRDefault="00EE1618" w14:paraId="4D8BD21E" w14:textId="77777777">
      <w:pPr>
        <w:pStyle w:val="Standard"/>
        <w:ind w:firstLine="630"/>
      </w:pPr>
      <w:r>
        <w:t>CETF argues that OP 7 and OP 8 should be limited to enforcing current law.</w:t>
      </w:r>
      <w:r>
        <w:rPr>
          <w:rStyle w:val="FootnoteReference"/>
        </w:rPr>
        <w:footnoteReference w:id="165"/>
      </w:r>
      <w:r>
        <w:t xml:space="preserve">  </w:t>
      </w:r>
    </w:p>
    <w:p w:rsidR="00EE1618" w:rsidP="00E750C0" w:rsidRDefault="00EE1618" w14:paraId="0808AA62" w14:textId="77777777">
      <w:pPr>
        <w:pStyle w:val="Heading3"/>
      </w:pPr>
      <w:bookmarkStart w:name="_Toc237414361" w:id="490"/>
      <w:r>
        <w:t>TURN</w:t>
      </w:r>
      <w:bookmarkEnd w:id="490"/>
    </w:p>
    <w:p w:rsidR="00EE1618" w:rsidP="00EE1618" w:rsidRDefault="00EE1618" w14:paraId="4F7D3124" w14:textId="77777777">
      <w:pPr>
        <w:pStyle w:val="Standard"/>
        <w:ind w:firstLine="630"/>
      </w:pPr>
      <w:r>
        <w:t>TURN opposes the recommendations of CETF.</w:t>
      </w:r>
      <w:r>
        <w:rPr>
          <w:rStyle w:val="FootnoteReference"/>
        </w:rPr>
        <w:footnoteReference w:id="166"/>
      </w:r>
      <w:r>
        <w:t xml:space="preserve">  TURN argues: “requiring the post-merger company to comply with existing law is not a public interest benefit.”</w:t>
      </w:r>
      <w:r>
        <w:rPr>
          <w:rStyle w:val="FootnoteReference"/>
        </w:rPr>
        <w:footnoteReference w:id="167"/>
      </w:r>
      <w:r>
        <w:t xml:space="preserve">  </w:t>
      </w:r>
    </w:p>
    <w:p w:rsidR="00EE1618" w:rsidP="00E750C0" w:rsidRDefault="00EE1618" w14:paraId="10D30D1F" w14:textId="77777777">
      <w:pPr>
        <w:pStyle w:val="Heading3"/>
      </w:pPr>
      <w:bookmarkStart w:name="_Toc237414362" w:id="491"/>
      <w:r>
        <w:t>Media Alliance</w:t>
      </w:r>
      <w:bookmarkEnd w:id="491"/>
    </w:p>
    <w:p w:rsidR="00EE1618" w:rsidP="00EE1618" w:rsidRDefault="00EE1618" w14:paraId="0BAB05FA" w14:textId="77777777">
      <w:pPr>
        <w:pStyle w:val="Standard"/>
        <w:ind w:firstLine="630"/>
      </w:pPr>
      <w:r>
        <w:t>Media Alliance opposes the recommendations of the Joint Applicants and CETF.</w:t>
      </w:r>
      <w:r>
        <w:rPr>
          <w:rStyle w:val="FootnoteReference"/>
        </w:rPr>
        <w:footnoteReference w:id="168"/>
      </w:r>
      <w:r>
        <w:t xml:space="preserve">  Media Alliance argues legal compliance is not a merger condition, that the municipalities are already requesting HD broadcast by submitting HD </w:t>
      </w:r>
      <w:r>
        <w:lastRenderedPageBreak/>
        <w:t>content, public benefit operators don’t have primary channels, and the proposed timelines are unnecessary.</w:t>
      </w:r>
      <w:r>
        <w:rPr>
          <w:rStyle w:val="FootnoteReference"/>
        </w:rPr>
        <w:footnoteReference w:id="169"/>
      </w:r>
      <w:r>
        <w:t xml:space="preserve">  </w:t>
      </w:r>
    </w:p>
    <w:p w:rsidR="00EE1618" w:rsidP="00E750C0" w:rsidRDefault="00EE1618" w14:paraId="3B1105A3" w14:textId="078406F3">
      <w:pPr>
        <w:pStyle w:val="Heading3"/>
      </w:pPr>
      <w:bookmarkStart w:name="_Toc237414363" w:id="492"/>
      <w:r>
        <w:t>Discussion</w:t>
      </w:r>
      <w:bookmarkEnd w:id="492"/>
    </w:p>
    <w:p w:rsidR="00EE1618" w:rsidP="00EE1618" w:rsidRDefault="00EE1618" w14:paraId="17121270" w14:textId="264C77E5">
      <w:pPr>
        <w:pStyle w:val="Standard"/>
        <w:ind w:firstLine="630"/>
      </w:pPr>
      <w:r>
        <w:t>We have amended OP 7 to clarify that any repayments would be based on demonstrably improper collections.  Public benefit operators would be receiving free transport of HD material prospectively.  We decline to require the public benefit operators to request their content be in HD as being an unnecessary barrier to service.</w:t>
      </w:r>
    </w:p>
    <w:p w:rsidR="00EE1618" w:rsidP="00EE1618" w:rsidRDefault="00EE1618" w14:paraId="13ED9701" w14:textId="480F358D">
      <w:pPr>
        <w:pStyle w:val="Standard"/>
        <w:ind w:firstLine="630"/>
      </w:pPr>
      <w:r>
        <w:t>We have amended OP 8 to bring the implementation deadline into alignment with OP 7.  We decline to place a duration on these requirements, as an informed populace is a cornerstone of democracy.</w:t>
      </w:r>
    </w:p>
    <w:p w:rsidR="00EE1618" w:rsidP="00E750C0" w:rsidRDefault="00EE1618" w14:paraId="610BA18E" w14:textId="77777777">
      <w:pPr>
        <w:pStyle w:val="Heading3"/>
      </w:pPr>
      <w:bookmarkStart w:name="_Toc237414364" w:id="493"/>
      <w:r>
        <w:t>Tribal Liaison</w:t>
      </w:r>
      <w:bookmarkEnd w:id="493"/>
    </w:p>
    <w:p w:rsidR="00EE1618" w:rsidP="00EE1618" w:rsidRDefault="00EE1618" w14:paraId="1641B08F" w14:textId="77777777">
      <w:pPr>
        <w:pStyle w:val="Standard"/>
      </w:pPr>
      <w:r>
        <w:t>TURN, Media Alliance, and the Joint Advocates argue that the Commission should revise the APD to impose additional mitigation measures to better consider the impact of the transaction on Tribes within the post-merger company territory.  The Joint Applicants and CETF argue that no further requirements covering Tribal interactions are required.</w:t>
      </w:r>
    </w:p>
    <w:p w:rsidR="00EE1618" w:rsidP="00E750C0" w:rsidRDefault="00EE1618" w14:paraId="711F2DF8" w14:textId="77777777">
      <w:pPr>
        <w:pStyle w:val="Heading2"/>
      </w:pPr>
      <w:bookmarkStart w:name="_Toc237414365" w:id="494"/>
      <w:r>
        <w:t>Party Positions</w:t>
      </w:r>
      <w:bookmarkEnd w:id="494"/>
    </w:p>
    <w:p w:rsidR="00EE1618" w:rsidP="00E750C0" w:rsidRDefault="00EE1618" w14:paraId="543382FF" w14:textId="77777777">
      <w:pPr>
        <w:pStyle w:val="Heading3"/>
      </w:pPr>
      <w:bookmarkStart w:name="_Toc237414366" w:id="495"/>
      <w:r>
        <w:t>TURN</w:t>
      </w:r>
      <w:bookmarkEnd w:id="495"/>
    </w:p>
    <w:p w:rsidR="00EE1618" w:rsidP="00EE1618" w:rsidRDefault="00EE1618" w14:paraId="57354CDF" w14:textId="77777777">
      <w:pPr>
        <w:pStyle w:val="Standard"/>
        <w:ind w:firstLine="630"/>
      </w:pPr>
      <w:r>
        <w:t>TURN argues that the Joint Applicants-CETF Settlement does not require meaningful Tribal engagement on Charter’s part and cannot be reasonably expected to specifically improve service quality, result in increased service availability, or create economic opportunity on Tribal lands.</w:t>
      </w:r>
      <w:r>
        <w:rPr>
          <w:rStyle w:val="FootnoteReference"/>
        </w:rPr>
        <w:footnoteReference w:id="170"/>
      </w:r>
    </w:p>
    <w:p w:rsidR="00EE1618" w:rsidP="00E750C0" w:rsidRDefault="00EE1618" w14:paraId="32D2F7DB" w14:textId="77777777">
      <w:pPr>
        <w:pStyle w:val="Heading3"/>
      </w:pPr>
      <w:bookmarkStart w:name="_Toc237414367" w:id="496"/>
      <w:r>
        <w:lastRenderedPageBreak/>
        <w:t>Media Alliance</w:t>
      </w:r>
      <w:bookmarkEnd w:id="496"/>
    </w:p>
    <w:p w:rsidR="00EE1618" w:rsidP="00EE1618" w:rsidRDefault="00EE1618" w14:paraId="627B552A" w14:textId="77777777">
      <w:pPr>
        <w:pStyle w:val="Standard"/>
        <w:ind w:firstLine="630"/>
      </w:pPr>
      <w:r>
        <w:t>Media Alliance argues that the Commission should add five more specific tribal anchor institutions to ensure that merger benefits reach California’s tribes.</w:t>
      </w:r>
      <w:r>
        <w:rPr>
          <w:rStyle w:val="FootnoteReference"/>
        </w:rPr>
        <w:footnoteReference w:id="171"/>
      </w:r>
    </w:p>
    <w:p w:rsidR="00EE1618" w:rsidP="00AF5D4D" w:rsidRDefault="00EE1618" w14:paraId="307F0679" w14:textId="77777777">
      <w:pPr>
        <w:pStyle w:val="Heading3"/>
      </w:pPr>
      <w:bookmarkStart w:name="_Toc237414368" w:id="497"/>
      <w:r>
        <w:t>The Joint Advocates</w:t>
      </w:r>
      <w:bookmarkEnd w:id="497"/>
    </w:p>
    <w:p w:rsidR="00EE1618" w:rsidP="00EE1618" w:rsidRDefault="00EE1618" w14:paraId="14281E1C" w14:textId="77777777">
      <w:pPr>
        <w:pStyle w:val="Standard"/>
        <w:ind w:firstLine="630"/>
      </w:pPr>
      <w:r>
        <w:t>The Joint Applicants argue that ambiguous language and lack of detail in the settlements make it impossible to judge whether the settlements will actually lead to network investment and broadband deployment in rural and Tribal communities.</w:t>
      </w:r>
      <w:r>
        <w:rPr>
          <w:rStyle w:val="FootnoteReference"/>
        </w:rPr>
        <w:footnoteReference w:id="172"/>
      </w:r>
    </w:p>
    <w:p w:rsidR="00EE1618" w:rsidP="00E750C0" w:rsidRDefault="00EE1618" w14:paraId="6217DCF4" w14:textId="77777777">
      <w:pPr>
        <w:pStyle w:val="Heading3"/>
      </w:pPr>
      <w:bookmarkStart w:name="_Toc237414369" w:id="498"/>
      <w:r>
        <w:t>Joint Applicants</w:t>
      </w:r>
      <w:bookmarkEnd w:id="498"/>
    </w:p>
    <w:p w:rsidRPr="00530FFE" w:rsidR="00EE1618" w:rsidP="00EE1618" w:rsidRDefault="00EE1618" w14:paraId="4884731A" w14:textId="77777777">
      <w:pPr>
        <w:pStyle w:val="Standard"/>
        <w:ind w:firstLine="630"/>
      </w:pPr>
      <w:r>
        <w:t>The Joint Applicants argue that TURN inaccurately asserts that the APD fails to discuss the impact of the proposed transaction on Tribes.</w:t>
      </w:r>
      <w:r>
        <w:rPr>
          <w:rStyle w:val="FootnoteReference"/>
        </w:rPr>
        <w:footnoteReference w:id="173"/>
      </w:r>
      <w:r>
        <w:t xml:space="preserve"> The Joint applicants also argues that, although C</w:t>
      </w:r>
      <w:r w:rsidRPr="00530FFE">
        <w:t>harter serves Tribes in other states, Charter has no franchise authority in California to provide residential service to any Tribes, so TURN’s proposed conditions are not Transfer-specific.</w:t>
      </w:r>
      <w:r w:rsidRPr="00530FFE">
        <w:rPr>
          <w:rStyle w:val="FootnoteReference"/>
        </w:rPr>
        <w:footnoteReference w:id="174"/>
      </w:r>
    </w:p>
    <w:p w:rsidRPr="00530FFE" w:rsidR="00EE1618" w:rsidP="00E750C0" w:rsidRDefault="00EE1618" w14:paraId="1C408CF5" w14:textId="77777777">
      <w:pPr>
        <w:pStyle w:val="Heading3"/>
      </w:pPr>
      <w:bookmarkStart w:name="_Toc237414370" w:id="499"/>
      <w:r w:rsidRPr="00530FFE">
        <w:t>CETF</w:t>
      </w:r>
      <w:bookmarkEnd w:id="499"/>
    </w:p>
    <w:p w:rsidRPr="00530FFE" w:rsidR="00EE1618" w:rsidP="00EE1618" w:rsidRDefault="00EE1618" w14:paraId="736C44AE" w14:textId="77777777">
      <w:pPr>
        <w:pStyle w:val="Standard"/>
        <w:ind w:firstLine="630"/>
      </w:pPr>
      <w:r w:rsidRPr="00530FFE">
        <w:t>CETF argues that the requirements for tribal consultation in the Joint Applicants-CETF Settlement are sufficient.</w:t>
      </w:r>
      <w:r w:rsidRPr="00530FFE">
        <w:rPr>
          <w:rStyle w:val="FootnoteReference"/>
        </w:rPr>
        <w:footnoteReference w:id="175"/>
      </w:r>
    </w:p>
    <w:p w:rsidRPr="00530FFE" w:rsidR="00EE1618" w:rsidP="00E750C0" w:rsidRDefault="00EE1618" w14:paraId="1B93B176" w14:textId="77777777">
      <w:pPr>
        <w:pStyle w:val="Heading3"/>
      </w:pPr>
      <w:bookmarkStart w:name="_Toc237414371" w:id="500"/>
      <w:r w:rsidRPr="00530FFE">
        <w:lastRenderedPageBreak/>
        <w:t>Discussion.</w:t>
      </w:r>
      <w:bookmarkEnd w:id="500"/>
    </w:p>
    <w:p w:rsidRPr="00530FFE" w:rsidR="00EE1618" w:rsidP="00EE1618" w:rsidRDefault="00EE1618" w14:paraId="5618E76B" w14:textId="229773B8">
      <w:pPr>
        <w:pStyle w:val="Standard"/>
      </w:pPr>
      <w:r w:rsidRPr="00530FFE">
        <w:t xml:space="preserve">We are inclined to agree that the Tribal consultation requirements could be strengthened.  We have added OP 11, which requires the post-merger company to perform at least one yearly </w:t>
      </w:r>
      <w:r w:rsidRPr="00530FFE" w:rsidR="00CB4A68">
        <w:t xml:space="preserve">email </w:t>
      </w:r>
      <w:r w:rsidRPr="00530FFE">
        <w:t xml:space="preserve">consultation with each Tribe in its territory and </w:t>
      </w:r>
      <w:r w:rsidRPr="00F72B2E" w:rsidR="00CB4A68">
        <w:t>verify the email consultation in the April 15 Compliance Filing required by</w:t>
      </w:r>
      <w:r w:rsidRPr="00F72B2E" w:rsidR="00A261D3">
        <w:t xml:space="preserve"> this decision</w:t>
      </w:r>
      <w:r w:rsidRPr="00F72B2E">
        <w:t>.</w:t>
      </w:r>
    </w:p>
    <w:p w:rsidRPr="00530FFE" w:rsidR="00EE1618" w:rsidP="00CA648C" w:rsidRDefault="00EE1618" w14:paraId="57E2E10A" w14:textId="77777777">
      <w:pPr>
        <w:pStyle w:val="Heading2"/>
      </w:pPr>
      <w:bookmarkStart w:name="_Toc237414372" w:id="501"/>
      <w:r w:rsidRPr="00530FFE">
        <w:t>Enforcement</w:t>
      </w:r>
      <w:bookmarkEnd w:id="501"/>
    </w:p>
    <w:p w:rsidRPr="00F72B2E" w:rsidR="00BA3CB4" w:rsidP="00BA3CB4" w:rsidRDefault="00A261D3" w14:paraId="692B2533" w14:textId="77777777">
      <w:pPr>
        <w:pStyle w:val="FoF"/>
        <w:numPr>
          <w:ilvl w:val="0"/>
          <w:numId w:val="0"/>
        </w:numPr>
        <w:ind w:firstLine="720"/>
      </w:pPr>
      <w:r w:rsidRPr="00F72B2E">
        <w:t xml:space="preserve">In Section XIV of the Joint Applicants-CETF Settlement Agreement adopted by this decision, the Joint Applicants and CETF agree to be subject to a single, independently procured compliance monitor approved by the Staff Director for the Communications Division of the Commission.  </w:t>
      </w:r>
      <w:r w:rsidRPr="00F72B2E" w:rsidR="00BA3CB4">
        <w:t>CETF argues that the Commission should follow the settlement and that any enforcement program outside the control of CETF would require the consent of the settling parties.</w:t>
      </w:r>
      <w:r w:rsidRPr="00F72B2E" w:rsidR="00BA3CB4">
        <w:rPr>
          <w:rStyle w:val="FootnoteReference"/>
        </w:rPr>
        <w:footnoteReference w:id="176"/>
      </w:r>
      <w:r w:rsidRPr="00F72B2E" w:rsidR="00BA3CB4">
        <w:t xml:space="preserve"> </w:t>
      </w:r>
    </w:p>
    <w:p w:rsidRPr="00F72B2E" w:rsidR="00BA3CB4" w:rsidP="00BA3CB4" w:rsidRDefault="00A261D3" w14:paraId="657B40E6" w14:textId="1A2EC304">
      <w:pPr>
        <w:pStyle w:val="FoF"/>
        <w:numPr>
          <w:ilvl w:val="0"/>
          <w:numId w:val="0"/>
        </w:numPr>
        <w:ind w:firstLine="720"/>
      </w:pPr>
      <w:r w:rsidRPr="00F72B2E">
        <w:t xml:space="preserve">Pub. Util. Code Section 854(c)(7) requires the Commission to consider whether approving the proposed transaction preserves the jurisdiction of the Commission to effectively regulate and audit public utility operations in this state.  </w:t>
      </w:r>
      <w:r w:rsidRPr="00F72B2E" w:rsidR="00BA3CB4">
        <w:t xml:space="preserve">Here, we find that there is a potential that through Section XIV, </w:t>
      </w:r>
      <w:r w:rsidRPr="00F72B2E" w:rsidR="00BA3CB4">
        <w:rPr>
          <w:rFonts w:cs="Cambria"/>
          <w:color w:val="000000"/>
          <w:szCs w:val="26"/>
        </w:rPr>
        <w:t xml:space="preserve">the compliance monitor would not effectively prevent the post-merger company from evading its obligations.  We further find that stringent monitoring and enforcement by the Commission are needed to ensure this transaction is in the public interest. Based on these findings, </w:t>
      </w:r>
      <w:r w:rsidRPr="00F72B2E" w:rsidR="006F7C6C">
        <w:t>adopt</w:t>
      </w:r>
      <w:r w:rsidRPr="00F72B2E" w:rsidR="00BA3CB4">
        <w:t>ing</w:t>
      </w:r>
      <w:r w:rsidRPr="00F72B2E" w:rsidR="006F7C6C">
        <w:t xml:space="preserve"> </w:t>
      </w:r>
      <w:r w:rsidRPr="00F72B2E" w:rsidR="00EE1618">
        <w:t xml:space="preserve">CETF’s argument </w:t>
      </w:r>
      <w:r w:rsidRPr="00F72B2E" w:rsidR="00BA3CB4">
        <w:t>to simply follow the settlement would</w:t>
      </w:r>
      <w:r w:rsidRPr="00F72B2E" w:rsidR="00EE1618">
        <w:t xml:space="preserve"> render the settlement </w:t>
      </w:r>
      <w:r w:rsidRPr="00F72B2E" w:rsidR="006F7C6C">
        <w:t xml:space="preserve">void because it would be contrary to </w:t>
      </w:r>
      <w:r w:rsidRPr="00F72B2E" w:rsidR="00BA3CB4">
        <w:t>Pub. Util. Code Section 854(c)(7)</w:t>
      </w:r>
      <w:r w:rsidRPr="00F72B2E" w:rsidR="00EE1618">
        <w:t xml:space="preserve">.  </w:t>
      </w:r>
    </w:p>
    <w:p w:rsidRPr="00530FFE" w:rsidR="00EE1618" w:rsidP="00BA3CB4" w:rsidRDefault="006F7C6C" w14:paraId="31E6A1A4" w14:textId="7BEAA671">
      <w:pPr>
        <w:pStyle w:val="FoF"/>
        <w:numPr>
          <w:ilvl w:val="0"/>
          <w:numId w:val="0"/>
        </w:numPr>
        <w:ind w:firstLine="547"/>
      </w:pPr>
      <w:r w:rsidRPr="00F72B2E">
        <w:lastRenderedPageBreak/>
        <w:t>Therefore, in the decision we are including OP 1</w:t>
      </w:r>
      <w:r w:rsidRPr="00F72B2E" w:rsidR="00BA3CB4">
        <w:t>2</w:t>
      </w:r>
      <w:r w:rsidRPr="00F72B2E">
        <w:t xml:space="preserve"> to </w:t>
      </w:r>
      <w:r w:rsidRPr="00F72B2E" w:rsidR="00BA3CB4">
        <w:t>require the</w:t>
      </w:r>
      <w:r w:rsidRPr="00F72B2E">
        <w:t xml:space="preserve"> compliance monitor </w:t>
      </w:r>
      <w:r w:rsidRPr="00F72B2E" w:rsidR="00BA3CB4">
        <w:t>to</w:t>
      </w:r>
      <w:r w:rsidRPr="00F72B2E">
        <w:t xml:space="preserve"> report to the Commission</w:t>
      </w:r>
      <w:r w:rsidRPr="00F72B2E" w:rsidR="00BA3CB4">
        <w:t xml:space="preserve"> in the April 15 Compliance Filing required by this decision</w:t>
      </w:r>
      <w:r w:rsidRPr="00F72B2E">
        <w:t>.</w:t>
      </w:r>
    </w:p>
    <w:p w:rsidRPr="00530FFE" w:rsidR="00EE1618" w:rsidP="00CA648C" w:rsidRDefault="00EE1618" w14:paraId="77D3DB34" w14:textId="77777777">
      <w:pPr>
        <w:pStyle w:val="Heading2"/>
      </w:pPr>
      <w:bookmarkStart w:name="_Toc237414373" w:id="502"/>
      <w:r w:rsidRPr="00530FFE">
        <w:t>Other</w:t>
      </w:r>
      <w:bookmarkEnd w:id="502"/>
    </w:p>
    <w:p w:rsidRPr="00BA3CB4" w:rsidR="00EE1618" w:rsidP="00EE1618" w:rsidRDefault="00EE1618" w14:paraId="13E65D6A" w14:textId="4BA03000">
      <w:pPr>
        <w:pStyle w:val="Standard"/>
      </w:pPr>
      <w:r>
        <w:t>We have made other minor edits to correct typos and language errors pointed out by the parties.</w:t>
      </w:r>
    </w:p>
    <w:p w:rsidR="005939A5" w:rsidP="00787AFF" w:rsidRDefault="005939A5" w14:paraId="5171F7D1" w14:textId="77777777">
      <w:pPr>
        <w:pStyle w:val="Heading1"/>
      </w:pPr>
      <w:bookmarkStart w:name="_Toc237414374" w:id="503"/>
      <w:r>
        <w:t>Assignment of Proceeding</w:t>
      </w:r>
      <w:bookmarkEnd w:id="428"/>
      <w:bookmarkEnd w:id="503"/>
    </w:p>
    <w:p w:rsidR="005939A5" w:rsidP="006E6574" w:rsidRDefault="00661049" w14:paraId="1C3CDB87" w14:textId="1FE14B36">
      <w:pPr>
        <w:pStyle w:val="Standard"/>
      </w:pPr>
      <w:r>
        <w:t xml:space="preserve">Matthew Baker </w:t>
      </w:r>
      <w:r w:rsidR="005939A5">
        <w:t xml:space="preserve">is the assigned Commissioner and </w:t>
      </w:r>
      <w:r>
        <w:t>Jamie Ormond</w:t>
      </w:r>
      <w:r w:rsidR="005939A5">
        <w:t xml:space="preserve"> is the assigned </w:t>
      </w:r>
      <w:r w:rsidR="00AF12A9">
        <w:t>ALJ</w:t>
      </w:r>
      <w:r w:rsidR="005939A5">
        <w:t xml:space="preserve"> </w:t>
      </w:r>
      <w:r>
        <w:t xml:space="preserve">and Presiding Officer </w:t>
      </w:r>
      <w:r w:rsidR="005939A5">
        <w:t>in this proceeding.</w:t>
      </w:r>
    </w:p>
    <w:p w:rsidR="000F779D" w:rsidP="000F779D" w:rsidRDefault="000F779D" w14:paraId="7C19D7D3" w14:textId="77777777">
      <w:pPr>
        <w:pStyle w:val="Dummy"/>
      </w:pPr>
      <w:bookmarkStart w:name="_Toc233342695" w:id="504"/>
      <w:bookmarkStart w:name="_Toc237414375" w:id="505"/>
      <w:r>
        <w:t>Findings of Fact</w:t>
      </w:r>
      <w:bookmarkEnd w:id="504"/>
      <w:bookmarkEnd w:id="505"/>
      <w:r>
        <w:t xml:space="preserve">  </w:t>
      </w:r>
    </w:p>
    <w:p w:rsidR="00E1212D" w:rsidP="00E1212D" w:rsidRDefault="00E1212D" w14:paraId="5BE95D28" w14:textId="46D37A51">
      <w:pPr>
        <w:pStyle w:val="FoF"/>
      </w:pPr>
      <w:bookmarkStart w:name="_Toc8123726" w:id="506"/>
      <w:bookmarkStart w:name="_Toc233342696" w:id="507"/>
      <w:r w:rsidRPr="009B5FC6">
        <w:t>Charter</w:t>
      </w:r>
      <w:r>
        <w:t xml:space="preserve">, </w:t>
      </w:r>
      <w:r w:rsidRPr="009B5FC6">
        <w:t>Charter Holdings</w:t>
      </w:r>
      <w:r>
        <w:t xml:space="preserve">, </w:t>
      </w:r>
      <w:r w:rsidR="00BA3CB4">
        <w:t xml:space="preserve">CEI, </w:t>
      </w:r>
      <w:r w:rsidRPr="009B5FC6">
        <w:t>and</w:t>
      </w:r>
      <w:r>
        <w:t xml:space="preserve"> Cox</w:t>
      </w:r>
      <w:r w:rsidR="00BA3CB4">
        <w:t xml:space="preserve"> California</w:t>
      </w:r>
      <w:r>
        <w:t xml:space="preserve">, are Joint Applicants to </w:t>
      </w:r>
      <w:r w:rsidR="001409ED">
        <w:t>A.</w:t>
      </w:r>
      <w:r>
        <w:t>25-07-016.</w:t>
      </w:r>
    </w:p>
    <w:p w:rsidR="00E1212D" w:rsidP="00E1212D" w:rsidRDefault="00E1212D" w14:paraId="22A7B0CF" w14:textId="77777777">
      <w:pPr>
        <w:pStyle w:val="FoF"/>
      </w:pPr>
      <w:r>
        <w:t xml:space="preserve">Charter, its </w:t>
      </w:r>
      <w:r w:rsidRPr="009B5FC6">
        <w:t>subsidiary Charter Holdings, and</w:t>
      </w:r>
      <w:r>
        <w:t xml:space="preserve"> CEI, entered into a transaction where CEI’s subsidiary, Cox, would be acquired by Charter.  Cox California is a subsidiary of Cox and will become a subsidiary of Charter.  </w:t>
      </w:r>
    </w:p>
    <w:p w:rsidR="00E1212D" w:rsidP="00E1212D" w:rsidRDefault="00E1212D" w14:paraId="1636B08C" w14:textId="77777777">
      <w:pPr>
        <w:pStyle w:val="FoF"/>
      </w:pPr>
      <w:r>
        <w:t xml:space="preserve"> Cox California operates in California under utility number U-5684-C.</w:t>
      </w:r>
    </w:p>
    <w:p w:rsidR="00E1212D" w:rsidP="00E1212D" w:rsidRDefault="00E1212D" w14:paraId="4B1F98F1" w14:textId="77777777">
      <w:pPr>
        <w:pStyle w:val="FoF"/>
      </w:pPr>
      <w:r>
        <w:t>The Joint Applicants and subsidiaries operate and provide a vast array of communications services, including but not limited to: residential, business, and enterprise broadband service, cable, residential and business services such as internet, video services, streaming video services, mobile wireless services,</w:t>
      </w:r>
      <w:r w:rsidRPr="00A90C99">
        <w:t xml:space="preserve"> </w:t>
      </w:r>
      <w:r>
        <w:t xml:space="preserve">mobile voice and data service, VoIP, </w:t>
      </w:r>
      <w:r w:rsidRPr="00875288">
        <w:t>managed cloud services,</w:t>
      </w:r>
      <w:r>
        <w:t xml:space="preserve"> </w:t>
      </w:r>
      <w:r w:rsidRPr="00875288">
        <w:t xml:space="preserve">security, enterprise Internet, networking products, and </w:t>
      </w:r>
      <w:r>
        <w:t xml:space="preserve">residential, business, and enterprise voice service. </w:t>
      </w:r>
    </w:p>
    <w:p w:rsidR="00E1212D" w:rsidP="00E1212D" w:rsidRDefault="00E1212D" w14:paraId="163B243A" w14:textId="77777777">
      <w:pPr>
        <w:pStyle w:val="FoF"/>
      </w:pPr>
      <w:r>
        <w:t xml:space="preserve">Charter serves over 31.2 million communications services customers with a residential footprint across 41 states, including California, and an even larger business communications services footprint.  </w:t>
      </w:r>
    </w:p>
    <w:p w:rsidR="00E1212D" w:rsidP="00E1212D" w:rsidRDefault="00E1212D" w14:paraId="75E99444" w14:textId="77777777">
      <w:pPr>
        <w:pStyle w:val="FoF"/>
      </w:pPr>
      <w:r>
        <w:lastRenderedPageBreak/>
        <w:t>Cox, to be acquired by Charter, provides communications services across 18 states, including California.</w:t>
      </w:r>
    </w:p>
    <w:p w:rsidR="0047440F" w:rsidP="0047440F" w:rsidRDefault="0047440F" w14:paraId="590C2759" w14:textId="77777777">
      <w:pPr>
        <w:pStyle w:val="FoF"/>
        <w:ind w:firstLine="540"/>
      </w:pPr>
      <w:r>
        <w:t>CforAT filed motions to strike portions of Joint Applicants’ opening and reply briefs and the entirety of Cal Advocates’ opening brief.</w:t>
      </w:r>
    </w:p>
    <w:p w:rsidR="0047440F" w:rsidP="00BA7A62" w:rsidRDefault="0047440F" w14:paraId="7791C311" w14:textId="791F01B5">
      <w:pPr>
        <w:pStyle w:val="FoF"/>
        <w:ind w:firstLine="540"/>
      </w:pPr>
      <w:r>
        <w:t>Joint Applicants filed a motion to strike portions of the Joint Advocates’ and Media Alliance’s opening briefs and the Joint Advocates’ reply brief.</w:t>
      </w:r>
    </w:p>
    <w:p w:rsidR="00E1212D" w:rsidP="00E1212D" w:rsidRDefault="00E1212D" w14:paraId="1CE9F4AF" w14:textId="70EF7A1B">
      <w:pPr>
        <w:pStyle w:val="FoF"/>
        <w:rPr>
          <w:szCs w:val="26"/>
        </w:rPr>
      </w:pPr>
      <w:r>
        <w:rPr>
          <w:szCs w:val="26"/>
        </w:rPr>
        <w:t>Parties had notice that the Commission would apply the analysis of Pub. Util. Code Section 854(a), (b), and (c), when considering the application.</w:t>
      </w:r>
    </w:p>
    <w:p w:rsidR="00F04B19" w:rsidP="00E1212D" w:rsidRDefault="00F04B19" w14:paraId="4292A4D6" w14:textId="17EF32EC">
      <w:pPr>
        <w:pStyle w:val="FoF"/>
        <w:rPr>
          <w:szCs w:val="26"/>
        </w:rPr>
      </w:pPr>
      <w:r>
        <w:rPr>
          <w:szCs w:val="26"/>
        </w:rPr>
        <w:t>Joint Applicants failed to put forward measurable, verifiable, and enforceable commitments necessary to approve the transaction under Pub. Util. Code Section 854(a), (b), and (c) without adoption of the Settlement Agreements and mitigation measures.</w:t>
      </w:r>
    </w:p>
    <w:p w:rsidR="00F04B19" w:rsidP="00E1212D" w:rsidRDefault="00F04B19" w14:paraId="4B9BD89A" w14:textId="65CE67FF">
      <w:pPr>
        <w:pStyle w:val="FoF"/>
        <w:rPr>
          <w:szCs w:val="26"/>
        </w:rPr>
      </w:pPr>
      <w:r>
        <w:rPr>
          <w:szCs w:val="26"/>
        </w:rPr>
        <w:t>Joint Applicants failed to put forward measurable, verifiable, and enforceable commitments necessary to find that the transaction will not impact ESJ communities and public safety without adoption of the Settlement Agreements and mitigation measures.</w:t>
      </w:r>
    </w:p>
    <w:p w:rsidR="00E1212D" w:rsidP="00E1212D" w:rsidRDefault="00E1212D" w14:paraId="565C9A57" w14:textId="3D1132AB">
      <w:pPr>
        <w:pStyle w:val="FoF"/>
        <w:rPr>
          <w:szCs w:val="26"/>
        </w:rPr>
      </w:pPr>
      <w:r w:rsidRPr="00984371">
        <w:rPr>
          <w:szCs w:val="26"/>
        </w:rPr>
        <w:t xml:space="preserve">Joint Applicants </w:t>
      </w:r>
      <w:r>
        <w:rPr>
          <w:szCs w:val="26"/>
        </w:rPr>
        <w:t xml:space="preserve">and Cal Advocates submitted the </w:t>
      </w:r>
      <w:r w:rsidR="001848DA">
        <w:rPr>
          <w:szCs w:val="26"/>
        </w:rPr>
        <w:t>Joint Applicants-Cal Advocates Settlement Agreement</w:t>
      </w:r>
      <w:r>
        <w:rPr>
          <w:szCs w:val="26"/>
        </w:rPr>
        <w:t xml:space="preserve"> to s</w:t>
      </w:r>
      <w:r w:rsidRPr="00984371">
        <w:rPr>
          <w:szCs w:val="26"/>
        </w:rPr>
        <w:t>ettle all issues raised by Cal Advocates.</w:t>
      </w:r>
    </w:p>
    <w:p w:rsidR="00E1212D" w:rsidP="00E1212D" w:rsidRDefault="00E1212D" w14:paraId="3999E15C" w14:textId="1DC8C5DB">
      <w:pPr>
        <w:pStyle w:val="FoF"/>
        <w:rPr>
          <w:szCs w:val="26"/>
        </w:rPr>
      </w:pPr>
      <w:r>
        <w:rPr>
          <w:szCs w:val="26"/>
        </w:rPr>
        <w:t xml:space="preserve">The </w:t>
      </w:r>
      <w:r w:rsidR="001848DA">
        <w:rPr>
          <w:szCs w:val="26"/>
        </w:rPr>
        <w:t>Joint Applicants-Cal Advocates Settlement Agreement</w:t>
      </w:r>
      <w:r>
        <w:rPr>
          <w:szCs w:val="26"/>
        </w:rPr>
        <w:t xml:space="preserve"> committed Joint Applicants to offer four new tiers of service (New California LifeLine Service Tiers) for low-income customers for five years. </w:t>
      </w:r>
    </w:p>
    <w:p w:rsidR="00E1212D" w:rsidP="00E1212D" w:rsidRDefault="00E1212D" w14:paraId="5F675386" w14:textId="55CA8D86">
      <w:pPr>
        <w:pStyle w:val="FoF"/>
        <w:rPr>
          <w:szCs w:val="26"/>
        </w:rPr>
      </w:pPr>
      <w:r>
        <w:rPr>
          <w:szCs w:val="26"/>
        </w:rPr>
        <w:t xml:space="preserve">The </w:t>
      </w:r>
      <w:r w:rsidR="001848DA">
        <w:rPr>
          <w:szCs w:val="26"/>
        </w:rPr>
        <w:t>Joint Applicants-Cal Advocates Settlement Agreement</w:t>
      </w:r>
      <w:r>
        <w:rPr>
          <w:szCs w:val="26"/>
        </w:rPr>
        <w:t xml:space="preserve"> committed Joint Applicants to offer a Standalone Non-LifeLine Service Tier for low-income customers for five years.</w:t>
      </w:r>
    </w:p>
    <w:p w:rsidR="00E1212D" w:rsidP="00E1212D" w:rsidRDefault="00E1212D" w14:paraId="19FC1200" w14:textId="73C91CC2">
      <w:pPr>
        <w:pStyle w:val="FoF"/>
        <w:rPr>
          <w:szCs w:val="26"/>
        </w:rPr>
      </w:pPr>
      <w:r w:rsidRPr="008A494E">
        <w:rPr>
          <w:szCs w:val="26"/>
        </w:rPr>
        <w:lastRenderedPageBreak/>
        <w:t xml:space="preserve">The </w:t>
      </w:r>
      <w:r w:rsidR="001848DA">
        <w:rPr>
          <w:szCs w:val="26"/>
        </w:rPr>
        <w:t>Joint Applicants-Cal Advocates Settlement Agreement</w:t>
      </w:r>
      <w:r w:rsidRPr="008A494E">
        <w:rPr>
          <w:szCs w:val="26"/>
        </w:rPr>
        <w:t xml:space="preserve"> committed Joint Applicants to </w:t>
      </w:r>
      <w:r>
        <w:rPr>
          <w:szCs w:val="26"/>
        </w:rPr>
        <w:t>spend $1.5 million over five years, or a minimum of $300,000 per year, to promote its low-income broadband services</w:t>
      </w:r>
      <w:r w:rsidRPr="008A494E">
        <w:rPr>
          <w:szCs w:val="26"/>
        </w:rPr>
        <w:t>.</w:t>
      </w:r>
    </w:p>
    <w:p w:rsidR="00E1212D" w:rsidP="00E1212D" w:rsidRDefault="00E1212D" w14:paraId="764B4710" w14:textId="7FAB5F93">
      <w:pPr>
        <w:pStyle w:val="FoF"/>
        <w:rPr>
          <w:szCs w:val="26"/>
        </w:rPr>
      </w:pPr>
      <w:r w:rsidRPr="008A494E">
        <w:rPr>
          <w:szCs w:val="26"/>
        </w:rPr>
        <w:t xml:space="preserve">The </w:t>
      </w:r>
      <w:r w:rsidR="001848DA">
        <w:rPr>
          <w:szCs w:val="26"/>
        </w:rPr>
        <w:t>Joint Applicants-Cal Advocates Settlement Agreement</w:t>
      </w:r>
      <w:r w:rsidRPr="008A494E">
        <w:rPr>
          <w:szCs w:val="26"/>
        </w:rPr>
        <w:t xml:space="preserve"> committed Joint Applicants to</w:t>
      </w:r>
      <w:r>
        <w:rPr>
          <w:szCs w:val="26"/>
        </w:rPr>
        <w:t xml:space="preserve"> offer existing customers enrolled in qualifying low-income service tiers the option to remain on their plans for at least five years after the transaction.</w:t>
      </w:r>
    </w:p>
    <w:p w:rsidR="00E1212D" w:rsidP="00E1212D" w:rsidRDefault="00E1212D" w14:paraId="2685D5D2" w14:textId="00D2C3F6">
      <w:pPr>
        <w:pStyle w:val="FoF"/>
        <w:rPr>
          <w:szCs w:val="26"/>
        </w:rPr>
      </w:pPr>
      <w:r w:rsidRPr="008A494E">
        <w:rPr>
          <w:szCs w:val="26"/>
        </w:rPr>
        <w:t xml:space="preserve">The </w:t>
      </w:r>
      <w:r w:rsidR="001848DA">
        <w:rPr>
          <w:szCs w:val="26"/>
        </w:rPr>
        <w:t>Joint Applicants-Cal Advocates Settlement Agreement</w:t>
      </w:r>
      <w:r w:rsidRPr="008A494E">
        <w:rPr>
          <w:szCs w:val="26"/>
        </w:rPr>
        <w:t xml:space="preserve"> committed Joint Applicants to</w:t>
      </w:r>
      <w:r>
        <w:rPr>
          <w:szCs w:val="26"/>
        </w:rPr>
        <w:t xml:space="preserve"> offer new residential broadband customers promotional pricing across its footprint.</w:t>
      </w:r>
    </w:p>
    <w:p w:rsidRPr="00025677" w:rsidR="00025677" w:rsidP="00D7487A" w:rsidRDefault="00025677" w14:paraId="7BD0DEAF" w14:textId="29CC9FB3">
      <w:pPr>
        <w:pStyle w:val="FoF"/>
        <w:rPr>
          <w:szCs w:val="26"/>
        </w:rPr>
      </w:pPr>
      <w:r w:rsidRPr="00025677">
        <w:rPr>
          <w:szCs w:val="26"/>
        </w:rPr>
        <w:t xml:space="preserve">The Joint Applicants-Cal Advocates Settlement Agreement </w:t>
      </w:r>
      <w:r w:rsidR="00DC319D">
        <w:rPr>
          <w:szCs w:val="26"/>
        </w:rPr>
        <w:t xml:space="preserve">allowed </w:t>
      </w:r>
      <w:r w:rsidRPr="00025677">
        <w:rPr>
          <w:szCs w:val="26"/>
        </w:rPr>
        <w:t xml:space="preserve">Joint Applicants to offer </w:t>
      </w:r>
      <w:r w:rsidR="00A52AC4">
        <w:rPr>
          <w:szCs w:val="26"/>
        </w:rPr>
        <w:t xml:space="preserve">lower-priced exceptions to the new </w:t>
      </w:r>
      <w:r w:rsidRPr="00025677">
        <w:rPr>
          <w:szCs w:val="26"/>
        </w:rPr>
        <w:t>residential broadband customers promotional</w:t>
      </w:r>
      <w:r w:rsidR="00A52AC4">
        <w:rPr>
          <w:szCs w:val="26"/>
        </w:rPr>
        <w:t xml:space="preserve"> applied consistently</w:t>
      </w:r>
      <w:r w:rsidRPr="00025677">
        <w:rPr>
          <w:szCs w:val="26"/>
        </w:rPr>
        <w:t xml:space="preserve"> pricing across its footprint.</w:t>
      </w:r>
    </w:p>
    <w:p w:rsidRPr="00984371" w:rsidR="00E1212D" w:rsidP="00E1212D" w:rsidRDefault="00E1212D" w14:paraId="776898AD" w14:textId="7F1B4E5A">
      <w:pPr>
        <w:pStyle w:val="FoF"/>
        <w:rPr>
          <w:szCs w:val="26"/>
        </w:rPr>
      </w:pPr>
      <w:r w:rsidRPr="00984371">
        <w:rPr>
          <w:szCs w:val="26"/>
        </w:rPr>
        <w:t xml:space="preserve">Joint Applicants and CETF </w:t>
      </w:r>
      <w:r>
        <w:rPr>
          <w:szCs w:val="26"/>
        </w:rPr>
        <w:t xml:space="preserve">submitted the </w:t>
      </w:r>
      <w:r w:rsidR="001848DA">
        <w:rPr>
          <w:szCs w:val="26"/>
        </w:rPr>
        <w:t xml:space="preserve">Joint Applicants-CETF Settlement Agreement </w:t>
      </w:r>
      <w:r>
        <w:rPr>
          <w:szCs w:val="26"/>
        </w:rPr>
        <w:t xml:space="preserve">to </w:t>
      </w:r>
      <w:r w:rsidRPr="00984371">
        <w:rPr>
          <w:szCs w:val="26"/>
        </w:rPr>
        <w:t>resolv</w:t>
      </w:r>
      <w:r>
        <w:rPr>
          <w:szCs w:val="26"/>
        </w:rPr>
        <w:t>e</w:t>
      </w:r>
      <w:r w:rsidRPr="00984371">
        <w:rPr>
          <w:szCs w:val="26"/>
        </w:rPr>
        <w:t xml:space="preserve"> all concerns raised by CETF.  </w:t>
      </w:r>
    </w:p>
    <w:p w:rsidRPr="005F79FB" w:rsidR="00E1212D" w:rsidP="00E1212D" w:rsidRDefault="00E1212D" w14:paraId="02B61851" w14:textId="0A9B4387">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szCs w:val="26"/>
        </w:rPr>
        <w:t xml:space="preserve">train all relevant call center employees with materials to </w:t>
      </w:r>
      <w:r>
        <w:rPr>
          <w:szCs w:val="26"/>
        </w:rPr>
        <w:t xml:space="preserve">inform </w:t>
      </w:r>
      <w:r w:rsidRPr="001A79CF">
        <w:rPr>
          <w:szCs w:val="26"/>
        </w:rPr>
        <w:t xml:space="preserve">low-income customers </w:t>
      </w:r>
      <w:r>
        <w:rPr>
          <w:szCs w:val="26"/>
        </w:rPr>
        <w:t xml:space="preserve">about </w:t>
      </w:r>
      <w:r w:rsidRPr="001A79CF">
        <w:rPr>
          <w:rFonts w:cs="CIDFont+F3"/>
          <w:szCs w:val="26"/>
        </w:rPr>
        <w:t>the company’s low-income offerings.</w:t>
      </w:r>
    </w:p>
    <w:p w:rsidRPr="005F79FB" w:rsidR="005F79FB" w:rsidRDefault="005F79FB" w14:paraId="2A519174" w14:textId="5958C897">
      <w:pPr>
        <w:pStyle w:val="FoF"/>
        <w:rPr>
          <w:szCs w:val="26"/>
        </w:rPr>
      </w:pPr>
      <w:r w:rsidRPr="005F79FB">
        <w:rPr>
          <w:szCs w:val="26"/>
        </w:rPr>
        <w:t>The Joint Applicants-C</w:t>
      </w:r>
      <w:r w:rsidR="00A92302">
        <w:rPr>
          <w:szCs w:val="26"/>
        </w:rPr>
        <w:t>ETF</w:t>
      </w:r>
      <w:r w:rsidRPr="005F79FB">
        <w:rPr>
          <w:szCs w:val="26"/>
        </w:rPr>
        <w:t xml:space="preserve"> Settlement Agreement committed Joint Applicants to refrain from imposing a 30-day waiting period to qualify for the low-income programs proposed.</w:t>
      </w:r>
    </w:p>
    <w:p w:rsidR="00E1212D" w:rsidP="00E1212D" w:rsidRDefault="00E1212D" w14:paraId="1ECF8B75" w14:textId="4B28ACB8">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invest $30 million in digital inclusion programs related to identified broadband adoption barriers.</w:t>
      </w:r>
    </w:p>
    <w:p w:rsidRPr="001F5C92" w:rsidR="00E1212D" w:rsidP="00E1212D" w:rsidRDefault="00E1212D" w14:paraId="1B25CB8B" w14:textId="5955E15A">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3"/>
          <w:szCs w:val="26"/>
        </w:rPr>
        <w:t xml:space="preserve">invest at least $275 million to evolve its existing network in </w:t>
      </w:r>
      <w:r w:rsidRPr="001A79CF">
        <w:rPr>
          <w:rFonts w:cs="CIDFont+F3"/>
          <w:szCs w:val="26"/>
        </w:rPr>
        <w:lastRenderedPageBreak/>
        <w:t>California to finish upgrading legacy California service to symmetrical one-gigabit speed capability within three years.</w:t>
      </w:r>
    </w:p>
    <w:p w:rsidR="00E1212D" w:rsidP="00E1212D" w:rsidRDefault="00E1212D" w14:paraId="13FE5B48" w14:textId="494BA60F">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F429FF">
        <w:rPr>
          <w:szCs w:val="26"/>
        </w:rPr>
        <w:t>provide free broadband service and Wifi service for five years</w:t>
      </w:r>
      <w:r>
        <w:rPr>
          <w:szCs w:val="26"/>
        </w:rPr>
        <w:t xml:space="preserve"> </w:t>
      </w:r>
      <w:r w:rsidRPr="00F429FF">
        <w:rPr>
          <w:szCs w:val="26"/>
        </w:rPr>
        <w:t>to 50 eligible anchor institutions</w:t>
      </w:r>
      <w:r>
        <w:rPr>
          <w:szCs w:val="26"/>
        </w:rPr>
        <w:t>.</w:t>
      </w:r>
    </w:p>
    <w:p w:rsidR="00E1212D" w:rsidP="00E1212D" w:rsidRDefault="00E1212D" w14:paraId="20008D15" w14:textId="6DAA8EA3">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3"/>
          <w:szCs w:val="26"/>
        </w:rPr>
        <w:t>serve as a potential safety net for the broadband locations identified as remaining unserved or underserved in the Broadband Equity, Access, and Deployment Program</w:t>
      </w:r>
      <w:r>
        <w:rPr>
          <w:rFonts w:cs="CIDFont+F3"/>
          <w:szCs w:val="26"/>
        </w:rPr>
        <w:t>.</w:t>
      </w:r>
    </w:p>
    <w:p w:rsidR="00E1212D" w:rsidP="00E1212D" w:rsidRDefault="00E1212D" w14:paraId="503133BF" w14:textId="7D18F7D2">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performing community and tribal outreach activities.</w:t>
      </w:r>
    </w:p>
    <w:p w:rsidR="00E1212D" w:rsidP="00E1212D" w:rsidRDefault="00E1212D" w14:paraId="0A9B0D6B" w14:textId="05EC4500">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F429FF">
        <w:rPr>
          <w:rFonts w:cs="CIDFont+F2"/>
          <w:szCs w:val="26"/>
        </w:rPr>
        <w:t>invest $5 million in Community Development Financial Institutions to channel capital to small businesses in California that have historically lacked adequate access to credit.</w:t>
      </w:r>
    </w:p>
    <w:p w:rsidRPr="00C019E0" w:rsidR="00E1212D" w:rsidP="00E1212D" w:rsidRDefault="00E1212D" w14:paraId="795E6BFA" w14:textId="641FD2B4">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2"/>
          <w:szCs w:val="26"/>
        </w:rPr>
        <w:t>attend the Commission’s annual Supplier Diversity En Banc hearings</w:t>
      </w:r>
      <w:r>
        <w:rPr>
          <w:rFonts w:cs="CIDFont+F2"/>
          <w:szCs w:val="26"/>
        </w:rPr>
        <w:t>.</w:t>
      </w:r>
    </w:p>
    <w:p w:rsidR="00E1212D" w:rsidP="00E1212D" w:rsidRDefault="00E1212D" w14:paraId="3661592C" w14:textId="2CBF7CC5">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2"/>
          <w:szCs w:val="26"/>
        </w:rPr>
        <w:t>broaden its outreach to focus on small businesses and supplier diversity</w:t>
      </w:r>
      <w:r>
        <w:rPr>
          <w:rFonts w:cs="CIDFont+F2"/>
          <w:szCs w:val="26"/>
        </w:rPr>
        <w:t>.</w:t>
      </w:r>
    </w:p>
    <w:p w:rsidR="00E1212D" w:rsidP="00E1212D" w:rsidRDefault="00E1212D" w14:paraId="4FA6B07E" w14:textId="44439736">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2"/>
          <w:szCs w:val="26"/>
        </w:rPr>
        <w:t>invest $2 million over a three-year period to expand its existing VetConnect Program to two additional California military bases in the Combined Company Service Area</w:t>
      </w:r>
      <w:r>
        <w:rPr>
          <w:rFonts w:cs="CIDFont+F2"/>
          <w:szCs w:val="26"/>
        </w:rPr>
        <w:t>.</w:t>
      </w:r>
    </w:p>
    <w:p w:rsidR="00E1212D" w:rsidP="00E1212D" w:rsidRDefault="00E1212D" w14:paraId="48CDC4DD" w14:textId="33187831">
      <w:pPr>
        <w:pStyle w:val="FoF"/>
        <w:rPr>
          <w:szCs w:val="26"/>
        </w:rPr>
      </w:pPr>
      <w:r w:rsidRPr="008A494E">
        <w:rPr>
          <w:szCs w:val="26"/>
        </w:rPr>
        <w:lastRenderedPageBreak/>
        <w:t xml:space="preserve">The </w:t>
      </w:r>
      <w:r w:rsidR="001848DA">
        <w:rPr>
          <w:szCs w:val="26"/>
        </w:rPr>
        <w:t>Joint Applicants-CETF Settlement Agreement</w:t>
      </w:r>
      <w:r w:rsidRPr="008A494E">
        <w:rPr>
          <w:szCs w:val="26"/>
        </w:rPr>
        <w:t xml:space="preserve"> committed Joint Applicants to</w:t>
      </w:r>
      <w:r>
        <w:rPr>
          <w:szCs w:val="26"/>
        </w:rPr>
        <w:t xml:space="preserve"> </w:t>
      </w:r>
      <w:r>
        <w:rPr>
          <w:rFonts w:cs="CIDFont+F2"/>
          <w:szCs w:val="26"/>
        </w:rPr>
        <w:t>c</w:t>
      </w:r>
      <w:r w:rsidRPr="001A79CF">
        <w:rPr>
          <w:rFonts w:cs="CIDFont+F2"/>
          <w:szCs w:val="26"/>
        </w:rPr>
        <w:t>onduct outreach to small businesses to become certified by the Commission’s Supplier Clearinghouse</w:t>
      </w:r>
      <w:r>
        <w:rPr>
          <w:rFonts w:cs="CIDFont+F2"/>
          <w:szCs w:val="26"/>
        </w:rPr>
        <w:t>.</w:t>
      </w:r>
    </w:p>
    <w:p w:rsidRPr="00A32D14" w:rsidR="00E1212D" w:rsidP="00AF4B8A" w:rsidRDefault="00E1212D" w14:paraId="1CD7994D" w14:textId="7B951FCE">
      <w:pPr>
        <w:pStyle w:val="FoF"/>
        <w:rPr>
          <w:szCs w:val="26"/>
        </w:rPr>
      </w:pPr>
      <w:r w:rsidRPr="00A32D14">
        <w:rPr>
          <w:szCs w:val="26"/>
        </w:rPr>
        <w:t xml:space="preserve">The </w:t>
      </w:r>
      <w:r w:rsidRPr="00A32D14" w:rsidR="001848DA">
        <w:rPr>
          <w:szCs w:val="26"/>
        </w:rPr>
        <w:t>Joint Applicants-CETF Settlement Agreement</w:t>
      </w:r>
      <w:r w:rsidRPr="00A32D14">
        <w:rPr>
          <w:szCs w:val="26"/>
        </w:rPr>
        <w:t xml:space="preserve"> committed Joint Applicants to comply with GO 156.</w:t>
      </w:r>
    </w:p>
    <w:p w:rsidR="00E1212D" w:rsidP="00E1212D" w:rsidRDefault="00E1212D" w14:paraId="1620D200" w14:textId="4E1EBD21">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report its actual spend against Commission goals.</w:t>
      </w:r>
    </w:p>
    <w:p w:rsidR="002F756C" w:rsidP="00E1212D" w:rsidRDefault="002F756C" w14:paraId="2999924D" w14:textId="41024E9D">
      <w:pPr>
        <w:pStyle w:val="FoF"/>
        <w:rPr>
          <w:szCs w:val="26"/>
        </w:rPr>
      </w:pPr>
      <w:r>
        <w:rPr>
          <w:szCs w:val="26"/>
        </w:rPr>
        <w:t>The Joint Applicants-Cal Advocates Settlement Agreement and the Joint Applicants-CETF Settlement Agreement, with the clarifications identified in this decision, are reasonable in light of the whole record, consistent with the law, and in the public interest.</w:t>
      </w:r>
    </w:p>
    <w:p w:rsidR="00F04B19" w:rsidP="00E1212D" w:rsidRDefault="00F04B19" w14:paraId="769AAA2D" w14:textId="686CF7E6">
      <w:pPr>
        <w:pStyle w:val="FoF"/>
        <w:rPr>
          <w:szCs w:val="26"/>
        </w:rPr>
      </w:pPr>
      <w:r>
        <w:rPr>
          <w:szCs w:val="26"/>
        </w:rPr>
        <w:t>Joint Applicants and CETF indicate that as a result of urgency, they would act in good faith to accelerate the Commission’s adoption of their settlements by June 30, 2026.</w:t>
      </w:r>
    </w:p>
    <w:p w:rsidR="00F04B19" w:rsidP="00E1212D" w:rsidRDefault="00F04B19" w14:paraId="42E63B3E" w14:textId="17E7F51C">
      <w:pPr>
        <w:pStyle w:val="FoF"/>
        <w:rPr>
          <w:szCs w:val="26"/>
        </w:rPr>
      </w:pPr>
      <w:r>
        <w:rPr>
          <w:szCs w:val="26"/>
        </w:rPr>
        <w:t>Joint Applicants and CETF failed to justify their urgency request, as required by Rule 12.1(c).</w:t>
      </w:r>
    </w:p>
    <w:p w:rsidR="002F756C" w:rsidP="00E1212D" w:rsidRDefault="002F756C" w14:paraId="71B59648" w14:textId="11580F35">
      <w:pPr>
        <w:pStyle w:val="FoF"/>
        <w:rPr>
          <w:szCs w:val="26"/>
        </w:rPr>
      </w:pPr>
      <w:r>
        <w:rPr>
          <w:szCs w:val="26"/>
        </w:rPr>
        <w:t>Mitigation measures are necessary to prevent significant adverse consequences that may result from the proposed transaction, per Pub. Util. Code Section 854(c)(8).</w:t>
      </w:r>
    </w:p>
    <w:p w:rsidR="00E1212D" w:rsidP="00E1212D" w:rsidRDefault="00E1212D" w14:paraId="0425183B" w14:textId="77777777">
      <w:pPr>
        <w:pStyle w:val="FoF"/>
        <w:rPr>
          <w:szCs w:val="26"/>
        </w:rPr>
      </w:pPr>
      <w:r>
        <w:rPr>
          <w:szCs w:val="26"/>
        </w:rPr>
        <w:t>Joint Applicants confirmed that a significant portion of service outages occurred due to power outages.</w:t>
      </w:r>
    </w:p>
    <w:p w:rsidR="00A1594C" w:rsidP="00A1594C" w:rsidRDefault="00A1594C" w14:paraId="35B7FABC" w14:textId="1014346B">
      <w:pPr>
        <w:pStyle w:val="FoF"/>
        <w:ind w:firstLine="540"/>
        <w:rPr>
          <w:szCs w:val="26"/>
        </w:rPr>
      </w:pPr>
      <w:r w:rsidRPr="00A1594C">
        <w:rPr>
          <w:szCs w:val="26"/>
        </w:rPr>
        <w:t>To improve public safety outcomes and increase public safety and communications resiliency resulting from the transaction, especially during natural disasters, mitigation measures must be implemented, tracked, and reported.</w:t>
      </w:r>
    </w:p>
    <w:p w:rsidRPr="00F04B19" w:rsidR="00F04B19" w:rsidP="00F04B19" w:rsidRDefault="00F04B19" w14:paraId="0A306A54" w14:textId="77777777">
      <w:pPr>
        <w:pStyle w:val="FoF"/>
        <w:ind w:firstLine="540"/>
        <w:rPr>
          <w:szCs w:val="26"/>
        </w:rPr>
      </w:pPr>
      <w:r w:rsidRPr="00F04B19">
        <w:rPr>
          <w:szCs w:val="26"/>
        </w:rPr>
        <w:lastRenderedPageBreak/>
        <w:t>PEG channels provide public benefits and there is a need to ensure they are treated lawfully by the post-merger company.</w:t>
      </w:r>
    </w:p>
    <w:p w:rsidRPr="00F04B19" w:rsidR="00F04B19" w:rsidP="00F04B19" w:rsidRDefault="00F04B19" w14:paraId="56CE4F21" w14:textId="35032911">
      <w:pPr>
        <w:pStyle w:val="FoF"/>
        <w:ind w:firstLine="540"/>
        <w:rPr>
          <w:szCs w:val="26"/>
        </w:rPr>
      </w:pPr>
      <w:r w:rsidRPr="00843296">
        <w:t>Joint Applicants failed to demonstrate that th</w:t>
      </w:r>
      <w:r>
        <w:t>e transaction will not result in a significant adverse impact to PEG channels.</w:t>
      </w:r>
    </w:p>
    <w:p w:rsidRPr="00101081" w:rsidR="00F04B19" w:rsidP="00BA7A62" w:rsidRDefault="00F04B19" w14:paraId="41E00116" w14:textId="3A08552F">
      <w:pPr>
        <w:pStyle w:val="FoF"/>
        <w:ind w:firstLine="540"/>
        <w:rPr>
          <w:szCs w:val="26"/>
        </w:rPr>
      </w:pPr>
      <w:r w:rsidRPr="00F04B19">
        <w:rPr>
          <w:szCs w:val="26"/>
        </w:rPr>
        <w:t>The record reflects a concern that the post-merger company’s</w:t>
      </w:r>
      <w:r>
        <w:rPr>
          <w:szCs w:val="26"/>
        </w:rPr>
        <w:t xml:space="preserve"> </w:t>
      </w:r>
      <w:r w:rsidRPr="00F04B19">
        <w:rPr>
          <w:szCs w:val="26"/>
        </w:rPr>
        <w:t>reimbursement of non-planned outages may adversely impact consumers and not meet public expectations</w:t>
      </w:r>
      <w:r>
        <w:rPr>
          <w:szCs w:val="26"/>
        </w:rPr>
        <w:t xml:space="preserve">, and the Joint Applicants failed to demonstrate that the transaction will not result in a significant adverse impact on consumers in this area. </w:t>
      </w:r>
    </w:p>
    <w:p w:rsidR="00E1212D" w:rsidP="00E1212D" w:rsidRDefault="00E1212D" w14:paraId="1747848D" w14:textId="1AC0DCA3">
      <w:pPr>
        <w:pStyle w:val="FoF"/>
      </w:pPr>
      <w:r>
        <w:t>Connecticut directed the post-merger company to honor any “price for life” contracts with the Joint Applicants.</w:t>
      </w:r>
    </w:p>
    <w:p w:rsidRPr="00F04B19" w:rsidR="00E1212D" w:rsidP="00E1212D" w:rsidRDefault="00E1212D" w14:paraId="2DB4E061" w14:textId="4493E60F">
      <w:pPr>
        <w:pStyle w:val="FoF"/>
        <w:rPr>
          <w:szCs w:val="26"/>
        </w:rPr>
      </w:pPr>
      <w:r>
        <w:rPr>
          <w:szCs w:val="26"/>
        </w:rPr>
        <w:t xml:space="preserve">New York directed the post-merger company to not charge fees to residential cable television service customers to exchange equipment </w:t>
      </w:r>
      <w:r w:rsidRPr="006B06F5">
        <w:t>when a consumer requests an upgrade or downgrade of service or chooses to return rented equipment for such cable television service</w:t>
      </w:r>
      <w:r>
        <w:t>.</w:t>
      </w:r>
    </w:p>
    <w:p w:rsidR="00F04B19" w:rsidP="00BA7A62" w:rsidRDefault="00F04B19" w14:paraId="3CBFE4FC" w14:textId="74333E24">
      <w:pPr>
        <w:pStyle w:val="FoF"/>
        <w:ind w:firstLine="540"/>
      </w:pPr>
      <w:r>
        <w:t>If the post</w:t>
      </w:r>
      <w:r w:rsidR="00101081">
        <w:t>-</w:t>
      </w:r>
      <w:r>
        <w:t>merger company fails to make the same commitment in California as it has done in Connecticut and New York, it would expose the public to potentially significant adverse impacts from the transaction.</w:t>
      </w:r>
    </w:p>
    <w:p w:rsidRPr="00A261D3" w:rsidR="006F22EC" w:rsidP="006F22EC" w:rsidRDefault="006F22EC" w14:paraId="77D82AFB" w14:textId="7739D031">
      <w:pPr>
        <w:pStyle w:val="FoF"/>
        <w:ind w:firstLine="540"/>
      </w:pPr>
      <w:r w:rsidRPr="00A261D3">
        <w:rPr>
          <w:rFonts w:cs="Cambria"/>
          <w:color w:val="000000"/>
          <w:szCs w:val="26"/>
        </w:rPr>
        <w:t xml:space="preserve">There is potential for the post-merger company to evade its obligations and that stringent monitoring and enforcement are needed to ensure this transaction is in the public interest. </w:t>
      </w:r>
    </w:p>
    <w:p w:rsidRPr="00BA7A62" w:rsidR="000F779D" w:rsidP="000F779D" w:rsidRDefault="000F779D" w14:paraId="67B82B23" w14:textId="77777777">
      <w:pPr>
        <w:pStyle w:val="Dummy"/>
        <w:spacing w:line="360" w:lineRule="auto"/>
      </w:pPr>
      <w:bookmarkStart w:name="_Toc237414376" w:id="508"/>
      <w:r w:rsidRPr="00BA7A62">
        <w:t>Conclusions of Law</w:t>
      </w:r>
      <w:bookmarkEnd w:id="506"/>
      <w:bookmarkEnd w:id="507"/>
      <w:bookmarkEnd w:id="508"/>
    </w:p>
    <w:p w:rsidRPr="0047281F" w:rsidR="0047281F" w:rsidP="0080749C" w:rsidRDefault="0047281F" w14:paraId="6EDA4B54" w14:textId="77777777">
      <w:pPr>
        <w:pStyle w:val="FoF"/>
        <w:numPr>
          <w:ilvl w:val="0"/>
          <w:numId w:val="19"/>
        </w:numPr>
      </w:pPr>
      <w:r w:rsidRPr="0047281F">
        <w:t>It is reasonable for the Commission to apply the requirements of Pub. Util. Code Section 854(a), (b), and (c) when considering the transaction.</w:t>
      </w:r>
    </w:p>
    <w:p w:rsidRPr="0047281F" w:rsidR="0047281F" w:rsidP="0080749C" w:rsidRDefault="0047281F" w14:paraId="674955BD" w14:textId="77777777">
      <w:pPr>
        <w:pStyle w:val="FoF"/>
        <w:numPr>
          <w:ilvl w:val="0"/>
          <w:numId w:val="19"/>
        </w:numPr>
      </w:pPr>
      <w:r w:rsidRPr="0047281F">
        <w:lastRenderedPageBreak/>
        <w:t xml:space="preserve">It is reasonable to require additional mitigation measures to address significant adverse impacts for the approval of the Joint Application pursuant to Pub. Util. Code Section 854(c)(8). </w:t>
      </w:r>
    </w:p>
    <w:p w:rsidRPr="0047281F" w:rsidR="0047281F" w:rsidP="0080749C" w:rsidRDefault="0047281F" w14:paraId="036B154C" w14:textId="428F1717">
      <w:pPr>
        <w:pStyle w:val="FoF"/>
        <w:numPr>
          <w:ilvl w:val="0"/>
          <w:numId w:val="19"/>
        </w:numPr>
      </w:pPr>
      <w:r w:rsidRPr="0047281F">
        <w:t xml:space="preserve">It is reasonable to clarify any </w:t>
      </w:r>
      <w:r w:rsidR="004D284B">
        <w:t xml:space="preserve">conflicting or unclear points </w:t>
      </w:r>
      <w:r w:rsidRPr="0047281F">
        <w:t xml:space="preserve">between the </w:t>
      </w:r>
      <w:r w:rsidR="001848DA">
        <w:t>Joint Applicants-Cal Advocates Settlement Agreement</w:t>
      </w:r>
      <w:r w:rsidRPr="0047281F">
        <w:t xml:space="preserve"> and the </w:t>
      </w:r>
      <w:r w:rsidR="001848DA">
        <w:t>Joint Applicants-CETF Settlement Agreement</w:t>
      </w:r>
      <w:r w:rsidR="004D284B">
        <w:t xml:space="preserve"> regarding shared issues</w:t>
      </w:r>
      <w:r w:rsidRPr="0047281F">
        <w:t xml:space="preserve">, </w:t>
      </w:r>
      <w:r w:rsidR="004D284B">
        <w:t xml:space="preserve">since </w:t>
      </w:r>
      <w:r w:rsidRPr="0047281F">
        <w:t xml:space="preserve">each agreement was </w:t>
      </w:r>
      <w:r w:rsidR="004D284B">
        <w:t xml:space="preserve">submitted </w:t>
      </w:r>
      <w:r w:rsidRPr="0047281F">
        <w:t xml:space="preserve">separately instead of a </w:t>
      </w:r>
      <w:r w:rsidR="004D284B">
        <w:t xml:space="preserve">single, </w:t>
      </w:r>
      <w:r w:rsidRPr="0047281F">
        <w:t xml:space="preserve">unified </w:t>
      </w:r>
      <w:r w:rsidR="004D284B">
        <w:t>document</w:t>
      </w:r>
      <w:r w:rsidRPr="0047281F">
        <w:t>.</w:t>
      </w:r>
    </w:p>
    <w:p w:rsidR="0047281F" w:rsidP="0080749C" w:rsidRDefault="0047281F" w14:paraId="3E1CABB9" w14:textId="3BEFA4F4">
      <w:pPr>
        <w:pStyle w:val="FoF"/>
        <w:numPr>
          <w:ilvl w:val="0"/>
          <w:numId w:val="19"/>
        </w:numPr>
      </w:pPr>
      <w:r w:rsidRPr="0047281F">
        <w:t xml:space="preserve">It is reasonable to adopt the </w:t>
      </w:r>
      <w:r w:rsidR="001848DA">
        <w:t>Settlement Agreements</w:t>
      </w:r>
      <w:r w:rsidRPr="0047281F">
        <w:t xml:space="preserve"> conditions as clarified under Article 12 of the Rules.</w:t>
      </w:r>
    </w:p>
    <w:p w:rsidRPr="0047281F" w:rsidR="00101081" w:rsidP="0080749C" w:rsidRDefault="00101081" w14:paraId="7B12A4B2" w14:textId="1FE6A6C2">
      <w:pPr>
        <w:pStyle w:val="FoF"/>
        <w:numPr>
          <w:ilvl w:val="0"/>
          <w:numId w:val="19"/>
        </w:numPr>
      </w:pPr>
      <w:r>
        <w:t>It is reasonable to deny the request of Joint Applicants and CETF for urgent treatment of their Settlement Agreement.</w:t>
      </w:r>
    </w:p>
    <w:p w:rsidRPr="005D44C8" w:rsidR="00C937AF" w:rsidP="00C937AF" w:rsidRDefault="00C937AF" w14:paraId="431BEFDA" w14:textId="77777777">
      <w:pPr>
        <w:pStyle w:val="CoL"/>
        <w:numPr>
          <w:ilvl w:val="0"/>
          <w:numId w:val="19"/>
        </w:numPr>
      </w:pPr>
      <w:r w:rsidRPr="00BE0025">
        <w:rPr>
          <w:szCs w:val="26"/>
        </w:rPr>
        <w:t xml:space="preserve">It is reasonable to require the post-merger company to </w:t>
      </w:r>
      <w:r w:rsidRPr="005D44C8">
        <w:rPr>
          <w:rFonts w:eastAsia="Times New Roman" w:cs="Times New Roman"/>
          <w:color w:val="000000" w:themeColor="text1"/>
          <w:szCs w:val="26"/>
        </w:rPr>
        <w:t>make available to all new residential wireline voice service customers in California access to at least one battery backup solution that provides 72 hours of standby time.</w:t>
      </w:r>
      <w:r w:rsidRPr="005D44C8">
        <w:rPr>
          <w:rFonts w:eastAsia="Times New Roman" w:cs="Times New Roman"/>
          <w:color w:val="000000" w:themeColor="text1"/>
          <w:szCs w:val="26"/>
          <w:vertAlign w:val="superscript"/>
        </w:rPr>
        <w:t xml:space="preserve"> </w:t>
      </w:r>
    </w:p>
    <w:p w:rsidRPr="00BA7A62" w:rsidR="00C937AF" w:rsidP="0080749C" w:rsidRDefault="00C937AF" w14:paraId="085FA157" w14:textId="11744229">
      <w:pPr>
        <w:pStyle w:val="FoF"/>
        <w:numPr>
          <w:ilvl w:val="0"/>
          <w:numId w:val="19"/>
        </w:numPr>
      </w:pPr>
      <w:r w:rsidRPr="00BE0025">
        <w:rPr>
          <w:szCs w:val="26"/>
        </w:rPr>
        <w:t xml:space="preserve">It is reasonable to require the post-merger company to </w:t>
      </w:r>
      <w:r w:rsidRPr="005D44C8">
        <w:rPr>
          <w:rFonts w:eastAsia="Times New Roman" w:cs="Times New Roman"/>
          <w:color w:val="000000" w:themeColor="text1"/>
          <w:szCs w:val="26"/>
        </w:rPr>
        <w:t>provide an annual notice to all their residential wireline voice service customers in California disclosing relevant information regarding battery backup solutions.  The post-merger company should include this notice in its March 1 Annual Compliance Reports.</w:t>
      </w:r>
    </w:p>
    <w:p w:rsidRPr="00C937AF" w:rsidR="00C937AF" w:rsidP="00C937AF" w:rsidRDefault="00C937AF" w14:paraId="137799AF" w14:textId="013C4DBC">
      <w:pPr>
        <w:pStyle w:val="CoL"/>
        <w:numPr>
          <w:ilvl w:val="0"/>
          <w:numId w:val="19"/>
        </w:numPr>
      </w:pPr>
      <w:r w:rsidRPr="00843296">
        <w:rPr>
          <w:szCs w:val="26"/>
        </w:rPr>
        <w:t xml:space="preserve">It is reasonable to require the post-merger company to automatically issue a customer credit equal to 1/30th of the monthly price of the service for each day the service outage lasts two-hours or more.  This customer credit should be reflected on the customer’s bill within 60 days after the last day of the billing period during which the customer experienced a service outage lasting two hours or more. </w:t>
      </w:r>
      <w:r w:rsidR="00101081">
        <w:rPr>
          <w:szCs w:val="26"/>
        </w:rPr>
        <w:t xml:space="preserve"> </w:t>
      </w:r>
      <w:r w:rsidRPr="00843296">
        <w:rPr>
          <w:szCs w:val="26"/>
        </w:rPr>
        <w:t>The automatic customer credit applies only to charges associated with the service.</w:t>
      </w:r>
    </w:p>
    <w:p w:rsidRPr="006C69B1" w:rsidR="006C69B1" w:rsidP="006C69B1" w:rsidRDefault="00C937AF" w14:paraId="2A913851" w14:textId="77777777">
      <w:pPr>
        <w:pStyle w:val="CoL"/>
        <w:numPr>
          <w:ilvl w:val="0"/>
          <w:numId w:val="19"/>
        </w:numPr>
      </w:pPr>
      <w:r w:rsidRPr="008D23A7">
        <w:rPr>
          <w:szCs w:val="26"/>
        </w:rPr>
        <w:lastRenderedPageBreak/>
        <w:t xml:space="preserve">It is reasonable to require the post-merger company to audit its relationships with all of the PEG channels in its footprint and report to the Commission via a Tier </w:t>
      </w:r>
      <w:r>
        <w:rPr>
          <w:szCs w:val="26"/>
        </w:rPr>
        <w:t>1</w:t>
      </w:r>
      <w:r w:rsidRPr="008D23A7">
        <w:rPr>
          <w:szCs w:val="26"/>
        </w:rPr>
        <w:t xml:space="preserve"> advice letter detailing the parameters of its PEG channel relationships as described in this decision.</w:t>
      </w:r>
    </w:p>
    <w:p w:rsidRPr="00D9398C" w:rsidR="00E91892" w:rsidP="00E91892" w:rsidRDefault="00E91892" w14:paraId="37313192" w14:textId="77777777">
      <w:pPr>
        <w:pStyle w:val="CoL"/>
        <w:numPr>
          <w:ilvl w:val="0"/>
          <w:numId w:val="19"/>
        </w:numPr>
      </w:pPr>
      <w:r>
        <w:t>It is reasonable to require t</w:t>
      </w:r>
      <w:r w:rsidRPr="00955D27">
        <w:t xml:space="preserve">he post-merger company </w:t>
      </w:r>
      <w:r>
        <w:t>to</w:t>
      </w:r>
      <w:r w:rsidRPr="00955D27">
        <w:t xml:space="preserve"> broadcast all PEG programming throughout its footprint </w:t>
      </w:r>
      <w:r>
        <w:t>in</w:t>
      </w:r>
      <w:r w:rsidRPr="00955D27">
        <w:t xml:space="preserve"> HD streaming quality</w:t>
      </w:r>
      <w:r>
        <w:t>, to make</w:t>
      </w:r>
      <w:r w:rsidRPr="00955D27">
        <w:t xml:space="preserve"> PEG programming schedules be made available on all electronic programming guides and, immediately following the issuance of this decision, cease charging PEG channels for services</w:t>
      </w:r>
      <w:r>
        <w:t xml:space="preserve"> per Public Utilities Code Section </w:t>
      </w:r>
      <w:r w:rsidRPr="00955D27">
        <w:t>5870</w:t>
      </w:r>
      <w:r>
        <w:t>.</w:t>
      </w:r>
    </w:p>
    <w:p w:rsidR="006C69B1" w:rsidP="006C69B1" w:rsidRDefault="006C69B1" w14:paraId="795BAC9F" w14:textId="308E1BEB">
      <w:pPr>
        <w:pStyle w:val="CoL"/>
        <w:numPr>
          <w:ilvl w:val="0"/>
          <w:numId w:val="19"/>
        </w:numPr>
      </w:pPr>
      <w:r>
        <w:t xml:space="preserve">It is reasonable to require the post-merger company to honor any valid </w:t>
      </w:r>
      <w:r w:rsidRPr="006B06F5">
        <w:t>“price for life” agreement</w:t>
      </w:r>
      <w:r>
        <w:t>s with residential customers</w:t>
      </w:r>
      <w:r w:rsidRPr="006B06F5">
        <w:t xml:space="preserve"> for any Covered Service entered prior to the </w:t>
      </w:r>
      <w:r>
        <w:t>t</w:t>
      </w:r>
      <w:r w:rsidRPr="006B06F5">
        <w:t>ransaction close</w:t>
      </w:r>
      <w:r>
        <w:t xml:space="preserve"> in accordance with its terms</w:t>
      </w:r>
      <w:r w:rsidRPr="006B06F5">
        <w:t xml:space="preserve">, provided </w:t>
      </w:r>
      <w:r>
        <w:t xml:space="preserve">the post-merger company </w:t>
      </w:r>
      <w:r w:rsidRPr="006B06F5">
        <w:t>is practically capable of doing so, and only for the period in which service remains generally available for sale</w:t>
      </w:r>
      <w:r>
        <w:t>.</w:t>
      </w:r>
    </w:p>
    <w:p w:rsidRPr="00101081" w:rsidR="00C937AF" w:rsidP="006C69B1" w:rsidRDefault="006C69B1" w14:paraId="2D57261B" w14:textId="70515B6C">
      <w:pPr>
        <w:pStyle w:val="CoL"/>
        <w:numPr>
          <w:ilvl w:val="0"/>
          <w:numId w:val="19"/>
        </w:numPr>
      </w:pPr>
      <w:r>
        <w:t>It is reasonable to prohibit the post-merger company from</w:t>
      </w:r>
      <w:r w:rsidRPr="006B06F5">
        <w:t xml:space="preserve"> charg</w:t>
      </w:r>
      <w:r>
        <w:t>ing</w:t>
      </w:r>
      <w:r w:rsidRPr="006B06F5">
        <w:t xml:space="preserve"> fees to residential cable television service customers to exchange equipment when a consumer requests an upgrade or downgrade of service or chooses to return rented equipment for such cable television service. </w:t>
      </w:r>
      <w:r>
        <w:t xml:space="preserve"> </w:t>
      </w:r>
      <w:r w:rsidRPr="006B06F5">
        <w:t xml:space="preserve">Nothing herein shall preclude </w:t>
      </w:r>
      <w:r>
        <w:t xml:space="preserve">the post-merger company </w:t>
      </w:r>
      <w:r w:rsidRPr="006B06F5">
        <w:t>from charging customers to return or exchange equipment by mail or other similar delivery means, or for any installation charge or service call requested by the customer for the purpose of performing such equipment exchange</w:t>
      </w:r>
      <w:r>
        <w:t>.</w:t>
      </w:r>
      <w:r w:rsidRPr="006C69B1" w:rsidR="00C937AF">
        <w:rPr>
          <w:szCs w:val="26"/>
        </w:rPr>
        <w:t xml:space="preserve"> </w:t>
      </w:r>
    </w:p>
    <w:p w:rsidR="00101081" w:rsidP="00BA7A62" w:rsidRDefault="00101081" w14:paraId="504684C4" w14:textId="18D630F4">
      <w:pPr>
        <w:pStyle w:val="CoL"/>
        <w:numPr>
          <w:ilvl w:val="0"/>
          <w:numId w:val="19"/>
        </w:numPr>
      </w:pPr>
      <w:r>
        <w:t xml:space="preserve">It is reasonable to authorize </w:t>
      </w:r>
      <w:r w:rsidRPr="00EC31A8">
        <w:t xml:space="preserve">Commission staff to draft a Resolution for Commission consideration reflecting an enforcement program that covers compliance with the terms of the </w:t>
      </w:r>
      <w:r>
        <w:t xml:space="preserve">mitigation measures as reflected in the </w:t>
      </w:r>
      <w:r w:rsidRPr="00EC31A8">
        <w:t xml:space="preserve">Ordering Paragraphs, including, without limitation, the post-merger company’s </w:t>
      </w:r>
      <w:r w:rsidRPr="00EC31A8">
        <w:lastRenderedPageBreak/>
        <w:t>reporting requirements, service quality requirements, infrastructure investment requirements, requests for changes to conditions via a petition for modification, and the terms of any Settlement Agreements.</w:t>
      </w:r>
    </w:p>
    <w:p w:rsidRPr="00530FFE" w:rsidR="00594727" w:rsidP="00594727" w:rsidRDefault="00594727" w14:paraId="665D7880" w14:textId="73FFC58D">
      <w:pPr>
        <w:pStyle w:val="CoL"/>
        <w:numPr>
          <w:ilvl w:val="0"/>
          <w:numId w:val="19"/>
        </w:numPr>
      </w:pPr>
      <w:r w:rsidRPr="00F72B2E">
        <w:rPr>
          <w:rFonts w:cs="Cambria"/>
          <w:color w:val="000000"/>
          <w:szCs w:val="26"/>
        </w:rPr>
        <w:t xml:space="preserve">It is reasonable to require the </w:t>
      </w:r>
      <w:r w:rsidRPr="00F72B2E" w:rsidR="00927F87">
        <w:rPr>
          <w:rFonts w:cs="Cambria"/>
          <w:color w:val="000000"/>
          <w:szCs w:val="26"/>
        </w:rPr>
        <w:t xml:space="preserve">compliance monitor — hired, approved, and procured pursuant to Section XIV of the Joint Applicants-CETF Settlement Agreement — </w:t>
      </w:r>
      <w:r w:rsidRPr="00F72B2E" w:rsidR="00BA3CB4">
        <w:rPr>
          <w:rFonts w:cs="Cambria"/>
          <w:color w:val="000000"/>
          <w:szCs w:val="26"/>
        </w:rPr>
        <w:t xml:space="preserve">to report </w:t>
      </w:r>
      <w:r w:rsidRPr="00F72B2E" w:rsidR="00927F87">
        <w:rPr>
          <w:rFonts w:cs="Cambria"/>
          <w:color w:val="000000"/>
          <w:szCs w:val="26"/>
        </w:rPr>
        <w:t>the status of compliance and any compliance issues to the Commission and parties in a Compliance Filing filed in the docket of this proceeding and served on parties to this proceeding annually on April 15, starting on April 15, 2027, with the last report due on April 15, 2037.  The Compliance Filing does not reopen the proceeding.</w:t>
      </w:r>
    </w:p>
    <w:p w:rsidR="004D7163" w:rsidP="0051013D" w:rsidRDefault="0047281F" w14:paraId="6AE6411B" w14:textId="4EC20C0E">
      <w:pPr>
        <w:pStyle w:val="FoF"/>
        <w:numPr>
          <w:ilvl w:val="0"/>
          <w:numId w:val="19"/>
        </w:numPr>
      </w:pPr>
      <w:r w:rsidRPr="00787AFF">
        <w:t>It is reasonable to approve the transfer of Cox</w:t>
      </w:r>
      <w:r w:rsidRPr="00787AFF" w:rsidR="006C3B5A">
        <w:t xml:space="preserve"> California</w:t>
      </w:r>
      <w:r w:rsidRPr="00787AFF">
        <w:t xml:space="preserve"> in light of the </w:t>
      </w:r>
      <w:r w:rsidRPr="00787AFF" w:rsidR="001848DA">
        <w:t xml:space="preserve">Settlement </w:t>
      </w:r>
      <w:r w:rsidRPr="00787AFF">
        <w:t>Agreement</w:t>
      </w:r>
      <w:r w:rsidRPr="00787AFF" w:rsidR="001848DA">
        <w:t>s</w:t>
      </w:r>
      <w:r w:rsidRPr="00787AFF">
        <w:t xml:space="preserve"> and the additional mitigation measures as reasonable in light of the whole record, consistent with law, and in the public interest.</w:t>
      </w:r>
    </w:p>
    <w:p w:rsidR="004D7163" w:rsidP="004D7163" w:rsidRDefault="004D7163" w14:paraId="6AA1BFB9" w14:textId="6CB8CB28">
      <w:pPr>
        <w:pStyle w:val="FoF"/>
        <w:numPr>
          <w:ilvl w:val="0"/>
          <w:numId w:val="19"/>
        </w:numPr>
      </w:pPr>
      <w:r>
        <w:t xml:space="preserve">It is reasonable to grant TURN’s June 5, 2026, motion to file certain portions of its reply brief under seal; TURN’s June 1, 2026, motion to file certain redacted portions of its opening comments on the settlement agreement between the Joint Applicants and CETF under seal; the Joint Applicants’ May 22, 2026, motion to file under seal the confidential information of the CEI-affiliated companies included in their opening brief; Charter’s May 1, 2026, motion for leave to file under seal portions of the Joint Applicants/CETF Settlement Agreement; Cal Advocates’ January 14, 2026, motion for leave to file under seal their response to the Joint Applicants’ motion to modify the assigned Commissioner’s Scoping Memo; Charter’s January 2, 2026, motion for leave to file under seal Attachment 1 to its response to Cal Advocates’ motion to compel; the Joint Applicants’ December 30, 2025, motion for leave to file under seal portions of their motion to amend the assigned Commissioner’s Scoping Memo; </w:t>
      </w:r>
      <w:r>
        <w:lastRenderedPageBreak/>
        <w:t>Cal Advocate</w:t>
      </w:r>
      <w:r w:rsidR="004569EE">
        <w:t>s</w:t>
      </w:r>
      <w:r>
        <w:t>’ December 23, 2025, motion for leave to file under seal Attachments 2, 4, 5, and 6 to its motion to compel data request responses from Charter; and Charter’s December 10, 2025, motion for leave to file under seal Attachments 1-A, 1-B, 2-B, and 3 to its the Response to the ALJ inquiry; Cox California’s September 15, 2025, motion for leave to file under seal Attachments 1, 2, 4, and 5 of its Response to the ALJ inquiry.</w:t>
      </w:r>
    </w:p>
    <w:p w:rsidRPr="0080749C" w:rsidR="000A3B98" w:rsidP="0051013D" w:rsidRDefault="0047281F" w14:paraId="22716FE9" w14:textId="310CE62E">
      <w:pPr>
        <w:pStyle w:val="CoL"/>
        <w:numPr>
          <w:ilvl w:val="0"/>
          <w:numId w:val="19"/>
        </w:numPr>
      </w:pPr>
      <w:r w:rsidRPr="00787AFF">
        <w:t>Any pending motions that are not expressly ruled upon by the assigned Commission or ALJ should be denied.</w:t>
      </w:r>
    </w:p>
    <w:p w:rsidRPr="000A3B98" w:rsidR="00984371" w:rsidP="0051013D" w:rsidRDefault="0047281F" w14:paraId="50EA5088" w14:textId="36F3E064">
      <w:pPr>
        <w:pStyle w:val="FoF"/>
        <w:numPr>
          <w:ilvl w:val="0"/>
          <w:numId w:val="19"/>
        </w:numPr>
      </w:pPr>
      <w:r w:rsidRPr="00787AFF">
        <w:t xml:space="preserve">The proceeding should be closed.  </w:t>
      </w:r>
      <w:r w:rsidRPr="00787AFF" w:rsidR="000F779D">
        <w:t xml:space="preserve">  </w:t>
      </w:r>
    </w:p>
    <w:p w:rsidR="00BB0243" w:rsidP="000A6E05" w:rsidRDefault="005939A5" w14:paraId="46226A70" w14:textId="77777777">
      <w:pPr>
        <w:pStyle w:val="Mainex"/>
      </w:pPr>
      <w:bookmarkStart w:name="_Toc237414377" w:id="509"/>
      <w:r>
        <w:t>O</w:t>
      </w:r>
      <w:r w:rsidR="00722850">
        <w:t>RDER</w:t>
      </w:r>
      <w:bookmarkEnd w:id="509"/>
    </w:p>
    <w:p w:rsidRPr="000F779D" w:rsidR="00BB0243" w:rsidP="000A6E05" w:rsidRDefault="00BB0243" w14:paraId="315A1937" w14:textId="5358541E">
      <w:pPr>
        <w:keepNext/>
        <w:rPr>
          <w:b/>
        </w:rPr>
      </w:pPr>
      <w:r w:rsidRPr="000F779D">
        <w:rPr>
          <w:b/>
        </w:rPr>
        <w:t xml:space="preserve">IT IS ORDERED </w:t>
      </w:r>
      <w:r w:rsidR="000F779D">
        <w:rPr>
          <w:b/>
        </w:rPr>
        <w:t>THAT</w:t>
      </w:r>
      <w:r w:rsidRPr="000F779D">
        <w:rPr>
          <w:b/>
        </w:rPr>
        <w:t>:</w:t>
      </w:r>
    </w:p>
    <w:p w:rsidRPr="004A0166" w:rsidR="004A0166" w:rsidRDefault="004A0166" w14:paraId="6E6EB399" w14:textId="7BCFEFFD">
      <w:pPr>
        <w:pStyle w:val="CoL"/>
        <w:numPr>
          <w:ilvl w:val="0"/>
          <w:numId w:val="18"/>
        </w:numPr>
        <w:rPr>
          <w:color w:val="000000" w:themeColor="text1"/>
        </w:rPr>
      </w:pPr>
      <w:r w:rsidRPr="004A0166">
        <w:t xml:space="preserve">Pursuant to California Public Utilities Code Section 854, approval of </w:t>
      </w:r>
      <w:r w:rsidRPr="00E92CFF">
        <w:t xml:space="preserve">the </w:t>
      </w:r>
      <w:r>
        <w:t xml:space="preserve">indirect </w:t>
      </w:r>
      <w:r w:rsidRPr="00E92CFF">
        <w:t xml:space="preserve">transfer of control of </w:t>
      </w:r>
      <w:r w:rsidRPr="004A0166">
        <w:t>Cox California Telcom, LLC (U</w:t>
      </w:r>
      <w:r w:rsidRPr="004A0166">
        <w:noBreakHyphen/>
        <w:t>5684</w:t>
      </w:r>
      <w:r w:rsidRPr="004A0166">
        <w:noBreakHyphen/>
        <w:t>C)</w:t>
      </w:r>
      <w:r w:rsidRPr="004A0166">
        <w:rPr>
          <w:i/>
          <w:iCs/>
        </w:rPr>
        <w:t xml:space="preserve"> </w:t>
      </w:r>
      <w:r w:rsidRPr="00E92CFF">
        <w:t xml:space="preserve">to </w:t>
      </w:r>
      <w:r w:rsidRPr="004A0166">
        <w:t xml:space="preserve">Charter Communications, Inc., Charter Communications Holdings, LLC, and Cox Enterprises, Inc. is granted, subject to the requirements as stated herein. </w:t>
      </w:r>
    </w:p>
    <w:p w:rsidRPr="00F429FF" w:rsidR="003628D7" w:rsidRDefault="003628D7" w14:paraId="05952BF0" w14:textId="6E3FCEAE">
      <w:pPr>
        <w:pStyle w:val="CoL"/>
        <w:numPr>
          <w:ilvl w:val="0"/>
          <w:numId w:val="18"/>
        </w:numPr>
      </w:pPr>
      <w:r w:rsidRPr="00F429FF">
        <w:t xml:space="preserve">The post-merger company shall abide by </w:t>
      </w:r>
      <w:r>
        <w:t xml:space="preserve">the </w:t>
      </w:r>
      <w:r w:rsidRPr="00F429FF">
        <w:t xml:space="preserve">commitments listed in the settlement agreement </w:t>
      </w:r>
      <w:r w:rsidR="005E0BBF">
        <w:t xml:space="preserve">between </w:t>
      </w:r>
      <w:r w:rsidR="00FC35C7">
        <w:t>Charter Communications, Inc., Charter Holdings, LLC, Cox Enterprises, Inc., Cox California Telecom</w:t>
      </w:r>
      <w:r w:rsidR="005E0BBF">
        <w:t xml:space="preserve"> and</w:t>
      </w:r>
      <w:r w:rsidR="009C7A1B">
        <w:t xml:space="preserve"> the Public Advocates Office </w:t>
      </w:r>
      <w:r w:rsidR="00FC35C7">
        <w:t>at</w:t>
      </w:r>
      <w:r w:rsidR="009C7A1B">
        <w:t xml:space="preserve"> the California Public Utilities Commission </w:t>
      </w:r>
      <w:r w:rsidRPr="00F429FF">
        <w:t xml:space="preserve">attached to this decision in </w:t>
      </w:r>
      <w:r w:rsidRPr="00AB5D54" w:rsidR="00AC4936">
        <w:rPr>
          <w:rFonts w:cs="Arial"/>
          <w:bCs/>
          <w:szCs w:val="26"/>
        </w:rPr>
        <w:t>Attachment</w:t>
      </w:r>
      <w:r w:rsidRPr="0098655A" w:rsidR="00AC4936">
        <w:rPr>
          <w:rFonts w:cs="Arial"/>
          <w:b/>
          <w:szCs w:val="26"/>
        </w:rPr>
        <w:t xml:space="preserve"> </w:t>
      </w:r>
      <w:r w:rsidRPr="00F429FF">
        <w:t>A</w:t>
      </w:r>
      <w:r w:rsidR="003A204D">
        <w:t>, to include:</w:t>
      </w:r>
    </w:p>
    <w:p w:rsidRPr="00F429FF" w:rsidR="00F970B0" w:rsidP="0051013D" w:rsidRDefault="00F970B0" w14:paraId="25EBEFB6" w14:textId="42575D3B">
      <w:pPr>
        <w:pStyle w:val="ListAlpha"/>
        <w:ind w:right="1440"/>
      </w:pPr>
      <w:r w:rsidRPr="00F429FF">
        <w:t xml:space="preserve">The post-merger company shall offer all new and existing low-income customers across the service footprint four new tiers of service for low-income customers, referred to as the New California LifeLine Service Tiers as described in </w:t>
      </w:r>
      <w:r w:rsidRPr="00AB5D54" w:rsidR="00AC4936">
        <w:rPr>
          <w:rFonts w:cs="Arial"/>
          <w:bCs/>
          <w:szCs w:val="26"/>
        </w:rPr>
        <w:t>Attachment</w:t>
      </w:r>
      <w:r w:rsidRPr="0098655A" w:rsidR="00AC4936">
        <w:rPr>
          <w:rFonts w:cs="Arial"/>
          <w:b/>
          <w:szCs w:val="26"/>
        </w:rPr>
        <w:t xml:space="preserve"> </w:t>
      </w:r>
      <w:r w:rsidRPr="00F429FF">
        <w:t xml:space="preserve">A, for five-years: </w:t>
      </w:r>
    </w:p>
    <w:p w:rsidRPr="001A79CF" w:rsidR="00F970B0" w:rsidRDefault="00F970B0" w14:paraId="6757E159" w14:textId="2A090355">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t xml:space="preserve">Standalone 100/20 </w:t>
      </w:r>
      <w:r w:rsidR="00FC35C7">
        <w:rPr>
          <w:rFonts w:ascii="Book Antiqua" w:hAnsi="Book Antiqua"/>
          <w:sz w:val="26"/>
          <w:szCs w:val="26"/>
        </w:rPr>
        <w:t>Megabytes per second (</w:t>
      </w:r>
      <w:r w:rsidRPr="001A79CF">
        <w:rPr>
          <w:rFonts w:ascii="Book Antiqua" w:hAnsi="Book Antiqua"/>
          <w:sz w:val="26"/>
          <w:szCs w:val="26"/>
        </w:rPr>
        <w:t>Mbps</w:t>
      </w:r>
      <w:r w:rsidR="00FC35C7">
        <w:rPr>
          <w:rFonts w:ascii="Book Antiqua" w:hAnsi="Book Antiqua"/>
          <w:sz w:val="26"/>
          <w:szCs w:val="26"/>
        </w:rPr>
        <w:t>)</w:t>
      </w:r>
      <w:r w:rsidRPr="001A79CF">
        <w:rPr>
          <w:rFonts w:ascii="Book Antiqua" w:hAnsi="Book Antiqua"/>
          <w:sz w:val="26"/>
          <w:szCs w:val="26"/>
        </w:rPr>
        <w:t xml:space="preserve"> for $20 per month - residential home internet access service </w:t>
      </w:r>
    </w:p>
    <w:p w:rsidRPr="001A79CF" w:rsidR="00F970B0" w:rsidRDefault="00F970B0" w14:paraId="316CF112" w14:textId="6A99BDEE">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lastRenderedPageBreak/>
        <w:t>Standalone 500/20 Mbps for $50 per month</w:t>
      </w:r>
      <w:r w:rsidR="00FC35C7">
        <w:rPr>
          <w:rFonts w:ascii="Book Antiqua" w:hAnsi="Book Antiqua"/>
          <w:sz w:val="26"/>
          <w:szCs w:val="26"/>
        </w:rPr>
        <w:t xml:space="preserve"> </w:t>
      </w:r>
      <w:r w:rsidRPr="001A79CF">
        <w:rPr>
          <w:rFonts w:ascii="Book Antiqua" w:hAnsi="Book Antiqua"/>
          <w:sz w:val="26"/>
          <w:szCs w:val="26"/>
        </w:rPr>
        <w:t>- residential home internet access service</w:t>
      </w:r>
    </w:p>
    <w:p w:rsidRPr="001A79CF" w:rsidR="00F970B0" w:rsidRDefault="00F970B0" w14:paraId="3B68FBEF" w14:textId="77777777">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t>Bundled 100/20 Mbps for $30 per month - residential home internet access service plus residential wireline voice service bundle</w:t>
      </w:r>
    </w:p>
    <w:p w:rsidRPr="001A79CF" w:rsidR="00F970B0" w:rsidRDefault="00F970B0" w14:paraId="4595C2BC" w14:textId="77777777">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t>Bundled 500/20 Mbps for $50/ per month - residential home internet access service plus residential wireline voice service bundle.</w:t>
      </w:r>
    </w:p>
    <w:p w:rsidRPr="001A79CF" w:rsidR="00F970B0" w:rsidP="000A3B98" w:rsidRDefault="00F970B0" w14:paraId="1D5C8801" w14:textId="60986CB6">
      <w:pPr>
        <w:pStyle w:val="ListAlpha"/>
        <w:ind w:right="1440"/>
      </w:pPr>
      <w:r w:rsidRPr="001A79CF">
        <w:t xml:space="preserve">The post-merger company shall offer new and existing low-income eligible customers across its footprint access to residential home </w:t>
      </w:r>
      <w:r w:rsidRPr="001A79CF" w:rsidR="005279A3">
        <w:t>inter</w:t>
      </w:r>
      <w:r w:rsidR="005279A3">
        <w:t>net</w:t>
      </w:r>
      <w:r w:rsidRPr="001A79CF" w:rsidR="005279A3">
        <w:t xml:space="preserve"> </w:t>
      </w:r>
      <w:r w:rsidRPr="001A79CF">
        <w:t>access plans at 100/20 Mbps service for $20 per month in a Standalone Non-LifeLine Service Tier</w:t>
      </w:r>
      <w:r w:rsidR="00FC35C7">
        <w:t>,</w:t>
      </w:r>
      <w:r w:rsidRPr="001A79CF">
        <w:t xml:space="preserve"> as described in </w:t>
      </w:r>
      <w:r w:rsidRPr="00AB5D54" w:rsidR="00AC4936">
        <w:rPr>
          <w:rFonts w:cs="Arial"/>
          <w:bCs/>
          <w:szCs w:val="26"/>
        </w:rPr>
        <w:t>Attachment</w:t>
      </w:r>
      <w:r w:rsidRPr="0098655A" w:rsidR="00AC4936">
        <w:rPr>
          <w:rFonts w:cs="Arial"/>
          <w:b/>
          <w:szCs w:val="26"/>
        </w:rPr>
        <w:t xml:space="preserve"> </w:t>
      </w:r>
      <w:r w:rsidRPr="001A79CF">
        <w:t>A.  The post-merger company shall offer this service tier for five years with no long-term contracts or early termination fees.</w:t>
      </w:r>
    </w:p>
    <w:p w:rsidRPr="002E3BEC" w:rsidR="00F970B0" w:rsidP="0051013D" w:rsidRDefault="00F970B0" w14:paraId="01DA62D0" w14:textId="77777777">
      <w:pPr>
        <w:pStyle w:val="ListAlpha"/>
        <w:ind w:right="1440"/>
      </w:pPr>
      <w:r w:rsidRPr="002E3BEC">
        <w:t>The post-merger company shall spend $1.5 million over five years, or minimum of $300,000 per year, to promote its low-income broadband services including its New California LifeLine Service Tiers and Standalone Non-LifeLine Service Tier across its footprint.</w:t>
      </w:r>
    </w:p>
    <w:p w:rsidR="00F970B0" w:rsidP="0051013D" w:rsidRDefault="00F970B0" w14:paraId="320D6DE0" w14:textId="77777777">
      <w:pPr>
        <w:pStyle w:val="ListAlpha"/>
        <w:ind w:right="1440"/>
      </w:pPr>
      <w:r w:rsidRPr="001A79CF">
        <w:t>The post-merger company shall offer existing customers enrolled in qualifying low-income service tiers the option to remain on their plans for at least five years after the transaction.</w:t>
      </w:r>
    </w:p>
    <w:p w:rsidRPr="00E20CEB" w:rsidR="00E20CEB" w:rsidP="0051013D" w:rsidRDefault="00E20CEB" w14:paraId="34BD6FE2" w14:textId="266112E4">
      <w:pPr>
        <w:pStyle w:val="ListAlpha"/>
        <w:ind w:right="1440"/>
      </w:pPr>
      <w:r w:rsidRPr="00E20CEB">
        <w:t>The post-merger company shall not impose a 30-day waiting period to qualify for low-income programs or any programs created under this decision.</w:t>
      </w:r>
    </w:p>
    <w:p w:rsidRPr="001A79CF" w:rsidR="00F970B0" w:rsidP="0051013D" w:rsidRDefault="00F970B0" w14:paraId="483CF994" w14:textId="396A0110">
      <w:pPr>
        <w:pStyle w:val="ListAlpha"/>
        <w:ind w:right="1440"/>
      </w:pPr>
      <w:r w:rsidRPr="001A79CF">
        <w:t xml:space="preserve">For a period of three years, the post-merger company </w:t>
      </w:r>
      <w:r w:rsidR="00BA05F6">
        <w:t>shall</w:t>
      </w:r>
      <w:r w:rsidRPr="001A79CF" w:rsidR="00BA05F6">
        <w:t xml:space="preserve"> </w:t>
      </w:r>
      <w:r w:rsidRPr="001A79CF">
        <w:t xml:space="preserve">offer new residential broadband customers promotional pricing across its footprint of $70 for 1000/35 Mbps service, $50 for 500/20 Mbps service, and $30 for 100/20 Mbps service, with the following </w:t>
      </w:r>
      <w:r w:rsidR="007228A8">
        <w:t xml:space="preserve">lower-priced </w:t>
      </w:r>
      <w:r w:rsidRPr="001A79CF">
        <w:t>exceptions</w:t>
      </w:r>
      <w:r w:rsidR="006F44F1">
        <w:t xml:space="preserve"> applied consistently across the footprint </w:t>
      </w:r>
      <w:r w:rsidR="007A6438">
        <w:t>of the post-merger company</w:t>
      </w:r>
      <w:r w:rsidRPr="001A79CF">
        <w:t>:</w:t>
      </w:r>
    </w:p>
    <w:p w:rsidRPr="001A79CF" w:rsidR="00F970B0" w:rsidP="0051013D" w:rsidRDefault="00F970B0" w14:paraId="663F6D04" w14:textId="31AC683C">
      <w:pPr>
        <w:pStyle w:val="Standard"/>
        <w:numPr>
          <w:ilvl w:val="0"/>
          <w:numId w:val="14"/>
        </w:numPr>
        <w:spacing w:line="240" w:lineRule="auto"/>
        <w:ind w:left="1620" w:right="1440"/>
      </w:pPr>
      <w:r w:rsidRPr="001A79CF">
        <w:lastRenderedPageBreak/>
        <w:t xml:space="preserve">Promotions in response to competitor pricing and offers, new competitor entry or expansion, competitor network upgrades, and the near-term expected entry, expansion or upgrade of a competitor may be set below the statewide promotional price. Once </w:t>
      </w:r>
      <w:r w:rsidR="00FC35C7">
        <w:t>the post-merger company</w:t>
      </w:r>
      <w:r w:rsidRPr="001A79CF">
        <w:t xml:space="preserve"> establishes such a lower promotional price under this exception that is offered for more than 30 days, it should adjust the statewide promotional price as necessary to ensure that the difference between the statewide promotional price and the lower promotional price does not exceed $15 per month or, in the case of an offer of free service, 20% of the customer’s expected annual service revenue;</w:t>
      </w:r>
    </w:p>
    <w:p w:rsidRPr="001A79CF" w:rsidR="00F970B0" w:rsidP="0051013D" w:rsidRDefault="00F970B0" w14:paraId="2A4632E2" w14:textId="77777777">
      <w:pPr>
        <w:pStyle w:val="OP"/>
        <w:numPr>
          <w:ilvl w:val="0"/>
          <w:numId w:val="14"/>
        </w:numPr>
        <w:spacing w:after="120" w:line="240" w:lineRule="auto"/>
        <w:ind w:left="1627" w:right="1440"/>
        <w:rPr>
          <w:szCs w:val="26"/>
        </w:rPr>
      </w:pPr>
      <w:r w:rsidRPr="001A79CF">
        <w:rPr>
          <w:szCs w:val="26"/>
        </w:rPr>
        <w:t>Promotions to former customers or customers in retention;</w:t>
      </w:r>
    </w:p>
    <w:p w:rsidRPr="001A79CF" w:rsidR="00F970B0" w:rsidP="0051013D" w:rsidRDefault="00F970B0" w14:paraId="621AC850" w14:textId="77777777">
      <w:pPr>
        <w:pStyle w:val="OP"/>
        <w:numPr>
          <w:ilvl w:val="0"/>
          <w:numId w:val="14"/>
        </w:numPr>
        <w:spacing w:line="240" w:lineRule="auto"/>
        <w:ind w:left="1620" w:right="1440"/>
        <w:rPr>
          <w:szCs w:val="26"/>
        </w:rPr>
      </w:pPr>
      <w:r w:rsidRPr="001A79CF">
        <w:rPr>
          <w:szCs w:val="26"/>
        </w:rPr>
        <w:t>Promotions related to “Back to School” in zip codes immediately adjacent to Colleges and Universities;</w:t>
      </w:r>
    </w:p>
    <w:p w:rsidRPr="001A79CF" w:rsidR="00F970B0" w:rsidP="0051013D" w:rsidRDefault="00F970B0" w14:paraId="38839874" w14:textId="77777777">
      <w:pPr>
        <w:pStyle w:val="OP"/>
        <w:numPr>
          <w:ilvl w:val="0"/>
          <w:numId w:val="14"/>
        </w:numPr>
        <w:ind w:left="1620" w:right="1440"/>
        <w:rPr>
          <w:szCs w:val="26"/>
        </w:rPr>
      </w:pPr>
      <w:r w:rsidRPr="001A79CF">
        <w:rPr>
          <w:szCs w:val="26"/>
        </w:rPr>
        <w:t>Promotions to low-income households; and</w:t>
      </w:r>
    </w:p>
    <w:p w:rsidR="008D458D" w:rsidP="0051013D" w:rsidRDefault="00F970B0" w14:paraId="6C9A0D9D" w14:textId="6ACD2124">
      <w:pPr>
        <w:pStyle w:val="OP"/>
        <w:numPr>
          <w:ilvl w:val="0"/>
          <w:numId w:val="14"/>
        </w:numPr>
        <w:spacing w:after="120" w:line="240" w:lineRule="auto"/>
        <w:ind w:left="1620" w:right="1440"/>
        <w:rPr>
          <w:szCs w:val="26"/>
        </w:rPr>
      </w:pPr>
      <w:r w:rsidRPr="001A79CF">
        <w:rPr>
          <w:szCs w:val="26"/>
        </w:rPr>
        <w:t>Promotions as part of a disaster recovery effort, including in response to natural disasters.</w:t>
      </w:r>
    </w:p>
    <w:p w:rsidRPr="00F429FF" w:rsidR="00D172BB" w:rsidP="0051013D" w:rsidRDefault="00D172BB" w14:paraId="2D48B153" w14:textId="0856AAA1">
      <w:pPr>
        <w:pStyle w:val="FoF"/>
        <w:numPr>
          <w:ilvl w:val="0"/>
          <w:numId w:val="18"/>
        </w:numPr>
        <w:ind w:right="1440" w:firstLine="547"/>
      </w:pPr>
      <w:r w:rsidRPr="00F429FF">
        <w:t xml:space="preserve">The post-merger company shall abide by </w:t>
      </w:r>
      <w:r>
        <w:t xml:space="preserve">the </w:t>
      </w:r>
      <w:r w:rsidRPr="00F429FF">
        <w:t xml:space="preserve">commitments listed in the settlement agreement </w:t>
      </w:r>
      <w:r>
        <w:t xml:space="preserve">between the </w:t>
      </w:r>
      <w:r w:rsidR="00FC35C7">
        <w:t>Charter Communications, Inc., Charter Holdings, LLC, Cox Enterprises, Inc., Cox California Telecom</w:t>
      </w:r>
      <w:r w:rsidR="005F3694">
        <w:t xml:space="preserve"> </w:t>
      </w:r>
      <w:r>
        <w:t>and the California Emerging Technolog</w:t>
      </w:r>
      <w:r w:rsidR="00594727">
        <w:t>y</w:t>
      </w:r>
      <w:r>
        <w:t xml:space="preserve"> Fund</w:t>
      </w:r>
      <w:r w:rsidR="00FC35C7">
        <w:t xml:space="preserve"> (CETF)</w:t>
      </w:r>
      <w:r>
        <w:t xml:space="preserve"> </w:t>
      </w:r>
      <w:r w:rsidRPr="00F429FF">
        <w:t xml:space="preserve">attached to this decision in </w:t>
      </w:r>
      <w:r w:rsidRPr="00AB5D54" w:rsidR="00AC4936">
        <w:rPr>
          <w:rFonts w:cs="Arial"/>
          <w:bCs/>
          <w:szCs w:val="26"/>
        </w:rPr>
        <w:t>Attachment</w:t>
      </w:r>
      <w:r w:rsidRPr="0098655A" w:rsidR="00AC4936">
        <w:rPr>
          <w:rFonts w:cs="Arial"/>
          <w:b/>
          <w:szCs w:val="26"/>
        </w:rPr>
        <w:t xml:space="preserve"> </w:t>
      </w:r>
      <w:r w:rsidR="00FC35C7">
        <w:t>B</w:t>
      </w:r>
      <w:r>
        <w:t>, to include:</w:t>
      </w:r>
    </w:p>
    <w:p w:rsidRPr="00C529BB" w:rsidR="005B0B95" w:rsidRDefault="00F970B0" w14:paraId="76B2610D" w14:textId="14FDBD16">
      <w:pPr>
        <w:pStyle w:val="ListAlpha"/>
        <w:numPr>
          <w:ilvl w:val="7"/>
          <w:numId w:val="15"/>
        </w:numPr>
        <w:ind w:right="1440"/>
        <w:rPr>
          <w:color w:val="000000" w:themeColor="text1"/>
        </w:rPr>
      </w:pPr>
      <w:r w:rsidRPr="001A79CF">
        <w:t xml:space="preserve">The post-merger company shall train all relevant call center employees with materials to provide low-income customers with adequate information regarding </w:t>
      </w:r>
      <w:r w:rsidRPr="00C529BB">
        <w:rPr>
          <w:rFonts w:cs="CIDFont+F3"/>
        </w:rPr>
        <w:t>availability of, and processes to enroll in, the company’s low-income offerings.</w:t>
      </w:r>
    </w:p>
    <w:p w:rsidRPr="005B0B95" w:rsidR="00F970B0" w:rsidP="00C529BB" w:rsidRDefault="00F970B0" w14:paraId="188333F6" w14:textId="77777777">
      <w:pPr>
        <w:pStyle w:val="ListAlpha"/>
        <w:ind w:right="1440"/>
        <w:rPr>
          <w:color w:val="000000" w:themeColor="text1"/>
        </w:rPr>
      </w:pPr>
      <w:r w:rsidRPr="005B0B95">
        <w:t xml:space="preserve">The post-merger company shall invest $30 million in digital inclusion programs related to identified broadband adoption barriers (cost, relevance, digital literacy) including: </w:t>
      </w:r>
    </w:p>
    <w:p w:rsidRPr="001A79CF" w:rsidR="00F970B0" w:rsidRDefault="00F970B0" w14:paraId="7C6D118C" w14:textId="3F74A093">
      <w:pPr>
        <w:pStyle w:val="OP"/>
        <w:numPr>
          <w:ilvl w:val="0"/>
          <w:numId w:val="16"/>
        </w:numPr>
        <w:spacing w:after="120" w:line="240" w:lineRule="auto"/>
        <w:ind w:left="1620" w:right="1440"/>
        <w:rPr>
          <w:color w:val="000000" w:themeColor="text1"/>
          <w:szCs w:val="26"/>
        </w:rPr>
      </w:pPr>
      <w:r w:rsidRPr="001A79CF">
        <w:rPr>
          <w:szCs w:val="26"/>
        </w:rPr>
        <w:lastRenderedPageBreak/>
        <w:t xml:space="preserve">$20.5 million to CETF to support broadband adoption through community based outreach, in-language and in-culture engagement, digital literacy training programs across the post-merger company footprint; </w:t>
      </w:r>
    </w:p>
    <w:p w:rsidRPr="001A79CF" w:rsidR="00F970B0" w:rsidRDefault="00F970B0" w14:paraId="7F471600" w14:textId="77777777">
      <w:pPr>
        <w:pStyle w:val="OP"/>
        <w:numPr>
          <w:ilvl w:val="0"/>
          <w:numId w:val="16"/>
        </w:numPr>
        <w:spacing w:after="120" w:line="240" w:lineRule="auto"/>
        <w:ind w:left="1620" w:right="1440"/>
        <w:rPr>
          <w:color w:val="000000" w:themeColor="text1"/>
          <w:szCs w:val="26"/>
        </w:rPr>
      </w:pPr>
      <w:r w:rsidRPr="001A79CF">
        <w:rPr>
          <w:szCs w:val="26"/>
        </w:rPr>
        <w:t xml:space="preserve">$7 million to regional broadband consortium and metropolitan planning organizations for targeted outreach and community-based digital inclusion engagement efforts; and </w:t>
      </w:r>
    </w:p>
    <w:p w:rsidRPr="001A79CF" w:rsidR="00F970B0" w:rsidRDefault="00F970B0" w14:paraId="6523FECD" w14:textId="77777777">
      <w:pPr>
        <w:pStyle w:val="OP"/>
        <w:numPr>
          <w:ilvl w:val="0"/>
          <w:numId w:val="16"/>
        </w:numPr>
        <w:spacing w:after="120" w:line="240" w:lineRule="auto"/>
        <w:ind w:left="1620" w:right="1440"/>
        <w:rPr>
          <w:color w:val="000000" w:themeColor="text1"/>
          <w:szCs w:val="26"/>
        </w:rPr>
      </w:pPr>
      <w:r w:rsidRPr="001A79CF">
        <w:rPr>
          <w:szCs w:val="26"/>
        </w:rPr>
        <w:t>$2.5 million to a new CETF Green Technology Initiative for sustainable supply chain computer refurbishment to be distributed to low-income households for free digital literacy training.</w:t>
      </w:r>
    </w:p>
    <w:p w:rsidRPr="001A79CF" w:rsidR="00F970B0" w:rsidP="00C529BB" w:rsidRDefault="00F970B0" w14:paraId="30F2E19B" w14:textId="77777777">
      <w:pPr>
        <w:pStyle w:val="ListAlpha"/>
        <w:ind w:right="1440"/>
      </w:pPr>
      <w:r w:rsidRPr="001A79CF">
        <w:t>The post-merger company shall invest at least $275 million to evolve its existing network in California to finish upgrading legacy California service to symmetrical one-gigabit speed capability within three years.</w:t>
      </w:r>
    </w:p>
    <w:p w:rsidRPr="00F429FF" w:rsidR="00F970B0" w:rsidP="00C529BB" w:rsidRDefault="00F970B0" w14:paraId="70C5B6B2" w14:textId="77777777">
      <w:pPr>
        <w:pStyle w:val="ListAlpha"/>
        <w:ind w:right="1440"/>
      </w:pPr>
      <w:r w:rsidRPr="00F429FF">
        <w:t>The post-merger company shall provide free broadband service and Wifi service for five years, at no charge, to 50 eligible anchor institutions, such as schools, libraries, community centers, and other community-service facilities.</w:t>
      </w:r>
    </w:p>
    <w:p w:rsidRPr="001A79CF" w:rsidR="00F970B0" w:rsidP="00C529BB" w:rsidRDefault="00F970B0" w14:paraId="6BFEBE20" w14:textId="3558A196">
      <w:pPr>
        <w:pStyle w:val="ListAlpha"/>
        <w:ind w:right="1440"/>
      </w:pPr>
      <w:r w:rsidRPr="001A79CF">
        <w:t xml:space="preserve">The post-merger company shall serve as a potential safety net for the broadband locations identified in the settlement agreement of </w:t>
      </w:r>
      <w:r w:rsidRPr="00AB5D54" w:rsidR="00AC4936">
        <w:rPr>
          <w:rFonts w:cs="Arial"/>
          <w:bCs/>
          <w:szCs w:val="26"/>
        </w:rPr>
        <w:t>Attachment</w:t>
      </w:r>
      <w:r w:rsidRPr="0098655A" w:rsidR="00AC4936">
        <w:rPr>
          <w:rFonts w:cs="Arial"/>
          <w:b/>
          <w:szCs w:val="26"/>
        </w:rPr>
        <w:t xml:space="preserve"> </w:t>
      </w:r>
      <w:r w:rsidRPr="001A79CF">
        <w:t>B as remaining unserved or underserved in the Broadband Equity, Access, and Deployment Program by submitting at least one application for broadband grant funding to deploy last-mile broadband infrastructure to serve those remaining locations, with a capital contribution of up to $3,000 per funded location.</w:t>
      </w:r>
    </w:p>
    <w:p w:rsidRPr="001A79CF" w:rsidR="00F970B0" w:rsidP="00C529BB" w:rsidRDefault="00F970B0" w14:paraId="26D0CE62" w14:textId="7FDCA7F1">
      <w:pPr>
        <w:pStyle w:val="ListAlpha"/>
        <w:ind w:right="1440"/>
      </w:pPr>
      <w:r w:rsidRPr="001A79CF">
        <w:t xml:space="preserve">The post-merger company shall conduct an annual consultation with </w:t>
      </w:r>
      <w:r w:rsidR="00594727">
        <w:t>Regional Broadband Consortia</w:t>
      </w:r>
      <w:r w:rsidRPr="001A79CF">
        <w:t xml:space="preserve">, Metropolitan Planning Organizations, and community-based organizations to create ongoing input on the post-merger company’s capital investment and deployment.  The post-merger company shall consult with Tribal governments adjacent to or within the post-merger </w:t>
      </w:r>
      <w:r w:rsidRPr="001A79CF">
        <w:lastRenderedPageBreak/>
        <w:t>company footprint. The post-merger company shall consult with affected Tribes and respond to CETF requests to meet with Tribes in the service area.  The post-merger company shall provide a designated Tribal Liaison point of contact.</w:t>
      </w:r>
    </w:p>
    <w:p w:rsidRPr="00F429FF" w:rsidR="00F970B0" w:rsidP="00C529BB" w:rsidRDefault="00F970B0" w14:paraId="338A49B6" w14:textId="77777777">
      <w:pPr>
        <w:pStyle w:val="ListAlpha"/>
        <w:ind w:right="1440"/>
      </w:pPr>
      <w:r w:rsidRPr="00F429FF">
        <w:t>The post-merger company shall invest $5 million in Community Development Financial Institutions to channel capital to small businesses in California that have historically lacked adequate access to credit.</w:t>
      </w:r>
    </w:p>
    <w:p w:rsidRPr="001A79CF" w:rsidR="00F970B0" w:rsidP="00C529BB" w:rsidRDefault="00F970B0" w14:paraId="5B3AA93A" w14:textId="77777777">
      <w:pPr>
        <w:pStyle w:val="ListAlpha"/>
        <w:ind w:right="1440"/>
      </w:pPr>
      <w:r w:rsidRPr="001A79CF">
        <w:t>A senior level executive of the post-merger company shall attend the Commission’s annual Supplier Diversity En Banc hearings and shall broaden its outreach to focus on small businesses and supplier diversity, including economically disadvantaged communities in California.</w:t>
      </w:r>
    </w:p>
    <w:p w:rsidRPr="001A79CF" w:rsidR="00F970B0" w:rsidP="00C529BB" w:rsidRDefault="00F970B0" w14:paraId="747AF54D" w14:textId="77777777">
      <w:pPr>
        <w:pStyle w:val="ListAlpha"/>
        <w:ind w:right="1440"/>
      </w:pPr>
      <w:r w:rsidRPr="001A79CF">
        <w:t>The post-merger company shall invest $2 million over a three-year period to expand its existing VetConnect Program to two additional California military bases in the Combined Company Service Area to help transition military personnel into the civilian workforce.</w:t>
      </w:r>
    </w:p>
    <w:p w:rsidRPr="001A79CF" w:rsidR="00F970B0" w:rsidP="00C529BB" w:rsidRDefault="00F970B0" w14:paraId="2C218602" w14:textId="77777777">
      <w:pPr>
        <w:pStyle w:val="ListAlpha"/>
        <w:ind w:right="1440"/>
      </w:pPr>
      <w:r w:rsidRPr="001A79CF">
        <w:t>The post-merger company shall collaborate with CETF to:</w:t>
      </w:r>
    </w:p>
    <w:p w:rsidRPr="001A79CF" w:rsidR="00F970B0" w:rsidRDefault="00F970B0" w14:paraId="1D1EB818" w14:textId="77777777">
      <w:pPr>
        <w:pStyle w:val="OP"/>
        <w:numPr>
          <w:ilvl w:val="2"/>
          <w:numId w:val="10"/>
        </w:numPr>
        <w:spacing w:line="240" w:lineRule="auto"/>
        <w:ind w:left="1620" w:right="1440"/>
        <w:rPr>
          <w:szCs w:val="26"/>
        </w:rPr>
      </w:pPr>
      <w:r>
        <w:rPr>
          <w:rFonts w:cs="CIDFont+F2"/>
          <w:szCs w:val="26"/>
        </w:rPr>
        <w:t>C</w:t>
      </w:r>
      <w:r w:rsidRPr="001A79CF">
        <w:rPr>
          <w:rFonts w:cs="CIDFont+F2"/>
          <w:szCs w:val="26"/>
        </w:rPr>
        <w:t xml:space="preserve">onduct outreach to small businesses to become certified by the Commission’s Supplier Clearinghouse to provide services or products to utilities and other providers participating in the Commission’s Supplier Diversity Program; </w:t>
      </w:r>
    </w:p>
    <w:p w:rsidRPr="001A79CF" w:rsidR="00F970B0" w:rsidRDefault="00F970B0" w14:paraId="3E89417E" w14:textId="02508BDB">
      <w:pPr>
        <w:pStyle w:val="OP"/>
        <w:numPr>
          <w:ilvl w:val="2"/>
          <w:numId w:val="10"/>
        </w:numPr>
        <w:spacing w:line="240" w:lineRule="auto"/>
        <w:ind w:left="1620" w:right="1440"/>
        <w:rPr>
          <w:szCs w:val="26"/>
        </w:rPr>
      </w:pPr>
      <w:r>
        <w:rPr>
          <w:rFonts w:cs="CIDFont+F2"/>
          <w:szCs w:val="26"/>
        </w:rPr>
        <w:t>L</w:t>
      </w:r>
      <w:r w:rsidRPr="001A79CF">
        <w:rPr>
          <w:rFonts w:cs="CIDFont+F2"/>
          <w:szCs w:val="26"/>
        </w:rPr>
        <w:t>ist the Commission’s minimum goals as contained in Section 8.2 of G</w:t>
      </w:r>
      <w:r w:rsidR="00FC35C7">
        <w:rPr>
          <w:rFonts w:cs="CIDFont+F2"/>
          <w:szCs w:val="26"/>
        </w:rPr>
        <w:t xml:space="preserve">eneral </w:t>
      </w:r>
      <w:r w:rsidRPr="001A79CF">
        <w:rPr>
          <w:rFonts w:cs="CIDFont+F2"/>
          <w:szCs w:val="26"/>
        </w:rPr>
        <w:t>O</w:t>
      </w:r>
      <w:r w:rsidR="00FC35C7">
        <w:rPr>
          <w:rFonts w:cs="CIDFont+F2"/>
          <w:szCs w:val="26"/>
        </w:rPr>
        <w:t>rder</w:t>
      </w:r>
      <w:r w:rsidRPr="001A79CF">
        <w:rPr>
          <w:rFonts w:cs="CIDFont+F2"/>
          <w:szCs w:val="26"/>
        </w:rPr>
        <w:t xml:space="preserve"> 156 for procurement from women-, minority-, disabled veteran-, and LGBT-owned business enterprises as the short-, mid-, and long-term targets; and</w:t>
      </w:r>
    </w:p>
    <w:p w:rsidRPr="001A79CF" w:rsidR="00F970B0" w:rsidRDefault="00F970B0" w14:paraId="32A25145" w14:textId="77777777">
      <w:pPr>
        <w:pStyle w:val="OP"/>
        <w:numPr>
          <w:ilvl w:val="2"/>
          <w:numId w:val="10"/>
        </w:numPr>
        <w:spacing w:after="120" w:line="240" w:lineRule="auto"/>
        <w:ind w:left="1627" w:right="1440"/>
        <w:rPr>
          <w:szCs w:val="26"/>
        </w:rPr>
      </w:pPr>
      <w:r>
        <w:rPr>
          <w:rFonts w:cs="CIDFont+F2"/>
          <w:szCs w:val="26"/>
        </w:rPr>
        <w:t>R</w:t>
      </w:r>
      <w:r w:rsidRPr="001A79CF">
        <w:rPr>
          <w:rFonts w:cs="CIDFont+F2"/>
          <w:szCs w:val="26"/>
        </w:rPr>
        <w:t>eport its actual spend against Commission’s goals.</w:t>
      </w:r>
    </w:p>
    <w:p w:rsidR="00922CE9" w:rsidRDefault="00922CE9" w14:paraId="7C07DF51" w14:textId="3977DAB1">
      <w:pPr>
        <w:pStyle w:val="FoF"/>
        <w:numPr>
          <w:ilvl w:val="0"/>
          <w:numId w:val="18"/>
        </w:numPr>
        <w:ind w:firstLine="547"/>
      </w:pPr>
      <w:r>
        <w:t xml:space="preserve">The post-merger company shall offer </w:t>
      </w:r>
      <w:r w:rsidRPr="005767BC">
        <w:t xml:space="preserve">at least one backup </w:t>
      </w:r>
      <w:r w:rsidR="00594727">
        <w:t>solution with one or more batteries</w:t>
      </w:r>
      <w:r w:rsidRPr="005767BC">
        <w:t xml:space="preserve"> that </w:t>
      </w:r>
      <w:r w:rsidR="00594727">
        <w:t xml:space="preserve">together </w:t>
      </w:r>
      <w:r w:rsidRPr="005767BC">
        <w:t>provide</w:t>
      </w:r>
      <w:r w:rsidR="00594727">
        <w:t xml:space="preserve"> at least</w:t>
      </w:r>
      <w:r w:rsidRPr="005767BC">
        <w:t xml:space="preserve"> </w:t>
      </w:r>
      <w:r w:rsidR="00303DDE">
        <w:t>72</w:t>
      </w:r>
      <w:r w:rsidR="004969CE">
        <w:t>-</w:t>
      </w:r>
      <w:r w:rsidRPr="005767BC">
        <w:t xml:space="preserve">hours standby time to all new residential wireline voice service customers in California. The post-merger company shall provide an annual notice to all residential wireline voice service </w:t>
      </w:r>
      <w:r w:rsidRPr="005767BC">
        <w:lastRenderedPageBreak/>
        <w:t xml:space="preserve">customers in California State disclosing relevant information regarding battery backup solutions.  The post-merger company </w:t>
      </w:r>
      <w:r w:rsidR="004969CE">
        <w:t xml:space="preserve">shall </w:t>
      </w:r>
      <w:r w:rsidRPr="005767BC">
        <w:t xml:space="preserve">attest to this compliance in </w:t>
      </w:r>
      <w:r w:rsidR="007A5142">
        <w:t>a Tier 1</w:t>
      </w:r>
      <w:r w:rsidRPr="005767BC" w:rsidR="007A5142">
        <w:t xml:space="preserve"> </w:t>
      </w:r>
      <w:r w:rsidR="007A5142">
        <w:t xml:space="preserve">advice letter </w:t>
      </w:r>
      <w:r w:rsidRPr="005767BC">
        <w:t>to the Commission</w:t>
      </w:r>
      <w:r w:rsidR="007A5142">
        <w:t xml:space="preserve"> on </w:t>
      </w:r>
      <w:r w:rsidR="00594727">
        <w:t>April</w:t>
      </w:r>
      <w:r w:rsidR="007A5142">
        <w:t xml:space="preserve"> 1</w:t>
      </w:r>
      <w:r w:rsidR="00594727">
        <w:t>5</w:t>
      </w:r>
      <w:r w:rsidR="007A5142">
        <w:t>, 2027</w:t>
      </w:r>
      <w:r w:rsidRPr="005767BC">
        <w:t>.</w:t>
      </w:r>
    </w:p>
    <w:p w:rsidRPr="004969CE" w:rsidR="004F05F1" w:rsidP="00BA7A62" w:rsidRDefault="004F05F1" w14:paraId="590917EA" w14:textId="3A8B1998">
      <w:pPr>
        <w:pStyle w:val="OP"/>
        <w:numPr>
          <w:ilvl w:val="0"/>
          <w:numId w:val="18"/>
        </w:numPr>
      </w:pPr>
      <w:r>
        <w:rPr>
          <w:szCs w:val="26"/>
        </w:rPr>
        <w:t>T</w:t>
      </w:r>
      <w:r w:rsidRPr="00843296">
        <w:rPr>
          <w:szCs w:val="26"/>
        </w:rPr>
        <w:t xml:space="preserve">he post-merger company </w:t>
      </w:r>
      <w:r>
        <w:rPr>
          <w:szCs w:val="26"/>
        </w:rPr>
        <w:t>shall</w:t>
      </w:r>
      <w:r w:rsidRPr="00843296">
        <w:rPr>
          <w:szCs w:val="26"/>
        </w:rPr>
        <w:t xml:space="preserve"> automatically issue a customer credit equal to 1/30th of the monthly price of the </w:t>
      </w:r>
      <w:r w:rsidR="00594727">
        <w:rPr>
          <w:szCs w:val="26"/>
        </w:rPr>
        <w:t xml:space="preserve">voice </w:t>
      </w:r>
      <w:r w:rsidRPr="00843296">
        <w:rPr>
          <w:szCs w:val="26"/>
        </w:rPr>
        <w:t>service for each day the service outage lasts two</w:t>
      </w:r>
      <w:r w:rsidR="00594727">
        <w:rPr>
          <w:szCs w:val="26"/>
        </w:rPr>
        <w:t xml:space="preserve"> </w:t>
      </w:r>
      <w:r w:rsidRPr="00843296">
        <w:rPr>
          <w:szCs w:val="26"/>
        </w:rPr>
        <w:t xml:space="preserve">hours or more.  </w:t>
      </w:r>
      <w:r w:rsidR="00594727">
        <w:rPr>
          <w:szCs w:val="26"/>
        </w:rPr>
        <w:t xml:space="preserve">Outages caused by natural catastrophes or planned overnight scheduled maintenance in which a customer is notified prior to the maintenance shall be excluded.  Network outages in the Tier 2 and Tier 3 High Fire Threat Districts are excluded from claiming exemptions related to disasters or natural catastrophes for the first 72 hours pursuant to Decision (D.) 20-07-011 and D.21-02-029, which require wireless and wireline carriers to provide 72 hours of backup power.  If backup power requirements adopted in D.20-07-011 and/or D.21-02-029 are amended, the carriers should follow the amended requirements.  Any claims that providing service was impacted for any other reason must be substantiated with applicable data and reports.  The post-merger company shall reflect applicable automatic customer credits </w:t>
      </w:r>
      <w:r w:rsidRPr="00843296">
        <w:rPr>
          <w:szCs w:val="26"/>
        </w:rPr>
        <w:t>on the customer’s bill within 60 days after the last day of the billing period during which the customer experienced a service outage lasting two hours or more. The automatic customer credit applies only to charges associated with the service.</w:t>
      </w:r>
    </w:p>
    <w:p w:rsidR="004969CE" w:rsidRDefault="004969CE" w14:paraId="29299959" w14:textId="4F5BAAA4">
      <w:pPr>
        <w:pStyle w:val="FoF"/>
        <w:numPr>
          <w:ilvl w:val="0"/>
          <w:numId w:val="18"/>
        </w:numPr>
        <w:ind w:firstLine="547"/>
      </w:pPr>
      <w:r w:rsidRPr="005767BC">
        <w:t xml:space="preserve">For network outages </w:t>
      </w:r>
      <w:r>
        <w:t xml:space="preserve">in which </w:t>
      </w:r>
      <w:r w:rsidRPr="005767BC">
        <w:t xml:space="preserve">a standalone broadband customer is unable to access the internet for two (2) hours or more in a day, the post-merger company </w:t>
      </w:r>
      <w:r>
        <w:t xml:space="preserve">shall </w:t>
      </w:r>
      <w:r w:rsidRPr="005767BC">
        <w:t xml:space="preserve">automatically issue a customer credit equal to 1/30th of service’s monthly bill for each day the outage lasts 2-hours or more.  </w:t>
      </w:r>
      <w:r w:rsidR="00677C4A">
        <w:t xml:space="preserve">Outages </w:t>
      </w:r>
      <w:r w:rsidR="00F52D59">
        <w:t xml:space="preserve">caused </w:t>
      </w:r>
      <w:r w:rsidR="00814FDE">
        <w:t xml:space="preserve">by natural </w:t>
      </w:r>
      <w:r w:rsidR="00275F8E">
        <w:t xml:space="preserve">catastrophes </w:t>
      </w:r>
      <w:r w:rsidR="00814FDE">
        <w:t xml:space="preserve">or </w:t>
      </w:r>
      <w:r w:rsidR="0047468B">
        <w:t xml:space="preserve">planned </w:t>
      </w:r>
      <w:r w:rsidR="00814FDE">
        <w:t>overnight scheduled maintenance</w:t>
      </w:r>
      <w:r w:rsidR="003B42DB">
        <w:t xml:space="preserve"> </w:t>
      </w:r>
      <w:r w:rsidR="00D936DD">
        <w:t xml:space="preserve">in which a customer is notified prior to the maintenance </w:t>
      </w:r>
      <w:r w:rsidR="0010076C">
        <w:t xml:space="preserve">shall be excluded. </w:t>
      </w:r>
      <w:r w:rsidR="00F71FB6">
        <w:t xml:space="preserve"> </w:t>
      </w:r>
      <w:r>
        <w:t>The post-merger company shall reflect a</w:t>
      </w:r>
      <w:r w:rsidRPr="005767BC">
        <w:t xml:space="preserve">pplicable automatic customer credits on the customer’s </w:t>
      </w:r>
      <w:r w:rsidRPr="005767BC">
        <w:lastRenderedPageBreak/>
        <w:t xml:space="preserve">bill within 60 days after the last day of the billing period </w:t>
      </w:r>
      <w:r>
        <w:t xml:space="preserve">to </w:t>
      </w:r>
      <w:r w:rsidRPr="005767BC">
        <w:t>which the credit applies.  The automatic customer credit applies only to charges associated with the service.</w:t>
      </w:r>
    </w:p>
    <w:p w:rsidR="004969CE" w:rsidRDefault="004969CE" w14:paraId="78F9DFF9" w14:textId="2D6F2A0D">
      <w:pPr>
        <w:pStyle w:val="FoF"/>
        <w:numPr>
          <w:ilvl w:val="0"/>
          <w:numId w:val="18"/>
        </w:numPr>
        <w:ind w:firstLine="547"/>
      </w:pPr>
      <w:r w:rsidRPr="005767BC">
        <w:t xml:space="preserve">Within </w:t>
      </w:r>
      <w:r w:rsidR="00594727">
        <w:t>nine</w:t>
      </w:r>
      <w:r w:rsidRPr="005767BC">
        <w:t xml:space="preserve"> months of the </w:t>
      </w:r>
      <w:r w:rsidR="00CB4A68">
        <w:t>effective date</w:t>
      </w:r>
      <w:r w:rsidR="00594727">
        <w:t xml:space="preserve"> of this decision and for five years afterward</w:t>
      </w:r>
      <w:r w:rsidRPr="005767BC">
        <w:t xml:space="preserve">, the post-merger company </w:t>
      </w:r>
      <w:r>
        <w:t>shall</w:t>
      </w:r>
      <w:r w:rsidRPr="005767BC">
        <w:t xml:space="preserve"> audit its relationships with Public</w:t>
      </w:r>
      <w:r>
        <w:t xml:space="preserve">, Educational, and Government-Access (PEG) </w:t>
      </w:r>
      <w:r w:rsidRPr="005767BC">
        <w:t xml:space="preserve">Channels and </w:t>
      </w:r>
      <w:r>
        <w:t>develop</w:t>
      </w:r>
      <w:r w:rsidRPr="005767BC">
        <w:t xml:space="preserve"> a report that discloses the parameters of each contractual relationship, including: </w:t>
      </w:r>
    </w:p>
    <w:p w:rsidR="004969CE" w:rsidP="00BA7A62" w:rsidRDefault="00FC35C7" w14:paraId="4837CD90" w14:textId="6FAF9426">
      <w:pPr>
        <w:pStyle w:val="FoF"/>
        <w:numPr>
          <w:ilvl w:val="1"/>
          <w:numId w:val="18"/>
        </w:numPr>
      </w:pPr>
      <w:r>
        <w:t>T</w:t>
      </w:r>
      <w:r w:rsidRPr="005767BC" w:rsidR="004969CE">
        <w:t>he fees charged to and paid by each PEG channel within the post-merger company footprint</w:t>
      </w:r>
      <w:r w:rsidR="004969CE">
        <w:t xml:space="preserve"> over the past 10 years</w:t>
      </w:r>
      <w:r w:rsidRPr="005767BC" w:rsidR="004969CE">
        <w:t xml:space="preserve">; </w:t>
      </w:r>
      <w:r w:rsidR="004969CE">
        <w:t xml:space="preserve">a recitation of the law about charging fees to PEG channels; and within 10 months, a 12-month repayment plan for any moneys </w:t>
      </w:r>
      <w:r w:rsidR="00594727">
        <w:t xml:space="preserve">improperly </w:t>
      </w:r>
      <w:r w:rsidR="004969CE">
        <w:t xml:space="preserve">collected over the past 7 years; </w:t>
      </w:r>
    </w:p>
    <w:p w:rsidR="004969CE" w:rsidP="00BA7A62" w:rsidRDefault="00FC35C7" w14:paraId="6AFAC162" w14:textId="4B881795">
      <w:pPr>
        <w:pStyle w:val="FoF"/>
        <w:numPr>
          <w:ilvl w:val="1"/>
          <w:numId w:val="18"/>
        </w:numPr>
      </w:pPr>
      <w:r>
        <w:t>A</w:t>
      </w:r>
      <w:r w:rsidRPr="005767BC" w:rsidR="004969CE">
        <w:t xml:space="preserve"> narrative as to how the post-merger company is complying with current Commission jurisdiction, Public Utilities Code Section 5870, for each PEG station; </w:t>
      </w:r>
    </w:p>
    <w:p w:rsidR="004969CE" w:rsidP="00BA7A62" w:rsidRDefault="00FC35C7" w14:paraId="2B2BD3B2" w14:textId="226412D7">
      <w:pPr>
        <w:pStyle w:val="FoF"/>
        <w:numPr>
          <w:ilvl w:val="1"/>
          <w:numId w:val="18"/>
        </w:numPr>
      </w:pPr>
      <w:r>
        <w:t>T</w:t>
      </w:r>
      <w:r w:rsidRPr="005767BC" w:rsidR="004969CE">
        <w:t xml:space="preserve">he public benefit channel number for each PEG station; </w:t>
      </w:r>
    </w:p>
    <w:p w:rsidR="004969CE" w:rsidP="00BA7A62" w:rsidRDefault="00FC35C7" w14:paraId="00E63E31" w14:textId="0BAC9564">
      <w:pPr>
        <w:pStyle w:val="FoF"/>
        <w:numPr>
          <w:ilvl w:val="1"/>
          <w:numId w:val="18"/>
        </w:numPr>
      </w:pPr>
      <w:r>
        <w:t xml:space="preserve">A narrative </w:t>
      </w:r>
      <w:r w:rsidRPr="005767BC" w:rsidR="004969CE">
        <w:t>descri</w:t>
      </w:r>
      <w:r>
        <w:t>ption of</w:t>
      </w:r>
      <w:r w:rsidRPr="005767BC" w:rsidR="004969CE">
        <w:t xml:space="preserve"> the treatment each PEG channel receives on cable channel guides and navigation systems; </w:t>
      </w:r>
    </w:p>
    <w:p w:rsidR="00FC35C7" w:rsidP="00FC35C7" w:rsidRDefault="00FC35C7" w14:paraId="48445A82" w14:textId="46C72C7B">
      <w:pPr>
        <w:pStyle w:val="FoF"/>
        <w:numPr>
          <w:ilvl w:val="1"/>
          <w:numId w:val="18"/>
        </w:numPr>
        <w:rPr>
          <w:rFonts w:cs="CIDFont+F3"/>
        </w:rPr>
      </w:pPr>
      <w:r>
        <w:t>A</w:t>
      </w:r>
      <w:r w:rsidRPr="005767BC" w:rsidR="004969CE">
        <w:t xml:space="preserve"> narrative describing the treatment of video content submitted by the public and the process by which it is prepared for and then broadcast.  </w:t>
      </w:r>
    </w:p>
    <w:p w:rsidRPr="005767BC" w:rsidR="00321334" w:rsidP="00FA4C4E" w:rsidRDefault="00321334" w14:paraId="31AA40E3" w14:textId="1AAFFDD8">
      <w:pPr>
        <w:pStyle w:val="FoF"/>
        <w:numPr>
          <w:ilvl w:val="0"/>
          <w:numId w:val="0"/>
        </w:numPr>
      </w:pPr>
      <w:r>
        <w:t xml:space="preserve">The post-merger company </w:t>
      </w:r>
      <w:r w:rsidR="00237A5C">
        <w:t xml:space="preserve">shall </w:t>
      </w:r>
      <w:r>
        <w:t xml:space="preserve">submit that report </w:t>
      </w:r>
      <w:r w:rsidR="004D284B">
        <w:t xml:space="preserve">no later than </w:t>
      </w:r>
      <w:r w:rsidR="001B48F0">
        <w:t xml:space="preserve">9 months </w:t>
      </w:r>
      <w:r w:rsidR="004D284B">
        <w:t xml:space="preserve">after </w:t>
      </w:r>
      <w:r w:rsidR="001B48F0">
        <w:t>the issuance of this decision</w:t>
      </w:r>
      <w:r w:rsidR="004D284B">
        <w:t>,</w:t>
      </w:r>
      <w:r w:rsidR="001B48F0">
        <w:t xml:space="preserve"> </w:t>
      </w:r>
      <w:r>
        <w:t xml:space="preserve">via a Tier </w:t>
      </w:r>
      <w:r w:rsidR="00BC0089">
        <w:t xml:space="preserve">1 </w:t>
      </w:r>
      <w:r>
        <w:t>advice letter</w:t>
      </w:r>
      <w:r w:rsidR="004D284B">
        <w:t>,</w:t>
      </w:r>
      <w:r>
        <w:t xml:space="preserve"> and include an attestation that it has also sent the information to the Alliance for Community Media, the Public Benefits Channel trade organization</w:t>
      </w:r>
      <w:r w:rsidRPr="00063C9F">
        <w:t xml:space="preserve">.  </w:t>
      </w:r>
    </w:p>
    <w:p w:rsidR="004969CE" w:rsidRDefault="00594727" w14:paraId="57F47739" w14:textId="1CACF28A">
      <w:pPr>
        <w:pStyle w:val="FoF"/>
        <w:numPr>
          <w:ilvl w:val="0"/>
          <w:numId w:val="18"/>
        </w:numPr>
      </w:pPr>
      <w:r>
        <w:t xml:space="preserve">Within nine months of the </w:t>
      </w:r>
      <w:r w:rsidR="00CB4A68">
        <w:t>effective date</w:t>
      </w:r>
      <w:r>
        <w:t xml:space="preserve"> of this decision and for five years afterward, t</w:t>
      </w:r>
      <w:r w:rsidRPr="005767BC" w:rsidR="004969CE">
        <w:t xml:space="preserve">he post-merger company shall broadcast all </w:t>
      </w:r>
      <w:r w:rsidRPr="005767BC" w:rsidR="007925EA">
        <w:t>Public</w:t>
      </w:r>
      <w:r w:rsidR="007925EA">
        <w:t xml:space="preserve">, Educational, and </w:t>
      </w:r>
      <w:r w:rsidR="007925EA">
        <w:lastRenderedPageBreak/>
        <w:t>Government-Access (PEG)</w:t>
      </w:r>
      <w:r w:rsidRPr="005767BC" w:rsidR="004969CE">
        <w:t xml:space="preserve"> programming throughout its entire footprint the entire service territory at High-Definition (HD) streaming quality.  PEG programming schedules shall be made available on all electronic programming guides and shall, immediately following the issuance of this decision, cease charging PEG channels for services </w:t>
      </w:r>
      <w:r w:rsidR="00E91892">
        <w:t xml:space="preserve">per Public Utilities Code Section </w:t>
      </w:r>
      <w:r w:rsidRPr="00955D27" w:rsidR="00E91892">
        <w:t>5870</w:t>
      </w:r>
      <w:r w:rsidRPr="005767BC" w:rsidR="004969CE">
        <w:t>.</w:t>
      </w:r>
    </w:p>
    <w:p w:rsidR="006B06F5" w:rsidRDefault="006B06F5" w14:paraId="5D362BB0" w14:textId="1DC65F83">
      <w:pPr>
        <w:pStyle w:val="FoF"/>
        <w:numPr>
          <w:ilvl w:val="0"/>
          <w:numId w:val="18"/>
        </w:numPr>
      </w:pPr>
      <w:r w:rsidRPr="006B06F5">
        <w:t xml:space="preserve">For residential customers with a valid “price for life” agreement for any Covered Service entered prior to the </w:t>
      </w:r>
      <w:r w:rsidR="00F2768D">
        <w:t>t</w:t>
      </w:r>
      <w:r w:rsidRPr="006B06F5">
        <w:t xml:space="preserve">ransaction close, </w:t>
      </w:r>
      <w:r>
        <w:t xml:space="preserve">the post-merger company </w:t>
      </w:r>
      <w:r w:rsidR="006C3B5A">
        <w:t>shall</w:t>
      </w:r>
      <w:r w:rsidRPr="006B06F5" w:rsidR="006C3B5A">
        <w:t xml:space="preserve"> </w:t>
      </w:r>
      <w:r w:rsidRPr="006B06F5">
        <w:t xml:space="preserve">honor the agreement in accordance with its terms, provided </w:t>
      </w:r>
      <w:r>
        <w:t xml:space="preserve">the post-merger company </w:t>
      </w:r>
      <w:r w:rsidRPr="006B06F5">
        <w:t>is practically capable of doing so, and only for the period in which service remains generally available for sale.</w:t>
      </w:r>
    </w:p>
    <w:p w:rsidRPr="00530FFE" w:rsidR="006B06F5" w:rsidRDefault="006B06F5" w14:paraId="29FCE7BF" w14:textId="0550023D">
      <w:pPr>
        <w:pStyle w:val="FoF"/>
        <w:numPr>
          <w:ilvl w:val="0"/>
          <w:numId w:val="18"/>
        </w:numPr>
      </w:pPr>
      <w:r>
        <w:t xml:space="preserve">The post-merger company </w:t>
      </w:r>
      <w:r w:rsidRPr="006B06F5">
        <w:t>shall not charge fe</w:t>
      </w:r>
      <w:r w:rsidRPr="00530FFE">
        <w:t>es to residential cable television service customers to exchange equipment when a consumer requests an upgrade or downgrade of service or chooses to return rented equipment for such cable television service.  Nothing herein shall preclude the post-merger company from charging customers to return or exchange equipment by mail or other similar delivery means, or for any installation charge or service call requested by the customer for the purpose of performing such equipment exchange.</w:t>
      </w:r>
    </w:p>
    <w:p w:rsidRPr="00530FFE" w:rsidR="00594727" w:rsidP="00594727" w:rsidRDefault="00594727" w14:paraId="24F868E3" w14:textId="1F0981C3">
      <w:pPr>
        <w:pStyle w:val="FoF"/>
        <w:numPr>
          <w:ilvl w:val="0"/>
          <w:numId w:val="18"/>
        </w:numPr>
      </w:pPr>
      <w:r w:rsidRPr="00530FFE">
        <w:t xml:space="preserve">For a period of five years </w:t>
      </w:r>
      <w:r w:rsidRPr="00530FFE" w:rsidR="00927F87">
        <w:t xml:space="preserve">from the effective date of this decision, </w:t>
      </w:r>
      <w:r w:rsidRPr="00530FFE">
        <w:t xml:space="preserve">the post-merger company shall, on an annual basis, </w:t>
      </w:r>
      <w:r w:rsidRPr="00530FFE" w:rsidR="005F3694">
        <w:t>provide a point of contact</w:t>
      </w:r>
      <w:r w:rsidRPr="00530FFE">
        <w:t xml:space="preserve"> </w:t>
      </w:r>
      <w:r w:rsidRPr="00530FFE" w:rsidR="005F3694">
        <w:t>to</w:t>
      </w:r>
      <w:r w:rsidRPr="00530FFE" w:rsidR="00927F87">
        <w:t xml:space="preserve"> all identified </w:t>
      </w:r>
      <w:r w:rsidRPr="00530FFE" w:rsidR="005F3694">
        <w:t>T</w:t>
      </w:r>
      <w:r w:rsidRPr="00530FFE" w:rsidR="00927F87">
        <w:t xml:space="preserve">ribal leadership councils’ staff and tribal organization staff for each Tribe within the post-merger company’s territory </w:t>
      </w:r>
      <w:r w:rsidRPr="00530FFE">
        <w:t>via email and offer an opportunity for tribal communication</w:t>
      </w:r>
      <w:r w:rsidRPr="00530FFE" w:rsidR="005F3694">
        <w:t xml:space="preserve">.  The post-merger company shall verify this outreach and communication in a </w:t>
      </w:r>
      <w:r w:rsidRPr="00F72B2E" w:rsidR="005F3694">
        <w:rPr>
          <w:rFonts w:cs="Cambria"/>
          <w:color w:val="000000"/>
          <w:szCs w:val="26"/>
        </w:rPr>
        <w:t xml:space="preserve">Compliance Filing filed in the docket of this proceeding and served on parties to this proceeding annually on April 15, </w:t>
      </w:r>
      <w:r w:rsidRPr="00F72B2E" w:rsidR="005F3694">
        <w:rPr>
          <w:rFonts w:cs="Cambria"/>
          <w:color w:val="000000"/>
          <w:szCs w:val="26"/>
        </w:rPr>
        <w:lastRenderedPageBreak/>
        <w:t>starting on April 15, 2027, with the last report due on April 15, 2032.  The Compliance Filing does not reopen the proceeding.</w:t>
      </w:r>
    </w:p>
    <w:p w:rsidRPr="00F72B2E" w:rsidR="005F3694" w:rsidP="004D7163" w:rsidRDefault="005F3694" w14:paraId="189E6CB0" w14:textId="7EEF6865">
      <w:pPr>
        <w:pStyle w:val="CoL"/>
        <w:numPr>
          <w:ilvl w:val="0"/>
          <w:numId w:val="19"/>
        </w:numPr>
      </w:pPr>
      <w:r w:rsidRPr="00530FFE">
        <w:rPr>
          <w:rFonts w:cs="Cambria"/>
          <w:color w:val="000000"/>
          <w:szCs w:val="26"/>
        </w:rPr>
        <w:t>The</w:t>
      </w:r>
      <w:r w:rsidRPr="00530FFE" w:rsidR="00594727">
        <w:rPr>
          <w:rFonts w:cs="Cambria"/>
          <w:color w:val="000000"/>
          <w:szCs w:val="26"/>
        </w:rPr>
        <w:t xml:space="preserve"> Compliance Monitor </w:t>
      </w:r>
      <w:r w:rsidRPr="00530FFE">
        <w:rPr>
          <w:rFonts w:cs="Cambria"/>
          <w:color w:val="000000"/>
          <w:szCs w:val="26"/>
        </w:rPr>
        <w:t xml:space="preserve">procured pursuant to Section XIV of the </w:t>
      </w:r>
      <w:r w:rsidRPr="00530FFE">
        <w:t>settlement agreement between the Charter Communications, Inc., Charter Holdings, LLC, Cox Enterprises, Inc., Cox California Telecom and the California Emerging Technology Fund shall</w:t>
      </w:r>
      <w:r w:rsidRPr="00530FFE">
        <w:rPr>
          <w:rFonts w:ascii="Cambria" w:hAnsi="Cambria" w:cs="Cambria"/>
          <w:color w:val="000000"/>
          <w:szCs w:val="26"/>
        </w:rPr>
        <w:t xml:space="preserve"> </w:t>
      </w:r>
      <w:r w:rsidRPr="00F72B2E">
        <w:rPr>
          <w:rFonts w:cs="Cambria"/>
          <w:color w:val="000000"/>
          <w:szCs w:val="26"/>
        </w:rPr>
        <w:t>report the status of compliance and any compliance issues to the Commission and parties in a Compliance Filing filed in the docket of this proceeding and served on parties to this proceeding annually on April 15, starting on April 15, 2027, with the last report due on April 15, 2037.  The Compliance Filing does not reopen the proceeding.</w:t>
      </w:r>
    </w:p>
    <w:p w:rsidRPr="00F72B2E" w:rsidR="009A3300" w:rsidP="004D7163" w:rsidRDefault="00594727" w14:paraId="6A6BAE3C" w14:textId="258D36D4">
      <w:pPr>
        <w:pStyle w:val="CoL"/>
        <w:numPr>
          <w:ilvl w:val="0"/>
          <w:numId w:val="19"/>
        </w:numPr>
      </w:pPr>
      <w:r w:rsidRPr="00F72B2E">
        <w:rPr>
          <w:rFonts w:cs="Cambria"/>
          <w:color w:val="000000"/>
          <w:szCs w:val="26"/>
        </w:rPr>
        <w:t xml:space="preserve">For a period of ten years, the post-merger company shall </w:t>
      </w:r>
      <w:r w:rsidRPr="00F72B2E" w:rsidR="009A3300">
        <w:rPr>
          <w:rFonts w:cs="Cambria"/>
          <w:color w:val="000000"/>
          <w:szCs w:val="26"/>
        </w:rPr>
        <w:t xml:space="preserve">report on the status of compliance of the settlement between </w:t>
      </w:r>
      <w:r w:rsidRPr="00F72B2E" w:rsidR="009A3300">
        <w:t xml:space="preserve">the Charter Communications, Inc., Charter Holdings, LLC, Cox Enterprises, Inc., Cox California Telecom and the Public Advocates Office at the California Public Utilities Commission </w:t>
      </w:r>
      <w:r w:rsidRPr="00F72B2E" w:rsidR="009A3300">
        <w:rPr>
          <w:rFonts w:cs="Cambria"/>
          <w:color w:val="000000"/>
          <w:szCs w:val="26"/>
        </w:rPr>
        <w:t>in a Compliance Filing filed in the docket of this proceeding and served on parties to this proceeding annually on April 15, starting on April 15, 2027, with the last report due on April 15, 2037.  The Compliance Filing does not reopen the proceeding.</w:t>
      </w:r>
    </w:p>
    <w:p w:rsidRPr="00F72B2E" w:rsidR="009A3300" w:rsidP="004D7163" w:rsidRDefault="00594727" w14:paraId="68703EC9" w14:textId="5809CD96">
      <w:pPr>
        <w:pStyle w:val="CoL"/>
        <w:numPr>
          <w:ilvl w:val="0"/>
          <w:numId w:val="19"/>
        </w:numPr>
      </w:pPr>
      <w:r w:rsidRPr="00F72B2E">
        <w:rPr>
          <w:rFonts w:cs="Cambria"/>
          <w:color w:val="000000"/>
          <w:szCs w:val="26"/>
        </w:rPr>
        <w:t xml:space="preserve">Unless otherwise specified, </w:t>
      </w:r>
      <w:r w:rsidRPr="00F72B2E" w:rsidR="009A3300">
        <w:rPr>
          <w:rFonts w:cs="Cambria"/>
          <w:color w:val="000000"/>
          <w:szCs w:val="26"/>
        </w:rPr>
        <w:t xml:space="preserve">the post-merger company shall report on compliance with </w:t>
      </w:r>
      <w:r w:rsidRPr="00F72B2E">
        <w:rPr>
          <w:rFonts w:cs="Cambria"/>
          <w:color w:val="000000"/>
          <w:szCs w:val="26"/>
        </w:rPr>
        <w:t xml:space="preserve">Ordering Paragraphs 2-6 and 10 </w:t>
      </w:r>
      <w:r w:rsidRPr="00F72B2E" w:rsidR="009A3300">
        <w:rPr>
          <w:rFonts w:cs="Cambria"/>
          <w:color w:val="000000"/>
          <w:szCs w:val="26"/>
        </w:rPr>
        <w:t>for</w:t>
      </w:r>
      <w:r w:rsidRPr="00F72B2E">
        <w:rPr>
          <w:rFonts w:cs="Cambria"/>
          <w:color w:val="000000"/>
          <w:szCs w:val="26"/>
        </w:rPr>
        <w:t xml:space="preserve"> a period of ten years</w:t>
      </w:r>
      <w:r w:rsidRPr="00F72B2E" w:rsidR="009A3300">
        <w:rPr>
          <w:rFonts w:cs="Cambria"/>
          <w:color w:val="000000"/>
          <w:szCs w:val="26"/>
        </w:rPr>
        <w:t>.  The report shall be provided in a Compliance Filing filed in the docket of this proceeding and served on parties to this proceeding annually on April 15, starting on April 15, 2027, with the last report due on April 15, 2037.  The Compliance Filing does not reopen the proceeding.</w:t>
      </w:r>
    </w:p>
    <w:p w:rsidR="004D7163" w:rsidP="00F72B2E" w:rsidRDefault="004F05F1" w14:paraId="6BCCEC36" w14:textId="31E16C5A">
      <w:pPr>
        <w:pStyle w:val="FoF"/>
        <w:numPr>
          <w:ilvl w:val="0"/>
          <w:numId w:val="18"/>
        </w:numPr>
      </w:pPr>
      <w:r>
        <w:t xml:space="preserve">The request for expedited treatment of the settlement agreement between Charter Communications, Inc., Charter Holdings, LLC, Cox Enterprises, Inc., Cox </w:t>
      </w:r>
      <w:r>
        <w:lastRenderedPageBreak/>
        <w:t>California Telecom, and California Emerging Technology Fund is denied.</w:t>
      </w:r>
      <w:r w:rsidR="004D7163">
        <w:t xml:space="preserve">The following motions are granted: The Utility Reform Network’s (TURN) June 5, 2026, motion to file certain portions of its reply brief under seal; TURN’s June 1, 2026, motion to file certain redacted portions of its opening comments on the settlement agreement between Charter Communications, Inc., Charter Holdings, LLC, Cox Enterprises, Inc., Cox California Telecom (Joint Applicants) and Center for Emerging Technology Fund (CETF) under seal; the Joint Applicants’ May 22, 2026, motion to file under seal the confidential information of the Cox Enterprises, Inc.-affiliated companies included in their opening brief; Charter Communications, Inc. and Charter Holdings, LLC (Charter) May 1, 2026, motion for leave to file under seal portions of the Joint Applicants/CETF Settlement Agreement; the Public Advocates Office at the California Public Utilities Commission (Cal Advocates) January 14, 2026, motion for leave to file under seal their response to the Joint Applicants’ motion to modify the assigned Commissioner’s Scoping Memo; Charter’s January 2, 2026, motion for leave to file under seal Attachment 1 to its response to Cal Advocates’ motion to compel; the Joint Applicants’ December 30, 2025, motion for leave to file under seal portions of their motion to amend the assigned Commissioner’s Scoping Memo; Cal Advocates’ December 23, 2025, motion for leave to file under seal Attachments 2, 4, 5, and 6 to its motion to compel data request responses from Charter; Charter’s December 10, 2025, motion for leave to file under seal Attachments 1-A, 1-B, 2-B, and 3 to its the Response to the Administrative Law Judge inquiry; </w:t>
      </w:r>
      <w:r w:rsidR="004569EE">
        <w:t xml:space="preserve">Cox California Telecom’s </w:t>
      </w:r>
      <w:r w:rsidR="004D7163">
        <w:t>September 15, 2025, motion for leave to file under seal Attachments 1, 2, 4, and 5 of its Response to the A</w:t>
      </w:r>
      <w:r w:rsidR="004569EE">
        <w:t xml:space="preserve">dministrative </w:t>
      </w:r>
      <w:r w:rsidR="004D7163">
        <w:t>L</w:t>
      </w:r>
      <w:r w:rsidR="004569EE">
        <w:t xml:space="preserve">aw </w:t>
      </w:r>
      <w:r w:rsidR="004D7163">
        <w:t>J</w:t>
      </w:r>
      <w:r w:rsidR="004569EE">
        <w:t>udge</w:t>
      </w:r>
      <w:r w:rsidR="004D7163">
        <w:t xml:space="preserve"> inquiry</w:t>
      </w:r>
    </w:p>
    <w:p w:rsidR="0020640B" w:rsidP="0020640B" w:rsidRDefault="000F779D" w14:paraId="17D7B6F1" w14:textId="53E96996">
      <w:pPr>
        <w:pStyle w:val="FoF"/>
        <w:numPr>
          <w:ilvl w:val="0"/>
          <w:numId w:val="18"/>
        </w:numPr>
      </w:pPr>
      <w:r>
        <w:lastRenderedPageBreak/>
        <w:t>All outstanding motions filed in this proceeding that have not yet been ruled on are denied.</w:t>
      </w:r>
    </w:p>
    <w:p w:rsidR="004E7FD5" w:rsidP="0051013D" w:rsidRDefault="000F779D" w14:paraId="53D1123A" w14:textId="2148FB69">
      <w:pPr>
        <w:pStyle w:val="FoF"/>
        <w:numPr>
          <w:ilvl w:val="0"/>
          <w:numId w:val="18"/>
        </w:numPr>
      </w:pPr>
      <w:r w:rsidRPr="001E2A62">
        <w:t>Application</w:t>
      </w:r>
      <w:r>
        <w:t xml:space="preserve"> 25-07-016 </w:t>
      </w:r>
      <w:r w:rsidRPr="001E2A62">
        <w:t>is closed.</w:t>
      </w:r>
    </w:p>
    <w:p w:rsidR="001E44A6" w:rsidP="0022271E" w:rsidRDefault="008F0116" w14:paraId="358F508C" w14:textId="6301B6DC">
      <w:r>
        <w:t>This order is effective today.</w:t>
      </w:r>
    </w:p>
    <w:p w:rsidR="006926A3" w:rsidP="00816E05" w:rsidRDefault="008F0116" w14:paraId="122239FE" w14:textId="77777777">
      <w:r>
        <w:t>Date</w:t>
      </w:r>
      <w:r w:rsidR="009B3082">
        <w:t>d August 13, 2026</w:t>
      </w:r>
      <w:r>
        <w:t>, at San Francisco, California</w:t>
      </w:r>
      <w:r w:rsidR="009B3082">
        <w:t>.</w:t>
      </w:r>
    </w:p>
    <w:p w:rsidR="009B3082" w:rsidP="00816E05" w:rsidRDefault="009B3082" w14:paraId="0F68D971" w14:textId="77777777"/>
    <w:p w:rsidRPr="00C17E83" w:rsidR="00C17E83" w:rsidP="00C17E83" w:rsidRDefault="00C17E83" w14:paraId="6165F804" w14:textId="77777777">
      <w:pPr>
        <w:autoSpaceDE w:val="0"/>
        <w:autoSpaceDN w:val="0"/>
        <w:adjustRightInd w:val="0"/>
        <w:spacing w:line="240" w:lineRule="auto"/>
        <w:ind w:left="3600" w:firstLine="1602"/>
        <w:jc w:val="both"/>
        <w:rPr>
          <w:rFonts w:cs="Times New Roman"/>
          <w:szCs w:val="20"/>
        </w:rPr>
      </w:pPr>
      <w:r w:rsidRPr="00C17E83">
        <w:rPr>
          <w:rFonts w:cs="Times New Roman"/>
          <w:szCs w:val="20"/>
        </w:rPr>
        <w:t>JOHN REYNOLDS</w:t>
      </w:r>
    </w:p>
    <w:p w:rsidRPr="00C17E83" w:rsidR="00C17E83" w:rsidP="00C17E83" w:rsidRDefault="00C17E83" w14:paraId="1FE894CF" w14:textId="77777777">
      <w:pPr>
        <w:autoSpaceDE w:val="0"/>
        <w:autoSpaceDN w:val="0"/>
        <w:adjustRightInd w:val="0"/>
        <w:spacing w:line="240" w:lineRule="auto"/>
        <w:ind w:firstLine="1602"/>
        <w:jc w:val="both"/>
        <w:rPr>
          <w:rFonts w:cs="Times New Roman"/>
          <w:szCs w:val="20"/>
        </w:rPr>
      </w:pPr>
      <w:r w:rsidRPr="00C17E83">
        <w:rPr>
          <w:rFonts w:cs="Times New Roman"/>
          <w:szCs w:val="20"/>
        </w:rPr>
        <w:tab/>
      </w:r>
      <w:r w:rsidRPr="00C17E83">
        <w:rPr>
          <w:rFonts w:cs="Times New Roman"/>
          <w:szCs w:val="20"/>
        </w:rPr>
        <w:tab/>
      </w:r>
      <w:r w:rsidRPr="00C17E83">
        <w:rPr>
          <w:rFonts w:cs="Times New Roman"/>
          <w:szCs w:val="20"/>
        </w:rPr>
        <w:tab/>
      </w:r>
      <w:r w:rsidRPr="00C17E83">
        <w:rPr>
          <w:rFonts w:cs="Times New Roman"/>
          <w:szCs w:val="20"/>
        </w:rPr>
        <w:tab/>
      </w:r>
      <w:r w:rsidRPr="00C17E83">
        <w:rPr>
          <w:rFonts w:cs="Times New Roman"/>
          <w:szCs w:val="20"/>
        </w:rPr>
        <w:tab/>
        <w:t xml:space="preserve">                    President</w:t>
      </w:r>
    </w:p>
    <w:p w:rsidRPr="00C17E83" w:rsidR="00C17E83" w:rsidP="00C17E83" w:rsidRDefault="00C17E83" w14:paraId="2B23D1E0" w14:textId="77777777">
      <w:pPr>
        <w:autoSpaceDE w:val="0"/>
        <w:autoSpaceDN w:val="0"/>
        <w:adjustRightInd w:val="0"/>
        <w:spacing w:line="240" w:lineRule="auto"/>
        <w:ind w:left="3600" w:firstLine="1602"/>
        <w:jc w:val="both"/>
        <w:rPr>
          <w:rFonts w:eastAsia="Times New Roman" w:cs="Calibri"/>
          <w:color w:val="000000"/>
          <w:szCs w:val="26"/>
        </w:rPr>
      </w:pPr>
      <w:r w:rsidRPr="00C17E83">
        <w:rPr>
          <w:rFonts w:eastAsia="Times New Roman" w:cs="Calibri"/>
          <w:color w:val="000000"/>
          <w:szCs w:val="26"/>
        </w:rPr>
        <w:t>KAREN DOUGLAS</w:t>
      </w:r>
    </w:p>
    <w:p w:rsidRPr="00C17E83" w:rsidR="00C17E83" w:rsidP="00C17E83" w:rsidRDefault="00C17E83" w14:paraId="183755D2" w14:textId="77777777">
      <w:pPr>
        <w:autoSpaceDE w:val="0"/>
        <w:autoSpaceDN w:val="0"/>
        <w:adjustRightInd w:val="0"/>
        <w:spacing w:line="240" w:lineRule="auto"/>
        <w:ind w:left="3600" w:firstLine="1602"/>
        <w:jc w:val="both"/>
        <w:rPr>
          <w:rFonts w:eastAsia="Times New Roman" w:cs="Calibri"/>
          <w:color w:val="000000"/>
          <w:szCs w:val="26"/>
        </w:rPr>
      </w:pPr>
      <w:r w:rsidRPr="00C17E83">
        <w:rPr>
          <w:rFonts w:eastAsia="Times New Roman" w:cs="Calibri"/>
          <w:color w:val="000000"/>
          <w:szCs w:val="26"/>
        </w:rPr>
        <w:t>MATTHEW BAKER</w:t>
      </w:r>
    </w:p>
    <w:p w:rsidRPr="00C17E83" w:rsidR="00C17E83" w:rsidP="00C17E83" w:rsidRDefault="00C17E83" w14:paraId="1DE40BCB" w14:textId="77777777">
      <w:pPr>
        <w:autoSpaceDE w:val="0"/>
        <w:autoSpaceDN w:val="0"/>
        <w:adjustRightInd w:val="0"/>
        <w:spacing w:line="240" w:lineRule="auto"/>
        <w:ind w:left="3600" w:firstLine="1602"/>
        <w:jc w:val="both"/>
        <w:rPr>
          <w:rFonts w:cs="Times New Roman"/>
          <w:szCs w:val="20"/>
        </w:rPr>
      </w:pPr>
      <w:r w:rsidRPr="00C17E83">
        <w:rPr>
          <w:rFonts w:cs="Times New Roman"/>
          <w:szCs w:val="20"/>
        </w:rPr>
        <w:t>CHRISTINE HARADA</w:t>
      </w:r>
    </w:p>
    <w:p w:rsidRPr="00C17E83" w:rsidR="00C17E83" w:rsidP="00C17E83" w:rsidRDefault="00C17E83" w14:paraId="50A52E8E" w14:textId="77777777">
      <w:pPr>
        <w:autoSpaceDE w:val="0"/>
        <w:autoSpaceDN w:val="0"/>
        <w:adjustRightInd w:val="0"/>
        <w:spacing w:line="240" w:lineRule="auto"/>
        <w:ind w:left="4320" w:firstLine="1602"/>
        <w:jc w:val="both"/>
        <w:rPr>
          <w:rFonts w:cs="Times New Roman"/>
          <w:szCs w:val="20"/>
        </w:rPr>
      </w:pPr>
      <w:r w:rsidRPr="00C17E83">
        <w:rPr>
          <w:rFonts w:cs="Times New Roman"/>
          <w:szCs w:val="20"/>
        </w:rPr>
        <w:t xml:space="preserve">      Commissioners</w:t>
      </w:r>
    </w:p>
    <w:p w:rsidRPr="00C17E83" w:rsidR="00C17E83" w:rsidP="00C17E83" w:rsidRDefault="00C17E83" w14:paraId="3B901270" w14:textId="77777777">
      <w:pPr>
        <w:autoSpaceDE w:val="0"/>
        <w:autoSpaceDN w:val="0"/>
        <w:adjustRightInd w:val="0"/>
        <w:spacing w:line="240" w:lineRule="auto"/>
        <w:ind w:left="4320"/>
        <w:jc w:val="both"/>
        <w:rPr>
          <w:szCs w:val="26"/>
        </w:rPr>
      </w:pPr>
    </w:p>
    <w:p w:rsidRPr="00C17E83" w:rsidR="00C17E83" w:rsidP="00C17E83" w:rsidRDefault="00C17E83" w14:paraId="2120324C" w14:textId="77777777">
      <w:pPr>
        <w:keepNext/>
        <w:keepLines/>
        <w:ind w:left="1440" w:hanging="720"/>
      </w:pPr>
      <w:r w:rsidRPr="00C17E83">
        <w:t>I reserve the right to file a concurrence:</w:t>
      </w:r>
    </w:p>
    <w:p w:rsidRPr="00C17E83" w:rsidR="00C17E83" w:rsidP="00C17E83" w:rsidRDefault="00C17E83" w14:paraId="6B365EC1" w14:textId="49231948">
      <w:pPr>
        <w:keepNext/>
        <w:keepLines/>
        <w:autoSpaceDE w:val="0"/>
        <w:autoSpaceDN w:val="0"/>
        <w:adjustRightInd w:val="0"/>
        <w:spacing w:line="240" w:lineRule="auto"/>
        <w:ind w:left="1440" w:hanging="600"/>
        <w:rPr>
          <w:rFonts w:cs="Times New Roman"/>
          <w:szCs w:val="20"/>
        </w:rPr>
      </w:pPr>
      <w:r w:rsidRPr="00C17E83">
        <w:rPr>
          <w:rFonts w:cs="Times New Roman"/>
          <w:szCs w:val="20"/>
        </w:rPr>
        <w:t xml:space="preserve">/s/ DARCIE L. HOUCK </w:t>
      </w:r>
      <w:r w:rsidRPr="00C17E83">
        <w:rPr>
          <w:rFonts w:cs="Times New Roman"/>
          <w:szCs w:val="20"/>
        </w:rPr>
        <w:br/>
        <w:t>Commissioner</w:t>
      </w:r>
    </w:p>
    <w:p w:rsidR="009B3082" w:rsidP="00816E05" w:rsidRDefault="009B3082" w14:paraId="7158A632" w14:textId="7714A76A">
      <w:pPr>
        <w:sectPr w:rsidR="009B3082" w:rsidSect="0022271E">
          <w:headerReference w:type="default" r:id="rId15"/>
          <w:footerReference w:type="default" r:id="rId16"/>
          <w:pgSz w:w="12240" w:h="15840"/>
          <w:pgMar w:top="1728" w:right="1440" w:bottom="1440" w:left="1440" w:header="720" w:footer="720" w:gutter="0"/>
          <w:pgNumType w:start="2"/>
          <w:cols w:space="720"/>
          <w:docGrid w:linePitch="360"/>
        </w:sectPr>
      </w:pPr>
    </w:p>
    <w:p w:rsidRPr="006747CE" w:rsidR="006747CE" w:rsidP="006747CE" w:rsidRDefault="006747CE" w14:paraId="4852C62B" w14:textId="77777777">
      <w:pPr>
        <w:spacing w:before="240" w:line="259" w:lineRule="auto"/>
        <w:ind w:firstLine="0"/>
        <w:rPr>
          <w:rFonts w:eastAsia="Calibri Light" w:cs="Calibri Light"/>
          <w:b/>
          <w:bCs/>
          <w:szCs w:val="26"/>
        </w:rPr>
      </w:pPr>
      <w:r w:rsidRPr="006747CE">
        <w:rPr>
          <w:rFonts w:eastAsia="Calibri Light" w:cs="Calibri Light"/>
          <w:b/>
          <w:bCs/>
          <w:szCs w:val="26"/>
        </w:rPr>
        <w:lastRenderedPageBreak/>
        <w:t>A.25-07-016 – Joint Application of Charter Communications, Inc., Charter Communications Holdings, LLC, and Cox Enterprises, Inc. for Approval Pursuant to Public Utilities Code Section 854 of the Indirect Transfer of Control of Cox California Telcom, LLC</w:t>
      </w:r>
    </w:p>
    <w:p w:rsidRPr="006747CE" w:rsidR="006747CE" w:rsidP="006747CE" w:rsidRDefault="006747CE" w14:paraId="2A89453A" w14:textId="77777777">
      <w:pPr>
        <w:spacing w:after="160" w:line="259" w:lineRule="auto"/>
        <w:ind w:firstLine="0"/>
        <w:rPr>
          <w:rFonts w:eastAsia="Calibri" w:cs="Calibri"/>
          <w:b/>
          <w:bCs/>
          <w:sz w:val="22"/>
        </w:rPr>
      </w:pPr>
    </w:p>
    <w:p w:rsidRPr="006747CE" w:rsidR="006747CE" w:rsidP="006747CE" w:rsidRDefault="006747CE" w14:paraId="6F31813B" w14:textId="77777777">
      <w:pPr>
        <w:spacing w:after="160"/>
        <w:rPr>
          <w:rFonts w:eastAsia="Times New Roman" w:cs="Times New Roman"/>
          <w:b/>
          <w:bCs/>
          <w:szCs w:val="26"/>
        </w:rPr>
      </w:pPr>
      <w:r w:rsidRPr="006747CE">
        <w:rPr>
          <w:rFonts w:eastAsia="Times New Roman" w:cs="Times New Roman"/>
          <w:b/>
          <w:bCs/>
          <w:szCs w:val="26"/>
        </w:rPr>
        <w:t>Concurrence of Commissioner Darcie L. Houck:</w:t>
      </w:r>
    </w:p>
    <w:p w:rsidRPr="006747CE" w:rsidR="006747CE" w:rsidP="006747CE" w:rsidRDefault="006747CE" w14:paraId="5937B95B" w14:textId="77777777">
      <w:pPr>
        <w:spacing w:after="160"/>
        <w:rPr>
          <w:rFonts w:eastAsia="Times New Roman" w:cs="Times New Roman"/>
          <w:szCs w:val="26"/>
        </w:rPr>
      </w:pPr>
      <w:r w:rsidRPr="006747CE">
        <w:rPr>
          <w:rFonts w:eastAsia="Times New Roman" w:cs="Times New Roman"/>
          <w:szCs w:val="26"/>
        </w:rPr>
        <w:t>This decision will have a tremendous impact on a large number of customers throughout California.  It is important that the California Public Utilities Commission (Commission) ensure adequate protection for customers, especially low-income customers. This decision adopts two settlements.</w:t>
      </w:r>
      <w:r w:rsidRPr="006747CE">
        <w:rPr>
          <w:rFonts w:eastAsia="Times New Roman" w:cs="Times New Roman"/>
          <w:szCs w:val="26"/>
          <w:vertAlign w:val="superscript"/>
        </w:rPr>
        <w:footnoteReference w:id="177"/>
      </w:r>
      <w:r w:rsidRPr="006747CE">
        <w:rPr>
          <w:rFonts w:eastAsia="Times New Roman" w:cs="Times New Roman"/>
          <w:szCs w:val="26"/>
        </w:rPr>
        <w:t xml:space="preserve"> The settlements include provisions intended to protect consumers, particularly low-income consumers and under-invested communities, including tribal communities within the post-merger company’s (or Charter) service territory.</w:t>
      </w:r>
    </w:p>
    <w:p w:rsidRPr="006747CE" w:rsidR="006747CE" w:rsidP="006747CE" w:rsidRDefault="006747CE" w14:paraId="49CEBAE4" w14:textId="77777777">
      <w:pPr>
        <w:spacing w:after="160"/>
        <w:rPr>
          <w:rFonts w:eastAsia="Times New Roman" w:cs="Times New Roman"/>
          <w:szCs w:val="26"/>
        </w:rPr>
      </w:pPr>
      <w:r w:rsidRPr="006747CE">
        <w:rPr>
          <w:rFonts w:eastAsia="Times New Roman" w:cs="Times New Roman"/>
          <w:szCs w:val="26"/>
        </w:rPr>
        <w:t xml:space="preserve">When adopting a settlement the Commission must determine, pursuant to Rule 12.1(d) of the Commission’s Rules of Practice and Procedure, whether a settlement is reasonable in light of the whole record, consistent with the law, and in the public interest.  </w:t>
      </w:r>
      <w:r w:rsidRPr="006747CE">
        <w:rPr>
          <w:rFonts w:eastAsia="Calibri" w:cs="Calibri"/>
          <w:szCs w:val="26"/>
        </w:rPr>
        <w:t xml:space="preserve"> </w:t>
      </w:r>
    </w:p>
    <w:p w:rsidRPr="006747CE" w:rsidR="006747CE" w:rsidP="006747CE" w:rsidRDefault="006747CE" w14:paraId="1AE486B6" w14:textId="77777777">
      <w:pPr>
        <w:spacing w:after="160"/>
        <w:rPr>
          <w:rFonts w:eastAsia="Calibri" w:cs="Calibri"/>
          <w:szCs w:val="26"/>
        </w:rPr>
      </w:pPr>
      <w:r w:rsidRPr="006747CE">
        <w:rPr>
          <w:rFonts w:eastAsia="Calibri" w:cs="Calibri"/>
          <w:szCs w:val="26"/>
        </w:rPr>
        <w:t xml:space="preserve">In my opinion, the two settlements, one between the applicants and California Emerging Technology Fund (CETF) (CETF Settlement) and one between the applicants and the California Public Advocates Office (Cal Advocates) (Cal Advocates Settlement) meet the requirements of Rule 12. I </w:t>
      </w:r>
      <w:r w:rsidRPr="006747CE">
        <w:rPr>
          <w:rFonts w:eastAsia="Calibri" w:cs="Calibri"/>
          <w:szCs w:val="26"/>
        </w:rPr>
        <w:lastRenderedPageBreak/>
        <w:t xml:space="preserve">support adoption of these settlements, and generally support the changes made in the revision to the final decision adopted by the Commission. </w:t>
      </w:r>
    </w:p>
    <w:p w:rsidRPr="006747CE" w:rsidR="006747CE" w:rsidP="006747CE" w:rsidRDefault="006747CE" w14:paraId="4C10AB57" w14:textId="77777777">
      <w:pPr>
        <w:spacing w:after="160"/>
        <w:rPr>
          <w:rFonts w:eastAsia="Calibri" w:cs="Calibri"/>
          <w:szCs w:val="26"/>
        </w:rPr>
      </w:pPr>
      <w:r w:rsidRPr="006747CE">
        <w:rPr>
          <w:rFonts w:eastAsia="Calibri" w:cs="Calibri"/>
          <w:szCs w:val="26"/>
        </w:rPr>
        <w:t>This concurrence focuses on the discussion in the revision to the alternative proposed decision adopted by the Commission regarding the measures requiring the post-merger company to “consult” annually with California Native American Tribes in its service territory. I have some concerns about the language set out in the decision describing what and how consultation with tribes in the post-merger company’s service territory means. The CETF Settlement at section V.B. Tribal Consultation states:</w:t>
      </w:r>
    </w:p>
    <w:p w:rsidRPr="006747CE" w:rsidR="006747CE" w:rsidP="006747CE" w:rsidRDefault="006747CE" w14:paraId="3689FD6D" w14:textId="77777777">
      <w:pPr>
        <w:autoSpaceDE w:val="0"/>
        <w:autoSpaceDN w:val="0"/>
        <w:adjustRightInd w:val="0"/>
        <w:spacing w:line="240" w:lineRule="auto"/>
        <w:ind w:left="720" w:right="720" w:firstLine="0"/>
        <w:jc w:val="both"/>
        <w:rPr>
          <w:rFonts w:eastAsia="Calibri" w:cs="Calibri"/>
          <w:szCs w:val="26"/>
        </w:rPr>
      </w:pPr>
      <w:r w:rsidRPr="006747CE">
        <w:rPr>
          <w:rFonts w:eastAsia="Calibri" w:cs="Calibri"/>
          <w:szCs w:val="26"/>
        </w:rPr>
        <w:t>Charter shall, upon reasonable request, use commercially reasonable efforts to consult with any affected Tribes within the Combined Company Service Area regarding any planned or ongoing capital investments or deployment activities, and to respond to any specific requests from CETF to meet with them and one or more of the Tribes located in the Combined Company Service Area. If such a request is made, Charter shall use commercially reasonable efforts to hold such meeting within sixty (60) days after receiving the request and, upon reasonable request, annually thereafter during the term of this MOU. Charter may satisfy this requirement through commercially reasonable efforts to consult with the Southern California Tribal Chairmen’s Association regarding such matters.</w:t>
      </w:r>
    </w:p>
    <w:p w:rsidRPr="006747CE" w:rsidR="006747CE" w:rsidP="006747CE" w:rsidRDefault="006747CE" w14:paraId="66CC09C0" w14:textId="77777777">
      <w:pPr>
        <w:autoSpaceDE w:val="0"/>
        <w:autoSpaceDN w:val="0"/>
        <w:adjustRightInd w:val="0"/>
        <w:spacing w:line="240" w:lineRule="auto"/>
        <w:ind w:left="720" w:right="720" w:firstLine="0"/>
        <w:jc w:val="both"/>
        <w:rPr>
          <w:rFonts w:eastAsia="Calibri" w:cs="Calibri"/>
          <w:szCs w:val="26"/>
        </w:rPr>
      </w:pPr>
    </w:p>
    <w:p w:rsidRPr="006747CE" w:rsidR="006747CE" w:rsidP="006747CE" w:rsidRDefault="006747CE" w14:paraId="3C9EEBB5" w14:textId="77777777">
      <w:pPr>
        <w:autoSpaceDE w:val="0"/>
        <w:autoSpaceDN w:val="0"/>
        <w:adjustRightInd w:val="0"/>
        <w:spacing w:line="240" w:lineRule="auto"/>
        <w:ind w:left="720" w:right="720" w:firstLine="0"/>
        <w:jc w:val="both"/>
        <w:rPr>
          <w:rFonts w:eastAsia="Calibri" w:cs="Calibri"/>
          <w:szCs w:val="26"/>
        </w:rPr>
      </w:pPr>
      <w:r w:rsidRPr="006747CE">
        <w:rPr>
          <w:rFonts w:eastAsia="Calibri" w:cs="Calibri"/>
          <w:szCs w:val="26"/>
        </w:rPr>
        <w:t xml:space="preserve">Within 180 days following the closing of the Transaction and for a period of three (3) years thereafter, Charter shall designate at least one employee whose primary job responsibility shall include engagement with Tribal governments within the Combined Company Service Area (the “Tribal Liaison”). Each Tribe will have access to the Tribal Liaison via phone and email. Following designation of the Tribal Liaison, Charter shall send written notice to each Tribal government within 90 days after such designation that shall include the name, title, email address, and telephone number of the Tribal Liaison and a description of the process by which a Tribal government may request additional communications with Charter. Beginning in the </w:t>
      </w:r>
      <w:r w:rsidRPr="006747CE">
        <w:rPr>
          <w:rFonts w:eastAsia="Calibri" w:cs="Calibri"/>
          <w:szCs w:val="26"/>
        </w:rPr>
        <w:lastRenderedPageBreak/>
        <w:t>calendar year following the year in which the initial 90-day notice is sent, and annually thereafter during the term of this condition, Charter shall send at least one annual written invitation for communications with Charter to each identified Tribal government for which Charter has a valid email or mailing address on record.</w:t>
      </w:r>
    </w:p>
    <w:p w:rsidRPr="006747CE" w:rsidR="006747CE" w:rsidP="006747CE" w:rsidRDefault="006747CE" w14:paraId="37C55A3E" w14:textId="77777777">
      <w:pPr>
        <w:autoSpaceDE w:val="0"/>
        <w:autoSpaceDN w:val="0"/>
        <w:adjustRightInd w:val="0"/>
        <w:spacing w:line="240" w:lineRule="auto"/>
        <w:ind w:left="720" w:right="720" w:firstLine="0"/>
        <w:jc w:val="both"/>
        <w:rPr>
          <w:rFonts w:eastAsia="Calibri" w:cs="Calibri"/>
          <w:szCs w:val="26"/>
        </w:rPr>
      </w:pPr>
    </w:p>
    <w:p w:rsidRPr="006747CE" w:rsidR="006747CE" w:rsidP="006747CE" w:rsidRDefault="006747CE" w14:paraId="2923CE0C" w14:textId="77777777">
      <w:pPr>
        <w:autoSpaceDE w:val="0"/>
        <w:autoSpaceDN w:val="0"/>
        <w:adjustRightInd w:val="0"/>
        <w:spacing w:line="240" w:lineRule="auto"/>
        <w:ind w:left="720" w:right="720" w:firstLine="0"/>
        <w:jc w:val="both"/>
        <w:rPr>
          <w:rFonts w:eastAsia="Calibri" w:cs="Calibri"/>
          <w:szCs w:val="26"/>
        </w:rPr>
      </w:pPr>
      <w:r w:rsidRPr="006747CE">
        <w:rPr>
          <w:rFonts w:eastAsia="Calibri" w:cs="Calibri"/>
          <w:szCs w:val="26"/>
        </w:rPr>
        <w:t>Should the Tribal Liaison change during the period of this commitment, Charter will provide written notice to the Tribes within 60 days of such change.</w:t>
      </w:r>
      <w:r w:rsidRPr="006747CE">
        <w:rPr>
          <w:rFonts w:eastAsia="Calibri" w:cs="Calibri"/>
          <w:szCs w:val="26"/>
          <w:vertAlign w:val="superscript"/>
        </w:rPr>
        <w:footnoteReference w:id="178"/>
      </w:r>
    </w:p>
    <w:p w:rsidRPr="006747CE" w:rsidR="006747CE" w:rsidP="006747CE" w:rsidRDefault="006747CE" w14:paraId="5DA46DD0" w14:textId="77777777">
      <w:pPr>
        <w:autoSpaceDE w:val="0"/>
        <w:autoSpaceDN w:val="0"/>
        <w:adjustRightInd w:val="0"/>
        <w:spacing w:line="240" w:lineRule="auto"/>
        <w:ind w:left="720" w:right="720" w:firstLine="0"/>
        <w:jc w:val="both"/>
        <w:rPr>
          <w:rFonts w:eastAsia="Calibri" w:cs="Calibri"/>
          <w:szCs w:val="26"/>
        </w:rPr>
      </w:pPr>
    </w:p>
    <w:p w:rsidRPr="006747CE" w:rsidR="006747CE" w:rsidP="006747CE" w:rsidRDefault="006747CE" w14:paraId="08159B09" w14:textId="77777777">
      <w:pPr>
        <w:spacing w:after="160"/>
        <w:rPr>
          <w:rFonts w:eastAsia="Calibri" w:cs="Calibri"/>
          <w:szCs w:val="26"/>
        </w:rPr>
      </w:pPr>
      <w:r w:rsidRPr="006747CE">
        <w:rPr>
          <w:rFonts w:eastAsia="Calibri" w:cs="Calibri"/>
          <w:szCs w:val="26"/>
        </w:rPr>
        <w:t xml:space="preserve">The CETF Settlement sets forth a process for Charter to contact tribes within its service territory, obligations to meet and or consult and for Charter to “designate at least one employee whose primary job responsibility shall include engagement with Tribal governments within the Combined Company Service Area (the “Tribal Liaison”).”  </w:t>
      </w:r>
    </w:p>
    <w:p w:rsidRPr="006747CE" w:rsidR="006747CE" w:rsidP="006747CE" w:rsidRDefault="006747CE" w14:paraId="3FE94CE9" w14:textId="77777777">
      <w:pPr>
        <w:spacing w:after="160"/>
        <w:rPr>
          <w:rFonts w:eastAsia="Calibri" w:cs="Calibri"/>
          <w:szCs w:val="26"/>
        </w:rPr>
      </w:pPr>
      <w:r w:rsidRPr="006747CE">
        <w:rPr>
          <w:rFonts w:eastAsia="Calibri" w:cs="Calibri"/>
          <w:szCs w:val="26"/>
        </w:rPr>
        <w:t xml:space="preserve">I am concerned about the potential implications of the wording in Ordering Paragraph 11 of this Decision, which states the following: </w:t>
      </w:r>
    </w:p>
    <w:p w:rsidRPr="006747CE" w:rsidR="006747CE" w:rsidP="006747CE" w:rsidRDefault="006747CE" w14:paraId="743859AA" w14:textId="77777777">
      <w:pPr>
        <w:spacing w:after="160"/>
        <w:ind w:left="720" w:right="720" w:firstLine="0"/>
        <w:jc w:val="both"/>
        <w:rPr>
          <w:rFonts w:eastAsia="Calibri" w:cs="Calibri"/>
          <w:szCs w:val="26"/>
        </w:rPr>
      </w:pPr>
      <w:r w:rsidRPr="006747CE">
        <w:rPr>
          <w:rFonts w:eastAsia="Calibri" w:cs="Calibri"/>
          <w:szCs w:val="26"/>
        </w:rPr>
        <w:t xml:space="preserve">For a period of 5 years from the effective date of this decision the post-merger company shall, on annual basis, provide a point of contact to all identified Tribal leadership councils’ staff and tribal organization staff for each Tribe within the post-merger company’s territory via email and offer an opportunity for communication.  The post-merger </w:t>
      </w:r>
      <w:r w:rsidRPr="006747CE">
        <w:rPr>
          <w:rFonts w:eastAsia="Calibri" w:cs="Calibri"/>
          <w:szCs w:val="26"/>
        </w:rPr>
        <w:lastRenderedPageBreak/>
        <w:t>company shall verify this outreach and communication in a Compliance Filing filed in the docket of this proceeding and served on parties to this proceeding annually on April 15, starting on April 15, 2027 with the last report due on April 15, 2032.</w:t>
      </w:r>
    </w:p>
    <w:p w:rsidRPr="006747CE" w:rsidR="006747CE" w:rsidP="006747CE" w:rsidRDefault="006747CE" w14:paraId="30D4B27D" w14:textId="77777777">
      <w:pPr>
        <w:spacing w:after="160"/>
        <w:ind w:firstLine="0"/>
        <w:rPr>
          <w:rFonts w:eastAsia="Calibri" w:cs="Calibri"/>
          <w:szCs w:val="26"/>
        </w:rPr>
      </w:pPr>
      <w:r w:rsidRPr="006747CE">
        <w:rPr>
          <w:rFonts w:eastAsia="Calibri" w:cs="Calibri"/>
          <w:szCs w:val="26"/>
        </w:rPr>
        <w:t xml:space="preserve">The decision also states at Section 18.7 Tribal Liaison: </w:t>
      </w:r>
    </w:p>
    <w:p w:rsidRPr="006747CE" w:rsidR="006747CE" w:rsidP="006747CE" w:rsidRDefault="006747CE" w14:paraId="6AD03641" w14:textId="77777777">
      <w:pPr>
        <w:spacing w:after="160"/>
        <w:ind w:left="720" w:right="720" w:firstLine="0"/>
        <w:jc w:val="both"/>
        <w:rPr>
          <w:rFonts w:eastAsia="Calibri" w:cs="Calibri"/>
          <w:szCs w:val="26"/>
        </w:rPr>
      </w:pPr>
      <w:r w:rsidRPr="006747CE">
        <w:rPr>
          <w:rFonts w:eastAsia="Calibri" w:cs="Calibri"/>
          <w:szCs w:val="26"/>
        </w:rPr>
        <w:t>TURN, Media Alliance, and the Joint Advocates argue that the Commission should revise the APD to impose additional mitigation measures to better consider the impact of the transaction on Tribes within the post-merger company territory. The Joint Applicants and CETF argue that no further requirements covering Tribal interactions are required.</w:t>
      </w:r>
    </w:p>
    <w:p w:rsidRPr="006747CE" w:rsidR="006747CE" w:rsidP="006747CE" w:rsidRDefault="006747CE" w14:paraId="50BE5B71" w14:textId="77777777">
      <w:pPr>
        <w:spacing w:after="160"/>
        <w:ind w:firstLine="0"/>
        <w:rPr>
          <w:rFonts w:eastAsia="Calibri" w:cs="Calibri"/>
          <w:szCs w:val="26"/>
        </w:rPr>
      </w:pPr>
      <w:r w:rsidRPr="006747CE">
        <w:rPr>
          <w:rFonts w:eastAsia="Calibri" w:cs="Calibri"/>
          <w:szCs w:val="26"/>
        </w:rPr>
        <w:t>Later in this section at 18.8.6</w:t>
      </w:r>
      <w:r w:rsidRPr="006747CE">
        <w:rPr>
          <w:rFonts w:eastAsia="Calibri" w:cs="Calibri"/>
          <w:szCs w:val="26"/>
          <w:vertAlign w:val="superscript"/>
        </w:rPr>
        <w:footnoteReference w:id="179"/>
      </w:r>
      <w:r w:rsidRPr="006747CE">
        <w:rPr>
          <w:rFonts w:eastAsia="Calibri" w:cs="Calibri"/>
          <w:szCs w:val="26"/>
        </w:rPr>
        <w:t xml:space="preserve"> after discussing party positions in more detail the decision goes on to state: </w:t>
      </w:r>
    </w:p>
    <w:p w:rsidRPr="006747CE" w:rsidR="006747CE" w:rsidP="006747CE" w:rsidRDefault="006747CE" w14:paraId="31C6D365" w14:textId="77777777">
      <w:pPr>
        <w:spacing w:after="160"/>
        <w:ind w:left="720" w:right="720" w:firstLine="0"/>
        <w:jc w:val="both"/>
        <w:rPr>
          <w:rFonts w:eastAsia="Calibri" w:cs="Calibri"/>
          <w:szCs w:val="26"/>
        </w:rPr>
      </w:pPr>
      <w:r w:rsidRPr="006747CE">
        <w:rPr>
          <w:rFonts w:eastAsia="Calibri" w:cs="Calibri"/>
          <w:szCs w:val="26"/>
        </w:rPr>
        <w:t xml:space="preserve">We are inclined to agree that the Tribal consultation requirements could be strengthened. We have added OP 11, which requires the post-merger company to perform at least one yearly </w:t>
      </w:r>
      <w:r w:rsidRPr="006747CE">
        <w:rPr>
          <w:rFonts w:eastAsia="Calibri" w:cs="Calibri"/>
          <w:i/>
          <w:iCs/>
          <w:szCs w:val="26"/>
        </w:rPr>
        <w:t>email consultation</w:t>
      </w:r>
      <w:r w:rsidRPr="006747CE">
        <w:rPr>
          <w:rFonts w:eastAsia="Calibri" w:cs="Calibri"/>
          <w:szCs w:val="26"/>
        </w:rPr>
        <w:t xml:space="preserve"> with each Tribe in its territory and verify the </w:t>
      </w:r>
      <w:r w:rsidRPr="006747CE">
        <w:rPr>
          <w:rFonts w:eastAsia="Calibri" w:cs="Calibri"/>
          <w:i/>
          <w:iCs/>
          <w:szCs w:val="26"/>
        </w:rPr>
        <w:t>email consultation</w:t>
      </w:r>
      <w:r w:rsidRPr="006747CE">
        <w:rPr>
          <w:rFonts w:eastAsia="Calibri" w:cs="Calibri"/>
          <w:szCs w:val="26"/>
        </w:rPr>
        <w:t xml:space="preserve"> in the April 15 Compliance Filing required by this decision.” (emphasis added)</w:t>
      </w:r>
    </w:p>
    <w:p w:rsidRPr="006747CE" w:rsidR="006747CE" w:rsidP="006747CE" w:rsidRDefault="006747CE" w14:paraId="33A89F43" w14:textId="77777777">
      <w:pPr>
        <w:spacing w:after="160"/>
        <w:rPr>
          <w:rFonts w:eastAsia="Calibri" w:cs="Calibri"/>
          <w:szCs w:val="26"/>
        </w:rPr>
      </w:pPr>
      <w:r w:rsidRPr="006747CE">
        <w:rPr>
          <w:rFonts w:eastAsia="Calibri" w:cs="Calibri"/>
          <w:szCs w:val="26"/>
        </w:rPr>
        <w:lastRenderedPageBreak/>
        <w:t>The language in the decision is confusing at best and does not appear to strengthen the Tribal consultation requirements set out in the CETF Settlement. I am concerned that a strict reading of the dicta and OP 11 could undermine the CETF Settlement provisions.  The Commission adopted the settlement without modification, therefore nothing in OP 11 or the dicta should be construed as changing or weakening the provisions set forth in the CETF Settlement regarding Tribal Consultation.</w:t>
      </w:r>
    </w:p>
    <w:p w:rsidRPr="006747CE" w:rsidR="006747CE" w:rsidP="006747CE" w:rsidRDefault="006747CE" w14:paraId="66F29173" w14:textId="77777777">
      <w:pPr>
        <w:spacing w:after="160"/>
        <w:rPr>
          <w:rFonts w:eastAsia="Calibri" w:cs="Calibri"/>
          <w:szCs w:val="26"/>
        </w:rPr>
      </w:pPr>
      <w:r w:rsidRPr="006747CE">
        <w:rPr>
          <w:rFonts w:eastAsia="Calibri" w:cs="Calibri"/>
          <w:szCs w:val="26"/>
        </w:rPr>
        <w:t xml:space="preserve">It is important to highlight that consultation and engagement with Tribes have specific meaning.  An email notifying someone of an individual’s contact information is not consultation.  It is notification of the contact information for the post-merger company’s Tribal Liaison, which is different than engaging with or consulting with a Tribe. California Government Code Section 65352.4 defines “consultation” as: </w:t>
      </w:r>
    </w:p>
    <w:p w:rsidRPr="006747CE" w:rsidR="006747CE" w:rsidP="006747CE" w:rsidRDefault="006747CE" w14:paraId="02C2C6E4" w14:textId="77777777">
      <w:pPr>
        <w:spacing w:after="160"/>
        <w:ind w:left="720" w:firstLine="0"/>
        <w:rPr>
          <w:rFonts w:eastAsia="Calibri" w:cs="Calibri"/>
          <w:szCs w:val="26"/>
        </w:rPr>
      </w:pPr>
      <w:r w:rsidRPr="006747CE">
        <w:rPr>
          <w:rFonts w:eastAsia="Calibri" w:cs="Calibri"/>
          <w:szCs w:val="26"/>
        </w:rPr>
        <w:t>“the meaningful and timely process of seeking, discussing, and considering carefully the views of others, in a manner that is cognizant of all parties’ cultural values and, where feasible, seeking agreement. Consultation between government agencies and Native American tribes shall be conducted in a way that is mutually respectful of each party’s sovereignty. Consultation shall also recognize the tribes’ potential needs for confidentiality with respect to places that have traditional tribal cultural significance.”</w:t>
      </w:r>
    </w:p>
    <w:p w:rsidRPr="006747CE" w:rsidR="006747CE" w:rsidP="006747CE" w:rsidRDefault="006747CE" w14:paraId="0554D1B4" w14:textId="77777777">
      <w:pPr>
        <w:spacing w:after="160"/>
        <w:rPr>
          <w:rFonts w:eastAsia="Calibri" w:cs="Calibri"/>
          <w:szCs w:val="26"/>
        </w:rPr>
      </w:pPr>
      <w:r w:rsidRPr="006747CE">
        <w:rPr>
          <w:rFonts w:eastAsia="Calibri" w:cs="Calibri"/>
          <w:szCs w:val="26"/>
        </w:rPr>
        <w:t xml:space="preserve">It is critical that the Commission be precise in its language and carefully consider the implications of its words, particularly in a case where the Commission did not engage in consultation with Tribal governments or require the applicants to engage in consultation with Tribal governments regarding the </w:t>
      </w:r>
      <w:r w:rsidRPr="006747CE">
        <w:rPr>
          <w:rFonts w:eastAsia="Calibri" w:cs="Calibri"/>
          <w:szCs w:val="26"/>
        </w:rPr>
        <w:lastRenderedPageBreak/>
        <w:t xml:space="preserve">proposed merger.  It would have been helpful in the framing of both the provisions in the CETF Settlement and OP 11 to have engaged with Tribal governments as to issues such as engagement, consultation, and defining the duties of the post-merger company Tribal Liaison in the proceeding record.  </w:t>
      </w:r>
    </w:p>
    <w:p w:rsidRPr="006747CE" w:rsidR="006747CE" w:rsidP="006747CE" w:rsidRDefault="006747CE" w14:paraId="21FD94B3" w14:textId="77777777">
      <w:pPr>
        <w:spacing w:after="160"/>
        <w:rPr>
          <w:rFonts w:eastAsia="Calibri" w:cs="Calibri"/>
          <w:szCs w:val="26"/>
        </w:rPr>
      </w:pPr>
      <w:r w:rsidRPr="006747CE">
        <w:rPr>
          <w:rFonts w:eastAsia="Calibri" w:cs="Calibri"/>
          <w:szCs w:val="26"/>
        </w:rPr>
        <w:t>Unfortunately, this did not happen, at least partially because the Commission did not have a Tribal Advisor throughout the processing of this matter.  The imprecise language used in this decision diminishes the importance of Tribal consultation and distills it down to an annual one-way email from the corporation to the Tribe.  Consultation requires more than this, it is a meaningful two-way exchange of information. In weighing the strength of the settlement regarding the provisions of the settlement in this area, the Decision finds that these provisions should be strengthened as to engagement and consultation.  Yet OP 11 does not reference the CETF conditions, or how the annual email communication required goes beyond or strengthens these provisions.  I do recognize that the decision adopted by the Commission orders the email communication to continue for a 5 year period as opposed to the 3 years set out in the CETF Settlement.</w:t>
      </w:r>
    </w:p>
    <w:p w:rsidRPr="006747CE" w:rsidR="006747CE" w:rsidP="006747CE" w:rsidRDefault="006747CE" w14:paraId="183E6B3D" w14:textId="77777777">
      <w:pPr>
        <w:spacing w:after="160"/>
        <w:rPr>
          <w:rFonts w:eastAsia="Calibri" w:cs="Calibri"/>
          <w:szCs w:val="26"/>
        </w:rPr>
      </w:pPr>
      <w:r w:rsidRPr="006747CE">
        <w:rPr>
          <w:rFonts w:eastAsia="Calibri" w:cs="Calibri"/>
          <w:szCs w:val="26"/>
        </w:rPr>
        <w:t>This concurrence supports the controlling provisions set out in the CETF Settlement regarding Tribal consultation, advocates for the Commission to have a fully staffed Office of the Tribal Advisor to provide support for Tribal governments and the Commission in these complex and broad reaching proceeding and clarifies that an annual email is not “consultation.”  Section 18.8.6, in my opinion, should have read as follows:</w:t>
      </w:r>
    </w:p>
    <w:p w:rsidRPr="006747CE" w:rsidR="006747CE" w:rsidP="006747CE" w:rsidRDefault="006747CE" w14:paraId="2DA4D40C" w14:textId="77777777">
      <w:pPr>
        <w:spacing w:after="160"/>
        <w:ind w:left="720" w:right="720" w:firstLine="0"/>
        <w:jc w:val="both"/>
        <w:rPr>
          <w:rFonts w:eastAsia="Calibri" w:cs="Calibri"/>
          <w:szCs w:val="26"/>
          <w:u w:val="single"/>
        </w:rPr>
      </w:pPr>
      <w:r w:rsidRPr="006747CE">
        <w:rPr>
          <w:rFonts w:eastAsia="Calibri" w:cs="Calibri"/>
          <w:szCs w:val="26"/>
        </w:rPr>
        <w:lastRenderedPageBreak/>
        <w:t xml:space="preserve">We </w:t>
      </w:r>
      <w:r w:rsidRPr="006747CE">
        <w:rPr>
          <w:rFonts w:eastAsia="Calibri" w:cs="Calibri"/>
          <w:strike/>
          <w:szCs w:val="26"/>
        </w:rPr>
        <w:t>are inclined to</w:t>
      </w:r>
      <w:r w:rsidRPr="006747CE">
        <w:rPr>
          <w:rFonts w:eastAsia="Calibri" w:cs="Calibri"/>
          <w:szCs w:val="26"/>
        </w:rPr>
        <w:t xml:space="preserve"> agree that the Tribal consultation requirements </w:t>
      </w:r>
      <w:r w:rsidRPr="006747CE">
        <w:rPr>
          <w:rFonts w:eastAsia="Calibri" w:cs="Calibri"/>
          <w:szCs w:val="26"/>
          <w:u w:val="single"/>
        </w:rPr>
        <w:t>in the settlement are balanced and reasonable.  These provisions require the post-merger company to:</w:t>
      </w:r>
    </w:p>
    <w:p w:rsidRPr="006747CE" w:rsidR="006747CE" w:rsidP="006747CE" w:rsidRDefault="006747CE" w14:paraId="27679A21" w14:textId="77777777">
      <w:pPr>
        <w:numPr>
          <w:ilvl w:val="0"/>
          <w:numId w:val="40"/>
        </w:numPr>
        <w:spacing w:after="160" w:line="259" w:lineRule="auto"/>
        <w:ind w:right="720"/>
        <w:contextualSpacing/>
        <w:jc w:val="both"/>
        <w:rPr>
          <w:rFonts w:eastAsia="Calibri" w:cs="Calibri"/>
          <w:szCs w:val="26"/>
        </w:rPr>
      </w:pPr>
      <w:r w:rsidRPr="006747CE">
        <w:rPr>
          <w:rFonts w:eastAsia="Calibri" w:cs="Calibri"/>
          <w:szCs w:val="26"/>
          <w:u w:val="single"/>
        </w:rPr>
        <w:t xml:space="preserve"> consult with Tribes within its service territory regarding any planned or ongoing capital investments or deployment activities;</w:t>
      </w:r>
    </w:p>
    <w:p w:rsidRPr="006747CE" w:rsidR="006747CE" w:rsidP="006747CE" w:rsidRDefault="006747CE" w14:paraId="4C90A3F0" w14:textId="77777777">
      <w:pPr>
        <w:numPr>
          <w:ilvl w:val="0"/>
          <w:numId w:val="40"/>
        </w:numPr>
        <w:spacing w:after="160" w:line="259" w:lineRule="auto"/>
        <w:ind w:right="720"/>
        <w:contextualSpacing/>
        <w:jc w:val="both"/>
        <w:rPr>
          <w:rFonts w:eastAsia="Calibri" w:cs="Calibri"/>
          <w:szCs w:val="26"/>
        </w:rPr>
      </w:pPr>
      <w:r w:rsidRPr="006747CE">
        <w:rPr>
          <w:rFonts w:eastAsia="Calibri" w:cs="Calibri"/>
          <w:szCs w:val="26"/>
          <w:u w:val="single"/>
        </w:rPr>
        <w:t xml:space="preserve"> respond to requests from CETF regarding meeting with Tribes or from the Tribes;</w:t>
      </w:r>
    </w:p>
    <w:p w:rsidRPr="006747CE" w:rsidR="006747CE" w:rsidP="006747CE" w:rsidRDefault="006747CE" w14:paraId="63EE1C5E" w14:textId="77777777">
      <w:pPr>
        <w:numPr>
          <w:ilvl w:val="0"/>
          <w:numId w:val="40"/>
        </w:numPr>
        <w:spacing w:after="160" w:line="259" w:lineRule="auto"/>
        <w:ind w:right="720"/>
        <w:contextualSpacing/>
        <w:jc w:val="both"/>
        <w:rPr>
          <w:rFonts w:eastAsia="Calibri" w:cs="Calibri"/>
          <w:szCs w:val="26"/>
        </w:rPr>
      </w:pPr>
      <w:r w:rsidRPr="006747CE">
        <w:rPr>
          <w:rFonts w:eastAsia="Calibri" w:cs="Calibri"/>
          <w:szCs w:val="26"/>
          <w:u w:val="single"/>
        </w:rPr>
        <w:t xml:space="preserve"> meet within 60 days where possible when such a request is made;</w:t>
      </w:r>
    </w:p>
    <w:p w:rsidRPr="006747CE" w:rsidR="006747CE" w:rsidP="006747CE" w:rsidRDefault="006747CE" w14:paraId="40C33324" w14:textId="77777777">
      <w:pPr>
        <w:numPr>
          <w:ilvl w:val="0"/>
          <w:numId w:val="40"/>
        </w:numPr>
        <w:spacing w:after="160" w:line="259" w:lineRule="auto"/>
        <w:ind w:right="720"/>
        <w:contextualSpacing/>
        <w:jc w:val="both"/>
        <w:rPr>
          <w:rFonts w:eastAsia="Calibri" w:cs="Calibri"/>
          <w:szCs w:val="26"/>
        </w:rPr>
      </w:pPr>
      <w:r w:rsidRPr="006747CE">
        <w:rPr>
          <w:rFonts w:eastAsia="Calibri" w:cs="Calibri"/>
          <w:szCs w:val="26"/>
          <w:u w:val="single"/>
        </w:rPr>
        <w:t xml:space="preserve"> designate at least one employee whose primary job responsibility shall be tribal engagement;</w:t>
      </w:r>
    </w:p>
    <w:p w:rsidRPr="006747CE" w:rsidR="006747CE" w:rsidP="006747CE" w:rsidRDefault="006747CE" w14:paraId="1B8DC29F" w14:textId="77777777">
      <w:pPr>
        <w:numPr>
          <w:ilvl w:val="0"/>
          <w:numId w:val="40"/>
        </w:numPr>
        <w:spacing w:after="160" w:line="259" w:lineRule="auto"/>
        <w:ind w:right="720"/>
        <w:contextualSpacing/>
        <w:jc w:val="both"/>
        <w:rPr>
          <w:rFonts w:eastAsia="Calibri" w:cs="Calibri"/>
          <w:szCs w:val="26"/>
        </w:rPr>
      </w:pPr>
      <w:r w:rsidRPr="006747CE">
        <w:rPr>
          <w:rFonts w:eastAsia="Calibri" w:cs="Calibri"/>
          <w:szCs w:val="26"/>
          <w:u w:val="single"/>
        </w:rPr>
        <w:t xml:space="preserve"> notification of the Tribal Liaison within 90 days of designation and annually thereafter for a period of 3 years with such notification including a description of the process for a Tribal government to request further communication with Charter. </w:t>
      </w:r>
      <w:r w:rsidRPr="006747CE">
        <w:rPr>
          <w:rFonts w:eastAsia="Calibri" w:cs="Calibri"/>
          <w:strike/>
          <w:szCs w:val="26"/>
        </w:rPr>
        <w:t xml:space="preserve">could be </w:t>
      </w:r>
    </w:p>
    <w:p w:rsidRPr="006747CE" w:rsidR="006747CE" w:rsidP="006747CE" w:rsidRDefault="006747CE" w14:paraId="28701FBC" w14:textId="77777777">
      <w:pPr>
        <w:spacing w:after="160"/>
        <w:ind w:left="720" w:right="720" w:firstLine="0"/>
        <w:jc w:val="both"/>
        <w:rPr>
          <w:rFonts w:eastAsia="Calibri" w:cs="Calibri"/>
          <w:szCs w:val="26"/>
        </w:rPr>
      </w:pPr>
      <w:r w:rsidRPr="006747CE">
        <w:rPr>
          <w:rFonts w:eastAsia="Calibri" w:cs="Calibri"/>
          <w:strike/>
          <w:szCs w:val="26"/>
        </w:rPr>
        <w:t>strengthened.</w:t>
      </w:r>
      <w:r w:rsidRPr="006747CE">
        <w:rPr>
          <w:rFonts w:eastAsia="Calibri" w:cs="Calibri"/>
          <w:szCs w:val="26"/>
        </w:rPr>
        <w:t xml:space="preserve"> </w:t>
      </w:r>
      <w:r w:rsidRPr="006747CE">
        <w:rPr>
          <w:rFonts w:eastAsia="Calibri" w:cs="Calibri"/>
          <w:szCs w:val="26"/>
          <w:u w:val="single"/>
        </w:rPr>
        <w:t>To ensure compliance with Section V.B of the CETF Settlement and continued communication between the post-merger company and Tribes within its territory,</w:t>
      </w:r>
      <w:r w:rsidRPr="006747CE">
        <w:rPr>
          <w:rFonts w:eastAsia="Calibri" w:cs="Calibri"/>
          <w:strike/>
          <w:szCs w:val="26"/>
          <w:u w:val="single"/>
        </w:rPr>
        <w:t xml:space="preserve">  W</w:t>
      </w:r>
      <w:r w:rsidRPr="006747CE">
        <w:rPr>
          <w:rFonts w:eastAsia="Calibri" w:cs="Calibri"/>
          <w:szCs w:val="26"/>
          <w:u w:val="single"/>
        </w:rPr>
        <w:t>we</w:t>
      </w:r>
      <w:r w:rsidRPr="006747CE">
        <w:rPr>
          <w:rFonts w:eastAsia="Calibri" w:cs="Calibri"/>
          <w:szCs w:val="26"/>
        </w:rPr>
        <w:t xml:space="preserve"> have added OP 11, which requires the post-merger company</w:t>
      </w:r>
      <w:r w:rsidRPr="006747CE">
        <w:rPr>
          <w:rFonts w:eastAsia="Calibri" w:cs="Calibri"/>
          <w:szCs w:val="26"/>
          <w:u w:val="single"/>
        </w:rPr>
        <w:t>, consistent with and in addition to what is required under the settlement,</w:t>
      </w:r>
      <w:r w:rsidRPr="006747CE">
        <w:rPr>
          <w:rFonts w:eastAsia="Calibri" w:cs="Calibri"/>
          <w:szCs w:val="26"/>
        </w:rPr>
        <w:t xml:space="preserve"> to </w:t>
      </w:r>
      <w:r w:rsidRPr="006747CE">
        <w:rPr>
          <w:rFonts w:eastAsia="Calibri" w:cs="Calibri"/>
          <w:strike/>
          <w:szCs w:val="26"/>
        </w:rPr>
        <w:t>perform</w:t>
      </w:r>
      <w:r w:rsidRPr="006747CE">
        <w:rPr>
          <w:rFonts w:eastAsia="Calibri" w:cs="Calibri"/>
          <w:szCs w:val="26"/>
        </w:rPr>
        <w:t xml:space="preserve"> </w:t>
      </w:r>
      <w:r w:rsidRPr="006747CE">
        <w:rPr>
          <w:rFonts w:eastAsia="Calibri" w:cs="Calibri"/>
          <w:szCs w:val="26"/>
          <w:u w:val="single"/>
        </w:rPr>
        <w:t xml:space="preserve">send </w:t>
      </w:r>
      <w:r w:rsidRPr="006747CE">
        <w:rPr>
          <w:rFonts w:eastAsia="Calibri" w:cs="Calibri"/>
          <w:szCs w:val="26"/>
        </w:rPr>
        <w:t xml:space="preserve">at least one yearly email notification </w:t>
      </w:r>
      <w:r w:rsidRPr="006747CE">
        <w:rPr>
          <w:rFonts w:eastAsia="Calibri" w:cs="Calibri"/>
          <w:strike/>
          <w:szCs w:val="26"/>
        </w:rPr>
        <w:t>consultation with</w:t>
      </w:r>
      <w:r w:rsidRPr="006747CE">
        <w:rPr>
          <w:rFonts w:eastAsia="Calibri" w:cs="Calibri"/>
          <w:szCs w:val="26"/>
        </w:rPr>
        <w:t xml:space="preserve"> </w:t>
      </w:r>
      <w:r w:rsidRPr="006747CE">
        <w:rPr>
          <w:rFonts w:eastAsia="Calibri" w:cs="Calibri"/>
          <w:szCs w:val="26"/>
          <w:u w:val="single"/>
        </w:rPr>
        <w:t xml:space="preserve">to </w:t>
      </w:r>
      <w:r w:rsidRPr="006747CE">
        <w:rPr>
          <w:rFonts w:eastAsia="Calibri" w:cs="Calibri"/>
          <w:szCs w:val="26"/>
        </w:rPr>
        <w:t xml:space="preserve">each Tribe in its territory and verify the email </w:t>
      </w:r>
      <w:r w:rsidRPr="006747CE">
        <w:rPr>
          <w:rFonts w:eastAsia="Calibri" w:cs="Calibri"/>
          <w:strike/>
          <w:szCs w:val="26"/>
        </w:rPr>
        <w:t xml:space="preserve">consultation </w:t>
      </w:r>
      <w:r w:rsidRPr="006747CE">
        <w:rPr>
          <w:rFonts w:eastAsia="Calibri" w:cs="Calibri"/>
          <w:szCs w:val="26"/>
        </w:rPr>
        <w:t xml:space="preserve"> </w:t>
      </w:r>
      <w:r w:rsidRPr="006747CE">
        <w:rPr>
          <w:rFonts w:eastAsia="Calibri" w:cs="Calibri"/>
          <w:szCs w:val="26"/>
          <w:u w:val="single"/>
        </w:rPr>
        <w:t xml:space="preserve">notification was received </w:t>
      </w:r>
      <w:r w:rsidRPr="006747CE">
        <w:rPr>
          <w:rFonts w:eastAsia="Calibri" w:cs="Calibri"/>
          <w:szCs w:val="26"/>
        </w:rPr>
        <w:t xml:space="preserve">in the April 15 Compliance Filing through 2032 as required by this decision. </w:t>
      </w:r>
    </w:p>
    <w:p w:rsidRPr="006747CE" w:rsidR="006747CE" w:rsidP="006747CE" w:rsidRDefault="006747CE" w14:paraId="707E3E32" w14:textId="77777777">
      <w:pPr>
        <w:spacing w:after="160"/>
        <w:ind w:firstLine="0"/>
        <w:rPr>
          <w:rFonts w:eastAsia="Calibri" w:cs="Calibri"/>
          <w:szCs w:val="26"/>
        </w:rPr>
      </w:pPr>
      <w:r w:rsidRPr="006747CE">
        <w:rPr>
          <w:rFonts w:eastAsia="Calibri" w:cs="Calibri"/>
          <w:szCs w:val="26"/>
        </w:rPr>
        <w:t xml:space="preserve"> </w:t>
      </w:r>
      <w:r w:rsidRPr="006747CE">
        <w:rPr>
          <w:rFonts w:eastAsia="Calibri" w:cs="Calibri"/>
          <w:szCs w:val="26"/>
        </w:rPr>
        <w:tab/>
        <w:t xml:space="preserve">The CETF Settlement appropriately references an annual written communication with tribes whereas the dicta in the decision adopted by the Commission references an “email consultation.”  An email or written letter to contact each Tribe does not on its own fulfill the post-merger company’s </w:t>
      </w:r>
      <w:r w:rsidRPr="006747CE">
        <w:rPr>
          <w:rFonts w:eastAsia="Calibri" w:cs="Calibri"/>
          <w:szCs w:val="26"/>
        </w:rPr>
        <w:lastRenderedPageBreak/>
        <w:t xml:space="preserve">obligations set out in the settlement.  I expect the post-merger company to make every effort to directly contact each Tribe in its service territory and make a reasonable attempt to meet with each Tribe. This is reasonable given the adopted settlement requires the post-merger company to “designate at least one employee whose primary job responsibility shall include engagement with Tribal governments within the Combined Company Service Area.” </w:t>
      </w:r>
    </w:p>
    <w:p w:rsidRPr="006747CE" w:rsidR="006747CE" w:rsidP="006747CE" w:rsidRDefault="006747CE" w14:paraId="3624E845" w14:textId="77777777">
      <w:pPr>
        <w:spacing w:after="160"/>
        <w:rPr>
          <w:rFonts w:eastAsia="Times New Roman" w:cs="Times New Roman"/>
          <w:szCs w:val="26"/>
        </w:rPr>
      </w:pPr>
      <w:r w:rsidRPr="006747CE">
        <w:rPr>
          <w:rFonts w:eastAsia="Calibri" w:cs="Calibri"/>
          <w:szCs w:val="26"/>
        </w:rPr>
        <w:t xml:space="preserve">As I stated during my comments during the August 13, 2026, voting meeting: I do want to recognize that in many areas of the state low-income communities and rural, tribal communities pay a higher cost for services, often with only one, maybe two providers in their area, while in more affluent areas where there is more competition, customers are paying less. I am hopeful that the provisions adopted in this decision will provide better pricing options for all customers and result in positive and productive ongoing communications between the post-merger company and California Native American Tribes. </w:t>
      </w:r>
    </w:p>
    <w:p w:rsidRPr="006747CE" w:rsidR="006747CE" w:rsidP="006747CE" w:rsidRDefault="006747CE" w14:paraId="40EF6C51" w14:textId="77777777">
      <w:pPr>
        <w:spacing w:after="160"/>
        <w:ind w:firstLine="0"/>
        <w:rPr>
          <w:rFonts w:eastAsia="Calibri" w:cs="Times New Roman"/>
          <w:szCs w:val="26"/>
        </w:rPr>
      </w:pPr>
    </w:p>
    <w:p w:rsidR="006747CE" w:rsidP="006926A3" w:rsidRDefault="006747CE" w14:paraId="5FAE7062" w14:textId="77777777">
      <w:pPr>
        <w:widowControl w:val="0"/>
        <w:autoSpaceDE w:val="0"/>
        <w:autoSpaceDN w:val="0"/>
        <w:spacing w:line="240" w:lineRule="auto"/>
        <w:ind w:left="2" w:right="3" w:firstLine="0"/>
        <w:jc w:val="center"/>
        <w:rPr>
          <w:rFonts w:eastAsia="Book Antiqua" w:cs="Book Antiqua"/>
          <w:sz w:val="56"/>
          <w:szCs w:val="56"/>
        </w:rPr>
      </w:pPr>
    </w:p>
    <w:p w:rsidR="006747CE" w:rsidP="006926A3" w:rsidRDefault="006747CE" w14:paraId="0481C590" w14:textId="77777777">
      <w:pPr>
        <w:widowControl w:val="0"/>
        <w:autoSpaceDE w:val="0"/>
        <w:autoSpaceDN w:val="0"/>
        <w:spacing w:line="240" w:lineRule="auto"/>
        <w:ind w:left="2" w:right="3" w:firstLine="0"/>
        <w:jc w:val="center"/>
        <w:rPr>
          <w:rFonts w:eastAsia="Book Antiqua" w:cs="Book Antiqua"/>
          <w:sz w:val="56"/>
          <w:szCs w:val="56"/>
        </w:rPr>
      </w:pPr>
    </w:p>
    <w:p w:rsidR="006747CE" w:rsidP="006926A3" w:rsidRDefault="006747CE" w14:paraId="5BCF19C4" w14:textId="77777777">
      <w:pPr>
        <w:widowControl w:val="0"/>
        <w:autoSpaceDE w:val="0"/>
        <w:autoSpaceDN w:val="0"/>
        <w:spacing w:line="240" w:lineRule="auto"/>
        <w:ind w:left="2" w:right="3" w:firstLine="0"/>
        <w:jc w:val="center"/>
        <w:rPr>
          <w:rFonts w:eastAsia="Book Antiqua" w:cs="Book Antiqua"/>
          <w:sz w:val="56"/>
          <w:szCs w:val="56"/>
        </w:rPr>
        <w:sectPr w:rsidR="006747CE" w:rsidSect="00ED7410">
          <w:pgSz w:w="12240" w:h="15840"/>
          <w:pgMar w:top="1728" w:right="1440" w:bottom="1440" w:left="1440" w:header="720" w:footer="720" w:gutter="0"/>
          <w:pgNumType w:start="1"/>
          <w:cols w:space="720"/>
          <w:docGrid w:linePitch="360"/>
        </w:sectPr>
      </w:pPr>
    </w:p>
    <w:p w:rsidRPr="006926A3" w:rsidR="006926A3" w:rsidP="006926A3" w:rsidRDefault="006926A3" w14:paraId="699CD02E" w14:textId="65544473">
      <w:pPr>
        <w:widowControl w:val="0"/>
        <w:autoSpaceDE w:val="0"/>
        <w:autoSpaceDN w:val="0"/>
        <w:spacing w:line="240" w:lineRule="auto"/>
        <w:ind w:left="2" w:right="3" w:firstLine="0"/>
        <w:jc w:val="center"/>
        <w:rPr>
          <w:rFonts w:eastAsia="Book Antiqua" w:cs="Book Antiqua"/>
          <w:sz w:val="56"/>
          <w:szCs w:val="56"/>
        </w:rPr>
      </w:pPr>
      <w:r>
        <w:rPr>
          <w:rFonts w:eastAsia="Book Antiqua" w:cs="Book Antiqua"/>
          <w:sz w:val="56"/>
          <w:szCs w:val="56"/>
        </w:rPr>
        <w:lastRenderedPageBreak/>
        <w:t xml:space="preserve">ATTACHMENT </w:t>
      </w:r>
      <w:r w:rsidRPr="006926A3">
        <w:rPr>
          <w:rFonts w:eastAsia="Book Antiqua" w:cs="Book Antiqua"/>
          <w:spacing w:val="-7"/>
          <w:sz w:val="56"/>
          <w:szCs w:val="56"/>
        </w:rPr>
        <w:t xml:space="preserve"> </w:t>
      </w:r>
      <w:r w:rsidRPr="006926A3">
        <w:rPr>
          <w:rFonts w:eastAsia="Book Antiqua" w:cs="Book Antiqua"/>
          <w:spacing w:val="-10"/>
          <w:sz w:val="56"/>
          <w:szCs w:val="56"/>
        </w:rPr>
        <w:t>A</w:t>
      </w:r>
    </w:p>
    <w:p w:rsidR="006926A3" w:rsidP="006926A3" w:rsidRDefault="006926A3" w14:paraId="3FEB5C90" w14:textId="3B5EF16B">
      <w:pPr>
        <w:widowControl w:val="0"/>
        <w:autoSpaceDE w:val="0"/>
        <w:autoSpaceDN w:val="0"/>
        <w:spacing w:before="271" w:line="240" w:lineRule="auto"/>
        <w:ind w:left="4" w:right="3" w:firstLine="0"/>
        <w:jc w:val="center"/>
        <w:rPr>
          <w:rFonts w:hAnsi="Calibri" w:eastAsia="Calibri" w:cs="Calibri"/>
          <w:spacing w:val="-2"/>
          <w:szCs w:val="26"/>
        </w:rPr>
      </w:pPr>
      <w:r w:rsidRPr="006926A3">
        <w:rPr>
          <w:rFonts w:hAnsi="Calibri" w:eastAsia="Calibri" w:cs="Calibri"/>
          <w:szCs w:val="26"/>
        </w:rPr>
        <w:t>(Charter/Cal</w:t>
      </w:r>
      <w:r w:rsidRPr="006926A3">
        <w:rPr>
          <w:rFonts w:hAnsi="Calibri" w:eastAsia="Calibri" w:cs="Calibri"/>
          <w:spacing w:val="-6"/>
          <w:szCs w:val="26"/>
        </w:rPr>
        <w:t xml:space="preserve"> </w:t>
      </w:r>
      <w:r w:rsidRPr="006926A3">
        <w:rPr>
          <w:rFonts w:hAnsi="Calibri" w:eastAsia="Calibri" w:cs="Calibri"/>
          <w:szCs w:val="26"/>
        </w:rPr>
        <w:t>Advocates</w:t>
      </w:r>
      <w:r w:rsidRPr="006926A3">
        <w:rPr>
          <w:rFonts w:hAnsi="Calibri" w:eastAsia="Calibri" w:cs="Calibri"/>
          <w:spacing w:val="-4"/>
          <w:szCs w:val="26"/>
        </w:rPr>
        <w:t xml:space="preserve"> </w:t>
      </w:r>
      <w:r w:rsidRPr="006926A3">
        <w:rPr>
          <w:rFonts w:hAnsi="Calibri" w:eastAsia="Calibri" w:cs="Calibri"/>
          <w:szCs w:val="26"/>
        </w:rPr>
        <w:t>Settlement</w:t>
      </w:r>
      <w:r w:rsidRPr="006926A3">
        <w:rPr>
          <w:rFonts w:hAnsi="Calibri" w:eastAsia="Calibri" w:cs="Calibri"/>
          <w:spacing w:val="-4"/>
          <w:szCs w:val="26"/>
        </w:rPr>
        <w:t xml:space="preserve"> </w:t>
      </w:r>
      <w:r w:rsidRPr="006926A3">
        <w:rPr>
          <w:rFonts w:hAnsi="Calibri" w:eastAsia="Calibri" w:cs="Calibri"/>
          <w:spacing w:val="-2"/>
          <w:szCs w:val="26"/>
        </w:rPr>
        <w:t>Agreement)</w:t>
      </w:r>
    </w:p>
    <w:p w:rsidR="006926A3" w:rsidP="006926A3" w:rsidRDefault="006926A3" w14:paraId="3D422114" w14:textId="77777777">
      <w:pPr>
        <w:widowControl w:val="0"/>
        <w:autoSpaceDE w:val="0"/>
        <w:autoSpaceDN w:val="0"/>
        <w:spacing w:before="271" w:line="240" w:lineRule="auto"/>
        <w:ind w:left="4" w:right="3" w:firstLine="0"/>
        <w:jc w:val="center"/>
        <w:rPr>
          <w:rFonts w:hAnsi="Calibri" w:eastAsia="Calibri" w:cs="Calibri"/>
          <w:spacing w:val="-2"/>
          <w:szCs w:val="26"/>
        </w:rPr>
      </w:pPr>
    </w:p>
    <w:p w:rsidR="006926A3" w:rsidP="006926A3" w:rsidRDefault="006926A3" w14:paraId="3405A178" w14:textId="77777777">
      <w:pPr>
        <w:widowControl w:val="0"/>
        <w:autoSpaceDE w:val="0"/>
        <w:autoSpaceDN w:val="0"/>
        <w:spacing w:before="271" w:line="240" w:lineRule="auto"/>
        <w:ind w:left="4" w:right="3" w:firstLine="0"/>
        <w:jc w:val="center"/>
        <w:rPr>
          <w:rFonts w:hAnsi="Calibri" w:eastAsia="Calibri" w:cs="Calibri"/>
          <w:spacing w:val="-2"/>
          <w:szCs w:val="26"/>
        </w:rPr>
      </w:pPr>
    </w:p>
    <w:p w:rsidR="006926A3" w:rsidP="006926A3" w:rsidRDefault="006926A3" w14:paraId="6CD2CF75" w14:textId="77777777">
      <w:pPr>
        <w:widowControl w:val="0"/>
        <w:autoSpaceDE w:val="0"/>
        <w:autoSpaceDN w:val="0"/>
        <w:spacing w:before="271" w:line="240" w:lineRule="auto"/>
        <w:ind w:left="4" w:right="3" w:firstLine="0"/>
        <w:jc w:val="center"/>
        <w:rPr>
          <w:rFonts w:hAnsi="Calibri" w:eastAsia="Calibri" w:cs="Calibri"/>
          <w:b/>
          <w:bCs/>
          <w:spacing w:val="-2"/>
          <w:szCs w:val="26"/>
        </w:rPr>
        <w:sectPr w:rsidR="006926A3" w:rsidSect="00ED7410">
          <w:pgSz w:w="12240" w:h="15840"/>
          <w:pgMar w:top="1728" w:right="1440" w:bottom="1440" w:left="1440" w:header="720" w:footer="720" w:gutter="0"/>
          <w:pgNumType w:start="1"/>
          <w:cols w:space="720"/>
          <w:docGrid w:linePitch="360"/>
        </w:sectPr>
      </w:pPr>
      <w:r>
        <w:rPr>
          <w:rFonts w:hAnsi="Calibri" w:eastAsia="Calibri" w:cs="Calibri"/>
          <w:b/>
          <w:bCs/>
          <w:spacing w:val="-2"/>
          <w:szCs w:val="26"/>
        </w:rPr>
        <w:t>(END OF ATTACHMENT A</w:t>
      </w:r>
    </w:p>
    <w:p w:rsidR="006926A3" w:rsidP="006926A3" w:rsidRDefault="006926A3" w14:paraId="66389885" w14:textId="6F4089A2">
      <w:pPr>
        <w:widowControl w:val="0"/>
        <w:autoSpaceDE w:val="0"/>
        <w:autoSpaceDN w:val="0"/>
        <w:spacing w:line="240" w:lineRule="auto"/>
        <w:ind w:left="1" w:right="2" w:firstLine="0"/>
        <w:jc w:val="center"/>
        <w:rPr>
          <w:rFonts w:eastAsia="Book Antiqua" w:cs="Book Antiqua"/>
          <w:spacing w:val="-10"/>
          <w:sz w:val="56"/>
          <w:szCs w:val="56"/>
        </w:rPr>
      </w:pPr>
      <w:r w:rsidRPr="006926A3">
        <w:rPr>
          <w:rFonts w:eastAsia="Book Antiqua" w:cs="Book Antiqua"/>
          <w:sz w:val="56"/>
          <w:szCs w:val="56"/>
        </w:rPr>
        <w:lastRenderedPageBreak/>
        <w:t>ATTACHMENT</w:t>
      </w:r>
      <w:r w:rsidRPr="006926A3">
        <w:rPr>
          <w:rFonts w:eastAsia="Book Antiqua" w:cs="Book Antiqua"/>
          <w:spacing w:val="-6"/>
          <w:sz w:val="56"/>
          <w:szCs w:val="56"/>
        </w:rPr>
        <w:t xml:space="preserve"> </w:t>
      </w:r>
      <w:r w:rsidRPr="006926A3">
        <w:rPr>
          <w:rFonts w:eastAsia="Book Antiqua" w:cs="Book Antiqua"/>
          <w:spacing w:val="-10"/>
          <w:sz w:val="56"/>
          <w:szCs w:val="56"/>
        </w:rPr>
        <w:t>B</w:t>
      </w:r>
    </w:p>
    <w:p w:rsidRPr="006926A3" w:rsidR="006926A3" w:rsidP="006926A3" w:rsidRDefault="006926A3" w14:paraId="0C3A8A25" w14:textId="77777777">
      <w:pPr>
        <w:widowControl w:val="0"/>
        <w:autoSpaceDE w:val="0"/>
        <w:autoSpaceDN w:val="0"/>
        <w:spacing w:line="240" w:lineRule="auto"/>
        <w:ind w:left="1" w:right="2" w:firstLine="0"/>
        <w:jc w:val="center"/>
        <w:rPr>
          <w:rFonts w:eastAsia="Book Antiqua" w:cs="Book Antiqua"/>
          <w:sz w:val="56"/>
          <w:szCs w:val="56"/>
        </w:rPr>
      </w:pPr>
    </w:p>
    <w:p w:rsidR="006926A3" w:rsidP="006926A3" w:rsidRDefault="006926A3" w14:paraId="244015BD" w14:textId="1F038206">
      <w:pPr>
        <w:widowControl w:val="0"/>
        <w:autoSpaceDE w:val="0"/>
        <w:autoSpaceDN w:val="0"/>
        <w:spacing w:line="278" w:lineRule="auto"/>
        <w:ind w:left="2" w:right="1" w:firstLine="0"/>
        <w:jc w:val="center"/>
        <w:rPr>
          <w:rFonts w:hAnsi="Calibri" w:eastAsia="Calibri" w:cs="Calibri"/>
          <w:szCs w:val="26"/>
        </w:rPr>
      </w:pPr>
      <w:r>
        <w:rPr>
          <w:rFonts w:hAnsi="Calibri" w:eastAsia="Calibri" w:cs="Calibri"/>
          <w:szCs w:val="26"/>
        </w:rPr>
        <w:t>(</w:t>
      </w:r>
      <w:r w:rsidRPr="006926A3">
        <w:rPr>
          <w:rFonts w:hAnsi="Calibri" w:eastAsia="Calibri" w:cs="Calibri"/>
          <w:szCs w:val="26"/>
        </w:rPr>
        <w:t>Public</w:t>
      </w:r>
      <w:r w:rsidRPr="006926A3">
        <w:rPr>
          <w:rFonts w:hAnsi="Calibri" w:eastAsia="Calibri" w:cs="Calibri"/>
          <w:spacing w:val="-7"/>
          <w:szCs w:val="26"/>
        </w:rPr>
        <w:t xml:space="preserve"> </w:t>
      </w:r>
      <w:r w:rsidRPr="006926A3">
        <w:rPr>
          <w:rFonts w:hAnsi="Calibri" w:eastAsia="Calibri" w:cs="Calibri"/>
          <w:szCs w:val="26"/>
        </w:rPr>
        <w:t>Benefits</w:t>
      </w:r>
      <w:r w:rsidRPr="006926A3">
        <w:rPr>
          <w:rFonts w:hAnsi="Calibri" w:eastAsia="Calibri" w:cs="Calibri"/>
          <w:spacing w:val="-9"/>
          <w:szCs w:val="26"/>
        </w:rPr>
        <w:t xml:space="preserve"> </w:t>
      </w:r>
      <w:r w:rsidRPr="006926A3">
        <w:rPr>
          <w:rFonts w:hAnsi="Calibri" w:eastAsia="Calibri" w:cs="Calibri"/>
          <w:szCs w:val="26"/>
        </w:rPr>
        <w:t>Memorandum</w:t>
      </w:r>
      <w:r w:rsidRPr="006926A3">
        <w:rPr>
          <w:rFonts w:hAnsi="Calibri" w:eastAsia="Calibri" w:cs="Calibri"/>
          <w:spacing w:val="-8"/>
          <w:szCs w:val="26"/>
        </w:rPr>
        <w:t xml:space="preserve"> </w:t>
      </w:r>
      <w:r w:rsidRPr="006926A3">
        <w:rPr>
          <w:rFonts w:hAnsi="Calibri" w:eastAsia="Calibri" w:cs="Calibri"/>
          <w:szCs w:val="26"/>
        </w:rPr>
        <w:t>of</w:t>
      </w:r>
      <w:r w:rsidRPr="006926A3">
        <w:rPr>
          <w:rFonts w:hAnsi="Calibri" w:eastAsia="Calibri" w:cs="Calibri"/>
          <w:spacing w:val="-8"/>
          <w:szCs w:val="26"/>
        </w:rPr>
        <w:t xml:space="preserve"> </w:t>
      </w:r>
      <w:r w:rsidRPr="006926A3">
        <w:rPr>
          <w:rFonts w:hAnsi="Calibri" w:eastAsia="Calibri" w:cs="Calibri"/>
          <w:szCs w:val="26"/>
        </w:rPr>
        <w:t>Understanding</w:t>
      </w:r>
      <w:r w:rsidRPr="006926A3">
        <w:rPr>
          <w:rFonts w:hAnsi="Calibri" w:eastAsia="Calibri" w:cs="Calibri"/>
          <w:spacing w:val="-8"/>
          <w:szCs w:val="26"/>
        </w:rPr>
        <w:t xml:space="preserve"> </w:t>
      </w:r>
      <w:r w:rsidRPr="006926A3">
        <w:rPr>
          <w:rFonts w:hAnsi="Calibri" w:eastAsia="Calibri" w:cs="Calibri"/>
          <w:szCs w:val="26"/>
        </w:rPr>
        <w:t>between California Emerging Technology Fund and Charter Communications, Inc.</w:t>
      </w:r>
      <w:r>
        <w:rPr>
          <w:rFonts w:hAnsi="Calibri" w:eastAsia="Calibri" w:cs="Calibri"/>
          <w:szCs w:val="26"/>
        </w:rPr>
        <w:t>)</w:t>
      </w:r>
    </w:p>
    <w:p w:rsidR="006926A3" w:rsidP="006926A3" w:rsidRDefault="006926A3" w14:paraId="653F4667" w14:textId="77777777">
      <w:pPr>
        <w:widowControl w:val="0"/>
        <w:autoSpaceDE w:val="0"/>
        <w:autoSpaceDN w:val="0"/>
        <w:spacing w:line="278" w:lineRule="auto"/>
        <w:ind w:left="2" w:right="1" w:firstLine="0"/>
        <w:jc w:val="center"/>
        <w:rPr>
          <w:rFonts w:hAnsi="Calibri" w:eastAsia="Calibri" w:cs="Calibri"/>
          <w:szCs w:val="26"/>
        </w:rPr>
      </w:pPr>
    </w:p>
    <w:p w:rsidR="006926A3" w:rsidP="006926A3" w:rsidRDefault="006926A3" w14:paraId="1C436EF4" w14:textId="77777777">
      <w:pPr>
        <w:widowControl w:val="0"/>
        <w:autoSpaceDE w:val="0"/>
        <w:autoSpaceDN w:val="0"/>
        <w:spacing w:line="278" w:lineRule="auto"/>
        <w:ind w:left="2" w:right="1" w:firstLine="0"/>
        <w:jc w:val="center"/>
        <w:rPr>
          <w:rFonts w:hAnsi="Calibri" w:eastAsia="Calibri" w:cs="Calibri"/>
          <w:szCs w:val="26"/>
        </w:rPr>
      </w:pPr>
    </w:p>
    <w:p w:rsidR="006926A3" w:rsidP="006926A3" w:rsidRDefault="006926A3" w14:paraId="599D86E5" w14:textId="77777777">
      <w:pPr>
        <w:widowControl w:val="0"/>
        <w:autoSpaceDE w:val="0"/>
        <w:autoSpaceDN w:val="0"/>
        <w:spacing w:line="278" w:lineRule="auto"/>
        <w:ind w:left="2" w:right="1" w:firstLine="0"/>
        <w:jc w:val="center"/>
        <w:rPr>
          <w:rFonts w:hAnsi="Calibri" w:eastAsia="Calibri" w:cs="Calibri"/>
          <w:szCs w:val="26"/>
        </w:rPr>
      </w:pPr>
    </w:p>
    <w:p w:rsidRPr="006926A3" w:rsidR="006926A3" w:rsidP="006926A3" w:rsidRDefault="006926A3" w14:paraId="1E2ED995" w14:textId="27E9F159">
      <w:pPr>
        <w:widowControl w:val="0"/>
        <w:autoSpaceDE w:val="0"/>
        <w:autoSpaceDN w:val="0"/>
        <w:spacing w:line="278" w:lineRule="auto"/>
        <w:ind w:left="2" w:right="1" w:firstLine="0"/>
        <w:jc w:val="center"/>
        <w:rPr>
          <w:rFonts w:hAnsi="Calibri" w:eastAsia="Calibri" w:cs="Calibri"/>
          <w:b/>
          <w:bCs/>
          <w:szCs w:val="26"/>
        </w:rPr>
      </w:pPr>
      <w:r>
        <w:rPr>
          <w:rFonts w:hAnsi="Calibri" w:eastAsia="Calibri" w:cs="Calibri"/>
          <w:b/>
          <w:bCs/>
          <w:szCs w:val="26"/>
        </w:rPr>
        <w:t xml:space="preserve">(END OF ATTACHMENT B) </w:t>
      </w:r>
    </w:p>
    <w:p w:rsidRPr="006926A3" w:rsidR="006926A3" w:rsidP="006926A3" w:rsidRDefault="006926A3" w14:paraId="570AA43F" w14:textId="76A0713B">
      <w:pPr>
        <w:widowControl w:val="0"/>
        <w:autoSpaceDE w:val="0"/>
        <w:autoSpaceDN w:val="0"/>
        <w:spacing w:before="271" w:line="240" w:lineRule="auto"/>
        <w:ind w:left="4" w:right="3" w:firstLine="0"/>
        <w:jc w:val="center"/>
        <w:rPr>
          <w:rFonts w:hAnsi="Calibri" w:eastAsia="Calibri" w:cs="Calibri"/>
          <w:b/>
          <w:bCs/>
          <w:szCs w:val="26"/>
        </w:rPr>
      </w:pPr>
    </w:p>
    <w:p w:rsidRPr="00714CF2" w:rsidR="00714CF2" w:rsidP="00816E05" w:rsidRDefault="00714CF2" w14:paraId="431F6945" w14:textId="4CCFF7B9"/>
    <w:sectPr w:rsidRPr="00714CF2" w:rsidR="00714CF2" w:rsidSect="0022271E">
      <w:pgSz w:w="12240" w:h="15840"/>
      <w:pgMar w:top="1728" w:right="1440" w:bottom="1440" w:left="1440" w:header="720" w:footer="720" w:gutter="0"/>
      <w:pgNumType w:start="2"/>
      <w:cols w:space="720"/>
      <w:docGrid w:linePitch="360"/>
    </w:sectPr>
    <w:p>
      <w:r>
        <w:t xml:space="preserve"/>
      </w:r>
    </w:p>
    <w:p>
      <w:r>
        <w:t xml:space="preserve">Attachment 1: </w:t>
      </w:r>
    </w:p>
    <w:p>
      <w:hyperlink w:history="true" r:id="Rb22e6a8755664d9e">
        <w:r w:rsidRPr="00CB1292">
          <w:rPr>
            <w:rStyle w:val="Hyperlink"/>
            <w:color w:val="2E74B5" w:themeColor="accent1" w:themeShade="BF"/>
            <w:u w:val="single"/>
          </w:rPr>
          <w:t>Attachment A.pdf</w:t>
        </w:r>
      </w:hyperlink>
    </w:p>
    <w:p>
      <w:r>
        <w:t xml:space="preserve"/>
      </w:r>
    </w:p>
    <w:p>
      <w:r>
        <w:t xml:space="preserve">Attachment 2: </w:t>
      </w:r>
    </w:p>
    <w:p>
      <w:hyperlink w:history="true" r:id="R758a896e79e94f9b">
        <w:r w:rsidRPr="00CB1292">
          <w:rPr>
            <w:rStyle w:val="Hyperlink"/>
            <w:color w:val="2E74B5" w:themeColor="accent1" w:themeShade="BF"/>
            <w:u w:val="single"/>
          </w:rPr>
          <w:t>Attachment B.pdf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5C535" w14:textId="77777777" w:rsidR="004C4FBF" w:rsidRDefault="004C4FBF" w:rsidP="0098138E">
      <w:pPr>
        <w:spacing w:line="240" w:lineRule="auto"/>
      </w:pPr>
      <w:r>
        <w:separator/>
      </w:r>
    </w:p>
  </w:endnote>
  <w:endnote w:type="continuationSeparator" w:id="0">
    <w:p w14:paraId="1813F474" w14:textId="77777777" w:rsidR="004C4FBF" w:rsidRDefault="004C4FBF"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3420-Identity-">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FB5C" w14:textId="243214EA" w:rsidR="0022271E" w:rsidRDefault="00980D0F" w:rsidP="006E0756">
    <w:pPr>
      <w:pStyle w:val="Footer"/>
      <w:ind w:firstLine="0"/>
    </w:pPr>
    <w:r w:rsidRPr="00980D0F">
      <w:rPr>
        <w:sz w:val="16"/>
        <w:szCs w:val="16"/>
      </w:rPr>
      <w:t>614996386</w:t>
    </w:r>
    <w:r w:rsidR="006E0756">
      <w:tab/>
      <w:t>-</w:t>
    </w:r>
    <w:sdt>
      <w:sdtPr>
        <w:id w:val="-848089270"/>
        <w:docPartObj>
          <w:docPartGallery w:val="Page Numbers (Bottom of Page)"/>
          <w:docPartUnique/>
        </w:docPartObj>
      </w:sdtPr>
      <w:sdtEndPr>
        <w:rPr>
          <w:noProof/>
        </w:rPr>
      </w:sdtEndPr>
      <w:sdtContent>
        <w:r w:rsidR="0022271E">
          <w:fldChar w:fldCharType="begin"/>
        </w:r>
        <w:r w:rsidR="0022271E">
          <w:instrText xml:space="preserve"> PAGE   \* MERGEFORMAT </w:instrText>
        </w:r>
        <w:r w:rsidR="0022271E">
          <w:fldChar w:fldCharType="separate"/>
        </w:r>
        <w:r w:rsidR="0022271E">
          <w:rPr>
            <w:noProof/>
          </w:rPr>
          <w:t>2</w:t>
        </w:r>
        <w:r w:rsidR="0022271E">
          <w:rPr>
            <w:noProof/>
          </w:rPr>
          <w:fldChar w:fldCharType="end"/>
        </w:r>
        <w:r w:rsidR="006E0756">
          <w:rPr>
            <w:noProof/>
          </w:rPr>
          <w:t>-</w:t>
        </w:r>
      </w:sdtContent>
    </w:sdt>
  </w:p>
  <w:p w14:paraId="08328E36" w14:textId="77777777" w:rsidR="0022271E" w:rsidRDefault="0022271E" w:rsidP="007E0FEE">
    <w:pPr>
      <w:tabs>
        <w:tab w:val="center" w:pos="4680"/>
      </w:tabs>
      <w:ind w:firstLine="0"/>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8B3D"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D819" w14:textId="01FE514F" w:rsidR="00ED7410" w:rsidRDefault="00ED7410" w:rsidP="00ED7410">
    <w:pPr>
      <w:pStyle w:val="Footer"/>
      <w:ind w:firstLine="0"/>
      <w:jc w:val="center"/>
    </w:pPr>
    <w:r>
      <w:t>-</w:t>
    </w:r>
    <w:sdt>
      <w:sdtPr>
        <w:id w:val="-14072933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55B4FEDC" w14:textId="14C25384" w:rsidR="00E23CBB" w:rsidRDefault="00E23CBB" w:rsidP="007E0FEE">
    <w:pP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4AEF2" w14:textId="77777777" w:rsidR="004C4FBF" w:rsidRDefault="004C4FBF" w:rsidP="00DF58E7">
      <w:pPr>
        <w:spacing w:line="240" w:lineRule="auto"/>
        <w:ind w:firstLine="0"/>
      </w:pPr>
      <w:r>
        <w:separator/>
      </w:r>
    </w:p>
  </w:footnote>
  <w:footnote w:type="continuationSeparator" w:id="0">
    <w:p w14:paraId="67121C98" w14:textId="77777777" w:rsidR="004C4FBF" w:rsidRDefault="004C4FBF" w:rsidP="00DF58E7">
      <w:pPr>
        <w:spacing w:line="240" w:lineRule="auto"/>
        <w:ind w:firstLine="0"/>
      </w:pPr>
      <w:r>
        <w:continuationSeparator/>
      </w:r>
    </w:p>
  </w:footnote>
  <w:footnote w:type="continuationNotice" w:id="1">
    <w:p w14:paraId="761FECB0" w14:textId="77777777" w:rsidR="004C4FBF" w:rsidRPr="00DF58E7" w:rsidRDefault="004C4FBF" w:rsidP="00DF58E7">
      <w:pPr>
        <w:spacing w:line="240" w:lineRule="auto"/>
        <w:ind w:firstLine="0"/>
        <w:jc w:val="right"/>
        <w:rPr>
          <w:i/>
          <w:sz w:val="22"/>
        </w:rPr>
      </w:pPr>
      <w:r w:rsidRPr="00DF58E7">
        <w:rPr>
          <w:i/>
          <w:sz w:val="22"/>
        </w:rPr>
        <w:t>Footnote continued on next page.</w:t>
      </w:r>
    </w:p>
  </w:footnote>
  <w:footnote w:id="2">
    <w:p w14:paraId="3743CC9B" w14:textId="1F55E86B" w:rsidR="000540DE" w:rsidRDefault="000540DE" w:rsidP="000540DE">
      <w:pPr>
        <w:pStyle w:val="FootnoteText"/>
      </w:pPr>
      <w:r>
        <w:rPr>
          <w:rStyle w:val="FootnoteReference"/>
        </w:rPr>
        <w:footnoteRef/>
      </w:r>
      <w:r>
        <w:t xml:space="preserve"> Joint Application at 1.  </w:t>
      </w:r>
    </w:p>
  </w:footnote>
  <w:footnote w:id="3">
    <w:p w14:paraId="3F0D2788" w14:textId="0AC02683" w:rsidR="000540DE" w:rsidRDefault="000540DE" w:rsidP="000540DE">
      <w:pPr>
        <w:pStyle w:val="FootnoteText"/>
      </w:pPr>
      <w:r>
        <w:rPr>
          <w:rStyle w:val="FootnoteReference"/>
        </w:rPr>
        <w:footnoteRef/>
      </w:r>
      <w:r>
        <w:t xml:space="preserve"> </w:t>
      </w:r>
      <w:r w:rsidR="00FC70BB" w:rsidRPr="007238AE">
        <w:rPr>
          <w:i/>
          <w:iCs/>
        </w:rPr>
        <w:t>Id.</w:t>
      </w:r>
      <w:r>
        <w:t xml:space="preserve"> at 1.</w:t>
      </w:r>
    </w:p>
  </w:footnote>
  <w:footnote w:id="4">
    <w:p w14:paraId="76B26259" w14:textId="4F51892D" w:rsidR="000540DE" w:rsidRDefault="000540DE" w:rsidP="000540DE">
      <w:pPr>
        <w:pStyle w:val="FootnoteText"/>
      </w:pPr>
      <w:r>
        <w:rPr>
          <w:rStyle w:val="FootnoteReference"/>
        </w:rPr>
        <w:footnoteRef/>
      </w:r>
      <w:r>
        <w:t xml:space="preserve"> </w:t>
      </w:r>
      <w:r w:rsidR="00FC70BB" w:rsidRPr="007238AE">
        <w:rPr>
          <w:i/>
          <w:iCs/>
        </w:rPr>
        <w:t>Id.</w:t>
      </w:r>
      <w:r>
        <w:t xml:space="preserve"> at 3-4. </w:t>
      </w:r>
    </w:p>
  </w:footnote>
  <w:footnote w:id="5">
    <w:p w14:paraId="3473D749" w14:textId="4CB633FF" w:rsidR="000540DE" w:rsidRDefault="000540DE" w:rsidP="000540DE">
      <w:pPr>
        <w:pStyle w:val="FootnoteText"/>
      </w:pPr>
      <w:r>
        <w:rPr>
          <w:rStyle w:val="FootnoteReference"/>
        </w:rPr>
        <w:footnoteRef/>
      </w:r>
      <w:r>
        <w:t xml:space="preserve"> </w:t>
      </w:r>
      <w:r w:rsidR="00FC70BB" w:rsidRPr="007238AE">
        <w:rPr>
          <w:i/>
          <w:iCs/>
        </w:rPr>
        <w:t>Id.</w:t>
      </w:r>
      <w:r>
        <w:t xml:space="preserve"> at 5. </w:t>
      </w:r>
    </w:p>
  </w:footnote>
  <w:footnote w:id="6">
    <w:p w14:paraId="5B16D52C" w14:textId="07A1E117" w:rsidR="000540DE" w:rsidRDefault="000540DE" w:rsidP="000540DE">
      <w:pPr>
        <w:pStyle w:val="FootnoteText"/>
      </w:pPr>
      <w:r>
        <w:rPr>
          <w:rStyle w:val="FootnoteReference"/>
        </w:rPr>
        <w:footnoteRef/>
      </w:r>
      <w:r>
        <w:t xml:space="preserve"> </w:t>
      </w:r>
      <w:r w:rsidR="00FC70BB" w:rsidRPr="007238AE">
        <w:rPr>
          <w:i/>
          <w:iCs/>
        </w:rPr>
        <w:t>Id.</w:t>
      </w:r>
      <w:r>
        <w:t>at 5.</w:t>
      </w:r>
    </w:p>
  </w:footnote>
  <w:footnote w:id="7">
    <w:p w14:paraId="72D627B0" w14:textId="77777777" w:rsidR="00DE554E" w:rsidRDefault="00DE554E" w:rsidP="00DE554E">
      <w:pPr>
        <w:pStyle w:val="FootnoteText"/>
      </w:pPr>
      <w:r>
        <w:rPr>
          <w:rStyle w:val="FootnoteReference"/>
        </w:rPr>
        <w:footnoteRef/>
      </w:r>
      <w:r>
        <w:t xml:space="preserve"> </w:t>
      </w:r>
      <w:r w:rsidRPr="007238AE">
        <w:rPr>
          <w:i/>
          <w:iCs/>
        </w:rPr>
        <w:t>Id.</w:t>
      </w:r>
      <w:r>
        <w:t xml:space="preserve"> at 1-2.</w:t>
      </w:r>
    </w:p>
  </w:footnote>
  <w:footnote w:id="8">
    <w:p w14:paraId="225E35BA" w14:textId="77777777" w:rsidR="000540DE" w:rsidRDefault="000540DE" w:rsidP="000540DE">
      <w:pPr>
        <w:pStyle w:val="FootnoteText"/>
      </w:pPr>
      <w:r>
        <w:rPr>
          <w:rStyle w:val="FootnoteReference"/>
        </w:rPr>
        <w:footnoteRef/>
      </w:r>
      <w:r>
        <w:t xml:space="preserve"> Charter Response to Administrative Law Judge Inquiry, October 24, 2025, Post-Closing Corporate Structure Charts at Attachment C-2.</w:t>
      </w:r>
    </w:p>
  </w:footnote>
  <w:footnote w:id="9">
    <w:p w14:paraId="316EE3AD" w14:textId="77777777" w:rsidR="00C73D52" w:rsidRPr="006A6801" w:rsidRDefault="009E52C3" w:rsidP="00C73D52">
      <w:pPr>
        <w:spacing w:line="240" w:lineRule="auto"/>
        <w:ind w:firstLine="0"/>
        <w:rPr>
          <w:sz w:val="22"/>
        </w:rPr>
      </w:pPr>
      <w:r>
        <w:rPr>
          <w:rStyle w:val="FootnoteReference"/>
        </w:rPr>
        <w:footnoteRef/>
      </w:r>
      <w:r>
        <w:t xml:space="preserve"> </w:t>
      </w:r>
      <w:r w:rsidR="00C73D52" w:rsidRPr="006A6801">
        <w:rPr>
          <w:i/>
          <w:iCs/>
          <w:sz w:val="22"/>
        </w:rPr>
        <w:t>See</w:t>
      </w:r>
      <w:r w:rsidR="00C73D52" w:rsidRPr="006A6801">
        <w:rPr>
          <w:sz w:val="22"/>
        </w:rPr>
        <w:t xml:space="preserve"> 16 CFR </w:t>
      </w:r>
      <w:r w:rsidR="00C73D52" w:rsidRPr="006A6801">
        <w:rPr>
          <w:rFonts w:eastAsia="Aptos" w:cs="Aptos"/>
          <w:sz w:val="22"/>
        </w:rPr>
        <w:t>§</w:t>
      </w:r>
      <w:r w:rsidR="00C73D52" w:rsidRPr="006A6801">
        <w:rPr>
          <w:sz w:val="22"/>
        </w:rPr>
        <w:t xml:space="preserve"> 803.7(a.) </w:t>
      </w:r>
      <w:r w:rsidR="00C73D52" w:rsidRPr="006A6801">
        <w:rPr>
          <w:rFonts w:eastAsia="Aptos" w:cs="Aptos"/>
          <w:sz w:val="22"/>
        </w:rPr>
        <w:t>The Hart-Scott-Rodino Act (HSR) established the federal premerger notification program, which provides the FTC and the DOJ with information about large mergers before they occur. The parties to certain proposed transactions must submit premerger notification to the FTC and DOJ.</w:t>
      </w:r>
      <w:r w:rsidR="00C73D52">
        <w:rPr>
          <w:rFonts w:eastAsia="Aptos" w:cs="Aptos"/>
          <w:sz w:val="22"/>
        </w:rPr>
        <w:t xml:space="preserve"> </w:t>
      </w:r>
      <w:r w:rsidR="00C73D52" w:rsidRPr="006A6801">
        <w:rPr>
          <w:rFonts w:eastAsia="Aptos" w:cs="Aptos"/>
          <w:sz w:val="22"/>
        </w:rPr>
        <w:t xml:space="preserve"> Premerger notification involves completing an HSR Form, with information about each company’s business. This is also known as an HSR filing.  The parties may not close their deal until the waiting period outlined in the HSR Act has passed, or the government has granted early termination of the waiting period. </w:t>
      </w:r>
      <w:r w:rsidR="00C73D52" w:rsidRPr="006A6801">
        <w:rPr>
          <w:rFonts w:eastAsia="Aptos" w:cs="Aptos"/>
          <w:i/>
          <w:iCs/>
          <w:sz w:val="22"/>
        </w:rPr>
        <w:t>See</w:t>
      </w:r>
      <w:r w:rsidR="00C73D52" w:rsidRPr="006A6801">
        <w:rPr>
          <w:rFonts w:eastAsia="Aptos" w:cs="Aptos"/>
          <w:sz w:val="22"/>
        </w:rPr>
        <w:t xml:space="preserve"> </w:t>
      </w:r>
      <w:hyperlink r:id="rId1" w:history="1">
        <w:r w:rsidR="00C73D52" w:rsidRPr="006A6801">
          <w:rPr>
            <w:rStyle w:val="Hyperlink"/>
            <w:sz w:val="22"/>
          </w:rPr>
          <w:t>https://www.ftc.gov/enforcement/premerger-notification-program</w:t>
        </w:r>
      </w:hyperlink>
    </w:p>
    <w:p w14:paraId="06213586" w14:textId="77777777" w:rsidR="00C73D52" w:rsidRPr="006A6801" w:rsidRDefault="00C73D52" w:rsidP="00C73D52">
      <w:pPr>
        <w:spacing w:line="240" w:lineRule="auto"/>
        <w:ind w:firstLine="0"/>
        <w:rPr>
          <w:sz w:val="22"/>
        </w:rPr>
      </w:pPr>
    </w:p>
    <w:p w14:paraId="3B37DC41" w14:textId="335E7093" w:rsidR="009E52C3" w:rsidRPr="002E3902" w:rsidRDefault="00C73D52" w:rsidP="002E3902">
      <w:pPr>
        <w:spacing w:line="240" w:lineRule="auto"/>
        <w:ind w:firstLine="0"/>
        <w:rPr>
          <w:lang w:val="en-ZW"/>
        </w:rPr>
      </w:pPr>
      <w:r w:rsidRPr="006A6801">
        <w:rPr>
          <w:sz w:val="22"/>
        </w:rPr>
        <w:t xml:space="preserve">In their May 4, 2025, Motion to Modify the Deadlines to Comment on Settlements, Joint Applicants reported that their DOJ HSR clearance period expires on September 15, 2026.  </w:t>
      </w:r>
    </w:p>
  </w:footnote>
  <w:footnote w:id="10">
    <w:p w14:paraId="2545CE25" w14:textId="0BD8E0F0" w:rsidR="00815338" w:rsidRPr="002E3902" w:rsidRDefault="00815338">
      <w:pPr>
        <w:pStyle w:val="FootnoteText"/>
        <w:rPr>
          <w:lang w:val="en-ZW"/>
        </w:rPr>
      </w:pPr>
      <w:r>
        <w:rPr>
          <w:rStyle w:val="FootnoteReference"/>
        </w:rPr>
        <w:footnoteRef/>
      </w:r>
      <w:r>
        <w:t xml:space="preserve"> Parties are entitled to discovery under the Commission’s Rules of Practice and Procedure Article 10: </w:t>
      </w:r>
      <w:r w:rsidRPr="1BDCB520">
        <w:t>https://www.cpuc.ca.gov/proceedings-and-rulemaking/rules-of-practice-and-procedure.</w:t>
      </w:r>
    </w:p>
  </w:footnote>
  <w:footnote w:id="11">
    <w:p w14:paraId="10A1E56D" w14:textId="577FAAC7" w:rsidR="00F90C65" w:rsidRPr="002E3902" w:rsidRDefault="00F90C65">
      <w:pPr>
        <w:pStyle w:val="FootnoteText"/>
        <w:rPr>
          <w:lang w:val="en-ZW"/>
        </w:rPr>
      </w:pPr>
      <w:r>
        <w:rPr>
          <w:rStyle w:val="FootnoteReference"/>
        </w:rPr>
        <w:footnoteRef/>
      </w:r>
      <w:r>
        <w:t xml:space="preserve"> For more information about the timing and location of past public participation hearings, </w:t>
      </w:r>
      <w:r>
        <w:br/>
      </w:r>
      <w:r>
        <w:rPr>
          <w:i/>
          <w:iCs/>
        </w:rPr>
        <w:t xml:space="preserve">see </w:t>
      </w:r>
      <w:r>
        <w:t>Administrative Law Judge’s Ruling Noticing Public Participation Hearings and Providing Additional Instructions, February 12, 2026. Each PPH was transcribed by court reporters and transcriptions can be found on the Docket Card.</w:t>
      </w:r>
    </w:p>
  </w:footnote>
  <w:footnote w:id="12">
    <w:p w14:paraId="5636F171" w14:textId="77777777" w:rsidR="00936E4F" w:rsidRDefault="00694E27" w:rsidP="00936E4F">
      <w:pPr>
        <w:pStyle w:val="FootnoteText"/>
      </w:pPr>
      <w:r>
        <w:rPr>
          <w:rStyle w:val="FootnoteReference"/>
        </w:rPr>
        <w:footnoteRef/>
      </w:r>
      <w:r>
        <w:t xml:space="preserve"> </w:t>
      </w:r>
      <w:r w:rsidR="00936E4F">
        <w:t xml:space="preserve">Joint Applicants filed Motions to Strike portions of the testimony of Lee Selwyn and Tejas N. Narechania on April 1, 2026.  </w:t>
      </w:r>
    </w:p>
    <w:p w14:paraId="0B0883CD" w14:textId="14D94DE0" w:rsidR="00694E27" w:rsidRPr="002E3902" w:rsidRDefault="00936E4F" w:rsidP="00936E4F">
      <w:pPr>
        <w:pStyle w:val="FootnoteText"/>
        <w:rPr>
          <w:lang w:val="en-ZW"/>
        </w:rPr>
      </w:pPr>
      <w:r>
        <w:t>The Center for Accessible Technology and the Utility Reform Network filed a motion for an order barring Joint Applicants’ testimony regarding responses to the assigned Administrative Law Judge’s Fifth Ruling on April 14, 2026.</w:t>
      </w:r>
    </w:p>
  </w:footnote>
  <w:footnote w:id="13">
    <w:p w14:paraId="64ADB50B" w14:textId="4109330B" w:rsidR="004627B2" w:rsidRPr="002E3902" w:rsidRDefault="004627B2">
      <w:pPr>
        <w:pStyle w:val="FootnoteText"/>
        <w:rPr>
          <w:lang w:val="en-ZW"/>
        </w:rPr>
      </w:pPr>
      <w:r>
        <w:rPr>
          <w:rStyle w:val="FootnoteReference"/>
        </w:rPr>
        <w:footnoteRef/>
      </w:r>
      <w:r w:rsidR="00E56408">
        <w:t xml:space="preserve"> </w:t>
      </w:r>
      <w:r w:rsidR="00E56408" w:rsidRPr="00BC7274">
        <w:rPr>
          <w:lang w:val="en-ZW"/>
        </w:rPr>
        <w:t>Joint Motion</w:t>
      </w:r>
      <w:r w:rsidR="00E56408">
        <w:rPr>
          <w:i/>
          <w:iCs/>
          <w:lang w:val="en-ZW"/>
        </w:rPr>
        <w:t xml:space="preserve"> </w:t>
      </w:r>
      <w:r w:rsidR="00E56408">
        <w:rPr>
          <w:lang w:val="en-ZW"/>
        </w:rPr>
        <w:t xml:space="preserve">of Charter </w:t>
      </w:r>
      <w:r w:rsidR="00662772">
        <w:rPr>
          <w:lang w:val="en-ZW"/>
        </w:rPr>
        <w:t xml:space="preserve">and Public Advocates Office </w:t>
      </w:r>
      <w:r w:rsidR="00E56408">
        <w:rPr>
          <w:lang w:val="en-ZW"/>
        </w:rPr>
        <w:t>for Adoption of Settlement Agreement, May 1, 2026 at 1.</w:t>
      </w:r>
    </w:p>
  </w:footnote>
  <w:footnote w:id="14">
    <w:p w14:paraId="5D5A561A" w14:textId="478CBDFD" w:rsidR="00136F3E" w:rsidRPr="002E3902" w:rsidRDefault="00136F3E">
      <w:pPr>
        <w:pStyle w:val="FootnoteText"/>
        <w:rPr>
          <w:lang w:val="en-ZW"/>
        </w:rPr>
      </w:pPr>
      <w:r>
        <w:rPr>
          <w:rStyle w:val="FootnoteReference"/>
        </w:rPr>
        <w:footnoteRef/>
      </w:r>
      <w:r>
        <w:t xml:space="preserve"> </w:t>
      </w:r>
      <w:r w:rsidR="0064667F" w:rsidRPr="002E3902">
        <w:rPr>
          <w:lang w:val="en-ZW"/>
        </w:rPr>
        <w:t>Joint Motion</w:t>
      </w:r>
      <w:r w:rsidR="0064667F">
        <w:rPr>
          <w:i/>
          <w:iCs/>
          <w:lang w:val="en-ZW"/>
        </w:rPr>
        <w:t xml:space="preserve"> </w:t>
      </w:r>
      <w:r w:rsidR="0064667F">
        <w:rPr>
          <w:lang w:val="en-ZW"/>
        </w:rPr>
        <w:t>of Charter Communications, Inc. and California Emerging Technology Fund for Adoption of Settlement Agreement</w:t>
      </w:r>
      <w:r w:rsidR="00E56408">
        <w:rPr>
          <w:lang w:val="en-ZW"/>
        </w:rPr>
        <w:t>, May 1, 2026</w:t>
      </w:r>
      <w:r w:rsidR="0064667F">
        <w:rPr>
          <w:lang w:val="en-ZW"/>
        </w:rPr>
        <w:t xml:space="preserve"> at 1</w:t>
      </w:r>
      <w:r w:rsidR="00E56408">
        <w:rPr>
          <w:lang w:val="en-ZW"/>
        </w:rPr>
        <w:t>.</w:t>
      </w:r>
    </w:p>
  </w:footnote>
  <w:footnote w:id="15">
    <w:p w14:paraId="024BF61E" w14:textId="6ACF3B15" w:rsidR="00C60DA0" w:rsidRPr="002E3902" w:rsidRDefault="00C60DA0">
      <w:pPr>
        <w:pStyle w:val="FootnoteText"/>
        <w:rPr>
          <w:lang w:val="en-ZW"/>
        </w:rPr>
      </w:pPr>
      <w:r>
        <w:rPr>
          <w:rStyle w:val="FootnoteReference"/>
        </w:rPr>
        <w:footnoteRef/>
      </w:r>
      <w:r>
        <w:t xml:space="preserve"> </w:t>
      </w:r>
      <w:r w:rsidR="000278CC" w:rsidRPr="1BDCB520">
        <w:rPr>
          <w:i/>
          <w:iCs/>
        </w:rPr>
        <w:t xml:space="preserve">See, e.g., </w:t>
      </w:r>
      <w:r w:rsidR="000278CC">
        <w:t>D.96-09-074 (granting Cox California a certificate of public convenience and necessity to operate as a competitive local carrier in California and assigning Cox California a corporate identification number of U-5864-C).</w:t>
      </w:r>
    </w:p>
  </w:footnote>
  <w:footnote w:id="16">
    <w:p w14:paraId="7B6CC5C0" w14:textId="50A65710" w:rsidR="003E2A1F" w:rsidRPr="0047300F" w:rsidRDefault="003E2A1F">
      <w:pPr>
        <w:pStyle w:val="FootnoteText"/>
        <w:rPr>
          <w:lang w:val="en-ZW"/>
        </w:rPr>
      </w:pPr>
      <w:r>
        <w:rPr>
          <w:rStyle w:val="FootnoteReference"/>
        </w:rPr>
        <w:footnoteRef/>
      </w:r>
      <w:r>
        <w:t xml:space="preserve"> </w:t>
      </w:r>
      <w:r w:rsidR="0047300F">
        <w:rPr>
          <w:lang w:val="en-ZW"/>
        </w:rPr>
        <w:t>Joint Applicants</w:t>
      </w:r>
      <w:r w:rsidR="00575E1E">
        <w:rPr>
          <w:lang w:val="en-ZW"/>
        </w:rPr>
        <w:t xml:space="preserve">’ Post-Hearing Opening Brief </w:t>
      </w:r>
      <w:r>
        <w:rPr>
          <w:lang w:val="en-ZW"/>
        </w:rPr>
        <w:t xml:space="preserve">at </w:t>
      </w:r>
      <w:r w:rsidR="00B4628A">
        <w:rPr>
          <w:lang w:val="en-ZW"/>
        </w:rPr>
        <w:t>6-7</w:t>
      </w:r>
      <w:r w:rsidR="004F62CA">
        <w:rPr>
          <w:lang w:val="en-ZW"/>
        </w:rPr>
        <w:t xml:space="preserve"> and Opening Brief </w:t>
      </w:r>
      <w:r w:rsidR="0047300F">
        <w:rPr>
          <w:lang w:val="en-ZW"/>
        </w:rPr>
        <w:t xml:space="preserve">of California Emerging Technology Fund </w:t>
      </w:r>
      <w:r w:rsidR="004F62CA">
        <w:rPr>
          <w:lang w:val="en-ZW"/>
        </w:rPr>
        <w:t xml:space="preserve">at </w:t>
      </w:r>
      <w:r w:rsidR="00857F6A">
        <w:rPr>
          <w:lang w:val="en-ZW"/>
        </w:rPr>
        <w:t>6</w:t>
      </w:r>
      <w:r>
        <w:rPr>
          <w:lang w:val="en-ZW"/>
        </w:rPr>
        <w:t>.</w:t>
      </w:r>
    </w:p>
  </w:footnote>
  <w:footnote w:id="17">
    <w:p w14:paraId="74B1C6C2" w14:textId="27BFCE86" w:rsidR="002E27A5" w:rsidRPr="0047300F" w:rsidRDefault="002E27A5">
      <w:pPr>
        <w:pStyle w:val="FootnoteText"/>
        <w:rPr>
          <w:lang w:val="en-ZW"/>
        </w:rPr>
      </w:pPr>
      <w:r>
        <w:rPr>
          <w:rStyle w:val="FootnoteReference"/>
        </w:rPr>
        <w:footnoteRef/>
      </w:r>
      <w:r>
        <w:t xml:space="preserve"> </w:t>
      </w:r>
      <w:r w:rsidR="002859E2">
        <w:t xml:space="preserve">Opening Brief </w:t>
      </w:r>
      <w:r w:rsidR="0047300F">
        <w:t xml:space="preserve">of </w:t>
      </w:r>
      <w:r w:rsidR="009A0C25">
        <w:t>Center for Accessible Technology, California Alliance for Digital Equity, Digital Equity Los Angeles, East Bay Broadband Consortium, and Fresno Coalition for Digital Inclusion</w:t>
      </w:r>
      <w:r w:rsidR="0047300F">
        <w:t xml:space="preserve"> </w:t>
      </w:r>
      <w:r w:rsidR="00215294">
        <w:t xml:space="preserve">(Opening Brief of Joint Advocates) </w:t>
      </w:r>
      <w:r>
        <w:t xml:space="preserve">at </w:t>
      </w:r>
      <w:r w:rsidR="000C5552">
        <w:t>6</w:t>
      </w:r>
      <w:r w:rsidR="00975519">
        <w:t>-</w:t>
      </w:r>
      <w:r w:rsidR="000C5552">
        <w:t>7</w:t>
      </w:r>
      <w:r w:rsidR="00D15F55">
        <w:t>, Opening Brief</w:t>
      </w:r>
      <w:r w:rsidR="00CA4250">
        <w:t xml:space="preserve"> </w:t>
      </w:r>
      <w:r w:rsidR="0047300F">
        <w:t xml:space="preserve">of </w:t>
      </w:r>
      <w:r w:rsidR="00431F85">
        <w:t xml:space="preserve">the Public </w:t>
      </w:r>
      <w:r w:rsidR="0047300F">
        <w:t xml:space="preserve">Advocates </w:t>
      </w:r>
      <w:r w:rsidR="00431F85">
        <w:t xml:space="preserve">Office </w:t>
      </w:r>
      <w:r w:rsidR="00CA4250">
        <w:t xml:space="preserve">at </w:t>
      </w:r>
      <w:r w:rsidR="005B4AD9">
        <w:t>10</w:t>
      </w:r>
      <w:r w:rsidR="00D15F55">
        <w:t>,</w:t>
      </w:r>
      <w:r w:rsidR="005B4AD9">
        <w:t xml:space="preserve"> and </w:t>
      </w:r>
      <w:r w:rsidR="00015D36">
        <w:t>Opening Brief</w:t>
      </w:r>
      <w:r w:rsidR="00892354">
        <w:t xml:space="preserve"> of</w:t>
      </w:r>
      <w:r w:rsidR="00015D36">
        <w:t xml:space="preserve"> </w:t>
      </w:r>
      <w:r w:rsidR="0047300F">
        <w:t xml:space="preserve">Media Alliance </w:t>
      </w:r>
      <w:r w:rsidR="00892354">
        <w:t xml:space="preserve">to Joint Applicants Application </w:t>
      </w:r>
      <w:r w:rsidR="00015D36">
        <w:t>at 14</w:t>
      </w:r>
      <w:r w:rsidR="00CA4250">
        <w:t>.</w:t>
      </w:r>
    </w:p>
  </w:footnote>
  <w:footnote w:id="18">
    <w:p w14:paraId="2F4C68DA" w14:textId="50C85755" w:rsidR="00661EB7" w:rsidRDefault="00661EB7" w:rsidP="00661EB7">
      <w:pPr>
        <w:pStyle w:val="FootnoteText"/>
      </w:pPr>
      <w:r>
        <w:rPr>
          <w:rStyle w:val="FootnoteReference"/>
        </w:rPr>
        <w:footnoteRef/>
      </w:r>
      <w:r>
        <w:t xml:space="preserve"> </w:t>
      </w:r>
      <w:r w:rsidRPr="003E16FA">
        <w:rPr>
          <w:i/>
          <w:iCs/>
        </w:rPr>
        <w:t xml:space="preserve">See </w:t>
      </w:r>
      <w:r w:rsidR="00785E4F">
        <w:t>D.02</w:t>
      </w:r>
      <w:r w:rsidR="00C818EB">
        <w:t>-11</w:t>
      </w:r>
      <w:r w:rsidR="00D65210">
        <w:t>-051</w:t>
      </w:r>
      <w:r w:rsidRPr="003E16FA">
        <w:t xml:space="preserve">.  </w:t>
      </w:r>
    </w:p>
  </w:footnote>
  <w:footnote w:id="19">
    <w:p w14:paraId="215F3E80" w14:textId="77777777" w:rsidR="00661EB7" w:rsidRDefault="00661EB7" w:rsidP="00661EB7">
      <w:pPr>
        <w:pStyle w:val="FootnoteText"/>
      </w:pPr>
      <w:r>
        <w:rPr>
          <w:rStyle w:val="FootnoteReference"/>
        </w:rPr>
        <w:footnoteRef/>
      </w:r>
      <w:r>
        <w:t xml:space="preserve"> Application at 12-13.</w:t>
      </w:r>
    </w:p>
  </w:footnote>
  <w:footnote w:id="20">
    <w:p w14:paraId="5DED7D07" w14:textId="6AAC0DF6" w:rsidR="00661EB7" w:rsidRDefault="00661EB7" w:rsidP="00661EB7">
      <w:pPr>
        <w:pStyle w:val="FootnoteText"/>
      </w:pPr>
      <w:r>
        <w:rPr>
          <w:rStyle w:val="FootnoteReference"/>
        </w:rPr>
        <w:footnoteRef/>
      </w:r>
      <w:r>
        <w:t xml:space="preserve"> </w:t>
      </w:r>
      <w:r w:rsidR="00215294" w:rsidRPr="002E3902">
        <w:rPr>
          <w:i/>
          <w:iCs/>
        </w:rPr>
        <w:t>Id.</w:t>
      </w:r>
      <w:r w:rsidR="00215294">
        <w:t xml:space="preserve"> </w:t>
      </w:r>
      <w:r>
        <w:t>at 13.</w:t>
      </w:r>
    </w:p>
  </w:footnote>
  <w:footnote w:id="21">
    <w:p w14:paraId="5BCEFD70" w14:textId="77777777" w:rsidR="00661EB7" w:rsidRDefault="00661EB7" w:rsidP="00661EB7">
      <w:pPr>
        <w:pStyle w:val="FootnoteText"/>
      </w:pPr>
      <w:r>
        <w:rPr>
          <w:rStyle w:val="FootnoteReference"/>
        </w:rPr>
        <w:footnoteRef/>
      </w:r>
      <w:r>
        <w:t xml:space="preserve"> PHC Transcript at 18:15-17.</w:t>
      </w:r>
    </w:p>
  </w:footnote>
  <w:footnote w:id="22">
    <w:p w14:paraId="2EDD9C9D" w14:textId="77777777" w:rsidR="00661EB7" w:rsidRDefault="00661EB7" w:rsidP="00661EB7">
      <w:pPr>
        <w:pStyle w:val="FootnoteText"/>
      </w:pPr>
      <w:r>
        <w:rPr>
          <w:rStyle w:val="FootnoteReference"/>
        </w:rPr>
        <w:footnoteRef/>
      </w:r>
      <w:r>
        <w:t xml:space="preserve"> PHC Transcript at 18:3-11.</w:t>
      </w:r>
    </w:p>
  </w:footnote>
  <w:footnote w:id="23">
    <w:p w14:paraId="06CDEE3B" w14:textId="05F4E0D8" w:rsidR="00661EB7" w:rsidRDefault="00661EB7" w:rsidP="00661EB7">
      <w:pPr>
        <w:pStyle w:val="FootnoteText"/>
      </w:pPr>
      <w:r>
        <w:rPr>
          <w:rStyle w:val="FootnoteReference"/>
        </w:rPr>
        <w:footnoteRef/>
      </w:r>
      <w:r>
        <w:t xml:space="preserve"> </w:t>
      </w:r>
      <w:r w:rsidR="004A7592" w:rsidRPr="007238AE">
        <w:rPr>
          <w:i/>
          <w:iCs/>
        </w:rPr>
        <w:t>Id.</w:t>
      </w:r>
      <w:r>
        <w:t xml:space="preserve"> at 24-</w:t>
      </w:r>
      <w:r w:rsidR="00DA1A79">
        <w:t>25:</w:t>
      </w:r>
      <w:r>
        <w:t>23-5.</w:t>
      </w:r>
    </w:p>
  </w:footnote>
  <w:footnote w:id="24">
    <w:p w14:paraId="253913F1" w14:textId="11E9CDB5" w:rsidR="00661EB7" w:rsidRDefault="00661EB7" w:rsidP="00661EB7">
      <w:pPr>
        <w:pStyle w:val="FootnoteText"/>
      </w:pPr>
      <w:r>
        <w:rPr>
          <w:rStyle w:val="FootnoteReference"/>
        </w:rPr>
        <w:footnoteRef/>
      </w:r>
      <w:r>
        <w:t xml:space="preserve"> </w:t>
      </w:r>
      <w:r w:rsidR="004A7592" w:rsidRPr="002E3902">
        <w:rPr>
          <w:i/>
          <w:iCs/>
        </w:rPr>
        <w:t>Id.</w:t>
      </w:r>
      <w:r w:rsidR="004A7592">
        <w:t xml:space="preserve"> </w:t>
      </w:r>
      <w:r>
        <w:t>at 16-17.</w:t>
      </w:r>
    </w:p>
  </w:footnote>
  <w:footnote w:id="25">
    <w:p w14:paraId="72D07975" w14:textId="77777777" w:rsidR="00C421ED" w:rsidRDefault="00C421ED" w:rsidP="00C421ED">
      <w:pPr>
        <w:pStyle w:val="FootnoteText"/>
      </w:pPr>
      <w:r>
        <w:rPr>
          <w:rStyle w:val="FootnoteReference"/>
        </w:rPr>
        <w:footnoteRef/>
      </w:r>
      <w:r>
        <w:t xml:space="preserve"> Opening Brief of California Emerging Technology Fund at 6.</w:t>
      </w:r>
    </w:p>
  </w:footnote>
  <w:footnote w:id="26">
    <w:p w14:paraId="0AC2DBA8" w14:textId="77777777" w:rsidR="00661EB7" w:rsidRDefault="00661EB7" w:rsidP="00661EB7">
      <w:pPr>
        <w:pStyle w:val="FootnoteText"/>
      </w:pPr>
      <w:r>
        <w:rPr>
          <w:rStyle w:val="FootnoteReference"/>
        </w:rPr>
        <w:footnoteRef/>
      </w:r>
      <w:r>
        <w:t xml:space="preserve"> Opening Brief of TURN at 4.</w:t>
      </w:r>
    </w:p>
  </w:footnote>
  <w:footnote w:id="27">
    <w:p w14:paraId="70717BA5" w14:textId="77777777" w:rsidR="00661EB7" w:rsidRDefault="00661EB7" w:rsidP="00661EB7">
      <w:pPr>
        <w:pStyle w:val="FootnoteText"/>
      </w:pPr>
      <w:r>
        <w:rPr>
          <w:rStyle w:val="FootnoteReference"/>
        </w:rPr>
        <w:footnoteRef/>
      </w:r>
      <w:r>
        <w:t xml:space="preserve"> Opening Brief of TURN at 3-4.</w:t>
      </w:r>
    </w:p>
  </w:footnote>
  <w:footnote w:id="28">
    <w:p w14:paraId="62C5163B" w14:textId="77777777" w:rsidR="00661EB7" w:rsidRDefault="00661EB7" w:rsidP="00661EB7">
      <w:pPr>
        <w:pStyle w:val="FootnoteText"/>
      </w:pPr>
      <w:r>
        <w:rPr>
          <w:rStyle w:val="FootnoteReference"/>
        </w:rPr>
        <w:footnoteRef/>
      </w:r>
      <w:r>
        <w:t xml:space="preserve"> PHC Transcript at 24:5-10.</w:t>
      </w:r>
    </w:p>
  </w:footnote>
  <w:footnote w:id="29">
    <w:p w14:paraId="3DF2B9FD" w14:textId="77777777" w:rsidR="00661EB7" w:rsidRDefault="00661EB7" w:rsidP="00661EB7">
      <w:pPr>
        <w:pStyle w:val="FootnoteText"/>
      </w:pPr>
      <w:r>
        <w:rPr>
          <w:rStyle w:val="FootnoteReference"/>
        </w:rPr>
        <w:footnoteRef/>
      </w:r>
      <w:r>
        <w:t xml:space="preserve"> Opening Brief of Joint Advocates at 7.</w:t>
      </w:r>
    </w:p>
  </w:footnote>
  <w:footnote w:id="30">
    <w:p w14:paraId="23D5EF9C" w14:textId="626B7389" w:rsidR="00661EB7" w:rsidRDefault="00661EB7" w:rsidP="00661EB7">
      <w:pPr>
        <w:pStyle w:val="FootnoteText"/>
      </w:pPr>
      <w:r>
        <w:rPr>
          <w:rStyle w:val="FootnoteReference"/>
        </w:rPr>
        <w:footnoteRef/>
      </w:r>
      <w:r>
        <w:t xml:space="preserve"> </w:t>
      </w:r>
      <w:r w:rsidR="00C713D1" w:rsidRPr="002E3902">
        <w:rPr>
          <w:i/>
          <w:iCs/>
        </w:rPr>
        <w:t>Id</w:t>
      </w:r>
      <w:r w:rsidRPr="002E3902">
        <w:rPr>
          <w:i/>
          <w:iCs/>
        </w:rPr>
        <w:t>.</w:t>
      </w:r>
    </w:p>
  </w:footnote>
  <w:footnote w:id="31">
    <w:p w14:paraId="6155FF33" w14:textId="2A706F34" w:rsidR="00661EB7" w:rsidRDefault="00661EB7" w:rsidP="00661EB7">
      <w:pPr>
        <w:pStyle w:val="FootnoteText"/>
      </w:pPr>
      <w:r>
        <w:rPr>
          <w:rStyle w:val="FootnoteReference"/>
        </w:rPr>
        <w:footnoteRef/>
      </w:r>
      <w:r>
        <w:t xml:space="preserve"> </w:t>
      </w:r>
      <w:r w:rsidR="00E5112C">
        <w:t xml:space="preserve">Reply Brief of Center for Accessible Technology, California Alliance for Digital Equity, Digital Equity Los Angeles, East Bay Broadband Consortium, Fresno Coalition for Digital Inclusion </w:t>
      </w:r>
      <w:r w:rsidR="00A55716">
        <w:t xml:space="preserve">and Media Alliance </w:t>
      </w:r>
      <w:r w:rsidR="00E5112C">
        <w:t>(</w:t>
      </w:r>
      <w:r>
        <w:t>Reply Brief of Joint Applicants</w:t>
      </w:r>
      <w:r w:rsidR="00A55716">
        <w:t>)</w:t>
      </w:r>
      <w:r>
        <w:t xml:space="preserve"> at n.70.: Joint Applicants attempt to rebut Joint Advocates by stating that evidence submitted by Cox showed that Cox California does not meet the revenue threshold.   This misses the point – that Cox, not Cox California, meets the revenue threshold.</w:t>
      </w:r>
    </w:p>
  </w:footnote>
  <w:footnote w:id="32">
    <w:p w14:paraId="2E61195A" w14:textId="77777777" w:rsidR="00AC20E0" w:rsidRPr="00E22179" w:rsidRDefault="00AC20E0" w:rsidP="00AC20E0">
      <w:pPr>
        <w:ind w:firstLine="0"/>
        <w:rPr>
          <w:sz w:val="22"/>
        </w:rPr>
      </w:pPr>
      <w:r w:rsidRPr="00E22179">
        <w:rPr>
          <w:sz w:val="22"/>
          <w:vertAlign w:val="superscript"/>
        </w:rPr>
        <w:footnoteRef/>
      </w:r>
      <w:r w:rsidRPr="00E22179">
        <w:rPr>
          <w:sz w:val="22"/>
          <w:vertAlign w:val="superscript"/>
        </w:rPr>
        <w:t xml:space="preserve"> </w:t>
      </w:r>
      <w:r w:rsidRPr="00E22179">
        <w:rPr>
          <w:sz w:val="22"/>
        </w:rPr>
        <w:t>D.97-03-067 at 13.</w:t>
      </w:r>
    </w:p>
  </w:footnote>
  <w:footnote w:id="33">
    <w:p w14:paraId="5E165847" w14:textId="77777777" w:rsidR="00AC20E0" w:rsidRDefault="00AC20E0" w:rsidP="00AC20E0">
      <w:pPr>
        <w:ind w:firstLine="0"/>
      </w:pPr>
      <w:r w:rsidRPr="00E22179">
        <w:rPr>
          <w:sz w:val="22"/>
          <w:vertAlign w:val="superscript"/>
        </w:rPr>
        <w:footnoteRef/>
      </w:r>
      <w:r w:rsidRPr="00E22179">
        <w:rPr>
          <w:sz w:val="22"/>
        </w:rPr>
        <w:t xml:space="preserve"> </w:t>
      </w:r>
      <w:r>
        <w:rPr>
          <w:i/>
          <w:iCs/>
          <w:sz w:val="22"/>
        </w:rPr>
        <w:t>Id</w:t>
      </w:r>
      <w:r w:rsidRPr="00CB4082">
        <w:rPr>
          <w:sz w:val="22"/>
        </w:rPr>
        <w:t>.</w:t>
      </w:r>
      <w:r w:rsidRPr="00E22179">
        <w:rPr>
          <w:sz w:val="22"/>
        </w:rPr>
        <w:t xml:space="preserve"> at 12.</w:t>
      </w:r>
    </w:p>
  </w:footnote>
  <w:footnote w:id="34">
    <w:p w14:paraId="1A4579AE" w14:textId="77777777" w:rsidR="00AC20E0" w:rsidRDefault="00AC20E0" w:rsidP="00AC20E0">
      <w:pPr>
        <w:pStyle w:val="FootnoteText"/>
      </w:pPr>
      <w:r>
        <w:rPr>
          <w:rStyle w:val="FootnoteReference"/>
        </w:rPr>
        <w:footnoteRef/>
      </w:r>
      <w:r>
        <w:t xml:space="preserve"> Response to ALJ Inquiry, September 15, 2025, at Attachment 1.  Opening Brief of Joint Advocates at 7.</w:t>
      </w:r>
    </w:p>
  </w:footnote>
  <w:footnote w:id="35">
    <w:p w14:paraId="7659D289" w14:textId="77777777" w:rsidR="00AC20E0" w:rsidRDefault="00AC20E0" w:rsidP="00AC20E0">
      <w:pPr>
        <w:pStyle w:val="FootnoteText"/>
      </w:pPr>
      <w:r>
        <w:rPr>
          <w:rStyle w:val="FootnoteReference"/>
        </w:rPr>
        <w:footnoteRef/>
      </w:r>
      <w:r>
        <w:t xml:space="preserve"> Response to ALJ Inquiry, September 15, 2025.</w:t>
      </w:r>
    </w:p>
  </w:footnote>
  <w:footnote w:id="36">
    <w:p w14:paraId="4873006E" w14:textId="77777777" w:rsidR="00661EB7" w:rsidRDefault="00661EB7" w:rsidP="00661EB7">
      <w:pPr>
        <w:pStyle w:val="FootnoteText"/>
      </w:pPr>
      <w:r>
        <w:rPr>
          <w:rStyle w:val="FootnoteReference"/>
        </w:rPr>
        <w:footnoteRef/>
      </w:r>
      <w:r>
        <w:t xml:space="preserve"> Joint Applicant’ Post Hearing Opening Brief at 7.</w:t>
      </w:r>
    </w:p>
  </w:footnote>
  <w:footnote w:id="37">
    <w:p w14:paraId="7EE45C2A" w14:textId="6FC5AECE" w:rsidR="00661EB7" w:rsidRDefault="00661EB7" w:rsidP="00661EB7">
      <w:pPr>
        <w:pStyle w:val="FootnoteText"/>
      </w:pPr>
      <w:r>
        <w:rPr>
          <w:rStyle w:val="FootnoteReference"/>
        </w:rPr>
        <w:footnoteRef/>
      </w:r>
      <w:r>
        <w:t xml:space="preserve"> </w:t>
      </w:r>
      <w:r w:rsidR="00B550C6" w:rsidRPr="007238AE">
        <w:rPr>
          <w:i/>
          <w:iCs/>
        </w:rPr>
        <w:t>Id</w:t>
      </w:r>
      <w:r>
        <w:t>.</w:t>
      </w:r>
    </w:p>
  </w:footnote>
  <w:footnote w:id="38">
    <w:p w14:paraId="19B0C028" w14:textId="77777777" w:rsidR="00661EB7" w:rsidRDefault="00661EB7" w:rsidP="00661EB7">
      <w:pPr>
        <w:pStyle w:val="FootnoteText"/>
      </w:pPr>
      <w:r>
        <w:rPr>
          <w:rStyle w:val="FootnoteReference"/>
        </w:rPr>
        <w:footnoteRef/>
      </w:r>
      <w:r>
        <w:t xml:space="preserve"> Joint Applicants’ Post Hearing Opening Brief at 9.</w:t>
      </w:r>
    </w:p>
  </w:footnote>
  <w:footnote w:id="39">
    <w:p w14:paraId="2CC86C9D" w14:textId="77777777" w:rsidR="00661EB7" w:rsidRDefault="00661EB7" w:rsidP="00661EB7">
      <w:pPr>
        <w:pStyle w:val="FootnoteText"/>
      </w:pPr>
      <w:r>
        <w:rPr>
          <w:rStyle w:val="FootnoteReference"/>
        </w:rPr>
        <w:footnoteRef/>
      </w:r>
      <w:r>
        <w:t xml:space="preserve"> Opening Brief of the Public Advocates Office at 11.</w:t>
      </w:r>
    </w:p>
  </w:footnote>
  <w:footnote w:id="40">
    <w:p w14:paraId="7D4B5EA9" w14:textId="772C9C95" w:rsidR="000A1F63" w:rsidRPr="002E3902" w:rsidRDefault="000A1F63">
      <w:pPr>
        <w:pStyle w:val="FootnoteText"/>
        <w:rPr>
          <w:lang w:val="en-ZW"/>
        </w:rPr>
      </w:pPr>
      <w:r>
        <w:rPr>
          <w:rStyle w:val="FootnoteReference"/>
        </w:rPr>
        <w:footnoteRef/>
      </w:r>
      <w:r>
        <w:t xml:space="preserve"> </w:t>
      </w:r>
      <w:r>
        <w:rPr>
          <w:lang w:val="en-ZW"/>
        </w:rPr>
        <w:t xml:space="preserve">Opening Brief of </w:t>
      </w:r>
      <w:r w:rsidR="00F74E25">
        <w:rPr>
          <w:lang w:val="en-ZW"/>
        </w:rPr>
        <w:t xml:space="preserve">California Emerging Technology Fund </w:t>
      </w:r>
      <w:r>
        <w:rPr>
          <w:lang w:val="en-ZW"/>
        </w:rPr>
        <w:t>at 6.</w:t>
      </w:r>
    </w:p>
  </w:footnote>
  <w:footnote w:id="41">
    <w:p w14:paraId="1FFB91B6" w14:textId="77777777" w:rsidR="00661EB7" w:rsidRDefault="00661EB7" w:rsidP="00661EB7">
      <w:pPr>
        <w:pStyle w:val="FootnoteText"/>
      </w:pPr>
      <w:r>
        <w:rPr>
          <w:rStyle w:val="FootnoteReference"/>
        </w:rPr>
        <w:footnoteRef/>
      </w:r>
      <w:r>
        <w:t xml:space="preserve"> Opening Brief of the Utility Reform Network at 5.</w:t>
      </w:r>
    </w:p>
  </w:footnote>
  <w:footnote w:id="42">
    <w:p w14:paraId="7BF5E9EF" w14:textId="60AA38FE" w:rsidR="00C24676" w:rsidRPr="002E3902" w:rsidRDefault="00C24676">
      <w:pPr>
        <w:pStyle w:val="FootnoteText"/>
        <w:rPr>
          <w:lang w:val="en-ZW"/>
        </w:rPr>
      </w:pPr>
      <w:r>
        <w:rPr>
          <w:rStyle w:val="FootnoteReference"/>
        </w:rPr>
        <w:footnoteRef/>
      </w:r>
      <w:r>
        <w:t xml:space="preserve"> </w:t>
      </w:r>
      <w:r w:rsidR="00FC07B8">
        <w:rPr>
          <w:lang w:val="en-ZW"/>
        </w:rPr>
        <w:t>Opening Brief of Joint Advocates at 13.</w:t>
      </w:r>
    </w:p>
  </w:footnote>
  <w:footnote w:id="43">
    <w:p w14:paraId="1111C252" w14:textId="4551A5D7" w:rsidR="00661EB7" w:rsidRPr="001848DA" w:rsidRDefault="00661EB7" w:rsidP="00661EB7">
      <w:pPr>
        <w:pStyle w:val="FootnoteText"/>
      </w:pPr>
      <w:r>
        <w:rPr>
          <w:rStyle w:val="FootnoteReference"/>
        </w:rPr>
        <w:footnoteRef/>
      </w:r>
      <w:r>
        <w:t xml:space="preserve"> </w:t>
      </w:r>
      <w:r w:rsidR="00FC07B8" w:rsidRPr="002E3902">
        <w:rPr>
          <w:i/>
          <w:iCs/>
        </w:rPr>
        <w:t>Id.</w:t>
      </w:r>
      <w:r w:rsidR="00FC07B8">
        <w:t xml:space="preserve"> </w:t>
      </w:r>
      <w:r w:rsidRPr="001848DA">
        <w:t>at 13.</w:t>
      </w:r>
    </w:p>
  </w:footnote>
  <w:footnote w:id="44">
    <w:p w14:paraId="7158770A" w14:textId="6153D18A" w:rsidR="00661EB7" w:rsidRDefault="00661EB7" w:rsidP="00661EB7">
      <w:pPr>
        <w:pStyle w:val="FootnoteText"/>
      </w:pPr>
      <w:r w:rsidRPr="001848DA">
        <w:rPr>
          <w:rStyle w:val="FootnoteReference"/>
        </w:rPr>
        <w:footnoteRef/>
      </w:r>
      <w:r w:rsidRPr="001848DA">
        <w:t xml:space="preserve"> </w:t>
      </w:r>
      <w:r w:rsidR="00FC07B8" w:rsidRPr="007238AE">
        <w:rPr>
          <w:i/>
          <w:iCs/>
        </w:rPr>
        <w:t>Id.</w:t>
      </w:r>
      <w:r w:rsidRPr="001848DA">
        <w:t xml:space="preserve"> at 48.</w:t>
      </w:r>
    </w:p>
  </w:footnote>
  <w:footnote w:id="45">
    <w:p w14:paraId="294027AB" w14:textId="11118415" w:rsidR="00661EB7" w:rsidRDefault="00661EB7" w:rsidP="00661EB7">
      <w:pPr>
        <w:pStyle w:val="FootnoteText"/>
      </w:pPr>
      <w:r>
        <w:rPr>
          <w:rStyle w:val="FootnoteReference"/>
        </w:rPr>
        <w:footnoteRef/>
      </w:r>
      <w:r>
        <w:t xml:space="preserve"> </w:t>
      </w:r>
      <w:r w:rsidR="00FC07B8" w:rsidRPr="002E3902">
        <w:rPr>
          <w:i/>
          <w:iCs/>
        </w:rPr>
        <w:t>Id.</w:t>
      </w:r>
      <w:r w:rsidR="00FC07B8">
        <w:t xml:space="preserve"> </w:t>
      </w:r>
      <w:r>
        <w:t>at 48.</w:t>
      </w:r>
    </w:p>
  </w:footnote>
  <w:footnote w:id="46">
    <w:p w14:paraId="1D3E9F31" w14:textId="77777777" w:rsidR="00661EB7" w:rsidRDefault="00661EB7" w:rsidP="00661EB7">
      <w:pPr>
        <w:pStyle w:val="FootnoteText"/>
      </w:pPr>
      <w:r>
        <w:rPr>
          <w:rStyle w:val="FootnoteReference"/>
        </w:rPr>
        <w:footnoteRef/>
      </w:r>
      <w:r>
        <w:t xml:space="preserve"> Joint Applicants Post Hearing Opening Brief at 8.</w:t>
      </w:r>
    </w:p>
  </w:footnote>
  <w:footnote w:id="47">
    <w:p w14:paraId="066DED00" w14:textId="66388DBF" w:rsidR="00661EB7" w:rsidRDefault="00661EB7" w:rsidP="00661EB7">
      <w:pPr>
        <w:pStyle w:val="FootnoteText"/>
      </w:pPr>
      <w:r>
        <w:rPr>
          <w:rStyle w:val="FootnoteReference"/>
        </w:rPr>
        <w:footnoteRef/>
      </w:r>
      <w:r>
        <w:t xml:space="preserve"> </w:t>
      </w:r>
      <w:r w:rsidR="009D60A1" w:rsidRPr="002E3902">
        <w:rPr>
          <w:i/>
          <w:iCs/>
        </w:rPr>
        <w:t>Id.</w:t>
      </w:r>
      <w:r>
        <w:t xml:space="preserve"> at 30. </w:t>
      </w:r>
    </w:p>
  </w:footnote>
  <w:footnote w:id="48">
    <w:p w14:paraId="4229D671" w14:textId="77777777" w:rsidR="00661EB7" w:rsidRDefault="00661EB7" w:rsidP="00661EB7">
      <w:pPr>
        <w:pStyle w:val="FootnoteText"/>
      </w:pPr>
      <w:r>
        <w:rPr>
          <w:rStyle w:val="FootnoteReference"/>
        </w:rPr>
        <w:footnoteRef/>
      </w:r>
      <w:r>
        <w:t xml:space="preserve"> Joint Application at 29.</w:t>
      </w:r>
    </w:p>
  </w:footnote>
  <w:footnote w:id="49">
    <w:p w14:paraId="5A1484CA" w14:textId="10670FB5" w:rsidR="00661EB7" w:rsidRDefault="00661EB7" w:rsidP="00661EB7">
      <w:pPr>
        <w:pStyle w:val="FootnoteText"/>
      </w:pPr>
      <w:r>
        <w:rPr>
          <w:rStyle w:val="FootnoteReference"/>
        </w:rPr>
        <w:footnoteRef/>
      </w:r>
      <w:r>
        <w:t xml:space="preserve"> Joint Applicants’ Post-Hearing Opening Brief at </w:t>
      </w:r>
      <w:r w:rsidR="00B22018">
        <w:t>24</w:t>
      </w:r>
      <w:r>
        <w:t>.</w:t>
      </w:r>
    </w:p>
  </w:footnote>
  <w:footnote w:id="50">
    <w:p w14:paraId="60372E1F" w14:textId="681ACD15" w:rsidR="00661EB7" w:rsidRDefault="00661EB7" w:rsidP="00661EB7">
      <w:pPr>
        <w:pStyle w:val="FootnoteText"/>
      </w:pPr>
      <w:r>
        <w:rPr>
          <w:rStyle w:val="FootnoteReference"/>
        </w:rPr>
        <w:footnoteRef/>
      </w:r>
      <w:r>
        <w:t xml:space="preserve"> </w:t>
      </w:r>
      <w:r w:rsidR="002E3902" w:rsidRPr="002E3902">
        <w:rPr>
          <w:i/>
          <w:iCs/>
        </w:rPr>
        <w:t>Id.</w:t>
      </w:r>
      <w:r>
        <w:t xml:space="preserve"> at 19-20.</w:t>
      </w:r>
    </w:p>
  </w:footnote>
  <w:footnote w:id="51">
    <w:p w14:paraId="3FF134F4" w14:textId="682D2E6A" w:rsidR="00661EB7" w:rsidRDefault="00661EB7" w:rsidP="00661EB7">
      <w:pPr>
        <w:pStyle w:val="FootnoteText"/>
      </w:pPr>
      <w:r>
        <w:rPr>
          <w:rStyle w:val="FootnoteReference"/>
        </w:rPr>
        <w:footnoteRef/>
      </w:r>
      <w:r>
        <w:t xml:space="preserve"> </w:t>
      </w:r>
      <w:r w:rsidR="002E3902" w:rsidRPr="002E3902">
        <w:rPr>
          <w:i/>
          <w:iCs/>
        </w:rPr>
        <w:t>Id.</w:t>
      </w:r>
      <w:r>
        <w:t xml:space="preserve"> at 20.</w:t>
      </w:r>
    </w:p>
  </w:footnote>
  <w:footnote w:id="52">
    <w:p w14:paraId="23893861" w14:textId="77777777" w:rsidR="00661EB7" w:rsidRDefault="00661EB7" w:rsidP="00661EB7">
      <w:pPr>
        <w:pStyle w:val="FootnoteText"/>
      </w:pPr>
      <w:r>
        <w:rPr>
          <w:rStyle w:val="FootnoteReference"/>
        </w:rPr>
        <w:footnoteRef/>
      </w:r>
      <w:r>
        <w:t xml:space="preserve"> Joint Application at 29.</w:t>
      </w:r>
    </w:p>
  </w:footnote>
  <w:footnote w:id="53">
    <w:p w14:paraId="62449C81" w14:textId="72276A4C" w:rsidR="00661EB7" w:rsidRDefault="00661EB7" w:rsidP="00661EB7">
      <w:pPr>
        <w:pStyle w:val="FootnoteText"/>
      </w:pPr>
      <w:r>
        <w:rPr>
          <w:rStyle w:val="FootnoteReference"/>
        </w:rPr>
        <w:footnoteRef/>
      </w:r>
      <w:r>
        <w:t xml:space="preserve"> </w:t>
      </w:r>
      <w:r w:rsidR="002E3902">
        <w:t xml:space="preserve">Joint Applicants’ Post-Hearing Opening Brief </w:t>
      </w:r>
      <w:r>
        <w:t>at 26-27.</w:t>
      </w:r>
    </w:p>
  </w:footnote>
  <w:footnote w:id="54">
    <w:p w14:paraId="5388B056" w14:textId="7AD08FA1" w:rsidR="00661EB7" w:rsidRDefault="00661EB7" w:rsidP="00661EB7">
      <w:pPr>
        <w:pStyle w:val="FootnoteText"/>
      </w:pPr>
      <w:r>
        <w:rPr>
          <w:rStyle w:val="FootnoteReference"/>
        </w:rPr>
        <w:footnoteRef/>
      </w:r>
      <w:r>
        <w:t xml:space="preserve"> Opening Brief of Public Advocates Office at </w:t>
      </w:r>
      <w:r w:rsidR="00CE03F3">
        <w:t>12-</w:t>
      </w:r>
      <w:r>
        <w:t>13.</w:t>
      </w:r>
    </w:p>
  </w:footnote>
  <w:footnote w:id="55">
    <w:p w14:paraId="464040FE" w14:textId="77777777" w:rsidR="00661EB7" w:rsidRDefault="00661EB7" w:rsidP="00661EB7">
      <w:pPr>
        <w:pStyle w:val="FootnoteText"/>
      </w:pPr>
      <w:r>
        <w:rPr>
          <w:rStyle w:val="FootnoteReference"/>
        </w:rPr>
        <w:footnoteRef/>
      </w:r>
      <w:r>
        <w:t xml:space="preserve"> Opening Brief of California Emerging Technology Fund at 6-7.</w:t>
      </w:r>
    </w:p>
  </w:footnote>
  <w:footnote w:id="56">
    <w:p w14:paraId="749C3905" w14:textId="5334BF32" w:rsidR="00B1194E" w:rsidRPr="00AF4B8A" w:rsidRDefault="00B1194E">
      <w:pPr>
        <w:pStyle w:val="FootnoteText"/>
        <w:rPr>
          <w:lang w:val="en-ZW"/>
        </w:rPr>
      </w:pPr>
      <w:r>
        <w:rPr>
          <w:rStyle w:val="FootnoteReference"/>
        </w:rPr>
        <w:footnoteRef/>
      </w:r>
      <w:r>
        <w:t xml:space="preserve"> </w:t>
      </w:r>
      <w:r w:rsidR="00C503A7">
        <w:t xml:space="preserve">Opening Brief </w:t>
      </w:r>
      <w:r w:rsidR="00532AB9">
        <w:t xml:space="preserve">of </w:t>
      </w:r>
      <w:r w:rsidR="00C503A7">
        <w:t>TURN at 5.</w:t>
      </w:r>
    </w:p>
  </w:footnote>
  <w:footnote w:id="57">
    <w:p w14:paraId="6FD01284" w14:textId="5D6EB415" w:rsidR="00661EB7" w:rsidRDefault="00661EB7" w:rsidP="00661EB7">
      <w:pPr>
        <w:pStyle w:val="FootnoteText"/>
      </w:pPr>
      <w:r>
        <w:rPr>
          <w:rStyle w:val="FootnoteReference"/>
        </w:rPr>
        <w:footnoteRef/>
      </w:r>
      <w:r>
        <w:t xml:space="preserve"> Opening Brief </w:t>
      </w:r>
      <w:r w:rsidR="00532AB9">
        <w:t xml:space="preserve">of </w:t>
      </w:r>
      <w:r>
        <w:t>TURN at 25</w:t>
      </w:r>
    </w:p>
  </w:footnote>
  <w:footnote w:id="58">
    <w:p w14:paraId="2537899D" w14:textId="77777777" w:rsidR="00661EB7" w:rsidRDefault="00661EB7" w:rsidP="00661EB7">
      <w:pPr>
        <w:pStyle w:val="FootnoteText"/>
      </w:pPr>
      <w:r>
        <w:rPr>
          <w:rStyle w:val="FootnoteReference"/>
        </w:rPr>
        <w:footnoteRef/>
      </w:r>
      <w:r>
        <w:t xml:space="preserve"> Joint Advocates Reply Brief at 12.</w:t>
      </w:r>
    </w:p>
  </w:footnote>
  <w:footnote w:id="59">
    <w:p w14:paraId="65D0E081" w14:textId="5D8704B0" w:rsidR="00661EB7" w:rsidRDefault="00661EB7" w:rsidP="00661EB7">
      <w:pPr>
        <w:pStyle w:val="FootnoteText"/>
      </w:pPr>
      <w:r>
        <w:rPr>
          <w:rStyle w:val="FootnoteReference"/>
        </w:rPr>
        <w:footnoteRef/>
      </w:r>
      <w:r>
        <w:t xml:space="preserve"> </w:t>
      </w:r>
      <w:r w:rsidR="00EF24D5" w:rsidRPr="007238AE">
        <w:rPr>
          <w:i/>
          <w:iCs/>
        </w:rPr>
        <w:t>Id.</w:t>
      </w:r>
      <w:r>
        <w:t xml:space="preserve"> at 17-18.</w:t>
      </w:r>
    </w:p>
  </w:footnote>
  <w:footnote w:id="60">
    <w:p w14:paraId="1029E2D6" w14:textId="25D60E88" w:rsidR="00222B02" w:rsidRPr="00AF4B8A" w:rsidRDefault="00222B02">
      <w:pPr>
        <w:pStyle w:val="FootnoteText"/>
        <w:rPr>
          <w:lang w:val="en-ZW"/>
        </w:rPr>
      </w:pPr>
      <w:r>
        <w:rPr>
          <w:rStyle w:val="FootnoteReference"/>
        </w:rPr>
        <w:footnoteRef/>
      </w:r>
      <w:r>
        <w:t xml:space="preserve"> </w:t>
      </w:r>
      <w:r w:rsidR="0072783C" w:rsidRPr="0072783C">
        <w:t>E-mail from Brian Wang, Deputy Attorney General, Office of the Attorney General of California, to Ella Krainsky, Legal Division, California Public Utilities Commission (June 2, 2026, 17:07 PST). </w:t>
      </w:r>
    </w:p>
  </w:footnote>
  <w:footnote w:id="61">
    <w:p w14:paraId="61C2A139" w14:textId="77777777" w:rsidR="00661EB7" w:rsidRDefault="00661EB7" w:rsidP="00661EB7">
      <w:pPr>
        <w:pStyle w:val="FootnoteText"/>
      </w:pPr>
      <w:r>
        <w:rPr>
          <w:rStyle w:val="FootnoteReference"/>
        </w:rPr>
        <w:footnoteRef/>
      </w:r>
      <w:r>
        <w:t xml:space="preserve"> Joint Applicants Post-Hearing Opening Brief at 7.</w:t>
      </w:r>
    </w:p>
  </w:footnote>
  <w:footnote w:id="62">
    <w:p w14:paraId="02AFF721" w14:textId="77777777" w:rsidR="00661EB7" w:rsidRDefault="00661EB7" w:rsidP="00661EB7">
      <w:pPr>
        <w:pStyle w:val="FootnoteText"/>
      </w:pPr>
      <w:r>
        <w:rPr>
          <w:rStyle w:val="FootnoteReference"/>
        </w:rPr>
        <w:footnoteRef/>
      </w:r>
      <w:r>
        <w:t xml:space="preserve"> Joint Application at 15.</w:t>
      </w:r>
    </w:p>
  </w:footnote>
  <w:footnote w:id="63">
    <w:p w14:paraId="33A86449" w14:textId="0743D1ED" w:rsidR="00661EB7" w:rsidRDefault="00661EB7" w:rsidP="00661EB7">
      <w:pPr>
        <w:pStyle w:val="FootnoteText"/>
      </w:pPr>
      <w:r>
        <w:rPr>
          <w:rStyle w:val="FootnoteReference"/>
        </w:rPr>
        <w:footnoteRef/>
      </w:r>
      <w:r>
        <w:t xml:space="preserve"> </w:t>
      </w:r>
      <w:r w:rsidR="00FE71D6" w:rsidRPr="007238AE">
        <w:rPr>
          <w:i/>
          <w:iCs/>
        </w:rPr>
        <w:t>Id.</w:t>
      </w:r>
      <w:r>
        <w:t xml:space="preserve"> at 35.</w:t>
      </w:r>
    </w:p>
  </w:footnote>
  <w:footnote w:id="64">
    <w:p w14:paraId="5E1C204F" w14:textId="4B409BA6" w:rsidR="00661EB7" w:rsidRDefault="00661EB7" w:rsidP="00661EB7">
      <w:pPr>
        <w:pStyle w:val="FootnoteText"/>
      </w:pPr>
      <w:r>
        <w:rPr>
          <w:rStyle w:val="FootnoteReference"/>
        </w:rPr>
        <w:footnoteRef/>
      </w:r>
      <w:r>
        <w:t xml:space="preserve"> </w:t>
      </w:r>
      <w:r w:rsidR="00FE71D6" w:rsidRPr="002E3902">
        <w:rPr>
          <w:i/>
          <w:iCs/>
        </w:rPr>
        <w:t>Id.</w:t>
      </w:r>
      <w:r w:rsidR="00FE71D6">
        <w:t xml:space="preserve"> </w:t>
      </w:r>
      <w:r>
        <w:t>at 25.</w:t>
      </w:r>
    </w:p>
  </w:footnote>
  <w:footnote w:id="65">
    <w:p w14:paraId="781054BB" w14:textId="55F73D3E" w:rsidR="00661EB7" w:rsidRDefault="00661EB7" w:rsidP="00661EB7">
      <w:pPr>
        <w:pStyle w:val="FootnoteText"/>
      </w:pPr>
      <w:r>
        <w:rPr>
          <w:rStyle w:val="FootnoteReference"/>
        </w:rPr>
        <w:footnoteRef/>
      </w:r>
      <w:r>
        <w:t xml:space="preserve"> </w:t>
      </w:r>
      <w:r w:rsidR="00FE71D6" w:rsidRPr="002E3902">
        <w:rPr>
          <w:i/>
          <w:iCs/>
        </w:rPr>
        <w:t>Id.</w:t>
      </w:r>
      <w:r w:rsidR="00FE71D6">
        <w:t xml:space="preserve"> </w:t>
      </w:r>
      <w:r>
        <w:t>at 35.</w:t>
      </w:r>
    </w:p>
  </w:footnote>
  <w:footnote w:id="66">
    <w:p w14:paraId="258F8890" w14:textId="39B3CA82" w:rsidR="00661EB7" w:rsidRDefault="00661EB7" w:rsidP="00661EB7">
      <w:pPr>
        <w:pStyle w:val="FootnoteText"/>
      </w:pPr>
      <w:r>
        <w:rPr>
          <w:rStyle w:val="FootnoteReference"/>
        </w:rPr>
        <w:footnoteRef/>
      </w:r>
      <w:r>
        <w:t xml:space="preserve"> </w:t>
      </w:r>
      <w:r w:rsidR="00FE71D6" w:rsidRPr="007238AE">
        <w:rPr>
          <w:i/>
          <w:iCs/>
        </w:rPr>
        <w:t>Id</w:t>
      </w:r>
      <w:r>
        <w:t>.</w:t>
      </w:r>
    </w:p>
  </w:footnote>
  <w:footnote w:id="67">
    <w:p w14:paraId="0E76D541" w14:textId="4FCA6FD9" w:rsidR="00661EB7" w:rsidRDefault="00661EB7" w:rsidP="00661EB7">
      <w:pPr>
        <w:pStyle w:val="FootnoteText"/>
      </w:pPr>
      <w:r>
        <w:rPr>
          <w:rStyle w:val="FootnoteReference"/>
        </w:rPr>
        <w:footnoteRef/>
      </w:r>
      <w:r>
        <w:t xml:space="preserve"> </w:t>
      </w:r>
      <w:r w:rsidR="00FE71D6" w:rsidRPr="002E3902">
        <w:rPr>
          <w:i/>
          <w:iCs/>
        </w:rPr>
        <w:t>Id.</w:t>
      </w:r>
      <w:r w:rsidR="00FE71D6">
        <w:t xml:space="preserve"> </w:t>
      </w:r>
      <w:r>
        <w:t>at 37.</w:t>
      </w:r>
    </w:p>
  </w:footnote>
  <w:footnote w:id="68">
    <w:p w14:paraId="7FDFE963" w14:textId="77777777" w:rsidR="00661EB7" w:rsidRDefault="00661EB7" w:rsidP="00661EB7">
      <w:pPr>
        <w:pStyle w:val="FootnoteText"/>
      </w:pPr>
      <w:r>
        <w:rPr>
          <w:rStyle w:val="FootnoteReference"/>
        </w:rPr>
        <w:footnoteRef/>
      </w:r>
      <w:r>
        <w:t xml:space="preserve"> Joint Application at 38.</w:t>
      </w:r>
    </w:p>
  </w:footnote>
  <w:footnote w:id="69">
    <w:p w14:paraId="4C0985CE" w14:textId="66E42471" w:rsidR="00661EB7" w:rsidRPr="002E3902" w:rsidRDefault="00B26302" w:rsidP="002E3902">
      <w:pPr>
        <w:ind w:firstLine="0"/>
        <w:rPr>
          <w:sz w:val="22"/>
        </w:rPr>
      </w:pPr>
      <w:r>
        <w:rPr>
          <w:sz w:val="22"/>
          <w:vertAlign w:val="superscript"/>
        </w:rPr>
        <w:t>68</w:t>
      </w:r>
      <w:r w:rsidR="006469D6" w:rsidRPr="002E3902">
        <w:rPr>
          <w:sz w:val="22"/>
        </w:rPr>
        <w:t xml:space="preserve"> </w:t>
      </w:r>
      <w:r w:rsidR="006469D6" w:rsidRPr="002E3902">
        <w:rPr>
          <w:i/>
          <w:iCs/>
          <w:sz w:val="22"/>
        </w:rPr>
        <w:t>Id.</w:t>
      </w:r>
      <w:r w:rsidR="006469D6" w:rsidRPr="002E3902">
        <w:rPr>
          <w:sz w:val="22"/>
        </w:rPr>
        <w:t xml:space="preserve"> at 29</w:t>
      </w:r>
      <w:r w:rsidR="006469D6">
        <w:rPr>
          <w:sz w:val="22"/>
        </w:rPr>
        <w:t>.</w:t>
      </w:r>
    </w:p>
  </w:footnote>
  <w:footnote w:id="70">
    <w:p w14:paraId="245F2001" w14:textId="23E1B187" w:rsidR="00661EB7" w:rsidRDefault="00661EB7" w:rsidP="00661EB7">
      <w:pPr>
        <w:pStyle w:val="FootnoteText"/>
      </w:pPr>
      <w:r>
        <w:rPr>
          <w:rStyle w:val="FootnoteReference"/>
        </w:rPr>
        <w:footnoteRef/>
      </w:r>
      <w:r>
        <w:t xml:space="preserve"> </w:t>
      </w:r>
      <w:r w:rsidR="002E3902">
        <w:t xml:space="preserve">Joint Applicants’ Post-Hearing Opening Brief </w:t>
      </w:r>
      <w:r>
        <w:t>at 8-9.</w:t>
      </w:r>
    </w:p>
  </w:footnote>
  <w:footnote w:id="71">
    <w:p w14:paraId="705B9CFA" w14:textId="77777777" w:rsidR="00661EB7" w:rsidRDefault="00661EB7" w:rsidP="00661EB7">
      <w:pPr>
        <w:pStyle w:val="FootnoteText"/>
      </w:pPr>
      <w:r>
        <w:rPr>
          <w:rStyle w:val="FootnoteReference"/>
        </w:rPr>
        <w:footnoteRef/>
      </w:r>
      <w:r>
        <w:t xml:space="preserve"> Opening Brief of Public Advocates Office at 13.</w:t>
      </w:r>
    </w:p>
  </w:footnote>
  <w:footnote w:id="72">
    <w:p w14:paraId="51A69D8F" w14:textId="77777777" w:rsidR="008657CF" w:rsidRDefault="008657CF" w:rsidP="008657CF">
      <w:pPr>
        <w:pStyle w:val="FootnoteText"/>
      </w:pPr>
      <w:r>
        <w:rPr>
          <w:rStyle w:val="FootnoteReference"/>
        </w:rPr>
        <w:footnoteRef/>
      </w:r>
      <w:r>
        <w:t xml:space="preserve"> CETF Reply Brief at 13.</w:t>
      </w:r>
    </w:p>
  </w:footnote>
  <w:footnote w:id="73">
    <w:p w14:paraId="1C187E0E" w14:textId="13A309D3" w:rsidR="00661EB7" w:rsidRDefault="00661EB7" w:rsidP="00661EB7">
      <w:pPr>
        <w:pStyle w:val="FootnoteText"/>
      </w:pPr>
      <w:r>
        <w:rPr>
          <w:rStyle w:val="FootnoteReference"/>
        </w:rPr>
        <w:footnoteRef/>
      </w:r>
      <w:r>
        <w:t xml:space="preserve"> Opening Brief </w:t>
      </w:r>
      <w:r w:rsidR="00172779">
        <w:t xml:space="preserve">of TURN </w:t>
      </w:r>
      <w:r>
        <w:t>at 37-38.</w:t>
      </w:r>
    </w:p>
  </w:footnote>
  <w:footnote w:id="74">
    <w:p w14:paraId="72A894E2" w14:textId="3D9CD143" w:rsidR="00661EB7" w:rsidRDefault="00661EB7" w:rsidP="00661EB7">
      <w:pPr>
        <w:pStyle w:val="FootnoteText"/>
      </w:pPr>
      <w:r>
        <w:rPr>
          <w:rStyle w:val="FootnoteReference"/>
        </w:rPr>
        <w:footnoteRef/>
      </w:r>
      <w:r>
        <w:t xml:space="preserve"> Reply Brief</w:t>
      </w:r>
      <w:r w:rsidR="00172779">
        <w:t xml:space="preserve"> of Joint Advocates</w:t>
      </w:r>
      <w:r>
        <w:t xml:space="preserve"> at 15.</w:t>
      </w:r>
    </w:p>
  </w:footnote>
  <w:footnote w:id="75">
    <w:p w14:paraId="48648BFA" w14:textId="00DE975B" w:rsidR="00661EB7" w:rsidRDefault="00661EB7" w:rsidP="00661EB7">
      <w:pPr>
        <w:pStyle w:val="FootnoteText"/>
      </w:pPr>
      <w:r>
        <w:rPr>
          <w:rStyle w:val="FootnoteReference"/>
        </w:rPr>
        <w:footnoteRef/>
      </w:r>
      <w:r>
        <w:t xml:space="preserve"> </w:t>
      </w:r>
      <w:r w:rsidR="00475E73" w:rsidRPr="002E3902">
        <w:rPr>
          <w:i/>
          <w:iCs/>
        </w:rPr>
        <w:t>Id.</w:t>
      </w:r>
      <w:r w:rsidR="00475E73">
        <w:t xml:space="preserve"> </w:t>
      </w:r>
      <w:r>
        <w:t>at 9.</w:t>
      </w:r>
    </w:p>
  </w:footnote>
  <w:footnote w:id="76">
    <w:p w14:paraId="28527478" w14:textId="38CA289A" w:rsidR="00661EB7" w:rsidRDefault="00661EB7" w:rsidP="00661EB7">
      <w:pPr>
        <w:pStyle w:val="FootnoteText"/>
      </w:pPr>
      <w:r>
        <w:rPr>
          <w:rStyle w:val="FootnoteReference"/>
        </w:rPr>
        <w:footnoteRef/>
      </w:r>
      <w:r>
        <w:t xml:space="preserve"> Opening Brief </w:t>
      </w:r>
      <w:r w:rsidR="00C4062D">
        <w:t xml:space="preserve">of Media Alliance </w:t>
      </w:r>
      <w:r>
        <w:t xml:space="preserve">at </w:t>
      </w:r>
      <w:r w:rsidR="00E567B3">
        <w:t>16</w:t>
      </w:r>
      <w:r>
        <w:t>.</w:t>
      </w:r>
    </w:p>
  </w:footnote>
  <w:footnote w:id="77">
    <w:p w14:paraId="4F61E4AF" w14:textId="77777777" w:rsidR="00661EB7" w:rsidRDefault="00661EB7" w:rsidP="00661EB7">
      <w:pPr>
        <w:pStyle w:val="FootnoteText"/>
      </w:pPr>
      <w:r w:rsidRPr="007E71BA">
        <w:rPr>
          <w:rStyle w:val="FootnoteReference"/>
        </w:rPr>
        <w:footnoteRef/>
      </w:r>
      <w:r w:rsidRPr="00ED4ABB">
        <w:t xml:space="preserve"> </w:t>
      </w:r>
      <w:r w:rsidRPr="007E71BA">
        <w:rPr>
          <w:i/>
          <w:iCs/>
        </w:rPr>
        <w:t>See</w:t>
      </w:r>
      <w:r>
        <w:rPr>
          <w:i/>
          <w:iCs/>
        </w:rPr>
        <w:t>,</w:t>
      </w:r>
      <w:r w:rsidRPr="00ED4ABB">
        <w:t xml:space="preserve"> California</w:t>
      </w:r>
      <w:r w:rsidRPr="00895FAD">
        <w:t xml:space="preserve"> </w:t>
      </w:r>
      <w:r w:rsidRPr="00BD3236">
        <w:t xml:space="preserve">Public Utilities Commission, Environmental &amp; Social Justice Action Plan Version 2.0, April 7, 2022. Available at: https://www.cpuc.ca.gov/-/media/cpuc-website/divisions/news-and-outreach/documents/news-office/key-issues/esj/esj-action-plan-v2jw.pdf.  </w:t>
      </w:r>
    </w:p>
  </w:footnote>
  <w:footnote w:id="78">
    <w:p w14:paraId="798EE251" w14:textId="77777777" w:rsidR="00661EB7" w:rsidRDefault="00661EB7" w:rsidP="00661EB7">
      <w:pPr>
        <w:pStyle w:val="FootnoteText"/>
      </w:pPr>
      <w:r>
        <w:rPr>
          <w:rStyle w:val="FootnoteReference"/>
        </w:rPr>
        <w:footnoteRef/>
      </w:r>
      <w:r>
        <w:t xml:space="preserve"> Joint Applicants </w:t>
      </w:r>
      <w:r w:rsidRPr="00C403F3">
        <w:rPr>
          <w:rFonts w:ascii="Times New Roman" w:hAnsi="Times New Roman" w:cs="Times New Roman"/>
        </w:rPr>
        <w:t>Opening Brief at</w:t>
      </w:r>
      <w:r>
        <w:rPr>
          <w:rFonts w:ascii="Times New Roman" w:hAnsi="Times New Roman" w:cs="Times New Roman"/>
        </w:rPr>
        <w:t xml:space="preserve"> 36.</w:t>
      </w:r>
    </w:p>
  </w:footnote>
  <w:footnote w:id="79">
    <w:p w14:paraId="798D27F8" w14:textId="77777777" w:rsidR="00661EB7" w:rsidRDefault="00661EB7" w:rsidP="00661EB7">
      <w:pPr>
        <w:pStyle w:val="FootnoteText"/>
      </w:pPr>
      <w:r>
        <w:rPr>
          <w:rStyle w:val="FootnoteReference"/>
        </w:rPr>
        <w:footnoteRef/>
      </w:r>
      <w:r w:rsidRPr="0088081A">
        <w:t xml:space="preserve"> </w:t>
      </w:r>
      <w:r w:rsidRPr="0088081A">
        <w:rPr>
          <w:rFonts w:ascii="Times New Roman" w:hAnsi="Times New Roman" w:cs="Times New Roman"/>
        </w:rPr>
        <w:t xml:space="preserve">Joint Applicants Post Hearing Reply Brief at </w:t>
      </w:r>
      <w:r>
        <w:rPr>
          <w:rFonts w:ascii="Times New Roman" w:hAnsi="Times New Roman" w:cs="Times New Roman"/>
        </w:rPr>
        <w:t>30-31.</w:t>
      </w:r>
    </w:p>
  </w:footnote>
  <w:footnote w:id="80">
    <w:p w14:paraId="465B4ECC" w14:textId="3D6813E6" w:rsidR="00661EB7" w:rsidRDefault="00661EB7" w:rsidP="00661EB7">
      <w:pPr>
        <w:pStyle w:val="FootnoteText"/>
      </w:pPr>
      <w:r>
        <w:rPr>
          <w:rStyle w:val="FootnoteReference"/>
        </w:rPr>
        <w:footnoteRef/>
      </w:r>
      <w:r>
        <w:t xml:space="preserve"> Opening Brief of Cal Advocates</w:t>
      </w:r>
      <w:r w:rsidR="00323025">
        <w:t xml:space="preserve"> at 13-14.</w:t>
      </w:r>
    </w:p>
  </w:footnote>
  <w:footnote w:id="81">
    <w:p w14:paraId="37EAB609" w14:textId="719EC27A" w:rsidR="00661EB7" w:rsidRDefault="00661EB7" w:rsidP="00661EB7">
      <w:pPr>
        <w:pStyle w:val="FootnoteText"/>
      </w:pPr>
      <w:r>
        <w:rPr>
          <w:rStyle w:val="FootnoteReference"/>
        </w:rPr>
        <w:footnoteRef/>
      </w:r>
      <w:r>
        <w:t xml:space="preserve"> Opening Brief of </w:t>
      </w:r>
      <w:r w:rsidR="00323025">
        <w:t xml:space="preserve">California Emerging Technologies Fund at </w:t>
      </w:r>
      <w:r w:rsidR="00DB176F">
        <w:t>19-22.</w:t>
      </w:r>
    </w:p>
  </w:footnote>
  <w:footnote w:id="82">
    <w:p w14:paraId="1CFFA76B" w14:textId="66C1CB5B" w:rsidR="00661EB7" w:rsidRDefault="00661EB7" w:rsidP="00661EB7">
      <w:pPr>
        <w:pStyle w:val="FootnoteText"/>
      </w:pPr>
      <w:r>
        <w:rPr>
          <w:rStyle w:val="FootnoteReference"/>
        </w:rPr>
        <w:footnoteRef/>
      </w:r>
      <w:r>
        <w:t xml:space="preserve"> TURN Opening Brief at </w:t>
      </w:r>
      <w:r w:rsidR="000143DE">
        <w:t>40-</w:t>
      </w:r>
      <w:r>
        <w:t>41.</w:t>
      </w:r>
    </w:p>
  </w:footnote>
  <w:footnote w:id="83">
    <w:p w14:paraId="27CFAC91" w14:textId="77777777" w:rsidR="00661EB7" w:rsidRDefault="00661EB7" w:rsidP="00661EB7">
      <w:pPr>
        <w:pStyle w:val="FootnoteText"/>
      </w:pPr>
      <w:r>
        <w:rPr>
          <w:rStyle w:val="FootnoteReference"/>
        </w:rPr>
        <w:footnoteRef/>
      </w:r>
      <w:r>
        <w:t xml:space="preserve"> TURN Opening Brief at 44.</w:t>
      </w:r>
    </w:p>
  </w:footnote>
  <w:footnote w:id="84">
    <w:p w14:paraId="001450BE" w14:textId="77777777" w:rsidR="00661EB7" w:rsidRDefault="00661EB7" w:rsidP="00661EB7">
      <w:pPr>
        <w:pStyle w:val="FootnoteText"/>
      </w:pPr>
      <w:r>
        <w:rPr>
          <w:rStyle w:val="FootnoteReference"/>
        </w:rPr>
        <w:footnoteRef/>
      </w:r>
      <w:r>
        <w:t xml:space="preserve"> Opening Brief of Media Alliance at 6-7.</w:t>
      </w:r>
    </w:p>
  </w:footnote>
  <w:footnote w:id="85">
    <w:p w14:paraId="266A3888" w14:textId="58E7E4E6" w:rsidR="00661EB7" w:rsidRDefault="00661EB7" w:rsidP="00661EB7">
      <w:pPr>
        <w:pStyle w:val="FootnoteText"/>
      </w:pPr>
      <w:r>
        <w:rPr>
          <w:rStyle w:val="FootnoteReference"/>
        </w:rPr>
        <w:footnoteRef/>
      </w:r>
      <w:r>
        <w:t xml:space="preserve"> Media </w:t>
      </w:r>
      <w:r w:rsidR="00302E1A">
        <w:t>Alliance</w:t>
      </w:r>
      <w:r>
        <w:t xml:space="preserve"> Opening Brief </w:t>
      </w:r>
      <w:r w:rsidR="00302E1A">
        <w:t>at 7.</w:t>
      </w:r>
    </w:p>
  </w:footnote>
  <w:footnote w:id="86">
    <w:p w14:paraId="3CD4AECE" w14:textId="0E702492" w:rsidR="00661EB7" w:rsidRPr="00E22179" w:rsidRDefault="00661EB7" w:rsidP="00661EB7">
      <w:pPr>
        <w:ind w:firstLine="0"/>
        <w:rPr>
          <w:sz w:val="22"/>
        </w:rPr>
      </w:pPr>
      <w:r w:rsidRPr="00E22179">
        <w:rPr>
          <w:sz w:val="22"/>
          <w:vertAlign w:val="superscript"/>
        </w:rPr>
        <w:footnoteRef/>
      </w:r>
      <w:r w:rsidRPr="00E22179">
        <w:rPr>
          <w:sz w:val="22"/>
        </w:rPr>
        <w:t xml:space="preserve"> Media </w:t>
      </w:r>
      <w:r w:rsidR="00302E1A">
        <w:rPr>
          <w:sz w:val="22"/>
        </w:rPr>
        <w:t>Alliance</w:t>
      </w:r>
      <w:r w:rsidRPr="00E22179">
        <w:rPr>
          <w:sz w:val="22"/>
        </w:rPr>
        <w:t xml:space="preserve"> Opening Brief </w:t>
      </w:r>
      <w:r w:rsidR="00302E1A">
        <w:rPr>
          <w:sz w:val="22"/>
        </w:rPr>
        <w:t>at 6.</w:t>
      </w:r>
    </w:p>
  </w:footnote>
  <w:footnote w:id="87">
    <w:p w14:paraId="4642F7D1" w14:textId="06FFA748" w:rsidR="00661EB7" w:rsidRDefault="00661EB7" w:rsidP="00661EB7">
      <w:pPr>
        <w:pStyle w:val="FootnoteText"/>
      </w:pPr>
      <w:r>
        <w:rPr>
          <w:rStyle w:val="FootnoteReference"/>
        </w:rPr>
        <w:footnoteRef/>
      </w:r>
      <w:r>
        <w:t xml:space="preserve"> Opening Brief </w:t>
      </w:r>
      <w:r w:rsidR="002A1977">
        <w:t>of Media Alliance</w:t>
      </w:r>
      <w:r w:rsidR="002E3902">
        <w:t xml:space="preserve"> </w:t>
      </w:r>
      <w:r w:rsidR="00302E1A">
        <w:t>at 13.</w:t>
      </w:r>
    </w:p>
  </w:footnote>
  <w:footnote w:id="88">
    <w:p w14:paraId="1229E4BF" w14:textId="4A94C317" w:rsidR="00661EB7" w:rsidRPr="00E22179" w:rsidRDefault="00661EB7" w:rsidP="00661EB7">
      <w:pPr>
        <w:ind w:firstLine="0"/>
        <w:rPr>
          <w:sz w:val="22"/>
        </w:rPr>
      </w:pPr>
      <w:r w:rsidRPr="00E22179">
        <w:rPr>
          <w:sz w:val="22"/>
          <w:vertAlign w:val="superscript"/>
        </w:rPr>
        <w:footnoteRef/>
      </w:r>
      <w:r w:rsidRPr="00E22179">
        <w:rPr>
          <w:sz w:val="22"/>
          <w:vertAlign w:val="superscript"/>
        </w:rPr>
        <w:t xml:space="preserve"> </w:t>
      </w:r>
      <w:r w:rsidRPr="00E22179">
        <w:rPr>
          <w:sz w:val="22"/>
        </w:rPr>
        <w:t xml:space="preserve">Opening Brief </w:t>
      </w:r>
      <w:r w:rsidR="002A1977">
        <w:rPr>
          <w:sz w:val="22"/>
        </w:rPr>
        <w:t xml:space="preserve">of Joint Advocates </w:t>
      </w:r>
      <w:r w:rsidRPr="00E22179">
        <w:rPr>
          <w:sz w:val="22"/>
        </w:rPr>
        <w:t>at 14.</w:t>
      </w:r>
    </w:p>
  </w:footnote>
  <w:footnote w:id="89">
    <w:p w14:paraId="4A9A4DEA" w14:textId="77777777" w:rsidR="00661EB7" w:rsidRDefault="00661EB7" w:rsidP="00661EB7">
      <w:pPr>
        <w:pStyle w:val="FootnoteText"/>
      </w:pPr>
      <w:r>
        <w:rPr>
          <w:rStyle w:val="FootnoteReference"/>
        </w:rPr>
        <w:footnoteRef/>
      </w:r>
      <w:r>
        <w:t xml:space="preserve"> Opening Brief of the Cal Advocates at 5.</w:t>
      </w:r>
    </w:p>
  </w:footnote>
  <w:footnote w:id="90">
    <w:p w14:paraId="3D61A450" w14:textId="77777777" w:rsidR="004F7703" w:rsidRDefault="004F7703" w:rsidP="004F7703">
      <w:pPr>
        <w:pStyle w:val="FootnoteText"/>
      </w:pPr>
      <w:r>
        <w:rPr>
          <w:rStyle w:val="FootnoteReference"/>
        </w:rPr>
        <w:footnoteRef/>
      </w:r>
      <w:r>
        <w:t xml:space="preserve"> Joint Application at 20-21.</w:t>
      </w:r>
    </w:p>
  </w:footnote>
  <w:footnote w:id="91">
    <w:p w14:paraId="435B7842" w14:textId="75A3C568" w:rsidR="004F7703" w:rsidRDefault="004F7703" w:rsidP="004F7703">
      <w:pPr>
        <w:pStyle w:val="FootnoteText"/>
      </w:pPr>
      <w:r>
        <w:rPr>
          <w:rStyle w:val="FootnoteReference"/>
        </w:rPr>
        <w:footnoteRef/>
      </w:r>
      <w:r>
        <w:t xml:space="preserve"> Opening Brief of Cal Advocates</w:t>
      </w:r>
      <w:r w:rsidR="00DB214B">
        <w:t xml:space="preserve"> at 14-16.</w:t>
      </w:r>
    </w:p>
  </w:footnote>
  <w:footnote w:id="92">
    <w:p w14:paraId="4CF773F1" w14:textId="589A9037" w:rsidR="00B11704" w:rsidRPr="00B11704" w:rsidRDefault="00B11704">
      <w:pPr>
        <w:pStyle w:val="FootnoteText"/>
        <w:rPr>
          <w:lang w:val="en-ZW"/>
        </w:rPr>
      </w:pPr>
      <w:r>
        <w:rPr>
          <w:rStyle w:val="FootnoteReference"/>
        </w:rPr>
        <w:footnoteRef/>
      </w:r>
      <w:r>
        <w:t xml:space="preserve"> Opening Brief of CETF at 22-24.</w:t>
      </w:r>
    </w:p>
  </w:footnote>
  <w:footnote w:id="93">
    <w:p w14:paraId="11A94B1E" w14:textId="38591953" w:rsidR="004F7703" w:rsidRDefault="004F7703" w:rsidP="004F7703">
      <w:pPr>
        <w:pStyle w:val="FootnoteText"/>
      </w:pPr>
      <w:r>
        <w:rPr>
          <w:rStyle w:val="FootnoteReference"/>
        </w:rPr>
        <w:footnoteRef/>
      </w:r>
      <w:r>
        <w:t xml:space="preserve"> Opening Brief </w:t>
      </w:r>
      <w:r w:rsidR="00B11704">
        <w:t xml:space="preserve">of TURN </w:t>
      </w:r>
      <w:r>
        <w:t>at 49.</w:t>
      </w:r>
    </w:p>
  </w:footnote>
  <w:footnote w:id="94">
    <w:p w14:paraId="4B30F954" w14:textId="77777777" w:rsidR="004F7703" w:rsidRDefault="004F7703" w:rsidP="004F7703">
      <w:pPr>
        <w:pStyle w:val="FootnoteText"/>
      </w:pPr>
      <w:r>
        <w:rPr>
          <w:rStyle w:val="FootnoteReference"/>
        </w:rPr>
        <w:footnoteRef/>
      </w:r>
      <w:r>
        <w:t xml:space="preserve"> CforAT, Media Alliance, CADE, FCDI, DELA, EBBC, (Joint Advocates) Reply Brief at 19.</w:t>
      </w:r>
    </w:p>
  </w:footnote>
  <w:footnote w:id="95">
    <w:p w14:paraId="30D9DFE3" w14:textId="77777777" w:rsidR="004F7703" w:rsidRDefault="004F7703" w:rsidP="004F7703">
      <w:pPr>
        <w:pStyle w:val="FootnoteText"/>
      </w:pPr>
      <w:r>
        <w:rPr>
          <w:rStyle w:val="FootnoteReference"/>
        </w:rPr>
        <w:footnoteRef/>
      </w:r>
      <w:r>
        <w:t xml:space="preserve"> Joint Advocates Reply Brief at 20.  Joint Applicants do engage with Media Alliance in a Motion to Strike Media Alliance’s Briefs, filed June 17, 2026.</w:t>
      </w:r>
    </w:p>
  </w:footnote>
  <w:footnote w:id="96">
    <w:p w14:paraId="4A410097" w14:textId="77777777" w:rsidR="00661EB7" w:rsidRDefault="00661EB7" w:rsidP="00661EB7">
      <w:pPr>
        <w:spacing w:line="240" w:lineRule="auto"/>
        <w:ind w:firstLine="0"/>
      </w:pPr>
      <w:r w:rsidRPr="00B26302">
        <w:rPr>
          <w:rStyle w:val="FootnoteReference"/>
          <w:sz w:val="22"/>
        </w:rPr>
        <w:footnoteRef/>
      </w:r>
      <w:r>
        <w:t xml:space="preserve"> </w:t>
      </w:r>
      <w:r w:rsidRPr="00755C00">
        <w:rPr>
          <w:sz w:val="22"/>
        </w:rPr>
        <w:t>Joint Motion of Charter Communications, Inc. and California Emerging Technology Fund for Adoption of Settlement Agreement at 1-2.</w:t>
      </w:r>
    </w:p>
  </w:footnote>
  <w:footnote w:id="97">
    <w:p w14:paraId="3124B36C" w14:textId="77777777" w:rsidR="00B64426" w:rsidRDefault="00B64426" w:rsidP="00B64426">
      <w:pPr>
        <w:pStyle w:val="FootnoteText"/>
      </w:pPr>
      <w:r>
        <w:rPr>
          <w:rStyle w:val="FootnoteReference"/>
        </w:rPr>
        <w:footnoteRef/>
      </w:r>
      <w:r>
        <w:t xml:space="preserve"> Joint Motion of Charter and the Public Advocates Office for Adoption of Settlement Agreement at 4.</w:t>
      </w:r>
    </w:p>
  </w:footnote>
  <w:footnote w:id="98">
    <w:p w14:paraId="3559F62D" w14:textId="030EC69F" w:rsidR="004D284B" w:rsidRPr="00F71FB6" w:rsidRDefault="004D284B">
      <w:pPr>
        <w:pStyle w:val="FootnoteText"/>
        <w:rPr>
          <w:lang w:val="en-ZW"/>
        </w:rPr>
      </w:pPr>
      <w:r>
        <w:rPr>
          <w:rStyle w:val="FootnoteReference"/>
        </w:rPr>
        <w:footnoteRef/>
      </w:r>
      <w:r>
        <w:t xml:space="preserve"> Joint Motion of Charter and the Public Advocates Office for Adoption of Settlement Agreement at 5-6.</w:t>
      </w:r>
    </w:p>
  </w:footnote>
  <w:footnote w:id="99">
    <w:p w14:paraId="242770C7" w14:textId="4F1B90FA" w:rsidR="004D284B" w:rsidRPr="00F71FB6" w:rsidRDefault="004D284B">
      <w:pPr>
        <w:pStyle w:val="FootnoteText"/>
        <w:rPr>
          <w:lang w:val="en-ZW"/>
        </w:rPr>
      </w:pPr>
      <w:r>
        <w:rPr>
          <w:rStyle w:val="FootnoteReference"/>
        </w:rPr>
        <w:footnoteRef/>
      </w:r>
      <w:r>
        <w:t xml:space="preserve"> </w:t>
      </w:r>
      <w:r w:rsidRPr="00F71FB6">
        <w:rPr>
          <w:i/>
          <w:iCs/>
          <w:lang w:val="en-ZW"/>
        </w:rPr>
        <w:t>Id.</w:t>
      </w:r>
      <w:r>
        <w:rPr>
          <w:lang w:val="en-ZW"/>
        </w:rPr>
        <w:t xml:space="preserve"> at 6.</w:t>
      </w:r>
    </w:p>
  </w:footnote>
  <w:footnote w:id="100">
    <w:p w14:paraId="681D1BAC" w14:textId="3EBF18E7" w:rsidR="004D284B" w:rsidRPr="00F71FB6" w:rsidRDefault="004D284B">
      <w:pPr>
        <w:pStyle w:val="FootnoteText"/>
        <w:rPr>
          <w:lang w:val="en-ZW"/>
        </w:rPr>
      </w:pPr>
      <w:r>
        <w:rPr>
          <w:rStyle w:val="FootnoteReference"/>
        </w:rPr>
        <w:footnoteRef/>
      </w:r>
      <w:r>
        <w:t xml:space="preserve"> </w:t>
      </w:r>
      <w:r w:rsidRPr="00F71FB6">
        <w:rPr>
          <w:i/>
          <w:iCs/>
          <w:lang w:val="en-ZW"/>
        </w:rPr>
        <w:t>Id.</w:t>
      </w:r>
      <w:r>
        <w:rPr>
          <w:lang w:val="en-ZW"/>
        </w:rPr>
        <w:t xml:space="preserve"> at 6.</w:t>
      </w:r>
    </w:p>
  </w:footnote>
  <w:footnote w:id="101">
    <w:p w14:paraId="28D33135" w14:textId="1A1B8F82" w:rsidR="004D284B" w:rsidRPr="00F71FB6" w:rsidRDefault="004D284B">
      <w:pPr>
        <w:pStyle w:val="FootnoteText"/>
        <w:rPr>
          <w:lang w:val="en-ZW"/>
        </w:rPr>
      </w:pPr>
      <w:r>
        <w:rPr>
          <w:rStyle w:val="FootnoteReference"/>
        </w:rPr>
        <w:footnoteRef/>
      </w:r>
      <w:r>
        <w:t xml:space="preserve"> </w:t>
      </w:r>
      <w:r w:rsidRPr="00F71FB6">
        <w:rPr>
          <w:i/>
          <w:iCs/>
          <w:lang w:val="en-ZW"/>
        </w:rPr>
        <w:t>Id.</w:t>
      </w:r>
      <w:r>
        <w:rPr>
          <w:lang w:val="en-ZW"/>
        </w:rPr>
        <w:t xml:space="preserve"> at 10-11.</w:t>
      </w:r>
    </w:p>
  </w:footnote>
  <w:footnote w:id="102">
    <w:p w14:paraId="7CC4EC0D" w14:textId="0A77E753" w:rsidR="00661EB7" w:rsidRDefault="00661EB7" w:rsidP="00661EB7">
      <w:pPr>
        <w:pStyle w:val="FootnoteText"/>
      </w:pPr>
      <w:r>
        <w:rPr>
          <w:rStyle w:val="FootnoteReference"/>
        </w:rPr>
        <w:footnoteRef/>
      </w:r>
      <w:r>
        <w:t xml:space="preserve"> </w:t>
      </w:r>
      <w:r w:rsidR="0047300F" w:rsidRPr="00C4668D">
        <w:t>Joint Motion of Charter Communications, Inc. and California Emerging Technology Fund for Adoption of Settlement Agreement at 4-5.</w:t>
      </w:r>
    </w:p>
  </w:footnote>
  <w:footnote w:id="103">
    <w:p w14:paraId="29A09E71" w14:textId="77777777" w:rsidR="00661EB7" w:rsidRPr="0002341B" w:rsidRDefault="00661EB7" w:rsidP="00661EB7">
      <w:pPr>
        <w:spacing w:line="240" w:lineRule="auto"/>
        <w:ind w:firstLine="0"/>
        <w:rPr>
          <w:sz w:val="22"/>
        </w:rPr>
      </w:pPr>
      <w:r w:rsidRPr="0047300F">
        <w:rPr>
          <w:rStyle w:val="FootnoteReference"/>
          <w:sz w:val="22"/>
        </w:rPr>
        <w:footnoteRef/>
      </w:r>
      <w:r w:rsidRPr="0047300F">
        <w:rPr>
          <w:sz w:val="22"/>
        </w:rPr>
        <w:t xml:space="preserve"> </w:t>
      </w:r>
      <w:r w:rsidRPr="00C4668D">
        <w:rPr>
          <w:sz w:val="22"/>
        </w:rPr>
        <w:t>Joint Motion of Charter Communications, Inc. and California Emerging Technology Fund for Adoption of Settlement Agreement at 4-5.</w:t>
      </w:r>
    </w:p>
  </w:footnote>
  <w:footnote w:id="104">
    <w:p w14:paraId="141522EA" w14:textId="3ABC4912" w:rsidR="002D08B2" w:rsidRPr="002E3902" w:rsidRDefault="002D08B2">
      <w:pPr>
        <w:pStyle w:val="FootnoteText"/>
        <w:rPr>
          <w:lang w:val="en-ZW"/>
        </w:rPr>
      </w:pPr>
      <w:r>
        <w:rPr>
          <w:rStyle w:val="FootnoteReference"/>
        </w:rPr>
        <w:footnoteRef/>
      </w:r>
      <w:r>
        <w:t xml:space="preserve"> </w:t>
      </w:r>
      <w:r w:rsidRPr="002E3902">
        <w:rPr>
          <w:i/>
          <w:iCs/>
          <w:lang w:val="en-ZW"/>
        </w:rPr>
        <w:t>Id</w:t>
      </w:r>
      <w:r w:rsidR="006D569B" w:rsidRPr="002E3902">
        <w:rPr>
          <w:i/>
          <w:iCs/>
          <w:lang w:val="en-ZW"/>
        </w:rPr>
        <w:t>.</w:t>
      </w:r>
      <w:r>
        <w:rPr>
          <w:lang w:val="en-ZW"/>
        </w:rPr>
        <w:t xml:space="preserve"> at 9.</w:t>
      </w:r>
    </w:p>
  </w:footnote>
  <w:footnote w:id="105">
    <w:p w14:paraId="558DDC03" w14:textId="77777777" w:rsidR="008E1D0A" w:rsidRDefault="008E1D0A" w:rsidP="008E1D0A">
      <w:pPr>
        <w:pStyle w:val="FootnoteText"/>
      </w:pPr>
      <w:r>
        <w:rPr>
          <w:rStyle w:val="FootnoteReference"/>
        </w:rPr>
        <w:footnoteRef/>
      </w:r>
      <w:r>
        <w:t xml:space="preserve"> TURN Comments on Cal Advocates Settlement at 8; TURN Comments on CETF Settlement at 5.</w:t>
      </w:r>
    </w:p>
  </w:footnote>
  <w:footnote w:id="106">
    <w:p w14:paraId="7F4F25A8" w14:textId="77777777" w:rsidR="00001054" w:rsidRDefault="00001054" w:rsidP="00001054">
      <w:pPr>
        <w:pStyle w:val="FootnoteText"/>
      </w:pPr>
      <w:r>
        <w:rPr>
          <w:rStyle w:val="FootnoteReference"/>
        </w:rPr>
        <w:footnoteRef/>
      </w:r>
      <w:r>
        <w:t xml:space="preserve"> Joint Motion of Joint Applicants and Cal Advocates at 4.</w:t>
      </w:r>
    </w:p>
  </w:footnote>
  <w:footnote w:id="107">
    <w:p w14:paraId="1A64AD39" w14:textId="341D8079" w:rsidR="00001054" w:rsidRDefault="00001054" w:rsidP="00001054">
      <w:pPr>
        <w:pStyle w:val="FootnoteText"/>
      </w:pPr>
      <w:r>
        <w:rPr>
          <w:rStyle w:val="FootnoteReference"/>
        </w:rPr>
        <w:footnoteRef/>
      </w:r>
      <w:r>
        <w:t xml:space="preserve"> </w:t>
      </w:r>
      <w:r w:rsidR="00172702" w:rsidRPr="007238AE">
        <w:rPr>
          <w:i/>
          <w:iCs/>
        </w:rPr>
        <w:t>Id.</w:t>
      </w:r>
      <w:r>
        <w:t xml:space="preserve"> at 4.</w:t>
      </w:r>
    </w:p>
  </w:footnote>
  <w:footnote w:id="108">
    <w:p w14:paraId="62E85C4A" w14:textId="77777777" w:rsidR="00661EB7" w:rsidRDefault="00661EB7" w:rsidP="00661EB7">
      <w:pPr>
        <w:pStyle w:val="FootnoteText"/>
      </w:pPr>
      <w:r>
        <w:rPr>
          <w:rStyle w:val="FootnoteReference"/>
        </w:rPr>
        <w:footnoteRef/>
      </w:r>
      <w:r>
        <w:t xml:space="preserve"> Joint Motion of Joint Applicants and CETF at 4-5.</w:t>
      </w:r>
    </w:p>
  </w:footnote>
  <w:footnote w:id="109">
    <w:p w14:paraId="072962CB" w14:textId="4BD97F0E" w:rsidR="00661EB7" w:rsidRDefault="00661EB7" w:rsidP="00661EB7">
      <w:pPr>
        <w:pStyle w:val="FootnoteText"/>
      </w:pPr>
      <w:r>
        <w:rPr>
          <w:rStyle w:val="FootnoteReference"/>
        </w:rPr>
        <w:footnoteRef/>
      </w:r>
      <w:r>
        <w:t xml:space="preserve"> </w:t>
      </w:r>
      <w:r w:rsidR="00172702" w:rsidRPr="007238AE">
        <w:rPr>
          <w:i/>
          <w:iCs/>
        </w:rPr>
        <w:t>Id.</w:t>
      </w:r>
      <w:r>
        <w:t xml:space="preserve"> at 5.</w:t>
      </w:r>
    </w:p>
  </w:footnote>
  <w:footnote w:id="110">
    <w:p w14:paraId="6E0CF3A3" w14:textId="77777777" w:rsidR="00661EB7" w:rsidRDefault="00661EB7" w:rsidP="00661EB7">
      <w:pPr>
        <w:pStyle w:val="FootnoteText"/>
      </w:pPr>
      <w:r>
        <w:rPr>
          <w:rStyle w:val="FootnoteReference"/>
        </w:rPr>
        <w:footnoteRef/>
      </w:r>
      <w:r>
        <w:t xml:space="preserve"> Joint Advocates Opening Comments on Settlement Agreement at 3-7.</w:t>
      </w:r>
    </w:p>
  </w:footnote>
  <w:footnote w:id="111">
    <w:p w14:paraId="01EB95A0" w14:textId="6D254128" w:rsidR="00661EB7" w:rsidRDefault="00661EB7" w:rsidP="00661EB7">
      <w:pPr>
        <w:pStyle w:val="FootnoteText"/>
      </w:pPr>
      <w:r>
        <w:rPr>
          <w:rStyle w:val="FootnoteReference"/>
        </w:rPr>
        <w:footnoteRef/>
      </w:r>
      <w:r>
        <w:t xml:space="preserve"> </w:t>
      </w:r>
      <w:r w:rsidR="00F94799" w:rsidRPr="002E3902">
        <w:rPr>
          <w:i/>
          <w:iCs/>
        </w:rPr>
        <w:t>Id.</w:t>
      </w:r>
      <w:r w:rsidR="00F94799">
        <w:t xml:space="preserve"> </w:t>
      </w:r>
      <w:r>
        <w:t>at 7-8.</w:t>
      </w:r>
    </w:p>
  </w:footnote>
  <w:footnote w:id="112">
    <w:p w14:paraId="45D7D3B2" w14:textId="1D9FC89D" w:rsidR="00661EB7" w:rsidRDefault="00661EB7" w:rsidP="00661EB7">
      <w:pPr>
        <w:pStyle w:val="FootnoteText"/>
      </w:pPr>
      <w:r>
        <w:rPr>
          <w:rStyle w:val="FootnoteReference"/>
        </w:rPr>
        <w:footnoteRef/>
      </w:r>
      <w:r>
        <w:t xml:space="preserve"> </w:t>
      </w:r>
      <w:r w:rsidR="00F94799" w:rsidRPr="002E3902">
        <w:rPr>
          <w:i/>
          <w:iCs/>
        </w:rPr>
        <w:t>Id.</w:t>
      </w:r>
      <w:r w:rsidR="00F94799">
        <w:t xml:space="preserve"> </w:t>
      </w:r>
      <w:r>
        <w:t>at 10.</w:t>
      </w:r>
    </w:p>
  </w:footnote>
  <w:footnote w:id="113">
    <w:p w14:paraId="03E132D4" w14:textId="77777777" w:rsidR="00661EB7" w:rsidRDefault="00661EB7" w:rsidP="00661EB7">
      <w:pPr>
        <w:pStyle w:val="FootnoteText"/>
      </w:pPr>
      <w:r>
        <w:rPr>
          <w:rStyle w:val="FootnoteReference"/>
        </w:rPr>
        <w:footnoteRef/>
      </w:r>
      <w:r>
        <w:t xml:space="preserve"> Joint Advocates Opening Comments on Settlement Agreement at 21.</w:t>
      </w:r>
    </w:p>
  </w:footnote>
  <w:footnote w:id="114">
    <w:p w14:paraId="7167AD5A" w14:textId="77777777" w:rsidR="00661EB7" w:rsidRDefault="00661EB7" w:rsidP="00661EB7">
      <w:pPr>
        <w:pStyle w:val="FootnoteText"/>
      </w:pPr>
      <w:r>
        <w:rPr>
          <w:rStyle w:val="FootnoteReference"/>
        </w:rPr>
        <w:footnoteRef/>
      </w:r>
      <w:r>
        <w:t xml:space="preserve"> CforAT Opening Comments on Settlement Agreements at 2.</w:t>
      </w:r>
    </w:p>
  </w:footnote>
  <w:footnote w:id="115">
    <w:p w14:paraId="31725AB2" w14:textId="73679789" w:rsidR="00661EB7" w:rsidRDefault="00661EB7" w:rsidP="00661EB7">
      <w:pPr>
        <w:pStyle w:val="FootnoteText"/>
      </w:pPr>
      <w:r>
        <w:rPr>
          <w:rStyle w:val="FootnoteReference"/>
        </w:rPr>
        <w:footnoteRef/>
      </w:r>
      <w:r>
        <w:t xml:space="preserve"> </w:t>
      </w:r>
      <w:r w:rsidR="00E511A8" w:rsidRPr="007238AE">
        <w:rPr>
          <w:i/>
          <w:iCs/>
        </w:rPr>
        <w:t>Id.</w:t>
      </w:r>
      <w:r>
        <w:t xml:space="preserve"> at 10-11.</w:t>
      </w:r>
    </w:p>
  </w:footnote>
  <w:footnote w:id="116">
    <w:p w14:paraId="0B0E2207" w14:textId="0D8BB374" w:rsidR="00661EB7" w:rsidRDefault="00661EB7" w:rsidP="00661EB7">
      <w:pPr>
        <w:pStyle w:val="FootnoteText"/>
      </w:pPr>
      <w:r>
        <w:rPr>
          <w:rStyle w:val="FootnoteReference"/>
        </w:rPr>
        <w:footnoteRef/>
      </w:r>
      <w:r>
        <w:t xml:space="preserve"> </w:t>
      </w:r>
      <w:r w:rsidR="00E511A8" w:rsidRPr="002E3902">
        <w:rPr>
          <w:i/>
          <w:iCs/>
        </w:rPr>
        <w:t>Id.</w:t>
      </w:r>
      <w:r w:rsidR="00E511A8">
        <w:t xml:space="preserve"> </w:t>
      </w:r>
      <w:r>
        <w:t>at 27.</w:t>
      </w:r>
    </w:p>
  </w:footnote>
  <w:footnote w:id="117">
    <w:p w14:paraId="383C2555" w14:textId="35D97775" w:rsidR="00661EB7" w:rsidRDefault="00661EB7" w:rsidP="00661EB7">
      <w:pPr>
        <w:pStyle w:val="FootnoteText"/>
      </w:pPr>
      <w:r>
        <w:rPr>
          <w:rStyle w:val="FootnoteReference"/>
        </w:rPr>
        <w:footnoteRef/>
      </w:r>
      <w:r>
        <w:t xml:space="preserve"> </w:t>
      </w:r>
      <w:r w:rsidR="00E511A8" w:rsidRPr="007238AE">
        <w:rPr>
          <w:i/>
          <w:iCs/>
        </w:rPr>
        <w:t>Id.</w:t>
      </w:r>
      <w:r>
        <w:t xml:space="preserve"> at 28.</w:t>
      </w:r>
    </w:p>
  </w:footnote>
  <w:footnote w:id="118">
    <w:p w14:paraId="76710FF5" w14:textId="77777777" w:rsidR="00661EB7" w:rsidRDefault="00661EB7" w:rsidP="00661EB7">
      <w:pPr>
        <w:pStyle w:val="FootnoteText"/>
      </w:pPr>
      <w:r>
        <w:rPr>
          <w:rStyle w:val="FootnoteReference"/>
        </w:rPr>
        <w:footnoteRef/>
      </w:r>
      <w:r>
        <w:t xml:space="preserve"> </w:t>
      </w:r>
      <w:r w:rsidRPr="00DD30A4">
        <w:t xml:space="preserve">Joint Motion of Charter Communications, Inc., and CETF for Adoption of Settlement </w:t>
      </w:r>
      <w:r w:rsidRPr="00ED69A7">
        <w:t>Agreement at Exhibit 1 at 15.</w:t>
      </w:r>
      <w:r>
        <w:t xml:space="preserve"> </w:t>
      </w:r>
    </w:p>
  </w:footnote>
  <w:footnote w:id="119">
    <w:p w14:paraId="2AAF7605" w14:textId="4F736179" w:rsidR="000B4990" w:rsidRDefault="000B4990">
      <w:pPr>
        <w:pStyle w:val="FootnoteText"/>
      </w:pPr>
      <w:r>
        <w:rPr>
          <w:rStyle w:val="FootnoteReference"/>
        </w:rPr>
        <w:footnoteRef/>
      </w:r>
      <w:r>
        <w:t xml:space="preserve"> Motion of Joint Applicants on Joint Settlement Election of Proposed Decision at 6 (stating “Joint Applicants do not oppose the manner in which the APD adopts these Settlements</w:t>
      </w:r>
      <w:r w:rsidR="006F7C6C">
        <w:t>”</w:t>
      </w:r>
      <w:r>
        <w:t>); Motion of California Emerging Technology Fund on Joint Settlement Election of Proposed Decision at 3.</w:t>
      </w:r>
    </w:p>
  </w:footnote>
  <w:footnote w:id="120">
    <w:p w14:paraId="6D486E9A" w14:textId="1CCDE8CC" w:rsidR="00C40839" w:rsidRPr="002E3902" w:rsidRDefault="00C40839">
      <w:pPr>
        <w:pStyle w:val="FootnoteText"/>
        <w:rPr>
          <w:lang w:val="en-ZW"/>
        </w:rPr>
      </w:pPr>
      <w:r>
        <w:rPr>
          <w:rStyle w:val="FootnoteReference"/>
        </w:rPr>
        <w:footnoteRef/>
      </w:r>
      <w:r>
        <w:t xml:space="preserve"> </w:t>
      </w:r>
      <w:r w:rsidRPr="002E3902">
        <w:rPr>
          <w:i/>
          <w:iCs/>
          <w:lang w:val="en-ZW"/>
        </w:rPr>
        <w:t>Id.</w:t>
      </w:r>
      <w:r>
        <w:rPr>
          <w:lang w:val="en-ZW"/>
        </w:rPr>
        <w:t xml:space="preserve"> at </w:t>
      </w:r>
      <w:r w:rsidR="00E511A8">
        <w:rPr>
          <w:lang w:val="en-ZW"/>
        </w:rPr>
        <w:t>9.</w:t>
      </w:r>
    </w:p>
  </w:footnote>
  <w:footnote w:id="121">
    <w:p w14:paraId="2F125B03" w14:textId="77777777" w:rsidR="00DB2F13" w:rsidRPr="005503B8" w:rsidRDefault="00DB2F13" w:rsidP="00DB2F13">
      <w:pPr>
        <w:spacing w:line="240" w:lineRule="auto"/>
        <w:ind w:firstLine="0"/>
      </w:pPr>
      <w:r w:rsidRPr="007E68C2">
        <w:rPr>
          <w:rStyle w:val="FootnoteReference"/>
          <w:sz w:val="22"/>
        </w:rPr>
        <w:footnoteRef/>
      </w:r>
      <w:r w:rsidRPr="007E68C2">
        <w:rPr>
          <w:sz w:val="22"/>
        </w:rPr>
        <w:t xml:space="preserve"> Joint Motion of Charter and Public Advocates Office for Adoption of Settlement Agreement at 4.</w:t>
      </w:r>
    </w:p>
  </w:footnote>
  <w:footnote w:id="122">
    <w:p w14:paraId="6A7E214A" w14:textId="77777777" w:rsidR="00661EB7" w:rsidRDefault="00661EB7" w:rsidP="00661EB7">
      <w:pPr>
        <w:spacing w:line="240" w:lineRule="auto"/>
        <w:ind w:firstLine="0"/>
      </w:pPr>
      <w:r w:rsidRPr="00AF4B8A">
        <w:rPr>
          <w:rStyle w:val="FootnoteReference"/>
          <w:sz w:val="22"/>
        </w:rPr>
        <w:footnoteRef/>
      </w:r>
      <w:r w:rsidRPr="00AF4B8A">
        <w:rPr>
          <w:sz w:val="22"/>
        </w:rPr>
        <w:t xml:space="preserve"> </w:t>
      </w:r>
      <w:r w:rsidRPr="007E68C2">
        <w:rPr>
          <w:sz w:val="22"/>
        </w:rPr>
        <w:t>Joint Motion of Charter Communications, Inc. and California Emerging Technology Fund for Adoption of Settlement Agreement at 5.</w:t>
      </w:r>
    </w:p>
  </w:footnote>
  <w:footnote w:id="123">
    <w:p w14:paraId="5BDC987F" w14:textId="58ABFFBB" w:rsidR="00661EB7" w:rsidRPr="00B81929" w:rsidRDefault="001C3333" w:rsidP="00661EB7">
      <w:pPr>
        <w:pStyle w:val="FootnoteText"/>
        <w:rPr>
          <w:szCs w:val="22"/>
        </w:rPr>
      </w:pPr>
      <w:r w:rsidRPr="00AF4B8A">
        <w:rPr>
          <w:szCs w:val="22"/>
          <w:vertAlign w:val="superscript"/>
        </w:rPr>
        <w:t>1</w:t>
      </w:r>
      <w:r w:rsidR="00F235D8">
        <w:rPr>
          <w:szCs w:val="22"/>
          <w:vertAlign w:val="superscript"/>
        </w:rPr>
        <w:t>21</w:t>
      </w:r>
      <w:r>
        <w:rPr>
          <w:szCs w:val="22"/>
        </w:rPr>
        <w:t xml:space="preserve"> </w:t>
      </w:r>
      <w:r w:rsidR="00661EB7" w:rsidRPr="00B81929">
        <w:rPr>
          <w:szCs w:val="22"/>
        </w:rPr>
        <w:t>Opening Comments of the Utility Reform Network on the Joint Moti</w:t>
      </w:r>
      <w:r w:rsidR="00661EB7">
        <w:rPr>
          <w:szCs w:val="22"/>
        </w:rPr>
        <w:t>o</w:t>
      </w:r>
      <w:r w:rsidR="00661EB7" w:rsidRPr="00B81929">
        <w:rPr>
          <w:szCs w:val="22"/>
        </w:rPr>
        <w:t xml:space="preserve">n of Charter Communications, Inc. and California Emerging Technology Fund for Adoption of Settlement Agreement at </w:t>
      </w:r>
      <w:r w:rsidR="00661EB7">
        <w:t>1-</w:t>
      </w:r>
      <w:r w:rsidR="00661EB7" w:rsidRPr="00B81929">
        <w:rPr>
          <w:szCs w:val="22"/>
        </w:rPr>
        <w:t>2</w:t>
      </w:r>
      <w:r w:rsidR="00661EB7">
        <w:t>.</w:t>
      </w:r>
    </w:p>
  </w:footnote>
  <w:footnote w:id="124">
    <w:p w14:paraId="38D32E82" w14:textId="77777777" w:rsidR="00661EB7" w:rsidRDefault="00661EB7" w:rsidP="00661EB7">
      <w:pPr>
        <w:pStyle w:val="FootnoteText"/>
      </w:pPr>
      <w:r>
        <w:rPr>
          <w:rStyle w:val="FootnoteReference"/>
        </w:rPr>
        <w:footnoteRef/>
      </w:r>
      <w:r>
        <w:t>Joint Opening Comments on Charter Settlement Agreements with the California Emerging Technology Fund &amp; The Public Advocates Office at 17.</w:t>
      </w:r>
    </w:p>
  </w:footnote>
  <w:footnote w:id="125">
    <w:p w14:paraId="18ABFA0F" w14:textId="77777777" w:rsidR="00661EB7" w:rsidRPr="00AF4B8A" w:rsidRDefault="00661EB7" w:rsidP="00661EB7">
      <w:pPr>
        <w:spacing w:line="240" w:lineRule="auto"/>
        <w:ind w:firstLine="0"/>
        <w:rPr>
          <w:sz w:val="22"/>
        </w:rPr>
      </w:pPr>
      <w:r w:rsidRPr="00AF4B8A">
        <w:rPr>
          <w:rStyle w:val="FootnoteReference"/>
          <w:sz w:val="22"/>
        </w:rPr>
        <w:footnoteRef/>
      </w:r>
      <w:r>
        <w:t xml:space="preserve"> </w:t>
      </w:r>
      <w:r w:rsidRPr="00AF4B8A">
        <w:rPr>
          <w:sz w:val="22"/>
        </w:rPr>
        <w:t>Center for Accessible Technology’s Comments on Joint Motion of Charter and Public Advocates Office for Adoption of Settlement and Joint Motion of Charter Communications, Inc. and California Emerging Technology Fund for Adoption of Settlement Agreement at 2.</w:t>
      </w:r>
    </w:p>
  </w:footnote>
  <w:footnote w:id="126">
    <w:p w14:paraId="39E38D5F" w14:textId="0F938BE8" w:rsidR="00794A75" w:rsidRPr="00794A75" w:rsidRDefault="00794A75">
      <w:pPr>
        <w:pStyle w:val="FootnoteText"/>
        <w:rPr>
          <w:lang w:val="en-ZW"/>
        </w:rPr>
      </w:pPr>
      <w:r>
        <w:rPr>
          <w:rStyle w:val="FootnoteReference"/>
        </w:rPr>
        <w:footnoteRef/>
      </w:r>
      <w:r>
        <w:t xml:space="preserve"> </w:t>
      </w:r>
      <w:r>
        <w:rPr>
          <w:lang w:val="en-ZW"/>
        </w:rPr>
        <w:t>Reply Comments of the Public Advocate Office at 1</w:t>
      </w:r>
      <w:r w:rsidR="00CF2859">
        <w:rPr>
          <w:lang w:val="en-ZW"/>
        </w:rPr>
        <w:t>.</w:t>
      </w:r>
    </w:p>
  </w:footnote>
  <w:footnote w:id="127">
    <w:p w14:paraId="7F12DB57" w14:textId="624F5367" w:rsidR="00CF2859" w:rsidRPr="00CF2859" w:rsidRDefault="00CF2859">
      <w:pPr>
        <w:pStyle w:val="FootnoteText"/>
        <w:rPr>
          <w:lang w:val="en-ZW"/>
        </w:rPr>
      </w:pPr>
      <w:r>
        <w:rPr>
          <w:rStyle w:val="FootnoteReference"/>
        </w:rPr>
        <w:footnoteRef/>
      </w:r>
      <w:r>
        <w:t xml:space="preserve"> </w:t>
      </w:r>
      <w:r w:rsidRPr="00CF2859">
        <w:rPr>
          <w:i/>
          <w:iCs/>
          <w:lang w:val="en-ZW"/>
        </w:rPr>
        <w:t>Id.</w:t>
      </w:r>
      <w:r>
        <w:rPr>
          <w:lang w:val="en-ZW"/>
        </w:rPr>
        <w:t xml:space="preserve"> at 2.</w:t>
      </w:r>
    </w:p>
  </w:footnote>
  <w:footnote w:id="128">
    <w:p w14:paraId="0E395B75" w14:textId="565273E9" w:rsidR="00B72436" w:rsidRPr="00B72436" w:rsidRDefault="00B72436">
      <w:pPr>
        <w:pStyle w:val="FootnoteText"/>
        <w:rPr>
          <w:lang w:val="en-ZW"/>
        </w:rPr>
      </w:pPr>
      <w:r>
        <w:rPr>
          <w:rStyle w:val="FootnoteReference"/>
        </w:rPr>
        <w:footnoteRef/>
      </w:r>
      <w:r>
        <w:t xml:space="preserve"> Reply Comments of California Emerging Technology Fund on Settlement Agreements at iii.</w:t>
      </w:r>
    </w:p>
  </w:footnote>
  <w:footnote w:id="129">
    <w:p w14:paraId="616D3A40" w14:textId="4F2CDEA0" w:rsidR="00B72436" w:rsidRPr="00B72436" w:rsidRDefault="00B72436">
      <w:pPr>
        <w:pStyle w:val="FootnoteText"/>
        <w:rPr>
          <w:lang w:val="en-ZW"/>
        </w:rPr>
      </w:pPr>
      <w:r>
        <w:rPr>
          <w:rStyle w:val="FootnoteReference"/>
        </w:rPr>
        <w:footnoteRef/>
      </w:r>
      <w:r>
        <w:t xml:space="preserve"> </w:t>
      </w:r>
      <w:r w:rsidRPr="00B72436">
        <w:rPr>
          <w:i/>
          <w:iCs/>
          <w:lang w:val="en-ZW"/>
        </w:rPr>
        <w:t>Id.</w:t>
      </w:r>
      <w:r>
        <w:rPr>
          <w:lang w:val="en-ZW"/>
        </w:rPr>
        <w:t xml:space="preserve"> at v.</w:t>
      </w:r>
    </w:p>
  </w:footnote>
  <w:footnote w:id="130">
    <w:p w14:paraId="18A4DA35" w14:textId="77777777" w:rsidR="00661EB7" w:rsidRDefault="00661EB7" w:rsidP="00661EB7">
      <w:pPr>
        <w:pStyle w:val="FootnoteText"/>
      </w:pPr>
      <w:r>
        <w:rPr>
          <w:rStyle w:val="FootnoteReference"/>
        </w:rPr>
        <w:footnoteRef/>
      </w:r>
      <w:r>
        <w:t xml:space="preserve"> Opening Comments of The Utility Reform Network on the Joint Motion of Chater Communications, Inc. and California Emerging Technology Fund for Adoption of Settlement Agreement (TURN Comments on CETF Settlement) at 1. </w:t>
      </w:r>
    </w:p>
    <w:p w14:paraId="0753E50B" w14:textId="29C29304" w:rsidR="00661EB7" w:rsidRDefault="00661EB7" w:rsidP="00661EB7">
      <w:pPr>
        <w:pStyle w:val="FootnoteText"/>
      </w:pPr>
      <w:r>
        <w:t>Opening Comments of the Utility Reform Network on the Joint Motion of Charter and Public Advocates Office for Adoption of Settlement Agreement (TURN Comments on Cal Advocates Settlement) at 1-2.</w:t>
      </w:r>
    </w:p>
  </w:footnote>
  <w:footnote w:id="131">
    <w:p w14:paraId="38869CE8" w14:textId="77777777" w:rsidR="00661EB7" w:rsidRDefault="00661EB7" w:rsidP="00661EB7">
      <w:pPr>
        <w:pStyle w:val="FootnoteText"/>
      </w:pPr>
      <w:r>
        <w:rPr>
          <w:rStyle w:val="FootnoteReference"/>
        </w:rPr>
        <w:footnoteRef/>
      </w:r>
      <w:r>
        <w:t xml:space="preserve"> TURN Comments on Cal Advocates Settlement at 1. </w:t>
      </w:r>
    </w:p>
    <w:p w14:paraId="1F3E35D1" w14:textId="77777777" w:rsidR="00661EB7" w:rsidRDefault="00661EB7" w:rsidP="00661EB7">
      <w:pPr>
        <w:pStyle w:val="FootnoteText"/>
      </w:pPr>
      <w:r>
        <w:t>TURN Comments on CETF Settlement at 2.</w:t>
      </w:r>
    </w:p>
  </w:footnote>
  <w:footnote w:id="132">
    <w:p w14:paraId="70AC4CF2" w14:textId="77777777" w:rsidR="00661EB7" w:rsidRDefault="00661EB7" w:rsidP="00661EB7">
      <w:pPr>
        <w:pStyle w:val="FootnoteText"/>
      </w:pPr>
      <w:r>
        <w:rPr>
          <w:rStyle w:val="FootnoteReference"/>
        </w:rPr>
        <w:footnoteRef/>
      </w:r>
      <w:r>
        <w:t xml:space="preserve"> Reply Brief of TURN at 5.</w:t>
      </w:r>
    </w:p>
  </w:footnote>
  <w:footnote w:id="133">
    <w:p w14:paraId="08B035C1" w14:textId="487C18C2" w:rsidR="00433ADC" w:rsidRPr="002E3902" w:rsidRDefault="00433ADC">
      <w:pPr>
        <w:pStyle w:val="FootnoteText"/>
        <w:rPr>
          <w:lang w:val="en-ZW"/>
        </w:rPr>
      </w:pPr>
      <w:r>
        <w:rPr>
          <w:rStyle w:val="FootnoteReference"/>
        </w:rPr>
        <w:footnoteRef/>
      </w:r>
      <w:r>
        <w:t xml:space="preserve"> </w:t>
      </w:r>
      <w:r w:rsidR="007102E0">
        <w:t>Joint Reply Comments on Settlement Agreements at 10.</w:t>
      </w:r>
    </w:p>
  </w:footnote>
  <w:footnote w:id="134">
    <w:p w14:paraId="6CA93042" w14:textId="219B95ED" w:rsidR="00CF7358" w:rsidRPr="002E3902" w:rsidRDefault="00CF7358">
      <w:pPr>
        <w:pStyle w:val="FootnoteText"/>
        <w:rPr>
          <w:lang w:val="en-ZW"/>
        </w:rPr>
      </w:pPr>
      <w:r>
        <w:rPr>
          <w:rStyle w:val="FootnoteReference"/>
        </w:rPr>
        <w:footnoteRef/>
      </w:r>
      <w:r>
        <w:t xml:space="preserve"> </w:t>
      </w:r>
      <w:r w:rsidR="002F6403" w:rsidRPr="002E3902">
        <w:rPr>
          <w:i/>
          <w:iCs/>
          <w:lang w:val="en-ZW"/>
        </w:rPr>
        <w:t>Id.</w:t>
      </w:r>
      <w:r w:rsidR="002F6403">
        <w:rPr>
          <w:lang w:val="en-ZW"/>
        </w:rPr>
        <w:t xml:space="preserve"> at 13.</w:t>
      </w:r>
    </w:p>
  </w:footnote>
  <w:footnote w:id="135">
    <w:p w14:paraId="1D10E690" w14:textId="77777777" w:rsidR="00661EB7" w:rsidRDefault="00661EB7" w:rsidP="00661EB7">
      <w:pPr>
        <w:pStyle w:val="FootnoteText"/>
      </w:pPr>
      <w:r>
        <w:rPr>
          <w:rStyle w:val="FootnoteReference"/>
        </w:rPr>
        <w:footnoteRef/>
      </w:r>
      <w:r>
        <w:t xml:space="preserve"> Center for Accessible Technology’s Comments on Joint Motion of Charter and Public Advocates Office for Adoption of Settlement Agreement and Joint Motion of Chater Communications, Inc. and California Emerging Technology Fund for Adoption of Settlement Agreement (CforAT Settlement Comments) at 1.</w:t>
      </w:r>
    </w:p>
  </w:footnote>
  <w:footnote w:id="136">
    <w:p w14:paraId="2C69E586" w14:textId="77777777" w:rsidR="00661EB7" w:rsidRDefault="00661EB7" w:rsidP="00661EB7">
      <w:pPr>
        <w:pStyle w:val="FootnoteText"/>
      </w:pPr>
      <w:r>
        <w:rPr>
          <w:rStyle w:val="FootnoteReference"/>
        </w:rPr>
        <w:footnoteRef/>
      </w:r>
      <w:r>
        <w:t xml:space="preserve"> CforAT Settlement Comments at 4.</w:t>
      </w:r>
    </w:p>
  </w:footnote>
  <w:footnote w:id="137">
    <w:p w14:paraId="145DFBB6" w14:textId="77777777" w:rsidR="00661EB7" w:rsidRDefault="00661EB7" w:rsidP="00661EB7">
      <w:pPr>
        <w:pStyle w:val="FootnoteText"/>
      </w:pPr>
      <w:r>
        <w:rPr>
          <w:rStyle w:val="FootnoteReference"/>
        </w:rPr>
        <w:footnoteRef/>
      </w:r>
      <w:r>
        <w:t xml:space="preserve"> Joint Reply Comments on Charter Settlement Agreements with the California Emerging Technology Fund &amp; The Public Advocates Office (Joint Advocates6 Settlement Reply) at 3.</w:t>
      </w:r>
    </w:p>
  </w:footnote>
  <w:footnote w:id="138">
    <w:p w14:paraId="3D42D294" w14:textId="77777777" w:rsidR="00126ADC" w:rsidRDefault="00126ADC" w:rsidP="00126ADC">
      <w:pPr>
        <w:pStyle w:val="FootnoteText"/>
        <w:spacing w:after="0"/>
      </w:pPr>
      <w:r>
        <w:rPr>
          <w:rStyle w:val="FootnoteReference"/>
        </w:rPr>
        <w:footnoteRef/>
      </w:r>
      <w:r>
        <w:t xml:space="preserve"> Exh. 159. (Response to Cal Advocates Data Request 05.)</w:t>
      </w:r>
    </w:p>
  </w:footnote>
  <w:footnote w:id="139">
    <w:p w14:paraId="479539C7" w14:textId="77777777" w:rsidR="00126ADC" w:rsidRDefault="00126ADC" w:rsidP="00126ADC">
      <w:pPr>
        <w:spacing w:before="120" w:after="120" w:line="240" w:lineRule="auto"/>
        <w:ind w:firstLine="0"/>
      </w:pPr>
      <w:r w:rsidRPr="00B26302">
        <w:rPr>
          <w:rStyle w:val="FootnoteReference"/>
          <w:sz w:val="22"/>
        </w:rPr>
        <w:footnoteRef/>
      </w:r>
      <w:r w:rsidRPr="00696821">
        <w:t xml:space="preserve"> </w:t>
      </w:r>
      <w:r w:rsidRPr="00216062">
        <w:rPr>
          <w:sz w:val="22"/>
        </w:rPr>
        <w:t xml:space="preserve">Exh. 6 </w:t>
      </w:r>
      <w:r>
        <w:rPr>
          <w:sz w:val="22"/>
        </w:rPr>
        <w:t>(</w:t>
      </w:r>
      <w:r w:rsidRPr="00364C1A">
        <w:rPr>
          <w:sz w:val="22"/>
        </w:rPr>
        <w:t>Direct Testimony of Joshua Srago</w:t>
      </w:r>
      <w:r>
        <w:rPr>
          <w:sz w:val="22"/>
        </w:rPr>
        <w:t xml:space="preserve">) </w:t>
      </w:r>
      <w:r w:rsidRPr="00216062">
        <w:rPr>
          <w:rFonts w:eastAsia="Times New Roman" w:cs="Times New Roman"/>
          <w:color w:val="000000"/>
          <w:sz w:val="22"/>
        </w:rPr>
        <w:t>at 5</w:t>
      </w:r>
      <w:r>
        <w:rPr>
          <w:rFonts w:eastAsia="Times New Roman" w:cs="Times New Roman"/>
          <w:color w:val="000000"/>
          <w:sz w:val="22"/>
        </w:rPr>
        <w:t>.</w:t>
      </w:r>
    </w:p>
  </w:footnote>
  <w:footnote w:id="140">
    <w:p w14:paraId="1E2AA1D2" w14:textId="0765783F" w:rsidR="002F3879" w:rsidRDefault="002F3879" w:rsidP="002F3879">
      <w:pPr>
        <w:pStyle w:val="FootnoteText"/>
      </w:pPr>
      <w:r>
        <w:rPr>
          <w:rStyle w:val="FootnoteReference"/>
        </w:rPr>
        <w:footnoteRef/>
      </w:r>
      <w:r>
        <w:t xml:space="preserve"> </w:t>
      </w:r>
      <w:r w:rsidRPr="00E36EC4">
        <w:rPr>
          <w:szCs w:val="22"/>
        </w:rPr>
        <w:t xml:space="preserve">Opening Brief of TURN at viii; </w:t>
      </w:r>
      <w:r w:rsidRPr="00E36EC4">
        <w:rPr>
          <w:rFonts w:cs="Times New Roman"/>
          <w:color w:val="000000"/>
          <w:szCs w:val="22"/>
        </w:rPr>
        <w:t>Joint Advocates Opening Brief at 39.</w:t>
      </w:r>
      <w:r w:rsidRPr="007E58E7">
        <w:rPr>
          <w:rFonts w:ascii="Times New Roman" w:hAnsi="Times New Roman" w:cs="Times New Roman"/>
          <w:color w:val="000000"/>
          <w:sz w:val="24"/>
          <w:szCs w:val="24"/>
        </w:rPr>
        <w:t xml:space="preserve"> </w:t>
      </w:r>
    </w:p>
  </w:footnote>
  <w:footnote w:id="141">
    <w:p w14:paraId="5BA464AB" w14:textId="08A21173" w:rsidR="00CA473A" w:rsidRPr="00AF4B8A" w:rsidRDefault="00CA473A">
      <w:pPr>
        <w:pStyle w:val="FootnoteText"/>
        <w:rPr>
          <w:lang w:val="en-ZW"/>
        </w:rPr>
      </w:pPr>
      <w:r w:rsidRPr="002E3902">
        <w:rPr>
          <w:rStyle w:val="FootnoteReference"/>
        </w:rPr>
        <w:footnoteRef/>
      </w:r>
      <w:r w:rsidRPr="002E3902">
        <w:t xml:space="preserve"> </w:t>
      </w:r>
      <w:r w:rsidR="007040FD">
        <w:rPr>
          <w:lang w:val="en-ZW"/>
        </w:rPr>
        <w:t xml:space="preserve">Opening Brief of Center for Accessible Technology at </w:t>
      </w:r>
      <w:r w:rsidR="006F0460">
        <w:rPr>
          <w:lang w:val="en-ZW"/>
        </w:rPr>
        <w:t>34.</w:t>
      </w:r>
    </w:p>
  </w:footnote>
  <w:footnote w:id="142">
    <w:p w14:paraId="684DDD10" w14:textId="21CA0C77" w:rsidR="0040309E" w:rsidRPr="0040309E" w:rsidRDefault="0040309E">
      <w:pPr>
        <w:pStyle w:val="FootnoteText"/>
        <w:rPr>
          <w:lang w:val="en-ZW"/>
        </w:rPr>
      </w:pPr>
      <w:r>
        <w:rPr>
          <w:rStyle w:val="FootnoteReference"/>
        </w:rPr>
        <w:footnoteRef/>
      </w:r>
      <w:r>
        <w:t xml:space="preserve"> </w:t>
      </w:r>
      <w:r w:rsidR="006F0460" w:rsidRPr="007238AE">
        <w:rPr>
          <w:i/>
          <w:iCs/>
          <w:lang w:val="en-ZW"/>
        </w:rPr>
        <w:t>Id.</w:t>
      </w:r>
    </w:p>
  </w:footnote>
  <w:footnote w:id="143">
    <w:p w14:paraId="0D9CBA21" w14:textId="119A2E53" w:rsidR="0040309E" w:rsidRPr="0040309E" w:rsidRDefault="0040309E">
      <w:pPr>
        <w:pStyle w:val="FootnoteText"/>
        <w:rPr>
          <w:lang w:val="en-ZW"/>
        </w:rPr>
      </w:pPr>
      <w:r w:rsidRPr="002E3902">
        <w:rPr>
          <w:rStyle w:val="FootnoteReference"/>
        </w:rPr>
        <w:footnoteRef/>
      </w:r>
      <w:r w:rsidRPr="002E3902">
        <w:t xml:space="preserve"> </w:t>
      </w:r>
      <w:r w:rsidR="0004238E">
        <w:t xml:space="preserve">Opening Brief </w:t>
      </w:r>
      <w:r w:rsidR="00441248">
        <w:t xml:space="preserve">of Media Alliance </w:t>
      </w:r>
      <w:r w:rsidR="0004238E">
        <w:t>at 6-8.</w:t>
      </w:r>
    </w:p>
  </w:footnote>
  <w:footnote w:id="144">
    <w:p w14:paraId="13B615A5" w14:textId="4AB3342D" w:rsidR="00886F8A" w:rsidRPr="0047300F" w:rsidRDefault="00886F8A">
      <w:pPr>
        <w:pStyle w:val="FootnoteText"/>
        <w:rPr>
          <w:lang w:val="en-ZW"/>
        </w:rPr>
      </w:pPr>
      <w:r>
        <w:rPr>
          <w:rStyle w:val="FootnoteReference"/>
        </w:rPr>
        <w:footnoteRef/>
      </w:r>
      <w:r>
        <w:t xml:space="preserve"> </w:t>
      </w:r>
      <w:r w:rsidR="00283249" w:rsidRPr="002E3902">
        <w:rPr>
          <w:i/>
          <w:iCs/>
        </w:rPr>
        <w:t>Id.</w:t>
      </w:r>
      <w:r w:rsidR="00283249">
        <w:t xml:space="preserve"> </w:t>
      </w:r>
      <w:r>
        <w:t>at 9-10.</w:t>
      </w:r>
    </w:p>
  </w:footnote>
  <w:footnote w:id="145">
    <w:p w14:paraId="3A0B9384" w14:textId="676B8401" w:rsidR="00886F8A" w:rsidRPr="0047300F" w:rsidRDefault="00886F8A">
      <w:pPr>
        <w:pStyle w:val="FootnoteText"/>
        <w:rPr>
          <w:lang w:val="en-ZW"/>
        </w:rPr>
      </w:pPr>
      <w:r>
        <w:rPr>
          <w:rStyle w:val="FootnoteReference"/>
        </w:rPr>
        <w:footnoteRef/>
      </w:r>
      <w:r>
        <w:t xml:space="preserve"> </w:t>
      </w:r>
      <w:r w:rsidR="00283249" w:rsidRPr="002E3902">
        <w:rPr>
          <w:i/>
          <w:iCs/>
        </w:rPr>
        <w:t>Id.</w:t>
      </w:r>
      <w:r w:rsidR="00283249">
        <w:t xml:space="preserve"> </w:t>
      </w:r>
      <w:r w:rsidR="00A22D02">
        <w:t>at 11.</w:t>
      </w:r>
    </w:p>
  </w:footnote>
  <w:footnote w:id="146">
    <w:p w14:paraId="2FD02620" w14:textId="384B3EB7" w:rsidR="00474E40" w:rsidRPr="0047300F" w:rsidRDefault="00474E40">
      <w:pPr>
        <w:pStyle w:val="FootnoteText"/>
        <w:rPr>
          <w:lang w:val="en-ZW"/>
        </w:rPr>
      </w:pPr>
      <w:r>
        <w:rPr>
          <w:rStyle w:val="FootnoteReference"/>
        </w:rPr>
        <w:footnoteRef/>
      </w:r>
      <w:r>
        <w:t xml:space="preserve"> </w:t>
      </w:r>
      <w:r w:rsidR="00283249" w:rsidRPr="007238AE">
        <w:rPr>
          <w:i/>
          <w:iCs/>
        </w:rPr>
        <w:t>Id.</w:t>
      </w:r>
      <w:r>
        <w:t xml:space="preserve"> at 12-13.</w:t>
      </w:r>
    </w:p>
  </w:footnote>
  <w:footnote w:id="147">
    <w:p w14:paraId="0B630337" w14:textId="0C5C4C5D" w:rsidR="00E91892" w:rsidRPr="00151621" w:rsidRDefault="00E91892">
      <w:pPr>
        <w:pStyle w:val="FootnoteText"/>
        <w:rPr>
          <w:lang w:val="en-ZW"/>
        </w:rPr>
      </w:pPr>
      <w:r>
        <w:rPr>
          <w:rStyle w:val="FootnoteReference"/>
        </w:rPr>
        <w:footnoteRef/>
      </w:r>
      <w:r>
        <w:t xml:space="preserve"> </w:t>
      </w:r>
      <w:r w:rsidRPr="00151621">
        <w:rPr>
          <w:i/>
          <w:iCs/>
          <w:lang w:val="en-ZW"/>
        </w:rPr>
        <w:t>Id.</w:t>
      </w:r>
      <w:r>
        <w:rPr>
          <w:lang w:val="en-ZW"/>
        </w:rPr>
        <w:t xml:space="preserve"> at 12.</w:t>
      </w:r>
    </w:p>
  </w:footnote>
  <w:footnote w:id="148">
    <w:p w14:paraId="40D9E9BE" w14:textId="74039A9D" w:rsidR="00381F26" w:rsidRDefault="00381F26" w:rsidP="00381F26">
      <w:pPr>
        <w:pStyle w:val="FootnoteText"/>
      </w:pPr>
      <w:r>
        <w:rPr>
          <w:rStyle w:val="FootnoteReference"/>
        </w:rPr>
        <w:footnoteRef/>
      </w:r>
      <w:r>
        <w:t xml:space="preserve"> </w:t>
      </w:r>
      <w:r w:rsidR="00283249" w:rsidRPr="007238AE">
        <w:rPr>
          <w:i/>
          <w:iCs/>
        </w:rPr>
        <w:t>Id.</w:t>
      </w:r>
      <w:r>
        <w:t xml:space="preserve"> at 6-7.</w:t>
      </w:r>
    </w:p>
  </w:footnote>
  <w:footnote w:id="149">
    <w:p w14:paraId="02E8F385" w14:textId="5DB9CF2B" w:rsidR="00381F26" w:rsidRPr="001719C0" w:rsidRDefault="00381F26" w:rsidP="00381F26">
      <w:pPr>
        <w:pStyle w:val="FootnoteText"/>
        <w:rPr>
          <w:lang w:val="en-ZW"/>
        </w:rPr>
      </w:pPr>
      <w:r>
        <w:rPr>
          <w:rStyle w:val="FootnoteReference"/>
        </w:rPr>
        <w:footnoteRef/>
      </w:r>
      <w:r>
        <w:t xml:space="preserve"> </w:t>
      </w:r>
      <w:r w:rsidR="00D816FE">
        <w:rPr>
          <w:lang w:val="en-ZW"/>
        </w:rPr>
        <w:t>TURN Exhibit 43 at 19.</w:t>
      </w:r>
    </w:p>
  </w:footnote>
  <w:footnote w:id="150">
    <w:p w14:paraId="3DD2F275" w14:textId="28BF3EFD" w:rsidR="00381F26" w:rsidRPr="00647262" w:rsidRDefault="00381F26" w:rsidP="00381F26">
      <w:pPr>
        <w:pStyle w:val="FootnoteText"/>
      </w:pPr>
      <w:r>
        <w:rPr>
          <w:rStyle w:val="FootnoteReference"/>
        </w:rPr>
        <w:footnoteRef/>
      </w:r>
      <w:r>
        <w:t xml:space="preserve"> </w:t>
      </w:r>
      <w:r w:rsidR="004D16C3">
        <w:t xml:space="preserve">TURN Exhibit </w:t>
      </w:r>
      <w:r w:rsidR="009B2518">
        <w:t>28 at 19.</w:t>
      </w:r>
    </w:p>
  </w:footnote>
  <w:footnote w:id="151">
    <w:p w14:paraId="7094B400" w14:textId="77777777" w:rsidR="00304DC9" w:rsidRPr="004E037D" w:rsidRDefault="00304DC9" w:rsidP="00304DC9">
      <w:pPr>
        <w:pStyle w:val="FootnoteText"/>
        <w:rPr>
          <w:lang w:val="en-ZW"/>
        </w:rPr>
      </w:pPr>
      <w:r>
        <w:rPr>
          <w:rStyle w:val="FootnoteReference"/>
        </w:rPr>
        <w:footnoteRef/>
      </w:r>
      <w:r>
        <w:t xml:space="preserve"> </w:t>
      </w:r>
      <w:r>
        <w:rPr>
          <w:lang w:val="en-ZW"/>
        </w:rPr>
        <w:t>Opening Comments of The Utility Reform Network on the Alternate Proposed Decision of Commissioner Matthew Baker Granting Indirect Transfer of Control Subject to the Settlement Agreements and Mitigation Measures (TURN APD Opening Comments) at 7.</w:t>
      </w:r>
    </w:p>
  </w:footnote>
  <w:footnote w:id="152">
    <w:p w14:paraId="13CA57C4" w14:textId="77777777" w:rsidR="00304DC9" w:rsidRPr="004E037D" w:rsidRDefault="00304DC9" w:rsidP="00304DC9">
      <w:pPr>
        <w:pStyle w:val="FootnoteText"/>
        <w:rPr>
          <w:lang w:val="en-ZW"/>
        </w:rPr>
      </w:pPr>
      <w:r>
        <w:rPr>
          <w:rStyle w:val="FootnoteReference"/>
        </w:rPr>
        <w:footnoteRef/>
      </w:r>
      <w:r>
        <w:t xml:space="preserve"> </w:t>
      </w:r>
      <w:r w:rsidRPr="004E037D">
        <w:rPr>
          <w:i/>
          <w:iCs/>
          <w:lang w:val="en-ZW"/>
        </w:rPr>
        <w:t>Id.</w:t>
      </w:r>
      <w:r>
        <w:rPr>
          <w:lang w:val="en-ZW"/>
        </w:rPr>
        <w:t xml:space="preserve"> at 7.</w:t>
      </w:r>
    </w:p>
  </w:footnote>
  <w:footnote w:id="153">
    <w:p w14:paraId="5495C61B" w14:textId="77777777" w:rsidR="00304DC9" w:rsidRPr="004E037D" w:rsidRDefault="00304DC9" w:rsidP="00304DC9">
      <w:pPr>
        <w:pStyle w:val="FootnoteText"/>
        <w:rPr>
          <w:lang w:val="en-ZW"/>
        </w:rPr>
      </w:pPr>
      <w:r>
        <w:rPr>
          <w:rStyle w:val="FootnoteReference"/>
        </w:rPr>
        <w:footnoteRef/>
      </w:r>
      <w:r>
        <w:t xml:space="preserve"> </w:t>
      </w:r>
      <w:r w:rsidRPr="004E037D">
        <w:rPr>
          <w:i/>
          <w:iCs/>
          <w:lang w:val="en-ZW"/>
        </w:rPr>
        <w:t>Id.</w:t>
      </w:r>
      <w:r>
        <w:rPr>
          <w:lang w:val="en-ZW"/>
        </w:rPr>
        <w:t xml:space="preserve"> at 7.</w:t>
      </w:r>
    </w:p>
  </w:footnote>
  <w:footnote w:id="154">
    <w:p w14:paraId="10DDD3BA" w14:textId="77777777" w:rsidR="00304DC9" w:rsidRPr="004E037D" w:rsidRDefault="00304DC9" w:rsidP="00304DC9">
      <w:pPr>
        <w:pStyle w:val="FootnoteText"/>
        <w:rPr>
          <w:lang w:val="en-ZW"/>
        </w:rPr>
      </w:pPr>
      <w:r>
        <w:rPr>
          <w:rStyle w:val="FootnoteReference"/>
        </w:rPr>
        <w:footnoteRef/>
      </w:r>
      <w:r>
        <w:t xml:space="preserve"> </w:t>
      </w:r>
      <w:r>
        <w:rPr>
          <w:lang w:val="en-ZW"/>
        </w:rPr>
        <w:t>Joint Applicants’ Opening Comments on Alternate Proposed Decision of Commissioner Matthew Baker (Joint Applicants’ APD Opening Comments) at 6.</w:t>
      </w:r>
    </w:p>
  </w:footnote>
  <w:footnote w:id="155">
    <w:p w14:paraId="291038D9" w14:textId="7DE9C8B7" w:rsidR="00304DC9" w:rsidRPr="004E037D" w:rsidRDefault="00304DC9" w:rsidP="00304DC9">
      <w:pPr>
        <w:pStyle w:val="FootnoteText"/>
        <w:rPr>
          <w:lang w:val="en-ZW"/>
        </w:rPr>
      </w:pPr>
      <w:r>
        <w:rPr>
          <w:rStyle w:val="FootnoteReference"/>
        </w:rPr>
        <w:footnoteRef/>
      </w:r>
      <w:r>
        <w:t xml:space="preserve"> </w:t>
      </w:r>
      <w:r w:rsidRPr="006F7C6C">
        <w:rPr>
          <w:i/>
          <w:iCs/>
          <w:lang w:val="en-ZW"/>
        </w:rPr>
        <w:t>Id.</w:t>
      </w:r>
      <w:r>
        <w:rPr>
          <w:lang w:val="en-ZW"/>
        </w:rPr>
        <w:t xml:space="preserve"> at 6, n.30.</w:t>
      </w:r>
    </w:p>
  </w:footnote>
  <w:footnote w:id="156">
    <w:p w14:paraId="5F19E8AD" w14:textId="77777777" w:rsidR="00304DC9" w:rsidRPr="00CD34F6" w:rsidRDefault="00304DC9" w:rsidP="00304DC9">
      <w:pPr>
        <w:pStyle w:val="FootnoteText"/>
        <w:rPr>
          <w:lang w:val="en-ZW"/>
        </w:rPr>
      </w:pPr>
      <w:r>
        <w:rPr>
          <w:rStyle w:val="FootnoteReference"/>
        </w:rPr>
        <w:footnoteRef/>
      </w:r>
      <w:r>
        <w:t xml:space="preserve"> </w:t>
      </w:r>
      <w:r>
        <w:rPr>
          <w:lang w:val="en-ZW"/>
        </w:rPr>
        <w:t>Joint Applicants APD Opening Comments at 7.</w:t>
      </w:r>
    </w:p>
  </w:footnote>
  <w:footnote w:id="157">
    <w:p w14:paraId="000030B5" w14:textId="77777777" w:rsidR="00304DC9" w:rsidRPr="00CD34F6" w:rsidRDefault="00304DC9" w:rsidP="00304DC9">
      <w:pPr>
        <w:pStyle w:val="FootnoteText"/>
        <w:rPr>
          <w:lang w:val="en-ZW"/>
        </w:rPr>
      </w:pPr>
      <w:r>
        <w:rPr>
          <w:rStyle w:val="FootnoteReference"/>
        </w:rPr>
        <w:footnoteRef/>
      </w:r>
      <w:r>
        <w:t xml:space="preserve"> </w:t>
      </w:r>
      <w:r w:rsidRPr="00CD34F6">
        <w:rPr>
          <w:i/>
          <w:iCs/>
          <w:lang w:val="en-ZW"/>
        </w:rPr>
        <w:t>Id.</w:t>
      </w:r>
      <w:r>
        <w:rPr>
          <w:lang w:val="en-ZW"/>
        </w:rPr>
        <w:t xml:space="preserve"> at 8-9.</w:t>
      </w:r>
    </w:p>
  </w:footnote>
  <w:footnote w:id="158">
    <w:p w14:paraId="22594CE6" w14:textId="77777777" w:rsidR="00304DC9" w:rsidRPr="00CD34F6" w:rsidRDefault="00304DC9" w:rsidP="00304DC9">
      <w:pPr>
        <w:pStyle w:val="FootnoteText"/>
        <w:rPr>
          <w:lang w:val="en-ZW"/>
        </w:rPr>
      </w:pPr>
      <w:r>
        <w:rPr>
          <w:rStyle w:val="FootnoteReference"/>
        </w:rPr>
        <w:footnoteRef/>
      </w:r>
      <w:r>
        <w:t xml:space="preserve"> </w:t>
      </w:r>
      <w:r w:rsidRPr="00CD34F6">
        <w:rPr>
          <w:i/>
          <w:iCs/>
          <w:lang w:val="en-ZW"/>
        </w:rPr>
        <w:t>Id.</w:t>
      </w:r>
      <w:r>
        <w:rPr>
          <w:lang w:val="en-ZW"/>
        </w:rPr>
        <w:t xml:space="preserve"> at 7.</w:t>
      </w:r>
    </w:p>
  </w:footnote>
  <w:footnote w:id="159">
    <w:p w14:paraId="56E7CF6C" w14:textId="77777777" w:rsidR="00304DC9" w:rsidRPr="00CD34F6" w:rsidRDefault="00304DC9" w:rsidP="00304DC9">
      <w:pPr>
        <w:pStyle w:val="FootnoteText"/>
        <w:rPr>
          <w:lang w:val="en-ZW"/>
        </w:rPr>
      </w:pPr>
      <w:r>
        <w:rPr>
          <w:rStyle w:val="FootnoteReference"/>
        </w:rPr>
        <w:footnoteRef/>
      </w:r>
      <w:r>
        <w:t xml:space="preserve"> </w:t>
      </w:r>
      <w:r>
        <w:rPr>
          <w:lang w:val="en-ZW"/>
        </w:rPr>
        <w:t>Comments of California Emerging Technology Fund on Proposed Decision and Alternate Proposed Decision (CETF PD/APD Opening Comments) at 14.</w:t>
      </w:r>
    </w:p>
  </w:footnote>
  <w:footnote w:id="160">
    <w:p w14:paraId="160D4EE2" w14:textId="77777777" w:rsidR="00304DC9" w:rsidRPr="00CD34F6" w:rsidRDefault="00304DC9" w:rsidP="00304DC9">
      <w:pPr>
        <w:pStyle w:val="FootnoteText"/>
        <w:rPr>
          <w:lang w:val="en-ZW"/>
        </w:rPr>
      </w:pPr>
      <w:r>
        <w:rPr>
          <w:rStyle w:val="FootnoteReference"/>
        </w:rPr>
        <w:footnoteRef/>
      </w:r>
      <w:r>
        <w:t xml:space="preserve"> </w:t>
      </w:r>
      <w:r w:rsidRPr="00EE1618">
        <w:rPr>
          <w:i/>
          <w:iCs/>
          <w:lang w:val="en-ZW"/>
        </w:rPr>
        <w:t>Id.</w:t>
      </w:r>
      <w:r>
        <w:rPr>
          <w:lang w:val="en-ZW"/>
        </w:rPr>
        <w:t xml:space="preserve"> at 14.</w:t>
      </w:r>
    </w:p>
  </w:footnote>
  <w:footnote w:id="161">
    <w:p w14:paraId="1797F61E" w14:textId="77777777" w:rsidR="00304DC9" w:rsidRPr="00CD34F6" w:rsidRDefault="00304DC9" w:rsidP="00304DC9">
      <w:pPr>
        <w:pStyle w:val="FootnoteText"/>
        <w:rPr>
          <w:lang w:val="en-ZW"/>
        </w:rPr>
      </w:pPr>
      <w:r>
        <w:rPr>
          <w:rStyle w:val="FootnoteReference"/>
        </w:rPr>
        <w:footnoteRef/>
      </w:r>
      <w:r>
        <w:t xml:space="preserve"> </w:t>
      </w:r>
      <w:r>
        <w:rPr>
          <w:lang w:val="en-ZW"/>
        </w:rPr>
        <w:t>Reply Comments of the Utility Reform Network on the Alternate Proposed Decision of Commissioner Matthew Baker Granting Indirect Transfer of Control Subject to the Settlement Agreements and Mitigation Measures (TURN APD Reply Comments) at 2-4.</w:t>
      </w:r>
    </w:p>
  </w:footnote>
  <w:footnote w:id="162">
    <w:p w14:paraId="3BC99159" w14:textId="51652466" w:rsidR="00304DC9" w:rsidRPr="00CD34F6" w:rsidRDefault="00304DC9" w:rsidP="00304DC9">
      <w:pPr>
        <w:pStyle w:val="FootnoteText"/>
        <w:rPr>
          <w:lang w:val="en-ZW"/>
        </w:rPr>
      </w:pPr>
      <w:r>
        <w:rPr>
          <w:rStyle w:val="FootnoteReference"/>
        </w:rPr>
        <w:footnoteRef/>
      </w:r>
      <w:r>
        <w:t xml:space="preserve"> </w:t>
      </w:r>
      <w:r w:rsidRPr="00EE1618">
        <w:rPr>
          <w:i/>
          <w:iCs/>
          <w:lang w:val="en-ZW"/>
        </w:rPr>
        <w:t>I</w:t>
      </w:r>
      <w:r w:rsidR="00EE1618" w:rsidRPr="00EE1618">
        <w:rPr>
          <w:i/>
          <w:iCs/>
          <w:lang w:val="en-ZW"/>
        </w:rPr>
        <w:t>bid.</w:t>
      </w:r>
      <w:r>
        <w:rPr>
          <w:lang w:val="en-ZW"/>
        </w:rPr>
        <w:t xml:space="preserve"> </w:t>
      </w:r>
    </w:p>
  </w:footnote>
  <w:footnote w:id="163">
    <w:p w14:paraId="389CC011" w14:textId="77777777" w:rsidR="00EE1618" w:rsidRPr="00CD34F6" w:rsidRDefault="00EE1618" w:rsidP="00EE1618">
      <w:pPr>
        <w:pStyle w:val="FootnoteText"/>
        <w:rPr>
          <w:lang w:val="en-ZW"/>
        </w:rPr>
      </w:pPr>
      <w:r>
        <w:rPr>
          <w:rStyle w:val="FootnoteReference"/>
        </w:rPr>
        <w:footnoteRef/>
      </w:r>
      <w:r>
        <w:t xml:space="preserve"> </w:t>
      </w:r>
      <w:r>
        <w:rPr>
          <w:lang w:val="en-ZW"/>
        </w:rPr>
        <w:t>Joint Applicants APD Opening Comments at 13.</w:t>
      </w:r>
    </w:p>
  </w:footnote>
  <w:footnote w:id="164">
    <w:p w14:paraId="708124AA" w14:textId="77777777" w:rsidR="00EE1618" w:rsidRPr="00CD34F6" w:rsidRDefault="00EE1618" w:rsidP="00EE1618">
      <w:pPr>
        <w:pStyle w:val="FootnoteText"/>
        <w:rPr>
          <w:lang w:val="en-ZW"/>
        </w:rPr>
      </w:pPr>
      <w:r>
        <w:rPr>
          <w:rStyle w:val="FootnoteReference"/>
        </w:rPr>
        <w:footnoteRef/>
      </w:r>
      <w:r>
        <w:t xml:space="preserve"> </w:t>
      </w:r>
      <w:r w:rsidRPr="00CD34F6">
        <w:rPr>
          <w:i/>
          <w:iCs/>
          <w:lang w:val="en-ZW"/>
        </w:rPr>
        <w:t>Id.</w:t>
      </w:r>
      <w:r>
        <w:rPr>
          <w:lang w:val="en-ZW"/>
        </w:rPr>
        <w:t xml:space="preserve"> at 15.</w:t>
      </w:r>
    </w:p>
  </w:footnote>
  <w:footnote w:id="165">
    <w:p w14:paraId="25687B74" w14:textId="77777777" w:rsidR="00EE1618" w:rsidRPr="00CD34F6" w:rsidRDefault="00EE1618" w:rsidP="00EE1618">
      <w:pPr>
        <w:pStyle w:val="FootnoteText"/>
        <w:rPr>
          <w:lang w:val="en-ZW"/>
        </w:rPr>
      </w:pPr>
      <w:r>
        <w:rPr>
          <w:rStyle w:val="FootnoteReference"/>
        </w:rPr>
        <w:footnoteRef/>
      </w:r>
      <w:r>
        <w:t xml:space="preserve"> </w:t>
      </w:r>
      <w:r>
        <w:rPr>
          <w:lang w:val="en-ZW"/>
        </w:rPr>
        <w:t>CETF PD/APD Opening Comments at 14.</w:t>
      </w:r>
    </w:p>
  </w:footnote>
  <w:footnote w:id="166">
    <w:p w14:paraId="3454E7FC" w14:textId="77777777" w:rsidR="00EE1618" w:rsidRPr="00CD34F6" w:rsidRDefault="00EE1618" w:rsidP="00EE1618">
      <w:pPr>
        <w:pStyle w:val="FootnoteText"/>
        <w:rPr>
          <w:lang w:val="en-ZW"/>
        </w:rPr>
      </w:pPr>
      <w:r>
        <w:rPr>
          <w:rStyle w:val="FootnoteReference"/>
        </w:rPr>
        <w:footnoteRef/>
      </w:r>
      <w:r>
        <w:t xml:space="preserve"> </w:t>
      </w:r>
      <w:r>
        <w:rPr>
          <w:lang w:val="en-ZW"/>
        </w:rPr>
        <w:t>TURN APD Reply Comments at 5.</w:t>
      </w:r>
    </w:p>
  </w:footnote>
  <w:footnote w:id="167">
    <w:p w14:paraId="38547607" w14:textId="18648340" w:rsidR="00EE1618" w:rsidRPr="00EE1618" w:rsidRDefault="00EE1618" w:rsidP="00EE1618">
      <w:pPr>
        <w:pStyle w:val="FootnoteText"/>
        <w:rPr>
          <w:lang w:val="en-ZW"/>
        </w:rPr>
      </w:pPr>
      <w:r>
        <w:rPr>
          <w:rStyle w:val="FootnoteReference"/>
        </w:rPr>
        <w:footnoteRef/>
      </w:r>
      <w:r>
        <w:t xml:space="preserve"> </w:t>
      </w:r>
      <w:r>
        <w:rPr>
          <w:i/>
          <w:iCs/>
          <w:lang w:val="en-ZW"/>
        </w:rPr>
        <w:t>Ibid</w:t>
      </w:r>
      <w:r>
        <w:rPr>
          <w:lang w:val="en-ZW"/>
        </w:rPr>
        <w:t>.</w:t>
      </w:r>
    </w:p>
  </w:footnote>
  <w:footnote w:id="168">
    <w:p w14:paraId="1B40CF53" w14:textId="77777777" w:rsidR="00EE1618" w:rsidRPr="00CD34F6" w:rsidRDefault="00EE1618" w:rsidP="00EE1618">
      <w:pPr>
        <w:pStyle w:val="FootnoteText"/>
        <w:rPr>
          <w:lang w:val="en-ZW"/>
        </w:rPr>
      </w:pPr>
      <w:r>
        <w:rPr>
          <w:rStyle w:val="FootnoteReference"/>
        </w:rPr>
        <w:footnoteRef/>
      </w:r>
      <w:r>
        <w:t xml:space="preserve"> Media Alliance Reply Comments on Proposed Decision and Alternate Proposed Decision A.25-07-016 (</w:t>
      </w:r>
      <w:r>
        <w:rPr>
          <w:lang w:val="en-ZW"/>
        </w:rPr>
        <w:t>Media Alliance PD/APD Reply Comments) at 2.</w:t>
      </w:r>
    </w:p>
  </w:footnote>
  <w:footnote w:id="169">
    <w:p w14:paraId="205E6265" w14:textId="344DDC5F" w:rsidR="00EE1618" w:rsidRPr="00CD34F6" w:rsidRDefault="00EE1618" w:rsidP="00EE1618">
      <w:pPr>
        <w:pStyle w:val="FootnoteText"/>
        <w:rPr>
          <w:lang w:val="en-ZW"/>
        </w:rPr>
      </w:pPr>
      <w:r>
        <w:rPr>
          <w:rStyle w:val="FootnoteReference"/>
        </w:rPr>
        <w:footnoteRef/>
      </w:r>
      <w:r>
        <w:t xml:space="preserve"> </w:t>
      </w:r>
      <w:r>
        <w:rPr>
          <w:i/>
          <w:iCs/>
          <w:lang w:val="en-ZW"/>
        </w:rPr>
        <w:t>Ibid</w:t>
      </w:r>
      <w:r>
        <w:rPr>
          <w:lang w:val="en-ZW"/>
        </w:rPr>
        <w:t xml:space="preserve">. </w:t>
      </w:r>
    </w:p>
  </w:footnote>
  <w:footnote w:id="170">
    <w:p w14:paraId="3A99EEE1" w14:textId="77777777" w:rsidR="00EE1618" w:rsidRPr="00CD34F6" w:rsidRDefault="00EE1618" w:rsidP="00EE1618">
      <w:pPr>
        <w:pStyle w:val="FootnoteText"/>
        <w:rPr>
          <w:lang w:val="en-ZW"/>
        </w:rPr>
      </w:pPr>
      <w:r>
        <w:rPr>
          <w:rStyle w:val="FootnoteReference"/>
        </w:rPr>
        <w:footnoteRef/>
      </w:r>
      <w:r>
        <w:t xml:space="preserve"> </w:t>
      </w:r>
      <w:r>
        <w:rPr>
          <w:lang w:val="en-ZW"/>
        </w:rPr>
        <w:t>TURN APD Opening Comments at 6.</w:t>
      </w:r>
    </w:p>
  </w:footnote>
  <w:footnote w:id="171">
    <w:p w14:paraId="3E6DF90B" w14:textId="77777777" w:rsidR="00EE1618" w:rsidRPr="00CD34F6" w:rsidRDefault="00EE1618" w:rsidP="00EE1618">
      <w:pPr>
        <w:pStyle w:val="FootnoteText"/>
        <w:rPr>
          <w:lang w:val="en-ZW"/>
        </w:rPr>
      </w:pPr>
      <w:r>
        <w:rPr>
          <w:rStyle w:val="FootnoteReference"/>
        </w:rPr>
        <w:footnoteRef/>
      </w:r>
      <w:r>
        <w:t xml:space="preserve"> Media Alliance Comments on Proposed Decision and Alternate Proposed Decision A.25-07-016 (</w:t>
      </w:r>
      <w:r>
        <w:rPr>
          <w:lang w:val="en-ZW"/>
        </w:rPr>
        <w:t>Media Alliance PD/APD Opening Comments) at 6.</w:t>
      </w:r>
    </w:p>
  </w:footnote>
  <w:footnote w:id="172">
    <w:p w14:paraId="1BF7E387" w14:textId="77777777" w:rsidR="00EE1618" w:rsidRPr="00CD34F6" w:rsidRDefault="00EE1618" w:rsidP="00EE1618">
      <w:pPr>
        <w:pStyle w:val="FootnoteText"/>
        <w:rPr>
          <w:lang w:val="en-ZW"/>
        </w:rPr>
      </w:pPr>
      <w:r>
        <w:rPr>
          <w:rStyle w:val="FootnoteReference"/>
        </w:rPr>
        <w:footnoteRef/>
      </w:r>
      <w:r>
        <w:t xml:space="preserve"> Opening Comments of California Alliance for Digital Equity, Fresno Coalition for Digital Inclusion, East Bay Broadband Consortium, Digital Equity Los Angeles, and Center for Accessibly Technology on Proposed Decision Granting Indirect Transfer of Control Subject to the Terms of the Joint Settlement and Alternate Proposed Decision Granting Indirect Transfer of Control Subject to the Settlement Agreements and Mitigation Measures (</w:t>
      </w:r>
      <w:r>
        <w:rPr>
          <w:lang w:val="en-ZW"/>
        </w:rPr>
        <w:t>Joint Advocates PD/APD Opening Comments) at 7.</w:t>
      </w:r>
    </w:p>
  </w:footnote>
  <w:footnote w:id="173">
    <w:p w14:paraId="0FE0854B" w14:textId="77777777" w:rsidR="00EE1618" w:rsidRPr="00CD34F6" w:rsidRDefault="00EE1618" w:rsidP="00EE1618">
      <w:pPr>
        <w:pStyle w:val="FootnoteText"/>
        <w:rPr>
          <w:lang w:val="en-ZW"/>
        </w:rPr>
      </w:pPr>
      <w:r>
        <w:rPr>
          <w:rStyle w:val="FootnoteReference"/>
        </w:rPr>
        <w:footnoteRef/>
      </w:r>
      <w:r>
        <w:t xml:space="preserve"> </w:t>
      </w:r>
      <w:r>
        <w:rPr>
          <w:lang w:val="en-ZW"/>
        </w:rPr>
        <w:t>Joint Applicants APD Opening Comments at 3.</w:t>
      </w:r>
    </w:p>
  </w:footnote>
  <w:footnote w:id="174">
    <w:p w14:paraId="33663A28" w14:textId="77777777" w:rsidR="00EE1618" w:rsidRPr="004E037D" w:rsidRDefault="00EE1618" w:rsidP="00EE1618">
      <w:pPr>
        <w:pStyle w:val="FootnoteText"/>
        <w:rPr>
          <w:lang w:val="en-ZW"/>
        </w:rPr>
      </w:pPr>
      <w:r>
        <w:rPr>
          <w:rStyle w:val="FootnoteReference"/>
        </w:rPr>
        <w:footnoteRef/>
      </w:r>
      <w:r>
        <w:t xml:space="preserve"> </w:t>
      </w:r>
      <w:r w:rsidRPr="004E037D">
        <w:rPr>
          <w:i/>
          <w:iCs/>
          <w:lang w:val="en-ZW"/>
        </w:rPr>
        <w:t>Id.</w:t>
      </w:r>
      <w:r>
        <w:rPr>
          <w:lang w:val="en-ZW"/>
        </w:rPr>
        <w:t xml:space="preserve"> at 3.</w:t>
      </w:r>
    </w:p>
  </w:footnote>
  <w:footnote w:id="175">
    <w:p w14:paraId="73D1D4F0" w14:textId="77777777" w:rsidR="00EE1618" w:rsidRPr="00CD34F6" w:rsidRDefault="00EE1618" w:rsidP="00EE1618">
      <w:pPr>
        <w:pStyle w:val="FootnoteText"/>
        <w:rPr>
          <w:lang w:val="en-ZW"/>
        </w:rPr>
      </w:pPr>
      <w:r>
        <w:rPr>
          <w:rStyle w:val="FootnoteReference"/>
        </w:rPr>
        <w:footnoteRef/>
      </w:r>
      <w:r>
        <w:t xml:space="preserve"> </w:t>
      </w:r>
      <w:r>
        <w:rPr>
          <w:lang w:val="en-ZW"/>
        </w:rPr>
        <w:t>CETF PD/APD Opening Comments at 6.</w:t>
      </w:r>
    </w:p>
  </w:footnote>
  <w:footnote w:id="176">
    <w:p w14:paraId="04E79586" w14:textId="77777777" w:rsidR="00BA3CB4" w:rsidRPr="00CD34F6" w:rsidRDefault="00BA3CB4" w:rsidP="00BA3CB4">
      <w:pPr>
        <w:pStyle w:val="FootnoteText"/>
        <w:rPr>
          <w:lang w:val="en-ZW"/>
        </w:rPr>
      </w:pPr>
      <w:r>
        <w:rPr>
          <w:rStyle w:val="FootnoteReference"/>
        </w:rPr>
        <w:footnoteRef/>
      </w:r>
      <w:r>
        <w:t xml:space="preserve"> </w:t>
      </w:r>
      <w:r>
        <w:rPr>
          <w:lang w:val="en-ZW"/>
        </w:rPr>
        <w:t>CETF PD/APD Opening Comments at 14.</w:t>
      </w:r>
    </w:p>
  </w:footnote>
  <w:footnote w:id="177">
    <w:p w14:paraId="3C1B43AE" w14:textId="77777777" w:rsidR="006747CE" w:rsidRPr="00660E93" w:rsidRDefault="006747CE" w:rsidP="006747CE">
      <w:pPr>
        <w:pStyle w:val="FootnoteText"/>
      </w:pPr>
      <w:r w:rsidRPr="00660E93">
        <w:rPr>
          <w:rStyle w:val="FootnoteReference"/>
        </w:rPr>
        <w:footnoteRef/>
      </w:r>
      <w:r w:rsidRPr="00660E93">
        <w:t xml:space="preserve"> </w:t>
      </w:r>
      <w:r w:rsidRPr="00660E93">
        <w:rPr>
          <w:i/>
          <w:iCs/>
        </w:rPr>
        <w:t xml:space="preserve">See </w:t>
      </w:r>
      <w:r w:rsidRPr="00660E93">
        <w:t xml:space="preserve">Joint Motion of Charter and Public Advocates Office for Adoption of Settlement Agreement, </w:t>
      </w:r>
      <w:r w:rsidRPr="00660E93">
        <w:rPr>
          <w:i/>
          <w:iCs/>
        </w:rPr>
        <w:t xml:space="preserve">and </w:t>
      </w:r>
      <w:r w:rsidRPr="00660E93">
        <w:t>Joint Motion of Charter Communications, Inc. and California Emerging Technology Fund for Adoption of Settlement Agreement. Both filed 5/1/2026.</w:t>
      </w:r>
    </w:p>
  </w:footnote>
  <w:footnote w:id="178">
    <w:p w14:paraId="7D004565" w14:textId="77777777" w:rsidR="006747CE" w:rsidRPr="00660E93" w:rsidRDefault="006747CE" w:rsidP="006747CE">
      <w:pPr>
        <w:pStyle w:val="FootnoteText"/>
      </w:pPr>
      <w:r w:rsidRPr="00660E93">
        <w:rPr>
          <w:rStyle w:val="FootnoteReference"/>
        </w:rPr>
        <w:footnoteRef/>
      </w:r>
      <w:r w:rsidRPr="00660E93">
        <w:t xml:space="preserve"> See Public Benefits Memorandum of Understanding between California Emerging Technology Fund and Charter Communications, Inc. Section V.B. at 11-12.  Also see footnote 21 of same document which states, “Charter may satisfy any written requirement under this condition by sending the communication to the official tribal chairperson, tribal administrator, tribal government office, or other contact identified in the sources described above or designated in writing by the tribal government. Charter shall not be deemed in violation of this condition if a notice or email is returned, rejected, undeliverable, or unanswered, provided that Charter used commercially reasonable efforts to send the communication to an official or tribe-designated contact.”</w:t>
      </w:r>
    </w:p>
  </w:footnote>
  <w:footnote w:id="179">
    <w:p w14:paraId="0E733612" w14:textId="77777777" w:rsidR="006747CE" w:rsidRPr="00660E93" w:rsidRDefault="006747CE" w:rsidP="006747CE">
      <w:pPr>
        <w:pStyle w:val="FootnoteText"/>
      </w:pPr>
      <w:r w:rsidRPr="00660E93">
        <w:rPr>
          <w:rStyle w:val="FootnoteReference"/>
        </w:rPr>
        <w:footnoteRef/>
      </w:r>
      <w:r w:rsidRPr="00660E93">
        <w:t xml:space="preserve"> It appears this section and sub-sections are not aligned in the numbering as section  18.7 is the section entitled “Tribal Liaison” while the subsections below discussing this topic are numbered 18.8.1-18.8.6 with a section 18.8 starting with the party positions for this topic and the “Discussion” concluding the section is listed as 18.8.6 under party positions.  Other sections in the decision seem to be numbered similarly.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A5CC" w14:textId="526A5E16" w:rsidR="00E23CBB" w:rsidRDefault="00634177" w:rsidP="00EE4315">
    <w:pPr>
      <w:pStyle w:val="Header"/>
      <w:tabs>
        <w:tab w:val="clear" w:pos="4680"/>
      </w:tabs>
      <w:ind w:firstLine="0"/>
      <w:rPr>
        <w:b/>
      </w:rPr>
    </w:pPr>
    <w:r>
      <w:t>APD</w:t>
    </w:r>
    <w:r w:rsidR="00297060">
      <w:t>-</w:t>
    </w:r>
    <w:r w:rsidR="006751FF">
      <w:t>A.25-07-016</w:t>
    </w:r>
    <w:r w:rsidR="002A79BE">
      <w:t xml:space="preserve">  </w:t>
    </w:r>
    <w:r w:rsidR="00692CBA">
      <w:t>COM/MBK/asf</w:t>
    </w:r>
    <w:r w:rsidR="00E23CBB">
      <w:tab/>
    </w:r>
  </w:p>
  <w:p w14:paraId="5C7696B7" w14:textId="77777777" w:rsidR="006751FF" w:rsidRDefault="006751FF" w:rsidP="00B3087D">
    <w:pPr>
      <w:pStyle w:val="Header"/>
      <w:tabs>
        <w:tab w:val="clear" w:pos="4680"/>
      </w:tabs>
      <w:ind w:firstLine="0"/>
      <w:rPr>
        <w:i/>
        <w:color w:val="FF0000"/>
      </w:rPr>
    </w:pPr>
  </w:p>
  <w:p w14:paraId="0331CCE1" w14:textId="77777777" w:rsidR="006751FF" w:rsidRPr="00B3087D" w:rsidRDefault="006751FF" w:rsidP="00B3087D">
    <w:pPr>
      <w:pStyle w:val="Header"/>
      <w:tabs>
        <w:tab w:val="clear" w:pos="4680"/>
      </w:tabs>
      <w:ind w:firstLine="0"/>
      <w:rPr>
        <w:i/>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58DD" w14:textId="55A84C21" w:rsidR="00FE2351" w:rsidRDefault="00634177" w:rsidP="00EE4315">
    <w:pPr>
      <w:pStyle w:val="Header"/>
      <w:tabs>
        <w:tab w:val="clear" w:pos="4680"/>
      </w:tabs>
      <w:ind w:firstLine="0"/>
      <w:rPr>
        <w:b/>
      </w:rPr>
    </w:pPr>
    <w:r>
      <w:t>APD</w:t>
    </w:r>
    <w:r w:rsidR="00297060">
      <w:t>-</w:t>
    </w:r>
    <w:r w:rsidR="006751FF">
      <w:t xml:space="preserve">A.25-07-016  </w:t>
    </w:r>
    <w:r w:rsidR="00692CBA">
      <w:t>COM/MBK/asf</w:t>
    </w:r>
    <w:r w:rsidR="00FE2351">
      <w:tab/>
    </w:r>
  </w:p>
  <w:p w14:paraId="6A1A2A72" w14:textId="77777777" w:rsidR="006751FF" w:rsidRDefault="006751FF" w:rsidP="00B3087D">
    <w:pPr>
      <w:pStyle w:val="Header"/>
      <w:tabs>
        <w:tab w:val="clear" w:pos="4680"/>
      </w:tabs>
      <w:ind w:firstLine="0"/>
      <w:rPr>
        <w:i/>
        <w:color w:val="FF0000"/>
      </w:rPr>
    </w:pPr>
  </w:p>
  <w:p w14:paraId="610AE216" w14:textId="77777777" w:rsidR="006751FF" w:rsidRPr="00B3087D" w:rsidRDefault="006751FF"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25C9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27C990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2E74624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78BE915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E7E86B0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5BECD1E"/>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44AC304"/>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492670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286A54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EE03B7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D27D7F"/>
    <w:multiLevelType w:val="hybridMultilevel"/>
    <w:tmpl w:val="9CF60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8F6616"/>
    <w:multiLevelType w:val="multilevel"/>
    <w:tmpl w:val="74FC4300"/>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3" w15:restartNumberingAfterBreak="0">
    <w:nsid w:val="067C688B"/>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4" w15:restartNumberingAfterBreak="0">
    <w:nsid w:val="0D367227"/>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5" w15:restartNumberingAfterBreak="0">
    <w:nsid w:val="10D26FC3"/>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6" w15:restartNumberingAfterBreak="0">
    <w:nsid w:val="14081F6B"/>
    <w:multiLevelType w:val="hybridMultilevel"/>
    <w:tmpl w:val="E0CEEA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8" w15:restartNumberingAfterBreak="0">
    <w:nsid w:val="1485631D"/>
    <w:multiLevelType w:val="hybridMultilevel"/>
    <w:tmpl w:val="1CBCBD30"/>
    <w:lvl w:ilvl="0" w:tplc="2394445E">
      <w:numFmt w:val="bullet"/>
      <w:lvlText w:val=""/>
      <w:lvlJc w:val="left"/>
      <w:pPr>
        <w:ind w:left="1080" w:hanging="360"/>
      </w:pPr>
      <w:rPr>
        <w:rFonts w:ascii="Symbol" w:eastAsia="Calibri" w:hAnsi="Symbol" w:cs="Calibri"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5F056CB"/>
    <w:multiLevelType w:val="multilevel"/>
    <w:tmpl w:val="18F4A5AC"/>
    <w:numStyleLink w:val="FoFCoLOP"/>
  </w:abstractNum>
  <w:abstractNum w:abstractNumId="20" w15:restartNumberingAfterBreak="0">
    <w:nsid w:val="17717E56"/>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1" w15:restartNumberingAfterBreak="0">
    <w:nsid w:val="18DE336E"/>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2" w15:restartNumberingAfterBreak="0">
    <w:nsid w:val="1FDE2C67"/>
    <w:multiLevelType w:val="multilevel"/>
    <w:tmpl w:val="D41A786E"/>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lowerRoman"/>
      <w:lvlText w:val="%3."/>
      <w:lvlJc w:val="right"/>
      <w:pPr>
        <w:ind w:left="1080" w:hanging="360"/>
      </w:p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3" w15:restartNumberingAfterBreak="0">
    <w:nsid w:val="2A617886"/>
    <w:multiLevelType w:val="hybridMultilevel"/>
    <w:tmpl w:val="D7487F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AFE0B7B"/>
    <w:multiLevelType w:val="hybridMultilevel"/>
    <w:tmpl w:val="21B0E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514570"/>
    <w:multiLevelType w:val="hybridMultilevel"/>
    <w:tmpl w:val="244A72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7" w15:restartNumberingAfterBreak="0">
    <w:nsid w:val="335050C1"/>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8" w15:restartNumberingAfterBreak="0">
    <w:nsid w:val="366A2F17"/>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9" w15:restartNumberingAfterBreak="0">
    <w:nsid w:val="421B4F22"/>
    <w:multiLevelType w:val="multilevel"/>
    <w:tmpl w:val="005071EC"/>
    <w:lvl w:ilvl="0">
      <w:start w:val="1"/>
      <w:numFmt w:val="decimal"/>
      <w:lvlText w:val="%1."/>
      <w:lvlJc w:val="right"/>
      <w:pPr>
        <w:ind w:left="1620" w:firstLine="540"/>
      </w:pPr>
      <w:rPr>
        <w:rFonts w:hint="default"/>
      </w:rPr>
    </w:lvl>
    <w:lvl w:ilvl="1">
      <w:start w:val="1"/>
      <w:numFmt w:val="lowerLetter"/>
      <w:lvlText w:val="(%2)"/>
      <w:lvlJc w:val="right"/>
      <w:pPr>
        <w:ind w:left="2772" w:hanging="72"/>
      </w:pPr>
      <w:rPr>
        <w:rFonts w:hint="default"/>
      </w:rPr>
    </w:lvl>
    <w:lvl w:ilvl="2">
      <w:start w:val="1"/>
      <w:numFmt w:val="lowerRoman"/>
      <w:lvlText w:val="%3."/>
      <w:lvlJc w:val="right"/>
      <w:pPr>
        <w:ind w:left="1080" w:hanging="360"/>
      </w:pPr>
    </w:lvl>
    <w:lvl w:ilvl="3">
      <w:start w:val="1"/>
      <w:numFmt w:val="none"/>
      <w:lvlText w:val=""/>
      <w:lvlJc w:val="left"/>
      <w:pPr>
        <w:ind w:left="2340" w:firstLine="0"/>
      </w:pPr>
      <w:rPr>
        <w:rFonts w:hint="default"/>
      </w:rPr>
    </w:lvl>
    <w:lvl w:ilvl="4">
      <w:start w:val="1"/>
      <w:numFmt w:val="none"/>
      <w:lvlText w:val=""/>
      <w:lvlJc w:val="left"/>
      <w:pPr>
        <w:ind w:left="2340" w:firstLine="0"/>
      </w:pPr>
      <w:rPr>
        <w:rFonts w:hint="default"/>
      </w:rPr>
    </w:lvl>
    <w:lvl w:ilvl="5">
      <w:start w:val="1"/>
      <w:numFmt w:val="none"/>
      <w:lvlText w:val=""/>
      <w:lvlJc w:val="left"/>
      <w:pPr>
        <w:ind w:left="2340" w:firstLine="0"/>
      </w:pPr>
      <w:rPr>
        <w:rFonts w:hint="default"/>
      </w:rPr>
    </w:lvl>
    <w:lvl w:ilvl="6">
      <w:start w:val="1"/>
      <w:numFmt w:val="none"/>
      <w:lvlText w:val=""/>
      <w:lvlJc w:val="left"/>
      <w:pPr>
        <w:ind w:left="2340" w:firstLine="0"/>
      </w:pPr>
      <w:rPr>
        <w:rFonts w:hint="default"/>
      </w:rPr>
    </w:lvl>
    <w:lvl w:ilvl="7">
      <w:start w:val="1"/>
      <w:numFmt w:val="none"/>
      <w:lvlText w:val=""/>
      <w:lvlJc w:val="left"/>
      <w:pPr>
        <w:ind w:left="2340" w:firstLine="0"/>
      </w:pPr>
      <w:rPr>
        <w:rFonts w:hint="default"/>
      </w:rPr>
    </w:lvl>
    <w:lvl w:ilvl="8">
      <w:start w:val="1"/>
      <w:numFmt w:val="none"/>
      <w:lvlText w:val=""/>
      <w:lvlJc w:val="left"/>
      <w:pPr>
        <w:ind w:left="2340" w:firstLine="0"/>
      </w:pPr>
      <w:rPr>
        <w:rFonts w:hint="default"/>
      </w:rPr>
    </w:lvl>
  </w:abstractNum>
  <w:abstractNum w:abstractNumId="30" w15:restartNumberingAfterBreak="0">
    <w:nsid w:val="467131BE"/>
    <w:multiLevelType w:val="hybridMultilevel"/>
    <w:tmpl w:val="5D86553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530118CB"/>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2" w15:restartNumberingAfterBreak="0">
    <w:nsid w:val="5C4F06F8"/>
    <w:multiLevelType w:val="hybridMultilevel"/>
    <w:tmpl w:val="1A22014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1A25780"/>
    <w:multiLevelType w:val="multilevel"/>
    <w:tmpl w:val="3C526EDE"/>
    <w:numStyleLink w:val="Headings"/>
  </w:abstractNum>
  <w:abstractNum w:abstractNumId="34" w15:restartNumberingAfterBreak="0">
    <w:nsid w:val="6CFA707E"/>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5" w15:restartNumberingAfterBreak="0">
    <w:nsid w:val="789A0AFE"/>
    <w:multiLevelType w:val="multilevel"/>
    <w:tmpl w:val="A4585CE6"/>
    <w:lvl w:ilvl="0">
      <w:start w:val="1"/>
      <w:numFmt w:val="decimal"/>
      <w:pStyle w:val="OP"/>
      <w:lvlText w:val="%1)"/>
      <w:lvlJc w:val="left"/>
      <w:pPr>
        <w:ind w:left="0" w:firstLine="540"/>
      </w:p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6" w15:restartNumberingAfterBreak="0">
    <w:nsid w:val="78D41D5A"/>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num w:numId="1" w16cid:durableId="140774137">
    <w:abstractNumId w:val="17"/>
  </w:num>
  <w:num w:numId="2" w16cid:durableId="1898543446">
    <w:abstractNumId w:val="19"/>
    <w:lvlOverride w:ilvl="0">
      <w:lvl w:ilvl="0">
        <w:start w:val="1"/>
        <w:numFmt w:val="decimal"/>
        <w:pStyle w:val="FoF"/>
        <w:lvlText w:val="%1."/>
        <w:lvlJc w:val="right"/>
        <w:pPr>
          <w:ind w:left="0" w:firstLine="540"/>
        </w:pPr>
        <w:rPr>
          <w:rFonts w:hint="default"/>
        </w:rPr>
      </w:lvl>
    </w:lvlOverride>
    <w:lvlOverride w:ilvl="1">
      <w:lvl w:ilvl="1">
        <w:start w:val="1"/>
        <w:numFmt w:val="lowerLetter"/>
        <w:lvlText w:val="(%2)"/>
        <w:lvlJc w:val="right"/>
        <w:pPr>
          <w:ind w:left="1152" w:hanging="72"/>
        </w:pPr>
        <w:rPr>
          <w:rFonts w:hint="default"/>
        </w:rPr>
      </w:lvl>
    </w:lvlOverride>
    <w:lvlOverride w:ilvl="2">
      <w:lvl w:ilvl="2">
        <w:start w:val="1"/>
        <w:numFmt w:val="none"/>
        <w:lvlText w:val=""/>
        <w:lvlJc w:val="left"/>
        <w:pPr>
          <w:ind w:left="720" w:firstLine="0"/>
        </w:pPr>
        <w:rPr>
          <w:rFonts w:hint="default"/>
        </w:rPr>
      </w:lvl>
    </w:lvlOverride>
    <w:lvlOverride w:ilvl="3">
      <w:lvl w:ilvl="3">
        <w:start w:val="1"/>
        <w:numFmt w:val="none"/>
        <w:lvlText w:val=""/>
        <w:lvlJc w:val="left"/>
        <w:pPr>
          <w:ind w:left="720" w:firstLine="0"/>
        </w:pPr>
        <w:rPr>
          <w:rFonts w:hint="default"/>
        </w:rPr>
      </w:lvl>
    </w:lvlOverride>
    <w:lvlOverride w:ilvl="4">
      <w:lvl w:ilvl="4">
        <w:start w:val="1"/>
        <w:numFmt w:val="none"/>
        <w:lvlText w:val=""/>
        <w:lvlJc w:val="left"/>
        <w:pPr>
          <w:ind w:left="720" w:firstLine="0"/>
        </w:pPr>
        <w:rPr>
          <w:rFonts w:hint="default"/>
        </w:rPr>
      </w:lvl>
    </w:lvlOverride>
    <w:lvlOverride w:ilvl="5">
      <w:lvl w:ilvl="5">
        <w:start w:val="1"/>
        <w:numFmt w:val="none"/>
        <w:lvlText w:val=""/>
        <w:lvlJc w:val="left"/>
        <w:pPr>
          <w:ind w:left="720" w:firstLine="0"/>
        </w:pPr>
        <w:rPr>
          <w:rFonts w:hint="default"/>
        </w:rPr>
      </w:lvl>
    </w:lvlOverride>
    <w:lvlOverride w:ilvl="6">
      <w:lvl w:ilvl="6">
        <w:start w:val="1"/>
        <w:numFmt w:val="none"/>
        <w:lvlText w:val=""/>
        <w:lvlJc w:val="left"/>
        <w:pPr>
          <w:ind w:left="720" w:firstLine="0"/>
        </w:pPr>
        <w:rPr>
          <w:rFonts w:hint="default"/>
        </w:rPr>
      </w:lvl>
    </w:lvlOverride>
    <w:lvlOverride w:ilvl="7">
      <w:lvl w:ilvl="7">
        <w:start w:val="1"/>
        <w:numFmt w:val="none"/>
        <w:lvlText w:val=""/>
        <w:lvlJc w:val="left"/>
        <w:pPr>
          <w:ind w:left="720" w:firstLine="0"/>
        </w:pPr>
        <w:rPr>
          <w:rFonts w:hint="default"/>
        </w:rPr>
      </w:lvl>
    </w:lvlOverride>
    <w:lvlOverride w:ilvl="8">
      <w:lvl w:ilvl="8">
        <w:start w:val="1"/>
        <w:numFmt w:val="none"/>
        <w:lvlText w:val=""/>
        <w:lvlJc w:val="left"/>
        <w:pPr>
          <w:ind w:left="720" w:firstLine="0"/>
        </w:pPr>
        <w:rPr>
          <w:rFonts w:hint="default"/>
        </w:rPr>
      </w:lvl>
    </w:lvlOverride>
  </w:num>
  <w:num w:numId="3" w16cid:durableId="701521005">
    <w:abstractNumId w:val="19"/>
    <w:lvlOverride w:ilvl="0">
      <w:lvl w:ilvl="0">
        <w:start w:val="1"/>
        <w:numFmt w:val="decimal"/>
        <w:pStyle w:val="FoF"/>
        <w:lvlText w:val="%1."/>
        <w:lvlJc w:val="right"/>
        <w:pPr>
          <w:ind w:left="0" w:firstLine="540"/>
        </w:pPr>
        <w:rPr>
          <w:rFonts w:hint="default"/>
        </w:rPr>
      </w:lvl>
    </w:lvlOverride>
    <w:lvlOverride w:ilvl="1">
      <w:lvl w:ilvl="1">
        <w:start w:val="1"/>
        <w:numFmt w:val="lowerLetter"/>
        <w:lvlText w:val="(%2)"/>
        <w:lvlJc w:val="right"/>
        <w:pPr>
          <w:ind w:left="1152" w:hanging="72"/>
        </w:pPr>
        <w:rPr>
          <w:rFonts w:hint="default"/>
        </w:rPr>
      </w:lvl>
    </w:lvlOverride>
    <w:lvlOverride w:ilvl="2">
      <w:lvl w:ilvl="2">
        <w:start w:val="1"/>
        <w:numFmt w:val="none"/>
        <w:lvlText w:val=""/>
        <w:lvlJc w:val="left"/>
        <w:pPr>
          <w:ind w:left="720" w:firstLine="0"/>
        </w:pPr>
        <w:rPr>
          <w:rFonts w:hint="default"/>
        </w:rPr>
      </w:lvl>
    </w:lvlOverride>
    <w:lvlOverride w:ilvl="3">
      <w:lvl w:ilvl="3">
        <w:start w:val="1"/>
        <w:numFmt w:val="none"/>
        <w:lvlText w:val=""/>
        <w:lvlJc w:val="left"/>
        <w:pPr>
          <w:ind w:left="720" w:firstLine="0"/>
        </w:pPr>
        <w:rPr>
          <w:rFonts w:hint="default"/>
        </w:rPr>
      </w:lvl>
    </w:lvlOverride>
    <w:lvlOverride w:ilvl="4">
      <w:lvl w:ilvl="4">
        <w:start w:val="1"/>
        <w:numFmt w:val="none"/>
        <w:lvlText w:val=""/>
        <w:lvlJc w:val="left"/>
        <w:pPr>
          <w:ind w:left="720" w:firstLine="0"/>
        </w:pPr>
        <w:rPr>
          <w:rFonts w:hint="default"/>
        </w:rPr>
      </w:lvl>
    </w:lvlOverride>
    <w:lvlOverride w:ilvl="5">
      <w:lvl w:ilvl="5">
        <w:start w:val="1"/>
        <w:numFmt w:val="none"/>
        <w:lvlText w:val=""/>
        <w:lvlJc w:val="left"/>
        <w:pPr>
          <w:ind w:left="720" w:firstLine="0"/>
        </w:pPr>
        <w:rPr>
          <w:rFonts w:hint="default"/>
        </w:rPr>
      </w:lvl>
    </w:lvlOverride>
    <w:lvlOverride w:ilvl="6">
      <w:lvl w:ilvl="6">
        <w:start w:val="1"/>
        <w:numFmt w:val="none"/>
        <w:lvlText w:val=""/>
        <w:lvlJc w:val="left"/>
        <w:pPr>
          <w:ind w:left="720" w:firstLine="0"/>
        </w:pPr>
        <w:rPr>
          <w:rFonts w:hint="default"/>
        </w:rPr>
      </w:lvl>
    </w:lvlOverride>
    <w:lvlOverride w:ilvl="7">
      <w:lvl w:ilvl="7">
        <w:start w:val="1"/>
        <w:numFmt w:val="none"/>
        <w:lvlText w:val=""/>
        <w:lvlJc w:val="left"/>
        <w:pPr>
          <w:ind w:left="720" w:firstLine="0"/>
        </w:pPr>
        <w:rPr>
          <w:rFonts w:hint="default"/>
        </w:rPr>
      </w:lvl>
    </w:lvlOverride>
    <w:lvlOverride w:ilvl="8">
      <w:lvl w:ilvl="8">
        <w:start w:val="1"/>
        <w:numFmt w:val="none"/>
        <w:lvlText w:val=""/>
        <w:lvlJc w:val="left"/>
        <w:pPr>
          <w:ind w:left="720" w:firstLine="0"/>
        </w:pPr>
        <w:rPr>
          <w:rFonts w:hint="default"/>
        </w:rPr>
      </w:lvl>
    </w:lvlOverride>
  </w:num>
  <w:num w:numId="4" w16cid:durableId="973756952">
    <w:abstractNumId w:val="26"/>
  </w:num>
  <w:num w:numId="5" w16cid:durableId="816924040">
    <w:abstractNumId w:val="10"/>
  </w:num>
  <w:num w:numId="6" w16cid:durableId="1714382259">
    <w:abstractNumId w:val="33"/>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num>
  <w:num w:numId="7" w16cid:durableId="1367560982">
    <w:abstractNumId w:val="0"/>
  </w:num>
  <w:num w:numId="8" w16cid:durableId="535586640">
    <w:abstractNumId w:val="25"/>
  </w:num>
  <w:num w:numId="9" w16cid:durableId="955139973">
    <w:abstractNumId w:val="22"/>
  </w:num>
  <w:num w:numId="10" w16cid:durableId="349455861">
    <w:abstractNumId w:val="29"/>
  </w:num>
  <w:num w:numId="11" w16cid:durableId="1477719393">
    <w:abstractNumId w:val="16"/>
  </w:num>
  <w:num w:numId="12" w16cid:durableId="904070303">
    <w:abstractNumId w:val="11"/>
  </w:num>
  <w:num w:numId="13" w16cid:durableId="483157509">
    <w:abstractNumId w:val="24"/>
  </w:num>
  <w:num w:numId="14" w16cid:durableId="241988169">
    <w:abstractNumId w:val="23"/>
  </w:num>
  <w:num w:numId="15" w16cid:durableId="14222214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555035">
    <w:abstractNumId w:val="30"/>
  </w:num>
  <w:num w:numId="17" w16cid:durableId="925924610">
    <w:abstractNumId w:val="35"/>
  </w:num>
  <w:num w:numId="18" w16cid:durableId="791630277">
    <w:abstractNumId w:val="12"/>
  </w:num>
  <w:num w:numId="19" w16cid:durableId="1260454838">
    <w:abstractNumId w:val="27"/>
  </w:num>
  <w:num w:numId="20" w16cid:durableId="1394161942">
    <w:abstractNumId w:val="15"/>
  </w:num>
  <w:num w:numId="21" w16cid:durableId="1346323027">
    <w:abstractNumId w:val="31"/>
  </w:num>
  <w:num w:numId="22" w16cid:durableId="875579473">
    <w:abstractNumId w:val="28"/>
  </w:num>
  <w:num w:numId="23" w16cid:durableId="829489954">
    <w:abstractNumId w:val="21"/>
  </w:num>
  <w:num w:numId="24" w16cid:durableId="1624916993">
    <w:abstractNumId w:val="34"/>
  </w:num>
  <w:num w:numId="25" w16cid:durableId="1961063694">
    <w:abstractNumId w:val="13"/>
  </w:num>
  <w:num w:numId="26" w16cid:durableId="50034553">
    <w:abstractNumId w:val="14"/>
  </w:num>
  <w:num w:numId="27" w16cid:durableId="1304460989">
    <w:abstractNumId w:val="36"/>
  </w:num>
  <w:num w:numId="28" w16cid:durableId="1870871131">
    <w:abstractNumId w:val="20"/>
  </w:num>
  <w:num w:numId="29" w16cid:durableId="826634333">
    <w:abstractNumId w:val="19"/>
  </w:num>
  <w:num w:numId="30" w16cid:durableId="164564020">
    <w:abstractNumId w:val="32"/>
  </w:num>
  <w:num w:numId="31" w16cid:durableId="1637763024">
    <w:abstractNumId w:val="8"/>
  </w:num>
  <w:num w:numId="32" w16cid:durableId="1679692127">
    <w:abstractNumId w:val="7"/>
  </w:num>
  <w:num w:numId="33" w16cid:durableId="1590192499">
    <w:abstractNumId w:val="6"/>
  </w:num>
  <w:num w:numId="34" w16cid:durableId="699934011">
    <w:abstractNumId w:val="5"/>
  </w:num>
  <w:num w:numId="35" w16cid:durableId="151800660">
    <w:abstractNumId w:val="9"/>
  </w:num>
  <w:num w:numId="36" w16cid:durableId="1135559113">
    <w:abstractNumId w:val="4"/>
  </w:num>
  <w:num w:numId="37" w16cid:durableId="2100175665">
    <w:abstractNumId w:val="3"/>
  </w:num>
  <w:num w:numId="38" w16cid:durableId="429086405">
    <w:abstractNumId w:val="2"/>
  </w:num>
  <w:num w:numId="39" w16cid:durableId="126096885">
    <w:abstractNumId w:val="1"/>
  </w:num>
  <w:num w:numId="40" w16cid:durableId="21104382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8B"/>
    <w:rsid w:val="00000E9D"/>
    <w:rsid w:val="00000F6A"/>
    <w:rsid w:val="00001054"/>
    <w:rsid w:val="000026E6"/>
    <w:rsid w:val="00003010"/>
    <w:rsid w:val="00003BEE"/>
    <w:rsid w:val="000043C9"/>
    <w:rsid w:val="00004E57"/>
    <w:rsid w:val="00007514"/>
    <w:rsid w:val="00007A0C"/>
    <w:rsid w:val="00011333"/>
    <w:rsid w:val="00013C10"/>
    <w:rsid w:val="000143DE"/>
    <w:rsid w:val="000147C9"/>
    <w:rsid w:val="00015D36"/>
    <w:rsid w:val="00016912"/>
    <w:rsid w:val="0002108F"/>
    <w:rsid w:val="0002255C"/>
    <w:rsid w:val="00022EE3"/>
    <w:rsid w:val="000246FC"/>
    <w:rsid w:val="00025677"/>
    <w:rsid w:val="0002721F"/>
    <w:rsid w:val="000278CC"/>
    <w:rsid w:val="00030D0F"/>
    <w:rsid w:val="000310B7"/>
    <w:rsid w:val="000321C9"/>
    <w:rsid w:val="0003299B"/>
    <w:rsid w:val="00034889"/>
    <w:rsid w:val="00035739"/>
    <w:rsid w:val="00037EEC"/>
    <w:rsid w:val="00040C67"/>
    <w:rsid w:val="00041060"/>
    <w:rsid w:val="00041B23"/>
    <w:rsid w:val="0004238E"/>
    <w:rsid w:val="00044CDC"/>
    <w:rsid w:val="000450CB"/>
    <w:rsid w:val="0004689E"/>
    <w:rsid w:val="00046A09"/>
    <w:rsid w:val="00046AAE"/>
    <w:rsid w:val="0004730B"/>
    <w:rsid w:val="00050E5F"/>
    <w:rsid w:val="00050EA8"/>
    <w:rsid w:val="0005237A"/>
    <w:rsid w:val="00053CF8"/>
    <w:rsid w:val="000540DE"/>
    <w:rsid w:val="000549B2"/>
    <w:rsid w:val="0005617E"/>
    <w:rsid w:val="000569C6"/>
    <w:rsid w:val="000575A9"/>
    <w:rsid w:val="000601CB"/>
    <w:rsid w:val="0006061E"/>
    <w:rsid w:val="000610BF"/>
    <w:rsid w:val="00061725"/>
    <w:rsid w:val="00061B1E"/>
    <w:rsid w:val="000667FB"/>
    <w:rsid w:val="000678FB"/>
    <w:rsid w:val="0007115A"/>
    <w:rsid w:val="00073557"/>
    <w:rsid w:val="00075118"/>
    <w:rsid w:val="00075980"/>
    <w:rsid w:val="000842B4"/>
    <w:rsid w:val="000848B2"/>
    <w:rsid w:val="00084B86"/>
    <w:rsid w:val="00084CB2"/>
    <w:rsid w:val="000851C9"/>
    <w:rsid w:val="0008582D"/>
    <w:rsid w:val="00085EB1"/>
    <w:rsid w:val="00086C2D"/>
    <w:rsid w:val="00087488"/>
    <w:rsid w:val="0009160B"/>
    <w:rsid w:val="00091A64"/>
    <w:rsid w:val="000938D9"/>
    <w:rsid w:val="00093F8D"/>
    <w:rsid w:val="00095D18"/>
    <w:rsid w:val="000973C8"/>
    <w:rsid w:val="00097D07"/>
    <w:rsid w:val="000A180A"/>
    <w:rsid w:val="000A1CD9"/>
    <w:rsid w:val="000A1F63"/>
    <w:rsid w:val="000A2AA9"/>
    <w:rsid w:val="000A39EB"/>
    <w:rsid w:val="000A3B98"/>
    <w:rsid w:val="000A523C"/>
    <w:rsid w:val="000A56F2"/>
    <w:rsid w:val="000A62C4"/>
    <w:rsid w:val="000A67C5"/>
    <w:rsid w:val="000A6E05"/>
    <w:rsid w:val="000B00F7"/>
    <w:rsid w:val="000B05A2"/>
    <w:rsid w:val="000B0A3B"/>
    <w:rsid w:val="000B10D2"/>
    <w:rsid w:val="000B12FA"/>
    <w:rsid w:val="000B2238"/>
    <w:rsid w:val="000B4990"/>
    <w:rsid w:val="000B5ACC"/>
    <w:rsid w:val="000B6A4D"/>
    <w:rsid w:val="000C08BF"/>
    <w:rsid w:val="000C12D4"/>
    <w:rsid w:val="000C39CA"/>
    <w:rsid w:val="000C3B9A"/>
    <w:rsid w:val="000C40AD"/>
    <w:rsid w:val="000C40CC"/>
    <w:rsid w:val="000C5552"/>
    <w:rsid w:val="000C6CD6"/>
    <w:rsid w:val="000D03B3"/>
    <w:rsid w:val="000D0A48"/>
    <w:rsid w:val="000D1A5E"/>
    <w:rsid w:val="000D25A8"/>
    <w:rsid w:val="000D3EA1"/>
    <w:rsid w:val="000D4367"/>
    <w:rsid w:val="000D7F60"/>
    <w:rsid w:val="000E0C33"/>
    <w:rsid w:val="000E270A"/>
    <w:rsid w:val="000E44F6"/>
    <w:rsid w:val="000E4947"/>
    <w:rsid w:val="000E4C53"/>
    <w:rsid w:val="000F1F68"/>
    <w:rsid w:val="000F31EC"/>
    <w:rsid w:val="000F4058"/>
    <w:rsid w:val="000F4059"/>
    <w:rsid w:val="000F48C6"/>
    <w:rsid w:val="000F6103"/>
    <w:rsid w:val="000F6876"/>
    <w:rsid w:val="000F779D"/>
    <w:rsid w:val="0010076C"/>
    <w:rsid w:val="00101081"/>
    <w:rsid w:val="00103444"/>
    <w:rsid w:val="00106F79"/>
    <w:rsid w:val="00107323"/>
    <w:rsid w:val="00107ADE"/>
    <w:rsid w:val="00107F4B"/>
    <w:rsid w:val="00111DE1"/>
    <w:rsid w:val="00112046"/>
    <w:rsid w:val="001144C1"/>
    <w:rsid w:val="00115FC7"/>
    <w:rsid w:val="001160A3"/>
    <w:rsid w:val="00116ED4"/>
    <w:rsid w:val="0011759C"/>
    <w:rsid w:val="00120362"/>
    <w:rsid w:val="00120820"/>
    <w:rsid w:val="00121089"/>
    <w:rsid w:val="00123B89"/>
    <w:rsid w:val="00124A1C"/>
    <w:rsid w:val="00124EC3"/>
    <w:rsid w:val="0012507E"/>
    <w:rsid w:val="00126573"/>
    <w:rsid w:val="00126ADC"/>
    <w:rsid w:val="001271FB"/>
    <w:rsid w:val="001304CB"/>
    <w:rsid w:val="0013251B"/>
    <w:rsid w:val="00132D8F"/>
    <w:rsid w:val="00133D75"/>
    <w:rsid w:val="00133DB1"/>
    <w:rsid w:val="001341F2"/>
    <w:rsid w:val="00134D93"/>
    <w:rsid w:val="00135196"/>
    <w:rsid w:val="001359CE"/>
    <w:rsid w:val="00136663"/>
    <w:rsid w:val="00136984"/>
    <w:rsid w:val="00136F3E"/>
    <w:rsid w:val="001409ED"/>
    <w:rsid w:val="001419AB"/>
    <w:rsid w:val="00142501"/>
    <w:rsid w:val="001432CF"/>
    <w:rsid w:val="00143547"/>
    <w:rsid w:val="001442BB"/>
    <w:rsid w:val="00145FA7"/>
    <w:rsid w:val="00146DDD"/>
    <w:rsid w:val="001473BE"/>
    <w:rsid w:val="001477CC"/>
    <w:rsid w:val="00151621"/>
    <w:rsid w:val="0015199B"/>
    <w:rsid w:val="00151A5F"/>
    <w:rsid w:val="001529FA"/>
    <w:rsid w:val="00153115"/>
    <w:rsid w:val="001537B9"/>
    <w:rsid w:val="00155885"/>
    <w:rsid w:val="00156D37"/>
    <w:rsid w:val="001571B1"/>
    <w:rsid w:val="001606DC"/>
    <w:rsid w:val="00162E10"/>
    <w:rsid w:val="001644B6"/>
    <w:rsid w:val="00165440"/>
    <w:rsid w:val="001669E0"/>
    <w:rsid w:val="001702A1"/>
    <w:rsid w:val="001713B1"/>
    <w:rsid w:val="00172702"/>
    <w:rsid w:val="00172779"/>
    <w:rsid w:val="0017332A"/>
    <w:rsid w:val="00173ADC"/>
    <w:rsid w:val="00173B60"/>
    <w:rsid w:val="00174505"/>
    <w:rsid w:val="001807EF"/>
    <w:rsid w:val="001818DA"/>
    <w:rsid w:val="001824FC"/>
    <w:rsid w:val="0018473D"/>
    <w:rsid w:val="001848DA"/>
    <w:rsid w:val="00184A8F"/>
    <w:rsid w:val="00185639"/>
    <w:rsid w:val="00187A06"/>
    <w:rsid w:val="00190812"/>
    <w:rsid w:val="00192740"/>
    <w:rsid w:val="001942C6"/>
    <w:rsid w:val="001955F3"/>
    <w:rsid w:val="001A1822"/>
    <w:rsid w:val="001A1DDB"/>
    <w:rsid w:val="001A20FE"/>
    <w:rsid w:val="001A558F"/>
    <w:rsid w:val="001B0D22"/>
    <w:rsid w:val="001B1C0A"/>
    <w:rsid w:val="001B1D4C"/>
    <w:rsid w:val="001B48F0"/>
    <w:rsid w:val="001B496D"/>
    <w:rsid w:val="001C0808"/>
    <w:rsid w:val="001C0993"/>
    <w:rsid w:val="001C2F45"/>
    <w:rsid w:val="001C2FEF"/>
    <w:rsid w:val="001C3333"/>
    <w:rsid w:val="001C3529"/>
    <w:rsid w:val="001C363F"/>
    <w:rsid w:val="001C5D73"/>
    <w:rsid w:val="001C729D"/>
    <w:rsid w:val="001D048B"/>
    <w:rsid w:val="001D30E3"/>
    <w:rsid w:val="001D595D"/>
    <w:rsid w:val="001E2405"/>
    <w:rsid w:val="001E2A62"/>
    <w:rsid w:val="001E35AE"/>
    <w:rsid w:val="001E44A6"/>
    <w:rsid w:val="001F2819"/>
    <w:rsid w:val="001F5051"/>
    <w:rsid w:val="001F53E9"/>
    <w:rsid w:val="001F6685"/>
    <w:rsid w:val="001F79E6"/>
    <w:rsid w:val="00201959"/>
    <w:rsid w:val="00202375"/>
    <w:rsid w:val="002043EC"/>
    <w:rsid w:val="00204C35"/>
    <w:rsid w:val="002063B2"/>
    <w:rsid w:val="0020640B"/>
    <w:rsid w:val="0021023F"/>
    <w:rsid w:val="00215294"/>
    <w:rsid w:val="00215596"/>
    <w:rsid w:val="002160C0"/>
    <w:rsid w:val="00217557"/>
    <w:rsid w:val="00217A3B"/>
    <w:rsid w:val="00221E0B"/>
    <w:rsid w:val="0022271E"/>
    <w:rsid w:val="00222819"/>
    <w:rsid w:val="00222B02"/>
    <w:rsid w:val="00222BF7"/>
    <w:rsid w:val="002263AE"/>
    <w:rsid w:val="0022681C"/>
    <w:rsid w:val="00227415"/>
    <w:rsid w:val="002317D0"/>
    <w:rsid w:val="00232790"/>
    <w:rsid w:val="00233FD4"/>
    <w:rsid w:val="00234A06"/>
    <w:rsid w:val="0023549A"/>
    <w:rsid w:val="002363EC"/>
    <w:rsid w:val="002368C2"/>
    <w:rsid w:val="00237218"/>
    <w:rsid w:val="00237A5C"/>
    <w:rsid w:val="002401B6"/>
    <w:rsid w:val="00243DC0"/>
    <w:rsid w:val="00244870"/>
    <w:rsid w:val="00245F5E"/>
    <w:rsid w:val="0024673F"/>
    <w:rsid w:val="00247477"/>
    <w:rsid w:val="002510B6"/>
    <w:rsid w:val="00251827"/>
    <w:rsid w:val="00254D2C"/>
    <w:rsid w:val="0025583B"/>
    <w:rsid w:val="00255DC2"/>
    <w:rsid w:val="002577A7"/>
    <w:rsid w:val="00261222"/>
    <w:rsid w:val="00262580"/>
    <w:rsid w:val="0026313E"/>
    <w:rsid w:val="00263238"/>
    <w:rsid w:val="002635B2"/>
    <w:rsid w:val="00263735"/>
    <w:rsid w:val="00264CCD"/>
    <w:rsid w:val="00270440"/>
    <w:rsid w:val="00270E22"/>
    <w:rsid w:val="002745FB"/>
    <w:rsid w:val="00275F8E"/>
    <w:rsid w:val="00276842"/>
    <w:rsid w:val="00277125"/>
    <w:rsid w:val="002805DA"/>
    <w:rsid w:val="0028226C"/>
    <w:rsid w:val="00282F86"/>
    <w:rsid w:val="00283249"/>
    <w:rsid w:val="00284133"/>
    <w:rsid w:val="00284D8D"/>
    <w:rsid w:val="002850D3"/>
    <w:rsid w:val="0028568D"/>
    <w:rsid w:val="002859E2"/>
    <w:rsid w:val="002860BE"/>
    <w:rsid w:val="00286E7F"/>
    <w:rsid w:val="002873CB"/>
    <w:rsid w:val="00287BC5"/>
    <w:rsid w:val="00290262"/>
    <w:rsid w:val="00290FFB"/>
    <w:rsid w:val="00293DEE"/>
    <w:rsid w:val="00295C18"/>
    <w:rsid w:val="00297060"/>
    <w:rsid w:val="00297B6F"/>
    <w:rsid w:val="002A0B5D"/>
    <w:rsid w:val="002A1241"/>
    <w:rsid w:val="002A1977"/>
    <w:rsid w:val="002A2997"/>
    <w:rsid w:val="002A30DC"/>
    <w:rsid w:val="002A34E5"/>
    <w:rsid w:val="002A3DF7"/>
    <w:rsid w:val="002A4829"/>
    <w:rsid w:val="002A5C56"/>
    <w:rsid w:val="002A79BE"/>
    <w:rsid w:val="002B0BC5"/>
    <w:rsid w:val="002B26B8"/>
    <w:rsid w:val="002B2B2F"/>
    <w:rsid w:val="002B5442"/>
    <w:rsid w:val="002B6BF8"/>
    <w:rsid w:val="002B728E"/>
    <w:rsid w:val="002C1CDC"/>
    <w:rsid w:val="002C4618"/>
    <w:rsid w:val="002C499B"/>
    <w:rsid w:val="002C50CE"/>
    <w:rsid w:val="002C6D23"/>
    <w:rsid w:val="002C7FE9"/>
    <w:rsid w:val="002D08B2"/>
    <w:rsid w:val="002D0DC5"/>
    <w:rsid w:val="002D195B"/>
    <w:rsid w:val="002D23B8"/>
    <w:rsid w:val="002D2B2C"/>
    <w:rsid w:val="002D4EFD"/>
    <w:rsid w:val="002D5874"/>
    <w:rsid w:val="002D677B"/>
    <w:rsid w:val="002E027F"/>
    <w:rsid w:val="002E058E"/>
    <w:rsid w:val="002E0913"/>
    <w:rsid w:val="002E0EE5"/>
    <w:rsid w:val="002E151A"/>
    <w:rsid w:val="002E27A5"/>
    <w:rsid w:val="002E3902"/>
    <w:rsid w:val="002E6011"/>
    <w:rsid w:val="002E6886"/>
    <w:rsid w:val="002E6E26"/>
    <w:rsid w:val="002E75C7"/>
    <w:rsid w:val="002F0527"/>
    <w:rsid w:val="002F168B"/>
    <w:rsid w:val="002F2D7C"/>
    <w:rsid w:val="002F383B"/>
    <w:rsid w:val="002F3879"/>
    <w:rsid w:val="002F3D97"/>
    <w:rsid w:val="002F6403"/>
    <w:rsid w:val="002F6F3F"/>
    <w:rsid w:val="002F756C"/>
    <w:rsid w:val="003010C4"/>
    <w:rsid w:val="003020E8"/>
    <w:rsid w:val="00302E1A"/>
    <w:rsid w:val="00303DDE"/>
    <w:rsid w:val="00303FE6"/>
    <w:rsid w:val="00304DC0"/>
    <w:rsid w:val="00304DC9"/>
    <w:rsid w:val="003069E8"/>
    <w:rsid w:val="00307207"/>
    <w:rsid w:val="00307CA2"/>
    <w:rsid w:val="0031195E"/>
    <w:rsid w:val="00312129"/>
    <w:rsid w:val="00314BD2"/>
    <w:rsid w:val="0031591B"/>
    <w:rsid w:val="00315A97"/>
    <w:rsid w:val="00315C94"/>
    <w:rsid w:val="00316071"/>
    <w:rsid w:val="0031659D"/>
    <w:rsid w:val="00316990"/>
    <w:rsid w:val="00316C57"/>
    <w:rsid w:val="00316DFA"/>
    <w:rsid w:val="003209FC"/>
    <w:rsid w:val="00321334"/>
    <w:rsid w:val="00323025"/>
    <w:rsid w:val="00324049"/>
    <w:rsid w:val="00324D21"/>
    <w:rsid w:val="00325D88"/>
    <w:rsid w:val="00326A60"/>
    <w:rsid w:val="0032768D"/>
    <w:rsid w:val="00332AD5"/>
    <w:rsid w:val="00333EC1"/>
    <w:rsid w:val="00335412"/>
    <w:rsid w:val="00335D47"/>
    <w:rsid w:val="00335D84"/>
    <w:rsid w:val="003369EA"/>
    <w:rsid w:val="003372E6"/>
    <w:rsid w:val="003410FF"/>
    <w:rsid w:val="00342A6C"/>
    <w:rsid w:val="00343E5C"/>
    <w:rsid w:val="00344561"/>
    <w:rsid w:val="00344FB8"/>
    <w:rsid w:val="00345ACB"/>
    <w:rsid w:val="003477C0"/>
    <w:rsid w:val="00350A75"/>
    <w:rsid w:val="003513E0"/>
    <w:rsid w:val="00352221"/>
    <w:rsid w:val="003525E0"/>
    <w:rsid w:val="003531C2"/>
    <w:rsid w:val="003543F3"/>
    <w:rsid w:val="00354A4A"/>
    <w:rsid w:val="00354A62"/>
    <w:rsid w:val="0035567D"/>
    <w:rsid w:val="003556E3"/>
    <w:rsid w:val="0036017B"/>
    <w:rsid w:val="0036231C"/>
    <w:rsid w:val="003624DD"/>
    <w:rsid w:val="00362755"/>
    <w:rsid w:val="003628D7"/>
    <w:rsid w:val="003632CC"/>
    <w:rsid w:val="003646EA"/>
    <w:rsid w:val="00364FA7"/>
    <w:rsid w:val="0036735D"/>
    <w:rsid w:val="00370281"/>
    <w:rsid w:val="00370B36"/>
    <w:rsid w:val="00371529"/>
    <w:rsid w:val="00371E73"/>
    <w:rsid w:val="00373B93"/>
    <w:rsid w:val="0037435B"/>
    <w:rsid w:val="003750C0"/>
    <w:rsid w:val="00375ADC"/>
    <w:rsid w:val="00380CD1"/>
    <w:rsid w:val="00381F26"/>
    <w:rsid w:val="0038219C"/>
    <w:rsid w:val="00382F3F"/>
    <w:rsid w:val="00382F8B"/>
    <w:rsid w:val="00384746"/>
    <w:rsid w:val="00385D6E"/>
    <w:rsid w:val="00390E4F"/>
    <w:rsid w:val="0039315B"/>
    <w:rsid w:val="003941F2"/>
    <w:rsid w:val="0039435A"/>
    <w:rsid w:val="00394738"/>
    <w:rsid w:val="00394E98"/>
    <w:rsid w:val="00394FF7"/>
    <w:rsid w:val="00395039"/>
    <w:rsid w:val="00395AA5"/>
    <w:rsid w:val="0039648F"/>
    <w:rsid w:val="00397A88"/>
    <w:rsid w:val="003A02CA"/>
    <w:rsid w:val="003A0590"/>
    <w:rsid w:val="003A0B80"/>
    <w:rsid w:val="003A0CA3"/>
    <w:rsid w:val="003A1330"/>
    <w:rsid w:val="003A204D"/>
    <w:rsid w:val="003A38F0"/>
    <w:rsid w:val="003A4CAF"/>
    <w:rsid w:val="003A52C8"/>
    <w:rsid w:val="003A6225"/>
    <w:rsid w:val="003A6765"/>
    <w:rsid w:val="003A7743"/>
    <w:rsid w:val="003B0581"/>
    <w:rsid w:val="003B0B19"/>
    <w:rsid w:val="003B42DB"/>
    <w:rsid w:val="003B5262"/>
    <w:rsid w:val="003B7829"/>
    <w:rsid w:val="003B7D06"/>
    <w:rsid w:val="003C12A6"/>
    <w:rsid w:val="003C23D0"/>
    <w:rsid w:val="003C2B6B"/>
    <w:rsid w:val="003C6F5C"/>
    <w:rsid w:val="003C7BCB"/>
    <w:rsid w:val="003C7FC1"/>
    <w:rsid w:val="003D0516"/>
    <w:rsid w:val="003D2836"/>
    <w:rsid w:val="003D4629"/>
    <w:rsid w:val="003D48DD"/>
    <w:rsid w:val="003D4EF4"/>
    <w:rsid w:val="003D60EE"/>
    <w:rsid w:val="003E23D1"/>
    <w:rsid w:val="003E2A1F"/>
    <w:rsid w:val="003E3AE8"/>
    <w:rsid w:val="003E3DB4"/>
    <w:rsid w:val="003E3F06"/>
    <w:rsid w:val="003E4B5B"/>
    <w:rsid w:val="003E5328"/>
    <w:rsid w:val="003E619A"/>
    <w:rsid w:val="003E70CA"/>
    <w:rsid w:val="003E7E06"/>
    <w:rsid w:val="003F069A"/>
    <w:rsid w:val="003F4329"/>
    <w:rsid w:val="003F46C6"/>
    <w:rsid w:val="003F58A7"/>
    <w:rsid w:val="003F598C"/>
    <w:rsid w:val="003F59E7"/>
    <w:rsid w:val="003F7237"/>
    <w:rsid w:val="003F73E4"/>
    <w:rsid w:val="003F78CF"/>
    <w:rsid w:val="0040066D"/>
    <w:rsid w:val="0040309E"/>
    <w:rsid w:val="004053E9"/>
    <w:rsid w:val="00406C8E"/>
    <w:rsid w:val="004074DE"/>
    <w:rsid w:val="004123A9"/>
    <w:rsid w:val="00412534"/>
    <w:rsid w:val="00412C83"/>
    <w:rsid w:val="004130DA"/>
    <w:rsid w:val="004148AA"/>
    <w:rsid w:val="00415317"/>
    <w:rsid w:val="0041617D"/>
    <w:rsid w:val="0041627E"/>
    <w:rsid w:val="00420313"/>
    <w:rsid w:val="004204DA"/>
    <w:rsid w:val="004209B2"/>
    <w:rsid w:val="00425AAD"/>
    <w:rsid w:val="00426014"/>
    <w:rsid w:val="00430FA2"/>
    <w:rsid w:val="00431F85"/>
    <w:rsid w:val="00433ADC"/>
    <w:rsid w:val="00434562"/>
    <w:rsid w:val="00434693"/>
    <w:rsid w:val="00434AE9"/>
    <w:rsid w:val="0043546B"/>
    <w:rsid w:val="00436949"/>
    <w:rsid w:val="00441248"/>
    <w:rsid w:val="0044226F"/>
    <w:rsid w:val="00444BD1"/>
    <w:rsid w:val="0044608B"/>
    <w:rsid w:val="0044617E"/>
    <w:rsid w:val="00447C89"/>
    <w:rsid w:val="0045100D"/>
    <w:rsid w:val="00452149"/>
    <w:rsid w:val="00456615"/>
    <w:rsid w:val="004569EE"/>
    <w:rsid w:val="004602F1"/>
    <w:rsid w:val="0046078B"/>
    <w:rsid w:val="00460B7D"/>
    <w:rsid w:val="004610E8"/>
    <w:rsid w:val="004627B2"/>
    <w:rsid w:val="0046425D"/>
    <w:rsid w:val="00464F6E"/>
    <w:rsid w:val="0047210D"/>
    <w:rsid w:val="0047281F"/>
    <w:rsid w:val="0047300F"/>
    <w:rsid w:val="0047440F"/>
    <w:rsid w:val="0047468B"/>
    <w:rsid w:val="004748C9"/>
    <w:rsid w:val="00474E40"/>
    <w:rsid w:val="00475E73"/>
    <w:rsid w:val="00475EE8"/>
    <w:rsid w:val="0047670D"/>
    <w:rsid w:val="0047691D"/>
    <w:rsid w:val="00476E13"/>
    <w:rsid w:val="00480827"/>
    <w:rsid w:val="0048085F"/>
    <w:rsid w:val="00480CB0"/>
    <w:rsid w:val="00483603"/>
    <w:rsid w:val="004840F1"/>
    <w:rsid w:val="0048548C"/>
    <w:rsid w:val="00486F4A"/>
    <w:rsid w:val="0048743E"/>
    <w:rsid w:val="00490718"/>
    <w:rsid w:val="00490F79"/>
    <w:rsid w:val="004962E6"/>
    <w:rsid w:val="004969CE"/>
    <w:rsid w:val="004A0166"/>
    <w:rsid w:val="004A1DB3"/>
    <w:rsid w:val="004A1EAD"/>
    <w:rsid w:val="004A2811"/>
    <w:rsid w:val="004A3B2F"/>
    <w:rsid w:val="004A4256"/>
    <w:rsid w:val="004A47BE"/>
    <w:rsid w:val="004A4AC8"/>
    <w:rsid w:val="004A7592"/>
    <w:rsid w:val="004B0437"/>
    <w:rsid w:val="004B0991"/>
    <w:rsid w:val="004B17E9"/>
    <w:rsid w:val="004B1D21"/>
    <w:rsid w:val="004B1D67"/>
    <w:rsid w:val="004B34EA"/>
    <w:rsid w:val="004B52D5"/>
    <w:rsid w:val="004B5494"/>
    <w:rsid w:val="004B56ED"/>
    <w:rsid w:val="004B5D11"/>
    <w:rsid w:val="004B6F4E"/>
    <w:rsid w:val="004C2735"/>
    <w:rsid w:val="004C3195"/>
    <w:rsid w:val="004C39E8"/>
    <w:rsid w:val="004C4FBF"/>
    <w:rsid w:val="004C54E5"/>
    <w:rsid w:val="004C5899"/>
    <w:rsid w:val="004C5FDF"/>
    <w:rsid w:val="004C7A2B"/>
    <w:rsid w:val="004C7B11"/>
    <w:rsid w:val="004C7D3A"/>
    <w:rsid w:val="004D0171"/>
    <w:rsid w:val="004D0F51"/>
    <w:rsid w:val="004D16C3"/>
    <w:rsid w:val="004D1F1B"/>
    <w:rsid w:val="004D284B"/>
    <w:rsid w:val="004D319F"/>
    <w:rsid w:val="004D3591"/>
    <w:rsid w:val="004D4956"/>
    <w:rsid w:val="004D4965"/>
    <w:rsid w:val="004D5AF2"/>
    <w:rsid w:val="004D5B39"/>
    <w:rsid w:val="004D7163"/>
    <w:rsid w:val="004E30C0"/>
    <w:rsid w:val="004E3103"/>
    <w:rsid w:val="004E326F"/>
    <w:rsid w:val="004E4F7C"/>
    <w:rsid w:val="004E7AC6"/>
    <w:rsid w:val="004E7FD5"/>
    <w:rsid w:val="004F05F1"/>
    <w:rsid w:val="004F0F97"/>
    <w:rsid w:val="004F1F6D"/>
    <w:rsid w:val="004F307D"/>
    <w:rsid w:val="004F423F"/>
    <w:rsid w:val="004F4449"/>
    <w:rsid w:val="004F4C52"/>
    <w:rsid w:val="004F62CA"/>
    <w:rsid w:val="004F640C"/>
    <w:rsid w:val="004F7703"/>
    <w:rsid w:val="004F7D21"/>
    <w:rsid w:val="005003F3"/>
    <w:rsid w:val="005016F1"/>
    <w:rsid w:val="005018A8"/>
    <w:rsid w:val="0050511F"/>
    <w:rsid w:val="00505A39"/>
    <w:rsid w:val="00507AAF"/>
    <w:rsid w:val="0051013D"/>
    <w:rsid w:val="0051158A"/>
    <w:rsid w:val="00511A75"/>
    <w:rsid w:val="00511DAD"/>
    <w:rsid w:val="005131A6"/>
    <w:rsid w:val="00513775"/>
    <w:rsid w:val="00513B1D"/>
    <w:rsid w:val="005145EF"/>
    <w:rsid w:val="00515041"/>
    <w:rsid w:val="00522F9A"/>
    <w:rsid w:val="005240BF"/>
    <w:rsid w:val="00524A32"/>
    <w:rsid w:val="005279A3"/>
    <w:rsid w:val="00527B84"/>
    <w:rsid w:val="00530FFE"/>
    <w:rsid w:val="00532AB9"/>
    <w:rsid w:val="00532F0F"/>
    <w:rsid w:val="0053315A"/>
    <w:rsid w:val="00533508"/>
    <w:rsid w:val="005354C5"/>
    <w:rsid w:val="00535E00"/>
    <w:rsid w:val="00535F70"/>
    <w:rsid w:val="0054023A"/>
    <w:rsid w:val="005404EC"/>
    <w:rsid w:val="0054063B"/>
    <w:rsid w:val="005406EB"/>
    <w:rsid w:val="00541194"/>
    <w:rsid w:val="005414DA"/>
    <w:rsid w:val="005440A7"/>
    <w:rsid w:val="00546F1D"/>
    <w:rsid w:val="00547C36"/>
    <w:rsid w:val="005502FD"/>
    <w:rsid w:val="0055143E"/>
    <w:rsid w:val="00551E3D"/>
    <w:rsid w:val="00563FB0"/>
    <w:rsid w:val="005643E1"/>
    <w:rsid w:val="00570336"/>
    <w:rsid w:val="0057122B"/>
    <w:rsid w:val="00571EF5"/>
    <w:rsid w:val="00572A2E"/>
    <w:rsid w:val="00572DD1"/>
    <w:rsid w:val="005738B8"/>
    <w:rsid w:val="00574433"/>
    <w:rsid w:val="00574F82"/>
    <w:rsid w:val="005756D4"/>
    <w:rsid w:val="00575E1E"/>
    <w:rsid w:val="005765A5"/>
    <w:rsid w:val="005767BC"/>
    <w:rsid w:val="00576BAD"/>
    <w:rsid w:val="00577AF5"/>
    <w:rsid w:val="00581D3C"/>
    <w:rsid w:val="00582031"/>
    <w:rsid w:val="00583791"/>
    <w:rsid w:val="005846CE"/>
    <w:rsid w:val="00584D68"/>
    <w:rsid w:val="005851C9"/>
    <w:rsid w:val="00585390"/>
    <w:rsid w:val="00587036"/>
    <w:rsid w:val="005905DB"/>
    <w:rsid w:val="00592AAA"/>
    <w:rsid w:val="00592CF1"/>
    <w:rsid w:val="005939A5"/>
    <w:rsid w:val="00594727"/>
    <w:rsid w:val="00596AB3"/>
    <w:rsid w:val="00597E8C"/>
    <w:rsid w:val="005A006E"/>
    <w:rsid w:val="005A148C"/>
    <w:rsid w:val="005A2FC7"/>
    <w:rsid w:val="005A5AE8"/>
    <w:rsid w:val="005A5CE7"/>
    <w:rsid w:val="005B0B95"/>
    <w:rsid w:val="005B1166"/>
    <w:rsid w:val="005B38DD"/>
    <w:rsid w:val="005B4AD9"/>
    <w:rsid w:val="005C0E23"/>
    <w:rsid w:val="005C2315"/>
    <w:rsid w:val="005C2DBC"/>
    <w:rsid w:val="005C3303"/>
    <w:rsid w:val="005C345D"/>
    <w:rsid w:val="005C40CA"/>
    <w:rsid w:val="005C42D2"/>
    <w:rsid w:val="005C5642"/>
    <w:rsid w:val="005C58FA"/>
    <w:rsid w:val="005C6169"/>
    <w:rsid w:val="005C68C1"/>
    <w:rsid w:val="005C6990"/>
    <w:rsid w:val="005C7567"/>
    <w:rsid w:val="005D2739"/>
    <w:rsid w:val="005D3518"/>
    <w:rsid w:val="005D3D17"/>
    <w:rsid w:val="005D64A3"/>
    <w:rsid w:val="005D73D8"/>
    <w:rsid w:val="005E0B22"/>
    <w:rsid w:val="005E0BBF"/>
    <w:rsid w:val="005E2CFE"/>
    <w:rsid w:val="005E4106"/>
    <w:rsid w:val="005E4B6D"/>
    <w:rsid w:val="005E63EE"/>
    <w:rsid w:val="005E6EC1"/>
    <w:rsid w:val="005F00C7"/>
    <w:rsid w:val="005F0D91"/>
    <w:rsid w:val="005F14B9"/>
    <w:rsid w:val="005F1856"/>
    <w:rsid w:val="005F188E"/>
    <w:rsid w:val="005F1944"/>
    <w:rsid w:val="005F1DFF"/>
    <w:rsid w:val="005F295D"/>
    <w:rsid w:val="005F3694"/>
    <w:rsid w:val="005F3C2B"/>
    <w:rsid w:val="005F62F6"/>
    <w:rsid w:val="005F6787"/>
    <w:rsid w:val="005F6ADE"/>
    <w:rsid w:val="005F76EF"/>
    <w:rsid w:val="005F79FB"/>
    <w:rsid w:val="00601AE5"/>
    <w:rsid w:val="00602730"/>
    <w:rsid w:val="00603238"/>
    <w:rsid w:val="0060480F"/>
    <w:rsid w:val="00610C33"/>
    <w:rsid w:val="00612A87"/>
    <w:rsid w:val="00613E2F"/>
    <w:rsid w:val="00614910"/>
    <w:rsid w:val="006152F7"/>
    <w:rsid w:val="00616D26"/>
    <w:rsid w:val="00616DEE"/>
    <w:rsid w:val="00617213"/>
    <w:rsid w:val="00620C1F"/>
    <w:rsid w:val="006246DA"/>
    <w:rsid w:val="006250DD"/>
    <w:rsid w:val="00625732"/>
    <w:rsid w:val="00626EA3"/>
    <w:rsid w:val="006278A3"/>
    <w:rsid w:val="00630674"/>
    <w:rsid w:val="006313C6"/>
    <w:rsid w:val="00632207"/>
    <w:rsid w:val="00634177"/>
    <w:rsid w:val="0063478A"/>
    <w:rsid w:val="0063491C"/>
    <w:rsid w:val="0063719A"/>
    <w:rsid w:val="00641A5C"/>
    <w:rsid w:val="00641DB6"/>
    <w:rsid w:val="006424B7"/>
    <w:rsid w:val="00643FB1"/>
    <w:rsid w:val="00644B1F"/>
    <w:rsid w:val="006454B4"/>
    <w:rsid w:val="0064667F"/>
    <w:rsid w:val="006469D6"/>
    <w:rsid w:val="00647262"/>
    <w:rsid w:val="006472B8"/>
    <w:rsid w:val="00647B39"/>
    <w:rsid w:val="00652D9A"/>
    <w:rsid w:val="00652EE2"/>
    <w:rsid w:val="0065486A"/>
    <w:rsid w:val="006557AA"/>
    <w:rsid w:val="00661049"/>
    <w:rsid w:val="00661AFE"/>
    <w:rsid w:val="00661EB7"/>
    <w:rsid w:val="00662526"/>
    <w:rsid w:val="00662772"/>
    <w:rsid w:val="00663382"/>
    <w:rsid w:val="00664DE3"/>
    <w:rsid w:val="0066626A"/>
    <w:rsid w:val="00667210"/>
    <w:rsid w:val="00667A01"/>
    <w:rsid w:val="00667CFA"/>
    <w:rsid w:val="006700E4"/>
    <w:rsid w:val="00672A90"/>
    <w:rsid w:val="006747CE"/>
    <w:rsid w:val="006751FF"/>
    <w:rsid w:val="00675C4A"/>
    <w:rsid w:val="0067641C"/>
    <w:rsid w:val="00676A86"/>
    <w:rsid w:val="00676DDE"/>
    <w:rsid w:val="00677ABB"/>
    <w:rsid w:val="00677C4A"/>
    <w:rsid w:val="00680351"/>
    <w:rsid w:val="00680852"/>
    <w:rsid w:val="00680F19"/>
    <w:rsid w:val="00681D1E"/>
    <w:rsid w:val="006833B6"/>
    <w:rsid w:val="00683B2C"/>
    <w:rsid w:val="00684A54"/>
    <w:rsid w:val="00684EF0"/>
    <w:rsid w:val="00686978"/>
    <w:rsid w:val="0069131E"/>
    <w:rsid w:val="006926A3"/>
    <w:rsid w:val="00692CBA"/>
    <w:rsid w:val="00693640"/>
    <w:rsid w:val="00694C1C"/>
    <w:rsid w:val="00694E27"/>
    <w:rsid w:val="00695C5F"/>
    <w:rsid w:val="006A2C10"/>
    <w:rsid w:val="006A49F2"/>
    <w:rsid w:val="006A4A2C"/>
    <w:rsid w:val="006A78F1"/>
    <w:rsid w:val="006A7C66"/>
    <w:rsid w:val="006B06F5"/>
    <w:rsid w:val="006B58CA"/>
    <w:rsid w:val="006B66A7"/>
    <w:rsid w:val="006C14DF"/>
    <w:rsid w:val="006C1C0C"/>
    <w:rsid w:val="006C1F10"/>
    <w:rsid w:val="006C348D"/>
    <w:rsid w:val="006C3AA1"/>
    <w:rsid w:val="006C3B5A"/>
    <w:rsid w:val="006C5ED4"/>
    <w:rsid w:val="006C6915"/>
    <w:rsid w:val="006C69B1"/>
    <w:rsid w:val="006C6CDB"/>
    <w:rsid w:val="006C7620"/>
    <w:rsid w:val="006D058D"/>
    <w:rsid w:val="006D3E8E"/>
    <w:rsid w:val="006D4145"/>
    <w:rsid w:val="006D569B"/>
    <w:rsid w:val="006D5CB8"/>
    <w:rsid w:val="006D73E2"/>
    <w:rsid w:val="006E0756"/>
    <w:rsid w:val="006E23AC"/>
    <w:rsid w:val="006E2DE3"/>
    <w:rsid w:val="006E5314"/>
    <w:rsid w:val="006E5B57"/>
    <w:rsid w:val="006E5E28"/>
    <w:rsid w:val="006E6574"/>
    <w:rsid w:val="006F00C8"/>
    <w:rsid w:val="006F0460"/>
    <w:rsid w:val="006F22EC"/>
    <w:rsid w:val="006F44B2"/>
    <w:rsid w:val="006F44F1"/>
    <w:rsid w:val="006F57C8"/>
    <w:rsid w:val="006F5901"/>
    <w:rsid w:val="006F789E"/>
    <w:rsid w:val="006F7A4F"/>
    <w:rsid w:val="006F7C6C"/>
    <w:rsid w:val="00701432"/>
    <w:rsid w:val="007040FD"/>
    <w:rsid w:val="00704770"/>
    <w:rsid w:val="00707C8B"/>
    <w:rsid w:val="007102C6"/>
    <w:rsid w:val="007102E0"/>
    <w:rsid w:val="00710ED3"/>
    <w:rsid w:val="00713213"/>
    <w:rsid w:val="00714947"/>
    <w:rsid w:val="00714CF2"/>
    <w:rsid w:val="007156B9"/>
    <w:rsid w:val="007156F8"/>
    <w:rsid w:val="00715A04"/>
    <w:rsid w:val="00716E43"/>
    <w:rsid w:val="00717700"/>
    <w:rsid w:val="00720119"/>
    <w:rsid w:val="00720817"/>
    <w:rsid w:val="00721F2C"/>
    <w:rsid w:val="00722850"/>
    <w:rsid w:val="007228A8"/>
    <w:rsid w:val="007238AE"/>
    <w:rsid w:val="00724174"/>
    <w:rsid w:val="00724D73"/>
    <w:rsid w:val="00726539"/>
    <w:rsid w:val="0072783C"/>
    <w:rsid w:val="00731710"/>
    <w:rsid w:val="007323BC"/>
    <w:rsid w:val="0073353F"/>
    <w:rsid w:val="00733950"/>
    <w:rsid w:val="00734191"/>
    <w:rsid w:val="0073445F"/>
    <w:rsid w:val="00735179"/>
    <w:rsid w:val="007355CD"/>
    <w:rsid w:val="00735A91"/>
    <w:rsid w:val="00736D7E"/>
    <w:rsid w:val="00741929"/>
    <w:rsid w:val="00742C95"/>
    <w:rsid w:val="00742E45"/>
    <w:rsid w:val="007430A4"/>
    <w:rsid w:val="0074474A"/>
    <w:rsid w:val="007447AF"/>
    <w:rsid w:val="00750816"/>
    <w:rsid w:val="00750F5A"/>
    <w:rsid w:val="00752410"/>
    <w:rsid w:val="00754A93"/>
    <w:rsid w:val="00755C00"/>
    <w:rsid w:val="00755FFA"/>
    <w:rsid w:val="0075648C"/>
    <w:rsid w:val="00757303"/>
    <w:rsid w:val="00757B16"/>
    <w:rsid w:val="0076324F"/>
    <w:rsid w:val="00764D6D"/>
    <w:rsid w:val="007657C1"/>
    <w:rsid w:val="0077044D"/>
    <w:rsid w:val="00772031"/>
    <w:rsid w:val="00772997"/>
    <w:rsid w:val="00772D9E"/>
    <w:rsid w:val="007734D5"/>
    <w:rsid w:val="007769CD"/>
    <w:rsid w:val="0077755F"/>
    <w:rsid w:val="00780FF1"/>
    <w:rsid w:val="007816BC"/>
    <w:rsid w:val="00781DF5"/>
    <w:rsid w:val="00782532"/>
    <w:rsid w:val="007827F7"/>
    <w:rsid w:val="00783702"/>
    <w:rsid w:val="0078540F"/>
    <w:rsid w:val="00785E4F"/>
    <w:rsid w:val="00787130"/>
    <w:rsid w:val="00787AFF"/>
    <w:rsid w:val="0079000C"/>
    <w:rsid w:val="00790134"/>
    <w:rsid w:val="00790CB7"/>
    <w:rsid w:val="00791437"/>
    <w:rsid w:val="007925EA"/>
    <w:rsid w:val="00792A6B"/>
    <w:rsid w:val="00794A75"/>
    <w:rsid w:val="00797403"/>
    <w:rsid w:val="00797ABA"/>
    <w:rsid w:val="00797EFA"/>
    <w:rsid w:val="007A0871"/>
    <w:rsid w:val="007A2592"/>
    <w:rsid w:val="007A26D3"/>
    <w:rsid w:val="007A406D"/>
    <w:rsid w:val="007A4518"/>
    <w:rsid w:val="007A5142"/>
    <w:rsid w:val="007A62B0"/>
    <w:rsid w:val="007A6438"/>
    <w:rsid w:val="007A6A26"/>
    <w:rsid w:val="007B059F"/>
    <w:rsid w:val="007B05D3"/>
    <w:rsid w:val="007B207E"/>
    <w:rsid w:val="007B3ECB"/>
    <w:rsid w:val="007B5E0D"/>
    <w:rsid w:val="007B6313"/>
    <w:rsid w:val="007B67F9"/>
    <w:rsid w:val="007C14C6"/>
    <w:rsid w:val="007C24A2"/>
    <w:rsid w:val="007C2627"/>
    <w:rsid w:val="007C3756"/>
    <w:rsid w:val="007C4CCE"/>
    <w:rsid w:val="007C54AA"/>
    <w:rsid w:val="007C5A0C"/>
    <w:rsid w:val="007C6090"/>
    <w:rsid w:val="007D0247"/>
    <w:rsid w:val="007D21E8"/>
    <w:rsid w:val="007D38E7"/>
    <w:rsid w:val="007D3920"/>
    <w:rsid w:val="007D41FE"/>
    <w:rsid w:val="007D464D"/>
    <w:rsid w:val="007D4DEA"/>
    <w:rsid w:val="007D669A"/>
    <w:rsid w:val="007E0694"/>
    <w:rsid w:val="007E0FEE"/>
    <w:rsid w:val="007E2654"/>
    <w:rsid w:val="007E46BB"/>
    <w:rsid w:val="007F0164"/>
    <w:rsid w:val="007F10F5"/>
    <w:rsid w:val="007F157D"/>
    <w:rsid w:val="007F2017"/>
    <w:rsid w:val="007F51A6"/>
    <w:rsid w:val="007F767F"/>
    <w:rsid w:val="007F77A9"/>
    <w:rsid w:val="0080004E"/>
    <w:rsid w:val="0080292E"/>
    <w:rsid w:val="0080301B"/>
    <w:rsid w:val="0080325B"/>
    <w:rsid w:val="008036E7"/>
    <w:rsid w:val="0080390E"/>
    <w:rsid w:val="00804B15"/>
    <w:rsid w:val="00805A80"/>
    <w:rsid w:val="00806C8E"/>
    <w:rsid w:val="0080749C"/>
    <w:rsid w:val="00807526"/>
    <w:rsid w:val="00814FDE"/>
    <w:rsid w:val="00815338"/>
    <w:rsid w:val="008159CF"/>
    <w:rsid w:val="00815A31"/>
    <w:rsid w:val="00816E05"/>
    <w:rsid w:val="008170EC"/>
    <w:rsid w:val="008172A0"/>
    <w:rsid w:val="00820892"/>
    <w:rsid w:val="00824686"/>
    <w:rsid w:val="00825A08"/>
    <w:rsid w:val="00826C48"/>
    <w:rsid w:val="008270B9"/>
    <w:rsid w:val="00830487"/>
    <w:rsid w:val="00831ACB"/>
    <w:rsid w:val="008339BB"/>
    <w:rsid w:val="00834F8D"/>
    <w:rsid w:val="00835137"/>
    <w:rsid w:val="00835D57"/>
    <w:rsid w:val="00840765"/>
    <w:rsid w:val="008415A9"/>
    <w:rsid w:val="00842C61"/>
    <w:rsid w:val="008445DB"/>
    <w:rsid w:val="0084668F"/>
    <w:rsid w:val="00846CE7"/>
    <w:rsid w:val="008506DD"/>
    <w:rsid w:val="00850F0A"/>
    <w:rsid w:val="008528F7"/>
    <w:rsid w:val="00853244"/>
    <w:rsid w:val="008547AD"/>
    <w:rsid w:val="00854CD4"/>
    <w:rsid w:val="008565DF"/>
    <w:rsid w:val="00857F6A"/>
    <w:rsid w:val="008631D4"/>
    <w:rsid w:val="00863996"/>
    <w:rsid w:val="0086419A"/>
    <w:rsid w:val="008642EB"/>
    <w:rsid w:val="00864EFF"/>
    <w:rsid w:val="00865565"/>
    <w:rsid w:val="008657CF"/>
    <w:rsid w:val="00865816"/>
    <w:rsid w:val="00865ABE"/>
    <w:rsid w:val="00866831"/>
    <w:rsid w:val="00866BDF"/>
    <w:rsid w:val="00866D0E"/>
    <w:rsid w:val="0086795F"/>
    <w:rsid w:val="00867F3B"/>
    <w:rsid w:val="0087023B"/>
    <w:rsid w:val="00870334"/>
    <w:rsid w:val="00873CDF"/>
    <w:rsid w:val="00873E23"/>
    <w:rsid w:val="0087473C"/>
    <w:rsid w:val="00875288"/>
    <w:rsid w:val="008761EA"/>
    <w:rsid w:val="0087678E"/>
    <w:rsid w:val="008770FE"/>
    <w:rsid w:val="00881CFE"/>
    <w:rsid w:val="0088214A"/>
    <w:rsid w:val="00882F9B"/>
    <w:rsid w:val="00883762"/>
    <w:rsid w:val="00885CB3"/>
    <w:rsid w:val="0088683E"/>
    <w:rsid w:val="00886F8A"/>
    <w:rsid w:val="00887BD9"/>
    <w:rsid w:val="00887E5C"/>
    <w:rsid w:val="00892354"/>
    <w:rsid w:val="00892673"/>
    <w:rsid w:val="0089306D"/>
    <w:rsid w:val="008933F8"/>
    <w:rsid w:val="00894BEC"/>
    <w:rsid w:val="00894D17"/>
    <w:rsid w:val="00894E0F"/>
    <w:rsid w:val="00897D3F"/>
    <w:rsid w:val="00897DE4"/>
    <w:rsid w:val="008A0085"/>
    <w:rsid w:val="008A08BF"/>
    <w:rsid w:val="008A179F"/>
    <w:rsid w:val="008A268C"/>
    <w:rsid w:val="008A4E17"/>
    <w:rsid w:val="008A5EFD"/>
    <w:rsid w:val="008B069D"/>
    <w:rsid w:val="008B0864"/>
    <w:rsid w:val="008B175A"/>
    <w:rsid w:val="008B19A6"/>
    <w:rsid w:val="008B2031"/>
    <w:rsid w:val="008B2AB5"/>
    <w:rsid w:val="008B2D37"/>
    <w:rsid w:val="008B4259"/>
    <w:rsid w:val="008B5B8C"/>
    <w:rsid w:val="008B70CD"/>
    <w:rsid w:val="008B7766"/>
    <w:rsid w:val="008C03B9"/>
    <w:rsid w:val="008C1168"/>
    <w:rsid w:val="008C28DC"/>
    <w:rsid w:val="008C3684"/>
    <w:rsid w:val="008C3CB7"/>
    <w:rsid w:val="008C72D0"/>
    <w:rsid w:val="008C7413"/>
    <w:rsid w:val="008D0669"/>
    <w:rsid w:val="008D16B7"/>
    <w:rsid w:val="008D458D"/>
    <w:rsid w:val="008D7C7E"/>
    <w:rsid w:val="008E1D0A"/>
    <w:rsid w:val="008E27C4"/>
    <w:rsid w:val="008E3084"/>
    <w:rsid w:val="008E572B"/>
    <w:rsid w:val="008E6AE6"/>
    <w:rsid w:val="008E7B8B"/>
    <w:rsid w:val="008F0116"/>
    <w:rsid w:val="008F0591"/>
    <w:rsid w:val="008F143D"/>
    <w:rsid w:val="008F3342"/>
    <w:rsid w:val="008F3350"/>
    <w:rsid w:val="008F5063"/>
    <w:rsid w:val="008F5C7C"/>
    <w:rsid w:val="00902CC9"/>
    <w:rsid w:val="00902CD5"/>
    <w:rsid w:val="00902F5E"/>
    <w:rsid w:val="00903CA3"/>
    <w:rsid w:val="00905282"/>
    <w:rsid w:val="00905810"/>
    <w:rsid w:val="0090676B"/>
    <w:rsid w:val="00907265"/>
    <w:rsid w:val="009075ED"/>
    <w:rsid w:val="009102E9"/>
    <w:rsid w:val="0091183B"/>
    <w:rsid w:val="00911DF5"/>
    <w:rsid w:val="009129AC"/>
    <w:rsid w:val="00912FB0"/>
    <w:rsid w:val="00913103"/>
    <w:rsid w:val="00913425"/>
    <w:rsid w:val="00914096"/>
    <w:rsid w:val="009141B4"/>
    <w:rsid w:val="00914434"/>
    <w:rsid w:val="009146C2"/>
    <w:rsid w:val="00915446"/>
    <w:rsid w:val="00916249"/>
    <w:rsid w:val="00916A1B"/>
    <w:rsid w:val="00922CE9"/>
    <w:rsid w:val="00923C3F"/>
    <w:rsid w:val="009244E3"/>
    <w:rsid w:val="00926EE6"/>
    <w:rsid w:val="00927F87"/>
    <w:rsid w:val="00932865"/>
    <w:rsid w:val="00932BAD"/>
    <w:rsid w:val="00933DFC"/>
    <w:rsid w:val="00934D19"/>
    <w:rsid w:val="00935AB5"/>
    <w:rsid w:val="00936618"/>
    <w:rsid w:val="00936D79"/>
    <w:rsid w:val="00936E4F"/>
    <w:rsid w:val="009402F1"/>
    <w:rsid w:val="009432FD"/>
    <w:rsid w:val="0094373D"/>
    <w:rsid w:val="00943D8D"/>
    <w:rsid w:val="00944F17"/>
    <w:rsid w:val="0094570D"/>
    <w:rsid w:val="00946C7A"/>
    <w:rsid w:val="00946EFA"/>
    <w:rsid w:val="00950832"/>
    <w:rsid w:val="0095323C"/>
    <w:rsid w:val="00955213"/>
    <w:rsid w:val="00957272"/>
    <w:rsid w:val="009573DF"/>
    <w:rsid w:val="0095756F"/>
    <w:rsid w:val="00960597"/>
    <w:rsid w:val="009611D1"/>
    <w:rsid w:val="00965054"/>
    <w:rsid w:val="0096656F"/>
    <w:rsid w:val="00967111"/>
    <w:rsid w:val="00967AF7"/>
    <w:rsid w:val="00971B40"/>
    <w:rsid w:val="00975519"/>
    <w:rsid w:val="0098031A"/>
    <w:rsid w:val="00980D0F"/>
    <w:rsid w:val="00981198"/>
    <w:rsid w:val="0098138E"/>
    <w:rsid w:val="00983806"/>
    <w:rsid w:val="00984371"/>
    <w:rsid w:val="0098655A"/>
    <w:rsid w:val="00990290"/>
    <w:rsid w:val="00990EDE"/>
    <w:rsid w:val="009938B9"/>
    <w:rsid w:val="00995693"/>
    <w:rsid w:val="009A0C25"/>
    <w:rsid w:val="009A2378"/>
    <w:rsid w:val="009A25A6"/>
    <w:rsid w:val="009A317F"/>
    <w:rsid w:val="009A3300"/>
    <w:rsid w:val="009A373F"/>
    <w:rsid w:val="009A58BD"/>
    <w:rsid w:val="009A67EC"/>
    <w:rsid w:val="009A6811"/>
    <w:rsid w:val="009A6BBA"/>
    <w:rsid w:val="009A6E36"/>
    <w:rsid w:val="009B0751"/>
    <w:rsid w:val="009B0B21"/>
    <w:rsid w:val="009B22C6"/>
    <w:rsid w:val="009B2518"/>
    <w:rsid w:val="009B3082"/>
    <w:rsid w:val="009B441D"/>
    <w:rsid w:val="009B479E"/>
    <w:rsid w:val="009B4AC7"/>
    <w:rsid w:val="009B4BE6"/>
    <w:rsid w:val="009B4C4C"/>
    <w:rsid w:val="009B726A"/>
    <w:rsid w:val="009B7B89"/>
    <w:rsid w:val="009C08F1"/>
    <w:rsid w:val="009C09F0"/>
    <w:rsid w:val="009C1B68"/>
    <w:rsid w:val="009C2C1E"/>
    <w:rsid w:val="009C443A"/>
    <w:rsid w:val="009C5949"/>
    <w:rsid w:val="009C5E31"/>
    <w:rsid w:val="009C74F7"/>
    <w:rsid w:val="009C7A1B"/>
    <w:rsid w:val="009D5CCE"/>
    <w:rsid w:val="009D60A1"/>
    <w:rsid w:val="009E060F"/>
    <w:rsid w:val="009E1176"/>
    <w:rsid w:val="009E52C3"/>
    <w:rsid w:val="009E6052"/>
    <w:rsid w:val="009E63B0"/>
    <w:rsid w:val="009E7752"/>
    <w:rsid w:val="009E7C7F"/>
    <w:rsid w:val="009F0052"/>
    <w:rsid w:val="009F344C"/>
    <w:rsid w:val="009F40C7"/>
    <w:rsid w:val="009F7EE9"/>
    <w:rsid w:val="00A008FD"/>
    <w:rsid w:val="00A009BC"/>
    <w:rsid w:val="00A01855"/>
    <w:rsid w:val="00A019D2"/>
    <w:rsid w:val="00A019F0"/>
    <w:rsid w:val="00A0280B"/>
    <w:rsid w:val="00A03323"/>
    <w:rsid w:val="00A0459A"/>
    <w:rsid w:val="00A05351"/>
    <w:rsid w:val="00A0689B"/>
    <w:rsid w:val="00A10DC9"/>
    <w:rsid w:val="00A11B19"/>
    <w:rsid w:val="00A12B2A"/>
    <w:rsid w:val="00A1594C"/>
    <w:rsid w:val="00A1599F"/>
    <w:rsid w:val="00A16605"/>
    <w:rsid w:val="00A17CE0"/>
    <w:rsid w:val="00A20A3F"/>
    <w:rsid w:val="00A21B47"/>
    <w:rsid w:val="00A22D02"/>
    <w:rsid w:val="00A23554"/>
    <w:rsid w:val="00A23A72"/>
    <w:rsid w:val="00A23D48"/>
    <w:rsid w:val="00A2402F"/>
    <w:rsid w:val="00A2470B"/>
    <w:rsid w:val="00A25F84"/>
    <w:rsid w:val="00A261D3"/>
    <w:rsid w:val="00A274FE"/>
    <w:rsid w:val="00A304BF"/>
    <w:rsid w:val="00A30989"/>
    <w:rsid w:val="00A31EF8"/>
    <w:rsid w:val="00A32D14"/>
    <w:rsid w:val="00A35580"/>
    <w:rsid w:val="00A35877"/>
    <w:rsid w:val="00A40C4F"/>
    <w:rsid w:val="00A42306"/>
    <w:rsid w:val="00A42C61"/>
    <w:rsid w:val="00A44E8D"/>
    <w:rsid w:val="00A45E8C"/>
    <w:rsid w:val="00A469DC"/>
    <w:rsid w:val="00A46EA8"/>
    <w:rsid w:val="00A479BE"/>
    <w:rsid w:val="00A47F2D"/>
    <w:rsid w:val="00A52AC4"/>
    <w:rsid w:val="00A538CB"/>
    <w:rsid w:val="00A545A9"/>
    <w:rsid w:val="00A55716"/>
    <w:rsid w:val="00A55ACD"/>
    <w:rsid w:val="00A6005D"/>
    <w:rsid w:val="00A600F7"/>
    <w:rsid w:val="00A6051A"/>
    <w:rsid w:val="00A6129B"/>
    <w:rsid w:val="00A6290E"/>
    <w:rsid w:val="00A63E1A"/>
    <w:rsid w:val="00A66056"/>
    <w:rsid w:val="00A70456"/>
    <w:rsid w:val="00A70B3B"/>
    <w:rsid w:val="00A70F1B"/>
    <w:rsid w:val="00A71CF4"/>
    <w:rsid w:val="00A71F01"/>
    <w:rsid w:val="00A7391C"/>
    <w:rsid w:val="00A7486A"/>
    <w:rsid w:val="00A7599B"/>
    <w:rsid w:val="00A75F7E"/>
    <w:rsid w:val="00A761FA"/>
    <w:rsid w:val="00A76F98"/>
    <w:rsid w:val="00A81543"/>
    <w:rsid w:val="00A829AC"/>
    <w:rsid w:val="00A85D27"/>
    <w:rsid w:val="00A87B35"/>
    <w:rsid w:val="00A92302"/>
    <w:rsid w:val="00A92558"/>
    <w:rsid w:val="00A92B29"/>
    <w:rsid w:val="00A9514C"/>
    <w:rsid w:val="00A95A45"/>
    <w:rsid w:val="00A963F3"/>
    <w:rsid w:val="00AA16D2"/>
    <w:rsid w:val="00AA28EF"/>
    <w:rsid w:val="00AA6A4B"/>
    <w:rsid w:val="00AA6E98"/>
    <w:rsid w:val="00AA7A4A"/>
    <w:rsid w:val="00AB246C"/>
    <w:rsid w:val="00AB7875"/>
    <w:rsid w:val="00AC0741"/>
    <w:rsid w:val="00AC12D3"/>
    <w:rsid w:val="00AC20E0"/>
    <w:rsid w:val="00AC343E"/>
    <w:rsid w:val="00AC4936"/>
    <w:rsid w:val="00AC68EE"/>
    <w:rsid w:val="00AC6EC1"/>
    <w:rsid w:val="00AD07B0"/>
    <w:rsid w:val="00AD2293"/>
    <w:rsid w:val="00AD2383"/>
    <w:rsid w:val="00AD64B8"/>
    <w:rsid w:val="00AD6812"/>
    <w:rsid w:val="00AD7EA0"/>
    <w:rsid w:val="00AE00EE"/>
    <w:rsid w:val="00AE1995"/>
    <w:rsid w:val="00AE1C73"/>
    <w:rsid w:val="00AE3187"/>
    <w:rsid w:val="00AE624D"/>
    <w:rsid w:val="00AE63E0"/>
    <w:rsid w:val="00AE6963"/>
    <w:rsid w:val="00AF12A9"/>
    <w:rsid w:val="00AF2B2F"/>
    <w:rsid w:val="00AF3291"/>
    <w:rsid w:val="00AF4B8A"/>
    <w:rsid w:val="00AF5D4D"/>
    <w:rsid w:val="00AF6042"/>
    <w:rsid w:val="00AF646B"/>
    <w:rsid w:val="00AF651D"/>
    <w:rsid w:val="00AF742F"/>
    <w:rsid w:val="00B000A9"/>
    <w:rsid w:val="00B005ED"/>
    <w:rsid w:val="00B01F7E"/>
    <w:rsid w:val="00B0206A"/>
    <w:rsid w:val="00B03044"/>
    <w:rsid w:val="00B04742"/>
    <w:rsid w:val="00B11704"/>
    <w:rsid w:val="00B1194E"/>
    <w:rsid w:val="00B12F84"/>
    <w:rsid w:val="00B1392D"/>
    <w:rsid w:val="00B14396"/>
    <w:rsid w:val="00B1630E"/>
    <w:rsid w:val="00B16C2A"/>
    <w:rsid w:val="00B2120B"/>
    <w:rsid w:val="00B22018"/>
    <w:rsid w:val="00B22FC6"/>
    <w:rsid w:val="00B26281"/>
    <w:rsid w:val="00B26302"/>
    <w:rsid w:val="00B267F8"/>
    <w:rsid w:val="00B279D8"/>
    <w:rsid w:val="00B27E94"/>
    <w:rsid w:val="00B3087D"/>
    <w:rsid w:val="00B31CD8"/>
    <w:rsid w:val="00B32205"/>
    <w:rsid w:val="00B34794"/>
    <w:rsid w:val="00B361BE"/>
    <w:rsid w:val="00B36C29"/>
    <w:rsid w:val="00B41AB9"/>
    <w:rsid w:val="00B45171"/>
    <w:rsid w:val="00B454F2"/>
    <w:rsid w:val="00B4628A"/>
    <w:rsid w:val="00B4754E"/>
    <w:rsid w:val="00B50258"/>
    <w:rsid w:val="00B508B3"/>
    <w:rsid w:val="00B550C6"/>
    <w:rsid w:val="00B5554B"/>
    <w:rsid w:val="00B55DB9"/>
    <w:rsid w:val="00B570D0"/>
    <w:rsid w:val="00B5795B"/>
    <w:rsid w:val="00B60421"/>
    <w:rsid w:val="00B60548"/>
    <w:rsid w:val="00B61EDF"/>
    <w:rsid w:val="00B6241B"/>
    <w:rsid w:val="00B64426"/>
    <w:rsid w:val="00B65355"/>
    <w:rsid w:val="00B6686D"/>
    <w:rsid w:val="00B72436"/>
    <w:rsid w:val="00B729D4"/>
    <w:rsid w:val="00B7486F"/>
    <w:rsid w:val="00B752CA"/>
    <w:rsid w:val="00B7754E"/>
    <w:rsid w:val="00B779A3"/>
    <w:rsid w:val="00B77D4D"/>
    <w:rsid w:val="00B81B28"/>
    <w:rsid w:val="00B81EB6"/>
    <w:rsid w:val="00B82B69"/>
    <w:rsid w:val="00B83A61"/>
    <w:rsid w:val="00B83A92"/>
    <w:rsid w:val="00B8527D"/>
    <w:rsid w:val="00B86388"/>
    <w:rsid w:val="00B86473"/>
    <w:rsid w:val="00B87798"/>
    <w:rsid w:val="00B87AF0"/>
    <w:rsid w:val="00B9089C"/>
    <w:rsid w:val="00B9161E"/>
    <w:rsid w:val="00B917F7"/>
    <w:rsid w:val="00B91E9F"/>
    <w:rsid w:val="00B922E5"/>
    <w:rsid w:val="00B934F4"/>
    <w:rsid w:val="00BA05F6"/>
    <w:rsid w:val="00BA3CB4"/>
    <w:rsid w:val="00BA40CD"/>
    <w:rsid w:val="00BA4CBE"/>
    <w:rsid w:val="00BA54B9"/>
    <w:rsid w:val="00BA7135"/>
    <w:rsid w:val="00BA7A62"/>
    <w:rsid w:val="00BB0243"/>
    <w:rsid w:val="00BB3388"/>
    <w:rsid w:val="00BB3ACB"/>
    <w:rsid w:val="00BB3F55"/>
    <w:rsid w:val="00BB401D"/>
    <w:rsid w:val="00BB433C"/>
    <w:rsid w:val="00BB67B2"/>
    <w:rsid w:val="00BB7862"/>
    <w:rsid w:val="00BC0089"/>
    <w:rsid w:val="00BC0477"/>
    <w:rsid w:val="00BC2038"/>
    <w:rsid w:val="00BC343F"/>
    <w:rsid w:val="00BC40CD"/>
    <w:rsid w:val="00BC4997"/>
    <w:rsid w:val="00BC4CA1"/>
    <w:rsid w:val="00BC5BDF"/>
    <w:rsid w:val="00BD1A8A"/>
    <w:rsid w:val="00BD23FA"/>
    <w:rsid w:val="00BD245A"/>
    <w:rsid w:val="00BD3CE2"/>
    <w:rsid w:val="00BD43D4"/>
    <w:rsid w:val="00BD45DD"/>
    <w:rsid w:val="00BD58BD"/>
    <w:rsid w:val="00BD66A4"/>
    <w:rsid w:val="00BD7CC6"/>
    <w:rsid w:val="00BE03E1"/>
    <w:rsid w:val="00BE1029"/>
    <w:rsid w:val="00BE13E9"/>
    <w:rsid w:val="00BE1FCD"/>
    <w:rsid w:val="00BE36C5"/>
    <w:rsid w:val="00BE39FC"/>
    <w:rsid w:val="00BE3A9E"/>
    <w:rsid w:val="00BE4673"/>
    <w:rsid w:val="00BE6089"/>
    <w:rsid w:val="00BE690F"/>
    <w:rsid w:val="00BF19E5"/>
    <w:rsid w:val="00BF4CE4"/>
    <w:rsid w:val="00BF5735"/>
    <w:rsid w:val="00BF57B6"/>
    <w:rsid w:val="00BF7170"/>
    <w:rsid w:val="00C03723"/>
    <w:rsid w:val="00C03A50"/>
    <w:rsid w:val="00C05E5F"/>
    <w:rsid w:val="00C104A3"/>
    <w:rsid w:val="00C10B5F"/>
    <w:rsid w:val="00C10B9B"/>
    <w:rsid w:val="00C10F59"/>
    <w:rsid w:val="00C11825"/>
    <w:rsid w:val="00C122D8"/>
    <w:rsid w:val="00C138AC"/>
    <w:rsid w:val="00C14638"/>
    <w:rsid w:val="00C17E83"/>
    <w:rsid w:val="00C21CDA"/>
    <w:rsid w:val="00C2345D"/>
    <w:rsid w:val="00C23C70"/>
    <w:rsid w:val="00C24676"/>
    <w:rsid w:val="00C25D11"/>
    <w:rsid w:val="00C27023"/>
    <w:rsid w:val="00C27481"/>
    <w:rsid w:val="00C310FD"/>
    <w:rsid w:val="00C314FC"/>
    <w:rsid w:val="00C34B7B"/>
    <w:rsid w:val="00C378C2"/>
    <w:rsid w:val="00C4062D"/>
    <w:rsid w:val="00C40839"/>
    <w:rsid w:val="00C40D9F"/>
    <w:rsid w:val="00C421ED"/>
    <w:rsid w:val="00C4299C"/>
    <w:rsid w:val="00C43639"/>
    <w:rsid w:val="00C44607"/>
    <w:rsid w:val="00C44F2D"/>
    <w:rsid w:val="00C47B06"/>
    <w:rsid w:val="00C47C89"/>
    <w:rsid w:val="00C503A7"/>
    <w:rsid w:val="00C50B92"/>
    <w:rsid w:val="00C5162D"/>
    <w:rsid w:val="00C5193B"/>
    <w:rsid w:val="00C520DF"/>
    <w:rsid w:val="00C52411"/>
    <w:rsid w:val="00C529BB"/>
    <w:rsid w:val="00C52C89"/>
    <w:rsid w:val="00C54439"/>
    <w:rsid w:val="00C558BB"/>
    <w:rsid w:val="00C5713B"/>
    <w:rsid w:val="00C571F0"/>
    <w:rsid w:val="00C575B4"/>
    <w:rsid w:val="00C60DA0"/>
    <w:rsid w:val="00C61100"/>
    <w:rsid w:val="00C61964"/>
    <w:rsid w:val="00C62E33"/>
    <w:rsid w:val="00C650F0"/>
    <w:rsid w:val="00C7047B"/>
    <w:rsid w:val="00C7104E"/>
    <w:rsid w:val="00C713D1"/>
    <w:rsid w:val="00C723B4"/>
    <w:rsid w:val="00C73300"/>
    <w:rsid w:val="00C73D52"/>
    <w:rsid w:val="00C748E3"/>
    <w:rsid w:val="00C77C12"/>
    <w:rsid w:val="00C818EB"/>
    <w:rsid w:val="00C83224"/>
    <w:rsid w:val="00C83672"/>
    <w:rsid w:val="00C84717"/>
    <w:rsid w:val="00C86B2D"/>
    <w:rsid w:val="00C878D5"/>
    <w:rsid w:val="00C9033B"/>
    <w:rsid w:val="00C907E1"/>
    <w:rsid w:val="00C913A1"/>
    <w:rsid w:val="00C915A8"/>
    <w:rsid w:val="00C937AF"/>
    <w:rsid w:val="00C94009"/>
    <w:rsid w:val="00C9440E"/>
    <w:rsid w:val="00C95316"/>
    <w:rsid w:val="00C967D7"/>
    <w:rsid w:val="00C97066"/>
    <w:rsid w:val="00C9743B"/>
    <w:rsid w:val="00CA0721"/>
    <w:rsid w:val="00CA072A"/>
    <w:rsid w:val="00CA1335"/>
    <w:rsid w:val="00CA4250"/>
    <w:rsid w:val="00CA473A"/>
    <w:rsid w:val="00CA648C"/>
    <w:rsid w:val="00CA7011"/>
    <w:rsid w:val="00CB172B"/>
    <w:rsid w:val="00CB24CB"/>
    <w:rsid w:val="00CB43C2"/>
    <w:rsid w:val="00CB4A68"/>
    <w:rsid w:val="00CB7ADB"/>
    <w:rsid w:val="00CC1661"/>
    <w:rsid w:val="00CC28D5"/>
    <w:rsid w:val="00CC35E1"/>
    <w:rsid w:val="00CC57A9"/>
    <w:rsid w:val="00CC5801"/>
    <w:rsid w:val="00CC5DB1"/>
    <w:rsid w:val="00CC64B6"/>
    <w:rsid w:val="00CC6A99"/>
    <w:rsid w:val="00CC7412"/>
    <w:rsid w:val="00CD1083"/>
    <w:rsid w:val="00CD2CCE"/>
    <w:rsid w:val="00CD457C"/>
    <w:rsid w:val="00CD4D5B"/>
    <w:rsid w:val="00CD6FF2"/>
    <w:rsid w:val="00CD7B82"/>
    <w:rsid w:val="00CD7D03"/>
    <w:rsid w:val="00CE03F3"/>
    <w:rsid w:val="00CE1462"/>
    <w:rsid w:val="00CE157C"/>
    <w:rsid w:val="00CE1837"/>
    <w:rsid w:val="00CE1A13"/>
    <w:rsid w:val="00CE2027"/>
    <w:rsid w:val="00CE389E"/>
    <w:rsid w:val="00CE433B"/>
    <w:rsid w:val="00CE4A11"/>
    <w:rsid w:val="00CE5CDC"/>
    <w:rsid w:val="00CF048D"/>
    <w:rsid w:val="00CF0649"/>
    <w:rsid w:val="00CF0BDA"/>
    <w:rsid w:val="00CF2859"/>
    <w:rsid w:val="00CF68E0"/>
    <w:rsid w:val="00CF7358"/>
    <w:rsid w:val="00D0079D"/>
    <w:rsid w:val="00D00AA3"/>
    <w:rsid w:val="00D0148C"/>
    <w:rsid w:val="00D01908"/>
    <w:rsid w:val="00D0504E"/>
    <w:rsid w:val="00D05990"/>
    <w:rsid w:val="00D05EF5"/>
    <w:rsid w:val="00D06CB3"/>
    <w:rsid w:val="00D07F73"/>
    <w:rsid w:val="00D07FFE"/>
    <w:rsid w:val="00D11C9D"/>
    <w:rsid w:val="00D12E85"/>
    <w:rsid w:val="00D1430B"/>
    <w:rsid w:val="00D14844"/>
    <w:rsid w:val="00D15F55"/>
    <w:rsid w:val="00D16813"/>
    <w:rsid w:val="00D16C76"/>
    <w:rsid w:val="00D172BB"/>
    <w:rsid w:val="00D178B2"/>
    <w:rsid w:val="00D2041C"/>
    <w:rsid w:val="00D204C1"/>
    <w:rsid w:val="00D208C5"/>
    <w:rsid w:val="00D21D68"/>
    <w:rsid w:val="00D244B8"/>
    <w:rsid w:val="00D25579"/>
    <w:rsid w:val="00D25ADE"/>
    <w:rsid w:val="00D25EF2"/>
    <w:rsid w:val="00D268F8"/>
    <w:rsid w:val="00D26A30"/>
    <w:rsid w:val="00D2766A"/>
    <w:rsid w:val="00D303A4"/>
    <w:rsid w:val="00D31372"/>
    <w:rsid w:val="00D31BB4"/>
    <w:rsid w:val="00D362E9"/>
    <w:rsid w:val="00D37139"/>
    <w:rsid w:val="00D3734F"/>
    <w:rsid w:val="00D41753"/>
    <w:rsid w:val="00D43297"/>
    <w:rsid w:val="00D436EC"/>
    <w:rsid w:val="00D44DB6"/>
    <w:rsid w:val="00D50119"/>
    <w:rsid w:val="00D50261"/>
    <w:rsid w:val="00D51AE2"/>
    <w:rsid w:val="00D56A6F"/>
    <w:rsid w:val="00D56AF7"/>
    <w:rsid w:val="00D6049A"/>
    <w:rsid w:val="00D61F42"/>
    <w:rsid w:val="00D62836"/>
    <w:rsid w:val="00D63B53"/>
    <w:rsid w:val="00D65210"/>
    <w:rsid w:val="00D65CC8"/>
    <w:rsid w:val="00D66FE4"/>
    <w:rsid w:val="00D70A5D"/>
    <w:rsid w:val="00D70DEF"/>
    <w:rsid w:val="00D73F78"/>
    <w:rsid w:val="00D75B38"/>
    <w:rsid w:val="00D81527"/>
    <w:rsid w:val="00D816FE"/>
    <w:rsid w:val="00D82A43"/>
    <w:rsid w:val="00D82C2D"/>
    <w:rsid w:val="00D849B3"/>
    <w:rsid w:val="00D84C45"/>
    <w:rsid w:val="00D86B1E"/>
    <w:rsid w:val="00D91F36"/>
    <w:rsid w:val="00D92363"/>
    <w:rsid w:val="00D92732"/>
    <w:rsid w:val="00D93187"/>
    <w:rsid w:val="00D936DD"/>
    <w:rsid w:val="00D953DD"/>
    <w:rsid w:val="00DA11E7"/>
    <w:rsid w:val="00DA121C"/>
    <w:rsid w:val="00DA1A79"/>
    <w:rsid w:val="00DA2C68"/>
    <w:rsid w:val="00DA3A2B"/>
    <w:rsid w:val="00DA3C18"/>
    <w:rsid w:val="00DA4467"/>
    <w:rsid w:val="00DA7B5D"/>
    <w:rsid w:val="00DB176F"/>
    <w:rsid w:val="00DB214B"/>
    <w:rsid w:val="00DB2F13"/>
    <w:rsid w:val="00DB5DE7"/>
    <w:rsid w:val="00DC0272"/>
    <w:rsid w:val="00DC02BC"/>
    <w:rsid w:val="00DC05BE"/>
    <w:rsid w:val="00DC19C7"/>
    <w:rsid w:val="00DC1AD5"/>
    <w:rsid w:val="00DC1B98"/>
    <w:rsid w:val="00DC1EF6"/>
    <w:rsid w:val="00DC240E"/>
    <w:rsid w:val="00DC319D"/>
    <w:rsid w:val="00DC3661"/>
    <w:rsid w:val="00DC4CDC"/>
    <w:rsid w:val="00DC6B9F"/>
    <w:rsid w:val="00DC6E56"/>
    <w:rsid w:val="00DD084C"/>
    <w:rsid w:val="00DD1295"/>
    <w:rsid w:val="00DD2B2E"/>
    <w:rsid w:val="00DD4E2D"/>
    <w:rsid w:val="00DD5740"/>
    <w:rsid w:val="00DD69BB"/>
    <w:rsid w:val="00DD701C"/>
    <w:rsid w:val="00DE554E"/>
    <w:rsid w:val="00DF042A"/>
    <w:rsid w:val="00DF0FFF"/>
    <w:rsid w:val="00DF58E7"/>
    <w:rsid w:val="00DF6EE9"/>
    <w:rsid w:val="00DF7FA9"/>
    <w:rsid w:val="00E020F6"/>
    <w:rsid w:val="00E06A1C"/>
    <w:rsid w:val="00E07D5A"/>
    <w:rsid w:val="00E11876"/>
    <w:rsid w:val="00E11A16"/>
    <w:rsid w:val="00E1212D"/>
    <w:rsid w:val="00E12990"/>
    <w:rsid w:val="00E14559"/>
    <w:rsid w:val="00E15495"/>
    <w:rsid w:val="00E155CB"/>
    <w:rsid w:val="00E15AD0"/>
    <w:rsid w:val="00E16956"/>
    <w:rsid w:val="00E16E88"/>
    <w:rsid w:val="00E206B2"/>
    <w:rsid w:val="00E20CEB"/>
    <w:rsid w:val="00E223D6"/>
    <w:rsid w:val="00E23CBB"/>
    <w:rsid w:val="00E240AB"/>
    <w:rsid w:val="00E24150"/>
    <w:rsid w:val="00E24CC6"/>
    <w:rsid w:val="00E277D7"/>
    <w:rsid w:val="00E3092B"/>
    <w:rsid w:val="00E33F33"/>
    <w:rsid w:val="00E3407A"/>
    <w:rsid w:val="00E34A69"/>
    <w:rsid w:val="00E3669D"/>
    <w:rsid w:val="00E37476"/>
    <w:rsid w:val="00E37B59"/>
    <w:rsid w:val="00E37C26"/>
    <w:rsid w:val="00E40816"/>
    <w:rsid w:val="00E44147"/>
    <w:rsid w:val="00E44434"/>
    <w:rsid w:val="00E44DA2"/>
    <w:rsid w:val="00E457E0"/>
    <w:rsid w:val="00E473F6"/>
    <w:rsid w:val="00E4762E"/>
    <w:rsid w:val="00E47FF5"/>
    <w:rsid w:val="00E5112C"/>
    <w:rsid w:val="00E511A8"/>
    <w:rsid w:val="00E52906"/>
    <w:rsid w:val="00E52E25"/>
    <w:rsid w:val="00E53438"/>
    <w:rsid w:val="00E5384E"/>
    <w:rsid w:val="00E557C2"/>
    <w:rsid w:val="00E55EB5"/>
    <w:rsid w:val="00E56408"/>
    <w:rsid w:val="00E567B3"/>
    <w:rsid w:val="00E5789D"/>
    <w:rsid w:val="00E609D3"/>
    <w:rsid w:val="00E60EF2"/>
    <w:rsid w:val="00E62D36"/>
    <w:rsid w:val="00E645FD"/>
    <w:rsid w:val="00E65036"/>
    <w:rsid w:val="00E70BE2"/>
    <w:rsid w:val="00E725FC"/>
    <w:rsid w:val="00E7306C"/>
    <w:rsid w:val="00E736DE"/>
    <w:rsid w:val="00E73A37"/>
    <w:rsid w:val="00E743DC"/>
    <w:rsid w:val="00E750C0"/>
    <w:rsid w:val="00E7787C"/>
    <w:rsid w:val="00E77BE9"/>
    <w:rsid w:val="00E77DFE"/>
    <w:rsid w:val="00E83903"/>
    <w:rsid w:val="00E86A56"/>
    <w:rsid w:val="00E90FB9"/>
    <w:rsid w:val="00E914BC"/>
    <w:rsid w:val="00E91892"/>
    <w:rsid w:val="00E92CFF"/>
    <w:rsid w:val="00E95FC9"/>
    <w:rsid w:val="00E96833"/>
    <w:rsid w:val="00E96EE2"/>
    <w:rsid w:val="00E97962"/>
    <w:rsid w:val="00E97C4D"/>
    <w:rsid w:val="00EA14EF"/>
    <w:rsid w:val="00EA184D"/>
    <w:rsid w:val="00EA19B4"/>
    <w:rsid w:val="00EA26D8"/>
    <w:rsid w:val="00EA36C6"/>
    <w:rsid w:val="00EA5075"/>
    <w:rsid w:val="00EA5173"/>
    <w:rsid w:val="00EA522C"/>
    <w:rsid w:val="00EA742D"/>
    <w:rsid w:val="00EB0AA7"/>
    <w:rsid w:val="00EB2720"/>
    <w:rsid w:val="00EB2B6A"/>
    <w:rsid w:val="00EB38B3"/>
    <w:rsid w:val="00EB3BDF"/>
    <w:rsid w:val="00EB561F"/>
    <w:rsid w:val="00EB5FDD"/>
    <w:rsid w:val="00EC0094"/>
    <w:rsid w:val="00EC0BA0"/>
    <w:rsid w:val="00EC30F9"/>
    <w:rsid w:val="00EC31A8"/>
    <w:rsid w:val="00EC4A3B"/>
    <w:rsid w:val="00ED2969"/>
    <w:rsid w:val="00ED296D"/>
    <w:rsid w:val="00ED2A8B"/>
    <w:rsid w:val="00ED2E9D"/>
    <w:rsid w:val="00ED483C"/>
    <w:rsid w:val="00ED4E96"/>
    <w:rsid w:val="00ED571E"/>
    <w:rsid w:val="00ED5725"/>
    <w:rsid w:val="00ED5FCA"/>
    <w:rsid w:val="00ED63D7"/>
    <w:rsid w:val="00ED65A4"/>
    <w:rsid w:val="00ED69A7"/>
    <w:rsid w:val="00ED7031"/>
    <w:rsid w:val="00ED7410"/>
    <w:rsid w:val="00EE0251"/>
    <w:rsid w:val="00EE1618"/>
    <w:rsid w:val="00EE3060"/>
    <w:rsid w:val="00EE3234"/>
    <w:rsid w:val="00EE3D99"/>
    <w:rsid w:val="00EE4315"/>
    <w:rsid w:val="00EE611D"/>
    <w:rsid w:val="00EE6DC1"/>
    <w:rsid w:val="00EF04F4"/>
    <w:rsid w:val="00EF0DD1"/>
    <w:rsid w:val="00EF24D5"/>
    <w:rsid w:val="00EF29E2"/>
    <w:rsid w:val="00EF4977"/>
    <w:rsid w:val="00EF4AA7"/>
    <w:rsid w:val="00EF5174"/>
    <w:rsid w:val="00EF5E0A"/>
    <w:rsid w:val="00EF5F49"/>
    <w:rsid w:val="00EF6925"/>
    <w:rsid w:val="00EF6A20"/>
    <w:rsid w:val="00EF7840"/>
    <w:rsid w:val="00EF7A78"/>
    <w:rsid w:val="00EF7E57"/>
    <w:rsid w:val="00F00803"/>
    <w:rsid w:val="00F00A37"/>
    <w:rsid w:val="00F02375"/>
    <w:rsid w:val="00F02C3D"/>
    <w:rsid w:val="00F030EA"/>
    <w:rsid w:val="00F03248"/>
    <w:rsid w:val="00F04548"/>
    <w:rsid w:val="00F04B19"/>
    <w:rsid w:val="00F04EAB"/>
    <w:rsid w:val="00F05080"/>
    <w:rsid w:val="00F05A0E"/>
    <w:rsid w:val="00F0603B"/>
    <w:rsid w:val="00F06CEB"/>
    <w:rsid w:val="00F10003"/>
    <w:rsid w:val="00F1088C"/>
    <w:rsid w:val="00F11AB6"/>
    <w:rsid w:val="00F12118"/>
    <w:rsid w:val="00F12F9A"/>
    <w:rsid w:val="00F12FA8"/>
    <w:rsid w:val="00F13CED"/>
    <w:rsid w:val="00F14075"/>
    <w:rsid w:val="00F14A9D"/>
    <w:rsid w:val="00F157BE"/>
    <w:rsid w:val="00F16618"/>
    <w:rsid w:val="00F171CF"/>
    <w:rsid w:val="00F20978"/>
    <w:rsid w:val="00F209E0"/>
    <w:rsid w:val="00F20E0F"/>
    <w:rsid w:val="00F224F7"/>
    <w:rsid w:val="00F225A2"/>
    <w:rsid w:val="00F22EAC"/>
    <w:rsid w:val="00F2306D"/>
    <w:rsid w:val="00F235D8"/>
    <w:rsid w:val="00F26265"/>
    <w:rsid w:val="00F26ED3"/>
    <w:rsid w:val="00F2768D"/>
    <w:rsid w:val="00F3163C"/>
    <w:rsid w:val="00F33437"/>
    <w:rsid w:val="00F368FB"/>
    <w:rsid w:val="00F36F89"/>
    <w:rsid w:val="00F40478"/>
    <w:rsid w:val="00F41E1D"/>
    <w:rsid w:val="00F42B6C"/>
    <w:rsid w:val="00F43B92"/>
    <w:rsid w:val="00F45F8A"/>
    <w:rsid w:val="00F46103"/>
    <w:rsid w:val="00F500AB"/>
    <w:rsid w:val="00F5037E"/>
    <w:rsid w:val="00F50412"/>
    <w:rsid w:val="00F50B14"/>
    <w:rsid w:val="00F523DF"/>
    <w:rsid w:val="00F525C4"/>
    <w:rsid w:val="00F52B2D"/>
    <w:rsid w:val="00F52D59"/>
    <w:rsid w:val="00F5304E"/>
    <w:rsid w:val="00F53456"/>
    <w:rsid w:val="00F542B6"/>
    <w:rsid w:val="00F54DC8"/>
    <w:rsid w:val="00F55460"/>
    <w:rsid w:val="00F55E30"/>
    <w:rsid w:val="00F56539"/>
    <w:rsid w:val="00F57A2F"/>
    <w:rsid w:val="00F60386"/>
    <w:rsid w:val="00F6159B"/>
    <w:rsid w:val="00F628B7"/>
    <w:rsid w:val="00F62B7A"/>
    <w:rsid w:val="00F632C7"/>
    <w:rsid w:val="00F632CF"/>
    <w:rsid w:val="00F6397D"/>
    <w:rsid w:val="00F67482"/>
    <w:rsid w:val="00F71FB6"/>
    <w:rsid w:val="00F7293E"/>
    <w:rsid w:val="00F72B2E"/>
    <w:rsid w:val="00F7372D"/>
    <w:rsid w:val="00F73F15"/>
    <w:rsid w:val="00F7494C"/>
    <w:rsid w:val="00F74C14"/>
    <w:rsid w:val="00F74CE5"/>
    <w:rsid w:val="00F74E25"/>
    <w:rsid w:val="00F76650"/>
    <w:rsid w:val="00F77C0C"/>
    <w:rsid w:val="00F81109"/>
    <w:rsid w:val="00F8234F"/>
    <w:rsid w:val="00F84867"/>
    <w:rsid w:val="00F90C65"/>
    <w:rsid w:val="00F90F20"/>
    <w:rsid w:val="00F9187B"/>
    <w:rsid w:val="00F91889"/>
    <w:rsid w:val="00F920F7"/>
    <w:rsid w:val="00F92385"/>
    <w:rsid w:val="00F925A0"/>
    <w:rsid w:val="00F92F97"/>
    <w:rsid w:val="00F930C0"/>
    <w:rsid w:val="00F94799"/>
    <w:rsid w:val="00F94802"/>
    <w:rsid w:val="00F95498"/>
    <w:rsid w:val="00F95A29"/>
    <w:rsid w:val="00F970B0"/>
    <w:rsid w:val="00F9769F"/>
    <w:rsid w:val="00F9797A"/>
    <w:rsid w:val="00FA0DEE"/>
    <w:rsid w:val="00FA19DA"/>
    <w:rsid w:val="00FA1B4F"/>
    <w:rsid w:val="00FA4C4E"/>
    <w:rsid w:val="00FA528B"/>
    <w:rsid w:val="00FA57EE"/>
    <w:rsid w:val="00FA7BCF"/>
    <w:rsid w:val="00FA7FC5"/>
    <w:rsid w:val="00FB0714"/>
    <w:rsid w:val="00FB1DCD"/>
    <w:rsid w:val="00FB20A0"/>
    <w:rsid w:val="00FB20CB"/>
    <w:rsid w:val="00FB26FD"/>
    <w:rsid w:val="00FB317C"/>
    <w:rsid w:val="00FB39DE"/>
    <w:rsid w:val="00FB51BE"/>
    <w:rsid w:val="00FB7539"/>
    <w:rsid w:val="00FB7683"/>
    <w:rsid w:val="00FC07B8"/>
    <w:rsid w:val="00FC35C7"/>
    <w:rsid w:val="00FC47F9"/>
    <w:rsid w:val="00FC5325"/>
    <w:rsid w:val="00FC618A"/>
    <w:rsid w:val="00FC6603"/>
    <w:rsid w:val="00FC6F3A"/>
    <w:rsid w:val="00FC70BB"/>
    <w:rsid w:val="00FC7782"/>
    <w:rsid w:val="00FD385E"/>
    <w:rsid w:val="00FD47EC"/>
    <w:rsid w:val="00FD544A"/>
    <w:rsid w:val="00FD5F1A"/>
    <w:rsid w:val="00FD7595"/>
    <w:rsid w:val="00FE0556"/>
    <w:rsid w:val="00FE0A6B"/>
    <w:rsid w:val="00FE2351"/>
    <w:rsid w:val="00FE2362"/>
    <w:rsid w:val="00FE337D"/>
    <w:rsid w:val="00FE4530"/>
    <w:rsid w:val="00FE4FD8"/>
    <w:rsid w:val="00FE5580"/>
    <w:rsid w:val="00FE6BDA"/>
    <w:rsid w:val="00FE71D6"/>
    <w:rsid w:val="00FE74F2"/>
    <w:rsid w:val="00FE7666"/>
    <w:rsid w:val="00FF05A4"/>
    <w:rsid w:val="00FF110C"/>
    <w:rsid w:val="00FF20F2"/>
    <w:rsid w:val="00FF409B"/>
    <w:rsid w:val="00FF4195"/>
    <w:rsid w:val="00FF4921"/>
    <w:rsid w:val="00FF5A69"/>
    <w:rsid w:val="00FF5C72"/>
    <w:rsid w:val="02F48BBD"/>
    <w:rsid w:val="05287F7D"/>
    <w:rsid w:val="0614496A"/>
    <w:rsid w:val="067A3176"/>
    <w:rsid w:val="0BEE07AC"/>
    <w:rsid w:val="10529BEC"/>
    <w:rsid w:val="13053F25"/>
    <w:rsid w:val="14AE56C8"/>
    <w:rsid w:val="150128BF"/>
    <w:rsid w:val="16B19AFB"/>
    <w:rsid w:val="1EA2C424"/>
    <w:rsid w:val="1FDB75A9"/>
    <w:rsid w:val="22C62748"/>
    <w:rsid w:val="25D35E12"/>
    <w:rsid w:val="2616244B"/>
    <w:rsid w:val="26AB7672"/>
    <w:rsid w:val="27205BA8"/>
    <w:rsid w:val="27914F4E"/>
    <w:rsid w:val="29643047"/>
    <w:rsid w:val="2C9ECC95"/>
    <w:rsid w:val="2CBA1927"/>
    <w:rsid w:val="2DCBBA62"/>
    <w:rsid w:val="2DF7ABB2"/>
    <w:rsid w:val="30B8C8AA"/>
    <w:rsid w:val="332CE38D"/>
    <w:rsid w:val="34669320"/>
    <w:rsid w:val="37251FD1"/>
    <w:rsid w:val="399AD4DA"/>
    <w:rsid w:val="39A43FCE"/>
    <w:rsid w:val="3CB5B7B4"/>
    <w:rsid w:val="3F70508D"/>
    <w:rsid w:val="4265EAA5"/>
    <w:rsid w:val="45882F8D"/>
    <w:rsid w:val="4619FA9B"/>
    <w:rsid w:val="46DA7BA1"/>
    <w:rsid w:val="488F4A07"/>
    <w:rsid w:val="4CB298A4"/>
    <w:rsid w:val="5366284E"/>
    <w:rsid w:val="542CC1E7"/>
    <w:rsid w:val="55012557"/>
    <w:rsid w:val="55C8ACE7"/>
    <w:rsid w:val="579813C7"/>
    <w:rsid w:val="5927F34D"/>
    <w:rsid w:val="5996140C"/>
    <w:rsid w:val="5A88CC94"/>
    <w:rsid w:val="5DAD7121"/>
    <w:rsid w:val="5FC2C7F3"/>
    <w:rsid w:val="61CD64DD"/>
    <w:rsid w:val="624F4BF6"/>
    <w:rsid w:val="6410DF7C"/>
    <w:rsid w:val="641A070B"/>
    <w:rsid w:val="64558506"/>
    <w:rsid w:val="649618A4"/>
    <w:rsid w:val="64A9C5D1"/>
    <w:rsid w:val="64DDA479"/>
    <w:rsid w:val="675C4F97"/>
    <w:rsid w:val="6C2DF2AD"/>
    <w:rsid w:val="6EE9D6CD"/>
    <w:rsid w:val="6F41CBFD"/>
    <w:rsid w:val="739BF315"/>
    <w:rsid w:val="79B4C909"/>
    <w:rsid w:val="7F65B676"/>
    <w:rsid w:val="7FF272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9F67B"/>
  <w15:chartTrackingRefBased/>
  <w15:docId w15:val="{68068E81-30FD-4B3A-B5D1-A34182554CC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6"/>
      </w:numPr>
      <w:ind w:right="2160"/>
    </w:pPr>
    <w:rPr>
      <w:rFonts w:eastAsiaTheme="majorEastAsia" w:cstheme="majorBidi"/>
      <w:szCs w:val="32"/>
    </w:rPr>
  </w:style>
  <w:style w:type="paragraph" w:styleId="Heading2">
    <w:name w:val="heading 2"/>
    <w:basedOn w:val="Dummy"/>
    <w:next w:val="Standard"/>
    <w:link w:val="Heading2Char"/>
    <w:uiPriority w:val="9"/>
    <w:qFormat/>
    <w:rsid w:val="000E270A"/>
    <w:pPr>
      <w:numPr>
        <w:ilvl w:val="1"/>
        <w:numId w:val="6"/>
      </w:numPr>
      <w:ind w:right="2160"/>
      <w:outlineLvl w:val="1"/>
    </w:pPr>
  </w:style>
  <w:style w:type="paragraph" w:styleId="Heading3">
    <w:name w:val="heading 3"/>
    <w:basedOn w:val="Dummy"/>
    <w:next w:val="Standard"/>
    <w:link w:val="Heading3Char"/>
    <w:uiPriority w:val="9"/>
    <w:qFormat/>
    <w:rsid w:val="000E270A"/>
    <w:pPr>
      <w:numPr>
        <w:ilvl w:val="2"/>
        <w:numId w:val="6"/>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6"/>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6"/>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6"/>
      </w:numPr>
      <w:spacing w:before="40"/>
      <w:ind w:right="2160"/>
      <w:outlineLvl w:val="5"/>
    </w:pPr>
    <w:rPr>
      <w:rFonts w:eastAsiaTheme="majorEastAsia" w:cstheme="majorBidi"/>
    </w:rPr>
  </w:style>
  <w:style w:type="paragraph" w:styleId="Heading7">
    <w:name w:val="heading 7"/>
    <w:basedOn w:val="Normal"/>
    <w:next w:val="Normal"/>
    <w:link w:val="Heading7Char"/>
    <w:uiPriority w:val="9"/>
    <w:semiHidden/>
    <w:qFormat/>
    <w:rsid w:val="00F920F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qFormat/>
    <w:rsid w:val="00F920F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F920F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9"/>
    <w:rsid w:val="00287BC5"/>
    <w:rPr>
      <w:rFonts w:ascii="Arial" w:hAnsi="Arial" w:cs="Arial"/>
      <w:b/>
      <w:sz w:val="26"/>
      <w:szCs w:val="26"/>
    </w:rPr>
  </w:style>
  <w:style w:type="character" w:customStyle="1" w:styleId="Heading3Char">
    <w:name w:val="Heading 3 Char"/>
    <w:basedOn w:val="DefaultParagraphFont"/>
    <w:link w:val="Heading3"/>
    <w:uiPriority w:val="9"/>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1"/>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 Char,TBG Style Char Char Char,Footnote Text Char2,TBG Style Char Char,Footnote Text Char3 Char,Footnote Text Char Char Char,Footnote Text Char1 Char Char Char,Footnote Text Char3,fn,Footnote Text Char1,Footnote Text Cha"/>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1 Char Char,TBG Style Char Char Char Char,Footnote Text Char2 Char,TBG Style Char Char Char1,Footnote Text Char3 Char Char,Footnote Text Char Char Char Char,Footnote Text Char1 Char Char Char Char,fn Char"/>
    <w:basedOn w:val="DefaultParagraphFont"/>
    <w:link w:val="FootnoteText"/>
    <w:uiPriority w:val="99"/>
    <w:rsid w:val="007657C1"/>
    <w:rPr>
      <w:rFonts w:ascii="Book Antiqua" w:hAnsi="Book Antiqua"/>
      <w:szCs w:val="20"/>
    </w:rPr>
  </w:style>
  <w:style w:type="character" w:styleId="FootnoteReference">
    <w:name w:val="footnote reference"/>
    <w:aliases w:val="o,fr,o1,o2,o3,o4,o5,o6,o11,o21,o7,Style 12,(NECG) Footnote Reference,Appel note de bas de p,Style 124,o + Times New Roman,Style 3,Style 17,Style 20,Style 13,fr1,fr2,fr3,Style 58,FR,Footnote Reference/,Style 6,Footnote,Style 8,char"/>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
      </w:numPr>
      <w:ind w:firstLine="547"/>
    </w:pPr>
  </w:style>
  <w:style w:type="paragraph" w:customStyle="1" w:styleId="CoL">
    <w:name w:val="CoL"/>
    <w:basedOn w:val="Standard"/>
    <w:uiPriority w:val="7"/>
    <w:qFormat/>
    <w:rsid w:val="001E2A62"/>
    <w:p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17"/>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4"/>
      </w:numPr>
    </w:pPr>
  </w:style>
  <w:style w:type="paragraph" w:customStyle="1" w:styleId="Standard">
    <w:name w:val="Standard"/>
    <w:basedOn w:val="Normal"/>
    <w:link w:val="StandardChar"/>
    <w:qFormat/>
    <w:rsid w:val="007A406D"/>
  </w:style>
  <w:style w:type="paragraph" w:customStyle="1" w:styleId="ListAlpha">
    <w:name w:val="List Alpha"/>
    <w:basedOn w:val="Standard"/>
    <w:uiPriority w:val="4"/>
    <w:qFormat/>
    <w:rsid w:val="000E270A"/>
    <w:pPr>
      <w:numPr>
        <w:ilvl w:val="7"/>
        <w:numId w:val="6"/>
      </w:numPr>
      <w:spacing w:after="120" w:line="240" w:lineRule="auto"/>
    </w:pPr>
  </w:style>
  <w:style w:type="paragraph" w:styleId="ListBullet">
    <w:name w:val="List Bullet"/>
    <w:basedOn w:val="Standard"/>
    <w:uiPriority w:val="4"/>
    <w:qFormat/>
    <w:rsid w:val="001F2819"/>
    <w:pPr>
      <w:numPr>
        <w:numId w:val="5"/>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6"/>
      </w:numPr>
      <w:spacing w:after="120" w:line="240" w:lineRule="auto"/>
    </w:pPr>
  </w:style>
  <w:style w:type="character" w:styleId="UnresolvedMention">
    <w:name w:val="Unresolved Mention"/>
    <w:basedOn w:val="DefaultParagraphFont"/>
    <w:uiPriority w:val="99"/>
    <w:semiHidden/>
    <w:unhideWhenUsed/>
    <w:rsid w:val="004148AA"/>
    <w:rPr>
      <w:color w:val="605E5C"/>
      <w:shd w:val="clear" w:color="auto" w:fill="E1DFDD"/>
    </w:rPr>
  </w:style>
  <w:style w:type="paragraph" w:styleId="ListParagraph">
    <w:name w:val="List Paragraph"/>
    <w:basedOn w:val="Normal"/>
    <w:uiPriority w:val="34"/>
    <w:qFormat/>
    <w:rsid w:val="00284133"/>
    <w:pPr>
      <w:spacing w:after="160" w:line="278" w:lineRule="auto"/>
      <w:ind w:left="720" w:firstLine="0"/>
      <w:contextualSpacing/>
    </w:pPr>
    <w:rPr>
      <w:rFonts w:asciiTheme="minorHAnsi" w:hAnsiTheme="minorHAnsi"/>
      <w:kern w:val="2"/>
      <w:sz w:val="24"/>
      <w:szCs w:val="24"/>
      <w14:ligatures w14:val="standardContextual"/>
    </w:rPr>
  </w:style>
  <w:style w:type="paragraph" w:customStyle="1" w:styleId="Default">
    <w:name w:val="Default"/>
    <w:rsid w:val="00284133"/>
    <w:pPr>
      <w:autoSpaceDE w:val="0"/>
      <w:autoSpaceDN w:val="0"/>
      <w:adjustRightInd w:val="0"/>
      <w:spacing w:after="0" w:line="240" w:lineRule="auto"/>
    </w:pPr>
    <w:rPr>
      <w:rFonts w:ascii="Cambria" w:hAnsi="Cambria" w:cs="Cambria"/>
      <w:color w:val="000000"/>
      <w:sz w:val="24"/>
      <w:szCs w:val="24"/>
      <w14:ligatures w14:val="standardContextual"/>
    </w:rPr>
  </w:style>
  <w:style w:type="character" w:styleId="CommentReference">
    <w:name w:val="annotation reference"/>
    <w:basedOn w:val="DefaultParagraphFont"/>
    <w:uiPriority w:val="99"/>
    <w:semiHidden/>
    <w:unhideWhenUsed/>
    <w:rsid w:val="00EF5F49"/>
    <w:rPr>
      <w:sz w:val="16"/>
      <w:szCs w:val="16"/>
    </w:rPr>
  </w:style>
  <w:style w:type="paragraph" w:styleId="CommentText">
    <w:name w:val="annotation text"/>
    <w:basedOn w:val="Normal"/>
    <w:link w:val="CommentTextChar"/>
    <w:uiPriority w:val="99"/>
    <w:unhideWhenUsed/>
    <w:rsid w:val="00EF5F49"/>
    <w:pPr>
      <w:spacing w:line="240" w:lineRule="auto"/>
    </w:pPr>
    <w:rPr>
      <w:sz w:val="20"/>
      <w:szCs w:val="20"/>
    </w:rPr>
  </w:style>
  <w:style w:type="character" w:customStyle="1" w:styleId="CommentTextChar">
    <w:name w:val="Comment Text Char"/>
    <w:basedOn w:val="DefaultParagraphFont"/>
    <w:link w:val="CommentText"/>
    <w:uiPriority w:val="99"/>
    <w:rsid w:val="00EF5F49"/>
    <w:rPr>
      <w:rFonts w:ascii="Book Antiqua" w:hAnsi="Book Antiqua"/>
      <w:sz w:val="20"/>
      <w:szCs w:val="20"/>
    </w:rPr>
  </w:style>
  <w:style w:type="paragraph" w:styleId="TOC7">
    <w:name w:val="toc 7"/>
    <w:basedOn w:val="Normal"/>
    <w:next w:val="Normal"/>
    <w:autoRedefine/>
    <w:uiPriority w:val="39"/>
    <w:unhideWhenUsed/>
    <w:rsid w:val="009C09F0"/>
    <w:pPr>
      <w:spacing w:after="100" w:line="278" w:lineRule="auto"/>
      <w:ind w:left="1440" w:firstLine="0"/>
    </w:pPr>
    <w:rPr>
      <w:rFonts w:asciiTheme="minorHAnsi" w:eastAsiaTheme="minorEastAsia" w:hAnsiTheme="minorHAnsi"/>
      <w:kern w:val="2"/>
      <w:sz w:val="24"/>
      <w:szCs w:val="24"/>
      <w14:ligatures w14:val="standardContextual"/>
    </w:rPr>
  </w:style>
  <w:style w:type="paragraph" w:styleId="TOC8">
    <w:name w:val="toc 8"/>
    <w:basedOn w:val="Normal"/>
    <w:next w:val="Normal"/>
    <w:autoRedefine/>
    <w:uiPriority w:val="39"/>
    <w:unhideWhenUsed/>
    <w:rsid w:val="009C09F0"/>
    <w:pPr>
      <w:spacing w:after="100" w:line="278" w:lineRule="auto"/>
      <w:ind w:left="1680" w:firstLine="0"/>
    </w:pPr>
    <w:rPr>
      <w:rFonts w:asciiTheme="minorHAnsi" w:eastAsiaTheme="minorEastAsia" w:hAnsiTheme="minorHAnsi"/>
      <w:kern w:val="2"/>
      <w:sz w:val="24"/>
      <w:szCs w:val="24"/>
      <w14:ligatures w14:val="standardContextual"/>
    </w:rPr>
  </w:style>
  <w:style w:type="paragraph" w:styleId="Revision">
    <w:name w:val="Revision"/>
    <w:hidden/>
    <w:uiPriority w:val="99"/>
    <w:semiHidden/>
    <w:rsid w:val="00661EB7"/>
    <w:pPr>
      <w:spacing w:after="0" w:line="240" w:lineRule="auto"/>
    </w:pPr>
    <w:rPr>
      <w:rFonts w:ascii="Book Antiqua" w:hAnsi="Book Antiqua"/>
      <w:sz w:val="26"/>
    </w:rPr>
  </w:style>
  <w:style w:type="paragraph" w:styleId="CommentSubject">
    <w:name w:val="annotation subject"/>
    <w:basedOn w:val="CommentText"/>
    <w:next w:val="CommentText"/>
    <w:link w:val="CommentSubjectChar"/>
    <w:uiPriority w:val="99"/>
    <w:semiHidden/>
    <w:unhideWhenUsed/>
    <w:rsid w:val="00661EB7"/>
    <w:rPr>
      <w:b/>
      <w:bCs/>
    </w:rPr>
  </w:style>
  <w:style w:type="character" w:customStyle="1" w:styleId="CommentSubjectChar">
    <w:name w:val="Comment Subject Char"/>
    <w:basedOn w:val="CommentTextChar"/>
    <w:link w:val="CommentSubject"/>
    <w:uiPriority w:val="99"/>
    <w:semiHidden/>
    <w:rsid w:val="00661EB7"/>
    <w:rPr>
      <w:rFonts w:ascii="Book Antiqua" w:hAnsi="Book Antiqua"/>
      <w:b/>
      <w:bCs/>
      <w:sz w:val="20"/>
      <w:szCs w:val="20"/>
    </w:rPr>
  </w:style>
  <w:style w:type="paragraph" w:customStyle="1" w:styleId="paragraph">
    <w:name w:val="paragraph"/>
    <w:basedOn w:val="Normal"/>
    <w:rsid w:val="00434562"/>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434562"/>
  </w:style>
  <w:style w:type="character" w:customStyle="1" w:styleId="eop">
    <w:name w:val="eop"/>
    <w:basedOn w:val="DefaultParagraphFont"/>
    <w:rsid w:val="00434562"/>
  </w:style>
  <w:style w:type="character" w:customStyle="1" w:styleId="superscript">
    <w:name w:val="superscript"/>
    <w:basedOn w:val="DefaultParagraphFont"/>
    <w:rsid w:val="00434562"/>
  </w:style>
  <w:style w:type="character" w:styleId="Mention">
    <w:name w:val="Mention"/>
    <w:basedOn w:val="DefaultParagraphFont"/>
    <w:uiPriority w:val="99"/>
    <w:unhideWhenUsed/>
    <w:rsid w:val="00B87AF0"/>
    <w:rPr>
      <w:color w:val="2B579A"/>
      <w:shd w:val="clear" w:color="auto" w:fill="E1DFDD"/>
    </w:rPr>
  </w:style>
  <w:style w:type="character" w:customStyle="1" w:styleId="StandardChar">
    <w:name w:val="Standard Char"/>
    <w:basedOn w:val="DefaultParagraphFont"/>
    <w:link w:val="Standard"/>
    <w:rsid w:val="006751FF"/>
    <w:rPr>
      <w:rFonts w:ascii="Book Antiqua" w:hAnsi="Book Antiqua"/>
      <w:sz w:val="26"/>
    </w:rPr>
  </w:style>
  <w:style w:type="paragraph" w:styleId="Bibliography">
    <w:name w:val="Bibliography"/>
    <w:basedOn w:val="Normal"/>
    <w:next w:val="Normal"/>
    <w:uiPriority w:val="37"/>
    <w:semiHidden/>
    <w:unhideWhenUsed/>
    <w:rsid w:val="00F920F7"/>
  </w:style>
  <w:style w:type="paragraph" w:styleId="BlockText">
    <w:name w:val="Block Text"/>
    <w:basedOn w:val="Normal"/>
    <w:uiPriority w:val="99"/>
    <w:semiHidden/>
    <w:unhideWhenUsed/>
    <w:rsid w:val="00F920F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F920F7"/>
    <w:pPr>
      <w:spacing w:after="120"/>
    </w:pPr>
  </w:style>
  <w:style w:type="character" w:customStyle="1" w:styleId="BodyTextChar">
    <w:name w:val="Body Text Char"/>
    <w:basedOn w:val="DefaultParagraphFont"/>
    <w:link w:val="BodyText"/>
    <w:uiPriority w:val="99"/>
    <w:semiHidden/>
    <w:rsid w:val="00F920F7"/>
    <w:rPr>
      <w:rFonts w:ascii="Book Antiqua" w:hAnsi="Book Antiqua"/>
      <w:sz w:val="26"/>
    </w:rPr>
  </w:style>
  <w:style w:type="paragraph" w:styleId="BodyText2">
    <w:name w:val="Body Text 2"/>
    <w:basedOn w:val="Normal"/>
    <w:link w:val="BodyText2Char"/>
    <w:uiPriority w:val="99"/>
    <w:semiHidden/>
    <w:unhideWhenUsed/>
    <w:rsid w:val="00F920F7"/>
    <w:pPr>
      <w:spacing w:after="120" w:line="480" w:lineRule="auto"/>
    </w:pPr>
  </w:style>
  <w:style w:type="character" w:customStyle="1" w:styleId="BodyText2Char">
    <w:name w:val="Body Text 2 Char"/>
    <w:basedOn w:val="DefaultParagraphFont"/>
    <w:link w:val="BodyText2"/>
    <w:uiPriority w:val="99"/>
    <w:semiHidden/>
    <w:rsid w:val="00F920F7"/>
    <w:rPr>
      <w:rFonts w:ascii="Book Antiqua" w:hAnsi="Book Antiqua"/>
      <w:sz w:val="26"/>
    </w:rPr>
  </w:style>
  <w:style w:type="paragraph" w:styleId="BodyText3">
    <w:name w:val="Body Text 3"/>
    <w:basedOn w:val="Normal"/>
    <w:link w:val="BodyText3Char"/>
    <w:uiPriority w:val="99"/>
    <w:semiHidden/>
    <w:unhideWhenUsed/>
    <w:rsid w:val="00F920F7"/>
    <w:pPr>
      <w:spacing w:after="120"/>
    </w:pPr>
    <w:rPr>
      <w:sz w:val="16"/>
      <w:szCs w:val="16"/>
    </w:rPr>
  </w:style>
  <w:style w:type="character" w:customStyle="1" w:styleId="BodyText3Char">
    <w:name w:val="Body Text 3 Char"/>
    <w:basedOn w:val="DefaultParagraphFont"/>
    <w:link w:val="BodyText3"/>
    <w:uiPriority w:val="99"/>
    <w:semiHidden/>
    <w:rsid w:val="00F920F7"/>
    <w:rPr>
      <w:rFonts w:ascii="Book Antiqua" w:hAnsi="Book Antiqua"/>
      <w:sz w:val="16"/>
      <w:szCs w:val="16"/>
    </w:rPr>
  </w:style>
  <w:style w:type="paragraph" w:styleId="BodyTextFirstIndent">
    <w:name w:val="Body Text First Indent"/>
    <w:basedOn w:val="BodyText"/>
    <w:link w:val="BodyTextFirstIndentChar"/>
    <w:uiPriority w:val="99"/>
    <w:semiHidden/>
    <w:unhideWhenUsed/>
    <w:rsid w:val="00F920F7"/>
    <w:pPr>
      <w:spacing w:after="0"/>
      <w:ind w:firstLine="360"/>
    </w:pPr>
  </w:style>
  <w:style w:type="character" w:customStyle="1" w:styleId="BodyTextFirstIndentChar">
    <w:name w:val="Body Text First Indent Char"/>
    <w:basedOn w:val="BodyTextChar"/>
    <w:link w:val="BodyTextFirstIndent"/>
    <w:uiPriority w:val="99"/>
    <w:semiHidden/>
    <w:rsid w:val="00F920F7"/>
    <w:rPr>
      <w:rFonts w:ascii="Book Antiqua" w:hAnsi="Book Antiqua"/>
      <w:sz w:val="26"/>
    </w:rPr>
  </w:style>
  <w:style w:type="paragraph" w:styleId="BodyTextIndent">
    <w:name w:val="Body Text Indent"/>
    <w:basedOn w:val="Normal"/>
    <w:link w:val="BodyTextIndentChar"/>
    <w:uiPriority w:val="99"/>
    <w:semiHidden/>
    <w:unhideWhenUsed/>
    <w:rsid w:val="00F920F7"/>
    <w:pPr>
      <w:spacing w:after="120"/>
      <w:ind w:left="360"/>
    </w:pPr>
  </w:style>
  <w:style w:type="character" w:customStyle="1" w:styleId="BodyTextIndentChar">
    <w:name w:val="Body Text Indent Char"/>
    <w:basedOn w:val="DefaultParagraphFont"/>
    <w:link w:val="BodyTextIndent"/>
    <w:uiPriority w:val="99"/>
    <w:semiHidden/>
    <w:rsid w:val="00F920F7"/>
    <w:rPr>
      <w:rFonts w:ascii="Book Antiqua" w:hAnsi="Book Antiqua"/>
      <w:sz w:val="26"/>
    </w:rPr>
  </w:style>
  <w:style w:type="paragraph" w:styleId="BodyTextFirstIndent2">
    <w:name w:val="Body Text First Indent 2"/>
    <w:basedOn w:val="BodyTextIndent"/>
    <w:link w:val="BodyTextFirstIndent2Char"/>
    <w:uiPriority w:val="99"/>
    <w:semiHidden/>
    <w:unhideWhenUsed/>
    <w:rsid w:val="00F920F7"/>
    <w:pPr>
      <w:spacing w:after="0"/>
      <w:ind w:firstLine="360"/>
    </w:pPr>
  </w:style>
  <w:style w:type="character" w:customStyle="1" w:styleId="BodyTextFirstIndent2Char">
    <w:name w:val="Body Text First Indent 2 Char"/>
    <w:basedOn w:val="BodyTextIndentChar"/>
    <w:link w:val="BodyTextFirstIndent2"/>
    <w:uiPriority w:val="99"/>
    <w:semiHidden/>
    <w:rsid w:val="00F920F7"/>
    <w:rPr>
      <w:rFonts w:ascii="Book Antiqua" w:hAnsi="Book Antiqua"/>
      <w:sz w:val="26"/>
    </w:rPr>
  </w:style>
  <w:style w:type="paragraph" w:styleId="BodyTextIndent2">
    <w:name w:val="Body Text Indent 2"/>
    <w:basedOn w:val="Normal"/>
    <w:link w:val="BodyTextIndent2Char"/>
    <w:uiPriority w:val="99"/>
    <w:semiHidden/>
    <w:unhideWhenUsed/>
    <w:rsid w:val="00F920F7"/>
    <w:pPr>
      <w:spacing w:after="120" w:line="480" w:lineRule="auto"/>
      <w:ind w:left="360"/>
    </w:pPr>
  </w:style>
  <w:style w:type="character" w:customStyle="1" w:styleId="BodyTextIndent2Char">
    <w:name w:val="Body Text Indent 2 Char"/>
    <w:basedOn w:val="DefaultParagraphFont"/>
    <w:link w:val="BodyTextIndent2"/>
    <w:uiPriority w:val="99"/>
    <w:semiHidden/>
    <w:rsid w:val="00F920F7"/>
    <w:rPr>
      <w:rFonts w:ascii="Book Antiqua" w:hAnsi="Book Antiqua"/>
      <w:sz w:val="26"/>
    </w:rPr>
  </w:style>
  <w:style w:type="paragraph" w:styleId="BodyTextIndent3">
    <w:name w:val="Body Text Indent 3"/>
    <w:basedOn w:val="Normal"/>
    <w:link w:val="BodyTextIndent3Char"/>
    <w:uiPriority w:val="99"/>
    <w:semiHidden/>
    <w:unhideWhenUsed/>
    <w:rsid w:val="00F920F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920F7"/>
    <w:rPr>
      <w:rFonts w:ascii="Book Antiqua" w:hAnsi="Book Antiqua"/>
      <w:sz w:val="16"/>
      <w:szCs w:val="16"/>
    </w:rPr>
  </w:style>
  <w:style w:type="paragraph" w:styleId="Caption">
    <w:name w:val="caption"/>
    <w:basedOn w:val="Normal"/>
    <w:next w:val="Normal"/>
    <w:uiPriority w:val="35"/>
    <w:semiHidden/>
    <w:unhideWhenUsed/>
    <w:qFormat/>
    <w:rsid w:val="00F920F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920F7"/>
    <w:pPr>
      <w:spacing w:line="240" w:lineRule="auto"/>
      <w:ind w:left="4320"/>
    </w:pPr>
  </w:style>
  <w:style w:type="character" w:customStyle="1" w:styleId="ClosingChar">
    <w:name w:val="Closing Char"/>
    <w:basedOn w:val="DefaultParagraphFont"/>
    <w:link w:val="Closing"/>
    <w:uiPriority w:val="99"/>
    <w:semiHidden/>
    <w:rsid w:val="00F920F7"/>
    <w:rPr>
      <w:rFonts w:ascii="Book Antiqua" w:hAnsi="Book Antiqua"/>
      <w:sz w:val="26"/>
    </w:rPr>
  </w:style>
  <w:style w:type="paragraph" w:styleId="Date">
    <w:name w:val="Date"/>
    <w:basedOn w:val="Normal"/>
    <w:next w:val="Normal"/>
    <w:link w:val="DateChar"/>
    <w:uiPriority w:val="99"/>
    <w:semiHidden/>
    <w:unhideWhenUsed/>
    <w:rsid w:val="00F920F7"/>
  </w:style>
  <w:style w:type="character" w:customStyle="1" w:styleId="DateChar">
    <w:name w:val="Date Char"/>
    <w:basedOn w:val="DefaultParagraphFont"/>
    <w:link w:val="Date"/>
    <w:uiPriority w:val="99"/>
    <w:semiHidden/>
    <w:rsid w:val="00F920F7"/>
    <w:rPr>
      <w:rFonts w:ascii="Book Antiqua" w:hAnsi="Book Antiqua"/>
      <w:sz w:val="26"/>
    </w:rPr>
  </w:style>
  <w:style w:type="paragraph" w:styleId="DocumentMap">
    <w:name w:val="Document Map"/>
    <w:basedOn w:val="Normal"/>
    <w:link w:val="DocumentMapChar"/>
    <w:uiPriority w:val="99"/>
    <w:semiHidden/>
    <w:unhideWhenUsed/>
    <w:rsid w:val="00F920F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920F7"/>
    <w:rPr>
      <w:rFonts w:ascii="Segoe UI" w:hAnsi="Segoe UI" w:cs="Segoe UI"/>
      <w:sz w:val="16"/>
      <w:szCs w:val="16"/>
    </w:rPr>
  </w:style>
  <w:style w:type="paragraph" w:styleId="E-mailSignature">
    <w:name w:val="E-mail Signature"/>
    <w:basedOn w:val="Normal"/>
    <w:link w:val="E-mailSignatureChar"/>
    <w:uiPriority w:val="99"/>
    <w:semiHidden/>
    <w:unhideWhenUsed/>
    <w:rsid w:val="00F920F7"/>
    <w:pPr>
      <w:spacing w:line="240" w:lineRule="auto"/>
    </w:pPr>
  </w:style>
  <w:style w:type="character" w:customStyle="1" w:styleId="E-mailSignatureChar">
    <w:name w:val="E-mail Signature Char"/>
    <w:basedOn w:val="DefaultParagraphFont"/>
    <w:link w:val="E-mailSignature"/>
    <w:uiPriority w:val="99"/>
    <w:semiHidden/>
    <w:rsid w:val="00F920F7"/>
    <w:rPr>
      <w:rFonts w:ascii="Book Antiqua" w:hAnsi="Book Antiqua"/>
      <w:sz w:val="26"/>
    </w:rPr>
  </w:style>
  <w:style w:type="paragraph" w:styleId="EndnoteText">
    <w:name w:val="endnote text"/>
    <w:basedOn w:val="Normal"/>
    <w:link w:val="EndnoteTextChar"/>
    <w:uiPriority w:val="99"/>
    <w:semiHidden/>
    <w:unhideWhenUsed/>
    <w:rsid w:val="00F920F7"/>
    <w:pPr>
      <w:spacing w:line="240" w:lineRule="auto"/>
    </w:pPr>
    <w:rPr>
      <w:sz w:val="20"/>
      <w:szCs w:val="20"/>
    </w:rPr>
  </w:style>
  <w:style w:type="character" w:customStyle="1" w:styleId="EndnoteTextChar">
    <w:name w:val="Endnote Text Char"/>
    <w:basedOn w:val="DefaultParagraphFont"/>
    <w:link w:val="EndnoteText"/>
    <w:uiPriority w:val="99"/>
    <w:semiHidden/>
    <w:rsid w:val="00F920F7"/>
    <w:rPr>
      <w:rFonts w:ascii="Book Antiqua" w:hAnsi="Book Antiqua"/>
      <w:sz w:val="20"/>
      <w:szCs w:val="20"/>
    </w:rPr>
  </w:style>
  <w:style w:type="paragraph" w:styleId="EnvelopeAddress">
    <w:name w:val="envelope address"/>
    <w:basedOn w:val="Normal"/>
    <w:uiPriority w:val="99"/>
    <w:semiHidden/>
    <w:unhideWhenUsed/>
    <w:rsid w:val="00F920F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920F7"/>
    <w:pPr>
      <w:spacing w:line="240" w:lineRule="auto"/>
    </w:pPr>
    <w:rPr>
      <w:rFonts w:asciiTheme="majorHAnsi" w:eastAsiaTheme="majorEastAsia" w:hAnsiTheme="majorHAnsi" w:cstheme="majorBidi"/>
      <w:sz w:val="20"/>
      <w:szCs w:val="20"/>
    </w:rPr>
  </w:style>
  <w:style w:type="character" w:customStyle="1" w:styleId="Heading7Char">
    <w:name w:val="Heading 7 Char"/>
    <w:basedOn w:val="DefaultParagraphFont"/>
    <w:link w:val="Heading7"/>
    <w:uiPriority w:val="9"/>
    <w:semiHidden/>
    <w:rsid w:val="00F920F7"/>
    <w:rPr>
      <w:rFonts w:asciiTheme="majorHAnsi" w:eastAsiaTheme="majorEastAsia" w:hAnsiTheme="majorHAnsi" w:cstheme="majorBidi"/>
      <w:i/>
      <w:iCs/>
      <w:color w:val="1F3763" w:themeColor="accent1" w:themeShade="7F"/>
      <w:sz w:val="26"/>
    </w:rPr>
  </w:style>
  <w:style w:type="character" w:customStyle="1" w:styleId="Heading8Char">
    <w:name w:val="Heading 8 Char"/>
    <w:basedOn w:val="DefaultParagraphFont"/>
    <w:link w:val="Heading8"/>
    <w:uiPriority w:val="9"/>
    <w:semiHidden/>
    <w:rsid w:val="00F920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920F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920F7"/>
    <w:pPr>
      <w:spacing w:line="240" w:lineRule="auto"/>
    </w:pPr>
    <w:rPr>
      <w:i/>
      <w:iCs/>
    </w:rPr>
  </w:style>
  <w:style w:type="character" w:customStyle="1" w:styleId="HTMLAddressChar">
    <w:name w:val="HTML Address Char"/>
    <w:basedOn w:val="DefaultParagraphFont"/>
    <w:link w:val="HTMLAddress"/>
    <w:uiPriority w:val="99"/>
    <w:semiHidden/>
    <w:rsid w:val="00F920F7"/>
    <w:rPr>
      <w:rFonts w:ascii="Book Antiqua" w:hAnsi="Book Antiqua"/>
      <w:i/>
      <w:iCs/>
      <w:sz w:val="26"/>
    </w:rPr>
  </w:style>
  <w:style w:type="paragraph" w:styleId="HTMLPreformatted">
    <w:name w:val="HTML Preformatted"/>
    <w:basedOn w:val="Normal"/>
    <w:link w:val="HTMLPreformattedChar"/>
    <w:uiPriority w:val="99"/>
    <w:semiHidden/>
    <w:unhideWhenUsed/>
    <w:rsid w:val="00F920F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20F7"/>
    <w:rPr>
      <w:rFonts w:ascii="Consolas" w:hAnsi="Consolas"/>
      <w:sz w:val="20"/>
      <w:szCs w:val="20"/>
    </w:rPr>
  </w:style>
  <w:style w:type="paragraph" w:styleId="Index1">
    <w:name w:val="index 1"/>
    <w:basedOn w:val="Normal"/>
    <w:next w:val="Normal"/>
    <w:autoRedefine/>
    <w:uiPriority w:val="99"/>
    <w:semiHidden/>
    <w:unhideWhenUsed/>
    <w:rsid w:val="00F920F7"/>
    <w:pPr>
      <w:spacing w:line="240" w:lineRule="auto"/>
      <w:ind w:left="260" w:hanging="260"/>
    </w:pPr>
  </w:style>
  <w:style w:type="paragraph" w:styleId="Index2">
    <w:name w:val="index 2"/>
    <w:basedOn w:val="Normal"/>
    <w:next w:val="Normal"/>
    <w:autoRedefine/>
    <w:uiPriority w:val="99"/>
    <w:semiHidden/>
    <w:unhideWhenUsed/>
    <w:rsid w:val="00F920F7"/>
    <w:pPr>
      <w:spacing w:line="240" w:lineRule="auto"/>
      <w:ind w:left="520" w:hanging="260"/>
    </w:pPr>
  </w:style>
  <w:style w:type="paragraph" w:styleId="Index3">
    <w:name w:val="index 3"/>
    <w:basedOn w:val="Normal"/>
    <w:next w:val="Normal"/>
    <w:autoRedefine/>
    <w:uiPriority w:val="99"/>
    <w:semiHidden/>
    <w:unhideWhenUsed/>
    <w:rsid w:val="00F920F7"/>
    <w:pPr>
      <w:spacing w:line="240" w:lineRule="auto"/>
      <w:ind w:left="780" w:hanging="260"/>
    </w:pPr>
  </w:style>
  <w:style w:type="paragraph" w:styleId="Index4">
    <w:name w:val="index 4"/>
    <w:basedOn w:val="Normal"/>
    <w:next w:val="Normal"/>
    <w:autoRedefine/>
    <w:uiPriority w:val="99"/>
    <w:semiHidden/>
    <w:unhideWhenUsed/>
    <w:rsid w:val="00F920F7"/>
    <w:pPr>
      <w:spacing w:line="240" w:lineRule="auto"/>
      <w:ind w:left="1040" w:hanging="260"/>
    </w:pPr>
  </w:style>
  <w:style w:type="paragraph" w:styleId="Index5">
    <w:name w:val="index 5"/>
    <w:basedOn w:val="Normal"/>
    <w:next w:val="Normal"/>
    <w:autoRedefine/>
    <w:uiPriority w:val="99"/>
    <w:semiHidden/>
    <w:unhideWhenUsed/>
    <w:rsid w:val="00F920F7"/>
    <w:pPr>
      <w:spacing w:line="240" w:lineRule="auto"/>
      <w:ind w:left="1300" w:hanging="260"/>
    </w:pPr>
  </w:style>
  <w:style w:type="paragraph" w:styleId="Index6">
    <w:name w:val="index 6"/>
    <w:basedOn w:val="Normal"/>
    <w:next w:val="Normal"/>
    <w:autoRedefine/>
    <w:uiPriority w:val="99"/>
    <w:semiHidden/>
    <w:unhideWhenUsed/>
    <w:rsid w:val="00F920F7"/>
    <w:pPr>
      <w:spacing w:line="240" w:lineRule="auto"/>
      <w:ind w:left="1560" w:hanging="260"/>
    </w:pPr>
  </w:style>
  <w:style w:type="paragraph" w:styleId="Index7">
    <w:name w:val="index 7"/>
    <w:basedOn w:val="Normal"/>
    <w:next w:val="Normal"/>
    <w:autoRedefine/>
    <w:uiPriority w:val="99"/>
    <w:semiHidden/>
    <w:unhideWhenUsed/>
    <w:rsid w:val="00F920F7"/>
    <w:pPr>
      <w:spacing w:line="240" w:lineRule="auto"/>
      <w:ind w:left="1820" w:hanging="260"/>
    </w:pPr>
  </w:style>
  <w:style w:type="paragraph" w:styleId="Index8">
    <w:name w:val="index 8"/>
    <w:basedOn w:val="Normal"/>
    <w:next w:val="Normal"/>
    <w:autoRedefine/>
    <w:uiPriority w:val="99"/>
    <w:semiHidden/>
    <w:unhideWhenUsed/>
    <w:rsid w:val="00F920F7"/>
    <w:pPr>
      <w:spacing w:line="240" w:lineRule="auto"/>
      <w:ind w:left="2080" w:hanging="260"/>
    </w:pPr>
  </w:style>
  <w:style w:type="paragraph" w:styleId="Index9">
    <w:name w:val="index 9"/>
    <w:basedOn w:val="Normal"/>
    <w:next w:val="Normal"/>
    <w:autoRedefine/>
    <w:uiPriority w:val="99"/>
    <w:semiHidden/>
    <w:unhideWhenUsed/>
    <w:rsid w:val="00F920F7"/>
    <w:pPr>
      <w:spacing w:line="240" w:lineRule="auto"/>
      <w:ind w:left="2340" w:hanging="260"/>
    </w:pPr>
  </w:style>
  <w:style w:type="paragraph" w:styleId="IndexHeading">
    <w:name w:val="index heading"/>
    <w:basedOn w:val="Normal"/>
    <w:next w:val="Index1"/>
    <w:uiPriority w:val="99"/>
    <w:semiHidden/>
    <w:unhideWhenUsed/>
    <w:rsid w:val="00F920F7"/>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F920F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F920F7"/>
    <w:rPr>
      <w:rFonts w:ascii="Book Antiqua" w:hAnsi="Book Antiqua"/>
      <w:i/>
      <w:iCs/>
      <w:color w:val="4472C4" w:themeColor="accent1"/>
      <w:sz w:val="26"/>
    </w:rPr>
  </w:style>
  <w:style w:type="paragraph" w:styleId="List">
    <w:name w:val="List"/>
    <w:basedOn w:val="Normal"/>
    <w:uiPriority w:val="99"/>
    <w:semiHidden/>
    <w:unhideWhenUsed/>
    <w:rsid w:val="00F920F7"/>
    <w:pPr>
      <w:ind w:left="360" w:hanging="360"/>
      <w:contextualSpacing/>
    </w:pPr>
  </w:style>
  <w:style w:type="paragraph" w:styleId="List2">
    <w:name w:val="List 2"/>
    <w:basedOn w:val="Normal"/>
    <w:uiPriority w:val="99"/>
    <w:semiHidden/>
    <w:unhideWhenUsed/>
    <w:rsid w:val="00F920F7"/>
    <w:pPr>
      <w:ind w:left="720" w:hanging="360"/>
      <w:contextualSpacing/>
    </w:pPr>
  </w:style>
  <w:style w:type="paragraph" w:styleId="List3">
    <w:name w:val="List 3"/>
    <w:basedOn w:val="Normal"/>
    <w:uiPriority w:val="99"/>
    <w:semiHidden/>
    <w:unhideWhenUsed/>
    <w:rsid w:val="00F920F7"/>
    <w:pPr>
      <w:ind w:left="1080" w:hanging="360"/>
      <w:contextualSpacing/>
    </w:pPr>
  </w:style>
  <w:style w:type="paragraph" w:styleId="List4">
    <w:name w:val="List 4"/>
    <w:basedOn w:val="Normal"/>
    <w:uiPriority w:val="99"/>
    <w:semiHidden/>
    <w:unhideWhenUsed/>
    <w:rsid w:val="00F920F7"/>
    <w:pPr>
      <w:ind w:left="1440" w:hanging="360"/>
      <w:contextualSpacing/>
    </w:pPr>
  </w:style>
  <w:style w:type="paragraph" w:styleId="List5">
    <w:name w:val="List 5"/>
    <w:basedOn w:val="Normal"/>
    <w:uiPriority w:val="99"/>
    <w:semiHidden/>
    <w:unhideWhenUsed/>
    <w:rsid w:val="00F920F7"/>
    <w:pPr>
      <w:ind w:left="1800" w:hanging="360"/>
      <w:contextualSpacing/>
    </w:pPr>
  </w:style>
  <w:style w:type="paragraph" w:styleId="ListBullet2">
    <w:name w:val="List Bullet 2"/>
    <w:basedOn w:val="Normal"/>
    <w:uiPriority w:val="99"/>
    <w:semiHidden/>
    <w:unhideWhenUsed/>
    <w:rsid w:val="00F920F7"/>
    <w:pPr>
      <w:numPr>
        <w:numId w:val="31"/>
      </w:numPr>
      <w:contextualSpacing/>
    </w:pPr>
  </w:style>
  <w:style w:type="paragraph" w:styleId="ListBullet3">
    <w:name w:val="List Bullet 3"/>
    <w:basedOn w:val="Normal"/>
    <w:uiPriority w:val="99"/>
    <w:semiHidden/>
    <w:unhideWhenUsed/>
    <w:rsid w:val="00F920F7"/>
    <w:pPr>
      <w:numPr>
        <w:numId w:val="32"/>
      </w:numPr>
      <w:contextualSpacing/>
    </w:pPr>
  </w:style>
  <w:style w:type="paragraph" w:styleId="ListBullet4">
    <w:name w:val="List Bullet 4"/>
    <w:basedOn w:val="Normal"/>
    <w:uiPriority w:val="99"/>
    <w:semiHidden/>
    <w:unhideWhenUsed/>
    <w:rsid w:val="00F920F7"/>
    <w:pPr>
      <w:numPr>
        <w:numId w:val="33"/>
      </w:numPr>
      <w:contextualSpacing/>
    </w:pPr>
  </w:style>
  <w:style w:type="paragraph" w:styleId="ListBullet5">
    <w:name w:val="List Bullet 5"/>
    <w:basedOn w:val="Normal"/>
    <w:uiPriority w:val="99"/>
    <w:semiHidden/>
    <w:unhideWhenUsed/>
    <w:rsid w:val="00F920F7"/>
    <w:pPr>
      <w:numPr>
        <w:numId w:val="34"/>
      </w:numPr>
      <w:contextualSpacing/>
    </w:pPr>
  </w:style>
  <w:style w:type="paragraph" w:styleId="ListContinue">
    <w:name w:val="List Continue"/>
    <w:basedOn w:val="Normal"/>
    <w:uiPriority w:val="99"/>
    <w:semiHidden/>
    <w:unhideWhenUsed/>
    <w:rsid w:val="00F920F7"/>
    <w:pPr>
      <w:spacing w:after="120"/>
      <w:ind w:left="360"/>
      <w:contextualSpacing/>
    </w:pPr>
  </w:style>
  <w:style w:type="paragraph" w:styleId="ListContinue2">
    <w:name w:val="List Continue 2"/>
    <w:basedOn w:val="Normal"/>
    <w:uiPriority w:val="99"/>
    <w:semiHidden/>
    <w:unhideWhenUsed/>
    <w:rsid w:val="00F920F7"/>
    <w:pPr>
      <w:spacing w:after="120"/>
      <w:ind w:left="720"/>
      <w:contextualSpacing/>
    </w:pPr>
  </w:style>
  <w:style w:type="paragraph" w:styleId="ListContinue3">
    <w:name w:val="List Continue 3"/>
    <w:basedOn w:val="Normal"/>
    <w:uiPriority w:val="99"/>
    <w:semiHidden/>
    <w:unhideWhenUsed/>
    <w:rsid w:val="00F920F7"/>
    <w:pPr>
      <w:spacing w:after="120"/>
      <w:ind w:left="1080"/>
      <w:contextualSpacing/>
    </w:pPr>
  </w:style>
  <w:style w:type="paragraph" w:styleId="ListContinue4">
    <w:name w:val="List Continue 4"/>
    <w:basedOn w:val="Normal"/>
    <w:uiPriority w:val="99"/>
    <w:semiHidden/>
    <w:unhideWhenUsed/>
    <w:rsid w:val="00F920F7"/>
    <w:pPr>
      <w:spacing w:after="120"/>
      <w:ind w:left="1440"/>
      <w:contextualSpacing/>
    </w:pPr>
  </w:style>
  <w:style w:type="paragraph" w:styleId="ListContinue5">
    <w:name w:val="List Continue 5"/>
    <w:basedOn w:val="Normal"/>
    <w:uiPriority w:val="99"/>
    <w:semiHidden/>
    <w:unhideWhenUsed/>
    <w:rsid w:val="00F920F7"/>
    <w:pPr>
      <w:spacing w:after="120"/>
      <w:ind w:left="1800"/>
      <w:contextualSpacing/>
    </w:pPr>
  </w:style>
  <w:style w:type="paragraph" w:styleId="ListNumber">
    <w:name w:val="List Number"/>
    <w:basedOn w:val="Normal"/>
    <w:uiPriority w:val="99"/>
    <w:semiHidden/>
    <w:unhideWhenUsed/>
    <w:rsid w:val="00F920F7"/>
    <w:pPr>
      <w:numPr>
        <w:numId w:val="35"/>
      </w:numPr>
      <w:contextualSpacing/>
    </w:pPr>
  </w:style>
  <w:style w:type="paragraph" w:styleId="ListNumber2">
    <w:name w:val="List Number 2"/>
    <w:basedOn w:val="Normal"/>
    <w:uiPriority w:val="99"/>
    <w:semiHidden/>
    <w:unhideWhenUsed/>
    <w:rsid w:val="00F920F7"/>
    <w:pPr>
      <w:numPr>
        <w:numId w:val="36"/>
      </w:numPr>
      <w:contextualSpacing/>
    </w:pPr>
  </w:style>
  <w:style w:type="paragraph" w:styleId="ListNumber3">
    <w:name w:val="List Number 3"/>
    <w:basedOn w:val="Normal"/>
    <w:uiPriority w:val="99"/>
    <w:semiHidden/>
    <w:unhideWhenUsed/>
    <w:rsid w:val="00F920F7"/>
    <w:pPr>
      <w:numPr>
        <w:numId w:val="37"/>
      </w:numPr>
      <w:contextualSpacing/>
    </w:pPr>
  </w:style>
  <w:style w:type="paragraph" w:styleId="ListNumber4">
    <w:name w:val="List Number 4"/>
    <w:basedOn w:val="Normal"/>
    <w:uiPriority w:val="99"/>
    <w:semiHidden/>
    <w:unhideWhenUsed/>
    <w:rsid w:val="00F920F7"/>
    <w:pPr>
      <w:numPr>
        <w:numId w:val="38"/>
      </w:numPr>
      <w:contextualSpacing/>
    </w:pPr>
  </w:style>
  <w:style w:type="paragraph" w:styleId="ListNumber5">
    <w:name w:val="List Number 5"/>
    <w:basedOn w:val="Normal"/>
    <w:uiPriority w:val="99"/>
    <w:semiHidden/>
    <w:unhideWhenUsed/>
    <w:rsid w:val="00F920F7"/>
    <w:pPr>
      <w:numPr>
        <w:numId w:val="39"/>
      </w:numPr>
      <w:contextualSpacing/>
    </w:pPr>
  </w:style>
  <w:style w:type="paragraph" w:styleId="MacroText">
    <w:name w:val="macro"/>
    <w:link w:val="MacroTextChar"/>
    <w:uiPriority w:val="99"/>
    <w:semiHidden/>
    <w:unhideWhenUsed/>
    <w:rsid w:val="00F920F7"/>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hAnsi="Consolas"/>
      <w:sz w:val="20"/>
      <w:szCs w:val="20"/>
    </w:rPr>
  </w:style>
  <w:style w:type="character" w:customStyle="1" w:styleId="MacroTextChar">
    <w:name w:val="Macro Text Char"/>
    <w:basedOn w:val="DefaultParagraphFont"/>
    <w:link w:val="MacroText"/>
    <w:uiPriority w:val="99"/>
    <w:semiHidden/>
    <w:rsid w:val="00F920F7"/>
    <w:rPr>
      <w:rFonts w:ascii="Consolas" w:hAnsi="Consolas"/>
      <w:sz w:val="20"/>
      <w:szCs w:val="20"/>
    </w:rPr>
  </w:style>
  <w:style w:type="paragraph" w:styleId="MessageHeader">
    <w:name w:val="Message Header"/>
    <w:basedOn w:val="Normal"/>
    <w:link w:val="MessageHeaderChar"/>
    <w:uiPriority w:val="99"/>
    <w:semiHidden/>
    <w:unhideWhenUsed/>
    <w:rsid w:val="00F920F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20F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920F7"/>
    <w:rPr>
      <w:rFonts w:ascii="Times New Roman" w:hAnsi="Times New Roman" w:cs="Times New Roman"/>
      <w:sz w:val="24"/>
      <w:szCs w:val="24"/>
    </w:rPr>
  </w:style>
  <w:style w:type="paragraph" w:styleId="NormalIndent">
    <w:name w:val="Normal Indent"/>
    <w:basedOn w:val="Normal"/>
    <w:uiPriority w:val="99"/>
    <w:semiHidden/>
    <w:unhideWhenUsed/>
    <w:rsid w:val="00F920F7"/>
    <w:pPr>
      <w:ind w:left="720"/>
    </w:pPr>
  </w:style>
  <w:style w:type="paragraph" w:styleId="NoteHeading">
    <w:name w:val="Note Heading"/>
    <w:basedOn w:val="Normal"/>
    <w:next w:val="Normal"/>
    <w:link w:val="NoteHeadingChar"/>
    <w:uiPriority w:val="99"/>
    <w:semiHidden/>
    <w:unhideWhenUsed/>
    <w:rsid w:val="00F920F7"/>
    <w:pPr>
      <w:spacing w:line="240" w:lineRule="auto"/>
    </w:pPr>
  </w:style>
  <w:style w:type="character" w:customStyle="1" w:styleId="NoteHeadingChar">
    <w:name w:val="Note Heading Char"/>
    <w:basedOn w:val="DefaultParagraphFont"/>
    <w:link w:val="NoteHeading"/>
    <w:uiPriority w:val="99"/>
    <w:semiHidden/>
    <w:rsid w:val="00F920F7"/>
    <w:rPr>
      <w:rFonts w:ascii="Book Antiqua" w:hAnsi="Book Antiqua"/>
      <w:sz w:val="26"/>
    </w:rPr>
  </w:style>
  <w:style w:type="paragraph" w:styleId="PlainText">
    <w:name w:val="Plain Text"/>
    <w:basedOn w:val="Normal"/>
    <w:link w:val="PlainTextChar"/>
    <w:uiPriority w:val="99"/>
    <w:semiHidden/>
    <w:unhideWhenUsed/>
    <w:rsid w:val="00F920F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20F7"/>
    <w:rPr>
      <w:rFonts w:ascii="Consolas" w:hAnsi="Consolas"/>
      <w:sz w:val="21"/>
      <w:szCs w:val="21"/>
    </w:rPr>
  </w:style>
  <w:style w:type="paragraph" w:styleId="Quote">
    <w:name w:val="Quote"/>
    <w:basedOn w:val="Normal"/>
    <w:next w:val="Normal"/>
    <w:link w:val="QuoteChar"/>
    <w:uiPriority w:val="29"/>
    <w:semiHidden/>
    <w:rsid w:val="00F920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F920F7"/>
    <w:rPr>
      <w:rFonts w:ascii="Book Antiqua" w:hAnsi="Book Antiqua"/>
      <w:i/>
      <w:iCs/>
      <w:color w:val="404040" w:themeColor="text1" w:themeTint="BF"/>
      <w:sz w:val="26"/>
    </w:rPr>
  </w:style>
  <w:style w:type="paragraph" w:styleId="Salutation">
    <w:name w:val="Salutation"/>
    <w:basedOn w:val="Normal"/>
    <w:next w:val="Normal"/>
    <w:link w:val="SalutationChar"/>
    <w:uiPriority w:val="99"/>
    <w:semiHidden/>
    <w:unhideWhenUsed/>
    <w:rsid w:val="00F920F7"/>
  </w:style>
  <w:style w:type="character" w:customStyle="1" w:styleId="SalutationChar">
    <w:name w:val="Salutation Char"/>
    <w:basedOn w:val="DefaultParagraphFont"/>
    <w:link w:val="Salutation"/>
    <w:uiPriority w:val="99"/>
    <w:semiHidden/>
    <w:rsid w:val="00F920F7"/>
    <w:rPr>
      <w:rFonts w:ascii="Book Antiqua" w:hAnsi="Book Antiqua"/>
      <w:sz w:val="26"/>
    </w:rPr>
  </w:style>
  <w:style w:type="paragraph" w:styleId="Signature">
    <w:name w:val="Signature"/>
    <w:basedOn w:val="Normal"/>
    <w:link w:val="SignatureChar"/>
    <w:uiPriority w:val="99"/>
    <w:semiHidden/>
    <w:unhideWhenUsed/>
    <w:rsid w:val="00F920F7"/>
    <w:pPr>
      <w:spacing w:line="240" w:lineRule="auto"/>
      <w:ind w:left="4320"/>
    </w:pPr>
  </w:style>
  <w:style w:type="character" w:customStyle="1" w:styleId="SignatureChar">
    <w:name w:val="Signature Char"/>
    <w:basedOn w:val="DefaultParagraphFont"/>
    <w:link w:val="Signature"/>
    <w:uiPriority w:val="99"/>
    <w:semiHidden/>
    <w:rsid w:val="00F920F7"/>
    <w:rPr>
      <w:rFonts w:ascii="Book Antiqua" w:hAnsi="Book Antiqua"/>
      <w:sz w:val="26"/>
    </w:rPr>
  </w:style>
  <w:style w:type="paragraph" w:styleId="Subtitle">
    <w:name w:val="Subtitle"/>
    <w:basedOn w:val="Normal"/>
    <w:next w:val="Normal"/>
    <w:link w:val="SubtitleChar"/>
    <w:uiPriority w:val="11"/>
    <w:semiHidden/>
    <w:rsid w:val="00F920F7"/>
    <w:pPr>
      <w:numPr>
        <w:ilvl w:val="1"/>
      </w:numPr>
      <w:spacing w:after="160"/>
      <w:ind w:firstLine="72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920F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920F7"/>
    <w:pPr>
      <w:ind w:left="260" w:hanging="260"/>
    </w:pPr>
  </w:style>
  <w:style w:type="paragraph" w:styleId="TableofFigures">
    <w:name w:val="table of figures"/>
    <w:basedOn w:val="Normal"/>
    <w:next w:val="Normal"/>
    <w:uiPriority w:val="99"/>
    <w:semiHidden/>
    <w:unhideWhenUsed/>
    <w:rsid w:val="00F920F7"/>
  </w:style>
  <w:style w:type="paragraph" w:styleId="TOAHeading">
    <w:name w:val="toa heading"/>
    <w:basedOn w:val="Normal"/>
    <w:next w:val="Normal"/>
    <w:uiPriority w:val="99"/>
    <w:semiHidden/>
    <w:unhideWhenUsed/>
    <w:rsid w:val="00F920F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hyperlink" Target="https://docs.cpuc.ca.gov/PublishedDocs/Published/G000/M614/K989/614989737.pdf" TargetMode="External" Id="Rb22e6a8755664d9e" /><Relationship Type="http://schemas.openxmlformats.org/officeDocument/2006/relationships/hyperlink" Target="https://docs.cpuc.ca.gov/PublishedDocs/Published/G000/M615/K007/615007260.pdf" TargetMode="External" Id="R758a896e79e94f9b" /></Relationships>
</file>

<file path=word/_rels/footnotes.xml.rels><?xml version="1.0" encoding="UTF-8" standalone="yes"?>
<Relationships xmlns="http://schemas.openxmlformats.org/package/2006/relationships"><Relationship Id="rId1" Type="http://schemas.openxmlformats.org/officeDocument/2006/relationships/hyperlink" Target="https://www.ftc.gov/enforcement/premerger-notifica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c51fd4b-b0a8-4cee-8b97-77eacc5af0f7">
      <UserInfo>
        <DisplayName/>
        <AccountId xsi:nil="true"/>
        <AccountType/>
      </UserInfo>
    </SharedWithUsers>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2.xml><?xml version="1.0" encoding="utf-8"?>
<ds:datastoreItem xmlns:ds="http://schemas.openxmlformats.org/officeDocument/2006/customXml" ds:itemID="{EF72601B-E2DC-4994-A62C-D5FAFA707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99</ap:Pages>
  <ap:Words>21678</ap:Words>
  <ap:Characters>123570</ap:Characters>
  <ap:Application>Microsoft Office Word</ap:Application>
  <ap:DocSecurity>0</ap:DocSecurity>
  <ap:Lines>1029</ap:Lines>
  <ap:Paragraphs>289</ap:Paragraphs>
  <ap:ScaleCrop>false</ap:ScaleCrop>
  <ap:Company/>
  <ap:LinksUpToDate>false</ap:LinksUpToDate>
  <ap:CharactersWithSpaces>144959</ap:CharactersWithSpaces>
  <ap:SharedDoc>false</ap:SharedDoc>
  <ap:HLinks>
    <vt:vector baseType="variant" size="546">
      <vt:variant>
        <vt:i4>1769520</vt:i4>
      </vt:variant>
      <vt:variant>
        <vt:i4>536</vt:i4>
      </vt:variant>
      <vt:variant>
        <vt:i4>0</vt:i4>
      </vt:variant>
      <vt:variant>
        <vt:i4>5</vt:i4>
      </vt:variant>
      <vt:variant>
        <vt:lpwstr/>
      </vt:variant>
      <vt:variant>
        <vt:lpwstr>_Toc233788907</vt:lpwstr>
      </vt:variant>
      <vt:variant>
        <vt:i4>1769520</vt:i4>
      </vt:variant>
      <vt:variant>
        <vt:i4>530</vt:i4>
      </vt:variant>
      <vt:variant>
        <vt:i4>0</vt:i4>
      </vt:variant>
      <vt:variant>
        <vt:i4>5</vt:i4>
      </vt:variant>
      <vt:variant>
        <vt:lpwstr/>
      </vt:variant>
      <vt:variant>
        <vt:lpwstr>_Toc233788906</vt:lpwstr>
      </vt:variant>
      <vt:variant>
        <vt:i4>1769520</vt:i4>
      </vt:variant>
      <vt:variant>
        <vt:i4>524</vt:i4>
      </vt:variant>
      <vt:variant>
        <vt:i4>0</vt:i4>
      </vt:variant>
      <vt:variant>
        <vt:i4>5</vt:i4>
      </vt:variant>
      <vt:variant>
        <vt:lpwstr/>
      </vt:variant>
      <vt:variant>
        <vt:lpwstr>_Toc233788905</vt:lpwstr>
      </vt:variant>
      <vt:variant>
        <vt:i4>1769520</vt:i4>
      </vt:variant>
      <vt:variant>
        <vt:i4>518</vt:i4>
      </vt:variant>
      <vt:variant>
        <vt:i4>0</vt:i4>
      </vt:variant>
      <vt:variant>
        <vt:i4>5</vt:i4>
      </vt:variant>
      <vt:variant>
        <vt:lpwstr/>
      </vt:variant>
      <vt:variant>
        <vt:lpwstr>_Toc233788904</vt:lpwstr>
      </vt:variant>
      <vt:variant>
        <vt:i4>1769520</vt:i4>
      </vt:variant>
      <vt:variant>
        <vt:i4>512</vt:i4>
      </vt:variant>
      <vt:variant>
        <vt:i4>0</vt:i4>
      </vt:variant>
      <vt:variant>
        <vt:i4>5</vt:i4>
      </vt:variant>
      <vt:variant>
        <vt:lpwstr/>
      </vt:variant>
      <vt:variant>
        <vt:lpwstr>_Toc233788903</vt:lpwstr>
      </vt:variant>
      <vt:variant>
        <vt:i4>1769520</vt:i4>
      </vt:variant>
      <vt:variant>
        <vt:i4>506</vt:i4>
      </vt:variant>
      <vt:variant>
        <vt:i4>0</vt:i4>
      </vt:variant>
      <vt:variant>
        <vt:i4>5</vt:i4>
      </vt:variant>
      <vt:variant>
        <vt:lpwstr/>
      </vt:variant>
      <vt:variant>
        <vt:lpwstr>_Toc233788902</vt:lpwstr>
      </vt:variant>
      <vt:variant>
        <vt:i4>1769520</vt:i4>
      </vt:variant>
      <vt:variant>
        <vt:i4>500</vt:i4>
      </vt:variant>
      <vt:variant>
        <vt:i4>0</vt:i4>
      </vt:variant>
      <vt:variant>
        <vt:i4>5</vt:i4>
      </vt:variant>
      <vt:variant>
        <vt:lpwstr/>
      </vt:variant>
      <vt:variant>
        <vt:lpwstr>_Toc233788901</vt:lpwstr>
      </vt:variant>
      <vt:variant>
        <vt:i4>1769520</vt:i4>
      </vt:variant>
      <vt:variant>
        <vt:i4>494</vt:i4>
      </vt:variant>
      <vt:variant>
        <vt:i4>0</vt:i4>
      </vt:variant>
      <vt:variant>
        <vt:i4>5</vt:i4>
      </vt:variant>
      <vt:variant>
        <vt:lpwstr/>
      </vt:variant>
      <vt:variant>
        <vt:lpwstr>_Toc233788900</vt:lpwstr>
      </vt:variant>
      <vt:variant>
        <vt:i4>1179697</vt:i4>
      </vt:variant>
      <vt:variant>
        <vt:i4>488</vt:i4>
      </vt:variant>
      <vt:variant>
        <vt:i4>0</vt:i4>
      </vt:variant>
      <vt:variant>
        <vt:i4>5</vt:i4>
      </vt:variant>
      <vt:variant>
        <vt:lpwstr/>
      </vt:variant>
      <vt:variant>
        <vt:lpwstr>_Toc233788899</vt:lpwstr>
      </vt:variant>
      <vt:variant>
        <vt:i4>1179697</vt:i4>
      </vt:variant>
      <vt:variant>
        <vt:i4>482</vt:i4>
      </vt:variant>
      <vt:variant>
        <vt:i4>0</vt:i4>
      </vt:variant>
      <vt:variant>
        <vt:i4>5</vt:i4>
      </vt:variant>
      <vt:variant>
        <vt:lpwstr/>
      </vt:variant>
      <vt:variant>
        <vt:lpwstr>_Toc233788898</vt:lpwstr>
      </vt:variant>
      <vt:variant>
        <vt:i4>1179697</vt:i4>
      </vt:variant>
      <vt:variant>
        <vt:i4>476</vt:i4>
      </vt:variant>
      <vt:variant>
        <vt:i4>0</vt:i4>
      </vt:variant>
      <vt:variant>
        <vt:i4>5</vt:i4>
      </vt:variant>
      <vt:variant>
        <vt:lpwstr/>
      </vt:variant>
      <vt:variant>
        <vt:lpwstr>_Toc233788897</vt:lpwstr>
      </vt:variant>
      <vt:variant>
        <vt:i4>1179697</vt:i4>
      </vt:variant>
      <vt:variant>
        <vt:i4>470</vt:i4>
      </vt:variant>
      <vt:variant>
        <vt:i4>0</vt:i4>
      </vt:variant>
      <vt:variant>
        <vt:i4>5</vt:i4>
      </vt:variant>
      <vt:variant>
        <vt:lpwstr/>
      </vt:variant>
      <vt:variant>
        <vt:lpwstr>_Toc233788896</vt:lpwstr>
      </vt:variant>
      <vt:variant>
        <vt:i4>1179697</vt:i4>
      </vt:variant>
      <vt:variant>
        <vt:i4>464</vt:i4>
      </vt:variant>
      <vt:variant>
        <vt:i4>0</vt:i4>
      </vt:variant>
      <vt:variant>
        <vt:i4>5</vt:i4>
      </vt:variant>
      <vt:variant>
        <vt:lpwstr/>
      </vt:variant>
      <vt:variant>
        <vt:lpwstr>_Toc233788895</vt:lpwstr>
      </vt:variant>
      <vt:variant>
        <vt:i4>1179697</vt:i4>
      </vt:variant>
      <vt:variant>
        <vt:i4>458</vt:i4>
      </vt:variant>
      <vt:variant>
        <vt:i4>0</vt:i4>
      </vt:variant>
      <vt:variant>
        <vt:i4>5</vt:i4>
      </vt:variant>
      <vt:variant>
        <vt:lpwstr/>
      </vt:variant>
      <vt:variant>
        <vt:lpwstr>_Toc233788894</vt:lpwstr>
      </vt:variant>
      <vt:variant>
        <vt:i4>1179697</vt:i4>
      </vt:variant>
      <vt:variant>
        <vt:i4>452</vt:i4>
      </vt:variant>
      <vt:variant>
        <vt:i4>0</vt:i4>
      </vt:variant>
      <vt:variant>
        <vt:i4>5</vt:i4>
      </vt:variant>
      <vt:variant>
        <vt:lpwstr/>
      </vt:variant>
      <vt:variant>
        <vt:lpwstr>_Toc233788893</vt:lpwstr>
      </vt:variant>
      <vt:variant>
        <vt:i4>1179697</vt:i4>
      </vt:variant>
      <vt:variant>
        <vt:i4>446</vt:i4>
      </vt:variant>
      <vt:variant>
        <vt:i4>0</vt:i4>
      </vt:variant>
      <vt:variant>
        <vt:i4>5</vt:i4>
      </vt:variant>
      <vt:variant>
        <vt:lpwstr/>
      </vt:variant>
      <vt:variant>
        <vt:lpwstr>_Toc233788892</vt:lpwstr>
      </vt:variant>
      <vt:variant>
        <vt:i4>1179697</vt:i4>
      </vt:variant>
      <vt:variant>
        <vt:i4>440</vt:i4>
      </vt:variant>
      <vt:variant>
        <vt:i4>0</vt:i4>
      </vt:variant>
      <vt:variant>
        <vt:i4>5</vt:i4>
      </vt:variant>
      <vt:variant>
        <vt:lpwstr/>
      </vt:variant>
      <vt:variant>
        <vt:lpwstr>_Toc233788891</vt:lpwstr>
      </vt:variant>
      <vt:variant>
        <vt:i4>1179697</vt:i4>
      </vt:variant>
      <vt:variant>
        <vt:i4>434</vt:i4>
      </vt:variant>
      <vt:variant>
        <vt:i4>0</vt:i4>
      </vt:variant>
      <vt:variant>
        <vt:i4>5</vt:i4>
      </vt:variant>
      <vt:variant>
        <vt:lpwstr/>
      </vt:variant>
      <vt:variant>
        <vt:lpwstr>_Toc233788890</vt:lpwstr>
      </vt:variant>
      <vt:variant>
        <vt:i4>1245233</vt:i4>
      </vt:variant>
      <vt:variant>
        <vt:i4>428</vt:i4>
      </vt:variant>
      <vt:variant>
        <vt:i4>0</vt:i4>
      </vt:variant>
      <vt:variant>
        <vt:i4>5</vt:i4>
      </vt:variant>
      <vt:variant>
        <vt:lpwstr/>
      </vt:variant>
      <vt:variant>
        <vt:lpwstr>_Toc233788889</vt:lpwstr>
      </vt:variant>
      <vt:variant>
        <vt:i4>1245233</vt:i4>
      </vt:variant>
      <vt:variant>
        <vt:i4>422</vt:i4>
      </vt:variant>
      <vt:variant>
        <vt:i4>0</vt:i4>
      </vt:variant>
      <vt:variant>
        <vt:i4>5</vt:i4>
      </vt:variant>
      <vt:variant>
        <vt:lpwstr/>
      </vt:variant>
      <vt:variant>
        <vt:lpwstr>_Toc233788888</vt:lpwstr>
      </vt:variant>
      <vt:variant>
        <vt:i4>1245233</vt:i4>
      </vt:variant>
      <vt:variant>
        <vt:i4>416</vt:i4>
      </vt:variant>
      <vt:variant>
        <vt:i4>0</vt:i4>
      </vt:variant>
      <vt:variant>
        <vt:i4>5</vt:i4>
      </vt:variant>
      <vt:variant>
        <vt:lpwstr/>
      </vt:variant>
      <vt:variant>
        <vt:lpwstr>_Toc233788887</vt:lpwstr>
      </vt:variant>
      <vt:variant>
        <vt:i4>1245233</vt:i4>
      </vt:variant>
      <vt:variant>
        <vt:i4>410</vt:i4>
      </vt:variant>
      <vt:variant>
        <vt:i4>0</vt:i4>
      </vt:variant>
      <vt:variant>
        <vt:i4>5</vt:i4>
      </vt:variant>
      <vt:variant>
        <vt:lpwstr/>
      </vt:variant>
      <vt:variant>
        <vt:lpwstr>_Toc233788886</vt:lpwstr>
      </vt:variant>
      <vt:variant>
        <vt:i4>1245233</vt:i4>
      </vt:variant>
      <vt:variant>
        <vt:i4>404</vt:i4>
      </vt:variant>
      <vt:variant>
        <vt:i4>0</vt:i4>
      </vt:variant>
      <vt:variant>
        <vt:i4>5</vt:i4>
      </vt:variant>
      <vt:variant>
        <vt:lpwstr/>
      </vt:variant>
      <vt:variant>
        <vt:lpwstr>_Toc233788885</vt:lpwstr>
      </vt:variant>
      <vt:variant>
        <vt:i4>1245233</vt:i4>
      </vt:variant>
      <vt:variant>
        <vt:i4>398</vt:i4>
      </vt:variant>
      <vt:variant>
        <vt:i4>0</vt:i4>
      </vt:variant>
      <vt:variant>
        <vt:i4>5</vt:i4>
      </vt:variant>
      <vt:variant>
        <vt:lpwstr/>
      </vt:variant>
      <vt:variant>
        <vt:lpwstr>_Toc233788884</vt:lpwstr>
      </vt:variant>
      <vt:variant>
        <vt:i4>1245233</vt:i4>
      </vt:variant>
      <vt:variant>
        <vt:i4>392</vt:i4>
      </vt:variant>
      <vt:variant>
        <vt:i4>0</vt:i4>
      </vt:variant>
      <vt:variant>
        <vt:i4>5</vt:i4>
      </vt:variant>
      <vt:variant>
        <vt:lpwstr/>
      </vt:variant>
      <vt:variant>
        <vt:lpwstr>_Toc233788883</vt:lpwstr>
      </vt:variant>
      <vt:variant>
        <vt:i4>1245233</vt:i4>
      </vt:variant>
      <vt:variant>
        <vt:i4>386</vt:i4>
      </vt:variant>
      <vt:variant>
        <vt:i4>0</vt:i4>
      </vt:variant>
      <vt:variant>
        <vt:i4>5</vt:i4>
      </vt:variant>
      <vt:variant>
        <vt:lpwstr/>
      </vt:variant>
      <vt:variant>
        <vt:lpwstr>_Toc233788882</vt:lpwstr>
      </vt:variant>
      <vt:variant>
        <vt:i4>1245233</vt:i4>
      </vt:variant>
      <vt:variant>
        <vt:i4>380</vt:i4>
      </vt:variant>
      <vt:variant>
        <vt:i4>0</vt:i4>
      </vt:variant>
      <vt:variant>
        <vt:i4>5</vt:i4>
      </vt:variant>
      <vt:variant>
        <vt:lpwstr/>
      </vt:variant>
      <vt:variant>
        <vt:lpwstr>_Toc233788881</vt:lpwstr>
      </vt:variant>
      <vt:variant>
        <vt:i4>1245233</vt:i4>
      </vt:variant>
      <vt:variant>
        <vt:i4>374</vt:i4>
      </vt:variant>
      <vt:variant>
        <vt:i4>0</vt:i4>
      </vt:variant>
      <vt:variant>
        <vt:i4>5</vt:i4>
      </vt:variant>
      <vt:variant>
        <vt:lpwstr/>
      </vt:variant>
      <vt:variant>
        <vt:lpwstr>_Toc233788880</vt:lpwstr>
      </vt:variant>
      <vt:variant>
        <vt:i4>1835057</vt:i4>
      </vt:variant>
      <vt:variant>
        <vt:i4>368</vt:i4>
      </vt:variant>
      <vt:variant>
        <vt:i4>0</vt:i4>
      </vt:variant>
      <vt:variant>
        <vt:i4>5</vt:i4>
      </vt:variant>
      <vt:variant>
        <vt:lpwstr/>
      </vt:variant>
      <vt:variant>
        <vt:lpwstr>_Toc233788879</vt:lpwstr>
      </vt:variant>
      <vt:variant>
        <vt:i4>1835057</vt:i4>
      </vt:variant>
      <vt:variant>
        <vt:i4>362</vt:i4>
      </vt:variant>
      <vt:variant>
        <vt:i4>0</vt:i4>
      </vt:variant>
      <vt:variant>
        <vt:i4>5</vt:i4>
      </vt:variant>
      <vt:variant>
        <vt:lpwstr/>
      </vt:variant>
      <vt:variant>
        <vt:lpwstr>_Toc233788878</vt:lpwstr>
      </vt:variant>
      <vt:variant>
        <vt:i4>1835057</vt:i4>
      </vt:variant>
      <vt:variant>
        <vt:i4>356</vt:i4>
      </vt:variant>
      <vt:variant>
        <vt:i4>0</vt:i4>
      </vt:variant>
      <vt:variant>
        <vt:i4>5</vt:i4>
      </vt:variant>
      <vt:variant>
        <vt:lpwstr/>
      </vt:variant>
      <vt:variant>
        <vt:lpwstr>_Toc233788877</vt:lpwstr>
      </vt:variant>
      <vt:variant>
        <vt:i4>1835057</vt:i4>
      </vt:variant>
      <vt:variant>
        <vt:i4>350</vt:i4>
      </vt:variant>
      <vt:variant>
        <vt:i4>0</vt:i4>
      </vt:variant>
      <vt:variant>
        <vt:i4>5</vt:i4>
      </vt:variant>
      <vt:variant>
        <vt:lpwstr/>
      </vt:variant>
      <vt:variant>
        <vt:lpwstr>_Toc233788876</vt:lpwstr>
      </vt:variant>
      <vt:variant>
        <vt:i4>1835057</vt:i4>
      </vt:variant>
      <vt:variant>
        <vt:i4>344</vt:i4>
      </vt:variant>
      <vt:variant>
        <vt:i4>0</vt:i4>
      </vt:variant>
      <vt:variant>
        <vt:i4>5</vt:i4>
      </vt:variant>
      <vt:variant>
        <vt:lpwstr/>
      </vt:variant>
      <vt:variant>
        <vt:lpwstr>_Toc233788875</vt:lpwstr>
      </vt:variant>
      <vt:variant>
        <vt:i4>1835057</vt:i4>
      </vt:variant>
      <vt:variant>
        <vt:i4>338</vt:i4>
      </vt:variant>
      <vt:variant>
        <vt:i4>0</vt:i4>
      </vt:variant>
      <vt:variant>
        <vt:i4>5</vt:i4>
      </vt:variant>
      <vt:variant>
        <vt:lpwstr/>
      </vt:variant>
      <vt:variant>
        <vt:lpwstr>_Toc233788874</vt:lpwstr>
      </vt:variant>
      <vt:variant>
        <vt:i4>1835057</vt:i4>
      </vt:variant>
      <vt:variant>
        <vt:i4>332</vt:i4>
      </vt:variant>
      <vt:variant>
        <vt:i4>0</vt:i4>
      </vt:variant>
      <vt:variant>
        <vt:i4>5</vt:i4>
      </vt:variant>
      <vt:variant>
        <vt:lpwstr/>
      </vt:variant>
      <vt:variant>
        <vt:lpwstr>_Toc233788873</vt:lpwstr>
      </vt:variant>
      <vt:variant>
        <vt:i4>1835057</vt:i4>
      </vt:variant>
      <vt:variant>
        <vt:i4>326</vt:i4>
      </vt:variant>
      <vt:variant>
        <vt:i4>0</vt:i4>
      </vt:variant>
      <vt:variant>
        <vt:i4>5</vt:i4>
      </vt:variant>
      <vt:variant>
        <vt:lpwstr/>
      </vt:variant>
      <vt:variant>
        <vt:lpwstr>_Toc233788872</vt:lpwstr>
      </vt:variant>
      <vt:variant>
        <vt:i4>1835057</vt:i4>
      </vt:variant>
      <vt:variant>
        <vt:i4>320</vt:i4>
      </vt:variant>
      <vt:variant>
        <vt:i4>0</vt:i4>
      </vt:variant>
      <vt:variant>
        <vt:i4>5</vt:i4>
      </vt:variant>
      <vt:variant>
        <vt:lpwstr/>
      </vt:variant>
      <vt:variant>
        <vt:lpwstr>_Toc233788871</vt:lpwstr>
      </vt:variant>
      <vt:variant>
        <vt:i4>1835057</vt:i4>
      </vt:variant>
      <vt:variant>
        <vt:i4>314</vt:i4>
      </vt:variant>
      <vt:variant>
        <vt:i4>0</vt:i4>
      </vt:variant>
      <vt:variant>
        <vt:i4>5</vt:i4>
      </vt:variant>
      <vt:variant>
        <vt:lpwstr/>
      </vt:variant>
      <vt:variant>
        <vt:lpwstr>_Toc233788870</vt:lpwstr>
      </vt:variant>
      <vt:variant>
        <vt:i4>1900593</vt:i4>
      </vt:variant>
      <vt:variant>
        <vt:i4>308</vt:i4>
      </vt:variant>
      <vt:variant>
        <vt:i4>0</vt:i4>
      </vt:variant>
      <vt:variant>
        <vt:i4>5</vt:i4>
      </vt:variant>
      <vt:variant>
        <vt:lpwstr/>
      </vt:variant>
      <vt:variant>
        <vt:lpwstr>_Toc233788869</vt:lpwstr>
      </vt:variant>
      <vt:variant>
        <vt:i4>1900593</vt:i4>
      </vt:variant>
      <vt:variant>
        <vt:i4>302</vt:i4>
      </vt:variant>
      <vt:variant>
        <vt:i4>0</vt:i4>
      </vt:variant>
      <vt:variant>
        <vt:i4>5</vt:i4>
      </vt:variant>
      <vt:variant>
        <vt:lpwstr/>
      </vt:variant>
      <vt:variant>
        <vt:lpwstr>_Toc233788868</vt:lpwstr>
      </vt:variant>
      <vt:variant>
        <vt:i4>1900593</vt:i4>
      </vt:variant>
      <vt:variant>
        <vt:i4>296</vt:i4>
      </vt:variant>
      <vt:variant>
        <vt:i4>0</vt:i4>
      </vt:variant>
      <vt:variant>
        <vt:i4>5</vt:i4>
      </vt:variant>
      <vt:variant>
        <vt:lpwstr/>
      </vt:variant>
      <vt:variant>
        <vt:lpwstr>_Toc233788867</vt:lpwstr>
      </vt:variant>
      <vt:variant>
        <vt:i4>1900593</vt:i4>
      </vt:variant>
      <vt:variant>
        <vt:i4>290</vt:i4>
      </vt:variant>
      <vt:variant>
        <vt:i4>0</vt:i4>
      </vt:variant>
      <vt:variant>
        <vt:i4>5</vt:i4>
      </vt:variant>
      <vt:variant>
        <vt:lpwstr/>
      </vt:variant>
      <vt:variant>
        <vt:lpwstr>_Toc233788866</vt:lpwstr>
      </vt:variant>
      <vt:variant>
        <vt:i4>1900593</vt:i4>
      </vt:variant>
      <vt:variant>
        <vt:i4>284</vt:i4>
      </vt:variant>
      <vt:variant>
        <vt:i4>0</vt:i4>
      </vt:variant>
      <vt:variant>
        <vt:i4>5</vt:i4>
      </vt:variant>
      <vt:variant>
        <vt:lpwstr/>
      </vt:variant>
      <vt:variant>
        <vt:lpwstr>_Toc233788865</vt:lpwstr>
      </vt:variant>
      <vt:variant>
        <vt:i4>1900593</vt:i4>
      </vt:variant>
      <vt:variant>
        <vt:i4>278</vt:i4>
      </vt:variant>
      <vt:variant>
        <vt:i4>0</vt:i4>
      </vt:variant>
      <vt:variant>
        <vt:i4>5</vt:i4>
      </vt:variant>
      <vt:variant>
        <vt:lpwstr/>
      </vt:variant>
      <vt:variant>
        <vt:lpwstr>_Toc233788864</vt:lpwstr>
      </vt:variant>
      <vt:variant>
        <vt:i4>1900593</vt:i4>
      </vt:variant>
      <vt:variant>
        <vt:i4>272</vt:i4>
      </vt:variant>
      <vt:variant>
        <vt:i4>0</vt:i4>
      </vt:variant>
      <vt:variant>
        <vt:i4>5</vt:i4>
      </vt:variant>
      <vt:variant>
        <vt:lpwstr/>
      </vt:variant>
      <vt:variant>
        <vt:lpwstr>_Toc233788863</vt:lpwstr>
      </vt:variant>
      <vt:variant>
        <vt:i4>1900593</vt:i4>
      </vt:variant>
      <vt:variant>
        <vt:i4>266</vt:i4>
      </vt:variant>
      <vt:variant>
        <vt:i4>0</vt:i4>
      </vt:variant>
      <vt:variant>
        <vt:i4>5</vt:i4>
      </vt:variant>
      <vt:variant>
        <vt:lpwstr/>
      </vt:variant>
      <vt:variant>
        <vt:lpwstr>_Toc233788862</vt:lpwstr>
      </vt:variant>
      <vt:variant>
        <vt:i4>1900593</vt:i4>
      </vt:variant>
      <vt:variant>
        <vt:i4>260</vt:i4>
      </vt:variant>
      <vt:variant>
        <vt:i4>0</vt:i4>
      </vt:variant>
      <vt:variant>
        <vt:i4>5</vt:i4>
      </vt:variant>
      <vt:variant>
        <vt:lpwstr/>
      </vt:variant>
      <vt:variant>
        <vt:lpwstr>_Toc233788861</vt:lpwstr>
      </vt:variant>
      <vt:variant>
        <vt:i4>1900593</vt:i4>
      </vt:variant>
      <vt:variant>
        <vt:i4>254</vt:i4>
      </vt:variant>
      <vt:variant>
        <vt:i4>0</vt:i4>
      </vt:variant>
      <vt:variant>
        <vt:i4>5</vt:i4>
      </vt:variant>
      <vt:variant>
        <vt:lpwstr/>
      </vt:variant>
      <vt:variant>
        <vt:lpwstr>_Toc233788860</vt:lpwstr>
      </vt:variant>
      <vt:variant>
        <vt:i4>1966129</vt:i4>
      </vt:variant>
      <vt:variant>
        <vt:i4>248</vt:i4>
      </vt:variant>
      <vt:variant>
        <vt:i4>0</vt:i4>
      </vt:variant>
      <vt:variant>
        <vt:i4>5</vt:i4>
      </vt:variant>
      <vt:variant>
        <vt:lpwstr/>
      </vt:variant>
      <vt:variant>
        <vt:lpwstr>_Toc233788859</vt:lpwstr>
      </vt:variant>
      <vt:variant>
        <vt:i4>1966129</vt:i4>
      </vt:variant>
      <vt:variant>
        <vt:i4>242</vt:i4>
      </vt:variant>
      <vt:variant>
        <vt:i4>0</vt:i4>
      </vt:variant>
      <vt:variant>
        <vt:i4>5</vt:i4>
      </vt:variant>
      <vt:variant>
        <vt:lpwstr/>
      </vt:variant>
      <vt:variant>
        <vt:lpwstr>_Toc233788858</vt:lpwstr>
      </vt:variant>
      <vt:variant>
        <vt:i4>1966129</vt:i4>
      </vt:variant>
      <vt:variant>
        <vt:i4>236</vt:i4>
      </vt:variant>
      <vt:variant>
        <vt:i4>0</vt:i4>
      </vt:variant>
      <vt:variant>
        <vt:i4>5</vt:i4>
      </vt:variant>
      <vt:variant>
        <vt:lpwstr/>
      </vt:variant>
      <vt:variant>
        <vt:lpwstr>_Toc233788857</vt:lpwstr>
      </vt:variant>
      <vt:variant>
        <vt:i4>1966129</vt:i4>
      </vt:variant>
      <vt:variant>
        <vt:i4>230</vt:i4>
      </vt:variant>
      <vt:variant>
        <vt:i4>0</vt:i4>
      </vt:variant>
      <vt:variant>
        <vt:i4>5</vt:i4>
      </vt:variant>
      <vt:variant>
        <vt:lpwstr/>
      </vt:variant>
      <vt:variant>
        <vt:lpwstr>_Toc233788856</vt:lpwstr>
      </vt:variant>
      <vt:variant>
        <vt:i4>1966129</vt:i4>
      </vt:variant>
      <vt:variant>
        <vt:i4>224</vt:i4>
      </vt:variant>
      <vt:variant>
        <vt:i4>0</vt:i4>
      </vt:variant>
      <vt:variant>
        <vt:i4>5</vt:i4>
      </vt:variant>
      <vt:variant>
        <vt:lpwstr/>
      </vt:variant>
      <vt:variant>
        <vt:lpwstr>_Toc233788855</vt:lpwstr>
      </vt:variant>
      <vt:variant>
        <vt:i4>1966129</vt:i4>
      </vt:variant>
      <vt:variant>
        <vt:i4>218</vt:i4>
      </vt:variant>
      <vt:variant>
        <vt:i4>0</vt:i4>
      </vt:variant>
      <vt:variant>
        <vt:i4>5</vt:i4>
      </vt:variant>
      <vt:variant>
        <vt:lpwstr/>
      </vt:variant>
      <vt:variant>
        <vt:lpwstr>_Toc233788854</vt:lpwstr>
      </vt:variant>
      <vt:variant>
        <vt:i4>1966129</vt:i4>
      </vt:variant>
      <vt:variant>
        <vt:i4>212</vt:i4>
      </vt:variant>
      <vt:variant>
        <vt:i4>0</vt:i4>
      </vt:variant>
      <vt:variant>
        <vt:i4>5</vt:i4>
      </vt:variant>
      <vt:variant>
        <vt:lpwstr/>
      </vt:variant>
      <vt:variant>
        <vt:lpwstr>_Toc233788853</vt:lpwstr>
      </vt:variant>
      <vt:variant>
        <vt:i4>1966129</vt:i4>
      </vt:variant>
      <vt:variant>
        <vt:i4>206</vt:i4>
      </vt:variant>
      <vt:variant>
        <vt:i4>0</vt:i4>
      </vt:variant>
      <vt:variant>
        <vt:i4>5</vt:i4>
      </vt:variant>
      <vt:variant>
        <vt:lpwstr/>
      </vt:variant>
      <vt:variant>
        <vt:lpwstr>_Toc233788852</vt:lpwstr>
      </vt:variant>
      <vt:variant>
        <vt:i4>1966129</vt:i4>
      </vt:variant>
      <vt:variant>
        <vt:i4>200</vt:i4>
      </vt:variant>
      <vt:variant>
        <vt:i4>0</vt:i4>
      </vt:variant>
      <vt:variant>
        <vt:i4>5</vt:i4>
      </vt:variant>
      <vt:variant>
        <vt:lpwstr/>
      </vt:variant>
      <vt:variant>
        <vt:lpwstr>_Toc233788851</vt:lpwstr>
      </vt:variant>
      <vt:variant>
        <vt:i4>1966129</vt:i4>
      </vt:variant>
      <vt:variant>
        <vt:i4>194</vt:i4>
      </vt:variant>
      <vt:variant>
        <vt:i4>0</vt:i4>
      </vt:variant>
      <vt:variant>
        <vt:i4>5</vt:i4>
      </vt:variant>
      <vt:variant>
        <vt:lpwstr/>
      </vt:variant>
      <vt:variant>
        <vt:lpwstr>_Toc233788850</vt:lpwstr>
      </vt:variant>
      <vt:variant>
        <vt:i4>2031665</vt:i4>
      </vt:variant>
      <vt:variant>
        <vt:i4>188</vt:i4>
      </vt:variant>
      <vt:variant>
        <vt:i4>0</vt:i4>
      </vt:variant>
      <vt:variant>
        <vt:i4>5</vt:i4>
      </vt:variant>
      <vt:variant>
        <vt:lpwstr/>
      </vt:variant>
      <vt:variant>
        <vt:lpwstr>_Toc233788849</vt:lpwstr>
      </vt:variant>
      <vt:variant>
        <vt:i4>2031665</vt:i4>
      </vt:variant>
      <vt:variant>
        <vt:i4>182</vt:i4>
      </vt:variant>
      <vt:variant>
        <vt:i4>0</vt:i4>
      </vt:variant>
      <vt:variant>
        <vt:i4>5</vt:i4>
      </vt:variant>
      <vt:variant>
        <vt:lpwstr/>
      </vt:variant>
      <vt:variant>
        <vt:lpwstr>_Toc233788848</vt:lpwstr>
      </vt:variant>
      <vt:variant>
        <vt:i4>2031665</vt:i4>
      </vt:variant>
      <vt:variant>
        <vt:i4>176</vt:i4>
      </vt:variant>
      <vt:variant>
        <vt:i4>0</vt:i4>
      </vt:variant>
      <vt:variant>
        <vt:i4>5</vt:i4>
      </vt:variant>
      <vt:variant>
        <vt:lpwstr/>
      </vt:variant>
      <vt:variant>
        <vt:lpwstr>_Toc233788847</vt:lpwstr>
      </vt:variant>
      <vt:variant>
        <vt:i4>2031665</vt:i4>
      </vt:variant>
      <vt:variant>
        <vt:i4>170</vt:i4>
      </vt:variant>
      <vt:variant>
        <vt:i4>0</vt:i4>
      </vt:variant>
      <vt:variant>
        <vt:i4>5</vt:i4>
      </vt:variant>
      <vt:variant>
        <vt:lpwstr/>
      </vt:variant>
      <vt:variant>
        <vt:lpwstr>_Toc233788846</vt:lpwstr>
      </vt:variant>
      <vt:variant>
        <vt:i4>2031665</vt:i4>
      </vt:variant>
      <vt:variant>
        <vt:i4>164</vt:i4>
      </vt:variant>
      <vt:variant>
        <vt:i4>0</vt:i4>
      </vt:variant>
      <vt:variant>
        <vt:i4>5</vt:i4>
      </vt:variant>
      <vt:variant>
        <vt:lpwstr/>
      </vt:variant>
      <vt:variant>
        <vt:lpwstr>_Toc233788845</vt:lpwstr>
      </vt:variant>
      <vt:variant>
        <vt:i4>2031665</vt:i4>
      </vt:variant>
      <vt:variant>
        <vt:i4>158</vt:i4>
      </vt:variant>
      <vt:variant>
        <vt:i4>0</vt:i4>
      </vt:variant>
      <vt:variant>
        <vt:i4>5</vt:i4>
      </vt:variant>
      <vt:variant>
        <vt:lpwstr/>
      </vt:variant>
      <vt:variant>
        <vt:lpwstr>_Toc233788844</vt:lpwstr>
      </vt:variant>
      <vt:variant>
        <vt:i4>2031665</vt:i4>
      </vt:variant>
      <vt:variant>
        <vt:i4>152</vt:i4>
      </vt:variant>
      <vt:variant>
        <vt:i4>0</vt:i4>
      </vt:variant>
      <vt:variant>
        <vt:i4>5</vt:i4>
      </vt:variant>
      <vt:variant>
        <vt:lpwstr/>
      </vt:variant>
      <vt:variant>
        <vt:lpwstr>_Toc233788843</vt:lpwstr>
      </vt:variant>
      <vt:variant>
        <vt:i4>2031665</vt:i4>
      </vt:variant>
      <vt:variant>
        <vt:i4>146</vt:i4>
      </vt:variant>
      <vt:variant>
        <vt:i4>0</vt:i4>
      </vt:variant>
      <vt:variant>
        <vt:i4>5</vt:i4>
      </vt:variant>
      <vt:variant>
        <vt:lpwstr/>
      </vt:variant>
      <vt:variant>
        <vt:lpwstr>_Toc233788842</vt:lpwstr>
      </vt:variant>
      <vt:variant>
        <vt:i4>2031665</vt:i4>
      </vt:variant>
      <vt:variant>
        <vt:i4>140</vt:i4>
      </vt:variant>
      <vt:variant>
        <vt:i4>0</vt:i4>
      </vt:variant>
      <vt:variant>
        <vt:i4>5</vt:i4>
      </vt:variant>
      <vt:variant>
        <vt:lpwstr/>
      </vt:variant>
      <vt:variant>
        <vt:lpwstr>_Toc233788841</vt:lpwstr>
      </vt:variant>
      <vt:variant>
        <vt:i4>2031665</vt:i4>
      </vt:variant>
      <vt:variant>
        <vt:i4>134</vt:i4>
      </vt:variant>
      <vt:variant>
        <vt:i4>0</vt:i4>
      </vt:variant>
      <vt:variant>
        <vt:i4>5</vt:i4>
      </vt:variant>
      <vt:variant>
        <vt:lpwstr/>
      </vt:variant>
      <vt:variant>
        <vt:lpwstr>_Toc233788840</vt:lpwstr>
      </vt:variant>
      <vt:variant>
        <vt:i4>1572913</vt:i4>
      </vt:variant>
      <vt:variant>
        <vt:i4>128</vt:i4>
      </vt:variant>
      <vt:variant>
        <vt:i4>0</vt:i4>
      </vt:variant>
      <vt:variant>
        <vt:i4>5</vt:i4>
      </vt:variant>
      <vt:variant>
        <vt:lpwstr/>
      </vt:variant>
      <vt:variant>
        <vt:lpwstr>_Toc233788839</vt:lpwstr>
      </vt:variant>
      <vt:variant>
        <vt:i4>1572913</vt:i4>
      </vt:variant>
      <vt:variant>
        <vt:i4>122</vt:i4>
      </vt:variant>
      <vt:variant>
        <vt:i4>0</vt:i4>
      </vt:variant>
      <vt:variant>
        <vt:i4>5</vt:i4>
      </vt:variant>
      <vt:variant>
        <vt:lpwstr/>
      </vt:variant>
      <vt:variant>
        <vt:lpwstr>_Toc233788838</vt:lpwstr>
      </vt:variant>
      <vt:variant>
        <vt:i4>1572913</vt:i4>
      </vt:variant>
      <vt:variant>
        <vt:i4>116</vt:i4>
      </vt:variant>
      <vt:variant>
        <vt:i4>0</vt:i4>
      </vt:variant>
      <vt:variant>
        <vt:i4>5</vt:i4>
      </vt:variant>
      <vt:variant>
        <vt:lpwstr/>
      </vt:variant>
      <vt:variant>
        <vt:lpwstr>_Toc233788837</vt:lpwstr>
      </vt:variant>
      <vt:variant>
        <vt:i4>1572913</vt:i4>
      </vt:variant>
      <vt:variant>
        <vt:i4>110</vt:i4>
      </vt:variant>
      <vt:variant>
        <vt:i4>0</vt:i4>
      </vt:variant>
      <vt:variant>
        <vt:i4>5</vt:i4>
      </vt:variant>
      <vt:variant>
        <vt:lpwstr/>
      </vt:variant>
      <vt:variant>
        <vt:lpwstr>_Toc233788836</vt:lpwstr>
      </vt:variant>
      <vt:variant>
        <vt:i4>1572913</vt:i4>
      </vt:variant>
      <vt:variant>
        <vt:i4>104</vt:i4>
      </vt:variant>
      <vt:variant>
        <vt:i4>0</vt:i4>
      </vt:variant>
      <vt:variant>
        <vt:i4>5</vt:i4>
      </vt:variant>
      <vt:variant>
        <vt:lpwstr/>
      </vt:variant>
      <vt:variant>
        <vt:lpwstr>_Toc233788835</vt:lpwstr>
      </vt:variant>
      <vt:variant>
        <vt:i4>1572913</vt:i4>
      </vt:variant>
      <vt:variant>
        <vt:i4>98</vt:i4>
      </vt:variant>
      <vt:variant>
        <vt:i4>0</vt:i4>
      </vt:variant>
      <vt:variant>
        <vt:i4>5</vt:i4>
      </vt:variant>
      <vt:variant>
        <vt:lpwstr/>
      </vt:variant>
      <vt:variant>
        <vt:lpwstr>_Toc233788834</vt:lpwstr>
      </vt:variant>
      <vt:variant>
        <vt:i4>1572913</vt:i4>
      </vt:variant>
      <vt:variant>
        <vt:i4>92</vt:i4>
      </vt:variant>
      <vt:variant>
        <vt:i4>0</vt:i4>
      </vt:variant>
      <vt:variant>
        <vt:i4>5</vt:i4>
      </vt:variant>
      <vt:variant>
        <vt:lpwstr/>
      </vt:variant>
      <vt:variant>
        <vt:lpwstr>_Toc233788833</vt:lpwstr>
      </vt:variant>
      <vt:variant>
        <vt:i4>1572913</vt:i4>
      </vt:variant>
      <vt:variant>
        <vt:i4>86</vt:i4>
      </vt:variant>
      <vt:variant>
        <vt:i4>0</vt:i4>
      </vt:variant>
      <vt:variant>
        <vt:i4>5</vt:i4>
      </vt:variant>
      <vt:variant>
        <vt:lpwstr/>
      </vt:variant>
      <vt:variant>
        <vt:lpwstr>_Toc233788832</vt:lpwstr>
      </vt:variant>
      <vt:variant>
        <vt:i4>1572913</vt:i4>
      </vt:variant>
      <vt:variant>
        <vt:i4>80</vt:i4>
      </vt:variant>
      <vt:variant>
        <vt:i4>0</vt:i4>
      </vt:variant>
      <vt:variant>
        <vt:i4>5</vt:i4>
      </vt:variant>
      <vt:variant>
        <vt:lpwstr/>
      </vt:variant>
      <vt:variant>
        <vt:lpwstr>_Toc233788831</vt:lpwstr>
      </vt:variant>
      <vt:variant>
        <vt:i4>1572913</vt:i4>
      </vt:variant>
      <vt:variant>
        <vt:i4>74</vt:i4>
      </vt:variant>
      <vt:variant>
        <vt:i4>0</vt:i4>
      </vt:variant>
      <vt:variant>
        <vt:i4>5</vt:i4>
      </vt:variant>
      <vt:variant>
        <vt:lpwstr/>
      </vt:variant>
      <vt:variant>
        <vt:lpwstr>_Toc233788830</vt:lpwstr>
      </vt:variant>
      <vt:variant>
        <vt:i4>1638449</vt:i4>
      </vt:variant>
      <vt:variant>
        <vt:i4>68</vt:i4>
      </vt:variant>
      <vt:variant>
        <vt:i4>0</vt:i4>
      </vt:variant>
      <vt:variant>
        <vt:i4>5</vt:i4>
      </vt:variant>
      <vt:variant>
        <vt:lpwstr/>
      </vt:variant>
      <vt:variant>
        <vt:lpwstr>_Toc233788829</vt:lpwstr>
      </vt:variant>
      <vt:variant>
        <vt:i4>1638449</vt:i4>
      </vt:variant>
      <vt:variant>
        <vt:i4>62</vt:i4>
      </vt:variant>
      <vt:variant>
        <vt:i4>0</vt:i4>
      </vt:variant>
      <vt:variant>
        <vt:i4>5</vt:i4>
      </vt:variant>
      <vt:variant>
        <vt:lpwstr/>
      </vt:variant>
      <vt:variant>
        <vt:lpwstr>_Toc233788828</vt:lpwstr>
      </vt:variant>
      <vt:variant>
        <vt:i4>1638449</vt:i4>
      </vt:variant>
      <vt:variant>
        <vt:i4>56</vt:i4>
      </vt:variant>
      <vt:variant>
        <vt:i4>0</vt:i4>
      </vt:variant>
      <vt:variant>
        <vt:i4>5</vt:i4>
      </vt:variant>
      <vt:variant>
        <vt:lpwstr/>
      </vt:variant>
      <vt:variant>
        <vt:lpwstr>_Toc233788827</vt:lpwstr>
      </vt:variant>
      <vt:variant>
        <vt:i4>1638449</vt:i4>
      </vt:variant>
      <vt:variant>
        <vt:i4>50</vt:i4>
      </vt:variant>
      <vt:variant>
        <vt:i4>0</vt:i4>
      </vt:variant>
      <vt:variant>
        <vt:i4>5</vt:i4>
      </vt:variant>
      <vt:variant>
        <vt:lpwstr/>
      </vt:variant>
      <vt:variant>
        <vt:lpwstr>_Toc233788826</vt:lpwstr>
      </vt:variant>
      <vt:variant>
        <vt:i4>1638449</vt:i4>
      </vt:variant>
      <vt:variant>
        <vt:i4>44</vt:i4>
      </vt:variant>
      <vt:variant>
        <vt:i4>0</vt:i4>
      </vt:variant>
      <vt:variant>
        <vt:i4>5</vt:i4>
      </vt:variant>
      <vt:variant>
        <vt:lpwstr/>
      </vt:variant>
      <vt:variant>
        <vt:lpwstr>_Toc233788825</vt:lpwstr>
      </vt:variant>
      <vt:variant>
        <vt:i4>1638449</vt:i4>
      </vt:variant>
      <vt:variant>
        <vt:i4>38</vt:i4>
      </vt:variant>
      <vt:variant>
        <vt:i4>0</vt:i4>
      </vt:variant>
      <vt:variant>
        <vt:i4>5</vt:i4>
      </vt:variant>
      <vt:variant>
        <vt:lpwstr/>
      </vt:variant>
      <vt:variant>
        <vt:lpwstr>_Toc233788824</vt:lpwstr>
      </vt:variant>
      <vt:variant>
        <vt:i4>1638449</vt:i4>
      </vt:variant>
      <vt:variant>
        <vt:i4>32</vt:i4>
      </vt:variant>
      <vt:variant>
        <vt:i4>0</vt:i4>
      </vt:variant>
      <vt:variant>
        <vt:i4>5</vt:i4>
      </vt:variant>
      <vt:variant>
        <vt:lpwstr/>
      </vt:variant>
      <vt:variant>
        <vt:lpwstr>_Toc233788823</vt:lpwstr>
      </vt:variant>
      <vt:variant>
        <vt:i4>1638449</vt:i4>
      </vt:variant>
      <vt:variant>
        <vt:i4>26</vt:i4>
      </vt:variant>
      <vt:variant>
        <vt:i4>0</vt:i4>
      </vt:variant>
      <vt:variant>
        <vt:i4>5</vt:i4>
      </vt:variant>
      <vt:variant>
        <vt:lpwstr/>
      </vt:variant>
      <vt:variant>
        <vt:lpwstr>_Toc233788822</vt:lpwstr>
      </vt:variant>
      <vt:variant>
        <vt:i4>1638449</vt:i4>
      </vt:variant>
      <vt:variant>
        <vt:i4>20</vt:i4>
      </vt:variant>
      <vt:variant>
        <vt:i4>0</vt:i4>
      </vt:variant>
      <vt:variant>
        <vt:i4>5</vt:i4>
      </vt:variant>
      <vt:variant>
        <vt:lpwstr/>
      </vt:variant>
      <vt:variant>
        <vt:lpwstr>_Toc233788821</vt:lpwstr>
      </vt:variant>
      <vt:variant>
        <vt:i4>1638449</vt:i4>
      </vt:variant>
      <vt:variant>
        <vt:i4>14</vt:i4>
      </vt:variant>
      <vt:variant>
        <vt:i4>0</vt:i4>
      </vt:variant>
      <vt:variant>
        <vt:i4>5</vt:i4>
      </vt:variant>
      <vt:variant>
        <vt:lpwstr/>
      </vt:variant>
      <vt:variant>
        <vt:lpwstr>_Toc233788820</vt:lpwstr>
      </vt:variant>
      <vt:variant>
        <vt:i4>1703985</vt:i4>
      </vt:variant>
      <vt:variant>
        <vt:i4>8</vt:i4>
      </vt:variant>
      <vt:variant>
        <vt:i4>0</vt:i4>
      </vt:variant>
      <vt:variant>
        <vt:i4>5</vt:i4>
      </vt:variant>
      <vt:variant>
        <vt:lpwstr/>
      </vt:variant>
      <vt:variant>
        <vt:lpwstr>_Toc233788819</vt:lpwstr>
      </vt:variant>
      <vt:variant>
        <vt:i4>1703985</vt:i4>
      </vt:variant>
      <vt:variant>
        <vt:i4>2</vt:i4>
      </vt:variant>
      <vt:variant>
        <vt:i4>0</vt:i4>
      </vt:variant>
      <vt:variant>
        <vt:i4>5</vt:i4>
      </vt:variant>
      <vt:variant>
        <vt:lpwstr/>
      </vt:variant>
      <vt:variant>
        <vt:lpwstr>_Toc233788818</vt:lpwstr>
      </vt:variant>
      <vt:variant>
        <vt:i4>3145833</vt:i4>
      </vt:variant>
      <vt:variant>
        <vt:i4>0</vt:i4>
      </vt:variant>
      <vt:variant>
        <vt:i4>0</vt:i4>
      </vt:variant>
      <vt:variant>
        <vt:i4>5</vt:i4>
      </vt:variant>
      <vt:variant>
        <vt:lpwstr>https://www.ftc.gov/enforcement/premerger-notification-program</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2026-07-09T17:03:00Z</cp:lastPrinted>
  <dcterms:created xsi:type="dcterms:W3CDTF">2026-08-21T15:53:01Z</dcterms:created>
  <dcterms:modified xsi:type="dcterms:W3CDTF">2026-08-21T15:53:01Z</dcterms:modified>
</cp:coreProperties>
</file>