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Pr="0051493D" w:rsidR="00A76F4A" w:rsidP="00A76F4A" w:rsidRDefault="00A76F4A" w14:paraId="2AFEBBF1" w14:textId="451FDA9D">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2BBA6ADC">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676034">
        <w:rPr>
          <w:rFonts w:ascii="Palatino Linotype" w:hAnsi="Palatino Linotype" w:eastAsia="Times New Roman" w:cs="Times New Roman"/>
          <w:b/>
          <w:kern w:val="0"/>
          <w14:ligatures w14:val="none"/>
        </w:rPr>
        <w:t xml:space="preserve">September </w:t>
      </w:r>
      <w:r w:rsidR="00CB5928">
        <w:rPr>
          <w:rFonts w:ascii="Palatino Linotype" w:hAnsi="Palatino Linotype" w:eastAsia="Times New Roman" w:cs="Times New Roman"/>
          <w:b/>
          <w:kern w:val="0"/>
          <w14:ligatures w14:val="none"/>
        </w:rPr>
        <w:t>3</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Approves, with modifications, an agreement to facilitate the energization of a new 250 megawatt (MW) data center load through transmission-level retail electric service </w:t>
      </w:r>
      <w:proofErr w:type="gramStart"/>
      <w:r>
        <w:rPr>
          <w:rFonts w:ascii="Palatino Linotype" w:hAnsi="Palatino Linotype" w:eastAsia="Times New Roman" w:cs="Times New Roman"/>
          <w:kern w:val="0"/>
          <w14:ligatures w14:val="none"/>
        </w:rPr>
        <w:t>for customer</w:t>
      </w:r>
      <w:proofErr w:type="gramEnd"/>
      <w:r>
        <w:rPr>
          <w:rFonts w:ascii="Palatino Linotype" w:hAnsi="Palatino Linotype" w:eastAsia="Times New Roman" w:cs="Times New Roman"/>
          <w:kern w:val="0"/>
          <w14:ligatures w14:val="none"/>
        </w:rPr>
        <w:t xml:space="preserve"> Google LLC.</w:t>
      </w:r>
    </w:p>
    <w:p w:rsidR="00627C1B" w:rsidP="00584FFD" w:rsidRDefault="00584FFD" w14:paraId="16405779" w14:textId="26E18335">
      <w:pPr>
        <w:numPr>
          <w:ilvl w:val="0"/>
          <w:numId w:val="8"/>
        </w:numPr>
        <w:spacing w:after="0" w:line="240" w:lineRule="auto"/>
        <w:ind w:right="720"/>
        <w:rPr>
          <w:rFonts w:ascii="Palatino Linotype" w:hAnsi="Palatino Linotype" w:eastAsia="Times New Roman" w:cs="Times New Roman"/>
          <w:kern w:val="0"/>
          <w14:ligatures w14:val="none"/>
        </w:rPr>
      </w:pPr>
      <w:r w:rsidRPr="00CE0A95">
        <w:rPr>
          <w:rFonts w:ascii="Palatino Linotype" w:hAnsi="Palatino Linotype" w:eastAsia="Times New Roman" w:cs="Times New Roman"/>
          <w:kern w:val="0"/>
          <w14:ligatures w14:val="none"/>
        </w:rPr>
        <w:t xml:space="preserve">Modifies the </w:t>
      </w:r>
      <w:r>
        <w:rPr>
          <w:rFonts w:ascii="Palatino Linotype" w:hAnsi="Palatino Linotype" w:eastAsia="Times New Roman" w:cs="Times New Roman"/>
          <w:kern w:val="0"/>
          <w14:ligatures w14:val="none"/>
        </w:rPr>
        <w:t xml:space="preserve">energization-related capital advance and </w:t>
      </w:r>
      <w:r w:rsidRPr="00CE0A95">
        <w:rPr>
          <w:rFonts w:ascii="Palatino Linotype" w:hAnsi="Palatino Linotype" w:eastAsia="Times New Roman" w:cs="Times New Roman"/>
          <w:kern w:val="0"/>
          <w14:ligatures w14:val="none"/>
        </w:rPr>
        <w:t>refund process,</w:t>
      </w:r>
      <w:r>
        <w:rPr>
          <w:rFonts w:ascii="Palatino Linotype" w:hAnsi="Palatino Linotype" w:eastAsia="Times New Roman" w:cs="Times New Roman"/>
          <w:kern w:val="0"/>
          <w14:ligatures w14:val="none"/>
        </w:rPr>
        <w:t xml:space="preserve"> requiring an additional capital advance of $600,000 per MW and</w:t>
      </w:r>
      <w:r w:rsidRPr="00CE0A95">
        <w:rPr>
          <w:rFonts w:ascii="Palatino Linotype" w:hAnsi="Palatino Linotype" w:eastAsia="Times New Roman" w:cs="Times New Roman"/>
          <w:kern w:val="0"/>
          <w14:ligatures w14:val="none"/>
        </w:rPr>
        <w:t xml:space="preserve"> limiting annual refunds to </w:t>
      </w:r>
      <w:r>
        <w:rPr>
          <w:rFonts w:ascii="Palatino Linotype" w:hAnsi="Palatino Linotype" w:eastAsia="Times New Roman" w:cs="Times New Roman"/>
          <w:kern w:val="0"/>
          <w14:ligatures w14:val="none"/>
        </w:rPr>
        <w:t>the</w:t>
      </w:r>
      <w:r w:rsidRPr="00CE0A95">
        <w:rPr>
          <w:rFonts w:ascii="Palatino Linotype" w:hAnsi="Palatino Linotype" w:eastAsia="Times New Roman" w:cs="Times New Roman"/>
          <w:kern w:val="0"/>
          <w14:ligatures w14:val="none"/>
        </w:rPr>
        <w:t xml:space="preserve"> annual net revenues received from the customer</w:t>
      </w:r>
      <w:r>
        <w:rPr>
          <w:rFonts w:ascii="Palatino Linotype" w:hAnsi="Palatino Linotype" w:eastAsia="Times New Roman" w:cs="Times New Roman"/>
          <w:kern w:val="0"/>
          <w14:ligatures w14:val="none"/>
        </w:rPr>
        <w:t xml:space="preserve"> plus an adjustment for the Income Tax Component of Contribution (ITCC)</w:t>
      </w:r>
      <w:r w:rsidRPr="00CE0A95">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w:t>
      </w:r>
    </w:p>
    <w:p w:rsidRPr="00584FFD" w:rsidR="00317D09" w:rsidP="00584FFD" w:rsidRDefault="00627C1B" w14:paraId="0BDEF04F" w14:textId="23F8AE8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Allows </w:t>
      </w:r>
      <w:r w:rsidR="00167CAA">
        <w:rPr>
          <w:rFonts w:ascii="Palatino Linotype" w:hAnsi="Palatino Linotype" w:eastAsia="Times New Roman" w:cs="Times New Roman"/>
          <w:kern w:val="0"/>
          <w14:ligatures w14:val="none"/>
        </w:rPr>
        <w:t xml:space="preserve">PG&amp;E </w:t>
      </w:r>
      <w:r w:rsidR="008F75CF">
        <w:rPr>
          <w:rFonts w:ascii="Palatino Linotype" w:hAnsi="Palatino Linotype" w:eastAsia="Times New Roman" w:cs="Times New Roman"/>
          <w:kern w:val="0"/>
          <w14:ligatures w14:val="none"/>
        </w:rPr>
        <w:t xml:space="preserve">to modify </w:t>
      </w:r>
      <w:r>
        <w:rPr>
          <w:rFonts w:ascii="Palatino Linotype" w:hAnsi="Palatino Linotype" w:eastAsia="Times New Roman" w:cs="Times New Roman"/>
        </w:rPr>
        <w:t>t</w:t>
      </w:r>
      <w:r w:rsidRPr="00584FFD" w:rsidR="00461902">
        <w:rPr>
          <w:rFonts w:ascii="Palatino Linotype" w:hAnsi="Palatino Linotype" w:eastAsia="Times New Roman" w:cs="Times New Roman"/>
        </w:rPr>
        <w:t>h</w:t>
      </w:r>
      <w:r w:rsidR="00584FFD">
        <w:rPr>
          <w:rFonts w:ascii="Palatino Linotype" w:hAnsi="Palatino Linotype" w:eastAsia="Times New Roman" w:cs="Times New Roman"/>
        </w:rPr>
        <w:t>e additional capital</w:t>
      </w:r>
      <w:r w:rsidRPr="00584FFD" w:rsidR="00461902">
        <w:rPr>
          <w:rFonts w:ascii="Palatino Linotype" w:hAnsi="Palatino Linotype" w:eastAsia="Times New Roman" w:cs="Times New Roman"/>
        </w:rPr>
        <w:t xml:space="preserve"> advance </w:t>
      </w:r>
      <w:r w:rsidR="008F75CF">
        <w:rPr>
          <w:rFonts w:ascii="Palatino Linotype" w:hAnsi="Palatino Linotype" w:eastAsia="Times New Roman" w:cs="Times New Roman"/>
        </w:rPr>
        <w:t xml:space="preserve">requirement </w:t>
      </w:r>
      <w:r w:rsidRPr="00584FFD" w:rsidR="00461902">
        <w:rPr>
          <w:rFonts w:ascii="Palatino Linotype" w:hAnsi="Palatino Linotype" w:eastAsia="Times New Roman" w:cs="Times New Roman"/>
        </w:rPr>
        <w:t>to</w:t>
      </w:r>
      <w:r>
        <w:rPr>
          <w:rFonts w:ascii="Palatino Linotype" w:hAnsi="Palatino Linotype" w:eastAsia="Times New Roman" w:cs="Times New Roman"/>
        </w:rPr>
        <w:t xml:space="preserve"> align with</w:t>
      </w:r>
      <w:r w:rsidRPr="00584FFD" w:rsidR="00461902">
        <w:rPr>
          <w:rFonts w:ascii="Palatino Linotype" w:hAnsi="Palatino Linotype" w:eastAsia="Times New Roman" w:cs="Times New Roman"/>
        </w:rPr>
        <w:t xml:space="preserve"> the outcome in the Rule </w:t>
      </w:r>
      <w:r w:rsidRPr="00584FFD" w:rsidR="00783A51">
        <w:rPr>
          <w:rFonts w:ascii="Palatino Linotype" w:hAnsi="Palatino Linotype" w:eastAsia="Times New Roman" w:cs="Times New Roman"/>
        </w:rPr>
        <w:t>30 Proceed</w:t>
      </w:r>
      <w:r>
        <w:rPr>
          <w:rFonts w:ascii="Palatino Linotype" w:hAnsi="Palatino Linotype" w:eastAsia="Times New Roman" w:cs="Times New Roman"/>
        </w:rPr>
        <w:t xml:space="preserve">ing. </w:t>
      </w:r>
      <w:r w:rsidRPr="00584FFD" w:rsidR="00317D09">
        <w:rPr>
          <w:rFonts w:ascii="Palatino Linotype" w:hAnsi="Palatino Linotype" w:eastAsia="Times New Roman" w:cs="Times New Roman"/>
        </w:rPr>
        <w:t xml:space="preserve">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There </w:t>
      </w:r>
      <w:proofErr w:type="gramStart"/>
      <w:r>
        <w:rPr>
          <w:rFonts w:ascii="Palatino Linotype" w:hAnsi="Palatino Linotype" w:eastAsia="Times New Roman" w:cs="Times New Roman"/>
          <w:kern w:val="0"/>
          <w14:ligatures w14:val="none"/>
        </w:rPr>
        <w:t>are</w:t>
      </w:r>
      <w:proofErr w:type="gramEnd"/>
      <w:r>
        <w:rPr>
          <w:rFonts w:ascii="Palatino Linotype" w:hAnsi="Palatino Linotype" w:eastAsia="Times New Roman" w:cs="Times New Roman"/>
          <w:kern w:val="0"/>
          <w14:ligatures w14:val="none"/>
        </w:rPr>
        <w:t xml:space="preserv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xml:space="preserve">. The Commission approves </w:t>
      </w:r>
      <w:proofErr w:type="gramStart"/>
      <w:r w:rsidRPr="005A0197">
        <w:rPr>
          <w:rFonts w:ascii="Palatino Linotype" w:hAnsi="Palatino Linotype" w:eastAsia="Times New Roman" w:cs="Times New Roman"/>
          <w:kern w:val="0"/>
          <w14:ligatures w14:val="none"/>
        </w:rPr>
        <w:t>the AL</w:t>
      </w:r>
      <w:proofErr w:type="gramEnd"/>
      <w:r w:rsidRPr="005A0197">
        <w:rPr>
          <w:rFonts w:ascii="Palatino Linotype" w:hAnsi="Palatino Linotype" w:eastAsia="Times New Roman" w:cs="Times New Roman"/>
          <w:kern w:val="0"/>
          <w14:ligatures w14:val="none"/>
        </w:rPr>
        <w:t xml:space="preserve">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4AAA721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432451">
        <w:rPr>
          <w:rFonts w:ascii="Palatino Linotype" w:hAnsi="Palatino Linotype" w:eastAsia="Times New Roman" w:cs="Times New Roman"/>
          <w:kern w:val="0"/>
          <w14:ligatures w14:val="none"/>
        </w:rPr>
        <w:t xml:space="preserve">(1) an additional capital advance from the customer of $600,000 per MW to better reflect the costs of energization, including broader transmission network upgrades, and (2) </w:t>
      </w:r>
      <w:r w:rsidRPr="005A0197" w:rsidR="00432451">
        <w:rPr>
          <w:rFonts w:ascii="Palatino Linotype" w:hAnsi="Palatino Linotype" w:eastAsia="Times New Roman" w:cs="Times New Roman"/>
          <w:kern w:val="0"/>
          <w14:ligatures w14:val="none"/>
        </w:rPr>
        <w:t>modifications to the proposed refund</w:t>
      </w:r>
      <w:r w:rsidR="00432451">
        <w:rPr>
          <w:rFonts w:ascii="Palatino Linotype" w:hAnsi="Palatino Linotype" w:eastAsia="Times New Roman" w:cs="Times New Roman"/>
          <w:kern w:val="0"/>
          <w14:ligatures w14:val="none"/>
        </w:rPr>
        <w:t xml:space="preserve"> </w:t>
      </w:r>
      <w:r w:rsidRPr="005A0197" w:rsidR="00432451">
        <w:rPr>
          <w:rFonts w:ascii="Palatino Linotype" w:hAnsi="Palatino Linotype" w:eastAsia="Times New Roman" w:cs="Times New Roman"/>
          <w:kern w:val="0"/>
          <w14:ligatures w14:val="none"/>
        </w:rPr>
        <w:t xml:space="preserve">methodology to limit annual refunds to </w:t>
      </w:r>
      <w:r w:rsidR="00432451">
        <w:rPr>
          <w:rFonts w:ascii="Palatino Linotype" w:hAnsi="Palatino Linotype" w:eastAsia="Times New Roman" w:cs="Times New Roman"/>
          <w:kern w:val="0"/>
          <w14:ligatures w14:val="none"/>
        </w:rPr>
        <w:t>100</w:t>
      </w:r>
      <w:r w:rsidRPr="005A0197" w:rsidR="00432451">
        <w:rPr>
          <w:rFonts w:ascii="Palatino Linotype" w:hAnsi="Palatino Linotype" w:eastAsia="Times New Roman" w:cs="Times New Roman"/>
          <w:kern w:val="0"/>
          <w14:ligatures w14:val="none"/>
        </w:rPr>
        <w:t xml:space="preserve"> percent of annual net revenues received from the customer.</w:t>
      </w:r>
      <w:r w:rsidR="00906E74">
        <w:rPr>
          <w:rFonts w:ascii="Palatino Linotype" w:hAnsi="Palatino Linotype" w:eastAsia="Times New Roman" w:cs="Times New Roman"/>
          <w:kern w:val="0"/>
          <w14:ligatures w14:val="none"/>
        </w:rPr>
        <w:t xml:space="preserve"> </w:t>
      </w:r>
      <w:r w:rsidR="004C40A1">
        <w:rPr>
          <w:rFonts w:ascii="Palatino Linotype" w:hAnsi="Palatino Linotype" w:eastAsia="Times New Roman" w:cs="Times New Roman"/>
          <w:kern w:val="0"/>
          <w14:ligatures w14:val="none"/>
        </w:rPr>
        <w:t xml:space="preserve">PG&amp;E may modify the </w:t>
      </w:r>
      <w:r w:rsidR="00BE2967">
        <w:rPr>
          <w:rFonts w:ascii="Palatino Linotype" w:hAnsi="Palatino Linotype" w:eastAsia="Times New Roman" w:cs="Times New Roman"/>
          <w:kern w:val="0"/>
          <w14:ligatures w14:val="none"/>
        </w:rPr>
        <w:t xml:space="preserve">advance </w:t>
      </w:r>
      <w:r w:rsidR="004C40A1">
        <w:rPr>
          <w:rFonts w:ascii="Palatino Linotype" w:hAnsi="Palatino Linotype" w:eastAsia="Times New Roman" w:cs="Times New Roman"/>
          <w:kern w:val="0"/>
          <w14:ligatures w14:val="none"/>
        </w:rPr>
        <w:t xml:space="preserve">requirement </w:t>
      </w:r>
      <w:r w:rsidR="00906E74">
        <w:rPr>
          <w:rFonts w:ascii="Palatino Linotype" w:hAnsi="Palatino Linotype" w:eastAsia="Times New Roman" w:cs="Times New Roman"/>
          <w:kern w:val="0"/>
          <w14:ligatures w14:val="none"/>
        </w:rPr>
        <w:t xml:space="preserve">to match the outcome in </w:t>
      </w:r>
      <w:proofErr w:type="gramStart"/>
      <w:r w:rsidR="00906E74">
        <w:rPr>
          <w:rFonts w:ascii="Palatino Linotype" w:hAnsi="Palatino Linotype" w:eastAsia="Times New Roman" w:cs="Times New Roman"/>
          <w:kern w:val="0"/>
          <w14:ligatures w14:val="none"/>
        </w:rPr>
        <w:t>the Rule</w:t>
      </w:r>
      <w:proofErr w:type="gramEnd"/>
      <w:r w:rsidR="007933B2">
        <w:rPr>
          <w:rFonts w:ascii="Palatino Linotype" w:hAnsi="Palatino Linotype" w:eastAsia="Times New Roman" w:cs="Times New Roman"/>
          <w:kern w:val="0"/>
          <w14:ligatures w14:val="none"/>
        </w:rPr>
        <w:t xml:space="preserve"> 30 </w:t>
      </w:r>
      <w:r w:rsidR="003D36B1">
        <w:rPr>
          <w:rFonts w:ascii="Palatino Linotype" w:hAnsi="Palatino Linotype" w:eastAsia="Times New Roman" w:cs="Times New Roman"/>
          <w:kern w:val="0"/>
          <w14:ligatures w14:val="none"/>
        </w:rPr>
        <w:t>P</w:t>
      </w:r>
      <w:r w:rsidR="007933B2">
        <w:rPr>
          <w:rFonts w:ascii="Palatino Linotype" w:hAnsi="Palatino Linotype" w:eastAsia="Times New Roman" w:cs="Times New Roman"/>
          <w:kern w:val="0"/>
          <w14:ligatures w14:val="none"/>
        </w:rPr>
        <w:t>roceeding, A. 24-11-007</w:t>
      </w:r>
      <w:r w:rsidR="00BE2967">
        <w:rPr>
          <w:rFonts w:ascii="Palatino Linotype" w:hAnsi="Palatino Linotype" w:eastAsia="Times New Roman" w:cs="Times New Roman"/>
          <w:kern w:val="0"/>
          <w14:ligatures w14:val="none"/>
        </w:rPr>
        <w:t>, if warranted</w:t>
      </w:r>
      <w:r w:rsidR="00563899">
        <w:rPr>
          <w:rFonts w:ascii="Palatino Linotype" w:hAnsi="Palatino Linotype" w:eastAsia="Times New Roman" w:cs="Times New Roman"/>
          <w:kern w:val="0"/>
          <w14:ligatures w14:val="none"/>
        </w:rPr>
        <w:t xml:space="preserve">.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 xml:space="preserve">Because the </w:t>
      </w:r>
      <w:proofErr w:type="gramStart"/>
      <w:r w:rsidR="00986A81">
        <w:rPr>
          <w:rFonts w:ascii="Palatino Linotype" w:hAnsi="Palatino Linotype" w:eastAsia="Times New Roman" w:cs="Times New Roman"/>
          <w:kern w:val="0"/>
          <w14:ligatures w14:val="none"/>
        </w:rPr>
        <w:t>applicant</w:t>
      </w:r>
      <w:r w:rsidR="00740E32">
        <w:rPr>
          <w:rFonts w:ascii="Palatino Linotype" w:hAnsi="Palatino Linotype" w:eastAsia="Times New Roman" w:cs="Times New Roman"/>
          <w:kern w:val="0"/>
          <w14:ligatures w14:val="none"/>
        </w:rPr>
        <w:t xml:space="preserve"> proposed</w:t>
      </w:r>
      <w:proofErr w:type="gramEnd"/>
      <w:r w:rsidR="00740E32">
        <w:rPr>
          <w:rFonts w:ascii="Palatino Linotype" w:hAnsi="Palatino Linotype" w:eastAsia="Times New Roman" w:cs="Times New Roman"/>
          <w:kern w:val="0"/>
          <w14:ligatures w14:val="none"/>
        </w:rPr>
        <w:t xml:space="preserve">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171586">
        <w:rPr>
          <w:rFonts w:ascii="Palatino Linotype" w:hAnsi="Palatino Linotype" w:eastAsia="Times New Roman" w:cs="Times New Roman"/>
          <w:kern w:val="0"/>
          <w14:ligatures w14:val="none"/>
        </w:rPr>
        <w:t>an additional capital advance and an</w:t>
      </w:r>
      <w:r w:rsidRPr="005A0197" w:rsidR="00171586">
        <w:rPr>
          <w:rFonts w:ascii="Palatino Linotype" w:hAnsi="Palatino Linotype" w:eastAsia="Times New Roman" w:cs="Times New Roman"/>
          <w:kern w:val="0"/>
          <w14:ligatures w14:val="none"/>
        </w:rPr>
        <w:t xml:space="preserve"> annual </w:t>
      </w:r>
      <w:r w:rsidR="00171586">
        <w:rPr>
          <w:rFonts w:ascii="Palatino Linotype" w:hAnsi="Palatino Linotype" w:eastAsia="Times New Roman" w:cs="Times New Roman"/>
          <w:kern w:val="0"/>
          <w14:ligatures w14:val="none"/>
        </w:rPr>
        <w:t xml:space="preserve">100 </w:t>
      </w:r>
      <w:r w:rsidRPr="005A0197" w:rsidR="00171586">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w:t>
      </w:r>
      <w:r w:rsidRPr="007C2D81">
        <w:rPr>
          <w:rFonts w:ascii="Palatino Linotype" w:hAnsi="Palatino Linotype" w:eastAsia="Times New Roman" w:cs="Times New Roman"/>
          <w:kern w:val="0"/>
          <w14:ligatures w14:val="none"/>
        </w:rPr>
        <w:lastRenderedPageBreak/>
        <w:t>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proofErr w:type="gramStart"/>
      <w:r>
        <w:rPr>
          <w:rFonts w:ascii="Palatino Linotype" w:hAnsi="Palatino Linotype" w:eastAsia="Times New Roman" w:cs="Times New Roman"/>
          <w:kern w:val="0"/>
          <w14:ligatures w14:val="none"/>
        </w:rPr>
        <w:t>all of</w:t>
      </w:r>
      <w:proofErr w:type="gramEnd"/>
      <w:r>
        <w:rPr>
          <w:rFonts w:ascii="Palatino Linotype" w:hAnsi="Palatino Linotype" w:eastAsia="Times New Roman" w:cs="Times New Roman"/>
          <w:kern w:val="0"/>
          <w14:ligatures w14:val="none"/>
        </w:rPr>
        <w:t xml:space="preserve"> </w:t>
      </w:r>
      <w:proofErr w:type="gramStart"/>
      <w:r w:rsidR="00A6263C">
        <w:rPr>
          <w:rFonts w:ascii="Palatino Linotype" w:hAnsi="Palatino Linotype" w:eastAsia="Times New Roman" w:cs="Times New Roman"/>
          <w:kern w:val="0"/>
          <w14:ligatures w14:val="none"/>
        </w:rPr>
        <w:t>Marin county</w:t>
      </w:r>
      <w:proofErr w:type="gramEnd"/>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xml:space="preserve">, and about half the overall average demand of </w:t>
      </w:r>
      <w:proofErr w:type="gramStart"/>
      <w:r w:rsidR="00A6263C">
        <w:rPr>
          <w:rFonts w:ascii="Palatino Linotype" w:hAnsi="Palatino Linotype" w:eastAsia="Times New Roman" w:cs="Times New Roman"/>
          <w:kern w:val="0"/>
          <w14:ligatures w14:val="none"/>
        </w:rPr>
        <w:t>San Mateo county</w:t>
      </w:r>
      <w:proofErr w:type="gramEnd"/>
      <w:r w:rsidR="00A6263C">
        <w:rPr>
          <w:rFonts w:ascii="Palatino Linotype" w:hAnsi="Palatino Linotype" w:eastAsia="Times New Roman" w:cs="Times New Roman"/>
          <w:kern w:val="0"/>
          <w14:ligatures w14:val="none"/>
        </w:rPr>
        <w:t>.</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w:t>
      </w:r>
      <w:proofErr w:type="gramStart"/>
      <w:r w:rsidRPr="007C2D81">
        <w:rPr>
          <w:rFonts w:ascii="Palatino Linotype" w:hAnsi="Palatino Linotype" w:eastAsia="Times New Roman" w:cs="Times New Roman"/>
          <w:kern w:val="0"/>
          <w14:ligatures w14:val="none"/>
        </w:rPr>
        <w:t>submitted an application</w:t>
      </w:r>
      <w:proofErr w:type="gramEnd"/>
      <w:r w:rsidRPr="007C2D81">
        <w:rPr>
          <w:rFonts w:ascii="Palatino Linotype" w:hAnsi="Palatino Linotype" w:eastAsia="Times New Roman" w:cs="Times New Roman"/>
          <w:kern w:val="0"/>
          <w14:ligatures w14:val="none"/>
        </w:rPr>
        <w:t xml:space="preserve"> on March 3, </w:t>
      </w:r>
      <w:proofErr w:type="gramStart"/>
      <w:r w:rsidRPr="007C2D81">
        <w:rPr>
          <w:rFonts w:ascii="Palatino Linotype" w:hAnsi="Palatino Linotype" w:eastAsia="Times New Roman" w:cs="Times New Roman"/>
          <w:kern w:val="0"/>
          <w14:ligatures w14:val="none"/>
        </w:rPr>
        <w:t>2025</w:t>
      </w:r>
      <w:proofErr w:type="gramEnd"/>
      <w:r w:rsidRPr="007C2D81">
        <w:rPr>
          <w:rFonts w:ascii="Palatino Linotype" w:hAnsi="Palatino Linotype" w:eastAsia="Times New Roman" w:cs="Times New Roman"/>
          <w:kern w:val="0"/>
          <w14:ligatures w14:val="none"/>
        </w:rPr>
        <w:t xml:space="preserve">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w:t>
      </w:r>
      <w:proofErr w:type="gramStart"/>
      <w:r w:rsidRPr="007C2D81">
        <w:rPr>
          <w:rFonts w:ascii="Palatino Linotype" w:hAnsi="Palatino Linotype" w:eastAsia="Times New Roman" w:cs="Times New Roman"/>
          <w:kern w:val="0"/>
          <w14:ligatures w14:val="none"/>
        </w:rPr>
        <w:t>and</w:t>
      </w:r>
      <w:r w:rsidR="001256B6">
        <w:rPr>
          <w:rFonts w:ascii="Palatino Linotype" w:hAnsi="Palatino Linotype" w:eastAsia="Times New Roman" w:cs="Times New Roman"/>
          <w:kern w:val="0"/>
          <w14:ligatures w14:val="none"/>
        </w:rPr>
        <w:t>,</w:t>
      </w:r>
      <w:proofErr w:type="gramEnd"/>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515E18" w:rsidRDefault="007C2D81" w14:paraId="32790CC1" w14:textId="08941B3B">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lastRenderedPageBreak/>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515E18" w:rsidRDefault="00EB2EAD" w14:paraId="602CCF04" w14:textId="77777777">
      <w:pPr>
        <w:keepNext/>
        <w:spacing w:after="0" w:line="240" w:lineRule="auto"/>
        <w:rPr>
          <w:rFonts w:ascii="Palatino Linotype" w:hAnsi="Palatino Linotype" w:eastAsia="Times New Roman" w:cs="Times New Roman"/>
          <w:b/>
          <w:bCs/>
          <w:kern w:val="0"/>
          <w14:ligatures w14:val="none"/>
        </w:rPr>
      </w:pPr>
    </w:p>
    <w:p w:rsidRPr="007C2D81" w:rsidR="007C2D81" w:rsidP="00515E18" w:rsidRDefault="007C2D81" w14:paraId="68EB1BCE" w14:textId="6FD27617">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w:t>
      </w:r>
      <w:proofErr w:type="gramStart"/>
      <w:r>
        <w:rPr>
          <w:rFonts w:ascii="Palatino Linotype" w:hAnsi="Palatino Linotype" w:eastAsia="Times New Roman" w:cs="Times New Roman"/>
          <w:kern w:val="0"/>
          <w14:ligatures w14:val="none"/>
        </w:rPr>
        <w:t>continue into the future</w:t>
      </w:r>
      <w:proofErr w:type="gramEnd"/>
      <w:r>
        <w:rPr>
          <w:rFonts w:ascii="Palatino Linotype" w:hAnsi="Palatino Linotype" w:eastAsia="Times New Roman" w:cs="Times New Roman"/>
          <w:kern w:val="0"/>
          <w14:ligatures w14:val="none"/>
        </w:rPr>
        <w:t>.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the electric bill specifically related to transmission costs and infrastructure. Based on this $5 million in actual net revenue, the BARC process would allow for an end-of-year refund of about $46 million (the amount of capital investment deemed justified, </w:t>
      </w:r>
      <w:r>
        <w:rPr>
          <w:rFonts w:ascii="Palatino Linotype" w:hAnsi="Palatino Linotype" w:eastAsia="Times New Roman" w:cs="Times New Roman"/>
          <w:kern w:val="0"/>
          <w14:ligatures w14:val="none"/>
        </w:rPr>
        <w:lastRenderedPageBreak/>
        <w:t>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executed agreement and a summary of agreement terms as confidential attachments, stating that the agreement contains confidential customer </w:t>
      </w:r>
      <w:r w:rsidRPr="007C2D81">
        <w:rPr>
          <w:rFonts w:ascii="Palatino Linotype" w:hAnsi="Palatino Linotype" w:eastAsia="Times New Roman" w:cs="Times New Roman"/>
          <w:kern w:val="0"/>
          <w14:ligatures w14:val="none"/>
        </w:rPr>
        <w:lastRenderedPageBreak/>
        <w:t>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w:t>
      </w:r>
      <w:proofErr w:type="gramStart"/>
      <w:r w:rsidRPr="001942D0">
        <w:rPr>
          <w:rFonts w:ascii="Palatino Linotype" w:hAnsi="Palatino Linotype" w:eastAsia="Palatino Linotype" w:cs="Times New Roman"/>
          <w:kern w:val="0"/>
          <w14:ligatures w14:val="none"/>
        </w:rPr>
        <w:t>states</w:t>
      </w:r>
      <w:proofErr w:type="gramEnd"/>
      <w:r w:rsidRPr="001942D0">
        <w:rPr>
          <w:rFonts w:ascii="Palatino Linotype" w:hAnsi="Palatino Linotype" w:eastAsia="Palatino Linotype" w:cs="Times New Roman"/>
          <w:kern w:val="0"/>
          <w14:ligatures w14:val="none"/>
        </w:rPr>
        <w:t xml:space="preserve">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w:t>
      </w:r>
      <w:proofErr w:type="gramStart"/>
      <w:r w:rsidR="00FA7536">
        <w:rPr>
          <w:rFonts w:ascii="Palatino Linotype" w:hAnsi="Palatino Linotype" w:eastAsia="Palatino Linotype" w:cs="Times New Roman"/>
          <w:kern w:val="0"/>
          <w14:ligatures w14:val="none"/>
        </w:rPr>
        <w:t>2026</w:t>
      </w:r>
      <w:proofErr w:type="gramEnd"/>
      <w:r w:rsidR="00FA7536">
        <w:rPr>
          <w:rFonts w:ascii="Palatino Linotype" w:hAnsi="Palatino Linotype" w:eastAsia="Palatino Linotype" w:cs="Times New Roman"/>
          <w:kern w:val="0"/>
          <w14:ligatures w14:val="none"/>
        </w:rPr>
        <w:t xml:space="preserve">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actually received from the customer cover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load does not materialize). PG&amp;E also 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w:t>
      </w:r>
      <w:r w:rsidRPr="009F7028">
        <w:rPr>
          <w:rFonts w:ascii="Palatino Linotype" w:hAnsi="Palatino Linotype" w:eastAsia="Palatino Linotype" w:cs="Times New Roman"/>
          <w:kern w:val="0"/>
          <w14:ligatures w14:val="none"/>
        </w:rPr>
        <w:lastRenderedPageBreak/>
        <w:t xml:space="preserve">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w:t>
      </w:r>
      <w:proofErr w:type="gramStart"/>
      <w:r w:rsidRPr="009F7028">
        <w:rPr>
          <w:rFonts w:ascii="Palatino Linotype" w:hAnsi="Palatino Linotype" w:eastAsia="Palatino Linotype" w:cs="Times New Roman"/>
          <w:kern w:val="0"/>
          <w14:ligatures w14:val="none"/>
        </w:rPr>
        <w:t>available, but</w:t>
      </w:r>
      <w:proofErr w:type="gramEnd"/>
      <w:r w:rsidRPr="009F7028">
        <w:rPr>
          <w:rFonts w:ascii="Palatino Linotype" w:hAnsi="Palatino Linotype" w:eastAsia="Palatino Linotype" w:cs="Times New Roman"/>
          <w:kern w:val="0"/>
          <w14:ligatures w14:val="none"/>
        </w:rPr>
        <w:t xml:space="preserve">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w:t>
      </w:r>
      <w:proofErr w:type="gramStart"/>
      <w:r w:rsidRPr="009F7028">
        <w:rPr>
          <w:rFonts w:ascii="Palatino Linotype" w:hAnsi="Palatino Linotype" w:eastAsia="Palatino Linotype" w:cs="Times New Roman"/>
          <w:kern w:val="0"/>
          <w14:ligatures w14:val="none"/>
        </w:rPr>
        <w:t>implicate</w:t>
      </w:r>
      <w:proofErr w:type="gramEnd"/>
      <w:r w:rsidRPr="009F7028">
        <w:rPr>
          <w:rFonts w:ascii="Palatino Linotype" w:hAnsi="Palatino Linotype" w:eastAsia="Palatino Linotype" w:cs="Times New Roman"/>
          <w:kern w:val="0"/>
          <w14:ligatures w14:val="none"/>
        </w:rPr>
        <w:t xml:space="preserv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0CF6E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t>
      </w:r>
      <w:r w:rsidR="00C90A62">
        <w:rPr>
          <w:rFonts w:ascii="Palatino Linotype" w:hAnsi="Palatino Linotype" w:eastAsia="Palatino Linotype" w:cs="Times New Roman"/>
          <w:kern w:val="0"/>
          <w14:ligatures w14:val="none"/>
        </w:rPr>
        <w:t xml:space="preserve">whether it is reasonable to require an </w:t>
      </w:r>
      <w:r w:rsidR="00C90A62">
        <w:rPr>
          <w:rFonts w:ascii="Palatino Linotype" w:hAnsi="Palatino Linotype" w:eastAsia="Palatino Linotype" w:cs="Times New Roman"/>
          <w:kern w:val="0"/>
          <w14:ligatures w14:val="none"/>
        </w:rPr>
        <w:lastRenderedPageBreak/>
        <w:t>additional capital advance to reflect the energization costs associated with broader transmission network upgrades</w:t>
      </w:r>
      <w:r w:rsidR="00C90A62">
        <w:rPr>
          <w:rFonts w:ascii="Palatino Linotype" w:hAnsi="Palatino Linotype" w:eastAsia="Palatino Linotype" w:cs="Times New Roman"/>
        </w:rPr>
        <w:t xml:space="preserve">, allowing that </w:t>
      </w:r>
      <w:r w:rsidR="00627C1B">
        <w:rPr>
          <w:rFonts w:ascii="Palatino Linotype" w:hAnsi="Palatino Linotype" w:eastAsia="Palatino Linotype" w:cs="Times New Roman"/>
        </w:rPr>
        <w:t xml:space="preserve">amount </w:t>
      </w:r>
      <w:r w:rsidR="00C90A62">
        <w:rPr>
          <w:rFonts w:ascii="Palatino Linotype" w:hAnsi="Palatino Linotype" w:eastAsia="Palatino Linotype" w:cs="Times New Roman"/>
        </w:rPr>
        <w:t xml:space="preserve">to be updated </w:t>
      </w:r>
      <w:r w:rsidRPr="2444F476" w:rsidR="00836550">
        <w:rPr>
          <w:rFonts w:ascii="Palatino Linotype" w:hAnsi="Palatino Linotype" w:eastAsia="Palatino Linotype" w:cs="Times New Roman"/>
        </w:rPr>
        <w:t xml:space="preserve">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w:t>
      </w:r>
      <w:proofErr w:type="gramStart"/>
      <w:r w:rsidRPr="00B36B2C">
        <w:rPr>
          <w:rFonts w:ascii="Palatino Linotype" w:hAnsi="Palatino Linotype" w:eastAsia="Palatino Linotype" w:cs="Times New Roman"/>
          <w:kern w:val="0"/>
          <w14:ligatures w14:val="none"/>
        </w:rPr>
        <w:t>responsibility</w:t>
      </w:r>
      <w:proofErr w:type="gramEnd"/>
      <w:r w:rsidRPr="00B36B2C">
        <w:rPr>
          <w:rFonts w:ascii="Palatino Linotype" w:hAnsi="Palatino Linotype" w:eastAsia="Palatino Linotype" w:cs="Times New Roman"/>
          <w:kern w:val="0"/>
          <w14:ligatures w14:val="none"/>
        </w:rPr>
        <w:t xml:space="preserve">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too quickly relative to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140A8203">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D2721E">
        <w:rPr>
          <w:rFonts w:ascii="Palatino Linotype" w:hAnsi="Palatino Linotype" w:eastAsia="Palatino Linotype" w:cs="Times New Roman"/>
          <w:b/>
          <w:bCs/>
          <w:kern w:val="0"/>
          <w14:ligatures w14:val="none"/>
        </w:rPr>
        <w:t xml:space="preserve">the Customer Should Provide an Additional Refundable Capital Advance of $600,000 per MW to Protect Ratepayers from these Costs. </w:t>
      </w:r>
      <w:r w:rsidR="008F5BE4">
        <w:rPr>
          <w:rFonts w:ascii="Palatino Linotype" w:hAnsi="Palatino Linotype" w:eastAsia="Palatino Linotype" w:cs="Times New Roman"/>
          <w:b/>
          <w:bCs/>
          <w:kern w:val="0"/>
          <w14:ligatures w14:val="none"/>
        </w:rPr>
        <w:t xml:space="preserve">This </w:t>
      </w:r>
      <w:r w:rsidR="00BE2967">
        <w:rPr>
          <w:rFonts w:ascii="Palatino Linotype" w:hAnsi="Palatino Linotype" w:eastAsia="Palatino Linotype" w:cs="Times New Roman"/>
          <w:b/>
          <w:bCs/>
          <w:kern w:val="0"/>
          <w14:ligatures w14:val="none"/>
        </w:rPr>
        <w:t xml:space="preserve">amount </w:t>
      </w:r>
      <w:r w:rsidR="008F5BE4">
        <w:rPr>
          <w:rFonts w:ascii="Palatino Linotype" w:hAnsi="Palatino Linotype" w:eastAsia="Palatino Linotype" w:cs="Times New Roman"/>
          <w:b/>
          <w:bCs/>
          <w:kern w:val="0"/>
          <w14:ligatures w14:val="none"/>
        </w:rPr>
        <w:t>can Later be Modified</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PG&amp;E argues that “the LS 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 xml:space="preserve">“thousands of residential and commercial customers” in the region will </w:t>
      </w:r>
      <w:r w:rsidR="003807E0">
        <w:rPr>
          <w:rFonts w:ascii="Palatino Linotype" w:hAnsi="Palatino Linotype" w:eastAsia="Palatino Linotype" w:cs="Times New Roman"/>
          <w:kern w:val="0"/>
          <w14:ligatures w14:val="none"/>
        </w:rPr>
        <w:lastRenderedPageBreak/>
        <w:t>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Mostly driven by the datacenter load, the long term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0562FB" w:rsidRDefault="007F2983" w14:paraId="300EBB76" w14:textId="50D6801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additional ratepayer protections, specifically</w:t>
      </w:r>
      <w:r w:rsidR="000562FB">
        <w:rPr>
          <w:rFonts w:ascii="Palatino Linotype" w:hAnsi="Palatino Linotype" w:eastAsia="Palatino Linotype" w:cs="Times New Roman"/>
          <w:kern w:val="0"/>
          <w14:ligatures w14:val="none"/>
        </w:rPr>
        <w:t xml:space="preserve"> an additional customer advance from </w:t>
      </w:r>
      <w:r w:rsidR="00BE2967">
        <w:rPr>
          <w:rFonts w:ascii="Palatino Linotype" w:hAnsi="Palatino Linotype" w:eastAsia="Palatino Linotype" w:cs="Times New Roman"/>
          <w:kern w:val="0"/>
          <w14:ligatures w14:val="none"/>
        </w:rPr>
        <w:t>Google</w:t>
      </w:r>
      <w:r w:rsidR="000562FB">
        <w:rPr>
          <w:rFonts w:ascii="Palatino Linotype" w:hAnsi="Palatino Linotype" w:eastAsia="Palatino Linotype" w:cs="Times New Roman"/>
          <w:kern w:val="0"/>
          <w14:ligatures w14:val="none"/>
        </w:rPr>
        <w:t xml:space="preserve"> related to the costs of transmission upgrades </w:t>
      </w:r>
      <w:r w:rsidR="00BE2967">
        <w:rPr>
          <w:rFonts w:ascii="Palatino Linotype" w:hAnsi="Palatino Linotype" w:eastAsia="Palatino Linotype" w:cs="Times New Roman"/>
          <w:kern w:val="0"/>
          <w14:ligatures w14:val="none"/>
        </w:rPr>
        <w:t>that Google</w:t>
      </w:r>
      <w:r w:rsidR="000562FB">
        <w:rPr>
          <w:rFonts w:ascii="Palatino Linotype" w:hAnsi="Palatino Linotype" w:eastAsia="Palatino Linotype" w:cs="Times New Roman"/>
          <w:kern w:val="0"/>
          <w14:ligatures w14:val="none"/>
        </w:rPr>
        <w:t xml:space="preserve"> depend</w:t>
      </w:r>
      <w:r w:rsidR="00BE2967">
        <w:rPr>
          <w:rFonts w:ascii="Palatino Linotype" w:hAnsi="Palatino Linotype" w:eastAsia="Palatino Linotype" w:cs="Times New Roman"/>
          <w:kern w:val="0"/>
          <w14:ligatures w14:val="none"/>
        </w:rPr>
        <w:t>s</w:t>
      </w:r>
      <w:r w:rsidR="000562FB">
        <w:rPr>
          <w:rFonts w:ascii="Palatino Linotype" w:hAnsi="Palatino Linotype" w:eastAsia="Palatino Linotype" w:cs="Times New Roman"/>
          <w:kern w:val="0"/>
          <w14:ligatures w14:val="none"/>
        </w:rPr>
        <w:t xml:space="preserve"> on for </w:t>
      </w:r>
      <w:r w:rsidR="00BE2967">
        <w:rPr>
          <w:rFonts w:ascii="Palatino Linotype" w:hAnsi="Palatino Linotype" w:eastAsia="Palatino Linotype" w:cs="Times New Roman"/>
          <w:kern w:val="0"/>
          <w14:ligatures w14:val="none"/>
        </w:rPr>
        <w:t>its</w:t>
      </w:r>
      <w:r w:rsidR="000562FB">
        <w:rPr>
          <w:rFonts w:ascii="Palatino Linotype" w:hAnsi="Palatino Linotype" w:eastAsia="Palatino Linotype" w:cs="Times New Roman"/>
          <w:kern w:val="0"/>
          <w14:ligatures w14:val="none"/>
        </w:rPr>
        <w:t xml:space="preserve"> energization. </w:t>
      </w:r>
      <w:r w:rsidR="002214C8">
        <w:rPr>
          <w:rFonts w:ascii="Palatino Linotype" w:hAnsi="Palatino Linotype" w:eastAsia="Palatino Linotype" w:cs="Times New Roman"/>
          <w:kern w:val="0"/>
          <w14:ligatures w14:val="none"/>
        </w:rPr>
        <w:t>This</w:t>
      </w:r>
      <w:r w:rsidR="000562FB">
        <w:rPr>
          <w:rFonts w:ascii="Palatino Linotype" w:hAnsi="Palatino Linotype" w:eastAsia="Palatino Linotype" w:cs="Times New Roman"/>
          <w:kern w:val="0"/>
          <w14:ligatures w14:val="none"/>
        </w:rPr>
        <w:t xml:space="preserve"> additional capital advance could </w:t>
      </w:r>
      <w:r w:rsidR="00BC4B30">
        <w:rPr>
          <w:rFonts w:ascii="Palatino Linotype" w:hAnsi="Palatino Linotype" w:eastAsia="Palatino Linotype" w:cs="Times New Roman"/>
          <w:kern w:val="0"/>
          <w14:ligatures w14:val="none"/>
        </w:rPr>
        <w:t xml:space="preserve">later </w:t>
      </w:r>
      <w:r w:rsidR="000562FB">
        <w:rPr>
          <w:rFonts w:ascii="Palatino Linotype" w:hAnsi="Palatino Linotype" w:eastAsia="Palatino Linotype" w:cs="Times New Roman"/>
          <w:kern w:val="0"/>
          <w14:ligatures w14:val="none"/>
        </w:rPr>
        <w:t xml:space="preserve">be updated to correspond to </w:t>
      </w:r>
      <w:r w:rsidR="00940A0D">
        <w:rPr>
          <w:rFonts w:ascii="Palatino Linotype" w:hAnsi="Palatino Linotype" w:eastAsia="Palatino Linotype" w:cs="Times New Roman"/>
          <w:kern w:val="0"/>
          <w14:ligatures w14:val="none"/>
        </w:rPr>
        <w:t xml:space="preserve">the outcome in the </w:t>
      </w:r>
      <w:r w:rsidR="00345654">
        <w:rPr>
          <w:rFonts w:ascii="Palatino Linotype" w:hAnsi="Palatino Linotype" w:eastAsia="Palatino Linotype" w:cs="Times New Roman"/>
          <w:kern w:val="0"/>
          <w14:ligatures w14:val="none"/>
        </w:rPr>
        <w:t xml:space="preserve">Rule 30 </w:t>
      </w:r>
      <w:r w:rsidR="00BC4B30">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7C2C603D">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 xml:space="preserve">proportional </w:t>
      </w:r>
      <w:r w:rsidRPr="00194447" w:rsidR="009F0FB5">
        <w:rPr>
          <w:rFonts w:ascii="Palatino Linotype" w:hAnsi="Palatino Linotype" w:eastAsia="Palatino Linotype" w:cs="Times New Roman"/>
          <w:i/>
          <w:iCs/>
          <w:kern w:val="0"/>
          <w14:ligatures w14:val="none"/>
        </w:rPr>
        <w:lastRenderedPageBreak/>
        <w:t>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w:t>
      </w:r>
      <w:proofErr w:type="gramStart"/>
      <w:r w:rsidR="00AB3A5A">
        <w:rPr>
          <w:rFonts w:ascii="Palatino Linotype" w:hAnsi="Palatino Linotype" w:eastAsia="Palatino Linotype" w:cs="Times New Roman"/>
          <w:kern w:val="0"/>
          <w14:ligatures w14:val="none"/>
        </w:rPr>
        <w:t>refund amount</w:t>
      </w:r>
      <w:proofErr w:type="gramEnd"/>
      <w:r w:rsidR="00AB3A5A">
        <w:rPr>
          <w:rFonts w:ascii="Palatino Linotype" w:hAnsi="Palatino Linotype" w:eastAsia="Palatino Linotype" w:cs="Times New Roman"/>
          <w:kern w:val="0"/>
          <w14:ligatures w14:val="none"/>
        </w:rPr>
        <w:t xml:space="preserve">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r w:rsidR="00034C46">
        <w:rPr>
          <w:rFonts w:ascii="Palatino Linotype" w:hAnsi="Palatino Linotype" w:eastAsia="Palatino Linotype" w:cs="Times New Roman"/>
          <w:kern w:val="0"/>
          <w14:ligatures w14:val="none"/>
        </w:rPr>
        <w:t xml:space="preserve">In its Comments on the Draft Resolution, Cal Advocates </w:t>
      </w:r>
      <w:r w:rsidR="00D86452">
        <w:rPr>
          <w:rFonts w:ascii="Palatino Linotype" w:hAnsi="Palatino Linotype" w:eastAsia="Palatino Linotype" w:cs="Times New Roman"/>
          <w:kern w:val="0"/>
          <w14:ligatures w14:val="none"/>
        </w:rPr>
        <w:t>agrees with the argument here.</w:t>
      </w:r>
      <w:r w:rsidR="006D73B5">
        <w:rPr>
          <w:rStyle w:val="FootnoteReference"/>
          <w:rFonts w:ascii="Palatino Linotype" w:hAnsi="Palatino Linotype" w:eastAsia="Palatino Linotype" w:cs="Times New Roman"/>
          <w:kern w:val="0"/>
          <w14:ligatures w14:val="none"/>
        </w:rPr>
        <w:footnoteReference w:id="15"/>
      </w:r>
      <w:r w:rsidR="00D86452">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329DB5E2">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r w:rsidR="004E018B">
        <w:rPr>
          <w:rFonts w:ascii="Palatino Linotype" w:hAnsi="Palatino Linotype" w:eastAsia="Palatino Linotype" w:cs="Times New Roman"/>
          <w:kern w:val="0"/>
          <w14:ligatures w14:val="none"/>
        </w:rPr>
        <w:t>Instead, we find that an approximate method of accounting for transmission network upgrade costs is appropriate here.</w:t>
      </w:r>
      <w:r w:rsidR="008D1ACD">
        <w:rPr>
          <w:rFonts w:ascii="Palatino Linotype" w:hAnsi="Palatino Linotype" w:eastAsia="Palatino Linotype" w:cs="Times New Roman"/>
          <w:kern w:val="0"/>
          <w14:ligatures w14:val="none"/>
        </w:rPr>
        <w:t xml:space="preserve"> We also understand that parties prefer a </w:t>
      </w:r>
      <w:r w:rsidR="00857BC9">
        <w:rPr>
          <w:rFonts w:ascii="Palatino Linotype" w:hAnsi="Palatino Linotype" w:eastAsia="Palatino Linotype" w:cs="Times New Roman"/>
          <w:kern w:val="0"/>
          <w14:ligatures w14:val="none"/>
        </w:rPr>
        <w:t>method that avoids significant uncertaint</w:t>
      </w:r>
      <w:r w:rsidR="00AB0210">
        <w:rPr>
          <w:rFonts w:ascii="Palatino Linotype" w:hAnsi="Palatino Linotype" w:eastAsia="Palatino Linotype" w:cs="Times New Roman"/>
          <w:kern w:val="0"/>
          <w14:ligatures w14:val="none"/>
        </w:rPr>
        <w:t>y</w:t>
      </w:r>
      <w:r w:rsidR="0039132F">
        <w:rPr>
          <w:rFonts w:ascii="Palatino Linotype" w:hAnsi="Palatino Linotype" w:eastAsia="Palatino Linotype" w:cs="Times New Roman"/>
          <w:kern w:val="0"/>
          <w14:ligatures w14:val="none"/>
        </w:rPr>
        <w:t xml:space="preserve"> for large load customers seeking energization, and that uncertainty itself can deter development.</w:t>
      </w:r>
      <w:r w:rsidR="0039132F">
        <w:rPr>
          <w:rStyle w:val="FootnoteReference"/>
          <w:rFonts w:ascii="Palatino Linotype" w:hAnsi="Palatino Linotype" w:eastAsia="Palatino Linotype" w:cs="Times New Roman"/>
          <w:kern w:val="0"/>
          <w14:ligatures w14:val="none"/>
        </w:rPr>
        <w:footnoteReference w:id="16"/>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D7FA8" w14:paraId="302E0CF6" w14:textId="6141BD0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Specifically, we find it reasonable to require Google to pay an additional capital advance</w:t>
      </w:r>
      <w:r w:rsidRPr="00C41B43" w:rsidR="00C41B43">
        <w:rPr>
          <w:rFonts w:ascii="Palatino Linotype" w:hAnsi="Palatino Linotype" w:eastAsia="Palatino Linotype" w:cs="Times New Roman"/>
          <w:kern w:val="0"/>
          <w14:ligatures w14:val="none"/>
        </w:rPr>
        <w:t xml:space="preserve"> </w:t>
      </w:r>
      <w:r w:rsidR="00C41B43">
        <w:rPr>
          <w:rFonts w:ascii="Palatino Linotype" w:hAnsi="Palatino Linotype" w:eastAsia="Palatino Linotype" w:cs="Times New Roman"/>
          <w:kern w:val="0"/>
          <w14:ligatures w14:val="none"/>
        </w:rPr>
        <w:t>of $600,000 per MW of requested capacity</w:t>
      </w:r>
      <w:r>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This provides</w:t>
      </w:r>
      <w:r w:rsidR="00717471">
        <w:rPr>
          <w:rFonts w:ascii="Palatino Linotype" w:hAnsi="Palatino Linotype" w:eastAsia="Palatino Linotype" w:cs="Times New Roman"/>
          <w:kern w:val="0"/>
          <w14:ligatures w14:val="none"/>
        </w:rPr>
        <w:t xml:space="preserve"> a level of certainty</w:t>
      </w:r>
      <w:r w:rsidR="00EF1221">
        <w:rPr>
          <w:rFonts w:ascii="Palatino Linotype" w:hAnsi="Palatino Linotype" w:eastAsia="Palatino Linotype" w:cs="Times New Roman"/>
          <w:kern w:val="0"/>
          <w14:ligatures w14:val="none"/>
        </w:rPr>
        <w:t xml:space="preserve"> to Google about the</w:t>
      </w:r>
      <w:r w:rsidR="00717471">
        <w:rPr>
          <w:rFonts w:ascii="Palatino Linotype" w:hAnsi="Palatino Linotype" w:eastAsia="Palatino Linotype" w:cs="Times New Roman"/>
          <w:kern w:val="0"/>
          <w14:ligatures w14:val="none"/>
        </w:rPr>
        <w:t xml:space="preserve"> costs of energization for its 250 MW load. However, </w:t>
      </w:r>
      <w:r w:rsidR="00553F14">
        <w:rPr>
          <w:rFonts w:ascii="Palatino Linotype" w:hAnsi="Palatino Linotype" w:eastAsia="Palatino Linotype" w:cs="Times New Roman"/>
          <w:kern w:val="0"/>
          <w14:ligatures w14:val="none"/>
        </w:rPr>
        <w:t>t</w:t>
      </w:r>
      <w:r w:rsidR="00C41B43">
        <w:rPr>
          <w:rFonts w:ascii="Palatino Linotype" w:hAnsi="Palatino Linotype" w:eastAsia="Palatino Linotype" w:cs="Times New Roman"/>
          <w:kern w:val="0"/>
          <w14:ligatures w14:val="none"/>
        </w:rPr>
        <w:t xml:space="preserve">his is an </w:t>
      </w:r>
      <w:r w:rsidR="00553F14">
        <w:rPr>
          <w:rFonts w:ascii="Palatino Linotype" w:hAnsi="Palatino Linotype" w:eastAsia="Palatino Linotype" w:cs="Times New Roman"/>
          <w:kern w:val="0"/>
          <w14:ligatures w14:val="none"/>
        </w:rPr>
        <w:t xml:space="preserve">approximate method used in an </w:t>
      </w:r>
      <w:r w:rsidR="00C41B43">
        <w:rPr>
          <w:rFonts w:ascii="Palatino Linotype" w:hAnsi="Palatino Linotype" w:eastAsia="Palatino Linotype" w:cs="Times New Roman"/>
          <w:kern w:val="0"/>
          <w14:ligatures w14:val="none"/>
        </w:rPr>
        <w:t>exceptional case filing, and we</w:t>
      </w:r>
      <w:r w:rsidR="00422F7E">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also </w:t>
      </w:r>
      <w:r w:rsidR="00422F7E">
        <w:rPr>
          <w:rFonts w:ascii="Palatino Linotype" w:hAnsi="Palatino Linotype" w:eastAsia="Palatino Linotype" w:cs="Times New Roman"/>
          <w:kern w:val="0"/>
          <w14:ligatures w14:val="none"/>
        </w:rPr>
        <w:t xml:space="preserve">find it reasonable </w:t>
      </w:r>
      <w:r w:rsidR="003C7F11">
        <w:rPr>
          <w:rFonts w:ascii="Palatino Linotype" w:hAnsi="Palatino Linotype" w:eastAsia="Palatino Linotype" w:cs="Times New Roman"/>
          <w:kern w:val="0"/>
          <w14:ligatures w14:val="none"/>
        </w:rPr>
        <w:t xml:space="preserve">to </w:t>
      </w:r>
      <w:r w:rsidR="00C41B43">
        <w:rPr>
          <w:rFonts w:ascii="Palatino Linotype" w:hAnsi="Palatino Linotype" w:eastAsia="Palatino Linotype" w:cs="Times New Roman"/>
          <w:kern w:val="0"/>
          <w14:ligatures w14:val="none"/>
        </w:rPr>
        <w:t xml:space="preserve">allow </w:t>
      </w:r>
      <w:r w:rsidR="003C7F11">
        <w:rPr>
          <w:rFonts w:ascii="Palatino Linotype" w:hAnsi="Palatino Linotype" w:eastAsia="Palatino Linotype" w:cs="Times New Roman"/>
          <w:kern w:val="0"/>
          <w14:ligatures w14:val="none"/>
        </w:rPr>
        <w:t xml:space="preserve">Google and PG&amp;E to </w:t>
      </w:r>
      <w:r w:rsidR="00C41B43">
        <w:rPr>
          <w:rFonts w:ascii="Palatino Linotype" w:hAnsi="Palatino Linotype" w:eastAsia="Palatino Linotype" w:cs="Times New Roman"/>
          <w:kern w:val="0"/>
          <w14:ligatures w14:val="none"/>
        </w:rPr>
        <w:t xml:space="preserve">update this </w:t>
      </w:r>
      <w:r w:rsidR="00C07F73">
        <w:rPr>
          <w:rFonts w:ascii="Palatino Linotype" w:hAnsi="Palatino Linotype" w:eastAsia="Palatino Linotype" w:cs="Times New Roman"/>
          <w:kern w:val="0"/>
          <w14:ligatures w14:val="none"/>
        </w:rPr>
        <w:t xml:space="preserve">additional </w:t>
      </w:r>
      <w:r w:rsidR="00C41B43">
        <w:rPr>
          <w:rFonts w:ascii="Palatino Linotype" w:hAnsi="Palatino Linotype" w:eastAsia="Palatino Linotype" w:cs="Times New Roman"/>
          <w:kern w:val="0"/>
          <w14:ligatures w14:val="none"/>
        </w:rPr>
        <w:t>capital advance amount</w:t>
      </w:r>
      <w:r w:rsidR="00DC6CBD">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to</w:t>
      </w:r>
      <w:r w:rsidR="00582DA1">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c</w:t>
      </w:r>
      <w:r w:rsidR="003C7F11">
        <w:rPr>
          <w:rFonts w:ascii="Palatino Linotype" w:hAnsi="Palatino Linotype" w:eastAsia="Palatino Linotype" w:cs="Times New Roman"/>
          <w:kern w:val="0"/>
          <w14:ligatures w14:val="none"/>
        </w:rPr>
        <w:t>orrespond</w:t>
      </w:r>
      <w:r w:rsidR="00DC6CBD">
        <w:rPr>
          <w:rFonts w:ascii="Palatino Linotype" w:hAnsi="Palatino Linotype" w:eastAsia="Palatino Linotype" w:cs="Times New Roman"/>
          <w:kern w:val="0"/>
          <w14:ligatures w14:val="none"/>
        </w:rPr>
        <w:t xml:space="preserve">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 xml:space="preserve">Rule 30 </w:t>
      </w:r>
      <w:r w:rsidR="00343BF7">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5E3082">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 xml:space="preserve">and how transmission network upgrade costs are handled there </w:t>
      </w:r>
      <w:r w:rsidR="005E3082">
        <w:rPr>
          <w:rFonts w:ascii="Palatino Linotype" w:hAnsi="Palatino Linotype" w:eastAsia="Palatino Linotype" w:cs="Times New Roman"/>
          <w:kern w:val="0"/>
          <w14:ligatures w14:val="none"/>
        </w:rPr>
        <w:t>(transmission network upgrades are called Type 4 Facilities in A. 24-11-007)</w:t>
      </w:r>
      <w:r w:rsidR="00E91357">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In brief, if </w:t>
      </w:r>
      <w:r w:rsidR="00343BF7">
        <w:rPr>
          <w:rFonts w:ascii="Palatino Linotype" w:hAnsi="Palatino Linotype" w:eastAsia="Palatino Linotype" w:cs="Times New Roman"/>
          <w:kern w:val="0"/>
          <w14:ligatures w14:val="none"/>
        </w:rPr>
        <w:t xml:space="preserve">Google and/or PG&amp;E prefer </w:t>
      </w:r>
      <w:r w:rsidR="00553F14">
        <w:rPr>
          <w:rFonts w:ascii="Palatino Linotype" w:hAnsi="Palatino Linotype" w:eastAsia="Palatino Linotype" w:cs="Times New Roman"/>
          <w:kern w:val="0"/>
          <w14:ligatures w14:val="none"/>
        </w:rPr>
        <w:t xml:space="preserve">the outcome in the Rule 30 proceeding </w:t>
      </w:r>
      <w:r w:rsidR="00343BF7">
        <w:rPr>
          <w:rFonts w:ascii="Palatino Linotype" w:hAnsi="Palatino Linotype" w:eastAsia="Palatino Linotype" w:cs="Times New Roman"/>
          <w:kern w:val="0"/>
          <w14:ligatures w14:val="none"/>
        </w:rPr>
        <w:t>to the outcome here, they are free to modify the current agreement to reflect the outcome in the Rule 30 Proceeding</w:t>
      </w:r>
      <w:r w:rsidR="00582DA1">
        <w:rPr>
          <w:rFonts w:ascii="Palatino Linotype" w:hAnsi="Palatino Linotype" w:eastAsia="Palatino Linotype" w:cs="Times New Roman"/>
          <w:kern w:val="0"/>
          <w14:ligatures w14:val="none"/>
        </w:rPr>
        <w:t xml:space="preserve">. </w:t>
      </w:r>
      <w:r w:rsidR="00F00411">
        <w:rPr>
          <w:rFonts w:ascii="Palatino Linotype" w:hAnsi="Palatino Linotype" w:eastAsia="Palatino Linotype" w:cs="Times New Roman"/>
          <w:kern w:val="0"/>
          <w14:ligatures w14:val="none"/>
        </w:rPr>
        <w:t xml:space="preserve">If </w:t>
      </w:r>
      <w:r w:rsidR="00582DA1">
        <w:rPr>
          <w:rFonts w:ascii="Palatino Linotype" w:hAnsi="Palatino Linotype" w:eastAsia="Palatino Linotype" w:cs="Times New Roman"/>
          <w:kern w:val="0"/>
          <w14:ligatures w14:val="none"/>
        </w:rPr>
        <w:t xml:space="preserve">PG&amp;E </w:t>
      </w:r>
      <w:r w:rsidR="00F00411">
        <w:rPr>
          <w:rFonts w:ascii="Palatino Linotype" w:hAnsi="Palatino Linotype" w:eastAsia="Palatino Linotype" w:cs="Times New Roman"/>
          <w:kern w:val="0"/>
          <w14:ligatures w14:val="none"/>
        </w:rPr>
        <w:t xml:space="preserve">exercises this option, it must file </w:t>
      </w:r>
      <w:r w:rsidR="00356E1F">
        <w:rPr>
          <w:rFonts w:ascii="Palatino Linotype" w:hAnsi="Palatino Linotype" w:eastAsia="Palatino Linotype" w:cs="Times New Roman"/>
          <w:kern w:val="0"/>
          <w14:ligatures w14:val="none"/>
        </w:rPr>
        <w:t>a Tier 2 Advice Letter</w:t>
      </w:r>
      <w:r w:rsidR="00C07F73">
        <w:rPr>
          <w:rFonts w:ascii="Palatino Linotype" w:hAnsi="Palatino Linotype" w:eastAsia="Palatino Linotype" w:cs="Times New Roman"/>
          <w:kern w:val="0"/>
          <w14:ligatures w14:val="none"/>
        </w:rPr>
        <w:t xml:space="preserve"> </w:t>
      </w:r>
      <w:r w:rsidR="005E3082">
        <w:rPr>
          <w:rFonts w:ascii="Palatino Linotype" w:hAnsi="Palatino Linotype" w:eastAsia="Palatino Linotype" w:cs="Times New Roman"/>
          <w:kern w:val="0"/>
          <w14:ligatures w14:val="none"/>
        </w:rPr>
        <w:t>within one year after the</w:t>
      </w:r>
      <w:r w:rsidR="00C07F73">
        <w:rPr>
          <w:rFonts w:ascii="Palatino Linotype" w:hAnsi="Palatino Linotype" w:eastAsia="Palatino Linotype" w:cs="Times New Roman"/>
          <w:kern w:val="0"/>
          <w14:ligatures w14:val="none"/>
        </w:rPr>
        <w:t xml:space="preserve"> relevant Decision is issued in </w:t>
      </w:r>
      <w:proofErr w:type="gramStart"/>
      <w:r w:rsidR="00C07F73">
        <w:rPr>
          <w:rFonts w:ascii="Palatino Linotype" w:hAnsi="Palatino Linotype" w:eastAsia="Palatino Linotype" w:cs="Times New Roman"/>
          <w:kern w:val="0"/>
          <w14:ligatures w14:val="none"/>
        </w:rPr>
        <w:t>th</w:t>
      </w:r>
      <w:r w:rsidR="005E3082">
        <w:rPr>
          <w:rFonts w:ascii="Palatino Linotype" w:hAnsi="Palatino Linotype" w:eastAsia="Palatino Linotype" w:cs="Times New Roman"/>
          <w:kern w:val="0"/>
          <w14:ligatures w14:val="none"/>
        </w:rPr>
        <w:t>e Rule</w:t>
      </w:r>
      <w:proofErr w:type="gramEnd"/>
      <w:r w:rsidR="005E3082">
        <w:rPr>
          <w:rFonts w:ascii="Palatino Linotype" w:hAnsi="Palatino Linotype" w:eastAsia="Palatino Linotype" w:cs="Times New Roman"/>
          <w:kern w:val="0"/>
          <w14:ligatures w14:val="none"/>
        </w:rPr>
        <w:t xml:space="preserve"> 30</w:t>
      </w:r>
      <w:r w:rsidR="00C07F73">
        <w:rPr>
          <w:rFonts w:ascii="Palatino Linotype" w:hAnsi="Palatino Linotype" w:eastAsia="Palatino Linotype" w:cs="Times New Roman"/>
          <w:kern w:val="0"/>
          <w14:ligatures w14:val="none"/>
        </w:rPr>
        <w:t xml:space="preserve"> </w:t>
      </w:r>
      <w:proofErr w:type="gramStart"/>
      <w:r w:rsidR="00C07F73">
        <w:rPr>
          <w:rFonts w:ascii="Palatino Linotype" w:hAnsi="Palatino Linotype" w:eastAsia="Palatino Linotype" w:cs="Times New Roman"/>
          <w:kern w:val="0"/>
          <w14:ligatures w14:val="none"/>
        </w:rPr>
        <w:t>proceeding</w:t>
      </w:r>
      <w:proofErr w:type="gramEnd"/>
      <w:r w:rsidR="00D125BB">
        <w:rPr>
          <w:rFonts w:ascii="Palatino Linotype" w:hAnsi="Palatino Linotype" w:eastAsia="Palatino Linotype" w:cs="Times New Roman"/>
          <w:kern w:val="0"/>
          <w14:ligatures w14:val="none"/>
        </w:rPr>
        <w:t xml:space="preserve">.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081C6140">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lastRenderedPageBreak/>
        <w:t>For context</w:t>
      </w:r>
      <w:r w:rsidR="005E3082">
        <w:rPr>
          <w:rFonts w:ascii="Palatino Linotype" w:hAnsi="Palatino Linotype" w:eastAsia="Palatino Linotype" w:cs="Times New Roman"/>
        </w:rPr>
        <w:t xml:space="preserve"> on the $600,000 per MW additional capital advance proposed here</w:t>
      </w:r>
      <w:r w:rsidRPr="345BC483">
        <w:rPr>
          <w:rFonts w:ascii="Palatino Linotype" w:hAnsi="Palatino Linotype" w:eastAsia="Palatino Linotype" w:cs="Times New Roman"/>
        </w:rPr>
        <w:t>, various methods could be pursued</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087C5A" w:rsidP="2DFF863A" w:rsidRDefault="00646CBC" w14:paraId="2FE55401" w14:textId="06D594F3">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r w:rsidR="0073448D">
        <w:rPr>
          <w:rFonts w:ascii="Palatino Linotype" w:hAnsi="Palatino Linotype" w:eastAsia="Palatino Linotype" w:cs="Times New Roman"/>
          <w:kern w:val="0"/>
          <w14:ligatures w14:val="none"/>
        </w:rPr>
        <w:t xml:space="preserve">We also understand that both Google and PG&amp;E are requesting quick </w:t>
      </w:r>
      <w:r w:rsidR="00087C5A">
        <w:rPr>
          <w:rFonts w:ascii="Palatino Linotype" w:hAnsi="Palatino Linotype" w:eastAsia="Palatino Linotype" w:cs="Times New Roman"/>
          <w:kern w:val="0"/>
          <w14:ligatures w14:val="none"/>
        </w:rPr>
        <w:t xml:space="preserve">and practical </w:t>
      </w:r>
      <w:r w:rsidR="0073448D">
        <w:rPr>
          <w:rFonts w:ascii="Palatino Linotype" w:hAnsi="Palatino Linotype" w:eastAsia="Palatino Linotype" w:cs="Times New Roman"/>
          <w:kern w:val="0"/>
          <w14:ligatures w14:val="none"/>
        </w:rPr>
        <w:t xml:space="preserve">action </w:t>
      </w:r>
      <w:r w:rsidR="00087C5A">
        <w:rPr>
          <w:rFonts w:ascii="Palatino Linotype" w:hAnsi="Palatino Linotype" w:eastAsia="Palatino Linotype" w:cs="Times New Roman"/>
          <w:kern w:val="0"/>
          <w14:ligatures w14:val="none"/>
        </w:rPr>
        <w:t>in this case</w:t>
      </w:r>
      <w:r w:rsidR="0073448D">
        <w:rPr>
          <w:rFonts w:ascii="Palatino Linotype" w:hAnsi="Palatino Linotype" w:eastAsia="Palatino Linotype" w:cs="Times New Roman"/>
          <w:kern w:val="0"/>
          <w14:ligatures w14:val="none"/>
        </w:rPr>
        <w:t xml:space="preserve">. </w:t>
      </w:r>
    </w:p>
    <w:p w:rsidR="00087C5A" w:rsidP="2DFF863A" w:rsidRDefault="00087C5A" w14:paraId="6F73D801" w14:textId="77777777">
      <w:pPr>
        <w:spacing w:after="0" w:line="240" w:lineRule="auto"/>
        <w:contextualSpacing/>
        <w:rPr>
          <w:rFonts w:ascii="Palatino Linotype" w:hAnsi="Palatino Linotype" w:eastAsia="Palatino Linotype" w:cs="Times New Roman"/>
          <w:kern w:val="0"/>
          <w14:ligatures w14:val="none"/>
        </w:rPr>
      </w:pPr>
    </w:p>
    <w:p w:rsidR="005E66A9" w:rsidP="2DFF863A" w:rsidRDefault="0073448D" w14:paraId="3D1D02B1" w14:textId="18E2E58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Accordingly</w:t>
      </w:r>
      <w:r w:rsidRPr="00646CB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we find the $600,000 per MW figure to be an appropriate </w:t>
      </w:r>
      <w:r w:rsidR="00AE2B61">
        <w:rPr>
          <w:rFonts w:ascii="Palatino Linotype" w:hAnsi="Palatino Linotype" w:eastAsia="Palatino Linotype" w:cs="Times New Roman"/>
          <w:kern w:val="0"/>
          <w14:ligatures w14:val="none"/>
        </w:rPr>
        <w:t xml:space="preserve">amount to protect ratepayers from the general costs </w:t>
      </w:r>
      <w:r>
        <w:rPr>
          <w:rFonts w:ascii="Palatino Linotype" w:hAnsi="Palatino Linotype" w:eastAsia="Palatino Linotype" w:cs="Times New Roman"/>
          <w:kern w:val="0"/>
          <w14:ligatures w14:val="none"/>
        </w:rPr>
        <w:t>of transmission network upgrade</w:t>
      </w:r>
      <w:r w:rsidR="00AE2B6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E65E58">
        <w:rPr>
          <w:rFonts w:ascii="Palatino Linotype" w:hAnsi="Palatino Linotype" w:eastAsia="Palatino Linotype" w:cs="Times New Roman"/>
          <w:kern w:val="0"/>
          <w14:ligatures w14:val="none"/>
        </w:rPr>
        <w:t xml:space="preserve">for a transmission-level, </w:t>
      </w:r>
      <w:r>
        <w:rPr>
          <w:rFonts w:ascii="Palatino Linotype" w:hAnsi="Palatino Linotype" w:eastAsia="Palatino Linotype" w:cs="Times New Roman"/>
          <w:kern w:val="0"/>
          <w14:ligatures w14:val="none"/>
        </w:rPr>
        <w:t xml:space="preserve">large load exceptional case filing, and direct PG&amp;E to modify its agreement to add this additional capital advance requirement. </w:t>
      </w:r>
      <w:r w:rsidR="00BE2967">
        <w:rPr>
          <w:rFonts w:ascii="Palatino Linotype" w:hAnsi="Palatino Linotype" w:eastAsia="Palatino Linotype" w:cs="Times New Roman"/>
          <w:kern w:val="0"/>
          <w14:ligatures w14:val="none"/>
        </w:rPr>
        <w:t>T</w:t>
      </w:r>
      <w:r w:rsidR="00875C1E">
        <w:rPr>
          <w:rFonts w:ascii="Palatino Linotype" w:hAnsi="Palatino Linotype" w:eastAsia="Palatino Linotype" w:cs="Times New Roman"/>
          <w:kern w:val="0"/>
          <w14:ligatures w14:val="none"/>
        </w:rPr>
        <w:t>he $600,000 per MW figure works as</w:t>
      </w:r>
      <w:r w:rsidR="00BC138B">
        <w:rPr>
          <w:rFonts w:ascii="Palatino Linotype" w:hAnsi="Palatino Linotype" w:eastAsia="Palatino Linotype" w:cs="Times New Roman"/>
          <w:kern w:val="0"/>
          <w14:ligatures w14:val="none"/>
        </w:rPr>
        <w:t xml:space="preserve"> an appropriate </w:t>
      </w:r>
      <w:r w:rsidR="00BC697F">
        <w:rPr>
          <w:rFonts w:ascii="Palatino Linotype" w:hAnsi="Palatino Linotype" w:eastAsia="Palatino Linotype" w:cs="Times New Roman"/>
          <w:kern w:val="0"/>
          <w14:ligatures w14:val="none"/>
        </w:rPr>
        <w:t xml:space="preserve">approximate method to account for </w:t>
      </w:r>
      <w:r w:rsidR="00AF47E2">
        <w:rPr>
          <w:rFonts w:ascii="Palatino Linotype" w:hAnsi="Palatino Linotype" w:eastAsia="Palatino Linotype" w:cs="Times New Roman"/>
          <w:kern w:val="0"/>
          <w14:ligatures w14:val="none"/>
        </w:rPr>
        <w:t>the general costs of transmission network upgrades for transmission-level large loads</w:t>
      </w:r>
      <w:r w:rsidR="00BC138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We note that this remains a refundable capital advance, and Google would still be expected to receive a full refund over time</w:t>
      </w:r>
      <w:r w:rsidR="00617C8C">
        <w:rPr>
          <w:rFonts w:ascii="Palatino Linotype" w:hAnsi="Palatino Linotype" w:eastAsia="Palatino Linotype" w:cs="Times New Roman"/>
          <w:kern w:val="0"/>
          <w14:ligatures w14:val="none"/>
        </w:rPr>
        <w:t xml:space="preserve"> as load materializes</w:t>
      </w:r>
      <w:r>
        <w:rPr>
          <w:rFonts w:ascii="Palatino Linotype" w:hAnsi="Palatino Linotype" w:eastAsia="Palatino Linotype" w:cs="Times New Roman"/>
          <w:kern w:val="0"/>
          <w14:ligatures w14:val="none"/>
        </w:rPr>
        <w:t>.</w:t>
      </w:r>
    </w:p>
    <w:p w:rsidR="00F51790" w:rsidP="2DFF863A" w:rsidRDefault="00F51790" w14:paraId="1CC767E5" w14:textId="77777777">
      <w:pPr>
        <w:spacing w:after="0" w:line="240" w:lineRule="auto"/>
        <w:contextualSpacing/>
        <w:rPr>
          <w:rFonts w:ascii="Palatino Linotype" w:hAnsi="Palatino Linotype" w:eastAsia="Palatino Linotype" w:cs="Times New Roman"/>
          <w:kern w:val="0"/>
          <w14:ligatures w14:val="none"/>
        </w:rPr>
      </w:pPr>
    </w:p>
    <w:p w:rsidR="00F51790" w:rsidP="2DFF863A" w:rsidRDefault="00F51790" w14:paraId="1EEC3F1B" w14:textId="57B7F23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Also, given that this is an advance per MW of capacity, it is reasonable for Google to provide the advance the year before </w:t>
      </w:r>
      <w:r w:rsidR="00E314DD">
        <w:rPr>
          <w:rFonts w:ascii="Palatino Linotype" w:hAnsi="Palatino Linotype" w:eastAsia="Palatino Linotype" w:cs="Times New Roman"/>
          <w:kern w:val="0"/>
          <w14:ligatures w14:val="none"/>
        </w:rPr>
        <w:t>that capacity is both</w:t>
      </w:r>
      <w:r>
        <w:rPr>
          <w:rFonts w:ascii="Palatino Linotype" w:hAnsi="Palatino Linotype" w:eastAsia="Palatino Linotype" w:cs="Times New Roman"/>
          <w:kern w:val="0"/>
          <w14:ligatures w14:val="none"/>
        </w:rPr>
        <w:t xml:space="preserve"> requested </w:t>
      </w:r>
      <w:r w:rsidR="00E314DD">
        <w:rPr>
          <w:rFonts w:ascii="Palatino Linotype" w:hAnsi="Palatino Linotype" w:eastAsia="Palatino Linotype" w:cs="Times New Roman"/>
          <w:kern w:val="0"/>
          <w14:ligatures w14:val="none"/>
        </w:rPr>
        <w:t>by Google</w:t>
      </w:r>
      <w:r>
        <w:rPr>
          <w:rFonts w:ascii="Palatino Linotype" w:hAnsi="Palatino Linotype" w:eastAsia="Palatino Linotype" w:cs="Times New Roman"/>
          <w:kern w:val="0"/>
          <w14:ligatures w14:val="none"/>
        </w:rPr>
        <w:t xml:space="preserve"> and </w:t>
      </w:r>
      <w:r w:rsidR="00E314DD">
        <w:rPr>
          <w:rFonts w:ascii="Palatino Linotype" w:hAnsi="Palatino Linotype" w:eastAsia="Palatino Linotype" w:cs="Times New Roman"/>
          <w:kern w:val="0"/>
          <w14:ligatures w14:val="none"/>
        </w:rPr>
        <w:t xml:space="preserve">deemed available by </w:t>
      </w:r>
      <w:r>
        <w:rPr>
          <w:rFonts w:ascii="Palatino Linotype" w:hAnsi="Palatino Linotype" w:eastAsia="Palatino Linotype" w:cs="Times New Roman"/>
          <w:kern w:val="0"/>
          <w14:ligatures w14:val="none"/>
        </w:rPr>
        <w:t>PG&amp;</w:t>
      </w:r>
      <w:r w:rsidR="00E314DD">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17"/>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574E38" w:rsidRDefault="00B36B2C" w14:paraId="015E9201" w14:textId="27E9E390">
      <w:pPr>
        <w:keepNext/>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lastRenderedPageBreak/>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574E38" w:rsidRDefault="00717000" w14:paraId="32080F21" w14:textId="77777777">
      <w:pPr>
        <w:keepNext/>
        <w:spacing w:after="0" w:line="240" w:lineRule="auto"/>
        <w:contextualSpacing/>
        <w:rPr>
          <w:rFonts w:ascii="Palatino Linotype" w:hAnsi="Palatino Linotype" w:eastAsia="Palatino Linotype" w:cs="Times New Roman"/>
          <w:kern w:val="0"/>
          <w14:ligatures w14:val="none"/>
        </w:rPr>
      </w:pPr>
    </w:p>
    <w:p w:rsidR="00B36B2C" w:rsidP="00574E38" w:rsidRDefault="00B36B2C" w14:paraId="2413EEC8" w14:textId="29293CCB">
      <w:pPr>
        <w:keepNext/>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w:t>
      </w:r>
      <w:proofErr w:type="gramStart"/>
      <w:r w:rsidRPr="00B36B2C">
        <w:rPr>
          <w:rFonts w:ascii="Palatino Linotype" w:hAnsi="Palatino Linotype" w:eastAsia="Palatino Linotype" w:cs="Times New Roman"/>
          <w:kern w:val="0"/>
          <w14:ligatures w14:val="none"/>
        </w:rPr>
        <w:t>argues</w:t>
      </w:r>
      <w:proofErr w:type="gramEnd"/>
      <w:r w:rsidRPr="00B36B2C">
        <w:rPr>
          <w:rFonts w:ascii="Palatino Linotype" w:hAnsi="Palatino Linotype" w:eastAsia="Palatino Linotype" w:cs="Times New Roman"/>
          <w:kern w:val="0"/>
          <w14:ligatures w14:val="none"/>
        </w:rPr>
        <w:t xml:space="preserve">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 xml:space="preserve">the Commission should require modifications </w:t>
      </w:r>
      <w:proofErr w:type="gramStart"/>
      <w:r w:rsidRPr="00B36B2C">
        <w:rPr>
          <w:rFonts w:ascii="Palatino Linotype" w:hAnsi="Palatino Linotype" w:eastAsia="Palatino Linotype" w:cs="Times New Roman"/>
          <w:kern w:val="0"/>
          <w14:ligatures w14:val="none"/>
        </w:rPr>
        <w:t>similar to</w:t>
      </w:r>
      <w:proofErr w:type="gramEnd"/>
      <w:r w:rsidRPr="00B36B2C">
        <w:rPr>
          <w:rFonts w:ascii="Palatino Linotype" w:hAnsi="Palatino Linotype" w:eastAsia="Palatino Linotype" w:cs="Times New Roman"/>
          <w:kern w:val="0"/>
          <w14:ligatures w14:val="none"/>
        </w:rPr>
        <w:t xml:space="preserve">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w:t>
      </w:r>
      <w:proofErr w:type="gramStart"/>
      <w:r w:rsidRPr="13F3B869">
        <w:rPr>
          <w:rFonts w:ascii="Palatino Linotype" w:hAnsi="Palatino Linotype" w:eastAsia="Aptos" w:cs="Times New Roman"/>
        </w:rPr>
        <w:t>actually cover</w:t>
      </w:r>
      <w:proofErr w:type="gramEnd"/>
      <w:r w:rsidRPr="13F3B869">
        <w:rPr>
          <w:rFonts w:ascii="Palatino Linotype" w:hAnsi="Palatino Linotype" w:eastAsia="Aptos" w:cs="Times New Roman"/>
        </w:rPr>
        <w:t xml:space="preserve">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annual net revenues” means the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the customer associated with the transmission</w:t>
      </w:r>
      <w:r w:rsidR="003A06F1">
        <w:rPr>
          <w:rFonts w:ascii="Palatino Linotype" w:hAnsi="Palatino Linotype" w:eastAsia="Palatino Linotype" w:cs="Times New Roman"/>
          <w:kern w:val="0"/>
          <w14:ligatures w14:val="none"/>
        </w:rPr>
        <w:t xml:space="preserve"> component of the </w:t>
      </w:r>
      <w:r w:rsidR="003A06F1">
        <w:rPr>
          <w:rFonts w:ascii="Palatino Linotype" w:hAnsi="Palatino Linotype" w:eastAsia="Palatino Linotype" w:cs="Times New Roman"/>
          <w:kern w:val="0"/>
          <w14:ligatures w14:val="none"/>
        </w:rPr>
        <w:lastRenderedPageBreak/>
        <w:t>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43CB96C9">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proofErr w:type="gramStart"/>
      <w:r w:rsidR="00DE55CA">
        <w:rPr>
          <w:rFonts w:ascii="Palatino Linotype" w:hAnsi="Palatino Linotype" w:eastAsia="Palatino Linotype" w:cs="Times New Roman"/>
          <w:kern w:val="0"/>
          <w14:ligatures w14:val="none"/>
        </w:rPr>
        <w:t>an additional</w:t>
      </w:r>
      <w:proofErr w:type="gramEnd"/>
      <w:r w:rsidR="00DE55CA">
        <w:rPr>
          <w:rFonts w:ascii="Palatino Linotype" w:hAnsi="Palatino Linotype" w:eastAsia="Palatino Linotype" w:cs="Times New Roman"/>
          <w:kern w:val="0"/>
          <w14:ligatures w14:val="none"/>
        </w:rPr>
        <w:t xml:space="preserve"> capital advance</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w:t>
      </w:r>
      <w:proofErr w:type="gramStart"/>
      <w:r w:rsidR="00E706F0">
        <w:rPr>
          <w:rFonts w:ascii="Palatino Linotype" w:hAnsi="Palatino Linotype" w:eastAsia="Palatino Linotype" w:cs="Times New Roman"/>
          <w:kern w:val="0"/>
          <w14:ligatures w14:val="none"/>
        </w:rPr>
        <w:t>further limit</w:t>
      </w:r>
      <w:proofErr w:type="gramEnd"/>
      <w:r w:rsidR="00E706F0">
        <w:rPr>
          <w:rFonts w:ascii="Palatino Linotype" w:hAnsi="Palatino Linotype" w:eastAsia="Palatino Linotype" w:cs="Times New Roman"/>
          <w:kern w:val="0"/>
          <w14:ligatures w14:val="none"/>
        </w:rPr>
        <w:t xml:space="preserve">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8"/>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w:t>
      </w:r>
      <w:proofErr w:type="gramStart"/>
      <w:r w:rsidRPr="00B36B2C">
        <w:rPr>
          <w:rFonts w:ascii="Palatino Linotype" w:hAnsi="Palatino Linotype" w:eastAsia="Palatino Linotype" w:cs="Times New Roman"/>
          <w:kern w:val="0"/>
          <w14:ligatures w14:val="none"/>
        </w:rPr>
        <w:t>refunds</w:t>
      </w:r>
      <w:proofErr w:type="gramEnd"/>
      <w:r w:rsidRPr="00B36B2C">
        <w:rPr>
          <w:rFonts w:ascii="Palatino Linotype" w:hAnsi="Palatino Linotype" w:eastAsia="Palatino Linotype" w:cs="Times New Roman"/>
          <w:kern w:val="0"/>
          <w14:ligatures w14:val="none"/>
        </w:rPr>
        <w:t xml:space="preserve"> to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7464823F">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w:t>
      </w:r>
      <w:proofErr w:type="gramStart"/>
      <w:r w:rsidRPr="00B36B2C" w:rsidR="00B36B2C">
        <w:rPr>
          <w:rFonts w:ascii="Palatino Linotype" w:hAnsi="Palatino Linotype" w:eastAsia="Palatino Linotype" w:cs="Times New Roman"/>
          <w:kern w:val="0"/>
          <w14:ligatures w14:val="none"/>
        </w:rPr>
        <w:t>actually received</w:t>
      </w:r>
      <w:proofErr w:type="gramEnd"/>
      <w:r w:rsidRPr="00B36B2C" w:rsidR="00B36B2C">
        <w:rPr>
          <w:rFonts w:ascii="Palatino Linotype" w:hAnsi="Palatino Linotype" w:eastAsia="Palatino Linotype" w:cs="Times New Roman"/>
          <w:kern w:val="0"/>
          <w14:ligatures w14:val="none"/>
        </w:rPr>
        <w:t xml:space="preserve">,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507DAF">
        <w:rPr>
          <w:rFonts w:ascii="Palatino Linotype" w:hAnsi="Palatino Linotype" w:eastAsia="Palatino Linotype" w:cs="Times New Roman"/>
          <w:kern w:val="0"/>
          <w14:ligatures w14:val="none"/>
        </w:rPr>
        <w:t>through an additional capital advance</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4CAC18B6">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Google. This modification 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r w:rsidR="00A45172">
        <w:rPr>
          <w:rFonts w:ascii="Palatino Linotype" w:hAnsi="Palatino Linotype" w:eastAsia="Palatino Linotype" w:cs="Times New Roman"/>
          <w:kern w:val="0"/>
          <w14:ligatures w14:val="none"/>
        </w:rPr>
        <w:t xml:space="preserve">Based on Google’s expected load ramp, it would be expected to receive a full refund in about </w:t>
      </w:r>
      <w:r w:rsidR="002175D9">
        <w:rPr>
          <w:rFonts w:ascii="Palatino Linotype" w:hAnsi="Palatino Linotype" w:eastAsia="Palatino Linotype" w:cs="Times New Roman"/>
          <w:kern w:val="0"/>
          <w14:ligatures w14:val="none"/>
        </w:rPr>
        <w:br/>
      </w:r>
      <w:r w:rsidR="00A45172">
        <w:rPr>
          <w:rFonts w:ascii="Palatino Linotype" w:hAnsi="Palatino Linotype" w:eastAsia="Palatino Linotype" w:cs="Times New Roman"/>
          <w:kern w:val="0"/>
          <w14:ligatures w14:val="none"/>
        </w:rPr>
        <w:t>8 years.</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paced to net revenues actually received.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 xml:space="preserve">We make one additional modification to the standard BARC process here. Under the standard process, if a customer’s expected future net revenues are not enough to justify the costs of their energization, they are charged an additional fee to cover PG&amp;E’s cost of ownership. </w:t>
      </w:r>
      <w:proofErr w:type="gramStart"/>
      <w:r>
        <w:rPr>
          <w:rFonts w:ascii="Palatino Linotype" w:hAnsi="Palatino Linotype" w:eastAsia="Aptos" w:cs="Times New Roman"/>
        </w:rPr>
        <w:t>In light of</w:t>
      </w:r>
      <w:proofErr w:type="gramEnd"/>
      <w:r>
        <w:rPr>
          <w:rFonts w:ascii="Palatino Linotype" w:hAnsi="Palatino Linotype" w:eastAsia="Aptos" w:cs="Times New Roman"/>
        </w:rPr>
        <w:t xml:space="preserve"> the </w:t>
      </w:r>
      <w:proofErr w:type="gramStart"/>
      <w:r>
        <w:rPr>
          <w:rFonts w:ascii="Palatino Linotype" w:hAnsi="Palatino Linotype" w:eastAsia="Aptos" w:cs="Times New Roman"/>
        </w:rPr>
        <w:t>modifications</w:t>
      </w:r>
      <w:proofErr w:type="gramEnd"/>
      <w:r>
        <w:rPr>
          <w:rFonts w:ascii="Palatino Linotype" w:hAnsi="Palatino Linotype" w:eastAsia="Aptos" w:cs="Times New Roman"/>
        </w:rPr>
        <w:t xml:space="preserve"> we </w:t>
      </w:r>
      <w:proofErr w:type="gramStart"/>
      <w:r>
        <w:rPr>
          <w:rFonts w:ascii="Palatino Linotype" w:hAnsi="Palatino Linotype" w:eastAsia="Aptos" w:cs="Times New Roman"/>
        </w:rPr>
        <w:t>adopt</w:t>
      </w:r>
      <w:proofErr w:type="gramEnd"/>
      <w:r>
        <w:rPr>
          <w:rFonts w:ascii="Palatino Linotype" w:hAnsi="Palatino Linotype" w:eastAsia="Aptos" w:cs="Times New Roman"/>
        </w:rPr>
        <w:t xml:space="preserve"> here intentionally </w:t>
      </w:r>
      <w:proofErr w:type="gramStart"/>
      <w:r>
        <w:rPr>
          <w:rFonts w:ascii="Palatino Linotype" w:hAnsi="Palatino Linotype" w:eastAsia="Aptos" w:cs="Times New Roman"/>
        </w:rPr>
        <w:t>limiting</w:t>
      </w:r>
      <w:proofErr w:type="gramEnd"/>
      <w:r>
        <w:rPr>
          <w:rFonts w:ascii="Palatino Linotype" w:hAnsi="Palatino Linotype" w:eastAsia="Aptos" w:cs="Times New Roman"/>
        </w:rPr>
        <w:t xml:space="preserve">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Pr="00B36B2C" w:rsidR="00406AF1" w:rsidP="00B36B2C" w:rsidRDefault="00406AF1" w14:paraId="53AD7EC8"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w:t>
      </w:r>
      <w:proofErr w:type="gramStart"/>
      <w:r w:rsidRPr="00B36B2C">
        <w:rPr>
          <w:rFonts w:ascii="Palatino Linotype" w:hAnsi="Palatino Linotype" w:eastAsia="Palatino Linotype" w:cs="Times New Roman"/>
          <w:kern w:val="0"/>
          <w14:ligatures w14:val="none"/>
        </w:rPr>
        <w:t>engineering</w:t>
      </w:r>
      <w:proofErr w:type="gramEnd"/>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9"/>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20"/>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proofErr w:type="gramStart"/>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w:t>
      </w:r>
      <w:proofErr w:type="gramEnd"/>
      <w:r w:rsidRPr="00B36B2C">
        <w:rPr>
          <w:rFonts w:ascii="Palatino Linotype" w:hAnsi="Palatino Linotype" w:eastAsia="Palatino Linotype" w:cs="Times New Roman"/>
          <w:kern w:val="0"/>
          <w14:ligatures w14:val="none"/>
        </w:rPr>
        <w:t xml:space="preserve">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0C426A" w:rsidRDefault="00B36B2C" w14:paraId="03F3AB91" w14:textId="1DBB59C5">
      <w:pPr>
        <w:keepNext/>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lastRenderedPageBreak/>
        <w:t>Oversight and Supplemental Costs: Avoiding Overlap Is Reasonable</w:t>
      </w:r>
    </w:p>
    <w:p w:rsidRPr="00B36B2C" w:rsidR="004D46CE" w:rsidP="000C426A" w:rsidRDefault="004D46CE" w14:paraId="512FA50F" w14:textId="77777777">
      <w:pPr>
        <w:keepNext/>
        <w:spacing w:after="0" w:line="240" w:lineRule="auto"/>
        <w:contextualSpacing/>
        <w:rPr>
          <w:rFonts w:ascii="Palatino Linotype" w:hAnsi="Palatino Linotype" w:eastAsia="Palatino Linotype" w:cs="Times New Roman"/>
          <w:kern w:val="0"/>
          <w14:ligatures w14:val="none"/>
        </w:rPr>
      </w:pPr>
    </w:p>
    <w:p w:rsidR="00B36B2C" w:rsidP="000C426A" w:rsidRDefault="0014122F" w14:paraId="36099253" w14:textId="7425BCF4">
      <w:pPr>
        <w:keepNext/>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overall cost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 xml:space="preserve">e approve PG&amp;E’s recovery of reasonable oversight and supplemental costs in </w:t>
      </w:r>
      <w:proofErr w:type="gramStart"/>
      <w:r w:rsidRPr="00B36B2C" w:rsidR="00B36B2C">
        <w:rPr>
          <w:rFonts w:ascii="Palatino Linotype" w:hAnsi="Palatino Linotype" w:eastAsia="Palatino Linotype" w:cs="Times New Roman"/>
          <w:kern w:val="0"/>
          <w14:ligatures w14:val="none"/>
        </w:rPr>
        <w:t>general, but</w:t>
      </w:r>
      <w:proofErr w:type="gramEnd"/>
      <w:r w:rsidRPr="00B36B2C" w:rsidR="00B36B2C">
        <w:rPr>
          <w:rFonts w:ascii="Palatino Linotype" w:hAnsi="Palatino Linotype" w:eastAsia="Palatino Linotype" w:cs="Times New Roman"/>
          <w:kern w:val="0"/>
          <w14:ligatures w14:val="none"/>
        </w:rPr>
        <w:t xml:space="preserve">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E02C8C5">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lastRenderedPageBreak/>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436D7F">
        <w:rPr>
          <w:rFonts w:ascii="Palatino Linotype" w:hAnsi="Palatino Linotype" w:eastAsia="Palatino Linotype" w:cs="Times New Roman"/>
          <w:kern w:val="0"/>
          <w14:ligatures w14:val="none"/>
        </w:rPr>
        <w:t>adoption of the additional capital advance</w:t>
      </w:r>
      <w:r w:rsidR="0019365A">
        <w:rPr>
          <w:rFonts w:ascii="Palatino Linotype" w:hAnsi="Palatino Linotype" w:eastAsia="Palatino Linotype" w:cs="Times New Roman"/>
          <w:kern w:val="0"/>
          <w14:ligatures w14:val="none"/>
        </w:rPr>
        <w:t xml:space="preserve">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w:t>
      </w:r>
      <w:proofErr w:type="gramStart"/>
      <w:r w:rsidRPr="00B36B2C" w:rsidR="00B36B2C">
        <w:rPr>
          <w:rFonts w:ascii="Palatino Linotype" w:hAnsi="Palatino Linotype" w:eastAsia="Palatino Linotype" w:cs="Times New Roman"/>
          <w:kern w:val="0"/>
          <w14:ligatures w14:val="none"/>
        </w:rPr>
        <w:t>protections</w:t>
      </w:r>
      <w:proofErr w:type="gramEnd"/>
      <w:r w:rsidRPr="00B36B2C" w:rsidR="00B36B2C">
        <w:rPr>
          <w:rFonts w:ascii="Palatino Linotype" w:hAnsi="Palatino Linotype" w:eastAsia="Palatino Linotype" w:cs="Times New Roman"/>
          <w:kern w:val="0"/>
          <w14:ligatures w14:val="none"/>
        </w:rPr>
        <w:t xml:space="preserve">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Imel requests that PG&amp;E provide a redacted version of the agreement and additional public </w:t>
      </w:r>
      <w:proofErr w:type="gramStart"/>
      <w:r w:rsidRPr="00B36B2C" w:rsidR="00B36B2C">
        <w:rPr>
          <w:rFonts w:ascii="Palatino Linotype" w:hAnsi="Palatino Linotype" w:eastAsia="Palatino Linotype" w:cs="Times New Roman"/>
          <w:kern w:val="0"/>
          <w14:ligatures w14:val="none"/>
        </w:rPr>
        <w:t>detail</w:t>
      </w:r>
      <w:proofErr w:type="gramEnd"/>
      <w:r w:rsidRPr="00B36B2C" w:rsidR="00B36B2C">
        <w:rPr>
          <w:rFonts w:ascii="Palatino Linotype" w:hAnsi="Palatino Linotype" w:eastAsia="Palatino Linotype" w:cs="Times New Roman"/>
          <w:kern w:val="0"/>
          <w14:ligatures w14:val="none"/>
        </w:rPr>
        <w:t xml:space="preserve">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A76F4A" w:rsidRDefault="008859F9" w14:paraId="73D79B48" w14:textId="32EA2768">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This Resolution was </w:t>
      </w:r>
      <w:r w:rsidR="00EB39E1">
        <w:rPr>
          <w:rFonts w:ascii="Palatino Linotype" w:hAnsi="Palatino Linotype" w:eastAsia="Palatino Linotype" w:cs="Times New Roman"/>
          <w:kern w:val="0"/>
          <w14:ligatures w14:val="none"/>
        </w:rPr>
        <w:t xml:space="preserve">mailed on </w:t>
      </w:r>
      <w:r w:rsidR="00432E12">
        <w:rPr>
          <w:rFonts w:ascii="Palatino Linotype" w:hAnsi="Palatino Linotype" w:eastAsia="Palatino Linotype" w:cs="Times New Roman"/>
          <w:kern w:val="0"/>
          <w14:ligatures w14:val="none"/>
        </w:rPr>
        <w:t xml:space="preserve">May 29, 2026. </w:t>
      </w:r>
      <w:r w:rsidR="0057402A">
        <w:rPr>
          <w:rFonts w:ascii="Palatino Linotype" w:hAnsi="Palatino Linotype" w:eastAsia="Palatino Linotype" w:cs="Times New Roman"/>
          <w:kern w:val="0"/>
          <w14:ligatures w14:val="none"/>
        </w:rPr>
        <w:t xml:space="preserve">Comments were timely filed on or before June 18, </w:t>
      </w:r>
      <w:proofErr w:type="gramStart"/>
      <w:r w:rsidR="0057402A">
        <w:rPr>
          <w:rFonts w:ascii="Palatino Linotype" w:hAnsi="Palatino Linotype" w:eastAsia="Palatino Linotype" w:cs="Times New Roman"/>
          <w:kern w:val="0"/>
          <w14:ligatures w14:val="none"/>
        </w:rPr>
        <w:t>202</w:t>
      </w:r>
      <w:r w:rsidR="00701102">
        <w:rPr>
          <w:rFonts w:ascii="Palatino Linotype" w:hAnsi="Palatino Linotype" w:eastAsia="Palatino Linotype" w:cs="Times New Roman"/>
          <w:kern w:val="0"/>
          <w14:ligatures w14:val="none"/>
        </w:rPr>
        <w:t>6</w:t>
      </w:r>
      <w:proofErr w:type="gramEnd"/>
      <w:r w:rsidR="0057402A">
        <w:rPr>
          <w:rFonts w:ascii="Palatino Linotype" w:hAnsi="Palatino Linotype" w:eastAsia="Palatino Linotype" w:cs="Times New Roman"/>
          <w:kern w:val="0"/>
          <w14:ligatures w14:val="none"/>
        </w:rPr>
        <w:t xml:space="preserve"> by </w:t>
      </w:r>
      <w:r w:rsidRPr="0064194D" w:rsidR="0064194D">
        <w:rPr>
          <w:rFonts w:ascii="Palatino Linotype" w:hAnsi="Palatino Linotype" w:eastAsia="Palatino Linotype" w:cs="Times New Roman"/>
          <w:kern w:val="0"/>
          <w14:ligatures w14:val="none"/>
        </w:rPr>
        <w:t>Pacific Gas and Electric Company (PG&amp;E), the Public Advocates Office (Cal Advocates), Google, Southern California Edison</w:t>
      </w:r>
      <w:r w:rsidR="001D4311">
        <w:rPr>
          <w:rFonts w:ascii="Palatino Linotype" w:hAnsi="Palatino Linotype" w:eastAsia="Palatino Linotype" w:cs="Times New Roman"/>
          <w:kern w:val="0"/>
          <w14:ligatures w14:val="none"/>
        </w:rPr>
        <w:t xml:space="preserve"> Company</w:t>
      </w:r>
      <w:r w:rsidRPr="0064194D" w:rsidR="0064194D">
        <w:rPr>
          <w:rFonts w:ascii="Palatino Linotype" w:hAnsi="Palatino Linotype" w:eastAsia="Palatino Linotype" w:cs="Times New Roman"/>
          <w:kern w:val="0"/>
          <w14:ligatures w14:val="none"/>
        </w:rPr>
        <w:t xml:space="preserve"> (SCE), the Bay Area Council, the City of San José, the Direct Access Customer Coalition (DACC), Fifth Space, Orchard Partners, the Silicon Valley Leadership Group (SVLG), and Westbank.</w:t>
      </w:r>
      <w:r w:rsidR="0064194D">
        <w:rPr>
          <w:rFonts w:ascii="Palatino Linotype" w:hAnsi="Palatino Linotype" w:eastAsia="Palatino Linotype" w:cs="Times New Roman"/>
          <w:kern w:val="0"/>
          <w14:ligatures w14:val="none"/>
        </w:rPr>
        <w:t xml:space="preserve"> </w:t>
      </w:r>
      <w:r w:rsidR="00AB1539">
        <w:rPr>
          <w:rFonts w:ascii="Palatino Linotype" w:hAnsi="Palatino Linotype" w:eastAsia="Palatino Linotype" w:cs="Times New Roman"/>
          <w:kern w:val="0"/>
          <w14:ligatures w14:val="none"/>
        </w:rPr>
        <w:t>Menlo</w:t>
      </w:r>
      <w:r w:rsidR="000C4D9A">
        <w:rPr>
          <w:rFonts w:ascii="Palatino Linotype" w:hAnsi="Palatino Linotype" w:eastAsia="Palatino Linotype" w:cs="Times New Roman"/>
          <w:kern w:val="0"/>
          <w14:ligatures w14:val="none"/>
        </w:rPr>
        <w:t xml:space="preserve"> Equities</w:t>
      </w:r>
      <w:r w:rsidR="00AB1539">
        <w:rPr>
          <w:rFonts w:ascii="Palatino Linotype" w:hAnsi="Palatino Linotype" w:eastAsia="Palatino Linotype" w:cs="Times New Roman"/>
          <w:kern w:val="0"/>
          <w14:ligatures w14:val="none"/>
        </w:rPr>
        <w:t xml:space="preserve"> filed late comments</w:t>
      </w:r>
      <w:r w:rsidR="00701102">
        <w:rPr>
          <w:rFonts w:ascii="Palatino Linotype" w:hAnsi="Palatino Linotype" w:eastAsia="Palatino Linotype" w:cs="Times New Roman"/>
          <w:kern w:val="0"/>
          <w14:ligatures w14:val="none"/>
        </w:rPr>
        <w:t xml:space="preserve"> on June 19, 2026.</w:t>
      </w:r>
      <w:r w:rsidR="00AA2D23">
        <w:rPr>
          <w:rFonts w:ascii="Palatino Linotype" w:hAnsi="Palatino Linotype" w:eastAsia="Palatino Linotype" w:cs="Times New Roman"/>
          <w:kern w:val="0"/>
          <w14:ligatures w14:val="none"/>
        </w:rPr>
        <w:t xml:space="preserve"> We </w:t>
      </w:r>
      <w:r w:rsidR="003A03AF">
        <w:rPr>
          <w:rFonts w:ascii="Palatino Linotype" w:hAnsi="Palatino Linotype" w:eastAsia="Palatino Linotype" w:cs="Times New Roman"/>
          <w:kern w:val="0"/>
          <w14:ligatures w14:val="none"/>
        </w:rPr>
        <w:t>provide an overview of the various positions</w:t>
      </w:r>
      <w:r w:rsidR="00971C56">
        <w:rPr>
          <w:rFonts w:ascii="Palatino Linotype" w:hAnsi="Palatino Linotype" w:eastAsia="Palatino Linotype" w:cs="Times New Roman"/>
          <w:kern w:val="0"/>
          <w14:ligatures w14:val="none"/>
        </w:rPr>
        <w:t xml:space="preserve"> below </w:t>
      </w:r>
      <w:r w:rsidR="00EB4B58">
        <w:rPr>
          <w:rFonts w:ascii="Palatino Linotype" w:hAnsi="Palatino Linotype" w:eastAsia="Palatino Linotype" w:cs="Times New Roman"/>
          <w:kern w:val="0"/>
          <w14:ligatures w14:val="none"/>
        </w:rPr>
        <w:t>and discuss changes to the draft Resolution based on these comments. The changes are reflected in the original discussion section</w:t>
      </w:r>
      <w:r w:rsidR="000B27FA">
        <w:rPr>
          <w:rFonts w:ascii="Palatino Linotype" w:hAnsi="Palatino Linotype" w:eastAsia="Palatino Linotype" w:cs="Times New Roman"/>
          <w:kern w:val="0"/>
          <w14:ligatures w14:val="none"/>
        </w:rPr>
        <w:t xml:space="preserve"> above</w:t>
      </w:r>
      <w:r w:rsidR="00EB4B58">
        <w:rPr>
          <w:rFonts w:ascii="Palatino Linotype" w:hAnsi="Palatino Linotype" w:eastAsia="Palatino Linotype" w:cs="Times New Roman"/>
          <w:kern w:val="0"/>
          <w14:ligatures w14:val="none"/>
        </w:rPr>
        <w:t>, as well as being discussed here</w:t>
      </w:r>
      <w:r w:rsidR="00307EEC">
        <w:rPr>
          <w:rFonts w:ascii="Palatino Linotype" w:hAnsi="Palatino Linotype" w:eastAsia="Palatino Linotype" w:cs="Times New Roman"/>
          <w:kern w:val="0"/>
          <w14:ligatures w14:val="none"/>
        </w:rPr>
        <w:t>.</w:t>
      </w:r>
    </w:p>
    <w:p w:rsidR="00915A83" w:rsidP="00A76F4A" w:rsidRDefault="00915A83" w14:paraId="19981311"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6CDE5FAE" w14:textId="3ED84A2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Most commenting</w:t>
      </w:r>
      <w:r w:rsidRPr="007F77B4">
        <w:rPr>
          <w:rFonts w:ascii="Palatino Linotype" w:hAnsi="Palatino Linotype" w:eastAsia="Palatino Linotype" w:cs="Times New Roman"/>
          <w:kern w:val="0"/>
          <w14:ligatures w14:val="none"/>
        </w:rPr>
        <w:t xml:space="preserve"> parties—including </w:t>
      </w:r>
      <w:r>
        <w:rPr>
          <w:rFonts w:ascii="Palatino Linotype" w:hAnsi="Palatino Linotype" w:eastAsia="Palatino Linotype" w:cs="Times New Roman"/>
          <w:kern w:val="0"/>
          <w14:ligatures w14:val="none"/>
        </w:rPr>
        <w:t xml:space="preserve">Cal Advocates, </w:t>
      </w:r>
      <w:r w:rsidRPr="007F77B4">
        <w:rPr>
          <w:rFonts w:ascii="Palatino Linotype" w:hAnsi="Palatino Linotype" w:eastAsia="Palatino Linotype" w:cs="Times New Roman"/>
          <w:kern w:val="0"/>
          <w14:ligatures w14:val="none"/>
        </w:rPr>
        <w:t xml:space="preserve">PG&amp;E, Google, the Bay Area Council, the City of San José, </w:t>
      </w:r>
      <w:r>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 and Westbank— objected to the uncertainty created by </w:t>
      </w:r>
      <w:r w:rsidR="002168B3">
        <w:rPr>
          <w:rFonts w:ascii="Palatino Linotype" w:hAnsi="Palatino Linotype" w:eastAsia="Palatino Linotype" w:cs="Times New Roman"/>
          <w:kern w:val="0"/>
          <w14:ligatures w14:val="none"/>
        </w:rPr>
        <w:t xml:space="preserve">the draft Resolution </w:t>
      </w:r>
      <w:r w:rsidRPr="007F77B4">
        <w:rPr>
          <w:rFonts w:ascii="Palatino Linotype" w:hAnsi="Palatino Linotype" w:eastAsia="Palatino Linotype" w:cs="Times New Roman"/>
          <w:kern w:val="0"/>
          <w14:ligatures w14:val="none"/>
        </w:rPr>
        <w:t>deferring cost-allocation decisions to the outcome of the pending Rule 30 proceeding</w:t>
      </w:r>
      <w:r>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(A.24-11-007), which has no defined issuance date. </w:t>
      </w:r>
      <w:r w:rsidRPr="0059103F">
        <w:rPr>
          <w:rFonts w:ascii="Palatino Linotype" w:hAnsi="Palatino Linotype" w:eastAsia="Palatino Linotype" w:cs="Times New Roman"/>
          <w:kern w:val="0"/>
          <w14:ligatures w14:val="none"/>
        </w:rPr>
        <w:t xml:space="preserve">Commenters identified two distinct types of uncertainty for developers. </w:t>
      </w:r>
    </w:p>
    <w:p w:rsidR="002A5165" w:rsidP="00915A83" w:rsidRDefault="002A5165" w14:paraId="4C5AD826"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773367F7" w14:textId="028BD38F">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t>First, deferring key cost-allocation and refund decisions to the Rule 30 proceeding, which has no established issuance date, leaves developers</w:t>
      </w:r>
      <w:r w:rsidR="002A5165">
        <w:rPr>
          <w:rFonts w:ascii="Palatino Linotype" w:hAnsi="Palatino Linotype" w:eastAsia="Palatino Linotype" w:cs="Times New Roman"/>
          <w:kern w:val="0"/>
          <w14:ligatures w14:val="none"/>
        </w:rPr>
        <w:t xml:space="preserve"> and ratepayers</w:t>
      </w:r>
      <w:r w:rsidRPr="0059103F">
        <w:rPr>
          <w:rFonts w:ascii="Palatino Linotype" w:hAnsi="Palatino Linotype" w:eastAsia="Palatino Linotype" w:cs="Times New Roman"/>
          <w:kern w:val="0"/>
          <w14:ligatures w14:val="none"/>
        </w:rPr>
        <w:t xml:space="preserve"> without clarity on whether significant upfront payments will be required, in what amounts, and whether they would ever be refundable</w:t>
      </w:r>
      <w:r w:rsidR="002A5165">
        <w:rPr>
          <w:rFonts w:ascii="Palatino Linotype" w:hAnsi="Palatino Linotype" w:eastAsia="Palatino Linotype" w:cs="Times New Roman"/>
          <w:kern w:val="0"/>
          <w14:ligatures w14:val="none"/>
        </w:rPr>
        <w:t>. S</w:t>
      </w:r>
      <w:r w:rsidRPr="0059103F">
        <w:rPr>
          <w:rFonts w:ascii="Palatino Linotype" w:hAnsi="Palatino Linotype" w:eastAsia="Palatino Linotype" w:cs="Times New Roman"/>
          <w:kern w:val="0"/>
          <w14:ligatures w14:val="none"/>
        </w:rPr>
        <w:t xml:space="preserve">everal parties, including Westbank, the Bay Area Council, and SVLG, </w:t>
      </w:r>
      <w:r w:rsidRPr="0059103F" w:rsidR="00646A65">
        <w:rPr>
          <w:rFonts w:ascii="Palatino Linotype" w:hAnsi="Palatino Linotype" w:eastAsia="Palatino Linotype" w:cs="Times New Roman"/>
          <w:kern w:val="0"/>
          <w14:ligatures w14:val="none"/>
        </w:rPr>
        <w:t>state that</w:t>
      </w:r>
      <w:r w:rsidRPr="0059103F">
        <w:rPr>
          <w:rFonts w:ascii="Palatino Linotype" w:hAnsi="Palatino Linotype" w:eastAsia="Palatino Linotype" w:cs="Times New Roman"/>
          <w:kern w:val="0"/>
          <w14:ligatures w14:val="none"/>
        </w:rPr>
        <w:t xml:space="preserve"> this uncertainty makes projects difficult or impossible to finance and threatens investment decisions.</w:t>
      </w:r>
      <w:r w:rsidR="00CC4D57">
        <w:rPr>
          <w:rStyle w:val="FootnoteReference"/>
          <w:rFonts w:ascii="Palatino Linotype" w:hAnsi="Palatino Linotype" w:eastAsia="Palatino Linotype" w:cs="Times New Roman"/>
          <w:kern w:val="0"/>
          <w14:ligatures w14:val="none"/>
        </w:rPr>
        <w:footnoteReference w:id="21"/>
      </w:r>
      <w:r w:rsidRPr="0059103F">
        <w:rPr>
          <w:rFonts w:ascii="Palatino Linotype" w:hAnsi="Palatino Linotype" w:eastAsia="Palatino Linotype" w:cs="Times New Roman"/>
          <w:kern w:val="0"/>
          <w14:ligatures w14:val="none"/>
        </w:rPr>
        <w:t xml:space="preserve"> </w:t>
      </w:r>
      <w:r w:rsidRPr="00EA1F48" w:rsidR="00D12A46">
        <w:rPr>
          <w:rFonts w:ascii="Palatino Linotype" w:hAnsi="Palatino Linotype" w:eastAsia="Palatino Linotype" w:cs="Times New Roman"/>
          <w:kern w:val="0"/>
          <w14:ligatures w14:val="none"/>
        </w:rPr>
        <w:t>Cal Advocates argues that the Resolution errs in deferring key cost-responsibility and refund protections to future proceedings rather than adopting them in the agreement itself.</w:t>
      </w:r>
      <w:r w:rsidR="00BA5595">
        <w:rPr>
          <w:rStyle w:val="FootnoteReference"/>
          <w:rFonts w:ascii="Palatino Linotype" w:hAnsi="Palatino Linotype" w:eastAsia="Palatino Linotype" w:cs="Times New Roman"/>
          <w:kern w:val="0"/>
          <w14:ligatures w14:val="none"/>
        </w:rPr>
        <w:footnoteReference w:id="22"/>
      </w:r>
      <w:r w:rsidRPr="00EA1F48" w:rsidR="00D12A46">
        <w:rPr>
          <w:rFonts w:ascii="Palatino Linotype" w:hAnsi="Palatino Linotype" w:eastAsia="Palatino Linotype" w:cs="Times New Roman"/>
          <w:kern w:val="0"/>
          <w14:ligatures w14:val="none"/>
        </w:rPr>
        <w:t xml:space="preserve"> </w:t>
      </w:r>
      <w:r w:rsidR="002A5165">
        <w:rPr>
          <w:rFonts w:ascii="Palatino Linotype" w:hAnsi="Palatino Linotype" w:eastAsia="Palatino Linotype" w:cs="Times New Roman"/>
          <w:kern w:val="0"/>
          <w14:ligatures w14:val="none"/>
        </w:rPr>
        <w:t>Parties are correct that uncertainty can itself become a barrier to new development and investment.</w:t>
      </w:r>
      <w:r w:rsidR="000F1449">
        <w:rPr>
          <w:rFonts w:ascii="Palatino Linotype" w:hAnsi="Palatino Linotype" w:eastAsia="Palatino Linotype" w:cs="Times New Roman"/>
          <w:kern w:val="0"/>
          <w14:ligatures w14:val="none"/>
        </w:rPr>
        <w:t xml:space="preserve"> </w:t>
      </w:r>
      <w:r w:rsidR="00473A06">
        <w:rPr>
          <w:rFonts w:ascii="Palatino Linotype" w:hAnsi="Palatino Linotype" w:eastAsia="Palatino Linotype" w:cs="Times New Roman"/>
          <w:kern w:val="0"/>
          <w14:ligatures w14:val="none"/>
        </w:rPr>
        <w:t xml:space="preserve">We also recognize that most commenting parties objected to this uncertainty, and no party supported it. </w:t>
      </w:r>
      <w:r w:rsidR="002A5165">
        <w:rPr>
          <w:rFonts w:ascii="Palatino Linotype" w:hAnsi="Palatino Linotype" w:eastAsia="Palatino Linotype" w:cs="Times New Roman"/>
          <w:kern w:val="0"/>
          <w14:ligatures w14:val="none"/>
        </w:rPr>
        <w:t xml:space="preserve">Accordingly, we </w:t>
      </w:r>
      <w:r w:rsidR="000F1449">
        <w:rPr>
          <w:rFonts w:ascii="Palatino Linotype" w:hAnsi="Palatino Linotype" w:eastAsia="Palatino Linotype" w:cs="Times New Roman"/>
          <w:kern w:val="0"/>
          <w14:ligatures w14:val="none"/>
        </w:rPr>
        <w:t xml:space="preserve">agree it is reasonable to </w:t>
      </w:r>
      <w:r w:rsidR="006B27C0">
        <w:rPr>
          <w:rFonts w:ascii="Palatino Linotype" w:hAnsi="Palatino Linotype" w:eastAsia="Palatino Linotype" w:cs="Times New Roman"/>
          <w:kern w:val="0"/>
          <w14:ligatures w14:val="none"/>
        </w:rPr>
        <w:t xml:space="preserve">provide a concrete and practical requirement in this Resolution rather than </w:t>
      </w:r>
      <w:r w:rsidR="00C507E8">
        <w:rPr>
          <w:rFonts w:ascii="Palatino Linotype" w:hAnsi="Palatino Linotype" w:eastAsia="Palatino Linotype" w:cs="Times New Roman"/>
          <w:kern w:val="0"/>
          <w14:ligatures w14:val="none"/>
        </w:rPr>
        <w:t xml:space="preserve">fully </w:t>
      </w:r>
      <w:r w:rsidR="006B27C0">
        <w:rPr>
          <w:rFonts w:ascii="Palatino Linotype" w:hAnsi="Palatino Linotype" w:eastAsia="Palatino Linotype" w:cs="Times New Roman"/>
          <w:kern w:val="0"/>
          <w14:ligatures w14:val="none"/>
        </w:rPr>
        <w:t xml:space="preserve">defer to the </w:t>
      </w:r>
      <w:r w:rsidR="001C66A3">
        <w:rPr>
          <w:rFonts w:ascii="Palatino Linotype" w:hAnsi="Palatino Linotype" w:eastAsia="Palatino Linotype" w:cs="Times New Roman"/>
          <w:kern w:val="0"/>
          <w14:ligatures w14:val="none"/>
        </w:rPr>
        <w:t>outcome in the Rule 30 Proceeding</w:t>
      </w:r>
      <w:r w:rsidR="001470D0">
        <w:rPr>
          <w:rFonts w:ascii="Palatino Linotype" w:hAnsi="Palatino Linotype" w:eastAsia="Palatino Linotype" w:cs="Times New Roman"/>
          <w:kern w:val="0"/>
          <w14:ligatures w14:val="none"/>
        </w:rPr>
        <w:t xml:space="preserve">, and we </w:t>
      </w:r>
      <w:r w:rsidR="00435923">
        <w:rPr>
          <w:rFonts w:ascii="Palatino Linotype" w:hAnsi="Palatino Linotype" w:eastAsia="Palatino Linotype" w:cs="Times New Roman"/>
          <w:kern w:val="0"/>
          <w14:ligatures w14:val="none"/>
        </w:rPr>
        <w:t>direct PG&amp;E to require an additional capital advance of $600,000 per MW</w:t>
      </w:r>
      <w:r w:rsidR="00FF3D6D">
        <w:rPr>
          <w:rFonts w:ascii="Palatino Linotype" w:hAnsi="Palatino Linotype" w:eastAsia="Palatino Linotype" w:cs="Times New Roman"/>
          <w:kern w:val="0"/>
          <w14:ligatures w14:val="none"/>
        </w:rPr>
        <w:t xml:space="preserve"> as </w:t>
      </w:r>
      <w:r w:rsidR="004831AF">
        <w:rPr>
          <w:rFonts w:ascii="Palatino Linotype" w:hAnsi="Palatino Linotype" w:eastAsia="Palatino Linotype" w:cs="Times New Roman"/>
          <w:kern w:val="0"/>
          <w14:ligatures w14:val="none"/>
        </w:rPr>
        <w:t xml:space="preserve">just such </w:t>
      </w:r>
      <w:r w:rsidR="00FF3D6D">
        <w:rPr>
          <w:rFonts w:ascii="Palatino Linotype" w:hAnsi="Palatino Linotype" w:eastAsia="Palatino Linotype" w:cs="Times New Roman"/>
          <w:kern w:val="0"/>
          <w14:ligatures w14:val="none"/>
        </w:rPr>
        <w:t xml:space="preserve">a concrete and practical </w:t>
      </w:r>
      <w:r w:rsidR="002A60A9">
        <w:rPr>
          <w:rFonts w:ascii="Palatino Linotype" w:hAnsi="Palatino Linotype" w:eastAsia="Palatino Linotype" w:cs="Times New Roman"/>
          <w:kern w:val="0"/>
          <w14:ligatures w14:val="none"/>
        </w:rPr>
        <w:t>ratepayer protection</w:t>
      </w:r>
      <w:r w:rsidR="00435923">
        <w:rPr>
          <w:rFonts w:ascii="Palatino Linotype" w:hAnsi="Palatino Linotype" w:eastAsia="Palatino Linotype" w:cs="Times New Roman"/>
          <w:kern w:val="0"/>
          <w14:ligatures w14:val="none"/>
        </w:rPr>
        <w:t>.</w:t>
      </w:r>
      <w:r w:rsidR="002A60A9">
        <w:rPr>
          <w:rFonts w:ascii="Palatino Linotype" w:hAnsi="Palatino Linotype" w:eastAsia="Palatino Linotype" w:cs="Times New Roman"/>
          <w:kern w:val="0"/>
          <w14:ligatures w14:val="none"/>
        </w:rPr>
        <w:t xml:space="preserve"> However, we still allow Google and PG&amp;E the option to modify their agreement so </w:t>
      </w:r>
      <w:r w:rsidR="00C507E8">
        <w:rPr>
          <w:rFonts w:ascii="Palatino Linotype" w:hAnsi="Palatino Linotype" w:eastAsia="Palatino Linotype" w:cs="Times New Roman"/>
          <w:kern w:val="0"/>
          <w14:ligatures w14:val="none"/>
        </w:rPr>
        <w:t xml:space="preserve">that </w:t>
      </w:r>
      <w:r w:rsidR="002A60A9">
        <w:rPr>
          <w:rFonts w:ascii="Palatino Linotype" w:hAnsi="Palatino Linotype" w:eastAsia="Palatino Linotype" w:cs="Times New Roman"/>
          <w:kern w:val="0"/>
          <w14:ligatures w14:val="none"/>
        </w:rPr>
        <w:t xml:space="preserve">it corresponds with the outcome in </w:t>
      </w:r>
      <w:proofErr w:type="gramStart"/>
      <w:r w:rsidR="002A60A9">
        <w:rPr>
          <w:rFonts w:ascii="Palatino Linotype" w:hAnsi="Palatino Linotype" w:eastAsia="Palatino Linotype" w:cs="Times New Roman"/>
          <w:kern w:val="0"/>
          <w14:ligatures w14:val="none"/>
        </w:rPr>
        <w:t>the Rule</w:t>
      </w:r>
      <w:proofErr w:type="gramEnd"/>
      <w:r w:rsidR="002A60A9">
        <w:rPr>
          <w:rFonts w:ascii="Palatino Linotype" w:hAnsi="Palatino Linotype" w:eastAsia="Palatino Linotype" w:cs="Times New Roman"/>
          <w:kern w:val="0"/>
          <w14:ligatures w14:val="none"/>
        </w:rPr>
        <w:t xml:space="preserve"> 30 Proceeding</w:t>
      </w:r>
      <w:r w:rsidR="001D4311">
        <w:rPr>
          <w:rFonts w:ascii="Palatino Linotype" w:hAnsi="Palatino Linotype" w:eastAsia="Palatino Linotype" w:cs="Times New Roman"/>
          <w:kern w:val="0"/>
          <w14:ligatures w14:val="none"/>
        </w:rPr>
        <w:t xml:space="preserve"> and submit it to the Commission for approval via </w:t>
      </w:r>
      <w:proofErr w:type="gramStart"/>
      <w:r w:rsidR="001D4311">
        <w:rPr>
          <w:rFonts w:ascii="Palatino Linotype" w:hAnsi="Palatino Linotype" w:eastAsia="Palatino Linotype" w:cs="Times New Roman"/>
          <w:kern w:val="0"/>
          <w14:ligatures w14:val="none"/>
        </w:rPr>
        <w:t>a Tier</w:t>
      </w:r>
      <w:proofErr w:type="gramEnd"/>
      <w:r w:rsidR="001D4311">
        <w:rPr>
          <w:rFonts w:ascii="Palatino Linotype" w:hAnsi="Palatino Linotype" w:eastAsia="Palatino Linotype" w:cs="Times New Roman"/>
          <w:kern w:val="0"/>
          <w14:ligatures w14:val="none"/>
        </w:rPr>
        <w:t xml:space="preserve"> 2 AL</w:t>
      </w:r>
      <w:r w:rsidR="002A60A9">
        <w:rPr>
          <w:rFonts w:ascii="Palatino Linotype" w:hAnsi="Palatino Linotype" w:eastAsia="Palatino Linotype" w:cs="Times New Roman"/>
          <w:kern w:val="0"/>
          <w14:ligatures w14:val="none"/>
        </w:rPr>
        <w:t xml:space="preserve">, if they </w:t>
      </w:r>
      <w:r w:rsidR="00127FF5">
        <w:rPr>
          <w:rFonts w:ascii="Palatino Linotype" w:hAnsi="Palatino Linotype" w:eastAsia="Palatino Linotype" w:cs="Times New Roman"/>
          <w:kern w:val="0"/>
          <w14:ligatures w14:val="none"/>
        </w:rPr>
        <w:t>prefer that outcome</w:t>
      </w:r>
      <w:r w:rsidR="002A60A9">
        <w:rPr>
          <w:rFonts w:ascii="Palatino Linotype" w:hAnsi="Palatino Linotype" w:eastAsia="Palatino Linotype" w:cs="Times New Roman"/>
          <w:kern w:val="0"/>
          <w14:ligatures w14:val="none"/>
        </w:rPr>
        <w:t>.</w:t>
      </w:r>
    </w:p>
    <w:p w:rsidR="002A5165" w:rsidP="00915A83" w:rsidRDefault="002A5165" w14:paraId="4ADE87E3" w14:textId="77777777">
      <w:pPr>
        <w:spacing w:after="0" w:line="240" w:lineRule="auto"/>
        <w:rPr>
          <w:rFonts w:ascii="Palatino Linotype" w:hAnsi="Palatino Linotype" w:eastAsia="Palatino Linotype" w:cs="Times New Roman"/>
          <w:kern w:val="0"/>
          <w14:ligatures w14:val="none"/>
        </w:rPr>
      </w:pPr>
    </w:p>
    <w:p w:rsidRPr="007F77B4" w:rsidR="00C507E8" w:rsidP="00915A83" w:rsidRDefault="00915A83" w14:paraId="79BFE572" w14:textId="793D1ED7">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lastRenderedPageBreak/>
        <w:t>Second, the comments highlight the absence of a clear, transparent methodology by which a developer could predict the size of any additional capital advance, with PG&amp;E, SCE, and others arguing that the Resolution's illustrative allocation methods are unsupported by any causation analysis linking the customer's load to specific network upgrade costs.</w:t>
      </w:r>
      <w:r>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believe a $600,000 per MW figure strikes a balance between protecting ratepayers and providing certainty based on available data</w:t>
      </w:r>
      <w:r w:rsidR="001D4311">
        <w:rPr>
          <w:rFonts w:ascii="Palatino Linotype" w:hAnsi="Palatino Linotype" w:eastAsia="Palatino Linotype" w:cs="Times New Roman"/>
          <w:kern w:val="0"/>
          <w14:ligatures w14:val="none"/>
        </w:rPr>
        <w:t xml:space="preserve"> for this specific contract</w:t>
      </w:r>
      <w:r w:rsidR="00617C8C">
        <w:rPr>
          <w:rFonts w:ascii="Palatino Linotype" w:hAnsi="Palatino Linotype" w:eastAsia="Palatino Linotype" w:cs="Times New Roman"/>
          <w:kern w:val="0"/>
          <w14:ligatures w14:val="none"/>
        </w:rPr>
        <w:t>. T</w:t>
      </w:r>
      <w:r w:rsidR="00C507E8">
        <w:rPr>
          <w:rFonts w:ascii="Palatino Linotype" w:hAnsi="Palatino Linotype" w:eastAsia="Palatino Linotype" w:cs="Times New Roman"/>
          <w:kern w:val="0"/>
          <w14:ligatures w14:val="none"/>
        </w:rPr>
        <w:t xml:space="preserve">he $600,000 per MW figure </w:t>
      </w:r>
      <w:r w:rsidR="00810939">
        <w:rPr>
          <w:rFonts w:ascii="Palatino Linotype" w:hAnsi="Palatino Linotype" w:eastAsia="Palatino Linotype" w:cs="Times New Roman"/>
          <w:kern w:val="0"/>
          <w14:ligatures w14:val="none"/>
        </w:rPr>
        <w:t>is</w:t>
      </w:r>
      <w:r w:rsidR="00C507E8">
        <w:rPr>
          <w:rFonts w:ascii="Palatino Linotype" w:hAnsi="Palatino Linotype" w:eastAsia="Palatino Linotype" w:cs="Times New Roman"/>
          <w:kern w:val="0"/>
          <w14:ligatures w14:val="none"/>
        </w:rPr>
        <w:t xml:space="preserve"> an appropriate approximate method to account for the general costs of transmission network upgrades for transmission-level large loads. </w:t>
      </w:r>
    </w:p>
    <w:p w:rsidR="00701102" w:rsidP="00A76F4A" w:rsidRDefault="00701102" w14:paraId="6C2100BE" w14:textId="77777777">
      <w:pPr>
        <w:spacing w:after="0" w:line="240" w:lineRule="auto"/>
        <w:rPr>
          <w:rFonts w:ascii="Palatino Linotype" w:hAnsi="Palatino Linotype" w:eastAsia="Palatino Linotype" w:cs="Times New Roman"/>
          <w:kern w:val="0"/>
          <w14:ligatures w14:val="none"/>
        </w:rPr>
      </w:pPr>
    </w:p>
    <w:p w:rsidR="001D2402" w:rsidP="007F77B4" w:rsidRDefault="007F77B4" w14:paraId="4B624A75" w14:textId="547F35DA">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PG&amp;E, Google, SCE, the Bay Area Council, the City of San José, </w:t>
      </w:r>
      <w:r w:rsidR="00903473">
        <w:rPr>
          <w:rFonts w:ascii="Palatino Linotype" w:hAnsi="Palatino Linotype" w:eastAsia="Palatino Linotype" w:cs="Times New Roman"/>
          <w:kern w:val="0"/>
          <w14:ligatures w14:val="none"/>
        </w:rPr>
        <w:t>SVLC</w:t>
      </w:r>
      <w:r w:rsidRPr="007F77B4">
        <w:rPr>
          <w:rFonts w:ascii="Palatino Linotype" w:hAnsi="Palatino Linotype" w:eastAsia="Palatino Linotype" w:cs="Times New Roman"/>
          <w:kern w:val="0"/>
          <w14:ligatures w14:val="none"/>
        </w:rPr>
        <w:t xml:space="preserve">, </w:t>
      </w:r>
      <w:r w:rsidR="00903473">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Fifth Space, Menlo Equities, and Westbank argue that the </w:t>
      </w:r>
      <w:r w:rsidR="0046160E">
        <w:rPr>
          <w:rFonts w:ascii="Palatino Linotype" w:hAnsi="Palatino Linotype" w:eastAsia="Palatino Linotype" w:cs="Times New Roman"/>
          <w:kern w:val="0"/>
          <w14:ligatures w14:val="none"/>
        </w:rPr>
        <w:t xml:space="preserve">transmission network </w:t>
      </w:r>
      <w:r w:rsidRPr="007F77B4">
        <w:rPr>
          <w:rFonts w:ascii="Palatino Linotype" w:hAnsi="Palatino Linotype" w:eastAsia="Palatino Linotype" w:cs="Times New Roman"/>
          <w:kern w:val="0"/>
          <w14:ligatures w14:val="none"/>
        </w:rPr>
        <w:t>upgrades</w:t>
      </w:r>
      <w:r w:rsidR="0046160E">
        <w:rPr>
          <w:rFonts w:ascii="Palatino Linotype" w:hAnsi="Palatino Linotype" w:eastAsia="Palatino Linotype" w:cs="Times New Roman"/>
          <w:kern w:val="0"/>
          <w14:ligatures w14:val="none"/>
        </w:rPr>
        <w:t xml:space="preserve"> identified in the draft Resolution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such as the CAISO-approved Newark-NRS 230 kV line</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were planned for regional reliability, </w:t>
      </w:r>
      <w:r w:rsidR="0050552C">
        <w:rPr>
          <w:rFonts w:ascii="Palatino Linotype" w:hAnsi="Palatino Linotype" w:eastAsia="Palatino Linotype" w:cs="Times New Roman"/>
          <w:kern w:val="0"/>
          <w14:ligatures w14:val="none"/>
        </w:rPr>
        <w:t>provide broad</w:t>
      </w:r>
      <w:r w:rsidRPr="007F77B4">
        <w:rPr>
          <w:rFonts w:ascii="Palatino Linotype" w:hAnsi="Palatino Linotype" w:eastAsia="Palatino Linotype" w:cs="Times New Roman"/>
          <w:kern w:val="0"/>
          <w14:ligatures w14:val="none"/>
        </w:rPr>
        <w:t xml:space="preserve"> ratepayer</w:t>
      </w:r>
      <w:r w:rsidR="0050552C">
        <w:rPr>
          <w:rFonts w:ascii="Palatino Linotype" w:hAnsi="Palatino Linotype" w:eastAsia="Palatino Linotype" w:cs="Times New Roman"/>
          <w:kern w:val="0"/>
          <w14:ligatures w14:val="none"/>
        </w:rPr>
        <w:t xml:space="preserve"> benefits</w:t>
      </w:r>
      <w:r w:rsidRPr="007F77B4">
        <w:rPr>
          <w:rFonts w:ascii="Palatino Linotype" w:hAnsi="Palatino Linotype" w:eastAsia="Palatino Linotype" w:cs="Times New Roman"/>
          <w:kern w:val="0"/>
          <w14:ligatures w14:val="none"/>
        </w:rPr>
        <w:t xml:space="preserve">, and have traditionally been recovered through established transmission rates. </w:t>
      </w:r>
      <w:r w:rsidR="00617C8C">
        <w:rPr>
          <w:rFonts w:ascii="Palatino Linotype" w:hAnsi="Palatino Linotype" w:eastAsia="Palatino Linotype" w:cs="Times New Roman"/>
          <w:kern w:val="0"/>
          <w14:ligatures w14:val="none"/>
        </w:rPr>
        <w:t>We note that t</w:t>
      </w:r>
      <w:r w:rsidR="00EE19BA">
        <w:rPr>
          <w:rFonts w:ascii="Palatino Linotype" w:hAnsi="Palatino Linotype" w:eastAsia="Palatino Linotype" w:cs="Times New Roman"/>
          <w:kern w:val="0"/>
          <w14:ligatures w14:val="none"/>
        </w:rPr>
        <w:t>he additional capital advance</w:t>
      </w:r>
      <w:r w:rsidR="00617C8C">
        <w:rPr>
          <w:rFonts w:ascii="Palatino Linotype" w:hAnsi="Palatino Linotype" w:eastAsia="Palatino Linotype" w:cs="Times New Roman"/>
          <w:kern w:val="0"/>
          <w14:ligatures w14:val="none"/>
        </w:rPr>
        <w:t xml:space="preserve"> is</w:t>
      </w:r>
      <w:r w:rsidR="00EE19BA">
        <w:rPr>
          <w:rFonts w:ascii="Palatino Linotype" w:hAnsi="Palatino Linotype" w:eastAsia="Palatino Linotype" w:cs="Times New Roman"/>
          <w:kern w:val="0"/>
          <w14:ligatures w14:val="none"/>
        </w:rPr>
        <w:t xml:space="preserve"> refundable, and thus the costs would ultimately </w:t>
      </w:r>
      <w:proofErr w:type="gramStart"/>
      <w:r w:rsidR="00EE19BA">
        <w:rPr>
          <w:rFonts w:ascii="Palatino Linotype" w:hAnsi="Palatino Linotype" w:eastAsia="Palatino Linotype" w:cs="Times New Roman"/>
          <w:kern w:val="0"/>
          <w14:ligatures w14:val="none"/>
        </w:rPr>
        <w:t>be recovered</w:t>
      </w:r>
      <w:proofErr w:type="gramEnd"/>
      <w:r w:rsidR="00EE19BA">
        <w:rPr>
          <w:rFonts w:ascii="Palatino Linotype" w:hAnsi="Palatino Linotype" w:eastAsia="Palatino Linotype" w:cs="Times New Roman"/>
          <w:kern w:val="0"/>
          <w14:ligatures w14:val="none"/>
        </w:rPr>
        <w:t xml:space="preserve"> through established transmission rates</w:t>
      </w:r>
      <w:r w:rsidR="00961254">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per the standard process.</w:t>
      </w:r>
      <w:r w:rsidR="00EF6324">
        <w:rPr>
          <w:rFonts w:ascii="Palatino Linotype" w:hAnsi="Palatino Linotype" w:eastAsia="Palatino Linotype" w:cs="Times New Roman"/>
          <w:kern w:val="0"/>
          <w14:ligatures w14:val="none"/>
        </w:rPr>
        <w:t xml:space="preserve"> </w:t>
      </w:r>
    </w:p>
    <w:p w:rsidR="001D2402" w:rsidP="007F77B4" w:rsidRDefault="001D2402" w14:paraId="2521C72B" w14:textId="77777777">
      <w:pPr>
        <w:spacing w:after="0" w:line="240" w:lineRule="auto"/>
        <w:rPr>
          <w:rFonts w:ascii="Palatino Linotype" w:hAnsi="Palatino Linotype" w:eastAsia="Palatino Linotype" w:cs="Times New Roman"/>
          <w:kern w:val="0"/>
          <w14:ligatures w14:val="none"/>
        </w:rPr>
      </w:pPr>
    </w:p>
    <w:p w:rsidR="008007A2" w:rsidP="007F77B4" w:rsidRDefault="007F77B4" w14:paraId="240C035E" w14:textId="23F34FB9">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PG&amp;E and SCE additionally raised concerns about potential conflict with federal jurisdiction over interstate transmission.</w:t>
      </w:r>
      <w:r w:rsidR="00724713">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note t</w:t>
      </w:r>
      <w:r w:rsidR="00A507AD">
        <w:rPr>
          <w:rFonts w:ascii="Palatino Linotype" w:hAnsi="Palatino Linotype" w:eastAsia="Palatino Linotype" w:cs="Times New Roman"/>
          <w:kern w:val="0"/>
          <w14:ligatures w14:val="none"/>
        </w:rPr>
        <w:t>his Resolution</w:t>
      </w:r>
      <w:r w:rsidR="00617C8C">
        <w:rPr>
          <w:rFonts w:ascii="Palatino Linotype" w:hAnsi="Palatino Linotype" w:eastAsia="Palatino Linotype" w:cs="Times New Roman"/>
          <w:kern w:val="0"/>
          <w14:ligatures w14:val="none"/>
        </w:rPr>
        <w:t xml:space="preserve"> is </w:t>
      </w:r>
      <w:r w:rsidR="00206061">
        <w:rPr>
          <w:rFonts w:ascii="Palatino Linotype" w:hAnsi="Palatino Linotype" w:eastAsia="Palatino Linotype" w:cs="Times New Roman"/>
          <w:kern w:val="0"/>
          <w14:ligatures w14:val="none"/>
        </w:rPr>
        <w:t xml:space="preserve">an exceptional case filing in which the customer, and many other parties, have specifically requested a concrete and practical </w:t>
      </w:r>
      <w:r w:rsidR="002F0CBF">
        <w:rPr>
          <w:rFonts w:ascii="Palatino Linotype" w:hAnsi="Palatino Linotype" w:eastAsia="Palatino Linotype" w:cs="Times New Roman"/>
          <w:kern w:val="0"/>
          <w14:ligatures w14:val="none"/>
        </w:rPr>
        <w:t xml:space="preserve">resolution. In this case, </w:t>
      </w:r>
      <w:r w:rsidR="00617C8C">
        <w:rPr>
          <w:rFonts w:ascii="Palatino Linotype" w:hAnsi="Palatino Linotype" w:eastAsia="Palatino Linotype" w:cs="Times New Roman"/>
          <w:kern w:val="0"/>
          <w14:ligatures w14:val="none"/>
        </w:rPr>
        <w:t xml:space="preserve">we deem </w:t>
      </w:r>
      <w:r w:rsidR="002F0CBF">
        <w:rPr>
          <w:rFonts w:ascii="Palatino Linotype" w:hAnsi="Palatino Linotype" w:eastAsia="Palatino Linotype" w:cs="Times New Roman"/>
          <w:kern w:val="0"/>
          <w14:ligatures w14:val="none"/>
        </w:rPr>
        <w:t xml:space="preserve">requiring a flat additional capital advance of $600,000 per MW as a condition of energization </w:t>
      </w:r>
      <w:r w:rsidR="00617C8C">
        <w:rPr>
          <w:rFonts w:ascii="Palatino Linotype" w:hAnsi="Palatino Linotype" w:eastAsia="Palatino Linotype" w:cs="Times New Roman"/>
          <w:kern w:val="0"/>
          <w14:ligatures w14:val="none"/>
        </w:rPr>
        <w:t>to be</w:t>
      </w:r>
      <w:r w:rsidR="002F0CBF">
        <w:rPr>
          <w:rFonts w:ascii="Palatino Linotype" w:hAnsi="Palatino Linotype" w:eastAsia="Palatino Linotype" w:cs="Times New Roman"/>
          <w:kern w:val="0"/>
          <w14:ligatures w14:val="none"/>
        </w:rPr>
        <w:t xml:space="preserve"> reasonable, and </w:t>
      </w:r>
      <w:r w:rsidR="00AF621E">
        <w:rPr>
          <w:rFonts w:ascii="Palatino Linotype" w:hAnsi="Palatino Linotype" w:eastAsia="Palatino Linotype" w:cs="Times New Roman"/>
          <w:kern w:val="0"/>
          <w14:ligatures w14:val="none"/>
        </w:rPr>
        <w:t>PG&amp;E and the customer retain the</w:t>
      </w:r>
      <w:r w:rsidR="002F0CBF">
        <w:rPr>
          <w:rFonts w:ascii="Palatino Linotype" w:hAnsi="Palatino Linotype" w:eastAsia="Palatino Linotype" w:cs="Times New Roman"/>
          <w:kern w:val="0"/>
          <w14:ligatures w14:val="none"/>
        </w:rPr>
        <w:t xml:space="preserve"> option to modify this </w:t>
      </w:r>
      <w:r w:rsidR="00617C8C">
        <w:rPr>
          <w:rFonts w:ascii="Palatino Linotype" w:hAnsi="Palatino Linotype" w:eastAsia="Palatino Linotype" w:cs="Times New Roman"/>
          <w:kern w:val="0"/>
          <w14:ligatures w14:val="none"/>
        </w:rPr>
        <w:t>amount</w:t>
      </w:r>
      <w:r w:rsidR="002F0CBF">
        <w:rPr>
          <w:rFonts w:ascii="Palatino Linotype" w:hAnsi="Palatino Linotype" w:eastAsia="Palatino Linotype" w:cs="Times New Roman"/>
          <w:kern w:val="0"/>
          <w14:ligatures w14:val="none"/>
        </w:rPr>
        <w:t xml:space="preserve"> to match the outcome in the Rule 30 proceeding</w:t>
      </w:r>
      <w:r w:rsidR="00AF621E">
        <w:rPr>
          <w:rFonts w:ascii="Palatino Linotype" w:hAnsi="Palatino Linotype" w:eastAsia="Palatino Linotype" w:cs="Times New Roman"/>
          <w:kern w:val="0"/>
          <w14:ligatures w14:val="none"/>
        </w:rPr>
        <w:t xml:space="preserve"> if </w:t>
      </w:r>
      <w:proofErr w:type="gramStart"/>
      <w:r w:rsidR="00AF621E">
        <w:rPr>
          <w:rFonts w:ascii="Palatino Linotype" w:hAnsi="Palatino Linotype" w:eastAsia="Palatino Linotype" w:cs="Times New Roman"/>
          <w:kern w:val="0"/>
          <w14:ligatures w14:val="none"/>
        </w:rPr>
        <w:t>they so</w:t>
      </w:r>
      <w:proofErr w:type="gramEnd"/>
      <w:r w:rsidR="00AF621E">
        <w:rPr>
          <w:rFonts w:ascii="Palatino Linotype" w:hAnsi="Palatino Linotype" w:eastAsia="Palatino Linotype" w:cs="Times New Roman"/>
          <w:kern w:val="0"/>
          <w14:ligatures w14:val="none"/>
        </w:rPr>
        <w:t xml:space="preserve"> choose. </w:t>
      </w:r>
    </w:p>
    <w:p w:rsidR="008007A2" w:rsidP="007F77B4" w:rsidRDefault="008007A2" w14:paraId="59C5047B" w14:textId="77777777">
      <w:pPr>
        <w:spacing w:after="0" w:line="240" w:lineRule="auto"/>
        <w:rPr>
          <w:rFonts w:ascii="Palatino Linotype" w:hAnsi="Palatino Linotype" w:eastAsia="Palatino Linotype" w:cs="Times New Roman"/>
          <w:kern w:val="0"/>
          <w14:ligatures w14:val="none"/>
        </w:rPr>
      </w:pPr>
    </w:p>
    <w:p w:rsidR="00612C6B" w:rsidP="007F77B4" w:rsidRDefault="0050173A" w14:paraId="64E63D74" w14:textId="3F8D5CCD">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w:t>
      </w:r>
      <w:r w:rsidR="00193898">
        <w:rPr>
          <w:rFonts w:ascii="Palatino Linotype" w:hAnsi="Palatino Linotype" w:eastAsia="Palatino Linotype" w:cs="Times New Roman"/>
          <w:kern w:val="0"/>
          <w14:ligatures w14:val="none"/>
        </w:rPr>
        <w:t xml:space="preserve"> </w:t>
      </w:r>
      <w:r w:rsidR="00EB013B">
        <w:rPr>
          <w:rFonts w:ascii="Palatino Linotype" w:hAnsi="Palatino Linotype" w:eastAsia="Palatino Linotype" w:cs="Times New Roman"/>
          <w:kern w:val="0"/>
          <w14:ligatures w14:val="none"/>
        </w:rPr>
        <w:t xml:space="preserve">strongly </w:t>
      </w:r>
      <w:r w:rsidR="00193898">
        <w:rPr>
          <w:rFonts w:ascii="Palatino Linotype" w:hAnsi="Palatino Linotype" w:eastAsia="Palatino Linotype" w:cs="Times New Roman"/>
          <w:kern w:val="0"/>
          <w14:ligatures w14:val="none"/>
        </w:rPr>
        <w:t xml:space="preserve">recommends </w:t>
      </w:r>
      <w:r w:rsidRPr="00EA1F48">
        <w:rPr>
          <w:rFonts w:ascii="Palatino Linotype" w:hAnsi="Palatino Linotype" w:eastAsia="Palatino Linotype" w:cs="Times New Roman"/>
          <w:kern w:val="0"/>
          <w14:ligatures w14:val="none"/>
        </w:rPr>
        <w:t xml:space="preserve">that the Commission impose an additional upfront capital advance. </w:t>
      </w:r>
      <w:r w:rsidR="00041524">
        <w:rPr>
          <w:rFonts w:ascii="Palatino Linotype" w:hAnsi="Palatino Linotype" w:eastAsia="Palatino Linotype" w:cs="Times New Roman"/>
          <w:kern w:val="0"/>
          <w14:ligatures w14:val="none"/>
        </w:rPr>
        <w:t xml:space="preserve">Cal Advocates supports the Resolution’s finding that additional ratepayer protections are </w:t>
      </w:r>
      <w:proofErr w:type="gramStart"/>
      <w:r w:rsidR="00041524">
        <w:rPr>
          <w:rFonts w:ascii="Palatino Linotype" w:hAnsi="Palatino Linotype" w:eastAsia="Palatino Linotype" w:cs="Times New Roman"/>
          <w:kern w:val="0"/>
          <w14:ligatures w14:val="none"/>
        </w:rPr>
        <w:t>necessary</w:t>
      </w:r>
      <w:r w:rsidR="00D53CEC">
        <w:rPr>
          <w:rFonts w:ascii="Palatino Linotype" w:hAnsi="Palatino Linotype" w:eastAsia="Palatino Linotype" w:cs="Times New Roman"/>
          <w:kern w:val="0"/>
          <w14:ligatures w14:val="none"/>
        </w:rPr>
        <w:t>, and</w:t>
      </w:r>
      <w:proofErr w:type="gramEnd"/>
      <w:r w:rsidR="00D53CEC">
        <w:rPr>
          <w:rFonts w:ascii="Palatino Linotype" w:hAnsi="Palatino Linotype" w:eastAsia="Palatino Linotype" w:cs="Times New Roman"/>
          <w:kern w:val="0"/>
          <w14:ligatures w14:val="none"/>
        </w:rPr>
        <w:t xml:space="preserve"> </w:t>
      </w:r>
      <w:r w:rsidRPr="00EA1F48">
        <w:rPr>
          <w:rFonts w:ascii="Palatino Linotype" w:hAnsi="Palatino Linotype" w:eastAsia="Palatino Linotype" w:cs="Times New Roman"/>
          <w:kern w:val="0"/>
          <w14:ligatures w14:val="none"/>
        </w:rPr>
        <w:t xml:space="preserve">recommends requiring Google to provide an upfront advance for broader transmission network upgrade costs as a condition of </w:t>
      </w:r>
      <w:r w:rsidR="00587F38">
        <w:rPr>
          <w:rFonts w:ascii="Palatino Linotype" w:hAnsi="Palatino Linotype" w:eastAsia="Palatino Linotype" w:cs="Times New Roman"/>
          <w:kern w:val="0"/>
          <w14:ligatures w14:val="none"/>
        </w:rPr>
        <w:t>the approval of its en</w:t>
      </w:r>
      <w:r w:rsidR="007A6037">
        <w:rPr>
          <w:rFonts w:ascii="Palatino Linotype" w:hAnsi="Palatino Linotype" w:eastAsia="Palatino Linotype" w:cs="Times New Roman"/>
          <w:kern w:val="0"/>
          <w14:ligatures w14:val="none"/>
        </w:rPr>
        <w:t>ergization</w:t>
      </w:r>
      <w:r w:rsidR="00587F38">
        <w:rPr>
          <w:rFonts w:ascii="Palatino Linotype" w:hAnsi="Palatino Linotype" w:eastAsia="Palatino Linotype" w:cs="Times New Roman"/>
          <w:kern w:val="0"/>
          <w14:ligatures w14:val="none"/>
        </w:rPr>
        <w:t xml:space="preserve"> agreement. Cal Advocates</w:t>
      </w:r>
      <w:r w:rsidRPr="00EA1F48">
        <w:rPr>
          <w:rFonts w:ascii="Palatino Linotype" w:hAnsi="Palatino Linotype" w:eastAsia="Palatino Linotype" w:cs="Times New Roman"/>
          <w:kern w:val="0"/>
          <w14:ligatures w14:val="none"/>
        </w:rPr>
        <w:t xml:space="preserve"> recommend</w:t>
      </w:r>
      <w:r w:rsidR="00587F38">
        <w:rPr>
          <w:rFonts w:ascii="Palatino Linotype" w:hAnsi="Palatino Linotype" w:eastAsia="Palatino Linotype" w:cs="Times New Roman"/>
          <w:kern w:val="0"/>
          <w14:ligatures w14:val="none"/>
        </w:rPr>
        <w:t>s</w:t>
      </w:r>
      <w:r w:rsidRPr="00EA1F48">
        <w:rPr>
          <w:rFonts w:ascii="Palatino Linotype" w:hAnsi="Palatino Linotype" w:eastAsia="Palatino Linotype" w:cs="Times New Roman"/>
          <w:kern w:val="0"/>
          <w14:ligatures w14:val="none"/>
        </w:rPr>
        <w:t xml:space="preserve"> one of the two methods identified in the Resolution</w:t>
      </w:r>
      <w:r w:rsidR="00587F38">
        <w:rPr>
          <w:rFonts w:ascii="Palatino Linotype" w:hAnsi="Palatino Linotype" w:eastAsia="Palatino Linotype" w:cs="Times New Roman"/>
          <w:kern w:val="0"/>
          <w14:ligatures w14:val="none"/>
        </w:rPr>
        <w:t xml:space="preserve"> to determine the additional capital advance amount</w:t>
      </w:r>
      <w:r w:rsidRPr="00EA1F48">
        <w:rPr>
          <w:rFonts w:ascii="Palatino Linotype" w:hAnsi="Palatino Linotype" w:eastAsia="Palatino Linotype" w:cs="Times New Roman"/>
          <w:kern w:val="0"/>
          <w14:ligatures w14:val="none"/>
        </w:rPr>
        <w:t xml:space="preserve">: approximately $250 million, based on Google's 25 percent capacity share of the roughly $1 billion Newark-NRS line, or approximately $163 million, based on </w:t>
      </w:r>
      <w:r w:rsidR="00260D67">
        <w:rPr>
          <w:rFonts w:ascii="Palatino Linotype" w:hAnsi="Palatino Linotype" w:eastAsia="Palatino Linotype" w:cs="Times New Roman"/>
          <w:kern w:val="0"/>
          <w14:ligatures w14:val="none"/>
        </w:rPr>
        <w:t xml:space="preserve">Google’s 20 percent capacity share in South Bay load growth leading to the need for </w:t>
      </w:r>
      <w:r w:rsidR="00E40C2D">
        <w:rPr>
          <w:rFonts w:ascii="Palatino Linotype" w:hAnsi="Palatino Linotype" w:eastAsia="Palatino Linotype" w:cs="Times New Roman"/>
          <w:kern w:val="0"/>
          <w14:ligatures w14:val="none"/>
        </w:rPr>
        <w:t>modifications</w:t>
      </w:r>
      <w:r w:rsidR="00041524">
        <w:rPr>
          <w:rFonts w:ascii="Palatino Linotype" w:hAnsi="Palatino Linotype" w:eastAsia="Palatino Linotype" w:cs="Times New Roman"/>
          <w:kern w:val="0"/>
          <w14:ligatures w14:val="none"/>
        </w:rPr>
        <w:t xml:space="preserve"> to the </w:t>
      </w:r>
      <w:r w:rsidR="00E40C2D">
        <w:rPr>
          <w:rFonts w:ascii="Palatino Linotype" w:hAnsi="Palatino Linotype" w:eastAsia="Palatino Linotype" w:cs="Times New Roman"/>
          <w:kern w:val="0"/>
          <w14:ligatures w14:val="none"/>
        </w:rPr>
        <w:t xml:space="preserve">plan for the </w:t>
      </w:r>
      <w:r w:rsidRPr="00EA1F48" w:rsidR="00041524">
        <w:rPr>
          <w:rFonts w:ascii="Palatino Linotype" w:hAnsi="Palatino Linotype" w:eastAsia="Palatino Linotype" w:cs="Times New Roman"/>
          <w:kern w:val="0"/>
          <w14:ligatures w14:val="none"/>
        </w:rPr>
        <w:t>Newark-NRS</w:t>
      </w:r>
      <w:r w:rsidR="00041524">
        <w:rPr>
          <w:rFonts w:ascii="Palatino Linotype" w:hAnsi="Palatino Linotype" w:eastAsia="Palatino Linotype" w:cs="Times New Roman"/>
          <w:kern w:val="0"/>
          <w14:ligatures w14:val="none"/>
        </w:rPr>
        <w:t xml:space="preserve"> line</w:t>
      </w:r>
      <w:r w:rsidR="00260D67">
        <w:rPr>
          <w:rFonts w:ascii="Palatino Linotype" w:hAnsi="Palatino Linotype" w:eastAsia="Palatino Linotype" w:cs="Times New Roman"/>
          <w:kern w:val="0"/>
          <w14:ligatures w14:val="none"/>
        </w:rPr>
        <w:t xml:space="preserve"> and the approved </w:t>
      </w:r>
      <w:r w:rsidR="00B01234">
        <w:rPr>
          <w:rFonts w:ascii="Palatino Linotype" w:hAnsi="Palatino Linotype" w:eastAsia="Palatino Linotype" w:cs="Times New Roman"/>
          <w:kern w:val="0"/>
          <w14:ligatures w14:val="none"/>
        </w:rPr>
        <w:t xml:space="preserve">$813 million </w:t>
      </w:r>
      <w:r w:rsidR="00E40C2D">
        <w:rPr>
          <w:rFonts w:ascii="Palatino Linotype" w:hAnsi="Palatino Linotype" w:eastAsia="Palatino Linotype" w:cs="Times New Roman"/>
          <w:kern w:val="0"/>
          <w14:ligatures w14:val="none"/>
        </w:rPr>
        <w:t>cost</w:t>
      </w:r>
      <w:r w:rsidRPr="00EA1F4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p>
    <w:p w:rsidR="00612C6B" w:rsidP="007F77B4" w:rsidRDefault="00612C6B" w14:paraId="2B9BC1E1" w14:textId="77777777">
      <w:pPr>
        <w:spacing w:after="0" w:line="240" w:lineRule="auto"/>
        <w:rPr>
          <w:rFonts w:ascii="Palatino Linotype" w:hAnsi="Palatino Linotype" w:eastAsia="Palatino Linotype" w:cs="Times New Roman"/>
          <w:kern w:val="0"/>
          <w14:ligatures w14:val="none"/>
        </w:rPr>
      </w:pPr>
    </w:p>
    <w:p w:rsidR="00931789" w:rsidP="007F77B4" w:rsidRDefault="00A334F6" w14:paraId="1823610E" w14:textId="0EAB56AB">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As noted </w:t>
      </w:r>
      <w:r w:rsidR="004E5D3D">
        <w:rPr>
          <w:rFonts w:ascii="Palatino Linotype" w:hAnsi="Palatino Linotype" w:eastAsia="Palatino Linotype" w:cs="Times New Roman"/>
          <w:kern w:val="0"/>
          <w14:ligatures w14:val="none"/>
        </w:rPr>
        <w:t xml:space="preserve">in the Discussion section </w:t>
      </w:r>
      <w:r>
        <w:rPr>
          <w:rFonts w:ascii="Palatino Linotype" w:hAnsi="Palatino Linotype" w:eastAsia="Palatino Linotype" w:cs="Times New Roman"/>
          <w:kern w:val="0"/>
          <w14:ligatures w14:val="none"/>
        </w:rPr>
        <w:t xml:space="preserve">above, we </w:t>
      </w:r>
      <w:r w:rsidR="0067043A">
        <w:rPr>
          <w:rFonts w:ascii="Palatino Linotype" w:hAnsi="Palatino Linotype" w:eastAsia="Palatino Linotype" w:cs="Times New Roman"/>
          <w:kern w:val="0"/>
          <w14:ligatures w14:val="none"/>
        </w:rPr>
        <w:t xml:space="preserve">agree with Cal Advocates that </w:t>
      </w:r>
      <w:r w:rsidR="00931DB9">
        <w:rPr>
          <w:rFonts w:ascii="Palatino Linotype" w:hAnsi="Palatino Linotype" w:eastAsia="Palatino Linotype" w:cs="Times New Roman"/>
          <w:kern w:val="0"/>
          <w14:ligatures w14:val="none"/>
        </w:rPr>
        <w:t>additional ratepayer protections are required here</w:t>
      </w:r>
      <w:r w:rsidR="00947EC4">
        <w:rPr>
          <w:rFonts w:ascii="Palatino Linotype" w:hAnsi="Palatino Linotype" w:eastAsia="Palatino Linotype" w:cs="Times New Roman"/>
          <w:kern w:val="0"/>
          <w14:ligatures w14:val="none"/>
        </w:rPr>
        <w:t xml:space="preserve"> given </w:t>
      </w:r>
      <w:r w:rsidR="0067043A">
        <w:rPr>
          <w:rFonts w:ascii="Palatino Linotype" w:hAnsi="Palatino Linotype" w:eastAsia="Palatino Linotype" w:cs="Times New Roman"/>
          <w:kern w:val="0"/>
          <w14:ligatures w14:val="none"/>
        </w:rPr>
        <w:t xml:space="preserve">that (1) </w:t>
      </w:r>
      <w:r w:rsidR="00947EC4">
        <w:rPr>
          <w:rFonts w:ascii="Palatino Linotype" w:hAnsi="Palatino Linotype" w:eastAsia="Aptos" w:cs="Times New Roman"/>
        </w:rPr>
        <w:t xml:space="preserve">the scale of required upgrades for large load customers seeking transmission-level energization is much larger than would be typical for a distribution-level customer, and </w:t>
      </w:r>
      <w:r w:rsidR="0067043A">
        <w:rPr>
          <w:rFonts w:ascii="Palatino Linotype" w:hAnsi="Palatino Linotype" w:eastAsia="Aptos" w:cs="Times New Roman"/>
        </w:rPr>
        <w:t xml:space="preserve">(2) </w:t>
      </w:r>
      <w:r w:rsidR="00947EC4">
        <w:rPr>
          <w:rFonts w:ascii="Palatino Linotype" w:hAnsi="Palatino Linotype" w:eastAsia="Aptos" w:cs="Times New Roman"/>
        </w:rPr>
        <w:t>these customers present novel risks of substantial stranded costs.</w:t>
      </w:r>
      <w:r w:rsidR="00CD4021">
        <w:rPr>
          <w:rFonts w:ascii="Palatino Linotype" w:hAnsi="Palatino Linotype" w:eastAsia="Aptos" w:cs="Times New Roman"/>
        </w:rPr>
        <w:t xml:space="preserve"> </w:t>
      </w:r>
      <w:r w:rsidR="00A33890">
        <w:rPr>
          <w:rFonts w:ascii="Palatino Linotype" w:hAnsi="Palatino Linotype" w:eastAsia="Palatino Linotype" w:cs="Times New Roman"/>
          <w:kern w:val="0"/>
          <w14:ligatures w14:val="none"/>
        </w:rPr>
        <w:t xml:space="preserve">The Resolution proposes a simple modification to the </w:t>
      </w:r>
      <w:r w:rsidR="0067043A">
        <w:rPr>
          <w:rFonts w:ascii="Palatino Linotype" w:hAnsi="Palatino Linotype" w:eastAsia="Palatino Linotype" w:cs="Times New Roman"/>
          <w:kern w:val="0"/>
          <w14:ligatures w14:val="none"/>
        </w:rPr>
        <w:t>proposed capital advance and BARC process</w:t>
      </w:r>
      <w:r w:rsidR="00A33890">
        <w:rPr>
          <w:rFonts w:ascii="Palatino Linotype" w:hAnsi="Palatino Linotype" w:eastAsia="Palatino Linotype" w:cs="Times New Roman"/>
          <w:kern w:val="0"/>
          <w14:ligatures w14:val="none"/>
        </w:rPr>
        <w:t xml:space="preserve"> in response to these unique risks posed to ratepayers: limiting annual refunds to </w:t>
      </w:r>
      <w:r w:rsidR="0067043A">
        <w:rPr>
          <w:rFonts w:ascii="Palatino Linotype" w:hAnsi="Palatino Linotype" w:eastAsia="Palatino Linotype" w:cs="Times New Roman"/>
          <w:kern w:val="0"/>
          <w14:ligatures w14:val="none"/>
        </w:rPr>
        <w:t>100</w:t>
      </w:r>
      <w:r w:rsidR="00A33890">
        <w:rPr>
          <w:rFonts w:ascii="Palatino Linotype" w:hAnsi="Palatino Linotype" w:eastAsia="Palatino Linotype" w:cs="Times New Roman"/>
          <w:kern w:val="0"/>
          <w14:ligatures w14:val="none"/>
        </w:rPr>
        <w:t xml:space="preserve"> percent of the annual net revenues received from the customer</w:t>
      </w:r>
      <w:r w:rsidR="0067043A">
        <w:rPr>
          <w:rFonts w:ascii="Palatino Linotype" w:hAnsi="Palatino Linotype" w:eastAsia="Palatino Linotype" w:cs="Times New Roman"/>
          <w:kern w:val="0"/>
          <w14:ligatures w14:val="none"/>
        </w:rPr>
        <w:t xml:space="preserve"> and requiring an additional capital advance of $600,000 per MW</w:t>
      </w:r>
      <w:r w:rsidR="00A33890">
        <w:rPr>
          <w:rFonts w:ascii="Palatino Linotype" w:hAnsi="Palatino Linotype" w:eastAsia="Palatino Linotype" w:cs="Times New Roman"/>
          <w:kern w:val="0"/>
          <w14:ligatures w14:val="none"/>
        </w:rPr>
        <w:t xml:space="preserve">. </w:t>
      </w:r>
      <w:r w:rsidR="008D08C6">
        <w:rPr>
          <w:rFonts w:ascii="Palatino Linotype" w:hAnsi="Palatino Linotype" w:eastAsia="Palatino Linotype" w:cs="Times New Roman"/>
          <w:kern w:val="0"/>
          <w14:ligatures w14:val="none"/>
        </w:rPr>
        <w:t xml:space="preserve">The proposed modification is relatively simple and corresponds to the preexisting logic of basing refunds on net revenues and requiring capital advances to roughly cover the costs of infrastructure needed for customer energization. </w:t>
      </w:r>
      <w:r w:rsidR="000B4184">
        <w:rPr>
          <w:rFonts w:ascii="Palatino Linotype" w:hAnsi="Palatino Linotype" w:eastAsia="Palatino Linotype" w:cs="Times New Roman"/>
          <w:kern w:val="0"/>
          <w14:ligatures w14:val="none"/>
        </w:rPr>
        <w:t xml:space="preserve">We note that the $600,000 per MW figure is below both </w:t>
      </w:r>
      <w:r w:rsidR="00612C6B">
        <w:rPr>
          <w:rFonts w:ascii="Palatino Linotype" w:hAnsi="Palatino Linotype" w:eastAsia="Palatino Linotype" w:cs="Times New Roman"/>
          <w:kern w:val="0"/>
          <w14:ligatures w14:val="none"/>
        </w:rPr>
        <w:t>the figures</w:t>
      </w:r>
      <w:r w:rsidR="000B4184">
        <w:rPr>
          <w:rFonts w:ascii="Palatino Linotype" w:hAnsi="Palatino Linotype" w:eastAsia="Palatino Linotype" w:cs="Times New Roman"/>
          <w:kern w:val="0"/>
          <w14:ligatures w14:val="none"/>
        </w:rPr>
        <w:t xml:space="preserve"> originally proposed in the Resolution and supported by Cal Advocates</w:t>
      </w:r>
      <w:r w:rsidR="000172B2">
        <w:rPr>
          <w:rFonts w:ascii="Palatino Linotype" w:hAnsi="Palatino Linotype" w:eastAsia="Palatino Linotype" w:cs="Times New Roman"/>
          <w:kern w:val="0"/>
          <w14:ligatures w14:val="none"/>
        </w:rPr>
        <w:t>.</w:t>
      </w:r>
    </w:p>
    <w:p w:rsidR="00931789" w:rsidP="007F77B4" w:rsidRDefault="00931789" w14:paraId="12BE9008" w14:textId="77777777">
      <w:pPr>
        <w:spacing w:after="0" w:line="240" w:lineRule="auto"/>
        <w:rPr>
          <w:rFonts w:ascii="Palatino Linotype" w:hAnsi="Palatino Linotype" w:eastAsia="Palatino Linotype" w:cs="Times New Roman"/>
          <w:kern w:val="0"/>
          <w14:ligatures w14:val="none"/>
        </w:rPr>
      </w:pPr>
    </w:p>
    <w:p w:rsidRPr="007F77B4" w:rsidR="00931789" w:rsidP="00931789" w:rsidRDefault="007F77B4" w14:paraId="6E5B8E1B" w14:textId="5262727B">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A subset of the parties—including Google, Westbank, and </w:t>
      </w:r>
      <w:r w:rsidR="009942DA">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—recommended instead following the framework of Resolutions E-5420, E-5433, and E-5439, limiting annual refunds to 75 percent of annual net revenues while leaving network upgrade costs in rate base. </w:t>
      </w:r>
      <w:r w:rsidRPr="007F77B4" w:rsidR="00454337">
        <w:rPr>
          <w:rFonts w:ascii="Palatino Linotype" w:hAnsi="Palatino Linotype" w:eastAsia="Palatino Linotype" w:cs="Times New Roman"/>
          <w:kern w:val="0"/>
          <w14:ligatures w14:val="none"/>
        </w:rPr>
        <w:t>PG&amp;E likewise endorsed a 75 percent refund limit, but only as a fallback position if the Commission departs from the standard BARC process, which PG&amp;E continues to advocate.</w:t>
      </w:r>
      <w:r w:rsidR="00A47838">
        <w:rPr>
          <w:rStyle w:val="FootnoteReference"/>
          <w:rFonts w:ascii="Palatino Linotype" w:hAnsi="Palatino Linotype" w:eastAsia="Palatino Linotype" w:cs="Times New Roman"/>
          <w:kern w:val="0"/>
          <w14:ligatures w14:val="none"/>
        </w:rPr>
        <w:footnoteReference w:id="23"/>
      </w:r>
      <w:r w:rsidR="00454337">
        <w:rPr>
          <w:rFonts w:ascii="Palatino Linotype" w:hAnsi="Palatino Linotype" w:eastAsia="Palatino Linotype" w:cs="Times New Roman"/>
          <w:kern w:val="0"/>
          <w14:ligatures w14:val="none"/>
        </w:rPr>
        <w:t xml:space="preserve"> In these previous exceptional cases, we choose to l</w:t>
      </w:r>
      <w:r w:rsidR="00862A63">
        <w:rPr>
          <w:rFonts w:ascii="Palatino Linotype" w:hAnsi="Palatino Linotype" w:eastAsia="Palatino Linotype" w:cs="Times New Roman"/>
          <w:kern w:val="0"/>
          <w14:ligatures w14:val="none"/>
        </w:rPr>
        <w:t xml:space="preserve">imit refunds to 75 percent of annual net revenues </w:t>
      </w:r>
      <w:r w:rsidR="00454337">
        <w:rPr>
          <w:rFonts w:ascii="Palatino Linotype" w:hAnsi="Palatino Linotype" w:eastAsia="Palatino Linotype" w:cs="Times New Roman"/>
          <w:kern w:val="0"/>
          <w14:ligatures w14:val="none"/>
        </w:rPr>
        <w:t xml:space="preserve">in order to </w:t>
      </w:r>
      <w:r w:rsidR="00862A63">
        <w:rPr>
          <w:rFonts w:ascii="Palatino Linotype" w:hAnsi="Palatino Linotype" w:eastAsia="Palatino Linotype" w:cs="Times New Roman"/>
          <w:kern w:val="0"/>
          <w14:ligatures w14:val="none"/>
        </w:rPr>
        <w:t>leave a portion of net revenues to cover transmission network upgrades and broader transmission system costs.</w:t>
      </w:r>
      <w:r w:rsidR="00454337">
        <w:rPr>
          <w:rFonts w:ascii="Palatino Linotype" w:hAnsi="Palatino Linotype" w:eastAsia="Palatino Linotype" w:cs="Times New Roman"/>
          <w:kern w:val="0"/>
          <w14:ligatures w14:val="none"/>
        </w:rPr>
        <w:t xml:space="preserve"> In the Discussion section above, we discuss why the 75 percent limit does not offer adequate ratepayer protection in the case of Google’s requested 250 MW energization.</w:t>
      </w:r>
      <w:r w:rsidR="00862A63">
        <w:rPr>
          <w:rFonts w:ascii="Palatino Linotype" w:hAnsi="Palatino Linotype" w:eastAsia="Palatino Linotype" w:cs="Times New Roman"/>
          <w:kern w:val="0"/>
          <w14:ligatures w14:val="none"/>
        </w:rPr>
        <w:t xml:space="preserve"> </w:t>
      </w:r>
      <w:r w:rsidR="00454337">
        <w:rPr>
          <w:rFonts w:ascii="Palatino Linotype" w:hAnsi="Palatino Linotype" w:eastAsia="Palatino Linotype" w:cs="Times New Roman"/>
          <w:kern w:val="0"/>
          <w14:ligatures w14:val="none"/>
        </w:rPr>
        <w:t>N</w:t>
      </w:r>
      <w:r w:rsidR="00B04AD1">
        <w:rPr>
          <w:rFonts w:ascii="Palatino Linotype" w:hAnsi="Palatino Linotype" w:eastAsia="Palatino Linotype" w:cs="Times New Roman"/>
          <w:kern w:val="0"/>
          <w14:ligatures w14:val="none"/>
        </w:rPr>
        <w:t xml:space="preserve">one of these parties convincingly refute </w:t>
      </w:r>
      <w:r w:rsidR="007A3C23">
        <w:rPr>
          <w:rFonts w:ascii="Palatino Linotype" w:hAnsi="Palatino Linotype" w:eastAsia="Palatino Linotype" w:cs="Times New Roman"/>
          <w:kern w:val="0"/>
          <w14:ligatures w14:val="none"/>
        </w:rPr>
        <w:t xml:space="preserve">that limiting refunds to 75 percent of net revenues </w:t>
      </w:r>
      <w:r w:rsidR="00B3317E">
        <w:rPr>
          <w:rFonts w:ascii="Palatino Linotype" w:hAnsi="Palatino Linotype" w:eastAsia="Palatino Linotype" w:cs="Times New Roman"/>
          <w:kern w:val="0"/>
          <w14:ligatures w14:val="none"/>
        </w:rPr>
        <w:t xml:space="preserve">does not adequately protect ratepayers </w:t>
      </w:r>
      <w:r w:rsidR="000B0DC3">
        <w:rPr>
          <w:rFonts w:ascii="Palatino Linotype" w:hAnsi="Palatino Linotype" w:eastAsia="Palatino Linotype" w:cs="Times New Roman"/>
          <w:kern w:val="0"/>
          <w14:ligatures w14:val="none"/>
        </w:rPr>
        <w:t xml:space="preserve">from the risk of stranded costs from network upgrades </w:t>
      </w:r>
      <w:r w:rsidR="00862A63">
        <w:rPr>
          <w:rFonts w:ascii="Palatino Linotype" w:hAnsi="Palatino Linotype" w:eastAsia="Palatino Linotype" w:cs="Times New Roman"/>
          <w:kern w:val="0"/>
          <w14:ligatures w14:val="none"/>
        </w:rPr>
        <w:t>in the case where</w:t>
      </w:r>
      <w:r w:rsidR="000B0DC3">
        <w:rPr>
          <w:rFonts w:ascii="Palatino Linotype" w:hAnsi="Palatino Linotype" w:eastAsia="Palatino Linotype" w:cs="Times New Roman"/>
          <w:kern w:val="0"/>
          <w14:ligatures w14:val="none"/>
        </w:rPr>
        <w:t xml:space="preserve"> the refundable advance is relatively low compared to the size of the load</w:t>
      </w:r>
      <w:r w:rsidR="00454337">
        <w:rPr>
          <w:rFonts w:ascii="Palatino Linotype" w:hAnsi="Palatino Linotype" w:eastAsia="Palatino Linotype" w:cs="Times New Roman"/>
          <w:kern w:val="0"/>
          <w14:ligatures w14:val="none"/>
        </w:rPr>
        <w:t xml:space="preserve"> seeking energization</w:t>
      </w:r>
      <w:r w:rsidR="000B0DC3">
        <w:rPr>
          <w:rFonts w:ascii="Palatino Linotype" w:hAnsi="Palatino Linotype" w:eastAsia="Palatino Linotype" w:cs="Times New Roman"/>
          <w:kern w:val="0"/>
          <w14:ligatures w14:val="none"/>
        </w:rPr>
        <w:t>.</w:t>
      </w:r>
      <w:r w:rsidR="00141017">
        <w:rPr>
          <w:rFonts w:ascii="Palatino Linotype" w:hAnsi="Palatino Linotype" w:eastAsia="Palatino Linotype" w:cs="Times New Roman"/>
          <w:kern w:val="0"/>
          <w14:ligatures w14:val="none"/>
        </w:rPr>
        <w:t xml:space="preserve"> </w:t>
      </w:r>
    </w:p>
    <w:p w:rsidR="00931789" w:rsidP="007F77B4" w:rsidRDefault="00931789" w14:paraId="7FA815DC" w14:textId="77777777">
      <w:pPr>
        <w:spacing w:after="0" w:line="240" w:lineRule="auto"/>
        <w:rPr>
          <w:rFonts w:ascii="Palatino Linotype" w:hAnsi="Palatino Linotype" w:eastAsia="Palatino Linotype" w:cs="Times New Roman"/>
          <w:kern w:val="0"/>
          <w14:ligatures w14:val="none"/>
        </w:rPr>
      </w:pPr>
    </w:p>
    <w:p w:rsidR="001C23EE" w:rsidP="007F77B4" w:rsidRDefault="00B07D57" w14:paraId="013F63E1" w14:textId="130E7E1B">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 also recommends limiting annual refunds to 75 percent of annual net revenues rather than the 100 percent limit adopted in the Resolution</w:t>
      </w:r>
      <w:r w:rsidR="0089420C">
        <w:rPr>
          <w:rFonts w:ascii="Palatino Linotype" w:hAnsi="Palatino Linotype" w:eastAsia="Palatino Linotype" w:cs="Times New Roman"/>
          <w:kern w:val="0"/>
          <w14:ligatures w14:val="none"/>
        </w:rPr>
        <w:t xml:space="preserve">, </w:t>
      </w:r>
      <w:r w:rsidR="0009541F">
        <w:rPr>
          <w:rFonts w:ascii="Palatino Linotype" w:hAnsi="Palatino Linotype" w:eastAsia="Palatino Linotype" w:cs="Times New Roman"/>
          <w:kern w:val="0"/>
          <w14:ligatures w14:val="none"/>
        </w:rPr>
        <w:t xml:space="preserve">but Cal Advocates recommends this </w:t>
      </w:r>
      <w:r w:rsidRPr="0009541F" w:rsidR="0089420C">
        <w:rPr>
          <w:rFonts w:ascii="Palatino Linotype" w:hAnsi="Palatino Linotype" w:eastAsia="Palatino Linotype" w:cs="Times New Roman"/>
          <w:i/>
          <w:iCs/>
          <w:kern w:val="0"/>
          <w14:ligatures w14:val="none"/>
        </w:rPr>
        <w:t>alongside</w:t>
      </w:r>
      <w:r w:rsidR="0089420C">
        <w:rPr>
          <w:rFonts w:ascii="Palatino Linotype" w:hAnsi="Palatino Linotype" w:eastAsia="Palatino Linotype" w:cs="Times New Roman"/>
          <w:kern w:val="0"/>
          <w14:ligatures w14:val="none"/>
        </w:rPr>
        <w:t xml:space="preserve"> the additional capital advance</w:t>
      </w:r>
      <w:r w:rsidR="00141017">
        <w:rPr>
          <w:rFonts w:ascii="Palatino Linotype" w:hAnsi="Palatino Linotype" w:eastAsia="Palatino Linotype" w:cs="Times New Roman"/>
          <w:kern w:val="0"/>
          <w14:ligatures w14:val="none"/>
        </w:rPr>
        <w:t>. However</w:t>
      </w:r>
      <w:r w:rsidR="00454337">
        <w:rPr>
          <w:rFonts w:ascii="Palatino Linotype" w:hAnsi="Palatino Linotype" w:eastAsia="Palatino Linotype" w:cs="Times New Roman"/>
          <w:kern w:val="0"/>
          <w14:ligatures w14:val="none"/>
        </w:rPr>
        <w:t>, we do not see</w:t>
      </w:r>
      <w:r w:rsidR="00121572">
        <w:rPr>
          <w:rFonts w:ascii="Palatino Linotype" w:hAnsi="Palatino Linotype" w:eastAsia="Palatino Linotype" w:cs="Times New Roman"/>
          <w:kern w:val="0"/>
          <w14:ligatures w14:val="none"/>
        </w:rPr>
        <w:t xml:space="preserve"> a clear need to limit refunds to 75 percent (versus 100 percent) of net revenue</w:t>
      </w:r>
      <w:r w:rsidR="00862A63">
        <w:rPr>
          <w:rFonts w:ascii="Palatino Linotype" w:hAnsi="Palatino Linotype" w:eastAsia="Palatino Linotype" w:cs="Times New Roman"/>
          <w:kern w:val="0"/>
          <w14:ligatures w14:val="none"/>
        </w:rPr>
        <w:t>s</w:t>
      </w:r>
      <w:r w:rsidR="00454337">
        <w:rPr>
          <w:rFonts w:ascii="Palatino Linotype" w:hAnsi="Palatino Linotype" w:eastAsia="Palatino Linotype" w:cs="Times New Roman"/>
          <w:kern w:val="0"/>
          <w14:ligatures w14:val="none"/>
        </w:rPr>
        <w:t xml:space="preserve"> if the customer is already providing an additional capital advance related to transmission network upgrade costs</w:t>
      </w:r>
      <w:r w:rsidR="00121572">
        <w:rPr>
          <w:rFonts w:ascii="Palatino Linotype" w:hAnsi="Palatino Linotype" w:eastAsia="Palatino Linotype" w:cs="Times New Roman"/>
          <w:kern w:val="0"/>
          <w14:ligatures w14:val="none"/>
        </w:rPr>
        <w:t>.</w:t>
      </w:r>
    </w:p>
    <w:p w:rsidR="002E6BBB" w:rsidP="007F77B4" w:rsidRDefault="002E6BBB" w14:paraId="2F9CDEE3" w14:textId="77777777">
      <w:pPr>
        <w:spacing w:after="0" w:line="240" w:lineRule="auto"/>
        <w:rPr>
          <w:rFonts w:ascii="Palatino Linotype" w:hAnsi="Palatino Linotype" w:eastAsia="Palatino Linotype" w:cs="Times New Roman"/>
          <w:kern w:val="0"/>
          <w14:ligatures w14:val="none"/>
        </w:rPr>
      </w:pPr>
    </w:p>
    <w:p w:rsidR="005D78E8" w:rsidP="007F77B4" w:rsidRDefault="002E6BBB" w14:paraId="02CC09F8" w14:textId="5FE8807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lastRenderedPageBreak/>
        <w:t xml:space="preserve">Several parties raised technical objections and questions about how an additional capital advance would work in practice. </w:t>
      </w:r>
      <w:r w:rsidR="00B50954">
        <w:rPr>
          <w:rFonts w:ascii="Palatino Linotype" w:hAnsi="Palatino Linotype" w:eastAsia="Palatino Linotype" w:cs="Times New Roman"/>
          <w:kern w:val="0"/>
          <w14:ligatures w14:val="none"/>
        </w:rPr>
        <w:t xml:space="preserve">PG&amp;E, </w:t>
      </w:r>
      <w:r w:rsidR="00951DC2">
        <w:rPr>
          <w:rFonts w:ascii="Palatino Linotype" w:hAnsi="Palatino Linotype" w:eastAsia="Palatino Linotype" w:cs="Times New Roman"/>
          <w:kern w:val="0"/>
          <w14:ligatures w14:val="none"/>
        </w:rPr>
        <w:t>or</w:t>
      </w:r>
      <w:r w:rsidR="00B50954">
        <w:rPr>
          <w:rFonts w:ascii="Palatino Linotype" w:hAnsi="Palatino Linotype" w:eastAsia="Palatino Linotype" w:cs="Times New Roman"/>
          <w:kern w:val="0"/>
          <w14:ligatures w14:val="none"/>
        </w:rPr>
        <w:t xml:space="preserve"> any regulated utility, should be familiar with acceptin</w:t>
      </w:r>
      <w:r w:rsidR="00983406">
        <w:rPr>
          <w:rFonts w:ascii="Palatino Linotype" w:hAnsi="Palatino Linotype" w:eastAsia="Palatino Linotype" w:cs="Times New Roman"/>
          <w:kern w:val="0"/>
          <w14:ligatures w14:val="none"/>
        </w:rPr>
        <w:t xml:space="preserve">g </w:t>
      </w:r>
      <w:r w:rsidR="00951DC2">
        <w:rPr>
          <w:rFonts w:ascii="Palatino Linotype" w:hAnsi="Palatino Linotype" w:eastAsia="Palatino Linotype" w:cs="Times New Roman"/>
          <w:kern w:val="0"/>
          <w14:ligatures w14:val="none"/>
        </w:rPr>
        <w:t>c</w:t>
      </w:r>
      <w:r w:rsidR="00983406">
        <w:rPr>
          <w:rFonts w:ascii="Palatino Linotype" w:hAnsi="Palatino Linotype" w:eastAsia="Palatino Linotype" w:cs="Times New Roman"/>
          <w:kern w:val="0"/>
          <w14:ligatures w14:val="none"/>
        </w:rPr>
        <w:t xml:space="preserve">ustomer </w:t>
      </w:r>
      <w:r w:rsidR="00951DC2">
        <w:rPr>
          <w:rFonts w:ascii="Palatino Linotype" w:hAnsi="Palatino Linotype" w:eastAsia="Palatino Linotype" w:cs="Times New Roman"/>
          <w:kern w:val="0"/>
          <w14:ligatures w14:val="none"/>
        </w:rPr>
        <w:t>a</w:t>
      </w:r>
      <w:r w:rsidR="00983406">
        <w:rPr>
          <w:rFonts w:ascii="Palatino Linotype" w:hAnsi="Palatino Linotype" w:eastAsia="Palatino Linotype" w:cs="Times New Roman"/>
          <w:kern w:val="0"/>
          <w14:ligatures w14:val="none"/>
        </w:rPr>
        <w:t xml:space="preserve">dvances and </w:t>
      </w:r>
      <w:r w:rsidR="0013205A">
        <w:rPr>
          <w:rFonts w:ascii="Palatino Linotype" w:hAnsi="Palatino Linotype" w:eastAsia="Palatino Linotype" w:cs="Times New Roman"/>
          <w:kern w:val="0"/>
          <w14:ligatures w14:val="none"/>
        </w:rPr>
        <w:t>adding them as an offset to the appropriate account in their rate base.</w:t>
      </w:r>
      <w:r w:rsidR="00951DC2">
        <w:rPr>
          <w:rFonts w:ascii="Palatino Linotype" w:hAnsi="Palatino Linotype" w:eastAsia="Palatino Linotype" w:cs="Times New Roman"/>
          <w:kern w:val="0"/>
          <w14:ligatures w14:val="none"/>
        </w:rPr>
        <w:t xml:space="preserve"> </w:t>
      </w:r>
      <w:r w:rsidR="00DA1BC3">
        <w:rPr>
          <w:rFonts w:ascii="Palatino Linotype" w:hAnsi="Palatino Linotype" w:eastAsia="Palatino Linotype" w:cs="Times New Roman"/>
          <w:kern w:val="0"/>
          <w14:ligatures w14:val="none"/>
        </w:rPr>
        <w:t>T</w:t>
      </w:r>
      <w:r w:rsidR="0062302D">
        <w:rPr>
          <w:rFonts w:ascii="Palatino Linotype" w:hAnsi="Palatino Linotype" w:eastAsia="Palatino Linotype" w:cs="Times New Roman"/>
          <w:kern w:val="0"/>
          <w14:ligatures w14:val="none"/>
        </w:rPr>
        <w:t xml:space="preserve">he original agreement proposed here already includes capital advances that are handled in this way. </w:t>
      </w:r>
      <w:r w:rsidR="00005464">
        <w:rPr>
          <w:rFonts w:ascii="Palatino Linotype" w:hAnsi="Palatino Linotype" w:eastAsia="Palatino Linotype" w:cs="Times New Roman"/>
          <w:kern w:val="0"/>
          <w14:ligatures w14:val="none"/>
        </w:rPr>
        <w:t>We expect that any additional capital advance be treated as an offset in the appropriate PG&amp;E account, thus reducing general transmission rates until th</w:t>
      </w:r>
      <w:r w:rsidR="00864EB4">
        <w:rPr>
          <w:rFonts w:ascii="Palatino Linotype" w:hAnsi="Palatino Linotype" w:eastAsia="Palatino Linotype" w:cs="Times New Roman"/>
          <w:kern w:val="0"/>
          <w14:ligatures w14:val="none"/>
        </w:rPr>
        <w:t>at</w:t>
      </w:r>
      <w:r w:rsidR="00005464">
        <w:rPr>
          <w:rFonts w:ascii="Palatino Linotype" w:hAnsi="Palatino Linotype" w:eastAsia="Palatino Linotype" w:cs="Times New Roman"/>
          <w:kern w:val="0"/>
          <w14:ligatures w14:val="none"/>
        </w:rPr>
        <w:t xml:space="preserve"> advance is refunded. </w:t>
      </w:r>
      <w:r w:rsidR="00DA1BC3">
        <w:rPr>
          <w:rFonts w:ascii="Palatino Linotype" w:hAnsi="Palatino Linotype" w:eastAsia="Palatino Linotype" w:cs="Times New Roman"/>
          <w:kern w:val="0"/>
          <w14:ligatures w14:val="none"/>
        </w:rPr>
        <w:t>A</w:t>
      </w:r>
      <w:r w:rsidR="00005464">
        <w:rPr>
          <w:rFonts w:ascii="Palatino Linotype" w:hAnsi="Palatino Linotype" w:eastAsia="Palatino Linotype" w:cs="Times New Roman"/>
          <w:kern w:val="0"/>
          <w14:ligatures w14:val="none"/>
        </w:rPr>
        <w:t xml:space="preserve">ny additional capital advance would </w:t>
      </w:r>
      <w:r w:rsidR="0056090C">
        <w:rPr>
          <w:rFonts w:ascii="Palatino Linotype" w:hAnsi="Palatino Linotype" w:eastAsia="Palatino Linotype" w:cs="Times New Roman"/>
          <w:kern w:val="0"/>
          <w14:ligatures w14:val="none"/>
        </w:rPr>
        <w:t>affect standard transmission rates</w:t>
      </w:r>
      <w:r w:rsidR="00454337">
        <w:rPr>
          <w:rFonts w:ascii="Palatino Linotype" w:hAnsi="Palatino Linotype" w:eastAsia="Palatino Linotype" w:cs="Times New Roman"/>
          <w:kern w:val="0"/>
          <w14:ligatures w14:val="none"/>
        </w:rPr>
        <w:t>, and thus some parties</w:t>
      </w:r>
      <w:r w:rsidR="00201A8B">
        <w:rPr>
          <w:rFonts w:ascii="Palatino Linotype" w:hAnsi="Palatino Linotype" w:eastAsia="Palatino Linotype" w:cs="Times New Roman"/>
          <w:kern w:val="0"/>
          <w14:ligatures w14:val="none"/>
        </w:rPr>
        <w:t>’</w:t>
      </w:r>
      <w:r w:rsidR="00454337">
        <w:rPr>
          <w:rFonts w:ascii="Palatino Linotype" w:hAnsi="Palatino Linotype" w:eastAsia="Palatino Linotype" w:cs="Times New Roman"/>
          <w:kern w:val="0"/>
          <w14:ligatures w14:val="none"/>
        </w:rPr>
        <w:t xml:space="preserve"> </w:t>
      </w:r>
      <w:r w:rsidR="0056090C">
        <w:rPr>
          <w:rFonts w:ascii="Palatino Linotype" w:hAnsi="Palatino Linotype" w:eastAsia="Palatino Linotype" w:cs="Times New Roman"/>
          <w:kern w:val="0"/>
          <w14:ligatures w14:val="none"/>
        </w:rPr>
        <w:t>concerns about double recovery would be avoided.</w:t>
      </w:r>
      <w:r w:rsidR="00864EB4">
        <w:rPr>
          <w:rFonts w:ascii="Palatino Linotype" w:hAnsi="Palatino Linotype" w:eastAsia="Palatino Linotype" w:cs="Times New Roman"/>
          <w:kern w:val="0"/>
          <w14:ligatures w14:val="none"/>
        </w:rPr>
        <w:t xml:space="preserve"> </w:t>
      </w:r>
      <w:r w:rsidRPr="002E6BBB" w:rsidR="00951DC2">
        <w:rPr>
          <w:rFonts w:ascii="Palatino Linotype" w:hAnsi="Palatino Linotype" w:eastAsia="Palatino Linotype" w:cs="Times New Roman"/>
          <w:kern w:val="0"/>
          <w14:ligatures w14:val="none"/>
        </w:rPr>
        <w:t xml:space="preserve">SCE </w:t>
      </w:r>
      <w:r w:rsidR="00951DC2">
        <w:rPr>
          <w:rFonts w:ascii="Palatino Linotype" w:hAnsi="Palatino Linotype" w:eastAsia="Palatino Linotype" w:cs="Times New Roman"/>
          <w:kern w:val="0"/>
          <w14:ligatures w14:val="none"/>
        </w:rPr>
        <w:t xml:space="preserve">also </w:t>
      </w:r>
      <w:r w:rsidRPr="002E6BBB" w:rsidR="00951DC2">
        <w:rPr>
          <w:rFonts w:ascii="Palatino Linotype" w:hAnsi="Palatino Linotype" w:eastAsia="Palatino Linotype" w:cs="Times New Roman"/>
          <w:kern w:val="0"/>
          <w14:ligatures w14:val="none"/>
        </w:rPr>
        <w:t>questions the practicality of collecting an advance wh</w:t>
      </w:r>
      <w:r w:rsidR="00864EB4">
        <w:rPr>
          <w:rFonts w:ascii="Palatino Linotype" w:hAnsi="Palatino Linotype" w:eastAsia="Palatino Linotype" w:cs="Times New Roman"/>
          <w:kern w:val="0"/>
          <w14:ligatures w14:val="none"/>
        </w:rPr>
        <w:t>en</w:t>
      </w:r>
      <w:r w:rsidRPr="002E6BBB" w:rsidR="00951DC2">
        <w:rPr>
          <w:rFonts w:ascii="Palatino Linotype" w:hAnsi="Palatino Linotype" w:eastAsia="Palatino Linotype" w:cs="Times New Roman"/>
          <w:kern w:val="0"/>
          <w14:ligatures w14:val="none"/>
        </w:rPr>
        <w:t xml:space="preserve"> the </w:t>
      </w:r>
      <w:r w:rsidR="00864EB4">
        <w:rPr>
          <w:rFonts w:ascii="Palatino Linotype" w:hAnsi="Palatino Linotype" w:eastAsia="Palatino Linotype" w:cs="Times New Roman"/>
          <w:kern w:val="0"/>
          <w14:ligatures w14:val="none"/>
        </w:rPr>
        <w:t>related transmission line</w:t>
      </w:r>
      <w:r w:rsidRPr="002E6BBB" w:rsidR="00951DC2">
        <w:rPr>
          <w:rFonts w:ascii="Palatino Linotype" w:hAnsi="Palatino Linotype" w:eastAsia="Palatino Linotype" w:cs="Times New Roman"/>
          <w:kern w:val="0"/>
          <w14:ligatures w14:val="none"/>
        </w:rPr>
        <w:t xml:space="preserve"> is being constructed by a third party such as LS Power</w:t>
      </w:r>
      <w:r w:rsidR="00951DC2">
        <w:rPr>
          <w:rFonts w:ascii="Palatino Linotype" w:hAnsi="Palatino Linotype" w:eastAsia="Palatino Linotype" w:cs="Times New Roman"/>
          <w:kern w:val="0"/>
          <w14:ligatures w14:val="none"/>
        </w:rPr>
        <w:t>.</w:t>
      </w:r>
      <w:r w:rsidRPr="002E6BBB" w:rsidR="00951DC2">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However,</w:t>
      </w:r>
      <w:r w:rsidR="00DA1BC3">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the proposed advance does not relate to any specific transmission network upgrade</w:t>
      </w:r>
      <w:r w:rsidR="00864EB4">
        <w:rPr>
          <w:rFonts w:ascii="Palatino Linotype" w:hAnsi="Palatino Linotype" w:eastAsia="Palatino Linotype" w:cs="Times New Roman"/>
          <w:kern w:val="0"/>
          <w14:ligatures w14:val="none"/>
        </w:rPr>
        <w:t>s</w:t>
      </w:r>
      <w:r w:rsidR="00951DC2">
        <w:rPr>
          <w:rFonts w:ascii="Palatino Linotype" w:hAnsi="Palatino Linotype" w:eastAsia="Palatino Linotype" w:cs="Times New Roman"/>
          <w:kern w:val="0"/>
          <w14:ligatures w14:val="none"/>
        </w:rPr>
        <w:t xml:space="preserve">. Instead, it is a flat fee that reflects and mitigates the </w:t>
      </w:r>
      <w:r w:rsidR="00864EB4">
        <w:rPr>
          <w:rFonts w:ascii="Palatino Linotype" w:hAnsi="Palatino Linotype" w:eastAsia="Palatino Linotype" w:cs="Times New Roman"/>
          <w:kern w:val="0"/>
          <w14:ligatures w14:val="none"/>
        </w:rPr>
        <w:t xml:space="preserve">general </w:t>
      </w:r>
      <w:r w:rsidR="00810939">
        <w:rPr>
          <w:rFonts w:ascii="Palatino Linotype" w:hAnsi="Palatino Linotype" w:eastAsia="Palatino Linotype" w:cs="Times New Roman"/>
          <w:kern w:val="0"/>
          <w14:ligatures w14:val="none"/>
        </w:rPr>
        <w:t xml:space="preserve">retail </w:t>
      </w:r>
      <w:r w:rsidR="00951DC2">
        <w:rPr>
          <w:rFonts w:ascii="Palatino Linotype" w:hAnsi="Palatino Linotype" w:eastAsia="Palatino Linotype" w:cs="Times New Roman"/>
          <w:kern w:val="0"/>
          <w14:ligatures w14:val="none"/>
        </w:rPr>
        <w:t>ratepayer risks raised by the transmission network upgrades related to transmission-level, large load energization.</w:t>
      </w:r>
    </w:p>
    <w:p w:rsidR="005D78E8" w:rsidP="007F77B4" w:rsidRDefault="005D78E8" w14:paraId="6D1D0146" w14:textId="77777777">
      <w:pPr>
        <w:spacing w:after="0" w:line="240" w:lineRule="auto"/>
        <w:rPr>
          <w:rFonts w:ascii="Palatino Linotype" w:hAnsi="Palatino Linotype" w:eastAsia="Palatino Linotype" w:cs="Times New Roman"/>
          <w:kern w:val="0"/>
          <w14:ligatures w14:val="none"/>
        </w:rPr>
      </w:pPr>
    </w:p>
    <w:p w:rsidR="00862A63" w:rsidP="007F77B4" w:rsidRDefault="002E6BBB" w14:paraId="2D33212D" w14:textId="2C4F0B33">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Menlo Equities </w:t>
      </w:r>
      <w:r w:rsidR="00DA1BC3">
        <w:rPr>
          <w:rFonts w:ascii="Palatino Linotype" w:hAnsi="Palatino Linotype" w:eastAsia="Palatino Linotype" w:cs="Times New Roman"/>
          <w:kern w:val="0"/>
          <w14:ligatures w14:val="none"/>
        </w:rPr>
        <w:t>argues that</w:t>
      </w:r>
      <w:r w:rsidRPr="002E6BBB">
        <w:rPr>
          <w:rFonts w:ascii="Palatino Linotype" w:hAnsi="Palatino Linotype" w:eastAsia="Palatino Linotype" w:cs="Times New Roman"/>
          <w:kern w:val="0"/>
          <w14:ligatures w14:val="none"/>
        </w:rPr>
        <w:t xml:space="preserve"> the accounting practicalities of tracking costs and credits across an integrated regional grid present significant administrative impracticality, while Orchard Partners cautions that bespoke payback mechanisms for deep-grid upgrades would create an "endless maze of administrative complexity" whose overhead would ultimately be borne by ratepayers.</w:t>
      </w:r>
      <w:r w:rsidR="00F067C0">
        <w:rPr>
          <w:rStyle w:val="FootnoteReference"/>
          <w:rFonts w:ascii="Palatino Linotype" w:hAnsi="Palatino Linotype" w:eastAsia="Palatino Linotype" w:cs="Times New Roman"/>
          <w:kern w:val="0"/>
          <w14:ligatures w14:val="none"/>
        </w:rPr>
        <w:footnoteReference w:id="24"/>
      </w:r>
      <w:r w:rsidR="00D9161D">
        <w:rPr>
          <w:rFonts w:ascii="Palatino Linotype" w:hAnsi="Palatino Linotype" w:eastAsia="Palatino Linotype" w:cs="Times New Roman"/>
          <w:kern w:val="0"/>
          <w14:ligatures w14:val="none"/>
        </w:rPr>
        <w:t xml:space="preserve"> </w:t>
      </w:r>
      <w:r w:rsidRPr="00E80DE8" w:rsidR="00D9161D">
        <w:rPr>
          <w:rFonts w:ascii="Palatino Linotype" w:hAnsi="Palatino Linotype" w:eastAsia="Palatino Linotype" w:cs="Times New Roman"/>
          <w:kern w:val="0"/>
          <w14:ligatures w14:val="none"/>
        </w:rPr>
        <w:t xml:space="preserve">The Bay Area Council and SVLG contend that no established allocation methodology exists for assigning these system-level costs to individual customers. </w:t>
      </w:r>
      <w:r w:rsidR="00864EB4">
        <w:rPr>
          <w:rFonts w:ascii="Palatino Linotype" w:hAnsi="Palatino Linotype" w:eastAsia="Palatino Linotype" w:cs="Times New Roman"/>
          <w:kern w:val="0"/>
          <w14:ligatures w14:val="none"/>
        </w:rPr>
        <w:t>However, the $600,000 per MW fee proposed here avoids th</w:t>
      </w:r>
      <w:r w:rsidR="00CB51BF">
        <w:rPr>
          <w:rFonts w:ascii="Palatino Linotype" w:hAnsi="Palatino Linotype" w:eastAsia="Palatino Linotype" w:cs="Times New Roman"/>
          <w:kern w:val="0"/>
          <w14:ligatures w14:val="none"/>
        </w:rPr>
        <w:t>ese issues with tracking and complexity</w:t>
      </w:r>
      <w:r w:rsidR="00FA26D6">
        <w:rPr>
          <w:rFonts w:ascii="Palatino Linotype" w:hAnsi="Palatino Linotype" w:eastAsia="Palatino Linotype" w:cs="Times New Roman"/>
          <w:kern w:val="0"/>
          <w14:ligatures w14:val="none"/>
        </w:rPr>
        <w:t xml:space="preserve"> and</w:t>
      </w:r>
      <w:r w:rsidR="00D22A61">
        <w:rPr>
          <w:rFonts w:ascii="Palatino Linotype" w:hAnsi="Palatino Linotype" w:eastAsia="Palatino Linotype" w:cs="Times New Roman"/>
          <w:kern w:val="0"/>
          <w14:ligatures w14:val="none"/>
        </w:rPr>
        <w:t xml:space="preserve"> does not assign </w:t>
      </w:r>
      <w:r w:rsidR="00FA26D6">
        <w:rPr>
          <w:rFonts w:ascii="Palatino Linotype" w:hAnsi="Palatino Linotype" w:eastAsia="Palatino Linotype" w:cs="Times New Roman"/>
          <w:kern w:val="0"/>
          <w14:ligatures w14:val="none"/>
        </w:rPr>
        <w:t>specific system-level costs to individual customers</w:t>
      </w:r>
      <w:r w:rsidR="00CB51BF">
        <w:rPr>
          <w:rFonts w:ascii="Palatino Linotype" w:hAnsi="Palatino Linotype" w:eastAsia="Palatino Linotype" w:cs="Times New Roman"/>
          <w:kern w:val="0"/>
          <w14:ligatures w14:val="none"/>
        </w:rPr>
        <w:t xml:space="preserve">. </w:t>
      </w:r>
      <w:r w:rsidR="009E4302">
        <w:rPr>
          <w:rFonts w:ascii="Palatino Linotype" w:hAnsi="Palatino Linotype" w:eastAsia="Palatino Linotype" w:cs="Times New Roman"/>
          <w:kern w:val="0"/>
          <w14:ligatures w14:val="none"/>
        </w:rPr>
        <w:t xml:space="preserve">The fee works based on the capacity that </w:t>
      </w:r>
      <w:proofErr w:type="gramStart"/>
      <w:r w:rsidR="009E4302">
        <w:rPr>
          <w:rFonts w:ascii="Palatino Linotype" w:hAnsi="Palatino Linotype" w:eastAsia="Palatino Linotype" w:cs="Times New Roman"/>
          <w:kern w:val="0"/>
          <w14:ligatures w14:val="none"/>
        </w:rPr>
        <w:t>is both</w:t>
      </w:r>
      <w:proofErr w:type="gramEnd"/>
      <w:r w:rsidR="009E4302">
        <w:rPr>
          <w:rFonts w:ascii="Palatino Linotype" w:hAnsi="Palatino Linotype" w:eastAsia="Palatino Linotype" w:cs="Times New Roman"/>
          <w:kern w:val="0"/>
          <w14:ligatures w14:val="none"/>
        </w:rPr>
        <w:t xml:space="preserve"> requested by the customer and available for use, requiring </w:t>
      </w:r>
      <w:r w:rsidR="00D40F04">
        <w:rPr>
          <w:rFonts w:ascii="Palatino Linotype" w:hAnsi="Palatino Linotype" w:eastAsia="Palatino Linotype" w:cs="Times New Roman"/>
          <w:kern w:val="0"/>
          <w14:ligatures w14:val="none"/>
        </w:rPr>
        <w:t xml:space="preserve">the customer to pay the $600,000 fee the year before this requested capacity is available for use. </w:t>
      </w:r>
      <w:r w:rsidR="00FA26D6">
        <w:rPr>
          <w:rFonts w:ascii="Palatino Linotype" w:hAnsi="Palatino Linotype" w:eastAsia="Palatino Linotype" w:cs="Times New Roman"/>
          <w:kern w:val="0"/>
          <w14:ligatures w14:val="none"/>
        </w:rPr>
        <w:t>The $600,000 per MW fee</w:t>
      </w:r>
      <w:r w:rsidR="00CB51BF">
        <w:rPr>
          <w:rFonts w:ascii="Palatino Linotype" w:hAnsi="Palatino Linotype" w:eastAsia="Palatino Linotype" w:cs="Times New Roman"/>
          <w:kern w:val="0"/>
          <w14:ligatures w14:val="none"/>
        </w:rPr>
        <w:t xml:space="preserve"> would work similarly for any </w:t>
      </w:r>
      <w:proofErr w:type="gramStart"/>
      <w:r w:rsidR="00CB51BF">
        <w:rPr>
          <w:rFonts w:ascii="Palatino Linotype" w:hAnsi="Palatino Linotype" w:eastAsia="Palatino Linotype" w:cs="Times New Roman"/>
          <w:kern w:val="0"/>
          <w14:ligatures w14:val="none"/>
        </w:rPr>
        <w:t xml:space="preserve">customer, </w:t>
      </w:r>
      <w:r w:rsidR="00FA26D6">
        <w:rPr>
          <w:rFonts w:ascii="Palatino Linotype" w:hAnsi="Palatino Linotype" w:eastAsia="Palatino Linotype" w:cs="Times New Roman"/>
          <w:kern w:val="0"/>
          <w14:ligatures w14:val="none"/>
        </w:rPr>
        <w:t>and</w:t>
      </w:r>
      <w:proofErr w:type="gramEnd"/>
      <w:r w:rsidR="00FA26D6">
        <w:rPr>
          <w:rFonts w:ascii="Palatino Linotype" w:hAnsi="Palatino Linotype" w:eastAsia="Palatino Linotype" w:cs="Times New Roman"/>
          <w:kern w:val="0"/>
          <w14:ligatures w14:val="none"/>
        </w:rPr>
        <w:t xml:space="preserve"> thus would not be a</w:t>
      </w:r>
      <w:r w:rsidR="00D22A61">
        <w:rPr>
          <w:rFonts w:ascii="Palatino Linotype" w:hAnsi="Palatino Linotype" w:eastAsia="Palatino Linotype" w:cs="Times New Roman"/>
          <w:kern w:val="0"/>
          <w14:ligatures w14:val="none"/>
        </w:rPr>
        <w:t xml:space="preserve"> bespoke payback mechanism.</w:t>
      </w:r>
      <w:r w:rsidR="006327AC">
        <w:rPr>
          <w:rFonts w:ascii="Palatino Linotype" w:hAnsi="Palatino Linotype" w:eastAsia="Palatino Linotype" w:cs="Times New Roman"/>
          <w:kern w:val="0"/>
          <w14:ligatures w14:val="none"/>
        </w:rPr>
        <w:t xml:space="preserve"> </w:t>
      </w:r>
      <w:r w:rsidR="00D22A61">
        <w:rPr>
          <w:rFonts w:ascii="Palatino Linotype" w:hAnsi="Palatino Linotype" w:eastAsia="Palatino Linotype" w:cs="Times New Roman"/>
          <w:kern w:val="0"/>
          <w14:ligatures w14:val="none"/>
        </w:rPr>
        <w:t xml:space="preserve"> </w:t>
      </w:r>
      <w:r w:rsidRPr="00097016" w:rsidR="009C563A">
        <w:rPr>
          <w:rFonts w:ascii="Palatino Linotype" w:hAnsi="Palatino Linotype" w:eastAsia="Palatino Linotype" w:cs="Times New Roman"/>
          <w:kern w:val="0"/>
          <w14:ligatures w14:val="none"/>
        </w:rPr>
        <w:t xml:space="preserve">Regarding the structure of any advance, Cal Advocates endorsed </w:t>
      </w:r>
      <w:proofErr w:type="gramStart"/>
      <w:r w:rsidRPr="00097016" w:rsidR="009C563A">
        <w:rPr>
          <w:rFonts w:ascii="Palatino Linotype" w:hAnsi="Palatino Linotype" w:eastAsia="Palatino Linotype" w:cs="Times New Roman"/>
          <w:kern w:val="0"/>
          <w14:ligatures w14:val="none"/>
        </w:rPr>
        <w:t>a defined</w:t>
      </w:r>
      <w:proofErr w:type="gramEnd"/>
      <w:r w:rsidRPr="00097016" w:rsidR="009C563A">
        <w:rPr>
          <w:rFonts w:ascii="Palatino Linotype" w:hAnsi="Palatino Linotype" w:eastAsia="Palatino Linotype" w:cs="Times New Roman"/>
          <w:kern w:val="0"/>
          <w14:ligatures w14:val="none"/>
        </w:rPr>
        <w:t xml:space="preserve">, quantifiable amount </w:t>
      </w:r>
      <w:r w:rsidR="006F6459">
        <w:rPr>
          <w:rFonts w:ascii="Palatino Linotype" w:hAnsi="Palatino Linotype" w:eastAsia="Palatino Linotype" w:cs="Times New Roman"/>
          <w:kern w:val="0"/>
          <w14:ligatures w14:val="none"/>
        </w:rPr>
        <w:t>frames as either</w:t>
      </w:r>
      <w:r w:rsidRPr="00097016" w:rsidR="009C563A">
        <w:rPr>
          <w:rFonts w:ascii="Palatino Linotype" w:hAnsi="Palatino Linotype" w:eastAsia="Palatino Linotype" w:cs="Times New Roman"/>
          <w:kern w:val="0"/>
          <w14:ligatures w14:val="none"/>
        </w:rPr>
        <w:t xml:space="preserve"> a capacity-share percentage or a per-</w:t>
      </w:r>
      <w:r w:rsidR="009C563A">
        <w:rPr>
          <w:rFonts w:ascii="Palatino Linotype" w:hAnsi="Palatino Linotype" w:eastAsia="Palatino Linotype" w:cs="Times New Roman"/>
          <w:kern w:val="0"/>
          <w14:ligatures w14:val="none"/>
        </w:rPr>
        <w:t>M</w:t>
      </w:r>
      <w:r w:rsidRPr="00097016" w:rsidR="009C563A">
        <w:rPr>
          <w:rFonts w:ascii="Palatino Linotype" w:hAnsi="Palatino Linotype" w:eastAsia="Palatino Linotype" w:cs="Times New Roman"/>
          <w:kern w:val="0"/>
          <w14:ligatures w14:val="none"/>
        </w:rPr>
        <w:t>W fee</w:t>
      </w:r>
      <w:r w:rsidR="009C563A">
        <w:rPr>
          <w:rFonts w:ascii="Palatino Linotype" w:hAnsi="Palatino Linotype" w:eastAsia="Palatino Linotype" w:cs="Times New Roman"/>
          <w:kern w:val="0"/>
          <w14:ligatures w14:val="none"/>
        </w:rPr>
        <w:t>.</w:t>
      </w:r>
      <w:r w:rsidR="006F6459">
        <w:rPr>
          <w:rStyle w:val="FootnoteReference"/>
          <w:rFonts w:ascii="Palatino Linotype" w:hAnsi="Palatino Linotype" w:eastAsia="Palatino Linotype" w:cs="Times New Roman"/>
          <w:kern w:val="0"/>
          <w14:ligatures w14:val="none"/>
        </w:rPr>
        <w:footnoteReference w:id="25"/>
      </w:r>
      <w:r w:rsidR="009C563A">
        <w:rPr>
          <w:rFonts w:ascii="Palatino Linotype" w:hAnsi="Palatino Linotype" w:eastAsia="Palatino Linotype" w:cs="Times New Roman"/>
          <w:kern w:val="0"/>
          <w14:ligatures w14:val="none"/>
        </w:rPr>
        <w:t xml:space="preserve"> </w:t>
      </w:r>
    </w:p>
    <w:p w:rsidR="008F39F6" w:rsidP="007F77B4" w:rsidRDefault="008F39F6" w14:paraId="3031E7DB" w14:textId="77777777">
      <w:pPr>
        <w:spacing w:after="0" w:line="240" w:lineRule="auto"/>
        <w:rPr>
          <w:rFonts w:ascii="Palatino Linotype" w:hAnsi="Palatino Linotype" w:eastAsia="Palatino Linotype" w:cs="Times New Roman"/>
          <w:kern w:val="0"/>
          <w14:ligatures w14:val="none"/>
        </w:rPr>
      </w:pPr>
    </w:p>
    <w:p w:rsidR="00E21AF3" w:rsidP="007F77B4" w:rsidRDefault="002E6BBB" w14:paraId="109605D4" w14:textId="6C3C2DFE">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Both </w:t>
      </w:r>
      <w:r w:rsidR="008F39F6">
        <w:rPr>
          <w:rFonts w:ascii="Palatino Linotype" w:hAnsi="Palatino Linotype" w:eastAsia="Palatino Linotype" w:cs="Times New Roman"/>
          <w:kern w:val="0"/>
          <w14:ligatures w14:val="none"/>
        </w:rPr>
        <w:t xml:space="preserve">Menlo Equities and Orchard Partners also </w:t>
      </w:r>
      <w:r w:rsidRPr="002E6BBB">
        <w:rPr>
          <w:rFonts w:ascii="Palatino Linotype" w:hAnsi="Palatino Linotype" w:eastAsia="Palatino Linotype" w:cs="Times New Roman"/>
          <w:kern w:val="0"/>
          <w14:ligatures w14:val="none"/>
        </w:rPr>
        <w:t>request that any assigned Type 4 costs remain refundable under the same unified, revenue-tied methodology applied to local costs (e.g., a 15-year payback capped at 75</w:t>
      </w:r>
      <w:r>
        <w:rPr>
          <w:rFonts w:ascii="Palatino Linotype" w:hAnsi="Palatino Linotype" w:eastAsia="Palatino Linotype" w:cs="Times New Roman"/>
          <w:kern w:val="0"/>
          <w14:ligatures w14:val="none"/>
        </w:rPr>
        <w:t xml:space="preserve"> or 100</w:t>
      </w:r>
      <w:r w:rsidRPr="002E6BBB">
        <w:rPr>
          <w:rFonts w:ascii="Palatino Linotype" w:hAnsi="Palatino Linotype" w:eastAsia="Palatino Linotype" w:cs="Times New Roman"/>
          <w:kern w:val="0"/>
          <w14:ligatures w14:val="none"/>
        </w:rPr>
        <w:t xml:space="preserve"> percent of net revenues).</w:t>
      </w:r>
      <w:r w:rsidR="0097189A">
        <w:rPr>
          <w:rStyle w:val="FootnoteReference"/>
          <w:rFonts w:ascii="Palatino Linotype" w:hAnsi="Palatino Linotype" w:eastAsia="Palatino Linotype" w:cs="Times New Roman"/>
          <w:kern w:val="0"/>
          <w14:ligatures w14:val="none"/>
        </w:rPr>
        <w:footnoteReference w:id="26"/>
      </w:r>
      <w:r w:rsidRPr="002E6BBB">
        <w:rPr>
          <w:rFonts w:ascii="Palatino Linotype" w:hAnsi="Palatino Linotype" w:eastAsia="Palatino Linotype" w:cs="Times New Roman"/>
          <w:kern w:val="0"/>
          <w14:ligatures w14:val="none"/>
        </w:rPr>
        <w:t xml:space="preserve"> </w:t>
      </w:r>
      <w:r w:rsidR="000357BB">
        <w:rPr>
          <w:rFonts w:ascii="Palatino Linotype" w:hAnsi="Palatino Linotype" w:eastAsia="Palatino Linotype" w:cs="Times New Roman"/>
          <w:kern w:val="0"/>
          <w14:ligatures w14:val="none"/>
        </w:rPr>
        <w:t xml:space="preserve">We follow the recommendations from Menlo Equities and Orchard Partners here, and </w:t>
      </w:r>
      <w:r w:rsidR="00515D93">
        <w:rPr>
          <w:rFonts w:ascii="Palatino Linotype" w:hAnsi="Palatino Linotype" w:eastAsia="Palatino Linotype" w:cs="Times New Roman"/>
          <w:kern w:val="0"/>
          <w14:ligatures w14:val="none"/>
        </w:rPr>
        <w:t xml:space="preserve">treat the original and additional capital advance amounts as one total advance, which should be </w:t>
      </w:r>
      <w:r w:rsidR="00515D93">
        <w:rPr>
          <w:rFonts w:ascii="Palatino Linotype" w:hAnsi="Palatino Linotype" w:eastAsia="Palatino Linotype" w:cs="Times New Roman"/>
          <w:kern w:val="0"/>
          <w14:ligatures w14:val="none"/>
        </w:rPr>
        <w:lastRenderedPageBreak/>
        <w:t xml:space="preserve">refunded under the same methodology, in this case a 15-year payback capped at </w:t>
      </w:r>
      <w:r w:rsidR="00CE3BCA">
        <w:rPr>
          <w:rFonts w:ascii="Palatino Linotype" w:hAnsi="Palatino Linotype" w:eastAsia="Palatino Linotype" w:cs="Times New Roman"/>
          <w:kern w:val="0"/>
          <w14:ligatures w14:val="none"/>
        </w:rPr>
        <w:br/>
      </w:r>
      <w:r w:rsidR="00515D93">
        <w:rPr>
          <w:rFonts w:ascii="Palatino Linotype" w:hAnsi="Palatino Linotype" w:eastAsia="Palatino Linotype" w:cs="Times New Roman"/>
          <w:kern w:val="0"/>
          <w14:ligatures w14:val="none"/>
        </w:rPr>
        <w:t>100 percent of net revenues.</w:t>
      </w:r>
    </w:p>
    <w:p w:rsidR="00E21AF3" w:rsidP="007F77B4" w:rsidRDefault="00E21AF3" w14:paraId="1941398A" w14:textId="77777777">
      <w:pPr>
        <w:spacing w:after="0" w:line="240" w:lineRule="auto"/>
        <w:rPr>
          <w:rFonts w:ascii="Palatino Linotype" w:hAnsi="Palatino Linotype" w:eastAsia="Palatino Linotype" w:cs="Times New Roman"/>
          <w:kern w:val="0"/>
          <w14:ligatures w14:val="none"/>
        </w:rPr>
      </w:pPr>
    </w:p>
    <w:p w:rsidR="002E6BBB" w:rsidP="007F77B4" w:rsidRDefault="002E6BBB" w14:paraId="3F9FE9FF" w14:textId="15BC6BD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Orchard Partners further urges the Commission to distinguish advanced manufacturing loads from data centers to preserve predictable refund timelines for industrial customers.</w:t>
      </w:r>
      <w:r w:rsidR="00D9161D">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This comment is beyond the scope of this Advice Letter and Resolution, which specifically relates to Google’s 250 MW energization request for a data center project.</w:t>
      </w:r>
    </w:p>
    <w:p w:rsidR="002E6BBB" w:rsidP="007F77B4" w:rsidRDefault="002E6BBB" w14:paraId="76FDD9DC" w14:textId="77777777">
      <w:pPr>
        <w:spacing w:after="0" w:line="240" w:lineRule="auto"/>
        <w:rPr>
          <w:rFonts w:ascii="Palatino Linotype" w:hAnsi="Palatino Linotype" w:eastAsia="Palatino Linotype" w:cs="Times New Roman"/>
          <w:kern w:val="0"/>
          <w14:ligatures w14:val="none"/>
        </w:rPr>
      </w:pPr>
    </w:p>
    <w:p w:rsidR="0088525D" w:rsidP="0088525D" w:rsidRDefault="00E80DE8" w14:paraId="38E10286" w14:textId="06C240D2">
      <w:pPr>
        <w:spacing w:after="0" w:line="240" w:lineRule="auto"/>
        <w:rPr>
          <w:rFonts w:ascii="Palatino Linotype" w:hAnsi="Palatino Linotype" w:eastAsia="Palatino Linotype" w:cs="Times New Roman"/>
          <w:kern w:val="0"/>
          <w14:ligatures w14:val="none"/>
        </w:rPr>
      </w:pPr>
      <w:r w:rsidRPr="00E80DE8">
        <w:rPr>
          <w:rFonts w:ascii="Palatino Linotype" w:hAnsi="Palatino Linotype" w:eastAsia="Palatino Linotype" w:cs="Times New Roman"/>
          <w:kern w:val="0"/>
          <w14:ligatures w14:val="none"/>
        </w:rPr>
        <w:t>Several parties, including PG&amp;E, SCE, and SVLG, requested that broad policy questions on transmission cost allocation and rate design be resolved through comprehensive, stakeholder-driven proceedings—such as Rule 30 or Advanced Electric Rate Design —rather than through project-specific determinations.</w:t>
      </w:r>
      <w:r w:rsidR="0042398D">
        <w:rPr>
          <w:rFonts w:ascii="Palatino Linotype" w:hAnsi="Palatino Linotype" w:eastAsia="Palatino Linotype" w:cs="Times New Roman"/>
          <w:kern w:val="0"/>
          <w14:ligatures w14:val="none"/>
        </w:rPr>
        <w:t xml:space="preserve"> </w:t>
      </w:r>
      <w:r w:rsidRPr="007F77B4" w:rsidR="0042398D">
        <w:rPr>
          <w:rFonts w:ascii="Palatino Linotype" w:hAnsi="Palatino Linotype" w:eastAsia="Palatino Linotype" w:cs="Times New Roman"/>
          <w:kern w:val="0"/>
          <w14:ligatures w14:val="none"/>
        </w:rPr>
        <w:t xml:space="preserve">SCE suggested </w:t>
      </w:r>
      <w:r w:rsidRPr="002E6BBB" w:rsidR="0042398D">
        <w:rPr>
          <w:rFonts w:ascii="Palatino Linotype" w:hAnsi="Palatino Linotype" w:eastAsia="Palatino Linotype" w:cs="Times New Roman"/>
          <w:kern w:val="0"/>
          <w14:ligatures w14:val="none"/>
        </w:rPr>
        <w:t>that ratepayer protections are better achieved through retail rate structures—including long-term contracts, minimum billing, and credit support—where the Commission has clear jurisdiction.</w:t>
      </w:r>
      <w:r w:rsidR="00145EE1">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 xml:space="preserve">We do </w:t>
      </w:r>
      <w:r w:rsidR="00145EE1">
        <w:rPr>
          <w:rFonts w:ascii="Palatino Linotype" w:hAnsi="Palatino Linotype" w:eastAsia="Palatino Linotype" w:cs="Times New Roman"/>
          <w:kern w:val="0"/>
          <w14:ligatures w14:val="none"/>
        </w:rPr>
        <w:t xml:space="preserve">not </w:t>
      </w:r>
      <w:r w:rsidR="00515D93">
        <w:rPr>
          <w:rFonts w:ascii="Palatino Linotype" w:hAnsi="Palatino Linotype" w:eastAsia="Palatino Linotype" w:cs="Times New Roman"/>
          <w:kern w:val="0"/>
          <w14:ligatures w14:val="none"/>
        </w:rPr>
        <w:t>make any decision</w:t>
      </w:r>
      <w:r w:rsidR="00046B79">
        <w:rPr>
          <w:rFonts w:ascii="Palatino Linotype" w:hAnsi="Palatino Linotype" w:eastAsia="Palatino Linotype" w:cs="Times New Roman"/>
          <w:kern w:val="0"/>
          <w14:ligatures w14:val="none"/>
        </w:rPr>
        <w:t xml:space="preserve">s on broad policy questions here. Instead, we respond to </w:t>
      </w:r>
      <w:r w:rsidR="00413025">
        <w:rPr>
          <w:rFonts w:ascii="Palatino Linotype" w:hAnsi="Palatino Linotype" w:eastAsia="Palatino Linotype" w:cs="Times New Roman"/>
          <w:kern w:val="0"/>
          <w14:ligatures w14:val="none"/>
        </w:rPr>
        <w:t>an</w:t>
      </w:r>
      <w:r w:rsidR="00046B79">
        <w:rPr>
          <w:rFonts w:ascii="Palatino Linotype" w:hAnsi="Palatino Linotype" w:eastAsia="Palatino Linotype" w:cs="Times New Roman"/>
          <w:kern w:val="0"/>
          <w14:ligatures w14:val="none"/>
        </w:rPr>
        <w:t xml:space="preserve"> exceptional case filing</w:t>
      </w:r>
      <w:r w:rsidR="00145EE1">
        <w:rPr>
          <w:rFonts w:ascii="Palatino Linotype" w:hAnsi="Palatino Linotype" w:eastAsia="Palatino Linotype" w:cs="Times New Roman"/>
          <w:kern w:val="0"/>
          <w14:ligatures w14:val="none"/>
        </w:rPr>
        <w:t>.</w:t>
      </w:r>
      <w:r w:rsidR="00046B79">
        <w:rPr>
          <w:rFonts w:ascii="Palatino Linotype" w:hAnsi="Palatino Linotype" w:eastAsia="Palatino Linotype" w:cs="Times New Roman"/>
          <w:kern w:val="0"/>
          <w14:ligatures w14:val="none"/>
        </w:rPr>
        <w:t xml:space="preserve"> The decision here </w:t>
      </w:r>
      <w:r w:rsidR="00AB0872">
        <w:rPr>
          <w:rFonts w:ascii="Palatino Linotype" w:hAnsi="Palatino Linotype" w:eastAsia="Palatino Linotype" w:cs="Times New Roman"/>
          <w:kern w:val="0"/>
          <w14:ligatures w14:val="none"/>
        </w:rPr>
        <w:t xml:space="preserve">does </w:t>
      </w:r>
      <w:r w:rsidR="00046B79">
        <w:rPr>
          <w:rFonts w:ascii="Palatino Linotype" w:hAnsi="Palatino Linotype" w:eastAsia="Palatino Linotype" w:cs="Times New Roman"/>
          <w:kern w:val="0"/>
          <w14:ligatures w14:val="none"/>
        </w:rPr>
        <w:t>not prejudice the outcome in the Rule 30 or Advanced Electric Rate Design Proceedings in any way.</w:t>
      </w:r>
      <w:r w:rsidRPr="0088525D" w:rsidR="0088525D">
        <w:rPr>
          <w:rFonts w:ascii="Palatino Linotype" w:hAnsi="Palatino Linotype" w:eastAsia="Palatino Linotype" w:cs="Times New Roman"/>
          <w:kern w:val="0"/>
          <w14:ligatures w14:val="none"/>
        </w:rPr>
        <w:t xml:space="preserve"> </w:t>
      </w:r>
    </w:p>
    <w:p w:rsidR="00D6699B" w:rsidP="007F77B4" w:rsidRDefault="00D6699B" w14:paraId="1E3B06AF" w14:textId="77777777">
      <w:pPr>
        <w:spacing w:after="0" w:line="240" w:lineRule="auto"/>
        <w:rPr>
          <w:rFonts w:ascii="Palatino Linotype" w:hAnsi="Palatino Linotype" w:eastAsia="Palatino Linotype" w:cs="Times New Roman"/>
          <w:kern w:val="0"/>
          <w14:ligatures w14:val="none"/>
        </w:rPr>
      </w:pPr>
    </w:p>
    <w:p w:rsidR="00FC5ECF" w:rsidP="00141017" w:rsidRDefault="009E45D9" w14:paraId="1D389FE7" w14:textId="3000F87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Last</w:t>
      </w:r>
      <w:r w:rsidR="001A52AA">
        <w:rPr>
          <w:rFonts w:ascii="Palatino Linotype" w:hAnsi="Palatino Linotype" w:eastAsia="Palatino Linotype" w:cs="Times New Roman"/>
          <w:kern w:val="0"/>
          <w14:ligatures w14:val="none"/>
        </w:rPr>
        <w:t xml:space="preserve">, we address some </w:t>
      </w:r>
      <w:r w:rsidR="0088525D">
        <w:rPr>
          <w:rFonts w:ascii="Palatino Linotype" w:hAnsi="Palatino Linotype" w:eastAsia="Palatino Linotype" w:cs="Times New Roman"/>
          <w:kern w:val="0"/>
          <w14:ligatures w14:val="none"/>
        </w:rPr>
        <w:t>arguments from the Comments that do not relate to the additional capital advance</w:t>
      </w:r>
      <w:r w:rsidR="00D454B6">
        <w:rPr>
          <w:rFonts w:ascii="Palatino Linotype" w:hAnsi="Palatino Linotype" w:eastAsia="Palatino Linotype" w:cs="Times New Roman"/>
          <w:kern w:val="0"/>
          <w14:ligatures w14:val="none"/>
        </w:rPr>
        <w:t xml:space="preserve">. </w:t>
      </w:r>
    </w:p>
    <w:p w:rsidR="00FC5ECF" w:rsidP="00141017" w:rsidRDefault="00FC5ECF" w14:paraId="63D099D7" w14:textId="77777777">
      <w:pPr>
        <w:spacing w:after="0" w:line="240" w:lineRule="auto"/>
        <w:rPr>
          <w:rFonts w:ascii="Palatino Linotype" w:hAnsi="Palatino Linotype" w:eastAsia="Palatino Linotype" w:cs="Times New Roman"/>
          <w:kern w:val="0"/>
          <w14:ligatures w14:val="none"/>
        </w:rPr>
      </w:pPr>
    </w:p>
    <w:p w:rsidR="008A1D0C" w:rsidP="00141017" w:rsidRDefault="00D454B6" w14:paraId="651D1CD3" w14:textId="149D26BE">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w:t>
      </w:r>
      <w:r w:rsidR="006B4B84">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 xml:space="preserve">in relation to refunds for Applicant Build work: </w:t>
      </w:r>
      <w:r w:rsidRPr="006B4B84" w:rsidR="006B4B84">
        <w:rPr>
          <w:rFonts w:ascii="Palatino Linotype" w:hAnsi="Palatino Linotype" w:eastAsia="Palatino Linotype" w:cs="Times New Roman"/>
          <w:kern w:val="0"/>
          <w14:ligatures w14:val="none"/>
        </w:rPr>
        <w:t>PG&amp;E stated that it does not object to the Resolution's procedures regarding the binding cost estimate and oversight costs.</w:t>
      </w:r>
      <w:r w:rsidR="00C41589">
        <w:rPr>
          <w:rStyle w:val="FootnoteReference"/>
          <w:rFonts w:ascii="Palatino Linotype" w:hAnsi="Palatino Linotype" w:eastAsia="Palatino Linotype" w:cs="Times New Roman"/>
          <w:kern w:val="0"/>
          <w14:ligatures w14:val="none"/>
        </w:rPr>
        <w:footnoteReference w:id="27"/>
      </w:r>
      <w:r w:rsidRPr="006B4B84" w:rsidR="006B4B84">
        <w:rPr>
          <w:rFonts w:ascii="Palatino Linotype" w:hAnsi="Palatino Linotype" w:eastAsia="Palatino Linotype" w:cs="Times New Roman"/>
          <w:kern w:val="0"/>
          <w14:ligatures w14:val="none"/>
        </w:rPr>
        <w:t xml:space="preserve"> </w:t>
      </w:r>
      <w:r w:rsidRPr="00EA1F48" w:rsidR="00141017">
        <w:rPr>
          <w:rFonts w:ascii="Palatino Linotype" w:hAnsi="Palatino Linotype" w:eastAsia="Palatino Linotype" w:cs="Times New Roman"/>
          <w:kern w:val="0"/>
          <w14:ligatures w14:val="none"/>
        </w:rPr>
        <w:t>Cal Advocates</w:t>
      </w:r>
      <w:r>
        <w:rPr>
          <w:rFonts w:ascii="Palatino Linotype" w:hAnsi="Palatino Linotype" w:eastAsia="Palatino Linotype" w:cs="Times New Roman"/>
          <w:kern w:val="0"/>
          <w14:ligatures w14:val="none"/>
        </w:rPr>
        <w:t xml:space="preserve">, however, </w:t>
      </w:r>
      <w:r w:rsidRPr="00EA1F48" w:rsidR="00141017">
        <w:rPr>
          <w:rFonts w:ascii="Palatino Linotype" w:hAnsi="Palatino Linotype" w:eastAsia="Palatino Linotype" w:cs="Times New Roman"/>
          <w:kern w:val="0"/>
          <w14:ligatures w14:val="none"/>
        </w:rPr>
        <w:t>recommends capping refundable applicant-build costs at the lower of PG&amp;E's or Google's cost estimate</w:t>
      </w:r>
      <w:r>
        <w:rPr>
          <w:rFonts w:ascii="Palatino Linotype" w:hAnsi="Palatino Linotype" w:eastAsia="Palatino Linotype" w:cs="Times New Roman"/>
          <w:kern w:val="0"/>
          <w14:ligatures w14:val="none"/>
        </w:rPr>
        <w:t>. We agree with PG&amp;E that the Resolution’s procedures are adequate here</w:t>
      </w:r>
      <w:r w:rsidR="008A1D0C">
        <w:rPr>
          <w:rFonts w:ascii="Palatino Linotype" w:hAnsi="Palatino Linotype" w:eastAsia="Palatino Linotype" w:cs="Times New Roman"/>
          <w:kern w:val="0"/>
          <w14:ligatures w14:val="none"/>
        </w:rPr>
        <w:t>, and do not need further modification</w:t>
      </w:r>
      <w:r>
        <w:rPr>
          <w:rFonts w:ascii="Palatino Linotype" w:hAnsi="Palatino Linotype" w:eastAsia="Palatino Linotype" w:cs="Times New Roman"/>
          <w:kern w:val="0"/>
          <w14:ligatures w14:val="none"/>
        </w:rPr>
        <w:t>.</w:t>
      </w:r>
      <w:r w:rsidR="00C51AD9">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We also clarify, at the request of Cal Advocates, that PG&amp;E may use a single standard contingency in establishing the binding cost estimate</w:t>
      </w:r>
      <w:r w:rsidR="008A1D0C">
        <w:rPr>
          <w:rFonts w:ascii="Palatino Linotype" w:hAnsi="Palatino Linotype" w:eastAsia="Palatino Linotype" w:cs="Times New Roman"/>
          <w:kern w:val="0"/>
          <w14:ligatures w14:val="none"/>
        </w:rPr>
        <w:t>,</w:t>
      </w:r>
      <w:r w:rsidR="00FC5ECF">
        <w:rPr>
          <w:rFonts w:ascii="Palatino Linotype" w:hAnsi="Palatino Linotype" w:eastAsia="Palatino Linotype" w:cs="Times New Roman"/>
          <w:kern w:val="0"/>
          <w14:ligatures w14:val="none"/>
        </w:rPr>
        <w:t xml:space="preserve"> but refunds would remain limited to actual costs incurred.</w:t>
      </w:r>
      <w:r>
        <w:rPr>
          <w:rFonts w:ascii="Palatino Linotype" w:hAnsi="Palatino Linotype" w:eastAsia="Palatino Linotype" w:cs="Times New Roman"/>
          <w:kern w:val="0"/>
          <w14:ligatures w14:val="none"/>
        </w:rPr>
        <w:t xml:space="preserve"> </w:t>
      </w:r>
    </w:p>
    <w:p w:rsidR="008A1D0C" w:rsidP="00141017" w:rsidRDefault="008A1D0C" w14:paraId="5DF6B565" w14:textId="77777777">
      <w:pPr>
        <w:spacing w:after="0" w:line="240" w:lineRule="auto"/>
        <w:rPr>
          <w:rFonts w:ascii="Palatino Linotype" w:hAnsi="Palatino Linotype" w:eastAsia="Palatino Linotype" w:cs="Times New Roman"/>
          <w:kern w:val="0"/>
          <w14:ligatures w14:val="none"/>
        </w:rPr>
      </w:pPr>
    </w:p>
    <w:p w:rsidR="00B53C9C" w:rsidP="00141017" w:rsidRDefault="00D454B6" w14:paraId="34569959" w14:textId="4754928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Second, </w:t>
      </w:r>
      <w:r w:rsidR="008A1D0C">
        <w:rPr>
          <w:rFonts w:ascii="Palatino Linotype" w:hAnsi="Palatino Linotype" w:eastAsia="Palatino Linotype" w:cs="Times New Roman"/>
          <w:kern w:val="0"/>
          <w14:ligatures w14:val="none"/>
        </w:rPr>
        <w:t xml:space="preserve">in relation to the BARC process: </w:t>
      </w:r>
      <w:r>
        <w:rPr>
          <w:rFonts w:ascii="Palatino Linotype" w:hAnsi="Palatino Linotype" w:eastAsia="Palatino Linotype" w:cs="Times New Roman"/>
          <w:kern w:val="0"/>
          <w14:ligatures w14:val="none"/>
        </w:rPr>
        <w:t xml:space="preserve">Cal Advocates </w:t>
      </w:r>
      <w:r w:rsidR="00253363">
        <w:rPr>
          <w:rFonts w:ascii="Palatino Linotype" w:hAnsi="Palatino Linotype" w:eastAsia="Palatino Linotype" w:cs="Times New Roman"/>
          <w:kern w:val="0"/>
          <w14:ligatures w14:val="none"/>
        </w:rPr>
        <w:t xml:space="preserve">argues that </w:t>
      </w:r>
      <w:r w:rsidRPr="00EA1F48" w:rsidR="00141017">
        <w:rPr>
          <w:rFonts w:ascii="Palatino Linotype" w:hAnsi="Palatino Linotype" w:eastAsia="Palatino Linotype" w:cs="Times New Roman"/>
          <w:kern w:val="0"/>
          <w14:ligatures w14:val="none"/>
        </w:rPr>
        <w:t>total refunds over the 15-year eligibility period</w:t>
      </w:r>
      <w:r w:rsidR="00253363">
        <w:rPr>
          <w:rFonts w:ascii="Palatino Linotype" w:hAnsi="Palatino Linotype" w:eastAsia="Palatino Linotype" w:cs="Times New Roman"/>
          <w:kern w:val="0"/>
          <w14:ligatures w14:val="none"/>
        </w:rPr>
        <w:t xml:space="preserve"> should be limited</w:t>
      </w:r>
      <w:r w:rsidRPr="00EA1F48" w:rsidR="00141017">
        <w:rPr>
          <w:rFonts w:ascii="Palatino Linotype" w:hAnsi="Palatino Linotype" w:eastAsia="Palatino Linotype" w:cs="Times New Roman"/>
          <w:kern w:val="0"/>
          <w14:ligatures w14:val="none"/>
        </w:rPr>
        <w:t xml:space="preserve"> to the BARC Formula amount</w:t>
      </w:r>
      <w:r w:rsidR="00253363">
        <w:rPr>
          <w:rFonts w:ascii="Palatino Linotype" w:hAnsi="Palatino Linotype" w:eastAsia="Palatino Linotype" w:cs="Times New Roman"/>
          <w:kern w:val="0"/>
          <w14:ligatures w14:val="none"/>
        </w:rPr>
        <w:t xml:space="preserve">, as was the case in previous exceptional cases. We agree with Cal </w:t>
      </w:r>
      <w:proofErr w:type="gramStart"/>
      <w:r w:rsidR="00253363">
        <w:rPr>
          <w:rFonts w:ascii="Palatino Linotype" w:hAnsi="Palatino Linotype" w:eastAsia="Palatino Linotype" w:cs="Times New Roman"/>
          <w:kern w:val="0"/>
          <w14:ligatures w14:val="none"/>
        </w:rPr>
        <w:t>Advocates, and</w:t>
      </w:r>
      <w:proofErr w:type="gramEnd"/>
      <w:r w:rsidR="00253363">
        <w:rPr>
          <w:rFonts w:ascii="Palatino Linotype" w:hAnsi="Palatino Linotype" w:eastAsia="Palatino Linotype" w:cs="Times New Roman"/>
          <w:kern w:val="0"/>
          <w14:ligatures w14:val="none"/>
        </w:rPr>
        <w:t xml:space="preserve"> clarify here that </w:t>
      </w:r>
      <w:r w:rsidR="00703A3C">
        <w:rPr>
          <w:rFonts w:ascii="Palatino Linotype" w:hAnsi="Palatino Linotype" w:eastAsia="Palatino Linotype" w:cs="Times New Roman"/>
          <w:kern w:val="0"/>
          <w14:ligatures w14:val="none"/>
        </w:rPr>
        <w:t>the</w:t>
      </w:r>
      <w:r w:rsidR="0030737B">
        <w:rPr>
          <w:rFonts w:ascii="Palatino Linotype" w:hAnsi="Palatino Linotype" w:eastAsia="Palatino Linotype" w:cs="Times New Roman"/>
          <w:kern w:val="0"/>
          <w14:ligatures w14:val="none"/>
        </w:rPr>
        <w:t xml:space="preserve"> total refund </w:t>
      </w:r>
      <w:r w:rsidR="00703A3C">
        <w:rPr>
          <w:rFonts w:ascii="Palatino Linotype" w:hAnsi="Palatino Linotype" w:eastAsia="Palatino Linotype" w:cs="Times New Roman"/>
          <w:kern w:val="0"/>
          <w14:ligatures w14:val="none"/>
        </w:rPr>
        <w:t xml:space="preserve">received by a customer </w:t>
      </w:r>
      <w:r w:rsidR="00B53C9C">
        <w:rPr>
          <w:rFonts w:ascii="Palatino Linotype" w:hAnsi="Palatino Linotype" w:eastAsia="Palatino Linotype" w:cs="Times New Roman"/>
          <w:kern w:val="0"/>
          <w14:ligatures w14:val="none"/>
        </w:rPr>
        <w:t xml:space="preserve">should </w:t>
      </w:r>
      <w:r w:rsidR="00703A3C">
        <w:rPr>
          <w:rFonts w:ascii="Palatino Linotype" w:hAnsi="Palatino Linotype" w:eastAsia="Palatino Linotype" w:cs="Times New Roman"/>
          <w:kern w:val="0"/>
          <w14:ligatures w14:val="none"/>
        </w:rPr>
        <w:t xml:space="preserve">still be </w:t>
      </w:r>
      <w:r w:rsidR="00B53C9C">
        <w:rPr>
          <w:rFonts w:ascii="Palatino Linotype" w:hAnsi="Palatino Linotype" w:eastAsia="Palatino Linotype" w:cs="Times New Roman"/>
          <w:kern w:val="0"/>
          <w14:ligatures w14:val="none"/>
        </w:rPr>
        <w:t xml:space="preserve">limited </w:t>
      </w:r>
      <w:r w:rsidR="00703A3C">
        <w:rPr>
          <w:rFonts w:ascii="Palatino Linotype" w:hAnsi="Palatino Linotype" w:eastAsia="Palatino Linotype" w:cs="Times New Roman"/>
          <w:kern w:val="0"/>
          <w14:ligatures w14:val="none"/>
        </w:rPr>
        <w:t>by</w:t>
      </w:r>
      <w:r w:rsidR="0030737B">
        <w:rPr>
          <w:rFonts w:ascii="Palatino Linotype" w:hAnsi="Palatino Linotype" w:eastAsia="Palatino Linotype" w:cs="Times New Roman"/>
          <w:kern w:val="0"/>
          <w14:ligatures w14:val="none"/>
        </w:rPr>
        <w:t xml:space="preserve"> </w:t>
      </w:r>
      <w:r w:rsidR="00B53C9C">
        <w:rPr>
          <w:rFonts w:ascii="Palatino Linotype" w:hAnsi="Palatino Linotype" w:eastAsia="Palatino Linotype" w:cs="Times New Roman"/>
          <w:kern w:val="0"/>
          <w14:ligatures w14:val="none"/>
        </w:rPr>
        <w:t>the BARC Formula amount</w:t>
      </w:r>
      <w:r w:rsidR="00703A3C">
        <w:rPr>
          <w:rFonts w:ascii="Palatino Linotype" w:hAnsi="Palatino Linotype" w:eastAsia="Palatino Linotype" w:cs="Times New Roman"/>
          <w:kern w:val="0"/>
          <w14:ligatures w14:val="none"/>
        </w:rPr>
        <w:t xml:space="preserve"> in any given year</w:t>
      </w:r>
      <w:r w:rsidR="00B53C9C">
        <w:rPr>
          <w:rFonts w:ascii="Palatino Linotype" w:hAnsi="Palatino Linotype" w:eastAsia="Palatino Linotype" w:cs="Times New Roman"/>
          <w:kern w:val="0"/>
          <w14:ligatures w14:val="none"/>
        </w:rPr>
        <w:t xml:space="preserve">, regardless of the annual net revenue </w:t>
      </w:r>
      <w:r w:rsidR="00703A3C">
        <w:rPr>
          <w:rFonts w:ascii="Palatino Linotype" w:hAnsi="Palatino Linotype" w:eastAsia="Palatino Linotype" w:cs="Times New Roman"/>
          <w:kern w:val="0"/>
          <w14:ligatures w14:val="none"/>
        </w:rPr>
        <w:t>for that year</w:t>
      </w:r>
      <w:r w:rsidR="00B53C9C">
        <w:rPr>
          <w:rFonts w:ascii="Palatino Linotype" w:hAnsi="Palatino Linotype" w:eastAsia="Palatino Linotype" w:cs="Times New Roman"/>
          <w:kern w:val="0"/>
          <w14:ligatures w14:val="none"/>
        </w:rPr>
        <w:t>.</w:t>
      </w:r>
    </w:p>
    <w:p w:rsidR="00B53C9C" w:rsidP="00141017" w:rsidRDefault="00B53C9C" w14:paraId="0328CBFD" w14:textId="77777777">
      <w:pPr>
        <w:spacing w:after="0" w:line="240" w:lineRule="auto"/>
        <w:rPr>
          <w:rFonts w:ascii="Palatino Linotype" w:hAnsi="Palatino Linotype" w:eastAsia="Palatino Linotype" w:cs="Times New Roman"/>
          <w:kern w:val="0"/>
          <w14:ligatures w14:val="none"/>
        </w:rPr>
      </w:pPr>
    </w:p>
    <w:p w:rsidR="00141017" w:rsidP="00141017" w:rsidRDefault="00B53C9C" w14:paraId="0147D36E" w14:textId="28445F9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Third</w:t>
      </w:r>
      <w:r w:rsidR="00723648">
        <w:rPr>
          <w:rFonts w:ascii="Palatino Linotype" w:hAnsi="Palatino Linotype" w:eastAsia="Palatino Linotype" w:cs="Times New Roman"/>
          <w:kern w:val="0"/>
          <w14:ligatures w14:val="none"/>
        </w:rPr>
        <w:t xml:space="preserve">, in relation to the Tier 1 Advice Letter </w:t>
      </w:r>
      <w:r w:rsidR="00D000A1">
        <w:rPr>
          <w:rFonts w:ascii="Palatino Linotype" w:hAnsi="Palatino Linotype" w:eastAsia="Palatino Linotype" w:cs="Times New Roman"/>
          <w:kern w:val="0"/>
          <w14:ligatures w14:val="none"/>
        </w:rPr>
        <w:t>seeking approval for the modified agreement between PG&amp;E and Google: Cal Advocates request that the Commission specif</w:t>
      </w:r>
      <w:r w:rsidR="00541F3A">
        <w:rPr>
          <w:rFonts w:ascii="Palatino Linotype" w:hAnsi="Palatino Linotype" w:eastAsia="Palatino Linotype" w:cs="Times New Roman"/>
          <w:kern w:val="0"/>
          <w14:ligatures w14:val="none"/>
        </w:rPr>
        <w:t xml:space="preserve">y that the modified agreement </w:t>
      </w:r>
      <w:r w:rsidR="006119A1">
        <w:rPr>
          <w:rFonts w:ascii="Palatino Linotype" w:hAnsi="Palatino Linotype" w:eastAsia="Palatino Linotype" w:cs="Times New Roman"/>
          <w:kern w:val="0"/>
          <w14:ligatures w14:val="none"/>
        </w:rPr>
        <w:t>incorporates</w:t>
      </w:r>
      <w:r w:rsidR="00541F3A">
        <w:rPr>
          <w:rFonts w:ascii="Palatino Linotype" w:hAnsi="Palatino Linotype" w:eastAsia="Palatino Linotype" w:cs="Times New Roman"/>
          <w:kern w:val="0"/>
          <w14:ligatures w14:val="none"/>
        </w:rPr>
        <w:t xml:space="preserve"> all </w:t>
      </w:r>
      <w:r w:rsidRPr="00EA1F48" w:rsidR="00141017">
        <w:rPr>
          <w:rFonts w:ascii="Palatino Linotype" w:hAnsi="Palatino Linotype" w:eastAsia="Palatino Linotype" w:cs="Times New Roman"/>
          <w:kern w:val="0"/>
          <w14:ligatures w14:val="none"/>
        </w:rPr>
        <w:t>modifications adopted in the final Resolution.</w:t>
      </w:r>
      <w:r w:rsidR="00541F3A">
        <w:rPr>
          <w:rFonts w:ascii="Palatino Linotype" w:hAnsi="Palatino Linotype" w:eastAsia="Palatino Linotype" w:cs="Times New Roman"/>
          <w:kern w:val="0"/>
          <w14:ligatures w14:val="none"/>
        </w:rPr>
        <w:t xml:space="preserve"> </w:t>
      </w:r>
      <w:r w:rsidR="00F600F1">
        <w:rPr>
          <w:rFonts w:ascii="Palatino Linotype" w:hAnsi="Palatino Linotype" w:eastAsia="Palatino Linotype" w:cs="Times New Roman"/>
          <w:kern w:val="0"/>
          <w14:ligatures w14:val="none"/>
        </w:rPr>
        <w:t xml:space="preserve">We agree with Cal Advocates that the modifications </w:t>
      </w:r>
      <w:r w:rsidR="00B86063">
        <w:rPr>
          <w:rFonts w:ascii="Palatino Linotype" w:hAnsi="Palatino Linotype" w:eastAsia="Palatino Linotype" w:cs="Times New Roman"/>
          <w:kern w:val="0"/>
          <w14:ligatures w14:val="none"/>
        </w:rPr>
        <w:t>order</w:t>
      </w:r>
      <w:r w:rsidR="00F600F1">
        <w:rPr>
          <w:rFonts w:ascii="Palatino Linotype" w:hAnsi="Palatino Linotype" w:eastAsia="Palatino Linotype" w:cs="Times New Roman"/>
          <w:kern w:val="0"/>
          <w14:ligatures w14:val="none"/>
        </w:rPr>
        <w:t xml:space="preserve">ed here should be incorporated by PG&amp;E into </w:t>
      </w:r>
      <w:r w:rsidR="00B86063">
        <w:rPr>
          <w:rFonts w:ascii="Palatino Linotype" w:hAnsi="Palatino Linotype" w:eastAsia="Palatino Linotype" w:cs="Times New Roman"/>
          <w:kern w:val="0"/>
          <w14:ligatures w14:val="none"/>
        </w:rPr>
        <w:t>the agreement with Google, but we do not think additional direction is needed</w:t>
      </w:r>
      <w:r w:rsidR="006119A1">
        <w:rPr>
          <w:rFonts w:ascii="Palatino Linotype" w:hAnsi="Palatino Linotype" w:eastAsia="Palatino Linotype" w:cs="Times New Roman"/>
          <w:kern w:val="0"/>
          <w14:ligatures w14:val="none"/>
        </w:rPr>
        <w:t xml:space="preserve"> in the Ordering Paragraphs</w:t>
      </w:r>
      <w:r w:rsidR="00B86063">
        <w:rPr>
          <w:rFonts w:ascii="Palatino Linotype" w:hAnsi="Palatino Linotype" w:eastAsia="Palatino Linotype" w:cs="Times New Roman"/>
          <w:kern w:val="0"/>
          <w14:ligatures w14:val="none"/>
        </w:rPr>
        <w:t>.</w:t>
      </w:r>
    </w:p>
    <w:p w:rsidR="00931789" w:rsidP="007F77B4" w:rsidRDefault="00931789" w14:paraId="76BB930E"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PG&amp;E filed Advice Letter (AL) 7785-E on December 18, 2025, requesting Commission approval of an agreement with Google LLC (Google) to energize a new 250 megawatt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w:t>
      </w:r>
      <w:proofErr w:type="gramStart"/>
      <w:r>
        <w:rPr>
          <w:rFonts w:ascii="Palatino Linotype" w:hAnsi="Palatino Linotype" w:eastAsia="Aptos" w:cs="Times New Roman"/>
        </w:rPr>
        <w:t>actually cover</w:t>
      </w:r>
      <w:proofErr w:type="gramEnd"/>
      <w:r>
        <w:rPr>
          <w:rFonts w:ascii="Palatino Linotype" w:hAnsi="Palatino Linotype" w:eastAsia="Aptos" w:cs="Times New Roman"/>
        </w:rPr>
        <w:t xml:space="preserve">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410995A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r w:rsidR="00363C97">
        <w:rPr>
          <w:rFonts w:ascii="Palatino Linotype" w:hAnsi="Palatino Linotype" w:eastAsia="Palatino Linotype" w:cs="Times New Roman"/>
          <w:kern w:val="0"/>
          <w14:ligatures w14:val="none"/>
        </w:rPr>
        <w:t xml:space="preserve"> A</w:t>
      </w:r>
      <w:r w:rsidRPr="00363C97" w:rsidR="00363C97">
        <w:rPr>
          <w:rFonts w:ascii="Palatino Linotype" w:hAnsi="Palatino Linotype" w:eastAsia="Palatino Linotype" w:cs="Times New Roman"/>
          <w:kern w:val="0"/>
          <w14:ligatures w14:val="none"/>
        </w:rPr>
        <w:t>n approximate method of accounting for transmission network upgrade costs is appropriate here</w:t>
      </w:r>
      <w:r w:rsidR="00363C97">
        <w:rPr>
          <w:rFonts w:ascii="Palatino Linotype" w:hAnsi="Palatino Linotype" w:eastAsia="Palatino Linotype" w:cs="Times New Roman"/>
          <w:kern w:val="0"/>
          <w14:ligatures w14:val="none"/>
        </w:rPr>
        <w:t>.</w:t>
      </w:r>
    </w:p>
    <w:p w:rsidR="001A2002" w:rsidP="00BB5FE9" w:rsidRDefault="001A2002" w14:paraId="23D27D28" w14:textId="056B4C7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Both Google and PG&amp;E are requesting quick and practical action in this case.</w:t>
      </w:r>
    </w:p>
    <w:p w:rsidR="00BB63E2" w:rsidP="00BB5FE9" w:rsidRDefault="00CD42CC" w14:paraId="06760F7D" w14:textId="5F5AE14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CD42CC">
        <w:rPr>
          <w:rFonts w:ascii="Palatino Linotype" w:hAnsi="Palatino Linotype" w:eastAsia="Palatino Linotype" w:cs="Times New Roman"/>
          <w:kern w:val="0"/>
          <w14:ligatures w14:val="none"/>
        </w:rPr>
        <w:t xml:space="preserve">t </w:t>
      </w:r>
      <w:r w:rsidR="004C2DE0">
        <w:rPr>
          <w:rFonts w:ascii="Palatino Linotype" w:hAnsi="Palatino Linotype" w:eastAsia="Palatino Linotype" w:cs="Times New Roman"/>
          <w:kern w:val="0"/>
          <w14:ligatures w14:val="none"/>
        </w:rPr>
        <w:t xml:space="preserve">is </w:t>
      </w:r>
      <w:r w:rsidRPr="00CD42CC">
        <w:rPr>
          <w:rFonts w:ascii="Palatino Linotype" w:hAnsi="Palatino Linotype" w:eastAsia="Palatino Linotype" w:cs="Times New Roman"/>
          <w:kern w:val="0"/>
          <w14:ligatures w14:val="none"/>
        </w:rPr>
        <w:t>reasonable to require Google to pay an additional capital advance of $600,000 per MW of requested capacity</w:t>
      </w:r>
      <w:r w:rsidR="00DB4EBF">
        <w:rPr>
          <w:rFonts w:ascii="Palatino Linotype" w:hAnsi="Palatino Linotype" w:eastAsia="Palatino Linotype" w:cs="Times New Roman"/>
          <w:kern w:val="0"/>
          <w14:ligatures w14:val="none"/>
        </w:rPr>
        <w:t>, to be paid</w:t>
      </w:r>
      <w:r w:rsidR="00DA5D8A">
        <w:rPr>
          <w:rFonts w:ascii="Palatino Linotype" w:hAnsi="Palatino Linotype" w:eastAsia="Palatino Linotype" w:cs="Times New Roman"/>
          <w:kern w:val="0"/>
          <w14:ligatures w14:val="none"/>
        </w:rPr>
        <w:t xml:space="preserve"> the year before that capacity is both requested and available</w:t>
      </w:r>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001A2002" w:rsidP="00BB5FE9" w:rsidRDefault="002B6235" w14:paraId="179956F0" w14:textId="6285D308">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w:t>
      </w:r>
      <w:r w:rsidRPr="002B6235">
        <w:rPr>
          <w:rFonts w:ascii="Palatino Linotype" w:hAnsi="Palatino Linotype" w:eastAsia="Palatino Linotype" w:cs="Times New Roman"/>
          <w:kern w:val="0"/>
          <w14:ligatures w14:val="none"/>
        </w:rPr>
        <w:t xml:space="preserve">he $600,000 per MW figure </w:t>
      </w:r>
      <w:r>
        <w:rPr>
          <w:rFonts w:ascii="Palatino Linotype" w:hAnsi="Palatino Linotype" w:eastAsia="Palatino Linotype" w:cs="Times New Roman"/>
          <w:kern w:val="0"/>
          <w14:ligatures w14:val="none"/>
        </w:rPr>
        <w:t>is</w:t>
      </w:r>
      <w:r w:rsidR="001E591C">
        <w:rPr>
          <w:rFonts w:ascii="Palatino Linotype" w:hAnsi="Palatino Linotype" w:eastAsia="Palatino Linotype" w:cs="Times New Roman"/>
          <w:kern w:val="0"/>
          <w14:ligatures w14:val="none"/>
        </w:rPr>
        <w:t xml:space="preserve"> </w:t>
      </w:r>
      <w:r w:rsidRPr="002B6235">
        <w:rPr>
          <w:rFonts w:ascii="Palatino Linotype" w:hAnsi="Palatino Linotype" w:eastAsia="Palatino Linotype" w:cs="Times New Roman"/>
          <w:kern w:val="0"/>
          <w14:ligatures w14:val="none"/>
        </w:rPr>
        <w:t xml:space="preserve">appropriate to protect ratepayers from the general costs of transmission network upgrades </w:t>
      </w:r>
      <w:r>
        <w:rPr>
          <w:rFonts w:ascii="Palatino Linotype" w:hAnsi="Palatino Linotype" w:eastAsia="Palatino Linotype" w:cs="Times New Roman"/>
          <w:kern w:val="0"/>
          <w14:ligatures w14:val="none"/>
        </w:rPr>
        <w:t>associated with</w:t>
      </w:r>
      <w:r w:rsidRPr="002B6235">
        <w:rPr>
          <w:rFonts w:ascii="Palatino Linotype" w:hAnsi="Palatino Linotype" w:eastAsia="Palatino Linotype" w:cs="Times New Roman"/>
          <w:kern w:val="0"/>
          <w14:ligatures w14:val="none"/>
        </w:rPr>
        <w:t xml:space="preserve"> a transmission-level, large load </w:t>
      </w:r>
      <w:r w:rsidR="001E591C">
        <w:rPr>
          <w:rFonts w:ascii="Palatino Linotype" w:hAnsi="Palatino Linotype" w:eastAsia="Palatino Linotype" w:cs="Times New Roman"/>
          <w:kern w:val="0"/>
          <w14:ligatures w14:val="none"/>
        </w:rPr>
        <w:t xml:space="preserve">customer </w:t>
      </w:r>
      <w:r>
        <w:rPr>
          <w:rFonts w:ascii="Palatino Linotype" w:hAnsi="Palatino Linotype" w:eastAsia="Palatino Linotype" w:cs="Times New Roman"/>
          <w:kern w:val="0"/>
          <w14:ligatures w14:val="none"/>
        </w:rPr>
        <w:t xml:space="preserve">seeking energization through an </w:t>
      </w:r>
      <w:r w:rsidRPr="002B6235">
        <w:rPr>
          <w:rFonts w:ascii="Palatino Linotype" w:hAnsi="Palatino Linotype" w:eastAsia="Palatino Linotype" w:cs="Times New Roman"/>
          <w:kern w:val="0"/>
          <w14:ligatures w14:val="none"/>
        </w:rPr>
        <w:t>exceptional case filing</w:t>
      </w:r>
      <w:r>
        <w:rPr>
          <w:rFonts w:ascii="Palatino Linotype" w:hAnsi="Palatino Linotype" w:eastAsia="Palatino Linotype" w:cs="Times New Roman"/>
          <w:kern w:val="0"/>
          <w14:ligatures w14:val="none"/>
        </w:rPr>
        <w:t>.</w:t>
      </w:r>
    </w:p>
    <w:p w:rsidR="004D6A05" w:rsidP="00BB5FE9" w:rsidRDefault="004C2DE0" w14:paraId="0BF8308B" w14:textId="49DD697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4C2DE0">
        <w:rPr>
          <w:rFonts w:ascii="Palatino Linotype" w:hAnsi="Palatino Linotype" w:eastAsia="Palatino Linotype" w:cs="Times New Roman"/>
          <w:kern w:val="0"/>
          <w14:ligatures w14:val="none"/>
        </w:rPr>
        <w:t>t</w:t>
      </w:r>
      <w:r>
        <w:rPr>
          <w:rFonts w:ascii="Palatino Linotype" w:hAnsi="Palatino Linotype" w:eastAsia="Palatino Linotype" w:cs="Times New Roman"/>
          <w:kern w:val="0"/>
          <w14:ligatures w14:val="none"/>
        </w:rPr>
        <w:t xml:space="preserve"> is</w:t>
      </w:r>
      <w:r w:rsidRPr="004C2DE0">
        <w:rPr>
          <w:rFonts w:ascii="Palatino Linotype" w:hAnsi="Palatino Linotype" w:eastAsia="Palatino Linotype" w:cs="Times New Roman"/>
          <w:kern w:val="0"/>
          <w14:ligatures w14:val="none"/>
        </w:rPr>
        <w:t xml:space="preserve"> reasonable to allow Google and PG&amp;E </w:t>
      </w:r>
      <w:r>
        <w:rPr>
          <w:rFonts w:ascii="Palatino Linotype" w:hAnsi="Palatino Linotype" w:eastAsia="Palatino Linotype" w:cs="Times New Roman"/>
          <w:kern w:val="0"/>
          <w14:ligatures w14:val="none"/>
        </w:rPr>
        <w:t xml:space="preserve">the option </w:t>
      </w:r>
      <w:r w:rsidRPr="004C2DE0">
        <w:rPr>
          <w:rFonts w:ascii="Palatino Linotype" w:hAnsi="Palatino Linotype" w:eastAsia="Palatino Linotype" w:cs="Times New Roman"/>
          <w:kern w:val="0"/>
          <w14:ligatures w14:val="none"/>
        </w:rPr>
        <w:t xml:space="preserve">to </w:t>
      </w:r>
      <w:r w:rsidR="00201A8B">
        <w:rPr>
          <w:rFonts w:ascii="Palatino Linotype" w:hAnsi="Palatino Linotype" w:eastAsia="Palatino Linotype" w:cs="Times New Roman"/>
          <w:kern w:val="0"/>
          <w14:ligatures w14:val="none"/>
        </w:rPr>
        <w:t xml:space="preserve">modify the </w:t>
      </w:r>
      <w:r w:rsidRPr="004C2DE0">
        <w:rPr>
          <w:rFonts w:ascii="Palatino Linotype" w:hAnsi="Palatino Linotype" w:eastAsia="Palatino Linotype" w:cs="Times New Roman"/>
          <w:kern w:val="0"/>
          <w14:ligatures w14:val="none"/>
        </w:rPr>
        <w:t xml:space="preserve">additional capital advance </w:t>
      </w:r>
      <w:r w:rsidR="00311206">
        <w:rPr>
          <w:rFonts w:ascii="Palatino Linotype" w:hAnsi="Palatino Linotype" w:eastAsia="Palatino Linotype" w:cs="Times New Roman"/>
          <w:kern w:val="0"/>
          <w14:ligatures w14:val="none"/>
        </w:rPr>
        <w:t xml:space="preserve">requirement </w:t>
      </w:r>
      <w:r w:rsidR="00201A8B">
        <w:rPr>
          <w:rFonts w:ascii="Palatino Linotype" w:hAnsi="Palatino Linotype" w:eastAsia="Palatino Linotype" w:cs="Times New Roman"/>
          <w:kern w:val="0"/>
          <w14:ligatures w14:val="none"/>
        </w:rPr>
        <w:t xml:space="preserve">to correspond to the outcome of </w:t>
      </w:r>
      <w:proofErr w:type="gramStart"/>
      <w:r w:rsidR="00201A8B">
        <w:rPr>
          <w:rFonts w:ascii="Palatino Linotype" w:hAnsi="Palatino Linotype" w:eastAsia="Palatino Linotype" w:cs="Times New Roman"/>
          <w:kern w:val="0"/>
          <w14:ligatures w14:val="none"/>
        </w:rPr>
        <w:t>the Rule</w:t>
      </w:r>
      <w:proofErr w:type="gramEnd"/>
      <w:r w:rsidR="00201A8B">
        <w:rPr>
          <w:rFonts w:ascii="Palatino Linotype" w:hAnsi="Palatino Linotype" w:eastAsia="Palatino Linotype" w:cs="Times New Roman"/>
          <w:kern w:val="0"/>
          <w14:ligatures w14:val="none"/>
        </w:rPr>
        <w:t xml:space="preserve"> 30 Proceeding</w:t>
      </w:r>
      <w:r w:rsidR="001A7A73">
        <w:rPr>
          <w:rFonts w:ascii="Palatino Linotype" w:hAnsi="Palatino Linotype" w:eastAsia="Palatino Linotype" w:cs="Times New Roman"/>
          <w:kern w:val="0"/>
          <w14:ligatures w14:val="none"/>
        </w:rPr>
        <w:t>,</w:t>
      </w:r>
      <w:r w:rsidR="00201A8B">
        <w:rPr>
          <w:rFonts w:ascii="Palatino Linotype" w:hAnsi="Palatino Linotype" w:eastAsia="Palatino Linotype" w:cs="Times New Roman"/>
          <w:kern w:val="0"/>
          <w14:ligatures w14:val="none"/>
        </w:rPr>
        <w:t xml:space="preserve"> and how transmission network upgrade costs are handled </w:t>
      </w:r>
      <w:r w:rsidR="001A7A73">
        <w:rPr>
          <w:rFonts w:ascii="Palatino Linotype" w:hAnsi="Palatino Linotype" w:eastAsia="Palatino Linotype" w:cs="Times New Roman"/>
          <w:kern w:val="0"/>
          <w14:ligatures w14:val="none"/>
        </w:rPr>
        <w:t>in that proceeding</w:t>
      </w:r>
      <w:r>
        <w:rPr>
          <w:rFonts w:ascii="Palatino Linotype" w:hAnsi="Palatino Linotype" w:eastAsia="Palatino Linotype" w:cs="Times New Roman"/>
          <w:kern w:val="0"/>
          <w14:ligatures w14:val="none"/>
        </w:rPr>
        <w:t>.</w:t>
      </w:r>
    </w:p>
    <w:p w:rsidRPr="00A55F1B" w:rsidR="00A55F1B" w:rsidP="00125B0D" w:rsidRDefault="00A55F1B" w14:paraId="344692F7" w14:textId="575F00D1">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 xml:space="preserve">an </w:t>
      </w:r>
      <w:r w:rsidRPr="00A55F1B">
        <w:rPr>
          <w:rFonts w:ascii="Palatino Linotype" w:hAnsi="Palatino Linotype" w:eastAsia="Aptos" w:cs="Times New Roman"/>
        </w:rPr>
        <w:t>agreement</w:t>
      </w:r>
      <w:r w:rsidR="00E13D2C">
        <w:rPr>
          <w:rFonts w:ascii="Palatino Linotype" w:hAnsi="Palatino Linotype" w:eastAsia="Aptos" w:cs="Times New Roman"/>
        </w:rPr>
        <w:t xml:space="preserve"> </w:t>
      </w:r>
      <w:r w:rsidR="00201A8B">
        <w:rPr>
          <w:rFonts w:ascii="Palatino Linotype" w:hAnsi="Palatino Linotype" w:eastAsia="Aptos" w:cs="Times New Roman"/>
        </w:rPr>
        <w:t xml:space="preserve">with an updated additional capital advance </w:t>
      </w:r>
      <w:r w:rsidR="000F1B1C">
        <w:rPr>
          <w:rFonts w:ascii="Palatino Linotype" w:hAnsi="Palatino Linotype" w:eastAsia="Aptos" w:cs="Times New Roman"/>
        </w:rPr>
        <w:t>re</w:t>
      </w:r>
      <w:r w:rsidR="00460774">
        <w:rPr>
          <w:rFonts w:ascii="Palatino Linotype" w:hAnsi="Palatino Linotype" w:eastAsia="Aptos" w:cs="Times New Roman"/>
        </w:rPr>
        <w:t>quirement</w:t>
      </w:r>
      <w:r w:rsidR="00201A8B">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w:t>
      </w:r>
      <w:proofErr w:type="gramStart"/>
      <w:r w:rsidRPr="00A55F1B">
        <w:rPr>
          <w:rFonts w:ascii="Palatino Linotype" w:hAnsi="Palatino Linotype" w:eastAsia="Palatino Linotype" w:cs="Times New Roman"/>
          <w:kern w:val="0"/>
          <w14:ligatures w14:val="none"/>
        </w:rPr>
        <w:t>actually received</w:t>
      </w:r>
      <w:proofErr w:type="gramEnd"/>
      <w:r w:rsidRPr="00A55F1B">
        <w:rPr>
          <w:rFonts w:ascii="Palatino Linotype" w:hAnsi="Palatino Linotype" w:eastAsia="Palatino Linotype" w:cs="Times New Roman"/>
          <w:kern w:val="0"/>
          <w14:ligatures w14:val="none"/>
        </w:rPr>
        <w:t xml:space="preserve">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w:t>
      </w:r>
      <w:proofErr w:type="gramStart"/>
      <w:r w:rsidRPr="00DB2C1C">
        <w:rPr>
          <w:rFonts w:ascii="Palatino Linotype" w:hAnsi="Palatino Linotype" w:eastAsia="Palatino Linotype" w:cs="Times New Roman"/>
          <w:kern w:val="0"/>
          <w14:ligatures w14:val="none"/>
        </w:rPr>
        <w:t>in implementing</w:t>
      </w:r>
      <w:proofErr w:type="gramEnd"/>
      <w:r w:rsidRPr="00DB2C1C">
        <w:rPr>
          <w:rFonts w:ascii="Palatino Linotype" w:hAnsi="Palatino Linotype" w:eastAsia="Palatino Linotype" w:cs="Times New Roman"/>
          <w:kern w:val="0"/>
          <w14:ligatures w14:val="none"/>
        </w:rPr>
        <w:t xml:space="preserve"> refunds and to extend the refund eligibility period from 10 years to 15 years so that the customer may still receive a full refund over time while annual refunds are </w:t>
      </w:r>
      <w:proofErr w:type="gramStart"/>
      <w:r w:rsidRPr="00DB2C1C">
        <w:rPr>
          <w:rFonts w:ascii="Palatino Linotype" w:hAnsi="Palatino Linotype" w:eastAsia="Palatino Linotype" w:cs="Times New Roman"/>
          <w:kern w:val="0"/>
          <w14:ligatures w14:val="none"/>
        </w:rPr>
        <w:t>paced</w:t>
      </w:r>
      <w:proofErr w:type="gramEnd"/>
      <w:r w:rsidRPr="00DB2C1C">
        <w:rPr>
          <w:rFonts w:ascii="Palatino Linotype" w:hAnsi="Palatino Linotype" w:eastAsia="Palatino Linotype" w:cs="Times New Roman"/>
          <w:kern w:val="0"/>
          <w14:ligatures w14:val="none"/>
        </w:rPr>
        <w:t xml:space="preserve"> to net revenues </w:t>
      </w:r>
      <w:proofErr w:type="gramStart"/>
      <w:r w:rsidRPr="00DB2C1C">
        <w:rPr>
          <w:rFonts w:ascii="Palatino Linotype" w:hAnsi="Palatino Linotype" w:eastAsia="Palatino Linotype" w:cs="Times New Roman"/>
          <w:kern w:val="0"/>
          <w14:ligatures w14:val="none"/>
        </w:rPr>
        <w:t>actually received</w:t>
      </w:r>
      <w:proofErr w:type="gramEnd"/>
      <w:r w:rsidRPr="00DB2C1C">
        <w:rPr>
          <w:rFonts w:ascii="Palatino Linotype" w:hAnsi="Palatino Linotype" w:eastAsia="Palatino Linotype" w:cs="Times New Roman"/>
          <w:kern w:val="0"/>
          <w14:ligatures w14:val="none"/>
        </w:rPr>
        <w:t>.</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w:t>
      </w:r>
      <w:proofErr w:type="gramStart"/>
      <w:r w:rsidRPr="00DB2C1C">
        <w:rPr>
          <w:rFonts w:ascii="Palatino Linotype" w:hAnsi="Palatino Linotype" w:eastAsia="Palatino Linotype" w:cs="Times New Roman"/>
          <w:kern w:val="0"/>
          <w14:ligatures w14:val="none"/>
        </w:rPr>
        <w:t>protection, but</w:t>
      </w:r>
      <w:proofErr w:type="gramEnd"/>
      <w:r w:rsidRPr="00DB2C1C">
        <w:rPr>
          <w:rFonts w:ascii="Palatino Linotype" w:hAnsi="Palatino Linotype" w:eastAsia="Palatino Linotype" w:cs="Times New Roman"/>
          <w:kern w:val="0"/>
          <w14:ligatures w14:val="none"/>
        </w:rPr>
        <w:t xml:space="preserve">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w:t>
      </w:r>
      <w:r w:rsidRPr="00DB2C1C">
        <w:rPr>
          <w:rFonts w:ascii="Palatino Linotype" w:hAnsi="Palatino Linotype" w:eastAsia="Palatino Linotype" w:cs="Times New Roman"/>
          <w:kern w:val="0"/>
          <w14:ligatures w14:val="none"/>
        </w:rPr>
        <w:lastRenderedPageBreak/>
        <w:t xml:space="preserve">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 xml:space="preserve">The findings and conclusions in this Resolution should in no way prejudice the ongoing deliberation in </w:t>
      </w:r>
      <w:proofErr w:type="gramStart"/>
      <w:r w:rsidRPr="00BB5FE9">
        <w:rPr>
          <w:rFonts w:ascii="Palatino Linotype" w:hAnsi="Palatino Linotype" w:eastAsia="Aptos" w:cs="Times New Roman"/>
        </w:rPr>
        <w:t>the Rule</w:t>
      </w:r>
      <w:proofErr w:type="gramEnd"/>
      <w:r w:rsidRPr="00BB5FE9">
        <w:rPr>
          <w:rFonts w:ascii="Palatino Linotype" w:hAnsi="Palatino Linotype" w:eastAsia="Aptos" w:cs="Times New Roman"/>
        </w:rPr>
        <w:t xml:space="preserv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3F8572BB">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w:t>
      </w:r>
      <w:r w:rsidR="00947FB9">
        <w:rPr>
          <w:rFonts w:ascii="Palatino Linotype" w:hAnsi="Palatino Linotype" w:eastAsia="Palatino Linotype" w:cs="Times New Roman"/>
          <w:snapToGrid w:val="0"/>
          <w:kern w:val="0"/>
          <w14:ligatures w14:val="none"/>
        </w:rPr>
        <w:t xml:space="preserve">require an additional </w:t>
      </w:r>
      <w:r w:rsidR="00FE6362">
        <w:rPr>
          <w:rFonts w:ascii="Palatino Linotype" w:hAnsi="Palatino Linotype" w:eastAsia="Palatino Linotype" w:cs="Times New Roman"/>
          <w:snapToGrid w:val="0"/>
          <w:kern w:val="0"/>
          <w14:ligatures w14:val="none"/>
        </w:rPr>
        <w:t xml:space="preserve">refundable </w:t>
      </w:r>
      <w:r w:rsidR="00947FB9">
        <w:rPr>
          <w:rFonts w:ascii="Palatino Linotype" w:hAnsi="Palatino Linotype" w:eastAsia="Palatino Linotype" w:cs="Times New Roman"/>
          <w:snapToGrid w:val="0"/>
          <w:kern w:val="0"/>
          <w14:ligatures w14:val="none"/>
        </w:rPr>
        <w:t xml:space="preserve">capital advance </w:t>
      </w:r>
      <w:r w:rsidR="008E4DAF">
        <w:rPr>
          <w:rFonts w:ascii="Palatino Linotype" w:hAnsi="Palatino Linotype" w:eastAsia="Palatino Linotype" w:cs="Times New Roman"/>
          <w:snapToGrid w:val="0"/>
          <w:kern w:val="0"/>
          <w14:ligatures w14:val="none"/>
        </w:rPr>
        <w:t xml:space="preserve">of $600,000 per MW of </w:t>
      </w:r>
      <w:r w:rsidR="009557B4">
        <w:rPr>
          <w:rFonts w:ascii="Palatino Linotype" w:hAnsi="Palatino Linotype" w:eastAsia="Palatino Linotype" w:cs="Times New Roman"/>
          <w:snapToGrid w:val="0"/>
          <w:kern w:val="0"/>
          <w14:ligatures w14:val="none"/>
        </w:rPr>
        <w:t xml:space="preserve">requested </w:t>
      </w:r>
      <w:r w:rsidR="008E4DAF">
        <w:rPr>
          <w:rFonts w:ascii="Palatino Linotype" w:hAnsi="Palatino Linotype" w:eastAsia="Palatino Linotype" w:cs="Times New Roman"/>
          <w:snapToGrid w:val="0"/>
          <w:kern w:val="0"/>
          <w14:ligatures w14:val="none"/>
        </w:rPr>
        <w:t>capacity</w:t>
      </w:r>
      <w:r w:rsidR="00E66865">
        <w:rPr>
          <w:rFonts w:ascii="Palatino Linotype" w:hAnsi="Palatino Linotype" w:eastAsia="Palatino Linotype" w:cs="Times New Roman"/>
          <w:snapToGrid w:val="0"/>
          <w:kern w:val="0"/>
          <w14:ligatures w14:val="none"/>
        </w:rPr>
        <w:t>,</w:t>
      </w:r>
      <w:r w:rsidR="009557B4">
        <w:rPr>
          <w:rFonts w:ascii="Palatino Linotype" w:hAnsi="Palatino Linotype" w:eastAsia="Palatino Linotype" w:cs="Times New Roman"/>
          <w:snapToGrid w:val="0"/>
          <w:kern w:val="0"/>
          <w14:ligatures w14:val="none"/>
        </w:rPr>
        <w:t xml:space="preserve"> </w:t>
      </w:r>
      <w:r w:rsidR="008E4DAF">
        <w:rPr>
          <w:rFonts w:ascii="Palatino Linotype" w:hAnsi="Palatino Linotype" w:eastAsia="Palatino Linotype" w:cs="Times New Roman"/>
          <w:snapToGrid w:val="0"/>
          <w:kern w:val="0"/>
          <w14:ligatures w14:val="none"/>
        </w:rPr>
        <w:t xml:space="preserve">reflecting the costs of general transmission network upgrades. </w:t>
      </w:r>
      <w:r w:rsidR="00E66865">
        <w:rPr>
          <w:rFonts w:ascii="Palatino Linotype" w:hAnsi="Palatino Linotype" w:eastAsia="Palatino Linotype" w:cs="Times New Roman"/>
          <w:snapToGrid w:val="0"/>
          <w:kern w:val="0"/>
          <w14:ligatures w14:val="none"/>
        </w:rPr>
        <w:t>This additional advance should be paid by Google to PG&amp;E the year before t</w:t>
      </w:r>
      <w:r w:rsidR="0052519C">
        <w:rPr>
          <w:rFonts w:ascii="Palatino Linotype" w:hAnsi="Palatino Linotype" w:eastAsia="Palatino Linotype" w:cs="Times New Roman"/>
          <w:snapToGrid w:val="0"/>
          <w:kern w:val="0"/>
          <w14:ligatures w14:val="none"/>
        </w:rPr>
        <w:t>hat capacity is both requested</w:t>
      </w:r>
      <w:r w:rsidR="00FE6362">
        <w:rPr>
          <w:rFonts w:ascii="Palatino Linotype" w:hAnsi="Palatino Linotype" w:eastAsia="Palatino Linotype" w:cs="Times New Roman"/>
          <w:snapToGrid w:val="0"/>
          <w:kern w:val="0"/>
          <w14:ligatures w14:val="none"/>
        </w:rPr>
        <w:t xml:space="preserve"> by Google</w:t>
      </w:r>
      <w:r w:rsidR="0052519C">
        <w:rPr>
          <w:rFonts w:ascii="Palatino Linotype" w:hAnsi="Palatino Linotype" w:eastAsia="Palatino Linotype" w:cs="Times New Roman"/>
          <w:snapToGrid w:val="0"/>
          <w:kern w:val="0"/>
          <w14:ligatures w14:val="none"/>
        </w:rPr>
        <w:t xml:space="preserve"> and </w:t>
      </w:r>
      <w:r w:rsidR="00FE6362">
        <w:rPr>
          <w:rFonts w:ascii="Palatino Linotype" w:hAnsi="Palatino Linotype" w:eastAsia="Palatino Linotype" w:cs="Times New Roman"/>
          <w:snapToGrid w:val="0"/>
          <w:kern w:val="0"/>
          <w14:ligatures w14:val="none"/>
        </w:rPr>
        <w:t xml:space="preserve">deemed </w:t>
      </w:r>
      <w:r w:rsidR="0052519C">
        <w:rPr>
          <w:rFonts w:ascii="Palatino Linotype" w:hAnsi="Palatino Linotype" w:eastAsia="Palatino Linotype" w:cs="Times New Roman"/>
          <w:snapToGrid w:val="0"/>
          <w:kern w:val="0"/>
          <w14:ligatures w14:val="none"/>
        </w:rPr>
        <w:t>available</w:t>
      </w:r>
      <w:r w:rsidR="00FE6362">
        <w:rPr>
          <w:rFonts w:ascii="Palatino Linotype" w:hAnsi="Palatino Linotype" w:eastAsia="Palatino Linotype" w:cs="Times New Roman"/>
          <w:snapToGrid w:val="0"/>
          <w:kern w:val="0"/>
          <w14:ligatures w14:val="none"/>
        </w:rPr>
        <w:t xml:space="preserve"> by PG&amp;E</w:t>
      </w:r>
      <w:r w:rsidR="00FE5BED">
        <w:rPr>
          <w:rFonts w:ascii="Palatino Linotype" w:hAnsi="Palatino Linotype" w:eastAsia="Palatino Linotype" w:cs="Times New Roman"/>
          <w:snapToGrid w:val="0"/>
          <w:kern w:val="0"/>
          <w14:ligatures w14:val="none"/>
        </w:rPr>
        <w:t>.</w:t>
      </w:r>
    </w:p>
    <w:p w:rsidRPr="001A2D30" w:rsidR="006F06DE" w:rsidP="00D732B0" w:rsidRDefault="00A1683B" w14:paraId="43105E82" w14:textId="46A1FECE">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 one year a</w:t>
      </w:r>
      <w:r w:rsidR="009B02F4">
        <w:rPr>
          <w:rFonts w:ascii="Palatino Linotype" w:hAnsi="Palatino Linotype" w:eastAsia="Palatino Linotype" w:cs="Times New Roman"/>
          <w:snapToGrid w:val="0"/>
          <w:kern w:val="0"/>
          <w14:ligatures w14:val="none"/>
        </w:rPr>
        <w:t xml:space="preserve">fter the Decision in A. 24-11-007, </w:t>
      </w:r>
      <w:r w:rsidR="006F06DE">
        <w:rPr>
          <w:rFonts w:ascii="Palatino Linotype" w:hAnsi="Palatino Linotype" w:eastAsia="Palatino Linotype" w:cs="Times New Roman"/>
          <w:snapToGrid w:val="0"/>
          <w:kern w:val="0"/>
          <w14:ligatures w14:val="none"/>
        </w:rPr>
        <w:t xml:space="preserve">PG&amp;E </w:t>
      </w:r>
      <w:r w:rsidR="00FE6362">
        <w:rPr>
          <w:rFonts w:ascii="Palatino Linotype" w:hAnsi="Palatino Linotype" w:eastAsia="Palatino Linotype" w:cs="Times New Roman"/>
          <w:snapToGrid w:val="0"/>
          <w:kern w:val="0"/>
          <w14:ligatures w14:val="none"/>
        </w:rPr>
        <w:t xml:space="preserve">may </w:t>
      </w:r>
      <w:r w:rsidR="009B02F4">
        <w:rPr>
          <w:rFonts w:ascii="Palatino Linotype" w:hAnsi="Palatino Linotype" w:eastAsia="Palatino Linotype" w:cs="Times New Roman"/>
          <w:snapToGrid w:val="0"/>
          <w:kern w:val="0"/>
          <w14:ligatures w14:val="none"/>
        </w:rPr>
        <w:t xml:space="preserve">file a Tier 2 Advice Letter </w:t>
      </w:r>
      <w:proofErr w:type="gramStart"/>
      <w:r w:rsidR="001A7A73">
        <w:rPr>
          <w:rFonts w:ascii="Palatino Linotype" w:hAnsi="Palatino Linotype" w:eastAsia="Aptos" w:cs="Times New Roman"/>
        </w:rPr>
        <w:t>in order to</w:t>
      </w:r>
      <w:proofErr w:type="gramEnd"/>
      <w:r w:rsidR="001A7A73">
        <w:rPr>
          <w:rFonts w:ascii="Palatino Linotype" w:hAnsi="Palatino Linotype" w:eastAsia="Aptos" w:cs="Times New Roman"/>
        </w:rPr>
        <w:t xml:space="preserve"> update the additional capital advance </w:t>
      </w:r>
      <w:r w:rsidR="00460774">
        <w:rPr>
          <w:rFonts w:ascii="Palatino Linotype" w:hAnsi="Palatino Linotype" w:eastAsia="Aptos" w:cs="Times New Roman"/>
        </w:rPr>
        <w:t xml:space="preserve">requirement </w:t>
      </w:r>
      <w:r w:rsidR="001A7A73">
        <w:rPr>
          <w:rFonts w:ascii="Palatino Linotype" w:hAnsi="Palatino Linotype" w:eastAsia="Aptos" w:cs="Times New Roman"/>
        </w:rPr>
        <w:t xml:space="preserve">in </w:t>
      </w:r>
      <w:r w:rsidR="00B64944">
        <w:rPr>
          <w:rFonts w:ascii="Palatino Linotype" w:hAnsi="Palatino Linotype" w:eastAsia="Aptos" w:cs="Times New Roman"/>
        </w:rPr>
        <w:t>its</w:t>
      </w:r>
      <w:r w:rsidR="009B02F4">
        <w:rPr>
          <w:rFonts w:ascii="Palatino Linotype" w:hAnsi="Palatino Linotype" w:eastAsia="Aptos" w:cs="Times New Roman"/>
        </w:rPr>
        <w:t xml:space="preserve"> agreement</w:t>
      </w:r>
      <w:r w:rsidR="00B64944">
        <w:rPr>
          <w:rFonts w:ascii="Palatino Linotype" w:hAnsi="Palatino Linotype" w:eastAsia="Aptos" w:cs="Times New Roman"/>
        </w:rPr>
        <w:t xml:space="preserve"> with Google</w:t>
      </w:r>
      <w:r w:rsidR="009B02F4">
        <w:rPr>
          <w:rFonts w:ascii="Palatino Linotype" w:hAnsi="Palatino Linotype" w:eastAsia="Aptos" w:cs="Times New Roman"/>
        </w:rPr>
        <w:t>, modifying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lastRenderedPageBreak/>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w:t>
      </w:r>
      <w:proofErr w:type="gramStart"/>
      <w:r w:rsidR="00D732B0">
        <w:rPr>
          <w:rFonts w:ascii="Palatino Linotype" w:hAnsi="Palatino Linotype" w:eastAsia="Palatino Linotype" w:cs="Times New Roman"/>
          <w:snapToGrid w:val="0"/>
          <w:kern w:val="0"/>
          <w14:ligatures w14:val="none"/>
        </w:rPr>
        <w:t>all of</w:t>
      </w:r>
      <w:proofErr w:type="gramEnd"/>
      <w:r w:rsidR="00D732B0">
        <w:rPr>
          <w:rFonts w:ascii="Palatino Linotype" w:hAnsi="Palatino Linotype" w:eastAsia="Palatino Linotype" w:cs="Times New Roman"/>
          <w:snapToGrid w:val="0"/>
          <w:kern w:val="0"/>
          <w14:ligatures w14:val="none"/>
        </w:rPr>
        <w:t xml:space="preserve">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569A457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proofErr w:type="gramStart"/>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w:t>
      </w:r>
      <w:proofErr w:type="gramEnd"/>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San Francisco</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51D85" w14:textId="77777777" w:rsidR="00833095" w:rsidRDefault="00833095" w:rsidP="00A76F4A">
      <w:pPr>
        <w:spacing w:after="0" w:line="240" w:lineRule="auto"/>
      </w:pPr>
      <w:r>
        <w:separator/>
      </w:r>
    </w:p>
  </w:endnote>
  <w:endnote w:type="continuationSeparator" w:id="0">
    <w:p w14:paraId="1C64B572" w14:textId="77777777" w:rsidR="00833095" w:rsidRDefault="00833095" w:rsidP="00A76F4A">
      <w:pPr>
        <w:spacing w:after="0" w:line="240" w:lineRule="auto"/>
      </w:pPr>
      <w:r>
        <w:continuationSeparator/>
      </w:r>
    </w:p>
  </w:endnote>
  <w:endnote w:type="continuationNotice" w:id="1">
    <w:p w14:paraId="1382DD8D" w14:textId="77777777" w:rsidR="00833095" w:rsidRDefault="008330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Segoe UI Historic"/>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D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34DC373C" w:rsidR="004A7A4C" w:rsidRPr="004A7A4C" w:rsidRDefault="00D4184B" w:rsidP="004A7A4C">
        <w:pPr>
          <w:pStyle w:val="Footer"/>
          <w:rPr>
            <w:rFonts w:ascii="Palatino Linotype" w:hAnsi="Palatino Linotype"/>
          </w:rPr>
        </w:pPr>
        <w:r w:rsidRPr="00D4184B">
          <w:rPr>
            <w:rFonts w:ascii="Tahoma" w:hAnsi="Tahoma" w:cs="Tahoma"/>
            <w:sz w:val="16"/>
            <w:szCs w:val="22"/>
          </w:rPr>
          <w:t>615529784</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45C9B" w14:textId="77777777" w:rsidR="00833095" w:rsidRDefault="00833095" w:rsidP="00A76F4A">
      <w:pPr>
        <w:spacing w:after="0" w:line="240" w:lineRule="auto"/>
      </w:pPr>
      <w:r>
        <w:separator/>
      </w:r>
    </w:p>
  </w:footnote>
  <w:footnote w:type="continuationSeparator" w:id="0">
    <w:p w14:paraId="5B5A1E8B" w14:textId="77777777" w:rsidR="00833095" w:rsidRDefault="00833095" w:rsidP="00A76F4A">
      <w:pPr>
        <w:spacing w:after="0" w:line="240" w:lineRule="auto"/>
      </w:pPr>
      <w:r>
        <w:continuationSeparator/>
      </w:r>
    </w:p>
  </w:footnote>
  <w:footnote w:type="continuationNotice" w:id="1">
    <w:p w14:paraId="1E4A484A" w14:textId="77777777" w:rsidR="00833095" w:rsidRDefault="00833095">
      <w:pPr>
        <w:spacing w:after="0" w:line="240" w:lineRule="auto"/>
      </w:pPr>
    </w:p>
  </w:footnote>
  <w:footnote w:id="2">
    <w:p w14:paraId="05E7B6F6" w14:textId="675F8CE9" w:rsidR="00A6263C" w:rsidRPr="004A68E3" w:rsidRDefault="00A6263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Calculated based on the </w:t>
      </w:r>
      <w:r w:rsidR="0032577E" w:rsidRPr="004A68E3">
        <w:rPr>
          <w:rFonts w:ascii="Palatino Linotype" w:hAnsi="Palatino Linotype"/>
        </w:rPr>
        <w:t>California Energy Commission Energy Consumption Dashboard.</w:t>
      </w:r>
    </w:p>
  </w:footnote>
  <w:footnote w:id="3">
    <w:p w14:paraId="69D79C4D" w14:textId="77777777" w:rsidR="00555D5D" w:rsidRPr="004A68E3" w:rsidRDefault="00555D5D" w:rsidP="00555D5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additional detail on the BARC methodology, including an example, see PG&amp;E Supplemental Testimony Work Paper 1 in A. 24-11-007, submitted March 21, 2025.</w:t>
      </w:r>
    </w:p>
  </w:footnote>
  <w:footnote w:id="4">
    <w:p w14:paraId="72FE0AE7" w14:textId="18BB3703" w:rsidR="009566DE" w:rsidRPr="004A68E3" w:rsidRDefault="009566DE">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5">
    <w:p w14:paraId="7244ED36" w14:textId="3BC8EB02" w:rsidR="00DD6B07" w:rsidRPr="004A68E3" w:rsidRDefault="00DD6B0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6">
    <w:p w14:paraId="661BC9CE" w14:textId="1C68E0FD" w:rsidR="00D260EC" w:rsidRPr="004A68E3" w:rsidRDefault="00D260E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7">
    <w:p w14:paraId="5A68E797" w14:textId="794BFC12" w:rsidR="00215850" w:rsidRPr="004A68E3" w:rsidRDefault="0021585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at p. </w:t>
      </w:r>
      <w:r w:rsidR="009F09FF" w:rsidRPr="004A68E3">
        <w:rPr>
          <w:rFonts w:ascii="Palatino Linotype" w:hAnsi="Palatino Linotype"/>
        </w:rPr>
        <w:t>4.</w:t>
      </w:r>
    </w:p>
  </w:footnote>
  <w:footnote w:id="8">
    <w:p w14:paraId="17E87617" w14:textId="4E04FF63" w:rsidR="00321D8C" w:rsidRPr="004A68E3" w:rsidRDefault="00321D8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 total revenue requirement </w:t>
      </w:r>
      <w:r w:rsidR="00105E5A" w:rsidRPr="004A68E3">
        <w:rPr>
          <w:rFonts w:ascii="Palatino Linotype" w:hAnsi="Palatino Linotype"/>
        </w:rPr>
        <w:t>of roughly</w:t>
      </w:r>
      <w:r w:rsidRPr="004A68E3">
        <w:rPr>
          <w:rFonts w:ascii="Palatino Linotype" w:hAnsi="Palatino Linotype"/>
        </w:rPr>
        <w:t xml:space="preserve"> $2.8 billion dollars over 40 years.</w:t>
      </w:r>
    </w:p>
  </w:footnote>
  <w:footnote w:id="9">
    <w:p w14:paraId="3A31036C" w14:textId="02980B79" w:rsidR="004C564F" w:rsidRPr="004A68E3" w:rsidRDefault="00C37C6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D. 26-03-043, which closed A.24-05-014, at p. 26-28</w:t>
      </w:r>
      <w:r w:rsidR="003E6366" w:rsidRPr="004A68E3">
        <w:rPr>
          <w:rFonts w:ascii="Palatino Linotype" w:hAnsi="Palatino Linotype"/>
        </w:rPr>
        <w:t xml:space="preserve"> and p. 42. </w:t>
      </w:r>
      <w:hyperlink r:id="rId1" w:history="1">
        <w:r w:rsidR="003E6366" w:rsidRPr="004A68E3">
          <w:rPr>
            <w:rStyle w:val="Hyperlink"/>
            <w:rFonts w:ascii="Palatino Linotype" w:hAnsi="Palatino Linotype"/>
          </w:rPr>
          <w:t>https://docs.cpuc.ca.gov/PublishedDocs/Published/G000/M599/K351/599351814.PDF</w:t>
        </w:r>
      </w:hyperlink>
    </w:p>
  </w:footnote>
  <w:footnote w:id="10">
    <w:p w14:paraId="59724A30" w14:textId="7D38E162" w:rsidR="00846CDD" w:rsidRPr="004A68E3" w:rsidRDefault="00846CD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2.</w:t>
      </w:r>
    </w:p>
  </w:footnote>
  <w:footnote w:id="11">
    <w:p w14:paraId="710E381D" w14:textId="719BEA1E" w:rsidR="007C78D7" w:rsidRPr="004A68E3" w:rsidRDefault="007C78D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2">
    <w:p w14:paraId="2BB2D8B8" w14:textId="3E18E8B5" w:rsidR="004F1711" w:rsidRPr="004A68E3" w:rsidRDefault="004F1711">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3">
    <w:p w14:paraId="1982498A" w14:textId="4CCF703E" w:rsidR="00266D0B" w:rsidRPr="004A68E3" w:rsidRDefault="00A613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7A600C" w:rsidRPr="004A68E3">
        <w:rPr>
          <w:rFonts w:ascii="Palatino Linotype" w:hAnsi="Palatino Linotype"/>
        </w:rPr>
        <w:t xml:space="preserve">CAISO San Jose Area Transmission Plan, Engineering Study Report, dated November 5, 2024. </w:t>
      </w:r>
      <w:r w:rsidR="00526FE0" w:rsidRPr="004A68E3">
        <w:rPr>
          <w:rFonts w:ascii="Palatino Linotype" w:hAnsi="Palatino Linotype"/>
        </w:rPr>
        <w:t xml:space="preserve">Later in that report, the CAISO notes that </w:t>
      </w:r>
      <w:r w:rsidR="002C7473" w:rsidRPr="004A68E3">
        <w:rPr>
          <w:rFonts w:ascii="Palatino Linotype" w:hAnsi="Palatino Linotype"/>
        </w:rPr>
        <w:t xml:space="preserve">this </w:t>
      </w:r>
      <w:r w:rsidR="0024494C" w:rsidRPr="004A68E3">
        <w:rPr>
          <w:rFonts w:ascii="Palatino Linotype" w:hAnsi="Palatino Linotype"/>
        </w:rPr>
        <w:t>load growth, mostly driven by data centers, requires additional upgrades beyond just doubling the capacity of the Newark-NRS lin</w:t>
      </w:r>
      <w:r w:rsidR="00504F64" w:rsidRPr="004A68E3">
        <w:rPr>
          <w:rFonts w:ascii="Palatino Linotype" w:hAnsi="Palatino Linotype"/>
        </w:rPr>
        <w:t>e. The report says that a “number of local overloads were identified in the need assessment s</w:t>
      </w:r>
      <w:r w:rsidR="001133CB" w:rsidRPr="004A68E3">
        <w:rPr>
          <w:rFonts w:ascii="Palatino Linotype" w:hAnsi="Palatino Linotype"/>
        </w:rPr>
        <w:t>tudy results that will not be resolved by any of the alternatives considered” at pg</w:t>
      </w:r>
      <w:r w:rsidR="00902EC7" w:rsidRPr="004A68E3">
        <w:rPr>
          <w:rFonts w:ascii="Palatino Linotype" w:hAnsi="Palatino Linotype"/>
        </w:rPr>
        <w:t>.</w:t>
      </w:r>
      <w:r w:rsidR="001133CB" w:rsidRPr="004A68E3">
        <w:rPr>
          <w:rFonts w:ascii="Palatino Linotype" w:hAnsi="Palatino Linotype"/>
        </w:rPr>
        <w:t xml:space="preserve"> 11.</w:t>
      </w:r>
      <w:r w:rsidR="0024494C" w:rsidRPr="004A68E3">
        <w:rPr>
          <w:rFonts w:ascii="Palatino Linotype" w:hAnsi="Palatino Linotype"/>
        </w:rPr>
        <w:t xml:space="preserve"> </w:t>
      </w:r>
      <w:hyperlink r:id="rId2" w:history="1">
        <w:r w:rsidR="0024494C" w:rsidRPr="004A68E3">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4A68E3" w:rsidRDefault="005972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4-5.</w:t>
      </w:r>
    </w:p>
  </w:footnote>
  <w:footnote w:id="15">
    <w:p w14:paraId="574AB331" w14:textId="21F9EFDD" w:rsidR="006D73B5" w:rsidRPr="004A68E3" w:rsidRDefault="006D73B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691090" w:rsidRPr="004A68E3">
        <w:rPr>
          <w:rFonts w:ascii="Palatino Linotype" w:hAnsi="Palatino Linotype"/>
        </w:rPr>
        <w:t>Cal Advocates Comments at p. 3-5.</w:t>
      </w:r>
    </w:p>
  </w:footnote>
  <w:footnote w:id="16">
    <w:p w14:paraId="67577C16" w14:textId="5D3B4603" w:rsidR="0039132F" w:rsidRPr="004A68E3" w:rsidRDefault="0039132F">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See the Comments section below for additional detail here.</w:t>
      </w:r>
    </w:p>
  </w:footnote>
  <w:footnote w:id="17">
    <w:p w14:paraId="2108CADD" w14:textId="0ABFED55" w:rsidR="00F51790" w:rsidRPr="004A68E3" w:rsidRDefault="00F51790" w:rsidP="00F5179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example, if Google requested 50 MW in Year 1, 150 MW in Year 2, and the full 250 MW in Year 3, and PG&amp;E could supply only 50 MW in Years 1 and 2, and then the full 250 MW in Year 3, then Google would be required to pay the advance on 50 MW in Year 0 ($30 million), no additional advance in Year 1 because PG&amp;E could offer no additional capacity, and the advance on the remaining 200 MW in Year 2 ($120 million). These load ramp figures are provided as an example only, and do not reflect the actual agreement between PG&amp;E and Google.</w:t>
      </w:r>
    </w:p>
  </w:footnote>
  <w:footnote w:id="18">
    <w:p w14:paraId="208ECEF5" w14:textId="705691E9" w:rsidR="00F52BB3" w:rsidRPr="004A68E3" w:rsidRDefault="00F52BB3">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Pr="004A68E3">
        <w:rPr>
          <w:rFonts w:ascii="Palatino Linotype" w:eastAsia="Palatino Linotype" w:hAnsi="Palatino Linotype" w:cs="Times New Roman"/>
          <w:kern w:val="0"/>
          <w14:ligatures w14:val="none"/>
        </w:rPr>
        <w:t xml:space="preserve">However, we note that if the </w:t>
      </w:r>
      <w:r w:rsidR="00345654" w:rsidRPr="004A68E3">
        <w:rPr>
          <w:rFonts w:ascii="Palatino Linotype" w:eastAsia="Palatino Linotype" w:hAnsi="Palatino Linotype" w:cs="Times New Roman"/>
          <w:kern w:val="0"/>
          <w14:ligatures w14:val="none"/>
        </w:rPr>
        <w:t>Rule 30 proceeding</w:t>
      </w:r>
      <w:r w:rsidRPr="004A68E3">
        <w:rPr>
          <w:rFonts w:ascii="Palatino Linotype" w:eastAsia="Palatino Linotype" w:hAnsi="Palatino Linotype" w:cs="Times New Roman"/>
          <w:kern w:val="0"/>
          <w14:ligatures w14:val="none"/>
        </w:rPr>
        <w:t xml:space="preserve"> ultimately accounts for the costs of broader transmission network upgrades by limiting the refund amount to a smaller portion of net revenues (for example, to 75 percent of </w:t>
      </w:r>
      <w:r w:rsidR="0055283D" w:rsidRPr="004A68E3">
        <w:rPr>
          <w:rFonts w:ascii="Palatino Linotype" w:eastAsia="Palatino Linotype" w:hAnsi="Palatino Linotype" w:cs="Times New Roman"/>
          <w:kern w:val="0"/>
          <w14:ligatures w14:val="none"/>
        </w:rPr>
        <w:t xml:space="preserve">annual </w:t>
      </w:r>
      <w:r w:rsidRPr="004A68E3">
        <w:rPr>
          <w:rFonts w:ascii="Palatino Linotype" w:eastAsia="Palatino Linotype" w:hAnsi="Palatino Linotype" w:cs="Times New Roman"/>
          <w:kern w:val="0"/>
          <w14:ligatures w14:val="none"/>
        </w:rPr>
        <w:t>net revenues), a corresponding adjustment should be implemented here.</w:t>
      </w:r>
    </w:p>
  </w:footnote>
  <w:footnote w:id="19">
    <w:p w14:paraId="505ACA93" w14:textId="227583BE" w:rsidR="008B0AE8" w:rsidRPr="004A68E3" w:rsidRDefault="008B0AE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2875E2" w:rsidRPr="004A68E3">
        <w:rPr>
          <w:rFonts w:ascii="Palatino Linotype" w:hAnsi="Palatino Linotype"/>
        </w:rPr>
        <w:t>PG&amp;E Reply at p. 5-6.</w:t>
      </w:r>
    </w:p>
  </w:footnote>
  <w:footnote w:id="20">
    <w:p w14:paraId="27A3112C" w14:textId="7174BD3C" w:rsidR="00601878" w:rsidRPr="004A68E3" w:rsidRDefault="0060187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w:t>
      </w:r>
      <w:r w:rsidR="004360C2" w:rsidRPr="004A68E3">
        <w:rPr>
          <w:rFonts w:ascii="Palatino Linotype" w:hAnsi="Palatino Linotype"/>
        </w:rPr>
        <w:t>8-9.</w:t>
      </w:r>
    </w:p>
  </w:footnote>
  <w:footnote w:id="21">
    <w:p w14:paraId="7E002721" w14:textId="73011233" w:rsidR="00CC4D57" w:rsidRPr="004A68E3" w:rsidRDefault="00CC4D5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011B9B" w:rsidRPr="004A68E3">
        <w:rPr>
          <w:rFonts w:ascii="Palatino Linotype" w:hAnsi="Palatino Linotype"/>
        </w:rPr>
        <w:t>W</w:t>
      </w:r>
      <w:r w:rsidR="00BB0324" w:rsidRPr="004A68E3">
        <w:rPr>
          <w:rFonts w:ascii="Palatino Linotype" w:hAnsi="Palatino Linotype"/>
        </w:rPr>
        <w:t xml:space="preserve">estbank Comments at p. 3; </w:t>
      </w:r>
      <w:r w:rsidR="00B30FFC" w:rsidRPr="004A68E3">
        <w:rPr>
          <w:rFonts w:ascii="Palatino Linotype" w:hAnsi="Palatino Linotype"/>
        </w:rPr>
        <w:t xml:space="preserve">Bay Area Council Comments at p. 1; </w:t>
      </w:r>
      <w:r w:rsidR="00BB0324" w:rsidRPr="004A68E3">
        <w:rPr>
          <w:rFonts w:ascii="Palatino Linotype" w:hAnsi="Palatino Linotype"/>
        </w:rPr>
        <w:t xml:space="preserve">SVLG Comments at p. </w:t>
      </w:r>
      <w:r w:rsidR="008408FB" w:rsidRPr="004A68E3">
        <w:rPr>
          <w:rFonts w:ascii="Palatino Linotype" w:hAnsi="Palatino Linotype"/>
        </w:rPr>
        <w:t>1.</w:t>
      </w:r>
    </w:p>
  </w:footnote>
  <w:footnote w:id="22">
    <w:p w14:paraId="493FCDD2" w14:textId="470BC9A2" w:rsidR="00BA5595" w:rsidRPr="004A68E3" w:rsidRDefault="00BA559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E1000B" w:rsidRPr="004A68E3">
        <w:rPr>
          <w:rFonts w:ascii="Palatino Linotype" w:hAnsi="Palatino Linotype"/>
        </w:rPr>
        <w:t>4.</w:t>
      </w:r>
    </w:p>
  </w:footnote>
  <w:footnote w:id="23">
    <w:p w14:paraId="25CEB61F" w14:textId="1B97531F" w:rsidR="00A47838" w:rsidRPr="004A68E3" w:rsidRDefault="00A4783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11.</w:t>
      </w:r>
    </w:p>
  </w:footnote>
  <w:footnote w:id="24">
    <w:p w14:paraId="16AAF0D5" w14:textId="462B2E95" w:rsidR="00F067C0" w:rsidRPr="004A68E3" w:rsidRDefault="00F067C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943A91" w:rsidRPr="004A68E3">
        <w:rPr>
          <w:rFonts w:ascii="Palatino Linotype" w:hAnsi="Palatino Linotype"/>
        </w:rPr>
        <w:t>3</w:t>
      </w:r>
      <w:r w:rsidRPr="004A68E3">
        <w:rPr>
          <w:rFonts w:ascii="Palatino Linotype" w:hAnsi="Palatino Linotype"/>
        </w:rPr>
        <w:t>; Orchard Partners Comments a</w:t>
      </w:r>
      <w:r w:rsidR="006C14F4" w:rsidRPr="004A68E3">
        <w:rPr>
          <w:rFonts w:ascii="Palatino Linotype" w:hAnsi="Palatino Linotype"/>
        </w:rPr>
        <w:t xml:space="preserve">t </w:t>
      </w:r>
      <w:r w:rsidR="007B46B6" w:rsidRPr="004A68E3">
        <w:rPr>
          <w:rFonts w:ascii="Palatino Linotype" w:hAnsi="Palatino Linotype"/>
        </w:rPr>
        <w:t>II.3.</w:t>
      </w:r>
    </w:p>
  </w:footnote>
  <w:footnote w:id="25">
    <w:p w14:paraId="6F6D6A08" w14:textId="73CCCC41" w:rsidR="006F6459" w:rsidRPr="004A68E3" w:rsidRDefault="006F645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97189A" w:rsidRPr="004A68E3">
        <w:rPr>
          <w:rFonts w:ascii="Palatino Linotype" w:hAnsi="Palatino Linotype"/>
        </w:rPr>
        <w:t>5.</w:t>
      </w:r>
    </w:p>
  </w:footnote>
  <w:footnote w:id="26">
    <w:p w14:paraId="26188AE9" w14:textId="0A9516ED" w:rsidR="0097189A" w:rsidRPr="004A68E3" w:rsidRDefault="0097189A">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B70886" w:rsidRPr="004A68E3">
        <w:rPr>
          <w:rFonts w:ascii="Palatino Linotype" w:hAnsi="Palatino Linotype"/>
        </w:rPr>
        <w:t>4</w:t>
      </w:r>
      <w:r w:rsidRPr="004A68E3">
        <w:rPr>
          <w:rFonts w:ascii="Palatino Linotype" w:hAnsi="Palatino Linotype"/>
        </w:rPr>
        <w:t xml:space="preserve">, Orchard Partners Comments at </w:t>
      </w:r>
      <w:r w:rsidR="00C41589" w:rsidRPr="004A68E3">
        <w:rPr>
          <w:rFonts w:ascii="Palatino Linotype" w:hAnsi="Palatino Linotype"/>
        </w:rPr>
        <w:t>II.3.</w:t>
      </w:r>
    </w:p>
  </w:footnote>
  <w:footnote w:id="27">
    <w:p w14:paraId="6BE3F3AE" w14:textId="0B6279CA" w:rsidR="00C41589" w:rsidRPr="004A68E3" w:rsidRDefault="00C4158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w:t>
      </w:r>
      <w:r w:rsidR="000F1B1C" w:rsidRPr="004A68E3">
        <w:rPr>
          <w:rFonts w:ascii="Palatino Linotype" w:hAnsi="Palatino Linotype"/>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2ACEE4B0"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676034" w:rsidRPr="00676034">
      <w:rPr>
        <w:rFonts w:ascii="Palatino Linotype" w:eastAsia="Times New Roman" w:hAnsi="Palatino Linotype" w:cs="Times New Roman"/>
        <w:bCs/>
        <w:kern w:val="0"/>
        <w14:ligatures w14:val="none"/>
      </w:rPr>
      <w:t>September</w:t>
    </w:r>
    <w:r w:rsidR="00676034" w:rsidRPr="00676034">
      <w:rPr>
        <w:rFonts w:ascii="Palatino Linotype" w:hAnsi="Palatino Linotype"/>
        <w:bCs/>
      </w:rPr>
      <w:t xml:space="preserve"> </w:t>
    </w:r>
    <w:r w:rsidR="00474E71">
      <w:rPr>
        <w:rFonts w:ascii="Palatino Linotype" w:hAnsi="Palatino Linotype"/>
      </w:rPr>
      <w:t>3</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12A"/>
    <w:rsid w:val="00003CD2"/>
    <w:rsid w:val="00005464"/>
    <w:rsid w:val="00007E00"/>
    <w:rsid w:val="00011B9B"/>
    <w:rsid w:val="00011EA5"/>
    <w:rsid w:val="00012287"/>
    <w:rsid w:val="00013676"/>
    <w:rsid w:val="000172B2"/>
    <w:rsid w:val="00020D86"/>
    <w:rsid w:val="000232D3"/>
    <w:rsid w:val="000267D4"/>
    <w:rsid w:val="0002711B"/>
    <w:rsid w:val="000278E2"/>
    <w:rsid w:val="00032985"/>
    <w:rsid w:val="00033144"/>
    <w:rsid w:val="00034C46"/>
    <w:rsid w:val="000357BB"/>
    <w:rsid w:val="00036C6D"/>
    <w:rsid w:val="0003744A"/>
    <w:rsid w:val="00037E62"/>
    <w:rsid w:val="00041524"/>
    <w:rsid w:val="000415F2"/>
    <w:rsid w:val="00045E53"/>
    <w:rsid w:val="00046B79"/>
    <w:rsid w:val="000471CC"/>
    <w:rsid w:val="000474B5"/>
    <w:rsid w:val="000479D9"/>
    <w:rsid w:val="00051049"/>
    <w:rsid w:val="00051860"/>
    <w:rsid w:val="00051AAB"/>
    <w:rsid w:val="000541FC"/>
    <w:rsid w:val="00054D11"/>
    <w:rsid w:val="00055FA1"/>
    <w:rsid w:val="000562FB"/>
    <w:rsid w:val="00056F23"/>
    <w:rsid w:val="000576A1"/>
    <w:rsid w:val="00057EFB"/>
    <w:rsid w:val="0006134C"/>
    <w:rsid w:val="00064D54"/>
    <w:rsid w:val="00064E6C"/>
    <w:rsid w:val="00065170"/>
    <w:rsid w:val="00065F29"/>
    <w:rsid w:val="00071D18"/>
    <w:rsid w:val="00073B5A"/>
    <w:rsid w:val="00076A6C"/>
    <w:rsid w:val="000829C5"/>
    <w:rsid w:val="0008316C"/>
    <w:rsid w:val="00083496"/>
    <w:rsid w:val="00086B82"/>
    <w:rsid w:val="00087244"/>
    <w:rsid w:val="00087C5A"/>
    <w:rsid w:val="00087C88"/>
    <w:rsid w:val="00093183"/>
    <w:rsid w:val="00094C02"/>
    <w:rsid w:val="0009541F"/>
    <w:rsid w:val="00096240"/>
    <w:rsid w:val="00097016"/>
    <w:rsid w:val="00097ABD"/>
    <w:rsid w:val="000A1D38"/>
    <w:rsid w:val="000A2EBD"/>
    <w:rsid w:val="000A372D"/>
    <w:rsid w:val="000A7E28"/>
    <w:rsid w:val="000B043A"/>
    <w:rsid w:val="000B0DC3"/>
    <w:rsid w:val="000B1AF7"/>
    <w:rsid w:val="000B21E4"/>
    <w:rsid w:val="000B27FA"/>
    <w:rsid w:val="000B2843"/>
    <w:rsid w:val="000B4184"/>
    <w:rsid w:val="000B66A8"/>
    <w:rsid w:val="000C2B7A"/>
    <w:rsid w:val="000C2E5A"/>
    <w:rsid w:val="000C3476"/>
    <w:rsid w:val="000C37B7"/>
    <w:rsid w:val="000C41E1"/>
    <w:rsid w:val="000C426A"/>
    <w:rsid w:val="000C4D9A"/>
    <w:rsid w:val="000C6C70"/>
    <w:rsid w:val="000D017C"/>
    <w:rsid w:val="000D0F1B"/>
    <w:rsid w:val="000D280D"/>
    <w:rsid w:val="000D284C"/>
    <w:rsid w:val="000D2C0C"/>
    <w:rsid w:val="000D79F5"/>
    <w:rsid w:val="000E2756"/>
    <w:rsid w:val="000E2FB9"/>
    <w:rsid w:val="000E3126"/>
    <w:rsid w:val="000E3539"/>
    <w:rsid w:val="000E3B79"/>
    <w:rsid w:val="000F1449"/>
    <w:rsid w:val="000F1B1C"/>
    <w:rsid w:val="000F2C5C"/>
    <w:rsid w:val="000F760D"/>
    <w:rsid w:val="0010129F"/>
    <w:rsid w:val="00101AD7"/>
    <w:rsid w:val="00105E5A"/>
    <w:rsid w:val="00110453"/>
    <w:rsid w:val="001133CB"/>
    <w:rsid w:val="00117BB3"/>
    <w:rsid w:val="00121572"/>
    <w:rsid w:val="00121DA4"/>
    <w:rsid w:val="0012383B"/>
    <w:rsid w:val="001241D5"/>
    <w:rsid w:val="001256B6"/>
    <w:rsid w:val="00125B0D"/>
    <w:rsid w:val="00127FF5"/>
    <w:rsid w:val="0013015A"/>
    <w:rsid w:val="001316D3"/>
    <w:rsid w:val="001317EC"/>
    <w:rsid w:val="0013205A"/>
    <w:rsid w:val="001343A0"/>
    <w:rsid w:val="00136DF7"/>
    <w:rsid w:val="001407ED"/>
    <w:rsid w:val="00140924"/>
    <w:rsid w:val="00141017"/>
    <w:rsid w:val="0014122F"/>
    <w:rsid w:val="001413E9"/>
    <w:rsid w:val="00142607"/>
    <w:rsid w:val="00145EE1"/>
    <w:rsid w:val="001470D0"/>
    <w:rsid w:val="00147645"/>
    <w:rsid w:val="00150A31"/>
    <w:rsid w:val="001514DD"/>
    <w:rsid w:val="001530D4"/>
    <w:rsid w:val="001543DE"/>
    <w:rsid w:val="001558C2"/>
    <w:rsid w:val="00157EAE"/>
    <w:rsid w:val="001648A7"/>
    <w:rsid w:val="00164C61"/>
    <w:rsid w:val="001678C4"/>
    <w:rsid w:val="00167CAA"/>
    <w:rsid w:val="00167E2F"/>
    <w:rsid w:val="00171586"/>
    <w:rsid w:val="00171862"/>
    <w:rsid w:val="001723BD"/>
    <w:rsid w:val="0017250A"/>
    <w:rsid w:val="00172F1C"/>
    <w:rsid w:val="0017555B"/>
    <w:rsid w:val="001757E9"/>
    <w:rsid w:val="00183413"/>
    <w:rsid w:val="001854F1"/>
    <w:rsid w:val="00187162"/>
    <w:rsid w:val="001911B9"/>
    <w:rsid w:val="0019365A"/>
    <w:rsid w:val="00193898"/>
    <w:rsid w:val="00194447"/>
    <w:rsid w:val="00195C13"/>
    <w:rsid w:val="001A0572"/>
    <w:rsid w:val="001A13A1"/>
    <w:rsid w:val="001A2002"/>
    <w:rsid w:val="001A25E4"/>
    <w:rsid w:val="001A2689"/>
    <w:rsid w:val="001A2D30"/>
    <w:rsid w:val="001A434F"/>
    <w:rsid w:val="001A465D"/>
    <w:rsid w:val="001A4EF0"/>
    <w:rsid w:val="001A52AA"/>
    <w:rsid w:val="001A5308"/>
    <w:rsid w:val="001A5480"/>
    <w:rsid w:val="001A5B7F"/>
    <w:rsid w:val="001A7A73"/>
    <w:rsid w:val="001A7C50"/>
    <w:rsid w:val="001B0126"/>
    <w:rsid w:val="001B0D28"/>
    <w:rsid w:val="001B2E31"/>
    <w:rsid w:val="001B3742"/>
    <w:rsid w:val="001B3C8A"/>
    <w:rsid w:val="001B54A4"/>
    <w:rsid w:val="001B62E0"/>
    <w:rsid w:val="001B763E"/>
    <w:rsid w:val="001C00B2"/>
    <w:rsid w:val="001C1085"/>
    <w:rsid w:val="001C1DF7"/>
    <w:rsid w:val="001C23EE"/>
    <w:rsid w:val="001C520D"/>
    <w:rsid w:val="001C5D12"/>
    <w:rsid w:val="001C66A3"/>
    <w:rsid w:val="001C74DB"/>
    <w:rsid w:val="001D0CD5"/>
    <w:rsid w:val="001D2402"/>
    <w:rsid w:val="001D4311"/>
    <w:rsid w:val="001D4D74"/>
    <w:rsid w:val="001D6F00"/>
    <w:rsid w:val="001E484D"/>
    <w:rsid w:val="001E591C"/>
    <w:rsid w:val="001E75DC"/>
    <w:rsid w:val="001F045D"/>
    <w:rsid w:val="001F0703"/>
    <w:rsid w:val="001F1236"/>
    <w:rsid w:val="001F1FC2"/>
    <w:rsid w:val="001F20D2"/>
    <w:rsid w:val="001F259A"/>
    <w:rsid w:val="001F4389"/>
    <w:rsid w:val="001F4659"/>
    <w:rsid w:val="001F50F3"/>
    <w:rsid w:val="001F72FA"/>
    <w:rsid w:val="001F7514"/>
    <w:rsid w:val="00201A8B"/>
    <w:rsid w:val="002028C9"/>
    <w:rsid w:val="00204B1B"/>
    <w:rsid w:val="002050BE"/>
    <w:rsid w:val="00205CF8"/>
    <w:rsid w:val="00206061"/>
    <w:rsid w:val="00207312"/>
    <w:rsid w:val="00207726"/>
    <w:rsid w:val="002121EC"/>
    <w:rsid w:val="002121F5"/>
    <w:rsid w:val="00213EBB"/>
    <w:rsid w:val="00215850"/>
    <w:rsid w:val="002168B3"/>
    <w:rsid w:val="00216EC7"/>
    <w:rsid w:val="00217457"/>
    <w:rsid w:val="002175D9"/>
    <w:rsid w:val="00217A2C"/>
    <w:rsid w:val="002204C7"/>
    <w:rsid w:val="002214C8"/>
    <w:rsid w:val="00221BBB"/>
    <w:rsid w:val="00223506"/>
    <w:rsid w:val="002236D5"/>
    <w:rsid w:val="00224479"/>
    <w:rsid w:val="00224F89"/>
    <w:rsid w:val="002408F0"/>
    <w:rsid w:val="002421AD"/>
    <w:rsid w:val="00244183"/>
    <w:rsid w:val="0024494C"/>
    <w:rsid w:val="00244BC9"/>
    <w:rsid w:val="002514A5"/>
    <w:rsid w:val="0025312D"/>
    <w:rsid w:val="00253185"/>
    <w:rsid w:val="00253363"/>
    <w:rsid w:val="00253F16"/>
    <w:rsid w:val="002550C6"/>
    <w:rsid w:val="00257FE1"/>
    <w:rsid w:val="00260D67"/>
    <w:rsid w:val="00262D03"/>
    <w:rsid w:val="00266D0B"/>
    <w:rsid w:val="00270C82"/>
    <w:rsid w:val="00272D72"/>
    <w:rsid w:val="00273BA3"/>
    <w:rsid w:val="00276308"/>
    <w:rsid w:val="002803D0"/>
    <w:rsid w:val="00281AA5"/>
    <w:rsid w:val="0028293E"/>
    <w:rsid w:val="002875E2"/>
    <w:rsid w:val="0028C0D6"/>
    <w:rsid w:val="00292EEF"/>
    <w:rsid w:val="00294CD8"/>
    <w:rsid w:val="00294F44"/>
    <w:rsid w:val="002A3DB6"/>
    <w:rsid w:val="002A4F9E"/>
    <w:rsid w:val="002A5165"/>
    <w:rsid w:val="002A60A9"/>
    <w:rsid w:val="002A73A6"/>
    <w:rsid w:val="002B56DA"/>
    <w:rsid w:val="002B5BEE"/>
    <w:rsid w:val="002B6235"/>
    <w:rsid w:val="002B7B91"/>
    <w:rsid w:val="002B7B95"/>
    <w:rsid w:val="002C53B2"/>
    <w:rsid w:val="002C646B"/>
    <w:rsid w:val="002C7473"/>
    <w:rsid w:val="002D127C"/>
    <w:rsid w:val="002D2F6A"/>
    <w:rsid w:val="002D4D39"/>
    <w:rsid w:val="002D70B5"/>
    <w:rsid w:val="002E0EBC"/>
    <w:rsid w:val="002E37C5"/>
    <w:rsid w:val="002E3DD8"/>
    <w:rsid w:val="002E43A3"/>
    <w:rsid w:val="002E4762"/>
    <w:rsid w:val="002E47A2"/>
    <w:rsid w:val="002E68FB"/>
    <w:rsid w:val="002E6BBB"/>
    <w:rsid w:val="002E6C33"/>
    <w:rsid w:val="002F0CBF"/>
    <w:rsid w:val="002F5FB0"/>
    <w:rsid w:val="002F796F"/>
    <w:rsid w:val="003011C0"/>
    <w:rsid w:val="003012ED"/>
    <w:rsid w:val="0030494A"/>
    <w:rsid w:val="003052AB"/>
    <w:rsid w:val="0030610D"/>
    <w:rsid w:val="0030737B"/>
    <w:rsid w:val="00307EEC"/>
    <w:rsid w:val="00311206"/>
    <w:rsid w:val="00312933"/>
    <w:rsid w:val="0031618B"/>
    <w:rsid w:val="00316EBC"/>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BF7"/>
    <w:rsid w:val="00343E92"/>
    <w:rsid w:val="00345654"/>
    <w:rsid w:val="00353527"/>
    <w:rsid w:val="0035390A"/>
    <w:rsid w:val="00356E1F"/>
    <w:rsid w:val="003576D2"/>
    <w:rsid w:val="003606D7"/>
    <w:rsid w:val="0036096D"/>
    <w:rsid w:val="00360A69"/>
    <w:rsid w:val="00361D4C"/>
    <w:rsid w:val="003630C4"/>
    <w:rsid w:val="00363C97"/>
    <w:rsid w:val="003642C8"/>
    <w:rsid w:val="00364739"/>
    <w:rsid w:val="003679F0"/>
    <w:rsid w:val="00371835"/>
    <w:rsid w:val="003725DD"/>
    <w:rsid w:val="0037369E"/>
    <w:rsid w:val="003737D3"/>
    <w:rsid w:val="003739E4"/>
    <w:rsid w:val="00373CC1"/>
    <w:rsid w:val="00377526"/>
    <w:rsid w:val="003807E0"/>
    <w:rsid w:val="003863D1"/>
    <w:rsid w:val="0038640A"/>
    <w:rsid w:val="00390EE6"/>
    <w:rsid w:val="0039132F"/>
    <w:rsid w:val="00394F01"/>
    <w:rsid w:val="0039648E"/>
    <w:rsid w:val="00397364"/>
    <w:rsid w:val="003978BF"/>
    <w:rsid w:val="003A03A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6B1"/>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06AF1"/>
    <w:rsid w:val="00413025"/>
    <w:rsid w:val="0041401E"/>
    <w:rsid w:val="004140CF"/>
    <w:rsid w:val="00416E24"/>
    <w:rsid w:val="00421028"/>
    <w:rsid w:val="00422338"/>
    <w:rsid w:val="00422F7E"/>
    <w:rsid w:val="0042398D"/>
    <w:rsid w:val="004255F8"/>
    <w:rsid w:val="00425FB0"/>
    <w:rsid w:val="00426844"/>
    <w:rsid w:val="00427DE4"/>
    <w:rsid w:val="00430A93"/>
    <w:rsid w:val="00431324"/>
    <w:rsid w:val="00432451"/>
    <w:rsid w:val="00432E12"/>
    <w:rsid w:val="004336D8"/>
    <w:rsid w:val="004344BC"/>
    <w:rsid w:val="00434BCB"/>
    <w:rsid w:val="00435923"/>
    <w:rsid w:val="004360C2"/>
    <w:rsid w:val="00436D7F"/>
    <w:rsid w:val="004427E6"/>
    <w:rsid w:val="00447687"/>
    <w:rsid w:val="00450C12"/>
    <w:rsid w:val="00453E25"/>
    <w:rsid w:val="00453F22"/>
    <w:rsid w:val="00454337"/>
    <w:rsid w:val="0045480A"/>
    <w:rsid w:val="004550CB"/>
    <w:rsid w:val="00455193"/>
    <w:rsid w:val="00457076"/>
    <w:rsid w:val="00457FB9"/>
    <w:rsid w:val="0046054F"/>
    <w:rsid w:val="00460774"/>
    <w:rsid w:val="00460D36"/>
    <w:rsid w:val="0046160E"/>
    <w:rsid w:val="00461902"/>
    <w:rsid w:val="00462CA3"/>
    <w:rsid w:val="00465BF1"/>
    <w:rsid w:val="0046711C"/>
    <w:rsid w:val="0047147F"/>
    <w:rsid w:val="004716B0"/>
    <w:rsid w:val="00472C42"/>
    <w:rsid w:val="00473945"/>
    <w:rsid w:val="00473A06"/>
    <w:rsid w:val="00473F97"/>
    <w:rsid w:val="00474E71"/>
    <w:rsid w:val="0047679E"/>
    <w:rsid w:val="004776A2"/>
    <w:rsid w:val="00477A4F"/>
    <w:rsid w:val="004801F1"/>
    <w:rsid w:val="004806D3"/>
    <w:rsid w:val="004828E5"/>
    <w:rsid w:val="00482E90"/>
    <w:rsid w:val="004831AF"/>
    <w:rsid w:val="00493430"/>
    <w:rsid w:val="004937EB"/>
    <w:rsid w:val="004A1779"/>
    <w:rsid w:val="004A19EB"/>
    <w:rsid w:val="004A4C08"/>
    <w:rsid w:val="004A4C92"/>
    <w:rsid w:val="004A53F8"/>
    <w:rsid w:val="004A68E3"/>
    <w:rsid w:val="004A7A4C"/>
    <w:rsid w:val="004B0766"/>
    <w:rsid w:val="004B2F6E"/>
    <w:rsid w:val="004B43E0"/>
    <w:rsid w:val="004B56A9"/>
    <w:rsid w:val="004B633C"/>
    <w:rsid w:val="004B6BB7"/>
    <w:rsid w:val="004C06B9"/>
    <w:rsid w:val="004C0852"/>
    <w:rsid w:val="004C2DE0"/>
    <w:rsid w:val="004C2F82"/>
    <w:rsid w:val="004C36BE"/>
    <w:rsid w:val="004C40A1"/>
    <w:rsid w:val="004C4A3A"/>
    <w:rsid w:val="004C5488"/>
    <w:rsid w:val="004C564F"/>
    <w:rsid w:val="004C6F6D"/>
    <w:rsid w:val="004C7202"/>
    <w:rsid w:val="004C7EB9"/>
    <w:rsid w:val="004D33BE"/>
    <w:rsid w:val="004D46CE"/>
    <w:rsid w:val="004D5797"/>
    <w:rsid w:val="004D6008"/>
    <w:rsid w:val="004D6A05"/>
    <w:rsid w:val="004D7FA8"/>
    <w:rsid w:val="004E018B"/>
    <w:rsid w:val="004E17F6"/>
    <w:rsid w:val="004E466A"/>
    <w:rsid w:val="004E4B5C"/>
    <w:rsid w:val="004E5D3D"/>
    <w:rsid w:val="004F14A8"/>
    <w:rsid w:val="004F1711"/>
    <w:rsid w:val="004F3BD7"/>
    <w:rsid w:val="004F466D"/>
    <w:rsid w:val="00500B0F"/>
    <w:rsid w:val="0050173A"/>
    <w:rsid w:val="0050343D"/>
    <w:rsid w:val="00504F64"/>
    <w:rsid w:val="0050552C"/>
    <w:rsid w:val="00506FFE"/>
    <w:rsid w:val="00507DAF"/>
    <w:rsid w:val="00512EFF"/>
    <w:rsid w:val="005146AD"/>
    <w:rsid w:val="00515D93"/>
    <w:rsid w:val="00515E18"/>
    <w:rsid w:val="0051725E"/>
    <w:rsid w:val="00520076"/>
    <w:rsid w:val="00521222"/>
    <w:rsid w:val="005214C0"/>
    <w:rsid w:val="00523D56"/>
    <w:rsid w:val="00524760"/>
    <w:rsid w:val="0052519C"/>
    <w:rsid w:val="00526E10"/>
    <w:rsid w:val="00526FE0"/>
    <w:rsid w:val="0053035F"/>
    <w:rsid w:val="005308B9"/>
    <w:rsid w:val="005319D9"/>
    <w:rsid w:val="00532EDE"/>
    <w:rsid w:val="00541F3A"/>
    <w:rsid w:val="00542F76"/>
    <w:rsid w:val="00543EC0"/>
    <w:rsid w:val="0054572F"/>
    <w:rsid w:val="0054574B"/>
    <w:rsid w:val="00545E16"/>
    <w:rsid w:val="00547C8E"/>
    <w:rsid w:val="0055031A"/>
    <w:rsid w:val="0055118C"/>
    <w:rsid w:val="0055283D"/>
    <w:rsid w:val="00553817"/>
    <w:rsid w:val="00553F14"/>
    <w:rsid w:val="00555078"/>
    <w:rsid w:val="00555CBA"/>
    <w:rsid w:val="00555D5D"/>
    <w:rsid w:val="00560607"/>
    <w:rsid w:val="0056090C"/>
    <w:rsid w:val="00561A45"/>
    <w:rsid w:val="00561D4C"/>
    <w:rsid w:val="0056244C"/>
    <w:rsid w:val="00563899"/>
    <w:rsid w:val="00565F65"/>
    <w:rsid w:val="00566C0F"/>
    <w:rsid w:val="005674C1"/>
    <w:rsid w:val="0057402A"/>
    <w:rsid w:val="00574E38"/>
    <w:rsid w:val="00575AEF"/>
    <w:rsid w:val="00581B80"/>
    <w:rsid w:val="005823C1"/>
    <w:rsid w:val="00582DA1"/>
    <w:rsid w:val="00582DBF"/>
    <w:rsid w:val="00584FFD"/>
    <w:rsid w:val="0058567A"/>
    <w:rsid w:val="00586D29"/>
    <w:rsid w:val="00587578"/>
    <w:rsid w:val="00587F38"/>
    <w:rsid w:val="0059103F"/>
    <w:rsid w:val="00591DC9"/>
    <w:rsid w:val="00591F4D"/>
    <w:rsid w:val="005926A4"/>
    <w:rsid w:val="0059303D"/>
    <w:rsid w:val="005972C2"/>
    <w:rsid w:val="005A0197"/>
    <w:rsid w:val="005A223B"/>
    <w:rsid w:val="005A25FD"/>
    <w:rsid w:val="005A2945"/>
    <w:rsid w:val="005A48FD"/>
    <w:rsid w:val="005A5A2C"/>
    <w:rsid w:val="005A5C11"/>
    <w:rsid w:val="005A7F86"/>
    <w:rsid w:val="005B2E64"/>
    <w:rsid w:val="005C3016"/>
    <w:rsid w:val="005C7802"/>
    <w:rsid w:val="005D0B23"/>
    <w:rsid w:val="005D17C5"/>
    <w:rsid w:val="005D3CE2"/>
    <w:rsid w:val="005D438F"/>
    <w:rsid w:val="005D5A9B"/>
    <w:rsid w:val="005D78E8"/>
    <w:rsid w:val="005E046D"/>
    <w:rsid w:val="005E1EDE"/>
    <w:rsid w:val="005E260D"/>
    <w:rsid w:val="005E3082"/>
    <w:rsid w:val="005E5295"/>
    <w:rsid w:val="005E66A9"/>
    <w:rsid w:val="005E7D03"/>
    <w:rsid w:val="005E7DD7"/>
    <w:rsid w:val="005F071C"/>
    <w:rsid w:val="005F0B19"/>
    <w:rsid w:val="005F17C6"/>
    <w:rsid w:val="005F2296"/>
    <w:rsid w:val="005F7306"/>
    <w:rsid w:val="005F7F57"/>
    <w:rsid w:val="00600BE4"/>
    <w:rsid w:val="00601878"/>
    <w:rsid w:val="006018DB"/>
    <w:rsid w:val="00602476"/>
    <w:rsid w:val="00603C9E"/>
    <w:rsid w:val="006046EC"/>
    <w:rsid w:val="00604BBD"/>
    <w:rsid w:val="0060562C"/>
    <w:rsid w:val="00606777"/>
    <w:rsid w:val="00606F26"/>
    <w:rsid w:val="006119A1"/>
    <w:rsid w:val="00612C6B"/>
    <w:rsid w:val="00617C8C"/>
    <w:rsid w:val="0062302D"/>
    <w:rsid w:val="00627C1B"/>
    <w:rsid w:val="0063054A"/>
    <w:rsid w:val="006324ED"/>
    <w:rsid w:val="006327AC"/>
    <w:rsid w:val="00634262"/>
    <w:rsid w:val="006347A8"/>
    <w:rsid w:val="006360F1"/>
    <w:rsid w:val="00636F87"/>
    <w:rsid w:val="00637008"/>
    <w:rsid w:val="006373F8"/>
    <w:rsid w:val="00637A20"/>
    <w:rsid w:val="0064194D"/>
    <w:rsid w:val="0064197B"/>
    <w:rsid w:val="00644AFD"/>
    <w:rsid w:val="0064526F"/>
    <w:rsid w:val="0064559B"/>
    <w:rsid w:val="00646A65"/>
    <w:rsid w:val="00646CBC"/>
    <w:rsid w:val="00654001"/>
    <w:rsid w:val="0065407B"/>
    <w:rsid w:val="00654F79"/>
    <w:rsid w:val="006645BD"/>
    <w:rsid w:val="006650B6"/>
    <w:rsid w:val="00666107"/>
    <w:rsid w:val="0067043A"/>
    <w:rsid w:val="00671614"/>
    <w:rsid w:val="0067499D"/>
    <w:rsid w:val="00676034"/>
    <w:rsid w:val="00676171"/>
    <w:rsid w:val="0067706F"/>
    <w:rsid w:val="00680E21"/>
    <w:rsid w:val="00681376"/>
    <w:rsid w:val="00682B95"/>
    <w:rsid w:val="0068358C"/>
    <w:rsid w:val="00683594"/>
    <w:rsid w:val="0068431F"/>
    <w:rsid w:val="00684A2A"/>
    <w:rsid w:val="006854D6"/>
    <w:rsid w:val="006860F0"/>
    <w:rsid w:val="00686221"/>
    <w:rsid w:val="00687559"/>
    <w:rsid w:val="00691090"/>
    <w:rsid w:val="00692253"/>
    <w:rsid w:val="00692F58"/>
    <w:rsid w:val="00693A4F"/>
    <w:rsid w:val="00694927"/>
    <w:rsid w:val="00695282"/>
    <w:rsid w:val="006956BE"/>
    <w:rsid w:val="00695BA9"/>
    <w:rsid w:val="00696095"/>
    <w:rsid w:val="00696459"/>
    <w:rsid w:val="006A2EA0"/>
    <w:rsid w:val="006A4542"/>
    <w:rsid w:val="006A5360"/>
    <w:rsid w:val="006B27C0"/>
    <w:rsid w:val="006B35D5"/>
    <w:rsid w:val="006B4B84"/>
    <w:rsid w:val="006B56AA"/>
    <w:rsid w:val="006C14F4"/>
    <w:rsid w:val="006C291D"/>
    <w:rsid w:val="006C29F9"/>
    <w:rsid w:val="006C4D8F"/>
    <w:rsid w:val="006D056E"/>
    <w:rsid w:val="006D41D2"/>
    <w:rsid w:val="006D4826"/>
    <w:rsid w:val="006D6C6C"/>
    <w:rsid w:val="006D73B5"/>
    <w:rsid w:val="006E1D58"/>
    <w:rsid w:val="006F06DE"/>
    <w:rsid w:val="006F09E9"/>
    <w:rsid w:val="006F557B"/>
    <w:rsid w:val="006F61DE"/>
    <w:rsid w:val="006F6459"/>
    <w:rsid w:val="006F6ED0"/>
    <w:rsid w:val="00700888"/>
    <w:rsid w:val="00701102"/>
    <w:rsid w:val="00701768"/>
    <w:rsid w:val="00701EF5"/>
    <w:rsid w:val="0070254A"/>
    <w:rsid w:val="0070304F"/>
    <w:rsid w:val="00703A3C"/>
    <w:rsid w:val="00704F76"/>
    <w:rsid w:val="007059B2"/>
    <w:rsid w:val="00713580"/>
    <w:rsid w:val="00717000"/>
    <w:rsid w:val="00717471"/>
    <w:rsid w:val="00723648"/>
    <w:rsid w:val="00724713"/>
    <w:rsid w:val="00725434"/>
    <w:rsid w:val="00727329"/>
    <w:rsid w:val="00727A68"/>
    <w:rsid w:val="0073089A"/>
    <w:rsid w:val="00730C11"/>
    <w:rsid w:val="00732E97"/>
    <w:rsid w:val="0073448D"/>
    <w:rsid w:val="007378EB"/>
    <w:rsid w:val="00737E72"/>
    <w:rsid w:val="00737E9E"/>
    <w:rsid w:val="007404DC"/>
    <w:rsid w:val="00740E32"/>
    <w:rsid w:val="00741057"/>
    <w:rsid w:val="007424E5"/>
    <w:rsid w:val="00744E0E"/>
    <w:rsid w:val="007462AE"/>
    <w:rsid w:val="00750430"/>
    <w:rsid w:val="00750E92"/>
    <w:rsid w:val="00750EB8"/>
    <w:rsid w:val="0075470C"/>
    <w:rsid w:val="00754AF8"/>
    <w:rsid w:val="00755F13"/>
    <w:rsid w:val="00757113"/>
    <w:rsid w:val="00761418"/>
    <w:rsid w:val="00762ACE"/>
    <w:rsid w:val="007658F7"/>
    <w:rsid w:val="007668AB"/>
    <w:rsid w:val="00767756"/>
    <w:rsid w:val="007708B1"/>
    <w:rsid w:val="007709C9"/>
    <w:rsid w:val="007711D8"/>
    <w:rsid w:val="007739D6"/>
    <w:rsid w:val="00776C78"/>
    <w:rsid w:val="00783A51"/>
    <w:rsid w:val="00784A30"/>
    <w:rsid w:val="00793121"/>
    <w:rsid w:val="007933B2"/>
    <w:rsid w:val="007961CD"/>
    <w:rsid w:val="007A3C23"/>
    <w:rsid w:val="007A4380"/>
    <w:rsid w:val="007A43D2"/>
    <w:rsid w:val="007A600C"/>
    <w:rsid w:val="007A6037"/>
    <w:rsid w:val="007A7CAD"/>
    <w:rsid w:val="007B0189"/>
    <w:rsid w:val="007B1A23"/>
    <w:rsid w:val="007B2B5A"/>
    <w:rsid w:val="007B46B6"/>
    <w:rsid w:val="007C2B4C"/>
    <w:rsid w:val="007C2D81"/>
    <w:rsid w:val="007C542F"/>
    <w:rsid w:val="007C78D7"/>
    <w:rsid w:val="007D183A"/>
    <w:rsid w:val="007D183E"/>
    <w:rsid w:val="007D30F7"/>
    <w:rsid w:val="007D5189"/>
    <w:rsid w:val="007D5EF7"/>
    <w:rsid w:val="007D6A5A"/>
    <w:rsid w:val="007D78E5"/>
    <w:rsid w:val="007E0F3F"/>
    <w:rsid w:val="007E19FE"/>
    <w:rsid w:val="007E66EA"/>
    <w:rsid w:val="007E6A87"/>
    <w:rsid w:val="007E6C35"/>
    <w:rsid w:val="007F0AE6"/>
    <w:rsid w:val="007F2391"/>
    <w:rsid w:val="007F2983"/>
    <w:rsid w:val="007F3FC9"/>
    <w:rsid w:val="007F4FC3"/>
    <w:rsid w:val="007F77B4"/>
    <w:rsid w:val="008007A2"/>
    <w:rsid w:val="00801B51"/>
    <w:rsid w:val="00801EAF"/>
    <w:rsid w:val="00802705"/>
    <w:rsid w:val="008031C6"/>
    <w:rsid w:val="00804FC2"/>
    <w:rsid w:val="00810939"/>
    <w:rsid w:val="00810C66"/>
    <w:rsid w:val="00810F85"/>
    <w:rsid w:val="00811787"/>
    <w:rsid w:val="00815DB2"/>
    <w:rsid w:val="00816B62"/>
    <w:rsid w:val="008203C0"/>
    <w:rsid w:val="008213BB"/>
    <w:rsid w:val="00821FCB"/>
    <w:rsid w:val="00822093"/>
    <w:rsid w:val="00825685"/>
    <w:rsid w:val="0082591B"/>
    <w:rsid w:val="00825DA3"/>
    <w:rsid w:val="0083105D"/>
    <w:rsid w:val="00831F3A"/>
    <w:rsid w:val="00833095"/>
    <w:rsid w:val="0083399C"/>
    <w:rsid w:val="008339E5"/>
    <w:rsid w:val="00836550"/>
    <w:rsid w:val="008408FB"/>
    <w:rsid w:val="00841337"/>
    <w:rsid w:val="0084242D"/>
    <w:rsid w:val="008436A6"/>
    <w:rsid w:val="00843CB9"/>
    <w:rsid w:val="00843D85"/>
    <w:rsid w:val="00844C39"/>
    <w:rsid w:val="00846CDD"/>
    <w:rsid w:val="00847E7D"/>
    <w:rsid w:val="00855E51"/>
    <w:rsid w:val="00856A68"/>
    <w:rsid w:val="0085714D"/>
    <w:rsid w:val="00857BC9"/>
    <w:rsid w:val="00860D21"/>
    <w:rsid w:val="0086162D"/>
    <w:rsid w:val="0086258D"/>
    <w:rsid w:val="00862A63"/>
    <w:rsid w:val="00864EB4"/>
    <w:rsid w:val="0086579C"/>
    <w:rsid w:val="0086660A"/>
    <w:rsid w:val="008711A5"/>
    <w:rsid w:val="00873485"/>
    <w:rsid w:val="00875C1E"/>
    <w:rsid w:val="008771A8"/>
    <w:rsid w:val="00877CC2"/>
    <w:rsid w:val="00882689"/>
    <w:rsid w:val="00883B19"/>
    <w:rsid w:val="0088525D"/>
    <w:rsid w:val="008859F9"/>
    <w:rsid w:val="0088639D"/>
    <w:rsid w:val="00886B06"/>
    <w:rsid w:val="00886F07"/>
    <w:rsid w:val="008906AA"/>
    <w:rsid w:val="00890E1C"/>
    <w:rsid w:val="0089420C"/>
    <w:rsid w:val="0089522B"/>
    <w:rsid w:val="0089567D"/>
    <w:rsid w:val="008968F4"/>
    <w:rsid w:val="008A03FB"/>
    <w:rsid w:val="008A1D0C"/>
    <w:rsid w:val="008A2B7D"/>
    <w:rsid w:val="008A32E7"/>
    <w:rsid w:val="008A3D21"/>
    <w:rsid w:val="008A4F71"/>
    <w:rsid w:val="008A4F9A"/>
    <w:rsid w:val="008B0AE8"/>
    <w:rsid w:val="008B2105"/>
    <w:rsid w:val="008B329D"/>
    <w:rsid w:val="008B6223"/>
    <w:rsid w:val="008C1A45"/>
    <w:rsid w:val="008C1F32"/>
    <w:rsid w:val="008C2763"/>
    <w:rsid w:val="008C5A05"/>
    <w:rsid w:val="008C6A2A"/>
    <w:rsid w:val="008D0049"/>
    <w:rsid w:val="008D0706"/>
    <w:rsid w:val="008D08C6"/>
    <w:rsid w:val="008D1ACD"/>
    <w:rsid w:val="008D2A91"/>
    <w:rsid w:val="008D35FC"/>
    <w:rsid w:val="008D3683"/>
    <w:rsid w:val="008D69C4"/>
    <w:rsid w:val="008E0B8F"/>
    <w:rsid w:val="008E2E80"/>
    <w:rsid w:val="008E48E2"/>
    <w:rsid w:val="008E4DAF"/>
    <w:rsid w:val="008E603E"/>
    <w:rsid w:val="008E7B03"/>
    <w:rsid w:val="008E7CA8"/>
    <w:rsid w:val="008F0E91"/>
    <w:rsid w:val="008F22F5"/>
    <w:rsid w:val="008F351A"/>
    <w:rsid w:val="008F3642"/>
    <w:rsid w:val="008F39F6"/>
    <w:rsid w:val="008F44CF"/>
    <w:rsid w:val="008F5BE4"/>
    <w:rsid w:val="008F6272"/>
    <w:rsid w:val="008F74B1"/>
    <w:rsid w:val="008F75CF"/>
    <w:rsid w:val="009000F7"/>
    <w:rsid w:val="009024C2"/>
    <w:rsid w:val="00902EC7"/>
    <w:rsid w:val="00903473"/>
    <w:rsid w:val="009047FF"/>
    <w:rsid w:val="00906E74"/>
    <w:rsid w:val="0091055A"/>
    <w:rsid w:val="00915A83"/>
    <w:rsid w:val="00917711"/>
    <w:rsid w:val="00917DF1"/>
    <w:rsid w:val="0092038C"/>
    <w:rsid w:val="00926646"/>
    <w:rsid w:val="00931789"/>
    <w:rsid w:val="00931DB9"/>
    <w:rsid w:val="0093299E"/>
    <w:rsid w:val="00933179"/>
    <w:rsid w:val="00933B14"/>
    <w:rsid w:val="00934FF8"/>
    <w:rsid w:val="00940A0D"/>
    <w:rsid w:val="00940CAD"/>
    <w:rsid w:val="0094245D"/>
    <w:rsid w:val="00943A91"/>
    <w:rsid w:val="00945804"/>
    <w:rsid w:val="00946E08"/>
    <w:rsid w:val="00947EC4"/>
    <w:rsid w:val="00947FB9"/>
    <w:rsid w:val="00951DC2"/>
    <w:rsid w:val="009557B4"/>
    <w:rsid w:val="00955BCB"/>
    <w:rsid w:val="00955D1B"/>
    <w:rsid w:val="009563C3"/>
    <w:rsid w:val="009566DE"/>
    <w:rsid w:val="00961254"/>
    <w:rsid w:val="00962979"/>
    <w:rsid w:val="00962DA1"/>
    <w:rsid w:val="009631B9"/>
    <w:rsid w:val="00964412"/>
    <w:rsid w:val="00965576"/>
    <w:rsid w:val="00970971"/>
    <w:rsid w:val="00970F85"/>
    <w:rsid w:val="0097189A"/>
    <w:rsid w:val="00971C56"/>
    <w:rsid w:val="00972215"/>
    <w:rsid w:val="009747FF"/>
    <w:rsid w:val="00983406"/>
    <w:rsid w:val="00984687"/>
    <w:rsid w:val="00984F1B"/>
    <w:rsid w:val="0098641A"/>
    <w:rsid w:val="00986A81"/>
    <w:rsid w:val="0099201B"/>
    <w:rsid w:val="009942DA"/>
    <w:rsid w:val="00995EF7"/>
    <w:rsid w:val="009973C4"/>
    <w:rsid w:val="00997702"/>
    <w:rsid w:val="009A0CDD"/>
    <w:rsid w:val="009A13A1"/>
    <w:rsid w:val="009A5BB2"/>
    <w:rsid w:val="009A68EB"/>
    <w:rsid w:val="009B02F4"/>
    <w:rsid w:val="009B0978"/>
    <w:rsid w:val="009B142A"/>
    <w:rsid w:val="009B3324"/>
    <w:rsid w:val="009B4A8D"/>
    <w:rsid w:val="009B4DC5"/>
    <w:rsid w:val="009B5973"/>
    <w:rsid w:val="009C30E8"/>
    <w:rsid w:val="009C48E8"/>
    <w:rsid w:val="009C49CA"/>
    <w:rsid w:val="009C563A"/>
    <w:rsid w:val="009C5A3F"/>
    <w:rsid w:val="009D4866"/>
    <w:rsid w:val="009D6561"/>
    <w:rsid w:val="009E380F"/>
    <w:rsid w:val="009E4302"/>
    <w:rsid w:val="009E45D9"/>
    <w:rsid w:val="009E4BA2"/>
    <w:rsid w:val="009E4F07"/>
    <w:rsid w:val="009E54BF"/>
    <w:rsid w:val="009E7653"/>
    <w:rsid w:val="009F09FF"/>
    <w:rsid w:val="009F0FB5"/>
    <w:rsid w:val="009F1002"/>
    <w:rsid w:val="009F46FA"/>
    <w:rsid w:val="009F6A61"/>
    <w:rsid w:val="009F7028"/>
    <w:rsid w:val="00A00A07"/>
    <w:rsid w:val="00A011EB"/>
    <w:rsid w:val="00A01BCE"/>
    <w:rsid w:val="00A03617"/>
    <w:rsid w:val="00A06950"/>
    <w:rsid w:val="00A10CF4"/>
    <w:rsid w:val="00A1683B"/>
    <w:rsid w:val="00A20210"/>
    <w:rsid w:val="00A21C9D"/>
    <w:rsid w:val="00A22D86"/>
    <w:rsid w:val="00A2694B"/>
    <w:rsid w:val="00A331B9"/>
    <w:rsid w:val="00A334F6"/>
    <w:rsid w:val="00A33890"/>
    <w:rsid w:val="00A353FE"/>
    <w:rsid w:val="00A35F2F"/>
    <w:rsid w:val="00A373B7"/>
    <w:rsid w:val="00A429A5"/>
    <w:rsid w:val="00A42E65"/>
    <w:rsid w:val="00A4501B"/>
    <w:rsid w:val="00A45172"/>
    <w:rsid w:val="00A46222"/>
    <w:rsid w:val="00A47838"/>
    <w:rsid w:val="00A505BB"/>
    <w:rsid w:val="00A507AD"/>
    <w:rsid w:val="00A53915"/>
    <w:rsid w:val="00A5406D"/>
    <w:rsid w:val="00A54341"/>
    <w:rsid w:val="00A55F1B"/>
    <w:rsid w:val="00A613C2"/>
    <w:rsid w:val="00A6263C"/>
    <w:rsid w:val="00A63638"/>
    <w:rsid w:val="00A66D78"/>
    <w:rsid w:val="00A67BB5"/>
    <w:rsid w:val="00A738E8"/>
    <w:rsid w:val="00A76F4A"/>
    <w:rsid w:val="00A82612"/>
    <w:rsid w:val="00A85F9B"/>
    <w:rsid w:val="00A86376"/>
    <w:rsid w:val="00A93986"/>
    <w:rsid w:val="00A94E52"/>
    <w:rsid w:val="00A95CF7"/>
    <w:rsid w:val="00AA2D23"/>
    <w:rsid w:val="00AA5C96"/>
    <w:rsid w:val="00AA67C4"/>
    <w:rsid w:val="00AA7C79"/>
    <w:rsid w:val="00AB0210"/>
    <w:rsid w:val="00AB0872"/>
    <w:rsid w:val="00AB1539"/>
    <w:rsid w:val="00AB1AEE"/>
    <w:rsid w:val="00AB3A5A"/>
    <w:rsid w:val="00AC00F2"/>
    <w:rsid w:val="00AC0821"/>
    <w:rsid w:val="00AC082B"/>
    <w:rsid w:val="00AC5A11"/>
    <w:rsid w:val="00AC7F6C"/>
    <w:rsid w:val="00AD4A2F"/>
    <w:rsid w:val="00AD52FE"/>
    <w:rsid w:val="00AD74F2"/>
    <w:rsid w:val="00AD7B28"/>
    <w:rsid w:val="00AD7B93"/>
    <w:rsid w:val="00AE1B51"/>
    <w:rsid w:val="00AE2204"/>
    <w:rsid w:val="00AE2B61"/>
    <w:rsid w:val="00AE6E4D"/>
    <w:rsid w:val="00AE7021"/>
    <w:rsid w:val="00AE7D1A"/>
    <w:rsid w:val="00AF47E2"/>
    <w:rsid w:val="00AF621E"/>
    <w:rsid w:val="00B00D1C"/>
    <w:rsid w:val="00B01234"/>
    <w:rsid w:val="00B0280E"/>
    <w:rsid w:val="00B04AD1"/>
    <w:rsid w:val="00B05190"/>
    <w:rsid w:val="00B05CAC"/>
    <w:rsid w:val="00B07D57"/>
    <w:rsid w:val="00B13F44"/>
    <w:rsid w:val="00B146C4"/>
    <w:rsid w:val="00B1625E"/>
    <w:rsid w:val="00B165B5"/>
    <w:rsid w:val="00B20A38"/>
    <w:rsid w:val="00B2293A"/>
    <w:rsid w:val="00B25722"/>
    <w:rsid w:val="00B27F3B"/>
    <w:rsid w:val="00B30FFC"/>
    <w:rsid w:val="00B313BE"/>
    <w:rsid w:val="00B314D5"/>
    <w:rsid w:val="00B3317E"/>
    <w:rsid w:val="00B36B2C"/>
    <w:rsid w:val="00B41180"/>
    <w:rsid w:val="00B43C1E"/>
    <w:rsid w:val="00B46903"/>
    <w:rsid w:val="00B479F1"/>
    <w:rsid w:val="00B50954"/>
    <w:rsid w:val="00B530D9"/>
    <w:rsid w:val="00B53C9C"/>
    <w:rsid w:val="00B56133"/>
    <w:rsid w:val="00B57F8C"/>
    <w:rsid w:val="00B60EFA"/>
    <w:rsid w:val="00B64944"/>
    <w:rsid w:val="00B655B1"/>
    <w:rsid w:val="00B66AE3"/>
    <w:rsid w:val="00B70886"/>
    <w:rsid w:val="00B71235"/>
    <w:rsid w:val="00B722E8"/>
    <w:rsid w:val="00B732DA"/>
    <w:rsid w:val="00B77DEF"/>
    <w:rsid w:val="00B85109"/>
    <w:rsid w:val="00B86063"/>
    <w:rsid w:val="00B86B43"/>
    <w:rsid w:val="00B87F78"/>
    <w:rsid w:val="00B92335"/>
    <w:rsid w:val="00B929F4"/>
    <w:rsid w:val="00B9347C"/>
    <w:rsid w:val="00B959EF"/>
    <w:rsid w:val="00B96A48"/>
    <w:rsid w:val="00B96B78"/>
    <w:rsid w:val="00B97832"/>
    <w:rsid w:val="00BA3AC9"/>
    <w:rsid w:val="00BA44D9"/>
    <w:rsid w:val="00BA5595"/>
    <w:rsid w:val="00BA68C8"/>
    <w:rsid w:val="00BB0324"/>
    <w:rsid w:val="00BB137D"/>
    <w:rsid w:val="00BB5FE9"/>
    <w:rsid w:val="00BB63E2"/>
    <w:rsid w:val="00BC138B"/>
    <w:rsid w:val="00BC1F96"/>
    <w:rsid w:val="00BC4B30"/>
    <w:rsid w:val="00BC54CE"/>
    <w:rsid w:val="00BC5F4A"/>
    <w:rsid w:val="00BC64C9"/>
    <w:rsid w:val="00BC697F"/>
    <w:rsid w:val="00BC7F96"/>
    <w:rsid w:val="00BD0030"/>
    <w:rsid w:val="00BD3939"/>
    <w:rsid w:val="00BD4055"/>
    <w:rsid w:val="00BE2967"/>
    <w:rsid w:val="00BE3D69"/>
    <w:rsid w:val="00BE4D45"/>
    <w:rsid w:val="00BE6B2A"/>
    <w:rsid w:val="00BF0069"/>
    <w:rsid w:val="00BF0CD0"/>
    <w:rsid w:val="00BF378A"/>
    <w:rsid w:val="00BF44FF"/>
    <w:rsid w:val="00C018AF"/>
    <w:rsid w:val="00C07F73"/>
    <w:rsid w:val="00C112F5"/>
    <w:rsid w:val="00C12CBE"/>
    <w:rsid w:val="00C1395F"/>
    <w:rsid w:val="00C16BF1"/>
    <w:rsid w:val="00C2162B"/>
    <w:rsid w:val="00C23E38"/>
    <w:rsid w:val="00C251AC"/>
    <w:rsid w:val="00C26CA3"/>
    <w:rsid w:val="00C27BDA"/>
    <w:rsid w:val="00C31B0C"/>
    <w:rsid w:val="00C35801"/>
    <w:rsid w:val="00C36E43"/>
    <w:rsid w:val="00C37C2C"/>
    <w:rsid w:val="00C37C6C"/>
    <w:rsid w:val="00C4148E"/>
    <w:rsid w:val="00C41589"/>
    <w:rsid w:val="00C41B43"/>
    <w:rsid w:val="00C442F8"/>
    <w:rsid w:val="00C451A6"/>
    <w:rsid w:val="00C45737"/>
    <w:rsid w:val="00C463C3"/>
    <w:rsid w:val="00C46D08"/>
    <w:rsid w:val="00C507E8"/>
    <w:rsid w:val="00C51697"/>
    <w:rsid w:val="00C51AD9"/>
    <w:rsid w:val="00C55940"/>
    <w:rsid w:val="00C56021"/>
    <w:rsid w:val="00C61639"/>
    <w:rsid w:val="00C621C3"/>
    <w:rsid w:val="00C64520"/>
    <w:rsid w:val="00C6781C"/>
    <w:rsid w:val="00C71765"/>
    <w:rsid w:val="00C73F23"/>
    <w:rsid w:val="00C75BA7"/>
    <w:rsid w:val="00C76430"/>
    <w:rsid w:val="00C77D1F"/>
    <w:rsid w:val="00C85AFD"/>
    <w:rsid w:val="00C85C5A"/>
    <w:rsid w:val="00C85E57"/>
    <w:rsid w:val="00C87375"/>
    <w:rsid w:val="00C90A62"/>
    <w:rsid w:val="00C91649"/>
    <w:rsid w:val="00C94E09"/>
    <w:rsid w:val="00C9559A"/>
    <w:rsid w:val="00C9608C"/>
    <w:rsid w:val="00CA1C51"/>
    <w:rsid w:val="00CA1DD8"/>
    <w:rsid w:val="00CA22CA"/>
    <w:rsid w:val="00CA29E9"/>
    <w:rsid w:val="00CA35C4"/>
    <w:rsid w:val="00CA3D13"/>
    <w:rsid w:val="00CA6D2B"/>
    <w:rsid w:val="00CB2601"/>
    <w:rsid w:val="00CB2C8B"/>
    <w:rsid w:val="00CB4C13"/>
    <w:rsid w:val="00CB51BF"/>
    <w:rsid w:val="00CB5928"/>
    <w:rsid w:val="00CC10C8"/>
    <w:rsid w:val="00CC1958"/>
    <w:rsid w:val="00CC4A49"/>
    <w:rsid w:val="00CC4D57"/>
    <w:rsid w:val="00CD303F"/>
    <w:rsid w:val="00CD4021"/>
    <w:rsid w:val="00CD42CC"/>
    <w:rsid w:val="00CD47A0"/>
    <w:rsid w:val="00CD498A"/>
    <w:rsid w:val="00CD7544"/>
    <w:rsid w:val="00CD7F31"/>
    <w:rsid w:val="00CE0A95"/>
    <w:rsid w:val="00CE3BCA"/>
    <w:rsid w:val="00CE3C2A"/>
    <w:rsid w:val="00CF065E"/>
    <w:rsid w:val="00CF1110"/>
    <w:rsid w:val="00CF487B"/>
    <w:rsid w:val="00CF725C"/>
    <w:rsid w:val="00D000A1"/>
    <w:rsid w:val="00D02874"/>
    <w:rsid w:val="00D03796"/>
    <w:rsid w:val="00D125BB"/>
    <w:rsid w:val="00D12A46"/>
    <w:rsid w:val="00D13503"/>
    <w:rsid w:val="00D13E5C"/>
    <w:rsid w:val="00D22630"/>
    <w:rsid w:val="00D22A61"/>
    <w:rsid w:val="00D260EC"/>
    <w:rsid w:val="00D2721E"/>
    <w:rsid w:val="00D31601"/>
    <w:rsid w:val="00D323A1"/>
    <w:rsid w:val="00D32681"/>
    <w:rsid w:val="00D33BC7"/>
    <w:rsid w:val="00D344BE"/>
    <w:rsid w:val="00D3545F"/>
    <w:rsid w:val="00D357F7"/>
    <w:rsid w:val="00D35C0E"/>
    <w:rsid w:val="00D37187"/>
    <w:rsid w:val="00D40DC3"/>
    <w:rsid w:val="00D40F04"/>
    <w:rsid w:val="00D4184B"/>
    <w:rsid w:val="00D432DD"/>
    <w:rsid w:val="00D454B6"/>
    <w:rsid w:val="00D45C1C"/>
    <w:rsid w:val="00D46240"/>
    <w:rsid w:val="00D470A9"/>
    <w:rsid w:val="00D500FE"/>
    <w:rsid w:val="00D52C8D"/>
    <w:rsid w:val="00D53CEC"/>
    <w:rsid w:val="00D55BEE"/>
    <w:rsid w:val="00D562E2"/>
    <w:rsid w:val="00D569BC"/>
    <w:rsid w:val="00D56F9C"/>
    <w:rsid w:val="00D57FEA"/>
    <w:rsid w:val="00D63ACC"/>
    <w:rsid w:val="00D65E15"/>
    <w:rsid w:val="00D6699B"/>
    <w:rsid w:val="00D67BB5"/>
    <w:rsid w:val="00D732B0"/>
    <w:rsid w:val="00D7536C"/>
    <w:rsid w:val="00D768F3"/>
    <w:rsid w:val="00D76A39"/>
    <w:rsid w:val="00D76B52"/>
    <w:rsid w:val="00D8031C"/>
    <w:rsid w:val="00D8129A"/>
    <w:rsid w:val="00D826EB"/>
    <w:rsid w:val="00D82B87"/>
    <w:rsid w:val="00D84553"/>
    <w:rsid w:val="00D86049"/>
    <w:rsid w:val="00D86452"/>
    <w:rsid w:val="00D86BC1"/>
    <w:rsid w:val="00D8792B"/>
    <w:rsid w:val="00D9161D"/>
    <w:rsid w:val="00D92B12"/>
    <w:rsid w:val="00D95AF7"/>
    <w:rsid w:val="00D95F23"/>
    <w:rsid w:val="00D96A5C"/>
    <w:rsid w:val="00D977B8"/>
    <w:rsid w:val="00D97CF3"/>
    <w:rsid w:val="00DA1BC3"/>
    <w:rsid w:val="00DA1C91"/>
    <w:rsid w:val="00DA4414"/>
    <w:rsid w:val="00DA5D8A"/>
    <w:rsid w:val="00DB26EB"/>
    <w:rsid w:val="00DB2C1C"/>
    <w:rsid w:val="00DB3551"/>
    <w:rsid w:val="00DB3BED"/>
    <w:rsid w:val="00DB4EBF"/>
    <w:rsid w:val="00DB54A8"/>
    <w:rsid w:val="00DB7E32"/>
    <w:rsid w:val="00DC45F2"/>
    <w:rsid w:val="00DC5DDC"/>
    <w:rsid w:val="00DC6CBD"/>
    <w:rsid w:val="00DC6CFB"/>
    <w:rsid w:val="00DD1319"/>
    <w:rsid w:val="00DD3A01"/>
    <w:rsid w:val="00DD6B07"/>
    <w:rsid w:val="00DD70EB"/>
    <w:rsid w:val="00DE128E"/>
    <w:rsid w:val="00DE17AC"/>
    <w:rsid w:val="00DE28C9"/>
    <w:rsid w:val="00DE55CA"/>
    <w:rsid w:val="00DE574F"/>
    <w:rsid w:val="00DE67E9"/>
    <w:rsid w:val="00DF428C"/>
    <w:rsid w:val="00E03A0B"/>
    <w:rsid w:val="00E03DE3"/>
    <w:rsid w:val="00E06064"/>
    <w:rsid w:val="00E071F8"/>
    <w:rsid w:val="00E1000B"/>
    <w:rsid w:val="00E118E3"/>
    <w:rsid w:val="00E13D2C"/>
    <w:rsid w:val="00E13DCA"/>
    <w:rsid w:val="00E15B54"/>
    <w:rsid w:val="00E17372"/>
    <w:rsid w:val="00E20BC3"/>
    <w:rsid w:val="00E215C4"/>
    <w:rsid w:val="00E21AF3"/>
    <w:rsid w:val="00E2281A"/>
    <w:rsid w:val="00E251FD"/>
    <w:rsid w:val="00E30535"/>
    <w:rsid w:val="00E314DD"/>
    <w:rsid w:val="00E35217"/>
    <w:rsid w:val="00E4007F"/>
    <w:rsid w:val="00E40C2D"/>
    <w:rsid w:val="00E42A29"/>
    <w:rsid w:val="00E45180"/>
    <w:rsid w:val="00E467F3"/>
    <w:rsid w:val="00E50E44"/>
    <w:rsid w:val="00E5292D"/>
    <w:rsid w:val="00E532AD"/>
    <w:rsid w:val="00E532C1"/>
    <w:rsid w:val="00E56DE5"/>
    <w:rsid w:val="00E575E2"/>
    <w:rsid w:val="00E57DB6"/>
    <w:rsid w:val="00E6158D"/>
    <w:rsid w:val="00E63257"/>
    <w:rsid w:val="00E65512"/>
    <w:rsid w:val="00E65E58"/>
    <w:rsid w:val="00E66865"/>
    <w:rsid w:val="00E67099"/>
    <w:rsid w:val="00E706F0"/>
    <w:rsid w:val="00E71F52"/>
    <w:rsid w:val="00E722E9"/>
    <w:rsid w:val="00E737C0"/>
    <w:rsid w:val="00E76558"/>
    <w:rsid w:val="00E80DE8"/>
    <w:rsid w:val="00E82301"/>
    <w:rsid w:val="00E8295C"/>
    <w:rsid w:val="00E83D9C"/>
    <w:rsid w:val="00E83EAD"/>
    <w:rsid w:val="00E851DF"/>
    <w:rsid w:val="00E878BC"/>
    <w:rsid w:val="00E91357"/>
    <w:rsid w:val="00E94016"/>
    <w:rsid w:val="00E95AF2"/>
    <w:rsid w:val="00EA111B"/>
    <w:rsid w:val="00EA1F48"/>
    <w:rsid w:val="00EA34CF"/>
    <w:rsid w:val="00EA6E3D"/>
    <w:rsid w:val="00EB013B"/>
    <w:rsid w:val="00EB092E"/>
    <w:rsid w:val="00EB098E"/>
    <w:rsid w:val="00EB1BAC"/>
    <w:rsid w:val="00EB2EAD"/>
    <w:rsid w:val="00EB39E1"/>
    <w:rsid w:val="00EB479A"/>
    <w:rsid w:val="00EB4B58"/>
    <w:rsid w:val="00EB7B59"/>
    <w:rsid w:val="00EC0C6F"/>
    <w:rsid w:val="00EC2B9B"/>
    <w:rsid w:val="00EC3CAE"/>
    <w:rsid w:val="00EC7CCE"/>
    <w:rsid w:val="00EC7FD3"/>
    <w:rsid w:val="00ED246C"/>
    <w:rsid w:val="00ED3625"/>
    <w:rsid w:val="00ED5182"/>
    <w:rsid w:val="00ED6C0E"/>
    <w:rsid w:val="00ED7AB3"/>
    <w:rsid w:val="00EE1211"/>
    <w:rsid w:val="00EE17B3"/>
    <w:rsid w:val="00EE19BA"/>
    <w:rsid w:val="00EE307A"/>
    <w:rsid w:val="00EE3344"/>
    <w:rsid w:val="00EE7777"/>
    <w:rsid w:val="00EF1221"/>
    <w:rsid w:val="00EF2189"/>
    <w:rsid w:val="00EF422F"/>
    <w:rsid w:val="00EF42E2"/>
    <w:rsid w:val="00EF6324"/>
    <w:rsid w:val="00EF6878"/>
    <w:rsid w:val="00EF7430"/>
    <w:rsid w:val="00F00411"/>
    <w:rsid w:val="00F02F01"/>
    <w:rsid w:val="00F046C7"/>
    <w:rsid w:val="00F04DC4"/>
    <w:rsid w:val="00F067C0"/>
    <w:rsid w:val="00F10316"/>
    <w:rsid w:val="00F117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574E"/>
    <w:rsid w:val="00F50EB0"/>
    <w:rsid w:val="00F51790"/>
    <w:rsid w:val="00F52790"/>
    <w:rsid w:val="00F52B08"/>
    <w:rsid w:val="00F52BB3"/>
    <w:rsid w:val="00F53145"/>
    <w:rsid w:val="00F53844"/>
    <w:rsid w:val="00F53A33"/>
    <w:rsid w:val="00F600F1"/>
    <w:rsid w:val="00F64998"/>
    <w:rsid w:val="00F71477"/>
    <w:rsid w:val="00F73FC2"/>
    <w:rsid w:val="00F7744B"/>
    <w:rsid w:val="00F841E6"/>
    <w:rsid w:val="00F91BF5"/>
    <w:rsid w:val="00F928A5"/>
    <w:rsid w:val="00F93855"/>
    <w:rsid w:val="00F978E6"/>
    <w:rsid w:val="00FA26D6"/>
    <w:rsid w:val="00FA4522"/>
    <w:rsid w:val="00FA58B9"/>
    <w:rsid w:val="00FA7536"/>
    <w:rsid w:val="00FB1387"/>
    <w:rsid w:val="00FB1C4D"/>
    <w:rsid w:val="00FB1E17"/>
    <w:rsid w:val="00FB4C0B"/>
    <w:rsid w:val="00FB6667"/>
    <w:rsid w:val="00FB7C7C"/>
    <w:rsid w:val="00FC04B3"/>
    <w:rsid w:val="00FC0E77"/>
    <w:rsid w:val="00FC20CD"/>
    <w:rsid w:val="00FC5ECF"/>
    <w:rsid w:val="00FC7DD3"/>
    <w:rsid w:val="00FD29EB"/>
    <w:rsid w:val="00FD308D"/>
    <w:rsid w:val="00FD710B"/>
    <w:rsid w:val="00FE4D5D"/>
    <w:rsid w:val="00FE5BED"/>
    <w:rsid w:val="00FE6362"/>
    <w:rsid w:val="00FE6B48"/>
    <w:rsid w:val="00FF0F18"/>
    <w:rsid w:val="00FF3768"/>
    <w:rsid w:val="00FF3D6D"/>
    <w:rsid w:val="00FF5227"/>
    <w:rsid w:val="00FF5DBB"/>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9361a4848ac725140a62cde361257e5c">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f5724e2857eac49c12896fc581a2baf0"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3.xml><?xml version="1.0" encoding="utf-8"?>
<ds:datastoreItem xmlns:ds="http://schemas.openxmlformats.org/officeDocument/2006/customXml" ds:itemID="{3A4FE89E-A075-4933-8F6F-B11D840F3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1C780E-3D08-4B0A-8821-488CAE882A12}">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9862</ap:Words>
  <ap:Characters>56215</ap:Characters>
  <ap:Application>Microsoft Office Word</ap:Application>
  <ap:DocSecurity>0</ap:DocSecurity>
  <ap:Lines>468</ap:Lines>
  <ap:Paragraphs>131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65946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2026-08-19T12:16:41Z</dcterms:created>
  <dcterms:modified xsi:type="dcterms:W3CDTF">2026-08-19T12:16:41Z</dcterms:modified>
</cp:coreProperties>
</file>