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320" w:rsidP="00991E3C" w:rsidRDefault="00CF2E14" w14:paraId="326327C5" w14:textId="2AF92DFD">
      <w:pPr>
        <w:tabs>
          <w:tab w:val="right" w:pos="9360"/>
        </w:tabs>
        <w:spacing w:line="240" w:lineRule="auto"/>
        <w:ind w:firstLine="0"/>
      </w:pPr>
      <w:r>
        <w:t>ALJ/ADW/nd3</w:t>
      </w:r>
      <w:r w:rsidR="00991E3C">
        <w:tab/>
      </w:r>
      <w:r w:rsidRPr="00991E3C" w:rsidR="00991E3C">
        <w:rPr>
          <w:b/>
          <w:bCs/>
        </w:rPr>
        <w:t>Date of Issuance 8/20/2026</w:t>
      </w:r>
    </w:p>
    <w:p w:rsidR="00CF2E14" w:rsidP="00CF2E14" w:rsidRDefault="00CF2E14" w14:paraId="1E54B26F" w14:textId="77777777">
      <w:pPr>
        <w:spacing w:line="240" w:lineRule="auto"/>
        <w:ind w:firstLine="0"/>
      </w:pPr>
    </w:p>
    <w:p w:rsidR="00991E3C" w:rsidP="00CF2E14" w:rsidRDefault="00991E3C" w14:paraId="35132042" w14:textId="7B71BFFE">
      <w:pPr>
        <w:spacing w:line="240" w:lineRule="auto"/>
        <w:ind w:firstLine="0"/>
      </w:pPr>
    </w:p>
    <w:p w:rsidR="00991E3C" w:rsidP="00CF2E14" w:rsidRDefault="00991E3C" w14:paraId="78F35A57" w14:textId="2922D419">
      <w:pPr>
        <w:spacing w:line="240" w:lineRule="auto"/>
        <w:ind w:firstLine="0"/>
      </w:pPr>
      <w:r>
        <w:t xml:space="preserve">Decision </w:t>
      </w:r>
      <w:r w:rsidRPr="004B7CA7">
        <w:t>26-08-010</w:t>
      </w:r>
      <w:r w:rsidR="000400B7">
        <w:t xml:space="preserve">  </w:t>
      </w:r>
      <w:r w:rsidRPr="000400B7" w:rsidR="000400B7">
        <w:t>August 13, 2026</w:t>
      </w:r>
    </w:p>
    <w:p w:rsidR="00CF2E14" w:rsidP="00CF2E14" w:rsidRDefault="00CF2E14" w14:paraId="6F13FD39" w14:textId="77777777">
      <w:pPr>
        <w:spacing w:line="240" w:lineRule="auto"/>
        <w:ind w:firstLine="0"/>
        <w:rPr>
          <w:u w:val="single"/>
        </w:rPr>
      </w:pPr>
    </w:p>
    <w:p w:rsidR="00991E3C" w:rsidP="00CF2E14" w:rsidRDefault="00991E3C" w14:paraId="4900C3F4" w14:textId="77777777">
      <w:pPr>
        <w:spacing w:line="240" w:lineRule="auto"/>
        <w:ind w:firstLine="0"/>
        <w:rPr>
          <w:u w:val="single"/>
        </w:rPr>
      </w:pPr>
    </w:p>
    <w:p w:rsidR="00B71D85" w:rsidP="008E2220" w:rsidRDefault="00B71D85" w14:paraId="207A4B11" w14:textId="77777777">
      <w:pPr>
        <w:spacing w:line="240" w:lineRule="auto"/>
        <w:ind w:firstLine="0"/>
        <w:jc w:val="both"/>
        <w:rPr>
          <w:rFonts w:ascii="Arial" w:hAnsi="Arial" w:cs="Arial"/>
          <w:sz w:val="24"/>
          <w:szCs w:val="24"/>
        </w:rPr>
      </w:pPr>
      <w:r w:rsidRPr="00DA7B5D">
        <w:rPr>
          <w:rFonts w:ascii="Arial" w:hAnsi="Arial" w:cs="Arial"/>
          <w:b/>
          <w:sz w:val="24"/>
          <w:szCs w:val="24"/>
        </w:rPr>
        <w:t>BEFORE THE PUBLIC UTILITIES COMMISSION OF THE STATE OF CALIFORNIA</w:t>
      </w:r>
    </w:p>
    <w:p w:rsidR="00B71D85" w:rsidP="008E2220" w:rsidRDefault="00B71D85" w14:paraId="0E9E7FB4" w14:textId="77777777">
      <w:pPr>
        <w:spacing w:line="240" w:lineRule="auto"/>
        <w:ind w:firstLine="0"/>
        <w:jc w:val="both"/>
        <w:rPr>
          <w:rFonts w:ascii="Arial" w:hAnsi="Arial" w:cs="Arial"/>
          <w:sz w:val="24"/>
          <w:szCs w:val="24"/>
        </w:rPr>
      </w:pPr>
    </w:p>
    <w:tbl>
      <w:tblPr>
        <w:tblStyle w:val="TableGrid"/>
        <w:tblW w:w="9360" w:type="dxa"/>
        <w:tblLayout w:type="fixed"/>
        <w:tblLook w:val="04A0" w:firstRow="1" w:lastRow="0" w:firstColumn="1" w:lastColumn="0" w:noHBand="0" w:noVBand="1"/>
      </w:tblPr>
      <w:tblGrid>
        <w:gridCol w:w="4680"/>
        <w:gridCol w:w="4680"/>
      </w:tblGrid>
      <w:tr w:rsidR="00B71D85" w:rsidTr="00CF2E14" w14:paraId="7F66E8EB" w14:textId="77777777">
        <w:tc>
          <w:tcPr>
            <w:tcW w:w="4680" w:type="dxa"/>
            <w:tcBorders>
              <w:top w:val="nil"/>
              <w:left w:val="nil"/>
              <w:bottom w:val="single" w:color="auto" w:sz="4" w:space="0"/>
              <w:right w:val="single" w:color="auto" w:sz="4" w:space="0"/>
            </w:tcBorders>
          </w:tcPr>
          <w:p w:rsidR="00CF2E14" w:rsidP="00CF2E14" w:rsidRDefault="00092FD4" w14:paraId="62569230" w14:textId="77777777">
            <w:pPr>
              <w:spacing w:line="240" w:lineRule="auto"/>
              <w:ind w:firstLine="0"/>
              <w:rPr>
                <w:rFonts w:cs="Arial"/>
                <w:szCs w:val="26"/>
              </w:rPr>
            </w:pPr>
            <w:r w:rsidRPr="00092FD4">
              <w:rPr>
                <w:rFonts w:cs="Arial"/>
                <w:szCs w:val="26"/>
              </w:rPr>
              <w:t>Laura Zellman,</w:t>
            </w:r>
          </w:p>
          <w:p w:rsidR="00CF2E14" w:rsidP="00CF2E14" w:rsidRDefault="00CF2E14" w14:paraId="7D1C846A" w14:textId="77777777">
            <w:pPr>
              <w:spacing w:line="240" w:lineRule="auto"/>
              <w:ind w:firstLine="0"/>
              <w:rPr>
                <w:rFonts w:cs="Arial"/>
                <w:szCs w:val="26"/>
              </w:rPr>
            </w:pPr>
          </w:p>
          <w:p w:rsidR="00CF2E14" w:rsidP="00CF2E14" w:rsidRDefault="00092FD4" w14:paraId="3F711241" w14:textId="77777777">
            <w:pPr>
              <w:spacing w:line="240" w:lineRule="auto"/>
              <w:ind w:right="144" w:firstLine="0"/>
              <w:jc w:val="right"/>
              <w:rPr>
                <w:rFonts w:cs="Arial"/>
                <w:szCs w:val="26"/>
              </w:rPr>
            </w:pPr>
            <w:r w:rsidRPr="00092FD4">
              <w:rPr>
                <w:rFonts w:cs="Arial"/>
                <w:szCs w:val="26"/>
              </w:rPr>
              <w:t>Complainant</w:t>
            </w:r>
            <w:r w:rsidR="00CF2E14">
              <w:rPr>
                <w:rFonts w:cs="Arial"/>
                <w:szCs w:val="26"/>
              </w:rPr>
              <w:t>,</w:t>
            </w:r>
          </w:p>
          <w:p w:rsidR="00CF2E14" w:rsidP="00CF2E14" w:rsidRDefault="00CF2E14" w14:paraId="0286AB12" w14:textId="77777777">
            <w:pPr>
              <w:spacing w:line="240" w:lineRule="auto"/>
              <w:ind w:firstLine="0"/>
              <w:rPr>
                <w:rFonts w:cs="Arial"/>
                <w:szCs w:val="26"/>
              </w:rPr>
            </w:pPr>
          </w:p>
          <w:p w:rsidR="00CF2E14" w:rsidP="00CF2E14" w:rsidRDefault="00092FD4" w14:paraId="541D5768" w14:textId="77777777">
            <w:pPr>
              <w:spacing w:line="240" w:lineRule="auto"/>
              <w:ind w:left="1800" w:firstLine="0"/>
              <w:rPr>
                <w:rFonts w:cs="Arial"/>
                <w:szCs w:val="26"/>
              </w:rPr>
            </w:pPr>
            <w:r w:rsidRPr="00092FD4">
              <w:rPr>
                <w:rFonts w:cs="Arial"/>
                <w:szCs w:val="26"/>
              </w:rPr>
              <w:t>vs</w:t>
            </w:r>
            <w:r w:rsidR="00CF2E14">
              <w:rPr>
                <w:rFonts w:cs="Arial"/>
                <w:szCs w:val="26"/>
              </w:rPr>
              <w:t>.</w:t>
            </w:r>
          </w:p>
          <w:p w:rsidR="00CF2E14" w:rsidP="00CF2E14" w:rsidRDefault="00CF2E14" w14:paraId="48D2D778" w14:textId="77777777">
            <w:pPr>
              <w:spacing w:line="240" w:lineRule="auto"/>
              <w:ind w:firstLine="0"/>
              <w:rPr>
                <w:rFonts w:cs="Arial"/>
                <w:szCs w:val="26"/>
              </w:rPr>
            </w:pPr>
          </w:p>
          <w:p w:rsidR="00CF2E14" w:rsidP="00CF2E14" w:rsidRDefault="00092FD4" w14:paraId="35F9A1C0" w14:textId="77777777">
            <w:pPr>
              <w:spacing w:line="240" w:lineRule="auto"/>
              <w:ind w:firstLine="0"/>
              <w:rPr>
                <w:rFonts w:cs="Arial"/>
                <w:szCs w:val="26"/>
              </w:rPr>
            </w:pPr>
            <w:r w:rsidRPr="00092FD4">
              <w:rPr>
                <w:rFonts w:cs="Arial"/>
                <w:szCs w:val="26"/>
              </w:rPr>
              <w:t>Pacific Gas and Electric Company (U39E),</w:t>
            </w:r>
          </w:p>
          <w:p w:rsidR="00CF2E14" w:rsidP="00CF2E14" w:rsidRDefault="00CF2E14" w14:paraId="741A2E9E" w14:textId="77777777">
            <w:pPr>
              <w:spacing w:line="240" w:lineRule="auto"/>
              <w:ind w:firstLine="0"/>
              <w:rPr>
                <w:rFonts w:cs="Arial"/>
                <w:szCs w:val="26"/>
              </w:rPr>
            </w:pPr>
          </w:p>
          <w:p w:rsidR="00B71D85" w:rsidP="00CF2E14" w:rsidRDefault="00092FD4" w14:paraId="5EF5B8CB" w14:textId="44BF25CE">
            <w:pPr>
              <w:spacing w:line="240" w:lineRule="auto"/>
              <w:ind w:right="144" w:firstLine="0"/>
              <w:jc w:val="right"/>
              <w:rPr>
                <w:rFonts w:cs="Arial"/>
                <w:szCs w:val="26"/>
              </w:rPr>
            </w:pPr>
            <w:r w:rsidRPr="00092FD4">
              <w:rPr>
                <w:rFonts w:cs="Arial"/>
                <w:szCs w:val="26"/>
              </w:rPr>
              <w:t>Defendant.</w:t>
            </w:r>
          </w:p>
          <w:p w:rsidRPr="00DA7B5D" w:rsidR="00092FD4" w:rsidP="008E2220" w:rsidRDefault="00092FD4" w14:paraId="58098FC6" w14:textId="315BF331">
            <w:pPr>
              <w:spacing w:line="240" w:lineRule="auto"/>
              <w:ind w:firstLine="0"/>
              <w:jc w:val="both"/>
              <w:rPr>
                <w:rFonts w:cs="Arial"/>
                <w:szCs w:val="26"/>
              </w:rPr>
            </w:pPr>
          </w:p>
        </w:tc>
        <w:tc>
          <w:tcPr>
            <w:tcW w:w="4680" w:type="dxa"/>
            <w:tcBorders>
              <w:top w:val="nil"/>
              <w:left w:val="single" w:color="auto" w:sz="4" w:space="0"/>
              <w:bottom w:val="nil"/>
              <w:right w:val="nil"/>
            </w:tcBorders>
            <w:vAlign w:val="center"/>
          </w:tcPr>
          <w:p w:rsidR="00092FD4" w:rsidP="00092FD4" w:rsidRDefault="00092FD4" w14:paraId="3DFE7B7E" w14:textId="66D463CB">
            <w:pPr>
              <w:spacing w:line="240" w:lineRule="auto"/>
              <w:ind w:firstLine="0"/>
              <w:jc w:val="center"/>
              <w:rPr>
                <w:rFonts w:cs="Arial"/>
                <w:szCs w:val="26"/>
              </w:rPr>
            </w:pPr>
            <w:r w:rsidRPr="00092FD4">
              <w:rPr>
                <w:rFonts w:cs="Arial"/>
                <w:szCs w:val="26"/>
              </w:rPr>
              <w:t>(ECP)</w:t>
            </w:r>
          </w:p>
          <w:p w:rsidRPr="00DA7B5D" w:rsidR="00B71D85" w:rsidP="00092FD4" w:rsidRDefault="0071346D" w14:paraId="2B79EC31" w14:textId="063E45D0">
            <w:pPr>
              <w:spacing w:line="240" w:lineRule="auto"/>
              <w:ind w:firstLine="0"/>
              <w:jc w:val="center"/>
              <w:rPr>
                <w:rFonts w:cs="Arial"/>
                <w:szCs w:val="26"/>
              </w:rPr>
            </w:pPr>
            <w:r>
              <w:rPr>
                <w:rFonts w:cs="Arial"/>
                <w:szCs w:val="26"/>
              </w:rPr>
              <w:t>Complaint 25</w:t>
            </w:r>
            <w:r w:rsidR="00D70AC9">
              <w:rPr>
                <w:rFonts w:cs="Arial"/>
                <w:szCs w:val="26"/>
              </w:rPr>
              <w:noBreakHyphen/>
            </w:r>
            <w:r>
              <w:rPr>
                <w:rFonts w:cs="Arial"/>
                <w:szCs w:val="26"/>
              </w:rPr>
              <w:t>12</w:t>
            </w:r>
            <w:r w:rsidR="00D70AC9">
              <w:rPr>
                <w:rFonts w:cs="Arial"/>
                <w:szCs w:val="26"/>
              </w:rPr>
              <w:noBreakHyphen/>
            </w:r>
            <w:r>
              <w:rPr>
                <w:rFonts w:cs="Arial"/>
                <w:szCs w:val="26"/>
              </w:rPr>
              <w:t>011</w:t>
            </w:r>
          </w:p>
        </w:tc>
      </w:tr>
    </w:tbl>
    <w:p w:rsidR="00DA7B5D" w:rsidP="008E2220" w:rsidRDefault="00DA7B5D" w14:paraId="2A027D67" w14:textId="77777777">
      <w:pPr>
        <w:spacing w:line="240" w:lineRule="auto"/>
        <w:ind w:firstLine="0"/>
        <w:jc w:val="both"/>
        <w:rPr>
          <w:rFonts w:ascii="Arial" w:hAnsi="Arial" w:cs="Arial"/>
          <w:sz w:val="24"/>
          <w:szCs w:val="24"/>
        </w:rPr>
      </w:pPr>
    </w:p>
    <w:p w:rsidR="00DA7B5D" w:rsidP="008E2220" w:rsidRDefault="00DA7B5D" w14:paraId="3C919FFA" w14:textId="77777777">
      <w:pPr>
        <w:spacing w:line="240" w:lineRule="auto"/>
        <w:ind w:firstLine="0"/>
        <w:jc w:val="both"/>
        <w:rPr>
          <w:rFonts w:ascii="Arial" w:hAnsi="Arial" w:cs="Arial"/>
          <w:sz w:val="24"/>
          <w:szCs w:val="24"/>
        </w:rPr>
      </w:pPr>
    </w:p>
    <w:p w:rsidR="001909D8" w:rsidP="00AF5F16" w:rsidRDefault="001909D8" w14:paraId="6275EFFE" w14:textId="081130FE">
      <w:pPr>
        <w:pStyle w:val="Main"/>
      </w:pPr>
      <w:r w:rsidRPr="006B301A">
        <w:t>DECISION</w:t>
      </w:r>
      <w:r>
        <w:t xml:space="preserve"> DISMISSING COMPLAINT</w:t>
      </w:r>
    </w:p>
    <w:p w:rsidRPr="00AF5F16" w:rsidR="00AF5F16" w:rsidP="00AF5F16" w:rsidRDefault="00AF5F16" w14:paraId="218986A9" w14:textId="77777777">
      <w:pPr>
        <w:pStyle w:val="Main"/>
      </w:pPr>
    </w:p>
    <w:p w:rsidR="005A148C" w:rsidP="008E2220" w:rsidRDefault="005A148C" w14:paraId="7EEB46F2" w14:textId="77777777">
      <w:pPr>
        <w:pStyle w:val="Dummy"/>
        <w:jc w:val="both"/>
      </w:pPr>
      <w:bookmarkStart w:name="_Toc8123714" w:id="0"/>
      <w:bookmarkStart w:name="_Toc232674692" w:id="1"/>
      <w:r>
        <w:t>Summary</w:t>
      </w:r>
      <w:bookmarkEnd w:id="0"/>
      <w:bookmarkEnd w:id="1"/>
    </w:p>
    <w:p w:rsidR="002C7FE9" w:rsidP="006F1A0A" w:rsidRDefault="00774CE0" w14:paraId="60BEABE6" w14:textId="0EEF4FFF">
      <w:pPr>
        <w:pStyle w:val="Standard"/>
      </w:pPr>
      <w:r>
        <w:t xml:space="preserve">This decision </w:t>
      </w:r>
      <w:r w:rsidR="00022A76">
        <w:t xml:space="preserve">denies </w:t>
      </w:r>
      <w:r w:rsidR="00762F0D">
        <w:t xml:space="preserve">the Complainant’s remaining requests for relief </w:t>
      </w:r>
      <w:r w:rsidR="00022A76">
        <w:t xml:space="preserve">and </w:t>
      </w:r>
      <w:r>
        <w:t xml:space="preserve">dismisses </w:t>
      </w:r>
      <w:r w:rsidRPr="006F1A0A">
        <w:t>complaint</w:t>
      </w:r>
      <w:r>
        <w:t xml:space="preserve"> </w:t>
      </w:r>
      <w:r w:rsidR="00643671">
        <w:t>Case </w:t>
      </w:r>
      <w:r w:rsidRPr="002E497B">
        <w:t>2</w:t>
      </w:r>
      <w:r>
        <w:t>5</w:t>
      </w:r>
      <w:r w:rsidR="00D70AC9">
        <w:noBreakHyphen/>
      </w:r>
      <w:r>
        <w:t>12</w:t>
      </w:r>
      <w:r w:rsidR="00D70AC9">
        <w:noBreakHyphen/>
      </w:r>
      <w:r>
        <w:t>011</w:t>
      </w:r>
      <w:r w:rsidR="00762F0D">
        <w:t xml:space="preserve"> as moot</w:t>
      </w:r>
      <w:r>
        <w:t>. This proceeding is closed</w:t>
      </w:r>
      <w:r w:rsidR="002C7FE9">
        <w:t>.</w:t>
      </w:r>
    </w:p>
    <w:p w:rsidR="005A148C" w:rsidP="006C0F00" w:rsidRDefault="00F738CF" w14:paraId="0DD593D7" w14:textId="603C2F02">
      <w:pPr>
        <w:pStyle w:val="Heading1"/>
      </w:pPr>
      <w:bookmarkStart w:name="_Toc8123715" w:id="2"/>
      <w:bookmarkStart w:name="_Toc232674693" w:id="3"/>
      <w:r>
        <w:t xml:space="preserve">Factual and Procedural </w:t>
      </w:r>
      <w:r w:rsidRPr="00121089" w:rsidR="002C7FE9">
        <w:t>Background</w:t>
      </w:r>
      <w:bookmarkEnd w:id="2"/>
      <w:bookmarkEnd w:id="3"/>
    </w:p>
    <w:p w:rsidR="00852AB1" w:rsidP="006D6D53" w:rsidRDefault="00852AB1" w14:paraId="06BF5557" w14:textId="0CC0758F">
      <w:pPr>
        <w:pStyle w:val="Standard"/>
      </w:pPr>
      <w:r w:rsidRPr="00FE397F">
        <w:t xml:space="preserve">On </w:t>
      </w:r>
      <w:r w:rsidR="00640DF8">
        <w:t>December </w:t>
      </w:r>
      <w:r>
        <w:t>16, 2025, Laura Zellman (</w:t>
      </w:r>
      <w:r w:rsidR="00640DF8">
        <w:t xml:space="preserve">the </w:t>
      </w:r>
      <w:r>
        <w:t>Complainant) filed a complaint alleging the following:</w:t>
      </w:r>
    </w:p>
    <w:p w:rsidR="00852AB1" w:rsidP="00F20AFD" w:rsidRDefault="00745CD9" w14:paraId="75398DBE" w14:textId="058A5DC5">
      <w:pPr>
        <w:pStyle w:val="BlockQuoteH025"/>
        <w:numPr>
          <w:ilvl w:val="0"/>
          <w:numId w:val="19"/>
        </w:numPr>
        <w:ind w:left="1080"/>
      </w:pPr>
      <w:r>
        <w:t>When the Complainant contacted Pacific Gas and Electric Company (PG&amp;E) to initiate new electric service at the Complainant</w:t>
      </w:r>
      <w:r w:rsidR="00640DF8">
        <w:t>’</w:t>
      </w:r>
      <w:r>
        <w:t xml:space="preserve">s residence, the customer service agent failed to proactively inquire whether the Complainant owned an electric vehicle. Because the agent did not ask whether the Complainant owned an electric vehicle, the Complainant alleges that the agent recommended that the Complainant enroll in the E1 Residential Rate even though </w:t>
      </w:r>
      <w:r w:rsidR="0046172A">
        <w:t>Rate </w:t>
      </w:r>
      <w:r>
        <w:t>EV2</w:t>
      </w:r>
      <w:r w:rsidR="00D70AC9">
        <w:noBreakHyphen/>
      </w:r>
      <w:r>
        <w:t xml:space="preserve">A </w:t>
      </w:r>
      <w:r>
        <w:lastRenderedPageBreak/>
        <w:t xml:space="preserve">would have resulted in lower bills for the Complainant. Accordingly, the Complainant enrolled in the E1 Residential Rate from </w:t>
      </w:r>
      <w:r w:rsidR="00640DF8">
        <w:t>September </w:t>
      </w:r>
      <w:r>
        <w:t xml:space="preserve">16, 2025, to </w:t>
      </w:r>
      <w:r w:rsidR="00640DF8">
        <w:t>October </w:t>
      </w:r>
      <w:r>
        <w:t>27, 2025.</w:t>
      </w:r>
    </w:p>
    <w:p w:rsidR="00852AB1" w:rsidP="00F20AFD" w:rsidRDefault="003211F6" w14:paraId="3BFFB97F" w14:textId="1E783094">
      <w:pPr>
        <w:pStyle w:val="BlockQuoteH025"/>
        <w:numPr>
          <w:ilvl w:val="0"/>
          <w:numId w:val="19"/>
        </w:numPr>
        <w:ind w:left="1080"/>
      </w:pPr>
      <w:r>
        <w:t xml:space="preserve">The Complainant suffered financial harm because, while enrolled in the E1 Residential Rate, their bills were higher than they would have been under </w:t>
      </w:r>
      <w:r w:rsidR="0046172A">
        <w:t>Rate </w:t>
      </w:r>
      <w:r>
        <w:t>EV2</w:t>
      </w:r>
      <w:r w:rsidR="00D70AC9">
        <w:noBreakHyphen/>
      </w:r>
      <w:r>
        <w:t>A.</w:t>
      </w:r>
    </w:p>
    <w:p w:rsidR="00852AB1" w:rsidP="00F20AFD" w:rsidRDefault="0015107C" w14:paraId="5C7C0032" w14:textId="68CF0A5E">
      <w:pPr>
        <w:pStyle w:val="BlockQuoteH025"/>
        <w:numPr>
          <w:ilvl w:val="0"/>
          <w:numId w:val="19"/>
        </w:numPr>
        <w:ind w:left="1080"/>
      </w:pPr>
      <w:r>
        <w:t>PG&amp;E</w:t>
      </w:r>
      <w:r w:rsidR="00640DF8">
        <w:t>’</w:t>
      </w:r>
      <w:r>
        <w:t>s process for handling new service requests is flawed because it does not require customer service agents to ask whether a new customer owns an EV.</w:t>
      </w:r>
    </w:p>
    <w:p w:rsidR="00852AB1" w:rsidP="00F20AFD" w:rsidRDefault="0015107C" w14:paraId="1C206DCF" w14:textId="22604437">
      <w:pPr>
        <w:pStyle w:val="BlockQuoteH025"/>
        <w:numPr>
          <w:ilvl w:val="0"/>
          <w:numId w:val="19"/>
        </w:numPr>
        <w:ind w:left="1080"/>
      </w:pPr>
      <w:r>
        <w:t>The Commission</w:t>
      </w:r>
      <w:r w:rsidR="00640DF8">
        <w:t>’</w:t>
      </w:r>
      <w:r>
        <w:t>s Consumer Affairs Branch inappropriately denied an informal complaint filed by the Complainant regarding the above topics and erred by refusing to compel PG&amp;E to provide a recording of the call between the Complainant and the PG&amp;E customer service agent.</w:t>
      </w:r>
    </w:p>
    <w:p w:rsidR="00643671" w:rsidP="006F1A0A" w:rsidRDefault="00852AB1" w14:paraId="4793F7C6" w14:textId="50662C8C">
      <w:pPr>
        <w:pStyle w:val="Standard"/>
      </w:pPr>
      <w:r>
        <w:t xml:space="preserve">On </w:t>
      </w:r>
      <w:r w:rsidR="00640DF8">
        <w:t>January </w:t>
      </w:r>
      <w:r>
        <w:t xml:space="preserve">13, 2026, the Commission issued an Instruction to Answer to PG&amp;E and scheduled an ECP Hearing for </w:t>
      </w:r>
      <w:r w:rsidR="00640DF8">
        <w:t>February </w:t>
      </w:r>
      <w:r>
        <w:t>5, 2026.</w:t>
      </w:r>
    </w:p>
    <w:p w:rsidR="00852AB1" w:rsidP="006F1A0A" w:rsidRDefault="00701C5F" w14:paraId="53FBC0D7" w14:textId="1FC3FD5B">
      <w:pPr>
        <w:pStyle w:val="Standard"/>
      </w:pPr>
      <w:r>
        <w:t xml:space="preserve">On </w:t>
      </w:r>
      <w:r w:rsidR="00640DF8">
        <w:t>January </w:t>
      </w:r>
      <w:r>
        <w:t>14, 2026, the Complainant filed a motion requesting that the Commission</w:t>
      </w:r>
      <w:r w:rsidR="00412E95">
        <w:t>:</w:t>
      </w:r>
      <w:r>
        <w:t xml:space="preserve"> (1)</w:t>
      </w:r>
      <w:r w:rsidR="00412E95">
        <w:t> </w:t>
      </w:r>
      <w:r>
        <w:t>compel PG&amp;E to produce certain information related to the complaint</w:t>
      </w:r>
      <w:r w:rsidR="00412E95">
        <w:t>;</w:t>
      </w:r>
      <w:r>
        <w:t xml:space="preserve"> and (2)</w:t>
      </w:r>
      <w:r w:rsidR="00412E95">
        <w:t> </w:t>
      </w:r>
      <w:r>
        <w:t>postpone the expedited complaint procedure (ECP) hearing until mid</w:t>
      </w:r>
      <w:r w:rsidR="00D70AC9">
        <w:noBreakHyphen/>
      </w:r>
      <w:r>
        <w:t xml:space="preserve">March 2027. On the same day, the assigned </w:t>
      </w:r>
      <w:r w:rsidR="00234AC2">
        <w:t>Administrative Law Judge (</w:t>
      </w:r>
      <w:r>
        <w:t>ALJ</w:t>
      </w:r>
      <w:r w:rsidR="00234AC2">
        <w:t>)</w:t>
      </w:r>
      <w:r>
        <w:t xml:space="preserve"> issued a ruling denying the Complainant</w:t>
      </w:r>
      <w:r w:rsidR="00640DF8">
        <w:t>’</w:t>
      </w:r>
      <w:r>
        <w:t>s motion.</w:t>
      </w:r>
    </w:p>
    <w:p w:rsidR="00643671" w:rsidP="006F1A0A" w:rsidRDefault="00ED67A4" w14:paraId="05D6953B" w14:textId="60E5BA72">
      <w:pPr>
        <w:pStyle w:val="Standard"/>
      </w:pPr>
      <w:r>
        <w:t xml:space="preserve">On </w:t>
      </w:r>
      <w:r w:rsidR="00640DF8">
        <w:t>February </w:t>
      </w:r>
      <w:r>
        <w:t>2, 2026, the Complainant filed a motion again requesting that the Commission stay the ECP Hearing, reclassify the instant complaint from an expedited complaint to a regular complaint, schedule a prehearing conference, and compel PG&amp;E to produce certain information related to the complaint.</w:t>
      </w:r>
    </w:p>
    <w:p w:rsidR="00852AB1" w:rsidP="006F1A0A" w:rsidRDefault="00891F08" w14:paraId="3B995EE4" w14:textId="605B4CAF">
      <w:pPr>
        <w:pStyle w:val="Standard"/>
      </w:pPr>
      <w:r>
        <w:t xml:space="preserve">Also on </w:t>
      </w:r>
      <w:r w:rsidR="00640DF8">
        <w:t>February </w:t>
      </w:r>
      <w:r>
        <w:t>2, 2026, PG&amp;E filed its answer to the complaint. PG&amp;E</w:t>
      </w:r>
      <w:r w:rsidR="00640DF8">
        <w:t>’</w:t>
      </w:r>
      <w:r>
        <w:t>s answer states that, at the Complainant</w:t>
      </w:r>
      <w:r w:rsidR="00640DF8">
        <w:t>’</w:t>
      </w:r>
      <w:r>
        <w:t>s request, PG&amp;E</w:t>
      </w:r>
      <w:r w:rsidR="00D95ABA">
        <w:t>:</w:t>
      </w:r>
      <w:r>
        <w:t xml:space="preserve"> (1)</w:t>
      </w:r>
      <w:r w:rsidR="00D95ABA">
        <w:t> </w:t>
      </w:r>
      <w:r>
        <w:t xml:space="preserve">switched the Complainant to </w:t>
      </w:r>
      <w:r w:rsidR="0046172A">
        <w:t>Rate </w:t>
      </w:r>
      <w:r>
        <w:t>EV2</w:t>
      </w:r>
      <w:r w:rsidR="00D70AC9">
        <w:noBreakHyphen/>
      </w:r>
      <w:r>
        <w:t>A</w:t>
      </w:r>
      <w:r w:rsidR="00D95ABA">
        <w:t>;</w:t>
      </w:r>
      <w:r>
        <w:t xml:space="preserve"> (2)</w:t>
      </w:r>
      <w:r w:rsidR="00D95ABA">
        <w:t> </w:t>
      </w:r>
      <w:r>
        <w:t xml:space="preserve">refunded the Complainant for the difference </w:t>
      </w:r>
      <w:r>
        <w:lastRenderedPageBreak/>
        <w:t xml:space="preserve">between her actual bills under the R1 Residential Rate and what her bills would have been under </w:t>
      </w:r>
      <w:r w:rsidR="0046172A">
        <w:t>Rate </w:t>
      </w:r>
      <w:r>
        <w:t>EV2</w:t>
      </w:r>
      <w:r w:rsidR="00D70AC9">
        <w:noBreakHyphen/>
      </w:r>
      <w:r>
        <w:t>A</w:t>
      </w:r>
      <w:r w:rsidR="00D95ABA">
        <w:t>;</w:t>
      </w:r>
      <w:r>
        <w:t xml:space="preserve"> and (3)</w:t>
      </w:r>
      <w:r w:rsidR="000B38B1">
        <w:t> </w:t>
      </w:r>
      <w:r>
        <w:t>applied a $200 Customer Satisfaction Credit to the Complainant</w:t>
      </w:r>
      <w:r w:rsidR="00640DF8">
        <w:t>’</w:t>
      </w:r>
      <w:r>
        <w:t>s account. In its answer, PG&amp;E asserted that the Complainant had not shown that PG&amp;E violated any laws or regulations and requested that the Commission deny the Complainant</w:t>
      </w:r>
      <w:r w:rsidR="00640DF8">
        <w:t>’</w:t>
      </w:r>
      <w:r>
        <w:t>s request for additional relief and dismiss the complaint with prejudice.</w:t>
      </w:r>
    </w:p>
    <w:p w:rsidR="00852AB1" w:rsidP="006F1A0A" w:rsidRDefault="00852AB1" w14:paraId="05DA37B5" w14:textId="7EA8FCED">
      <w:pPr>
        <w:pStyle w:val="Standard"/>
      </w:pPr>
      <w:r>
        <w:t xml:space="preserve">On </w:t>
      </w:r>
      <w:r w:rsidR="00640DF8">
        <w:t>February </w:t>
      </w:r>
      <w:r>
        <w:t>3, 2026, the assigned ALJ issued a ruling denying the Complainant</w:t>
      </w:r>
      <w:r w:rsidR="00640DF8">
        <w:t>’</w:t>
      </w:r>
      <w:r>
        <w:t>s motion to stay the ECP Hearing.</w:t>
      </w:r>
    </w:p>
    <w:p w:rsidR="00852AB1" w:rsidP="006F1A0A" w:rsidRDefault="00852AB1" w14:paraId="1F97DD4B" w14:textId="5272F579">
      <w:pPr>
        <w:pStyle w:val="Standard"/>
      </w:pPr>
      <w:r>
        <w:t xml:space="preserve">On </w:t>
      </w:r>
      <w:r w:rsidR="00640DF8">
        <w:t>February </w:t>
      </w:r>
      <w:r>
        <w:t>5, 2026, the ECP Hearing was held. That same day, pursuant to the discussion at the ECP Hearing, the assigned ALJ sent a procedural email requesting that the Complainant and PG&amp;E meet and confer to determine whether they could resolve the Complainant</w:t>
      </w:r>
      <w:r w:rsidR="00640DF8">
        <w:t>’</w:t>
      </w:r>
      <w:r>
        <w:t xml:space="preserve">s outstanding concerns </w:t>
      </w:r>
      <w:r w:rsidR="003C13C9">
        <w:t>and</w:t>
      </w:r>
      <w:r>
        <w:t xml:space="preserve"> file and serve an update on their process by </w:t>
      </w:r>
      <w:r w:rsidR="00640DF8">
        <w:t>March </w:t>
      </w:r>
      <w:r>
        <w:t>9, 2026. The procedural email also contained instructions on</w:t>
      </w:r>
      <w:r w:rsidR="00351D18">
        <w:t xml:space="preserve"> </w:t>
      </w:r>
      <w:r w:rsidR="2CD4871A">
        <w:t>how</w:t>
      </w:r>
      <w:r>
        <w:t xml:space="preserve"> the Complainant </w:t>
      </w:r>
      <w:r w:rsidR="3CA8DE26">
        <w:t>can</w:t>
      </w:r>
      <w:r>
        <w:t xml:space="preserve"> leave a public comment on the Commission proceedings </w:t>
      </w:r>
      <w:r w:rsidR="00ED67A4">
        <w:t>regarding</w:t>
      </w:r>
      <w:r>
        <w:t xml:space="preserve"> their complaint.</w:t>
      </w:r>
    </w:p>
    <w:p w:rsidR="007855D2" w:rsidP="006F1A0A" w:rsidRDefault="0007016D" w14:paraId="590327DD" w14:textId="735C4097">
      <w:pPr>
        <w:pStyle w:val="Standard"/>
      </w:pPr>
      <w:r>
        <w:t xml:space="preserve">On </w:t>
      </w:r>
      <w:r w:rsidR="00640DF8">
        <w:t>March </w:t>
      </w:r>
      <w:r>
        <w:t xml:space="preserve">9, 2026, the Complainant filed and served its Memorandum on Settlement Status and Renewed Motion to Convert to Regular Complaint. In the memorandum, the Complainant reported that settlement negotiations had reached an impasse, asserting that PG&amp;E had not provided a satisfactory </w:t>
      </w:r>
      <w:r w:rsidR="00640DF8">
        <w:t>“</w:t>
      </w:r>
      <w:r>
        <w:t>plain English</w:t>
      </w:r>
      <w:r w:rsidR="00640DF8">
        <w:t>”</w:t>
      </w:r>
      <w:r>
        <w:t xml:space="preserve"> accounting of the disputed billing adjustments, had not restored access to historical billing records, and had declined to voluntarily produce certain information sought by the Complainant, including call recordings and PG&amp;E</w:t>
      </w:r>
      <w:r w:rsidR="00640DF8">
        <w:t>’</w:t>
      </w:r>
      <w:r>
        <w:t xml:space="preserve">s Corrective Action Plan. The Complainant further renewed her request to convert the matter from an expedited complaint to a regular complaint pursuant to </w:t>
      </w:r>
      <w:r w:rsidR="00C5090F">
        <w:t>Rule </w:t>
      </w:r>
      <w:r>
        <w:t>4.6(g)</w:t>
      </w:r>
      <w:r w:rsidR="00C5090F">
        <w:t xml:space="preserve"> of the Commission</w:t>
      </w:r>
      <w:r w:rsidR="00640DF8">
        <w:t>’</w:t>
      </w:r>
      <w:r w:rsidR="00C5090F">
        <w:t>s Rules of Practice and Procedure (Rules)</w:t>
      </w:r>
      <w:r>
        <w:t xml:space="preserve">, arguing that discovery was necessary to resolve disputed factual issues and that the </w:t>
      </w:r>
      <w:r>
        <w:lastRenderedPageBreak/>
        <w:t>complaint raised matters of broader public interest. As part of the requested relief, the Complainant asked the Commission to deny PG&amp;E</w:t>
      </w:r>
      <w:r w:rsidR="00640DF8">
        <w:t>’</w:t>
      </w:r>
      <w:r>
        <w:t>s motion to dismiss, convert the proceeding to a regular complaint, issue a ruling regarding the parties</w:t>
      </w:r>
      <w:r w:rsidR="00640DF8">
        <w:t>’</w:t>
      </w:r>
      <w:r>
        <w:t xml:space="preserve"> differing characterizations of the billing adjustments, and compel the production of certain documents and information relevant to the complaint.</w:t>
      </w:r>
    </w:p>
    <w:p w:rsidR="00683B2C" w:rsidP="006F1A0A" w:rsidRDefault="00574A5A" w14:paraId="7940C003" w14:textId="2F4FD14D">
      <w:pPr>
        <w:pStyle w:val="Standard"/>
      </w:pPr>
      <w:r w:rsidRPr="00574A5A">
        <w:t xml:space="preserve">This matter was submitted on </w:t>
      </w:r>
      <w:r w:rsidR="00640DF8">
        <w:t>March </w:t>
      </w:r>
      <w:r w:rsidRPr="00574A5A">
        <w:t>9, 2026, upon the filing and service of the Complainant</w:t>
      </w:r>
      <w:r w:rsidR="00640DF8">
        <w:t>’</w:t>
      </w:r>
      <w:r w:rsidRPr="00574A5A">
        <w:t xml:space="preserve">s report regarding discussions between the parties directed by the </w:t>
      </w:r>
      <w:r w:rsidR="00234AC2">
        <w:t>ALJ</w:t>
      </w:r>
      <w:r w:rsidRPr="00574A5A">
        <w:t>.</w:t>
      </w:r>
    </w:p>
    <w:p w:rsidR="005A148C" w:rsidP="006C0F00" w:rsidRDefault="0063491C" w14:paraId="441339BC" w14:textId="77777777">
      <w:pPr>
        <w:pStyle w:val="Heading1"/>
      </w:pPr>
      <w:bookmarkStart w:name="_Toc8123718" w:id="4"/>
      <w:bookmarkStart w:name="_Toc232674694" w:id="5"/>
      <w:r>
        <w:t>Jurisdiction</w:t>
      </w:r>
      <w:r w:rsidR="00B71D85">
        <w:t xml:space="preserve"> and Burden of Proof</w:t>
      </w:r>
      <w:bookmarkEnd w:id="4"/>
      <w:bookmarkEnd w:id="5"/>
    </w:p>
    <w:p w:rsidR="00643671" w:rsidP="006F1A0A" w:rsidRDefault="00B71D85" w14:paraId="4F76CCC6" w14:textId="4EC7A481">
      <w:pPr>
        <w:pStyle w:val="Standard"/>
      </w:pPr>
      <w:r>
        <w:t>The Commission has jurisdiction over the activities of public utilities</w:t>
      </w:r>
      <w:r w:rsidR="00CE31BA">
        <w:t>.</w:t>
      </w:r>
      <w:r>
        <w:rPr>
          <w:rStyle w:val="FootnoteReference"/>
        </w:rPr>
        <w:footnoteReference w:id="2"/>
      </w:r>
      <w:r>
        <w:t xml:space="preserve"> </w:t>
      </w:r>
      <w:r w:rsidR="002946B1">
        <w:t xml:space="preserve">PG&amp;E </w:t>
      </w:r>
      <w:r>
        <w:t>provid</w:t>
      </w:r>
      <w:r w:rsidR="00BF02DA">
        <w:t>es</w:t>
      </w:r>
      <w:r>
        <w:t xml:space="preserve"> </w:t>
      </w:r>
      <w:r w:rsidR="002946B1">
        <w:t xml:space="preserve">electric and gas service in </w:t>
      </w:r>
      <w:r w:rsidR="00822907">
        <w:t xml:space="preserve">California and is a </w:t>
      </w:r>
      <w:r w:rsidR="00CE31BA">
        <w:t xml:space="preserve">utility </w:t>
      </w:r>
      <w:r>
        <w:t xml:space="preserve">subject to </w:t>
      </w:r>
      <w:r w:rsidR="0090655E">
        <w:t>the Commission</w:t>
      </w:r>
      <w:r w:rsidR="00640DF8">
        <w:t>’</w:t>
      </w:r>
      <w:r w:rsidR="0090655E">
        <w:t xml:space="preserve">s </w:t>
      </w:r>
      <w:r>
        <w:t>jurisdiction, control and regulation.</w:t>
      </w:r>
    </w:p>
    <w:p w:rsidR="00886630" w:rsidP="006F1A0A" w:rsidRDefault="00CC519C" w14:paraId="50A6A56E" w14:textId="7B40899A">
      <w:pPr>
        <w:pStyle w:val="Standard"/>
      </w:pPr>
      <w:r>
        <w:t xml:space="preserve">The </w:t>
      </w:r>
      <w:r w:rsidR="009C1E5B">
        <w:t xml:space="preserve">Complainant is a PG&amp;E residential customer. The complaint was filed pursuant to the </w:t>
      </w:r>
      <w:r w:rsidR="00643671">
        <w:t>Rule 4.1(a)</w:t>
      </w:r>
      <w:r w:rsidR="009C1E5B">
        <w:t>.</w:t>
      </w:r>
    </w:p>
    <w:p w:rsidRPr="0063491C" w:rsidR="0063491C" w:rsidP="006F1A0A" w:rsidRDefault="003D4575" w14:paraId="7F5A2F64" w14:textId="175FC8CA">
      <w:pPr>
        <w:pStyle w:val="Standard"/>
      </w:pPr>
      <w:r>
        <w:t xml:space="preserve">The </w:t>
      </w:r>
      <w:r w:rsidR="00BE4198">
        <w:t xml:space="preserve">Complainant </w:t>
      </w:r>
      <w:r w:rsidR="00B71D85">
        <w:t>bears the burden of</w:t>
      </w:r>
      <w:r w:rsidR="003A3BE2">
        <w:t xml:space="preserve"> proving</w:t>
      </w:r>
      <w:r w:rsidR="00B71D85">
        <w:t xml:space="preserve"> </w:t>
      </w:r>
      <w:r w:rsidR="00BE4198">
        <w:t xml:space="preserve">that PG&amp;E </w:t>
      </w:r>
      <w:r w:rsidR="00B71D85">
        <w:t>violated a rule, order, law, or tariff approved by the Commission.</w:t>
      </w:r>
      <w:r w:rsidR="00BF02DA">
        <w:rPr>
          <w:rStyle w:val="FootnoteReference"/>
        </w:rPr>
        <w:footnoteReference w:id="3"/>
      </w:r>
      <w:r w:rsidR="00B71D85">
        <w:t xml:space="preserve"> </w:t>
      </w:r>
      <w:r w:rsidR="03549978">
        <w:t xml:space="preserve">The </w:t>
      </w:r>
      <w:r w:rsidR="00E949AC">
        <w:t>Co</w:t>
      </w:r>
      <w:r w:rsidR="03549978">
        <w:t>mplainant</w:t>
      </w:r>
      <w:r w:rsidR="00CE31BA">
        <w:t xml:space="preserve"> </w:t>
      </w:r>
      <w:r w:rsidR="00B71D85">
        <w:t>must meet th</w:t>
      </w:r>
      <w:r w:rsidR="00997AAB">
        <w:t>is</w:t>
      </w:r>
      <w:r w:rsidR="00B71D85">
        <w:t xml:space="preserve"> burden by a preponderance of the evidence.</w:t>
      </w:r>
    </w:p>
    <w:p w:rsidR="00886630" w:rsidP="006C0F00" w:rsidRDefault="005939A5" w14:paraId="39884E72" w14:textId="77777777">
      <w:pPr>
        <w:pStyle w:val="Heading1"/>
      </w:pPr>
      <w:bookmarkStart w:name="_Toc8123719" w:id="6"/>
      <w:bookmarkStart w:name="_Toc232674695" w:id="7"/>
      <w:r>
        <w:t xml:space="preserve">Issues Before the </w:t>
      </w:r>
      <w:bookmarkEnd w:id="6"/>
      <w:r w:rsidR="008A08BF">
        <w:t>Commission</w:t>
      </w:r>
      <w:bookmarkEnd w:id="7"/>
    </w:p>
    <w:p w:rsidR="007974FC" w:rsidP="006F1A0A" w:rsidRDefault="3D3408E7" w14:paraId="54DFABBB" w14:textId="0E6BFF10">
      <w:pPr>
        <w:pStyle w:val="Standard"/>
      </w:pPr>
      <w:r w:rsidRPr="17078B65">
        <w:t xml:space="preserve">Identify </w:t>
      </w:r>
      <w:r w:rsidR="00F738CF">
        <w:t>issues</w:t>
      </w:r>
      <w:r w:rsidRPr="17078B65">
        <w:t xml:space="preserve"> that must be addressed and resolved in this proceeding.</w:t>
      </w:r>
    </w:p>
    <w:p w:rsidR="00FA00AA" w:rsidP="00F20AFD" w:rsidRDefault="001C57F2" w14:paraId="099CF7E2" w14:textId="3EC6A964">
      <w:pPr>
        <w:pStyle w:val="BlockQuoteH025"/>
        <w:numPr>
          <w:ilvl w:val="6"/>
          <w:numId w:val="15"/>
        </w:numPr>
        <w:tabs>
          <w:tab w:val="clear" w:pos="1080"/>
        </w:tabs>
      </w:pPr>
      <w:r>
        <w:t xml:space="preserve">Are the </w:t>
      </w:r>
      <w:r w:rsidR="0058544D">
        <w:t>C</w:t>
      </w:r>
      <w:r w:rsidR="00AF08AC">
        <w:t>o</w:t>
      </w:r>
      <w:r>
        <w:t>mplainant</w:t>
      </w:r>
      <w:r w:rsidR="00640DF8">
        <w:t>’</w:t>
      </w:r>
      <w:r>
        <w:t>s requests concerning PG&amp;E</w:t>
      </w:r>
      <w:r w:rsidR="00640DF8">
        <w:t>’</w:t>
      </w:r>
      <w:r>
        <w:t>s service</w:t>
      </w:r>
      <w:r w:rsidR="00D70AC9">
        <w:noBreakHyphen/>
      </w:r>
      <w:r>
        <w:t>initiation practices and related discovery requests appropriately addressed in this complaint proceeding?</w:t>
      </w:r>
    </w:p>
    <w:p w:rsidR="0098441B" w:rsidP="00F20AFD" w:rsidRDefault="00050400" w14:paraId="65952387" w14:textId="28296075">
      <w:pPr>
        <w:pStyle w:val="BlockQuoteH025"/>
        <w:numPr>
          <w:ilvl w:val="6"/>
          <w:numId w:val="15"/>
        </w:numPr>
        <w:tabs>
          <w:tab w:val="clear" w:pos="1080"/>
        </w:tabs>
      </w:pPr>
      <w:r>
        <w:lastRenderedPageBreak/>
        <w:t>Has PG&amp;E remedied any financial harm alleged in the complaint, making further relief unnecessary?</w:t>
      </w:r>
    </w:p>
    <w:p w:rsidR="00BE43FB" w:rsidP="00F20AFD" w:rsidRDefault="0058544D" w14:paraId="1E2F7BB7" w14:textId="585FEE8A">
      <w:pPr>
        <w:pStyle w:val="BlockQuoteH025"/>
        <w:numPr>
          <w:ilvl w:val="6"/>
          <w:numId w:val="15"/>
        </w:numPr>
        <w:tabs>
          <w:tab w:val="clear" w:pos="1080"/>
        </w:tabs>
      </w:pPr>
      <w:r>
        <w:t>Should the Commission grant the Complainant</w:t>
      </w:r>
      <w:r w:rsidR="00640DF8">
        <w:t>’</w:t>
      </w:r>
      <w:r>
        <w:t>s requests to convert the proceeding into a regular complaint and to obtain additional procedural relief?</w:t>
      </w:r>
    </w:p>
    <w:p w:rsidR="005939A5" w:rsidP="006C0F00" w:rsidRDefault="005939A5" w14:paraId="76BB8A7F" w14:textId="5197E770">
      <w:pPr>
        <w:pStyle w:val="Heading1"/>
      </w:pPr>
      <w:bookmarkStart w:name="_Toc8123720" w:id="8"/>
      <w:bookmarkStart w:name="_Toc232674696" w:id="9"/>
      <w:r>
        <w:t>Discussion</w:t>
      </w:r>
      <w:bookmarkEnd w:id="8"/>
      <w:bookmarkEnd w:id="9"/>
    </w:p>
    <w:p w:rsidR="00EA36C6" w:rsidP="006C0F00" w:rsidRDefault="00547611" w14:paraId="5C55CE9C" w14:textId="196D688D">
      <w:pPr>
        <w:pStyle w:val="Heading2"/>
      </w:pPr>
      <w:bookmarkStart w:name="_Toc232674697" w:id="10"/>
      <w:r>
        <w:t>The Only Issue Appropriately</w:t>
      </w:r>
      <w:r w:rsidR="003506A6">
        <w:t xml:space="preserve"> </w:t>
      </w:r>
      <w:r>
        <w:t>Addressed</w:t>
      </w:r>
      <w:r w:rsidR="003506A6">
        <w:br/>
      </w:r>
      <w:r>
        <w:t>by a Complaint Is Whether the</w:t>
      </w:r>
      <w:r w:rsidR="003506A6">
        <w:t xml:space="preserve"> </w:t>
      </w:r>
      <w:r>
        <w:t>Complainant</w:t>
      </w:r>
      <w:r w:rsidR="003506A6">
        <w:br/>
      </w:r>
      <w:r>
        <w:t>Was Overbilled</w:t>
      </w:r>
      <w:bookmarkEnd w:id="10"/>
    </w:p>
    <w:p w:rsidR="00886630" w:rsidP="006D6D53" w:rsidRDefault="00C5090F" w14:paraId="445680F0" w14:textId="22F883AE">
      <w:pPr>
        <w:pStyle w:val="Standard"/>
      </w:pPr>
      <w:r w:rsidRPr="00C5090F">
        <w:t>Pub.</w:t>
      </w:r>
      <w:r>
        <w:t> </w:t>
      </w:r>
      <w:r w:rsidRPr="00C5090F">
        <w:t>Util.</w:t>
      </w:r>
      <w:r>
        <w:t xml:space="preserve"> </w:t>
      </w:r>
      <w:r w:rsidR="00E36ADA">
        <w:t xml:space="preserve">Code </w:t>
      </w:r>
      <w:r w:rsidR="001F1CF4">
        <w:t>Section </w:t>
      </w:r>
      <w:r w:rsidR="00E36ADA">
        <w:t>1701</w:t>
      </w:r>
      <w:r w:rsidR="00646460">
        <w:t xml:space="preserve"> describes the </w:t>
      </w:r>
      <w:r w:rsidR="00FA6118">
        <w:t>nature and purpose of the different categories of Commission proceedings</w:t>
      </w:r>
      <w:r w:rsidR="0006278E">
        <w:t>, and the comparison of adjudicatory and quasi</w:t>
      </w:r>
      <w:r w:rsidR="00D70AC9">
        <w:noBreakHyphen/>
      </w:r>
      <w:r w:rsidR="0006278E">
        <w:t>legislative proceedings is relevant here.</w:t>
      </w:r>
      <w:r w:rsidR="00F86689">
        <w:rPr>
          <w:rStyle w:val="FootnoteReference"/>
        </w:rPr>
        <w:footnoteReference w:id="4"/>
      </w:r>
    </w:p>
    <w:p w:rsidR="002F3001" w:rsidP="006D6D53" w:rsidRDefault="00412D53" w14:paraId="7F6B4A23" w14:textId="6959625A">
      <w:pPr>
        <w:pStyle w:val="Standard"/>
      </w:pPr>
      <w:r>
        <w:t>Quasi</w:t>
      </w:r>
      <w:r w:rsidR="00D70AC9">
        <w:noBreakHyphen/>
      </w:r>
      <w:r>
        <w:t xml:space="preserve">legislative cases are </w:t>
      </w:r>
      <w:r w:rsidR="00640DF8">
        <w:t>“</w:t>
      </w:r>
      <w:r>
        <w:t>cases that establish policy, including, but not limited to, rulemakings and investigations that may establish rules affecting an entire industry,</w:t>
      </w:r>
      <w:r w:rsidR="00640DF8">
        <w:t>”</w:t>
      </w:r>
      <w:r>
        <w:t xml:space="preserve"> while </w:t>
      </w:r>
      <w:r w:rsidR="0059398A">
        <w:t xml:space="preserve">adjudicatory cases are </w:t>
      </w:r>
      <w:r w:rsidR="00640DF8">
        <w:t>“</w:t>
      </w:r>
      <w:r w:rsidR="0059398A">
        <w:t>enforcement cases and complaints except those challenging the reasonableness of any rates or charges.</w:t>
      </w:r>
      <w:r w:rsidR="00640DF8">
        <w:t>”</w:t>
      </w:r>
      <w:r w:rsidR="0059398A">
        <w:rPr>
          <w:rStyle w:val="FootnoteReference"/>
        </w:rPr>
        <w:footnoteReference w:id="5"/>
      </w:r>
    </w:p>
    <w:p w:rsidR="00DD1F38" w:rsidP="006D6D53" w:rsidRDefault="00FD08C9" w14:paraId="2757B8D8" w14:textId="0982A096">
      <w:pPr>
        <w:pStyle w:val="Standard"/>
      </w:pPr>
      <w:r>
        <w:t>The Complainant</w:t>
      </w:r>
      <w:r w:rsidR="00640DF8">
        <w:t>’</w:t>
      </w:r>
      <w:r w:rsidR="00DA495B">
        <w:t xml:space="preserve">s requested </w:t>
      </w:r>
      <w:r w:rsidR="008C6D83">
        <w:t>remedies</w:t>
      </w:r>
      <w:r w:rsidR="00DA495B">
        <w:t xml:space="preserve"> </w:t>
      </w:r>
      <w:r w:rsidR="003A2F1B">
        <w:t xml:space="preserve">each fall into one of two categories: corrective </w:t>
      </w:r>
      <w:r w:rsidR="00EA0F97">
        <w:t xml:space="preserve">measures </w:t>
      </w:r>
      <w:r w:rsidR="003A2F1B">
        <w:t xml:space="preserve">to remedy past utility </w:t>
      </w:r>
      <w:r w:rsidR="00EA0F97">
        <w:t>actions (</w:t>
      </w:r>
      <w:r w:rsidRPr="00D9477D" w:rsidR="00D9477D">
        <w:rPr>
          <w:i/>
          <w:iCs/>
        </w:rPr>
        <w:t>e.g.</w:t>
      </w:r>
      <w:r w:rsidR="00EA0F97">
        <w:t xml:space="preserve">, </w:t>
      </w:r>
      <w:r w:rsidR="00D41B11">
        <w:t>switching the Complainant to their desired rate and crediting the customer account for the difference between their actual bills and what their bill</w:t>
      </w:r>
      <w:r w:rsidR="00FE65DC">
        <w:t>s would have been if they had been enrolled in the more favorable rate) and</w:t>
      </w:r>
      <w:r w:rsidR="00DD1F38">
        <w:t xml:space="preserve"> prospective </w:t>
      </w:r>
      <w:r w:rsidR="00FE65DC">
        <w:t>policy decisions that</w:t>
      </w:r>
      <w:r w:rsidR="004D20BB">
        <w:t xml:space="preserve"> </w:t>
      </w:r>
      <w:r w:rsidR="00FE65DC">
        <w:t xml:space="preserve">would </w:t>
      </w:r>
      <w:r w:rsidR="00A02733">
        <w:t>alter PG&amp;E</w:t>
      </w:r>
      <w:r w:rsidR="00640DF8">
        <w:t>’</w:t>
      </w:r>
      <w:r w:rsidR="00A02733">
        <w:t>s existing practices</w:t>
      </w:r>
      <w:r w:rsidR="003237B8">
        <w:t xml:space="preserve"> (</w:t>
      </w:r>
      <w:r w:rsidRPr="00D9477D" w:rsidR="00D9477D">
        <w:rPr>
          <w:i/>
          <w:iCs/>
        </w:rPr>
        <w:t>e.g.</w:t>
      </w:r>
      <w:r w:rsidR="003237B8">
        <w:t xml:space="preserve">, </w:t>
      </w:r>
      <w:r w:rsidR="00D15C92">
        <w:t>the Complainant</w:t>
      </w:r>
      <w:r w:rsidR="00640DF8">
        <w:t>’</w:t>
      </w:r>
      <w:r w:rsidR="00D15C92">
        <w:t>s request for the Commission to</w:t>
      </w:r>
      <w:r w:rsidR="00765B36">
        <w:t xml:space="preserve"> order PG&amp;E to change their process to onboard new customers</w:t>
      </w:r>
      <w:r w:rsidR="00007F38">
        <w:t>)</w:t>
      </w:r>
      <w:r w:rsidR="004D20BB">
        <w:t>.</w:t>
      </w:r>
    </w:p>
    <w:p w:rsidR="002F3001" w:rsidP="006D6D53" w:rsidRDefault="00E92DF2" w14:paraId="1A45E72E" w14:textId="56E40264">
      <w:pPr>
        <w:pStyle w:val="Standard"/>
      </w:pPr>
      <w:r>
        <w:t xml:space="preserve">The Commission </w:t>
      </w:r>
      <w:r w:rsidR="005D1A76">
        <w:t xml:space="preserve">has previously </w:t>
      </w:r>
      <w:r w:rsidR="001F5F25">
        <w:t>described the different scope and purpose of</w:t>
      </w:r>
      <w:r w:rsidR="00661464">
        <w:t xml:space="preserve"> adjudicatory and quasi</w:t>
      </w:r>
      <w:r w:rsidR="00D70AC9">
        <w:noBreakHyphen/>
      </w:r>
      <w:r w:rsidR="00661464">
        <w:t xml:space="preserve">legislative </w:t>
      </w:r>
      <w:r w:rsidR="005D1A76">
        <w:t xml:space="preserve">proceedings. In </w:t>
      </w:r>
      <w:r w:rsidR="00BB4E71">
        <w:t>D</w:t>
      </w:r>
      <w:r w:rsidR="00542CE0">
        <w:t>.</w:t>
      </w:r>
      <w:r w:rsidR="001F5F25">
        <w:t>07</w:t>
      </w:r>
      <w:r w:rsidR="00D70AC9">
        <w:noBreakHyphen/>
      </w:r>
      <w:r w:rsidR="001F5F25">
        <w:t>07</w:t>
      </w:r>
      <w:r w:rsidR="00D70AC9">
        <w:noBreakHyphen/>
      </w:r>
      <w:r w:rsidR="001F5F25">
        <w:t>020</w:t>
      </w:r>
      <w:r w:rsidR="009C4E66">
        <w:t xml:space="preserve">, </w:t>
      </w:r>
      <w:r w:rsidR="005D1A76">
        <w:t>the Commission</w:t>
      </w:r>
      <w:r w:rsidR="00BC66E6">
        <w:t xml:space="preserve"> reviewed </w:t>
      </w:r>
      <w:r w:rsidR="001F1CF4">
        <w:t>Section </w:t>
      </w:r>
      <w:r w:rsidR="00BC66E6">
        <w:t>1701.1 and</w:t>
      </w:r>
      <w:r w:rsidR="005D1A76">
        <w:t xml:space="preserve"> found that</w:t>
      </w:r>
    </w:p>
    <w:p w:rsidR="00EA36C6" w:rsidP="007B3751" w:rsidRDefault="005D1A76" w14:paraId="62E40D96" w14:textId="265911E2">
      <w:pPr>
        <w:pStyle w:val="BlockQuote0"/>
      </w:pPr>
      <w:r>
        <w:lastRenderedPageBreak/>
        <w:t>[forum]</w:t>
      </w:r>
      <w:r w:rsidR="009C4E66">
        <w:t xml:space="preserve"> selection significantly impacts the nature, extent, and scope of the Commission</w:t>
      </w:r>
      <w:r w:rsidR="00640DF8">
        <w:t>’</w:t>
      </w:r>
      <w:r w:rsidR="009C4E66">
        <w:t>s decision making inquiry, and its remedial consequences. An adjudicatory proceeding, such as the complaints, is retrospective and can trigger remedies that address violation of statute, rule, or law. In contrast, a quasi</w:t>
      </w:r>
      <w:r w:rsidR="00D70AC9">
        <w:noBreakHyphen/>
      </w:r>
      <w:r w:rsidR="009C4E66">
        <w:t>legislative proceeding is prospective and more policy oriented</w:t>
      </w:r>
      <w:r w:rsidR="00EA36C6">
        <w:t>.</w:t>
      </w:r>
      <w:r w:rsidR="009C4E66">
        <w:rPr>
          <w:rStyle w:val="FootnoteReference"/>
        </w:rPr>
        <w:footnoteReference w:id="6"/>
      </w:r>
    </w:p>
    <w:p w:rsidR="00886630" w:rsidP="006F1A0A" w:rsidRDefault="001B1606" w14:paraId="40E977D1" w14:textId="351E85FC">
      <w:pPr>
        <w:pStyle w:val="Standard"/>
      </w:pPr>
      <w:r>
        <w:t>The framework described in D.07</w:t>
      </w:r>
      <w:r w:rsidR="00D70AC9">
        <w:noBreakHyphen/>
      </w:r>
      <w:r>
        <w:t>07</w:t>
      </w:r>
      <w:r w:rsidR="00D70AC9">
        <w:noBreakHyphen/>
      </w:r>
      <w:r>
        <w:t xml:space="preserve">020 remains applicable. Applying that framework to the issues raised in the </w:t>
      </w:r>
      <w:r w:rsidR="00F738CF">
        <w:t xml:space="preserve">instant </w:t>
      </w:r>
      <w:r>
        <w:t>complaint makes clear that, among those issues and the subsequent motions, only billing disputes are appropriate for a complaint proceeding. The Complainant</w:t>
      </w:r>
      <w:r w:rsidR="00640DF8">
        <w:t>’</w:t>
      </w:r>
      <w:r>
        <w:t>s other requests are either for specific changes to PG&amp;E</w:t>
      </w:r>
      <w:r w:rsidR="00640DF8">
        <w:t>’</w:t>
      </w:r>
      <w:r>
        <w:t>s process for initiating new service or for support of that goal (</w:t>
      </w:r>
      <w:r w:rsidRPr="00D9477D" w:rsidR="00D9477D">
        <w:rPr>
          <w:i/>
          <w:iCs/>
        </w:rPr>
        <w:t>e.g.</w:t>
      </w:r>
      <w:r>
        <w:t xml:space="preserve">, the request for the Commission to compel PG&amp;E to produce the recording of the call between the </w:t>
      </w:r>
      <w:r w:rsidR="00B74E49">
        <w:t>Complainant</w:t>
      </w:r>
      <w:r>
        <w:t xml:space="preserve"> and PG&amp;E</w:t>
      </w:r>
      <w:r w:rsidR="00640DF8">
        <w:t>’</w:t>
      </w:r>
      <w:r>
        <w:t xml:space="preserve">s customer service representative). Accordingly, the only remaining issues </w:t>
      </w:r>
      <w:r w:rsidR="00804F34">
        <w:t xml:space="preserve">in this proceeding </w:t>
      </w:r>
      <w:r>
        <w:t xml:space="preserve">concern whether PG&amp;E overbilled the </w:t>
      </w:r>
      <w:r w:rsidR="00CF2497">
        <w:t>C</w:t>
      </w:r>
      <w:r>
        <w:t>omplainant. These issues are addressed in the following section.</w:t>
      </w:r>
    </w:p>
    <w:p w:rsidR="007156B9" w:rsidP="006C0F00" w:rsidRDefault="00547611" w14:paraId="61EA284E" w14:textId="459D5C44">
      <w:pPr>
        <w:pStyle w:val="Heading2"/>
      </w:pPr>
      <w:bookmarkStart w:name="_Toc232674698" w:id="11"/>
      <w:r>
        <w:t xml:space="preserve">The </w:t>
      </w:r>
      <w:r w:rsidRPr="00AB5F47">
        <w:t>Complainant</w:t>
      </w:r>
      <w:r w:rsidR="005B1304">
        <w:t xml:space="preserve"> Was Made</w:t>
      </w:r>
      <w:r w:rsidR="00395714">
        <w:br/>
      </w:r>
      <w:r w:rsidR="005B1304">
        <w:t xml:space="preserve">Whole </w:t>
      </w:r>
      <w:r w:rsidR="006523C5">
        <w:t>for</w:t>
      </w:r>
      <w:r w:rsidR="005B1304">
        <w:t xml:space="preserve"> Any Financial Harm</w:t>
      </w:r>
      <w:bookmarkEnd w:id="11"/>
    </w:p>
    <w:p w:rsidR="0043611C" w:rsidP="006F1A0A" w:rsidRDefault="006369FB" w14:paraId="6F1918FE" w14:textId="1E28D154">
      <w:pPr>
        <w:pStyle w:val="Standard"/>
      </w:pPr>
      <w:r>
        <w:t xml:space="preserve">Pursuant to </w:t>
      </w:r>
      <w:r w:rsidR="0003327E">
        <w:t>Pub. Util.</w:t>
      </w:r>
      <w:r w:rsidR="00C34AFE">
        <w:t xml:space="preserve"> </w:t>
      </w:r>
      <w:r>
        <w:t>Code Section</w:t>
      </w:r>
      <w:r w:rsidR="00C5090F">
        <w:t> </w:t>
      </w:r>
      <w:r>
        <w:t xml:space="preserve">1701.1 and </w:t>
      </w:r>
      <w:r w:rsidR="00C5090F">
        <w:t>Rule </w:t>
      </w:r>
      <w:r>
        <w:t>1.3(a), the remaining issues for the Commission to address are</w:t>
      </w:r>
      <w:r w:rsidR="00B129B3">
        <w:t>:</w:t>
      </w:r>
      <w:r>
        <w:t xml:space="preserve"> </w:t>
      </w:r>
      <w:r w:rsidR="00800A47">
        <w:t>(1)</w:t>
      </w:r>
      <w:r w:rsidR="00B129B3">
        <w:t> </w:t>
      </w:r>
      <w:r w:rsidR="009673EE">
        <w:t>whether</w:t>
      </w:r>
      <w:r w:rsidR="00800A47">
        <w:t xml:space="preserve"> PG&amp;E violate</w:t>
      </w:r>
      <w:r w:rsidR="009673EE">
        <w:t>d</w:t>
      </w:r>
      <w:r w:rsidR="00800A47">
        <w:t xml:space="preserve"> </w:t>
      </w:r>
      <w:r w:rsidR="00640DF8">
        <w:t>“</w:t>
      </w:r>
      <w:r w:rsidR="00800A47">
        <w:t>any provision of statutory law or order or rule of the Commission</w:t>
      </w:r>
      <w:r w:rsidR="00B129B3">
        <w:t>;</w:t>
      </w:r>
      <w:r w:rsidR="00640DF8">
        <w:t>”</w:t>
      </w:r>
      <w:r w:rsidR="00800A47">
        <w:rPr>
          <w:rStyle w:val="FootnoteReference"/>
        </w:rPr>
        <w:footnoteReference w:id="7"/>
      </w:r>
      <w:r w:rsidR="00800A47">
        <w:t xml:space="preserve"> and</w:t>
      </w:r>
      <w:r w:rsidR="00CC1702">
        <w:t xml:space="preserve"> (2)</w:t>
      </w:r>
      <w:r w:rsidR="00B129B3">
        <w:t> </w:t>
      </w:r>
      <w:r w:rsidR="00CC1702">
        <w:t>if so, whether the complainant suffered any financial harm due to that violation; and (3)</w:t>
      </w:r>
      <w:r w:rsidR="00B129B3">
        <w:t> </w:t>
      </w:r>
      <w:r w:rsidR="00CC1702">
        <w:t>if so,</w:t>
      </w:r>
      <w:r w:rsidR="00442656">
        <w:t xml:space="preserve"> </w:t>
      </w:r>
      <w:r w:rsidR="00800A47">
        <w:t>what actions PG&amp;E should take to remedy that financial harm.</w:t>
      </w:r>
    </w:p>
    <w:p w:rsidR="009673EE" w:rsidP="006F1A0A" w:rsidRDefault="00804F34" w14:paraId="720F9BB0" w14:textId="7A754A47">
      <w:pPr>
        <w:pStyle w:val="Standard"/>
      </w:pPr>
      <w:r>
        <w:t xml:space="preserve">The record indicates that PG&amp;E has already taken the necessary measures to make the Complainant whole and has applied an additional $200 Customer </w:t>
      </w:r>
      <w:r>
        <w:lastRenderedPageBreak/>
        <w:t>Satisfaction Credit to the Complainant</w:t>
      </w:r>
      <w:r w:rsidR="00640DF8">
        <w:t>’</w:t>
      </w:r>
      <w:r>
        <w:t>s account. PG&amp;E took these steps after initial conversations with the Complainant and disputed the allegation that PG&amp;E violated any law or Commission orders. The Complainant has not disputed PG&amp;E</w:t>
      </w:r>
      <w:r w:rsidR="00640DF8">
        <w:t>’</w:t>
      </w:r>
      <w:r>
        <w:t>s statement that PG&amp;E has resolved the Complainant</w:t>
      </w:r>
      <w:r w:rsidR="00640DF8">
        <w:t>’</w:t>
      </w:r>
      <w:r>
        <w:t xml:space="preserve">s billing concerns. At the hearing held </w:t>
      </w:r>
      <w:r w:rsidR="00640DF8">
        <w:t>February </w:t>
      </w:r>
      <w:r>
        <w:t>5, 2026, PG&amp;E explained how it calculated and applied its billing adjustments. Those calculations are also included as attachments to the Complainant</w:t>
      </w:r>
      <w:r w:rsidR="00640DF8">
        <w:t>’</w:t>
      </w:r>
      <w:r>
        <w:t xml:space="preserve">s memorandum filed </w:t>
      </w:r>
      <w:r w:rsidR="00640DF8">
        <w:t>March </w:t>
      </w:r>
      <w:r>
        <w:t xml:space="preserve">9, 2026. It follows that this issue is moot because PG&amp;E has taken </w:t>
      </w:r>
      <w:r w:rsidR="00F738CF">
        <w:t xml:space="preserve">appropriate </w:t>
      </w:r>
      <w:r>
        <w:t>remedial actions</w:t>
      </w:r>
      <w:r w:rsidR="00F738CF">
        <w:t xml:space="preserve"> to resolve the billing issues</w:t>
      </w:r>
      <w:r>
        <w:t xml:space="preserve">. Because the Commission concludes that the Complainant has received complete monetary relief and that the remaining requests seek prospective policy changes outside the scope of this complaint proceeding, the decision need not determine whether PG&amp;E violated </w:t>
      </w:r>
      <w:r w:rsidR="00C5090F">
        <w:t>Rule </w:t>
      </w:r>
      <w:r>
        <w:t xml:space="preserve">12 </w:t>
      </w:r>
      <w:r w:rsidRPr="002C0425" w:rsidR="002C0425">
        <w:t>(which governs the application of electric rates and billing under PG&amp;E</w:t>
      </w:r>
      <w:r w:rsidR="00640DF8">
        <w:t>’</w:t>
      </w:r>
      <w:r w:rsidRPr="002C0425" w:rsidR="002C0425">
        <w:t xml:space="preserve">s tariff) </w:t>
      </w:r>
      <w:r>
        <w:t>or any other tariff provision.</w:t>
      </w:r>
    </w:p>
    <w:p w:rsidR="00886630" w:rsidP="006F1A0A" w:rsidRDefault="00C20FA2" w14:paraId="25094727" w14:textId="0894509B">
      <w:pPr>
        <w:pStyle w:val="Standard"/>
      </w:pPr>
      <w:r>
        <w:t xml:space="preserve">Accordingly, every issue raised by the </w:t>
      </w:r>
      <w:r w:rsidR="006C0204">
        <w:t>Complainant</w:t>
      </w:r>
      <w:r>
        <w:t xml:space="preserve"> has either been resolved or falls outside the scope of a complaint proceeding.</w:t>
      </w:r>
    </w:p>
    <w:p w:rsidR="003237B8" w:rsidP="006C0F00" w:rsidRDefault="003237B8" w14:paraId="338EFABF" w14:textId="2D8DEA79">
      <w:pPr>
        <w:pStyle w:val="Heading2"/>
      </w:pPr>
      <w:bookmarkStart w:name="_Toc232674699" w:id="12"/>
      <w:r>
        <w:t xml:space="preserve">The </w:t>
      </w:r>
      <w:r w:rsidR="00C31800">
        <w:t>Complainant</w:t>
      </w:r>
      <w:r w:rsidR="00640DF8">
        <w:t>’</w:t>
      </w:r>
      <w:r w:rsidR="00C31800">
        <w:t xml:space="preserve">s </w:t>
      </w:r>
      <w:r>
        <w:t>P</w:t>
      </w:r>
      <w:r w:rsidR="00C31800">
        <w:t>rocedural</w:t>
      </w:r>
      <w:r w:rsidR="004123C5">
        <w:br/>
      </w:r>
      <w:r w:rsidR="00C31800">
        <w:t>Requests Are Moot</w:t>
      </w:r>
      <w:bookmarkEnd w:id="12"/>
    </w:p>
    <w:p w:rsidR="002A1F31" w:rsidP="006F1A0A" w:rsidRDefault="006F65C9" w14:paraId="51E896DF" w14:textId="713160BB">
      <w:pPr>
        <w:pStyle w:val="Standard"/>
      </w:pPr>
      <w:r>
        <w:t xml:space="preserve">The Complainant filed two motions requesting that the Commission convert this complaint from an expedited complaint to a regular complaint. </w:t>
      </w:r>
      <w:r w:rsidR="00F738CF">
        <w:t>Rule</w:t>
      </w:r>
      <w:r w:rsidR="00CF20A2">
        <w:t> </w:t>
      </w:r>
      <w:r w:rsidR="00F738CF">
        <w:t xml:space="preserve">4.6 provides that an ECP may be </w:t>
      </w:r>
      <w:r w:rsidR="00022A76">
        <w:t>converted</w:t>
      </w:r>
      <w:r w:rsidR="00F738CF">
        <w:t xml:space="preserve"> to a regular </w:t>
      </w:r>
      <w:r w:rsidR="00022A76">
        <w:t>complaint</w:t>
      </w:r>
      <w:r w:rsidR="00F738CF">
        <w:t xml:space="preserve"> when the public interest so requires. In the instant proceeding</w:t>
      </w:r>
      <w:r>
        <w:t xml:space="preserve"> conversion would not alter the scope of issues properly addressable </w:t>
      </w:r>
      <w:r w:rsidR="00F738CF">
        <w:t>as an ECP</w:t>
      </w:r>
      <w:r>
        <w:t xml:space="preserve"> complaint proceeding</w:t>
      </w:r>
      <w:r w:rsidR="00022A76">
        <w:t>, including the dollar amount at issue</w:t>
      </w:r>
      <w:r>
        <w:t>, the motions are denied.</w:t>
      </w:r>
    </w:p>
    <w:p w:rsidRPr="002A1F31" w:rsidR="005E00F9" w:rsidP="006F1A0A" w:rsidRDefault="000F30CC" w14:paraId="7A3D9C48" w14:textId="71B56C4E">
      <w:pPr>
        <w:pStyle w:val="Standard"/>
      </w:pPr>
      <w:r>
        <w:t>This complaint intentionally does not address the Complainant</w:t>
      </w:r>
      <w:r w:rsidR="00640DF8">
        <w:t>’</w:t>
      </w:r>
      <w:r>
        <w:t xml:space="preserve">s allegation that PG&amp;E violated </w:t>
      </w:r>
      <w:r w:rsidR="00C5090F">
        <w:t>Rule </w:t>
      </w:r>
      <w:r>
        <w:t xml:space="preserve">12 of its electric tariffs because the remaining </w:t>
      </w:r>
      <w:r>
        <w:lastRenderedPageBreak/>
        <w:t>motions filed by the Complainant were all in support of the goal of changing PG&amp;E</w:t>
      </w:r>
      <w:r w:rsidR="00640DF8">
        <w:t>’</w:t>
      </w:r>
      <w:r>
        <w:t>s future processes, are therefore moot, and are thus denied.</w:t>
      </w:r>
    </w:p>
    <w:p w:rsidR="00FA1B4F" w:rsidP="006C0F00" w:rsidRDefault="005939A5" w14:paraId="7F7FD917" w14:textId="423A9474">
      <w:pPr>
        <w:pStyle w:val="Heading1"/>
      </w:pPr>
      <w:bookmarkStart w:name="_Toc8123721" w:id="13"/>
      <w:bookmarkStart w:name="_Toc232674700" w:id="14"/>
      <w:r>
        <w:t>Conclusion</w:t>
      </w:r>
      <w:bookmarkEnd w:id="13"/>
      <w:bookmarkEnd w:id="14"/>
    </w:p>
    <w:p w:rsidRPr="00343E5C" w:rsidR="00343E5C" w:rsidP="006F1A0A" w:rsidRDefault="00CD544D" w14:paraId="66B83725" w14:textId="047033CE">
      <w:pPr>
        <w:pStyle w:val="Standard"/>
      </w:pPr>
      <w:r>
        <w:t>The issues raised in the instant complaint have either been fully resolved or are not appropriate for consideration in an adjudicatory proceeding. Accordingly, this decision denies all requests in the complaint and dismisses the complaint</w:t>
      </w:r>
      <w:r w:rsidR="00022A76">
        <w:t>.</w:t>
      </w:r>
    </w:p>
    <w:p w:rsidR="0033215D" w:rsidP="006C0F00" w:rsidRDefault="0033215D" w14:paraId="0EB5219E" w14:textId="77777777">
      <w:pPr>
        <w:pStyle w:val="Heading1"/>
      </w:pPr>
      <w:bookmarkStart w:name="_Toc232674701" w:id="15"/>
      <w:bookmarkStart w:name="_Toc8123723" w:id="16"/>
      <w:bookmarkStart w:name="_Toc133843854" w:id="17"/>
      <w:r>
        <w:t>Procedural Matters</w:t>
      </w:r>
      <w:bookmarkEnd w:id="15"/>
    </w:p>
    <w:p w:rsidRPr="008B175A" w:rsidR="0033215D" w:rsidP="006F1A0A" w:rsidRDefault="0033215D" w14:paraId="55D75089" w14:textId="1A4496B0">
      <w:pPr>
        <w:pStyle w:val="Standard"/>
      </w:pPr>
      <w:r w:rsidRPr="008B175A">
        <w:t xml:space="preserve">This decision affirms all rulings made by the </w:t>
      </w:r>
      <w:r w:rsidR="00234AC2">
        <w:t>ALJ</w:t>
      </w:r>
      <w:r w:rsidRPr="008B175A">
        <w:t xml:space="preserve"> and assigned Commissioner in this proceeding. All motions not ruled on are deemed denied.</w:t>
      </w:r>
    </w:p>
    <w:p w:rsidR="0033215D" w:rsidP="006C0F00" w:rsidRDefault="0033215D" w14:paraId="40398311" w14:textId="77777777">
      <w:pPr>
        <w:pStyle w:val="Heading1"/>
      </w:pPr>
      <w:bookmarkStart w:name="_Toc232674702" w:id="18"/>
      <w:r>
        <w:t>Comments on Proposed Decision</w:t>
      </w:r>
      <w:bookmarkEnd w:id="16"/>
      <w:bookmarkEnd w:id="17"/>
      <w:bookmarkEnd w:id="18"/>
    </w:p>
    <w:p w:rsidR="0033215D" w:rsidP="006F1A0A" w:rsidRDefault="0033215D" w14:paraId="59494CE2" w14:textId="4A0F8655">
      <w:pPr>
        <w:pStyle w:val="Standard"/>
      </w:pPr>
      <w:r w:rsidRPr="00C81BEA">
        <w:t xml:space="preserve">The proposed decision of </w:t>
      </w:r>
      <w:r w:rsidR="00234AC2">
        <w:t>ALJ </w:t>
      </w:r>
      <w:r w:rsidRPr="00C81BEA" w:rsidR="00C81BEA">
        <w:t>Andrew Dugowson</w:t>
      </w:r>
      <w:r w:rsidR="00C81BEA">
        <w:t xml:space="preserve"> </w:t>
      </w:r>
      <w:r>
        <w:t xml:space="preserve">in this matter was mailed to the parties in accordance with </w:t>
      </w:r>
      <w:r w:rsidRPr="00C5090F" w:rsidR="00C5090F">
        <w:t>Pub.</w:t>
      </w:r>
      <w:r w:rsidR="00C5090F">
        <w:t> </w:t>
      </w:r>
      <w:r w:rsidRPr="00C5090F" w:rsidR="00C5090F">
        <w:t>Util.</w:t>
      </w:r>
      <w:r w:rsidR="00C5090F">
        <w:t xml:space="preserve"> Code </w:t>
      </w:r>
      <w:r>
        <w:t>Section</w:t>
      </w:r>
      <w:r w:rsidR="00C5090F">
        <w:t> </w:t>
      </w:r>
      <w:r>
        <w:t xml:space="preserve">311 and comments were allowed under </w:t>
      </w:r>
      <w:r w:rsidR="00C5090F">
        <w:t>Rule </w:t>
      </w:r>
      <w:r>
        <w:t>14.3.</w:t>
      </w:r>
      <w:r w:rsidR="00EC1C5A">
        <w:t xml:space="preserve"> </w:t>
      </w:r>
      <w:r>
        <w:t xml:space="preserve">Comments were filed </w:t>
      </w:r>
      <w:r w:rsidR="008F1029">
        <w:t>on July 30, 2026 by the Complainant, and no party filed reply comments.</w:t>
      </w:r>
    </w:p>
    <w:p w:rsidRPr="00C81BEA" w:rsidR="008D11B3" w:rsidP="008D11B3" w:rsidRDefault="008D11B3" w14:paraId="7DD100A4" w14:textId="0A83F3FD">
      <w:pPr>
        <w:pStyle w:val="Standard"/>
        <w:rPr>
          <w:highlight w:val="yellow"/>
        </w:rPr>
      </w:pPr>
      <w:r>
        <w:t xml:space="preserve">In comments, the </w:t>
      </w:r>
      <w:r w:rsidRPr="00CD72A1">
        <w:t>Complainant argue</w:t>
      </w:r>
      <w:r>
        <w:t>d</w:t>
      </w:r>
      <w:r w:rsidRPr="00CD72A1">
        <w:t xml:space="preserve"> that the Proposed Decision cannot both deny the requested relief and dismiss the complaint as moot. </w:t>
      </w:r>
      <w:r>
        <w:t>This Commission is</w:t>
      </w:r>
      <w:r w:rsidRPr="00CD72A1">
        <w:t xml:space="preserve"> not persuaded. Dismissal as moot reflects that no live controversy remains for the Commission to adjudicate, while denial reflects that the Commission is not granting the requested relief. The use of both terms does not constitute a determination of the merits of every underlying allegation. Indeed, the Commission has previously dismissed a complaint as moot while separately denying the complainant’s requested relief. (Raglin v. AT&amp;T Mobility Wireless Operations Holdings, Inc., D.20-11-031, Ordering Paragraphs 1–2.) Here, as the Proposed Decision explains, we do not determine whether PG&amp;E violated Rule </w:t>
      </w:r>
      <w:r w:rsidRPr="00CD72A1">
        <w:lastRenderedPageBreak/>
        <w:t>12 or another tariff. Accordingly, Complainant’s argument does not establish legal error, and no modification to the disposition is warranted.</w:t>
      </w:r>
    </w:p>
    <w:p w:rsidR="0033215D" w:rsidP="006C0F00" w:rsidRDefault="0033215D" w14:paraId="6C1752E4" w14:textId="77777777">
      <w:pPr>
        <w:pStyle w:val="Heading1"/>
      </w:pPr>
      <w:bookmarkStart w:name="_Toc8123724" w:id="19"/>
      <w:bookmarkStart w:name="_Toc133843855" w:id="20"/>
      <w:bookmarkStart w:name="_Toc232674703" w:id="21"/>
      <w:r>
        <w:t>Assignment of Proceeding</w:t>
      </w:r>
      <w:bookmarkEnd w:id="19"/>
      <w:bookmarkEnd w:id="20"/>
      <w:bookmarkEnd w:id="21"/>
    </w:p>
    <w:p w:rsidR="005939A5" w:rsidP="006F1A0A" w:rsidRDefault="00790F3F" w14:paraId="4480D362" w14:textId="5F802A05">
      <w:pPr>
        <w:pStyle w:val="Standard"/>
      </w:pPr>
      <w:r>
        <w:t>Karen Douglas is the assigned Commissioner and Andrew Dugowson is the assigned A</w:t>
      </w:r>
      <w:r w:rsidR="00910ABA">
        <w:t>dministrative Law Judge</w:t>
      </w:r>
      <w:r>
        <w:t xml:space="preserve"> and Presiding Officer in this proceeding.</w:t>
      </w:r>
    </w:p>
    <w:p w:rsidR="00BB0243" w:rsidP="0033215D" w:rsidRDefault="005939A5" w14:paraId="3F770815" w14:textId="6C73DDF3">
      <w:pPr>
        <w:pStyle w:val="Mainex"/>
      </w:pPr>
      <w:bookmarkStart w:name="_Toc232674704" w:id="22"/>
      <w:r>
        <w:t>O</w:t>
      </w:r>
      <w:r w:rsidR="00722850">
        <w:t>RDER</w:t>
      </w:r>
      <w:bookmarkEnd w:id="22"/>
    </w:p>
    <w:p w:rsidR="00BB0243" w:rsidP="006D6D53" w:rsidRDefault="00BB0243" w14:paraId="547DDF60" w14:textId="77777777">
      <w:pPr>
        <w:pStyle w:val="Standard"/>
        <w:keepNext/>
      </w:pPr>
      <w:r w:rsidRPr="006D6D53">
        <w:rPr>
          <w:b/>
          <w:bCs/>
        </w:rPr>
        <w:t>IT IS ORDERED</w:t>
      </w:r>
      <w:r>
        <w:t xml:space="preserve"> that:</w:t>
      </w:r>
    </w:p>
    <w:p w:rsidR="00886630" w:rsidP="006D6D53" w:rsidRDefault="00786B4E" w14:paraId="1D2E5074" w14:textId="6570899B">
      <w:pPr>
        <w:pStyle w:val="OP"/>
      </w:pPr>
      <w:r>
        <w:t xml:space="preserve">Pacific Gas and </w:t>
      </w:r>
      <w:r w:rsidRPr="006D6D53">
        <w:t>Electric</w:t>
      </w:r>
      <w:r>
        <w:t xml:space="preserve"> Company</w:t>
      </w:r>
      <w:r w:rsidR="00640DF8">
        <w:t>’</w:t>
      </w:r>
      <w:r>
        <w:t>s motion to dismiss is granted</w:t>
      </w:r>
      <w:r w:rsidRPr="00E243BD" w:rsidR="00953C20">
        <w:t>.</w:t>
      </w:r>
    </w:p>
    <w:p w:rsidR="00B23494" w:rsidP="006D6D53" w:rsidRDefault="00B23494" w14:paraId="398B1C31" w14:textId="1E1B357C">
      <w:pPr>
        <w:pStyle w:val="OP"/>
      </w:pPr>
      <w:r>
        <w:t>Complaint 25</w:t>
      </w:r>
      <w:r w:rsidR="00D70AC9">
        <w:noBreakHyphen/>
      </w:r>
      <w:r>
        <w:t>12</w:t>
      </w:r>
      <w:r w:rsidR="00D70AC9">
        <w:noBreakHyphen/>
      </w:r>
      <w:r>
        <w:t>011</w:t>
      </w:r>
      <w:r w:rsidRPr="001E2A62">
        <w:t xml:space="preserve"> is </w:t>
      </w:r>
      <w:r w:rsidR="00910ABA">
        <w:t xml:space="preserve">denied and </w:t>
      </w:r>
      <w:r>
        <w:t>dismissed</w:t>
      </w:r>
      <w:r w:rsidRPr="001E2A62">
        <w:t>.</w:t>
      </w:r>
    </w:p>
    <w:p w:rsidRPr="008108E4" w:rsidR="008108E4" w:rsidP="006D6D53" w:rsidRDefault="008108E4" w14:paraId="5D2EAB1E" w14:textId="1AF3FA21">
      <w:pPr>
        <w:pStyle w:val="OP"/>
      </w:pPr>
      <w:r w:rsidRPr="008108E4">
        <w:t xml:space="preserve">All pending </w:t>
      </w:r>
      <w:r w:rsidRPr="006D6D53">
        <w:t>motions</w:t>
      </w:r>
      <w:r w:rsidRPr="008108E4">
        <w:t xml:space="preserve"> which have not been expressly resolved by the assigned Administrative Law Judge are denied.</w:t>
      </w:r>
    </w:p>
    <w:p w:rsidR="00F6397D" w:rsidP="006D6D53" w:rsidRDefault="00834099" w14:paraId="3013627D" w14:textId="68DAC4AB">
      <w:pPr>
        <w:pStyle w:val="OP"/>
        <w:keepNext/>
        <w:ind w:firstLine="547"/>
      </w:pPr>
      <w:bookmarkStart w:name="_Hlk140738463" w:id="23"/>
      <w:r>
        <w:t>Complaint 25</w:t>
      </w:r>
      <w:r w:rsidR="00D70AC9">
        <w:noBreakHyphen/>
      </w:r>
      <w:r w:rsidRPr="006D6D53">
        <w:t>12</w:t>
      </w:r>
      <w:r w:rsidR="00D70AC9">
        <w:noBreakHyphen/>
      </w:r>
      <w:r>
        <w:t>011</w:t>
      </w:r>
      <w:r w:rsidRPr="001E2A62" w:rsidR="00E23CBB">
        <w:t xml:space="preserve"> is closed.</w:t>
      </w:r>
    </w:p>
    <w:bookmarkEnd w:id="23"/>
    <w:p w:rsidR="008F0116" w:rsidP="006D6D53" w:rsidRDefault="008F0116" w14:paraId="72B615EC" w14:textId="77777777">
      <w:pPr>
        <w:pStyle w:val="Standard"/>
        <w:keepNext/>
      </w:pPr>
      <w:r>
        <w:t>This order is effective today.</w:t>
      </w:r>
    </w:p>
    <w:p w:rsidR="00714CF2" w:rsidP="006D6D53" w:rsidRDefault="008F0116" w14:paraId="4E73E7A2" w14:textId="4E41503B">
      <w:pPr>
        <w:pStyle w:val="Standard"/>
        <w:keepNext/>
      </w:pPr>
      <w:r>
        <w:t xml:space="preserve">Dated </w:t>
      </w:r>
      <w:r w:rsidR="00991E3C">
        <w:t>August 13, 2026</w:t>
      </w:r>
      <w:r>
        <w:t>, at San Francisco, California</w:t>
      </w:r>
      <w:r w:rsidR="006D6D53">
        <w:t>.</w:t>
      </w:r>
    </w:p>
    <w:p w:rsidRPr="00132251" w:rsidR="00991C9B" w:rsidP="00991C9B" w:rsidRDefault="00991C9B" w14:paraId="05BDE55B" w14:textId="77777777">
      <w:pPr>
        <w:pStyle w:val="SigSpaceBA"/>
      </w:pPr>
      <w:bookmarkStart w:name="_Hlk125015643" w:id="24"/>
    </w:p>
    <w:p w:rsidRPr="00132251" w:rsidR="00991C9B" w:rsidP="00991C9B" w:rsidRDefault="00991C9B" w14:paraId="6114837D" w14:textId="77777777">
      <w:pPr>
        <w:pStyle w:val="SigBlockBA-Cmr"/>
      </w:pPr>
      <w:r w:rsidRPr="00132251">
        <w:t>JOHN REYNOLDS</w:t>
      </w:r>
    </w:p>
    <w:p w:rsidRPr="00132251" w:rsidR="00991C9B" w:rsidP="00991C9B" w:rsidRDefault="00991C9B" w14:paraId="6B052B6C" w14:textId="77777777">
      <w:pPr>
        <w:pStyle w:val="SigBlockBA-Title"/>
      </w:pPr>
      <w:r w:rsidRPr="00132251">
        <w:t>President</w:t>
      </w:r>
    </w:p>
    <w:p w:rsidRPr="00132251" w:rsidR="00991C9B" w:rsidP="00991C9B" w:rsidRDefault="00991C9B" w14:paraId="405FC658" w14:textId="77777777">
      <w:pPr>
        <w:pStyle w:val="SigBlockBA-Cmr"/>
      </w:pPr>
      <w:r w:rsidRPr="00132251">
        <w:t>DARCIE L. HOUCK</w:t>
      </w:r>
    </w:p>
    <w:p w:rsidRPr="00132251" w:rsidR="00991C9B" w:rsidP="00991C9B" w:rsidRDefault="00991C9B" w14:paraId="3548FE67" w14:textId="77777777">
      <w:pPr>
        <w:pStyle w:val="SigBlockBA-Cmr"/>
      </w:pPr>
      <w:r w:rsidRPr="001A0FB9">
        <w:t>KAREN DOUGLAS</w:t>
      </w:r>
    </w:p>
    <w:p w:rsidR="00991C9B" w:rsidP="00991C9B" w:rsidRDefault="00991C9B" w14:paraId="4C54867D" w14:textId="77777777">
      <w:pPr>
        <w:pStyle w:val="SigBlockBA-Cmr"/>
      </w:pPr>
      <w:r>
        <w:t>MATTHEW BAKER</w:t>
      </w:r>
    </w:p>
    <w:p w:rsidRPr="00132251" w:rsidR="00991C9B" w:rsidP="00991C9B" w:rsidRDefault="00991C9B" w14:paraId="61B857C7" w14:textId="77777777">
      <w:pPr>
        <w:pStyle w:val="SigBlockBA-Cmr"/>
      </w:pPr>
      <w:r>
        <w:t>CHRISTINE HARADA</w:t>
      </w:r>
    </w:p>
    <w:p w:rsidRPr="00132251" w:rsidR="00991C9B" w:rsidP="00991C9B" w:rsidRDefault="00991C9B" w14:paraId="780C5C7C" w14:textId="77777777">
      <w:pPr>
        <w:pStyle w:val="SigBlockBA-Title"/>
      </w:pPr>
      <w:r w:rsidRPr="00132251">
        <w:t>Commissioners</w:t>
      </w:r>
      <w:bookmarkEnd w:id="24"/>
    </w:p>
    <w:sectPr w:rsidRPr="00132251" w:rsidR="00991C9B" w:rsidSect="00706133">
      <w:headerReference w:type="default" r:id="rId11"/>
      <w:footerReference w:type="default" r:id="rId12"/>
      <w:headerReference w:type="first" r:id="rId13"/>
      <w:footerReference w:type="first" r:id="rId14"/>
      <w:pgSz w:w="12240" w:h="15840"/>
      <w:pgMar w:top="1728"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75CFE" w14:textId="77777777" w:rsidR="00DB08EC" w:rsidRDefault="00DB08EC" w:rsidP="0098138E">
      <w:pPr>
        <w:spacing w:line="240" w:lineRule="auto"/>
      </w:pPr>
      <w:r>
        <w:separator/>
      </w:r>
    </w:p>
  </w:endnote>
  <w:endnote w:type="continuationSeparator" w:id="0">
    <w:p w14:paraId="1F8DD3DE" w14:textId="77777777" w:rsidR="00DB08EC" w:rsidRDefault="00DB08EC"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3C35" w14:textId="28D6EB2E" w:rsidR="00E23CBB" w:rsidRDefault="00D70AC9" w:rsidP="00706133">
    <w:pPr>
      <w:spacing w:line="240" w:lineRule="auto"/>
      <w:ind w:firstLine="0"/>
      <w:jc w:val="center"/>
    </w:pPr>
    <w:r>
      <w:noBreakHyphen/>
    </w:r>
    <w:sdt>
      <w:sdtPr>
        <w:id w:val="-1034043401"/>
        <w:docPartObj>
          <w:docPartGallery w:val="Page Numbers (Bottom of Page)"/>
          <w:docPartUnique/>
        </w:docPartObj>
      </w:sdtPr>
      <w:sdtEndPr>
        <w:rPr>
          <w:noProof/>
        </w:rPr>
      </w:sdtEndPr>
      <w:sdtContent>
        <w:r w:rsidR="00EE4315">
          <w:t xml:space="preserve"> </w:t>
        </w:r>
        <w:r w:rsidR="00E23CBB">
          <w:fldChar w:fldCharType="begin"/>
        </w:r>
        <w:r w:rsidR="00E23CBB">
          <w:instrText xml:space="preserve"> PAGE   \* MERGEFORMAT </w:instrText>
        </w:r>
        <w:r w:rsidR="00E23CBB">
          <w:fldChar w:fldCharType="separate"/>
        </w:r>
        <w:r w:rsidR="00E23CBB">
          <w:rPr>
            <w:noProof/>
          </w:rPr>
          <w:t>2</w:t>
        </w:r>
        <w:r w:rsidR="00E23CBB">
          <w:rPr>
            <w:noProof/>
          </w:rPr>
          <w:fldChar w:fldCharType="end"/>
        </w:r>
        <w:r w:rsidR="00EE4315">
          <w:rPr>
            <w:noProof/>
          </w:rPr>
          <w:t xml:space="preserve"> </w:t>
        </w:r>
        <w:r>
          <w:rPr>
            <w:noProof/>
          </w:rPr>
          <w:noBreakHyphen/>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2563" w14:textId="5A6E9448" w:rsidR="00706133" w:rsidRDefault="00C5237F" w:rsidP="00706133">
    <w:pPr>
      <w:pStyle w:val="Footer"/>
      <w:ind w:firstLine="0"/>
    </w:pPr>
    <w:r w:rsidRPr="00C5237F">
      <w:rPr>
        <w:sz w:val="16"/>
      </w:rPr>
      <w:t>615628862</w:t>
    </w:r>
    <w:r w:rsidR="00706133">
      <w:tab/>
    </w:r>
    <w:r w:rsidR="00D70AC9">
      <w:noBreakHyphen/>
    </w:r>
    <w:r w:rsidR="00706133">
      <w:t xml:space="preserve"> </w:t>
    </w:r>
    <w:r w:rsidR="00706133">
      <w:fldChar w:fldCharType="begin"/>
    </w:r>
    <w:r w:rsidR="00706133">
      <w:instrText xml:space="preserve"> PAGE   \* MERGEFORMAT </w:instrText>
    </w:r>
    <w:r w:rsidR="00706133">
      <w:fldChar w:fldCharType="separate"/>
    </w:r>
    <w:r w:rsidR="00706133">
      <w:rPr>
        <w:noProof/>
      </w:rPr>
      <w:t>1</w:t>
    </w:r>
    <w:r w:rsidR="00706133">
      <w:rPr>
        <w:noProof/>
      </w:rPr>
      <w:fldChar w:fldCharType="end"/>
    </w:r>
    <w:r w:rsidR="00706133">
      <w:rPr>
        <w:noProof/>
      </w:rPr>
      <w:t xml:space="preserve"> </w:t>
    </w:r>
    <w:r w:rsidR="00D70AC9">
      <w:rPr>
        <w:noProof/>
      </w:rPr>
      <w:noBreak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E3403" w14:textId="77777777" w:rsidR="00DB08EC" w:rsidRDefault="00DB08EC" w:rsidP="00DF58E7">
      <w:pPr>
        <w:spacing w:line="240" w:lineRule="auto"/>
        <w:ind w:firstLine="0"/>
      </w:pPr>
      <w:r>
        <w:separator/>
      </w:r>
    </w:p>
  </w:footnote>
  <w:footnote w:type="continuationSeparator" w:id="0">
    <w:p w14:paraId="3D01DFED" w14:textId="77777777" w:rsidR="00DB08EC" w:rsidRDefault="00DB08EC" w:rsidP="00DF58E7">
      <w:pPr>
        <w:spacing w:line="240" w:lineRule="auto"/>
        <w:ind w:firstLine="0"/>
      </w:pPr>
      <w:r>
        <w:continuationSeparator/>
      </w:r>
    </w:p>
  </w:footnote>
  <w:footnote w:type="continuationNotice" w:id="1">
    <w:p w14:paraId="4FD46994" w14:textId="77777777" w:rsidR="00DB08EC" w:rsidRPr="00DF58E7" w:rsidRDefault="00DB08EC" w:rsidP="00DF58E7">
      <w:pPr>
        <w:spacing w:line="240" w:lineRule="auto"/>
        <w:ind w:firstLine="0"/>
        <w:jc w:val="right"/>
        <w:rPr>
          <w:i/>
          <w:sz w:val="22"/>
        </w:rPr>
      </w:pPr>
      <w:r w:rsidRPr="00DF58E7">
        <w:rPr>
          <w:i/>
          <w:sz w:val="22"/>
        </w:rPr>
        <w:t>Footnote continued on next page.</w:t>
      </w:r>
    </w:p>
  </w:footnote>
  <w:footnote w:id="2">
    <w:p w14:paraId="6FD8C2BF" w14:textId="227531E3" w:rsidR="00B71D85" w:rsidRPr="003C3442" w:rsidRDefault="00B71D85" w:rsidP="00B71D85">
      <w:pPr>
        <w:pStyle w:val="FootnoteText"/>
        <w:rPr>
          <w:szCs w:val="22"/>
        </w:rPr>
      </w:pPr>
      <w:r w:rsidRPr="003C3442">
        <w:rPr>
          <w:rStyle w:val="FootnoteReference"/>
          <w:szCs w:val="22"/>
        </w:rPr>
        <w:footnoteRef/>
      </w:r>
      <w:r w:rsidRPr="003C3442">
        <w:rPr>
          <w:szCs w:val="22"/>
        </w:rPr>
        <w:t xml:space="preserve"> </w:t>
      </w:r>
      <w:r w:rsidR="0003327E">
        <w:rPr>
          <w:szCs w:val="22"/>
        </w:rPr>
        <w:t>Public Utilities (Pub. Util.)</w:t>
      </w:r>
      <w:r w:rsidRPr="003C3442">
        <w:rPr>
          <w:szCs w:val="22"/>
        </w:rPr>
        <w:t xml:space="preserve"> Code </w:t>
      </w:r>
      <w:r w:rsidR="001F1CF4">
        <w:rPr>
          <w:szCs w:val="22"/>
        </w:rPr>
        <w:t>§ </w:t>
      </w:r>
      <w:r w:rsidRPr="003C3442">
        <w:rPr>
          <w:szCs w:val="22"/>
        </w:rPr>
        <w:t>216(a).</w:t>
      </w:r>
    </w:p>
  </w:footnote>
  <w:footnote w:id="3">
    <w:p w14:paraId="69B409B4" w14:textId="7392184A" w:rsidR="00BF02DA" w:rsidRDefault="00BF02DA" w:rsidP="00BF02DA">
      <w:pPr>
        <w:pStyle w:val="FootnoteText"/>
      </w:pPr>
      <w:r>
        <w:rPr>
          <w:rStyle w:val="FootnoteReference"/>
        </w:rPr>
        <w:footnoteRef/>
      </w:r>
      <w:r>
        <w:t xml:space="preserve"> </w:t>
      </w:r>
      <w:r w:rsidRPr="00E43068">
        <w:rPr>
          <w:i/>
          <w:iCs/>
        </w:rPr>
        <w:t>In Complaint of Service</w:t>
      </w:r>
      <w:r w:rsidR="00D70AC9">
        <w:rPr>
          <w:i/>
          <w:iCs/>
        </w:rPr>
        <w:noBreakHyphen/>
      </w:r>
      <w:r w:rsidRPr="00E43068">
        <w:rPr>
          <w:i/>
          <w:iCs/>
        </w:rPr>
        <w:t>All</w:t>
      </w:r>
      <w:r w:rsidR="00D70AC9">
        <w:rPr>
          <w:i/>
          <w:iCs/>
        </w:rPr>
        <w:noBreakHyphen/>
      </w:r>
      <w:r w:rsidRPr="00E43068">
        <w:rPr>
          <w:i/>
          <w:iCs/>
        </w:rPr>
        <w:t>Tech, Inc.</w:t>
      </w:r>
      <w:r w:rsidR="001F1CF4">
        <w:rPr>
          <w:i/>
          <w:iCs/>
        </w:rPr>
        <w:t xml:space="preserve"> v. </w:t>
      </w:r>
      <w:r w:rsidRPr="00E43068">
        <w:rPr>
          <w:i/>
          <w:iCs/>
        </w:rPr>
        <w:t>PT&amp;T Co.</w:t>
      </w:r>
      <w:r>
        <w:t xml:space="preserve"> (Cal. PUC, 1977) 83</w:t>
      </w:r>
      <w:r w:rsidR="00D32A2E">
        <w:t> </w:t>
      </w:r>
      <w:r>
        <w:t>CPUC 135, Decision</w:t>
      </w:r>
      <w:r w:rsidR="00BB4E71">
        <w:t xml:space="preserve"> </w:t>
      </w:r>
      <w:r>
        <w:t>No.</w:t>
      </w:r>
      <w:r w:rsidR="00D32A2E">
        <w:t> </w:t>
      </w:r>
      <w:r>
        <w:t>88223 (complaint relating to the disconnection of telephone service where the court found that complainant had the burden of proof and that complainant</w:t>
      </w:r>
      <w:r w:rsidR="00640DF8">
        <w:t>’</w:t>
      </w:r>
      <w:r>
        <w:t xml:space="preserve">s </w:t>
      </w:r>
      <w:r w:rsidR="00640DF8">
        <w:t>“</w:t>
      </w:r>
      <w:r>
        <w:t>failure to present any evidence present[ed] a total lack of meeting that burden</w:t>
      </w:r>
      <w:r w:rsidR="00640DF8">
        <w:t>”</w:t>
      </w:r>
      <w:r>
        <w:t>)</w:t>
      </w:r>
      <w:r w:rsidR="00277FF3">
        <w:t>;</w:t>
      </w:r>
      <w:r>
        <w:t xml:space="preserve"> </w:t>
      </w:r>
      <w:r w:rsidR="00277FF3">
        <w:rPr>
          <w:i/>
          <w:iCs/>
        </w:rPr>
        <w:t>s</w:t>
      </w:r>
      <w:r w:rsidRPr="00E43068">
        <w:rPr>
          <w:i/>
          <w:iCs/>
        </w:rPr>
        <w:t>ee also Pacific Bell Telephone Company, d/b/a AT&amp;T California</w:t>
      </w:r>
      <w:r w:rsidR="003C32C5">
        <w:rPr>
          <w:i/>
          <w:iCs/>
        </w:rPr>
        <w:t> </w:t>
      </w:r>
      <w:r w:rsidRPr="00E43068">
        <w:rPr>
          <w:i/>
          <w:iCs/>
        </w:rPr>
        <w:t>v. Fones4All Corporation</w:t>
      </w:r>
      <w:r>
        <w:t xml:space="preserve"> (Cal. PUC, 2008) </w:t>
      </w:r>
      <w:r w:rsidR="00990222">
        <w:t>Decision (</w:t>
      </w:r>
      <w:r>
        <w:t>D.</w:t>
      </w:r>
      <w:r w:rsidR="00990222">
        <w:t>) </w:t>
      </w:r>
      <w:r>
        <w:t>08</w:t>
      </w:r>
      <w:r w:rsidR="00D70AC9">
        <w:noBreakHyphen/>
      </w:r>
      <w:r>
        <w:t>04</w:t>
      </w:r>
      <w:r w:rsidR="00D70AC9">
        <w:noBreakHyphen/>
      </w:r>
      <w:r>
        <w:t>043, 2008 Cal. PUC LEXIS 132.</w:t>
      </w:r>
    </w:p>
  </w:footnote>
  <w:footnote w:id="4">
    <w:p w14:paraId="436F7E45" w14:textId="77777777" w:rsidR="00F86689" w:rsidRDefault="00F86689" w:rsidP="00F86689">
      <w:pPr>
        <w:pStyle w:val="FootnoteText"/>
      </w:pPr>
      <w:r>
        <w:rPr>
          <w:rStyle w:val="FootnoteReference"/>
        </w:rPr>
        <w:footnoteRef/>
      </w:r>
      <w:r>
        <w:t xml:space="preserve"> All future references are to the Public Utilities Code unless otherwise noted.</w:t>
      </w:r>
    </w:p>
  </w:footnote>
  <w:footnote w:id="5">
    <w:p w14:paraId="32AE26B0" w14:textId="531F139A" w:rsidR="0059398A" w:rsidRDefault="0059398A">
      <w:pPr>
        <w:pStyle w:val="FootnoteText"/>
      </w:pPr>
      <w:r>
        <w:rPr>
          <w:rStyle w:val="FootnoteReference"/>
        </w:rPr>
        <w:footnoteRef/>
      </w:r>
      <w:r>
        <w:t xml:space="preserve"> Sections</w:t>
      </w:r>
      <w:r w:rsidR="003506A6">
        <w:t> </w:t>
      </w:r>
      <w:r w:rsidR="006464FC">
        <w:t>1701.1(d)(1) and 1701.1(d)(2), respectively.</w:t>
      </w:r>
    </w:p>
  </w:footnote>
  <w:footnote w:id="6">
    <w:p w14:paraId="57CDD224" w14:textId="3DE2AD47" w:rsidR="009C4E66" w:rsidRDefault="009C4E66">
      <w:pPr>
        <w:pStyle w:val="FootnoteText"/>
      </w:pPr>
      <w:r>
        <w:rPr>
          <w:rStyle w:val="FootnoteReference"/>
        </w:rPr>
        <w:footnoteRef/>
      </w:r>
      <w:r>
        <w:t xml:space="preserve"> D.07</w:t>
      </w:r>
      <w:r w:rsidR="00D70AC9">
        <w:noBreakHyphen/>
      </w:r>
      <w:r>
        <w:t>07</w:t>
      </w:r>
      <w:r w:rsidR="00D70AC9">
        <w:noBreakHyphen/>
      </w:r>
      <w:r>
        <w:t>020 at 13.</w:t>
      </w:r>
    </w:p>
  </w:footnote>
  <w:footnote w:id="7">
    <w:p w14:paraId="524BEC43" w14:textId="1528AC19" w:rsidR="00800A47" w:rsidRDefault="00800A47" w:rsidP="00800A47">
      <w:pPr>
        <w:pStyle w:val="FootnoteText"/>
      </w:pPr>
      <w:r>
        <w:rPr>
          <w:rStyle w:val="FootnoteReference"/>
        </w:rPr>
        <w:footnoteRef/>
      </w:r>
      <w:r>
        <w:t xml:space="preserve"> </w:t>
      </w:r>
      <w:r w:rsidR="00C5090F">
        <w:t>Rule </w:t>
      </w:r>
      <w:r>
        <w:t>1.3(a).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2472" w14:textId="0715C113" w:rsidR="00976569" w:rsidRDefault="00F63E5E" w:rsidP="00976569">
    <w:pPr>
      <w:pStyle w:val="Header"/>
      <w:tabs>
        <w:tab w:val="clear" w:pos="4680"/>
      </w:tabs>
      <w:ind w:firstLine="0"/>
    </w:pPr>
    <w:r w:rsidRPr="00F63E5E">
      <w:t>C</w:t>
    </w:r>
    <w:r>
      <w:t>.</w:t>
    </w:r>
    <w:r w:rsidRPr="00F63E5E">
      <w:t>25</w:t>
    </w:r>
    <w:r w:rsidR="00D70AC9">
      <w:noBreakHyphen/>
    </w:r>
    <w:r w:rsidRPr="00F63E5E">
      <w:t>12</w:t>
    </w:r>
    <w:r w:rsidR="00D70AC9">
      <w:noBreakHyphen/>
    </w:r>
    <w:r w:rsidRPr="00F63E5E">
      <w:t>011</w:t>
    </w:r>
    <w:r>
      <w:t xml:space="preserve">  ALJ/ADW/nd3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41D78" w14:textId="77777777" w:rsidR="0044680B" w:rsidRPr="008309F8" w:rsidRDefault="0044680B" w:rsidP="008309F8">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5F056CB"/>
    <w:multiLevelType w:val="multilevel"/>
    <w:tmpl w:val="18F4A5AC"/>
    <w:numStyleLink w:val="FoFCoLOP"/>
  </w:abstractNum>
  <w:abstractNum w:abstractNumId="3" w15:restartNumberingAfterBreak="0">
    <w:nsid w:val="184A02B7"/>
    <w:multiLevelType w:val="hybridMultilevel"/>
    <w:tmpl w:val="D0DE6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70038F"/>
    <w:multiLevelType w:val="multilevel"/>
    <w:tmpl w:val="3C526EDE"/>
    <w:numStyleLink w:val="Headings"/>
  </w:abstractNum>
  <w:abstractNum w:abstractNumId="6" w15:restartNumberingAfterBreak="0">
    <w:nsid w:val="1E2242C9"/>
    <w:multiLevelType w:val="multilevel"/>
    <w:tmpl w:val="3C526EDE"/>
    <w:numStyleLink w:val="Headings"/>
  </w:abstractNum>
  <w:abstractNum w:abstractNumId="7" w15:restartNumberingAfterBreak="0">
    <w:nsid w:val="21FB58FE"/>
    <w:multiLevelType w:val="multilevel"/>
    <w:tmpl w:val="3C526EDE"/>
    <w:numStyleLink w:val="Headings"/>
  </w:abstractNum>
  <w:abstractNum w:abstractNumId="8" w15:restartNumberingAfterBreak="0">
    <w:nsid w:val="243663A0"/>
    <w:multiLevelType w:val="multilevel"/>
    <w:tmpl w:val="3C526EDE"/>
    <w:numStyleLink w:val="Headings"/>
  </w:abstractNum>
  <w:abstractNum w:abstractNumId="9" w15:restartNumberingAfterBreak="0">
    <w:nsid w:val="25061C54"/>
    <w:multiLevelType w:val="hybridMultilevel"/>
    <w:tmpl w:val="18D62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8124D7"/>
    <w:multiLevelType w:val="multilevel"/>
    <w:tmpl w:val="3C526EDE"/>
    <w:numStyleLink w:val="Headings"/>
  </w:abstractNum>
  <w:abstractNum w:abstractNumId="11"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2"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59D042D7"/>
    <w:multiLevelType w:val="multilevel"/>
    <w:tmpl w:val="18F4A5AC"/>
    <w:numStyleLink w:val="FoFCoLOP"/>
  </w:abstractNum>
  <w:abstractNum w:abstractNumId="14" w15:restartNumberingAfterBreak="0">
    <w:nsid w:val="5A9E2171"/>
    <w:multiLevelType w:val="multilevel"/>
    <w:tmpl w:val="3C526EDE"/>
    <w:numStyleLink w:val="Headings"/>
  </w:abstractNum>
  <w:abstractNum w:abstractNumId="15" w15:restartNumberingAfterBreak="0">
    <w:nsid w:val="61A25780"/>
    <w:multiLevelType w:val="multilevel"/>
    <w:tmpl w:val="2C4EFE7E"/>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ind w:left="1584" w:hanging="864"/>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6"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89A0AFE"/>
    <w:multiLevelType w:val="multilevel"/>
    <w:tmpl w:val="18F4A5AC"/>
    <w:numStyleLink w:val="FoFCoLOP"/>
  </w:abstractNum>
  <w:num w:numId="1" w16cid:durableId="1354526949">
    <w:abstractNumId w:val="14"/>
  </w:num>
  <w:num w:numId="2" w16cid:durableId="140774137">
    <w:abstractNumId w:val="1"/>
  </w:num>
  <w:num w:numId="3" w16cid:durableId="1898543446">
    <w:abstractNumId w:val="13"/>
  </w:num>
  <w:num w:numId="4" w16cid:durableId="701521005">
    <w:abstractNumId w:val="2"/>
  </w:num>
  <w:num w:numId="5" w16cid:durableId="2017029027">
    <w:abstractNumId w:val="17"/>
  </w:num>
  <w:num w:numId="6" w16cid:durableId="973756952">
    <w:abstractNumId w:val="11"/>
  </w:num>
  <w:num w:numId="7" w16cid:durableId="827667741">
    <w:abstractNumId w:val="6"/>
  </w:num>
  <w:num w:numId="8" w16cid:durableId="1760327020">
    <w:abstractNumId w:val="16"/>
  </w:num>
  <w:num w:numId="9" w16cid:durableId="816924040">
    <w:abstractNumId w:val="0"/>
  </w:num>
  <w:num w:numId="10" w16cid:durableId="1817916489">
    <w:abstractNumId w:val="5"/>
  </w:num>
  <w:num w:numId="11" w16cid:durableId="291985460">
    <w:abstractNumId w:val="7"/>
  </w:num>
  <w:num w:numId="12" w16cid:durableId="467941983">
    <w:abstractNumId w:val="4"/>
  </w:num>
  <w:num w:numId="13" w16cid:durableId="712996464">
    <w:abstractNumId w:val="8"/>
  </w:num>
  <w:num w:numId="14" w16cid:durableId="1303778653">
    <w:abstractNumId w:val="10"/>
  </w:num>
  <w:num w:numId="15" w16cid:durableId="1714382259">
    <w:abstractNumId w:val="15"/>
  </w:num>
  <w:num w:numId="16" w16cid:durableId="5481076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5"/>
  </w:num>
  <w:num w:numId="18" w16cid:durableId="132916443">
    <w:abstractNumId w:val="3"/>
  </w:num>
  <w:num w:numId="19" w16cid:durableId="1096750545">
    <w:abstractNumId w:val="9"/>
  </w:num>
  <w:num w:numId="20" w16cid:durableId="189138266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C5"/>
    <w:rsid w:val="00000F6A"/>
    <w:rsid w:val="00007F38"/>
    <w:rsid w:val="00015890"/>
    <w:rsid w:val="00022A76"/>
    <w:rsid w:val="0003327E"/>
    <w:rsid w:val="000400B7"/>
    <w:rsid w:val="000418E1"/>
    <w:rsid w:val="00043F9D"/>
    <w:rsid w:val="00050400"/>
    <w:rsid w:val="0006278E"/>
    <w:rsid w:val="0007016D"/>
    <w:rsid w:val="0007115A"/>
    <w:rsid w:val="00073BF0"/>
    <w:rsid w:val="000742A5"/>
    <w:rsid w:val="00081090"/>
    <w:rsid w:val="000817A1"/>
    <w:rsid w:val="00090490"/>
    <w:rsid w:val="00092FD4"/>
    <w:rsid w:val="0009326D"/>
    <w:rsid w:val="000973C8"/>
    <w:rsid w:val="000A1A5C"/>
    <w:rsid w:val="000A27A4"/>
    <w:rsid w:val="000A2AA9"/>
    <w:rsid w:val="000A56F2"/>
    <w:rsid w:val="000A6E05"/>
    <w:rsid w:val="000B12FA"/>
    <w:rsid w:val="000B38B1"/>
    <w:rsid w:val="000C08BF"/>
    <w:rsid w:val="000C3B9A"/>
    <w:rsid w:val="000D25A8"/>
    <w:rsid w:val="000E270A"/>
    <w:rsid w:val="000E46C6"/>
    <w:rsid w:val="000E4C53"/>
    <w:rsid w:val="000E6F6A"/>
    <w:rsid w:val="000F20CB"/>
    <w:rsid w:val="000F30CC"/>
    <w:rsid w:val="000F31D5"/>
    <w:rsid w:val="000F48C6"/>
    <w:rsid w:val="000F655B"/>
    <w:rsid w:val="00100E43"/>
    <w:rsid w:val="001147C7"/>
    <w:rsid w:val="00121089"/>
    <w:rsid w:val="00125F95"/>
    <w:rsid w:val="0013655E"/>
    <w:rsid w:val="001366DF"/>
    <w:rsid w:val="00142BC2"/>
    <w:rsid w:val="0015107C"/>
    <w:rsid w:val="001541EB"/>
    <w:rsid w:val="001573A3"/>
    <w:rsid w:val="00163057"/>
    <w:rsid w:val="0016720E"/>
    <w:rsid w:val="0017016E"/>
    <w:rsid w:val="0017168B"/>
    <w:rsid w:val="001720CF"/>
    <w:rsid w:val="00181751"/>
    <w:rsid w:val="00184A8F"/>
    <w:rsid w:val="00185E61"/>
    <w:rsid w:val="001909D8"/>
    <w:rsid w:val="00192AC7"/>
    <w:rsid w:val="00193B03"/>
    <w:rsid w:val="001A29B4"/>
    <w:rsid w:val="001B1606"/>
    <w:rsid w:val="001B7F8B"/>
    <w:rsid w:val="001C363F"/>
    <w:rsid w:val="001C57F2"/>
    <w:rsid w:val="001D3FE1"/>
    <w:rsid w:val="001D6BDE"/>
    <w:rsid w:val="001E2A62"/>
    <w:rsid w:val="001E3464"/>
    <w:rsid w:val="001E6D4E"/>
    <w:rsid w:val="001F014F"/>
    <w:rsid w:val="001F1CF4"/>
    <w:rsid w:val="001F2819"/>
    <w:rsid w:val="001F48D1"/>
    <w:rsid w:val="001F4C0D"/>
    <w:rsid w:val="001F5F25"/>
    <w:rsid w:val="002043EC"/>
    <w:rsid w:val="00216844"/>
    <w:rsid w:val="002330F8"/>
    <w:rsid w:val="00234AC2"/>
    <w:rsid w:val="00241043"/>
    <w:rsid w:val="00241320"/>
    <w:rsid w:val="00243DC0"/>
    <w:rsid w:val="00243FE7"/>
    <w:rsid w:val="00244347"/>
    <w:rsid w:val="00245DEB"/>
    <w:rsid w:val="00247477"/>
    <w:rsid w:val="00250AAA"/>
    <w:rsid w:val="00251901"/>
    <w:rsid w:val="00263BCA"/>
    <w:rsid w:val="002651C2"/>
    <w:rsid w:val="00270440"/>
    <w:rsid w:val="002777DE"/>
    <w:rsid w:val="00277FF3"/>
    <w:rsid w:val="00280663"/>
    <w:rsid w:val="00284D8D"/>
    <w:rsid w:val="00287BC5"/>
    <w:rsid w:val="00293DEE"/>
    <w:rsid w:val="002946B1"/>
    <w:rsid w:val="0029780D"/>
    <w:rsid w:val="002978D3"/>
    <w:rsid w:val="002A050D"/>
    <w:rsid w:val="002A0B5D"/>
    <w:rsid w:val="002A1F31"/>
    <w:rsid w:val="002A3375"/>
    <w:rsid w:val="002A7AC5"/>
    <w:rsid w:val="002B5E74"/>
    <w:rsid w:val="002B6B45"/>
    <w:rsid w:val="002B7E97"/>
    <w:rsid w:val="002C0425"/>
    <w:rsid w:val="002C12E1"/>
    <w:rsid w:val="002C4419"/>
    <w:rsid w:val="002C5438"/>
    <w:rsid w:val="002C7E53"/>
    <w:rsid w:val="002C7FE9"/>
    <w:rsid w:val="002D0DC5"/>
    <w:rsid w:val="002D2EDE"/>
    <w:rsid w:val="002D3AEE"/>
    <w:rsid w:val="002D4EFD"/>
    <w:rsid w:val="002D7B8A"/>
    <w:rsid w:val="002F3001"/>
    <w:rsid w:val="00304060"/>
    <w:rsid w:val="00310093"/>
    <w:rsid w:val="003106CD"/>
    <w:rsid w:val="00315A97"/>
    <w:rsid w:val="00316071"/>
    <w:rsid w:val="003211F6"/>
    <w:rsid w:val="003237B8"/>
    <w:rsid w:val="0033215D"/>
    <w:rsid w:val="00343E5C"/>
    <w:rsid w:val="00344FB8"/>
    <w:rsid w:val="00345820"/>
    <w:rsid w:val="003506A6"/>
    <w:rsid w:val="00351D18"/>
    <w:rsid w:val="0036017B"/>
    <w:rsid w:val="00361BB1"/>
    <w:rsid w:val="00362755"/>
    <w:rsid w:val="00373B93"/>
    <w:rsid w:val="0037675D"/>
    <w:rsid w:val="00376C2B"/>
    <w:rsid w:val="00380CD1"/>
    <w:rsid w:val="0039430F"/>
    <w:rsid w:val="00395714"/>
    <w:rsid w:val="003A02CA"/>
    <w:rsid w:val="003A2F1B"/>
    <w:rsid w:val="003A38F0"/>
    <w:rsid w:val="003A3BE2"/>
    <w:rsid w:val="003B4794"/>
    <w:rsid w:val="003B591F"/>
    <w:rsid w:val="003C13C9"/>
    <w:rsid w:val="003C32C5"/>
    <w:rsid w:val="003D4575"/>
    <w:rsid w:val="003D53E3"/>
    <w:rsid w:val="003F069A"/>
    <w:rsid w:val="003F4329"/>
    <w:rsid w:val="00404460"/>
    <w:rsid w:val="004123C5"/>
    <w:rsid w:val="00412534"/>
    <w:rsid w:val="00412C83"/>
    <w:rsid w:val="00412D53"/>
    <w:rsid w:val="00412E95"/>
    <w:rsid w:val="00420ABD"/>
    <w:rsid w:val="00426014"/>
    <w:rsid w:val="0043611C"/>
    <w:rsid w:val="00442656"/>
    <w:rsid w:val="0044617E"/>
    <w:rsid w:val="0044680B"/>
    <w:rsid w:val="00460B7D"/>
    <w:rsid w:val="0046172A"/>
    <w:rsid w:val="00471A27"/>
    <w:rsid w:val="00471CA5"/>
    <w:rsid w:val="00480CB0"/>
    <w:rsid w:val="00481934"/>
    <w:rsid w:val="00483603"/>
    <w:rsid w:val="00486FBA"/>
    <w:rsid w:val="004A47BE"/>
    <w:rsid w:val="004B080D"/>
    <w:rsid w:val="004B1D65"/>
    <w:rsid w:val="004B34EA"/>
    <w:rsid w:val="004B5494"/>
    <w:rsid w:val="004B7BFF"/>
    <w:rsid w:val="004C1A97"/>
    <w:rsid w:val="004C55D7"/>
    <w:rsid w:val="004C70F9"/>
    <w:rsid w:val="004C7A2B"/>
    <w:rsid w:val="004C7D3A"/>
    <w:rsid w:val="004D20BB"/>
    <w:rsid w:val="004D2D5D"/>
    <w:rsid w:val="004E0865"/>
    <w:rsid w:val="004E3063"/>
    <w:rsid w:val="004F21FB"/>
    <w:rsid w:val="005018A8"/>
    <w:rsid w:val="00505A39"/>
    <w:rsid w:val="00513F09"/>
    <w:rsid w:val="005168A1"/>
    <w:rsid w:val="00522B92"/>
    <w:rsid w:val="005240BF"/>
    <w:rsid w:val="0053044D"/>
    <w:rsid w:val="00532D0A"/>
    <w:rsid w:val="00540187"/>
    <w:rsid w:val="00542B5C"/>
    <w:rsid w:val="00542CE0"/>
    <w:rsid w:val="00543FE4"/>
    <w:rsid w:val="005473B3"/>
    <w:rsid w:val="00547611"/>
    <w:rsid w:val="00556DC4"/>
    <w:rsid w:val="0055733B"/>
    <w:rsid w:val="00570257"/>
    <w:rsid w:val="00574A5A"/>
    <w:rsid w:val="005757EC"/>
    <w:rsid w:val="005758F0"/>
    <w:rsid w:val="005804D1"/>
    <w:rsid w:val="00585390"/>
    <w:rsid w:val="0058544D"/>
    <w:rsid w:val="00585ACC"/>
    <w:rsid w:val="00590198"/>
    <w:rsid w:val="0059398A"/>
    <w:rsid w:val="005939A5"/>
    <w:rsid w:val="005A148C"/>
    <w:rsid w:val="005A5CE7"/>
    <w:rsid w:val="005B1304"/>
    <w:rsid w:val="005C1E28"/>
    <w:rsid w:val="005C58FA"/>
    <w:rsid w:val="005D1A76"/>
    <w:rsid w:val="005D44A7"/>
    <w:rsid w:val="005D5C01"/>
    <w:rsid w:val="005D6464"/>
    <w:rsid w:val="005E00F9"/>
    <w:rsid w:val="005E59E1"/>
    <w:rsid w:val="005F591D"/>
    <w:rsid w:val="00603238"/>
    <w:rsid w:val="00604DE4"/>
    <w:rsid w:val="00610D3B"/>
    <w:rsid w:val="00616560"/>
    <w:rsid w:val="00623775"/>
    <w:rsid w:val="006248BD"/>
    <w:rsid w:val="00632207"/>
    <w:rsid w:val="0063491C"/>
    <w:rsid w:val="006369FB"/>
    <w:rsid w:val="00640DF8"/>
    <w:rsid w:val="00641A5C"/>
    <w:rsid w:val="00643671"/>
    <w:rsid w:val="00646460"/>
    <w:rsid w:val="006464FC"/>
    <w:rsid w:val="006523C5"/>
    <w:rsid w:val="0065724B"/>
    <w:rsid w:val="00661464"/>
    <w:rsid w:val="00661AFE"/>
    <w:rsid w:val="00672D5D"/>
    <w:rsid w:val="00672E35"/>
    <w:rsid w:val="00680733"/>
    <w:rsid w:val="00680F19"/>
    <w:rsid w:val="0068263C"/>
    <w:rsid w:val="00683B2C"/>
    <w:rsid w:val="00694BD7"/>
    <w:rsid w:val="0069621A"/>
    <w:rsid w:val="006A7AB9"/>
    <w:rsid w:val="006B2D5E"/>
    <w:rsid w:val="006B4249"/>
    <w:rsid w:val="006B6FB3"/>
    <w:rsid w:val="006C0204"/>
    <w:rsid w:val="006C0F00"/>
    <w:rsid w:val="006C1F10"/>
    <w:rsid w:val="006C2238"/>
    <w:rsid w:val="006C4330"/>
    <w:rsid w:val="006D6D53"/>
    <w:rsid w:val="006E2DC1"/>
    <w:rsid w:val="006E5E28"/>
    <w:rsid w:val="006E6574"/>
    <w:rsid w:val="006E675E"/>
    <w:rsid w:val="006F1A0A"/>
    <w:rsid w:val="006F65C9"/>
    <w:rsid w:val="00701C5F"/>
    <w:rsid w:val="00702797"/>
    <w:rsid w:val="00706133"/>
    <w:rsid w:val="0071346D"/>
    <w:rsid w:val="00714CF2"/>
    <w:rsid w:val="007156B9"/>
    <w:rsid w:val="00720817"/>
    <w:rsid w:val="00721C98"/>
    <w:rsid w:val="00722108"/>
    <w:rsid w:val="00722850"/>
    <w:rsid w:val="00723B06"/>
    <w:rsid w:val="0073353F"/>
    <w:rsid w:val="00735A91"/>
    <w:rsid w:val="00740B48"/>
    <w:rsid w:val="00742E45"/>
    <w:rsid w:val="007447AF"/>
    <w:rsid w:val="00745CD9"/>
    <w:rsid w:val="007474C6"/>
    <w:rsid w:val="00750816"/>
    <w:rsid w:val="00756519"/>
    <w:rsid w:val="00756C08"/>
    <w:rsid w:val="00762F0D"/>
    <w:rsid w:val="00764BA3"/>
    <w:rsid w:val="007657C1"/>
    <w:rsid w:val="00765B36"/>
    <w:rsid w:val="00774CE0"/>
    <w:rsid w:val="007758AE"/>
    <w:rsid w:val="0077755F"/>
    <w:rsid w:val="007807BC"/>
    <w:rsid w:val="0078333C"/>
    <w:rsid w:val="007855D2"/>
    <w:rsid w:val="00786B4E"/>
    <w:rsid w:val="00790514"/>
    <w:rsid w:val="00790F3F"/>
    <w:rsid w:val="0079626A"/>
    <w:rsid w:val="007974FC"/>
    <w:rsid w:val="007A406D"/>
    <w:rsid w:val="007A62B0"/>
    <w:rsid w:val="007B3751"/>
    <w:rsid w:val="007C18B0"/>
    <w:rsid w:val="007C5A0C"/>
    <w:rsid w:val="007E0FEE"/>
    <w:rsid w:val="007E483A"/>
    <w:rsid w:val="007E5261"/>
    <w:rsid w:val="007E7A0F"/>
    <w:rsid w:val="007E7EE8"/>
    <w:rsid w:val="007F117B"/>
    <w:rsid w:val="007F2017"/>
    <w:rsid w:val="00800A47"/>
    <w:rsid w:val="0080390E"/>
    <w:rsid w:val="00804F34"/>
    <w:rsid w:val="0080592E"/>
    <w:rsid w:val="008108E4"/>
    <w:rsid w:val="00812FC3"/>
    <w:rsid w:val="008159CF"/>
    <w:rsid w:val="00816E05"/>
    <w:rsid w:val="00820746"/>
    <w:rsid w:val="0082144C"/>
    <w:rsid w:val="00822907"/>
    <w:rsid w:val="00824D03"/>
    <w:rsid w:val="008309F8"/>
    <w:rsid w:val="008339BB"/>
    <w:rsid w:val="00834099"/>
    <w:rsid w:val="008435E9"/>
    <w:rsid w:val="00852AB1"/>
    <w:rsid w:val="0086419A"/>
    <w:rsid w:val="0087023B"/>
    <w:rsid w:val="008731EC"/>
    <w:rsid w:val="00874D7B"/>
    <w:rsid w:val="00876275"/>
    <w:rsid w:val="008764C2"/>
    <w:rsid w:val="008845D5"/>
    <w:rsid w:val="00886630"/>
    <w:rsid w:val="00891F08"/>
    <w:rsid w:val="008929C9"/>
    <w:rsid w:val="008A08BF"/>
    <w:rsid w:val="008A179F"/>
    <w:rsid w:val="008B0864"/>
    <w:rsid w:val="008B43EA"/>
    <w:rsid w:val="008C3CB7"/>
    <w:rsid w:val="008C6D83"/>
    <w:rsid w:val="008C7413"/>
    <w:rsid w:val="008D11B3"/>
    <w:rsid w:val="008D16B7"/>
    <w:rsid w:val="008E2220"/>
    <w:rsid w:val="008E6AE6"/>
    <w:rsid w:val="008F0116"/>
    <w:rsid w:val="008F0F10"/>
    <w:rsid w:val="008F1029"/>
    <w:rsid w:val="008F143D"/>
    <w:rsid w:val="0090655E"/>
    <w:rsid w:val="00910ABA"/>
    <w:rsid w:val="00925CC6"/>
    <w:rsid w:val="00931BE0"/>
    <w:rsid w:val="00932865"/>
    <w:rsid w:val="00936607"/>
    <w:rsid w:val="00945A9E"/>
    <w:rsid w:val="00950335"/>
    <w:rsid w:val="009531C1"/>
    <w:rsid w:val="00953C20"/>
    <w:rsid w:val="009673EE"/>
    <w:rsid w:val="0097286E"/>
    <w:rsid w:val="00976569"/>
    <w:rsid w:val="009778DD"/>
    <w:rsid w:val="00980352"/>
    <w:rsid w:val="0098138E"/>
    <w:rsid w:val="0098441B"/>
    <w:rsid w:val="0098655A"/>
    <w:rsid w:val="00990222"/>
    <w:rsid w:val="00991C9B"/>
    <w:rsid w:val="00991E3C"/>
    <w:rsid w:val="00997AAB"/>
    <w:rsid w:val="009A6E36"/>
    <w:rsid w:val="009C0EC1"/>
    <w:rsid w:val="009C1E5B"/>
    <w:rsid w:val="009C4E66"/>
    <w:rsid w:val="009D56B4"/>
    <w:rsid w:val="009E6052"/>
    <w:rsid w:val="009E7C7F"/>
    <w:rsid w:val="00A01FB7"/>
    <w:rsid w:val="00A02733"/>
    <w:rsid w:val="00A10C0A"/>
    <w:rsid w:val="00A14B58"/>
    <w:rsid w:val="00A17CE0"/>
    <w:rsid w:val="00A23D48"/>
    <w:rsid w:val="00A30EB1"/>
    <w:rsid w:val="00A36743"/>
    <w:rsid w:val="00A42306"/>
    <w:rsid w:val="00A423D4"/>
    <w:rsid w:val="00A44E8D"/>
    <w:rsid w:val="00A46EA8"/>
    <w:rsid w:val="00A47AEC"/>
    <w:rsid w:val="00A55ACD"/>
    <w:rsid w:val="00A6185F"/>
    <w:rsid w:val="00A74EEA"/>
    <w:rsid w:val="00A81463"/>
    <w:rsid w:val="00A85D27"/>
    <w:rsid w:val="00AA5DEF"/>
    <w:rsid w:val="00AB2794"/>
    <w:rsid w:val="00AB4A39"/>
    <w:rsid w:val="00AB5F47"/>
    <w:rsid w:val="00AB7875"/>
    <w:rsid w:val="00AC5FE9"/>
    <w:rsid w:val="00AC68EE"/>
    <w:rsid w:val="00AD772C"/>
    <w:rsid w:val="00AE4789"/>
    <w:rsid w:val="00AF08AC"/>
    <w:rsid w:val="00AF08D6"/>
    <w:rsid w:val="00AF5F16"/>
    <w:rsid w:val="00B00397"/>
    <w:rsid w:val="00B00BCF"/>
    <w:rsid w:val="00B01F7E"/>
    <w:rsid w:val="00B052ED"/>
    <w:rsid w:val="00B10A6C"/>
    <w:rsid w:val="00B129B3"/>
    <w:rsid w:val="00B16C2A"/>
    <w:rsid w:val="00B23494"/>
    <w:rsid w:val="00B24DD2"/>
    <w:rsid w:val="00B3087D"/>
    <w:rsid w:val="00B344DF"/>
    <w:rsid w:val="00B34794"/>
    <w:rsid w:val="00B50100"/>
    <w:rsid w:val="00B60421"/>
    <w:rsid w:val="00B60C51"/>
    <w:rsid w:val="00B61156"/>
    <w:rsid w:val="00B62B15"/>
    <w:rsid w:val="00B6450A"/>
    <w:rsid w:val="00B71D85"/>
    <w:rsid w:val="00B74E49"/>
    <w:rsid w:val="00B75161"/>
    <w:rsid w:val="00B75D02"/>
    <w:rsid w:val="00B81EB6"/>
    <w:rsid w:val="00B82067"/>
    <w:rsid w:val="00B842ED"/>
    <w:rsid w:val="00BB0243"/>
    <w:rsid w:val="00BB271A"/>
    <w:rsid w:val="00BB4E71"/>
    <w:rsid w:val="00BC2B8C"/>
    <w:rsid w:val="00BC66E6"/>
    <w:rsid w:val="00BE4198"/>
    <w:rsid w:val="00BE43FB"/>
    <w:rsid w:val="00BF02DA"/>
    <w:rsid w:val="00BF12CF"/>
    <w:rsid w:val="00BF58A7"/>
    <w:rsid w:val="00BF76C3"/>
    <w:rsid w:val="00C03769"/>
    <w:rsid w:val="00C10B5F"/>
    <w:rsid w:val="00C11917"/>
    <w:rsid w:val="00C14AED"/>
    <w:rsid w:val="00C174AD"/>
    <w:rsid w:val="00C20FA2"/>
    <w:rsid w:val="00C210BB"/>
    <w:rsid w:val="00C31800"/>
    <w:rsid w:val="00C33E32"/>
    <w:rsid w:val="00C34AFE"/>
    <w:rsid w:val="00C37452"/>
    <w:rsid w:val="00C448E0"/>
    <w:rsid w:val="00C5090F"/>
    <w:rsid w:val="00C5237F"/>
    <w:rsid w:val="00C57B84"/>
    <w:rsid w:val="00C8038C"/>
    <w:rsid w:val="00C81BEA"/>
    <w:rsid w:val="00C878D5"/>
    <w:rsid w:val="00C9033B"/>
    <w:rsid w:val="00C913A1"/>
    <w:rsid w:val="00C95C75"/>
    <w:rsid w:val="00CB465B"/>
    <w:rsid w:val="00CC1702"/>
    <w:rsid w:val="00CC519C"/>
    <w:rsid w:val="00CC5FAB"/>
    <w:rsid w:val="00CC6A99"/>
    <w:rsid w:val="00CD40DC"/>
    <w:rsid w:val="00CD544D"/>
    <w:rsid w:val="00CE17EB"/>
    <w:rsid w:val="00CE31BA"/>
    <w:rsid w:val="00CF06B1"/>
    <w:rsid w:val="00CF20A2"/>
    <w:rsid w:val="00CF2497"/>
    <w:rsid w:val="00CF2E14"/>
    <w:rsid w:val="00D00AA3"/>
    <w:rsid w:val="00D048A5"/>
    <w:rsid w:val="00D04FFE"/>
    <w:rsid w:val="00D0504E"/>
    <w:rsid w:val="00D07F73"/>
    <w:rsid w:val="00D14844"/>
    <w:rsid w:val="00D15C92"/>
    <w:rsid w:val="00D2041C"/>
    <w:rsid w:val="00D25ADE"/>
    <w:rsid w:val="00D32A2E"/>
    <w:rsid w:val="00D41B11"/>
    <w:rsid w:val="00D420B4"/>
    <w:rsid w:val="00D43297"/>
    <w:rsid w:val="00D439D8"/>
    <w:rsid w:val="00D44DB6"/>
    <w:rsid w:val="00D4512B"/>
    <w:rsid w:val="00D50119"/>
    <w:rsid w:val="00D525E7"/>
    <w:rsid w:val="00D570C9"/>
    <w:rsid w:val="00D67596"/>
    <w:rsid w:val="00D70AC9"/>
    <w:rsid w:val="00D82A43"/>
    <w:rsid w:val="00D91C39"/>
    <w:rsid w:val="00D91D2B"/>
    <w:rsid w:val="00D9477D"/>
    <w:rsid w:val="00D95684"/>
    <w:rsid w:val="00D95ABA"/>
    <w:rsid w:val="00DA00AF"/>
    <w:rsid w:val="00DA0548"/>
    <w:rsid w:val="00DA495B"/>
    <w:rsid w:val="00DA7B5D"/>
    <w:rsid w:val="00DB08EC"/>
    <w:rsid w:val="00DB46E9"/>
    <w:rsid w:val="00DD1F38"/>
    <w:rsid w:val="00DD2CCE"/>
    <w:rsid w:val="00DF58E7"/>
    <w:rsid w:val="00DF7E64"/>
    <w:rsid w:val="00E03446"/>
    <w:rsid w:val="00E0441D"/>
    <w:rsid w:val="00E11876"/>
    <w:rsid w:val="00E226F3"/>
    <w:rsid w:val="00E231D8"/>
    <w:rsid w:val="00E23CBB"/>
    <w:rsid w:val="00E24A2E"/>
    <w:rsid w:val="00E32686"/>
    <w:rsid w:val="00E34064"/>
    <w:rsid w:val="00E35775"/>
    <w:rsid w:val="00E36ADA"/>
    <w:rsid w:val="00E37B59"/>
    <w:rsid w:val="00E41884"/>
    <w:rsid w:val="00E43068"/>
    <w:rsid w:val="00E47FF5"/>
    <w:rsid w:val="00E51694"/>
    <w:rsid w:val="00E52CB3"/>
    <w:rsid w:val="00E53438"/>
    <w:rsid w:val="00E5356E"/>
    <w:rsid w:val="00E6681D"/>
    <w:rsid w:val="00E725FC"/>
    <w:rsid w:val="00E757D6"/>
    <w:rsid w:val="00E82EBC"/>
    <w:rsid w:val="00E92DF2"/>
    <w:rsid w:val="00E939CB"/>
    <w:rsid w:val="00E949AC"/>
    <w:rsid w:val="00E974D5"/>
    <w:rsid w:val="00EA0F97"/>
    <w:rsid w:val="00EA36C6"/>
    <w:rsid w:val="00EA73AC"/>
    <w:rsid w:val="00EB3088"/>
    <w:rsid w:val="00EB563F"/>
    <w:rsid w:val="00EC1C5A"/>
    <w:rsid w:val="00EC30F9"/>
    <w:rsid w:val="00EC6952"/>
    <w:rsid w:val="00ED391E"/>
    <w:rsid w:val="00ED5725"/>
    <w:rsid w:val="00ED67A4"/>
    <w:rsid w:val="00ED7031"/>
    <w:rsid w:val="00EE23C6"/>
    <w:rsid w:val="00EE3060"/>
    <w:rsid w:val="00EE4315"/>
    <w:rsid w:val="00EF6925"/>
    <w:rsid w:val="00F02A5B"/>
    <w:rsid w:val="00F03DE4"/>
    <w:rsid w:val="00F052F2"/>
    <w:rsid w:val="00F105F3"/>
    <w:rsid w:val="00F12118"/>
    <w:rsid w:val="00F1379B"/>
    <w:rsid w:val="00F166D7"/>
    <w:rsid w:val="00F17072"/>
    <w:rsid w:val="00F20AFD"/>
    <w:rsid w:val="00F26ED3"/>
    <w:rsid w:val="00F322A6"/>
    <w:rsid w:val="00F408F9"/>
    <w:rsid w:val="00F421F6"/>
    <w:rsid w:val="00F4234A"/>
    <w:rsid w:val="00F62B7A"/>
    <w:rsid w:val="00F6397D"/>
    <w:rsid w:val="00F63E5E"/>
    <w:rsid w:val="00F7293E"/>
    <w:rsid w:val="00F738CF"/>
    <w:rsid w:val="00F75649"/>
    <w:rsid w:val="00F76650"/>
    <w:rsid w:val="00F86689"/>
    <w:rsid w:val="00F9187B"/>
    <w:rsid w:val="00F92385"/>
    <w:rsid w:val="00F94CCA"/>
    <w:rsid w:val="00FA00AA"/>
    <w:rsid w:val="00FA06AE"/>
    <w:rsid w:val="00FA16C6"/>
    <w:rsid w:val="00FA1B4F"/>
    <w:rsid w:val="00FA6118"/>
    <w:rsid w:val="00FA6301"/>
    <w:rsid w:val="00FC2E40"/>
    <w:rsid w:val="00FC47F9"/>
    <w:rsid w:val="00FD08C9"/>
    <w:rsid w:val="00FD3292"/>
    <w:rsid w:val="00FD4F2D"/>
    <w:rsid w:val="00FE0D0E"/>
    <w:rsid w:val="00FE2351"/>
    <w:rsid w:val="00FE337D"/>
    <w:rsid w:val="00FE5580"/>
    <w:rsid w:val="00FE65DC"/>
    <w:rsid w:val="00FF110C"/>
    <w:rsid w:val="00FF56FB"/>
    <w:rsid w:val="00FF7919"/>
    <w:rsid w:val="02102EE1"/>
    <w:rsid w:val="021EA5BD"/>
    <w:rsid w:val="02D061FD"/>
    <w:rsid w:val="03549978"/>
    <w:rsid w:val="0457CA9F"/>
    <w:rsid w:val="0503D2A2"/>
    <w:rsid w:val="0566B11F"/>
    <w:rsid w:val="07E94220"/>
    <w:rsid w:val="0864E66E"/>
    <w:rsid w:val="08A6DEE1"/>
    <w:rsid w:val="09EEF5E5"/>
    <w:rsid w:val="0A817F59"/>
    <w:rsid w:val="0C309A5D"/>
    <w:rsid w:val="0C8B1D0C"/>
    <w:rsid w:val="0D7F2EF4"/>
    <w:rsid w:val="0E6EF8A8"/>
    <w:rsid w:val="0F5E70D7"/>
    <w:rsid w:val="0FDFAF78"/>
    <w:rsid w:val="105FC8E5"/>
    <w:rsid w:val="14E9FF12"/>
    <w:rsid w:val="1643725B"/>
    <w:rsid w:val="17078B65"/>
    <w:rsid w:val="178A5FDA"/>
    <w:rsid w:val="18FBFB93"/>
    <w:rsid w:val="1AB8B602"/>
    <w:rsid w:val="1CF4C11E"/>
    <w:rsid w:val="1DE6D84D"/>
    <w:rsid w:val="1DF42BB6"/>
    <w:rsid w:val="1E778C07"/>
    <w:rsid w:val="1EE35C83"/>
    <w:rsid w:val="2193ACF0"/>
    <w:rsid w:val="22E62739"/>
    <w:rsid w:val="2470DDC3"/>
    <w:rsid w:val="293AB58F"/>
    <w:rsid w:val="2B92C0B2"/>
    <w:rsid w:val="2CD4871A"/>
    <w:rsid w:val="2CEF05F9"/>
    <w:rsid w:val="2E0E374E"/>
    <w:rsid w:val="2ECD1E29"/>
    <w:rsid w:val="2F21568E"/>
    <w:rsid w:val="2F6DA64A"/>
    <w:rsid w:val="2F925B4D"/>
    <w:rsid w:val="2FB13E85"/>
    <w:rsid w:val="301D3399"/>
    <w:rsid w:val="3106C092"/>
    <w:rsid w:val="311B206B"/>
    <w:rsid w:val="3133D582"/>
    <w:rsid w:val="3169C8F2"/>
    <w:rsid w:val="31FF6FB8"/>
    <w:rsid w:val="353BEB11"/>
    <w:rsid w:val="3C1A651F"/>
    <w:rsid w:val="3CA8DE26"/>
    <w:rsid w:val="3D3408E7"/>
    <w:rsid w:val="3D3B40E7"/>
    <w:rsid w:val="3D72EA90"/>
    <w:rsid w:val="3D985462"/>
    <w:rsid w:val="3EA306D5"/>
    <w:rsid w:val="3EB9F07B"/>
    <w:rsid w:val="3FC66C20"/>
    <w:rsid w:val="4028CD04"/>
    <w:rsid w:val="40C25F80"/>
    <w:rsid w:val="4106C148"/>
    <w:rsid w:val="4142C60C"/>
    <w:rsid w:val="427FF1BC"/>
    <w:rsid w:val="43599F70"/>
    <w:rsid w:val="4561C893"/>
    <w:rsid w:val="45B39AD8"/>
    <w:rsid w:val="4AD82B4A"/>
    <w:rsid w:val="4B0659CE"/>
    <w:rsid w:val="4B229969"/>
    <w:rsid w:val="4CDDA2A6"/>
    <w:rsid w:val="4E240E7E"/>
    <w:rsid w:val="4E2C1E9A"/>
    <w:rsid w:val="4E89BD5A"/>
    <w:rsid w:val="4F068854"/>
    <w:rsid w:val="4FA33B6C"/>
    <w:rsid w:val="5043B4F2"/>
    <w:rsid w:val="51C04708"/>
    <w:rsid w:val="5290A645"/>
    <w:rsid w:val="52B99562"/>
    <w:rsid w:val="53E3FB97"/>
    <w:rsid w:val="55ADBAFB"/>
    <w:rsid w:val="594745BB"/>
    <w:rsid w:val="5DD5958D"/>
    <w:rsid w:val="5F9CC382"/>
    <w:rsid w:val="607E644A"/>
    <w:rsid w:val="62FCEDEC"/>
    <w:rsid w:val="642306C7"/>
    <w:rsid w:val="64A4BD25"/>
    <w:rsid w:val="64D82E3A"/>
    <w:rsid w:val="65B929DA"/>
    <w:rsid w:val="6689AB75"/>
    <w:rsid w:val="6696B39A"/>
    <w:rsid w:val="66E9DBAE"/>
    <w:rsid w:val="6A0749FF"/>
    <w:rsid w:val="6B5B480B"/>
    <w:rsid w:val="6C841980"/>
    <w:rsid w:val="6D0ED0AE"/>
    <w:rsid w:val="6E22B1E3"/>
    <w:rsid w:val="6E2A6DC2"/>
    <w:rsid w:val="6E49D8D1"/>
    <w:rsid w:val="6F83BF59"/>
    <w:rsid w:val="71FD13F9"/>
    <w:rsid w:val="7234DD79"/>
    <w:rsid w:val="72755FA7"/>
    <w:rsid w:val="727DD76B"/>
    <w:rsid w:val="733E0CAC"/>
    <w:rsid w:val="755F09BA"/>
    <w:rsid w:val="793F92A8"/>
    <w:rsid w:val="7A4DDFFF"/>
    <w:rsid w:val="7BF78D97"/>
    <w:rsid w:val="7C7F4E9C"/>
    <w:rsid w:val="7F336A10"/>
    <w:rsid w:val="7FF85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2E9F4"/>
  <w15:chartTrackingRefBased/>
  <w15:docId w15:val="{43FAE06D-0559-47A0-9E38-FA7C69410CAC}"/>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CD40DC"/>
    <w:pPr>
      <w:keepNext/>
      <w:spacing w:before="180"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semiHidden/>
    <w:rsid w:val="00EE306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2 Char,Footnote Text Char Char Char,Footnote Text Char2 Char Char Char,Footnote Text Char Char Char Char Char,Footnote Text Char2 Char Char Char Char1 Char,Footnote Text Char2,Footnote Text Char Char,fn,ALTS FOOTNOTE,fn C"/>
    <w:basedOn w:val="Normal"/>
    <w:link w:val="FootnoteTextChar"/>
    <w:qFormat/>
    <w:rsid w:val="00B01F7E"/>
    <w:pPr>
      <w:spacing w:after="120" w:line="240" w:lineRule="auto"/>
      <w:ind w:firstLine="0"/>
    </w:pPr>
    <w:rPr>
      <w:sz w:val="22"/>
      <w:szCs w:val="20"/>
    </w:rPr>
  </w:style>
  <w:style w:type="character" w:customStyle="1" w:styleId="FootnoteTextChar">
    <w:name w:val="Footnote Text Char"/>
    <w:aliases w:val="Footnote Text Char2 Char Char,Footnote Text Char Char Char Char,Footnote Text Char2 Char Char Char Char,Footnote Text Char Char Char Char Char Char,Footnote Text Char2 Char Char Char Char1 Char Char,Footnote Text Char2 Char1,fn Char"/>
    <w:basedOn w:val="DefaultParagraphFont"/>
    <w:link w:val="FootnoteText"/>
    <w:rsid w:val="007657C1"/>
    <w:rPr>
      <w:rFonts w:ascii="Book Antiqua" w:hAnsi="Book Antiqua"/>
      <w:szCs w:val="20"/>
    </w:rPr>
  </w:style>
  <w:style w:type="character" w:styleId="FootnoteReference">
    <w:name w:val="footnote reference"/>
    <w:aliases w:val="o,fr,Style 3,o1,o2,o3,o4,o5,o6,o11,o21,o7,Style 17,Style 13,Appel note de bas de p,Style 12,(NECG) Footnote Reference,Style 124,o + Times New Roman,Style 58,Style 20,fr1,fr2,fr3,FR,Footnote Reference/,Style 6,Footnote Reference1"/>
    <w:basedOn w:val="DefaultParagraphFont"/>
    <w:unhideWhenUsed/>
    <w:qFormat/>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styleId="Revision">
    <w:name w:val="Revision"/>
    <w:hidden/>
    <w:uiPriority w:val="99"/>
    <w:semiHidden/>
    <w:rsid w:val="00B71D85"/>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43611C"/>
    <w:rPr>
      <w:sz w:val="16"/>
      <w:szCs w:val="16"/>
    </w:rPr>
  </w:style>
  <w:style w:type="paragraph" w:styleId="CommentText">
    <w:name w:val="annotation text"/>
    <w:basedOn w:val="Normal"/>
    <w:link w:val="CommentTextChar"/>
    <w:uiPriority w:val="99"/>
    <w:unhideWhenUsed/>
    <w:rsid w:val="0043611C"/>
    <w:pPr>
      <w:spacing w:line="240" w:lineRule="auto"/>
    </w:pPr>
    <w:rPr>
      <w:sz w:val="20"/>
      <w:szCs w:val="20"/>
    </w:rPr>
  </w:style>
  <w:style w:type="character" w:customStyle="1" w:styleId="CommentTextChar">
    <w:name w:val="Comment Text Char"/>
    <w:basedOn w:val="DefaultParagraphFont"/>
    <w:link w:val="CommentText"/>
    <w:uiPriority w:val="99"/>
    <w:rsid w:val="0043611C"/>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43611C"/>
    <w:rPr>
      <w:b/>
      <w:bCs/>
    </w:rPr>
  </w:style>
  <w:style w:type="character" w:customStyle="1" w:styleId="CommentSubjectChar">
    <w:name w:val="Comment Subject Char"/>
    <w:basedOn w:val="CommentTextChar"/>
    <w:link w:val="CommentSubject"/>
    <w:uiPriority w:val="99"/>
    <w:semiHidden/>
    <w:rsid w:val="0043611C"/>
    <w:rPr>
      <w:rFonts w:ascii="Book Antiqua" w:hAnsi="Book Antiqua"/>
      <w:b/>
      <w:bCs/>
      <w:sz w:val="20"/>
      <w:szCs w:val="20"/>
    </w:rPr>
  </w:style>
  <w:style w:type="paragraph" w:styleId="ListParagraph">
    <w:name w:val="List Paragraph"/>
    <w:basedOn w:val="Normal"/>
    <w:uiPriority w:val="34"/>
    <w:qFormat/>
    <w:rsid w:val="00852AB1"/>
    <w:pPr>
      <w:ind w:left="720"/>
      <w:contextualSpacing/>
    </w:pPr>
  </w:style>
  <w:style w:type="paragraph" w:styleId="NormalIndent">
    <w:name w:val="Normal Indent"/>
    <w:basedOn w:val="Normal"/>
    <w:uiPriority w:val="99"/>
    <w:semiHidden/>
    <w:unhideWhenUsed/>
    <w:rsid w:val="006D6D53"/>
    <w:pPr>
      <w:ind w:left="720"/>
    </w:pPr>
  </w:style>
  <w:style w:type="paragraph" w:customStyle="1" w:styleId="BlockQuoteH025">
    <w:name w:val="BlockQuoteH025"/>
    <w:basedOn w:val="Normal"/>
    <w:qFormat/>
    <w:rsid w:val="00F20AFD"/>
    <w:pPr>
      <w:spacing w:after="120" w:line="240" w:lineRule="auto"/>
      <w:ind w:left="1080" w:right="1440" w:hanging="360"/>
    </w:pPr>
  </w:style>
  <w:style w:type="paragraph" w:customStyle="1" w:styleId="BlockQuote0">
    <w:name w:val="BlockQuote"/>
    <w:basedOn w:val="Normal"/>
    <w:qFormat/>
    <w:rsid w:val="007B3751"/>
    <w:pPr>
      <w:spacing w:after="120" w:line="240" w:lineRule="auto"/>
      <w:ind w:left="720" w:right="1440" w:firstLine="0"/>
    </w:pPr>
  </w:style>
  <w:style w:type="paragraph" w:customStyle="1" w:styleId="BoxCheck1">
    <w:name w:val="Box&amp;Check1"/>
    <w:basedOn w:val="Normal"/>
    <w:qFormat/>
    <w:rsid w:val="00976569"/>
    <w:pPr>
      <w:spacing w:line="240" w:lineRule="exact"/>
      <w:ind w:left="288" w:hanging="288"/>
    </w:pPr>
    <w:rPr>
      <w:rFonts w:ascii="Times New Roman" w:hAnsi="Times New Roman"/>
      <w:sz w:val="24"/>
    </w:rPr>
  </w:style>
  <w:style w:type="paragraph" w:customStyle="1" w:styleId="SigBlockBA-Cmr">
    <w:name w:val="SigBlockBA-Cmr"/>
    <w:basedOn w:val="Normal"/>
    <w:qFormat/>
    <w:rsid w:val="00991C9B"/>
    <w:pPr>
      <w:keepNext/>
      <w:autoSpaceDE w:val="0"/>
      <w:autoSpaceDN w:val="0"/>
      <w:adjustRightInd w:val="0"/>
      <w:spacing w:line="240" w:lineRule="auto"/>
      <w:ind w:left="4320" w:firstLine="0"/>
    </w:pPr>
    <w:rPr>
      <w:rFonts w:eastAsia="Times New Roman" w:cs="Times New Roman"/>
      <w:szCs w:val="20"/>
    </w:rPr>
  </w:style>
  <w:style w:type="paragraph" w:customStyle="1" w:styleId="SigBlockBA-Title">
    <w:name w:val="SigBlockBA-Title"/>
    <w:basedOn w:val="Normal"/>
    <w:qFormat/>
    <w:rsid w:val="00991C9B"/>
    <w:pPr>
      <w:keepNext/>
      <w:autoSpaceDE w:val="0"/>
      <w:autoSpaceDN w:val="0"/>
      <w:adjustRightInd w:val="0"/>
      <w:spacing w:line="240" w:lineRule="auto"/>
      <w:ind w:left="5400" w:firstLine="0"/>
    </w:pPr>
    <w:rPr>
      <w:rFonts w:eastAsia="Times New Roman" w:cs="Times New Roman"/>
      <w:szCs w:val="20"/>
    </w:rPr>
  </w:style>
  <w:style w:type="paragraph" w:customStyle="1" w:styleId="SigSpaceBA">
    <w:name w:val="SigSpaceBA"/>
    <w:basedOn w:val="Normal"/>
    <w:qFormat/>
    <w:rsid w:val="00991C9B"/>
    <w:pPr>
      <w:keepNext/>
      <w:autoSpaceDE w:val="0"/>
      <w:autoSpaceDN w:val="0"/>
      <w:adjustRightInd w:val="0"/>
      <w:ind w:left="4320" w:firstLine="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 w:id="133969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6" ma:contentTypeDescription="Create a new document." ma:contentTypeScope="" ma:versionID="eea420ac1ba3dcd00acdf10f671c25ee">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654a2f02f20c70d75825c1ed89053b75"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element ref="ns3:ContentTag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ontentTagLIst" ma:index="23" nillable="true" ma:displayName="Content Tag" ma:format="Dropdown" ma:internalName="ContentTagLIst">
      <xsd:complexType>
        <xsd:complexContent>
          <xsd:extension base="dms:MultiChoice">
            <xsd:sequence>
              <xsd:element name="Value" maxOccurs="unbounded" minOccurs="0" nillable="true">
                <xsd:simpleType>
                  <xsd:restriction base="dms:Choice">
                    <xsd:enumeration value="ALJ Material"/>
                    <xsd:enumeration value="Support Material"/>
                    <xsd:enumeration value="Miscellaneou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0c2bee6-72d2-4c4b-bbf2-19a975248824">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ef7e321c-44a6-4cb5-81f0-0bfd95ece253">
      <Terms xmlns="http://schemas.microsoft.com/office/infopath/2007/PartnerControls"/>
    </lcf76f155ced4ddcb4097134ff3c332f>
    <TaxCatchAll xmlns="40c2bee6-72d2-4c4b-bbf2-19a975248824" xsi:nil="true"/>
    <ContentTagLIst xmlns="ef7e321c-44a6-4cb5-81f0-0bfd95ece2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E3B5C-E70E-42FA-92F7-19CEDC1C2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40c2bee6-72d2-4c4b-bbf2-19a975248824"/>
    <ds:schemaRef ds:uri="ef7e321c-44a6-4cb5-81f0-0bfd95ece253"/>
  </ds:schemaRefs>
</ds:datastoreItem>
</file>

<file path=customXml/itemProps3.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4.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9</ap:Pages>
  <ap:Words>2011</ap:Words>
  <ap:Characters>11468</ap:Characters>
  <ap:Application>Microsoft Office Word</ap:Application>
  <ap:DocSecurity>0</ap:DocSecurity>
  <ap:Lines>95</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13453</ap:CharactersWithSpaces>
  <ap:SharedDoc>false</ap:SharedDoc>
  <ap:HLinks>
    <vt:vector baseType="variant" size="114">
      <vt:variant>
        <vt:i4>1048633</vt:i4>
      </vt:variant>
      <vt:variant>
        <vt:i4>110</vt:i4>
      </vt:variant>
      <vt:variant>
        <vt:i4>0</vt:i4>
      </vt:variant>
      <vt:variant>
        <vt:i4>5</vt:i4>
      </vt:variant>
      <vt:variant>
        <vt:lpwstr/>
      </vt:variant>
      <vt:variant>
        <vt:lpwstr>_Toc148605007</vt:lpwstr>
      </vt:variant>
      <vt:variant>
        <vt:i4>1048633</vt:i4>
      </vt:variant>
      <vt:variant>
        <vt:i4>104</vt:i4>
      </vt:variant>
      <vt:variant>
        <vt:i4>0</vt:i4>
      </vt:variant>
      <vt:variant>
        <vt:i4>5</vt:i4>
      </vt:variant>
      <vt:variant>
        <vt:lpwstr/>
      </vt:variant>
      <vt:variant>
        <vt:lpwstr>_Toc148605006</vt:lpwstr>
      </vt:variant>
      <vt:variant>
        <vt:i4>1048633</vt:i4>
      </vt:variant>
      <vt:variant>
        <vt:i4>98</vt:i4>
      </vt:variant>
      <vt:variant>
        <vt:i4>0</vt:i4>
      </vt:variant>
      <vt:variant>
        <vt:i4>5</vt:i4>
      </vt:variant>
      <vt:variant>
        <vt:lpwstr/>
      </vt:variant>
      <vt:variant>
        <vt:lpwstr>_Toc148605005</vt:lpwstr>
      </vt:variant>
      <vt:variant>
        <vt:i4>1048633</vt:i4>
      </vt:variant>
      <vt:variant>
        <vt:i4>92</vt:i4>
      </vt:variant>
      <vt:variant>
        <vt:i4>0</vt:i4>
      </vt:variant>
      <vt:variant>
        <vt:i4>5</vt:i4>
      </vt:variant>
      <vt:variant>
        <vt:lpwstr/>
      </vt:variant>
      <vt:variant>
        <vt:lpwstr>_Toc148605004</vt:lpwstr>
      </vt:variant>
      <vt:variant>
        <vt:i4>1048633</vt:i4>
      </vt:variant>
      <vt:variant>
        <vt:i4>86</vt:i4>
      </vt:variant>
      <vt:variant>
        <vt:i4>0</vt:i4>
      </vt:variant>
      <vt:variant>
        <vt:i4>5</vt:i4>
      </vt:variant>
      <vt:variant>
        <vt:lpwstr/>
      </vt:variant>
      <vt:variant>
        <vt:lpwstr>_Toc148605002</vt:lpwstr>
      </vt:variant>
      <vt:variant>
        <vt:i4>1048633</vt:i4>
      </vt:variant>
      <vt:variant>
        <vt:i4>80</vt:i4>
      </vt:variant>
      <vt:variant>
        <vt:i4>0</vt:i4>
      </vt:variant>
      <vt:variant>
        <vt:i4>5</vt:i4>
      </vt:variant>
      <vt:variant>
        <vt:lpwstr/>
      </vt:variant>
      <vt:variant>
        <vt:lpwstr>_Toc148605001</vt:lpwstr>
      </vt:variant>
      <vt:variant>
        <vt:i4>1048633</vt:i4>
      </vt:variant>
      <vt:variant>
        <vt:i4>74</vt:i4>
      </vt:variant>
      <vt:variant>
        <vt:i4>0</vt:i4>
      </vt:variant>
      <vt:variant>
        <vt:i4>5</vt:i4>
      </vt:variant>
      <vt:variant>
        <vt:lpwstr/>
      </vt:variant>
      <vt:variant>
        <vt:lpwstr>_Toc148605000</vt:lpwstr>
      </vt:variant>
      <vt:variant>
        <vt:i4>1572912</vt:i4>
      </vt:variant>
      <vt:variant>
        <vt:i4>68</vt:i4>
      </vt:variant>
      <vt:variant>
        <vt:i4>0</vt:i4>
      </vt:variant>
      <vt:variant>
        <vt:i4>5</vt:i4>
      </vt:variant>
      <vt:variant>
        <vt:lpwstr/>
      </vt:variant>
      <vt:variant>
        <vt:lpwstr>_Toc148604999</vt:lpwstr>
      </vt:variant>
      <vt:variant>
        <vt:i4>1572912</vt:i4>
      </vt:variant>
      <vt:variant>
        <vt:i4>62</vt:i4>
      </vt:variant>
      <vt:variant>
        <vt:i4>0</vt:i4>
      </vt:variant>
      <vt:variant>
        <vt:i4>5</vt:i4>
      </vt:variant>
      <vt:variant>
        <vt:lpwstr/>
      </vt:variant>
      <vt:variant>
        <vt:lpwstr>_Toc148604998</vt:lpwstr>
      </vt:variant>
      <vt:variant>
        <vt:i4>1572912</vt:i4>
      </vt:variant>
      <vt:variant>
        <vt:i4>56</vt:i4>
      </vt:variant>
      <vt:variant>
        <vt:i4>0</vt:i4>
      </vt:variant>
      <vt:variant>
        <vt:i4>5</vt:i4>
      </vt:variant>
      <vt:variant>
        <vt:lpwstr/>
      </vt:variant>
      <vt:variant>
        <vt:lpwstr>_Toc148604997</vt:lpwstr>
      </vt:variant>
      <vt:variant>
        <vt:i4>1572912</vt:i4>
      </vt:variant>
      <vt:variant>
        <vt:i4>50</vt:i4>
      </vt:variant>
      <vt:variant>
        <vt:i4>0</vt:i4>
      </vt:variant>
      <vt:variant>
        <vt:i4>5</vt:i4>
      </vt:variant>
      <vt:variant>
        <vt:lpwstr/>
      </vt:variant>
      <vt:variant>
        <vt:lpwstr>_Toc148604996</vt:lpwstr>
      </vt:variant>
      <vt:variant>
        <vt:i4>1572912</vt:i4>
      </vt:variant>
      <vt:variant>
        <vt:i4>44</vt:i4>
      </vt:variant>
      <vt:variant>
        <vt:i4>0</vt:i4>
      </vt:variant>
      <vt:variant>
        <vt:i4>5</vt:i4>
      </vt:variant>
      <vt:variant>
        <vt:lpwstr/>
      </vt:variant>
      <vt:variant>
        <vt:lpwstr>_Toc148604995</vt:lpwstr>
      </vt:variant>
      <vt:variant>
        <vt:i4>1572912</vt:i4>
      </vt:variant>
      <vt:variant>
        <vt:i4>38</vt:i4>
      </vt:variant>
      <vt:variant>
        <vt:i4>0</vt:i4>
      </vt:variant>
      <vt:variant>
        <vt:i4>5</vt:i4>
      </vt:variant>
      <vt:variant>
        <vt:lpwstr/>
      </vt:variant>
      <vt:variant>
        <vt:lpwstr>_Toc148604994</vt:lpwstr>
      </vt:variant>
      <vt:variant>
        <vt:i4>1572912</vt:i4>
      </vt:variant>
      <vt:variant>
        <vt:i4>32</vt:i4>
      </vt:variant>
      <vt:variant>
        <vt:i4>0</vt:i4>
      </vt:variant>
      <vt:variant>
        <vt:i4>5</vt:i4>
      </vt:variant>
      <vt:variant>
        <vt:lpwstr/>
      </vt:variant>
      <vt:variant>
        <vt:lpwstr>_Toc148604993</vt:lpwstr>
      </vt:variant>
      <vt:variant>
        <vt:i4>1572912</vt:i4>
      </vt:variant>
      <vt:variant>
        <vt:i4>26</vt:i4>
      </vt:variant>
      <vt:variant>
        <vt:i4>0</vt:i4>
      </vt:variant>
      <vt:variant>
        <vt:i4>5</vt:i4>
      </vt:variant>
      <vt:variant>
        <vt:lpwstr/>
      </vt:variant>
      <vt:variant>
        <vt:lpwstr>_Toc148604992</vt:lpwstr>
      </vt:variant>
      <vt:variant>
        <vt:i4>1572912</vt:i4>
      </vt:variant>
      <vt:variant>
        <vt:i4>20</vt:i4>
      </vt:variant>
      <vt:variant>
        <vt:i4>0</vt:i4>
      </vt:variant>
      <vt:variant>
        <vt:i4>5</vt:i4>
      </vt:variant>
      <vt:variant>
        <vt:lpwstr/>
      </vt:variant>
      <vt:variant>
        <vt:lpwstr>_Toc148604991</vt:lpwstr>
      </vt:variant>
      <vt:variant>
        <vt:i4>1572912</vt:i4>
      </vt:variant>
      <vt:variant>
        <vt:i4>14</vt:i4>
      </vt:variant>
      <vt:variant>
        <vt:i4>0</vt:i4>
      </vt:variant>
      <vt:variant>
        <vt:i4>5</vt:i4>
      </vt:variant>
      <vt:variant>
        <vt:lpwstr/>
      </vt:variant>
      <vt:variant>
        <vt:lpwstr>_Toc148604990</vt:lpwstr>
      </vt:variant>
      <vt:variant>
        <vt:i4>1638448</vt:i4>
      </vt:variant>
      <vt:variant>
        <vt:i4>8</vt:i4>
      </vt:variant>
      <vt:variant>
        <vt:i4>0</vt:i4>
      </vt:variant>
      <vt:variant>
        <vt:i4>5</vt:i4>
      </vt:variant>
      <vt:variant>
        <vt:lpwstr/>
      </vt:variant>
      <vt:variant>
        <vt:lpwstr>_Toc148604989</vt:lpwstr>
      </vt:variant>
      <vt:variant>
        <vt:i4>1638448</vt:i4>
      </vt:variant>
      <vt:variant>
        <vt:i4>2</vt:i4>
      </vt:variant>
      <vt:variant>
        <vt:i4>0</vt:i4>
      </vt:variant>
      <vt:variant>
        <vt:i4>5</vt:i4>
      </vt:variant>
      <vt:variant>
        <vt:lpwstr/>
      </vt:variant>
      <vt:variant>
        <vt:lpwstr>_Toc148604988</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2026-08-19T16:32:27Z</dcterms:created>
  <dcterms:modified xsi:type="dcterms:W3CDTF">2026-08-19T16:32:27Z</dcterms:modified>
</cp:coreProperties>
</file>