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90BAC" w:rsidR="00B60421" w:rsidP="00937AE2" w:rsidRDefault="00963400" w14:paraId="2E2DCE5D" w14:textId="2846A96B">
      <w:pPr>
        <w:tabs>
          <w:tab w:val="right" w:pos="9360"/>
        </w:tabs>
        <w:spacing w:line="240" w:lineRule="auto"/>
        <w:ind w:firstLine="0"/>
      </w:pPr>
      <w:r>
        <w:t>ALJ</w:t>
      </w:r>
      <w:r w:rsidR="00DA7B5D">
        <w:t>/</w:t>
      </w:r>
      <w:r>
        <w:t>ABT</w:t>
      </w:r>
      <w:r w:rsidR="00DA7B5D">
        <w:t>/</w:t>
      </w:r>
      <w:r w:rsidR="00890BAC">
        <w:t>nd3</w:t>
      </w:r>
      <w:r w:rsidRPr="00890BAC" w:rsidR="007E0FEE">
        <w:tab/>
      </w:r>
      <w:r w:rsidRPr="00937AE2" w:rsidR="00937AE2">
        <w:rPr>
          <w:b/>
          <w:bCs/>
        </w:rPr>
        <w:t>Date of Issuance 8/20/2026</w:t>
      </w:r>
    </w:p>
    <w:p w:rsidR="00DA7B5D" w:rsidP="00890BAC" w:rsidRDefault="00DA7B5D" w14:paraId="307B090D" w14:textId="77777777">
      <w:pPr>
        <w:spacing w:line="240" w:lineRule="auto"/>
        <w:ind w:firstLine="0"/>
      </w:pPr>
    </w:p>
    <w:p w:rsidR="00890BAC" w:rsidP="00890BAC" w:rsidRDefault="00890BAC" w14:paraId="571B374B" w14:textId="77777777">
      <w:pPr>
        <w:spacing w:line="240" w:lineRule="auto"/>
        <w:ind w:firstLine="0"/>
      </w:pPr>
    </w:p>
    <w:p w:rsidR="00890BAC" w:rsidP="00890BAC" w:rsidRDefault="00DA7B5D" w14:paraId="0854A45E" w14:textId="25C81F4E">
      <w:pPr>
        <w:spacing w:line="240" w:lineRule="auto"/>
        <w:ind w:firstLine="0"/>
      </w:pPr>
      <w:r>
        <w:t xml:space="preserve">Decision </w:t>
      </w:r>
      <w:r w:rsidRPr="00D42924" w:rsidR="00937AE2">
        <w:t>26-08-011</w:t>
      </w:r>
      <w:r w:rsidR="00937AE2">
        <w:t xml:space="preserve">  August 13, 2026</w:t>
      </w:r>
    </w:p>
    <w:p w:rsidR="00890BAC" w:rsidP="00890BAC" w:rsidRDefault="00890BAC" w14:paraId="4F16ADA0" w14:textId="77777777">
      <w:pPr>
        <w:spacing w:line="240" w:lineRule="auto"/>
        <w:ind w:firstLine="0"/>
      </w:pPr>
    </w:p>
    <w:p w:rsidR="00890BAC" w:rsidP="00890BAC" w:rsidRDefault="00890BAC" w14:paraId="6A7C9779" w14:textId="77777777">
      <w:pPr>
        <w:spacing w:line="240" w:lineRule="auto"/>
        <w:ind w:firstLine="0"/>
      </w:pPr>
    </w:p>
    <w:p w:rsidR="00DA7B5D" w:rsidP="00BB0243" w:rsidRDefault="00DA7B5D" w14:paraId="3277387E"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22BF0DFF"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DA7B5D" w:rsidTr="00E725FC" w14:paraId="5A46C675" w14:textId="77777777">
        <w:trPr>
          <w:jc w:val="center"/>
        </w:trPr>
        <w:tc>
          <w:tcPr>
            <w:tcW w:w="5040" w:type="dxa"/>
            <w:tcBorders>
              <w:top w:val="nil"/>
              <w:left w:val="nil"/>
              <w:bottom w:val="single" w:color="auto" w:sz="4" w:space="0"/>
              <w:right w:val="single" w:color="auto" w:sz="4" w:space="0"/>
            </w:tcBorders>
          </w:tcPr>
          <w:p w:rsidR="00DA7B5D" w:rsidP="00C10B5F" w:rsidRDefault="00892072" w14:paraId="7204E5AC" w14:textId="209EF5C2">
            <w:pPr>
              <w:spacing w:line="240" w:lineRule="auto"/>
              <w:ind w:firstLine="0"/>
              <w:rPr>
                <w:rFonts w:cs="Arial"/>
                <w:color w:val="000000"/>
              </w:rPr>
            </w:pPr>
            <w:r w:rsidRPr="00892072">
              <w:rPr>
                <w:rFonts w:cs="Arial"/>
                <w:color w:val="000000"/>
              </w:rPr>
              <w:t xml:space="preserve">Application of </w:t>
            </w:r>
            <w:r w:rsidR="00972FC6">
              <w:rPr>
                <w:rFonts w:cs="Arial"/>
                <w:color w:val="000000"/>
              </w:rPr>
              <w:t>San </w:t>
            </w:r>
            <w:r w:rsidRPr="00892072">
              <w:rPr>
                <w:rFonts w:cs="Arial"/>
                <w:color w:val="000000"/>
              </w:rPr>
              <w:t>Diego Gas</w:t>
            </w:r>
            <w:r w:rsidR="00972FC6">
              <w:rPr>
                <w:rFonts w:cs="Arial"/>
                <w:color w:val="000000"/>
              </w:rPr>
              <w:t xml:space="preserve"> &amp; </w:t>
            </w:r>
            <w:r w:rsidRPr="00892072">
              <w:rPr>
                <w:rFonts w:cs="Arial"/>
                <w:color w:val="000000"/>
              </w:rPr>
              <w:t>Electric Company (U</w:t>
            </w:r>
            <w:r w:rsidR="00042804">
              <w:rPr>
                <w:rFonts w:cs="Arial"/>
                <w:color w:val="000000"/>
              </w:rPr>
              <w:noBreakHyphen/>
            </w:r>
            <w:r w:rsidRPr="00892072">
              <w:rPr>
                <w:rFonts w:cs="Arial"/>
                <w:color w:val="000000"/>
              </w:rPr>
              <w:t>902M) and Southern California Gas Company (U</w:t>
            </w:r>
            <w:r w:rsidR="00042804">
              <w:rPr>
                <w:rFonts w:cs="Arial"/>
                <w:color w:val="000000"/>
              </w:rPr>
              <w:noBreakHyphen/>
            </w:r>
            <w:r w:rsidRPr="00892072">
              <w:rPr>
                <w:rFonts w:cs="Arial"/>
                <w:color w:val="000000"/>
              </w:rPr>
              <w:t xml:space="preserve">904G) for an Exemption Pursuant to </w:t>
            </w:r>
            <w:r w:rsidR="004F7E76">
              <w:rPr>
                <w:rFonts w:cs="Arial"/>
                <w:color w:val="000000"/>
              </w:rPr>
              <w:t>Section </w:t>
            </w:r>
            <w:r w:rsidRPr="00892072">
              <w:rPr>
                <w:rFonts w:cs="Arial"/>
                <w:color w:val="000000"/>
              </w:rPr>
              <w:t xml:space="preserve">853 of the Public Utilities Code with Respect to the Creation of an Intermediate Holding Company, or Alternatively, for an Order Finding that the Proposed Transaction Does Not Constitute an Activity Subject to </w:t>
            </w:r>
            <w:r w:rsidR="004F7E76">
              <w:rPr>
                <w:rFonts w:cs="Arial"/>
                <w:color w:val="000000"/>
              </w:rPr>
              <w:t>Section </w:t>
            </w:r>
            <w:r w:rsidRPr="00892072">
              <w:rPr>
                <w:rFonts w:cs="Arial"/>
                <w:color w:val="000000"/>
              </w:rPr>
              <w:t>854.</w:t>
            </w:r>
          </w:p>
          <w:p w:rsidRPr="0028282D" w:rsidR="00892072" w:rsidP="00C10B5F" w:rsidRDefault="00892072" w14:paraId="1688A969" w14:textId="3FCF8DCC">
            <w:pPr>
              <w:spacing w:line="240" w:lineRule="auto"/>
              <w:ind w:firstLine="0"/>
            </w:pPr>
          </w:p>
        </w:tc>
        <w:tc>
          <w:tcPr>
            <w:tcW w:w="5040" w:type="dxa"/>
            <w:tcBorders>
              <w:top w:val="nil"/>
              <w:left w:val="single" w:color="auto" w:sz="4" w:space="0"/>
              <w:bottom w:val="nil"/>
              <w:right w:val="nil"/>
            </w:tcBorders>
            <w:vAlign w:val="center"/>
          </w:tcPr>
          <w:p w:rsidRPr="00DA7B5D" w:rsidR="00DA7B5D" w:rsidP="00412C83" w:rsidRDefault="00963400" w14:paraId="13D7D659" w14:textId="3F862BFE">
            <w:pPr>
              <w:spacing w:line="240" w:lineRule="auto"/>
              <w:ind w:firstLine="0"/>
              <w:jc w:val="center"/>
              <w:rPr>
                <w:rFonts w:cs="Arial"/>
                <w:szCs w:val="26"/>
              </w:rPr>
            </w:pPr>
            <w:r>
              <w:rPr>
                <w:rFonts w:cs="Arial"/>
                <w:szCs w:val="26"/>
              </w:rPr>
              <w:t>A</w:t>
            </w:r>
            <w:r w:rsidR="00730DA0">
              <w:rPr>
                <w:rFonts w:cs="Arial"/>
                <w:szCs w:val="26"/>
              </w:rPr>
              <w:t xml:space="preserve">pplication </w:t>
            </w:r>
            <w:r>
              <w:rPr>
                <w:rFonts w:cs="Arial"/>
                <w:szCs w:val="26"/>
              </w:rPr>
              <w:t>25</w:t>
            </w:r>
            <w:r w:rsidR="00042804">
              <w:rPr>
                <w:rFonts w:cs="Arial"/>
                <w:szCs w:val="26"/>
              </w:rPr>
              <w:noBreakHyphen/>
            </w:r>
            <w:r>
              <w:rPr>
                <w:rFonts w:cs="Arial"/>
                <w:szCs w:val="26"/>
              </w:rPr>
              <w:t>05</w:t>
            </w:r>
            <w:r w:rsidR="00042804">
              <w:rPr>
                <w:rFonts w:cs="Arial"/>
                <w:szCs w:val="26"/>
              </w:rPr>
              <w:noBreakHyphen/>
            </w:r>
            <w:r>
              <w:rPr>
                <w:rFonts w:cs="Arial"/>
                <w:szCs w:val="26"/>
              </w:rPr>
              <w:t>020</w:t>
            </w:r>
          </w:p>
        </w:tc>
      </w:tr>
    </w:tbl>
    <w:p w:rsidR="00DA7B5D" w:rsidP="008F0116" w:rsidRDefault="00DA7B5D" w14:paraId="68386432" w14:textId="77777777">
      <w:pPr>
        <w:spacing w:line="240" w:lineRule="auto"/>
        <w:ind w:firstLine="0"/>
        <w:rPr>
          <w:rFonts w:ascii="Arial" w:hAnsi="Arial" w:cs="Arial"/>
          <w:sz w:val="24"/>
          <w:szCs w:val="24"/>
        </w:rPr>
      </w:pPr>
    </w:p>
    <w:p w:rsidR="00DA7B5D" w:rsidP="008F0116" w:rsidRDefault="00DA7B5D" w14:paraId="5668CF5E" w14:textId="77777777">
      <w:pPr>
        <w:spacing w:line="240" w:lineRule="auto"/>
        <w:ind w:firstLine="0"/>
        <w:rPr>
          <w:rFonts w:ascii="Arial" w:hAnsi="Arial" w:cs="Arial"/>
          <w:sz w:val="24"/>
          <w:szCs w:val="24"/>
        </w:rPr>
      </w:pPr>
    </w:p>
    <w:p w:rsidR="00DE0268" w:rsidP="00DE0268" w:rsidRDefault="00DE0268" w14:paraId="0B216780" w14:textId="7FA6E9EE">
      <w:pPr>
        <w:pStyle w:val="Dummy"/>
        <w:jc w:val="center"/>
      </w:pPr>
      <w:r>
        <w:fldChar w:fldCharType="begin"/>
      </w:r>
      <w:r>
        <w:instrText xml:space="preserve"> REF Title \h </w:instrText>
      </w:r>
      <w:r>
        <w:fldChar w:fldCharType="separate"/>
      </w:r>
      <w:bookmarkStart w:name="_Toc234583861" w:id="0"/>
      <w:bookmarkStart w:name="_Toc238105938" w:id="1"/>
      <w:r w:rsidRPr="00D207EA" w:rsidR="002F2950">
        <w:t>DECISION GRANTING PROPOSED TRANSACTION WITH RESPECT</w:t>
      </w:r>
      <w:r w:rsidRPr="00D207EA" w:rsidR="002F2950">
        <w:br/>
        <w:t>TO THE CREATION OF AN INTERMEDIATE HOLDING COMPANY</w:t>
      </w:r>
      <w:bookmarkEnd w:id="0"/>
      <w:bookmarkEnd w:id="1"/>
      <w:r>
        <w:fldChar w:fldCharType="end"/>
      </w:r>
    </w:p>
    <w:p w:rsidR="00E6204E" w:rsidP="00E6204E" w:rsidRDefault="00E6204E" w14:paraId="5F5B00E6" w14:textId="77777777"/>
    <w:p w:rsidRPr="00E6204E" w:rsidR="00E6204E" w:rsidP="00E6204E" w:rsidRDefault="00E6204E" w14:paraId="0DE836FF" w14:textId="796FD81C">
      <w:pPr>
        <w:sectPr w:rsidRPr="00E6204E" w:rsidR="00E6204E" w:rsidSect="00E85D9D">
          <w:headerReference w:type="default" r:id="rId12"/>
          <w:footerReference w:type="default" r:id="rId13"/>
          <w:headerReference w:type="first" r:id="rId14"/>
          <w:footerReference w:type="first" r:id="rId15"/>
          <w:pgSz w:w="12240" w:h="15840"/>
          <w:pgMar w:top="1728" w:right="1440" w:bottom="1440" w:left="1440" w:header="720" w:footer="720" w:gutter="0"/>
          <w:cols w:space="720"/>
          <w:titlePg/>
          <w:docGrid w:linePitch="360"/>
        </w:sectPr>
      </w:pPr>
    </w:p>
    <w:p w:rsidRPr="001E2A62" w:rsidR="00D50119" w:rsidP="008C2414" w:rsidRDefault="00D50119" w14:paraId="2092930E" w14:textId="77777777">
      <w:pPr>
        <w:pStyle w:val="TOCHeading"/>
      </w:pPr>
      <w:r w:rsidRPr="001E2A62">
        <w:lastRenderedPageBreak/>
        <w:t>TABLE OF CONTENTS</w:t>
      </w:r>
    </w:p>
    <w:p w:rsidRPr="00D50119" w:rsidR="00D50119" w:rsidP="008C2414" w:rsidRDefault="00D50119" w14:paraId="32203F54" w14:textId="77777777">
      <w:pPr>
        <w:tabs>
          <w:tab w:val="right" w:pos="9360"/>
        </w:tabs>
        <w:spacing w:line="240" w:lineRule="auto"/>
        <w:ind w:firstLine="0"/>
      </w:pPr>
      <w:r w:rsidRPr="00D50119">
        <w:rPr>
          <w:b/>
        </w:rPr>
        <w:t>Title</w:t>
      </w:r>
      <w:r>
        <w:tab/>
      </w:r>
      <w:r w:rsidRPr="00D50119">
        <w:rPr>
          <w:b/>
        </w:rPr>
        <w:t>Page</w:t>
      </w:r>
    </w:p>
    <w:sdt>
      <w:sdtPr>
        <w:id w:val="-1224440197"/>
        <w:docPartObj>
          <w:docPartGallery w:val="Table of Contents"/>
          <w:docPartUnique/>
        </w:docPartObj>
      </w:sdtPr>
      <w:sdtEndPr>
        <w:rPr>
          <w:b/>
          <w:bCs/>
          <w:noProof/>
        </w:rPr>
      </w:sdtEndPr>
      <w:sdtContent>
        <w:p w:rsidR="002F2950" w:rsidP="002F2950" w:rsidRDefault="008C7413" w14:paraId="6AAC95D9" w14:textId="706D0300">
          <w:pPr>
            <w:pStyle w:val="TOC1"/>
            <w:tabs>
              <w:tab w:val="right" w:leader="dot" w:pos="9350"/>
            </w:tabs>
            <w:ind w:left="0" w:firstLine="0"/>
            <w:rPr>
              <w:rFonts w:asciiTheme="minorHAnsi" w:hAnsiTheme="minorHAnsi" w:cstheme="minorBidi"/>
              <w:noProof/>
              <w:kern w:val="2"/>
              <w:sz w:val="24"/>
              <w:szCs w:val="24"/>
              <w14:ligatures w14:val="standardContextual"/>
            </w:rPr>
          </w:pPr>
          <w:r>
            <w:rPr>
              <w:rFonts w:asciiTheme="minorHAnsi" w:hAnsiTheme="minorHAnsi"/>
              <w:sz w:val="22"/>
            </w:rPr>
            <w:fldChar w:fldCharType="begin"/>
          </w:r>
          <w:r>
            <w:rPr>
              <w:rFonts w:asciiTheme="minorHAnsi" w:hAnsiTheme="minorHAnsi"/>
              <w:sz w:val="22"/>
            </w:rPr>
            <w:instrText xml:space="preserve"> TOC \o "1-6" \h \z \u </w:instrText>
          </w:r>
          <w:r>
            <w:rPr>
              <w:rFonts w:asciiTheme="minorHAnsi" w:hAnsiTheme="minorHAnsi"/>
              <w:sz w:val="22"/>
            </w:rPr>
            <w:fldChar w:fldCharType="separate"/>
          </w:r>
          <w:hyperlink w:history="1" w:anchor="_Toc238105938">
            <w:r w:rsidRPr="004320AA" w:rsidR="002F2950">
              <w:rPr>
                <w:rStyle w:val="Hyperlink"/>
                <w:noProof/>
              </w:rPr>
              <w:t>DECISION GRANTING PROPOSED TRANSACTION WITH RESPECT TO THE CREATION OF AN INTERMEDIATE HOLDING COMPANY</w:t>
            </w:r>
            <w:r w:rsidR="002F2950">
              <w:rPr>
                <w:noProof/>
                <w:webHidden/>
              </w:rPr>
              <w:tab/>
            </w:r>
            <w:r w:rsidR="002F2950">
              <w:rPr>
                <w:noProof/>
                <w:webHidden/>
              </w:rPr>
              <w:fldChar w:fldCharType="begin"/>
            </w:r>
            <w:r w:rsidR="002F2950">
              <w:rPr>
                <w:noProof/>
                <w:webHidden/>
              </w:rPr>
              <w:instrText xml:space="preserve"> PAGEREF _Toc238105938 \h </w:instrText>
            </w:r>
            <w:r w:rsidR="002F2950">
              <w:rPr>
                <w:noProof/>
                <w:webHidden/>
              </w:rPr>
            </w:r>
            <w:r w:rsidR="002F2950">
              <w:rPr>
                <w:noProof/>
                <w:webHidden/>
              </w:rPr>
              <w:fldChar w:fldCharType="separate"/>
            </w:r>
            <w:r w:rsidR="002F2950">
              <w:rPr>
                <w:noProof/>
                <w:webHidden/>
              </w:rPr>
              <w:t>1</w:t>
            </w:r>
            <w:r w:rsidR="002F2950">
              <w:rPr>
                <w:noProof/>
                <w:webHidden/>
              </w:rPr>
              <w:fldChar w:fldCharType="end"/>
            </w:r>
          </w:hyperlink>
        </w:p>
        <w:p w:rsidR="002F2950" w:rsidRDefault="002F2950" w14:paraId="79FD9CE4" w14:textId="5B28D139">
          <w:pPr>
            <w:pStyle w:val="TOC1"/>
            <w:tabs>
              <w:tab w:val="right" w:leader="dot" w:pos="9350"/>
            </w:tabs>
            <w:rPr>
              <w:rFonts w:asciiTheme="minorHAnsi" w:hAnsiTheme="minorHAnsi" w:cstheme="minorBidi"/>
              <w:noProof/>
              <w:kern w:val="2"/>
              <w:sz w:val="24"/>
              <w:szCs w:val="24"/>
              <w14:ligatures w14:val="standardContextual"/>
            </w:rPr>
          </w:pPr>
          <w:hyperlink w:history="1" w:anchor="_Toc238105939">
            <w:r w:rsidRPr="004320AA">
              <w:rPr>
                <w:rStyle w:val="Hyperlink"/>
                <w:noProof/>
              </w:rPr>
              <w:t>Summary</w:t>
            </w:r>
            <w:r>
              <w:rPr>
                <w:noProof/>
                <w:webHidden/>
              </w:rPr>
              <w:tab/>
            </w:r>
            <w:r>
              <w:rPr>
                <w:noProof/>
                <w:webHidden/>
              </w:rPr>
              <w:fldChar w:fldCharType="begin"/>
            </w:r>
            <w:r>
              <w:rPr>
                <w:noProof/>
                <w:webHidden/>
              </w:rPr>
              <w:instrText xml:space="preserve"> PAGEREF _Toc238105939 \h </w:instrText>
            </w:r>
            <w:r>
              <w:rPr>
                <w:noProof/>
                <w:webHidden/>
              </w:rPr>
            </w:r>
            <w:r>
              <w:rPr>
                <w:noProof/>
                <w:webHidden/>
              </w:rPr>
              <w:fldChar w:fldCharType="separate"/>
            </w:r>
            <w:r>
              <w:rPr>
                <w:noProof/>
                <w:webHidden/>
              </w:rPr>
              <w:t>2</w:t>
            </w:r>
            <w:r>
              <w:rPr>
                <w:noProof/>
                <w:webHidden/>
              </w:rPr>
              <w:fldChar w:fldCharType="end"/>
            </w:r>
          </w:hyperlink>
        </w:p>
        <w:p w:rsidR="002F2950" w:rsidRDefault="002F2950" w14:paraId="1178C8B9" w14:textId="4742A98D">
          <w:pPr>
            <w:pStyle w:val="TOC1"/>
            <w:tabs>
              <w:tab w:val="right" w:leader="dot" w:pos="9350"/>
            </w:tabs>
            <w:rPr>
              <w:rFonts w:asciiTheme="minorHAnsi" w:hAnsiTheme="minorHAnsi" w:cstheme="minorBidi"/>
              <w:noProof/>
              <w:kern w:val="2"/>
              <w:sz w:val="24"/>
              <w:szCs w:val="24"/>
              <w14:ligatures w14:val="standardContextual"/>
            </w:rPr>
          </w:pPr>
          <w:hyperlink w:history="1" w:anchor="_Toc238105940">
            <w:r w:rsidRPr="004320AA">
              <w:rPr>
                <w:rStyle w:val="Hyperlink"/>
                <w:noProof/>
              </w:rPr>
              <w:t>1.</w:t>
            </w:r>
            <w:r>
              <w:rPr>
                <w:rFonts w:asciiTheme="minorHAnsi" w:hAnsiTheme="minorHAnsi" w:cstheme="minorBidi"/>
                <w:noProof/>
                <w:kern w:val="2"/>
                <w:sz w:val="24"/>
                <w:szCs w:val="24"/>
                <w14:ligatures w14:val="standardContextual"/>
              </w:rPr>
              <w:tab/>
            </w:r>
            <w:r w:rsidRPr="004320AA">
              <w:rPr>
                <w:rStyle w:val="Hyperlink"/>
                <w:noProof/>
              </w:rPr>
              <w:t>Background</w:t>
            </w:r>
            <w:r>
              <w:rPr>
                <w:noProof/>
                <w:webHidden/>
              </w:rPr>
              <w:tab/>
            </w:r>
            <w:r>
              <w:rPr>
                <w:noProof/>
                <w:webHidden/>
              </w:rPr>
              <w:fldChar w:fldCharType="begin"/>
            </w:r>
            <w:r>
              <w:rPr>
                <w:noProof/>
                <w:webHidden/>
              </w:rPr>
              <w:instrText xml:space="preserve"> PAGEREF _Toc238105940 \h </w:instrText>
            </w:r>
            <w:r>
              <w:rPr>
                <w:noProof/>
                <w:webHidden/>
              </w:rPr>
            </w:r>
            <w:r>
              <w:rPr>
                <w:noProof/>
                <w:webHidden/>
              </w:rPr>
              <w:fldChar w:fldCharType="separate"/>
            </w:r>
            <w:r>
              <w:rPr>
                <w:noProof/>
                <w:webHidden/>
              </w:rPr>
              <w:t>2</w:t>
            </w:r>
            <w:r>
              <w:rPr>
                <w:noProof/>
                <w:webHidden/>
              </w:rPr>
              <w:fldChar w:fldCharType="end"/>
            </w:r>
          </w:hyperlink>
        </w:p>
        <w:p w:rsidR="002F2950" w:rsidRDefault="002F2950" w14:paraId="61B91847" w14:textId="438B6E90">
          <w:pPr>
            <w:pStyle w:val="TOC1"/>
            <w:tabs>
              <w:tab w:val="right" w:leader="dot" w:pos="9350"/>
            </w:tabs>
            <w:rPr>
              <w:rFonts w:asciiTheme="minorHAnsi" w:hAnsiTheme="minorHAnsi" w:cstheme="minorBidi"/>
              <w:noProof/>
              <w:kern w:val="2"/>
              <w:sz w:val="24"/>
              <w:szCs w:val="24"/>
              <w14:ligatures w14:val="standardContextual"/>
            </w:rPr>
          </w:pPr>
          <w:hyperlink w:history="1" w:anchor="_Toc238105941">
            <w:r w:rsidRPr="004320AA">
              <w:rPr>
                <w:rStyle w:val="Hyperlink"/>
                <w:noProof/>
              </w:rPr>
              <w:t>2.</w:t>
            </w:r>
            <w:r>
              <w:rPr>
                <w:rFonts w:asciiTheme="minorHAnsi" w:hAnsiTheme="minorHAnsi" w:cstheme="minorBidi"/>
                <w:noProof/>
                <w:kern w:val="2"/>
                <w:sz w:val="24"/>
                <w:szCs w:val="24"/>
                <w14:ligatures w14:val="standardContextual"/>
              </w:rPr>
              <w:tab/>
            </w:r>
            <w:r w:rsidRPr="004320AA">
              <w:rPr>
                <w:rStyle w:val="Hyperlink"/>
                <w:noProof/>
              </w:rPr>
              <w:t>Jurisdiction</w:t>
            </w:r>
            <w:r>
              <w:rPr>
                <w:noProof/>
                <w:webHidden/>
              </w:rPr>
              <w:tab/>
            </w:r>
            <w:r>
              <w:rPr>
                <w:noProof/>
                <w:webHidden/>
              </w:rPr>
              <w:fldChar w:fldCharType="begin"/>
            </w:r>
            <w:r>
              <w:rPr>
                <w:noProof/>
                <w:webHidden/>
              </w:rPr>
              <w:instrText xml:space="preserve"> PAGEREF _Toc238105941 \h </w:instrText>
            </w:r>
            <w:r>
              <w:rPr>
                <w:noProof/>
                <w:webHidden/>
              </w:rPr>
            </w:r>
            <w:r>
              <w:rPr>
                <w:noProof/>
                <w:webHidden/>
              </w:rPr>
              <w:fldChar w:fldCharType="separate"/>
            </w:r>
            <w:r>
              <w:rPr>
                <w:noProof/>
                <w:webHidden/>
              </w:rPr>
              <w:t>6</w:t>
            </w:r>
            <w:r>
              <w:rPr>
                <w:noProof/>
                <w:webHidden/>
              </w:rPr>
              <w:fldChar w:fldCharType="end"/>
            </w:r>
          </w:hyperlink>
        </w:p>
        <w:p w:rsidR="002F2950" w:rsidRDefault="002F2950" w14:paraId="14E5490B" w14:textId="1B2839E8">
          <w:pPr>
            <w:pStyle w:val="TOC1"/>
            <w:tabs>
              <w:tab w:val="right" w:leader="dot" w:pos="9350"/>
            </w:tabs>
            <w:rPr>
              <w:rFonts w:asciiTheme="minorHAnsi" w:hAnsiTheme="minorHAnsi" w:cstheme="minorBidi"/>
              <w:noProof/>
              <w:kern w:val="2"/>
              <w:sz w:val="24"/>
              <w:szCs w:val="24"/>
              <w14:ligatures w14:val="standardContextual"/>
            </w:rPr>
          </w:pPr>
          <w:hyperlink w:history="1" w:anchor="_Toc238105942">
            <w:r w:rsidRPr="004320AA">
              <w:rPr>
                <w:rStyle w:val="Hyperlink"/>
                <w:noProof/>
              </w:rPr>
              <w:t>3.</w:t>
            </w:r>
            <w:r>
              <w:rPr>
                <w:rFonts w:asciiTheme="minorHAnsi" w:hAnsiTheme="minorHAnsi" w:cstheme="minorBidi"/>
                <w:noProof/>
                <w:kern w:val="2"/>
                <w:sz w:val="24"/>
                <w:szCs w:val="24"/>
                <w14:ligatures w14:val="standardContextual"/>
              </w:rPr>
              <w:tab/>
            </w:r>
            <w:r w:rsidRPr="004320AA">
              <w:rPr>
                <w:rStyle w:val="Hyperlink"/>
                <w:noProof/>
              </w:rPr>
              <w:t>Issues Before the Commission</w:t>
            </w:r>
            <w:r>
              <w:rPr>
                <w:noProof/>
                <w:webHidden/>
              </w:rPr>
              <w:tab/>
            </w:r>
            <w:r>
              <w:rPr>
                <w:noProof/>
                <w:webHidden/>
              </w:rPr>
              <w:fldChar w:fldCharType="begin"/>
            </w:r>
            <w:r>
              <w:rPr>
                <w:noProof/>
                <w:webHidden/>
              </w:rPr>
              <w:instrText xml:space="preserve"> PAGEREF _Toc238105942 \h </w:instrText>
            </w:r>
            <w:r>
              <w:rPr>
                <w:noProof/>
                <w:webHidden/>
              </w:rPr>
            </w:r>
            <w:r>
              <w:rPr>
                <w:noProof/>
                <w:webHidden/>
              </w:rPr>
              <w:fldChar w:fldCharType="separate"/>
            </w:r>
            <w:r>
              <w:rPr>
                <w:noProof/>
                <w:webHidden/>
              </w:rPr>
              <w:t>6</w:t>
            </w:r>
            <w:r>
              <w:rPr>
                <w:noProof/>
                <w:webHidden/>
              </w:rPr>
              <w:fldChar w:fldCharType="end"/>
            </w:r>
          </w:hyperlink>
        </w:p>
        <w:p w:rsidR="002F2950" w:rsidRDefault="002F2950" w14:paraId="3B2FD807" w14:textId="1473AC5D">
          <w:pPr>
            <w:pStyle w:val="TOC1"/>
            <w:tabs>
              <w:tab w:val="right" w:leader="dot" w:pos="9350"/>
            </w:tabs>
            <w:rPr>
              <w:rFonts w:asciiTheme="minorHAnsi" w:hAnsiTheme="minorHAnsi" w:cstheme="minorBidi"/>
              <w:noProof/>
              <w:kern w:val="2"/>
              <w:sz w:val="24"/>
              <w:szCs w:val="24"/>
              <w14:ligatures w14:val="standardContextual"/>
            </w:rPr>
          </w:pPr>
          <w:hyperlink w:history="1" w:anchor="_Toc238105943">
            <w:r w:rsidRPr="004320AA">
              <w:rPr>
                <w:rStyle w:val="Hyperlink"/>
                <w:noProof/>
              </w:rPr>
              <w:t>4.</w:t>
            </w:r>
            <w:r>
              <w:rPr>
                <w:rFonts w:asciiTheme="minorHAnsi" w:hAnsiTheme="minorHAnsi" w:cstheme="minorBidi"/>
                <w:noProof/>
                <w:kern w:val="2"/>
                <w:sz w:val="24"/>
                <w:szCs w:val="24"/>
                <w14:ligatures w14:val="standardContextual"/>
              </w:rPr>
              <w:tab/>
            </w:r>
            <w:r w:rsidRPr="004320AA">
              <w:rPr>
                <w:rStyle w:val="Hyperlink"/>
                <w:noProof/>
              </w:rPr>
              <w:t xml:space="preserve">Discussion of Proposed Transaction </w:t>
            </w:r>
            <w:r w:rsidRPr="004320AA">
              <w:rPr>
                <w:rStyle w:val="Hyperlink"/>
                <w:rFonts w:cs="Arial"/>
                <w:noProof/>
              </w:rPr>
              <w:t>with Respect to the Creation of an Intermediate Holding Company</w:t>
            </w:r>
            <w:r>
              <w:rPr>
                <w:noProof/>
                <w:webHidden/>
              </w:rPr>
              <w:tab/>
            </w:r>
            <w:r>
              <w:rPr>
                <w:noProof/>
                <w:webHidden/>
              </w:rPr>
              <w:fldChar w:fldCharType="begin"/>
            </w:r>
            <w:r>
              <w:rPr>
                <w:noProof/>
                <w:webHidden/>
              </w:rPr>
              <w:instrText xml:space="preserve"> PAGEREF _Toc238105943 \h </w:instrText>
            </w:r>
            <w:r>
              <w:rPr>
                <w:noProof/>
                <w:webHidden/>
              </w:rPr>
            </w:r>
            <w:r>
              <w:rPr>
                <w:noProof/>
                <w:webHidden/>
              </w:rPr>
              <w:fldChar w:fldCharType="separate"/>
            </w:r>
            <w:r>
              <w:rPr>
                <w:noProof/>
                <w:webHidden/>
              </w:rPr>
              <w:t>7</w:t>
            </w:r>
            <w:r>
              <w:rPr>
                <w:noProof/>
                <w:webHidden/>
              </w:rPr>
              <w:fldChar w:fldCharType="end"/>
            </w:r>
          </w:hyperlink>
        </w:p>
        <w:p w:rsidR="002F2950" w:rsidRDefault="002F2950" w14:paraId="357F64C0" w14:textId="33F47A49">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8105944">
            <w:r w:rsidRPr="004320AA">
              <w:rPr>
                <w:rStyle w:val="Hyperlink"/>
                <w:noProof/>
              </w:rPr>
              <w:t>4.1.</w:t>
            </w:r>
            <w:r>
              <w:rPr>
                <w:rFonts w:asciiTheme="minorHAnsi" w:hAnsiTheme="minorHAnsi" w:cstheme="minorBidi"/>
                <w:noProof/>
                <w:kern w:val="2"/>
                <w:sz w:val="24"/>
                <w:szCs w:val="24"/>
                <w14:ligatures w14:val="standardContextual"/>
              </w:rPr>
              <w:tab/>
            </w:r>
            <w:r w:rsidRPr="004320AA">
              <w:rPr>
                <w:rStyle w:val="Hyperlink"/>
                <w:bCs/>
                <w:noProof/>
              </w:rPr>
              <w:t>Applicability of Section 854</w:t>
            </w:r>
            <w:r>
              <w:rPr>
                <w:noProof/>
                <w:webHidden/>
              </w:rPr>
              <w:tab/>
            </w:r>
            <w:r>
              <w:rPr>
                <w:noProof/>
                <w:webHidden/>
              </w:rPr>
              <w:fldChar w:fldCharType="begin"/>
            </w:r>
            <w:r>
              <w:rPr>
                <w:noProof/>
                <w:webHidden/>
              </w:rPr>
              <w:instrText xml:space="preserve"> PAGEREF _Toc238105944 \h </w:instrText>
            </w:r>
            <w:r>
              <w:rPr>
                <w:noProof/>
                <w:webHidden/>
              </w:rPr>
            </w:r>
            <w:r>
              <w:rPr>
                <w:noProof/>
                <w:webHidden/>
              </w:rPr>
              <w:fldChar w:fldCharType="separate"/>
            </w:r>
            <w:r>
              <w:rPr>
                <w:noProof/>
                <w:webHidden/>
              </w:rPr>
              <w:t>7</w:t>
            </w:r>
            <w:r>
              <w:rPr>
                <w:noProof/>
                <w:webHidden/>
              </w:rPr>
              <w:fldChar w:fldCharType="end"/>
            </w:r>
          </w:hyperlink>
        </w:p>
        <w:p w:rsidR="002F2950" w:rsidRDefault="002F2950" w14:paraId="7348FC47" w14:textId="46C4297F">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8105945">
            <w:r w:rsidRPr="004320AA">
              <w:rPr>
                <w:rStyle w:val="Hyperlink"/>
                <w:noProof/>
              </w:rPr>
              <w:t>4.2.</w:t>
            </w:r>
            <w:r>
              <w:rPr>
                <w:rFonts w:asciiTheme="minorHAnsi" w:hAnsiTheme="minorHAnsi" w:cstheme="minorBidi"/>
                <w:noProof/>
                <w:kern w:val="2"/>
                <w:sz w:val="24"/>
                <w:szCs w:val="24"/>
                <w14:ligatures w14:val="standardContextual"/>
              </w:rPr>
              <w:tab/>
            </w:r>
            <w:r w:rsidRPr="004320AA">
              <w:rPr>
                <w:rStyle w:val="Hyperlink"/>
                <w:noProof/>
              </w:rPr>
              <w:t>Consideration of Public Interest Factors in Section 854</w:t>
            </w:r>
            <w:r>
              <w:rPr>
                <w:noProof/>
                <w:webHidden/>
              </w:rPr>
              <w:tab/>
            </w:r>
            <w:r>
              <w:rPr>
                <w:noProof/>
                <w:webHidden/>
              </w:rPr>
              <w:fldChar w:fldCharType="begin"/>
            </w:r>
            <w:r>
              <w:rPr>
                <w:noProof/>
                <w:webHidden/>
              </w:rPr>
              <w:instrText xml:space="preserve"> PAGEREF _Toc238105945 \h </w:instrText>
            </w:r>
            <w:r>
              <w:rPr>
                <w:noProof/>
                <w:webHidden/>
              </w:rPr>
            </w:r>
            <w:r>
              <w:rPr>
                <w:noProof/>
                <w:webHidden/>
              </w:rPr>
              <w:fldChar w:fldCharType="separate"/>
            </w:r>
            <w:r>
              <w:rPr>
                <w:noProof/>
                <w:webHidden/>
              </w:rPr>
              <w:t>11</w:t>
            </w:r>
            <w:r>
              <w:rPr>
                <w:noProof/>
                <w:webHidden/>
              </w:rPr>
              <w:fldChar w:fldCharType="end"/>
            </w:r>
          </w:hyperlink>
        </w:p>
        <w:p w:rsidR="002F2950" w:rsidRDefault="002F2950" w14:paraId="52032A86" w14:textId="27F25377">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8105946">
            <w:r w:rsidRPr="004320AA">
              <w:rPr>
                <w:rStyle w:val="Hyperlink"/>
                <w:noProof/>
              </w:rPr>
              <w:t>4.2.1.</w:t>
            </w:r>
            <w:r>
              <w:rPr>
                <w:rFonts w:asciiTheme="minorHAnsi" w:hAnsiTheme="minorHAnsi" w:cstheme="minorBidi"/>
                <w:noProof/>
                <w:kern w:val="2"/>
                <w:sz w:val="24"/>
                <w:szCs w:val="24"/>
                <w14:ligatures w14:val="standardContextual"/>
              </w:rPr>
              <w:tab/>
            </w:r>
            <w:r w:rsidRPr="004320AA">
              <w:rPr>
                <w:rStyle w:val="Hyperlink"/>
                <w:noProof/>
              </w:rPr>
              <w:t>No Adverse Impact on Rates, Service, or Operations</w:t>
            </w:r>
            <w:r>
              <w:rPr>
                <w:noProof/>
                <w:webHidden/>
              </w:rPr>
              <w:tab/>
            </w:r>
            <w:r>
              <w:rPr>
                <w:noProof/>
                <w:webHidden/>
              </w:rPr>
              <w:fldChar w:fldCharType="begin"/>
            </w:r>
            <w:r>
              <w:rPr>
                <w:noProof/>
                <w:webHidden/>
              </w:rPr>
              <w:instrText xml:space="preserve"> PAGEREF _Toc238105946 \h </w:instrText>
            </w:r>
            <w:r>
              <w:rPr>
                <w:noProof/>
                <w:webHidden/>
              </w:rPr>
            </w:r>
            <w:r>
              <w:rPr>
                <w:noProof/>
                <w:webHidden/>
              </w:rPr>
              <w:fldChar w:fldCharType="separate"/>
            </w:r>
            <w:r>
              <w:rPr>
                <w:noProof/>
                <w:webHidden/>
              </w:rPr>
              <w:t>11</w:t>
            </w:r>
            <w:r>
              <w:rPr>
                <w:noProof/>
                <w:webHidden/>
              </w:rPr>
              <w:fldChar w:fldCharType="end"/>
            </w:r>
          </w:hyperlink>
        </w:p>
        <w:p w:rsidR="002F2950" w:rsidRDefault="002F2950" w14:paraId="5E8344E6" w14:textId="2F4A00CE">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8105947">
            <w:r w:rsidRPr="004320AA">
              <w:rPr>
                <w:rStyle w:val="Hyperlink"/>
                <w:noProof/>
              </w:rPr>
              <w:t>4.2.2.</w:t>
            </w:r>
            <w:r>
              <w:rPr>
                <w:rFonts w:asciiTheme="minorHAnsi" w:hAnsiTheme="minorHAnsi" w:cstheme="minorBidi"/>
                <w:noProof/>
                <w:kern w:val="2"/>
                <w:sz w:val="24"/>
                <w:szCs w:val="24"/>
                <w14:ligatures w14:val="standardContextual"/>
              </w:rPr>
              <w:tab/>
            </w:r>
            <w:r w:rsidRPr="004320AA">
              <w:rPr>
                <w:rStyle w:val="Hyperlink"/>
                <w:noProof/>
              </w:rPr>
              <w:t>Financial Structure and Risk to Ratepayers</w:t>
            </w:r>
            <w:r>
              <w:rPr>
                <w:noProof/>
                <w:webHidden/>
              </w:rPr>
              <w:tab/>
            </w:r>
            <w:r>
              <w:rPr>
                <w:noProof/>
                <w:webHidden/>
              </w:rPr>
              <w:fldChar w:fldCharType="begin"/>
            </w:r>
            <w:r>
              <w:rPr>
                <w:noProof/>
                <w:webHidden/>
              </w:rPr>
              <w:instrText xml:space="preserve"> PAGEREF _Toc238105947 \h </w:instrText>
            </w:r>
            <w:r>
              <w:rPr>
                <w:noProof/>
                <w:webHidden/>
              </w:rPr>
            </w:r>
            <w:r>
              <w:rPr>
                <w:noProof/>
                <w:webHidden/>
              </w:rPr>
              <w:fldChar w:fldCharType="separate"/>
            </w:r>
            <w:r>
              <w:rPr>
                <w:noProof/>
                <w:webHidden/>
              </w:rPr>
              <w:t>13</w:t>
            </w:r>
            <w:r>
              <w:rPr>
                <w:noProof/>
                <w:webHidden/>
              </w:rPr>
              <w:fldChar w:fldCharType="end"/>
            </w:r>
          </w:hyperlink>
        </w:p>
        <w:p w:rsidR="002F2950" w:rsidRDefault="002F2950" w14:paraId="6CF70CCF" w14:textId="3A55D7D0">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8105948">
            <w:r w:rsidRPr="004320AA">
              <w:rPr>
                <w:rStyle w:val="Hyperlink"/>
                <w:noProof/>
              </w:rPr>
              <w:t>4.2.3.</w:t>
            </w:r>
            <w:r>
              <w:rPr>
                <w:rFonts w:asciiTheme="minorHAnsi" w:hAnsiTheme="minorHAnsi" w:cstheme="minorBidi"/>
                <w:noProof/>
                <w:kern w:val="2"/>
                <w:sz w:val="24"/>
                <w:szCs w:val="24"/>
                <w14:ligatures w14:val="standardContextual"/>
              </w:rPr>
              <w:tab/>
            </w:r>
            <w:r w:rsidRPr="004320AA">
              <w:rPr>
                <w:rStyle w:val="Hyperlink"/>
                <w:noProof/>
              </w:rPr>
              <w:t>Regulatory Oversight and Affiliate Transactions</w:t>
            </w:r>
            <w:r>
              <w:rPr>
                <w:noProof/>
                <w:webHidden/>
              </w:rPr>
              <w:tab/>
            </w:r>
            <w:r>
              <w:rPr>
                <w:noProof/>
                <w:webHidden/>
              </w:rPr>
              <w:fldChar w:fldCharType="begin"/>
            </w:r>
            <w:r>
              <w:rPr>
                <w:noProof/>
                <w:webHidden/>
              </w:rPr>
              <w:instrText xml:space="preserve"> PAGEREF _Toc238105948 \h </w:instrText>
            </w:r>
            <w:r>
              <w:rPr>
                <w:noProof/>
                <w:webHidden/>
              </w:rPr>
            </w:r>
            <w:r>
              <w:rPr>
                <w:noProof/>
                <w:webHidden/>
              </w:rPr>
              <w:fldChar w:fldCharType="separate"/>
            </w:r>
            <w:r>
              <w:rPr>
                <w:noProof/>
                <w:webHidden/>
              </w:rPr>
              <w:t>15</w:t>
            </w:r>
            <w:r>
              <w:rPr>
                <w:noProof/>
                <w:webHidden/>
              </w:rPr>
              <w:fldChar w:fldCharType="end"/>
            </w:r>
          </w:hyperlink>
        </w:p>
        <w:p w:rsidR="002F2950" w:rsidRDefault="002F2950" w14:paraId="5CB3588F" w14:textId="1954DCF4">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8105949">
            <w:r w:rsidRPr="004320AA">
              <w:rPr>
                <w:rStyle w:val="Hyperlink"/>
                <w:noProof/>
              </w:rPr>
              <w:t>4.2.4.</w:t>
            </w:r>
            <w:r>
              <w:rPr>
                <w:rFonts w:asciiTheme="minorHAnsi" w:hAnsiTheme="minorHAnsi" w:cstheme="minorBidi"/>
                <w:noProof/>
                <w:kern w:val="2"/>
                <w:sz w:val="24"/>
                <w:szCs w:val="24"/>
                <w14:ligatures w14:val="standardContextual"/>
              </w:rPr>
              <w:tab/>
            </w:r>
            <w:r w:rsidRPr="004320AA">
              <w:rPr>
                <w:rStyle w:val="Hyperlink"/>
                <w:noProof/>
              </w:rPr>
              <w:t>Workforce Impacts</w:t>
            </w:r>
            <w:r>
              <w:rPr>
                <w:noProof/>
                <w:webHidden/>
              </w:rPr>
              <w:tab/>
            </w:r>
            <w:r>
              <w:rPr>
                <w:noProof/>
                <w:webHidden/>
              </w:rPr>
              <w:fldChar w:fldCharType="begin"/>
            </w:r>
            <w:r>
              <w:rPr>
                <w:noProof/>
                <w:webHidden/>
              </w:rPr>
              <w:instrText xml:space="preserve"> PAGEREF _Toc238105949 \h </w:instrText>
            </w:r>
            <w:r>
              <w:rPr>
                <w:noProof/>
                <w:webHidden/>
              </w:rPr>
            </w:r>
            <w:r>
              <w:rPr>
                <w:noProof/>
                <w:webHidden/>
              </w:rPr>
              <w:fldChar w:fldCharType="separate"/>
            </w:r>
            <w:r>
              <w:rPr>
                <w:noProof/>
                <w:webHidden/>
              </w:rPr>
              <w:t>16</w:t>
            </w:r>
            <w:r>
              <w:rPr>
                <w:noProof/>
                <w:webHidden/>
              </w:rPr>
              <w:fldChar w:fldCharType="end"/>
            </w:r>
          </w:hyperlink>
        </w:p>
        <w:p w:rsidR="002F2950" w:rsidRDefault="002F2950" w14:paraId="67594D6C" w14:textId="7D465C19">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8105950">
            <w:r w:rsidRPr="004320AA">
              <w:rPr>
                <w:rStyle w:val="Hyperlink"/>
                <w:noProof/>
              </w:rPr>
              <w:t>4.2.5.</w:t>
            </w:r>
            <w:r>
              <w:rPr>
                <w:rFonts w:asciiTheme="minorHAnsi" w:hAnsiTheme="minorHAnsi" w:cstheme="minorBidi"/>
                <w:noProof/>
                <w:kern w:val="2"/>
                <w:sz w:val="24"/>
                <w:szCs w:val="24"/>
                <w14:ligatures w14:val="standardContextual"/>
              </w:rPr>
              <w:tab/>
            </w:r>
            <w:r w:rsidRPr="004320AA">
              <w:rPr>
                <w:rStyle w:val="Hyperlink"/>
                <w:noProof/>
              </w:rPr>
              <w:t>Balancing Benefits and Risks</w:t>
            </w:r>
            <w:r>
              <w:rPr>
                <w:noProof/>
                <w:webHidden/>
              </w:rPr>
              <w:tab/>
            </w:r>
            <w:r>
              <w:rPr>
                <w:noProof/>
                <w:webHidden/>
              </w:rPr>
              <w:fldChar w:fldCharType="begin"/>
            </w:r>
            <w:r>
              <w:rPr>
                <w:noProof/>
                <w:webHidden/>
              </w:rPr>
              <w:instrText xml:space="preserve"> PAGEREF _Toc238105950 \h </w:instrText>
            </w:r>
            <w:r>
              <w:rPr>
                <w:noProof/>
                <w:webHidden/>
              </w:rPr>
            </w:r>
            <w:r>
              <w:rPr>
                <w:noProof/>
                <w:webHidden/>
              </w:rPr>
              <w:fldChar w:fldCharType="separate"/>
            </w:r>
            <w:r>
              <w:rPr>
                <w:noProof/>
                <w:webHidden/>
              </w:rPr>
              <w:t>17</w:t>
            </w:r>
            <w:r>
              <w:rPr>
                <w:noProof/>
                <w:webHidden/>
              </w:rPr>
              <w:fldChar w:fldCharType="end"/>
            </w:r>
          </w:hyperlink>
        </w:p>
        <w:p w:rsidR="002F2950" w:rsidRDefault="002F2950" w14:paraId="67FC2284" w14:textId="5CF0F571">
          <w:pPr>
            <w:pStyle w:val="TOC3"/>
            <w:tabs>
              <w:tab w:val="left" w:pos="1987"/>
              <w:tab w:val="right" w:leader="dot" w:pos="9350"/>
            </w:tabs>
            <w:rPr>
              <w:rFonts w:asciiTheme="minorHAnsi" w:hAnsiTheme="minorHAnsi" w:cstheme="minorBidi"/>
              <w:noProof/>
              <w:kern w:val="2"/>
              <w:sz w:val="24"/>
              <w:szCs w:val="24"/>
              <w14:ligatures w14:val="standardContextual"/>
            </w:rPr>
          </w:pPr>
          <w:hyperlink w:history="1" w:anchor="_Toc238105951">
            <w:r w:rsidRPr="004320AA">
              <w:rPr>
                <w:rStyle w:val="Hyperlink"/>
                <w:noProof/>
              </w:rPr>
              <w:t>4.2.6.</w:t>
            </w:r>
            <w:r>
              <w:rPr>
                <w:rFonts w:asciiTheme="minorHAnsi" w:hAnsiTheme="minorHAnsi" w:cstheme="minorBidi"/>
                <w:noProof/>
                <w:kern w:val="2"/>
                <w:sz w:val="24"/>
                <w:szCs w:val="24"/>
                <w14:ligatures w14:val="standardContextual"/>
              </w:rPr>
              <w:tab/>
            </w:r>
            <w:r w:rsidRPr="004320AA">
              <w:rPr>
                <w:rStyle w:val="Hyperlink"/>
                <w:noProof/>
              </w:rPr>
              <w:t>Conclusion</w:t>
            </w:r>
            <w:r>
              <w:rPr>
                <w:noProof/>
                <w:webHidden/>
              </w:rPr>
              <w:tab/>
            </w:r>
            <w:r>
              <w:rPr>
                <w:noProof/>
                <w:webHidden/>
              </w:rPr>
              <w:fldChar w:fldCharType="begin"/>
            </w:r>
            <w:r>
              <w:rPr>
                <w:noProof/>
                <w:webHidden/>
              </w:rPr>
              <w:instrText xml:space="preserve"> PAGEREF _Toc238105951 \h </w:instrText>
            </w:r>
            <w:r>
              <w:rPr>
                <w:noProof/>
                <w:webHidden/>
              </w:rPr>
            </w:r>
            <w:r>
              <w:rPr>
                <w:noProof/>
                <w:webHidden/>
              </w:rPr>
              <w:fldChar w:fldCharType="separate"/>
            </w:r>
            <w:r>
              <w:rPr>
                <w:noProof/>
                <w:webHidden/>
              </w:rPr>
              <w:t>18</w:t>
            </w:r>
            <w:r>
              <w:rPr>
                <w:noProof/>
                <w:webHidden/>
              </w:rPr>
              <w:fldChar w:fldCharType="end"/>
            </w:r>
          </w:hyperlink>
        </w:p>
        <w:p w:rsidR="002F2950" w:rsidRDefault="002F2950" w14:paraId="4EC50C93" w14:textId="0957A64A">
          <w:pPr>
            <w:pStyle w:val="TOC2"/>
            <w:tabs>
              <w:tab w:val="left" w:pos="1123"/>
              <w:tab w:val="right" w:leader="dot" w:pos="9350"/>
            </w:tabs>
            <w:rPr>
              <w:rFonts w:asciiTheme="minorHAnsi" w:hAnsiTheme="minorHAnsi" w:cstheme="minorBidi"/>
              <w:noProof/>
              <w:kern w:val="2"/>
              <w:sz w:val="24"/>
              <w:szCs w:val="24"/>
              <w14:ligatures w14:val="standardContextual"/>
            </w:rPr>
          </w:pPr>
          <w:hyperlink w:history="1" w:anchor="_Toc238105952">
            <w:r w:rsidRPr="004320AA">
              <w:rPr>
                <w:rStyle w:val="Hyperlink"/>
                <w:noProof/>
              </w:rPr>
              <w:t>4.3.</w:t>
            </w:r>
            <w:r>
              <w:rPr>
                <w:rFonts w:asciiTheme="minorHAnsi" w:hAnsiTheme="minorHAnsi" w:cstheme="minorBidi"/>
                <w:noProof/>
                <w:kern w:val="2"/>
                <w:sz w:val="24"/>
                <w:szCs w:val="24"/>
                <w14:ligatures w14:val="standardContextual"/>
              </w:rPr>
              <w:tab/>
            </w:r>
            <w:r w:rsidRPr="004320AA">
              <w:rPr>
                <w:rStyle w:val="Hyperlink"/>
                <w:noProof/>
              </w:rPr>
              <w:t>Impacts on Environmental and Social Justice Communities</w:t>
            </w:r>
            <w:r>
              <w:rPr>
                <w:noProof/>
                <w:webHidden/>
              </w:rPr>
              <w:tab/>
            </w:r>
            <w:r>
              <w:rPr>
                <w:noProof/>
                <w:webHidden/>
              </w:rPr>
              <w:fldChar w:fldCharType="begin"/>
            </w:r>
            <w:r>
              <w:rPr>
                <w:noProof/>
                <w:webHidden/>
              </w:rPr>
              <w:instrText xml:space="preserve"> PAGEREF _Toc238105952 \h </w:instrText>
            </w:r>
            <w:r>
              <w:rPr>
                <w:noProof/>
                <w:webHidden/>
              </w:rPr>
            </w:r>
            <w:r>
              <w:rPr>
                <w:noProof/>
                <w:webHidden/>
              </w:rPr>
              <w:fldChar w:fldCharType="separate"/>
            </w:r>
            <w:r>
              <w:rPr>
                <w:noProof/>
                <w:webHidden/>
              </w:rPr>
              <w:t>18</w:t>
            </w:r>
            <w:r>
              <w:rPr>
                <w:noProof/>
                <w:webHidden/>
              </w:rPr>
              <w:fldChar w:fldCharType="end"/>
            </w:r>
          </w:hyperlink>
        </w:p>
        <w:p w:rsidR="002F2950" w:rsidRDefault="002F2950" w14:paraId="78804F72" w14:textId="5FE3B58D">
          <w:pPr>
            <w:pStyle w:val="TOC1"/>
            <w:tabs>
              <w:tab w:val="right" w:leader="dot" w:pos="9350"/>
            </w:tabs>
            <w:rPr>
              <w:rFonts w:asciiTheme="minorHAnsi" w:hAnsiTheme="minorHAnsi" w:cstheme="minorBidi"/>
              <w:noProof/>
              <w:kern w:val="2"/>
              <w:sz w:val="24"/>
              <w:szCs w:val="24"/>
              <w14:ligatures w14:val="standardContextual"/>
            </w:rPr>
          </w:pPr>
          <w:hyperlink w:history="1" w:anchor="_Toc238105953">
            <w:r w:rsidRPr="004320AA">
              <w:rPr>
                <w:rStyle w:val="Hyperlink"/>
                <w:noProof/>
              </w:rPr>
              <w:t>5.</w:t>
            </w:r>
            <w:r>
              <w:rPr>
                <w:rFonts w:asciiTheme="minorHAnsi" w:hAnsiTheme="minorHAnsi" w:cstheme="minorBidi"/>
                <w:noProof/>
                <w:kern w:val="2"/>
                <w:sz w:val="24"/>
                <w:szCs w:val="24"/>
                <w14:ligatures w14:val="standardContextual"/>
              </w:rPr>
              <w:tab/>
            </w:r>
            <w:r w:rsidRPr="004320AA">
              <w:rPr>
                <w:rStyle w:val="Hyperlink"/>
                <w:noProof/>
              </w:rPr>
              <w:t>Summary of Public Comment</w:t>
            </w:r>
            <w:r>
              <w:rPr>
                <w:noProof/>
                <w:webHidden/>
              </w:rPr>
              <w:tab/>
            </w:r>
            <w:r>
              <w:rPr>
                <w:noProof/>
                <w:webHidden/>
              </w:rPr>
              <w:fldChar w:fldCharType="begin"/>
            </w:r>
            <w:r>
              <w:rPr>
                <w:noProof/>
                <w:webHidden/>
              </w:rPr>
              <w:instrText xml:space="preserve"> PAGEREF _Toc238105953 \h </w:instrText>
            </w:r>
            <w:r>
              <w:rPr>
                <w:noProof/>
                <w:webHidden/>
              </w:rPr>
            </w:r>
            <w:r>
              <w:rPr>
                <w:noProof/>
                <w:webHidden/>
              </w:rPr>
              <w:fldChar w:fldCharType="separate"/>
            </w:r>
            <w:r>
              <w:rPr>
                <w:noProof/>
                <w:webHidden/>
              </w:rPr>
              <w:t>21</w:t>
            </w:r>
            <w:r>
              <w:rPr>
                <w:noProof/>
                <w:webHidden/>
              </w:rPr>
              <w:fldChar w:fldCharType="end"/>
            </w:r>
          </w:hyperlink>
        </w:p>
        <w:p w:rsidR="002F2950" w:rsidRDefault="002F2950" w14:paraId="6D74C5C4" w14:textId="733EB88B">
          <w:pPr>
            <w:pStyle w:val="TOC1"/>
            <w:tabs>
              <w:tab w:val="right" w:leader="dot" w:pos="9350"/>
            </w:tabs>
            <w:rPr>
              <w:rFonts w:asciiTheme="minorHAnsi" w:hAnsiTheme="minorHAnsi" w:cstheme="minorBidi"/>
              <w:noProof/>
              <w:kern w:val="2"/>
              <w:sz w:val="24"/>
              <w:szCs w:val="24"/>
              <w14:ligatures w14:val="standardContextual"/>
            </w:rPr>
          </w:pPr>
          <w:hyperlink w:history="1" w:anchor="_Toc238105954">
            <w:r w:rsidRPr="004320AA">
              <w:rPr>
                <w:rStyle w:val="Hyperlink"/>
                <w:noProof/>
              </w:rPr>
              <w:t>6.</w:t>
            </w:r>
            <w:r>
              <w:rPr>
                <w:rFonts w:asciiTheme="minorHAnsi" w:hAnsiTheme="minorHAnsi" w:cstheme="minorBidi"/>
                <w:noProof/>
                <w:kern w:val="2"/>
                <w:sz w:val="24"/>
                <w:szCs w:val="24"/>
                <w14:ligatures w14:val="standardContextual"/>
              </w:rPr>
              <w:tab/>
            </w:r>
            <w:r w:rsidRPr="004320AA">
              <w:rPr>
                <w:rStyle w:val="Hyperlink"/>
                <w:noProof/>
              </w:rPr>
              <w:t>Conclusion</w:t>
            </w:r>
            <w:r>
              <w:rPr>
                <w:noProof/>
                <w:webHidden/>
              </w:rPr>
              <w:tab/>
            </w:r>
            <w:r>
              <w:rPr>
                <w:noProof/>
                <w:webHidden/>
              </w:rPr>
              <w:fldChar w:fldCharType="begin"/>
            </w:r>
            <w:r>
              <w:rPr>
                <w:noProof/>
                <w:webHidden/>
              </w:rPr>
              <w:instrText xml:space="preserve"> PAGEREF _Toc238105954 \h </w:instrText>
            </w:r>
            <w:r>
              <w:rPr>
                <w:noProof/>
                <w:webHidden/>
              </w:rPr>
            </w:r>
            <w:r>
              <w:rPr>
                <w:noProof/>
                <w:webHidden/>
              </w:rPr>
              <w:fldChar w:fldCharType="separate"/>
            </w:r>
            <w:r>
              <w:rPr>
                <w:noProof/>
                <w:webHidden/>
              </w:rPr>
              <w:t>21</w:t>
            </w:r>
            <w:r>
              <w:rPr>
                <w:noProof/>
                <w:webHidden/>
              </w:rPr>
              <w:fldChar w:fldCharType="end"/>
            </w:r>
          </w:hyperlink>
        </w:p>
        <w:p w:rsidR="002F2950" w:rsidRDefault="002F2950" w14:paraId="33D3EC10" w14:textId="0ECF1777">
          <w:pPr>
            <w:pStyle w:val="TOC1"/>
            <w:tabs>
              <w:tab w:val="right" w:leader="dot" w:pos="9350"/>
            </w:tabs>
            <w:rPr>
              <w:rFonts w:asciiTheme="minorHAnsi" w:hAnsiTheme="minorHAnsi" w:cstheme="minorBidi"/>
              <w:noProof/>
              <w:kern w:val="2"/>
              <w:sz w:val="24"/>
              <w:szCs w:val="24"/>
              <w14:ligatures w14:val="standardContextual"/>
            </w:rPr>
          </w:pPr>
          <w:hyperlink w:history="1" w:anchor="_Toc238105955">
            <w:r w:rsidRPr="004320AA">
              <w:rPr>
                <w:rStyle w:val="Hyperlink"/>
                <w:noProof/>
              </w:rPr>
              <w:t>7.</w:t>
            </w:r>
            <w:r>
              <w:rPr>
                <w:rFonts w:asciiTheme="minorHAnsi" w:hAnsiTheme="minorHAnsi" w:cstheme="minorBidi"/>
                <w:noProof/>
                <w:kern w:val="2"/>
                <w:sz w:val="24"/>
                <w:szCs w:val="24"/>
                <w14:ligatures w14:val="standardContextual"/>
              </w:rPr>
              <w:tab/>
            </w:r>
            <w:r w:rsidRPr="004320AA">
              <w:rPr>
                <w:rStyle w:val="Hyperlink"/>
                <w:noProof/>
              </w:rPr>
              <w:t>Procedural Matters</w:t>
            </w:r>
            <w:r>
              <w:rPr>
                <w:noProof/>
                <w:webHidden/>
              </w:rPr>
              <w:tab/>
            </w:r>
            <w:r>
              <w:rPr>
                <w:noProof/>
                <w:webHidden/>
              </w:rPr>
              <w:fldChar w:fldCharType="begin"/>
            </w:r>
            <w:r>
              <w:rPr>
                <w:noProof/>
                <w:webHidden/>
              </w:rPr>
              <w:instrText xml:space="preserve"> PAGEREF _Toc238105955 \h </w:instrText>
            </w:r>
            <w:r>
              <w:rPr>
                <w:noProof/>
                <w:webHidden/>
              </w:rPr>
            </w:r>
            <w:r>
              <w:rPr>
                <w:noProof/>
                <w:webHidden/>
              </w:rPr>
              <w:fldChar w:fldCharType="separate"/>
            </w:r>
            <w:r>
              <w:rPr>
                <w:noProof/>
                <w:webHidden/>
              </w:rPr>
              <w:t>23</w:t>
            </w:r>
            <w:r>
              <w:rPr>
                <w:noProof/>
                <w:webHidden/>
              </w:rPr>
              <w:fldChar w:fldCharType="end"/>
            </w:r>
          </w:hyperlink>
        </w:p>
        <w:p w:rsidR="002F2950" w:rsidRDefault="002F2950" w14:paraId="6413DF07" w14:textId="2D846B96">
          <w:pPr>
            <w:pStyle w:val="TOC1"/>
            <w:tabs>
              <w:tab w:val="right" w:leader="dot" w:pos="9350"/>
            </w:tabs>
            <w:rPr>
              <w:rFonts w:asciiTheme="minorHAnsi" w:hAnsiTheme="minorHAnsi" w:cstheme="minorBidi"/>
              <w:noProof/>
              <w:kern w:val="2"/>
              <w:sz w:val="24"/>
              <w:szCs w:val="24"/>
              <w14:ligatures w14:val="standardContextual"/>
            </w:rPr>
          </w:pPr>
          <w:hyperlink w:history="1" w:anchor="_Toc238105956">
            <w:r w:rsidRPr="004320AA">
              <w:rPr>
                <w:rStyle w:val="Hyperlink"/>
                <w:noProof/>
              </w:rPr>
              <w:t>8.</w:t>
            </w:r>
            <w:r>
              <w:rPr>
                <w:rFonts w:asciiTheme="minorHAnsi" w:hAnsiTheme="minorHAnsi" w:cstheme="minorBidi"/>
                <w:noProof/>
                <w:kern w:val="2"/>
                <w:sz w:val="24"/>
                <w:szCs w:val="24"/>
                <w14:ligatures w14:val="standardContextual"/>
              </w:rPr>
              <w:tab/>
            </w:r>
            <w:r w:rsidRPr="004320AA">
              <w:rPr>
                <w:rStyle w:val="Hyperlink"/>
                <w:noProof/>
              </w:rPr>
              <w:t>Waiver of Comment Period</w:t>
            </w:r>
            <w:r>
              <w:rPr>
                <w:noProof/>
                <w:webHidden/>
              </w:rPr>
              <w:tab/>
            </w:r>
            <w:r>
              <w:rPr>
                <w:noProof/>
                <w:webHidden/>
              </w:rPr>
              <w:fldChar w:fldCharType="begin"/>
            </w:r>
            <w:r>
              <w:rPr>
                <w:noProof/>
                <w:webHidden/>
              </w:rPr>
              <w:instrText xml:space="preserve"> PAGEREF _Toc238105956 \h </w:instrText>
            </w:r>
            <w:r>
              <w:rPr>
                <w:noProof/>
                <w:webHidden/>
              </w:rPr>
            </w:r>
            <w:r>
              <w:rPr>
                <w:noProof/>
                <w:webHidden/>
              </w:rPr>
              <w:fldChar w:fldCharType="separate"/>
            </w:r>
            <w:r>
              <w:rPr>
                <w:noProof/>
                <w:webHidden/>
              </w:rPr>
              <w:t>23</w:t>
            </w:r>
            <w:r>
              <w:rPr>
                <w:noProof/>
                <w:webHidden/>
              </w:rPr>
              <w:fldChar w:fldCharType="end"/>
            </w:r>
          </w:hyperlink>
        </w:p>
        <w:p w:rsidR="002F2950" w:rsidRDefault="002F2950" w14:paraId="695FF8BD" w14:textId="0A8EF35B">
          <w:pPr>
            <w:pStyle w:val="TOC1"/>
            <w:tabs>
              <w:tab w:val="right" w:leader="dot" w:pos="9350"/>
            </w:tabs>
            <w:rPr>
              <w:rFonts w:asciiTheme="minorHAnsi" w:hAnsiTheme="minorHAnsi" w:cstheme="minorBidi"/>
              <w:noProof/>
              <w:kern w:val="2"/>
              <w:sz w:val="24"/>
              <w:szCs w:val="24"/>
              <w14:ligatures w14:val="standardContextual"/>
            </w:rPr>
          </w:pPr>
          <w:hyperlink w:history="1" w:anchor="_Toc238105957">
            <w:r w:rsidRPr="004320AA">
              <w:rPr>
                <w:rStyle w:val="Hyperlink"/>
                <w:noProof/>
              </w:rPr>
              <w:t>9.</w:t>
            </w:r>
            <w:r>
              <w:rPr>
                <w:rFonts w:asciiTheme="minorHAnsi" w:hAnsiTheme="minorHAnsi" w:cstheme="minorBidi"/>
                <w:noProof/>
                <w:kern w:val="2"/>
                <w:sz w:val="24"/>
                <w:szCs w:val="24"/>
                <w14:ligatures w14:val="standardContextual"/>
              </w:rPr>
              <w:tab/>
            </w:r>
            <w:r w:rsidRPr="004320AA">
              <w:rPr>
                <w:rStyle w:val="Hyperlink"/>
                <w:noProof/>
              </w:rPr>
              <w:t>Assignment of Proceeding</w:t>
            </w:r>
            <w:r>
              <w:rPr>
                <w:noProof/>
                <w:webHidden/>
              </w:rPr>
              <w:tab/>
            </w:r>
            <w:r>
              <w:rPr>
                <w:noProof/>
                <w:webHidden/>
              </w:rPr>
              <w:fldChar w:fldCharType="begin"/>
            </w:r>
            <w:r>
              <w:rPr>
                <w:noProof/>
                <w:webHidden/>
              </w:rPr>
              <w:instrText xml:space="preserve"> PAGEREF _Toc238105957 \h </w:instrText>
            </w:r>
            <w:r>
              <w:rPr>
                <w:noProof/>
                <w:webHidden/>
              </w:rPr>
            </w:r>
            <w:r>
              <w:rPr>
                <w:noProof/>
                <w:webHidden/>
              </w:rPr>
              <w:fldChar w:fldCharType="separate"/>
            </w:r>
            <w:r>
              <w:rPr>
                <w:noProof/>
                <w:webHidden/>
              </w:rPr>
              <w:t>23</w:t>
            </w:r>
            <w:r>
              <w:rPr>
                <w:noProof/>
                <w:webHidden/>
              </w:rPr>
              <w:fldChar w:fldCharType="end"/>
            </w:r>
          </w:hyperlink>
        </w:p>
        <w:p w:rsidR="002F2950" w:rsidRDefault="002F2950" w14:paraId="21D66BC4" w14:textId="7E08F7B4">
          <w:pPr>
            <w:pStyle w:val="TOC1"/>
            <w:tabs>
              <w:tab w:val="right" w:leader="dot" w:pos="9350"/>
            </w:tabs>
            <w:rPr>
              <w:rFonts w:asciiTheme="minorHAnsi" w:hAnsiTheme="minorHAnsi" w:cstheme="minorBidi"/>
              <w:noProof/>
              <w:kern w:val="2"/>
              <w:sz w:val="24"/>
              <w:szCs w:val="24"/>
              <w14:ligatures w14:val="standardContextual"/>
            </w:rPr>
          </w:pPr>
          <w:hyperlink w:history="1" w:anchor="_Toc238105958">
            <w:r w:rsidRPr="004320AA">
              <w:rPr>
                <w:rStyle w:val="Hyperlink"/>
                <w:noProof/>
              </w:rPr>
              <w:t>Findings of Fact</w:t>
            </w:r>
            <w:r>
              <w:rPr>
                <w:noProof/>
                <w:webHidden/>
              </w:rPr>
              <w:tab/>
            </w:r>
            <w:r>
              <w:rPr>
                <w:noProof/>
                <w:webHidden/>
              </w:rPr>
              <w:fldChar w:fldCharType="begin"/>
            </w:r>
            <w:r>
              <w:rPr>
                <w:noProof/>
                <w:webHidden/>
              </w:rPr>
              <w:instrText xml:space="preserve"> PAGEREF _Toc238105958 \h </w:instrText>
            </w:r>
            <w:r>
              <w:rPr>
                <w:noProof/>
                <w:webHidden/>
              </w:rPr>
            </w:r>
            <w:r>
              <w:rPr>
                <w:noProof/>
                <w:webHidden/>
              </w:rPr>
              <w:fldChar w:fldCharType="separate"/>
            </w:r>
            <w:r>
              <w:rPr>
                <w:noProof/>
                <w:webHidden/>
              </w:rPr>
              <w:t>23</w:t>
            </w:r>
            <w:r>
              <w:rPr>
                <w:noProof/>
                <w:webHidden/>
              </w:rPr>
              <w:fldChar w:fldCharType="end"/>
            </w:r>
          </w:hyperlink>
        </w:p>
        <w:p w:rsidR="002F2950" w:rsidRDefault="002F2950" w14:paraId="39F0F068" w14:textId="446E581B">
          <w:pPr>
            <w:pStyle w:val="TOC1"/>
            <w:tabs>
              <w:tab w:val="right" w:leader="dot" w:pos="9350"/>
            </w:tabs>
            <w:rPr>
              <w:rFonts w:asciiTheme="minorHAnsi" w:hAnsiTheme="minorHAnsi" w:cstheme="minorBidi"/>
              <w:noProof/>
              <w:kern w:val="2"/>
              <w:sz w:val="24"/>
              <w:szCs w:val="24"/>
              <w14:ligatures w14:val="standardContextual"/>
            </w:rPr>
          </w:pPr>
          <w:hyperlink w:history="1" w:anchor="_Toc238105959">
            <w:r w:rsidRPr="004320AA">
              <w:rPr>
                <w:rStyle w:val="Hyperlink"/>
                <w:noProof/>
              </w:rPr>
              <w:t>Conclusions of Law</w:t>
            </w:r>
            <w:r>
              <w:rPr>
                <w:noProof/>
                <w:webHidden/>
              </w:rPr>
              <w:tab/>
            </w:r>
            <w:r>
              <w:rPr>
                <w:noProof/>
                <w:webHidden/>
              </w:rPr>
              <w:fldChar w:fldCharType="begin"/>
            </w:r>
            <w:r>
              <w:rPr>
                <w:noProof/>
                <w:webHidden/>
              </w:rPr>
              <w:instrText xml:space="preserve"> PAGEREF _Toc238105959 \h </w:instrText>
            </w:r>
            <w:r>
              <w:rPr>
                <w:noProof/>
                <w:webHidden/>
              </w:rPr>
            </w:r>
            <w:r>
              <w:rPr>
                <w:noProof/>
                <w:webHidden/>
              </w:rPr>
              <w:fldChar w:fldCharType="separate"/>
            </w:r>
            <w:r>
              <w:rPr>
                <w:noProof/>
                <w:webHidden/>
              </w:rPr>
              <w:t>24</w:t>
            </w:r>
            <w:r>
              <w:rPr>
                <w:noProof/>
                <w:webHidden/>
              </w:rPr>
              <w:fldChar w:fldCharType="end"/>
            </w:r>
          </w:hyperlink>
        </w:p>
        <w:p w:rsidR="002F2950" w:rsidRDefault="002F2950" w14:paraId="6B439414" w14:textId="4BF61A12">
          <w:pPr>
            <w:pStyle w:val="TOC1"/>
            <w:tabs>
              <w:tab w:val="right" w:leader="dot" w:pos="9350"/>
            </w:tabs>
            <w:rPr>
              <w:rFonts w:asciiTheme="minorHAnsi" w:hAnsiTheme="minorHAnsi" w:cstheme="minorBidi"/>
              <w:noProof/>
              <w:kern w:val="2"/>
              <w:sz w:val="24"/>
              <w:szCs w:val="24"/>
              <w14:ligatures w14:val="standardContextual"/>
            </w:rPr>
          </w:pPr>
          <w:hyperlink w:history="1" w:anchor="_Toc238105960">
            <w:r w:rsidRPr="004320AA">
              <w:rPr>
                <w:rStyle w:val="Hyperlink"/>
                <w:noProof/>
              </w:rPr>
              <w:t>ORDER</w:t>
            </w:r>
            <w:r>
              <w:rPr>
                <w:noProof/>
                <w:webHidden/>
              </w:rPr>
              <w:tab/>
            </w:r>
            <w:r>
              <w:rPr>
                <w:noProof/>
                <w:webHidden/>
              </w:rPr>
              <w:fldChar w:fldCharType="begin"/>
            </w:r>
            <w:r>
              <w:rPr>
                <w:noProof/>
                <w:webHidden/>
              </w:rPr>
              <w:instrText xml:space="preserve"> PAGEREF _Toc238105960 \h </w:instrText>
            </w:r>
            <w:r>
              <w:rPr>
                <w:noProof/>
                <w:webHidden/>
              </w:rPr>
            </w:r>
            <w:r>
              <w:rPr>
                <w:noProof/>
                <w:webHidden/>
              </w:rPr>
              <w:fldChar w:fldCharType="separate"/>
            </w:r>
            <w:r>
              <w:rPr>
                <w:noProof/>
                <w:webHidden/>
              </w:rPr>
              <w:t>25</w:t>
            </w:r>
            <w:r>
              <w:rPr>
                <w:noProof/>
                <w:webHidden/>
              </w:rPr>
              <w:fldChar w:fldCharType="end"/>
            </w:r>
          </w:hyperlink>
        </w:p>
        <w:p w:rsidR="00D82A43" w:rsidP="008C7413" w:rsidRDefault="008C7413" w14:paraId="31446137" w14:textId="1A94BC5A">
          <w:pPr>
            <w:pStyle w:val="TOC1"/>
            <w:tabs>
              <w:tab w:val="right" w:leader="dot" w:pos="9350"/>
            </w:tabs>
          </w:pPr>
          <w:r>
            <w:rPr>
              <w:rFonts w:asciiTheme="minorHAnsi" w:hAnsiTheme="minorHAnsi"/>
              <w:sz w:val="22"/>
            </w:rPr>
            <w:fldChar w:fldCharType="end"/>
          </w:r>
        </w:p>
      </w:sdtContent>
    </w:sdt>
    <w:p w:rsidR="00D44DB6" w:rsidP="00D44DB6" w:rsidRDefault="00D44DB6" w14:paraId="39BCF885" w14:textId="77777777">
      <w:pPr>
        <w:spacing w:line="240" w:lineRule="auto"/>
        <w:ind w:firstLine="0"/>
        <w:rPr>
          <w:rFonts w:cs="Arial"/>
          <w:i/>
          <w:szCs w:val="26"/>
        </w:rPr>
      </w:pPr>
    </w:p>
    <w:p w:rsidRPr="008613CA" w:rsidR="008613CA" w:rsidP="00D44DB6" w:rsidRDefault="008613CA" w14:paraId="00399202" w14:textId="39BFB8B2">
      <w:pPr>
        <w:spacing w:line="240" w:lineRule="auto"/>
        <w:ind w:firstLine="0"/>
        <w:rPr>
          <w:rFonts w:cs="Arial"/>
          <w:iCs/>
          <w:szCs w:val="26"/>
        </w:rPr>
        <w:sectPr w:rsidRPr="008613CA" w:rsidR="008613CA" w:rsidSect="00E85D9D">
          <w:pgSz w:w="12240" w:h="15840"/>
          <w:pgMar w:top="1728" w:right="1440" w:bottom="1440" w:left="1440" w:header="720" w:footer="720" w:gutter="0"/>
          <w:pgNumType w:fmt="lowerRoman" w:start="1"/>
          <w:cols w:space="720"/>
          <w:docGrid w:linePitch="360"/>
        </w:sectPr>
      </w:pPr>
    </w:p>
    <w:p w:rsidRPr="00D207EA" w:rsidR="0098655A" w:rsidP="008301B7" w:rsidRDefault="00D207EA" w14:paraId="3BA30508" w14:textId="56ABCB38">
      <w:pPr>
        <w:pStyle w:val="Main"/>
        <w:rPr>
          <w:caps w:val="0"/>
        </w:rPr>
      </w:pPr>
      <w:bookmarkStart w:name="Title" w:id="2"/>
      <w:r w:rsidRPr="00D207EA">
        <w:rPr>
          <w:caps w:val="0"/>
        </w:rPr>
        <w:lastRenderedPageBreak/>
        <w:t>DECISION GRANTING PROPOSED TRANSACTION WITH RESPECT</w:t>
      </w:r>
      <w:r w:rsidRPr="00D207EA">
        <w:rPr>
          <w:caps w:val="0"/>
        </w:rPr>
        <w:br/>
        <w:t>TO THE CREATION OF AN INTERMEDIATE HOLDING COMPANY</w:t>
      </w:r>
      <w:bookmarkEnd w:id="2"/>
    </w:p>
    <w:p w:rsidRPr="008301B7" w:rsidR="008301B7" w:rsidP="00222660" w:rsidRDefault="008301B7" w14:paraId="4969E45E" w14:textId="77777777">
      <w:pPr>
        <w:pStyle w:val="Main"/>
        <w:jc w:val="left"/>
      </w:pPr>
    </w:p>
    <w:p w:rsidRPr="00537D5E" w:rsidR="005A148C" w:rsidP="00222660" w:rsidRDefault="005A148C" w14:paraId="7804E77C" w14:textId="77777777">
      <w:pPr>
        <w:pStyle w:val="Dummy"/>
      </w:pPr>
      <w:bookmarkStart w:name="_Toc8123714" w:id="3"/>
      <w:bookmarkStart w:name="_Toc234583862" w:id="4"/>
      <w:bookmarkStart w:name="_Toc238105939" w:id="5"/>
      <w:r>
        <w:t>Summary</w:t>
      </w:r>
      <w:bookmarkEnd w:id="3"/>
      <w:bookmarkEnd w:id="4"/>
      <w:bookmarkEnd w:id="5"/>
    </w:p>
    <w:p w:rsidR="004364EA" w:rsidP="004364EA" w:rsidRDefault="00C50E2A" w14:paraId="658CB471" w14:textId="0E9FDFB7">
      <w:pPr>
        <w:pStyle w:val="Standard"/>
      </w:pPr>
      <w:r w:rsidRPr="00C50E2A">
        <w:t xml:space="preserve">This decision addresses </w:t>
      </w:r>
      <w:r w:rsidR="00960B1E">
        <w:t>Application </w:t>
      </w:r>
      <w:r w:rsidRPr="00C50E2A">
        <w:t>25</w:t>
      </w:r>
      <w:r w:rsidR="00042804">
        <w:noBreakHyphen/>
      </w:r>
      <w:r w:rsidRPr="00C50E2A">
        <w:t>05</w:t>
      </w:r>
      <w:r w:rsidR="00042804">
        <w:noBreakHyphen/>
      </w:r>
      <w:r w:rsidRPr="00C50E2A">
        <w:t xml:space="preserve">020, filed by </w:t>
      </w:r>
      <w:r w:rsidR="00972FC6">
        <w:t>San </w:t>
      </w:r>
      <w:r w:rsidRPr="00C50E2A">
        <w:t>Diego Gas</w:t>
      </w:r>
      <w:r w:rsidR="00972FC6">
        <w:t xml:space="preserve"> &amp; </w:t>
      </w:r>
      <w:r w:rsidRPr="00C50E2A">
        <w:t>Electric Company (SDG&amp;E) and Southern California Gas Company (SoCalGas) (</w:t>
      </w:r>
      <w:r w:rsidR="00061525">
        <w:t>jointly</w:t>
      </w:r>
      <w:r w:rsidRPr="00C50E2A">
        <w:t>, Applicants), seeking approval of a proposed internal corporate reorganization involving the creation of Sempra California, LLC as an intermediate holding company</w:t>
      </w:r>
      <w:r w:rsidR="004364EA">
        <w:t>.</w:t>
      </w:r>
      <w:r w:rsidR="005E1C6D">
        <w:t xml:space="preserve"> </w:t>
      </w:r>
      <w:r w:rsidRPr="00C50E2A">
        <w:t xml:space="preserve">Based on the record developed in this proceeding, we find that the </w:t>
      </w:r>
      <w:r w:rsidR="00E539DA">
        <w:t>p</w:t>
      </w:r>
      <w:r w:rsidRPr="00C50E2A" w:rsidR="005E1C6D">
        <w:t xml:space="preserve">roposed </w:t>
      </w:r>
      <w:r w:rsidR="00E539DA">
        <w:t>t</w:t>
      </w:r>
      <w:r w:rsidRPr="00C50E2A" w:rsidR="005E1C6D">
        <w:t>ransaction</w:t>
      </w:r>
      <w:r w:rsidRPr="00C50E2A">
        <w:t xml:space="preserve"> is a limited internal corporate reorganization that does not transfer ownership or control of SDG&amp;E or SoCalGas to a third party, does not affect utility rates, service, operations, workforce, or management, and does not impair the Commission</w:t>
      </w:r>
      <w:r w:rsidR="00E5563F">
        <w:t>’</w:t>
      </w:r>
      <w:r w:rsidRPr="00C50E2A">
        <w:t>s ability to regulate the utilities.</w:t>
      </w:r>
    </w:p>
    <w:p w:rsidRPr="00C50E2A" w:rsidR="00C50E2A" w:rsidP="004364EA" w:rsidRDefault="004364EA" w14:paraId="2B68E78F" w14:textId="47E95C0F">
      <w:pPr>
        <w:pStyle w:val="Standard"/>
      </w:pPr>
      <w:r>
        <w:t>W</w:t>
      </w:r>
      <w:r w:rsidRPr="005B7FBB" w:rsidR="005B7FBB">
        <w:t xml:space="preserve">e find that application of the review requirements of </w:t>
      </w:r>
      <w:r w:rsidR="004F7E76">
        <w:t>Section </w:t>
      </w:r>
      <w:r w:rsidRPr="005B7FBB" w:rsidR="005B7FBB">
        <w:t xml:space="preserve">854 is not necessary in the public interest under the circumstances </w:t>
      </w:r>
      <w:r w:rsidRPr="005B7FBB" w:rsidR="008D637F">
        <w:t>presented,</w:t>
      </w:r>
      <w:r w:rsidR="005B7FBB">
        <w:t xml:space="preserve"> and we</w:t>
      </w:r>
      <w:r w:rsidRPr="00C50E2A" w:rsidR="00C50E2A">
        <w:t xml:space="preserve"> grant Applicants</w:t>
      </w:r>
      <w:r w:rsidR="00E5563F">
        <w:t>’</w:t>
      </w:r>
      <w:r w:rsidRPr="00C50E2A" w:rsidR="00C50E2A">
        <w:t xml:space="preserve"> request for an exemption pursuant to </w:t>
      </w:r>
      <w:r w:rsidR="004F7E76">
        <w:t>Section </w:t>
      </w:r>
      <w:r w:rsidRPr="00C50E2A" w:rsidR="00C50E2A">
        <w:t>853(b</w:t>
      </w:r>
      <w:r w:rsidR="005B7FBB">
        <w:t>)</w:t>
      </w:r>
      <w:r w:rsidR="7B8DB22F">
        <w:t>, subject to the conditions adopted in this decision</w:t>
      </w:r>
      <w:r w:rsidR="005B7FBB">
        <w:t>.</w:t>
      </w:r>
    </w:p>
    <w:p w:rsidR="00963400" w:rsidP="00963400" w:rsidRDefault="00963400" w14:paraId="584C90E7" w14:textId="41F48437">
      <w:pPr>
        <w:pStyle w:val="Standard"/>
      </w:pPr>
      <w:r w:rsidRPr="00960A32">
        <w:rPr>
          <w:szCs w:val="26"/>
        </w:rPr>
        <w:t>This proceeding is closed.</w:t>
      </w:r>
    </w:p>
    <w:p w:rsidR="005A148C" w:rsidP="00271EBD" w:rsidRDefault="002C7FE9" w14:paraId="67D19567" w14:textId="77777777">
      <w:pPr>
        <w:pStyle w:val="Heading1"/>
      </w:pPr>
      <w:bookmarkStart w:name="_Toc8123715" w:id="6"/>
      <w:bookmarkStart w:name="_Toc234583863" w:id="7"/>
      <w:bookmarkStart w:name="_Toc238105940" w:id="8"/>
      <w:r w:rsidRPr="00121089">
        <w:t>Background</w:t>
      </w:r>
      <w:bookmarkEnd w:id="6"/>
      <w:bookmarkEnd w:id="7"/>
      <w:bookmarkEnd w:id="8"/>
    </w:p>
    <w:p w:rsidR="00E5563F" w:rsidP="005343EE" w:rsidRDefault="00963400" w14:paraId="7767F1F6" w14:textId="3BB73BAD">
      <w:pPr>
        <w:pStyle w:val="Standard"/>
      </w:pPr>
      <w:r w:rsidRPr="69C1316A">
        <w:t xml:space="preserve">On </w:t>
      </w:r>
      <w:r w:rsidR="00E5563F">
        <w:t>May </w:t>
      </w:r>
      <w:r w:rsidRPr="69C1316A">
        <w:t xml:space="preserve">30, 2025, </w:t>
      </w:r>
      <w:r w:rsidR="00972FC6">
        <w:t>San </w:t>
      </w:r>
      <w:r w:rsidRPr="69C1316A">
        <w:t>Diego Gas</w:t>
      </w:r>
      <w:r w:rsidR="00972FC6">
        <w:t xml:space="preserve"> &amp; </w:t>
      </w:r>
      <w:r w:rsidRPr="69C1316A">
        <w:t>Electric Company (SDG&amp;E) and Southern California Gas Company (SoCalGas) (</w:t>
      </w:r>
      <w:r w:rsidR="00DF7BE0">
        <w:t>jointly</w:t>
      </w:r>
      <w:r w:rsidRPr="69C1316A">
        <w:t>, Applicants) filed Application (A.)</w:t>
      </w:r>
      <w:r w:rsidR="00960B1E">
        <w:t> </w:t>
      </w:r>
      <w:r w:rsidRPr="69C1316A">
        <w:t>25</w:t>
      </w:r>
      <w:r w:rsidR="00042804">
        <w:noBreakHyphen/>
      </w:r>
      <w:r w:rsidRPr="69C1316A">
        <w:t>05</w:t>
      </w:r>
      <w:r w:rsidR="00042804">
        <w:noBreakHyphen/>
      </w:r>
      <w:r w:rsidRPr="69C1316A">
        <w:t>020 seeking an exemption pursuant to Public Utilities Code</w:t>
      </w:r>
      <w:r>
        <w:rPr>
          <w:szCs w:val="26"/>
        </w:rPr>
        <w:t xml:space="preserve"> </w:t>
      </w:r>
      <w:r w:rsidRPr="69C1316A">
        <w:t>Section</w:t>
      </w:r>
      <w:r w:rsidRPr="69C1316A" w:rsidR="000E38EC">
        <w:rPr>
          <w:rStyle w:val="FootnoteReference"/>
        </w:rPr>
        <w:footnoteReference w:id="2"/>
      </w:r>
      <w:r w:rsidR="00332647">
        <w:t> </w:t>
      </w:r>
      <w:r w:rsidRPr="69C1316A">
        <w:t xml:space="preserve">853 with respect to the creation of an intermediate holding company, Sempra California, LLC, or, alternatively, an order finding that the proposed transaction does not constitute an activity subject to </w:t>
      </w:r>
      <w:r w:rsidR="004F7E76">
        <w:t>Section </w:t>
      </w:r>
      <w:r w:rsidRPr="69C1316A">
        <w:t xml:space="preserve">854. </w:t>
      </w:r>
      <w:r w:rsidRPr="69C1316A">
        <w:lastRenderedPageBreak/>
        <w:t>Applicants describe the proposed transaction as an internal corporate reorganization that would insert Sempra California</w:t>
      </w:r>
      <w:r w:rsidRPr="69C1316A" w:rsidR="005E1C6D">
        <w:t>, LLC</w:t>
      </w:r>
      <w:r w:rsidRPr="69C1316A">
        <w:t xml:space="preserve"> between the utilities and their current parent entities, without changing ultimate ownership or control.</w:t>
      </w:r>
    </w:p>
    <w:p w:rsidR="00723CA5" w:rsidP="005343EE" w:rsidRDefault="00723CA5" w14:paraId="14485892" w14:textId="7474BEDB">
      <w:pPr>
        <w:pStyle w:val="Standard"/>
      </w:pPr>
      <w:r>
        <w:rPr>
          <w:szCs w:val="26"/>
        </w:rPr>
        <w:t xml:space="preserve">Specifically, the proposed transaction would insert </w:t>
      </w:r>
      <w:r w:rsidRPr="00960A32">
        <w:rPr>
          <w:szCs w:val="26"/>
        </w:rPr>
        <w:t xml:space="preserve">Sempra California, LLC, as an intermediate holding company above Enova Corporation and Pacific Enterprises, the direct corporate parents of </w:t>
      </w:r>
      <w:r w:rsidR="0060594B">
        <w:rPr>
          <w:szCs w:val="26"/>
        </w:rPr>
        <w:t>Applicants</w:t>
      </w:r>
      <w:r w:rsidRPr="00960A32">
        <w:rPr>
          <w:szCs w:val="26"/>
        </w:rPr>
        <w:t xml:space="preserve">, and below Sempra, the ultimate corporate parent of </w:t>
      </w:r>
      <w:r w:rsidR="0060594B">
        <w:rPr>
          <w:szCs w:val="26"/>
        </w:rPr>
        <w:t>Applicants</w:t>
      </w:r>
      <w:r>
        <w:rPr>
          <w:szCs w:val="26"/>
        </w:rPr>
        <w:t xml:space="preserve"> </w:t>
      </w:r>
      <w:r w:rsidR="00E539DA">
        <w:rPr>
          <w:szCs w:val="26"/>
        </w:rPr>
        <w:t xml:space="preserve">(Proposed Transaction), </w:t>
      </w:r>
      <w:r>
        <w:rPr>
          <w:szCs w:val="26"/>
        </w:rPr>
        <w:t>as illustrated in these pre</w:t>
      </w:r>
      <w:r w:rsidR="00042804">
        <w:rPr>
          <w:szCs w:val="26"/>
        </w:rPr>
        <w:noBreakHyphen/>
      </w:r>
      <w:r>
        <w:rPr>
          <w:szCs w:val="26"/>
        </w:rPr>
        <w:t xml:space="preserve"> and post</w:t>
      </w:r>
      <w:r w:rsidR="00042804">
        <w:rPr>
          <w:szCs w:val="26"/>
        </w:rPr>
        <w:noBreakHyphen/>
      </w:r>
      <w:r>
        <w:rPr>
          <w:szCs w:val="26"/>
        </w:rPr>
        <w:t>organization charts:</w:t>
      </w:r>
      <w:r w:rsidR="00AE62DB">
        <w:rPr>
          <w:rStyle w:val="FootnoteReference"/>
          <w:szCs w:val="26"/>
        </w:rPr>
        <w:footnoteReference w:id="3"/>
      </w:r>
    </w:p>
    <w:p w:rsidR="00723CA5" w:rsidP="00723CA5" w:rsidRDefault="00723CA5" w14:paraId="088E5A12" w14:textId="798E712A">
      <w:pPr>
        <w:ind w:firstLine="0"/>
        <w:rPr>
          <w:szCs w:val="26"/>
        </w:rPr>
      </w:pPr>
      <w:r w:rsidRPr="00723CA5">
        <w:rPr>
          <w:noProof/>
          <w:szCs w:val="26"/>
        </w:rPr>
        <w:drawing>
          <wp:inline distT="0" distB="0" distL="0" distR="0" wp14:anchorId="689845A7" wp14:editId="2D4CE8BB">
            <wp:extent cx="5943600" cy="4172585"/>
            <wp:effectExtent l="0" t="0" r="0" b="0"/>
            <wp:docPr id="1891950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950246" name=""/>
                    <pic:cNvPicPr/>
                  </pic:nvPicPr>
                  <pic:blipFill>
                    <a:blip r:embed="rId16"/>
                    <a:stretch>
                      <a:fillRect/>
                    </a:stretch>
                  </pic:blipFill>
                  <pic:spPr>
                    <a:xfrm>
                      <a:off x="0" y="0"/>
                      <a:ext cx="5943600" cy="4172585"/>
                    </a:xfrm>
                    <a:prstGeom prst="rect">
                      <a:avLst/>
                    </a:prstGeom>
                  </pic:spPr>
                </pic:pic>
              </a:graphicData>
            </a:graphic>
          </wp:inline>
        </w:drawing>
      </w:r>
    </w:p>
    <w:p w:rsidR="00723CA5" w:rsidP="00723CA5" w:rsidRDefault="00723CA5" w14:paraId="686EA774" w14:textId="764EC46B">
      <w:pPr>
        <w:ind w:firstLine="0"/>
        <w:rPr>
          <w:szCs w:val="26"/>
        </w:rPr>
      </w:pPr>
      <w:r w:rsidRPr="00723CA5">
        <w:rPr>
          <w:noProof/>
          <w:szCs w:val="26"/>
        </w:rPr>
        <w:lastRenderedPageBreak/>
        <w:drawing>
          <wp:inline distT="0" distB="0" distL="0" distR="0" wp14:anchorId="46D22505" wp14:editId="6DCA3D5D">
            <wp:extent cx="5943600" cy="4017645"/>
            <wp:effectExtent l="0" t="0" r="0" b="1905"/>
            <wp:docPr id="1169259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259873" name=""/>
                    <pic:cNvPicPr/>
                  </pic:nvPicPr>
                  <pic:blipFill>
                    <a:blip r:embed="rId17"/>
                    <a:stretch>
                      <a:fillRect/>
                    </a:stretch>
                  </pic:blipFill>
                  <pic:spPr>
                    <a:xfrm>
                      <a:off x="0" y="0"/>
                      <a:ext cx="5943600" cy="4017645"/>
                    </a:xfrm>
                    <a:prstGeom prst="rect">
                      <a:avLst/>
                    </a:prstGeom>
                  </pic:spPr>
                </pic:pic>
              </a:graphicData>
            </a:graphic>
          </wp:inline>
        </w:drawing>
      </w:r>
    </w:p>
    <w:p w:rsidRPr="00960A32" w:rsidR="00963400" w:rsidP="005343EE" w:rsidRDefault="00963400" w14:paraId="520AF0AF" w14:textId="41A43055">
      <w:pPr>
        <w:pStyle w:val="Standard"/>
      </w:pPr>
      <w:r w:rsidRPr="00960A32">
        <w:rPr>
          <w:szCs w:val="26"/>
        </w:rPr>
        <w:t xml:space="preserve">Applicants assert that the </w:t>
      </w:r>
      <w:r w:rsidR="00723CA5">
        <w:rPr>
          <w:szCs w:val="26"/>
        </w:rPr>
        <w:t>Proposed T</w:t>
      </w:r>
      <w:r w:rsidRPr="00960A32">
        <w:rPr>
          <w:szCs w:val="26"/>
        </w:rPr>
        <w:t>ransaction will not affect utility operations, rates, or services, and is intended to facilitate corporate and financial management.</w:t>
      </w:r>
    </w:p>
    <w:p w:rsidRPr="00960A32" w:rsidR="00963400" w:rsidP="005343EE" w:rsidRDefault="00963400" w14:paraId="08C04B0F" w14:textId="26AAC948">
      <w:pPr>
        <w:pStyle w:val="Standard"/>
      </w:pPr>
      <w:r w:rsidRPr="00960A32">
        <w:rPr>
          <w:szCs w:val="26"/>
        </w:rPr>
        <w:t xml:space="preserve">On </w:t>
      </w:r>
      <w:r w:rsidR="00E5563F">
        <w:rPr>
          <w:szCs w:val="26"/>
        </w:rPr>
        <w:t>June </w:t>
      </w:r>
      <w:r w:rsidRPr="00960A32">
        <w:rPr>
          <w:szCs w:val="26"/>
        </w:rPr>
        <w:t>13, 2025, Utility Workers Union of America, AFL</w:t>
      </w:r>
      <w:r w:rsidR="00042804">
        <w:rPr>
          <w:szCs w:val="26"/>
        </w:rPr>
        <w:noBreakHyphen/>
      </w:r>
      <w:r w:rsidRPr="00960A32">
        <w:rPr>
          <w:szCs w:val="26"/>
        </w:rPr>
        <w:t xml:space="preserve">CIO, </w:t>
      </w:r>
      <w:r w:rsidR="00AF458B">
        <w:rPr>
          <w:szCs w:val="26"/>
        </w:rPr>
        <w:t>Local </w:t>
      </w:r>
      <w:r w:rsidRPr="00960A32">
        <w:rPr>
          <w:szCs w:val="26"/>
        </w:rPr>
        <w:t xml:space="preserve">483 (UWUA) filed a response to the Application. UWUA did not oppose the requested relief but raised concerns regarding potential workforce impacts, including whether the </w:t>
      </w:r>
      <w:r w:rsidR="00723CA5">
        <w:rPr>
          <w:szCs w:val="26"/>
        </w:rPr>
        <w:t>P</w:t>
      </w:r>
      <w:r w:rsidRPr="00960A32">
        <w:rPr>
          <w:szCs w:val="26"/>
        </w:rPr>
        <w:t xml:space="preserve">roposed </w:t>
      </w:r>
      <w:r w:rsidR="00723CA5">
        <w:rPr>
          <w:szCs w:val="26"/>
        </w:rPr>
        <w:t>T</w:t>
      </w:r>
      <w:r w:rsidRPr="00960A32">
        <w:rPr>
          <w:szCs w:val="26"/>
        </w:rPr>
        <w:t>ransaction could lead to workforce consolidation or the reallocation of work between utilities.</w:t>
      </w:r>
    </w:p>
    <w:p w:rsidRPr="00960A32" w:rsidR="00963400" w:rsidP="005343EE" w:rsidRDefault="00963400" w14:paraId="540C3DFD" w14:textId="73E08329">
      <w:pPr>
        <w:pStyle w:val="Standard"/>
      </w:pPr>
      <w:r w:rsidRPr="00960A32">
        <w:rPr>
          <w:szCs w:val="26"/>
        </w:rPr>
        <w:t xml:space="preserve">On </w:t>
      </w:r>
      <w:r w:rsidR="00E5563F">
        <w:rPr>
          <w:szCs w:val="26"/>
        </w:rPr>
        <w:t>July </w:t>
      </w:r>
      <w:r w:rsidRPr="00960A32">
        <w:rPr>
          <w:szCs w:val="26"/>
        </w:rPr>
        <w:t>14, 2025, Applicants filed a reply to UWUA</w:t>
      </w:r>
      <w:r w:rsidR="00E5563F">
        <w:rPr>
          <w:szCs w:val="26"/>
        </w:rPr>
        <w:t>’</w:t>
      </w:r>
      <w:r w:rsidRPr="00960A32">
        <w:rPr>
          <w:szCs w:val="26"/>
        </w:rPr>
        <w:t xml:space="preserve">s response, stating that the </w:t>
      </w:r>
      <w:r w:rsidR="00723CA5">
        <w:rPr>
          <w:szCs w:val="26"/>
        </w:rPr>
        <w:t>Proposed Transaction</w:t>
      </w:r>
      <w:r w:rsidRPr="00960A32">
        <w:rPr>
          <w:szCs w:val="26"/>
        </w:rPr>
        <w:t xml:space="preserve"> would not result in workforce changes and would not affect employees, operations, rates, or services. Applicants maintained that the transaction is a ministerial internal reorganization and requested that the </w:t>
      </w:r>
      <w:r w:rsidR="003B5D59">
        <w:rPr>
          <w:szCs w:val="26"/>
        </w:rPr>
        <w:lastRenderedPageBreak/>
        <w:t xml:space="preserve">California Public Utilities </w:t>
      </w:r>
      <w:r w:rsidRPr="00960A32" w:rsidR="003B5D59">
        <w:rPr>
          <w:szCs w:val="26"/>
        </w:rPr>
        <w:t xml:space="preserve">Commission </w:t>
      </w:r>
      <w:r w:rsidR="003B5D59">
        <w:rPr>
          <w:szCs w:val="26"/>
        </w:rPr>
        <w:t>(</w:t>
      </w:r>
      <w:r w:rsidRPr="00960A32" w:rsidR="003B5D59">
        <w:rPr>
          <w:szCs w:val="26"/>
        </w:rPr>
        <w:t>Commission</w:t>
      </w:r>
      <w:r w:rsidR="003B5D59">
        <w:rPr>
          <w:szCs w:val="26"/>
        </w:rPr>
        <w:t>)</w:t>
      </w:r>
      <w:r w:rsidRPr="00960A32">
        <w:rPr>
          <w:szCs w:val="26"/>
        </w:rPr>
        <w:t xml:space="preserve"> approve the Application without further proceedings.</w:t>
      </w:r>
    </w:p>
    <w:p w:rsidRPr="00960A32" w:rsidR="00963400" w:rsidP="005343EE" w:rsidRDefault="00963400" w14:paraId="74B2EDF2" w14:textId="363D880B">
      <w:pPr>
        <w:pStyle w:val="Standard"/>
      </w:pPr>
      <w:r w:rsidRPr="00960A32">
        <w:rPr>
          <w:szCs w:val="26"/>
        </w:rPr>
        <w:t xml:space="preserve">A </w:t>
      </w:r>
      <w:r w:rsidRPr="00960A32" w:rsidR="00317A84">
        <w:rPr>
          <w:szCs w:val="26"/>
        </w:rPr>
        <w:t xml:space="preserve">prehearing conference </w:t>
      </w:r>
      <w:r w:rsidRPr="00960A32">
        <w:rPr>
          <w:szCs w:val="26"/>
        </w:rPr>
        <w:t xml:space="preserve">was held on </w:t>
      </w:r>
      <w:r w:rsidR="00E5563F">
        <w:rPr>
          <w:szCs w:val="26"/>
        </w:rPr>
        <w:t>August </w:t>
      </w:r>
      <w:r w:rsidRPr="00960A32">
        <w:rPr>
          <w:szCs w:val="26"/>
        </w:rPr>
        <w:t xml:space="preserve">20, 2025, at which time the assigned Administrative Law Judge (ALJ) and </w:t>
      </w:r>
      <w:r>
        <w:rPr>
          <w:szCs w:val="26"/>
        </w:rPr>
        <w:t xml:space="preserve">the </w:t>
      </w:r>
      <w:r w:rsidR="00A6143A">
        <w:rPr>
          <w:szCs w:val="26"/>
        </w:rPr>
        <w:t>Applicants</w:t>
      </w:r>
      <w:r>
        <w:rPr>
          <w:szCs w:val="26"/>
        </w:rPr>
        <w:t xml:space="preserve"> </w:t>
      </w:r>
      <w:r w:rsidRPr="00960A32">
        <w:rPr>
          <w:szCs w:val="26"/>
        </w:rPr>
        <w:t xml:space="preserve">discussed the scope and schedule for the proceeding. The </w:t>
      </w:r>
      <w:r w:rsidR="00E539DA">
        <w:rPr>
          <w:szCs w:val="26"/>
        </w:rPr>
        <w:t xml:space="preserve">assigned </w:t>
      </w:r>
      <w:r w:rsidRPr="00960A32">
        <w:rPr>
          <w:szCs w:val="26"/>
        </w:rPr>
        <w:t>ALJ indicated that additional information would be requested to ensure that the record was sufficiently developed, particularly with respect to public interest considerations and regulatory safeguards.</w:t>
      </w:r>
    </w:p>
    <w:p w:rsidRPr="00960A32" w:rsidR="00963400" w:rsidP="005343EE" w:rsidRDefault="00963400" w14:paraId="0F5F515B" w14:textId="6B1241E1">
      <w:pPr>
        <w:pStyle w:val="Standard"/>
      </w:pPr>
      <w:r w:rsidRPr="00960A32">
        <w:rPr>
          <w:szCs w:val="26"/>
        </w:rPr>
        <w:t xml:space="preserve">On </w:t>
      </w:r>
      <w:r w:rsidR="00E5563F">
        <w:rPr>
          <w:szCs w:val="26"/>
        </w:rPr>
        <w:t>September </w:t>
      </w:r>
      <w:r w:rsidRPr="00960A32">
        <w:rPr>
          <w:szCs w:val="26"/>
        </w:rPr>
        <w:t xml:space="preserve">18, 2025, the assigned ALJ issued a ruling requesting additional information from Applicants. The ruling directed Applicants to provide further detail regarding, among other things, workforce impacts, ratepayer protections, regulatory safeguards, and the applicability of </w:t>
      </w:r>
      <w:r w:rsidR="00AE36E7">
        <w:rPr>
          <w:szCs w:val="26"/>
        </w:rPr>
        <w:t>Sections </w:t>
      </w:r>
      <w:r w:rsidRPr="00960A32">
        <w:rPr>
          <w:szCs w:val="26"/>
        </w:rPr>
        <w:t xml:space="preserve">853 and 854. Applicants timely filed their response on </w:t>
      </w:r>
      <w:r w:rsidR="00E5563F">
        <w:rPr>
          <w:szCs w:val="26"/>
        </w:rPr>
        <w:t>October </w:t>
      </w:r>
      <w:r w:rsidRPr="00960A32">
        <w:rPr>
          <w:szCs w:val="26"/>
        </w:rPr>
        <w:t>3, 2025.</w:t>
      </w:r>
    </w:p>
    <w:p w:rsidRPr="00960A32" w:rsidR="00963400" w:rsidP="005343EE" w:rsidRDefault="00963400" w14:paraId="56C0CE06" w14:textId="5E7D79F9">
      <w:pPr>
        <w:pStyle w:val="Standard"/>
      </w:pPr>
      <w:r w:rsidRPr="00960A32">
        <w:rPr>
          <w:szCs w:val="26"/>
        </w:rPr>
        <w:t xml:space="preserve">On </w:t>
      </w:r>
      <w:r w:rsidR="00E5563F">
        <w:rPr>
          <w:szCs w:val="26"/>
        </w:rPr>
        <w:t>January </w:t>
      </w:r>
      <w:r w:rsidRPr="00960A32">
        <w:rPr>
          <w:szCs w:val="26"/>
        </w:rPr>
        <w:t xml:space="preserve">6, 2026, the </w:t>
      </w:r>
      <w:r w:rsidRPr="00960A32" w:rsidR="00A725B8">
        <w:rPr>
          <w:szCs w:val="26"/>
        </w:rPr>
        <w:t xml:space="preserve">assigned </w:t>
      </w:r>
      <w:r w:rsidRPr="00960A32">
        <w:rPr>
          <w:szCs w:val="26"/>
        </w:rPr>
        <w:t xml:space="preserve">Commissioner issued a Scoping Memo and Ruling, which defined the issues in this proceeding and determined that evidentiary hearings were not required. The Scoping Memo identified issues related to the applicability of </w:t>
      </w:r>
      <w:r w:rsidR="004F7E76">
        <w:rPr>
          <w:szCs w:val="26"/>
        </w:rPr>
        <w:t>Section </w:t>
      </w:r>
      <w:r w:rsidRPr="00960A32">
        <w:rPr>
          <w:szCs w:val="26"/>
        </w:rPr>
        <w:t xml:space="preserve">854, whether an exemption under </w:t>
      </w:r>
      <w:r w:rsidR="004F7E76">
        <w:rPr>
          <w:szCs w:val="26"/>
        </w:rPr>
        <w:t>Section </w:t>
      </w:r>
      <w:r w:rsidRPr="00960A32">
        <w:rPr>
          <w:szCs w:val="26"/>
        </w:rPr>
        <w:t xml:space="preserve">853(b) is appropriate, whether the </w:t>
      </w:r>
      <w:r w:rsidR="00723CA5">
        <w:rPr>
          <w:szCs w:val="26"/>
        </w:rPr>
        <w:t>Proposed Transaction</w:t>
      </w:r>
      <w:r w:rsidRPr="00960A32">
        <w:rPr>
          <w:szCs w:val="26"/>
        </w:rPr>
        <w:t xml:space="preserve"> is in the public interest, including the sufficiency of existing regulatory safeguards, and whether the transaction has any </w:t>
      </w:r>
      <w:r w:rsidRPr="00960A32" w:rsidR="00420D42">
        <w:rPr>
          <w:szCs w:val="26"/>
        </w:rPr>
        <w:t>impact</w:t>
      </w:r>
      <w:r w:rsidRPr="00960A32">
        <w:rPr>
          <w:szCs w:val="26"/>
        </w:rPr>
        <w:t xml:space="preserve"> on </w:t>
      </w:r>
      <w:r w:rsidRPr="000152AD" w:rsidR="00CE197D">
        <w:rPr>
          <w:szCs w:val="26"/>
        </w:rPr>
        <w:t xml:space="preserve">Environmental and Social Justice (ESJ) </w:t>
      </w:r>
      <w:r w:rsidRPr="00960A32">
        <w:rPr>
          <w:szCs w:val="26"/>
        </w:rPr>
        <w:t>communities.</w:t>
      </w:r>
    </w:p>
    <w:p w:rsidRPr="00960A32" w:rsidR="00963400" w:rsidP="005343EE" w:rsidRDefault="00963400" w14:paraId="3DAC9E56" w14:textId="09067C1D">
      <w:pPr>
        <w:pStyle w:val="Standard"/>
      </w:pPr>
      <w:r w:rsidRPr="00960A32">
        <w:rPr>
          <w:szCs w:val="26"/>
        </w:rPr>
        <w:t xml:space="preserve">On </w:t>
      </w:r>
      <w:r w:rsidR="00E5563F">
        <w:rPr>
          <w:szCs w:val="26"/>
        </w:rPr>
        <w:t>January </w:t>
      </w:r>
      <w:r w:rsidRPr="00960A32">
        <w:rPr>
          <w:szCs w:val="26"/>
        </w:rPr>
        <w:t xml:space="preserve">7, 2026, the assigned ALJ issued a further ruling requesting additional information, directing Applicants to address the newly scoped issues concerning public interest, regulatory safeguards, and </w:t>
      </w:r>
      <w:r w:rsidR="009655F7">
        <w:rPr>
          <w:szCs w:val="26"/>
        </w:rPr>
        <w:t>ESJ</w:t>
      </w:r>
      <w:r w:rsidRPr="00960A32">
        <w:rPr>
          <w:szCs w:val="26"/>
        </w:rPr>
        <w:t xml:space="preserve"> impacts. Applicants timely filed their response on </w:t>
      </w:r>
      <w:r w:rsidR="00E5563F">
        <w:rPr>
          <w:szCs w:val="26"/>
        </w:rPr>
        <w:t>February </w:t>
      </w:r>
      <w:r w:rsidRPr="00960A32">
        <w:rPr>
          <w:szCs w:val="26"/>
        </w:rPr>
        <w:t xml:space="preserve">6, 2026, addressing these issues and asserting that the </w:t>
      </w:r>
      <w:r w:rsidR="00723CA5">
        <w:rPr>
          <w:szCs w:val="26"/>
        </w:rPr>
        <w:t>Proposed Transaction</w:t>
      </w:r>
      <w:r w:rsidRPr="00960A32">
        <w:rPr>
          <w:szCs w:val="26"/>
        </w:rPr>
        <w:t xml:space="preserve"> will have no adverse impacts on the </w:t>
      </w:r>
      <w:r w:rsidRPr="00960A32">
        <w:rPr>
          <w:szCs w:val="26"/>
        </w:rPr>
        <w:lastRenderedPageBreak/>
        <w:t>public interest, will not affect Commission oversight, and will not result in environmental or social justice impacts.</w:t>
      </w:r>
    </w:p>
    <w:p w:rsidRPr="00963400" w:rsidR="00683B2C" w:rsidP="005343EE" w:rsidRDefault="00963400" w14:paraId="3EF6A1AA" w14:textId="66722D68">
      <w:pPr>
        <w:pStyle w:val="Standard"/>
      </w:pPr>
      <w:r>
        <w:rPr>
          <w:szCs w:val="26"/>
        </w:rPr>
        <w:t xml:space="preserve">On </w:t>
      </w:r>
      <w:r w:rsidR="00E5563F">
        <w:rPr>
          <w:szCs w:val="26"/>
        </w:rPr>
        <w:t>April </w:t>
      </w:r>
      <w:r w:rsidR="00A430EA">
        <w:rPr>
          <w:szCs w:val="26"/>
        </w:rPr>
        <w:t>14</w:t>
      </w:r>
      <w:r>
        <w:rPr>
          <w:szCs w:val="26"/>
        </w:rPr>
        <w:t xml:space="preserve">, 2026, </w:t>
      </w:r>
      <w:r w:rsidRPr="00960A32">
        <w:rPr>
          <w:szCs w:val="26"/>
        </w:rPr>
        <w:t>the assigned ALJ</w:t>
      </w:r>
      <w:r>
        <w:rPr>
          <w:szCs w:val="26"/>
        </w:rPr>
        <w:t xml:space="preserve"> issued a ruling </w:t>
      </w:r>
      <w:r w:rsidRPr="00960A32">
        <w:rPr>
          <w:szCs w:val="26"/>
        </w:rPr>
        <w:t>determin</w:t>
      </w:r>
      <w:r>
        <w:rPr>
          <w:szCs w:val="26"/>
        </w:rPr>
        <w:t>ing</w:t>
      </w:r>
      <w:r w:rsidRPr="00960A32">
        <w:rPr>
          <w:szCs w:val="26"/>
        </w:rPr>
        <w:t xml:space="preserve"> that the record in this proceeding is complete, that the Commission has no further questions, and that no additional information is required. Th</w:t>
      </w:r>
      <w:r>
        <w:rPr>
          <w:szCs w:val="26"/>
        </w:rPr>
        <w:t>e</w:t>
      </w:r>
      <w:r w:rsidRPr="00960A32">
        <w:rPr>
          <w:szCs w:val="26"/>
        </w:rPr>
        <w:t xml:space="preserve"> ruling close</w:t>
      </w:r>
      <w:r w:rsidR="00A430EA">
        <w:rPr>
          <w:szCs w:val="26"/>
        </w:rPr>
        <w:t>d</w:t>
      </w:r>
      <w:r w:rsidRPr="00960A32">
        <w:rPr>
          <w:szCs w:val="26"/>
        </w:rPr>
        <w:t xml:space="preserve"> the evidentiary record and deem</w:t>
      </w:r>
      <w:r>
        <w:rPr>
          <w:szCs w:val="26"/>
        </w:rPr>
        <w:t>ed</w:t>
      </w:r>
      <w:r w:rsidRPr="00960A32">
        <w:rPr>
          <w:szCs w:val="26"/>
        </w:rPr>
        <w:t xml:space="preserve"> this matter submitted as of </w:t>
      </w:r>
      <w:r w:rsidR="00E5563F">
        <w:rPr>
          <w:szCs w:val="26"/>
        </w:rPr>
        <w:t>April </w:t>
      </w:r>
      <w:r w:rsidR="00A430EA">
        <w:rPr>
          <w:szCs w:val="26"/>
        </w:rPr>
        <w:t>14</w:t>
      </w:r>
      <w:r>
        <w:rPr>
          <w:szCs w:val="26"/>
        </w:rPr>
        <w:t>, 2026</w:t>
      </w:r>
      <w:r w:rsidRPr="00960A32">
        <w:rPr>
          <w:szCs w:val="26"/>
        </w:rPr>
        <w:t>.</w:t>
      </w:r>
    </w:p>
    <w:p w:rsidR="005A148C" w:rsidP="00537D5E" w:rsidRDefault="0063491C" w14:paraId="16A4DB50" w14:textId="7D71906E">
      <w:pPr>
        <w:pStyle w:val="Heading1"/>
      </w:pPr>
      <w:bookmarkStart w:name="_Toc8123718" w:id="9"/>
      <w:bookmarkStart w:name="_Toc234583864" w:id="10"/>
      <w:bookmarkStart w:name="_Toc238105941" w:id="11"/>
      <w:r>
        <w:t>Jurisdiction</w:t>
      </w:r>
      <w:bookmarkEnd w:id="9"/>
      <w:bookmarkEnd w:id="10"/>
      <w:bookmarkEnd w:id="11"/>
    </w:p>
    <w:p w:rsidR="00E5563F" w:rsidP="00963400" w:rsidRDefault="00963400" w14:paraId="307D2A71" w14:textId="768D88CD">
      <w:pPr>
        <w:pStyle w:val="Standard"/>
        <w:rPr>
          <w:szCs w:val="26"/>
        </w:rPr>
      </w:pPr>
      <w:r w:rsidRPr="00960A32">
        <w:rPr>
          <w:szCs w:val="26"/>
        </w:rPr>
        <w:t xml:space="preserve">The Commission has jurisdiction over </w:t>
      </w:r>
      <w:r w:rsidR="0060594B">
        <w:rPr>
          <w:szCs w:val="26"/>
        </w:rPr>
        <w:t>Applicants</w:t>
      </w:r>
      <w:r w:rsidRPr="00960A32">
        <w:rPr>
          <w:szCs w:val="26"/>
        </w:rPr>
        <w:t xml:space="preserve"> pursuant to </w:t>
      </w:r>
      <w:r w:rsidR="00AE36E7">
        <w:rPr>
          <w:szCs w:val="26"/>
        </w:rPr>
        <w:t>Sections </w:t>
      </w:r>
      <w:r w:rsidRPr="00960A32">
        <w:rPr>
          <w:szCs w:val="26"/>
        </w:rPr>
        <w:t>451, 454, 701, 853, and 854.</w:t>
      </w:r>
    </w:p>
    <w:p w:rsidR="005A148C" w:rsidP="00537D5E" w:rsidRDefault="005939A5" w14:paraId="03B9705F" w14:textId="69BA7090">
      <w:pPr>
        <w:pStyle w:val="Heading1"/>
      </w:pPr>
      <w:bookmarkStart w:name="_Toc8123719" w:id="12"/>
      <w:bookmarkStart w:name="_Toc234583865" w:id="13"/>
      <w:bookmarkStart w:name="_Toc238105942" w:id="14"/>
      <w:r>
        <w:t xml:space="preserve">Issues Before the </w:t>
      </w:r>
      <w:bookmarkEnd w:id="12"/>
      <w:r w:rsidR="008A08BF">
        <w:t>Commission</w:t>
      </w:r>
      <w:bookmarkEnd w:id="13"/>
      <w:bookmarkEnd w:id="14"/>
    </w:p>
    <w:p w:rsidRPr="00960A32" w:rsidR="00963400" w:rsidP="005343EE" w:rsidRDefault="00963400" w14:paraId="1F5F7E84" w14:textId="77777777">
      <w:pPr>
        <w:pStyle w:val="Standard"/>
      </w:pPr>
      <w:r w:rsidRPr="00960A32">
        <w:rPr>
          <w:szCs w:val="26"/>
        </w:rPr>
        <w:t>The issues to be determined or otherwise considered in this proceeding are as follows:</w:t>
      </w:r>
    </w:p>
    <w:p w:rsidR="00E5563F" w:rsidP="00E83FD5" w:rsidRDefault="00963400" w14:paraId="2E88DA91" w14:textId="7956F0D5">
      <w:pPr>
        <w:pStyle w:val="BlockQuoteH025"/>
        <w:numPr>
          <w:ilvl w:val="0"/>
          <w:numId w:val="19"/>
        </w:numPr>
        <w:tabs>
          <w:tab w:val="clear" w:pos="720"/>
        </w:tabs>
        <w:ind w:left="1080"/>
        <w:rPr>
          <w:szCs w:val="26"/>
        </w:rPr>
      </w:pPr>
      <w:r w:rsidRPr="00960A32">
        <w:rPr>
          <w:szCs w:val="26"/>
        </w:rPr>
        <w:t xml:space="preserve">Does </w:t>
      </w:r>
      <w:r w:rsidR="004F7E76">
        <w:rPr>
          <w:szCs w:val="26"/>
        </w:rPr>
        <w:t>Section </w:t>
      </w:r>
      <w:r w:rsidRPr="00960A32">
        <w:rPr>
          <w:szCs w:val="26"/>
        </w:rPr>
        <w:t xml:space="preserve">854 apply to the creation of Sempra California, LLC, as an intermediate holding company above Enova Corporation and Pacific Enterprises, the direct corporate </w:t>
      </w:r>
      <w:r w:rsidRPr="00E83FD5">
        <w:t>parents</w:t>
      </w:r>
      <w:r w:rsidRPr="00960A32">
        <w:rPr>
          <w:szCs w:val="26"/>
        </w:rPr>
        <w:t xml:space="preserve"> of </w:t>
      </w:r>
      <w:r w:rsidR="0060594B">
        <w:rPr>
          <w:szCs w:val="26"/>
        </w:rPr>
        <w:t>Applicants</w:t>
      </w:r>
      <w:r w:rsidRPr="00960A32">
        <w:rPr>
          <w:szCs w:val="26"/>
        </w:rPr>
        <w:t xml:space="preserve">, and below Sempra, the ultimate corporate parent of </w:t>
      </w:r>
      <w:r w:rsidR="0060594B">
        <w:rPr>
          <w:szCs w:val="26"/>
        </w:rPr>
        <w:t>Applicants</w:t>
      </w:r>
      <w:r w:rsidRPr="00960A32">
        <w:rPr>
          <w:szCs w:val="26"/>
        </w:rPr>
        <w:t>?</w:t>
      </w:r>
    </w:p>
    <w:p w:rsidR="00E5563F" w:rsidP="00E83FD5" w:rsidRDefault="00963400" w14:paraId="4D05960D" w14:textId="77777777">
      <w:pPr>
        <w:pStyle w:val="BlockQuoteH025"/>
        <w:numPr>
          <w:ilvl w:val="0"/>
          <w:numId w:val="19"/>
        </w:numPr>
        <w:tabs>
          <w:tab w:val="clear" w:pos="720"/>
        </w:tabs>
        <w:ind w:left="1080"/>
        <w:rPr>
          <w:szCs w:val="26"/>
        </w:rPr>
      </w:pPr>
      <w:r w:rsidRPr="00960A32">
        <w:rPr>
          <w:szCs w:val="26"/>
        </w:rPr>
        <w:t xml:space="preserve">If </w:t>
      </w:r>
      <w:r w:rsidR="004F7E76">
        <w:rPr>
          <w:szCs w:val="26"/>
        </w:rPr>
        <w:t>Section </w:t>
      </w:r>
      <w:r w:rsidRPr="00960A32">
        <w:rPr>
          <w:szCs w:val="26"/>
        </w:rPr>
        <w:t xml:space="preserve">854 applies to the </w:t>
      </w:r>
      <w:r w:rsidR="00723CA5">
        <w:rPr>
          <w:szCs w:val="26"/>
        </w:rPr>
        <w:t>Proposed Transaction</w:t>
      </w:r>
      <w:r w:rsidRPr="00960A32">
        <w:rPr>
          <w:szCs w:val="26"/>
        </w:rPr>
        <w:t xml:space="preserve">, should the Commission exempt the transaction pursuant to </w:t>
      </w:r>
      <w:r w:rsidR="004F7E76">
        <w:rPr>
          <w:szCs w:val="26"/>
        </w:rPr>
        <w:t>Section </w:t>
      </w:r>
      <w:r w:rsidRPr="00960A32">
        <w:rPr>
          <w:szCs w:val="26"/>
        </w:rPr>
        <w:t>853(b)?</w:t>
      </w:r>
    </w:p>
    <w:p w:rsidR="00E5563F" w:rsidP="00E83FD5" w:rsidRDefault="00963400" w14:paraId="2818C363" w14:textId="77777777">
      <w:pPr>
        <w:pStyle w:val="BlockQuoteH025"/>
        <w:numPr>
          <w:ilvl w:val="0"/>
          <w:numId w:val="19"/>
        </w:numPr>
        <w:tabs>
          <w:tab w:val="clear" w:pos="720"/>
        </w:tabs>
        <w:ind w:left="1080"/>
        <w:rPr>
          <w:szCs w:val="26"/>
        </w:rPr>
      </w:pPr>
      <w:r w:rsidRPr="00960A32">
        <w:rPr>
          <w:szCs w:val="26"/>
        </w:rPr>
        <w:t xml:space="preserve">Is the </w:t>
      </w:r>
      <w:r w:rsidR="00723CA5">
        <w:rPr>
          <w:szCs w:val="26"/>
        </w:rPr>
        <w:t>Proposed Transaction</w:t>
      </w:r>
      <w:r w:rsidRPr="00960A32">
        <w:rPr>
          <w:szCs w:val="26"/>
        </w:rPr>
        <w:t xml:space="preserve"> in the public interest, including whether existing regulatory safeguards and holding company conditions remain sufficient to protect ratepayers and ensure effective Commission oversight?</w:t>
      </w:r>
    </w:p>
    <w:p w:rsidRPr="00963400" w:rsidR="00963400" w:rsidP="00E83FD5" w:rsidRDefault="00963400" w14:paraId="57B37C92" w14:textId="1896BD5D">
      <w:pPr>
        <w:pStyle w:val="BlockQuoteH025"/>
        <w:numPr>
          <w:ilvl w:val="0"/>
          <w:numId w:val="19"/>
        </w:numPr>
        <w:tabs>
          <w:tab w:val="clear" w:pos="720"/>
        </w:tabs>
        <w:ind w:left="1080"/>
        <w:rPr>
          <w:szCs w:val="26"/>
        </w:rPr>
      </w:pPr>
      <w:r w:rsidRPr="00960A32">
        <w:rPr>
          <w:szCs w:val="26"/>
        </w:rPr>
        <w:t xml:space="preserve">Are there any impacts on </w:t>
      </w:r>
      <w:r w:rsidR="009655F7">
        <w:rPr>
          <w:szCs w:val="26"/>
        </w:rPr>
        <w:t>ESJ</w:t>
      </w:r>
      <w:r w:rsidRPr="00960A32">
        <w:rPr>
          <w:szCs w:val="26"/>
        </w:rPr>
        <w:t xml:space="preserve"> communities, including the extent to which the </w:t>
      </w:r>
      <w:r w:rsidR="00723CA5">
        <w:rPr>
          <w:szCs w:val="26"/>
        </w:rPr>
        <w:t>Proposed Transaction</w:t>
      </w:r>
      <w:r w:rsidRPr="00960A32">
        <w:rPr>
          <w:szCs w:val="26"/>
        </w:rPr>
        <w:t xml:space="preserve"> impacts the achievement of any of the nine goals of the Commission</w:t>
      </w:r>
      <w:r w:rsidR="00E5563F">
        <w:rPr>
          <w:szCs w:val="26"/>
        </w:rPr>
        <w:t>’</w:t>
      </w:r>
      <w:r w:rsidRPr="00960A32">
        <w:rPr>
          <w:szCs w:val="26"/>
        </w:rPr>
        <w:t xml:space="preserve">s </w:t>
      </w:r>
      <w:r w:rsidR="009655F7">
        <w:rPr>
          <w:szCs w:val="26"/>
        </w:rPr>
        <w:t>ESJ</w:t>
      </w:r>
      <w:r w:rsidRPr="00960A32">
        <w:rPr>
          <w:szCs w:val="26"/>
        </w:rPr>
        <w:t xml:space="preserve"> Action Plan?</w:t>
      </w:r>
    </w:p>
    <w:p w:rsidR="005939A5" w:rsidP="00537D5E" w:rsidRDefault="005939A5" w14:paraId="58487860" w14:textId="3B549435">
      <w:pPr>
        <w:pStyle w:val="Heading1"/>
      </w:pPr>
      <w:bookmarkStart w:name="_Toc8123720" w:id="15"/>
      <w:bookmarkStart w:name="_Toc234583866" w:id="16"/>
      <w:bookmarkStart w:name="_Toc238105943" w:id="17"/>
      <w:r>
        <w:lastRenderedPageBreak/>
        <w:t xml:space="preserve">Discussion </w:t>
      </w:r>
      <w:bookmarkEnd w:id="15"/>
      <w:r w:rsidR="00963400">
        <w:t xml:space="preserve">of Proposed Transaction </w:t>
      </w:r>
      <w:r w:rsidRPr="004D2650" w:rsidR="00963400">
        <w:rPr>
          <w:rFonts w:cs="Arial"/>
          <w:color w:val="000000"/>
        </w:rPr>
        <w:t>with Respect to the Creation of an Intermediate Holding Company</w:t>
      </w:r>
      <w:bookmarkEnd w:id="16"/>
      <w:bookmarkEnd w:id="17"/>
    </w:p>
    <w:p w:rsidRPr="00F94F56" w:rsidR="00EA36C6" w:rsidP="06702539" w:rsidRDefault="00F94F56" w14:paraId="5781CD04" w14:textId="62C26A4A">
      <w:pPr>
        <w:pStyle w:val="Heading2"/>
      </w:pPr>
      <w:bookmarkStart w:name="_Toc234583867" w:id="18"/>
      <w:bookmarkStart w:name="_Toc238105944" w:id="19"/>
      <w:r w:rsidRPr="00F94F56">
        <w:rPr>
          <w:bCs/>
        </w:rPr>
        <w:t>A</w:t>
      </w:r>
      <w:r w:rsidRPr="00F94F56" w:rsidDel="00735082">
        <w:rPr>
          <w:bCs/>
        </w:rPr>
        <w:t xml:space="preserve">pplicability of </w:t>
      </w:r>
      <w:r w:rsidR="004F7E76">
        <w:rPr>
          <w:bCs/>
        </w:rPr>
        <w:t>Section </w:t>
      </w:r>
      <w:r w:rsidRPr="00F94F56" w:rsidDel="00735082">
        <w:rPr>
          <w:bCs/>
        </w:rPr>
        <w:t>854</w:t>
      </w:r>
      <w:bookmarkEnd w:id="18"/>
      <w:bookmarkEnd w:id="19"/>
    </w:p>
    <w:p w:rsidR="00E5563F" w:rsidP="005343EE" w:rsidRDefault="00C50E2A" w14:paraId="4E3DD9CC" w14:textId="77777777">
      <w:pPr>
        <w:pStyle w:val="Standard"/>
        <w:rPr>
          <w:szCs w:val="26"/>
        </w:rPr>
      </w:pPr>
      <w:r w:rsidRPr="00C50E2A">
        <w:rPr>
          <w:szCs w:val="26"/>
        </w:rPr>
        <w:t xml:space="preserve">The first issue before the Commission is whether the </w:t>
      </w:r>
      <w:r w:rsidR="00723CA5">
        <w:rPr>
          <w:szCs w:val="26"/>
        </w:rPr>
        <w:t>P</w:t>
      </w:r>
      <w:r w:rsidRPr="00960A32" w:rsidR="00723CA5">
        <w:rPr>
          <w:szCs w:val="26"/>
        </w:rPr>
        <w:t xml:space="preserve">roposed </w:t>
      </w:r>
      <w:r w:rsidR="00723CA5">
        <w:rPr>
          <w:szCs w:val="26"/>
        </w:rPr>
        <w:t>T</w:t>
      </w:r>
      <w:r w:rsidRPr="00960A32" w:rsidR="00723CA5">
        <w:rPr>
          <w:szCs w:val="26"/>
        </w:rPr>
        <w:t>ransaction</w:t>
      </w:r>
      <w:r w:rsidRPr="00C50E2A" w:rsidR="00723CA5">
        <w:rPr>
          <w:szCs w:val="26"/>
        </w:rPr>
        <w:t xml:space="preserve"> </w:t>
      </w:r>
      <w:r w:rsidRPr="00C50E2A">
        <w:rPr>
          <w:szCs w:val="26"/>
        </w:rPr>
        <w:t xml:space="preserve">requires approval pursuant to </w:t>
      </w:r>
      <w:r w:rsidR="004F7E76">
        <w:rPr>
          <w:szCs w:val="26"/>
        </w:rPr>
        <w:t>Section </w:t>
      </w:r>
      <w:r w:rsidRPr="00C50E2A">
        <w:rPr>
          <w:szCs w:val="26"/>
        </w:rPr>
        <w:t xml:space="preserve">854(a), or alternatively, whether an exemption is warranted pursuant to </w:t>
      </w:r>
      <w:r w:rsidR="004F7E76">
        <w:rPr>
          <w:szCs w:val="26"/>
        </w:rPr>
        <w:t>Section </w:t>
      </w:r>
      <w:r w:rsidRPr="00C50E2A">
        <w:rPr>
          <w:szCs w:val="26"/>
        </w:rPr>
        <w:t>853(b).</w:t>
      </w:r>
    </w:p>
    <w:p w:rsidR="00E5563F" w:rsidP="005343EE" w:rsidRDefault="004F7E76" w14:paraId="68A0B2D6" w14:textId="0EBCBB2C">
      <w:pPr>
        <w:pStyle w:val="Standard"/>
      </w:pPr>
      <w:r>
        <w:t>Section </w:t>
      </w:r>
      <w:r w:rsidRPr="69C1316A" w:rsidR="00C50E2A">
        <w:t xml:space="preserve">854(a) generally requires Commission authorization before a person or corporation may merge with, acquire, or control a California public utility. The purpose of </w:t>
      </w:r>
      <w:r>
        <w:t>Section </w:t>
      </w:r>
      <w:r w:rsidRPr="69C1316A" w:rsidR="00C50E2A">
        <w:t>854 is to permit the Commission to review transactions affecting public utilities before they occur and to impose such conditions as the public interest may require.</w:t>
      </w:r>
      <w:r w:rsidRPr="69C1316A" w:rsidR="001176A9">
        <w:rPr>
          <w:rStyle w:val="FootnoteReference"/>
        </w:rPr>
        <w:footnoteReference w:id="4"/>
      </w:r>
      <w:r w:rsidR="00E909FE">
        <w:rPr>
          <w:szCs w:val="26"/>
        </w:rPr>
        <w:t xml:space="preserve"> </w:t>
      </w:r>
      <w:r w:rsidR="00E909FE">
        <w:t xml:space="preserve">The standard generally applied by the Commission to determine if a transaction should be approved under </w:t>
      </w:r>
      <w:r>
        <w:t>Section </w:t>
      </w:r>
      <w:r w:rsidR="00E909FE">
        <w:t xml:space="preserve">854(a) is whether the transaction will be </w:t>
      </w:r>
      <w:r w:rsidR="00E5563F">
        <w:t>“</w:t>
      </w:r>
      <w:r w:rsidR="00E909FE">
        <w:t>adverse to the public interest.</w:t>
      </w:r>
      <w:r w:rsidR="00E5563F">
        <w:t>”</w:t>
      </w:r>
      <w:r w:rsidR="0050061D">
        <w:rPr>
          <w:rStyle w:val="FootnoteReference"/>
        </w:rPr>
        <w:footnoteReference w:id="5"/>
      </w:r>
      <w:r w:rsidR="00E909FE">
        <w:t xml:space="preserve"> The statute is intended to ensure that changes in ownership or control of public utilities do not adversely affect the public interest, including ratepayers and the Commission</w:t>
      </w:r>
      <w:r w:rsidR="00E5563F">
        <w:t>’</w:t>
      </w:r>
      <w:r w:rsidR="00E909FE">
        <w:t xml:space="preserve">s ability to effectively regulate the utility. </w:t>
      </w:r>
      <w:r w:rsidR="00E5563F">
        <w:t>“</w:t>
      </w:r>
      <w:r w:rsidRPr="00B90E38" w:rsidR="00E909FE">
        <w:t>The purpose of this and related sections is to enable the Commission, before any transfer of public utility authority is consummated, to review the situation and to take such action, as a</w:t>
      </w:r>
      <w:r w:rsidR="00E909FE">
        <w:t xml:space="preserve"> </w:t>
      </w:r>
      <w:r w:rsidRPr="00B90E38" w:rsidR="00E909FE">
        <w:t>condition of the transfer, as the public interest may require.</w:t>
      </w:r>
      <w:r w:rsidR="00E5563F">
        <w:t>”</w:t>
      </w:r>
      <w:r w:rsidR="001176A9">
        <w:rPr>
          <w:rStyle w:val="FootnoteReference"/>
        </w:rPr>
        <w:footnoteReference w:id="6"/>
      </w:r>
    </w:p>
    <w:p w:rsidR="00E5563F" w:rsidP="005343EE" w:rsidRDefault="00C50E2A" w14:paraId="42AEE475" w14:textId="5D6CBC56">
      <w:pPr>
        <w:pStyle w:val="Standard"/>
      </w:pPr>
      <w:r w:rsidRPr="69C1316A">
        <w:t xml:space="preserve">Applicants contend that </w:t>
      </w:r>
      <w:r w:rsidR="004F7E76">
        <w:t>Section </w:t>
      </w:r>
      <w:r w:rsidRPr="69C1316A">
        <w:t xml:space="preserve">854 does not apply because the </w:t>
      </w:r>
      <w:r w:rsidRPr="69C1316A" w:rsidR="00723CA5">
        <w:t>Proposed Transaction</w:t>
      </w:r>
      <w:r w:rsidRPr="69C1316A">
        <w:t xml:space="preserve"> is a limited internal corporate reorganization that does not result in a </w:t>
      </w:r>
      <w:r w:rsidRPr="69C1316A">
        <w:lastRenderedPageBreak/>
        <w:t>change in ultimate ownership or control of SDG&amp;E or SoCalGas.</w:t>
      </w:r>
      <w:r w:rsidRPr="69C1316A" w:rsidR="00516109">
        <w:rPr>
          <w:rStyle w:val="FootnoteReference"/>
        </w:rPr>
        <w:footnoteReference w:id="7"/>
      </w:r>
      <w:r w:rsidRPr="69C1316A">
        <w:t xml:space="preserve"> Under the proposed structure, Sempra will remain the ultimate corporate parent of both utilities, and no third party will acquire any ownership interest in, or control over, either utility.</w:t>
      </w:r>
      <w:r w:rsidRPr="69C1316A" w:rsidR="00516109">
        <w:rPr>
          <w:rStyle w:val="FootnoteReference"/>
        </w:rPr>
        <w:footnoteReference w:id="8"/>
      </w:r>
      <w:r w:rsidR="00307E1B">
        <w:rPr>
          <w:szCs w:val="26"/>
        </w:rPr>
        <w:t xml:space="preserve"> </w:t>
      </w:r>
      <w:r w:rsidR="00307E1B">
        <w:t>Rather, the transaction inserts a new intermediate holding company (Sempra California) between Sempra and the utilities</w:t>
      </w:r>
      <w:r w:rsidR="00E5563F">
        <w:t>’</w:t>
      </w:r>
      <w:r w:rsidR="00307E1B">
        <w:t xml:space="preserve"> existing parent companies.</w:t>
      </w:r>
      <w:r w:rsidR="001176A9">
        <w:rPr>
          <w:rStyle w:val="FootnoteReference"/>
        </w:rPr>
        <w:footnoteReference w:id="9"/>
      </w:r>
      <w:r w:rsidR="00307E1B">
        <w:t xml:space="preserve"> </w:t>
      </w:r>
      <w:r w:rsidRPr="00E741BF" w:rsidR="00E741BF">
        <w:t>Applicants assert that prior Commission decisions have recognized that internal holding</w:t>
      </w:r>
      <w:r w:rsidR="00042804">
        <w:noBreakHyphen/>
      </w:r>
      <w:r w:rsidRPr="00E741BF" w:rsidR="00E741BF">
        <w:t xml:space="preserve">company restructurings that do not result in a transfer of ultimate ownership or control may not require approval under </w:t>
      </w:r>
      <w:r w:rsidR="004F7E76">
        <w:t>Section </w:t>
      </w:r>
      <w:r w:rsidRPr="00E741BF" w:rsidR="00E741BF">
        <w:t>854.</w:t>
      </w:r>
      <w:r w:rsidR="001176A9">
        <w:rPr>
          <w:rStyle w:val="FootnoteReference"/>
        </w:rPr>
        <w:footnoteReference w:id="10"/>
      </w:r>
    </w:p>
    <w:p w:rsidR="00E5563F" w:rsidP="005343EE" w:rsidRDefault="00C50E2A" w14:paraId="0CA82767" w14:textId="326BA0EF">
      <w:pPr>
        <w:pStyle w:val="Standard"/>
        <w:rPr>
          <w:szCs w:val="26"/>
        </w:rPr>
      </w:pPr>
      <w:r w:rsidRPr="69C1316A">
        <w:t>The Commission has historically declined to adopt a bright</w:t>
      </w:r>
      <w:r w:rsidR="00042804">
        <w:noBreakHyphen/>
      </w:r>
      <w:r w:rsidRPr="69C1316A">
        <w:t xml:space="preserve">line definition of </w:t>
      </w:r>
      <w:r w:rsidR="00E5563F">
        <w:t>“</w:t>
      </w:r>
      <w:r w:rsidRPr="69C1316A">
        <w:t>control</w:t>
      </w:r>
      <w:r w:rsidR="00E5563F">
        <w:t>”</w:t>
      </w:r>
      <w:r w:rsidRPr="69C1316A">
        <w:t xml:space="preserve"> for purposes of </w:t>
      </w:r>
      <w:r w:rsidR="004F7E76">
        <w:t>Section </w:t>
      </w:r>
      <w:r w:rsidRPr="69C1316A">
        <w:t xml:space="preserve">854. Instead, the Commission has determined the applicability of </w:t>
      </w:r>
      <w:r w:rsidR="004F7E76">
        <w:t>Section </w:t>
      </w:r>
      <w:r w:rsidRPr="69C1316A">
        <w:t>854 on a case</w:t>
      </w:r>
      <w:r w:rsidR="00042804">
        <w:noBreakHyphen/>
      </w:r>
      <w:r w:rsidRPr="69C1316A">
        <w:t>by</w:t>
      </w:r>
      <w:r w:rsidR="00042804">
        <w:noBreakHyphen/>
      </w:r>
      <w:r w:rsidRPr="69C1316A">
        <w:t>case basis, taking into account the facts and circumstances of the particular transaction.</w:t>
      </w:r>
      <w:r w:rsidRPr="69C1316A" w:rsidR="001176A9">
        <w:rPr>
          <w:rStyle w:val="FootnoteReference"/>
        </w:rPr>
        <w:footnoteReference w:id="11"/>
      </w:r>
    </w:p>
    <w:p w:rsidR="00E5563F" w:rsidP="005343EE" w:rsidRDefault="00C50E2A" w14:paraId="51C33F27" w14:textId="7BBBC9C4">
      <w:pPr>
        <w:pStyle w:val="Standard"/>
        <w:rPr>
          <w:szCs w:val="26"/>
        </w:rPr>
      </w:pPr>
      <w:r w:rsidRPr="69C1316A">
        <w:t>Commission precedent reflects that internal holding</w:t>
      </w:r>
      <w:r w:rsidR="00042804">
        <w:noBreakHyphen/>
      </w:r>
      <w:r w:rsidRPr="69C1316A">
        <w:t xml:space="preserve">company transactions do not fit neatly into categorical rules. Some decisions have found that transactions involving only changes in legal ownership and not actual control did not require full </w:t>
      </w:r>
      <w:r w:rsidR="004F7E76">
        <w:t>Section </w:t>
      </w:r>
      <w:r w:rsidRPr="69C1316A">
        <w:t xml:space="preserve">854 review, while other decisions have applied </w:t>
      </w:r>
      <w:r w:rsidR="004F7E76">
        <w:t>Section </w:t>
      </w:r>
      <w:r w:rsidRPr="69C1316A">
        <w:t>854 to upstream holding</w:t>
      </w:r>
      <w:r w:rsidR="00042804">
        <w:noBreakHyphen/>
      </w:r>
      <w:r w:rsidRPr="69C1316A">
        <w:t>company transactions.</w:t>
      </w:r>
      <w:r w:rsidRPr="69C1316A" w:rsidR="001176A9">
        <w:rPr>
          <w:rStyle w:val="FootnoteReference"/>
        </w:rPr>
        <w:footnoteReference w:id="12"/>
      </w:r>
    </w:p>
    <w:p w:rsidRPr="00C50E2A" w:rsidR="009574B9" w:rsidP="005343EE" w:rsidRDefault="00C50E2A" w14:paraId="499C563D" w14:textId="78E7E774">
      <w:pPr>
        <w:pStyle w:val="Standard"/>
      </w:pPr>
      <w:r w:rsidRPr="69C1316A">
        <w:t xml:space="preserve">The </w:t>
      </w:r>
      <w:r w:rsidR="001543CA">
        <w:t xml:space="preserve">instant </w:t>
      </w:r>
      <w:r w:rsidRPr="69C1316A" w:rsidR="00723CA5">
        <w:t>Proposed Transaction</w:t>
      </w:r>
      <w:r w:rsidRPr="69C1316A">
        <w:t xml:space="preserve"> presents such a close question. On the one hand, the transaction inserts a new intermediate holding company into the </w:t>
      </w:r>
      <w:r w:rsidRPr="69C1316A">
        <w:lastRenderedPageBreak/>
        <w:t xml:space="preserve">corporate structure above </w:t>
      </w:r>
      <w:r w:rsidR="0060594B">
        <w:t>Applicants</w:t>
      </w:r>
      <w:r w:rsidRPr="69C1316A">
        <w:t>.</w:t>
      </w:r>
      <w:r w:rsidRPr="69C1316A" w:rsidR="00E741BF">
        <w:rPr>
          <w:rStyle w:val="FootnoteReference"/>
        </w:rPr>
        <w:footnoteReference w:id="13"/>
      </w:r>
      <w:r w:rsidRPr="69C1316A">
        <w:t xml:space="preserve"> On the other hand, Sempra will remain the ultimate parent company, no third party will acquire ownership or control of either utility, and the record demonstrates that utility operations, management, workforce, rates, and service will remain unchanged.</w:t>
      </w:r>
      <w:r w:rsidRPr="69C1316A" w:rsidR="009574B9">
        <w:rPr>
          <w:rStyle w:val="FootnoteReference"/>
        </w:rPr>
        <w:footnoteReference w:id="14"/>
      </w:r>
    </w:p>
    <w:p w:rsidR="005B7FBB" w:rsidP="005343EE" w:rsidRDefault="00415CD8" w14:paraId="733D723A" w14:textId="18C18D78">
      <w:pPr>
        <w:pStyle w:val="Standard"/>
      </w:pPr>
      <w:r>
        <w:rPr>
          <w:szCs w:val="26"/>
        </w:rPr>
        <w:t>W</w:t>
      </w:r>
      <w:r w:rsidR="006B1EF7">
        <w:rPr>
          <w:szCs w:val="26"/>
        </w:rPr>
        <w:t>e</w:t>
      </w:r>
      <w:r w:rsidRPr="00C50E2A" w:rsidR="00C50E2A">
        <w:rPr>
          <w:szCs w:val="26"/>
        </w:rPr>
        <w:t xml:space="preserve"> find that an exemption is warranted pursuant to </w:t>
      </w:r>
      <w:r w:rsidR="004F7E76">
        <w:rPr>
          <w:szCs w:val="26"/>
        </w:rPr>
        <w:t>Section </w:t>
      </w:r>
      <w:r w:rsidRPr="00C50E2A" w:rsidR="00C50E2A">
        <w:rPr>
          <w:szCs w:val="26"/>
        </w:rPr>
        <w:t>853(b).</w:t>
      </w:r>
      <w:r w:rsidR="00D348F4">
        <w:rPr>
          <w:szCs w:val="26"/>
        </w:rPr>
        <w:t xml:space="preserve"> </w:t>
      </w:r>
      <w:r w:rsidR="004F7E76">
        <w:rPr>
          <w:szCs w:val="26"/>
        </w:rPr>
        <w:t>Section </w:t>
      </w:r>
      <w:r w:rsidRPr="00C50E2A" w:rsidR="00C50E2A">
        <w:rPr>
          <w:szCs w:val="26"/>
        </w:rPr>
        <w:t xml:space="preserve">853(b) authorizes the Commission to exempt a transaction from the requirements of </w:t>
      </w:r>
      <w:r w:rsidR="004F7E76">
        <w:rPr>
          <w:szCs w:val="26"/>
        </w:rPr>
        <w:t>Section </w:t>
      </w:r>
      <w:r w:rsidR="00904D97">
        <w:rPr>
          <w:szCs w:val="26"/>
        </w:rPr>
        <w:t xml:space="preserve">854 </w:t>
      </w:r>
      <w:r w:rsidRPr="00C50E2A" w:rsidR="00C50E2A">
        <w:rPr>
          <w:szCs w:val="26"/>
        </w:rPr>
        <w:t xml:space="preserve">where application of those provisions is not necessary in the public interest. </w:t>
      </w:r>
      <w:r w:rsidR="004F7E76">
        <w:rPr>
          <w:szCs w:val="26"/>
        </w:rPr>
        <w:t>Section </w:t>
      </w:r>
      <w:r w:rsidRPr="005B7FBB" w:rsidR="005B7FBB">
        <w:rPr>
          <w:szCs w:val="26"/>
        </w:rPr>
        <w:t>853(b) reflects the Legislature</w:t>
      </w:r>
      <w:r w:rsidR="00E5563F">
        <w:rPr>
          <w:szCs w:val="26"/>
        </w:rPr>
        <w:t>’</w:t>
      </w:r>
      <w:r w:rsidRPr="005B7FBB" w:rsidR="005B7FBB">
        <w:rPr>
          <w:szCs w:val="26"/>
        </w:rPr>
        <w:t xml:space="preserve">s recognition that not every transaction potentially falling within </w:t>
      </w:r>
      <w:r w:rsidR="005B47F0">
        <w:rPr>
          <w:szCs w:val="26"/>
        </w:rPr>
        <w:t>Article </w:t>
      </w:r>
      <w:r w:rsidRPr="005B7FBB" w:rsidR="005B7FBB">
        <w:rPr>
          <w:szCs w:val="26"/>
        </w:rPr>
        <w:t xml:space="preserve">5 warrants the review otherwise required under </w:t>
      </w:r>
      <w:r w:rsidR="004F7E76">
        <w:rPr>
          <w:szCs w:val="26"/>
        </w:rPr>
        <w:t>Section </w:t>
      </w:r>
      <w:r w:rsidRPr="005B7FBB" w:rsidR="005B7FBB">
        <w:rPr>
          <w:szCs w:val="26"/>
        </w:rPr>
        <w:t xml:space="preserve">854. Rather, </w:t>
      </w:r>
      <w:r w:rsidR="004F7E76">
        <w:rPr>
          <w:szCs w:val="26"/>
        </w:rPr>
        <w:t>Section </w:t>
      </w:r>
      <w:r w:rsidRPr="005B7FBB" w:rsidR="005B7FBB">
        <w:rPr>
          <w:szCs w:val="26"/>
        </w:rPr>
        <w:t xml:space="preserve">853(b) affords the Commission flexibility to tailor its review to the circumstances of a particular transaction and to exempt transactions where </w:t>
      </w:r>
      <w:r w:rsidR="00814B84">
        <w:rPr>
          <w:szCs w:val="26"/>
        </w:rPr>
        <w:t xml:space="preserve">the </w:t>
      </w:r>
      <w:r w:rsidRPr="005B7FBB" w:rsidR="005B7FBB">
        <w:rPr>
          <w:szCs w:val="26"/>
        </w:rPr>
        <w:t xml:space="preserve">full application of </w:t>
      </w:r>
      <w:r w:rsidR="005B47F0">
        <w:rPr>
          <w:szCs w:val="26"/>
        </w:rPr>
        <w:t>Article </w:t>
      </w:r>
      <w:r w:rsidRPr="005B7FBB" w:rsidR="005B7FBB">
        <w:rPr>
          <w:szCs w:val="26"/>
        </w:rPr>
        <w:t>5 is not necessary to protect the public interest.</w:t>
      </w:r>
    </w:p>
    <w:p w:rsidR="00E5563F" w:rsidP="005343EE" w:rsidRDefault="00C50E2A" w14:paraId="10E23617" w14:textId="0F10C6CF">
      <w:pPr>
        <w:pStyle w:val="Standard"/>
        <w:rPr>
          <w:szCs w:val="26"/>
        </w:rPr>
      </w:pPr>
      <w:r w:rsidRPr="69C1316A">
        <w:t xml:space="preserve">The Commission has repeatedly recognized that </w:t>
      </w:r>
      <w:r w:rsidR="00B57F6B">
        <w:t>we have broad discretion to grant an exemption</w:t>
      </w:r>
      <w:r w:rsidR="00121C9F">
        <w:t xml:space="preserve">, </w:t>
      </w:r>
      <w:r w:rsidR="00B57F6B">
        <w:t xml:space="preserve">that </w:t>
      </w:r>
      <w:r w:rsidRPr="69C1316A">
        <w:t>there is no hard</w:t>
      </w:r>
      <w:r w:rsidR="00042804">
        <w:noBreakHyphen/>
      </w:r>
      <w:r w:rsidRPr="69C1316A">
        <w:t>and</w:t>
      </w:r>
      <w:r w:rsidR="00042804">
        <w:noBreakHyphen/>
      </w:r>
      <w:r w:rsidRPr="69C1316A">
        <w:t>fast test for granting an exemption</w:t>
      </w:r>
      <w:r w:rsidR="00121C9F">
        <w:t>,</w:t>
      </w:r>
      <w:r w:rsidRPr="69C1316A">
        <w:t xml:space="preserve"> and that exemption determinations are made on a case</w:t>
      </w:r>
      <w:r w:rsidR="00042804">
        <w:noBreakHyphen/>
      </w:r>
      <w:r w:rsidRPr="69C1316A">
        <w:t>by</w:t>
      </w:r>
      <w:r w:rsidR="00042804">
        <w:noBreakHyphen/>
      </w:r>
      <w:r w:rsidRPr="69C1316A">
        <w:t>case basis.</w:t>
      </w:r>
      <w:r w:rsidRPr="69C1316A" w:rsidR="005B7FBB">
        <w:rPr>
          <w:rStyle w:val="FootnoteReference"/>
        </w:rPr>
        <w:footnoteReference w:id="15"/>
      </w:r>
    </w:p>
    <w:p w:rsidRPr="00C50E2A" w:rsidR="00C50E2A" w:rsidP="005343EE" w:rsidRDefault="00C50E2A" w14:paraId="63A6E39C" w14:textId="4A5A9A67">
      <w:pPr>
        <w:pStyle w:val="Standard"/>
      </w:pPr>
      <w:r>
        <w:t>Here, the record demonstrates that:</w:t>
      </w:r>
    </w:p>
    <w:p w:rsidRPr="00C50E2A" w:rsidR="00C50E2A" w:rsidP="00F2646B" w:rsidRDefault="00C50E2A" w14:paraId="1476C5AB" w14:textId="36D17120">
      <w:pPr>
        <w:pStyle w:val="BlockQuoteH033"/>
        <w:rPr>
          <w:szCs w:val="26"/>
        </w:rPr>
      </w:pPr>
      <w:r w:rsidRPr="69C1316A">
        <w:t>(1)</w:t>
      </w:r>
      <w:r w:rsidR="00F2646B">
        <w:tab/>
      </w:r>
      <w:r w:rsidRPr="69C1316A">
        <w:t>Sempra will remain the ultimate parent company;</w:t>
      </w:r>
      <w:r w:rsidRPr="69C1316A" w:rsidR="009574B9">
        <w:rPr>
          <w:rStyle w:val="FootnoteReference"/>
        </w:rPr>
        <w:footnoteReference w:id="16"/>
      </w:r>
    </w:p>
    <w:p w:rsidRPr="00C50E2A" w:rsidR="00C50E2A" w:rsidP="00F2646B" w:rsidRDefault="00C50E2A" w14:paraId="2B89FD79" w14:textId="358A206C">
      <w:pPr>
        <w:pStyle w:val="BlockQuoteH033"/>
        <w:rPr>
          <w:szCs w:val="26"/>
        </w:rPr>
      </w:pPr>
      <w:r w:rsidRPr="69C1316A">
        <w:lastRenderedPageBreak/>
        <w:t>(2)</w:t>
      </w:r>
      <w:r w:rsidR="00F2646B">
        <w:tab/>
      </w:r>
      <w:r w:rsidRPr="69C1316A">
        <w:t>no third party will acquire ownership or control of SDG&amp;E or SoCalGas;</w:t>
      </w:r>
      <w:r w:rsidRPr="69C1316A" w:rsidR="009574B9">
        <w:rPr>
          <w:rStyle w:val="FootnoteReference"/>
        </w:rPr>
        <w:footnoteReference w:id="17"/>
      </w:r>
    </w:p>
    <w:p w:rsidRPr="00C50E2A" w:rsidR="00C50E2A" w:rsidP="00F2646B" w:rsidRDefault="00C50E2A" w14:paraId="67CDE851" w14:textId="7A0D9505">
      <w:pPr>
        <w:pStyle w:val="BlockQuoteH033"/>
        <w:rPr>
          <w:szCs w:val="26"/>
        </w:rPr>
      </w:pPr>
      <w:r w:rsidRPr="69C1316A">
        <w:t>(3)</w:t>
      </w:r>
      <w:r w:rsidR="00F2646B">
        <w:tab/>
      </w:r>
      <w:r w:rsidRPr="69C1316A">
        <w:t>utility operations and management will remain unchanged;</w:t>
      </w:r>
      <w:r w:rsidRPr="69C1316A" w:rsidR="009574B9">
        <w:rPr>
          <w:rStyle w:val="FootnoteReference"/>
        </w:rPr>
        <w:footnoteReference w:id="18"/>
      </w:r>
    </w:p>
    <w:p w:rsidRPr="00C50E2A" w:rsidR="00C50E2A" w:rsidP="00F2646B" w:rsidRDefault="00C50E2A" w14:paraId="615651B4" w14:textId="2011128A">
      <w:pPr>
        <w:pStyle w:val="BlockQuoteH033"/>
        <w:rPr>
          <w:szCs w:val="26"/>
        </w:rPr>
      </w:pPr>
      <w:r w:rsidRPr="69C1316A">
        <w:t>(4)</w:t>
      </w:r>
      <w:r w:rsidR="00F2646B">
        <w:tab/>
      </w:r>
      <w:r w:rsidRPr="69C1316A">
        <w:t>utility rates and service obligations will remain unchanged;</w:t>
      </w:r>
      <w:r w:rsidRPr="69C1316A" w:rsidR="00710D0F">
        <w:rPr>
          <w:rStyle w:val="FootnoteReference"/>
        </w:rPr>
        <w:footnoteReference w:id="19"/>
      </w:r>
    </w:p>
    <w:p w:rsidRPr="00C50E2A" w:rsidR="00C50E2A" w:rsidP="00F2646B" w:rsidRDefault="00C50E2A" w14:paraId="47893DE8" w14:textId="482A0146">
      <w:pPr>
        <w:pStyle w:val="BlockQuoteH033"/>
        <w:rPr>
          <w:szCs w:val="26"/>
        </w:rPr>
      </w:pPr>
      <w:r w:rsidRPr="69C1316A">
        <w:t>(5)</w:t>
      </w:r>
      <w:r w:rsidR="00F2646B">
        <w:tab/>
      </w:r>
      <w:r w:rsidRPr="69C1316A">
        <w:t>workforce levels and collective bargaining agreements will remain unchanged;</w:t>
      </w:r>
      <w:r w:rsidRPr="69C1316A" w:rsidR="00710D0F">
        <w:rPr>
          <w:rStyle w:val="FootnoteReference"/>
        </w:rPr>
        <w:footnoteReference w:id="20"/>
      </w:r>
      <w:r w:rsidRPr="69C1316A">
        <w:t xml:space="preserve"> and</w:t>
      </w:r>
    </w:p>
    <w:p w:rsidRPr="00C50E2A" w:rsidR="00C50E2A" w:rsidP="00F2646B" w:rsidRDefault="00C50E2A" w14:paraId="7718CD1D" w14:textId="53A48531">
      <w:pPr>
        <w:pStyle w:val="BlockQuoteH033"/>
        <w:rPr>
          <w:szCs w:val="26"/>
        </w:rPr>
      </w:pPr>
      <w:r w:rsidRPr="69C1316A">
        <w:t>(6)</w:t>
      </w:r>
      <w:r w:rsidR="00F2646B">
        <w:tab/>
      </w:r>
      <w:r w:rsidRPr="69C1316A">
        <w:t>the Commission</w:t>
      </w:r>
      <w:r w:rsidR="00E5563F">
        <w:rPr>
          <w:szCs w:val="26"/>
        </w:rPr>
        <w:t>’</w:t>
      </w:r>
      <w:r w:rsidRPr="69C1316A">
        <w:t xml:space="preserve">s regulatory authority </w:t>
      </w:r>
      <w:r w:rsidRPr="69C1316A" w:rsidR="000E38EC">
        <w:t>would not be diminished by the Proposed Transaction.</w:t>
      </w:r>
      <w:r w:rsidRPr="69C1316A" w:rsidR="00710D0F">
        <w:rPr>
          <w:rStyle w:val="FootnoteReference"/>
        </w:rPr>
        <w:footnoteReference w:id="21"/>
      </w:r>
    </w:p>
    <w:p w:rsidR="00E5563F" w:rsidP="005343EE" w:rsidRDefault="00C50E2A" w14:paraId="6478433D" w14:textId="77777777">
      <w:pPr>
        <w:pStyle w:val="Standard"/>
        <w:rPr>
          <w:szCs w:val="26"/>
        </w:rPr>
      </w:pPr>
      <w:r w:rsidRPr="69C1316A">
        <w:t>These facts closely resemble the types of internal corporate reorganizations that the Commission has previously found appropriate for exemption treatment.</w:t>
      </w:r>
      <w:r w:rsidRPr="69C1316A" w:rsidR="00710D0F">
        <w:rPr>
          <w:rStyle w:val="FootnoteReference"/>
        </w:rPr>
        <w:footnoteReference w:id="22"/>
      </w:r>
    </w:p>
    <w:p w:rsidR="00E5563F" w:rsidP="005343EE" w:rsidRDefault="00EB0148" w14:paraId="5EC4311E" w14:textId="67F149AC">
      <w:pPr>
        <w:pStyle w:val="Standard"/>
      </w:pPr>
      <w:r>
        <w:t>In</w:t>
      </w:r>
      <w:r w:rsidRPr="69C1316A" w:rsidR="00C50E2A">
        <w:t xml:space="preserve"> grant</w:t>
      </w:r>
      <w:r>
        <w:t>ing</w:t>
      </w:r>
      <w:r w:rsidRPr="69C1316A" w:rsidR="00C50E2A">
        <w:t xml:space="preserve"> an exemption pursuant to </w:t>
      </w:r>
      <w:r w:rsidR="004F7E76">
        <w:t>Section </w:t>
      </w:r>
      <w:r w:rsidRPr="69C1316A" w:rsidR="00C50E2A">
        <w:t xml:space="preserve">853(b), </w:t>
      </w:r>
      <w:r w:rsidR="002D6933">
        <w:t xml:space="preserve">we will </w:t>
      </w:r>
      <w:r w:rsidR="68507B9D">
        <w:t xml:space="preserve">also </w:t>
      </w:r>
      <w:r w:rsidRPr="69C1316A" w:rsidR="00C50E2A">
        <w:t>consider the public</w:t>
      </w:r>
      <w:r w:rsidR="00042804">
        <w:noBreakHyphen/>
      </w:r>
      <w:r w:rsidRPr="69C1316A" w:rsidR="00C50E2A">
        <w:t xml:space="preserve">interest factors in </w:t>
      </w:r>
      <w:r w:rsidR="004F7E76">
        <w:t>Section </w:t>
      </w:r>
      <w:r w:rsidRPr="69C1316A" w:rsidR="00C50E2A">
        <w:t>854(c) as guidance.</w:t>
      </w:r>
      <w:r w:rsidRPr="69C1316A" w:rsidR="00710D0F">
        <w:rPr>
          <w:rStyle w:val="FootnoteReference"/>
        </w:rPr>
        <w:footnoteReference w:id="23"/>
      </w:r>
      <w:r w:rsidR="00B738A5">
        <w:rPr>
          <w:szCs w:val="26"/>
        </w:rPr>
        <w:t xml:space="preserve"> </w:t>
      </w:r>
      <w:r w:rsidR="007F210A">
        <w:t xml:space="preserve">In doing so, we </w:t>
      </w:r>
      <w:r w:rsidR="007F210A">
        <w:lastRenderedPageBreak/>
        <w:t xml:space="preserve">recognize </w:t>
      </w:r>
      <w:r w:rsidR="006D2887">
        <w:t xml:space="preserve">that the Commission </w:t>
      </w:r>
      <w:r w:rsidR="00C4668D">
        <w:t xml:space="preserve">has </w:t>
      </w:r>
      <w:r w:rsidR="00355E9D">
        <w:t>exercised</w:t>
      </w:r>
      <w:r w:rsidR="00C4668D">
        <w:t xml:space="preserve"> </w:t>
      </w:r>
      <w:r w:rsidR="4E744708">
        <w:t xml:space="preserve">its </w:t>
      </w:r>
      <w:r w:rsidR="00355E9D">
        <w:t xml:space="preserve">discretion to exempt under </w:t>
      </w:r>
      <w:r w:rsidR="004F7E76">
        <w:t>Section </w:t>
      </w:r>
      <w:r w:rsidR="00E1591B">
        <w:t>853</w:t>
      </w:r>
      <w:r w:rsidR="0C6E0DAF">
        <w:t>(b)</w:t>
      </w:r>
      <w:r w:rsidR="00E1591B">
        <w:t xml:space="preserve"> </w:t>
      </w:r>
      <w:r w:rsidR="00276273">
        <w:t>in limited circumstances</w:t>
      </w:r>
      <w:r w:rsidR="00C237A1">
        <w:t>.</w:t>
      </w:r>
      <w:r w:rsidR="00C237A1">
        <w:rPr>
          <w:rStyle w:val="FootnoteReference"/>
          <w:szCs w:val="26"/>
        </w:rPr>
        <w:footnoteReference w:id="24"/>
      </w:r>
    </w:p>
    <w:p w:rsidR="00C50E2A" w:rsidP="005343EE" w:rsidRDefault="00C50E2A" w14:paraId="6AE6CE86" w14:textId="6DD08970">
      <w:pPr>
        <w:pStyle w:val="Standard"/>
      </w:pPr>
      <w:r w:rsidRPr="00C50E2A">
        <w:rPr>
          <w:szCs w:val="26"/>
        </w:rPr>
        <w:t xml:space="preserve">We turn to those </w:t>
      </w:r>
      <w:r w:rsidR="00904D97">
        <w:rPr>
          <w:szCs w:val="26"/>
        </w:rPr>
        <w:t>public</w:t>
      </w:r>
      <w:r w:rsidR="00042804">
        <w:rPr>
          <w:szCs w:val="26"/>
        </w:rPr>
        <w:noBreakHyphen/>
      </w:r>
      <w:r w:rsidR="00904D97">
        <w:rPr>
          <w:szCs w:val="26"/>
        </w:rPr>
        <w:t xml:space="preserve">interest </w:t>
      </w:r>
      <w:r w:rsidRPr="00C50E2A">
        <w:rPr>
          <w:szCs w:val="26"/>
        </w:rPr>
        <w:t>considerations below.</w:t>
      </w:r>
    </w:p>
    <w:p w:rsidRPr="00F94F56" w:rsidR="00F94F56" w:rsidP="00842D81" w:rsidRDefault="00193AA0" w14:paraId="6AC8B78F" w14:textId="06791529">
      <w:pPr>
        <w:pStyle w:val="Heading2"/>
      </w:pPr>
      <w:bookmarkStart w:name="_Toc234583868" w:id="20"/>
      <w:bookmarkStart w:name="_Toc238105945" w:id="21"/>
      <w:r>
        <w:t>Consideration of Public Interest</w:t>
      </w:r>
      <w:r w:rsidR="00862E7C">
        <w:br/>
      </w:r>
      <w:r>
        <w:t xml:space="preserve">Factors in </w:t>
      </w:r>
      <w:r w:rsidR="004F7E76">
        <w:t>Section </w:t>
      </w:r>
      <w:r>
        <w:t>854</w:t>
      </w:r>
      <w:bookmarkEnd w:id="20"/>
      <w:bookmarkEnd w:id="21"/>
    </w:p>
    <w:p w:rsidR="00E5563F" w:rsidP="005343EE" w:rsidRDefault="002222D8" w14:paraId="56C866C6" w14:textId="43580F2E">
      <w:pPr>
        <w:pStyle w:val="Standard"/>
        <w:rPr>
          <w:szCs w:val="26"/>
        </w:rPr>
      </w:pPr>
      <w:r>
        <w:t>W</w:t>
      </w:r>
      <w:r w:rsidR="00710990">
        <w:t xml:space="preserve">e next consider </w:t>
      </w:r>
      <w:r w:rsidRPr="15DF09D1" w:rsidR="00710990">
        <w:t>the public</w:t>
      </w:r>
      <w:r w:rsidR="00042804">
        <w:noBreakHyphen/>
      </w:r>
      <w:r w:rsidRPr="15DF09D1" w:rsidR="00710990">
        <w:t xml:space="preserve">interest factors reflected in </w:t>
      </w:r>
      <w:r w:rsidR="004F7E76">
        <w:t>Section </w:t>
      </w:r>
      <w:r w:rsidRPr="15DF09D1" w:rsidR="00710990">
        <w:t xml:space="preserve">854(c) as guidance in evaluating </w:t>
      </w:r>
      <w:r w:rsidR="004C1AF1">
        <w:t>this exemption</w:t>
      </w:r>
      <w:r w:rsidRPr="15DF09D1" w:rsidR="00710990">
        <w:t>.</w:t>
      </w:r>
      <w:r w:rsidRPr="15DF09D1" w:rsidR="000E38EC">
        <w:rPr>
          <w:rStyle w:val="FootnoteReference"/>
        </w:rPr>
        <w:footnoteReference w:id="25"/>
      </w:r>
    </w:p>
    <w:p w:rsidR="00E5563F" w:rsidP="00E539DA" w:rsidRDefault="004E212B" w14:paraId="7BD26949" w14:textId="764262AA">
      <w:pPr>
        <w:pStyle w:val="Standard"/>
      </w:pPr>
      <w:r>
        <w:t>W</w:t>
      </w:r>
      <w:r w:rsidR="00710990">
        <w:t xml:space="preserve">e evaluate the Proposed Transaction by considering its potential effects on utility rates, service quality, operations, financial condition, workforce, regulatory oversight, and other matters relevant to the public interest. </w:t>
      </w:r>
      <w:r w:rsidR="000058B2">
        <w:t xml:space="preserve">This review is not a formal determination under </w:t>
      </w:r>
      <w:r w:rsidR="00AE36E7">
        <w:t>Sections </w:t>
      </w:r>
      <w:r w:rsidR="000058B2">
        <w:t>854(b) or 854(c), but rather a</w:t>
      </w:r>
      <w:r w:rsidR="0E87F466">
        <w:t>n</w:t>
      </w:r>
      <w:r w:rsidR="000058B2">
        <w:t xml:space="preserve"> </w:t>
      </w:r>
      <w:r w:rsidR="0E87F466">
        <w:t>evaluation of potential impacts on the</w:t>
      </w:r>
      <w:r w:rsidR="000058B2">
        <w:t xml:space="preserve"> public</w:t>
      </w:r>
      <w:r w:rsidR="00042804">
        <w:noBreakHyphen/>
      </w:r>
      <w:r w:rsidR="000058B2">
        <w:t>interest in connection with the Commission</w:t>
      </w:r>
      <w:r w:rsidR="00E5563F">
        <w:t>’</w:t>
      </w:r>
      <w:r w:rsidR="000058B2">
        <w:t xml:space="preserve">s exercise of its exemption authority under </w:t>
      </w:r>
      <w:r w:rsidR="004F7E76">
        <w:t>Section </w:t>
      </w:r>
      <w:r w:rsidR="000058B2">
        <w:t>853(b)</w:t>
      </w:r>
      <w:r w:rsidR="00E539DA">
        <w:t xml:space="preserve">. </w:t>
      </w:r>
      <w:r w:rsidR="00710990">
        <w:t>We also consider whether existing regulatory safeguards, affiliate transaction rules, and holding company conditions remain sufficient to protect ratepayers and preserve the Commission</w:t>
      </w:r>
      <w:r w:rsidR="00E5563F">
        <w:t>’</w:t>
      </w:r>
      <w:r w:rsidR="00710990">
        <w:t xml:space="preserve">s ability to regulate </w:t>
      </w:r>
      <w:r w:rsidR="0060594B">
        <w:t>Applicants</w:t>
      </w:r>
      <w:r w:rsidR="00710990">
        <w:t xml:space="preserve"> effectively.</w:t>
      </w:r>
    </w:p>
    <w:p w:rsidRPr="00960A32" w:rsidR="00710990" w:rsidP="005343EE" w:rsidRDefault="00F94F56" w14:paraId="12486C99" w14:textId="611B9FE8">
      <w:pPr>
        <w:pStyle w:val="Standard"/>
      </w:pPr>
      <w:r w:rsidRPr="00960A32">
        <w:rPr>
          <w:szCs w:val="26"/>
        </w:rPr>
        <w:t>We evaluate these assertions below.</w:t>
      </w:r>
    </w:p>
    <w:p w:rsidRPr="00F94F56" w:rsidR="00F94F56" w:rsidP="002C7A22" w:rsidRDefault="00F94F56" w14:paraId="639C889E" w14:textId="01169F54">
      <w:pPr>
        <w:pStyle w:val="Heading3"/>
      </w:pPr>
      <w:bookmarkStart w:name="_Toc234583869" w:id="22"/>
      <w:bookmarkStart w:name="_Toc238105946" w:id="23"/>
      <w:r w:rsidRPr="00F94F56">
        <w:t>No Adverse Impact on Rates,</w:t>
      </w:r>
      <w:r w:rsidR="00E470F8">
        <w:br/>
      </w:r>
      <w:r w:rsidRPr="00F94F56">
        <w:t>Service, or Operations</w:t>
      </w:r>
      <w:bookmarkEnd w:id="22"/>
      <w:bookmarkEnd w:id="23"/>
    </w:p>
    <w:p w:rsidRPr="00960A32" w:rsidR="00F94F56" w:rsidP="005343EE" w:rsidRDefault="00997876" w14:paraId="07320712" w14:textId="02C2BB29">
      <w:pPr>
        <w:pStyle w:val="Standard"/>
      </w:pPr>
      <w:r w:rsidRPr="69C1316A">
        <w:t>Applicants have represented, and no party has disputed, that the transaction will not affect utility rates, services, or day</w:t>
      </w:r>
      <w:r w:rsidR="00042804">
        <w:noBreakHyphen/>
      </w:r>
      <w:r w:rsidRPr="69C1316A">
        <w:t>to</w:t>
      </w:r>
      <w:r w:rsidR="00042804">
        <w:noBreakHyphen/>
      </w:r>
      <w:r w:rsidRPr="69C1316A">
        <w:t>day operations.</w:t>
      </w:r>
      <w:r w:rsidRPr="69C1316A" w:rsidR="00A66C30">
        <w:rPr>
          <w:rStyle w:val="FootnoteReference"/>
        </w:rPr>
        <w:footnoteReference w:id="26"/>
      </w:r>
      <w:r w:rsidRPr="69C1316A">
        <w:t xml:space="preserve"> Nor is there evidence that the transaction will impair the Commission</w:t>
      </w:r>
      <w:r w:rsidR="00E5563F">
        <w:t>’</w:t>
      </w:r>
      <w:r w:rsidRPr="69C1316A">
        <w:t xml:space="preserve">s regulatory </w:t>
      </w:r>
      <w:r w:rsidRPr="69C1316A">
        <w:lastRenderedPageBreak/>
        <w:t>authority or the applicability of existing affiliate transaction rules and holding company conditions.</w:t>
      </w:r>
      <w:r>
        <w:rPr>
          <w:szCs w:val="26"/>
        </w:rPr>
        <w:t xml:space="preserve"> </w:t>
      </w:r>
      <w:r w:rsidR="0060594B">
        <w:t>Applicants</w:t>
      </w:r>
      <w:r w:rsidRPr="69C1316A" w:rsidR="00F94F56">
        <w:t xml:space="preserve"> will continue to operate as regulated public utilities subject to Commission jurisdiction, and there will be no changes to tariffs, customer rates, or service obligations as a result of the transaction.</w:t>
      </w:r>
    </w:p>
    <w:p w:rsidR="00710990" w:rsidP="005343EE" w:rsidRDefault="00710990" w14:paraId="5D15B386" w14:textId="31A9912B">
      <w:pPr>
        <w:pStyle w:val="Standard"/>
      </w:pPr>
      <w:r w:rsidRPr="69C1316A">
        <w:t>The Commission has previously found that transactions involving internal holding</w:t>
      </w:r>
      <w:r w:rsidR="00042804">
        <w:noBreakHyphen/>
      </w:r>
      <w:r w:rsidRPr="69C1316A">
        <w:t>company reorganizations may be appropriate for exemption treatment where utility rates, service, operations, management, and regulatory oversight remain unchanged.</w:t>
      </w:r>
      <w:r w:rsidRPr="69C1316A" w:rsidR="00A66C30">
        <w:rPr>
          <w:rStyle w:val="FootnoteReference"/>
        </w:rPr>
        <w:footnoteReference w:id="27"/>
      </w:r>
      <w:r w:rsidRPr="69C1316A">
        <w:t xml:space="preserve"> The record here reflects those same characteristics. The Proposed Transaction does not involve the transfer of utility assets, changes to utility management, modifications to utility rates or tariffs, or any reduction in the Commission</w:t>
      </w:r>
      <w:r w:rsidR="00E5563F">
        <w:t>’</w:t>
      </w:r>
      <w:r w:rsidRPr="69C1316A">
        <w:t>s jurisdiction over SDG&amp;E or SoCalGas.</w:t>
      </w:r>
    </w:p>
    <w:p w:rsidRPr="00960A32" w:rsidR="00F94F56" w:rsidP="005343EE" w:rsidRDefault="00F94F56" w14:paraId="2545DFB5" w14:textId="39D1FFC6">
      <w:pPr>
        <w:pStyle w:val="Standard"/>
      </w:pPr>
      <w:r w:rsidRPr="00960A32">
        <w:rPr>
          <w:szCs w:val="26"/>
        </w:rPr>
        <w:t>The record supports these representations. No party has presented evidence indicating that the transaction will directly or indirectly increase rates or degrade service quality. Nor does the transaction involve any transfer of assets, liabilities, or operational control that would affect the utilities</w:t>
      </w:r>
      <w:r w:rsidR="00E5563F">
        <w:rPr>
          <w:szCs w:val="26"/>
        </w:rPr>
        <w:t>’</w:t>
      </w:r>
      <w:r w:rsidRPr="00960A32">
        <w:rPr>
          <w:szCs w:val="26"/>
        </w:rPr>
        <w:t xml:space="preserve"> ability to provide safe and reliable service.</w:t>
      </w:r>
    </w:p>
    <w:p w:rsidRPr="00960A32" w:rsidR="00F94F56" w:rsidP="005343EE" w:rsidRDefault="00F94F56" w14:paraId="04A3F601" w14:textId="77777777">
      <w:pPr>
        <w:pStyle w:val="Standard"/>
      </w:pPr>
      <w:r w:rsidRPr="00960A32">
        <w:rPr>
          <w:szCs w:val="26"/>
        </w:rPr>
        <w:t>However, the absence of immediate impacts does not end the inquiry. The Commission must also consider whether the transaction could create structural conditions that may affect rates or service in the future, including through financial arrangements, affiliate transactions, or changes in corporate incentives. As discussed below, we address these potential risks through the continued application of existing safeguards and the imposition of targeted conditions.</w:t>
      </w:r>
    </w:p>
    <w:p w:rsidRPr="00F94F56" w:rsidR="00F94F56" w:rsidP="002C7A22" w:rsidRDefault="00F94F56" w14:paraId="21213046" w14:textId="62362B44">
      <w:pPr>
        <w:pStyle w:val="Heading3"/>
      </w:pPr>
      <w:bookmarkStart w:name="_Toc234583870" w:id="24"/>
      <w:bookmarkStart w:name="_Toc238105947" w:id="25"/>
      <w:r w:rsidRPr="00F94F56">
        <w:lastRenderedPageBreak/>
        <w:t>Financial Structure and</w:t>
      </w:r>
      <w:r w:rsidR="00E470F8">
        <w:br/>
      </w:r>
      <w:r w:rsidRPr="00F94F56">
        <w:t>Risk to Ratepayers</w:t>
      </w:r>
      <w:bookmarkEnd w:id="24"/>
      <w:bookmarkEnd w:id="25"/>
    </w:p>
    <w:p w:rsidRPr="00960A32" w:rsidR="00F94F56" w:rsidP="005343EE" w:rsidRDefault="00F94F56" w14:paraId="1145B1D8" w14:textId="768AE13F">
      <w:pPr>
        <w:pStyle w:val="Standard"/>
      </w:pPr>
      <w:r w:rsidRPr="69C1316A">
        <w:t>Applicants assert that the Proposed Transaction will not adversely affect the financial condition of SDG&amp;E or SoCalGas and will not result in increased financial risk to ratepayers.</w:t>
      </w:r>
      <w:r w:rsidRPr="69C1316A" w:rsidR="00A66C30">
        <w:rPr>
          <w:rStyle w:val="FootnoteReference"/>
        </w:rPr>
        <w:footnoteReference w:id="28"/>
      </w:r>
      <w:r w:rsidRPr="69C1316A">
        <w:t xml:space="preserve"> According to Applicants, the transaction does not involve new debt at the utility level, does not alter the utilities</w:t>
      </w:r>
      <w:r w:rsidR="00E5563F">
        <w:t>’</w:t>
      </w:r>
      <w:r w:rsidRPr="69C1316A">
        <w:t xml:space="preserve"> capital structures, and does not result in the transfer of utility assets.</w:t>
      </w:r>
      <w:r w:rsidRPr="69C1316A" w:rsidR="00A66C30">
        <w:rPr>
          <w:rStyle w:val="FootnoteReference"/>
        </w:rPr>
        <w:footnoteReference w:id="29"/>
      </w:r>
    </w:p>
    <w:p w:rsidR="00E5563F" w:rsidP="005343EE" w:rsidRDefault="00F94F56" w14:paraId="64D2C75E" w14:textId="52E081AD">
      <w:pPr>
        <w:pStyle w:val="Standard"/>
        <w:rPr>
          <w:szCs w:val="26"/>
        </w:rPr>
      </w:pPr>
      <w:r w:rsidRPr="69C1316A">
        <w:t xml:space="preserve">The Commission sought additional information on these issues through </w:t>
      </w:r>
      <w:r w:rsidR="001750EA">
        <w:t>assigned</w:t>
      </w:r>
      <w:r w:rsidR="00042804">
        <w:noBreakHyphen/>
      </w:r>
      <w:r w:rsidRPr="69C1316A">
        <w:t xml:space="preserve">ALJ rulings, reflecting the importance of ensuring that holding company restructurings do not facilitate financial practices that could harm ratepayers. </w:t>
      </w:r>
      <w:r w:rsidRPr="69C1316A" w:rsidR="00A66C30">
        <w:t>In response, Applicants explained that existing regulatory safeguards would remain in effect following the Proposed Transaction, including Commission access to books and records, the continued applicability of affiliate transaction rules, and holding</w:t>
      </w:r>
      <w:r w:rsidR="00042804">
        <w:noBreakHyphen/>
      </w:r>
      <w:r w:rsidRPr="69C1316A" w:rsidR="00A66C30">
        <w:t xml:space="preserve">company conditions designed to protect ratepayers from adverse financial effects associated with nonutility activities. Applicants further asserted that the Commission would retain full regulatory authority over </w:t>
      </w:r>
      <w:r w:rsidR="0060594B">
        <w:t>Applicants</w:t>
      </w:r>
      <w:r w:rsidRPr="69C1316A" w:rsidR="00A66C30">
        <w:t xml:space="preserve"> following consummation of the transaction.</w:t>
      </w:r>
      <w:r w:rsidRPr="69C1316A" w:rsidR="00A66C30">
        <w:rPr>
          <w:rStyle w:val="FootnoteReference"/>
        </w:rPr>
        <w:footnoteReference w:id="30"/>
      </w:r>
    </w:p>
    <w:p w:rsidR="008613CA" w:rsidP="005343EE" w:rsidRDefault="008613CA" w14:paraId="25EC5E2F" w14:textId="674E0FD0">
      <w:pPr>
        <w:pStyle w:val="Standard"/>
      </w:pPr>
      <w:r>
        <w:t xml:space="preserve">Maintaining separate books and records is an important safeguard because it promotes transparency, facilitates regulatory review, and helps ensure that utility assets and expenses remain distinct from those of affiliated entities. Separate accounting records also assist the Commission in monitoring compliance with affiliate transaction requirements and help prevent inappropriate cost shifting between regulated and nonregulated operations. To </w:t>
      </w:r>
      <w:r>
        <w:lastRenderedPageBreak/>
        <w:t xml:space="preserve">preserve these protections, we condition approval of the Proposed Transaction on </w:t>
      </w:r>
      <w:r w:rsidR="0060594B">
        <w:t>Applicants</w:t>
      </w:r>
      <w:r>
        <w:t xml:space="preserve"> continuing to maintain separate books and records and refraining from commingling utility assets with those of any affiliate, including Sempra California.</w:t>
      </w:r>
    </w:p>
    <w:p w:rsidRPr="00960A32" w:rsidR="008613CA" w:rsidP="005343EE" w:rsidRDefault="008613CA" w14:paraId="67F1740D" w14:textId="7D5D7567">
      <w:pPr>
        <w:pStyle w:val="Standard"/>
      </w:pPr>
      <w:r w:rsidRPr="69C1316A">
        <w:t>The Commission also finds it appropriate to require continued ring</w:t>
      </w:r>
      <w:r w:rsidR="00042804">
        <w:noBreakHyphen/>
      </w:r>
      <w:r w:rsidRPr="69C1316A">
        <w:t xml:space="preserve">fencing protections. </w:t>
      </w:r>
      <w:r w:rsidRPr="69C1316A" w:rsidR="0014098C">
        <w:t>Ring</w:t>
      </w:r>
      <w:r w:rsidR="00042804">
        <w:noBreakHyphen/>
      </w:r>
      <w:r w:rsidRPr="69C1316A" w:rsidR="0014098C">
        <w:t>fencing generally refers to structural and financial protections designed to separate regulated utility operations from the risks of affiliated nonutility businesses and to preserve utility assets for utility purposes.</w:t>
      </w:r>
      <w:r w:rsidRPr="69C1316A" w:rsidR="0014098C">
        <w:rPr>
          <w:rStyle w:val="FootnoteReference"/>
        </w:rPr>
        <w:footnoteReference w:id="31"/>
      </w:r>
      <w:r w:rsidR="0014098C">
        <w:rPr>
          <w:szCs w:val="26"/>
        </w:rPr>
        <w:t xml:space="preserve"> </w:t>
      </w:r>
      <w:r w:rsidRPr="69C1316A">
        <w:t xml:space="preserve">Such safeguards help ensure that utility assets remain available to serve utility customers and are not exposed to liabilities arising from nonutility businesses. </w:t>
      </w:r>
      <w:r w:rsidRPr="69C1316A" w:rsidR="00192A7F">
        <w:t>Consistent with existing Commission safeguards designed to protect utility assets and ratepayers from nonutility risks</w:t>
      </w:r>
      <w:r w:rsidR="00192A7F">
        <w:rPr>
          <w:szCs w:val="26"/>
        </w:rPr>
        <w:t>,</w:t>
      </w:r>
      <w:r w:rsidRPr="69C1316A">
        <w:t xml:space="preserve"> </w:t>
      </w:r>
      <w:r w:rsidR="0060594B">
        <w:t>Applicants</w:t>
      </w:r>
      <w:r w:rsidRPr="69C1316A">
        <w:t xml:space="preserve"> shall remain ring</w:t>
      </w:r>
      <w:r w:rsidR="00042804">
        <w:noBreakHyphen/>
      </w:r>
      <w:r w:rsidRPr="69C1316A">
        <w:t>fenced from the financial obligations of their parent and affiliate entities, and utility assets shall not be pledged or otherwise encumbered to support nonutility affiliate obligations without prior Commission authorization.</w:t>
      </w:r>
    </w:p>
    <w:p w:rsidRPr="00960A32" w:rsidR="00F94F56" w:rsidP="005343EE" w:rsidRDefault="00F94F56" w14:paraId="3C8CA652" w14:textId="6624F08A">
      <w:pPr>
        <w:pStyle w:val="Standard"/>
      </w:pPr>
      <w:r w:rsidRPr="00960A32">
        <w:rPr>
          <w:szCs w:val="26"/>
        </w:rPr>
        <w:t>Based on the record, we find that the transaction, as described, does not introduce material financial risk to ratepayers. However, the creation of an additional holding company layer can create opportunities for upstreaming of capital, increased leverage at non</w:t>
      </w:r>
      <w:r w:rsidR="00042804">
        <w:rPr>
          <w:szCs w:val="26"/>
        </w:rPr>
        <w:noBreakHyphen/>
      </w:r>
      <w:r w:rsidRPr="00960A32">
        <w:rPr>
          <w:szCs w:val="26"/>
        </w:rPr>
        <w:t>utility affiliates, or other financial arrangements that may indirectly affect the utilities. Accordingly, continued vigilance is required to ensure that ratepayers are insulated from such risks.</w:t>
      </w:r>
    </w:p>
    <w:p w:rsidRPr="00F94F56" w:rsidR="00F94F56" w:rsidP="002C7A22" w:rsidRDefault="00F94F56" w14:paraId="7AD56DF4" w14:textId="6546B328">
      <w:pPr>
        <w:pStyle w:val="Heading3"/>
      </w:pPr>
      <w:bookmarkStart w:name="_Toc234583871" w:id="26"/>
      <w:bookmarkStart w:name="_Toc238105948" w:id="27"/>
      <w:r w:rsidRPr="00F94F56">
        <w:lastRenderedPageBreak/>
        <w:t>Regulatory Oversight</w:t>
      </w:r>
      <w:r w:rsidR="00FA617D">
        <w:br/>
      </w:r>
      <w:r w:rsidRPr="00F94F56">
        <w:t>and Affiliate Transactions</w:t>
      </w:r>
      <w:bookmarkEnd w:id="26"/>
      <w:bookmarkEnd w:id="27"/>
    </w:p>
    <w:p w:rsidRPr="00960A32" w:rsidR="0014098C" w:rsidP="005343EE" w:rsidRDefault="00F94F56" w14:paraId="075C8A68" w14:textId="42868A45">
      <w:pPr>
        <w:pStyle w:val="Standard"/>
      </w:pPr>
      <w:r w:rsidRPr="69C1316A">
        <w:t>A central concern in evaluating holding company structures is whether the Commission</w:t>
      </w:r>
      <w:r w:rsidR="00E5563F">
        <w:t>’</w:t>
      </w:r>
      <w:r w:rsidRPr="69C1316A">
        <w:t xml:space="preserve">s ability to regulate the utilities and monitor affiliate transactions remains intact. </w:t>
      </w:r>
      <w:r w:rsidRPr="69C1316A" w:rsidR="0014098C">
        <w:t>Applicants assert that the Proposed Transaction will not impair regulatory oversight and that existing affiliate transaction rules, reporting obligations, and other Commission regulatory requirements will continue to apply following consummation of the transaction.</w:t>
      </w:r>
      <w:r w:rsidRPr="69C1316A" w:rsidR="0014098C">
        <w:rPr>
          <w:rStyle w:val="FootnoteReference"/>
        </w:rPr>
        <w:footnoteReference w:id="32"/>
      </w:r>
    </w:p>
    <w:p w:rsidRPr="00960A32" w:rsidR="00F94F56" w:rsidP="005343EE" w:rsidRDefault="00F94F56" w14:paraId="2CF35CB8" w14:textId="61E55F8C">
      <w:pPr>
        <w:pStyle w:val="Standard"/>
      </w:pPr>
      <w:r w:rsidRPr="00960A32">
        <w:rPr>
          <w:szCs w:val="26"/>
        </w:rPr>
        <w:t xml:space="preserve">We agree that the Commission retains jurisdiction over </w:t>
      </w:r>
      <w:r w:rsidR="0060594B">
        <w:rPr>
          <w:szCs w:val="26"/>
        </w:rPr>
        <w:t>Applicants</w:t>
      </w:r>
      <w:r w:rsidRPr="00960A32">
        <w:rPr>
          <w:szCs w:val="26"/>
        </w:rPr>
        <w:t xml:space="preserve"> regardless of the insertion of an intermediate holding company. The utilities remain public utilities subject to Commission regulation, and existing rules governing affiliate transactions, cost allocation, and reporting remain applicable.</w:t>
      </w:r>
    </w:p>
    <w:p w:rsidRPr="00960A32" w:rsidR="00F94F56" w:rsidP="005343EE" w:rsidRDefault="00F94F56" w14:paraId="0F38C1AF" w14:textId="79893264">
      <w:pPr>
        <w:pStyle w:val="Standard"/>
      </w:pPr>
      <w:r w:rsidRPr="00960A32">
        <w:rPr>
          <w:szCs w:val="26"/>
        </w:rPr>
        <w:t>Nevertheless, the addition of a new corporate layer introduces additional complexity into the corporate structure. This can make it more difficult to trace financial flows, monitor affiliate transactions, and ensure that utility resources are not used to subsidize non</w:t>
      </w:r>
      <w:r w:rsidR="00042804">
        <w:rPr>
          <w:szCs w:val="26"/>
        </w:rPr>
        <w:noBreakHyphen/>
      </w:r>
      <w:r w:rsidRPr="00960A32">
        <w:rPr>
          <w:szCs w:val="26"/>
        </w:rPr>
        <w:t>utility affiliates.</w:t>
      </w:r>
    </w:p>
    <w:p w:rsidR="00710990" w:rsidP="005343EE" w:rsidRDefault="0014098C" w14:paraId="0EBA7691" w14:textId="77F62C72">
      <w:pPr>
        <w:pStyle w:val="Standard"/>
      </w:pPr>
      <w:r w:rsidRPr="69C1316A">
        <w:t>The Commission has long imposed safeguards designed to protect utility customers from risks associated with holding</w:t>
      </w:r>
      <w:r w:rsidR="00042804">
        <w:noBreakHyphen/>
      </w:r>
      <w:r w:rsidRPr="69C1316A">
        <w:t>company structures and affiliate relationships. These safeguards include affiliate transaction rules, reporting and disclosure requirements, restrictions designed to prevent inappropriate cost shifting between regulated and nonregulated entities, requirements that transactions between utilities and affiliates occur on an arm</w:t>
      </w:r>
      <w:r w:rsidR="00E5563F">
        <w:rPr>
          <w:szCs w:val="26"/>
        </w:rPr>
        <w:t>’</w:t>
      </w:r>
      <w:r w:rsidRPr="69C1316A">
        <w:t>s</w:t>
      </w:r>
      <w:r w:rsidR="00042804">
        <w:noBreakHyphen/>
      </w:r>
      <w:r w:rsidRPr="69C1316A">
        <w:t xml:space="preserve">length basis, </w:t>
      </w:r>
      <w:r w:rsidRPr="69C1316A">
        <w:lastRenderedPageBreak/>
        <w:t>Commission access to books and records, and other conditions adopted in prior Commission decisions governing the Sempra holding</w:t>
      </w:r>
      <w:r w:rsidR="00042804">
        <w:noBreakHyphen/>
      </w:r>
      <w:r w:rsidRPr="69C1316A">
        <w:t>company structure.</w:t>
      </w:r>
      <w:r w:rsidRPr="69C1316A" w:rsidR="00C24FFD">
        <w:rPr>
          <w:rStyle w:val="FootnoteReference"/>
        </w:rPr>
        <w:footnoteReference w:id="33"/>
      </w:r>
      <w:r w:rsidR="00C24FFD">
        <w:rPr>
          <w:szCs w:val="26"/>
        </w:rPr>
        <w:t xml:space="preserve"> </w:t>
      </w:r>
      <w:r w:rsidRPr="69C1316A" w:rsidR="00710990">
        <w:t>These protections remain applicable following the creation of Sempra California and provide important assurances that utility resources will not be used to subsidize nonutility activities and that the Commission will continue to have access to information necessary to carry out its regulatory responsibilities.</w:t>
      </w:r>
    </w:p>
    <w:p w:rsidRPr="00960A32" w:rsidR="008613CA" w:rsidP="005343EE" w:rsidRDefault="008613CA" w14:paraId="1F19A11D" w14:textId="2EE64CDE">
      <w:pPr>
        <w:pStyle w:val="Standard"/>
      </w:pPr>
      <w:r w:rsidRPr="008613CA">
        <w:rPr>
          <w:szCs w:val="26"/>
        </w:rPr>
        <w:t>To ensure that these protections remain effective following consummation of the Proposed Transaction, we find it appropriate to impose additional conditions reaffirming that all transactions between SDG&amp;E or SoCalGas and Sempra California, LLC, or any affiliate, shall be conducted on an arm</w:t>
      </w:r>
      <w:r w:rsidR="00E5563F">
        <w:rPr>
          <w:szCs w:val="26"/>
        </w:rPr>
        <w:t>’</w:t>
      </w:r>
      <w:r w:rsidRPr="008613CA">
        <w:rPr>
          <w:szCs w:val="26"/>
        </w:rPr>
        <w:t>s</w:t>
      </w:r>
      <w:r w:rsidR="00042804">
        <w:rPr>
          <w:szCs w:val="26"/>
        </w:rPr>
        <w:noBreakHyphen/>
      </w:r>
      <w:r w:rsidRPr="008613CA">
        <w:rPr>
          <w:szCs w:val="26"/>
        </w:rPr>
        <w:t>length basis and in compliance with applicable affiliate transaction rules. We further require that the creation of Sempra California not diminish the Commission</w:t>
      </w:r>
      <w:r w:rsidR="00E5563F">
        <w:rPr>
          <w:szCs w:val="26"/>
        </w:rPr>
        <w:t>’</w:t>
      </w:r>
      <w:r w:rsidRPr="008613CA">
        <w:rPr>
          <w:szCs w:val="26"/>
        </w:rPr>
        <w:t xml:space="preserve">s access to books, records, personnel, or other information necessary to regulate </w:t>
      </w:r>
      <w:r w:rsidR="0060594B">
        <w:rPr>
          <w:szCs w:val="26"/>
        </w:rPr>
        <w:t>Applicants</w:t>
      </w:r>
      <w:r w:rsidRPr="008613CA">
        <w:rPr>
          <w:szCs w:val="26"/>
        </w:rPr>
        <w:t xml:space="preserve"> effectively.</w:t>
      </w:r>
    </w:p>
    <w:p w:rsidRPr="00F94F56" w:rsidR="00F94F56" w:rsidP="002C7A22" w:rsidRDefault="00F94F56" w14:paraId="188FE4D8" w14:textId="7DBBA22D">
      <w:pPr>
        <w:pStyle w:val="Heading3"/>
      </w:pPr>
      <w:bookmarkStart w:name="_Toc234583872" w:id="28"/>
      <w:bookmarkStart w:name="_Toc238105949" w:id="29"/>
      <w:r w:rsidRPr="00F94F56">
        <w:t>Workforce Impacts</w:t>
      </w:r>
      <w:bookmarkEnd w:id="28"/>
      <w:bookmarkEnd w:id="29"/>
    </w:p>
    <w:p w:rsidRPr="00960A32" w:rsidR="00C24FFD" w:rsidP="005343EE" w:rsidRDefault="00BA4267" w14:paraId="5C2EBEFF" w14:textId="007B0CD6">
      <w:pPr>
        <w:pStyle w:val="Standard"/>
      </w:pPr>
      <w:r w:rsidRPr="69C1316A">
        <w:t>UWUA ultimately did not oppose the application.</w:t>
      </w:r>
      <w:r>
        <w:rPr>
          <w:szCs w:val="26"/>
        </w:rPr>
        <w:t xml:space="preserve"> </w:t>
      </w:r>
      <w:r w:rsidRPr="69C1316A" w:rsidR="00F94F56">
        <w:t xml:space="preserve">UWUA </w:t>
      </w:r>
      <w:r w:rsidR="00D47CDE">
        <w:t>initially</w:t>
      </w:r>
      <w:r w:rsidR="00F94F56">
        <w:t xml:space="preserve"> </w:t>
      </w:r>
      <w:r w:rsidRPr="69C1316A" w:rsidR="00F94F56">
        <w:t>raised concerns regarding potential workforce impacts, including whether the transaction could result in workforce consolidation or reallocation of work between affiliates.</w:t>
      </w:r>
      <w:r w:rsidRPr="69C1316A" w:rsidR="00C24FFD">
        <w:rPr>
          <w:rStyle w:val="FootnoteReference"/>
        </w:rPr>
        <w:footnoteReference w:id="34"/>
      </w:r>
      <w:r w:rsidRPr="00960A32" w:rsidR="00F94F56">
        <w:rPr>
          <w:szCs w:val="26"/>
        </w:rPr>
        <w:t xml:space="preserve"> </w:t>
      </w:r>
      <w:r w:rsidRPr="69C1316A" w:rsidR="00192A7F">
        <w:t>Applicants responded that the transaction is not expected to result in layoffs, workforce reductions, workforce consolidation, reallocation of work, or changes to existing collective bargaining agreements.</w:t>
      </w:r>
      <w:r w:rsidRPr="69C1316A" w:rsidR="00C24FFD">
        <w:rPr>
          <w:rStyle w:val="FootnoteReference"/>
        </w:rPr>
        <w:footnoteReference w:id="35"/>
      </w:r>
    </w:p>
    <w:p w:rsidRPr="00960A32" w:rsidR="00F94F56" w:rsidP="005343EE" w:rsidRDefault="00F94F56" w14:paraId="4F695849" w14:textId="00A0D82F">
      <w:pPr>
        <w:pStyle w:val="Standard"/>
      </w:pPr>
      <w:r w:rsidRPr="00960A32">
        <w:rPr>
          <w:szCs w:val="26"/>
        </w:rPr>
        <w:lastRenderedPageBreak/>
        <w:t>The record does not contain evidence contradicting Applicants</w:t>
      </w:r>
      <w:r w:rsidR="00E5563F">
        <w:rPr>
          <w:szCs w:val="26"/>
        </w:rPr>
        <w:t>’</w:t>
      </w:r>
      <w:r w:rsidRPr="00960A32">
        <w:rPr>
          <w:szCs w:val="26"/>
        </w:rPr>
        <w:t xml:space="preserve"> representations. However, the Commission takes workforce impacts seriously, particularly in transactions involving corporate restructuring.</w:t>
      </w:r>
    </w:p>
    <w:p w:rsidRPr="00960A32" w:rsidR="008613CA" w:rsidP="005343EE" w:rsidRDefault="008613CA" w14:paraId="746D8F47" w14:textId="1986AC7D">
      <w:pPr>
        <w:pStyle w:val="Standard"/>
      </w:pPr>
      <w:r w:rsidRPr="008613CA">
        <w:rPr>
          <w:szCs w:val="26"/>
        </w:rPr>
        <w:t>We find that the transaction, as described, does not present a risk of adverse workforce impacts. Nevertheless, post</w:t>
      </w:r>
      <w:r w:rsidR="00042804">
        <w:rPr>
          <w:szCs w:val="26"/>
        </w:rPr>
        <w:noBreakHyphen/>
      </w:r>
      <w:r w:rsidRPr="008613CA">
        <w:rPr>
          <w:szCs w:val="26"/>
        </w:rPr>
        <w:t>consummation reporting requirements are appropriate. Applicants shall notify the Commission, through the Energy Division, within 30 days following consummation of the transaction, confirming that the transaction has been completed in accordance with the representations made in the Application. In addition, Applicants shall notify the Commission of any material workforce changes or labor</w:t>
      </w:r>
      <w:r w:rsidR="00042804">
        <w:rPr>
          <w:szCs w:val="26"/>
        </w:rPr>
        <w:noBreakHyphen/>
      </w:r>
      <w:r w:rsidRPr="008613CA">
        <w:rPr>
          <w:szCs w:val="26"/>
        </w:rPr>
        <w:t>related impacts attributable to the transaction within 12 months following consummation. These reporting requirements will assist the Commission in verifying compliance with the representations made in this proceeding and monitoring implementation of the Proposed Transaction.</w:t>
      </w:r>
    </w:p>
    <w:p w:rsidRPr="00F94F56" w:rsidR="00F94F56" w:rsidP="002C7A22" w:rsidRDefault="00430AA9" w14:paraId="4576F1EB" w14:textId="0EBD2D16">
      <w:pPr>
        <w:pStyle w:val="Heading3"/>
      </w:pPr>
      <w:bookmarkStart w:name="_Toc234583873" w:id="30"/>
      <w:bookmarkStart w:name="_Toc238105950" w:id="31"/>
      <w:r w:rsidRPr="00F94F56">
        <w:t>Balancing</w:t>
      </w:r>
      <w:r w:rsidRPr="00F94F56" w:rsidR="00F94F56">
        <w:t xml:space="preserve"> Benefits and Risks</w:t>
      </w:r>
      <w:bookmarkEnd w:id="30"/>
      <w:bookmarkEnd w:id="31"/>
    </w:p>
    <w:p w:rsidR="00C24FFD" w:rsidP="005343EE" w:rsidRDefault="00C24FFD" w14:paraId="4D1917FA" w14:textId="070A18B8">
      <w:pPr>
        <w:pStyle w:val="Standard"/>
      </w:pPr>
      <w:r w:rsidRPr="69C1316A">
        <w:t xml:space="preserve">Applicants assert that the Proposed Transaction will provide administrative and organizational benefits by placing </w:t>
      </w:r>
      <w:r w:rsidR="0060594B">
        <w:t>Applicants</w:t>
      </w:r>
      <w:r w:rsidRPr="69C1316A">
        <w:t xml:space="preserve"> under a common intermediate holding company and simplifying the corporate structure through which Sempra manages its California utility holdings.</w:t>
      </w:r>
      <w:r w:rsidRPr="69C1316A">
        <w:rPr>
          <w:rStyle w:val="FootnoteReference"/>
        </w:rPr>
        <w:footnoteReference w:id="36"/>
      </w:r>
    </w:p>
    <w:p w:rsidRPr="00BA4267" w:rsidR="00BA4267" w:rsidP="005343EE" w:rsidRDefault="00BA4267" w14:paraId="0775022F" w14:textId="3645F159">
      <w:pPr>
        <w:pStyle w:val="Standard"/>
      </w:pPr>
      <w:r w:rsidRPr="00BA4267">
        <w:rPr>
          <w:szCs w:val="26"/>
        </w:rPr>
        <w:t>Although these benefits are not quantified, they are consistent with the nature of internal corporate reorganizations and are plausible on this record.</w:t>
      </w:r>
    </w:p>
    <w:p w:rsidRPr="00BA4267" w:rsidR="00BA4267" w:rsidP="005343EE" w:rsidRDefault="00BA4267" w14:paraId="2EE189C9" w14:textId="77777777">
      <w:pPr>
        <w:pStyle w:val="Standard"/>
      </w:pPr>
      <w:r w:rsidRPr="00BA4267">
        <w:rPr>
          <w:szCs w:val="26"/>
        </w:rPr>
        <w:t xml:space="preserve">The potential risks identified in this proceeding relate primarily to financial arrangements, affiliate transactions, and regulatory transparency. However, the record demonstrates that utility operations, management, </w:t>
      </w:r>
      <w:r w:rsidRPr="00BA4267">
        <w:rPr>
          <w:szCs w:val="26"/>
        </w:rPr>
        <w:lastRenderedPageBreak/>
        <w:t>workforce, rates, and service will remain unchanged. Moreover, existing affiliate transaction rules, holding company safeguards, reporting obligations, and the conditions adopted in this decision substantially mitigate the potential risks associated with the addition of an intermediate holding company.</w:t>
      </w:r>
    </w:p>
    <w:p w:rsidRPr="00960A32" w:rsidR="00F94F56" w:rsidP="005343EE" w:rsidRDefault="00BA4267" w14:paraId="26B6D42D" w14:textId="0BA81B61">
      <w:pPr>
        <w:pStyle w:val="Standard"/>
      </w:pPr>
      <w:r w:rsidRPr="00BA4267">
        <w:rPr>
          <w:szCs w:val="26"/>
        </w:rPr>
        <w:t>Considering the record as a whole, we find that the anticipated benefits of the Proposed Transaction outweigh any potential risks.</w:t>
      </w:r>
    </w:p>
    <w:p w:rsidRPr="00F94F56" w:rsidR="00F94F56" w:rsidP="00903FE6" w:rsidRDefault="00F94F56" w14:paraId="4EF68ABA" w14:textId="4CD816E6">
      <w:pPr>
        <w:pStyle w:val="Heading3"/>
      </w:pPr>
      <w:bookmarkStart w:name="_Toc234583874" w:id="32"/>
      <w:bookmarkStart w:name="_Toc238105951" w:id="33"/>
      <w:r w:rsidRPr="00F94F56">
        <w:t>Conclusion</w:t>
      </w:r>
      <w:bookmarkEnd w:id="32"/>
      <w:bookmarkEnd w:id="33"/>
    </w:p>
    <w:p w:rsidRPr="00BA4267" w:rsidR="00BA4267" w:rsidP="005343EE" w:rsidRDefault="00BA4267" w14:paraId="2C0A6B85" w14:textId="0DF83D2B">
      <w:pPr>
        <w:pStyle w:val="Standard"/>
      </w:pPr>
      <w:r w:rsidRPr="00BA4267">
        <w:rPr>
          <w:szCs w:val="26"/>
        </w:rPr>
        <w:t xml:space="preserve">Based on the record, </w:t>
      </w:r>
      <w:r w:rsidR="00777E50">
        <w:rPr>
          <w:szCs w:val="26"/>
        </w:rPr>
        <w:t xml:space="preserve">we grant </w:t>
      </w:r>
      <w:r w:rsidRPr="00777E50" w:rsidR="00777E50">
        <w:rPr>
          <w:szCs w:val="26"/>
        </w:rPr>
        <w:t xml:space="preserve">an exemption under </w:t>
      </w:r>
      <w:r w:rsidR="004F7E76">
        <w:rPr>
          <w:szCs w:val="26"/>
        </w:rPr>
        <w:t>Section </w:t>
      </w:r>
      <w:r w:rsidRPr="00777E50" w:rsidR="00777E50">
        <w:rPr>
          <w:szCs w:val="26"/>
        </w:rPr>
        <w:t>853(b) subject to the terms and conditions herein</w:t>
      </w:r>
      <w:r w:rsidRPr="00BA4267">
        <w:rPr>
          <w:szCs w:val="26"/>
        </w:rPr>
        <w:t xml:space="preserve">. </w:t>
      </w:r>
      <w:r w:rsidRPr="00BA4267" w:rsidR="00322697">
        <w:rPr>
          <w:szCs w:val="26"/>
        </w:rPr>
        <w:t>Existing affiliate transaction rules, holding company safeguards, reporting requirements, and the conditions adopted in this decision provide adequate protection for ratepayers and preserve the Commission</w:t>
      </w:r>
      <w:r w:rsidR="00E5563F">
        <w:rPr>
          <w:szCs w:val="26"/>
        </w:rPr>
        <w:t>’</w:t>
      </w:r>
      <w:r w:rsidRPr="00BA4267" w:rsidR="00322697">
        <w:rPr>
          <w:szCs w:val="26"/>
        </w:rPr>
        <w:t>s regulatory oversight</w:t>
      </w:r>
      <w:r w:rsidR="00322697">
        <w:rPr>
          <w:szCs w:val="26"/>
        </w:rPr>
        <w:t>.</w:t>
      </w:r>
      <w:r w:rsidR="00B738A5">
        <w:rPr>
          <w:szCs w:val="26"/>
        </w:rPr>
        <w:t xml:space="preserve"> </w:t>
      </w:r>
      <w:r w:rsidR="009C111C">
        <w:rPr>
          <w:szCs w:val="26"/>
        </w:rPr>
        <w:t>W</w:t>
      </w:r>
      <w:r w:rsidR="00C568E9">
        <w:rPr>
          <w:szCs w:val="26"/>
        </w:rPr>
        <w:t xml:space="preserve">e are also persuaded by the public interest factors in </w:t>
      </w:r>
      <w:r w:rsidR="004F7E76">
        <w:rPr>
          <w:szCs w:val="26"/>
        </w:rPr>
        <w:t>Section </w:t>
      </w:r>
      <w:r w:rsidR="00C568E9">
        <w:rPr>
          <w:szCs w:val="26"/>
        </w:rPr>
        <w:t>854</w:t>
      </w:r>
      <w:r w:rsidR="00237281">
        <w:rPr>
          <w:szCs w:val="26"/>
        </w:rPr>
        <w:t xml:space="preserve"> which </w:t>
      </w:r>
      <w:r w:rsidR="00C31FE8">
        <w:rPr>
          <w:szCs w:val="26"/>
        </w:rPr>
        <w:t>we used as guidance in informing our decision to grant this exemption</w:t>
      </w:r>
      <w:r w:rsidR="00C568E9">
        <w:rPr>
          <w:szCs w:val="26"/>
        </w:rPr>
        <w:t xml:space="preserve">. </w:t>
      </w:r>
      <w:r w:rsidRPr="00BA4267">
        <w:rPr>
          <w:szCs w:val="26"/>
        </w:rPr>
        <w:t xml:space="preserve">The </w:t>
      </w:r>
      <w:r>
        <w:rPr>
          <w:szCs w:val="26"/>
        </w:rPr>
        <w:t>Proposed T</w:t>
      </w:r>
      <w:r w:rsidRPr="00BA4267">
        <w:rPr>
          <w:szCs w:val="26"/>
        </w:rPr>
        <w:t>ransaction does not transfer ownership or control of SDG&amp;E or SoCalGas to a third party, does not affect utility rates, service, operations, workforce, or management, and does not impair the Commission</w:t>
      </w:r>
      <w:r w:rsidR="00E5563F">
        <w:rPr>
          <w:szCs w:val="26"/>
        </w:rPr>
        <w:t>’</w:t>
      </w:r>
      <w:r w:rsidRPr="00BA4267">
        <w:rPr>
          <w:szCs w:val="26"/>
        </w:rPr>
        <w:t>s ability to regulate the utilities.</w:t>
      </w:r>
    </w:p>
    <w:p w:rsidRPr="00F94F56" w:rsidR="00F94F56" w:rsidP="00903FE6" w:rsidRDefault="00F94F56" w14:paraId="772D500A" w14:textId="745B1D77">
      <w:pPr>
        <w:pStyle w:val="Heading2"/>
      </w:pPr>
      <w:bookmarkStart w:name="_Toc234583875" w:id="34"/>
      <w:bookmarkStart w:name="_Toc238105952" w:id="35"/>
      <w:r w:rsidRPr="00F94F56">
        <w:t>Impacts on Environmental and</w:t>
      </w:r>
      <w:r w:rsidR="00311C55">
        <w:br/>
      </w:r>
      <w:r w:rsidRPr="00F94F56">
        <w:t>Social Justice Communities</w:t>
      </w:r>
      <w:bookmarkEnd w:id="34"/>
      <w:bookmarkEnd w:id="35"/>
    </w:p>
    <w:p w:rsidRPr="000152AD" w:rsidR="000152AD" w:rsidP="005343EE" w:rsidRDefault="000152AD" w14:paraId="7B313FEE" w14:textId="6AE0810F">
      <w:pPr>
        <w:pStyle w:val="Standard"/>
      </w:pPr>
      <w:r w:rsidRPr="000152AD">
        <w:rPr>
          <w:szCs w:val="26"/>
        </w:rPr>
        <w:t>As part of our public</w:t>
      </w:r>
      <w:r w:rsidR="00042804">
        <w:rPr>
          <w:szCs w:val="26"/>
        </w:rPr>
        <w:noBreakHyphen/>
      </w:r>
      <w:r w:rsidRPr="000152AD">
        <w:rPr>
          <w:szCs w:val="26"/>
        </w:rPr>
        <w:t>interest review, we consider whether the Proposed Transaction has any impacts on ESJ communities and whether it affects the achievement of the goals set forth in the Commission</w:t>
      </w:r>
      <w:r w:rsidR="00E5563F">
        <w:rPr>
          <w:szCs w:val="26"/>
        </w:rPr>
        <w:t>’</w:t>
      </w:r>
      <w:r w:rsidRPr="000152AD">
        <w:rPr>
          <w:szCs w:val="26"/>
        </w:rPr>
        <w:t xml:space="preserve">s </w:t>
      </w:r>
      <w:r w:rsidR="009655F7">
        <w:rPr>
          <w:szCs w:val="26"/>
        </w:rPr>
        <w:t>ESJ</w:t>
      </w:r>
      <w:r w:rsidRPr="000152AD">
        <w:rPr>
          <w:szCs w:val="26"/>
        </w:rPr>
        <w:t xml:space="preserve"> Action Plan.</w:t>
      </w:r>
    </w:p>
    <w:p w:rsidRPr="00960A32" w:rsidR="000152AD" w:rsidP="005343EE" w:rsidRDefault="000152AD" w14:paraId="62565E9B" w14:textId="18198C0C">
      <w:pPr>
        <w:pStyle w:val="Standard"/>
      </w:pPr>
      <w:r w:rsidRPr="000152AD">
        <w:rPr>
          <w:szCs w:val="26"/>
        </w:rPr>
        <w:t>The Commission</w:t>
      </w:r>
      <w:r w:rsidR="00E5563F">
        <w:rPr>
          <w:szCs w:val="26"/>
        </w:rPr>
        <w:t>’</w:t>
      </w:r>
      <w:r w:rsidRPr="000152AD">
        <w:rPr>
          <w:szCs w:val="26"/>
        </w:rPr>
        <w:t xml:space="preserve">s ESJ Action Plan recognizes that many communities throughout California experience disproportionate environmental burdens and barriers to accessing safe, reliable, and affordable utility services. Consistent with that framework, the Commission considers whether the Proposed Transaction would adversely affect disadvantaged communities, impair access to utility </w:t>
      </w:r>
      <w:r w:rsidRPr="000152AD">
        <w:rPr>
          <w:szCs w:val="26"/>
        </w:rPr>
        <w:lastRenderedPageBreak/>
        <w:t>services, undermine affordability, or otherwise interfere with the Commission</w:t>
      </w:r>
      <w:r w:rsidR="00E5563F">
        <w:rPr>
          <w:szCs w:val="26"/>
        </w:rPr>
        <w:t>’</w:t>
      </w:r>
      <w:r w:rsidRPr="000152AD">
        <w:rPr>
          <w:szCs w:val="26"/>
        </w:rPr>
        <w:t>s ability to advance ESJ</w:t>
      </w:r>
      <w:r w:rsidR="00042804">
        <w:rPr>
          <w:szCs w:val="26"/>
        </w:rPr>
        <w:noBreakHyphen/>
      </w:r>
      <w:r w:rsidRPr="000152AD">
        <w:rPr>
          <w:szCs w:val="26"/>
        </w:rPr>
        <w:t>related policies and programs.</w:t>
      </w:r>
    </w:p>
    <w:p w:rsidRPr="00960A32" w:rsidR="00F94F56" w:rsidP="005343EE" w:rsidRDefault="00F94F56" w14:paraId="0BD8AB82" w14:textId="5CF1EB1C">
      <w:pPr>
        <w:pStyle w:val="Standard"/>
      </w:pPr>
      <w:r w:rsidRPr="69C1316A">
        <w:t>Applicants assert that the Proposed Transaction will have no direct or indirect impacts on ESJ communities. According to Applicants, the transaction does not involve any changes to utility operations, infrastructure, service territories, or customer rates, and therefore does not affect how utility services are delivered to any community, including those identified as ESJ communities.</w:t>
      </w:r>
      <w:r w:rsidRPr="69C1316A" w:rsidR="005B7FBB">
        <w:rPr>
          <w:rStyle w:val="FootnoteReference"/>
        </w:rPr>
        <w:footnoteReference w:id="37"/>
      </w:r>
    </w:p>
    <w:p w:rsidR="00F94F56" w:rsidP="005343EE" w:rsidRDefault="00F94F56" w14:paraId="12386169" w14:textId="77777777">
      <w:pPr>
        <w:pStyle w:val="Standard"/>
      </w:pPr>
      <w:r w:rsidRPr="00960A32">
        <w:rPr>
          <w:szCs w:val="26"/>
        </w:rPr>
        <w:t xml:space="preserve">The record supports the conclusion that the </w:t>
      </w:r>
      <w:r>
        <w:rPr>
          <w:szCs w:val="26"/>
        </w:rPr>
        <w:t>Proposed Transaction</w:t>
      </w:r>
      <w:r w:rsidRPr="00960A32">
        <w:rPr>
          <w:szCs w:val="26"/>
        </w:rPr>
        <w:t xml:space="preserve"> will not result in direct environmental impacts. The transaction does not involve construction, physical modifications to utility systems, or operational changes that would affect emissions, land use, or environmental quality. As such, there is no evidence that the transaction will increase pollution burdens or otherwise adversely affect environmental conditions in any community.</w:t>
      </w:r>
    </w:p>
    <w:p w:rsidRPr="00960A32" w:rsidR="000152AD" w:rsidP="005343EE" w:rsidRDefault="000152AD" w14:paraId="1EE48A9D" w14:textId="52D4E355">
      <w:pPr>
        <w:pStyle w:val="Standard"/>
      </w:pPr>
      <w:r w:rsidRPr="000152AD">
        <w:rPr>
          <w:szCs w:val="26"/>
        </w:rPr>
        <w:t>The absence of direct environmental impacts is not, by itself, dispositive. The Commission also considers whether a corporate restructuring could indirectly affect ESJ communities through changes in utility decision</w:t>
      </w:r>
      <w:r w:rsidR="00042804">
        <w:rPr>
          <w:szCs w:val="26"/>
        </w:rPr>
        <w:noBreakHyphen/>
      </w:r>
      <w:r w:rsidRPr="000152AD">
        <w:rPr>
          <w:szCs w:val="26"/>
        </w:rPr>
        <w:t>making, resource allocation, affordability, service quality, customer programs, or implementation of Commission</w:t>
      </w:r>
      <w:r w:rsidR="00042804">
        <w:rPr>
          <w:szCs w:val="26"/>
        </w:rPr>
        <w:noBreakHyphen/>
      </w:r>
      <w:r w:rsidRPr="000152AD">
        <w:rPr>
          <w:szCs w:val="26"/>
        </w:rPr>
        <w:t>directed initiatives. For that reason, the Commission sought additional information from Applicants regarding potential ESJ implications of the Proposed Transaction and the continued administration of programs serving disadvantaged communities.</w:t>
      </w:r>
    </w:p>
    <w:p w:rsidRPr="00960A32" w:rsidR="00F94F56" w:rsidP="005343EE" w:rsidRDefault="00F94F56" w14:paraId="17FDC20D" w14:textId="77777777">
      <w:pPr>
        <w:pStyle w:val="Standard"/>
      </w:pPr>
      <w:r w:rsidRPr="00960A32">
        <w:rPr>
          <w:szCs w:val="26"/>
        </w:rPr>
        <w:lastRenderedPageBreak/>
        <w:t>We also consider whether the transaction may have indirect impacts on ESJ communities, particularly with respect to affordability, service quality, and access to utility services. These considerations are central to several of the ESJ Action Plan goals, including ensuring equitable access to safe and reliable utility services, enhancing consumer protections, and improving outreach and engagement with underserved communities.</w:t>
      </w:r>
    </w:p>
    <w:p w:rsidRPr="00960A32" w:rsidR="00F94F56" w:rsidP="005343EE" w:rsidRDefault="00F94F56" w14:paraId="7D0A3C71" w14:textId="54731097">
      <w:pPr>
        <w:pStyle w:val="Standard"/>
      </w:pPr>
      <w:r>
        <w:rPr>
          <w:szCs w:val="26"/>
        </w:rPr>
        <w:t>T</w:t>
      </w:r>
      <w:r w:rsidRPr="00960A32">
        <w:rPr>
          <w:szCs w:val="26"/>
        </w:rPr>
        <w:t xml:space="preserve">he record does not demonstrate that the transaction will affect rates, service quality, or utility operations. </w:t>
      </w:r>
      <w:r w:rsidR="0060594B">
        <w:rPr>
          <w:szCs w:val="26"/>
        </w:rPr>
        <w:t>Applicants</w:t>
      </w:r>
      <w:r w:rsidRPr="00960A32">
        <w:rPr>
          <w:szCs w:val="26"/>
        </w:rPr>
        <w:t xml:space="preserve"> will continue to be regulated public utilities subject to the Commission</w:t>
      </w:r>
      <w:r w:rsidR="00E5563F">
        <w:rPr>
          <w:szCs w:val="26"/>
        </w:rPr>
        <w:t>’</w:t>
      </w:r>
      <w:r w:rsidRPr="00960A32">
        <w:rPr>
          <w:szCs w:val="26"/>
        </w:rPr>
        <w:t>s jurisdiction and existing consumer protection requirements. There is no evidence that the proposed corporate restructuring will impair the utilities</w:t>
      </w:r>
      <w:r w:rsidR="00E5563F">
        <w:rPr>
          <w:szCs w:val="26"/>
        </w:rPr>
        <w:t>’</w:t>
      </w:r>
      <w:r w:rsidRPr="00960A32">
        <w:rPr>
          <w:szCs w:val="26"/>
        </w:rPr>
        <w:t xml:space="preserve"> ability to provide safe, reliable, and affordable service to ESJ communities.</w:t>
      </w:r>
    </w:p>
    <w:p w:rsidR="00F94F56" w:rsidP="005343EE" w:rsidRDefault="000152AD" w14:paraId="674C6CC5" w14:textId="6591A816">
      <w:pPr>
        <w:pStyle w:val="Standard"/>
      </w:pPr>
      <w:r w:rsidRPr="000152AD">
        <w:rPr>
          <w:szCs w:val="26"/>
        </w:rPr>
        <w:t>We also consider whether the Proposed Transaction could impair the Commission</w:t>
      </w:r>
      <w:r w:rsidR="00E5563F">
        <w:rPr>
          <w:szCs w:val="26"/>
        </w:rPr>
        <w:t>’</w:t>
      </w:r>
      <w:r w:rsidRPr="000152AD">
        <w:rPr>
          <w:szCs w:val="26"/>
        </w:rPr>
        <w:t>s ability to implement ESJ</w:t>
      </w:r>
      <w:r w:rsidR="00042804">
        <w:rPr>
          <w:szCs w:val="26"/>
        </w:rPr>
        <w:noBreakHyphen/>
      </w:r>
      <w:r w:rsidRPr="000152AD">
        <w:rPr>
          <w:szCs w:val="26"/>
        </w:rPr>
        <w:t>related policies or hold the utilities accountable for achieving Commission</w:t>
      </w:r>
      <w:r w:rsidR="00042804">
        <w:rPr>
          <w:szCs w:val="26"/>
        </w:rPr>
        <w:noBreakHyphen/>
      </w:r>
      <w:r w:rsidRPr="000152AD">
        <w:rPr>
          <w:szCs w:val="26"/>
        </w:rPr>
        <w:t>directed ESJ objectives. The record demonstrates that the creation of Sempra California will not alter the Commission</w:t>
      </w:r>
      <w:r w:rsidR="00E5563F">
        <w:rPr>
          <w:szCs w:val="26"/>
        </w:rPr>
        <w:t>’</w:t>
      </w:r>
      <w:r w:rsidRPr="000152AD">
        <w:rPr>
          <w:szCs w:val="26"/>
        </w:rPr>
        <w:t>s jurisdiction over SDG&amp;E or SoCalGas, will not affect the applicability of Commission decisions, rules, reporting requirements, or program obligations, and will not reduce the utilities</w:t>
      </w:r>
      <w:r w:rsidR="00E5563F">
        <w:rPr>
          <w:szCs w:val="26"/>
        </w:rPr>
        <w:t>’</w:t>
      </w:r>
      <w:r w:rsidRPr="000152AD">
        <w:rPr>
          <w:szCs w:val="26"/>
        </w:rPr>
        <w:t xml:space="preserve"> responsibility to implement Commission</w:t>
      </w:r>
      <w:r w:rsidR="00042804">
        <w:rPr>
          <w:szCs w:val="26"/>
        </w:rPr>
        <w:noBreakHyphen/>
      </w:r>
      <w:r w:rsidRPr="000152AD">
        <w:rPr>
          <w:szCs w:val="26"/>
        </w:rPr>
        <w:t xml:space="preserve">directed ESJ initiatives. </w:t>
      </w:r>
      <w:r w:rsidR="0060594B">
        <w:rPr>
          <w:szCs w:val="26"/>
        </w:rPr>
        <w:t>Applicants</w:t>
      </w:r>
      <w:r w:rsidRPr="000152AD">
        <w:rPr>
          <w:szCs w:val="26"/>
        </w:rPr>
        <w:t xml:space="preserve"> will remain subject to all existing requirements relating to affordability programs, customer protections, outreach efforts, and service to disadvantaged communities.</w:t>
      </w:r>
      <w:r w:rsidR="00192A7F">
        <w:rPr>
          <w:szCs w:val="26"/>
        </w:rPr>
        <w:t xml:space="preserve"> </w:t>
      </w:r>
      <w:r w:rsidRPr="00960A32" w:rsidR="00F94F56">
        <w:rPr>
          <w:szCs w:val="26"/>
        </w:rPr>
        <w:t>Applicants confirmed that the transaction will not change how ESJ programs are administered, funded, or implemented, and will not reduce resources dedicated to such efforts.</w:t>
      </w:r>
    </w:p>
    <w:p w:rsidRPr="006E26F1" w:rsidR="006E26F1" w:rsidP="005343EE" w:rsidRDefault="006E26F1" w14:paraId="0F91B2B9" w14:textId="7606F4E2">
      <w:pPr>
        <w:pStyle w:val="Standard"/>
      </w:pPr>
      <w:r w:rsidRPr="006E26F1">
        <w:rPr>
          <w:szCs w:val="26"/>
        </w:rPr>
        <w:lastRenderedPageBreak/>
        <w:t xml:space="preserve">Based on the record, we find that the Proposed Transaction will not have material adverse impacts on </w:t>
      </w:r>
      <w:r w:rsidR="009655F7">
        <w:rPr>
          <w:szCs w:val="26"/>
        </w:rPr>
        <w:t>ESJ</w:t>
      </w:r>
      <w:r w:rsidRPr="006E26F1">
        <w:rPr>
          <w:szCs w:val="26"/>
        </w:rPr>
        <w:t xml:space="preserve"> communities. The transaction does not alter utility operations, infrastructure, service quality, affordability, customer protections, or access to utility services. Nor does it impair the Commission</w:t>
      </w:r>
      <w:r w:rsidR="00E5563F">
        <w:rPr>
          <w:szCs w:val="26"/>
        </w:rPr>
        <w:t>’</w:t>
      </w:r>
      <w:r w:rsidRPr="006E26F1">
        <w:rPr>
          <w:szCs w:val="26"/>
        </w:rPr>
        <w:t>s ability to implement, monitor, or enforce ESJ</w:t>
      </w:r>
      <w:r w:rsidR="00042804">
        <w:rPr>
          <w:szCs w:val="26"/>
        </w:rPr>
        <w:noBreakHyphen/>
      </w:r>
      <w:r w:rsidRPr="006E26F1">
        <w:rPr>
          <w:szCs w:val="26"/>
        </w:rPr>
        <w:t>related programs and policies.</w:t>
      </w:r>
    </w:p>
    <w:p w:rsidRPr="006E26F1" w:rsidR="006E26F1" w:rsidP="005343EE" w:rsidRDefault="006E26F1" w14:paraId="63821841" w14:textId="49CC5ABC">
      <w:pPr>
        <w:pStyle w:val="Standard"/>
      </w:pPr>
      <w:r w:rsidRPr="006E26F1">
        <w:rPr>
          <w:szCs w:val="26"/>
        </w:rPr>
        <w:t>We further find that the Proposed Transaction is operationally neutral with respect to the goals of the Commission</w:t>
      </w:r>
      <w:r w:rsidR="00E5563F">
        <w:rPr>
          <w:szCs w:val="26"/>
        </w:rPr>
        <w:t>’</w:t>
      </w:r>
      <w:r w:rsidRPr="006E26F1">
        <w:rPr>
          <w:szCs w:val="26"/>
        </w:rPr>
        <w:t xml:space="preserve">s </w:t>
      </w:r>
      <w:r w:rsidR="009655F7">
        <w:rPr>
          <w:szCs w:val="26"/>
        </w:rPr>
        <w:t>ESJ</w:t>
      </w:r>
      <w:r w:rsidRPr="006E26F1">
        <w:rPr>
          <w:szCs w:val="26"/>
        </w:rPr>
        <w:t xml:space="preserve"> Action Plan. While the transaction does not itself advance specific ESJ initiatives, it does not hinder progress toward those goals, diminish existing ESJ programs, or reduce the utilities</w:t>
      </w:r>
      <w:r w:rsidR="00E5563F">
        <w:rPr>
          <w:szCs w:val="26"/>
        </w:rPr>
        <w:t>’</w:t>
      </w:r>
      <w:r w:rsidRPr="006E26F1">
        <w:rPr>
          <w:szCs w:val="26"/>
        </w:rPr>
        <w:t xml:space="preserve"> obligations to comply with Commission</w:t>
      </w:r>
      <w:r w:rsidR="00042804">
        <w:rPr>
          <w:szCs w:val="26"/>
        </w:rPr>
        <w:noBreakHyphen/>
      </w:r>
      <w:r w:rsidRPr="006E26F1">
        <w:rPr>
          <w:szCs w:val="26"/>
        </w:rPr>
        <w:t>directed ESJ requirements.</w:t>
      </w:r>
    </w:p>
    <w:p w:rsidRPr="00960A32" w:rsidR="006E26F1" w:rsidP="005343EE" w:rsidRDefault="006E26F1" w14:paraId="4187BC43" w14:textId="21582263">
      <w:pPr>
        <w:pStyle w:val="Standard"/>
      </w:pPr>
      <w:r w:rsidRPr="006E26F1">
        <w:rPr>
          <w:szCs w:val="26"/>
        </w:rPr>
        <w:t xml:space="preserve">Accordingly, we conclude that the Proposed Transaction does not adversely affect </w:t>
      </w:r>
      <w:r w:rsidR="009655F7">
        <w:rPr>
          <w:szCs w:val="26"/>
        </w:rPr>
        <w:t>ESJ</w:t>
      </w:r>
      <w:r w:rsidRPr="006E26F1">
        <w:rPr>
          <w:szCs w:val="26"/>
        </w:rPr>
        <w:t xml:space="preserve"> communities and is consistent with the Commission</w:t>
      </w:r>
      <w:r w:rsidR="00E5563F">
        <w:rPr>
          <w:szCs w:val="26"/>
        </w:rPr>
        <w:t>’</w:t>
      </w:r>
      <w:r w:rsidRPr="006E26F1">
        <w:rPr>
          <w:szCs w:val="26"/>
        </w:rPr>
        <w:t xml:space="preserve">s </w:t>
      </w:r>
      <w:r w:rsidR="009655F7">
        <w:rPr>
          <w:szCs w:val="26"/>
        </w:rPr>
        <w:t>ESJ</w:t>
      </w:r>
      <w:r w:rsidRPr="006E26F1">
        <w:rPr>
          <w:szCs w:val="26"/>
        </w:rPr>
        <w:t xml:space="preserve"> Action Plan.</w:t>
      </w:r>
    </w:p>
    <w:p w:rsidR="00603238" w:rsidP="00537D5E" w:rsidRDefault="00603238" w14:paraId="0BCB8D4E" w14:textId="77777777">
      <w:pPr>
        <w:pStyle w:val="Heading1"/>
      </w:pPr>
      <w:bookmarkStart w:name="_Toc234583876" w:id="36"/>
      <w:bookmarkStart w:name="_Toc8123721" w:id="37"/>
      <w:bookmarkStart w:name="_Toc238105953" w:id="38"/>
      <w:r>
        <w:t>Summary of Public Comment</w:t>
      </w:r>
      <w:bookmarkEnd w:id="36"/>
      <w:bookmarkEnd w:id="38"/>
    </w:p>
    <w:p w:rsidRPr="00013D4C" w:rsidR="00603238" w:rsidP="005343EE" w:rsidRDefault="00603238" w14:paraId="4E206F2F" w14:textId="72C0CBB4">
      <w:pPr>
        <w:pStyle w:val="Standard"/>
      </w:pPr>
      <w:r w:rsidRPr="00013D4C">
        <w:t>Rule</w:t>
      </w:r>
      <w:r w:rsidR="00CD1362">
        <w:t> </w:t>
      </w:r>
      <w:r w:rsidRPr="00013D4C">
        <w:t xml:space="preserve">1.18 </w:t>
      </w:r>
      <w:r w:rsidR="00CD1362">
        <w:t>of the Commission</w:t>
      </w:r>
      <w:r w:rsidR="00E5563F">
        <w:t>’</w:t>
      </w:r>
      <w:r w:rsidR="00CD1362">
        <w:t xml:space="preserve">s Rules of Practice and Procedure (Rules) </w:t>
      </w:r>
      <w:r w:rsidRPr="00013D4C">
        <w:t xml:space="preserve">allows any member of the public to submit written comment in any Commission proceeding using the </w:t>
      </w:r>
      <w:r w:rsidR="00E5563F">
        <w:t>“</w:t>
      </w:r>
      <w:r w:rsidRPr="00013D4C">
        <w:t>Public Comment</w:t>
      </w:r>
      <w:r w:rsidR="00E5563F">
        <w:t>”</w:t>
      </w:r>
      <w:r w:rsidRPr="00013D4C">
        <w:t xml:space="preserve"> tab of the online Docket Card for that proceeding on the Commission</w:t>
      </w:r>
      <w:r w:rsidR="00E5563F">
        <w:t>’</w:t>
      </w:r>
      <w:r w:rsidRPr="00013D4C">
        <w:t xml:space="preserve">s website. </w:t>
      </w:r>
      <w:r w:rsidR="00CD1362">
        <w:t>Rule </w:t>
      </w:r>
      <w:r w:rsidRPr="00013D4C">
        <w:t>1.18(b) requires that relevant written comment submitted in a proceeding be summarized in the final decision issued in that proceeding.</w:t>
      </w:r>
    </w:p>
    <w:p w:rsidR="00E5563F" w:rsidP="00603238" w:rsidRDefault="00013D4C" w14:paraId="384B2F1E" w14:textId="1FBA7F27">
      <w:pPr>
        <w:pStyle w:val="Standard"/>
      </w:pPr>
      <w:r>
        <w:t xml:space="preserve">As of </w:t>
      </w:r>
      <w:r w:rsidR="00E5563F">
        <w:t>June </w:t>
      </w:r>
      <w:r w:rsidR="006E26F1">
        <w:t>1</w:t>
      </w:r>
      <w:r>
        <w:t xml:space="preserve">, 2026, no </w:t>
      </w:r>
      <w:r w:rsidR="00603238">
        <w:t>public comment</w:t>
      </w:r>
      <w:r>
        <w:t>s</w:t>
      </w:r>
      <w:r w:rsidR="00603238">
        <w:t xml:space="preserve"> appear</w:t>
      </w:r>
      <w:r>
        <w:t>ed</w:t>
      </w:r>
      <w:r w:rsidR="00603238">
        <w:t xml:space="preserve"> on the Docket Card for the proceeding.</w:t>
      </w:r>
    </w:p>
    <w:p w:rsidR="00FA1B4F" w:rsidP="00537D5E" w:rsidRDefault="005939A5" w14:paraId="7F446255" w14:textId="05375F2F">
      <w:pPr>
        <w:pStyle w:val="Heading1"/>
      </w:pPr>
      <w:bookmarkStart w:name="_Toc234583877" w:id="39"/>
      <w:bookmarkStart w:name="_Toc238105954" w:id="40"/>
      <w:r>
        <w:t>Conclusion</w:t>
      </w:r>
      <w:bookmarkEnd w:id="37"/>
      <w:bookmarkEnd w:id="39"/>
      <w:bookmarkEnd w:id="40"/>
    </w:p>
    <w:p w:rsidRPr="006E26F1" w:rsidR="006E26F1" w:rsidP="006E26F1" w:rsidRDefault="00013D4C" w14:paraId="4DB7875E" w14:textId="77C50B03">
      <w:pPr>
        <w:pStyle w:val="Standard"/>
        <w:rPr>
          <w:szCs w:val="26"/>
        </w:rPr>
      </w:pPr>
      <w:r w:rsidRPr="00960A32">
        <w:rPr>
          <w:szCs w:val="26"/>
        </w:rPr>
        <w:t xml:space="preserve">Based on the record in this proceeding, </w:t>
      </w:r>
      <w:r w:rsidRPr="006E26F1" w:rsidR="006E26F1">
        <w:rPr>
          <w:szCs w:val="26"/>
        </w:rPr>
        <w:t xml:space="preserve">we conclude that the Proposed Transaction presents a close question regarding the applicability of </w:t>
      </w:r>
      <w:r w:rsidR="004F7E76">
        <w:rPr>
          <w:szCs w:val="26"/>
        </w:rPr>
        <w:t>Section </w:t>
      </w:r>
      <w:r w:rsidRPr="006E26F1" w:rsidR="006E26F1">
        <w:rPr>
          <w:szCs w:val="26"/>
        </w:rPr>
        <w:t xml:space="preserve">854(a). The transaction inserts a new intermediate holding company into </w:t>
      </w:r>
      <w:r w:rsidRPr="006E26F1" w:rsidR="006E26F1">
        <w:rPr>
          <w:szCs w:val="26"/>
        </w:rPr>
        <w:lastRenderedPageBreak/>
        <w:t xml:space="preserve">the corporate structure above </w:t>
      </w:r>
      <w:r w:rsidR="0060594B">
        <w:rPr>
          <w:szCs w:val="26"/>
        </w:rPr>
        <w:t>Applicants</w:t>
      </w:r>
      <w:r w:rsidRPr="006E26F1" w:rsidR="006E26F1">
        <w:rPr>
          <w:szCs w:val="26"/>
        </w:rPr>
        <w:t xml:space="preserve"> but does not change the utilities</w:t>
      </w:r>
      <w:r w:rsidR="00E5563F">
        <w:rPr>
          <w:szCs w:val="26"/>
        </w:rPr>
        <w:t>’</w:t>
      </w:r>
      <w:r w:rsidRPr="006E26F1" w:rsidR="006E26F1">
        <w:rPr>
          <w:szCs w:val="26"/>
        </w:rPr>
        <w:t xml:space="preserve"> ultimate ownership, management, operations, workforce, rates, service obligations, or regulatory responsibilities.</w:t>
      </w:r>
    </w:p>
    <w:p w:rsidRPr="006E26F1" w:rsidR="006E26F1" w:rsidP="006E26F1" w:rsidRDefault="001417F7" w14:paraId="14D1003C" w14:textId="0CEA8B84">
      <w:pPr>
        <w:pStyle w:val="Standard"/>
        <w:rPr>
          <w:szCs w:val="26"/>
        </w:rPr>
      </w:pPr>
      <w:r>
        <w:rPr>
          <w:szCs w:val="26"/>
        </w:rPr>
        <w:t>W</w:t>
      </w:r>
      <w:r w:rsidRPr="006E26F1" w:rsidR="006E26F1">
        <w:rPr>
          <w:szCs w:val="26"/>
        </w:rPr>
        <w:t xml:space="preserve">e find that Applicants have demonstrated that application of the review requirements of </w:t>
      </w:r>
      <w:r w:rsidR="004F7E76">
        <w:rPr>
          <w:szCs w:val="26"/>
        </w:rPr>
        <w:t>Section </w:t>
      </w:r>
      <w:r w:rsidRPr="006E26F1" w:rsidR="006E26F1">
        <w:rPr>
          <w:szCs w:val="26"/>
        </w:rPr>
        <w:t xml:space="preserve">854 </w:t>
      </w:r>
      <w:r w:rsidR="00187893">
        <w:rPr>
          <w:szCs w:val="26"/>
        </w:rPr>
        <w:t>are</w:t>
      </w:r>
      <w:r w:rsidRPr="006E26F1" w:rsidR="006E26F1">
        <w:rPr>
          <w:szCs w:val="26"/>
        </w:rPr>
        <w:t xml:space="preserve"> not necessary in the public interest within the meaning of </w:t>
      </w:r>
      <w:r w:rsidR="004F7E76">
        <w:rPr>
          <w:szCs w:val="26"/>
        </w:rPr>
        <w:t>Section </w:t>
      </w:r>
      <w:r w:rsidRPr="006E26F1" w:rsidR="006E26F1">
        <w:rPr>
          <w:szCs w:val="26"/>
        </w:rPr>
        <w:t>853(b).</w:t>
      </w:r>
    </w:p>
    <w:p w:rsidRPr="006E26F1" w:rsidR="006E26F1" w:rsidP="006E26F1" w:rsidRDefault="006E26F1" w14:paraId="3102C488" w14:textId="6ACDED1A">
      <w:pPr>
        <w:pStyle w:val="Standard"/>
        <w:rPr>
          <w:szCs w:val="26"/>
        </w:rPr>
      </w:pPr>
      <w:r w:rsidRPr="006E26F1">
        <w:rPr>
          <w:szCs w:val="26"/>
        </w:rPr>
        <w:t>The record demonstrates that Sempra will remain the ultimate parent company, no third party will acquire ownership or control of SDG&amp;E or SoCalGas, utility operations and management will remain unchanged, and the Commission</w:t>
      </w:r>
      <w:r w:rsidR="00E5563F">
        <w:rPr>
          <w:szCs w:val="26"/>
        </w:rPr>
        <w:t>’</w:t>
      </w:r>
      <w:r w:rsidRPr="006E26F1">
        <w:rPr>
          <w:szCs w:val="26"/>
        </w:rPr>
        <w:t>s jurisdiction and regulatory oversight will remain intact. Existing affiliate transaction rules, reporting requirements, holding company safeguards, and the conditions adopted in this decision provide additional protections for ratepayers and preserve the Commission</w:t>
      </w:r>
      <w:r w:rsidR="00E5563F">
        <w:rPr>
          <w:szCs w:val="26"/>
        </w:rPr>
        <w:t>’</w:t>
      </w:r>
      <w:r w:rsidRPr="006E26F1">
        <w:rPr>
          <w:szCs w:val="26"/>
        </w:rPr>
        <w:t>s ability to regulate the utilities effectively.</w:t>
      </w:r>
    </w:p>
    <w:p w:rsidRPr="006E26F1" w:rsidR="006E26F1" w:rsidP="006E26F1" w:rsidRDefault="006E26F1" w14:paraId="523A5ADD" w14:textId="06BBFD24">
      <w:pPr>
        <w:pStyle w:val="Standard"/>
        <w:rPr>
          <w:szCs w:val="26"/>
        </w:rPr>
      </w:pPr>
      <w:r w:rsidRPr="006E26F1">
        <w:rPr>
          <w:szCs w:val="26"/>
        </w:rPr>
        <w:t>Consistent with Commission precedent, we have also considered the public</w:t>
      </w:r>
      <w:r w:rsidR="00042804">
        <w:rPr>
          <w:szCs w:val="26"/>
        </w:rPr>
        <w:noBreakHyphen/>
      </w:r>
      <w:r w:rsidRPr="006E26F1">
        <w:rPr>
          <w:szCs w:val="26"/>
        </w:rPr>
        <w:t xml:space="preserve">interest factors reflected in </w:t>
      </w:r>
      <w:r w:rsidR="004F7E76">
        <w:rPr>
          <w:szCs w:val="26"/>
        </w:rPr>
        <w:t>Section </w:t>
      </w:r>
      <w:r w:rsidRPr="006E26F1">
        <w:rPr>
          <w:szCs w:val="26"/>
        </w:rPr>
        <w:t xml:space="preserve">854(c) as guidance in evaluating </w:t>
      </w:r>
      <w:r w:rsidR="003B222D">
        <w:rPr>
          <w:szCs w:val="26"/>
        </w:rPr>
        <w:t>this exemption request</w:t>
      </w:r>
      <w:r w:rsidRPr="006E26F1">
        <w:rPr>
          <w:szCs w:val="26"/>
        </w:rPr>
        <w:t>. Based on that review, we find that the transaction does not adversely affect utility rates, service, operations, workforce, or regulatory oversight; does not introduce material financial risk to ratepayers; and does not impair the Commission</w:t>
      </w:r>
      <w:r w:rsidR="00E5563F">
        <w:rPr>
          <w:szCs w:val="26"/>
        </w:rPr>
        <w:t>’</w:t>
      </w:r>
      <w:r w:rsidRPr="006E26F1">
        <w:rPr>
          <w:szCs w:val="26"/>
        </w:rPr>
        <w:t xml:space="preserve">s ability to regulate SDG&amp;E or SoCalGas. We further find that the transaction will not have material adverse impacts on </w:t>
      </w:r>
      <w:r w:rsidR="009655F7">
        <w:rPr>
          <w:szCs w:val="26"/>
        </w:rPr>
        <w:t>ESJ</w:t>
      </w:r>
      <w:r w:rsidRPr="006E26F1">
        <w:rPr>
          <w:szCs w:val="26"/>
        </w:rPr>
        <w:t xml:space="preserve"> communities and is operationally neutral with respect to the goals of the Commission</w:t>
      </w:r>
      <w:r w:rsidR="00E5563F">
        <w:rPr>
          <w:szCs w:val="26"/>
        </w:rPr>
        <w:t>’</w:t>
      </w:r>
      <w:r w:rsidRPr="006E26F1">
        <w:rPr>
          <w:szCs w:val="26"/>
        </w:rPr>
        <w:t xml:space="preserve">s </w:t>
      </w:r>
      <w:r w:rsidR="009655F7">
        <w:rPr>
          <w:szCs w:val="26"/>
        </w:rPr>
        <w:t>ESJ</w:t>
      </w:r>
      <w:r w:rsidRPr="006E26F1">
        <w:rPr>
          <w:szCs w:val="26"/>
        </w:rPr>
        <w:t xml:space="preserve"> Action Plan.</w:t>
      </w:r>
    </w:p>
    <w:p w:rsidRPr="006E26F1" w:rsidR="006E26F1" w:rsidP="006E26F1" w:rsidRDefault="006E26F1" w14:paraId="23BCB8BD" w14:textId="4BF6790A">
      <w:pPr>
        <w:pStyle w:val="Standard"/>
      </w:pPr>
      <w:r>
        <w:t>Accordingly, we grant Applicants</w:t>
      </w:r>
      <w:r w:rsidR="00E5563F">
        <w:t>’</w:t>
      </w:r>
      <w:r>
        <w:t xml:space="preserve"> request for an exemption pursuant to </w:t>
      </w:r>
      <w:r w:rsidR="004F7E76">
        <w:t>Section </w:t>
      </w:r>
      <w:r>
        <w:t>853(b)</w:t>
      </w:r>
      <w:r w:rsidR="00927356">
        <w:t xml:space="preserve"> </w:t>
      </w:r>
      <w:r>
        <w:t>subject to the conditions adopted in this decision.</w:t>
      </w:r>
    </w:p>
    <w:p w:rsidR="004A1EAD" w:rsidP="00537D5E" w:rsidRDefault="004A1EAD" w14:paraId="4BADDBF2" w14:textId="77777777">
      <w:pPr>
        <w:pStyle w:val="Heading1"/>
      </w:pPr>
      <w:bookmarkStart w:name="_Toc234583878" w:id="41"/>
      <w:bookmarkStart w:name="_Toc8123723" w:id="42"/>
      <w:bookmarkStart w:name="_Toc238105955" w:id="43"/>
      <w:r>
        <w:lastRenderedPageBreak/>
        <w:t>Procedural Matters</w:t>
      </w:r>
      <w:bookmarkEnd w:id="41"/>
      <w:bookmarkEnd w:id="43"/>
    </w:p>
    <w:p w:rsidRPr="008B175A" w:rsidR="004A1EAD" w:rsidP="004A1EAD" w:rsidRDefault="004A1EAD" w14:paraId="67DBB166" w14:textId="2C44AE83">
      <w:pPr>
        <w:pStyle w:val="Standard"/>
      </w:pPr>
      <w:r w:rsidRPr="008B175A">
        <w:t xml:space="preserve">This decision affirms all rulings made by the </w:t>
      </w:r>
      <w:r w:rsidR="00013D4C">
        <w:t>ALJ</w:t>
      </w:r>
      <w:r w:rsidRPr="008B175A">
        <w:t xml:space="preserve"> and assigned Commissioner in this proceeding. All motions not ruled on are deemed denied.</w:t>
      </w:r>
    </w:p>
    <w:p w:rsidRPr="00013D4C" w:rsidR="005939A5" w:rsidP="00537D5E" w:rsidRDefault="00013D4C" w14:paraId="723171C4" w14:textId="0EE60F4B">
      <w:pPr>
        <w:pStyle w:val="Heading1"/>
      </w:pPr>
      <w:bookmarkStart w:name="_Toc234583879" w:id="44"/>
      <w:bookmarkStart w:name="_Toc238105956" w:id="45"/>
      <w:bookmarkEnd w:id="42"/>
      <w:r w:rsidRPr="00013D4C">
        <w:t>Waiver of Comment Period</w:t>
      </w:r>
      <w:bookmarkEnd w:id="44"/>
      <w:bookmarkEnd w:id="45"/>
    </w:p>
    <w:p w:rsidRPr="006E26F1" w:rsidR="00013D4C" w:rsidP="005343EE" w:rsidRDefault="00013D4C" w14:paraId="278F5C9D" w14:textId="74996DEC">
      <w:pPr>
        <w:pStyle w:val="Standard"/>
      </w:pPr>
      <w:r w:rsidRPr="00960A32">
        <w:rPr>
          <w:szCs w:val="26"/>
        </w:rPr>
        <w:t>This is an uncontested matter in which the decision grants the relief requested. Accordingly, as provided in Rule 14.6(c)(2), the otherwise applicable 30</w:t>
      </w:r>
      <w:r w:rsidR="00042804">
        <w:rPr>
          <w:szCs w:val="26"/>
        </w:rPr>
        <w:noBreakHyphen/>
      </w:r>
      <w:r w:rsidRPr="00960A32">
        <w:rPr>
          <w:szCs w:val="26"/>
        </w:rPr>
        <w:t>day public review and comment period for this decision is waived.</w:t>
      </w:r>
    </w:p>
    <w:p w:rsidR="005939A5" w:rsidP="00537D5E" w:rsidRDefault="005939A5" w14:paraId="78C50816" w14:textId="77777777">
      <w:pPr>
        <w:pStyle w:val="Heading1"/>
      </w:pPr>
      <w:bookmarkStart w:name="_Toc8123724" w:id="46"/>
      <w:bookmarkStart w:name="_Toc234583880" w:id="47"/>
      <w:bookmarkStart w:name="_Toc238105957" w:id="48"/>
      <w:r>
        <w:t>Assignment of Proceeding</w:t>
      </w:r>
      <w:bookmarkEnd w:id="46"/>
      <w:bookmarkEnd w:id="47"/>
      <w:bookmarkEnd w:id="48"/>
    </w:p>
    <w:p w:rsidRPr="00013D4C" w:rsidR="00013D4C" w:rsidP="005343EE" w:rsidRDefault="00013D4C" w14:paraId="175888F4" w14:textId="40C79474">
      <w:pPr>
        <w:pStyle w:val="Standard"/>
      </w:pPr>
      <w:r w:rsidRPr="00960A32">
        <w:rPr>
          <w:szCs w:val="26"/>
        </w:rPr>
        <w:t>Commissioner Karen Douglas is the assigned Commissioner and Alberto T. Rosas is the assigned A</w:t>
      </w:r>
      <w:r w:rsidR="001750EA">
        <w:rPr>
          <w:szCs w:val="26"/>
        </w:rPr>
        <w:t>dministrative Law Judge</w:t>
      </w:r>
      <w:r w:rsidRPr="00960A32">
        <w:rPr>
          <w:szCs w:val="26"/>
        </w:rPr>
        <w:t xml:space="preserve"> in this proceeding.</w:t>
      </w:r>
    </w:p>
    <w:p w:rsidR="005939A5" w:rsidP="00222660" w:rsidRDefault="005939A5" w14:paraId="1981FAEA" w14:textId="77777777">
      <w:pPr>
        <w:pStyle w:val="Dummy"/>
      </w:pPr>
      <w:bookmarkStart w:name="_Toc8123725" w:id="49"/>
      <w:bookmarkStart w:name="_Toc234583881" w:id="50"/>
      <w:bookmarkStart w:name="_Toc238105958" w:id="51"/>
      <w:r>
        <w:t>Findings of Fact</w:t>
      </w:r>
      <w:bookmarkEnd w:id="49"/>
      <w:bookmarkEnd w:id="50"/>
      <w:bookmarkEnd w:id="51"/>
    </w:p>
    <w:p w:rsidRPr="00457262" w:rsidR="00457262" w:rsidP="00222660" w:rsidRDefault="00457262" w14:paraId="236DC414" w14:textId="24ED2410">
      <w:pPr>
        <w:pStyle w:val="FoF"/>
      </w:pPr>
      <w:r w:rsidRPr="00457262">
        <w:t xml:space="preserve">Under the Proposed Transaction, Sempra will remain the ultimate parent of </w:t>
      </w:r>
      <w:r w:rsidR="0060594B">
        <w:t>Applicants</w:t>
      </w:r>
      <w:r w:rsidRPr="00457262">
        <w:t xml:space="preserve"> both before and after the reorganization.</w:t>
      </w:r>
    </w:p>
    <w:p w:rsidRPr="00457262" w:rsidR="00457262" w:rsidP="00222660" w:rsidRDefault="00457262" w14:paraId="4508065C" w14:textId="7CE389FD">
      <w:pPr>
        <w:pStyle w:val="FoF"/>
      </w:pPr>
      <w:r w:rsidRPr="00457262">
        <w:t>The Proposed Transaction does not involve the transfer of ownership or control of SDG&amp;E or SoCalGas to a third party.</w:t>
      </w:r>
    </w:p>
    <w:p w:rsidRPr="00457262" w:rsidR="00457262" w:rsidP="00222660" w:rsidRDefault="00457262" w14:paraId="5FE8E21E" w14:textId="170183AF">
      <w:pPr>
        <w:pStyle w:val="FoF"/>
      </w:pPr>
      <w:r w:rsidRPr="00457262">
        <w:t>The Proposed Transaction is a corporate restructuring that does not involve construction, changes to utility operations, or modification of service territories.</w:t>
      </w:r>
    </w:p>
    <w:p w:rsidRPr="00457262" w:rsidR="00457262" w:rsidP="00222660" w:rsidRDefault="00457262" w14:paraId="04378BEB" w14:textId="4788908E">
      <w:pPr>
        <w:pStyle w:val="FoF"/>
      </w:pPr>
      <w:r w:rsidRPr="00457262">
        <w:t>The Proposed Transaction does not result in any changes to utility rates, tariffs, or customer service obligations.</w:t>
      </w:r>
    </w:p>
    <w:p w:rsidRPr="00457262" w:rsidR="00457262" w:rsidP="00222660" w:rsidRDefault="00457262" w14:paraId="61FF62E0" w14:textId="7D0D93AD">
      <w:pPr>
        <w:pStyle w:val="FoF"/>
      </w:pPr>
      <w:r w:rsidRPr="00457262">
        <w:t>The Proposed Transaction does not alter the day</w:t>
      </w:r>
      <w:r w:rsidR="00042804">
        <w:noBreakHyphen/>
      </w:r>
      <w:r w:rsidRPr="00457262">
        <w:t>to</w:t>
      </w:r>
      <w:r w:rsidR="00042804">
        <w:noBreakHyphen/>
      </w:r>
      <w:r w:rsidRPr="00457262">
        <w:t>day operations or management of SDG&amp;E or SoCalGas.</w:t>
      </w:r>
    </w:p>
    <w:p w:rsidRPr="00457262" w:rsidR="00457262" w:rsidP="00222660" w:rsidRDefault="00457262" w14:paraId="1D812789" w14:textId="5C1A3FE4">
      <w:pPr>
        <w:pStyle w:val="FoF"/>
      </w:pPr>
      <w:r w:rsidRPr="00457262">
        <w:t>The Proposed Transaction does not involve the transfer of utility assets or liabilities.</w:t>
      </w:r>
    </w:p>
    <w:p w:rsidRPr="00457262" w:rsidR="00457262" w:rsidP="00222660" w:rsidRDefault="00457262" w14:paraId="7ED6656B" w14:textId="6763AB5B">
      <w:pPr>
        <w:pStyle w:val="FoF"/>
      </w:pPr>
      <w:r w:rsidRPr="00457262">
        <w:t>The record does not demonstrate that the Proposed Transaction will adversely affect the financial condition of SDG&amp;E or SoCalGas or materially increase financial risk to ratepayers.</w:t>
      </w:r>
    </w:p>
    <w:p w:rsidR="00192A7F" w:rsidP="00222660" w:rsidRDefault="00192A7F" w14:paraId="6A466B1B" w14:textId="1DD5419D">
      <w:pPr>
        <w:pStyle w:val="FoF"/>
      </w:pPr>
      <w:r w:rsidRPr="00192A7F">
        <w:lastRenderedPageBreak/>
        <w:t xml:space="preserve">The Proposed Transaction introduces an additional intermediate holding company layer into the corporate structure above </w:t>
      </w:r>
      <w:r w:rsidR="0060594B">
        <w:t>Applicants</w:t>
      </w:r>
      <w:r w:rsidRPr="00192A7F">
        <w:t xml:space="preserve"> but does not change the ultimate ownership of SDG&amp;E or SoCalGas and does not result in any substantive change to utility operations, management, workforce, or regulatory oversight.</w:t>
      </w:r>
    </w:p>
    <w:p w:rsidRPr="00457262" w:rsidR="00457262" w:rsidP="00222660" w:rsidRDefault="00457262" w14:paraId="65E6E079" w14:textId="08EC3F56">
      <w:pPr>
        <w:pStyle w:val="FoF"/>
      </w:pPr>
      <w:r w:rsidRPr="00457262">
        <w:t>The record does not contain evidence demonstrating that the Proposed Transaction will adversely affect rates, service quality, or utility operations.</w:t>
      </w:r>
    </w:p>
    <w:p w:rsidRPr="00457262" w:rsidR="00457262" w:rsidP="00222660" w:rsidRDefault="00457262" w14:paraId="653E610A" w14:textId="7279943B">
      <w:pPr>
        <w:pStyle w:val="FoF"/>
      </w:pPr>
      <w:r w:rsidRPr="00457262">
        <w:t>The Proposed Transaction does not impair the Commission</w:t>
      </w:r>
      <w:r w:rsidR="00E5563F">
        <w:t>’</w:t>
      </w:r>
      <w:r w:rsidRPr="00457262">
        <w:t xml:space="preserve">s jurisdiction, regulatory authority, or ability to enforce applicable statutes, Commission decisions, affiliate transaction rules, reporting requirements, and </w:t>
      </w:r>
      <w:r w:rsidR="005030DE">
        <w:t xml:space="preserve">existing? </w:t>
      </w:r>
      <w:r w:rsidRPr="00457262">
        <w:t>holding company conditions.</w:t>
      </w:r>
    </w:p>
    <w:p w:rsidRPr="00457262" w:rsidR="00457262" w:rsidP="00222660" w:rsidRDefault="00457262" w14:paraId="251DA9BB" w14:textId="36F05021">
      <w:pPr>
        <w:pStyle w:val="FoF"/>
      </w:pPr>
      <w:r w:rsidRPr="00457262">
        <w:t xml:space="preserve">Existing affiliate transaction rules, reporting requirements, and holding company safeguards applicable to </w:t>
      </w:r>
      <w:r w:rsidR="0060594B">
        <w:t>Applicants</w:t>
      </w:r>
      <w:r w:rsidRPr="00457262">
        <w:t xml:space="preserve"> will remain in effect following consummation of the Proposed Transaction.</w:t>
      </w:r>
    </w:p>
    <w:p w:rsidRPr="00457262" w:rsidR="00457262" w:rsidP="00222660" w:rsidRDefault="00457262" w14:paraId="7E053063" w14:textId="051E1672">
      <w:pPr>
        <w:pStyle w:val="FoF"/>
      </w:pPr>
      <w:r w:rsidRPr="00457262">
        <w:t>The Proposed Transaction does not involve physical changes to infrastructure or operations that would result in direct environmental impacts.</w:t>
      </w:r>
    </w:p>
    <w:p w:rsidRPr="00457262" w:rsidR="00457262" w:rsidP="00222660" w:rsidRDefault="00457262" w14:paraId="281E54C8" w14:textId="12AEDF62">
      <w:pPr>
        <w:pStyle w:val="FoF"/>
      </w:pPr>
      <w:r w:rsidRPr="00457262">
        <w:t xml:space="preserve">The record does not demonstrate that the Proposed Transaction will have adverse impacts on </w:t>
      </w:r>
      <w:r w:rsidR="009655F7">
        <w:t>ESJ</w:t>
      </w:r>
      <w:r w:rsidRPr="00457262">
        <w:t xml:space="preserve"> communities.</w:t>
      </w:r>
    </w:p>
    <w:p w:rsidR="00457262" w:rsidP="00222660" w:rsidRDefault="00457262" w14:paraId="4CE9BABF" w14:textId="1F0E5FCC">
      <w:pPr>
        <w:pStyle w:val="FoF"/>
      </w:pPr>
      <w:r w:rsidRPr="00457262">
        <w:t>The Proposed Transaction is neutral with respect to the achievement of the Commission</w:t>
      </w:r>
      <w:r w:rsidR="00E5563F">
        <w:t>’</w:t>
      </w:r>
      <w:r w:rsidRPr="00457262">
        <w:t xml:space="preserve">s </w:t>
      </w:r>
      <w:r w:rsidR="009655F7">
        <w:t>ESJ</w:t>
      </w:r>
      <w:r w:rsidRPr="00457262">
        <w:t xml:space="preserve"> Action Plan goals.</w:t>
      </w:r>
    </w:p>
    <w:p w:rsidRPr="00222660" w:rsidR="00013D4C" w:rsidP="00222660" w:rsidRDefault="005939A5" w14:paraId="36F21B07" w14:textId="19E1695D">
      <w:pPr>
        <w:pStyle w:val="Dummy"/>
      </w:pPr>
      <w:bookmarkStart w:name="_Toc8123726" w:id="52"/>
      <w:bookmarkStart w:name="_Toc234583882" w:id="53"/>
      <w:bookmarkStart w:name="_Toc238105959" w:id="54"/>
      <w:r>
        <w:t>Conclusions of Law</w:t>
      </w:r>
      <w:bookmarkEnd w:id="52"/>
      <w:bookmarkEnd w:id="53"/>
      <w:bookmarkEnd w:id="54"/>
    </w:p>
    <w:p w:rsidRPr="00457262" w:rsidR="00457262" w:rsidP="00457262" w:rsidRDefault="00457262" w14:paraId="30509A82" w14:textId="5247C867">
      <w:pPr>
        <w:pStyle w:val="CoL"/>
        <w:numPr>
          <w:ilvl w:val="0"/>
          <w:numId w:val="21"/>
        </w:numPr>
      </w:pPr>
      <w:r w:rsidRPr="00457262">
        <w:t xml:space="preserve">The Commission has jurisdiction over </w:t>
      </w:r>
      <w:r w:rsidR="0060594B">
        <w:t>Applicants</w:t>
      </w:r>
      <w:r w:rsidRPr="00457262">
        <w:t xml:space="preserve"> pursuant to </w:t>
      </w:r>
      <w:r w:rsidR="00AE36E7">
        <w:t>Sections </w:t>
      </w:r>
      <w:r w:rsidRPr="00457262">
        <w:t>451, 454, 701, 853, and 854.</w:t>
      </w:r>
    </w:p>
    <w:p w:rsidRPr="00457262" w:rsidR="00457262" w:rsidP="00457262" w:rsidRDefault="004F7E76" w14:paraId="48EAF555" w14:textId="0E7BA6F8">
      <w:pPr>
        <w:pStyle w:val="CoL"/>
      </w:pPr>
      <w:r>
        <w:t>Section </w:t>
      </w:r>
      <w:r w:rsidRPr="00457262" w:rsidR="00457262">
        <w:t xml:space="preserve">853(b) authorizes the Commission to exempt a transaction from the requirements of </w:t>
      </w:r>
      <w:r w:rsidR="005B47F0">
        <w:t>Article </w:t>
      </w:r>
      <w:r w:rsidRPr="00457262" w:rsidR="00457262">
        <w:t>5 where application of those provisions is not necessary in the public interest.</w:t>
      </w:r>
    </w:p>
    <w:p w:rsidRPr="00457262" w:rsidR="00457262" w:rsidP="00E91322" w:rsidRDefault="00457262" w14:paraId="78D2A3B4" w14:textId="7478B056">
      <w:pPr>
        <w:pStyle w:val="CoL"/>
      </w:pPr>
      <w:r w:rsidRPr="00457262">
        <w:lastRenderedPageBreak/>
        <w:t xml:space="preserve">Based on the record developed in this proceeding, Applicants have demonstrated that application of the review requirements of </w:t>
      </w:r>
      <w:r w:rsidR="004F7E76">
        <w:t>Section </w:t>
      </w:r>
      <w:r w:rsidRPr="00457262">
        <w:t>854 is not necessary in the public interest.</w:t>
      </w:r>
    </w:p>
    <w:p w:rsidRPr="00457262" w:rsidR="00457262" w:rsidP="00457262" w:rsidRDefault="00753654" w14:paraId="637AB2FF" w14:textId="22849D67">
      <w:pPr>
        <w:pStyle w:val="CoL"/>
      </w:pPr>
      <w:r>
        <w:t xml:space="preserve">It is reasonable to </w:t>
      </w:r>
      <w:r w:rsidR="00980F4B">
        <w:t xml:space="preserve">consider </w:t>
      </w:r>
      <w:r w:rsidRPr="00457262" w:rsidR="00457262">
        <w:t>the public</w:t>
      </w:r>
      <w:r w:rsidR="00042804">
        <w:noBreakHyphen/>
      </w:r>
      <w:r w:rsidRPr="00457262" w:rsidR="00457262">
        <w:t xml:space="preserve">interest factors in </w:t>
      </w:r>
      <w:r w:rsidR="004F7E76">
        <w:t>Section </w:t>
      </w:r>
      <w:r w:rsidRPr="00457262" w:rsidR="00457262">
        <w:t xml:space="preserve">854(c) as guidance in evaluating </w:t>
      </w:r>
      <w:r w:rsidR="00FC05D6">
        <w:t xml:space="preserve">an exemption under </w:t>
      </w:r>
      <w:r w:rsidR="004F7E76">
        <w:t>Section </w:t>
      </w:r>
      <w:r w:rsidR="00FC05D6">
        <w:t>853(b)</w:t>
      </w:r>
      <w:r w:rsidRPr="00457262" w:rsidR="00457262">
        <w:t>.</w:t>
      </w:r>
    </w:p>
    <w:p w:rsidRPr="00457262" w:rsidR="00457262" w:rsidP="00457262" w:rsidRDefault="00457262" w14:paraId="1360A2BE" w14:textId="122B5686">
      <w:pPr>
        <w:pStyle w:val="CoL"/>
      </w:pPr>
      <w:r w:rsidRPr="00457262">
        <w:t>The Proposed Transaction does not adversely affect utility rates, service, operations, management, workforce, or regulatory oversight.</w:t>
      </w:r>
    </w:p>
    <w:p w:rsidRPr="00457262" w:rsidR="00457262" w:rsidP="00457262" w:rsidRDefault="00457262" w14:paraId="7D4FFBDB" w14:textId="76DFE95B">
      <w:pPr>
        <w:pStyle w:val="CoL"/>
      </w:pPr>
      <w:r w:rsidRPr="00457262">
        <w:t>The Proposed Transaction does not materially increase financial risk to ratepayers based on the record before the Commission.</w:t>
      </w:r>
    </w:p>
    <w:p w:rsidRPr="00457262" w:rsidR="00457262" w:rsidP="00457262" w:rsidRDefault="00457262" w14:paraId="007E008A" w14:textId="447E7296">
      <w:pPr>
        <w:pStyle w:val="CoL"/>
      </w:pPr>
      <w:r w:rsidRPr="00457262">
        <w:t>The Proposed Transaction does not impair the Commission</w:t>
      </w:r>
      <w:r w:rsidR="00E5563F">
        <w:t>’</w:t>
      </w:r>
      <w:r w:rsidRPr="00457262">
        <w:t xml:space="preserve">s jurisdiction, regulatory authority, or ability to enforce applicable statutes, Commission decisions, affiliate transaction rules, reporting requirements, and </w:t>
      </w:r>
      <w:r w:rsidR="5ECCE38C">
        <w:t xml:space="preserve">existing </w:t>
      </w:r>
      <w:r w:rsidRPr="00457262">
        <w:t>holding company conditions.</w:t>
      </w:r>
    </w:p>
    <w:p w:rsidRPr="00457262" w:rsidR="00457262" w:rsidP="00457262" w:rsidRDefault="00457262" w14:paraId="7CE76AE5" w14:textId="4681E8C9">
      <w:pPr>
        <w:pStyle w:val="CoL"/>
      </w:pPr>
      <w:r w:rsidRPr="00457262">
        <w:t xml:space="preserve">The Proposed Transaction does not have material adverse impacts on </w:t>
      </w:r>
      <w:r w:rsidR="009655F7">
        <w:t>ESJ</w:t>
      </w:r>
      <w:r w:rsidRPr="00457262">
        <w:t xml:space="preserve"> communities and is consistent with the Commission</w:t>
      </w:r>
      <w:r w:rsidR="00E5563F">
        <w:t>’</w:t>
      </w:r>
      <w:r w:rsidRPr="00457262">
        <w:t xml:space="preserve">s </w:t>
      </w:r>
      <w:r w:rsidR="009655F7">
        <w:t>ESJ</w:t>
      </w:r>
      <w:r w:rsidRPr="00457262">
        <w:t xml:space="preserve"> Action Plan.</w:t>
      </w:r>
    </w:p>
    <w:p w:rsidR="00457262" w:rsidP="00457262" w:rsidRDefault="00887E6E" w14:paraId="4120D8A3" w14:textId="32BD997A">
      <w:pPr>
        <w:pStyle w:val="CoL"/>
      </w:pPr>
      <w:r>
        <w:t>It is reasonable to adopt</w:t>
      </w:r>
      <w:r w:rsidRPr="00457262" w:rsidR="00457262">
        <w:t xml:space="preserve"> the conditions set forth in this decision.</w:t>
      </w:r>
    </w:p>
    <w:p w:rsidR="4818F4F6" w:rsidP="3882AF99" w:rsidRDefault="00E07B63" w14:paraId="01DCA285" w14:textId="4B69A917">
      <w:pPr>
        <w:pStyle w:val="CoL"/>
      </w:pPr>
      <w:r>
        <w:t>S</w:t>
      </w:r>
      <w:r w:rsidR="74C4E24C">
        <w:t xml:space="preserve">ubject to the conditions adopted in this decision, </w:t>
      </w:r>
      <w:r w:rsidR="4818F4F6">
        <w:t>the proposed transaction should be exempted fro</w:t>
      </w:r>
      <w:r w:rsidR="22C7DB5D">
        <w:t xml:space="preserve">m the </w:t>
      </w:r>
      <w:r w:rsidR="4818F4F6">
        <w:t>review</w:t>
      </w:r>
      <w:r w:rsidR="6694C1EA">
        <w:t xml:space="preserve"> </w:t>
      </w:r>
      <w:r w:rsidR="5045B36E">
        <w:t xml:space="preserve">requirements in </w:t>
      </w:r>
      <w:r w:rsidR="00AE36E7">
        <w:t>Sections </w:t>
      </w:r>
      <w:r w:rsidR="5045B36E">
        <w:t>854(a)</w:t>
      </w:r>
      <w:r w:rsidR="00042804">
        <w:noBreakHyphen/>
      </w:r>
      <w:r w:rsidR="5045B36E">
        <w:t xml:space="preserve">(d) </w:t>
      </w:r>
      <w:r w:rsidR="4818F4F6">
        <w:t>pursuant to</w:t>
      </w:r>
      <w:r w:rsidR="01002327">
        <w:t xml:space="preserve"> </w:t>
      </w:r>
      <w:r w:rsidR="004F7E76">
        <w:t>Section </w:t>
      </w:r>
      <w:r w:rsidR="01002327">
        <w:t>853(b).</w:t>
      </w:r>
    </w:p>
    <w:p w:rsidR="00457262" w:rsidP="00457262" w:rsidRDefault="00457262" w14:paraId="239D6A16" w14:textId="4ABFF4D8">
      <w:pPr>
        <w:pStyle w:val="CoL"/>
      </w:pPr>
      <w:r w:rsidRPr="00457262">
        <w:t>This proceeding should be closed.</w:t>
      </w:r>
    </w:p>
    <w:p w:rsidR="00BB0243" w:rsidP="000A6E05" w:rsidRDefault="005939A5" w14:paraId="76A9E195" w14:textId="77777777">
      <w:pPr>
        <w:pStyle w:val="Mainex"/>
      </w:pPr>
      <w:bookmarkStart w:name="_Toc234583883" w:id="55"/>
      <w:bookmarkStart w:name="_Toc238105960" w:id="56"/>
      <w:r>
        <w:t>O</w:t>
      </w:r>
      <w:r w:rsidR="00722850">
        <w:t>RDER</w:t>
      </w:r>
      <w:bookmarkEnd w:id="55"/>
      <w:bookmarkEnd w:id="56"/>
    </w:p>
    <w:p w:rsidR="00BB0243" w:rsidP="005343EE" w:rsidRDefault="00BB0243" w14:paraId="6E401B85" w14:textId="77777777">
      <w:pPr>
        <w:pStyle w:val="Standard"/>
        <w:keepNext/>
      </w:pPr>
      <w:r w:rsidRPr="005343EE">
        <w:rPr>
          <w:b/>
          <w:bCs/>
        </w:rPr>
        <w:t>IT IS ORDERED</w:t>
      </w:r>
      <w:r>
        <w:t xml:space="preserve"> that:</w:t>
      </w:r>
    </w:p>
    <w:p w:rsidR="008613CA" w:rsidP="008613CA" w:rsidRDefault="00960B1E" w14:paraId="7F88DA80" w14:textId="538E7FEF">
      <w:pPr>
        <w:pStyle w:val="OP"/>
      </w:pPr>
      <w:r>
        <w:t>Application </w:t>
      </w:r>
      <w:r w:rsidRPr="0056775B" w:rsidR="0056775B">
        <w:t>25</w:t>
      </w:r>
      <w:r w:rsidR="00042804">
        <w:noBreakHyphen/>
      </w:r>
      <w:r w:rsidRPr="0056775B" w:rsidR="0056775B">
        <w:t>05</w:t>
      </w:r>
      <w:r w:rsidR="00042804">
        <w:noBreakHyphen/>
      </w:r>
      <w:r w:rsidRPr="0056775B" w:rsidR="0056775B">
        <w:t xml:space="preserve">020, filed by </w:t>
      </w:r>
      <w:r w:rsidR="00972FC6">
        <w:t>San </w:t>
      </w:r>
      <w:r w:rsidRPr="0056775B" w:rsidR="0056775B">
        <w:t>Diego Gas</w:t>
      </w:r>
      <w:r w:rsidR="00972FC6">
        <w:t xml:space="preserve"> &amp; </w:t>
      </w:r>
      <w:r w:rsidRPr="0056775B" w:rsidR="0056775B">
        <w:t>Electric Company (SDG&amp;E) and Southern California Gas Company (SoCalGas) (</w:t>
      </w:r>
      <w:r w:rsidR="00E935D9">
        <w:t>jointly</w:t>
      </w:r>
      <w:r w:rsidRPr="0056775B" w:rsidR="0056775B">
        <w:t>, Applicants)</w:t>
      </w:r>
      <w:r w:rsidR="00133F5C">
        <w:t>,</w:t>
      </w:r>
      <w:r w:rsidRPr="0056775B" w:rsidR="0056775B">
        <w:t xml:space="preserve"> is granted, subject to the conditions set forth in this decision.</w:t>
      </w:r>
      <w:r w:rsidR="002F4A7E">
        <w:t xml:space="preserve"> </w:t>
      </w:r>
      <w:r w:rsidRPr="002F4A7E" w:rsidR="002F4A7E">
        <w:t xml:space="preserve">Applicants are authorized to complete the proposed corporate reorganization, </w:t>
      </w:r>
      <w:r w:rsidRPr="002F4A7E" w:rsidR="002F4A7E">
        <w:lastRenderedPageBreak/>
        <w:t xml:space="preserve">including the creation of Sempra California, LLC as an intermediate holding company above Enova Corporation and Pacific Enterprises, the direct corporate parents of </w:t>
      </w:r>
      <w:r w:rsidR="0060594B">
        <w:t>Applicants</w:t>
      </w:r>
      <w:r w:rsidRPr="002F4A7E" w:rsidR="002F4A7E">
        <w:t xml:space="preserve">, and below Sempra, the ultimate corporate parent of </w:t>
      </w:r>
      <w:r w:rsidR="0060594B">
        <w:t>Applicants</w:t>
      </w:r>
      <w:r w:rsidRPr="002F4A7E" w:rsidR="002F4A7E">
        <w:t>.</w:t>
      </w:r>
      <w:r w:rsidR="008613CA">
        <w:t xml:space="preserve"> For illustrative purposes</w:t>
      </w:r>
      <w:r w:rsidR="00192A7F">
        <w:t xml:space="preserve"> only</w:t>
      </w:r>
      <w:r w:rsidR="008613CA">
        <w:t xml:space="preserve">, the </w:t>
      </w:r>
      <w:r w:rsidRPr="002F4A7E" w:rsidR="008613CA">
        <w:t>authorized corporate reorganization</w:t>
      </w:r>
      <w:r w:rsidR="008613CA">
        <w:t xml:space="preserve"> will look as follows once completed:</w:t>
      </w:r>
    </w:p>
    <w:p w:rsidR="008613CA" w:rsidP="008613CA" w:rsidRDefault="008613CA" w14:paraId="0BB6064D" w14:textId="091D99DB">
      <w:pPr>
        <w:pStyle w:val="OP"/>
        <w:numPr>
          <w:ilvl w:val="0"/>
          <w:numId w:val="0"/>
        </w:numPr>
        <w:jc w:val="center"/>
      </w:pPr>
      <w:r w:rsidRPr="008613CA">
        <w:rPr>
          <w:noProof/>
        </w:rPr>
        <w:drawing>
          <wp:inline distT="0" distB="0" distL="0" distR="0" wp14:anchorId="4FA40DBF" wp14:editId="335E0B63">
            <wp:extent cx="2076595" cy="3400425"/>
            <wp:effectExtent l="0" t="0" r="0" b="0"/>
            <wp:docPr id="1182421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421009" name=""/>
                    <pic:cNvPicPr/>
                  </pic:nvPicPr>
                  <pic:blipFill>
                    <a:blip r:embed="rId18"/>
                    <a:stretch>
                      <a:fillRect/>
                    </a:stretch>
                  </pic:blipFill>
                  <pic:spPr>
                    <a:xfrm>
                      <a:off x="0" y="0"/>
                      <a:ext cx="2081968" cy="3409224"/>
                    </a:xfrm>
                    <a:prstGeom prst="rect">
                      <a:avLst/>
                    </a:prstGeom>
                  </pic:spPr>
                </pic:pic>
              </a:graphicData>
            </a:graphic>
          </wp:inline>
        </w:drawing>
      </w:r>
    </w:p>
    <w:p w:rsidR="0056775B" w:rsidP="0056775B" w:rsidRDefault="00972FC6" w14:paraId="4CD32901" w14:textId="121299DA">
      <w:pPr>
        <w:pStyle w:val="OP"/>
      </w:pPr>
      <w:r>
        <w:t>San </w:t>
      </w:r>
      <w:r w:rsidRPr="0056775B" w:rsidR="002F4A7E">
        <w:t>Diego Gas</w:t>
      </w:r>
      <w:r>
        <w:t xml:space="preserve"> &amp; </w:t>
      </w:r>
      <w:r w:rsidRPr="0056775B" w:rsidR="002F4A7E">
        <w:t>Electric Company and Southern California Gas Company</w:t>
      </w:r>
      <w:r w:rsidR="00E5563F">
        <w:t>’</w:t>
      </w:r>
      <w:r w:rsidR="002F4A7E">
        <w:t>s</w:t>
      </w:r>
      <w:r w:rsidRPr="0056775B" w:rsidR="002F4A7E">
        <w:t xml:space="preserve"> </w:t>
      </w:r>
      <w:r w:rsidRPr="0056775B" w:rsidR="0056775B">
        <w:t xml:space="preserve">request for an exemption pursuant to Public Utilities Code </w:t>
      </w:r>
      <w:r w:rsidR="004F7E76">
        <w:t>Section </w:t>
      </w:r>
      <w:r w:rsidRPr="0056775B" w:rsidR="0056775B">
        <w:t>853(b) is granted.</w:t>
      </w:r>
    </w:p>
    <w:p w:rsidR="000A229D" w:rsidP="000A229D" w:rsidRDefault="00972FC6" w14:paraId="6FE336A1" w14:textId="717F0F4D">
      <w:pPr>
        <w:pStyle w:val="OP"/>
      </w:pPr>
      <w:r>
        <w:t>San </w:t>
      </w:r>
      <w:r w:rsidRPr="0056775B" w:rsidR="002F4A7E">
        <w:t>Diego Gas</w:t>
      </w:r>
      <w:r>
        <w:t xml:space="preserve"> &amp; </w:t>
      </w:r>
      <w:r w:rsidRPr="0056775B" w:rsidR="002F4A7E">
        <w:t>Electric Company</w:t>
      </w:r>
      <w:r w:rsidR="00A46456">
        <w:t xml:space="preserve"> </w:t>
      </w:r>
      <w:r w:rsidRPr="0056775B" w:rsidR="002F4A7E">
        <w:t>and Southern California Gas Company</w:t>
      </w:r>
      <w:r w:rsidRPr="0056775B" w:rsidR="0056775B">
        <w:t xml:space="preserve"> </w:t>
      </w:r>
      <w:r w:rsidRPr="0056775B" w:rsidR="007012BF">
        <w:t>(</w:t>
      </w:r>
      <w:r w:rsidR="007012BF">
        <w:t>jointly</w:t>
      </w:r>
      <w:r w:rsidRPr="0056775B" w:rsidR="007012BF">
        <w:t>, Applicants)</w:t>
      </w:r>
      <w:r w:rsidR="007012BF">
        <w:t xml:space="preserve"> </w:t>
      </w:r>
      <w:r w:rsidRPr="0056775B" w:rsidR="0056775B">
        <w:t xml:space="preserve">shall continue to comply with all applicable statutes, Commission decisions, General Orders, affiliate transaction rules, reporting requirements, holding company conditions, and other requirements applicable to </w:t>
      </w:r>
      <w:r w:rsidR="004D00AA">
        <w:t>Applicants</w:t>
      </w:r>
      <w:r w:rsidRPr="0056775B" w:rsidR="0056775B">
        <w:t>.</w:t>
      </w:r>
    </w:p>
    <w:p w:rsidR="000A229D" w:rsidP="000A229D" w:rsidRDefault="0056775B" w14:paraId="32EA54C9" w14:textId="0DC2DBFB">
      <w:pPr>
        <w:pStyle w:val="OP"/>
      </w:pPr>
      <w:r w:rsidRPr="0056775B">
        <w:t>The authorization granted in this decision is conditioned on the following:</w:t>
      </w:r>
    </w:p>
    <w:p w:rsidR="000A229D" w:rsidP="00902BB2" w:rsidRDefault="00972FC6" w14:paraId="6D3CEDD7" w14:textId="5E95918A">
      <w:pPr>
        <w:pStyle w:val="BlockQuoteH033"/>
        <w:numPr>
          <w:ilvl w:val="1"/>
          <w:numId w:val="5"/>
        </w:numPr>
        <w:ind w:left="1195" w:hanging="475"/>
      </w:pPr>
      <w:r>
        <w:lastRenderedPageBreak/>
        <w:t>San </w:t>
      </w:r>
      <w:r w:rsidRPr="0056775B" w:rsidR="000A229D">
        <w:t>Diego Gas</w:t>
      </w:r>
      <w:r>
        <w:t xml:space="preserve"> &amp; </w:t>
      </w:r>
      <w:r w:rsidRPr="0056775B" w:rsidR="000A229D">
        <w:t>Electric Company (SDG&amp;E) and Southern California Gas Company (SoCalGas)</w:t>
      </w:r>
      <w:r w:rsidR="000A229D">
        <w:t xml:space="preserve"> </w:t>
      </w:r>
      <w:r w:rsidRPr="0056775B" w:rsidR="000A229D">
        <w:t>(</w:t>
      </w:r>
      <w:r w:rsidR="0060594B">
        <w:t>jointly</w:t>
      </w:r>
      <w:r w:rsidRPr="0056775B" w:rsidR="000A229D">
        <w:t>, Applicants)</w:t>
      </w:r>
      <w:r w:rsidR="000A229D">
        <w:t xml:space="preserve"> </w:t>
      </w:r>
      <w:r w:rsidRPr="0056775B" w:rsidR="000A229D">
        <w:t>shall maintain separate books and records and shall not commingle utility assets with those of any affiliate, including Sempra California, LLC.</w:t>
      </w:r>
    </w:p>
    <w:p w:rsidR="000A229D" w:rsidP="00902BB2" w:rsidRDefault="000A229D" w14:paraId="557D3BA7" w14:textId="4843FB6F">
      <w:pPr>
        <w:pStyle w:val="BlockQuoteH033"/>
        <w:numPr>
          <w:ilvl w:val="1"/>
          <w:numId w:val="5"/>
        </w:numPr>
        <w:ind w:left="1195" w:hanging="475"/>
      </w:pPr>
      <w:r w:rsidRPr="0056775B">
        <w:t>All transactions between SDG&amp;E or SoCalGas and Sempra California, LLC, or any affiliate, shall be conducted on an arm</w:t>
      </w:r>
      <w:r w:rsidR="00E5563F">
        <w:t>’</w:t>
      </w:r>
      <w:r w:rsidRPr="0056775B">
        <w:t>s</w:t>
      </w:r>
      <w:r w:rsidR="00042804">
        <w:noBreakHyphen/>
      </w:r>
      <w:r w:rsidRPr="0056775B">
        <w:t>length basis and in compliance with applicable affiliate transaction rules.</w:t>
      </w:r>
    </w:p>
    <w:p w:rsidR="000A229D" w:rsidP="00902BB2" w:rsidRDefault="000A229D" w14:paraId="40665AE5" w14:textId="19056ADE">
      <w:pPr>
        <w:pStyle w:val="BlockQuoteH033"/>
        <w:numPr>
          <w:ilvl w:val="1"/>
          <w:numId w:val="5"/>
        </w:numPr>
        <w:ind w:left="1195" w:hanging="475"/>
      </w:pPr>
      <w:r w:rsidRPr="0056775B">
        <w:t>The creation of Sempra California, LLC shall not diminish the Commission</w:t>
      </w:r>
      <w:r w:rsidR="00E5563F">
        <w:t>’</w:t>
      </w:r>
      <w:r w:rsidRPr="0056775B">
        <w:t>s access to books, records, personnel, or information necessary to regulate SDG&amp;E or SoCalGas.</w:t>
      </w:r>
    </w:p>
    <w:p w:rsidR="000A229D" w:rsidP="00902BB2" w:rsidRDefault="0060594B" w14:paraId="31B9EC3E" w14:textId="0208EC9B">
      <w:pPr>
        <w:pStyle w:val="BlockQuoteH033"/>
        <w:numPr>
          <w:ilvl w:val="1"/>
          <w:numId w:val="5"/>
        </w:numPr>
        <w:ind w:left="1195" w:hanging="475"/>
      </w:pPr>
      <w:r>
        <w:t>Applicants</w:t>
      </w:r>
      <w:r w:rsidRPr="0056775B" w:rsidR="000A229D">
        <w:t xml:space="preserve"> shall continue to be ring</w:t>
      </w:r>
      <w:r w:rsidR="00042804">
        <w:noBreakHyphen/>
      </w:r>
      <w:r w:rsidRPr="0056775B" w:rsidR="000A229D">
        <w:t>fenced from the financial obligations of their parent and affiliate entities, and no utility assets shall be pledged or encumbered to support non</w:t>
      </w:r>
      <w:r w:rsidR="00042804">
        <w:noBreakHyphen/>
      </w:r>
      <w:r w:rsidRPr="0056775B" w:rsidR="000A229D">
        <w:t>utility affiliate obligations without prior Commission authorization.</w:t>
      </w:r>
    </w:p>
    <w:p w:rsidR="000A229D" w:rsidP="00902BB2" w:rsidRDefault="000A229D" w14:paraId="44A8D353" w14:textId="77777777">
      <w:pPr>
        <w:pStyle w:val="BlockQuoteH033"/>
        <w:numPr>
          <w:ilvl w:val="1"/>
          <w:numId w:val="5"/>
        </w:numPr>
        <w:ind w:left="1195" w:hanging="475"/>
      </w:pPr>
      <w:r w:rsidRPr="0056775B">
        <w:t>Applicants shall notify the Commission, through the Energy Division, within 30 days following consummation of the transaction, confirming that the transaction has been completed in accordance with the representations made in the Application.</w:t>
      </w:r>
    </w:p>
    <w:p w:rsidR="000A229D" w:rsidP="00902BB2" w:rsidRDefault="000A229D" w14:paraId="57AB99ED" w14:textId="36439194">
      <w:pPr>
        <w:pStyle w:val="BlockQuoteH033"/>
        <w:numPr>
          <w:ilvl w:val="1"/>
          <w:numId w:val="5"/>
        </w:numPr>
        <w:ind w:left="1195" w:hanging="475"/>
      </w:pPr>
      <w:r w:rsidRPr="0056775B">
        <w:t>Applicants shall notify the Commission of any material changes to workforce levels or labor arrangements attributable to the transaction within 12 months following consummation.</w:t>
      </w:r>
    </w:p>
    <w:p w:rsidR="00995E3B" w:rsidP="00995E3B" w:rsidRDefault="0056775B" w14:paraId="3E2E4BD6" w14:textId="0A77607D">
      <w:pPr>
        <w:pStyle w:val="OP"/>
      </w:pPr>
      <w:r w:rsidRPr="0056775B">
        <w:t xml:space="preserve">Within 60 days following consummation of the proposed transaction, </w:t>
      </w:r>
      <w:r w:rsidR="00972FC6">
        <w:t>San </w:t>
      </w:r>
      <w:r w:rsidRPr="0056775B" w:rsidR="002F4A7E">
        <w:t>Diego Gas</w:t>
      </w:r>
      <w:r w:rsidR="00972FC6">
        <w:t xml:space="preserve"> &amp; </w:t>
      </w:r>
      <w:r w:rsidRPr="0056775B" w:rsidR="002F4A7E">
        <w:t>Electric Company and Southern California Gas Company</w:t>
      </w:r>
      <w:r w:rsidRPr="0056775B">
        <w:t xml:space="preserve"> shall submit a </w:t>
      </w:r>
      <w:r w:rsidR="008D6FD1">
        <w:t>Tier </w:t>
      </w:r>
      <w:r w:rsidRPr="0056775B">
        <w:t xml:space="preserve">2 Advice Letter </w:t>
      </w:r>
      <w:r w:rsidR="00AF0354">
        <w:t>containing the following:</w:t>
      </w:r>
    </w:p>
    <w:p w:rsidR="00995E3B" w:rsidP="00995E3B" w:rsidRDefault="00AF0354" w14:paraId="12EE4ACF" w14:textId="38BD193F">
      <w:pPr>
        <w:pStyle w:val="BlockQuoteH033"/>
        <w:numPr>
          <w:ilvl w:val="1"/>
          <w:numId w:val="5"/>
        </w:numPr>
        <w:ind w:left="1195" w:hanging="475"/>
      </w:pPr>
      <w:r w:rsidRPr="00AF0354">
        <w:t>Narrative Description: A detailed explanation of the final corporate structure, describing how the proposed transaction reconfigures the network of relationships established through holding companies and affiliates;</w:t>
      </w:r>
    </w:p>
    <w:p w:rsidR="00995E3B" w:rsidP="00995E3B" w:rsidRDefault="00AF0354" w14:paraId="735EF87E" w14:textId="77777777">
      <w:pPr>
        <w:pStyle w:val="BlockQuoteH033"/>
        <w:numPr>
          <w:ilvl w:val="1"/>
          <w:numId w:val="5"/>
        </w:numPr>
        <w:ind w:left="1195" w:hanging="475"/>
      </w:pPr>
      <w:r w:rsidRPr="00AF0354">
        <w:t xml:space="preserve">Organizational Chart: A visual diagram depicting how the proposed transaction reconfigures the network of </w:t>
      </w:r>
      <w:r w:rsidRPr="00AF0354">
        <w:lastRenderedPageBreak/>
        <w:t>relationships established through holding companies and affiliates; and</w:t>
      </w:r>
    </w:p>
    <w:p w:rsidRPr="00AF0354" w:rsidR="00AF0354" w:rsidP="00995E3B" w:rsidRDefault="00AF0354" w14:paraId="360DA406" w14:textId="0BC3D8C0">
      <w:pPr>
        <w:pStyle w:val="BlockQuoteH033"/>
        <w:numPr>
          <w:ilvl w:val="1"/>
          <w:numId w:val="5"/>
        </w:numPr>
        <w:ind w:left="1195" w:hanging="475"/>
      </w:pPr>
      <w:r w:rsidRPr="00AF0354">
        <w:t>Certificate of Compliance: A statement signed under penalty of perjury certifying that (i) the narrative description and diagram are true and accurate representations of the reconfigured corporate network, and (ii) the utilities are in compliance with all conditions adopted in this decision.</w:t>
      </w:r>
    </w:p>
    <w:p w:rsidR="000A229D" w:rsidP="000A229D" w:rsidRDefault="0056775B" w14:paraId="1155078F" w14:textId="77777777">
      <w:pPr>
        <w:pStyle w:val="OP"/>
      </w:pPr>
      <w:r w:rsidRPr="0056775B">
        <w:t>The preliminary determination in the Scoping Memo that evidentiary hearings were not required is affirmed.</w:t>
      </w:r>
    </w:p>
    <w:p w:rsidR="000A229D" w:rsidP="000A229D" w:rsidRDefault="0056775B" w14:paraId="143FA4E5" w14:textId="77777777">
      <w:pPr>
        <w:pStyle w:val="OP"/>
      </w:pPr>
      <w:r w:rsidRPr="0056775B">
        <w:t>All rulings issued by the assigned Commissioner and Administrative Law Judge in this proceeding are affirmed. All motions not otherwise addressed in this decision are denied.</w:t>
      </w:r>
    </w:p>
    <w:p w:rsidR="00013D4C" w:rsidP="004710B3" w:rsidRDefault="00960B1E" w14:paraId="06EC2FF8" w14:textId="2C089E98">
      <w:pPr>
        <w:pStyle w:val="OP"/>
        <w:keepNext/>
        <w:ind w:firstLine="547"/>
      </w:pPr>
      <w:r>
        <w:t>Application </w:t>
      </w:r>
      <w:r w:rsidRPr="0056775B" w:rsidR="0056775B">
        <w:t>25</w:t>
      </w:r>
      <w:r w:rsidR="00042804">
        <w:noBreakHyphen/>
      </w:r>
      <w:r w:rsidRPr="0056775B" w:rsidR="0056775B">
        <w:t>05</w:t>
      </w:r>
      <w:r w:rsidR="00042804">
        <w:noBreakHyphen/>
      </w:r>
      <w:r w:rsidRPr="0056775B" w:rsidR="0056775B">
        <w:t>020 is closed.</w:t>
      </w:r>
    </w:p>
    <w:p w:rsidR="008F0116" w:rsidP="00412F1F" w:rsidRDefault="008F0116" w14:paraId="7EDADF98" w14:textId="32F5D023">
      <w:pPr>
        <w:pStyle w:val="Standard"/>
        <w:keepNext/>
      </w:pPr>
      <w:r>
        <w:t>This order is effective today.</w:t>
      </w:r>
    </w:p>
    <w:p w:rsidR="00714CF2" w:rsidP="00412F1F" w:rsidRDefault="008F0116" w14:paraId="2DC0CC5F" w14:textId="3597E78E">
      <w:pPr>
        <w:pStyle w:val="Standard"/>
        <w:keepNext/>
      </w:pPr>
      <w:r>
        <w:t xml:space="preserve">Dated </w:t>
      </w:r>
      <w:r w:rsidR="00937AE2">
        <w:t>August 13, 2026</w:t>
      </w:r>
      <w:r>
        <w:t xml:space="preserve">, at </w:t>
      </w:r>
      <w:r w:rsidR="00972FC6">
        <w:t>San </w:t>
      </w:r>
      <w:r>
        <w:t>Francisco, California</w:t>
      </w:r>
      <w:r w:rsidR="00412F1F">
        <w:t>.</w:t>
      </w:r>
    </w:p>
    <w:p w:rsidRPr="00132251" w:rsidR="005042E8" w:rsidP="005042E8" w:rsidRDefault="005042E8" w14:paraId="311031F6" w14:textId="77777777">
      <w:pPr>
        <w:pStyle w:val="SigSpaceBA"/>
      </w:pPr>
      <w:bookmarkStart w:name="_Hlk125015643" w:id="57"/>
    </w:p>
    <w:p w:rsidRPr="00132251" w:rsidR="005042E8" w:rsidP="005042E8" w:rsidRDefault="005042E8" w14:paraId="55597179" w14:textId="77777777">
      <w:pPr>
        <w:pStyle w:val="SigBlockBA-Cmr"/>
      </w:pPr>
      <w:r w:rsidRPr="00132251">
        <w:t>JOHN REYNOLDS</w:t>
      </w:r>
    </w:p>
    <w:p w:rsidRPr="00132251" w:rsidR="005042E8" w:rsidP="005042E8" w:rsidRDefault="005042E8" w14:paraId="63631741" w14:textId="77777777">
      <w:pPr>
        <w:pStyle w:val="SigBlockBA-Title"/>
      </w:pPr>
      <w:r w:rsidRPr="00132251">
        <w:t>President</w:t>
      </w:r>
    </w:p>
    <w:p w:rsidRPr="00132251" w:rsidR="005042E8" w:rsidP="005042E8" w:rsidRDefault="005042E8" w14:paraId="6B8012D2" w14:textId="77777777">
      <w:pPr>
        <w:pStyle w:val="SigBlockBA-Cmr"/>
      </w:pPr>
      <w:r w:rsidRPr="00132251">
        <w:t>DARCIE L. HOUCK</w:t>
      </w:r>
    </w:p>
    <w:p w:rsidRPr="00132251" w:rsidR="005042E8" w:rsidP="005042E8" w:rsidRDefault="005042E8" w14:paraId="2B5EE5F2" w14:textId="77777777">
      <w:pPr>
        <w:pStyle w:val="SigBlockBA-Cmr"/>
      </w:pPr>
      <w:r w:rsidRPr="001A0FB9">
        <w:t>KAREN DOUGLAS</w:t>
      </w:r>
    </w:p>
    <w:p w:rsidR="005042E8" w:rsidP="005042E8" w:rsidRDefault="005042E8" w14:paraId="72A83EDE" w14:textId="77777777">
      <w:pPr>
        <w:pStyle w:val="SigBlockBA-Cmr"/>
      </w:pPr>
      <w:r>
        <w:t>MATTHEW BAKER</w:t>
      </w:r>
    </w:p>
    <w:p w:rsidRPr="00132251" w:rsidR="005042E8" w:rsidP="005042E8" w:rsidRDefault="005042E8" w14:paraId="3B80AF34" w14:textId="77777777">
      <w:pPr>
        <w:pStyle w:val="SigBlockBA-Cmr"/>
      </w:pPr>
      <w:r>
        <w:t>CHRISTINE HARADA</w:t>
      </w:r>
    </w:p>
    <w:p w:rsidRPr="00714CF2" w:rsidR="00412F1F" w:rsidP="005042E8" w:rsidRDefault="005042E8" w14:paraId="684F0855" w14:textId="251C2120">
      <w:pPr>
        <w:pStyle w:val="SigBlockBA-Title"/>
      </w:pPr>
      <w:r w:rsidRPr="00132251">
        <w:t>Commissioners</w:t>
      </w:r>
      <w:bookmarkEnd w:id="57"/>
    </w:p>
    <w:sectPr w:rsidRPr="00714CF2" w:rsidR="00412F1F" w:rsidSect="00E85D9D">
      <w:footerReference w:type="default" r:id="rId19"/>
      <w:pgSz w:w="12240" w:h="15840"/>
      <w:pgMar w:top="1728"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CEBC4" w14:textId="77777777" w:rsidR="009728FF" w:rsidRDefault="009728FF" w:rsidP="0098138E">
      <w:pPr>
        <w:spacing w:line="240" w:lineRule="auto"/>
      </w:pPr>
      <w:r>
        <w:separator/>
      </w:r>
    </w:p>
  </w:endnote>
  <w:endnote w:type="continuationSeparator" w:id="0">
    <w:p w14:paraId="01F2611E" w14:textId="77777777" w:rsidR="009728FF" w:rsidRDefault="009728FF" w:rsidP="0098138E">
      <w:pPr>
        <w:spacing w:line="240" w:lineRule="auto"/>
      </w:pPr>
      <w:r>
        <w:continuationSeparator/>
      </w:r>
    </w:p>
  </w:endnote>
  <w:endnote w:type="continuationNotice" w:id="1">
    <w:p w14:paraId="54DFB0FD" w14:textId="77777777" w:rsidR="009728FF" w:rsidRDefault="009728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80BD" w14:textId="13B993F8" w:rsidR="00F92385" w:rsidRDefault="00042804" w:rsidP="001C4713">
    <w:pPr>
      <w:spacing w:line="240" w:lineRule="auto"/>
      <w:ind w:firstLine="0"/>
      <w:jc w:val="center"/>
    </w:pPr>
    <w:r>
      <w:noBreakHyphen/>
    </w:r>
    <w:r w:rsidR="001C4713">
      <w:t xml:space="preserve"> </w:t>
    </w:r>
    <w:sdt>
      <w:sdtPr>
        <w:id w:val="-1472208903"/>
        <w:docPartObj>
          <w:docPartGallery w:val="Page Numbers (Bottom of Page)"/>
          <w:docPartUnique/>
        </w:docPartObj>
      </w:sdtPr>
      <w:sdtEndPr>
        <w:rPr>
          <w:noProof/>
        </w:rPr>
      </w:sdtEndPr>
      <w:sdtContent>
        <w:r w:rsidR="00F92385">
          <w:fldChar w:fldCharType="begin"/>
        </w:r>
        <w:r w:rsidR="00F92385">
          <w:instrText xml:space="preserve"> PAGE   \* MERGEFORMAT </w:instrText>
        </w:r>
        <w:r w:rsidR="00F92385">
          <w:fldChar w:fldCharType="separate"/>
        </w:r>
        <w:r w:rsidR="00F92385">
          <w:rPr>
            <w:noProof/>
          </w:rPr>
          <w:t>2</w:t>
        </w:r>
        <w:r w:rsidR="00F92385">
          <w:rPr>
            <w:noProof/>
          </w:rPr>
          <w:fldChar w:fldCharType="end"/>
        </w:r>
        <w:r w:rsidR="001C4713">
          <w:rPr>
            <w:noProof/>
          </w:rPr>
          <w:t xml:space="preserve"> </w:t>
        </w:r>
        <w:r>
          <w:rPr>
            <w:noProof/>
          </w:rPr>
          <w:noBreakHyphen/>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B216F" w14:textId="3266394C" w:rsidR="00632207" w:rsidRDefault="00000000" w:rsidP="006A6057">
    <w:pPr>
      <w:tabs>
        <w:tab w:val="center" w:pos="4680"/>
      </w:tabs>
      <w:spacing w:line="240" w:lineRule="auto"/>
      <w:ind w:firstLine="0"/>
      <w:rPr>
        <w:noProof/>
      </w:rPr>
    </w:pPr>
    <w:sdt>
      <w:sdtPr>
        <w:id w:val="-1352874971"/>
        <w:docPartObj>
          <w:docPartGallery w:val="Page Numbers (Bottom of Page)"/>
          <w:docPartUnique/>
        </w:docPartObj>
      </w:sdtPr>
      <w:sdtEndPr>
        <w:rPr>
          <w:noProof/>
        </w:rPr>
      </w:sdtEndPr>
      <w:sdtContent>
        <w:r w:rsidR="008B6657" w:rsidRPr="008B6657">
          <w:rPr>
            <w:rFonts w:cs="Arial"/>
            <w:sz w:val="16"/>
            <w:szCs w:val="16"/>
          </w:rPr>
          <w:t>615654909</w:t>
        </w:r>
        <w:r w:rsidR="00632207">
          <w:rPr>
            <w:rFonts w:ascii="Arial" w:hAnsi="Arial" w:cs="Arial"/>
            <w:sz w:val="16"/>
            <w:szCs w:val="16"/>
          </w:rPr>
          <w:tab/>
        </w:r>
        <w:r w:rsidR="00042804">
          <w:noBreakHyphen/>
        </w:r>
        <w:r w:rsidR="00EE4315">
          <w:t xml:space="preserve"> </w:t>
        </w:r>
        <w:r w:rsidR="00F92385">
          <w:fldChar w:fldCharType="begin"/>
        </w:r>
        <w:r w:rsidR="00F92385">
          <w:instrText xml:space="preserve"> PAGE   \* MERGEFORMAT </w:instrText>
        </w:r>
        <w:r w:rsidR="00F92385">
          <w:fldChar w:fldCharType="separate"/>
        </w:r>
        <w:r w:rsidR="00F92385">
          <w:rPr>
            <w:noProof/>
          </w:rPr>
          <w:t>2</w:t>
        </w:r>
        <w:r w:rsidR="00F92385">
          <w:rPr>
            <w:noProof/>
          </w:rPr>
          <w:fldChar w:fldCharType="end"/>
        </w:r>
      </w:sdtContent>
    </w:sdt>
    <w:r w:rsidR="00EE4315">
      <w:rPr>
        <w:noProof/>
      </w:rPr>
      <w:t xml:space="preserve"> </w:t>
    </w:r>
    <w:r w:rsidR="00042804">
      <w:rPr>
        <w:noProof/>
      </w:rPr>
      <w:noBreak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1F87" w14:textId="1CCA98CA" w:rsidR="00E23CBB" w:rsidRDefault="00042804" w:rsidP="006A6057">
    <w:pPr>
      <w:spacing w:line="240" w:lineRule="auto"/>
      <w:ind w:firstLine="0"/>
      <w:jc w:val="center"/>
    </w:pPr>
    <w:r>
      <w:noBreakHyphen/>
    </w:r>
    <w:sdt>
      <w:sdtPr>
        <w:id w:val="-1034043401"/>
        <w:docPartObj>
          <w:docPartGallery w:val="Page Numbers (Bottom of Page)"/>
          <w:docPartUnique/>
        </w:docPartObj>
      </w:sdtPr>
      <w:sdtEndPr>
        <w:rPr>
          <w:noProof/>
        </w:rPr>
      </w:sdtEndPr>
      <w:sdtContent>
        <w:r w:rsidR="00EE4315">
          <w:t xml:space="preserve"> </w:t>
        </w:r>
        <w:r w:rsidR="00E23CBB">
          <w:fldChar w:fldCharType="begin"/>
        </w:r>
        <w:r w:rsidR="00E23CBB">
          <w:instrText xml:space="preserve"> PAGE   \* MERGEFORMAT </w:instrText>
        </w:r>
        <w:r w:rsidR="00E23CBB">
          <w:fldChar w:fldCharType="separate"/>
        </w:r>
        <w:r w:rsidR="00E23CBB">
          <w:rPr>
            <w:noProof/>
          </w:rPr>
          <w:t>2</w:t>
        </w:r>
        <w:r w:rsidR="00E23CBB">
          <w:rPr>
            <w:noProof/>
          </w:rPr>
          <w:fldChar w:fldCharType="end"/>
        </w:r>
        <w:r w:rsidR="00EE4315">
          <w:rPr>
            <w:noProof/>
          </w:rPr>
          <w:t xml:space="preserve"> </w:t>
        </w:r>
        <w:r>
          <w:rPr>
            <w:noProof/>
          </w:rPr>
          <w:noBreakHyphen/>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A0BF6" w14:textId="77777777" w:rsidR="009728FF" w:rsidRDefault="009728FF" w:rsidP="00DF58E7">
      <w:pPr>
        <w:spacing w:line="240" w:lineRule="auto"/>
        <w:ind w:firstLine="0"/>
      </w:pPr>
      <w:r>
        <w:separator/>
      </w:r>
    </w:p>
  </w:footnote>
  <w:footnote w:type="continuationSeparator" w:id="0">
    <w:p w14:paraId="63905113" w14:textId="77777777" w:rsidR="009728FF" w:rsidRDefault="009728FF" w:rsidP="00DF58E7">
      <w:pPr>
        <w:spacing w:line="240" w:lineRule="auto"/>
        <w:ind w:firstLine="0"/>
      </w:pPr>
      <w:r>
        <w:continuationSeparator/>
      </w:r>
    </w:p>
  </w:footnote>
  <w:footnote w:type="continuationNotice" w:id="1">
    <w:p w14:paraId="6FE639D5" w14:textId="77777777" w:rsidR="009728FF" w:rsidRPr="00DF58E7" w:rsidRDefault="009728FF" w:rsidP="00DF58E7">
      <w:pPr>
        <w:spacing w:line="240" w:lineRule="auto"/>
        <w:ind w:firstLine="0"/>
        <w:jc w:val="right"/>
        <w:rPr>
          <w:i/>
          <w:sz w:val="22"/>
        </w:rPr>
      </w:pPr>
      <w:r w:rsidRPr="00DF58E7">
        <w:rPr>
          <w:i/>
          <w:sz w:val="22"/>
        </w:rPr>
        <w:t>Footnote continued on next page.</w:t>
      </w:r>
    </w:p>
  </w:footnote>
  <w:footnote w:id="2">
    <w:p w14:paraId="61712B3E" w14:textId="054F44AE" w:rsidR="000E38EC" w:rsidRDefault="000E38EC">
      <w:pPr>
        <w:pStyle w:val="FootnoteText"/>
      </w:pPr>
      <w:r>
        <w:rPr>
          <w:rStyle w:val="FootnoteReference"/>
        </w:rPr>
        <w:footnoteRef/>
      </w:r>
      <w:r>
        <w:t xml:space="preserve"> All statutory references are to the Public Utilities Code unless otherwise noted.</w:t>
      </w:r>
    </w:p>
  </w:footnote>
  <w:footnote w:id="3">
    <w:p w14:paraId="57CA13E1" w14:textId="4A3FF532" w:rsidR="00AE62DB" w:rsidRDefault="00AE62DB" w:rsidP="004B10D2">
      <w:pPr>
        <w:pStyle w:val="FootnoteText"/>
      </w:pPr>
      <w:r>
        <w:rPr>
          <w:rStyle w:val="FootnoteReference"/>
        </w:rPr>
        <w:footnoteRef/>
      </w:r>
      <w:r>
        <w:t xml:space="preserve"> </w:t>
      </w:r>
      <w:r w:rsidRPr="00E07B63">
        <w:t>Response to ALJ</w:t>
      </w:r>
      <w:r w:rsidR="00E5563F">
        <w:t>’</w:t>
      </w:r>
      <w:r w:rsidRPr="00E07B63">
        <w:t xml:space="preserve">s Ruling Requesting Additional Information, filed </w:t>
      </w:r>
      <w:r w:rsidR="00E5563F">
        <w:t>October </w:t>
      </w:r>
      <w:r w:rsidRPr="00E07B63">
        <w:t>3, 2025, at</w:t>
      </w:r>
      <w:r w:rsidR="00597A12">
        <w:t xml:space="preserve"> </w:t>
      </w:r>
      <w:r w:rsidRPr="00E07B63">
        <w:t>Attachment</w:t>
      </w:r>
      <w:r w:rsidR="004B10D2">
        <w:t> </w:t>
      </w:r>
      <w:r w:rsidRPr="00E07B63">
        <w:t>3.</w:t>
      </w:r>
    </w:p>
  </w:footnote>
  <w:footnote w:id="4">
    <w:p w14:paraId="359742C8" w14:textId="132C5BB5" w:rsidR="001176A9" w:rsidRDefault="001176A9">
      <w:pPr>
        <w:pStyle w:val="FootnoteText"/>
      </w:pPr>
      <w:r>
        <w:rPr>
          <w:rStyle w:val="FootnoteReference"/>
        </w:rPr>
        <w:footnoteRef/>
      </w:r>
      <w:r>
        <w:t xml:space="preserve"> </w:t>
      </w:r>
      <w:r w:rsidRPr="00C50E2A">
        <w:rPr>
          <w:szCs w:val="26"/>
        </w:rPr>
        <w:t>D</w:t>
      </w:r>
      <w:r>
        <w:rPr>
          <w:szCs w:val="26"/>
        </w:rPr>
        <w:t>ecision (D.)</w:t>
      </w:r>
      <w:r w:rsidR="00A93801">
        <w:rPr>
          <w:szCs w:val="26"/>
        </w:rPr>
        <w:t> </w:t>
      </w:r>
      <w:r w:rsidRPr="00C50E2A">
        <w:rPr>
          <w:szCs w:val="26"/>
        </w:rPr>
        <w:t>03</w:t>
      </w:r>
      <w:r w:rsidR="00042804">
        <w:rPr>
          <w:szCs w:val="26"/>
        </w:rPr>
        <w:noBreakHyphen/>
      </w:r>
      <w:r w:rsidRPr="00C50E2A">
        <w:rPr>
          <w:szCs w:val="26"/>
        </w:rPr>
        <w:t>06</w:t>
      </w:r>
      <w:r w:rsidR="00042804">
        <w:rPr>
          <w:szCs w:val="26"/>
        </w:rPr>
        <w:noBreakHyphen/>
      </w:r>
      <w:r w:rsidRPr="00C50E2A">
        <w:rPr>
          <w:szCs w:val="26"/>
        </w:rPr>
        <w:t>069</w:t>
      </w:r>
      <w:r w:rsidR="00A86137">
        <w:rPr>
          <w:szCs w:val="26"/>
        </w:rPr>
        <w:t xml:space="preserve"> at 5</w:t>
      </w:r>
      <w:r w:rsidRPr="00C50E2A">
        <w:rPr>
          <w:szCs w:val="26"/>
        </w:rPr>
        <w:t>.</w:t>
      </w:r>
    </w:p>
  </w:footnote>
  <w:footnote w:id="5">
    <w:p w14:paraId="703C616D" w14:textId="3111757E" w:rsidR="0050061D" w:rsidRDefault="0050061D" w:rsidP="00877D44">
      <w:pPr>
        <w:pStyle w:val="FootnoteText"/>
      </w:pPr>
      <w:r>
        <w:rPr>
          <w:rStyle w:val="FootnoteReference"/>
        </w:rPr>
        <w:footnoteRef/>
      </w:r>
      <w:r>
        <w:t xml:space="preserve"> </w:t>
      </w:r>
      <w:r w:rsidR="005E7FE1">
        <w:t>D.07</w:t>
      </w:r>
      <w:r w:rsidR="00042804">
        <w:noBreakHyphen/>
      </w:r>
      <w:r w:rsidR="005E7FE1">
        <w:t>03</w:t>
      </w:r>
      <w:r w:rsidR="00042804">
        <w:noBreakHyphen/>
      </w:r>
      <w:r w:rsidR="005E7FE1">
        <w:t>047</w:t>
      </w:r>
      <w:r w:rsidR="009573DA">
        <w:t xml:space="preserve"> </w:t>
      </w:r>
      <w:r w:rsidR="00EE2737">
        <w:t>(</w:t>
      </w:r>
      <w:r w:rsidR="00877D44" w:rsidRPr="00EE2737">
        <w:rPr>
          <w:i/>
          <w:iCs/>
        </w:rPr>
        <w:t>In Re Wild Goose Storage Inc.</w:t>
      </w:r>
      <w:r w:rsidR="00877D44">
        <w:t>, No. 06</w:t>
      </w:r>
      <w:r w:rsidR="00042804">
        <w:noBreakHyphen/>
      </w:r>
      <w:r w:rsidR="00877D44">
        <w:t>05</w:t>
      </w:r>
      <w:r w:rsidR="00042804">
        <w:noBreakHyphen/>
      </w:r>
      <w:r w:rsidR="00877D44">
        <w:t xml:space="preserve">033, 2007 WL 846540 (Mar. 15, 2007) </w:t>
      </w:r>
      <w:r w:rsidR="000C39A6">
        <w:t xml:space="preserve">(Order Modifying </w:t>
      </w:r>
      <w:r w:rsidR="005B3938">
        <w:t>Decision </w:t>
      </w:r>
      <w:r w:rsidR="000C39A6">
        <w:t>06</w:t>
      </w:r>
      <w:r w:rsidR="00042804">
        <w:noBreakHyphen/>
      </w:r>
      <w:r w:rsidR="000C39A6">
        <w:t>11</w:t>
      </w:r>
      <w:r w:rsidR="00042804">
        <w:noBreakHyphen/>
      </w:r>
      <w:r w:rsidR="000C39A6">
        <w:t>019 and Denying Rehearing of Decision as Modified</w:t>
      </w:r>
      <w:r w:rsidR="00AF5E4D">
        <w:t>) (</w:t>
      </w:r>
      <w:r w:rsidR="007E0143">
        <w:t xml:space="preserve">clarifying that </w:t>
      </w:r>
      <w:r w:rsidR="007E0143" w:rsidRPr="007E0143">
        <w:t xml:space="preserve">application of the </w:t>
      </w:r>
      <w:r w:rsidR="00E5563F">
        <w:t>“</w:t>
      </w:r>
      <w:r w:rsidR="007E0143" w:rsidRPr="007E0143">
        <w:t>not adverse to the public interest</w:t>
      </w:r>
      <w:r w:rsidR="00E5563F">
        <w:t>”</w:t>
      </w:r>
      <w:r w:rsidR="007E0143" w:rsidRPr="007E0143">
        <w:t xml:space="preserve"> test is not a separate standard, but rather the same as demonstrating that the transaction was in the public interest under</w:t>
      </w:r>
      <w:r w:rsidR="00D470E3">
        <w:t xml:space="preserve"> </w:t>
      </w:r>
      <w:r w:rsidR="004F7E76">
        <w:t>Section </w:t>
      </w:r>
      <w:r w:rsidR="00CB717D" w:rsidRPr="00E07B63">
        <w:t>854(a)</w:t>
      </w:r>
      <w:r w:rsidR="00CB717D">
        <w:t>)</w:t>
      </w:r>
      <w:r w:rsidR="00057C7B">
        <w:t>)</w:t>
      </w:r>
      <w:r w:rsidR="007E0143" w:rsidRPr="007E0143">
        <w:t>.</w:t>
      </w:r>
    </w:p>
  </w:footnote>
  <w:footnote w:id="6">
    <w:p w14:paraId="479F6E45" w14:textId="1C1506D2" w:rsidR="001176A9" w:rsidRDefault="001176A9">
      <w:pPr>
        <w:pStyle w:val="FootnoteText"/>
      </w:pPr>
      <w:r>
        <w:rPr>
          <w:rStyle w:val="FootnoteReference"/>
        </w:rPr>
        <w:footnoteRef/>
      </w:r>
      <w:r>
        <w:t xml:space="preserve"> </w:t>
      </w:r>
      <w:r w:rsidR="00972FC6">
        <w:rPr>
          <w:i/>
          <w:iCs/>
        </w:rPr>
        <w:t>San </w:t>
      </w:r>
      <w:r w:rsidRPr="00E909FE">
        <w:rPr>
          <w:i/>
          <w:iCs/>
        </w:rPr>
        <w:t>Jose Water Co.</w:t>
      </w:r>
      <w:r w:rsidRPr="00B90E38">
        <w:t xml:space="preserve"> (1916) 10 CRC 56; D.03</w:t>
      </w:r>
      <w:r w:rsidR="00042804">
        <w:noBreakHyphen/>
      </w:r>
      <w:r w:rsidRPr="00B90E38">
        <w:t>06</w:t>
      </w:r>
      <w:r w:rsidR="00042804">
        <w:noBreakHyphen/>
      </w:r>
      <w:r w:rsidRPr="00B90E38">
        <w:t>069</w:t>
      </w:r>
      <w:r w:rsidR="00A86137">
        <w:t xml:space="preserve"> at 4</w:t>
      </w:r>
      <w:r w:rsidRPr="00B90E38">
        <w:t>; D.03</w:t>
      </w:r>
      <w:r w:rsidR="00042804">
        <w:noBreakHyphen/>
      </w:r>
      <w:r w:rsidRPr="00B90E38">
        <w:t>02</w:t>
      </w:r>
      <w:r w:rsidR="00042804">
        <w:noBreakHyphen/>
      </w:r>
      <w:r w:rsidRPr="00B90E38">
        <w:t>071</w:t>
      </w:r>
      <w:r w:rsidR="006A3CFC">
        <w:t xml:space="preserve"> at 1</w:t>
      </w:r>
      <w:r w:rsidRPr="00B90E38">
        <w:t>0.</w:t>
      </w:r>
    </w:p>
  </w:footnote>
  <w:footnote w:id="7">
    <w:p w14:paraId="14CDEB4B" w14:textId="7C2BF122" w:rsidR="00516109" w:rsidRDefault="00516109">
      <w:pPr>
        <w:pStyle w:val="FootnoteText"/>
      </w:pPr>
      <w:r>
        <w:rPr>
          <w:rStyle w:val="FootnoteReference"/>
        </w:rPr>
        <w:footnoteRef/>
      </w:r>
      <w:r>
        <w:t xml:space="preserve"> </w:t>
      </w:r>
      <w:r w:rsidRPr="00960A32">
        <w:rPr>
          <w:szCs w:val="26"/>
        </w:rPr>
        <w:t>A</w:t>
      </w:r>
      <w:r w:rsidR="00960B1E">
        <w:rPr>
          <w:szCs w:val="26"/>
        </w:rPr>
        <w:t>.</w:t>
      </w:r>
      <w:r w:rsidRPr="00960A32">
        <w:rPr>
          <w:szCs w:val="26"/>
        </w:rPr>
        <w:t>25</w:t>
      </w:r>
      <w:r w:rsidR="00042804">
        <w:rPr>
          <w:szCs w:val="26"/>
        </w:rPr>
        <w:noBreakHyphen/>
      </w:r>
      <w:r w:rsidRPr="00960A32">
        <w:rPr>
          <w:szCs w:val="26"/>
        </w:rPr>
        <w:t>05</w:t>
      </w:r>
      <w:r w:rsidR="00042804">
        <w:rPr>
          <w:szCs w:val="26"/>
        </w:rPr>
        <w:noBreakHyphen/>
      </w:r>
      <w:r w:rsidRPr="00960A32">
        <w:rPr>
          <w:szCs w:val="26"/>
        </w:rPr>
        <w:t xml:space="preserve">020 </w:t>
      </w:r>
      <w:r>
        <w:t xml:space="preserve">filed </w:t>
      </w:r>
      <w:r w:rsidR="00E5563F">
        <w:t>May </w:t>
      </w:r>
      <w:r>
        <w:t>30, 2025 (Application)</w:t>
      </w:r>
      <w:r w:rsidR="006A3CFC">
        <w:t xml:space="preserve"> at 1</w:t>
      </w:r>
      <w:r w:rsidR="00042804">
        <w:noBreakHyphen/>
      </w:r>
      <w:r w:rsidRPr="00516109">
        <w:t>3, 11</w:t>
      </w:r>
      <w:r w:rsidR="00042804">
        <w:noBreakHyphen/>
      </w:r>
      <w:r w:rsidRPr="00516109">
        <w:t>12</w:t>
      </w:r>
      <w:r>
        <w:t>.</w:t>
      </w:r>
    </w:p>
  </w:footnote>
  <w:footnote w:id="8">
    <w:p w14:paraId="04DCA8F6" w14:textId="5CC3A093" w:rsidR="00516109" w:rsidRDefault="00516109">
      <w:pPr>
        <w:pStyle w:val="FootnoteText"/>
      </w:pPr>
      <w:r>
        <w:rPr>
          <w:rStyle w:val="FootnoteReference"/>
        </w:rPr>
        <w:footnoteRef/>
      </w:r>
      <w:r>
        <w:t xml:space="preserve"> </w:t>
      </w:r>
      <w:r w:rsidRPr="00516109">
        <w:t>Application</w:t>
      </w:r>
      <w:r w:rsidR="006A3CFC">
        <w:t xml:space="preserve"> at 1</w:t>
      </w:r>
      <w:r w:rsidRPr="00516109">
        <w:t>, 8</w:t>
      </w:r>
      <w:r w:rsidR="00042804">
        <w:noBreakHyphen/>
      </w:r>
      <w:r w:rsidRPr="00516109">
        <w:t>10, 12</w:t>
      </w:r>
      <w:r>
        <w:t>.</w:t>
      </w:r>
    </w:p>
  </w:footnote>
  <w:footnote w:id="9">
    <w:p w14:paraId="226679ED" w14:textId="60AF64ED" w:rsidR="001176A9" w:rsidRDefault="001176A9">
      <w:pPr>
        <w:pStyle w:val="FootnoteText"/>
      </w:pPr>
      <w:r>
        <w:rPr>
          <w:rStyle w:val="FootnoteReference"/>
        </w:rPr>
        <w:footnoteRef/>
      </w:r>
      <w:r>
        <w:t xml:space="preserve"> Application</w:t>
      </w:r>
      <w:r w:rsidR="006A3CFC">
        <w:t xml:space="preserve"> at 1</w:t>
      </w:r>
      <w:r w:rsidRPr="001176A9">
        <w:t>, 3</w:t>
      </w:r>
      <w:r w:rsidR="00042804">
        <w:noBreakHyphen/>
      </w:r>
      <w:r w:rsidRPr="001176A9">
        <w:t>4, 8</w:t>
      </w:r>
      <w:r w:rsidR="00042804">
        <w:noBreakHyphen/>
      </w:r>
      <w:r w:rsidRPr="001176A9">
        <w:t>10</w:t>
      </w:r>
      <w:r>
        <w:t>.</w:t>
      </w:r>
    </w:p>
  </w:footnote>
  <w:footnote w:id="10">
    <w:p w14:paraId="5E59F278" w14:textId="11E6731D" w:rsidR="001176A9" w:rsidRPr="001176A9" w:rsidRDefault="001176A9" w:rsidP="004527CA">
      <w:pPr>
        <w:pStyle w:val="FootnoteText"/>
      </w:pPr>
      <w:r w:rsidRPr="001176A9">
        <w:rPr>
          <w:rStyle w:val="FootnoteReference"/>
        </w:rPr>
        <w:footnoteRef/>
      </w:r>
      <w:r w:rsidRPr="001176A9">
        <w:t xml:space="preserve"> Application</w:t>
      </w:r>
      <w:r w:rsidR="00A86137">
        <w:t xml:space="preserve"> at 8</w:t>
      </w:r>
      <w:r w:rsidR="00042804">
        <w:noBreakHyphen/>
      </w:r>
      <w:r w:rsidRPr="001176A9">
        <w:t>9, citing D.16</w:t>
      </w:r>
      <w:r w:rsidR="00042804">
        <w:noBreakHyphen/>
      </w:r>
      <w:r w:rsidRPr="001176A9">
        <w:t>01</w:t>
      </w:r>
      <w:r w:rsidR="00042804">
        <w:noBreakHyphen/>
      </w:r>
      <w:r w:rsidRPr="001176A9">
        <w:t>037 [internal holding</w:t>
      </w:r>
      <w:r w:rsidR="00042804">
        <w:noBreakHyphen/>
      </w:r>
      <w:r w:rsidRPr="001176A9">
        <w:t xml:space="preserve">company restructuring did not constitute a change of control under </w:t>
      </w:r>
      <w:r w:rsidR="004F7E76">
        <w:t>Section </w:t>
      </w:r>
      <w:r w:rsidRPr="001176A9">
        <w:t>854].)</w:t>
      </w:r>
    </w:p>
  </w:footnote>
  <w:footnote w:id="11">
    <w:p w14:paraId="32865A96" w14:textId="431ACAAF" w:rsidR="001176A9" w:rsidRDefault="001176A9">
      <w:pPr>
        <w:pStyle w:val="FootnoteText"/>
      </w:pPr>
      <w:r>
        <w:rPr>
          <w:rStyle w:val="FootnoteReference"/>
        </w:rPr>
        <w:footnoteRef/>
      </w:r>
      <w:r>
        <w:t xml:space="preserve"> </w:t>
      </w:r>
      <w:r w:rsidR="00A725B8" w:rsidRPr="00A725B8">
        <w:rPr>
          <w:i/>
          <w:iCs/>
        </w:rPr>
        <w:t>See</w:t>
      </w:r>
      <w:r w:rsidRPr="00B90E38">
        <w:t xml:space="preserve"> </w:t>
      </w:r>
      <w:r>
        <w:t>c</w:t>
      </w:r>
      <w:r w:rsidRPr="00B90E38">
        <w:t>ontrol discussion in D.08</w:t>
      </w:r>
      <w:r w:rsidR="00042804">
        <w:noBreakHyphen/>
      </w:r>
      <w:r w:rsidRPr="00B90E38">
        <w:t>12</w:t>
      </w:r>
      <w:r w:rsidR="00042804">
        <w:noBreakHyphen/>
      </w:r>
      <w:r w:rsidRPr="00B90E38">
        <w:t>021</w:t>
      </w:r>
      <w:r w:rsidR="006A3CFC">
        <w:t xml:space="preserve"> at 1</w:t>
      </w:r>
      <w:r w:rsidRPr="00B90E38">
        <w:t>1; D.07</w:t>
      </w:r>
      <w:r w:rsidR="00042804">
        <w:noBreakHyphen/>
      </w:r>
      <w:r w:rsidRPr="00B90E38">
        <w:t>06</w:t>
      </w:r>
      <w:r w:rsidR="00042804">
        <w:noBreakHyphen/>
      </w:r>
      <w:r w:rsidRPr="00B90E38">
        <w:t>061</w:t>
      </w:r>
      <w:r w:rsidR="00A86137">
        <w:t xml:space="preserve"> at 4</w:t>
      </w:r>
      <w:r w:rsidRPr="00B90E38">
        <w:t>7; D.03</w:t>
      </w:r>
      <w:r w:rsidR="00042804">
        <w:noBreakHyphen/>
      </w:r>
      <w:r w:rsidRPr="00B90E38">
        <w:t>06</w:t>
      </w:r>
      <w:r w:rsidR="00042804">
        <w:noBreakHyphen/>
      </w:r>
      <w:r w:rsidRPr="00B90E38">
        <w:t>069</w:t>
      </w:r>
      <w:r w:rsidR="00A86137">
        <w:t xml:space="preserve"> at 8</w:t>
      </w:r>
      <w:r w:rsidR="00042804">
        <w:noBreakHyphen/>
      </w:r>
      <w:r>
        <w:t>10</w:t>
      </w:r>
      <w:r w:rsidRPr="00B90E38">
        <w:t>.</w:t>
      </w:r>
    </w:p>
  </w:footnote>
  <w:footnote w:id="12">
    <w:p w14:paraId="65722F43" w14:textId="13FEF45B" w:rsidR="001176A9" w:rsidRDefault="001176A9">
      <w:pPr>
        <w:pStyle w:val="FootnoteText"/>
      </w:pPr>
      <w:r>
        <w:rPr>
          <w:rStyle w:val="FootnoteReference"/>
        </w:rPr>
        <w:footnoteRef/>
      </w:r>
      <w:r>
        <w:t xml:space="preserve"> </w:t>
      </w:r>
      <w:r w:rsidR="00A725B8" w:rsidRPr="00A725B8">
        <w:rPr>
          <w:i/>
          <w:iCs/>
          <w:szCs w:val="26"/>
        </w:rPr>
        <w:t>See</w:t>
      </w:r>
      <w:r w:rsidRPr="00C50E2A">
        <w:rPr>
          <w:szCs w:val="26"/>
        </w:rPr>
        <w:t xml:space="preserve"> D.03</w:t>
      </w:r>
      <w:r w:rsidR="00042804">
        <w:rPr>
          <w:szCs w:val="26"/>
        </w:rPr>
        <w:noBreakHyphen/>
      </w:r>
      <w:r w:rsidRPr="00C50E2A">
        <w:rPr>
          <w:szCs w:val="26"/>
        </w:rPr>
        <w:t>06</w:t>
      </w:r>
      <w:r w:rsidR="00042804">
        <w:rPr>
          <w:szCs w:val="26"/>
        </w:rPr>
        <w:noBreakHyphen/>
      </w:r>
      <w:r w:rsidRPr="00C50E2A">
        <w:rPr>
          <w:szCs w:val="26"/>
        </w:rPr>
        <w:t>069</w:t>
      </w:r>
      <w:r w:rsidR="00A86137">
        <w:rPr>
          <w:szCs w:val="26"/>
        </w:rPr>
        <w:t xml:space="preserve"> at 6</w:t>
      </w:r>
      <w:r w:rsidR="00042804">
        <w:rPr>
          <w:szCs w:val="26"/>
        </w:rPr>
        <w:noBreakHyphen/>
      </w:r>
      <w:r w:rsidRPr="00C50E2A">
        <w:rPr>
          <w:szCs w:val="26"/>
        </w:rPr>
        <w:t>10; D.12</w:t>
      </w:r>
      <w:r w:rsidR="00042804">
        <w:rPr>
          <w:szCs w:val="26"/>
        </w:rPr>
        <w:noBreakHyphen/>
      </w:r>
      <w:r w:rsidRPr="00C50E2A">
        <w:rPr>
          <w:szCs w:val="26"/>
        </w:rPr>
        <w:t>04</w:t>
      </w:r>
      <w:r w:rsidR="00042804">
        <w:rPr>
          <w:szCs w:val="26"/>
        </w:rPr>
        <w:noBreakHyphen/>
      </w:r>
      <w:r w:rsidRPr="00C50E2A">
        <w:rPr>
          <w:szCs w:val="26"/>
        </w:rPr>
        <w:t>035.</w:t>
      </w:r>
    </w:p>
  </w:footnote>
  <w:footnote w:id="13">
    <w:p w14:paraId="0A12471E" w14:textId="22AD88B4" w:rsidR="00E741BF" w:rsidRDefault="00E741BF">
      <w:pPr>
        <w:pStyle w:val="FootnoteText"/>
      </w:pPr>
      <w:r>
        <w:rPr>
          <w:rStyle w:val="FootnoteReference"/>
        </w:rPr>
        <w:footnoteRef/>
      </w:r>
      <w:r>
        <w:t xml:space="preserve"> </w:t>
      </w:r>
      <w:r>
        <w:rPr>
          <w:szCs w:val="26"/>
        </w:rPr>
        <w:t>Ap</w:t>
      </w:r>
      <w:r w:rsidRPr="00E741BF">
        <w:rPr>
          <w:szCs w:val="26"/>
        </w:rPr>
        <w:t>plication</w:t>
      </w:r>
      <w:r w:rsidR="006A3CFC">
        <w:rPr>
          <w:szCs w:val="26"/>
        </w:rPr>
        <w:t xml:space="preserve"> at 1</w:t>
      </w:r>
      <w:r w:rsidRPr="00E741BF">
        <w:rPr>
          <w:szCs w:val="26"/>
        </w:rPr>
        <w:t>, 3</w:t>
      </w:r>
      <w:r w:rsidR="00042804">
        <w:rPr>
          <w:szCs w:val="26"/>
        </w:rPr>
        <w:noBreakHyphen/>
      </w:r>
      <w:r w:rsidRPr="00E741BF">
        <w:rPr>
          <w:szCs w:val="26"/>
        </w:rPr>
        <w:t>4, 8</w:t>
      </w:r>
      <w:r w:rsidR="00042804">
        <w:rPr>
          <w:szCs w:val="26"/>
        </w:rPr>
        <w:noBreakHyphen/>
      </w:r>
      <w:r w:rsidRPr="00E741BF">
        <w:rPr>
          <w:szCs w:val="26"/>
        </w:rPr>
        <w:t>10,</w:t>
      </w:r>
      <w:r>
        <w:rPr>
          <w:szCs w:val="26"/>
        </w:rPr>
        <w:t xml:space="preserve"> and Exhibit A.</w:t>
      </w:r>
    </w:p>
  </w:footnote>
  <w:footnote w:id="14">
    <w:p w14:paraId="4D66FD40" w14:textId="2CE9AD43" w:rsidR="009574B9" w:rsidRDefault="009574B9">
      <w:pPr>
        <w:pStyle w:val="FootnoteText"/>
      </w:pPr>
      <w:r>
        <w:rPr>
          <w:rStyle w:val="FootnoteReference"/>
        </w:rPr>
        <w:footnoteRef/>
      </w:r>
      <w:r>
        <w:t xml:space="preserve"> </w:t>
      </w:r>
      <w:r w:rsidRPr="009574B9">
        <w:rPr>
          <w:szCs w:val="26"/>
        </w:rPr>
        <w:t>Application</w:t>
      </w:r>
      <w:r w:rsidR="006A3CFC">
        <w:rPr>
          <w:szCs w:val="26"/>
        </w:rPr>
        <w:t xml:space="preserve"> at 1</w:t>
      </w:r>
      <w:r w:rsidRPr="009574B9">
        <w:rPr>
          <w:szCs w:val="26"/>
        </w:rPr>
        <w:t>; Response to ALJ Ruling Requesting Additional Information</w:t>
      </w:r>
      <w:r w:rsidR="00710D0F">
        <w:rPr>
          <w:szCs w:val="26"/>
        </w:rPr>
        <w:t xml:space="preserve"> (Response to Ruling)</w:t>
      </w:r>
      <w:r w:rsidRPr="009574B9">
        <w:rPr>
          <w:szCs w:val="26"/>
        </w:rPr>
        <w:t xml:space="preserve">, filed </w:t>
      </w:r>
      <w:r w:rsidR="00C47116">
        <w:rPr>
          <w:szCs w:val="26"/>
        </w:rPr>
        <w:t>October 3</w:t>
      </w:r>
      <w:r w:rsidRPr="009574B9">
        <w:rPr>
          <w:szCs w:val="26"/>
        </w:rPr>
        <w:t>, 2025,</w:t>
      </w:r>
      <w:r w:rsidR="00A86137">
        <w:rPr>
          <w:szCs w:val="26"/>
        </w:rPr>
        <w:t xml:space="preserve"> at 2</w:t>
      </w:r>
      <w:r w:rsidRPr="009574B9">
        <w:rPr>
          <w:szCs w:val="26"/>
        </w:rPr>
        <w:t>, 12</w:t>
      </w:r>
      <w:r w:rsidR="00042804">
        <w:rPr>
          <w:szCs w:val="26"/>
        </w:rPr>
        <w:noBreakHyphen/>
      </w:r>
      <w:r w:rsidRPr="009574B9">
        <w:rPr>
          <w:szCs w:val="26"/>
        </w:rPr>
        <w:t>13.</w:t>
      </w:r>
    </w:p>
  </w:footnote>
  <w:footnote w:id="15">
    <w:p w14:paraId="2D2383A9" w14:textId="3A3FF17A" w:rsidR="005B7FBB" w:rsidRDefault="005B7FBB">
      <w:pPr>
        <w:pStyle w:val="FootnoteText"/>
      </w:pPr>
      <w:r>
        <w:rPr>
          <w:rStyle w:val="FootnoteReference"/>
        </w:rPr>
        <w:footnoteRef/>
      </w:r>
      <w:r>
        <w:t xml:space="preserve"> </w:t>
      </w:r>
      <w:r w:rsidR="00614FA9" w:rsidRPr="00E723F3">
        <w:rPr>
          <w:szCs w:val="26"/>
        </w:rPr>
        <w:t xml:space="preserve">Prior Commission decisions </w:t>
      </w:r>
      <w:r w:rsidR="00690A1A">
        <w:rPr>
          <w:szCs w:val="26"/>
        </w:rPr>
        <w:t>involving telecommunications companies</w:t>
      </w:r>
      <w:r w:rsidR="00614FA9" w:rsidRPr="00E723F3">
        <w:rPr>
          <w:szCs w:val="26"/>
        </w:rPr>
        <w:t xml:space="preserve"> recognize our broad power to exempt mergers from review under</w:t>
      </w:r>
      <w:r w:rsidR="00A93801">
        <w:rPr>
          <w:szCs w:val="26"/>
        </w:rPr>
        <w:t xml:space="preserve"> </w:t>
      </w:r>
      <w:hyperlink r:id="rId1" w:history="1">
        <w:r w:rsidR="00525814">
          <w:t>§§ </w:t>
        </w:r>
        <w:r w:rsidR="00614FA9" w:rsidRPr="00E723F3">
          <w:t>854(b) and (c)</w:t>
        </w:r>
      </w:hyperlink>
      <w:r w:rsidR="00614FA9" w:rsidRPr="00E723F3">
        <w:rPr>
          <w:szCs w:val="26"/>
        </w:rPr>
        <w:t>.</w:t>
      </w:r>
      <w:r w:rsidR="00B738A5">
        <w:rPr>
          <w:szCs w:val="26"/>
        </w:rPr>
        <w:t xml:space="preserve"> </w:t>
      </w:r>
      <w:r w:rsidR="00352B64" w:rsidRPr="00E07B63">
        <w:rPr>
          <w:i/>
        </w:rPr>
        <w:t>See</w:t>
      </w:r>
      <w:r w:rsidR="00352B64">
        <w:t xml:space="preserve"> </w:t>
      </w:r>
      <w:r w:rsidRPr="00C50E2A">
        <w:rPr>
          <w:szCs w:val="26"/>
        </w:rPr>
        <w:t>D.06</w:t>
      </w:r>
      <w:r w:rsidR="00042804">
        <w:rPr>
          <w:szCs w:val="26"/>
        </w:rPr>
        <w:noBreakHyphen/>
      </w:r>
      <w:r w:rsidRPr="00C50E2A">
        <w:rPr>
          <w:szCs w:val="26"/>
        </w:rPr>
        <w:t>04</w:t>
      </w:r>
      <w:r w:rsidR="00042804">
        <w:rPr>
          <w:szCs w:val="26"/>
        </w:rPr>
        <w:noBreakHyphen/>
      </w:r>
      <w:r w:rsidRPr="00C50E2A">
        <w:rPr>
          <w:szCs w:val="26"/>
        </w:rPr>
        <w:t>074</w:t>
      </w:r>
      <w:r w:rsidR="00A86137">
        <w:rPr>
          <w:szCs w:val="26"/>
        </w:rPr>
        <w:t xml:space="preserve"> at 8</w:t>
      </w:r>
      <w:r w:rsidRPr="00C50E2A">
        <w:rPr>
          <w:szCs w:val="26"/>
        </w:rPr>
        <w:t>; D.06</w:t>
      </w:r>
      <w:r w:rsidR="00042804">
        <w:rPr>
          <w:szCs w:val="26"/>
        </w:rPr>
        <w:noBreakHyphen/>
      </w:r>
      <w:r w:rsidRPr="00C50E2A">
        <w:rPr>
          <w:szCs w:val="26"/>
        </w:rPr>
        <w:t>04</w:t>
      </w:r>
      <w:r w:rsidR="00042804">
        <w:rPr>
          <w:szCs w:val="26"/>
        </w:rPr>
        <w:noBreakHyphen/>
      </w:r>
      <w:r w:rsidRPr="00C50E2A">
        <w:rPr>
          <w:szCs w:val="26"/>
        </w:rPr>
        <w:t>075</w:t>
      </w:r>
      <w:r w:rsidR="00A86137">
        <w:rPr>
          <w:szCs w:val="26"/>
        </w:rPr>
        <w:t xml:space="preserve"> at 8</w:t>
      </w:r>
      <w:r w:rsidRPr="00C50E2A">
        <w:rPr>
          <w:szCs w:val="26"/>
        </w:rPr>
        <w:t>.</w:t>
      </w:r>
      <w:r w:rsidR="00B738A5">
        <w:rPr>
          <w:szCs w:val="26"/>
        </w:rPr>
        <w:t xml:space="preserve"> </w:t>
      </w:r>
      <w:r w:rsidR="001B2661">
        <w:rPr>
          <w:szCs w:val="26"/>
        </w:rPr>
        <w:t xml:space="preserve">The </w:t>
      </w:r>
      <w:r w:rsidR="001B2661" w:rsidRPr="001B2661">
        <w:rPr>
          <w:szCs w:val="26"/>
        </w:rPr>
        <w:t xml:space="preserve">Commission has used the </w:t>
      </w:r>
      <w:r w:rsidR="00FB4EDA">
        <w:rPr>
          <w:szCs w:val="26"/>
        </w:rPr>
        <w:t>Section </w:t>
      </w:r>
      <w:r w:rsidR="001B2661" w:rsidRPr="001B2661">
        <w:rPr>
          <w:szCs w:val="26"/>
        </w:rPr>
        <w:t xml:space="preserve">854(c) public interest factors to guide our analysis outside mergers, including for transactions not subject </w:t>
      </w:r>
      <w:r w:rsidR="00985DFB">
        <w:rPr>
          <w:szCs w:val="26"/>
        </w:rPr>
        <w:t>to Section </w:t>
      </w:r>
      <w:r w:rsidR="001B2661" w:rsidRPr="001B2661">
        <w:rPr>
          <w:szCs w:val="26"/>
        </w:rPr>
        <w:t>854.</w:t>
      </w:r>
      <w:r w:rsidR="00B738A5">
        <w:rPr>
          <w:szCs w:val="26"/>
        </w:rPr>
        <w:t xml:space="preserve"> </w:t>
      </w:r>
      <w:r w:rsidR="00A725B8" w:rsidRPr="00A725B8">
        <w:rPr>
          <w:i/>
          <w:iCs/>
          <w:szCs w:val="26"/>
        </w:rPr>
        <w:t>See</w:t>
      </w:r>
      <w:r w:rsidR="000F42F4">
        <w:rPr>
          <w:szCs w:val="26"/>
        </w:rPr>
        <w:t xml:space="preserve"> </w:t>
      </w:r>
      <w:r w:rsidR="000F42F4" w:rsidRPr="000F42F4">
        <w:rPr>
          <w:szCs w:val="26"/>
        </w:rPr>
        <w:t>D.24</w:t>
      </w:r>
      <w:r w:rsidR="00042804">
        <w:rPr>
          <w:szCs w:val="26"/>
        </w:rPr>
        <w:noBreakHyphen/>
      </w:r>
      <w:r w:rsidR="000F42F4" w:rsidRPr="000F42F4">
        <w:rPr>
          <w:szCs w:val="26"/>
        </w:rPr>
        <w:t>05</w:t>
      </w:r>
      <w:r w:rsidR="00042804">
        <w:rPr>
          <w:szCs w:val="26"/>
        </w:rPr>
        <w:noBreakHyphen/>
      </w:r>
      <w:r w:rsidR="000F42F4" w:rsidRPr="000F42F4">
        <w:rPr>
          <w:szCs w:val="26"/>
        </w:rPr>
        <w:t>004</w:t>
      </w:r>
      <w:r w:rsidR="006A3CFC">
        <w:rPr>
          <w:szCs w:val="26"/>
        </w:rPr>
        <w:t xml:space="preserve"> at 1</w:t>
      </w:r>
      <w:r w:rsidR="000F42F4" w:rsidRPr="000F42F4">
        <w:rPr>
          <w:szCs w:val="26"/>
        </w:rPr>
        <w:t>3</w:t>
      </w:r>
      <w:r w:rsidR="000F42F4">
        <w:rPr>
          <w:szCs w:val="26"/>
        </w:rPr>
        <w:t>.</w:t>
      </w:r>
    </w:p>
  </w:footnote>
  <w:footnote w:id="16">
    <w:p w14:paraId="4F067EB7" w14:textId="53AC73C8" w:rsidR="009574B9" w:rsidRDefault="009574B9">
      <w:pPr>
        <w:pStyle w:val="FootnoteText"/>
      </w:pPr>
      <w:r>
        <w:rPr>
          <w:rStyle w:val="FootnoteReference"/>
        </w:rPr>
        <w:footnoteRef/>
      </w:r>
      <w:r>
        <w:t xml:space="preserve"> </w:t>
      </w:r>
      <w:r w:rsidRPr="009574B9">
        <w:t>Application</w:t>
      </w:r>
      <w:r w:rsidR="006A3CFC">
        <w:t xml:space="preserve"> at 1</w:t>
      </w:r>
      <w:r w:rsidRPr="009574B9">
        <w:t xml:space="preserve"> [</w:t>
      </w:r>
      <w:r w:rsidR="00E5563F">
        <w:t>“</w:t>
      </w:r>
      <w:r w:rsidRPr="009574B9">
        <w:t>the ultimate parent would continue to be Sempra</w:t>
      </w:r>
      <w:r w:rsidR="00E5563F">
        <w:t>”</w:t>
      </w:r>
      <w:r w:rsidRPr="009574B9">
        <w:t>]; Application</w:t>
      </w:r>
      <w:r w:rsidR="006A3CFC">
        <w:t xml:space="preserve"> at 1</w:t>
      </w:r>
      <w:r w:rsidRPr="009574B9">
        <w:t>1</w:t>
      </w:r>
      <w:r w:rsidR="00042804">
        <w:noBreakHyphen/>
      </w:r>
      <w:r w:rsidRPr="009574B9">
        <w:t>12.</w:t>
      </w:r>
    </w:p>
  </w:footnote>
  <w:footnote w:id="17">
    <w:p w14:paraId="3E0848D2" w14:textId="27E1EF62" w:rsidR="009574B9" w:rsidRDefault="009574B9">
      <w:pPr>
        <w:pStyle w:val="FootnoteText"/>
      </w:pPr>
      <w:r>
        <w:rPr>
          <w:rStyle w:val="FootnoteReference"/>
        </w:rPr>
        <w:footnoteRef/>
      </w:r>
      <w:r>
        <w:t xml:space="preserve"> </w:t>
      </w:r>
      <w:r w:rsidRPr="009574B9">
        <w:t>Application</w:t>
      </w:r>
      <w:r w:rsidR="006A3CFC">
        <w:t xml:space="preserve"> at 1</w:t>
      </w:r>
      <w:r w:rsidRPr="009574B9">
        <w:t xml:space="preserve"> [</w:t>
      </w:r>
      <w:r w:rsidR="00E5563F">
        <w:t>“</w:t>
      </w:r>
      <w:r w:rsidRPr="009574B9">
        <w:t>SDG&amp;E and SoCalGas</w:t>
      </w:r>
      <w:r w:rsidR="0019326F">
        <w:t>...</w:t>
      </w:r>
      <w:r w:rsidR="00FF23F1">
        <w:t xml:space="preserve"> </w:t>
      </w:r>
      <w:r w:rsidRPr="009574B9">
        <w:t>would continue to be owned by Enova Corporation</w:t>
      </w:r>
      <w:r w:rsidR="0019326F">
        <w:t>...</w:t>
      </w:r>
      <w:r w:rsidR="00FF23F1">
        <w:t xml:space="preserve"> </w:t>
      </w:r>
      <w:r w:rsidRPr="009574B9">
        <w:t>and Pacific Enterprises</w:t>
      </w:r>
      <w:r w:rsidR="00E5563F">
        <w:t>”</w:t>
      </w:r>
      <w:r w:rsidRPr="009574B9">
        <w:t xml:space="preserve">] and stating that the Proposed Transaction will result in </w:t>
      </w:r>
      <w:r w:rsidR="00E5563F">
        <w:t>“</w:t>
      </w:r>
      <w:r w:rsidRPr="009574B9">
        <w:t>no change in the immediate or ultimate legal ownership</w:t>
      </w:r>
      <w:r w:rsidR="00E5563F">
        <w:t>”</w:t>
      </w:r>
      <w:r w:rsidRPr="009574B9">
        <w:t xml:space="preserve"> of the utilities; Application</w:t>
      </w:r>
      <w:r w:rsidR="00A86137">
        <w:t xml:space="preserve"> at 8</w:t>
      </w:r>
      <w:r w:rsidR="00042804">
        <w:noBreakHyphen/>
      </w:r>
      <w:r w:rsidRPr="009574B9">
        <w:t>10, charts</w:t>
      </w:r>
      <w:r>
        <w:t xml:space="preserve"> at Exhibit A.</w:t>
      </w:r>
    </w:p>
  </w:footnote>
  <w:footnote w:id="18">
    <w:p w14:paraId="2EA9E213" w14:textId="0940D5FF" w:rsidR="009574B9" w:rsidRDefault="009574B9">
      <w:pPr>
        <w:pStyle w:val="FootnoteText"/>
      </w:pPr>
      <w:r>
        <w:rPr>
          <w:rStyle w:val="FootnoteReference"/>
        </w:rPr>
        <w:footnoteRef/>
      </w:r>
      <w:r>
        <w:t xml:space="preserve"> </w:t>
      </w:r>
      <w:r w:rsidRPr="009574B9">
        <w:t>Application</w:t>
      </w:r>
      <w:r w:rsidR="006A3CFC">
        <w:t xml:space="preserve"> at 1</w:t>
      </w:r>
      <w:r w:rsidRPr="009574B9">
        <w:t xml:space="preserve">; Response to Ruling, filed </w:t>
      </w:r>
      <w:r w:rsidR="00C47116">
        <w:t>October 3</w:t>
      </w:r>
      <w:r w:rsidRPr="009574B9">
        <w:t>, 2025,</w:t>
      </w:r>
      <w:r w:rsidR="00A86137">
        <w:t xml:space="preserve"> at 2</w:t>
      </w:r>
      <w:r w:rsidRPr="009574B9">
        <w:t xml:space="preserve"> </w:t>
      </w:r>
      <w:r>
        <w:t xml:space="preserve">and </w:t>
      </w:r>
      <w:r w:rsidRPr="009574B9">
        <w:t>1</w:t>
      </w:r>
      <w:r w:rsidR="00710D0F">
        <w:t>6</w:t>
      </w:r>
      <w:r w:rsidRPr="009574B9">
        <w:t xml:space="preserve"> [</w:t>
      </w:r>
      <w:r w:rsidR="00E5563F">
        <w:t>“</w:t>
      </w:r>
      <w:r w:rsidRPr="009574B9">
        <w:t>Sempra California... will play no role in the day</w:t>
      </w:r>
      <w:r w:rsidR="00042804">
        <w:noBreakHyphen/>
      </w:r>
      <w:r w:rsidRPr="009574B9">
        <w:t>to</w:t>
      </w:r>
      <w:r w:rsidR="00042804">
        <w:noBreakHyphen/>
      </w:r>
      <w:r w:rsidRPr="009574B9">
        <w:t>day operations or management of the California Utilities</w:t>
      </w:r>
      <w:r w:rsidR="00E5563F">
        <w:t>”</w:t>
      </w:r>
      <w:r w:rsidRPr="009574B9">
        <w:t>].</w:t>
      </w:r>
    </w:p>
  </w:footnote>
  <w:footnote w:id="19">
    <w:p w14:paraId="3AFA12E6" w14:textId="19D2EDEC" w:rsidR="00710D0F" w:rsidRDefault="00710D0F">
      <w:pPr>
        <w:pStyle w:val="FootnoteText"/>
      </w:pPr>
      <w:r>
        <w:rPr>
          <w:rStyle w:val="FootnoteReference"/>
        </w:rPr>
        <w:footnoteRef/>
      </w:r>
      <w:r>
        <w:t xml:space="preserve"> </w:t>
      </w:r>
      <w:r w:rsidRPr="00710D0F">
        <w:t>Application</w:t>
      </w:r>
      <w:r w:rsidR="006A3CFC">
        <w:t xml:space="preserve"> at 1</w:t>
      </w:r>
      <w:r w:rsidRPr="00710D0F">
        <w:t xml:space="preserve"> [no change in rates or services]; Response to Ruling, filed </w:t>
      </w:r>
      <w:r w:rsidR="00C47116">
        <w:t>October 3</w:t>
      </w:r>
      <w:r w:rsidRPr="00710D0F">
        <w:t>, 2025,</w:t>
      </w:r>
      <w:r w:rsidR="006A3CFC">
        <w:t xml:space="preserve"> at 1</w:t>
      </w:r>
      <w:r w:rsidRPr="00710D0F">
        <w:t>3 [</w:t>
      </w:r>
      <w:r w:rsidR="00E5563F">
        <w:t>“</w:t>
      </w:r>
      <w:r w:rsidRPr="00710D0F">
        <w:t>customers will experience the same level of service</w:t>
      </w:r>
      <w:r w:rsidR="00E5563F">
        <w:t>”</w:t>
      </w:r>
      <w:r w:rsidRPr="00710D0F">
        <w:t xml:space="preserve"> and </w:t>
      </w:r>
      <w:r w:rsidR="00E5563F">
        <w:t>“</w:t>
      </w:r>
      <w:r w:rsidRPr="00710D0F">
        <w:t>ratepayers will continue to pay the same Commission</w:t>
      </w:r>
      <w:r w:rsidR="00042804">
        <w:noBreakHyphen/>
      </w:r>
      <w:r w:rsidRPr="00710D0F">
        <w:t>authorized rates</w:t>
      </w:r>
      <w:r w:rsidR="00E5563F">
        <w:t>”</w:t>
      </w:r>
      <w:r w:rsidRPr="00710D0F">
        <w:t>].</w:t>
      </w:r>
    </w:p>
  </w:footnote>
  <w:footnote w:id="20">
    <w:p w14:paraId="482CBFED" w14:textId="69C8CD1A" w:rsidR="00710D0F" w:rsidRDefault="00710D0F">
      <w:pPr>
        <w:pStyle w:val="FootnoteText"/>
      </w:pPr>
      <w:r>
        <w:rPr>
          <w:rStyle w:val="FootnoteReference"/>
        </w:rPr>
        <w:footnoteRef/>
      </w:r>
      <w:r>
        <w:t xml:space="preserve"> </w:t>
      </w:r>
      <w:r w:rsidRPr="00710D0F">
        <w:t xml:space="preserve">Response to Ruling, filed </w:t>
      </w:r>
      <w:r w:rsidR="00C47116">
        <w:t>October 3</w:t>
      </w:r>
      <w:r w:rsidRPr="00710D0F">
        <w:t>, 2025,</w:t>
      </w:r>
      <w:r w:rsidR="00A86137">
        <w:t xml:space="preserve"> at 2</w:t>
      </w:r>
      <w:r w:rsidRPr="00710D0F">
        <w:t xml:space="preserve"> [</w:t>
      </w:r>
      <w:r w:rsidR="00E5563F">
        <w:t>“</w:t>
      </w:r>
      <w:r w:rsidRPr="00710D0F">
        <w:t>The creation of an intermediate holding company is not expected to result in workforce consolidation or reallocation at this time</w:t>
      </w:r>
      <w:r w:rsidR="00E5563F">
        <w:t>”</w:t>
      </w:r>
      <w:r w:rsidRPr="00710D0F">
        <w:t>].</w:t>
      </w:r>
    </w:p>
  </w:footnote>
  <w:footnote w:id="21">
    <w:p w14:paraId="7302C2E4" w14:textId="728075F3" w:rsidR="00710D0F" w:rsidRDefault="00710D0F">
      <w:pPr>
        <w:pStyle w:val="FootnoteText"/>
      </w:pPr>
      <w:r>
        <w:rPr>
          <w:rStyle w:val="FootnoteReference"/>
        </w:rPr>
        <w:footnoteRef/>
      </w:r>
      <w:r>
        <w:t xml:space="preserve"> </w:t>
      </w:r>
      <w:r w:rsidRPr="00710D0F">
        <w:t xml:space="preserve">Response to Ruling, filed </w:t>
      </w:r>
      <w:r w:rsidR="00C47116">
        <w:t>October 3</w:t>
      </w:r>
      <w:r w:rsidRPr="00710D0F">
        <w:t>, 2025,</w:t>
      </w:r>
      <w:r w:rsidR="006A3CFC">
        <w:t xml:space="preserve"> at 1</w:t>
      </w:r>
      <w:r w:rsidRPr="00710D0F">
        <w:t>8</w:t>
      </w:r>
      <w:r w:rsidR="00042804">
        <w:noBreakHyphen/>
      </w:r>
      <w:r w:rsidRPr="00710D0F">
        <w:t>19.</w:t>
      </w:r>
    </w:p>
  </w:footnote>
  <w:footnote w:id="22">
    <w:p w14:paraId="48289124" w14:textId="4BD2A457" w:rsidR="00710D0F" w:rsidRDefault="00710D0F">
      <w:pPr>
        <w:pStyle w:val="FootnoteText"/>
      </w:pPr>
      <w:r>
        <w:rPr>
          <w:rStyle w:val="FootnoteReference"/>
        </w:rPr>
        <w:footnoteRef/>
      </w:r>
      <w:r>
        <w:t xml:space="preserve"> </w:t>
      </w:r>
      <w:r w:rsidR="00A725B8" w:rsidRPr="00A725B8">
        <w:rPr>
          <w:i/>
          <w:iCs/>
          <w:szCs w:val="26"/>
        </w:rPr>
        <w:t>See</w:t>
      </w:r>
      <w:r w:rsidRPr="00C50E2A">
        <w:rPr>
          <w:szCs w:val="26"/>
        </w:rPr>
        <w:t xml:space="preserve"> D.12</w:t>
      </w:r>
      <w:r w:rsidR="00042804">
        <w:rPr>
          <w:szCs w:val="26"/>
        </w:rPr>
        <w:noBreakHyphen/>
      </w:r>
      <w:r w:rsidRPr="00C50E2A">
        <w:rPr>
          <w:szCs w:val="26"/>
        </w:rPr>
        <w:t>04</w:t>
      </w:r>
      <w:r w:rsidR="00042804">
        <w:rPr>
          <w:szCs w:val="26"/>
        </w:rPr>
        <w:noBreakHyphen/>
      </w:r>
      <w:r w:rsidRPr="00C50E2A">
        <w:rPr>
          <w:szCs w:val="26"/>
        </w:rPr>
        <w:t>035.</w:t>
      </w:r>
    </w:p>
  </w:footnote>
  <w:footnote w:id="23">
    <w:p w14:paraId="1FD6339E" w14:textId="40A44170" w:rsidR="00710D0F" w:rsidRDefault="00710D0F">
      <w:pPr>
        <w:pStyle w:val="FootnoteText"/>
      </w:pPr>
      <w:r>
        <w:rPr>
          <w:rStyle w:val="FootnoteReference"/>
        </w:rPr>
        <w:footnoteRef/>
      </w:r>
      <w:r>
        <w:t xml:space="preserve"> </w:t>
      </w:r>
      <w:r w:rsidRPr="00C50E2A">
        <w:rPr>
          <w:szCs w:val="26"/>
        </w:rPr>
        <w:t>D.06</w:t>
      </w:r>
      <w:r w:rsidR="00042804">
        <w:rPr>
          <w:szCs w:val="26"/>
        </w:rPr>
        <w:noBreakHyphen/>
      </w:r>
      <w:r w:rsidRPr="00C50E2A">
        <w:rPr>
          <w:szCs w:val="26"/>
        </w:rPr>
        <w:t>04</w:t>
      </w:r>
      <w:r w:rsidR="00042804">
        <w:rPr>
          <w:szCs w:val="26"/>
        </w:rPr>
        <w:noBreakHyphen/>
      </w:r>
      <w:r w:rsidRPr="00C50E2A">
        <w:rPr>
          <w:szCs w:val="26"/>
        </w:rPr>
        <w:t>074</w:t>
      </w:r>
      <w:r w:rsidR="006A3CFC">
        <w:rPr>
          <w:szCs w:val="26"/>
        </w:rPr>
        <w:t xml:space="preserve"> at 1</w:t>
      </w:r>
      <w:r w:rsidRPr="00C50E2A">
        <w:rPr>
          <w:szCs w:val="26"/>
        </w:rPr>
        <w:t>6; D.06</w:t>
      </w:r>
      <w:r w:rsidR="00042804">
        <w:rPr>
          <w:szCs w:val="26"/>
        </w:rPr>
        <w:noBreakHyphen/>
      </w:r>
      <w:r w:rsidRPr="00C50E2A">
        <w:rPr>
          <w:szCs w:val="26"/>
        </w:rPr>
        <w:t>04</w:t>
      </w:r>
      <w:r w:rsidR="00042804">
        <w:rPr>
          <w:szCs w:val="26"/>
        </w:rPr>
        <w:noBreakHyphen/>
      </w:r>
      <w:r w:rsidRPr="00C50E2A">
        <w:rPr>
          <w:szCs w:val="26"/>
        </w:rPr>
        <w:t>075</w:t>
      </w:r>
      <w:r w:rsidR="006A3CFC">
        <w:rPr>
          <w:szCs w:val="26"/>
        </w:rPr>
        <w:t xml:space="preserve"> at 1</w:t>
      </w:r>
      <w:r w:rsidRPr="00C50E2A">
        <w:rPr>
          <w:szCs w:val="26"/>
        </w:rPr>
        <w:t>5.</w:t>
      </w:r>
    </w:p>
  </w:footnote>
  <w:footnote w:id="24">
    <w:p w14:paraId="0EACB71D" w14:textId="6B23A04C" w:rsidR="00C237A1" w:rsidRDefault="00C237A1">
      <w:pPr>
        <w:pStyle w:val="FootnoteText"/>
      </w:pPr>
      <w:r>
        <w:rPr>
          <w:rStyle w:val="FootnoteReference"/>
        </w:rPr>
        <w:footnoteRef/>
      </w:r>
      <w:r>
        <w:t xml:space="preserve"> </w:t>
      </w:r>
      <w:r w:rsidR="0088445A" w:rsidRPr="0088445A">
        <w:t>D</w:t>
      </w:r>
      <w:r w:rsidR="005B3938">
        <w:t>.</w:t>
      </w:r>
      <w:r w:rsidR="0088445A" w:rsidRPr="0088445A">
        <w:t>04</w:t>
      </w:r>
      <w:r w:rsidR="00042804">
        <w:noBreakHyphen/>
      </w:r>
      <w:r w:rsidR="0088445A" w:rsidRPr="0088445A">
        <w:t>07</w:t>
      </w:r>
      <w:r w:rsidR="00042804">
        <w:noBreakHyphen/>
      </w:r>
      <w:r w:rsidR="0088445A" w:rsidRPr="0088445A">
        <w:t>023</w:t>
      </w:r>
      <w:r w:rsidR="00F37F2E">
        <w:t xml:space="preserve"> (</w:t>
      </w:r>
      <w:r w:rsidR="00F37F2E" w:rsidRPr="005B3938">
        <w:rPr>
          <w:i/>
          <w:iCs/>
        </w:rPr>
        <w:t>In Re Pac. Gas</w:t>
      </w:r>
      <w:r w:rsidR="00972FC6" w:rsidRPr="005B3938">
        <w:rPr>
          <w:i/>
          <w:iCs/>
        </w:rPr>
        <w:t xml:space="preserve"> &amp; </w:t>
      </w:r>
      <w:r w:rsidR="00F37F2E" w:rsidRPr="005B3938">
        <w:rPr>
          <w:i/>
          <w:iCs/>
        </w:rPr>
        <w:t>Elec. Co.</w:t>
      </w:r>
      <w:r w:rsidR="00F37F2E">
        <w:t>, No. 00</w:t>
      </w:r>
      <w:r w:rsidR="00042804">
        <w:noBreakHyphen/>
      </w:r>
      <w:r w:rsidR="00F37F2E">
        <w:t>06</w:t>
      </w:r>
      <w:r w:rsidR="00042804">
        <w:noBreakHyphen/>
      </w:r>
      <w:r w:rsidR="00F37F2E">
        <w:t>010, 2004 WL 1686978 (</w:t>
      </w:r>
      <w:r w:rsidR="00E5563F">
        <w:t>July </w:t>
      </w:r>
      <w:r w:rsidR="00F37F2E">
        <w:t>8, 2004)</w:t>
      </w:r>
      <w:r w:rsidR="005B3938">
        <w:t xml:space="preserve"> </w:t>
      </w:r>
      <w:r w:rsidR="00DB2131">
        <w:t>(</w:t>
      </w:r>
      <w:r w:rsidR="005B59DF">
        <w:t xml:space="preserve">Denying </w:t>
      </w:r>
      <w:r w:rsidR="005B59DF" w:rsidRPr="005B59DF">
        <w:t>PG&amp;E</w:t>
      </w:r>
      <w:r w:rsidR="00E5563F">
        <w:t>’</w:t>
      </w:r>
      <w:r w:rsidR="005B59DF" w:rsidRPr="005B59DF">
        <w:t xml:space="preserve">s request to use our authority under </w:t>
      </w:r>
      <w:r w:rsidR="004F7E76">
        <w:t>Section </w:t>
      </w:r>
      <w:r w:rsidR="005B59DF" w:rsidRPr="00E07B63">
        <w:t>853</w:t>
      </w:r>
      <w:r w:rsidR="005B59DF" w:rsidRPr="005B59DF">
        <w:t xml:space="preserve">(b) to exempt </w:t>
      </w:r>
      <w:r w:rsidR="007D3BBF">
        <w:t xml:space="preserve">lease and license agreements from </w:t>
      </w:r>
      <w:r w:rsidR="004F7E76">
        <w:t>Section </w:t>
      </w:r>
      <w:r w:rsidR="007D3BBF">
        <w:t>851)</w:t>
      </w:r>
      <w:r w:rsidR="009317CC">
        <w:t>)</w:t>
      </w:r>
      <w:r w:rsidR="00F37F2E">
        <w:t>.</w:t>
      </w:r>
    </w:p>
  </w:footnote>
  <w:footnote w:id="25">
    <w:p w14:paraId="36733F34" w14:textId="0517A047" w:rsidR="000E38EC" w:rsidRDefault="000E38EC">
      <w:pPr>
        <w:pStyle w:val="FootnoteText"/>
      </w:pPr>
      <w:r>
        <w:rPr>
          <w:rStyle w:val="FootnoteReference"/>
        </w:rPr>
        <w:footnoteRef/>
      </w:r>
      <w:r>
        <w:t xml:space="preserve"> </w:t>
      </w:r>
      <w:r w:rsidRPr="00710990">
        <w:rPr>
          <w:szCs w:val="26"/>
        </w:rPr>
        <w:t>D.06</w:t>
      </w:r>
      <w:r w:rsidR="00042804">
        <w:rPr>
          <w:szCs w:val="26"/>
        </w:rPr>
        <w:noBreakHyphen/>
      </w:r>
      <w:r w:rsidRPr="00710990">
        <w:rPr>
          <w:szCs w:val="26"/>
        </w:rPr>
        <w:t>04</w:t>
      </w:r>
      <w:r w:rsidR="00042804">
        <w:rPr>
          <w:szCs w:val="26"/>
        </w:rPr>
        <w:noBreakHyphen/>
      </w:r>
      <w:r w:rsidRPr="00710990">
        <w:rPr>
          <w:szCs w:val="26"/>
        </w:rPr>
        <w:t>074</w:t>
      </w:r>
      <w:r w:rsidR="006A3CFC">
        <w:rPr>
          <w:szCs w:val="26"/>
        </w:rPr>
        <w:t xml:space="preserve"> at 1</w:t>
      </w:r>
      <w:r w:rsidRPr="00710990">
        <w:rPr>
          <w:szCs w:val="26"/>
        </w:rPr>
        <w:t>6; D.06</w:t>
      </w:r>
      <w:r w:rsidR="00042804">
        <w:rPr>
          <w:szCs w:val="26"/>
        </w:rPr>
        <w:noBreakHyphen/>
      </w:r>
      <w:r w:rsidRPr="00710990">
        <w:rPr>
          <w:szCs w:val="26"/>
        </w:rPr>
        <w:t>04</w:t>
      </w:r>
      <w:r w:rsidR="00042804">
        <w:rPr>
          <w:szCs w:val="26"/>
        </w:rPr>
        <w:noBreakHyphen/>
      </w:r>
      <w:r w:rsidRPr="00710990">
        <w:rPr>
          <w:szCs w:val="26"/>
        </w:rPr>
        <w:t>075</w:t>
      </w:r>
      <w:r w:rsidR="006A3CFC">
        <w:rPr>
          <w:szCs w:val="26"/>
        </w:rPr>
        <w:t xml:space="preserve"> at 1</w:t>
      </w:r>
      <w:r w:rsidRPr="00710990">
        <w:rPr>
          <w:szCs w:val="26"/>
        </w:rPr>
        <w:t>5.</w:t>
      </w:r>
    </w:p>
  </w:footnote>
  <w:footnote w:id="26">
    <w:p w14:paraId="7CAE9E7C" w14:textId="280619E2" w:rsidR="00A66C30" w:rsidRDefault="00A66C30">
      <w:pPr>
        <w:pStyle w:val="FootnoteText"/>
      </w:pPr>
      <w:r>
        <w:rPr>
          <w:rStyle w:val="FootnoteReference"/>
        </w:rPr>
        <w:footnoteRef/>
      </w:r>
      <w:r>
        <w:t xml:space="preserve"> </w:t>
      </w:r>
      <w:r w:rsidRPr="00A66C30">
        <w:t>Application</w:t>
      </w:r>
      <w:r w:rsidR="006A3CFC">
        <w:t xml:space="preserve"> at 1</w:t>
      </w:r>
      <w:r w:rsidRPr="00A66C30">
        <w:t>;</w:t>
      </w:r>
      <w:r>
        <w:t xml:space="preserve"> </w:t>
      </w:r>
      <w:r w:rsidRPr="00A66C30">
        <w:t xml:space="preserve">Response to Ruling, filed </w:t>
      </w:r>
      <w:r w:rsidR="00C47116">
        <w:t>October 3</w:t>
      </w:r>
      <w:r w:rsidRPr="00A66C30">
        <w:t>, 2025,</w:t>
      </w:r>
      <w:r w:rsidR="006A3CFC">
        <w:t xml:space="preserve"> at 1</w:t>
      </w:r>
      <w:r w:rsidRPr="00A66C30">
        <w:t>7</w:t>
      </w:r>
      <w:r w:rsidR="001C561E">
        <w:t>.</w:t>
      </w:r>
    </w:p>
  </w:footnote>
  <w:footnote w:id="27">
    <w:p w14:paraId="35A54D93" w14:textId="7E4B0834" w:rsidR="00A66C30" w:rsidRDefault="00A66C30">
      <w:pPr>
        <w:pStyle w:val="FootnoteText"/>
      </w:pPr>
      <w:r>
        <w:rPr>
          <w:rStyle w:val="FootnoteReference"/>
        </w:rPr>
        <w:footnoteRef/>
      </w:r>
      <w:r>
        <w:t xml:space="preserve"> </w:t>
      </w:r>
      <w:r w:rsidR="00A725B8" w:rsidRPr="00A725B8">
        <w:rPr>
          <w:i/>
          <w:iCs/>
          <w:szCs w:val="26"/>
        </w:rPr>
        <w:t>See</w:t>
      </w:r>
      <w:r w:rsidRPr="00710990">
        <w:rPr>
          <w:szCs w:val="26"/>
        </w:rPr>
        <w:t xml:space="preserve"> D.12</w:t>
      </w:r>
      <w:r w:rsidR="00042804">
        <w:rPr>
          <w:szCs w:val="26"/>
        </w:rPr>
        <w:noBreakHyphen/>
      </w:r>
      <w:r w:rsidRPr="00710990">
        <w:rPr>
          <w:szCs w:val="26"/>
        </w:rPr>
        <w:t>04</w:t>
      </w:r>
      <w:r w:rsidR="00042804">
        <w:rPr>
          <w:szCs w:val="26"/>
        </w:rPr>
        <w:noBreakHyphen/>
      </w:r>
      <w:r w:rsidRPr="00710990">
        <w:rPr>
          <w:szCs w:val="26"/>
        </w:rPr>
        <w:t>035.</w:t>
      </w:r>
    </w:p>
  </w:footnote>
  <w:footnote w:id="28">
    <w:p w14:paraId="7277D0E9" w14:textId="6FFD6EA7" w:rsidR="00A66C30" w:rsidRDefault="00A66C30">
      <w:pPr>
        <w:pStyle w:val="FootnoteText"/>
      </w:pPr>
      <w:r>
        <w:rPr>
          <w:rStyle w:val="FootnoteReference"/>
        </w:rPr>
        <w:footnoteRef/>
      </w:r>
      <w:r>
        <w:t xml:space="preserve"> </w:t>
      </w:r>
      <w:r w:rsidRPr="00A66C30">
        <w:t xml:space="preserve">Response to Ruling, filed </w:t>
      </w:r>
      <w:r w:rsidR="00C47116">
        <w:t>October 3</w:t>
      </w:r>
      <w:r w:rsidRPr="00A66C30">
        <w:t>, 2025,</w:t>
      </w:r>
      <w:r w:rsidR="00A86137">
        <w:t xml:space="preserve"> at 8</w:t>
      </w:r>
      <w:r w:rsidR="00042804">
        <w:noBreakHyphen/>
      </w:r>
      <w:r w:rsidRPr="00A66C30">
        <w:t>10; Application at 14</w:t>
      </w:r>
      <w:r w:rsidR="00042804">
        <w:noBreakHyphen/>
      </w:r>
      <w:r w:rsidRPr="00A66C30">
        <w:t>15</w:t>
      </w:r>
      <w:r>
        <w:t>.</w:t>
      </w:r>
    </w:p>
  </w:footnote>
  <w:footnote w:id="29">
    <w:p w14:paraId="2CC229F8" w14:textId="7C268CC4" w:rsidR="00A66C30" w:rsidRDefault="00A66C30">
      <w:pPr>
        <w:pStyle w:val="FootnoteText"/>
      </w:pPr>
      <w:r>
        <w:rPr>
          <w:rStyle w:val="FootnoteReference"/>
        </w:rPr>
        <w:footnoteRef/>
      </w:r>
      <w:r>
        <w:t xml:space="preserve"> </w:t>
      </w:r>
      <w:r w:rsidRPr="00A66C30">
        <w:t xml:space="preserve">Response to Ruling, filed </w:t>
      </w:r>
      <w:r w:rsidR="00C47116">
        <w:t>October 3</w:t>
      </w:r>
      <w:r w:rsidRPr="00A66C30">
        <w:t>, 2025,</w:t>
      </w:r>
      <w:r w:rsidR="00A86137">
        <w:t xml:space="preserve"> at 8</w:t>
      </w:r>
      <w:r w:rsidR="00042804">
        <w:noBreakHyphen/>
      </w:r>
      <w:r w:rsidRPr="00A66C30">
        <w:t>10; Application at 1</w:t>
      </w:r>
      <w:r w:rsidR="00042804">
        <w:noBreakHyphen/>
      </w:r>
      <w:r w:rsidRPr="00A66C30">
        <w:t>3.</w:t>
      </w:r>
    </w:p>
  </w:footnote>
  <w:footnote w:id="30">
    <w:p w14:paraId="4596575B" w14:textId="6EE7461A" w:rsidR="00A66C30" w:rsidRPr="00A66C30" w:rsidRDefault="00A66C30" w:rsidP="00E470F8">
      <w:pPr>
        <w:pStyle w:val="FootnoteText"/>
      </w:pPr>
      <w:r>
        <w:rPr>
          <w:rStyle w:val="FootnoteReference"/>
        </w:rPr>
        <w:footnoteRef/>
      </w:r>
      <w:r>
        <w:t xml:space="preserve"> </w:t>
      </w:r>
      <w:r w:rsidRPr="00A66C30">
        <w:t xml:space="preserve">Response to Ruling, filed </w:t>
      </w:r>
      <w:r w:rsidR="00C47116">
        <w:t>October 3</w:t>
      </w:r>
      <w:r w:rsidRPr="00A66C30">
        <w:t>, 2025,</w:t>
      </w:r>
      <w:r w:rsidR="00A86137">
        <w:t xml:space="preserve"> at 3</w:t>
      </w:r>
      <w:r w:rsidR="00042804">
        <w:noBreakHyphen/>
      </w:r>
      <w:r w:rsidRPr="00A66C30">
        <w:t>5, 22</w:t>
      </w:r>
      <w:r w:rsidR="00042804">
        <w:noBreakHyphen/>
      </w:r>
      <w:r w:rsidRPr="00A66C30">
        <w:t>25.</w:t>
      </w:r>
    </w:p>
  </w:footnote>
  <w:footnote w:id="31">
    <w:p w14:paraId="276734FE" w14:textId="2BEC621D" w:rsidR="0014098C" w:rsidRDefault="0014098C">
      <w:pPr>
        <w:pStyle w:val="FootnoteText"/>
      </w:pPr>
      <w:r>
        <w:rPr>
          <w:rStyle w:val="FootnoteReference"/>
        </w:rPr>
        <w:footnoteRef/>
      </w:r>
      <w:r>
        <w:t xml:space="preserve"> </w:t>
      </w:r>
      <w:r w:rsidR="00A725B8" w:rsidRPr="00A725B8">
        <w:rPr>
          <w:i/>
          <w:iCs/>
          <w:szCs w:val="26"/>
        </w:rPr>
        <w:t>See</w:t>
      </w:r>
      <w:r w:rsidRPr="0014098C">
        <w:rPr>
          <w:szCs w:val="26"/>
        </w:rPr>
        <w:t xml:space="preserve"> D.86</w:t>
      </w:r>
      <w:r w:rsidR="00042804">
        <w:rPr>
          <w:szCs w:val="26"/>
        </w:rPr>
        <w:noBreakHyphen/>
      </w:r>
      <w:r w:rsidRPr="0014098C">
        <w:rPr>
          <w:szCs w:val="26"/>
        </w:rPr>
        <w:t>03</w:t>
      </w:r>
      <w:r w:rsidR="00042804">
        <w:rPr>
          <w:szCs w:val="26"/>
        </w:rPr>
        <w:noBreakHyphen/>
      </w:r>
      <w:r w:rsidRPr="0014098C">
        <w:rPr>
          <w:szCs w:val="26"/>
        </w:rPr>
        <w:t>090, 1986 Cal. PUC LEXIS 198,</w:t>
      </w:r>
      <w:r w:rsidR="00A86137">
        <w:rPr>
          <w:szCs w:val="26"/>
        </w:rPr>
        <w:t xml:space="preserve"> at 9</w:t>
      </w:r>
      <w:r w:rsidRPr="0014098C">
        <w:rPr>
          <w:szCs w:val="26"/>
        </w:rPr>
        <w:t>0</w:t>
      </w:r>
      <w:r w:rsidR="00042804">
        <w:rPr>
          <w:szCs w:val="26"/>
        </w:rPr>
        <w:noBreakHyphen/>
      </w:r>
      <w:r w:rsidRPr="0014098C">
        <w:rPr>
          <w:szCs w:val="26"/>
        </w:rPr>
        <w:t>95 (finding that a holding</w:t>
      </w:r>
      <w:r w:rsidR="00042804">
        <w:rPr>
          <w:szCs w:val="26"/>
        </w:rPr>
        <w:noBreakHyphen/>
      </w:r>
      <w:r w:rsidRPr="0014098C">
        <w:rPr>
          <w:szCs w:val="26"/>
        </w:rPr>
        <w:t>company structure may provide greater separation between the utility and nonregulated affiliates and may insulate ratepayers from diversification risks); Response to Ruling</w:t>
      </w:r>
      <w:r>
        <w:rPr>
          <w:szCs w:val="26"/>
        </w:rPr>
        <w:t>,</w:t>
      </w:r>
      <w:r w:rsidRPr="0014098C">
        <w:rPr>
          <w:szCs w:val="26"/>
        </w:rPr>
        <w:t xml:space="preserve"> filed </w:t>
      </w:r>
      <w:r w:rsidR="00C47116">
        <w:rPr>
          <w:szCs w:val="26"/>
        </w:rPr>
        <w:t>October 3</w:t>
      </w:r>
      <w:r w:rsidRPr="0014098C">
        <w:rPr>
          <w:szCs w:val="26"/>
        </w:rPr>
        <w:t>, 2025,</w:t>
      </w:r>
      <w:r w:rsidR="00A86137">
        <w:rPr>
          <w:szCs w:val="26"/>
        </w:rPr>
        <w:t xml:space="preserve"> at 4</w:t>
      </w:r>
      <w:r w:rsidR="00042804">
        <w:rPr>
          <w:szCs w:val="26"/>
        </w:rPr>
        <w:noBreakHyphen/>
      </w:r>
      <w:r w:rsidRPr="0014098C">
        <w:rPr>
          <w:szCs w:val="26"/>
        </w:rPr>
        <w:t>5 (stating that existing holding</w:t>
      </w:r>
      <w:r w:rsidR="00042804">
        <w:rPr>
          <w:szCs w:val="26"/>
        </w:rPr>
        <w:noBreakHyphen/>
      </w:r>
      <w:r w:rsidRPr="0014098C">
        <w:rPr>
          <w:szCs w:val="26"/>
        </w:rPr>
        <w:t>company conditions and affiliate transaction rules preserve the status quo regarding insulation of ratepayers from adverse financial effects associated with nonutility activities)</w:t>
      </w:r>
      <w:r>
        <w:rPr>
          <w:szCs w:val="26"/>
        </w:rPr>
        <w:t>.</w:t>
      </w:r>
    </w:p>
  </w:footnote>
  <w:footnote w:id="32">
    <w:p w14:paraId="48D1EFEA" w14:textId="13B163BE" w:rsidR="0014098C" w:rsidRDefault="0014098C">
      <w:pPr>
        <w:pStyle w:val="FootnoteText"/>
      </w:pPr>
      <w:r>
        <w:rPr>
          <w:rStyle w:val="FootnoteReference"/>
        </w:rPr>
        <w:footnoteRef/>
      </w:r>
      <w:r>
        <w:t xml:space="preserve"> </w:t>
      </w:r>
      <w:r w:rsidRPr="0014098C">
        <w:t xml:space="preserve">Response to Ruling, filed </w:t>
      </w:r>
      <w:r w:rsidR="00C47116">
        <w:t>October 3</w:t>
      </w:r>
      <w:r w:rsidRPr="0014098C">
        <w:t>, 2025,</w:t>
      </w:r>
      <w:r w:rsidR="00A86137">
        <w:t xml:space="preserve"> at 4</w:t>
      </w:r>
      <w:r w:rsidR="00042804">
        <w:noBreakHyphen/>
      </w:r>
      <w:r w:rsidRPr="0014098C">
        <w:t>5, 22</w:t>
      </w:r>
      <w:r w:rsidR="00042804">
        <w:noBreakHyphen/>
      </w:r>
      <w:r w:rsidRPr="0014098C">
        <w:t>25 (stating that existing holding</w:t>
      </w:r>
      <w:r w:rsidR="00042804">
        <w:noBreakHyphen/>
      </w:r>
      <w:r w:rsidRPr="0014098C">
        <w:t xml:space="preserve">company conditions, affiliate transaction rules, and reporting obligations will remain applicable and that the Commission will retain its authority to regulate </w:t>
      </w:r>
      <w:r w:rsidR="0060594B">
        <w:t>Applicants</w:t>
      </w:r>
      <w:r w:rsidRPr="0014098C">
        <w:t xml:space="preserve"> following the Proposed Transaction); Application</w:t>
      </w:r>
      <w:r w:rsidR="006A3CFC">
        <w:t xml:space="preserve"> at 1</w:t>
      </w:r>
      <w:r w:rsidR="00042804">
        <w:noBreakHyphen/>
      </w:r>
      <w:r w:rsidRPr="0014098C">
        <w:t>3 (stating that the transaction will not alter the regulatory status of the utilities).</w:t>
      </w:r>
    </w:p>
  </w:footnote>
  <w:footnote w:id="33">
    <w:p w14:paraId="7CD005EC" w14:textId="7D2A97D6" w:rsidR="00C24FFD" w:rsidRDefault="00C24FFD" w:rsidP="004527CA">
      <w:pPr>
        <w:pStyle w:val="FootnoteText"/>
      </w:pPr>
      <w:r w:rsidRPr="00C24FFD">
        <w:rPr>
          <w:rStyle w:val="FootnoteReference"/>
        </w:rPr>
        <w:footnoteRef/>
      </w:r>
      <w:r w:rsidRPr="00C24FFD">
        <w:t xml:space="preserve"> </w:t>
      </w:r>
      <w:r w:rsidR="00A725B8" w:rsidRPr="00A725B8">
        <w:rPr>
          <w:i/>
          <w:iCs/>
        </w:rPr>
        <w:t>See</w:t>
      </w:r>
      <w:r w:rsidRPr="00C24FFD">
        <w:t xml:space="preserve"> D.86</w:t>
      </w:r>
      <w:r w:rsidR="00042804">
        <w:noBreakHyphen/>
      </w:r>
      <w:r w:rsidRPr="00C24FFD">
        <w:t>03</w:t>
      </w:r>
      <w:r w:rsidR="00042804">
        <w:noBreakHyphen/>
      </w:r>
      <w:r w:rsidRPr="00C24FFD">
        <w:t>090, D.97</w:t>
      </w:r>
      <w:r w:rsidR="00042804">
        <w:noBreakHyphen/>
      </w:r>
      <w:r w:rsidRPr="00C24FFD">
        <w:t>12</w:t>
      </w:r>
      <w:r w:rsidR="00042804">
        <w:noBreakHyphen/>
      </w:r>
      <w:r w:rsidRPr="00C24FFD">
        <w:t>088, D.98</w:t>
      </w:r>
      <w:r w:rsidR="00042804">
        <w:noBreakHyphen/>
      </w:r>
      <w:r w:rsidRPr="00C24FFD">
        <w:t>03</w:t>
      </w:r>
      <w:r w:rsidR="00042804">
        <w:noBreakHyphen/>
      </w:r>
      <w:r w:rsidRPr="00C24FFD">
        <w:t>073.</w:t>
      </w:r>
    </w:p>
  </w:footnote>
  <w:footnote w:id="34">
    <w:p w14:paraId="3DFC61CF" w14:textId="0B3E5A75" w:rsidR="00C24FFD" w:rsidRDefault="00C24FFD">
      <w:pPr>
        <w:pStyle w:val="FootnoteText"/>
      </w:pPr>
      <w:r>
        <w:rPr>
          <w:rStyle w:val="FootnoteReference"/>
        </w:rPr>
        <w:footnoteRef/>
      </w:r>
      <w:r>
        <w:t xml:space="preserve"> </w:t>
      </w:r>
      <w:r w:rsidRPr="00C24FFD">
        <w:t xml:space="preserve">Response of </w:t>
      </w:r>
      <w:r>
        <w:t>UWUA</w:t>
      </w:r>
      <w:r w:rsidRPr="00C24FFD">
        <w:t xml:space="preserve">, </w:t>
      </w:r>
      <w:r w:rsidR="00AF458B">
        <w:t>Local </w:t>
      </w:r>
      <w:r w:rsidRPr="00C24FFD">
        <w:t xml:space="preserve">132, filed </w:t>
      </w:r>
      <w:r w:rsidR="00E5563F">
        <w:t>June </w:t>
      </w:r>
      <w:r w:rsidRPr="00C24FFD">
        <w:t>30, 2025,</w:t>
      </w:r>
      <w:r w:rsidR="00A86137">
        <w:t xml:space="preserve"> at 2</w:t>
      </w:r>
      <w:r w:rsidR="00042804">
        <w:noBreakHyphen/>
      </w:r>
      <w:r w:rsidRPr="00C24FFD">
        <w:t>4</w:t>
      </w:r>
      <w:r>
        <w:t>.</w:t>
      </w:r>
    </w:p>
  </w:footnote>
  <w:footnote w:id="35">
    <w:p w14:paraId="29480FA5" w14:textId="0BCEFF2B" w:rsidR="00C24FFD" w:rsidRDefault="00C24FFD">
      <w:pPr>
        <w:pStyle w:val="FootnoteText"/>
      </w:pPr>
      <w:r>
        <w:rPr>
          <w:rStyle w:val="FootnoteReference"/>
        </w:rPr>
        <w:footnoteRef/>
      </w:r>
      <w:r>
        <w:t xml:space="preserve"> </w:t>
      </w:r>
      <w:r w:rsidRPr="00C24FFD">
        <w:t xml:space="preserve">Response to Ruling, filed </w:t>
      </w:r>
      <w:r w:rsidR="00C47116">
        <w:t>October 3</w:t>
      </w:r>
      <w:r w:rsidRPr="00C24FFD">
        <w:t>, 2025,</w:t>
      </w:r>
      <w:r w:rsidR="00A86137">
        <w:t xml:space="preserve"> at 2</w:t>
      </w:r>
      <w:r w:rsidRPr="00C24FFD">
        <w:t xml:space="preserve"> (stating that workforce consolidation or reallocation is not expected); Application</w:t>
      </w:r>
      <w:r w:rsidR="006A3CFC">
        <w:t xml:space="preserve"> at 1</w:t>
      </w:r>
      <w:r w:rsidRPr="00C24FFD">
        <w:t xml:space="preserve"> (stating that the transaction will result in no change in employees)</w:t>
      </w:r>
      <w:r>
        <w:t>.</w:t>
      </w:r>
    </w:p>
  </w:footnote>
  <w:footnote w:id="36">
    <w:p w14:paraId="069BDE61" w14:textId="7711086D" w:rsidR="00C24FFD" w:rsidRDefault="00C24FFD">
      <w:pPr>
        <w:pStyle w:val="FootnoteText"/>
      </w:pPr>
      <w:r>
        <w:rPr>
          <w:rStyle w:val="FootnoteReference"/>
        </w:rPr>
        <w:footnoteRef/>
      </w:r>
      <w:r>
        <w:t xml:space="preserve"> </w:t>
      </w:r>
      <w:r w:rsidRPr="00C24FFD">
        <w:t>Application</w:t>
      </w:r>
      <w:r w:rsidR="00A86137">
        <w:t xml:space="preserve"> at 2</w:t>
      </w:r>
      <w:r w:rsidR="00042804">
        <w:noBreakHyphen/>
      </w:r>
      <w:r w:rsidRPr="00C24FFD">
        <w:t>4.</w:t>
      </w:r>
    </w:p>
  </w:footnote>
  <w:footnote w:id="37">
    <w:p w14:paraId="47D58682" w14:textId="5ADAD6BC" w:rsidR="005B7FBB" w:rsidRDefault="005B7FBB">
      <w:pPr>
        <w:pStyle w:val="FootnoteText"/>
      </w:pPr>
      <w:r>
        <w:rPr>
          <w:rStyle w:val="FootnoteReference"/>
        </w:rPr>
        <w:footnoteRef/>
      </w:r>
      <w:r>
        <w:t xml:space="preserve"> </w:t>
      </w:r>
      <w:r w:rsidRPr="005B7FBB">
        <w:t xml:space="preserve">Response to Ruling, filed </w:t>
      </w:r>
      <w:r w:rsidR="00A479C7">
        <w:t>February </w:t>
      </w:r>
      <w:r w:rsidRPr="005B7FBB">
        <w:t>6, 2026,</w:t>
      </w:r>
      <w:r w:rsidR="00A86137">
        <w:t xml:space="preserve"> at 2</w:t>
      </w:r>
      <w:r w:rsidR="00042804">
        <w:noBreakHyphen/>
      </w:r>
      <w:r w:rsidRPr="005B7FBB">
        <w:t xml:space="preserve">5 (stating that the Proposed Transaction will not adversely affect </w:t>
      </w:r>
      <w:r w:rsidR="009655F7">
        <w:t>ESJ</w:t>
      </w:r>
      <w:r w:rsidRPr="005B7FBB">
        <w:t xml:space="preserve"> communities and will not alter utility operations, infrastructure, service territories, rates, service delivery, or ESJ</w:t>
      </w:r>
      <w:r w:rsidR="00042804">
        <w:noBreakHyphen/>
      </w:r>
      <w:r w:rsidRPr="005B7FBB">
        <w:t>related programs); Application</w:t>
      </w:r>
      <w:r w:rsidR="006A3CFC">
        <w:t xml:space="preserve"> at 1</w:t>
      </w:r>
      <w:r w:rsidRPr="005B7FBB">
        <w:t xml:space="preserve"> (stating that the Proposed Transaction will result in no change in operations, rates, or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1FE1" w14:textId="27807AD7" w:rsidR="00F92385" w:rsidRPr="00015D01" w:rsidRDefault="00EA7592" w:rsidP="00015D01">
    <w:pPr>
      <w:pStyle w:val="Header"/>
      <w:tabs>
        <w:tab w:val="clear" w:pos="4680"/>
      </w:tabs>
      <w:ind w:firstLine="0"/>
      <w:rPr>
        <w:b/>
      </w:rPr>
    </w:pPr>
    <w:r w:rsidRPr="00EA7592">
      <w:t>A</w:t>
    </w:r>
    <w:r>
      <w:t>.</w:t>
    </w:r>
    <w:r w:rsidRPr="00EA7592">
      <w:t>25</w:t>
    </w:r>
    <w:r w:rsidR="00042804">
      <w:noBreakHyphen/>
    </w:r>
    <w:r w:rsidRPr="00EA7592">
      <w:t>05</w:t>
    </w:r>
    <w:r w:rsidR="00042804">
      <w:noBreakHyphen/>
    </w:r>
    <w:r w:rsidRPr="00EA7592">
      <w:t>020</w:t>
    </w:r>
    <w:r>
      <w:t xml:space="preserve"> </w:t>
    </w:r>
    <w:r w:rsidR="00B738A5">
      <w:t xml:space="preserve"> </w:t>
    </w:r>
    <w:r>
      <w:t>ALJ/ABT/nd3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38928" w14:textId="77777777" w:rsidR="00EA7592" w:rsidRPr="00015D01" w:rsidRDefault="00EA7592" w:rsidP="00015D0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962EE8"/>
    <w:multiLevelType w:val="multilevel"/>
    <w:tmpl w:val="7004E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3" w15:restartNumberingAfterBreak="0">
    <w:nsid w:val="15F056CB"/>
    <w:multiLevelType w:val="multilevel"/>
    <w:tmpl w:val="18F4A5AC"/>
    <w:numStyleLink w:val="FoFCoLOP"/>
  </w:abstractNum>
  <w:abstractNum w:abstractNumId="4"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70038F"/>
    <w:multiLevelType w:val="multilevel"/>
    <w:tmpl w:val="3C526EDE"/>
    <w:numStyleLink w:val="Headings"/>
  </w:abstractNum>
  <w:abstractNum w:abstractNumId="6" w15:restartNumberingAfterBreak="0">
    <w:nsid w:val="1E2242C9"/>
    <w:multiLevelType w:val="multilevel"/>
    <w:tmpl w:val="3C526EDE"/>
    <w:numStyleLink w:val="Headings"/>
  </w:abstractNum>
  <w:abstractNum w:abstractNumId="7" w15:restartNumberingAfterBreak="0">
    <w:nsid w:val="21FB58FE"/>
    <w:multiLevelType w:val="multilevel"/>
    <w:tmpl w:val="3C526EDE"/>
    <w:numStyleLink w:val="Headings"/>
  </w:abstractNum>
  <w:abstractNum w:abstractNumId="8" w15:restartNumberingAfterBreak="0">
    <w:nsid w:val="243663A0"/>
    <w:multiLevelType w:val="multilevel"/>
    <w:tmpl w:val="3C526EDE"/>
    <w:numStyleLink w:val="Headings"/>
  </w:abstractNum>
  <w:abstractNum w:abstractNumId="9" w15:restartNumberingAfterBreak="0">
    <w:nsid w:val="2B8124D7"/>
    <w:multiLevelType w:val="multilevel"/>
    <w:tmpl w:val="3C526EDE"/>
    <w:numStyleLink w:val="Headings"/>
  </w:abstractNum>
  <w:abstractNum w:abstractNumId="10" w15:restartNumberingAfterBreak="0">
    <w:nsid w:val="33131DDA"/>
    <w:multiLevelType w:val="multilevel"/>
    <w:tmpl w:val="AF0C0F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2" w15:restartNumberingAfterBreak="0">
    <w:nsid w:val="42625C59"/>
    <w:multiLevelType w:val="multilevel"/>
    <w:tmpl w:val="2D2E9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532A31"/>
    <w:multiLevelType w:val="multilevel"/>
    <w:tmpl w:val="ABCC6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BB4D69"/>
    <w:multiLevelType w:val="multilevel"/>
    <w:tmpl w:val="FE2A1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D042D7"/>
    <w:multiLevelType w:val="multilevel"/>
    <w:tmpl w:val="18F4A5AC"/>
    <w:numStyleLink w:val="FoFCoLOP"/>
  </w:abstractNum>
  <w:abstractNum w:abstractNumId="16" w15:restartNumberingAfterBreak="0">
    <w:nsid w:val="5A9E2171"/>
    <w:multiLevelType w:val="multilevel"/>
    <w:tmpl w:val="3C526EDE"/>
    <w:numStyleLink w:val="Headings"/>
  </w:abstractNum>
  <w:abstractNum w:abstractNumId="17" w15:restartNumberingAfterBreak="0">
    <w:nsid w:val="61A25780"/>
    <w:multiLevelType w:val="multilevel"/>
    <w:tmpl w:val="A152625A"/>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ind w:left="1584" w:hanging="864"/>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ind w:left="2592" w:hanging="1008"/>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8" w15:restartNumberingAfterBreak="0">
    <w:nsid w:val="635F0A2E"/>
    <w:multiLevelType w:val="multilevel"/>
    <w:tmpl w:val="75605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89A0AFE"/>
    <w:multiLevelType w:val="multilevel"/>
    <w:tmpl w:val="4B8226AE"/>
    <w:lvl w:ilvl="0">
      <w:start w:val="1"/>
      <w:numFmt w:val="decimal"/>
      <w:pStyle w:val="OP"/>
      <w:lvlText w:val="%1."/>
      <w:lvlJc w:val="right"/>
      <w:pPr>
        <w:ind w:left="0" w:firstLine="540"/>
      </w:pPr>
      <w:rPr>
        <w:rFonts w:hint="default"/>
      </w:rPr>
    </w:lvl>
    <w:lvl w:ilvl="1">
      <w:start w:val="1"/>
      <w:numFmt w:val="lowerLetter"/>
      <w:lvlText w:val="(%2)"/>
      <w:lvlJc w:val="lef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num w:numId="1" w16cid:durableId="1354526949">
    <w:abstractNumId w:val="16"/>
  </w:num>
  <w:num w:numId="2" w16cid:durableId="140774137">
    <w:abstractNumId w:val="2"/>
  </w:num>
  <w:num w:numId="3" w16cid:durableId="1898543446">
    <w:abstractNumId w:val="15"/>
  </w:num>
  <w:num w:numId="4" w16cid:durableId="701521005">
    <w:abstractNumId w:val="3"/>
  </w:num>
  <w:num w:numId="5" w16cid:durableId="2017029027">
    <w:abstractNumId w:val="20"/>
  </w:num>
  <w:num w:numId="6" w16cid:durableId="973756952">
    <w:abstractNumId w:val="11"/>
  </w:num>
  <w:num w:numId="7" w16cid:durableId="827667741">
    <w:abstractNumId w:val="6"/>
  </w:num>
  <w:num w:numId="8" w16cid:durableId="1760327020">
    <w:abstractNumId w:val="19"/>
  </w:num>
  <w:num w:numId="9" w16cid:durableId="816924040">
    <w:abstractNumId w:val="0"/>
  </w:num>
  <w:num w:numId="10" w16cid:durableId="1817916489">
    <w:abstractNumId w:val="5"/>
  </w:num>
  <w:num w:numId="11" w16cid:durableId="291985460">
    <w:abstractNumId w:val="7"/>
  </w:num>
  <w:num w:numId="12" w16cid:durableId="467941983">
    <w:abstractNumId w:val="4"/>
  </w:num>
  <w:num w:numId="13" w16cid:durableId="712996464">
    <w:abstractNumId w:val="8"/>
  </w:num>
  <w:num w:numId="14" w16cid:durableId="1303778653">
    <w:abstractNumId w:val="9"/>
  </w:num>
  <w:num w:numId="15" w16cid:durableId="1714382259">
    <w:abstractNumId w:val="17"/>
  </w:num>
  <w:num w:numId="16" w16cid:durableId="5481076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17"/>
  </w:num>
  <w:num w:numId="18" w16cid:durableId="1730617344">
    <w:abstractNumId w:val="12"/>
  </w:num>
  <w:num w:numId="19" w16cid:durableId="2047481199">
    <w:abstractNumId w:val="14"/>
  </w:num>
  <w:num w:numId="20" w16cid:durableId="1571236661">
    <w:abstractNumId w:val="1"/>
  </w:num>
  <w:num w:numId="21" w16cid:durableId="10926260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1827587">
    <w:abstractNumId w:val="13"/>
  </w:num>
  <w:num w:numId="23" w16cid:durableId="147140104">
    <w:abstractNumId w:val="18"/>
  </w:num>
  <w:num w:numId="24" w16cid:durableId="1452820775">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400"/>
    <w:rsid w:val="0000077A"/>
    <w:rsid w:val="00000F6A"/>
    <w:rsid w:val="00003D6F"/>
    <w:rsid w:val="00004C07"/>
    <w:rsid w:val="000058B2"/>
    <w:rsid w:val="00005C05"/>
    <w:rsid w:val="000128CC"/>
    <w:rsid w:val="00013D4C"/>
    <w:rsid w:val="00014940"/>
    <w:rsid w:val="000152AD"/>
    <w:rsid w:val="00015D01"/>
    <w:rsid w:val="00021300"/>
    <w:rsid w:val="000221FA"/>
    <w:rsid w:val="0002325E"/>
    <w:rsid w:val="0002421E"/>
    <w:rsid w:val="00024955"/>
    <w:rsid w:val="00025093"/>
    <w:rsid w:val="0002516D"/>
    <w:rsid w:val="0002636A"/>
    <w:rsid w:val="0002796F"/>
    <w:rsid w:val="0003082E"/>
    <w:rsid w:val="00031806"/>
    <w:rsid w:val="00032F84"/>
    <w:rsid w:val="000339AA"/>
    <w:rsid w:val="000343FF"/>
    <w:rsid w:val="00035175"/>
    <w:rsid w:val="0003599A"/>
    <w:rsid w:val="00037338"/>
    <w:rsid w:val="00037C6E"/>
    <w:rsid w:val="000405DC"/>
    <w:rsid w:val="000418A7"/>
    <w:rsid w:val="00042804"/>
    <w:rsid w:val="00042CD8"/>
    <w:rsid w:val="00043D58"/>
    <w:rsid w:val="00044D2E"/>
    <w:rsid w:val="00044DCE"/>
    <w:rsid w:val="00045165"/>
    <w:rsid w:val="00045457"/>
    <w:rsid w:val="00045D5B"/>
    <w:rsid w:val="00050376"/>
    <w:rsid w:val="000507A4"/>
    <w:rsid w:val="0005085C"/>
    <w:rsid w:val="00052CF9"/>
    <w:rsid w:val="00055430"/>
    <w:rsid w:val="00056D7E"/>
    <w:rsid w:val="00057C7B"/>
    <w:rsid w:val="00057C81"/>
    <w:rsid w:val="000601FE"/>
    <w:rsid w:val="00060E04"/>
    <w:rsid w:val="00061525"/>
    <w:rsid w:val="00064E50"/>
    <w:rsid w:val="00065203"/>
    <w:rsid w:val="00067234"/>
    <w:rsid w:val="000674D2"/>
    <w:rsid w:val="00067B90"/>
    <w:rsid w:val="00070F4C"/>
    <w:rsid w:val="0007115A"/>
    <w:rsid w:val="00071A20"/>
    <w:rsid w:val="000721B2"/>
    <w:rsid w:val="00072867"/>
    <w:rsid w:val="00076178"/>
    <w:rsid w:val="000805A9"/>
    <w:rsid w:val="000825EA"/>
    <w:rsid w:val="00082D53"/>
    <w:rsid w:val="00083222"/>
    <w:rsid w:val="0008437D"/>
    <w:rsid w:val="00084FBE"/>
    <w:rsid w:val="00090890"/>
    <w:rsid w:val="00091794"/>
    <w:rsid w:val="00092E0F"/>
    <w:rsid w:val="0009431B"/>
    <w:rsid w:val="000973C8"/>
    <w:rsid w:val="0009787E"/>
    <w:rsid w:val="000A0750"/>
    <w:rsid w:val="000A0865"/>
    <w:rsid w:val="000A0ACF"/>
    <w:rsid w:val="000A229D"/>
    <w:rsid w:val="000A2AA9"/>
    <w:rsid w:val="000A4BF7"/>
    <w:rsid w:val="000A56F2"/>
    <w:rsid w:val="000A5C26"/>
    <w:rsid w:val="000A6E05"/>
    <w:rsid w:val="000B0EAB"/>
    <w:rsid w:val="000B12FA"/>
    <w:rsid w:val="000B1A0C"/>
    <w:rsid w:val="000B20C7"/>
    <w:rsid w:val="000B294B"/>
    <w:rsid w:val="000B4E67"/>
    <w:rsid w:val="000B7C6C"/>
    <w:rsid w:val="000C0571"/>
    <w:rsid w:val="000C08BF"/>
    <w:rsid w:val="000C16BA"/>
    <w:rsid w:val="000C21B9"/>
    <w:rsid w:val="000C273D"/>
    <w:rsid w:val="000C39A6"/>
    <w:rsid w:val="000C3B9A"/>
    <w:rsid w:val="000C46F1"/>
    <w:rsid w:val="000C5498"/>
    <w:rsid w:val="000C7B1E"/>
    <w:rsid w:val="000D0335"/>
    <w:rsid w:val="000D0E32"/>
    <w:rsid w:val="000D18CC"/>
    <w:rsid w:val="000D1A79"/>
    <w:rsid w:val="000D25A8"/>
    <w:rsid w:val="000D25E8"/>
    <w:rsid w:val="000D5253"/>
    <w:rsid w:val="000D64A8"/>
    <w:rsid w:val="000D66AC"/>
    <w:rsid w:val="000E06B4"/>
    <w:rsid w:val="000E1EA0"/>
    <w:rsid w:val="000E1F18"/>
    <w:rsid w:val="000E24B0"/>
    <w:rsid w:val="000E270A"/>
    <w:rsid w:val="000E30A1"/>
    <w:rsid w:val="000E324A"/>
    <w:rsid w:val="000E38EC"/>
    <w:rsid w:val="000E4634"/>
    <w:rsid w:val="000E4C53"/>
    <w:rsid w:val="000E4E24"/>
    <w:rsid w:val="000E6507"/>
    <w:rsid w:val="000F007A"/>
    <w:rsid w:val="000F18CA"/>
    <w:rsid w:val="000F42F4"/>
    <w:rsid w:val="000F48C6"/>
    <w:rsid w:val="000F5ED2"/>
    <w:rsid w:val="00100D02"/>
    <w:rsid w:val="00102B3C"/>
    <w:rsid w:val="00102CBC"/>
    <w:rsid w:val="00103DBA"/>
    <w:rsid w:val="00104326"/>
    <w:rsid w:val="00105D16"/>
    <w:rsid w:val="00105E22"/>
    <w:rsid w:val="0011123B"/>
    <w:rsid w:val="0011133A"/>
    <w:rsid w:val="0011317E"/>
    <w:rsid w:val="001152E7"/>
    <w:rsid w:val="001153EB"/>
    <w:rsid w:val="00115CF6"/>
    <w:rsid w:val="0011724C"/>
    <w:rsid w:val="001173C5"/>
    <w:rsid w:val="0011740B"/>
    <w:rsid w:val="001176A9"/>
    <w:rsid w:val="00117ACF"/>
    <w:rsid w:val="0012029F"/>
    <w:rsid w:val="00121089"/>
    <w:rsid w:val="00121C9F"/>
    <w:rsid w:val="00121DD1"/>
    <w:rsid w:val="0012215E"/>
    <w:rsid w:val="00124134"/>
    <w:rsid w:val="00125349"/>
    <w:rsid w:val="00125A0B"/>
    <w:rsid w:val="00126201"/>
    <w:rsid w:val="001270A3"/>
    <w:rsid w:val="00127CE4"/>
    <w:rsid w:val="001307D4"/>
    <w:rsid w:val="00132545"/>
    <w:rsid w:val="001338EC"/>
    <w:rsid w:val="00133F5C"/>
    <w:rsid w:val="00134B1E"/>
    <w:rsid w:val="00134E79"/>
    <w:rsid w:val="0013565E"/>
    <w:rsid w:val="001363A8"/>
    <w:rsid w:val="00136DC0"/>
    <w:rsid w:val="001377E4"/>
    <w:rsid w:val="0014098C"/>
    <w:rsid w:val="001417F7"/>
    <w:rsid w:val="0014224E"/>
    <w:rsid w:val="001429C7"/>
    <w:rsid w:val="00145F16"/>
    <w:rsid w:val="0014626D"/>
    <w:rsid w:val="0014668B"/>
    <w:rsid w:val="00146E7F"/>
    <w:rsid w:val="0015159B"/>
    <w:rsid w:val="00151962"/>
    <w:rsid w:val="001543CA"/>
    <w:rsid w:val="0015563F"/>
    <w:rsid w:val="00156010"/>
    <w:rsid w:val="001568D6"/>
    <w:rsid w:val="00156E29"/>
    <w:rsid w:val="001576EB"/>
    <w:rsid w:val="00157C7E"/>
    <w:rsid w:val="001611CE"/>
    <w:rsid w:val="00161CB8"/>
    <w:rsid w:val="00165D6A"/>
    <w:rsid w:val="0016642A"/>
    <w:rsid w:val="00166E08"/>
    <w:rsid w:val="00171186"/>
    <w:rsid w:val="001718D9"/>
    <w:rsid w:val="00172309"/>
    <w:rsid w:val="001750EA"/>
    <w:rsid w:val="001765AB"/>
    <w:rsid w:val="00176E58"/>
    <w:rsid w:val="001808D0"/>
    <w:rsid w:val="00180E51"/>
    <w:rsid w:val="00181089"/>
    <w:rsid w:val="0018306D"/>
    <w:rsid w:val="0018332D"/>
    <w:rsid w:val="00184A8F"/>
    <w:rsid w:val="00184B01"/>
    <w:rsid w:val="001860A3"/>
    <w:rsid w:val="00186B72"/>
    <w:rsid w:val="00187893"/>
    <w:rsid w:val="001879A2"/>
    <w:rsid w:val="00191612"/>
    <w:rsid w:val="00192A7F"/>
    <w:rsid w:val="0019326F"/>
    <w:rsid w:val="00193AA0"/>
    <w:rsid w:val="001941EC"/>
    <w:rsid w:val="001945BA"/>
    <w:rsid w:val="00194F1A"/>
    <w:rsid w:val="00195FA4"/>
    <w:rsid w:val="001A3314"/>
    <w:rsid w:val="001A744D"/>
    <w:rsid w:val="001A7BCC"/>
    <w:rsid w:val="001B1165"/>
    <w:rsid w:val="001B1BCC"/>
    <w:rsid w:val="001B2661"/>
    <w:rsid w:val="001B34FB"/>
    <w:rsid w:val="001B5674"/>
    <w:rsid w:val="001B7DEB"/>
    <w:rsid w:val="001C0659"/>
    <w:rsid w:val="001C2FEC"/>
    <w:rsid w:val="001C363F"/>
    <w:rsid w:val="001C3ACB"/>
    <w:rsid w:val="001C3F0E"/>
    <w:rsid w:val="001C4713"/>
    <w:rsid w:val="001C4B43"/>
    <w:rsid w:val="001C4D17"/>
    <w:rsid w:val="001C561E"/>
    <w:rsid w:val="001C6B02"/>
    <w:rsid w:val="001D0489"/>
    <w:rsid w:val="001D4D13"/>
    <w:rsid w:val="001D51FF"/>
    <w:rsid w:val="001D5604"/>
    <w:rsid w:val="001D560C"/>
    <w:rsid w:val="001E016E"/>
    <w:rsid w:val="001E0255"/>
    <w:rsid w:val="001E1102"/>
    <w:rsid w:val="001E19B0"/>
    <w:rsid w:val="001E1BA7"/>
    <w:rsid w:val="001E1E77"/>
    <w:rsid w:val="001E2A62"/>
    <w:rsid w:val="001E55B6"/>
    <w:rsid w:val="001E6DBE"/>
    <w:rsid w:val="001F0E9A"/>
    <w:rsid w:val="001F2819"/>
    <w:rsid w:val="001F307C"/>
    <w:rsid w:val="001F476F"/>
    <w:rsid w:val="001F47B6"/>
    <w:rsid w:val="001F5C2E"/>
    <w:rsid w:val="002005F2"/>
    <w:rsid w:val="00201953"/>
    <w:rsid w:val="00201A83"/>
    <w:rsid w:val="002021E2"/>
    <w:rsid w:val="0020292D"/>
    <w:rsid w:val="002029D4"/>
    <w:rsid w:val="002043EC"/>
    <w:rsid w:val="00205863"/>
    <w:rsid w:val="00206B88"/>
    <w:rsid w:val="00207785"/>
    <w:rsid w:val="00207801"/>
    <w:rsid w:val="00207AF2"/>
    <w:rsid w:val="00207F43"/>
    <w:rsid w:val="002106B8"/>
    <w:rsid w:val="0021124F"/>
    <w:rsid w:val="00212070"/>
    <w:rsid w:val="002130A8"/>
    <w:rsid w:val="00215323"/>
    <w:rsid w:val="0021608B"/>
    <w:rsid w:val="002167DA"/>
    <w:rsid w:val="00216F1D"/>
    <w:rsid w:val="00217200"/>
    <w:rsid w:val="00217399"/>
    <w:rsid w:val="00217EBA"/>
    <w:rsid w:val="0022096E"/>
    <w:rsid w:val="00220B2A"/>
    <w:rsid w:val="002222D8"/>
    <w:rsid w:val="00222660"/>
    <w:rsid w:val="0022270A"/>
    <w:rsid w:val="002267C5"/>
    <w:rsid w:val="00226C84"/>
    <w:rsid w:val="002301A6"/>
    <w:rsid w:val="002317B0"/>
    <w:rsid w:val="00232BB9"/>
    <w:rsid w:val="00233340"/>
    <w:rsid w:val="00237281"/>
    <w:rsid w:val="00237EFC"/>
    <w:rsid w:val="00240289"/>
    <w:rsid w:val="00240FB3"/>
    <w:rsid w:val="002429E8"/>
    <w:rsid w:val="0024368A"/>
    <w:rsid w:val="00243C6D"/>
    <w:rsid w:val="00243DC0"/>
    <w:rsid w:val="00245628"/>
    <w:rsid w:val="00245CC1"/>
    <w:rsid w:val="00245D14"/>
    <w:rsid w:val="00247477"/>
    <w:rsid w:val="0024787C"/>
    <w:rsid w:val="0024787F"/>
    <w:rsid w:val="0024799A"/>
    <w:rsid w:val="00250F28"/>
    <w:rsid w:val="0025127B"/>
    <w:rsid w:val="00251464"/>
    <w:rsid w:val="00253AE0"/>
    <w:rsid w:val="00255454"/>
    <w:rsid w:val="00256429"/>
    <w:rsid w:val="002570EC"/>
    <w:rsid w:val="00257E57"/>
    <w:rsid w:val="00262D13"/>
    <w:rsid w:val="00265340"/>
    <w:rsid w:val="002660D3"/>
    <w:rsid w:val="002662D7"/>
    <w:rsid w:val="00266476"/>
    <w:rsid w:val="00267CA1"/>
    <w:rsid w:val="00270440"/>
    <w:rsid w:val="00271C14"/>
    <w:rsid w:val="00271EBD"/>
    <w:rsid w:val="00272439"/>
    <w:rsid w:val="002737AD"/>
    <w:rsid w:val="00275E08"/>
    <w:rsid w:val="00276273"/>
    <w:rsid w:val="0027634E"/>
    <w:rsid w:val="0027715A"/>
    <w:rsid w:val="002804AE"/>
    <w:rsid w:val="0028068E"/>
    <w:rsid w:val="00280F80"/>
    <w:rsid w:val="0028282D"/>
    <w:rsid w:val="00284D8D"/>
    <w:rsid w:val="00287BC5"/>
    <w:rsid w:val="00287FD1"/>
    <w:rsid w:val="00290E58"/>
    <w:rsid w:val="00290F82"/>
    <w:rsid w:val="002910C2"/>
    <w:rsid w:val="00291676"/>
    <w:rsid w:val="00293DEE"/>
    <w:rsid w:val="002A03C0"/>
    <w:rsid w:val="002A0836"/>
    <w:rsid w:val="002A0B5D"/>
    <w:rsid w:val="002A4393"/>
    <w:rsid w:val="002A5C86"/>
    <w:rsid w:val="002A6259"/>
    <w:rsid w:val="002A7D75"/>
    <w:rsid w:val="002B35BF"/>
    <w:rsid w:val="002B5147"/>
    <w:rsid w:val="002B7845"/>
    <w:rsid w:val="002C0AFC"/>
    <w:rsid w:val="002C10C0"/>
    <w:rsid w:val="002C10D8"/>
    <w:rsid w:val="002C7A22"/>
    <w:rsid w:val="002C7D5A"/>
    <w:rsid w:val="002C7FE9"/>
    <w:rsid w:val="002D0DC5"/>
    <w:rsid w:val="002D42A9"/>
    <w:rsid w:val="002D4EFD"/>
    <w:rsid w:val="002D61AE"/>
    <w:rsid w:val="002D68EA"/>
    <w:rsid w:val="002D6933"/>
    <w:rsid w:val="002D6E8F"/>
    <w:rsid w:val="002D6FE8"/>
    <w:rsid w:val="002E0EA8"/>
    <w:rsid w:val="002E43B5"/>
    <w:rsid w:val="002E5ED9"/>
    <w:rsid w:val="002E6E3C"/>
    <w:rsid w:val="002F11CA"/>
    <w:rsid w:val="002F2950"/>
    <w:rsid w:val="002F42C1"/>
    <w:rsid w:val="002F4A7E"/>
    <w:rsid w:val="002F5631"/>
    <w:rsid w:val="002F595E"/>
    <w:rsid w:val="002F76F7"/>
    <w:rsid w:val="00300C0C"/>
    <w:rsid w:val="00301C0D"/>
    <w:rsid w:val="00303026"/>
    <w:rsid w:val="00305000"/>
    <w:rsid w:val="00305060"/>
    <w:rsid w:val="003063FA"/>
    <w:rsid w:val="00307039"/>
    <w:rsid w:val="00307E1B"/>
    <w:rsid w:val="00311245"/>
    <w:rsid w:val="00311C55"/>
    <w:rsid w:val="00311E1C"/>
    <w:rsid w:val="00312FBE"/>
    <w:rsid w:val="003139C6"/>
    <w:rsid w:val="00313DB1"/>
    <w:rsid w:val="00314AAA"/>
    <w:rsid w:val="00314C9D"/>
    <w:rsid w:val="00315A97"/>
    <w:rsid w:val="00316071"/>
    <w:rsid w:val="0031763F"/>
    <w:rsid w:val="00317A84"/>
    <w:rsid w:val="00322697"/>
    <w:rsid w:val="003234DF"/>
    <w:rsid w:val="0032389C"/>
    <w:rsid w:val="00324E33"/>
    <w:rsid w:val="003259F8"/>
    <w:rsid w:val="00327EA8"/>
    <w:rsid w:val="00332647"/>
    <w:rsid w:val="0033332B"/>
    <w:rsid w:val="003345D0"/>
    <w:rsid w:val="00334D88"/>
    <w:rsid w:val="00341740"/>
    <w:rsid w:val="00342E62"/>
    <w:rsid w:val="00342F91"/>
    <w:rsid w:val="0034338E"/>
    <w:rsid w:val="00343E5C"/>
    <w:rsid w:val="00344FB8"/>
    <w:rsid w:val="003455B5"/>
    <w:rsid w:val="003508E0"/>
    <w:rsid w:val="00350FF0"/>
    <w:rsid w:val="00352B64"/>
    <w:rsid w:val="003549D7"/>
    <w:rsid w:val="00355E34"/>
    <w:rsid w:val="00355E9D"/>
    <w:rsid w:val="00356B2B"/>
    <w:rsid w:val="0036017B"/>
    <w:rsid w:val="00361CE3"/>
    <w:rsid w:val="00362755"/>
    <w:rsid w:val="00362E3F"/>
    <w:rsid w:val="00364FB5"/>
    <w:rsid w:val="00366BB2"/>
    <w:rsid w:val="00366DB2"/>
    <w:rsid w:val="00367678"/>
    <w:rsid w:val="00367945"/>
    <w:rsid w:val="00371D3E"/>
    <w:rsid w:val="00373B93"/>
    <w:rsid w:val="00374348"/>
    <w:rsid w:val="0037649F"/>
    <w:rsid w:val="00380CD1"/>
    <w:rsid w:val="0038216F"/>
    <w:rsid w:val="0038285F"/>
    <w:rsid w:val="00382EC1"/>
    <w:rsid w:val="00384E71"/>
    <w:rsid w:val="00390D60"/>
    <w:rsid w:val="00390E39"/>
    <w:rsid w:val="00392AFF"/>
    <w:rsid w:val="003958FC"/>
    <w:rsid w:val="003A02CA"/>
    <w:rsid w:val="003A1E5F"/>
    <w:rsid w:val="003A26B6"/>
    <w:rsid w:val="003A2B38"/>
    <w:rsid w:val="003A300E"/>
    <w:rsid w:val="003A38F0"/>
    <w:rsid w:val="003B222D"/>
    <w:rsid w:val="003B2E93"/>
    <w:rsid w:val="003B4436"/>
    <w:rsid w:val="003B47ED"/>
    <w:rsid w:val="003B5D59"/>
    <w:rsid w:val="003B769D"/>
    <w:rsid w:val="003C01CB"/>
    <w:rsid w:val="003C2750"/>
    <w:rsid w:val="003C3608"/>
    <w:rsid w:val="003C3836"/>
    <w:rsid w:val="003C471D"/>
    <w:rsid w:val="003C6DB3"/>
    <w:rsid w:val="003C7BAC"/>
    <w:rsid w:val="003D06EF"/>
    <w:rsid w:val="003D091C"/>
    <w:rsid w:val="003D25D6"/>
    <w:rsid w:val="003D3712"/>
    <w:rsid w:val="003D3BD8"/>
    <w:rsid w:val="003D64F9"/>
    <w:rsid w:val="003D6775"/>
    <w:rsid w:val="003E029C"/>
    <w:rsid w:val="003E0690"/>
    <w:rsid w:val="003E20B5"/>
    <w:rsid w:val="003E2FE0"/>
    <w:rsid w:val="003E403E"/>
    <w:rsid w:val="003E4620"/>
    <w:rsid w:val="003E5D08"/>
    <w:rsid w:val="003E7DBE"/>
    <w:rsid w:val="003F069A"/>
    <w:rsid w:val="003F0AA5"/>
    <w:rsid w:val="003F1129"/>
    <w:rsid w:val="003F1AEE"/>
    <w:rsid w:val="003F1C58"/>
    <w:rsid w:val="003F4329"/>
    <w:rsid w:val="003F613D"/>
    <w:rsid w:val="00400B73"/>
    <w:rsid w:val="00401182"/>
    <w:rsid w:val="00401983"/>
    <w:rsid w:val="004043CB"/>
    <w:rsid w:val="00405C43"/>
    <w:rsid w:val="00405D1A"/>
    <w:rsid w:val="004076CB"/>
    <w:rsid w:val="00407CFC"/>
    <w:rsid w:val="004104DE"/>
    <w:rsid w:val="00411FF9"/>
    <w:rsid w:val="00412534"/>
    <w:rsid w:val="00412C83"/>
    <w:rsid w:val="00412F1F"/>
    <w:rsid w:val="00413F6E"/>
    <w:rsid w:val="0041561E"/>
    <w:rsid w:val="004156A3"/>
    <w:rsid w:val="00415CD8"/>
    <w:rsid w:val="004164E9"/>
    <w:rsid w:val="00420C42"/>
    <w:rsid w:val="00420D42"/>
    <w:rsid w:val="00421322"/>
    <w:rsid w:val="00421EED"/>
    <w:rsid w:val="00422254"/>
    <w:rsid w:val="004249C4"/>
    <w:rsid w:val="00425093"/>
    <w:rsid w:val="00425B4E"/>
    <w:rsid w:val="00426014"/>
    <w:rsid w:val="00426263"/>
    <w:rsid w:val="00426685"/>
    <w:rsid w:val="00426BDD"/>
    <w:rsid w:val="00427EFC"/>
    <w:rsid w:val="0043058F"/>
    <w:rsid w:val="00430AA9"/>
    <w:rsid w:val="00432C71"/>
    <w:rsid w:val="004330F9"/>
    <w:rsid w:val="00434599"/>
    <w:rsid w:val="00434972"/>
    <w:rsid w:val="00434CAC"/>
    <w:rsid w:val="00435497"/>
    <w:rsid w:val="004364EA"/>
    <w:rsid w:val="00440F17"/>
    <w:rsid w:val="0044105C"/>
    <w:rsid w:val="00442A2F"/>
    <w:rsid w:val="00442D2C"/>
    <w:rsid w:val="0044402F"/>
    <w:rsid w:val="00444E9B"/>
    <w:rsid w:val="004456BD"/>
    <w:rsid w:val="0044617E"/>
    <w:rsid w:val="00446911"/>
    <w:rsid w:val="004475EB"/>
    <w:rsid w:val="0045000D"/>
    <w:rsid w:val="004527CA"/>
    <w:rsid w:val="00452B06"/>
    <w:rsid w:val="00453C08"/>
    <w:rsid w:val="00455D95"/>
    <w:rsid w:val="00457262"/>
    <w:rsid w:val="00460767"/>
    <w:rsid w:val="0046078B"/>
    <w:rsid w:val="00460796"/>
    <w:rsid w:val="0046085B"/>
    <w:rsid w:val="00460B7D"/>
    <w:rsid w:val="00460FF4"/>
    <w:rsid w:val="004625F2"/>
    <w:rsid w:val="00462792"/>
    <w:rsid w:val="00465643"/>
    <w:rsid w:val="004709E9"/>
    <w:rsid w:val="00470D14"/>
    <w:rsid w:val="004710B3"/>
    <w:rsid w:val="0047313D"/>
    <w:rsid w:val="0047435F"/>
    <w:rsid w:val="00480CB0"/>
    <w:rsid w:val="0048167C"/>
    <w:rsid w:val="004825D0"/>
    <w:rsid w:val="00482969"/>
    <w:rsid w:val="00483603"/>
    <w:rsid w:val="00483723"/>
    <w:rsid w:val="00484245"/>
    <w:rsid w:val="00490F67"/>
    <w:rsid w:val="0049122C"/>
    <w:rsid w:val="004933C1"/>
    <w:rsid w:val="00493458"/>
    <w:rsid w:val="00493AED"/>
    <w:rsid w:val="00494A9D"/>
    <w:rsid w:val="004957EB"/>
    <w:rsid w:val="00496440"/>
    <w:rsid w:val="00497074"/>
    <w:rsid w:val="004A1EAD"/>
    <w:rsid w:val="004A34D3"/>
    <w:rsid w:val="004A47BE"/>
    <w:rsid w:val="004A4D4D"/>
    <w:rsid w:val="004A609F"/>
    <w:rsid w:val="004A6309"/>
    <w:rsid w:val="004A6FA2"/>
    <w:rsid w:val="004A78B4"/>
    <w:rsid w:val="004B018F"/>
    <w:rsid w:val="004B0D79"/>
    <w:rsid w:val="004B10D2"/>
    <w:rsid w:val="004B1138"/>
    <w:rsid w:val="004B275F"/>
    <w:rsid w:val="004B34EA"/>
    <w:rsid w:val="004B5494"/>
    <w:rsid w:val="004B559A"/>
    <w:rsid w:val="004B5EE4"/>
    <w:rsid w:val="004B77BA"/>
    <w:rsid w:val="004C1AF1"/>
    <w:rsid w:val="004C1B49"/>
    <w:rsid w:val="004C1E4E"/>
    <w:rsid w:val="004C219A"/>
    <w:rsid w:val="004C2999"/>
    <w:rsid w:val="004C6FEF"/>
    <w:rsid w:val="004C78BA"/>
    <w:rsid w:val="004C7A2B"/>
    <w:rsid w:val="004C7D3A"/>
    <w:rsid w:val="004D00AA"/>
    <w:rsid w:val="004D04EA"/>
    <w:rsid w:val="004D144B"/>
    <w:rsid w:val="004D202C"/>
    <w:rsid w:val="004D50EF"/>
    <w:rsid w:val="004D5A62"/>
    <w:rsid w:val="004D796D"/>
    <w:rsid w:val="004E212B"/>
    <w:rsid w:val="004E265D"/>
    <w:rsid w:val="004E4193"/>
    <w:rsid w:val="004E44CB"/>
    <w:rsid w:val="004E467D"/>
    <w:rsid w:val="004E59A6"/>
    <w:rsid w:val="004F0839"/>
    <w:rsid w:val="004F1313"/>
    <w:rsid w:val="004F2590"/>
    <w:rsid w:val="004F4527"/>
    <w:rsid w:val="004F4910"/>
    <w:rsid w:val="004F4D52"/>
    <w:rsid w:val="004F5125"/>
    <w:rsid w:val="004F7E76"/>
    <w:rsid w:val="0050061D"/>
    <w:rsid w:val="00500D67"/>
    <w:rsid w:val="005018A8"/>
    <w:rsid w:val="005030DE"/>
    <w:rsid w:val="005042E8"/>
    <w:rsid w:val="00505A39"/>
    <w:rsid w:val="00506495"/>
    <w:rsid w:val="00507EA8"/>
    <w:rsid w:val="00511393"/>
    <w:rsid w:val="005114FC"/>
    <w:rsid w:val="00511EB1"/>
    <w:rsid w:val="00512D26"/>
    <w:rsid w:val="00512E12"/>
    <w:rsid w:val="00514A44"/>
    <w:rsid w:val="00516109"/>
    <w:rsid w:val="005164EB"/>
    <w:rsid w:val="005200E8"/>
    <w:rsid w:val="005209C3"/>
    <w:rsid w:val="005240BF"/>
    <w:rsid w:val="00524A39"/>
    <w:rsid w:val="00524D32"/>
    <w:rsid w:val="00525670"/>
    <w:rsid w:val="00525814"/>
    <w:rsid w:val="00525E18"/>
    <w:rsid w:val="00526478"/>
    <w:rsid w:val="0052655A"/>
    <w:rsid w:val="00530297"/>
    <w:rsid w:val="0053379D"/>
    <w:rsid w:val="005343EE"/>
    <w:rsid w:val="00534A65"/>
    <w:rsid w:val="00535C88"/>
    <w:rsid w:val="005360B9"/>
    <w:rsid w:val="005364A6"/>
    <w:rsid w:val="005376E9"/>
    <w:rsid w:val="00537D5E"/>
    <w:rsid w:val="00542E0D"/>
    <w:rsid w:val="00543296"/>
    <w:rsid w:val="005433D5"/>
    <w:rsid w:val="00543DC9"/>
    <w:rsid w:val="00544554"/>
    <w:rsid w:val="00544702"/>
    <w:rsid w:val="005506DC"/>
    <w:rsid w:val="0055190C"/>
    <w:rsid w:val="00551FB0"/>
    <w:rsid w:val="0055262B"/>
    <w:rsid w:val="00553355"/>
    <w:rsid w:val="0056069D"/>
    <w:rsid w:val="00561EB6"/>
    <w:rsid w:val="00562E47"/>
    <w:rsid w:val="005635B0"/>
    <w:rsid w:val="00564E0D"/>
    <w:rsid w:val="00567156"/>
    <w:rsid w:val="005671C9"/>
    <w:rsid w:val="00567310"/>
    <w:rsid w:val="0056775B"/>
    <w:rsid w:val="00570326"/>
    <w:rsid w:val="00570FBE"/>
    <w:rsid w:val="0057168D"/>
    <w:rsid w:val="00571C69"/>
    <w:rsid w:val="00572341"/>
    <w:rsid w:val="00574963"/>
    <w:rsid w:val="00577C7A"/>
    <w:rsid w:val="00580552"/>
    <w:rsid w:val="00580AE6"/>
    <w:rsid w:val="00580C0C"/>
    <w:rsid w:val="005834C0"/>
    <w:rsid w:val="00583D47"/>
    <w:rsid w:val="00585390"/>
    <w:rsid w:val="0058694A"/>
    <w:rsid w:val="00590243"/>
    <w:rsid w:val="00592C49"/>
    <w:rsid w:val="00592E5D"/>
    <w:rsid w:val="00592F9B"/>
    <w:rsid w:val="005939A5"/>
    <w:rsid w:val="00594781"/>
    <w:rsid w:val="00597843"/>
    <w:rsid w:val="00597A12"/>
    <w:rsid w:val="005A00B3"/>
    <w:rsid w:val="005A148C"/>
    <w:rsid w:val="005A1D06"/>
    <w:rsid w:val="005A2049"/>
    <w:rsid w:val="005A330C"/>
    <w:rsid w:val="005A7D85"/>
    <w:rsid w:val="005B087E"/>
    <w:rsid w:val="005B1596"/>
    <w:rsid w:val="005B1745"/>
    <w:rsid w:val="005B30F6"/>
    <w:rsid w:val="005B3938"/>
    <w:rsid w:val="005B47F0"/>
    <w:rsid w:val="005B589C"/>
    <w:rsid w:val="005B59DF"/>
    <w:rsid w:val="005B5D45"/>
    <w:rsid w:val="005B69DD"/>
    <w:rsid w:val="005B755A"/>
    <w:rsid w:val="005B7729"/>
    <w:rsid w:val="005B7FBB"/>
    <w:rsid w:val="005C05A6"/>
    <w:rsid w:val="005C1658"/>
    <w:rsid w:val="005C2FB5"/>
    <w:rsid w:val="005C395F"/>
    <w:rsid w:val="005C4942"/>
    <w:rsid w:val="005C58FA"/>
    <w:rsid w:val="005C5C61"/>
    <w:rsid w:val="005C5D10"/>
    <w:rsid w:val="005C5D54"/>
    <w:rsid w:val="005D1AD9"/>
    <w:rsid w:val="005D22C0"/>
    <w:rsid w:val="005D35F8"/>
    <w:rsid w:val="005D4028"/>
    <w:rsid w:val="005D45DC"/>
    <w:rsid w:val="005D5E91"/>
    <w:rsid w:val="005D6CC9"/>
    <w:rsid w:val="005E004C"/>
    <w:rsid w:val="005E1C6D"/>
    <w:rsid w:val="005E2394"/>
    <w:rsid w:val="005E2BF8"/>
    <w:rsid w:val="005E4063"/>
    <w:rsid w:val="005E510D"/>
    <w:rsid w:val="005E56F3"/>
    <w:rsid w:val="005E7D4D"/>
    <w:rsid w:val="005E7FE1"/>
    <w:rsid w:val="00601096"/>
    <w:rsid w:val="006012E9"/>
    <w:rsid w:val="006012F5"/>
    <w:rsid w:val="0060164E"/>
    <w:rsid w:val="00602B4F"/>
    <w:rsid w:val="00603238"/>
    <w:rsid w:val="00603AE9"/>
    <w:rsid w:val="006040FE"/>
    <w:rsid w:val="00604A50"/>
    <w:rsid w:val="00604F22"/>
    <w:rsid w:val="0060594B"/>
    <w:rsid w:val="006068E2"/>
    <w:rsid w:val="006116F8"/>
    <w:rsid w:val="006126B5"/>
    <w:rsid w:val="00613BC0"/>
    <w:rsid w:val="00614158"/>
    <w:rsid w:val="00614FA9"/>
    <w:rsid w:val="00615699"/>
    <w:rsid w:val="00624217"/>
    <w:rsid w:val="006243B7"/>
    <w:rsid w:val="006251A0"/>
    <w:rsid w:val="00626218"/>
    <w:rsid w:val="00626958"/>
    <w:rsid w:val="00626BAC"/>
    <w:rsid w:val="00630C12"/>
    <w:rsid w:val="00631D1B"/>
    <w:rsid w:val="00631F11"/>
    <w:rsid w:val="00632207"/>
    <w:rsid w:val="0063491C"/>
    <w:rsid w:val="00634EAD"/>
    <w:rsid w:val="006400B2"/>
    <w:rsid w:val="00641A5C"/>
    <w:rsid w:val="006428B4"/>
    <w:rsid w:val="00643388"/>
    <w:rsid w:val="0064651A"/>
    <w:rsid w:val="00650341"/>
    <w:rsid w:val="006506AD"/>
    <w:rsid w:val="00650FEC"/>
    <w:rsid w:val="0065135D"/>
    <w:rsid w:val="0065168D"/>
    <w:rsid w:val="00652217"/>
    <w:rsid w:val="006525A5"/>
    <w:rsid w:val="00652B91"/>
    <w:rsid w:val="00652F9C"/>
    <w:rsid w:val="0065399F"/>
    <w:rsid w:val="0065454A"/>
    <w:rsid w:val="00655FD3"/>
    <w:rsid w:val="0065650A"/>
    <w:rsid w:val="00660634"/>
    <w:rsid w:val="00661AFE"/>
    <w:rsid w:val="0066212A"/>
    <w:rsid w:val="00663039"/>
    <w:rsid w:val="0066319A"/>
    <w:rsid w:val="006631A8"/>
    <w:rsid w:val="0066368C"/>
    <w:rsid w:val="00665682"/>
    <w:rsid w:val="00665ADA"/>
    <w:rsid w:val="0067094A"/>
    <w:rsid w:val="00670A05"/>
    <w:rsid w:val="00670EDC"/>
    <w:rsid w:val="00672380"/>
    <w:rsid w:val="0067371F"/>
    <w:rsid w:val="00677C04"/>
    <w:rsid w:val="00680F19"/>
    <w:rsid w:val="006820C9"/>
    <w:rsid w:val="00683B2C"/>
    <w:rsid w:val="0068444A"/>
    <w:rsid w:val="006845ED"/>
    <w:rsid w:val="00685EC1"/>
    <w:rsid w:val="006861C1"/>
    <w:rsid w:val="00686A51"/>
    <w:rsid w:val="00690368"/>
    <w:rsid w:val="00690A1A"/>
    <w:rsid w:val="00692303"/>
    <w:rsid w:val="006961D6"/>
    <w:rsid w:val="006968A1"/>
    <w:rsid w:val="0069759B"/>
    <w:rsid w:val="00697A68"/>
    <w:rsid w:val="006A0A79"/>
    <w:rsid w:val="006A0A9E"/>
    <w:rsid w:val="006A1A78"/>
    <w:rsid w:val="006A1E39"/>
    <w:rsid w:val="006A3CFC"/>
    <w:rsid w:val="006A4197"/>
    <w:rsid w:val="006A44C8"/>
    <w:rsid w:val="006A479B"/>
    <w:rsid w:val="006A49E0"/>
    <w:rsid w:val="006A6057"/>
    <w:rsid w:val="006A6D66"/>
    <w:rsid w:val="006B1EF7"/>
    <w:rsid w:val="006B280D"/>
    <w:rsid w:val="006B5F1B"/>
    <w:rsid w:val="006B6EF1"/>
    <w:rsid w:val="006B79F7"/>
    <w:rsid w:val="006C1F10"/>
    <w:rsid w:val="006C1F93"/>
    <w:rsid w:val="006C4E1C"/>
    <w:rsid w:val="006C7811"/>
    <w:rsid w:val="006C78B0"/>
    <w:rsid w:val="006D1803"/>
    <w:rsid w:val="006D2066"/>
    <w:rsid w:val="006D24C6"/>
    <w:rsid w:val="006D2887"/>
    <w:rsid w:val="006D56F6"/>
    <w:rsid w:val="006D71B7"/>
    <w:rsid w:val="006D7F48"/>
    <w:rsid w:val="006E16CE"/>
    <w:rsid w:val="006E25CA"/>
    <w:rsid w:val="006E26F1"/>
    <w:rsid w:val="006E5E28"/>
    <w:rsid w:val="006E6574"/>
    <w:rsid w:val="006E7648"/>
    <w:rsid w:val="006F18F8"/>
    <w:rsid w:val="006F466F"/>
    <w:rsid w:val="006F4FD5"/>
    <w:rsid w:val="006F546D"/>
    <w:rsid w:val="007012BF"/>
    <w:rsid w:val="00701B61"/>
    <w:rsid w:val="00701EE1"/>
    <w:rsid w:val="007023A0"/>
    <w:rsid w:val="0070349D"/>
    <w:rsid w:val="00705D55"/>
    <w:rsid w:val="00710990"/>
    <w:rsid w:val="00710D0F"/>
    <w:rsid w:val="00712047"/>
    <w:rsid w:val="0071211A"/>
    <w:rsid w:val="0071374C"/>
    <w:rsid w:val="00714C27"/>
    <w:rsid w:val="00714CF2"/>
    <w:rsid w:val="007156B9"/>
    <w:rsid w:val="00715C91"/>
    <w:rsid w:val="00715DA0"/>
    <w:rsid w:val="007167B2"/>
    <w:rsid w:val="00716E0A"/>
    <w:rsid w:val="00717015"/>
    <w:rsid w:val="007172F5"/>
    <w:rsid w:val="00717E2D"/>
    <w:rsid w:val="00720817"/>
    <w:rsid w:val="00722785"/>
    <w:rsid w:val="00722850"/>
    <w:rsid w:val="00722CF1"/>
    <w:rsid w:val="00723CA5"/>
    <w:rsid w:val="00726BBF"/>
    <w:rsid w:val="00727132"/>
    <w:rsid w:val="007274AC"/>
    <w:rsid w:val="007309C3"/>
    <w:rsid w:val="00730DA0"/>
    <w:rsid w:val="00730DE8"/>
    <w:rsid w:val="00731042"/>
    <w:rsid w:val="0073353F"/>
    <w:rsid w:val="00735082"/>
    <w:rsid w:val="00735A91"/>
    <w:rsid w:val="00737BF5"/>
    <w:rsid w:val="00742E45"/>
    <w:rsid w:val="00743F61"/>
    <w:rsid w:val="00744515"/>
    <w:rsid w:val="007447AF"/>
    <w:rsid w:val="00744CCD"/>
    <w:rsid w:val="007451BF"/>
    <w:rsid w:val="007459D3"/>
    <w:rsid w:val="0074605F"/>
    <w:rsid w:val="007469D7"/>
    <w:rsid w:val="00746CA6"/>
    <w:rsid w:val="007476A8"/>
    <w:rsid w:val="007478C1"/>
    <w:rsid w:val="00747B64"/>
    <w:rsid w:val="00749D03"/>
    <w:rsid w:val="00750816"/>
    <w:rsid w:val="007534E4"/>
    <w:rsid w:val="00753654"/>
    <w:rsid w:val="00753863"/>
    <w:rsid w:val="0075386F"/>
    <w:rsid w:val="007544B7"/>
    <w:rsid w:val="007550A0"/>
    <w:rsid w:val="00761A3D"/>
    <w:rsid w:val="00762FF7"/>
    <w:rsid w:val="00764042"/>
    <w:rsid w:val="007647D4"/>
    <w:rsid w:val="007657C1"/>
    <w:rsid w:val="00771A87"/>
    <w:rsid w:val="007722F6"/>
    <w:rsid w:val="00773A3E"/>
    <w:rsid w:val="0077404D"/>
    <w:rsid w:val="007763B2"/>
    <w:rsid w:val="0077755F"/>
    <w:rsid w:val="00777E50"/>
    <w:rsid w:val="00780E77"/>
    <w:rsid w:val="00781091"/>
    <w:rsid w:val="00781E04"/>
    <w:rsid w:val="0078293A"/>
    <w:rsid w:val="00783487"/>
    <w:rsid w:val="0078525A"/>
    <w:rsid w:val="007864C0"/>
    <w:rsid w:val="00786B7E"/>
    <w:rsid w:val="00786F61"/>
    <w:rsid w:val="0078727E"/>
    <w:rsid w:val="007909DF"/>
    <w:rsid w:val="00794841"/>
    <w:rsid w:val="0079552F"/>
    <w:rsid w:val="00795764"/>
    <w:rsid w:val="00795945"/>
    <w:rsid w:val="007A2030"/>
    <w:rsid w:val="007A2228"/>
    <w:rsid w:val="007A2E37"/>
    <w:rsid w:val="007A312E"/>
    <w:rsid w:val="007A406D"/>
    <w:rsid w:val="007A6131"/>
    <w:rsid w:val="007A62B0"/>
    <w:rsid w:val="007A6771"/>
    <w:rsid w:val="007A6DE6"/>
    <w:rsid w:val="007A6E8B"/>
    <w:rsid w:val="007A7979"/>
    <w:rsid w:val="007B3152"/>
    <w:rsid w:val="007B4118"/>
    <w:rsid w:val="007B4C26"/>
    <w:rsid w:val="007B4E25"/>
    <w:rsid w:val="007B52A6"/>
    <w:rsid w:val="007B6892"/>
    <w:rsid w:val="007B6C07"/>
    <w:rsid w:val="007C1BD8"/>
    <w:rsid w:val="007C22AE"/>
    <w:rsid w:val="007C2BA7"/>
    <w:rsid w:val="007C4AC3"/>
    <w:rsid w:val="007C5A0C"/>
    <w:rsid w:val="007C60F4"/>
    <w:rsid w:val="007C6509"/>
    <w:rsid w:val="007C67E8"/>
    <w:rsid w:val="007C7586"/>
    <w:rsid w:val="007D10F4"/>
    <w:rsid w:val="007D364C"/>
    <w:rsid w:val="007D3BBF"/>
    <w:rsid w:val="007D4046"/>
    <w:rsid w:val="007D5361"/>
    <w:rsid w:val="007D6175"/>
    <w:rsid w:val="007D652B"/>
    <w:rsid w:val="007D66E7"/>
    <w:rsid w:val="007E0143"/>
    <w:rsid w:val="007E0FEE"/>
    <w:rsid w:val="007E1DBA"/>
    <w:rsid w:val="007E2BFE"/>
    <w:rsid w:val="007E3C84"/>
    <w:rsid w:val="007E65F2"/>
    <w:rsid w:val="007E6D07"/>
    <w:rsid w:val="007E702C"/>
    <w:rsid w:val="007E7AAB"/>
    <w:rsid w:val="007F09F1"/>
    <w:rsid w:val="007F2017"/>
    <w:rsid w:val="007F210A"/>
    <w:rsid w:val="007F219E"/>
    <w:rsid w:val="007F2FFE"/>
    <w:rsid w:val="007F570D"/>
    <w:rsid w:val="007F637D"/>
    <w:rsid w:val="007F695A"/>
    <w:rsid w:val="007F7C17"/>
    <w:rsid w:val="007F7D2E"/>
    <w:rsid w:val="008008D6"/>
    <w:rsid w:val="00800B25"/>
    <w:rsid w:val="0080272E"/>
    <w:rsid w:val="00802F84"/>
    <w:rsid w:val="008031D7"/>
    <w:rsid w:val="0080390E"/>
    <w:rsid w:val="0080586D"/>
    <w:rsid w:val="00805C3D"/>
    <w:rsid w:val="00806923"/>
    <w:rsid w:val="00810DB0"/>
    <w:rsid w:val="00811473"/>
    <w:rsid w:val="00814B84"/>
    <w:rsid w:val="008159CF"/>
    <w:rsid w:val="00815E06"/>
    <w:rsid w:val="00816E05"/>
    <w:rsid w:val="00821096"/>
    <w:rsid w:val="008241B1"/>
    <w:rsid w:val="00824A26"/>
    <w:rsid w:val="00825C13"/>
    <w:rsid w:val="00826908"/>
    <w:rsid w:val="008301B7"/>
    <w:rsid w:val="00831B94"/>
    <w:rsid w:val="008339BB"/>
    <w:rsid w:val="00836104"/>
    <w:rsid w:val="00837B01"/>
    <w:rsid w:val="00841414"/>
    <w:rsid w:val="00841DA9"/>
    <w:rsid w:val="00842D81"/>
    <w:rsid w:val="00842E8C"/>
    <w:rsid w:val="0084320B"/>
    <w:rsid w:val="00843355"/>
    <w:rsid w:val="0084414A"/>
    <w:rsid w:val="008453F9"/>
    <w:rsid w:val="00850957"/>
    <w:rsid w:val="00851A1E"/>
    <w:rsid w:val="0085262B"/>
    <w:rsid w:val="00855612"/>
    <w:rsid w:val="00860F99"/>
    <w:rsid w:val="008613CA"/>
    <w:rsid w:val="00862E7C"/>
    <w:rsid w:val="00864115"/>
    <w:rsid w:val="0086419A"/>
    <w:rsid w:val="0086593D"/>
    <w:rsid w:val="0086787E"/>
    <w:rsid w:val="00867AFA"/>
    <w:rsid w:val="00867EB2"/>
    <w:rsid w:val="008700EC"/>
    <w:rsid w:val="00870164"/>
    <w:rsid w:val="0087023B"/>
    <w:rsid w:val="0087136C"/>
    <w:rsid w:val="008716C4"/>
    <w:rsid w:val="00871996"/>
    <w:rsid w:val="00871D5F"/>
    <w:rsid w:val="00871E26"/>
    <w:rsid w:val="00875C18"/>
    <w:rsid w:val="00876584"/>
    <w:rsid w:val="00877D44"/>
    <w:rsid w:val="00882B1B"/>
    <w:rsid w:val="0088445A"/>
    <w:rsid w:val="00886029"/>
    <w:rsid w:val="008877F0"/>
    <w:rsid w:val="00887E6E"/>
    <w:rsid w:val="00890BAC"/>
    <w:rsid w:val="00892072"/>
    <w:rsid w:val="00892BB2"/>
    <w:rsid w:val="00893D21"/>
    <w:rsid w:val="00893F48"/>
    <w:rsid w:val="008968E3"/>
    <w:rsid w:val="00896F86"/>
    <w:rsid w:val="008A08BF"/>
    <w:rsid w:val="008A179F"/>
    <w:rsid w:val="008A199B"/>
    <w:rsid w:val="008A1BCD"/>
    <w:rsid w:val="008A1E8C"/>
    <w:rsid w:val="008A27FD"/>
    <w:rsid w:val="008A3676"/>
    <w:rsid w:val="008A4A22"/>
    <w:rsid w:val="008A566E"/>
    <w:rsid w:val="008B06CE"/>
    <w:rsid w:val="008B07A2"/>
    <w:rsid w:val="008B0864"/>
    <w:rsid w:val="008B0887"/>
    <w:rsid w:val="008B175A"/>
    <w:rsid w:val="008B32E9"/>
    <w:rsid w:val="008B6657"/>
    <w:rsid w:val="008B69E4"/>
    <w:rsid w:val="008B6E12"/>
    <w:rsid w:val="008B70DF"/>
    <w:rsid w:val="008C1345"/>
    <w:rsid w:val="008C1976"/>
    <w:rsid w:val="008C1E83"/>
    <w:rsid w:val="008C23D8"/>
    <w:rsid w:val="008C2414"/>
    <w:rsid w:val="008C3CB7"/>
    <w:rsid w:val="008C7413"/>
    <w:rsid w:val="008D074B"/>
    <w:rsid w:val="008D1669"/>
    <w:rsid w:val="008D16B7"/>
    <w:rsid w:val="008D1781"/>
    <w:rsid w:val="008D2116"/>
    <w:rsid w:val="008D2596"/>
    <w:rsid w:val="008D26FF"/>
    <w:rsid w:val="008D28EF"/>
    <w:rsid w:val="008D39B0"/>
    <w:rsid w:val="008D465B"/>
    <w:rsid w:val="008D637F"/>
    <w:rsid w:val="008D6789"/>
    <w:rsid w:val="008D6AA2"/>
    <w:rsid w:val="008D6FD1"/>
    <w:rsid w:val="008D7055"/>
    <w:rsid w:val="008E2E23"/>
    <w:rsid w:val="008E4586"/>
    <w:rsid w:val="008E5491"/>
    <w:rsid w:val="008E6A0A"/>
    <w:rsid w:val="008E6AE6"/>
    <w:rsid w:val="008F0116"/>
    <w:rsid w:val="008F143D"/>
    <w:rsid w:val="008F1BC8"/>
    <w:rsid w:val="008F23EB"/>
    <w:rsid w:val="008F24D7"/>
    <w:rsid w:val="008F2F75"/>
    <w:rsid w:val="008F3B81"/>
    <w:rsid w:val="008F4F58"/>
    <w:rsid w:val="008F5373"/>
    <w:rsid w:val="008F551A"/>
    <w:rsid w:val="008F62FE"/>
    <w:rsid w:val="008F6D68"/>
    <w:rsid w:val="009003B9"/>
    <w:rsid w:val="009028BA"/>
    <w:rsid w:val="00902BB2"/>
    <w:rsid w:val="00903EDF"/>
    <w:rsid w:val="00903FE6"/>
    <w:rsid w:val="00904D97"/>
    <w:rsid w:val="00906B92"/>
    <w:rsid w:val="00912323"/>
    <w:rsid w:val="00912514"/>
    <w:rsid w:val="00912B76"/>
    <w:rsid w:val="00913CF8"/>
    <w:rsid w:val="00914628"/>
    <w:rsid w:val="009169CF"/>
    <w:rsid w:val="00922AFB"/>
    <w:rsid w:val="00922FE0"/>
    <w:rsid w:val="009240E5"/>
    <w:rsid w:val="00924BDE"/>
    <w:rsid w:val="00924FC1"/>
    <w:rsid w:val="00925652"/>
    <w:rsid w:val="00926556"/>
    <w:rsid w:val="0092657D"/>
    <w:rsid w:val="00927356"/>
    <w:rsid w:val="00930B39"/>
    <w:rsid w:val="009317CC"/>
    <w:rsid w:val="00932865"/>
    <w:rsid w:val="009336C2"/>
    <w:rsid w:val="00933DC2"/>
    <w:rsid w:val="00934A89"/>
    <w:rsid w:val="00936474"/>
    <w:rsid w:val="00937AE2"/>
    <w:rsid w:val="0094178D"/>
    <w:rsid w:val="00944B2A"/>
    <w:rsid w:val="0094516A"/>
    <w:rsid w:val="00945CBD"/>
    <w:rsid w:val="00950009"/>
    <w:rsid w:val="009517E7"/>
    <w:rsid w:val="00951D04"/>
    <w:rsid w:val="00952AD7"/>
    <w:rsid w:val="0095325F"/>
    <w:rsid w:val="00953944"/>
    <w:rsid w:val="00953B94"/>
    <w:rsid w:val="00955C1A"/>
    <w:rsid w:val="0095642C"/>
    <w:rsid w:val="00956AE4"/>
    <w:rsid w:val="009573DA"/>
    <w:rsid w:val="009574B9"/>
    <w:rsid w:val="00960B1E"/>
    <w:rsid w:val="00961DAF"/>
    <w:rsid w:val="009633BD"/>
    <w:rsid w:val="00963400"/>
    <w:rsid w:val="0096341B"/>
    <w:rsid w:val="009655F7"/>
    <w:rsid w:val="0096668E"/>
    <w:rsid w:val="00966794"/>
    <w:rsid w:val="00967DB3"/>
    <w:rsid w:val="009728FF"/>
    <w:rsid w:val="00972FC6"/>
    <w:rsid w:val="00973410"/>
    <w:rsid w:val="00977BCB"/>
    <w:rsid w:val="00977EEC"/>
    <w:rsid w:val="00980F4B"/>
    <w:rsid w:val="0098138E"/>
    <w:rsid w:val="00982791"/>
    <w:rsid w:val="00983C15"/>
    <w:rsid w:val="00985DFB"/>
    <w:rsid w:val="009860A1"/>
    <w:rsid w:val="0098655A"/>
    <w:rsid w:val="00987871"/>
    <w:rsid w:val="00987AA0"/>
    <w:rsid w:val="009922C9"/>
    <w:rsid w:val="00995A37"/>
    <w:rsid w:val="00995BB1"/>
    <w:rsid w:val="00995CB0"/>
    <w:rsid w:val="00995E3B"/>
    <w:rsid w:val="0099749F"/>
    <w:rsid w:val="00997617"/>
    <w:rsid w:val="00997708"/>
    <w:rsid w:val="00997876"/>
    <w:rsid w:val="00997909"/>
    <w:rsid w:val="009A0148"/>
    <w:rsid w:val="009A1BD3"/>
    <w:rsid w:val="009A294F"/>
    <w:rsid w:val="009A3BA4"/>
    <w:rsid w:val="009A6481"/>
    <w:rsid w:val="009A6CEF"/>
    <w:rsid w:val="009A6E36"/>
    <w:rsid w:val="009A7D2F"/>
    <w:rsid w:val="009B083E"/>
    <w:rsid w:val="009B2251"/>
    <w:rsid w:val="009B58EC"/>
    <w:rsid w:val="009B5E9F"/>
    <w:rsid w:val="009B68F9"/>
    <w:rsid w:val="009B6EE5"/>
    <w:rsid w:val="009B7D0C"/>
    <w:rsid w:val="009C0BBE"/>
    <w:rsid w:val="009C103D"/>
    <w:rsid w:val="009C111C"/>
    <w:rsid w:val="009C529D"/>
    <w:rsid w:val="009C52DC"/>
    <w:rsid w:val="009C5529"/>
    <w:rsid w:val="009D1A3A"/>
    <w:rsid w:val="009D2AF6"/>
    <w:rsid w:val="009D2B9A"/>
    <w:rsid w:val="009D2E19"/>
    <w:rsid w:val="009D3098"/>
    <w:rsid w:val="009D321F"/>
    <w:rsid w:val="009D3B81"/>
    <w:rsid w:val="009D53EA"/>
    <w:rsid w:val="009D607D"/>
    <w:rsid w:val="009D699E"/>
    <w:rsid w:val="009E2EDF"/>
    <w:rsid w:val="009E3E91"/>
    <w:rsid w:val="009E47C8"/>
    <w:rsid w:val="009E5729"/>
    <w:rsid w:val="009E6052"/>
    <w:rsid w:val="009E7956"/>
    <w:rsid w:val="009E7C7F"/>
    <w:rsid w:val="009EFAFE"/>
    <w:rsid w:val="009F093A"/>
    <w:rsid w:val="009F188A"/>
    <w:rsid w:val="009F2785"/>
    <w:rsid w:val="009F39AF"/>
    <w:rsid w:val="009F3CBF"/>
    <w:rsid w:val="009F48F7"/>
    <w:rsid w:val="009F49F1"/>
    <w:rsid w:val="009F4D7B"/>
    <w:rsid w:val="009F6667"/>
    <w:rsid w:val="00A01B2F"/>
    <w:rsid w:val="00A0245A"/>
    <w:rsid w:val="00A02844"/>
    <w:rsid w:val="00A04877"/>
    <w:rsid w:val="00A05293"/>
    <w:rsid w:val="00A053C4"/>
    <w:rsid w:val="00A069A9"/>
    <w:rsid w:val="00A06E52"/>
    <w:rsid w:val="00A07ACD"/>
    <w:rsid w:val="00A11D0A"/>
    <w:rsid w:val="00A12564"/>
    <w:rsid w:val="00A148B1"/>
    <w:rsid w:val="00A164C6"/>
    <w:rsid w:val="00A16567"/>
    <w:rsid w:val="00A17206"/>
    <w:rsid w:val="00A1722F"/>
    <w:rsid w:val="00A17CE0"/>
    <w:rsid w:val="00A20567"/>
    <w:rsid w:val="00A20595"/>
    <w:rsid w:val="00A23D48"/>
    <w:rsid w:val="00A315E8"/>
    <w:rsid w:val="00A31A56"/>
    <w:rsid w:val="00A35C4A"/>
    <w:rsid w:val="00A35D4A"/>
    <w:rsid w:val="00A366F5"/>
    <w:rsid w:val="00A42042"/>
    <w:rsid w:val="00A42306"/>
    <w:rsid w:val="00A430EA"/>
    <w:rsid w:val="00A44023"/>
    <w:rsid w:val="00A44E8D"/>
    <w:rsid w:val="00A46456"/>
    <w:rsid w:val="00A46EA8"/>
    <w:rsid w:val="00A47843"/>
    <w:rsid w:val="00A479C7"/>
    <w:rsid w:val="00A508F6"/>
    <w:rsid w:val="00A51B61"/>
    <w:rsid w:val="00A52D01"/>
    <w:rsid w:val="00A52F37"/>
    <w:rsid w:val="00A54CBB"/>
    <w:rsid w:val="00A55ACD"/>
    <w:rsid w:val="00A566F2"/>
    <w:rsid w:val="00A5778D"/>
    <w:rsid w:val="00A60087"/>
    <w:rsid w:val="00A60570"/>
    <w:rsid w:val="00A6143A"/>
    <w:rsid w:val="00A61E43"/>
    <w:rsid w:val="00A61FD5"/>
    <w:rsid w:val="00A629F0"/>
    <w:rsid w:val="00A637F1"/>
    <w:rsid w:val="00A63CDA"/>
    <w:rsid w:val="00A66306"/>
    <w:rsid w:val="00A66AC6"/>
    <w:rsid w:val="00A66C30"/>
    <w:rsid w:val="00A71840"/>
    <w:rsid w:val="00A725B8"/>
    <w:rsid w:val="00A75DED"/>
    <w:rsid w:val="00A80967"/>
    <w:rsid w:val="00A81DE6"/>
    <w:rsid w:val="00A85C12"/>
    <w:rsid w:val="00A85D27"/>
    <w:rsid w:val="00A86137"/>
    <w:rsid w:val="00A864B7"/>
    <w:rsid w:val="00A8758B"/>
    <w:rsid w:val="00A90CA0"/>
    <w:rsid w:val="00A916D8"/>
    <w:rsid w:val="00A924C3"/>
    <w:rsid w:val="00A93801"/>
    <w:rsid w:val="00A941CD"/>
    <w:rsid w:val="00A94D17"/>
    <w:rsid w:val="00A97C02"/>
    <w:rsid w:val="00AA06CE"/>
    <w:rsid w:val="00AA082F"/>
    <w:rsid w:val="00AA1114"/>
    <w:rsid w:val="00AA2452"/>
    <w:rsid w:val="00AA2944"/>
    <w:rsid w:val="00AB1B6C"/>
    <w:rsid w:val="00AB1D27"/>
    <w:rsid w:val="00AB34AD"/>
    <w:rsid w:val="00AB3C81"/>
    <w:rsid w:val="00AB6E2E"/>
    <w:rsid w:val="00AB7875"/>
    <w:rsid w:val="00AC138C"/>
    <w:rsid w:val="00AC17B6"/>
    <w:rsid w:val="00AC2565"/>
    <w:rsid w:val="00AC2FBF"/>
    <w:rsid w:val="00AC4692"/>
    <w:rsid w:val="00AC571D"/>
    <w:rsid w:val="00AC68EE"/>
    <w:rsid w:val="00AD1071"/>
    <w:rsid w:val="00AD1935"/>
    <w:rsid w:val="00AD2475"/>
    <w:rsid w:val="00AD4F24"/>
    <w:rsid w:val="00AD5611"/>
    <w:rsid w:val="00AE256C"/>
    <w:rsid w:val="00AE2A31"/>
    <w:rsid w:val="00AE36E7"/>
    <w:rsid w:val="00AE4BE2"/>
    <w:rsid w:val="00AE6070"/>
    <w:rsid w:val="00AE62DB"/>
    <w:rsid w:val="00AF0354"/>
    <w:rsid w:val="00AF0B55"/>
    <w:rsid w:val="00AF13FB"/>
    <w:rsid w:val="00AF297B"/>
    <w:rsid w:val="00AF2F21"/>
    <w:rsid w:val="00AF30EE"/>
    <w:rsid w:val="00AF458B"/>
    <w:rsid w:val="00AF4FE3"/>
    <w:rsid w:val="00AF582D"/>
    <w:rsid w:val="00AF5E4D"/>
    <w:rsid w:val="00B01F7E"/>
    <w:rsid w:val="00B02AA0"/>
    <w:rsid w:val="00B03CF4"/>
    <w:rsid w:val="00B05DF0"/>
    <w:rsid w:val="00B06D51"/>
    <w:rsid w:val="00B1111C"/>
    <w:rsid w:val="00B13361"/>
    <w:rsid w:val="00B147C9"/>
    <w:rsid w:val="00B14C5B"/>
    <w:rsid w:val="00B152F1"/>
    <w:rsid w:val="00B15BA4"/>
    <w:rsid w:val="00B16579"/>
    <w:rsid w:val="00B16C2A"/>
    <w:rsid w:val="00B17B99"/>
    <w:rsid w:val="00B25DC0"/>
    <w:rsid w:val="00B25DDF"/>
    <w:rsid w:val="00B26BE4"/>
    <w:rsid w:val="00B30276"/>
    <w:rsid w:val="00B3084C"/>
    <w:rsid w:val="00B3087D"/>
    <w:rsid w:val="00B30B43"/>
    <w:rsid w:val="00B31744"/>
    <w:rsid w:val="00B33E85"/>
    <w:rsid w:val="00B34794"/>
    <w:rsid w:val="00B34B13"/>
    <w:rsid w:val="00B35044"/>
    <w:rsid w:val="00B3620A"/>
    <w:rsid w:val="00B37AD8"/>
    <w:rsid w:val="00B37F77"/>
    <w:rsid w:val="00B400A3"/>
    <w:rsid w:val="00B41001"/>
    <w:rsid w:val="00B429A8"/>
    <w:rsid w:val="00B42BC3"/>
    <w:rsid w:val="00B43823"/>
    <w:rsid w:val="00B45527"/>
    <w:rsid w:val="00B465F3"/>
    <w:rsid w:val="00B4776A"/>
    <w:rsid w:val="00B47799"/>
    <w:rsid w:val="00B51051"/>
    <w:rsid w:val="00B52C8E"/>
    <w:rsid w:val="00B53523"/>
    <w:rsid w:val="00B53EDD"/>
    <w:rsid w:val="00B55DE0"/>
    <w:rsid w:val="00B56D88"/>
    <w:rsid w:val="00B57F6B"/>
    <w:rsid w:val="00B6037F"/>
    <w:rsid w:val="00B60421"/>
    <w:rsid w:val="00B6128E"/>
    <w:rsid w:val="00B6129C"/>
    <w:rsid w:val="00B62AA1"/>
    <w:rsid w:val="00B62D87"/>
    <w:rsid w:val="00B6467B"/>
    <w:rsid w:val="00B64949"/>
    <w:rsid w:val="00B701B1"/>
    <w:rsid w:val="00B7063C"/>
    <w:rsid w:val="00B70B02"/>
    <w:rsid w:val="00B713C1"/>
    <w:rsid w:val="00B723FC"/>
    <w:rsid w:val="00B72A93"/>
    <w:rsid w:val="00B738A5"/>
    <w:rsid w:val="00B75CC5"/>
    <w:rsid w:val="00B76682"/>
    <w:rsid w:val="00B77875"/>
    <w:rsid w:val="00B809B9"/>
    <w:rsid w:val="00B8186F"/>
    <w:rsid w:val="00B81EB6"/>
    <w:rsid w:val="00B83013"/>
    <w:rsid w:val="00B83275"/>
    <w:rsid w:val="00B842B9"/>
    <w:rsid w:val="00B8711E"/>
    <w:rsid w:val="00B9000D"/>
    <w:rsid w:val="00B90E38"/>
    <w:rsid w:val="00B91870"/>
    <w:rsid w:val="00B9187A"/>
    <w:rsid w:val="00B94CDC"/>
    <w:rsid w:val="00B95414"/>
    <w:rsid w:val="00B958BD"/>
    <w:rsid w:val="00B97808"/>
    <w:rsid w:val="00B9793C"/>
    <w:rsid w:val="00BA28B3"/>
    <w:rsid w:val="00BA4267"/>
    <w:rsid w:val="00BA75E9"/>
    <w:rsid w:val="00BB0243"/>
    <w:rsid w:val="00BB0F47"/>
    <w:rsid w:val="00BB1EE8"/>
    <w:rsid w:val="00BB29FF"/>
    <w:rsid w:val="00BB34E2"/>
    <w:rsid w:val="00BB3DB1"/>
    <w:rsid w:val="00BB6324"/>
    <w:rsid w:val="00BB6865"/>
    <w:rsid w:val="00BC04AA"/>
    <w:rsid w:val="00BC0C3C"/>
    <w:rsid w:val="00BC3037"/>
    <w:rsid w:val="00BC3311"/>
    <w:rsid w:val="00BC4CE8"/>
    <w:rsid w:val="00BC4DC1"/>
    <w:rsid w:val="00BC57C6"/>
    <w:rsid w:val="00BD04DC"/>
    <w:rsid w:val="00BD0A63"/>
    <w:rsid w:val="00BD2C3B"/>
    <w:rsid w:val="00BD59E5"/>
    <w:rsid w:val="00BD6455"/>
    <w:rsid w:val="00BD70E0"/>
    <w:rsid w:val="00BD7811"/>
    <w:rsid w:val="00BD7A90"/>
    <w:rsid w:val="00BE0253"/>
    <w:rsid w:val="00BE67CB"/>
    <w:rsid w:val="00BF1EF5"/>
    <w:rsid w:val="00BF23D1"/>
    <w:rsid w:val="00BF33C0"/>
    <w:rsid w:val="00BF3646"/>
    <w:rsid w:val="00BF3C93"/>
    <w:rsid w:val="00BF4BC7"/>
    <w:rsid w:val="00C0138A"/>
    <w:rsid w:val="00C01432"/>
    <w:rsid w:val="00C01A45"/>
    <w:rsid w:val="00C01B8C"/>
    <w:rsid w:val="00C01D3D"/>
    <w:rsid w:val="00C023F3"/>
    <w:rsid w:val="00C0278A"/>
    <w:rsid w:val="00C03468"/>
    <w:rsid w:val="00C058DF"/>
    <w:rsid w:val="00C10B5F"/>
    <w:rsid w:val="00C1583F"/>
    <w:rsid w:val="00C2148F"/>
    <w:rsid w:val="00C23081"/>
    <w:rsid w:val="00C237A1"/>
    <w:rsid w:val="00C24FFD"/>
    <w:rsid w:val="00C26D1B"/>
    <w:rsid w:val="00C31029"/>
    <w:rsid w:val="00C31514"/>
    <w:rsid w:val="00C31FE8"/>
    <w:rsid w:val="00C3269D"/>
    <w:rsid w:val="00C32AF4"/>
    <w:rsid w:val="00C32BBD"/>
    <w:rsid w:val="00C36FAE"/>
    <w:rsid w:val="00C40D07"/>
    <w:rsid w:val="00C417AF"/>
    <w:rsid w:val="00C42717"/>
    <w:rsid w:val="00C42E7F"/>
    <w:rsid w:val="00C458F1"/>
    <w:rsid w:val="00C4668D"/>
    <w:rsid w:val="00C46741"/>
    <w:rsid w:val="00C47116"/>
    <w:rsid w:val="00C50E2A"/>
    <w:rsid w:val="00C51834"/>
    <w:rsid w:val="00C547CD"/>
    <w:rsid w:val="00C55993"/>
    <w:rsid w:val="00C5613F"/>
    <w:rsid w:val="00C567C1"/>
    <w:rsid w:val="00C568E9"/>
    <w:rsid w:val="00C5718D"/>
    <w:rsid w:val="00C571A9"/>
    <w:rsid w:val="00C5721E"/>
    <w:rsid w:val="00C57343"/>
    <w:rsid w:val="00C6005A"/>
    <w:rsid w:val="00C61D3A"/>
    <w:rsid w:val="00C63F92"/>
    <w:rsid w:val="00C6771F"/>
    <w:rsid w:val="00C72A3B"/>
    <w:rsid w:val="00C72EFA"/>
    <w:rsid w:val="00C760B2"/>
    <w:rsid w:val="00C76D1B"/>
    <w:rsid w:val="00C81888"/>
    <w:rsid w:val="00C82931"/>
    <w:rsid w:val="00C8365B"/>
    <w:rsid w:val="00C83807"/>
    <w:rsid w:val="00C84697"/>
    <w:rsid w:val="00C85561"/>
    <w:rsid w:val="00C857D3"/>
    <w:rsid w:val="00C86C77"/>
    <w:rsid w:val="00C878D5"/>
    <w:rsid w:val="00C9033B"/>
    <w:rsid w:val="00C90E7A"/>
    <w:rsid w:val="00C913A1"/>
    <w:rsid w:val="00C916EB"/>
    <w:rsid w:val="00C93344"/>
    <w:rsid w:val="00C938F1"/>
    <w:rsid w:val="00C962E5"/>
    <w:rsid w:val="00C970E3"/>
    <w:rsid w:val="00C97AE5"/>
    <w:rsid w:val="00CA0641"/>
    <w:rsid w:val="00CA2652"/>
    <w:rsid w:val="00CA3142"/>
    <w:rsid w:val="00CA6547"/>
    <w:rsid w:val="00CA696D"/>
    <w:rsid w:val="00CA69CB"/>
    <w:rsid w:val="00CA780D"/>
    <w:rsid w:val="00CB0910"/>
    <w:rsid w:val="00CB0E3C"/>
    <w:rsid w:val="00CB2027"/>
    <w:rsid w:val="00CB216F"/>
    <w:rsid w:val="00CB249B"/>
    <w:rsid w:val="00CB465B"/>
    <w:rsid w:val="00CB476E"/>
    <w:rsid w:val="00CB51B1"/>
    <w:rsid w:val="00CB5ECD"/>
    <w:rsid w:val="00CB717D"/>
    <w:rsid w:val="00CC0B99"/>
    <w:rsid w:val="00CC0BC2"/>
    <w:rsid w:val="00CC5A1C"/>
    <w:rsid w:val="00CC6A99"/>
    <w:rsid w:val="00CC6B50"/>
    <w:rsid w:val="00CD0F65"/>
    <w:rsid w:val="00CD1362"/>
    <w:rsid w:val="00CD3465"/>
    <w:rsid w:val="00CD45E9"/>
    <w:rsid w:val="00CD52CF"/>
    <w:rsid w:val="00CD5354"/>
    <w:rsid w:val="00CD562F"/>
    <w:rsid w:val="00CD7257"/>
    <w:rsid w:val="00CE0443"/>
    <w:rsid w:val="00CE0ECD"/>
    <w:rsid w:val="00CE197D"/>
    <w:rsid w:val="00CE22EC"/>
    <w:rsid w:val="00CE23FA"/>
    <w:rsid w:val="00CE2C8E"/>
    <w:rsid w:val="00CE5767"/>
    <w:rsid w:val="00CE6FF7"/>
    <w:rsid w:val="00CF0FFD"/>
    <w:rsid w:val="00CF104D"/>
    <w:rsid w:val="00CF143E"/>
    <w:rsid w:val="00CF7591"/>
    <w:rsid w:val="00CF7AE1"/>
    <w:rsid w:val="00D000AE"/>
    <w:rsid w:val="00D00AA3"/>
    <w:rsid w:val="00D00ECD"/>
    <w:rsid w:val="00D0155E"/>
    <w:rsid w:val="00D01EDE"/>
    <w:rsid w:val="00D020E0"/>
    <w:rsid w:val="00D02636"/>
    <w:rsid w:val="00D02744"/>
    <w:rsid w:val="00D0399E"/>
    <w:rsid w:val="00D03F84"/>
    <w:rsid w:val="00D0504E"/>
    <w:rsid w:val="00D069F2"/>
    <w:rsid w:val="00D075F6"/>
    <w:rsid w:val="00D07F73"/>
    <w:rsid w:val="00D108A9"/>
    <w:rsid w:val="00D11D37"/>
    <w:rsid w:val="00D12D6F"/>
    <w:rsid w:val="00D14844"/>
    <w:rsid w:val="00D15707"/>
    <w:rsid w:val="00D1590C"/>
    <w:rsid w:val="00D15A2E"/>
    <w:rsid w:val="00D16177"/>
    <w:rsid w:val="00D16694"/>
    <w:rsid w:val="00D2041C"/>
    <w:rsid w:val="00D207EA"/>
    <w:rsid w:val="00D20BCF"/>
    <w:rsid w:val="00D21AC0"/>
    <w:rsid w:val="00D222E0"/>
    <w:rsid w:val="00D242A4"/>
    <w:rsid w:val="00D25ADE"/>
    <w:rsid w:val="00D30D44"/>
    <w:rsid w:val="00D310D8"/>
    <w:rsid w:val="00D32F24"/>
    <w:rsid w:val="00D348F4"/>
    <w:rsid w:val="00D34912"/>
    <w:rsid w:val="00D359DD"/>
    <w:rsid w:val="00D35FEA"/>
    <w:rsid w:val="00D36D56"/>
    <w:rsid w:val="00D4038B"/>
    <w:rsid w:val="00D403B7"/>
    <w:rsid w:val="00D4280D"/>
    <w:rsid w:val="00D42F23"/>
    <w:rsid w:val="00D43297"/>
    <w:rsid w:val="00D44DB6"/>
    <w:rsid w:val="00D4651C"/>
    <w:rsid w:val="00D46CE8"/>
    <w:rsid w:val="00D470E3"/>
    <w:rsid w:val="00D47CDE"/>
    <w:rsid w:val="00D50119"/>
    <w:rsid w:val="00D51768"/>
    <w:rsid w:val="00D52E2B"/>
    <w:rsid w:val="00D53E6F"/>
    <w:rsid w:val="00D5459E"/>
    <w:rsid w:val="00D54934"/>
    <w:rsid w:val="00D5535B"/>
    <w:rsid w:val="00D57C48"/>
    <w:rsid w:val="00D62A85"/>
    <w:rsid w:val="00D64111"/>
    <w:rsid w:val="00D65A85"/>
    <w:rsid w:val="00D6605B"/>
    <w:rsid w:val="00D66C68"/>
    <w:rsid w:val="00D67344"/>
    <w:rsid w:val="00D70F1E"/>
    <w:rsid w:val="00D71EBA"/>
    <w:rsid w:val="00D7315C"/>
    <w:rsid w:val="00D733F4"/>
    <w:rsid w:val="00D73850"/>
    <w:rsid w:val="00D75061"/>
    <w:rsid w:val="00D763F4"/>
    <w:rsid w:val="00D7750A"/>
    <w:rsid w:val="00D8036D"/>
    <w:rsid w:val="00D80A91"/>
    <w:rsid w:val="00D80DBB"/>
    <w:rsid w:val="00D80F86"/>
    <w:rsid w:val="00D81966"/>
    <w:rsid w:val="00D82A43"/>
    <w:rsid w:val="00D83E3A"/>
    <w:rsid w:val="00D86AFC"/>
    <w:rsid w:val="00D87797"/>
    <w:rsid w:val="00D901EE"/>
    <w:rsid w:val="00D91C96"/>
    <w:rsid w:val="00D930B3"/>
    <w:rsid w:val="00D94117"/>
    <w:rsid w:val="00D961CA"/>
    <w:rsid w:val="00DA016A"/>
    <w:rsid w:val="00DA26DE"/>
    <w:rsid w:val="00DA3E46"/>
    <w:rsid w:val="00DA544A"/>
    <w:rsid w:val="00DA6CC8"/>
    <w:rsid w:val="00DA7B5D"/>
    <w:rsid w:val="00DB2131"/>
    <w:rsid w:val="00DB252E"/>
    <w:rsid w:val="00DB577A"/>
    <w:rsid w:val="00DB694F"/>
    <w:rsid w:val="00DC06D1"/>
    <w:rsid w:val="00DC3EA0"/>
    <w:rsid w:val="00DC57EC"/>
    <w:rsid w:val="00DC65F6"/>
    <w:rsid w:val="00DC74A1"/>
    <w:rsid w:val="00DD009B"/>
    <w:rsid w:val="00DD0641"/>
    <w:rsid w:val="00DD0732"/>
    <w:rsid w:val="00DD3A95"/>
    <w:rsid w:val="00DD3DD7"/>
    <w:rsid w:val="00DD6AE0"/>
    <w:rsid w:val="00DD7548"/>
    <w:rsid w:val="00DD79CD"/>
    <w:rsid w:val="00DD7B66"/>
    <w:rsid w:val="00DE0268"/>
    <w:rsid w:val="00DE5AE7"/>
    <w:rsid w:val="00DE63DD"/>
    <w:rsid w:val="00DE6EF5"/>
    <w:rsid w:val="00DE7F06"/>
    <w:rsid w:val="00DF3150"/>
    <w:rsid w:val="00DF4426"/>
    <w:rsid w:val="00DF49DE"/>
    <w:rsid w:val="00DF58E7"/>
    <w:rsid w:val="00DF5EEF"/>
    <w:rsid w:val="00DF74C9"/>
    <w:rsid w:val="00DF791C"/>
    <w:rsid w:val="00DF7BE0"/>
    <w:rsid w:val="00E00159"/>
    <w:rsid w:val="00E005D4"/>
    <w:rsid w:val="00E00F42"/>
    <w:rsid w:val="00E00F88"/>
    <w:rsid w:val="00E01697"/>
    <w:rsid w:val="00E03299"/>
    <w:rsid w:val="00E04424"/>
    <w:rsid w:val="00E0534E"/>
    <w:rsid w:val="00E061A8"/>
    <w:rsid w:val="00E07B63"/>
    <w:rsid w:val="00E10D7A"/>
    <w:rsid w:val="00E11876"/>
    <w:rsid w:val="00E12608"/>
    <w:rsid w:val="00E14BDC"/>
    <w:rsid w:val="00E15107"/>
    <w:rsid w:val="00E15349"/>
    <w:rsid w:val="00E1591B"/>
    <w:rsid w:val="00E17B99"/>
    <w:rsid w:val="00E21AF1"/>
    <w:rsid w:val="00E21C71"/>
    <w:rsid w:val="00E2291C"/>
    <w:rsid w:val="00E23CBB"/>
    <w:rsid w:val="00E24BEA"/>
    <w:rsid w:val="00E25EE9"/>
    <w:rsid w:val="00E308E3"/>
    <w:rsid w:val="00E31817"/>
    <w:rsid w:val="00E31C91"/>
    <w:rsid w:val="00E37B59"/>
    <w:rsid w:val="00E403A1"/>
    <w:rsid w:val="00E41AB4"/>
    <w:rsid w:val="00E41B0B"/>
    <w:rsid w:val="00E42B99"/>
    <w:rsid w:val="00E470F8"/>
    <w:rsid w:val="00E47FF5"/>
    <w:rsid w:val="00E5022C"/>
    <w:rsid w:val="00E50720"/>
    <w:rsid w:val="00E510D2"/>
    <w:rsid w:val="00E52014"/>
    <w:rsid w:val="00E53438"/>
    <w:rsid w:val="00E537A7"/>
    <w:rsid w:val="00E539DA"/>
    <w:rsid w:val="00E543F9"/>
    <w:rsid w:val="00E545C8"/>
    <w:rsid w:val="00E5467B"/>
    <w:rsid w:val="00E5562D"/>
    <w:rsid w:val="00E5563F"/>
    <w:rsid w:val="00E5646F"/>
    <w:rsid w:val="00E56489"/>
    <w:rsid w:val="00E566BD"/>
    <w:rsid w:val="00E60D90"/>
    <w:rsid w:val="00E61F88"/>
    <w:rsid w:val="00E6204E"/>
    <w:rsid w:val="00E625C2"/>
    <w:rsid w:val="00E63139"/>
    <w:rsid w:val="00E657E5"/>
    <w:rsid w:val="00E65BF2"/>
    <w:rsid w:val="00E70F54"/>
    <w:rsid w:val="00E716B5"/>
    <w:rsid w:val="00E725FC"/>
    <w:rsid w:val="00E7329F"/>
    <w:rsid w:val="00E73561"/>
    <w:rsid w:val="00E741BF"/>
    <w:rsid w:val="00E745FA"/>
    <w:rsid w:val="00E7584D"/>
    <w:rsid w:val="00E76957"/>
    <w:rsid w:val="00E77697"/>
    <w:rsid w:val="00E82039"/>
    <w:rsid w:val="00E823B6"/>
    <w:rsid w:val="00E83FD5"/>
    <w:rsid w:val="00E8440D"/>
    <w:rsid w:val="00E848EE"/>
    <w:rsid w:val="00E85D9D"/>
    <w:rsid w:val="00E909FE"/>
    <w:rsid w:val="00E91322"/>
    <w:rsid w:val="00E91780"/>
    <w:rsid w:val="00E935D9"/>
    <w:rsid w:val="00E9512D"/>
    <w:rsid w:val="00EA11CF"/>
    <w:rsid w:val="00EA36C6"/>
    <w:rsid w:val="00EA3FFB"/>
    <w:rsid w:val="00EA5174"/>
    <w:rsid w:val="00EA590D"/>
    <w:rsid w:val="00EA689C"/>
    <w:rsid w:val="00EA6D58"/>
    <w:rsid w:val="00EA755C"/>
    <w:rsid w:val="00EA7592"/>
    <w:rsid w:val="00EB0148"/>
    <w:rsid w:val="00EB1104"/>
    <w:rsid w:val="00EB11CF"/>
    <w:rsid w:val="00EB3F46"/>
    <w:rsid w:val="00EB4897"/>
    <w:rsid w:val="00EB5FCC"/>
    <w:rsid w:val="00EB6895"/>
    <w:rsid w:val="00EC1D6C"/>
    <w:rsid w:val="00EC1DCE"/>
    <w:rsid w:val="00EC30F9"/>
    <w:rsid w:val="00EC4D4B"/>
    <w:rsid w:val="00EC5A12"/>
    <w:rsid w:val="00EC6B48"/>
    <w:rsid w:val="00EC6BB4"/>
    <w:rsid w:val="00EC6DE7"/>
    <w:rsid w:val="00EC7420"/>
    <w:rsid w:val="00EC77AE"/>
    <w:rsid w:val="00ED0A20"/>
    <w:rsid w:val="00ED199C"/>
    <w:rsid w:val="00ED5725"/>
    <w:rsid w:val="00ED5F12"/>
    <w:rsid w:val="00ED7031"/>
    <w:rsid w:val="00EE2737"/>
    <w:rsid w:val="00EE3060"/>
    <w:rsid w:val="00EE30A5"/>
    <w:rsid w:val="00EE4315"/>
    <w:rsid w:val="00EE56F5"/>
    <w:rsid w:val="00EE59AA"/>
    <w:rsid w:val="00EE5D91"/>
    <w:rsid w:val="00EE5FF1"/>
    <w:rsid w:val="00EE79C9"/>
    <w:rsid w:val="00EF289E"/>
    <w:rsid w:val="00EF3725"/>
    <w:rsid w:val="00EF44F6"/>
    <w:rsid w:val="00EF4661"/>
    <w:rsid w:val="00EF47AC"/>
    <w:rsid w:val="00EF49E8"/>
    <w:rsid w:val="00EF4EA7"/>
    <w:rsid w:val="00EF5677"/>
    <w:rsid w:val="00EF5D63"/>
    <w:rsid w:val="00EF6925"/>
    <w:rsid w:val="00EF6F3F"/>
    <w:rsid w:val="00EF7028"/>
    <w:rsid w:val="00EF7FC0"/>
    <w:rsid w:val="00F006A6"/>
    <w:rsid w:val="00F0195C"/>
    <w:rsid w:val="00F03F2C"/>
    <w:rsid w:val="00F04719"/>
    <w:rsid w:val="00F05C9E"/>
    <w:rsid w:val="00F063B1"/>
    <w:rsid w:val="00F10412"/>
    <w:rsid w:val="00F10EC5"/>
    <w:rsid w:val="00F10F9A"/>
    <w:rsid w:val="00F1184C"/>
    <w:rsid w:val="00F11B49"/>
    <w:rsid w:val="00F12118"/>
    <w:rsid w:val="00F12748"/>
    <w:rsid w:val="00F1373D"/>
    <w:rsid w:val="00F1484E"/>
    <w:rsid w:val="00F16196"/>
    <w:rsid w:val="00F166EF"/>
    <w:rsid w:val="00F22323"/>
    <w:rsid w:val="00F22A9D"/>
    <w:rsid w:val="00F237C0"/>
    <w:rsid w:val="00F2646B"/>
    <w:rsid w:val="00F26B0F"/>
    <w:rsid w:val="00F26D94"/>
    <w:rsid w:val="00F26ED3"/>
    <w:rsid w:val="00F2718E"/>
    <w:rsid w:val="00F272E7"/>
    <w:rsid w:val="00F2742A"/>
    <w:rsid w:val="00F3131D"/>
    <w:rsid w:val="00F31CE2"/>
    <w:rsid w:val="00F3279F"/>
    <w:rsid w:val="00F32D69"/>
    <w:rsid w:val="00F34FB7"/>
    <w:rsid w:val="00F36E60"/>
    <w:rsid w:val="00F36FA9"/>
    <w:rsid w:val="00F372B4"/>
    <w:rsid w:val="00F37F2E"/>
    <w:rsid w:val="00F403E6"/>
    <w:rsid w:val="00F412EE"/>
    <w:rsid w:val="00F44979"/>
    <w:rsid w:val="00F465EE"/>
    <w:rsid w:val="00F52DCF"/>
    <w:rsid w:val="00F55152"/>
    <w:rsid w:val="00F57451"/>
    <w:rsid w:val="00F611A8"/>
    <w:rsid w:val="00F62B7A"/>
    <w:rsid w:val="00F6397D"/>
    <w:rsid w:val="00F6502A"/>
    <w:rsid w:val="00F65663"/>
    <w:rsid w:val="00F65BF2"/>
    <w:rsid w:val="00F67A5F"/>
    <w:rsid w:val="00F7080F"/>
    <w:rsid w:val="00F71E77"/>
    <w:rsid w:val="00F72776"/>
    <w:rsid w:val="00F7293E"/>
    <w:rsid w:val="00F76650"/>
    <w:rsid w:val="00F82E68"/>
    <w:rsid w:val="00F84EC8"/>
    <w:rsid w:val="00F853D8"/>
    <w:rsid w:val="00F858EF"/>
    <w:rsid w:val="00F85C72"/>
    <w:rsid w:val="00F87E4B"/>
    <w:rsid w:val="00F9187B"/>
    <w:rsid w:val="00F91998"/>
    <w:rsid w:val="00F92385"/>
    <w:rsid w:val="00F94F56"/>
    <w:rsid w:val="00F95080"/>
    <w:rsid w:val="00F95963"/>
    <w:rsid w:val="00F9621F"/>
    <w:rsid w:val="00F96ADA"/>
    <w:rsid w:val="00FA0BCE"/>
    <w:rsid w:val="00FA1701"/>
    <w:rsid w:val="00FA1B4F"/>
    <w:rsid w:val="00FA2117"/>
    <w:rsid w:val="00FA2E74"/>
    <w:rsid w:val="00FA3B19"/>
    <w:rsid w:val="00FA3D93"/>
    <w:rsid w:val="00FA617D"/>
    <w:rsid w:val="00FA7380"/>
    <w:rsid w:val="00FB17E8"/>
    <w:rsid w:val="00FB4EDA"/>
    <w:rsid w:val="00FB52F8"/>
    <w:rsid w:val="00FB538A"/>
    <w:rsid w:val="00FB5697"/>
    <w:rsid w:val="00FB5A90"/>
    <w:rsid w:val="00FB7D9A"/>
    <w:rsid w:val="00FC05D6"/>
    <w:rsid w:val="00FC2809"/>
    <w:rsid w:val="00FC283F"/>
    <w:rsid w:val="00FC294F"/>
    <w:rsid w:val="00FC47F9"/>
    <w:rsid w:val="00FC4A88"/>
    <w:rsid w:val="00FC4E7E"/>
    <w:rsid w:val="00FC50C3"/>
    <w:rsid w:val="00FC78DC"/>
    <w:rsid w:val="00FD1F52"/>
    <w:rsid w:val="00FD23F8"/>
    <w:rsid w:val="00FD71C9"/>
    <w:rsid w:val="00FD7695"/>
    <w:rsid w:val="00FE1EF2"/>
    <w:rsid w:val="00FE2351"/>
    <w:rsid w:val="00FE337D"/>
    <w:rsid w:val="00FE3D55"/>
    <w:rsid w:val="00FE5580"/>
    <w:rsid w:val="00FE5AA0"/>
    <w:rsid w:val="00FE761F"/>
    <w:rsid w:val="00FE7CD4"/>
    <w:rsid w:val="00FF0871"/>
    <w:rsid w:val="00FF0D39"/>
    <w:rsid w:val="00FF110C"/>
    <w:rsid w:val="00FF1966"/>
    <w:rsid w:val="00FF23F1"/>
    <w:rsid w:val="00FF2E62"/>
    <w:rsid w:val="00FF34B7"/>
    <w:rsid w:val="00FF3EF4"/>
    <w:rsid w:val="00FF46E1"/>
    <w:rsid w:val="00FF493B"/>
    <w:rsid w:val="00FF54C5"/>
    <w:rsid w:val="00FF5B43"/>
    <w:rsid w:val="00FF5C3C"/>
    <w:rsid w:val="00FF6403"/>
    <w:rsid w:val="00FF6932"/>
    <w:rsid w:val="00FF6A48"/>
    <w:rsid w:val="01002327"/>
    <w:rsid w:val="013387BC"/>
    <w:rsid w:val="01DD57B1"/>
    <w:rsid w:val="02058A69"/>
    <w:rsid w:val="03003C59"/>
    <w:rsid w:val="0386CCA6"/>
    <w:rsid w:val="03CAC26F"/>
    <w:rsid w:val="03CE5A01"/>
    <w:rsid w:val="04095367"/>
    <w:rsid w:val="0419DB67"/>
    <w:rsid w:val="047373BD"/>
    <w:rsid w:val="0490D0CD"/>
    <w:rsid w:val="04E79065"/>
    <w:rsid w:val="0596FE89"/>
    <w:rsid w:val="05C2EA39"/>
    <w:rsid w:val="06702539"/>
    <w:rsid w:val="07128AAE"/>
    <w:rsid w:val="08A54649"/>
    <w:rsid w:val="094CD99E"/>
    <w:rsid w:val="0AB6C17C"/>
    <w:rsid w:val="0AFDFD76"/>
    <w:rsid w:val="0BC5CB21"/>
    <w:rsid w:val="0C6E0DAF"/>
    <w:rsid w:val="0C7BA1D8"/>
    <w:rsid w:val="0CB636E2"/>
    <w:rsid w:val="0D3062BE"/>
    <w:rsid w:val="0D8EC919"/>
    <w:rsid w:val="0DC212F2"/>
    <w:rsid w:val="0DC50DFE"/>
    <w:rsid w:val="0DEFDB82"/>
    <w:rsid w:val="0E3BA42F"/>
    <w:rsid w:val="0E732670"/>
    <w:rsid w:val="0E87F466"/>
    <w:rsid w:val="0F45CE62"/>
    <w:rsid w:val="0FA32754"/>
    <w:rsid w:val="1022C7D7"/>
    <w:rsid w:val="1085CA47"/>
    <w:rsid w:val="10DCDA4A"/>
    <w:rsid w:val="10FD347A"/>
    <w:rsid w:val="1121D8F8"/>
    <w:rsid w:val="1148684B"/>
    <w:rsid w:val="116286B8"/>
    <w:rsid w:val="124EC464"/>
    <w:rsid w:val="130C5D7E"/>
    <w:rsid w:val="1322E9D2"/>
    <w:rsid w:val="1400A40A"/>
    <w:rsid w:val="14C4C4A9"/>
    <w:rsid w:val="14FF4DD2"/>
    <w:rsid w:val="15DE96CA"/>
    <w:rsid w:val="15DF09D1"/>
    <w:rsid w:val="16AD0301"/>
    <w:rsid w:val="16CA4BB8"/>
    <w:rsid w:val="17A1903A"/>
    <w:rsid w:val="17A89842"/>
    <w:rsid w:val="18C5C514"/>
    <w:rsid w:val="18E72F6C"/>
    <w:rsid w:val="19202A1B"/>
    <w:rsid w:val="1948FCE2"/>
    <w:rsid w:val="196AEB11"/>
    <w:rsid w:val="19B9C6B3"/>
    <w:rsid w:val="19F3877B"/>
    <w:rsid w:val="1A68A23B"/>
    <w:rsid w:val="1B319774"/>
    <w:rsid w:val="1B7E2E02"/>
    <w:rsid w:val="1BADCA06"/>
    <w:rsid w:val="1C0EC129"/>
    <w:rsid w:val="1C1D65F6"/>
    <w:rsid w:val="1C590A80"/>
    <w:rsid w:val="1CBB21A3"/>
    <w:rsid w:val="1E66D6B4"/>
    <w:rsid w:val="1F12489A"/>
    <w:rsid w:val="1F357009"/>
    <w:rsid w:val="1F3E4FB7"/>
    <w:rsid w:val="1FC35FDE"/>
    <w:rsid w:val="202372AD"/>
    <w:rsid w:val="2101F6DF"/>
    <w:rsid w:val="22A3E600"/>
    <w:rsid w:val="22C7DB5D"/>
    <w:rsid w:val="22F4DB27"/>
    <w:rsid w:val="22F73DD6"/>
    <w:rsid w:val="23F831BF"/>
    <w:rsid w:val="2479437D"/>
    <w:rsid w:val="24D8850D"/>
    <w:rsid w:val="24F07EFB"/>
    <w:rsid w:val="255C48D7"/>
    <w:rsid w:val="2560FDA7"/>
    <w:rsid w:val="2562C7BF"/>
    <w:rsid w:val="2690D4F3"/>
    <w:rsid w:val="26BCF845"/>
    <w:rsid w:val="27654FDD"/>
    <w:rsid w:val="27C39B5F"/>
    <w:rsid w:val="27FC3BE6"/>
    <w:rsid w:val="27FCE765"/>
    <w:rsid w:val="28B5AC01"/>
    <w:rsid w:val="28BFA48D"/>
    <w:rsid w:val="28E33F54"/>
    <w:rsid w:val="294A18FF"/>
    <w:rsid w:val="29A6E5EB"/>
    <w:rsid w:val="29B259E4"/>
    <w:rsid w:val="2A676998"/>
    <w:rsid w:val="2A6F787D"/>
    <w:rsid w:val="2A780083"/>
    <w:rsid w:val="2A8EEEBE"/>
    <w:rsid w:val="2AD63C26"/>
    <w:rsid w:val="2AE650D5"/>
    <w:rsid w:val="2B457CA1"/>
    <w:rsid w:val="2BA982E6"/>
    <w:rsid w:val="2BB50AD9"/>
    <w:rsid w:val="2C876538"/>
    <w:rsid w:val="2D528571"/>
    <w:rsid w:val="2DA2EC08"/>
    <w:rsid w:val="2E93DE60"/>
    <w:rsid w:val="2EBBD185"/>
    <w:rsid w:val="2F6443C6"/>
    <w:rsid w:val="2F9E1E7D"/>
    <w:rsid w:val="301B0D05"/>
    <w:rsid w:val="3078A950"/>
    <w:rsid w:val="30B05B90"/>
    <w:rsid w:val="30D0E683"/>
    <w:rsid w:val="30E28B07"/>
    <w:rsid w:val="30EAD8E9"/>
    <w:rsid w:val="31600DF7"/>
    <w:rsid w:val="32AD7B90"/>
    <w:rsid w:val="32FC71CB"/>
    <w:rsid w:val="342909A8"/>
    <w:rsid w:val="3449379B"/>
    <w:rsid w:val="346A6452"/>
    <w:rsid w:val="34BD0CB2"/>
    <w:rsid w:val="359BC016"/>
    <w:rsid w:val="36C72672"/>
    <w:rsid w:val="3762FE1D"/>
    <w:rsid w:val="3882AF99"/>
    <w:rsid w:val="39263CD3"/>
    <w:rsid w:val="396462A0"/>
    <w:rsid w:val="3A0A9D3D"/>
    <w:rsid w:val="3A58CFC5"/>
    <w:rsid w:val="3C196DD5"/>
    <w:rsid w:val="3CC6F9AD"/>
    <w:rsid w:val="3D31190A"/>
    <w:rsid w:val="3DA5FCB7"/>
    <w:rsid w:val="3DB73100"/>
    <w:rsid w:val="3E078942"/>
    <w:rsid w:val="3E1D5EC9"/>
    <w:rsid w:val="3E2858C0"/>
    <w:rsid w:val="3F1D496C"/>
    <w:rsid w:val="3F54FB54"/>
    <w:rsid w:val="3F8706A5"/>
    <w:rsid w:val="3F8CF782"/>
    <w:rsid w:val="3FE6D31C"/>
    <w:rsid w:val="4097CD56"/>
    <w:rsid w:val="40E7D335"/>
    <w:rsid w:val="4171D445"/>
    <w:rsid w:val="426A28DD"/>
    <w:rsid w:val="42AB0F5E"/>
    <w:rsid w:val="42CAC4B2"/>
    <w:rsid w:val="44851FD0"/>
    <w:rsid w:val="45C4DB48"/>
    <w:rsid w:val="463929D2"/>
    <w:rsid w:val="46AF037B"/>
    <w:rsid w:val="4745AD15"/>
    <w:rsid w:val="4818F4F6"/>
    <w:rsid w:val="4925B399"/>
    <w:rsid w:val="4929A74D"/>
    <w:rsid w:val="4A7BEF1B"/>
    <w:rsid w:val="4AAA8A4B"/>
    <w:rsid w:val="4AFE60E6"/>
    <w:rsid w:val="4B818172"/>
    <w:rsid w:val="4CB6E8BC"/>
    <w:rsid w:val="4CC9C65E"/>
    <w:rsid w:val="4CE31B11"/>
    <w:rsid w:val="4D3DF0AB"/>
    <w:rsid w:val="4D8DDA59"/>
    <w:rsid w:val="4D903E6D"/>
    <w:rsid w:val="4D9588E6"/>
    <w:rsid w:val="4DB053E2"/>
    <w:rsid w:val="4E4844AD"/>
    <w:rsid w:val="4E6CEEEE"/>
    <w:rsid w:val="4E744708"/>
    <w:rsid w:val="4E912096"/>
    <w:rsid w:val="4FEB1E79"/>
    <w:rsid w:val="50303242"/>
    <w:rsid w:val="5045B36E"/>
    <w:rsid w:val="5049D55F"/>
    <w:rsid w:val="504EBB9A"/>
    <w:rsid w:val="50B28FE1"/>
    <w:rsid w:val="50BCB4C3"/>
    <w:rsid w:val="513A8AB0"/>
    <w:rsid w:val="51EA4A1C"/>
    <w:rsid w:val="521C4468"/>
    <w:rsid w:val="525FB8AB"/>
    <w:rsid w:val="528ECC72"/>
    <w:rsid w:val="529E4CF7"/>
    <w:rsid w:val="52C9C5C5"/>
    <w:rsid w:val="52DF094D"/>
    <w:rsid w:val="52F66A43"/>
    <w:rsid w:val="53B1B1C3"/>
    <w:rsid w:val="5452BDA7"/>
    <w:rsid w:val="54E58F66"/>
    <w:rsid w:val="550E7E66"/>
    <w:rsid w:val="555CC955"/>
    <w:rsid w:val="557A48A6"/>
    <w:rsid w:val="55A6B30B"/>
    <w:rsid w:val="55F8876A"/>
    <w:rsid w:val="565CC08C"/>
    <w:rsid w:val="572EBAF6"/>
    <w:rsid w:val="57436330"/>
    <w:rsid w:val="57AB8161"/>
    <w:rsid w:val="57FDB9C9"/>
    <w:rsid w:val="5815C2B4"/>
    <w:rsid w:val="58918467"/>
    <w:rsid w:val="592D91ED"/>
    <w:rsid w:val="59A0318A"/>
    <w:rsid w:val="5A1CE0AD"/>
    <w:rsid w:val="5B4B882A"/>
    <w:rsid w:val="5B84E4E2"/>
    <w:rsid w:val="5BA32D67"/>
    <w:rsid w:val="5BBB8CA0"/>
    <w:rsid w:val="5D1FCFA6"/>
    <w:rsid w:val="5E76EEA4"/>
    <w:rsid w:val="5ECBE025"/>
    <w:rsid w:val="5ECCE38C"/>
    <w:rsid w:val="5F8D5439"/>
    <w:rsid w:val="6060CBA5"/>
    <w:rsid w:val="609F5886"/>
    <w:rsid w:val="60B7CA5B"/>
    <w:rsid w:val="616DE4D9"/>
    <w:rsid w:val="6192CA20"/>
    <w:rsid w:val="61C7B3D6"/>
    <w:rsid w:val="6310B621"/>
    <w:rsid w:val="64779E8E"/>
    <w:rsid w:val="64B930FA"/>
    <w:rsid w:val="65886C1C"/>
    <w:rsid w:val="65B09DC0"/>
    <w:rsid w:val="66733552"/>
    <w:rsid w:val="6694C1EA"/>
    <w:rsid w:val="6787771E"/>
    <w:rsid w:val="680465EB"/>
    <w:rsid w:val="683258B8"/>
    <w:rsid w:val="68507B9D"/>
    <w:rsid w:val="68F94AED"/>
    <w:rsid w:val="69C1316A"/>
    <w:rsid w:val="6A0A67B5"/>
    <w:rsid w:val="6A4F62E5"/>
    <w:rsid w:val="6B34DEA3"/>
    <w:rsid w:val="6BE8108A"/>
    <w:rsid w:val="6BECB3E1"/>
    <w:rsid w:val="6E337AB4"/>
    <w:rsid w:val="6E4D23D9"/>
    <w:rsid w:val="6EDD608C"/>
    <w:rsid w:val="6FA33DC6"/>
    <w:rsid w:val="7055EEA4"/>
    <w:rsid w:val="70E4CE70"/>
    <w:rsid w:val="70FF9ED3"/>
    <w:rsid w:val="7105C6CA"/>
    <w:rsid w:val="7143C3EF"/>
    <w:rsid w:val="717932EF"/>
    <w:rsid w:val="717EA9E3"/>
    <w:rsid w:val="7206DED5"/>
    <w:rsid w:val="731853DD"/>
    <w:rsid w:val="73350AFA"/>
    <w:rsid w:val="737FF2D9"/>
    <w:rsid w:val="73ABBCE8"/>
    <w:rsid w:val="74A31739"/>
    <w:rsid w:val="74C4E24C"/>
    <w:rsid w:val="74CDAB32"/>
    <w:rsid w:val="74E1C892"/>
    <w:rsid w:val="7608B1DA"/>
    <w:rsid w:val="760B62D3"/>
    <w:rsid w:val="769E19CD"/>
    <w:rsid w:val="76E4DE01"/>
    <w:rsid w:val="77D55D8B"/>
    <w:rsid w:val="78ED8A24"/>
    <w:rsid w:val="7998421B"/>
    <w:rsid w:val="79A25853"/>
    <w:rsid w:val="79BE14BE"/>
    <w:rsid w:val="7A4FE5D6"/>
    <w:rsid w:val="7A73BAE3"/>
    <w:rsid w:val="7A896025"/>
    <w:rsid w:val="7B8DB22F"/>
    <w:rsid w:val="7BB8A656"/>
    <w:rsid w:val="7C8041B1"/>
    <w:rsid w:val="7CA3BD52"/>
    <w:rsid w:val="7D1D7844"/>
    <w:rsid w:val="7D61C983"/>
    <w:rsid w:val="7DE8B1A2"/>
    <w:rsid w:val="7E7461CF"/>
    <w:rsid w:val="7EBFD9B4"/>
    <w:rsid w:val="7EF9E854"/>
    <w:rsid w:val="7F09DA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74CB3"/>
  <w15:chartTrackingRefBased/>
  <w15:docId w15:val="{7719E97A-F3A3-4427-92B1-02FEF846D250}"/>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8C2414"/>
    <w:pPr>
      <w:spacing w:line="240" w:lineRule="auto"/>
      <w:jc w:val="center"/>
    </w:pPr>
    <w:rPr>
      <w:rFonts w:ascii="Book Antiqua" w:eastAsiaTheme="majorEastAsia" w:hAnsi="Book Antiqua"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E5646F"/>
    <w:pPr>
      <w:keepNext/>
      <w:spacing w:before="180" w:line="360" w:lineRule="auto"/>
      <w:outlineLvl w:val="0"/>
    </w:pPr>
    <w:rPr>
      <w:spacing w:val="120"/>
    </w:rPr>
  </w:style>
  <w:style w:type="paragraph" w:styleId="TOC2">
    <w:name w:val="toc 2"/>
    <w:basedOn w:val="Normal"/>
    <w:next w:val="Normal"/>
    <w:uiPriority w:val="39"/>
    <w:unhideWhenUsed/>
    <w:rsid w:val="0096668E"/>
    <w:pPr>
      <w:spacing w:line="240" w:lineRule="auto"/>
      <w:ind w:left="1123" w:right="720" w:hanging="648"/>
    </w:pPr>
    <w:rPr>
      <w:rFonts w:eastAsiaTheme="minorEastAsia" w:cs="Times New Roman"/>
    </w:rPr>
  </w:style>
  <w:style w:type="paragraph" w:styleId="TOC1">
    <w:name w:val="toc 1"/>
    <w:basedOn w:val="Normal"/>
    <w:next w:val="Normal"/>
    <w:uiPriority w:val="39"/>
    <w:unhideWhenUsed/>
    <w:rsid w:val="009A7D2F"/>
    <w:pPr>
      <w:spacing w:line="240" w:lineRule="auto"/>
      <w:ind w:left="475" w:right="720" w:hanging="475"/>
    </w:pPr>
    <w:rPr>
      <w:rFonts w:eastAsiaTheme="minorEastAsia" w:cs="Times New Roman"/>
    </w:rPr>
  </w:style>
  <w:style w:type="paragraph" w:styleId="TOC3">
    <w:name w:val="toc 3"/>
    <w:basedOn w:val="Normal"/>
    <w:next w:val="Normal"/>
    <w:uiPriority w:val="39"/>
    <w:unhideWhenUsed/>
    <w:rsid w:val="0077404D"/>
    <w:pPr>
      <w:spacing w:line="240" w:lineRule="auto"/>
      <w:ind w:left="1987" w:right="720"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semiHidden/>
    <w:rsid w:val="00EE306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basedOn w:val="Normal"/>
    <w:link w:val="FootnoteTextChar"/>
    <w:uiPriority w:val="40"/>
    <w:rsid w:val="00B01F7E"/>
    <w:pPr>
      <w:spacing w:after="120" w:line="240" w:lineRule="auto"/>
      <w:ind w:firstLine="0"/>
    </w:pPr>
    <w:rPr>
      <w:sz w:val="22"/>
      <w:szCs w:val="20"/>
    </w:rPr>
  </w:style>
  <w:style w:type="character" w:customStyle="1" w:styleId="FootnoteTextChar">
    <w:name w:val="Footnote Text Char"/>
    <w:basedOn w:val="DefaultParagraphFont"/>
    <w:link w:val="FootnoteText"/>
    <w:uiPriority w:val="40"/>
    <w:rsid w:val="007657C1"/>
    <w:rPr>
      <w:rFonts w:ascii="Book Antiqua" w:hAnsi="Book Antiqua"/>
      <w:szCs w:val="20"/>
    </w:rPr>
  </w:style>
  <w:style w:type="character" w:styleId="FootnoteReference">
    <w:name w:val="footnote reference"/>
    <w:basedOn w:val="DefaultParagraphFont"/>
    <w:uiPriority w:val="99"/>
    <w:semiHidden/>
    <w:unhideWhenUsed/>
    <w:rsid w:val="00DF58E7"/>
    <w:rPr>
      <w:vertAlign w:val="superscript"/>
    </w:rPr>
  </w:style>
  <w:style w:type="paragraph" w:customStyle="1" w:styleId="FoF">
    <w:name w:val="FoF"/>
    <w:basedOn w:val="Standard"/>
    <w:uiPriority w:val="6"/>
    <w:qFormat/>
    <w:rsid w:val="001E2A62"/>
    <w:pPr>
      <w:numPr>
        <w:numId w:val="3"/>
      </w:numPr>
      <w:ind w:firstLine="547"/>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character" w:customStyle="1" w:styleId="displayonly">
    <w:name w:val="display_only"/>
    <w:basedOn w:val="DefaultParagraphFont"/>
    <w:rsid w:val="00963400"/>
  </w:style>
  <w:style w:type="paragraph" w:styleId="ListParagraph">
    <w:name w:val="List Paragraph"/>
    <w:basedOn w:val="Normal"/>
    <w:uiPriority w:val="34"/>
    <w:rsid w:val="00F94F56"/>
    <w:pPr>
      <w:ind w:left="720"/>
      <w:contextualSpacing/>
    </w:pPr>
  </w:style>
  <w:style w:type="character" w:styleId="CommentReference">
    <w:name w:val="annotation reference"/>
    <w:basedOn w:val="DefaultParagraphFont"/>
    <w:uiPriority w:val="99"/>
    <w:semiHidden/>
    <w:unhideWhenUsed/>
    <w:rsid w:val="00125349"/>
    <w:rPr>
      <w:sz w:val="16"/>
      <w:szCs w:val="16"/>
    </w:rPr>
  </w:style>
  <w:style w:type="paragraph" w:styleId="CommentText">
    <w:name w:val="annotation text"/>
    <w:basedOn w:val="Normal"/>
    <w:link w:val="CommentTextChar"/>
    <w:uiPriority w:val="99"/>
    <w:unhideWhenUsed/>
    <w:rsid w:val="00125349"/>
    <w:pPr>
      <w:spacing w:line="240" w:lineRule="auto"/>
    </w:pPr>
    <w:rPr>
      <w:sz w:val="20"/>
      <w:szCs w:val="20"/>
    </w:rPr>
  </w:style>
  <w:style w:type="character" w:customStyle="1" w:styleId="CommentTextChar">
    <w:name w:val="Comment Text Char"/>
    <w:basedOn w:val="DefaultParagraphFont"/>
    <w:link w:val="CommentText"/>
    <w:uiPriority w:val="99"/>
    <w:rsid w:val="00125349"/>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125349"/>
    <w:rPr>
      <w:b/>
      <w:bCs/>
    </w:rPr>
  </w:style>
  <w:style w:type="character" w:customStyle="1" w:styleId="CommentSubjectChar">
    <w:name w:val="Comment Subject Char"/>
    <w:basedOn w:val="CommentTextChar"/>
    <w:link w:val="CommentSubject"/>
    <w:uiPriority w:val="99"/>
    <w:semiHidden/>
    <w:rsid w:val="00125349"/>
    <w:rPr>
      <w:rFonts w:ascii="Book Antiqua" w:hAnsi="Book Antiqua"/>
      <w:b/>
      <w:bCs/>
      <w:sz w:val="20"/>
      <w:szCs w:val="20"/>
    </w:rPr>
  </w:style>
  <w:style w:type="paragraph" w:styleId="Revision">
    <w:name w:val="Revision"/>
    <w:hidden/>
    <w:uiPriority w:val="99"/>
    <w:semiHidden/>
    <w:rsid w:val="00D54934"/>
    <w:pPr>
      <w:spacing w:after="0" w:line="240" w:lineRule="auto"/>
    </w:pPr>
    <w:rPr>
      <w:rFonts w:ascii="Book Antiqua" w:hAnsi="Book Antiqua"/>
      <w:sz w:val="26"/>
    </w:rPr>
  </w:style>
  <w:style w:type="character" w:styleId="Mention">
    <w:name w:val="Mention"/>
    <w:basedOn w:val="DefaultParagraphFont"/>
    <w:uiPriority w:val="99"/>
    <w:unhideWhenUsed/>
    <w:rsid w:val="00E823B6"/>
    <w:rPr>
      <w:color w:val="2B579A"/>
      <w:shd w:val="clear" w:color="auto" w:fill="E1DFDD"/>
    </w:rPr>
  </w:style>
  <w:style w:type="character" w:styleId="UnresolvedMention">
    <w:name w:val="Unresolved Mention"/>
    <w:basedOn w:val="DefaultParagraphFont"/>
    <w:uiPriority w:val="99"/>
    <w:semiHidden/>
    <w:unhideWhenUsed/>
    <w:rsid w:val="001E6DBE"/>
    <w:rPr>
      <w:color w:val="605E5C"/>
      <w:shd w:val="clear" w:color="auto" w:fill="E1DFDD"/>
    </w:rPr>
  </w:style>
  <w:style w:type="paragraph" w:customStyle="1" w:styleId="BlockQuoteH033">
    <w:name w:val="BlockQuoteH033"/>
    <w:basedOn w:val="Normal"/>
    <w:qFormat/>
    <w:rsid w:val="00902BB2"/>
    <w:pPr>
      <w:spacing w:after="120" w:line="240" w:lineRule="auto"/>
      <w:ind w:left="1195" w:right="1440" w:hanging="475"/>
    </w:pPr>
  </w:style>
  <w:style w:type="paragraph" w:customStyle="1" w:styleId="BlockQuoteH025">
    <w:name w:val="BlockQuoteH025"/>
    <w:basedOn w:val="BlockQuoteH033"/>
    <w:qFormat/>
    <w:rsid w:val="00E83FD5"/>
    <w:pPr>
      <w:ind w:left="1080" w:hanging="360"/>
    </w:pPr>
  </w:style>
  <w:style w:type="paragraph" w:customStyle="1" w:styleId="SigBlockBA-Cmr">
    <w:name w:val="SigBlockBA-Cmr"/>
    <w:basedOn w:val="Normal"/>
    <w:qFormat/>
    <w:rsid w:val="005042E8"/>
    <w:pPr>
      <w:keepNext/>
      <w:autoSpaceDE w:val="0"/>
      <w:autoSpaceDN w:val="0"/>
      <w:adjustRightInd w:val="0"/>
      <w:spacing w:line="240" w:lineRule="auto"/>
      <w:ind w:left="4320" w:firstLine="0"/>
    </w:pPr>
    <w:rPr>
      <w:rFonts w:eastAsia="Times New Roman" w:cs="Times New Roman"/>
      <w:szCs w:val="20"/>
    </w:rPr>
  </w:style>
  <w:style w:type="paragraph" w:customStyle="1" w:styleId="SigBlockBA-Title">
    <w:name w:val="SigBlockBA-Title"/>
    <w:basedOn w:val="Normal"/>
    <w:qFormat/>
    <w:rsid w:val="005042E8"/>
    <w:pPr>
      <w:keepNext/>
      <w:autoSpaceDE w:val="0"/>
      <w:autoSpaceDN w:val="0"/>
      <w:adjustRightInd w:val="0"/>
      <w:spacing w:line="240" w:lineRule="auto"/>
      <w:ind w:left="5400" w:firstLine="0"/>
    </w:pPr>
    <w:rPr>
      <w:rFonts w:eastAsia="Times New Roman" w:cs="Times New Roman"/>
      <w:szCs w:val="20"/>
    </w:rPr>
  </w:style>
  <w:style w:type="paragraph" w:customStyle="1" w:styleId="SigSpaceBA">
    <w:name w:val="SigSpaceBA"/>
    <w:basedOn w:val="Normal"/>
    <w:qFormat/>
    <w:rsid w:val="005042E8"/>
    <w:pPr>
      <w:keepNext/>
      <w:autoSpaceDE w:val="0"/>
      <w:autoSpaceDN w:val="0"/>
      <w:adjustRightInd w:val="0"/>
      <w:ind w:left="4320" w:firstLine="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1.next.westlaw.com/Link/Document/FullText?findType=L&amp;pubNum=1000221&amp;cite=CAPUS854&amp;originatingDoc=I6854c75fd78d11ddb5cbad29a280d47c&amp;refType=LQ&amp;originationContext=document&amp;transitionType=DocumentItem&amp;ppcid=ec677b472d734b35baa5c2d36a44cbf4&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DF2F3AA19FF9418516062AF11C0ACF" ma:contentTypeVersion="17" ma:contentTypeDescription="Create a new document." ma:contentTypeScope="" ma:versionID="80575d62ecc55d6f04a1a66d8959c822">
  <xsd:schema xmlns:xsd="http://www.w3.org/2001/XMLSchema" xmlns:xs="http://www.w3.org/2001/XMLSchema" xmlns:p="http://schemas.microsoft.com/office/2006/metadata/properties" xmlns:ns2="8114c60f-d572-43b4-ba5f-295801837341" xmlns:ns3="0db3a248-2f3b-4e14-a06e-708bd1cc474a" targetNamespace="http://schemas.microsoft.com/office/2006/metadata/properties" ma:root="true" ma:fieldsID="11af4f0a5a0da12401308155740e01bd" ns2:_="" ns3:_="">
    <xsd:import namespace="8114c60f-d572-43b4-ba5f-295801837341"/>
    <xsd:import namespace="0db3a248-2f3b-4e14-a06e-708bd1cc47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4c60f-d572-43b4-ba5f-2958018373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468275ae-ef1e-40ba-9e1a-f8e2345e05de}" ma:internalName="TaxCatchAll" ma:showField="CatchAllData" ma:web="8114c60f-d572-43b4-ba5f-2958018373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b3a248-2f3b-4e14-a06e-708bd1cc47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1B8BADF2214F6448E5045310EA9B796" ma:contentTypeVersion="16" ma:contentTypeDescription="Create a new document." ma:contentTypeScope="" ma:versionID="eea420ac1ba3dcd00acdf10f671c25ee">
  <xsd:schema xmlns:xsd="http://www.w3.org/2001/XMLSchema" xmlns:xs="http://www.w3.org/2001/XMLSchema" xmlns:p="http://schemas.microsoft.com/office/2006/metadata/properties" xmlns:ns2="40c2bee6-72d2-4c4b-bbf2-19a975248824" xmlns:ns3="ef7e321c-44a6-4cb5-81f0-0bfd95ece253" targetNamespace="http://schemas.microsoft.com/office/2006/metadata/properties" ma:root="true" ma:fieldsID="654a2f02f20c70d75825c1ed89053b75" ns2:_="" ns3:_="">
    <xsd:import namespace="40c2bee6-72d2-4c4b-bbf2-19a975248824"/>
    <xsd:import namespace="ef7e321c-44a6-4cb5-81f0-0bfd95ece2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element ref="ns3:ContentTag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2bee6-72d2-4c4b-bbf2-19a9752488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d35960-7829-44dd-b243-a39bb7be529f}" ma:internalName="TaxCatchAll" ma:showField="CatchAllData" ma:web="40c2bee6-72d2-4c4b-bbf2-19a9752488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7e321c-44a6-4cb5-81f0-0bfd95ece2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ContentTagLIst" ma:index="23" nillable="true" ma:displayName="Content Tag" ma:format="Dropdown" ma:internalName="ContentTagLIst">
      <xsd:complexType>
        <xsd:complexContent>
          <xsd:extension base="dms:MultiChoice">
            <xsd:sequence>
              <xsd:element name="Value" maxOccurs="unbounded" minOccurs="0" nillable="true">
                <xsd:simpleType>
                  <xsd:restriction base="dms:Choice">
                    <xsd:enumeration value="ALJ Material"/>
                    <xsd:enumeration value="Support Material"/>
                    <xsd:enumeration value="Miscellaneou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8114c60f-d572-43b4-ba5f-295801837341">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0db3a248-2f3b-4e14-a06e-708bd1cc474a">
      <Terms xmlns="http://schemas.microsoft.com/office/infopath/2007/PartnerControls"/>
    </lcf76f155ced4ddcb4097134ff3c332f>
    <TaxCatchAll xmlns="8114c60f-d572-43b4-ba5f-295801837341"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15B134-C80B-450B-B8BC-AAED93C25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4c60f-d572-43b4-ba5f-295801837341"/>
    <ds:schemaRef ds:uri="0db3a248-2f3b-4e14-a06e-708bd1cc4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customXml/itemProps3.xml><?xml version="1.0" encoding="utf-8"?>
<ds:datastoreItem xmlns:ds="http://schemas.openxmlformats.org/officeDocument/2006/customXml" ds:itemID="{62079FFE-0A8C-409C-9D2A-DF55C286F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2bee6-72d2-4c4b-bbf2-19a975248824"/>
    <ds:schemaRef ds:uri="ef7e321c-44a6-4cb5-81f0-0bfd95ece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8114c60f-d572-43b4-ba5f-295801837341"/>
    <ds:schemaRef ds:uri="0db3a248-2f3b-4e14-a06e-708bd1cc474a"/>
  </ds:schemaRefs>
</ds:datastoreItem>
</file>

<file path=customXml/itemProps5.xml><?xml version="1.0" encoding="utf-8"?>
<ds:datastoreItem xmlns:ds="http://schemas.openxmlformats.org/officeDocument/2006/customXml" ds:itemID="{B930DE7C-9577-4EA8-AC89-8E2B6CC952CB}">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29</ap:Pages>
  <ap:Words>6219</ap:Words>
  <ap:Characters>35454</ap:Characters>
  <ap:Application>Microsoft Office Word</ap:Application>
  <ap:DocSecurity>0</ap:DocSecurity>
  <ap:Lines>295</ap:Lines>
  <ap:Paragraphs>83</ap:Paragraphs>
  <ap:ScaleCrop>false</ap:ScaleCrop>
  <ap:Company/>
  <ap:LinksUpToDate>false</ap:LinksUpToDate>
  <ap:CharactersWithSpaces>41590</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2026-05-26T15:47:00Z</cp:lastPrinted>
  <dcterms:created xsi:type="dcterms:W3CDTF">2026-08-20T08:25:33Z</dcterms:created>
  <dcterms:modified xsi:type="dcterms:W3CDTF">2026-08-20T08:25:33Z</dcterms:modified>
</cp:coreProperties>
</file>