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B3D" w:rsidR="000964E3" w:rsidP="000964E3" w:rsidRDefault="000964E3" w14:paraId="725BCAFA" w14:textId="77777777">
      <w:pPr>
        <w:spacing w:line="240" w:lineRule="auto"/>
        <w:jc w:val="right"/>
        <w:rPr>
          <w:color w:val="44546A" w:themeColor="text2"/>
          <w:szCs w:val="24"/>
        </w:rPr>
      </w:pPr>
      <w:r w:rsidRPr="00DA1B3D">
        <w:rPr>
          <w:noProof/>
          <w:color w:val="44546A" w:themeColor="text2"/>
          <w:szCs w:val="24"/>
        </w:rPr>
        <w:drawing>
          <wp:anchor distT="0" distB="0" distL="114300" distR="114300" simplePos="0" relativeHeight="251658240" behindDoc="0" locked="0" layoutInCell="1" allowOverlap="1" wp14:editId="55E94352" wp14:anchorId="4589E37E">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B3D">
        <w:rPr>
          <w:b/>
          <w:color w:val="44546A" w:themeColor="text2"/>
        </w:rPr>
        <w:t>California Public Utilities Commission</w:t>
      </w:r>
      <w:r w:rsidRPr="00DA1B3D">
        <w:rPr>
          <w:b/>
          <w:color w:val="44546A" w:themeColor="text2"/>
          <w:szCs w:val="24"/>
        </w:rPr>
        <w:br/>
      </w:r>
      <w:r w:rsidRPr="00DA1B3D">
        <w:rPr>
          <w:b/>
          <w:color w:val="44546A" w:themeColor="text2"/>
        </w:rPr>
        <w:t>505 Van Ness Ave., San Francisco</w:t>
      </w:r>
    </w:p>
    <w:p w:rsidRPr="00FE37F7" w:rsidR="000964E3" w:rsidP="000964E3" w:rsidRDefault="000964E3" w14:paraId="4686BC40" w14:textId="77777777">
      <w:pPr>
        <w:spacing w:line="240" w:lineRule="auto"/>
        <w:ind w:left="5040" w:firstLine="0"/>
        <w:rPr>
          <w:b/>
          <w:color w:val="000080"/>
          <w:szCs w:val="24"/>
        </w:rPr>
      </w:pPr>
    </w:p>
    <w:p w:rsidRPr="00FE37F7" w:rsidR="000964E3" w:rsidP="000964E3" w:rsidRDefault="000964E3" w14:paraId="39F0BE97" w14:textId="77777777">
      <w:pPr>
        <w:spacing w:line="240" w:lineRule="auto"/>
        <w:ind w:left="5040" w:firstLine="0"/>
        <w:rPr>
          <w:b/>
          <w:color w:val="000080"/>
          <w:szCs w:val="24"/>
        </w:rPr>
      </w:pPr>
    </w:p>
    <w:p w:rsidRPr="00FE37F7" w:rsidR="000964E3" w:rsidP="000964E3" w:rsidRDefault="000964E3" w14:paraId="63CC6A70" w14:textId="77777777">
      <w:pPr>
        <w:spacing w:line="240" w:lineRule="auto"/>
        <w:ind w:left="5040" w:firstLine="0"/>
        <w:rPr>
          <w:b/>
          <w:color w:val="000080"/>
          <w:szCs w:val="24"/>
        </w:rPr>
      </w:pPr>
    </w:p>
    <w:p w:rsidRPr="00FE37F7" w:rsidR="000964E3" w:rsidP="000964E3" w:rsidRDefault="000964E3" w14:paraId="341C44BF" w14:textId="77777777">
      <w:pPr>
        <w:spacing w:line="240" w:lineRule="auto"/>
        <w:ind w:left="5040" w:firstLine="0"/>
        <w:rPr>
          <w:b/>
          <w:color w:val="000080"/>
          <w:szCs w:val="24"/>
        </w:rPr>
      </w:pPr>
    </w:p>
    <w:p w:rsidRPr="00FE37F7" w:rsidR="000964E3" w:rsidP="000964E3" w:rsidRDefault="000964E3" w14:paraId="3B86291B" w14:textId="77777777">
      <w:pPr>
        <w:ind w:firstLine="0"/>
        <w:rPr>
          <w:color w:val="000080"/>
          <w:szCs w:val="24"/>
        </w:rPr>
      </w:pPr>
      <w:r w:rsidRPr="00FE37F7">
        <w:rPr>
          <w:color w:val="000080"/>
          <w:szCs w:val="24"/>
        </w:rPr>
        <w:t>_________________________________________________________________________________</w:t>
      </w:r>
    </w:p>
    <w:p w:rsidRPr="00FE37F7" w:rsidR="000964E3" w:rsidP="000964E3" w:rsidRDefault="000964E3" w14:paraId="24E3C2DB" w14:textId="246071B1">
      <w:pPr>
        <w:spacing w:line="240" w:lineRule="auto"/>
        <w:ind w:firstLine="0"/>
        <w:rPr>
          <w:b/>
          <w:szCs w:val="24"/>
        </w:rPr>
      </w:pPr>
      <w:bookmarkStart w:name="_Hlk71030686" w:id="0"/>
      <w:r w:rsidRPr="00FE37F7">
        <w:rPr>
          <w:b/>
          <w:szCs w:val="24"/>
        </w:rPr>
        <w:t>FOR IMMEDIATE RELEASE</w:t>
      </w:r>
      <w:r w:rsidRPr="00FE37F7">
        <w:rPr>
          <w:szCs w:val="24"/>
        </w:rPr>
        <w:t xml:space="preserve"> </w:t>
      </w:r>
      <w:r>
        <w:rPr>
          <w:szCs w:val="24"/>
        </w:rPr>
        <w:tab/>
      </w:r>
      <w:r>
        <w:rPr>
          <w:szCs w:val="24"/>
        </w:rPr>
        <w:tab/>
      </w:r>
      <w:r>
        <w:rPr>
          <w:szCs w:val="24"/>
        </w:rPr>
        <w:tab/>
      </w:r>
      <w:r>
        <w:rPr>
          <w:szCs w:val="24"/>
        </w:rPr>
        <w:tab/>
      </w:r>
      <w:r w:rsidR="005E7697">
        <w:rPr>
          <w:b/>
          <w:bCs/>
          <w:szCs w:val="24"/>
        </w:rPr>
        <w:tab/>
      </w:r>
      <w:r w:rsidR="00D85121">
        <w:rPr>
          <w:szCs w:val="24"/>
        </w:rPr>
        <w:tab/>
      </w:r>
      <w:r>
        <w:rPr>
          <w:szCs w:val="24"/>
        </w:rPr>
        <w:t xml:space="preserve">       </w:t>
      </w:r>
      <w:r w:rsidR="00181353">
        <w:rPr>
          <w:szCs w:val="24"/>
        </w:rPr>
        <w:t xml:space="preserve">  </w:t>
      </w:r>
      <w:r>
        <w:rPr>
          <w:szCs w:val="24"/>
        </w:rPr>
        <w:t xml:space="preserve"> </w:t>
      </w:r>
      <w:r>
        <w:rPr>
          <w:b/>
          <w:szCs w:val="24"/>
        </w:rPr>
        <w:t>PRESS RELEASE</w:t>
      </w:r>
    </w:p>
    <w:p w:rsidRPr="00D66BC4" w:rsidR="000964E3" w:rsidP="000964E3" w:rsidRDefault="000964E3" w14:paraId="50B7216D" w14:textId="75A6CD54">
      <w:pPr>
        <w:spacing w:line="240" w:lineRule="auto"/>
        <w:ind w:firstLine="0"/>
        <w:rPr>
          <w:color w:val="FF0000"/>
          <w:szCs w:val="24"/>
        </w:rPr>
      </w:pPr>
      <w:r w:rsidRPr="00FE37F7">
        <w:rPr>
          <w:szCs w:val="24"/>
        </w:rPr>
        <w:t xml:space="preserve">Media Contact: Terrie Prosper, 415.703.1366, </w:t>
      </w:r>
      <w:hyperlink w:history="1" r:id="rId12">
        <w:r w:rsidRPr="00FE37F7">
          <w:rPr>
            <w:rStyle w:val="Hyperlink"/>
            <w:szCs w:val="24"/>
          </w:rPr>
          <w:t>news@cpuc.ca.gov</w:t>
        </w:r>
      </w:hyperlink>
      <w:r w:rsidRPr="00D66BC4">
        <w:rPr>
          <w:color w:val="FF0000"/>
          <w:szCs w:val="24"/>
        </w:rPr>
        <w:t xml:space="preserve"> </w:t>
      </w:r>
      <w:r w:rsidR="00181353">
        <w:rPr>
          <w:color w:val="FF0000"/>
          <w:szCs w:val="24"/>
        </w:rPr>
        <w:t xml:space="preserve">                                     </w:t>
      </w:r>
      <w:r w:rsidRPr="00181353" w:rsidR="00181353">
        <w:rPr>
          <w:szCs w:val="24"/>
        </w:rPr>
        <w:t xml:space="preserve">   </w:t>
      </w:r>
    </w:p>
    <w:p w:rsidR="000964E3" w:rsidP="004718FF" w:rsidRDefault="000964E3" w14:paraId="1C8A3295" w14:textId="77777777">
      <w:pPr>
        <w:pStyle w:val="ReleaseHead"/>
      </w:pPr>
    </w:p>
    <w:p w:rsidRPr="00B75C48" w:rsidR="000964E3" w:rsidP="004718FF" w:rsidRDefault="009807E3" w14:paraId="7CC34BC0" w14:textId="09F91F51">
      <w:pPr>
        <w:pStyle w:val="ReleaseHead"/>
      </w:pPr>
      <w:r>
        <w:t xml:space="preserve">CPUC </w:t>
      </w:r>
      <w:r w:rsidR="000925C8">
        <w:t>To</w:t>
      </w:r>
      <w:r w:rsidR="00181353">
        <w:t xml:space="preserve"> Consider Updates to </w:t>
      </w:r>
      <w:r w:rsidR="000925C8">
        <w:t xml:space="preserve">Rate </w:t>
      </w:r>
      <w:r w:rsidR="00181353">
        <w:t>Case Process</w:t>
      </w:r>
      <w:r w:rsidR="000925C8">
        <w:br/>
      </w:r>
      <w:r w:rsidR="00181353">
        <w:t xml:space="preserve">to Strengthen </w:t>
      </w:r>
      <w:r w:rsidR="00107166">
        <w:t>Affordability, Accountability, and Transparency</w:t>
      </w:r>
    </w:p>
    <w:p w:rsidR="00D930D0" w:rsidP="00CE4FFC" w:rsidRDefault="00181353" w14:paraId="150C32E4" w14:textId="77777777">
      <w:pPr>
        <w:pStyle w:val="NormalWeb"/>
      </w:pPr>
      <w:r>
        <w:t>SAN FRANCISCO, Sept</w:t>
      </w:r>
      <w:r w:rsidR="00A10054">
        <w:t>.</w:t>
      </w:r>
      <w:r>
        <w:t xml:space="preserve"> 3, 2026 </w:t>
      </w:r>
      <w:r w:rsidRPr="00181353">
        <w:t>– The California Public Utilities Commission (CPUC) today</w:t>
      </w:r>
      <w:r>
        <w:t xml:space="preserve"> opened a </w:t>
      </w:r>
      <w:r w:rsidR="000925C8">
        <w:t>new</w:t>
      </w:r>
      <w:r>
        <w:t xml:space="preserve"> proceeding </w:t>
      </w:r>
      <w:r w:rsidR="000925C8">
        <w:t>to</w:t>
      </w:r>
      <w:r>
        <w:t xml:space="preserve"> consider updated requirements for </w:t>
      </w:r>
      <w:r w:rsidR="00D930D0">
        <w:t xml:space="preserve">energy utility </w:t>
      </w:r>
      <w:r>
        <w:t>General Rate Cases (GRCs)</w:t>
      </w:r>
      <w:r w:rsidRPr="00181353">
        <w:t> to increase affordability, accountability, and transparency. </w:t>
      </w:r>
    </w:p>
    <w:p w:rsidR="00181353" w:rsidP="00CE4FFC" w:rsidRDefault="00181353" w14:paraId="6B3E0BD8" w14:textId="6FD6A7B6">
      <w:pPr>
        <w:pStyle w:val="NormalWeb"/>
      </w:pPr>
      <w:r w:rsidRPr="00181353">
        <w:t>The proceeding, called an Order Instituting Rulemaking (OIR), will consider revisions to the CPUC’s existing Rate Case Plan (RCP) to further standardize GRC filings, streamline the GRC process, and address legislative requirements. An updated RCP further promotes the CPUC’s goals of balancing safe, reliable, and affordable energy services for </w:t>
      </w:r>
      <w:r w:rsidR="00D930D0">
        <w:t>utility customers</w:t>
      </w:r>
      <w:r w:rsidRPr="00181353">
        <w:t>. </w:t>
      </w:r>
    </w:p>
    <w:p w:rsidR="00181353" w:rsidP="00CE4FFC" w:rsidRDefault="00181353" w14:paraId="46594A7D" w14:textId="1B9EB0BF">
      <w:pPr>
        <w:pStyle w:val="NormalWeb"/>
      </w:pPr>
      <w:r>
        <w:t>A GRC is the CPUC’s primary review of a util</w:t>
      </w:r>
      <w:r w:rsidR="00D930D0">
        <w:t xml:space="preserve">ity’s </w:t>
      </w:r>
      <w:r>
        <w:t>spending plan</w:t>
      </w:r>
      <w:r w:rsidR="00953372">
        <w:t>,</w:t>
      </w:r>
      <w:r>
        <w:t xml:space="preserve"> in which the CPUC </w:t>
      </w:r>
      <w:r w:rsidR="009807E3">
        <w:t xml:space="preserve">scrutinizes utility </w:t>
      </w:r>
      <w:r w:rsidR="00D930D0">
        <w:t xml:space="preserve">funding requests for </w:t>
      </w:r>
      <w:r w:rsidR="00953372">
        <w:t>safely and reliably operating its system and dete</w:t>
      </w:r>
      <w:r w:rsidR="009807E3">
        <w:t>rm</w:t>
      </w:r>
      <w:r w:rsidR="00953372">
        <w:t>ines</w:t>
      </w:r>
      <w:r w:rsidR="009807E3">
        <w:t xml:space="preserve"> which </w:t>
      </w:r>
      <w:r>
        <w:t>costs are</w:t>
      </w:r>
      <w:r w:rsidR="00F925BD">
        <w:t xml:space="preserve"> just and</w:t>
      </w:r>
      <w:r>
        <w:t xml:space="preserve"> reasonable</w:t>
      </w:r>
      <w:r w:rsidR="00F925BD">
        <w:t>.</w:t>
      </w:r>
      <w:r w:rsidR="00857446">
        <w:t xml:space="preserve"> </w:t>
      </w:r>
      <w:r>
        <w:t>The RCP is the guiding document that provides the timeline and minimum filing requirements for each GRC application.  </w:t>
      </w:r>
    </w:p>
    <w:p w:rsidR="009807E3" w:rsidP="009423C6" w:rsidRDefault="009807E3" w14:paraId="6A8B8256" w14:textId="4C3E674F">
      <w:pPr>
        <w:pStyle w:val="NormalWeb"/>
        <w:spacing w:before="0" w:beforeAutospacing="0" w:after="0" w:afterAutospacing="0"/>
      </w:pPr>
      <w:r w:rsidRPr="009807E3">
        <w:t xml:space="preserve">The </w:t>
      </w:r>
      <w:r w:rsidR="007C6319">
        <w:t>new proceeding will c</w:t>
      </w:r>
      <w:r w:rsidRPr="009807E3">
        <w:t>onsider revisions to the RCP for energy investor-owned</w:t>
      </w:r>
      <w:r w:rsidR="007C6319">
        <w:t xml:space="preserve"> </w:t>
      </w:r>
      <w:r w:rsidRPr="009807E3">
        <w:t>utilities (IOUs) related to recent legislative and regulatory requirements and stakeholder input</w:t>
      </w:r>
      <w:r>
        <w:t xml:space="preserve">. Considerations in the OIR include: </w:t>
      </w:r>
    </w:p>
    <w:p w:rsidR="009807E3" w:rsidP="009423C6" w:rsidRDefault="009807E3" w14:paraId="051410C9" w14:textId="77777777">
      <w:pPr>
        <w:pStyle w:val="NormalWeb"/>
        <w:numPr>
          <w:ilvl w:val="0"/>
          <w:numId w:val="3"/>
        </w:numPr>
        <w:spacing w:before="0" w:beforeAutospacing="0" w:after="0" w:afterAutospacing="0"/>
      </w:pPr>
      <w:r w:rsidRPr="009807E3">
        <w:t>Requiring additional details that were requested in past GRCs, settlements, and energy proceedings impacting rates to provide a holistic analysis of affordability. </w:t>
      </w:r>
    </w:p>
    <w:p w:rsidR="009807E3" w:rsidP="009807E3" w:rsidRDefault="009807E3" w14:paraId="6DD4A5F1" w14:textId="21E2E111">
      <w:pPr>
        <w:pStyle w:val="NormalWeb"/>
        <w:numPr>
          <w:ilvl w:val="0"/>
          <w:numId w:val="3"/>
        </w:numPr>
      </w:pPr>
      <w:r w:rsidRPr="009807E3">
        <w:t>Updates to GRC pre-filing requirements</w:t>
      </w:r>
      <w:r>
        <w:t xml:space="preserve"> that reflect legislative mandates</w:t>
      </w:r>
      <w:r w:rsidRPr="009807E3">
        <w:t xml:space="preserve"> to increase IOU transparency and accountability. </w:t>
      </w:r>
      <w:r>
        <w:t>These would include a</w:t>
      </w:r>
      <w:r w:rsidRPr="009807E3">
        <w:t>nnual reporting  of actual and authorized rate of return and costs (Assembly Bill (AB) 2666)</w:t>
      </w:r>
      <w:r>
        <w:t>, a</w:t>
      </w:r>
      <w:r w:rsidRPr="009807E3">
        <w:t> requirement for an estimate of future costs on ratepayers (AB 2847)</w:t>
      </w:r>
      <w:r>
        <w:t>, and g</w:t>
      </w:r>
      <w:r w:rsidRPr="009807E3">
        <w:t>reater coordination with utility Wildfire Mitigation plans and spending (</w:t>
      </w:r>
      <w:r w:rsidR="007C6319">
        <w:t>Senate Bill</w:t>
      </w:r>
      <w:r w:rsidRPr="009807E3">
        <w:t xml:space="preserve"> 254)</w:t>
      </w:r>
      <w:r>
        <w:t xml:space="preserve">. </w:t>
      </w:r>
    </w:p>
    <w:p w:rsidR="009807E3" w:rsidP="009807E3" w:rsidRDefault="009807E3" w14:paraId="11EEEDDD" w14:textId="214588FF">
      <w:pPr>
        <w:pStyle w:val="NormalWeb"/>
        <w:numPr>
          <w:ilvl w:val="0"/>
          <w:numId w:val="3"/>
        </w:numPr>
      </w:pPr>
      <w:r w:rsidRPr="009807E3">
        <w:lastRenderedPageBreak/>
        <w:t xml:space="preserve">Standardization of evaluation and decision-making frameworks to promote efficient proceedings, reduce delays, and decrease uncertainty while also protecting </w:t>
      </w:r>
      <w:r w:rsidR="007C6319">
        <w:t>utility customers</w:t>
      </w:r>
      <w:r w:rsidRPr="009807E3">
        <w:t>. </w:t>
      </w:r>
    </w:p>
    <w:p w:rsidR="007C6319" w:rsidP="007C6319" w:rsidRDefault="007C6319" w14:paraId="7BDE0B14" w14:textId="640EC7E9">
      <w:pPr>
        <w:pStyle w:val="NormalWeb"/>
      </w:pPr>
      <w:r w:rsidRPr="007C6319">
        <w:t>The strategies adopted through the proceeding have the potential to strengthen accountability for utility spending</w:t>
      </w:r>
      <w:r w:rsidR="000B653E">
        <w:t>,</w:t>
      </w:r>
      <w:r w:rsidRPr="007C6319">
        <w:t xml:space="preserve"> support efforts to address affordability</w:t>
      </w:r>
      <w:r w:rsidR="000B653E">
        <w:t>,</w:t>
      </w:r>
      <w:r w:rsidRPr="007C6319">
        <w:t xml:space="preserve"> enable greater transparency </w:t>
      </w:r>
      <w:r w:rsidR="000B653E">
        <w:t xml:space="preserve">into utility spending for </w:t>
      </w:r>
      <w:r w:rsidRPr="007C6319">
        <w:t>intervenors and the public</w:t>
      </w:r>
      <w:r w:rsidR="000B653E">
        <w:t>,</w:t>
      </w:r>
      <w:r w:rsidRPr="007C6319">
        <w:t xml:space="preserve"> and generate a more efficient process for all parties. By consolidating details on issues impacting rates in </w:t>
      </w:r>
      <w:r w:rsidR="00854359">
        <w:t>a</w:t>
      </w:r>
      <w:r w:rsidRPr="007C6319">
        <w:t xml:space="preserve"> GRC, the updated process </w:t>
      </w:r>
      <w:r w:rsidR="00854359">
        <w:t>will</w:t>
      </w:r>
      <w:r w:rsidRPr="007C6319">
        <w:t xml:space="preserve"> equip the CPUC and intervenors who participate in GRC proceedings, such as groups representing consumers, with more complete information when considering GRCs.</w:t>
      </w:r>
    </w:p>
    <w:bookmarkEnd w:id="0"/>
    <w:p w:rsidRPr="009807E3" w:rsidR="009807E3" w:rsidP="00D85121" w:rsidRDefault="009807E3" w14:paraId="0094C45C" w14:textId="77777777">
      <w:pPr>
        <w:pStyle w:val="NormalWeb"/>
        <w:spacing w:before="0" w:beforeAutospacing="0" w:after="0" w:afterAutospacing="0"/>
        <w:rPr>
          <w:b/>
          <w:bCs/>
        </w:rPr>
      </w:pPr>
      <w:r w:rsidRPr="009807E3">
        <w:rPr>
          <w:b/>
          <w:bCs/>
        </w:rPr>
        <w:t xml:space="preserve">More Information </w:t>
      </w:r>
    </w:p>
    <w:p w:rsidRPr="00D85121" w:rsidR="009807E3" w:rsidP="00D85121" w:rsidRDefault="00D85121" w14:paraId="663DAE46" w14:textId="267C31E1">
      <w:pPr>
        <w:pStyle w:val="NormalWeb"/>
        <w:numPr>
          <w:ilvl w:val="0"/>
          <w:numId w:val="4"/>
        </w:numPr>
        <w:spacing w:before="0" w:beforeAutospacing="0" w:after="0" w:afterAutospacing="0"/>
      </w:pPr>
      <w:hyperlink w:history="1" r:id="rId13">
        <w:r w:rsidRPr="00D85121">
          <w:rPr>
            <w:rStyle w:val="Hyperlink"/>
          </w:rPr>
          <w:t>Proposal Approved</w:t>
        </w:r>
      </w:hyperlink>
    </w:p>
    <w:p w:rsidRPr="00E232E4" w:rsidR="009807E3" w:rsidP="009807E3" w:rsidRDefault="00FF2617" w14:paraId="67539DC1" w14:textId="334C8F6C">
      <w:pPr>
        <w:pStyle w:val="NormalWeb"/>
        <w:numPr>
          <w:ilvl w:val="0"/>
          <w:numId w:val="4"/>
        </w:numPr>
      </w:pPr>
      <w:hyperlink w:history="1" r:id="rId14">
        <w:r w:rsidRPr="00FF2617" w:rsidR="009807E3">
          <w:rPr>
            <w:rStyle w:val="Hyperlink"/>
          </w:rPr>
          <w:t>Fact Sheet</w:t>
        </w:r>
      </w:hyperlink>
      <w:r w:rsidRPr="00E232E4" w:rsidR="009807E3">
        <w:t xml:space="preserve"> </w:t>
      </w:r>
    </w:p>
    <w:p w:rsidRPr="00D85121" w:rsidR="009807E3" w:rsidP="009807E3" w:rsidRDefault="009807E3" w14:paraId="2B703536" w14:textId="77777777">
      <w:pPr>
        <w:pStyle w:val="NormalWeb"/>
        <w:numPr>
          <w:ilvl w:val="0"/>
          <w:numId w:val="4"/>
        </w:numPr>
      </w:pPr>
      <w:hyperlink w:history="1" r:id="rId15">
        <w:r w:rsidRPr="00D85121">
          <w:rPr>
            <w:rStyle w:val="Hyperlink"/>
          </w:rPr>
          <w:t>What is a General Rate Case (GRC)?</w:t>
        </w:r>
      </w:hyperlink>
      <w:r w:rsidRPr="00D85121">
        <w:t xml:space="preserve"> </w:t>
      </w:r>
    </w:p>
    <w:p w:rsidR="00A10054" w:rsidP="00A10054" w:rsidRDefault="00A10054" w14:paraId="5333FF05" w14:textId="77777777">
      <w:pPr>
        <w:pStyle w:val="NormalWeb"/>
        <w:jc w:val="center"/>
      </w:pPr>
      <w:r>
        <w:t>###</w:t>
      </w:r>
    </w:p>
    <w:p w:rsidRPr="00A10054" w:rsidR="00BE0F70" w:rsidP="00A10054" w:rsidRDefault="00A10054" w14:paraId="0AB61BD5" w14:textId="3ACBE5D7">
      <w:pPr>
        <w:pStyle w:val="NormalWeb"/>
        <w:rPr>
          <w:b/>
          <w:bCs/>
        </w:rPr>
      </w:pPr>
      <w:r w:rsidRPr="00A10054">
        <w:rPr>
          <w:b/>
          <w:bCs/>
        </w:rPr>
        <w:t>About the California Public Utilities Commission</w:t>
      </w:r>
      <w:r>
        <w:rPr>
          <w:b/>
          <w:bCs/>
        </w:rPr>
        <w:br/>
      </w:r>
      <w:r>
        <w:t>The CPUC regulates services and utilities, protects consumers, safeguards the environment, and assures</w:t>
      </w:r>
      <w:r>
        <w:rPr>
          <w:b/>
          <w:bCs/>
        </w:rPr>
        <w:t xml:space="preserve"> </w:t>
      </w:r>
      <w:r>
        <w:t xml:space="preserve">Californians access to safe and reliable utility infrastructure and services. Visit </w:t>
      </w:r>
      <w:hyperlink w:history="1" r:id="rId16">
        <w:r w:rsidRPr="00357E9D">
          <w:rPr>
            <w:rStyle w:val="Hyperlink"/>
          </w:rPr>
          <w:t>www.cpuc.ca.gov</w:t>
        </w:r>
      </w:hyperlink>
      <w:r>
        <w:t xml:space="preserve"> for</w:t>
      </w:r>
      <w:r>
        <w:rPr>
          <w:b/>
          <w:bCs/>
        </w:rPr>
        <w:t xml:space="preserve"> </w:t>
      </w:r>
      <w:r>
        <w:t>more information</w:t>
      </w:r>
    </w:p>
    <w:sectPr w:rsidRPr="00A10054" w:rsidR="00BE0F70" w:rsidSect="00064C9B">
      <w:headerReference w:type="even" r:id="rId17"/>
      <w:headerReference w:type="default" r:id="rId18"/>
      <w:footerReference w:type="even" r:id="rId19"/>
      <w:footerReference w:type="default" r:id="rId20"/>
      <w:headerReference w:type="first" r:id="rId21"/>
      <w:footerReference w:type="first" r:id="rId22"/>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B077" w14:textId="77777777" w:rsidR="00B237EF" w:rsidRDefault="00B237EF">
      <w:pPr>
        <w:spacing w:line="240" w:lineRule="auto"/>
      </w:pPr>
      <w:r>
        <w:separator/>
      </w:r>
    </w:p>
    <w:p w14:paraId="3EC0B746" w14:textId="77777777" w:rsidR="00B237EF" w:rsidRDefault="00B237EF"/>
  </w:endnote>
  <w:endnote w:type="continuationSeparator" w:id="0">
    <w:p w14:paraId="7BC756B0" w14:textId="77777777" w:rsidR="00B237EF" w:rsidRDefault="00B237EF">
      <w:pPr>
        <w:spacing w:line="240" w:lineRule="auto"/>
      </w:pPr>
      <w:r>
        <w:continuationSeparator/>
      </w:r>
    </w:p>
    <w:p w14:paraId="29559873" w14:textId="77777777" w:rsidR="00B237EF" w:rsidRDefault="00B23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Cambria"/>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5A877" w14:textId="77777777" w:rsidR="00BA2810" w:rsidRDefault="00BA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1B34" w14:textId="77777777" w:rsidR="00FD0A4E" w:rsidRPr="00D879A8" w:rsidRDefault="008B796C"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8240" behindDoc="1" locked="0" layoutInCell="1" allowOverlap="1" wp14:anchorId="7B2DB2D2" wp14:editId="23322724">
          <wp:simplePos x="0" y="0"/>
          <wp:positionH relativeFrom="column">
            <wp:posOffset>-686189</wp:posOffset>
          </wp:positionH>
          <wp:positionV relativeFrom="paragraph">
            <wp:posOffset>213995</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58246" behindDoc="0" locked="0" layoutInCell="1" allowOverlap="1" wp14:anchorId="56144580" wp14:editId="62BB2CE5">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21FF0D0A"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44580"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21FF0D0A"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8245" behindDoc="0" locked="0" layoutInCell="1" allowOverlap="1" wp14:anchorId="41B62E86" wp14:editId="0523A2A6">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8" style="position:absolute;margin-left:288.65pt;margin-top:13.6pt;width:12.6pt;height:12.95pt;z-index:251667456;visibility:visible;mso-wrap-style:square;mso-wrap-distance-left:9pt;mso-wrap-distance-top:0;mso-wrap-distance-right:9pt;mso-wrap-distance-bottom:0;mso-position-horizontal:absolute;mso-position-horizontal-relative:text;mso-position-vertical:absolute;mso-position-vertical-relative:text;v-text-anchor:middle" href="https://www.linkedin.com/company/CaliforniaPUC" o:spid="_x0000_s1026" o:button="t" filled="f" stroked="f" strokeweight="1pt" w14:anchorId="5B53A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4" behindDoc="0" locked="0" layoutInCell="1" allowOverlap="1" wp14:anchorId="43237739" wp14:editId="42A19308">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7" style="position:absolute;margin-left:273.65pt;margin-top:13.65pt;width:12.6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href="https://www.youtube.com/user/CaliforniaPUC" o:spid="_x0000_s1026" o:button="t" filled="f" stroked="f" strokeweight="1pt" w14:anchorId="36F84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3" behindDoc="0" locked="0" layoutInCell="1" allowOverlap="1" wp14:anchorId="4B928521" wp14:editId="4F0A1A0E">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6" style="position:absolute;margin-left:258.65pt;margin-top:13.65pt;width:12.6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href="https://www.instagram.com/CaliforniaPUC/" o:spid="_x0000_s1026" o:button="t" filled="f" stroked="f" strokeweight="1pt" w14:anchorId="4161F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2" behindDoc="0" locked="0" layoutInCell="1" allowOverlap="1" wp14:anchorId="51966779" wp14:editId="120C6560">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5" style="position:absolute;margin-left:243.7pt;margin-top:13.65pt;width:12.6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href="https://www.facebook.com/CaliforniaPUC" o:spid="_x0000_s1026" o:button="t" filled="f" stroked="f" strokeweight="1pt" w14:anchorId="64B8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8241" behindDoc="0" locked="0" layoutInCell="1" allowOverlap="1" wp14:anchorId="0099D43E" wp14:editId="28700320">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4" style="position:absolute;margin-left:228.65pt;margin-top:13.75pt;width:12.6pt;height: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href="https://twitter.com/californiapuc" o:spid="_x0000_s1026" o:button="t" filled="f" stroked="f" strokeweight="1pt" w14:anchorId="3B3F7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v:fill o:detectmouseclic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D125" w14:textId="77777777" w:rsidR="00BA2810" w:rsidRDefault="00BA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47ED" w14:textId="77777777" w:rsidR="00B237EF" w:rsidRDefault="00B237EF">
      <w:pPr>
        <w:spacing w:line="240" w:lineRule="auto"/>
      </w:pPr>
      <w:r>
        <w:separator/>
      </w:r>
    </w:p>
    <w:p w14:paraId="6B0942DC" w14:textId="77777777" w:rsidR="00B237EF" w:rsidRDefault="00B237EF"/>
  </w:footnote>
  <w:footnote w:type="continuationSeparator" w:id="0">
    <w:p w14:paraId="697CDF6D" w14:textId="77777777" w:rsidR="00B237EF" w:rsidRDefault="00B237EF">
      <w:pPr>
        <w:spacing w:line="240" w:lineRule="auto"/>
      </w:pPr>
      <w:r>
        <w:continuationSeparator/>
      </w:r>
    </w:p>
    <w:p w14:paraId="76943834" w14:textId="77777777" w:rsidR="00B237EF" w:rsidRDefault="00B23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12F2" w14:textId="77777777" w:rsidR="00BA2810" w:rsidRDefault="00BA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82A7" w14:textId="77777777" w:rsidR="008B796C" w:rsidRDefault="008B796C" w:rsidP="000E7775">
    <w:pPr>
      <w:pStyle w:val="Header"/>
      <w:ind w:firstLine="0"/>
    </w:pPr>
  </w:p>
  <w:p w14:paraId="11700648" w14:textId="77777777" w:rsidR="00FD0A4E" w:rsidRDefault="00FD0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953E" w14:textId="77777777" w:rsidR="00BA2810" w:rsidRDefault="00B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A6BF9"/>
    <w:multiLevelType w:val="hybridMultilevel"/>
    <w:tmpl w:val="211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C41B90"/>
    <w:multiLevelType w:val="hybridMultilevel"/>
    <w:tmpl w:val="33E6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4637">
    <w:abstractNumId w:val="1"/>
  </w:num>
  <w:num w:numId="2" w16cid:durableId="1083062485">
    <w:abstractNumId w:val="0"/>
  </w:num>
  <w:num w:numId="3" w16cid:durableId="773481203">
    <w:abstractNumId w:val="3"/>
  </w:num>
  <w:num w:numId="4" w16cid:durableId="201943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21"/>
    <w:rsid w:val="00000451"/>
    <w:rsid w:val="00032DF2"/>
    <w:rsid w:val="00064C9B"/>
    <w:rsid w:val="00065488"/>
    <w:rsid w:val="00067BC8"/>
    <w:rsid w:val="000925C8"/>
    <w:rsid w:val="000964E3"/>
    <w:rsid w:val="000A2A1D"/>
    <w:rsid w:val="000B035D"/>
    <w:rsid w:val="000B3734"/>
    <w:rsid w:val="000B653E"/>
    <w:rsid w:val="000D490D"/>
    <w:rsid w:val="000E0857"/>
    <w:rsid w:val="00107166"/>
    <w:rsid w:val="001103D7"/>
    <w:rsid w:val="001709AA"/>
    <w:rsid w:val="00181353"/>
    <w:rsid w:val="001D355F"/>
    <w:rsid w:val="001E476F"/>
    <w:rsid w:val="002171EF"/>
    <w:rsid w:val="00260757"/>
    <w:rsid w:val="00265714"/>
    <w:rsid w:val="002D1E41"/>
    <w:rsid w:val="002E08B7"/>
    <w:rsid w:val="002E3C91"/>
    <w:rsid w:val="00305629"/>
    <w:rsid w:val="003164F0"/>
    <w:rsid w:val="003546B1"/>
    <w:rsid w:val="00362D44"/>
    <w:rsid w:val="003B1208"/>
    <w:rsid w:val="003D5ECD"/>
    <w:rsid w:val="003E2832"/>
    <w:rsid w:val="00427583"/>
    <w:rsid w:val="00450E86"/>
    <w:rsid w:val="004629BC"/>
    <w:rsid w:val="004718FF"/>
    <w:rsid w:val="004A5BBF"/>
    <w:rsid w:val="004A77EE"/>
    <w:rsid w:val="004D06AA"/>
    <w:rsid w:val="00510E1D"/>
    <w:rsid w:val="00516C98"/>
    <w:rsid w:val="00546BD0"/>
    <w:rsid w:val="00565E23"/>
    <w:rsid w:val="005A12F2"/>
    <w:rsid w:val="005C025C"/>
    <w:rsid w:val="005E7697"/>
    <w:rsid w:val="00632C4E"/>
    <w:rsid w:val="006624D7"/>
    <w:rsid w:val="006809B6"/>
    <w:rsid w:val="00681F83"/>
    <w:rsid w:val="006905CA"/>
    <w:rsid w:val="00692673"/>
    <w:rsid w:val="006B4BF5"/>
    <w:rsid w:val="006E484B"/>
    <w:rsid w:val="00726E07"/>
    <w:rsid w:val="00754FE0"/>
    <w:rsid w:val="007C6319"/>
    <w:rsid w:val="007D055F"/>
    <w:rsid w:val="007E1B99"/>
    <w:rsid w:val="00814EA0"/>
    <w:rsid w:val="00825427"/>
    <w:rsid w:val="00854359"/>
    <w:rsid w:val="00857446"/>
    <w:rsid w:val="00881D75"/>
    <w:rsid w:val="008A0FA8"/>
    <w:rsid w:val="008B796C"/>
    <w:rsid w:val="008E25C0"/>
    <w:rsid w:val="008F553B"/>
    <w:rsid w:val="00900D0D"/>
    <w:rsid w:val="009075E3"/>
    <w:rsid w:val="009422DC"/>
    <w:rsid w:val="009423C6"/>
    <w:rsid w:val="00953372"/>
    <w:rsid w:val="00973CB7"/>
    <w:rsid w:val="009779AD"/>
    <w:rsid w:val="009807E3"/>
    <w:rsid w:val="00982B42"/>
    <w:rsid w:val="009915DC"/>
    <w:rsid w:val="00997290"/>
    <w:rsid w:val="00A10054"/>
    <w:rsid w:val="00A14A18"/>
    <w:rsid w:val="00A3512C"/>
    <w:rsid w:val="00A374D4"/>
    <w:rsid w:val="00AB48E3"/>
    <w:rsid w:val="00AB5C38"/>
    <w:rsid w:val="00B0491A"/>
    <w:rsid w:val="00B2336C"/>
    <w:rsid w:val="00B237EF"/>
    <w:rsid w:val="00B45B58"/>
    <w:rsid w:val="00B73A7E"/>
    <w:rsid w:val="00B948C7"/>
    <w:rsid w:val="00BA2810"/>
    <w:rsid w:val="00BA7C1C"/>
    <w:rsid w:val="00BE0F70"/>
    <w:rsid w:val="00BE10C4"/>
    <w:rsid w:val="00CB1DBA"/>
    <w:rsid w:val="00CD3AA8"/>
    <w:rsid w:val="00CE4FFC"/>
    <w:rsid w:val="00CE71A1"/>
    <w:rsid w:val="00D81466"/>
    <w:rsid w:val="00D85121"/>
    <w:rsid w:val="00D861FF"/>
    <w:rsid w:val="00D879A8"/>
    <w:rsid w:val="00D930D0"/>
    <w:rsid w:val="00DA1B3D"/>
    <w:rsid w:val="00E07B5E"/>
    <w:rsid w:val="00E10C42"/>
    <w:rsid w:val="00E232E4"/>
    <w:rsid w:val="00E46C3D"/>
    <w:rsid w:val="00E53723"/>
    <w:rsid w:val="00EC6158"/>
    <w:rsid w:val="00ED4CAE"/>
    <w:rsid w:val="00EF0B74"/>
    <w:rsid w:val="00F06E27"/>
    <w:rsid w:val="00F50CA0"/>
    <w:rsid w:val="00F703B4"/>
    <w:rsid w:val="00F9068E"/>
    <w:rsid w:val="00F925BD"/>
    <w:rsid w:val="00FD0A4E"/>
    <w:rsid w:val="00FF2617"/>
    <w:rsid w:val="00FF2710"/>
    <w:rsid w:val="0F4AE19B"/>
    <w:rsid w:val="7D947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B93C8"/>
  <w15:chartTrackingRefBased/>
  <w15:docId w15:val="{D934A1C5-4C5A-42C6-93A8-38A65C4216C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DC"/>
    <w:pPr>
      <w:spacing w:after="0" w:line="360" w:lineRule="auto"/>
      <w:ind w:firstLine="72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4718FF"/>
    <w:pPr>
      <w:tabs>
        <w:tab w:val="left" w:pos="4680"/>
      </w:tabs>
      <w:spacing w:line="240" w:lineRule="auto"/>
      <w:ind w:firstLine="0"/>
      <w:jc w:val="center"/>
      <w:outlineLvl w:val="0"/>
    </w:pPr>
    <w:rPr>
      <w:b/>
      <w:bCs/>
      <w:sz w:val="28"/>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980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807E3"/>
    <w:rPr>
      <w:b/>
      <w:bCs/>
    </w:rPr>
  </w:style>
  <w:style w:type="character" w:customStyle="1" w:styleId="CommentSubjectChar">
    <w:name w:val="Comment Subject Char"/>
    <w:basedOn w:val="CommentTextChar"/>
    <w:link w:val="CommentSubject"/>
    <w:uiPriority w:val="99"/>
    <w:semiHidden/>
    <w:rsid w:val="009807E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07166"/>
    <w:rPr>
      <w:color w:val="954F72" w:themeColor="followedHyperlink"/>
      <w:u w:val="single"/>
    </w:rPr>
  </w:style>
  <w:style w:type="paragraph" w:styleId="Revision">
    <w:name w:val="Revision"/>
    <w:hidden/>
    <w:uiPriority w:val="99"/>
    <w:semiHidden/>
    <w:rsid w:val="00857446"/>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cpuc.ca.gov/PublishedDocs/Published/G000/M615/K919/615919167.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puc.c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puc.ca.gov/industries-and-topics/electrical-energy/electric-rates/general-rate-cas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proda.cpuc.ca.gov/-/media/3d49a4537e2a4489af2233953ec1f62f.ashx"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10FC80E8EA7C44AD3E0D3945395AD4" ma:contentTypeVersion="11" ma:contentTypeDescription="Create a new document." ma:contentTypeScope="" ma:versionID="11a68509ecb6aec898a02359af77ee5d">
  <xsd:schema xmlns:xsd="http://www.w3.org/2001/XMLSchema" xmlns:xs="http://www.w3.org/2001/XMLSchema" xmlns:p="http://schemas.microsoft.com/office/2006/metadata/properties" xmlns:ns2="af698ff8-a920-4b49-a5f6-3b1300a2f808" xmlns:ns3="db99a4d6-c8f3-42a9-97eb-2030ef8bef78" targetNamespace="http://schemas.microsoft.com/office/2006/metadata/properties" ma:root="true" ma:fieldsID="949601b72355453bf87e3651b58252c9" ns2:_="" ns3:_="">
    <xsd:import namespace="af698ff8-a920-4b49-a5f6-3b1300a2f808"/>
    <xsd:import namespace="db99a4d6-c8f3-42a9-97eb-2030ef8bef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98ff8-a920-4b49-a5f6-3b1300a2f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9a4d6-c8f3-42a9-97eb-2030ef8bef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9fb06-918c-4d53-8e89-3cef564aab78}" ma:internalName="TaxCatchAll" ma:showField="CatchAllData" ma:web="db99a4d6-c8f3-42a9-97eb-2030ef8be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698ff8-a920-4b49-a5f6-3b1300a2f808">
      <Terms xmlns="http://schemas.microsoft.com/office/infopath/2007/PartnerControls"/>
    </lcf76f155ced4ddcb4097134ff3c332f>
    <TaxCatchAll xmlns="db99a4d6-c8f3-42a9-97eb-2030ef8bef78" xsi:nil="true"/>
  </documentManagement>
</p:properties>
</file>

<file path=customXml/itemProps1.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customXml/itemProps2.xml><?xml version="1.0" encoding="utf-8"?>
<ds:datastoreItem xmlns:ds="http://schemas.openxmlformats.org/officeDocument/2006/customXml" ds:itemID="{F30B9889-950A-44BD-919A-F24A0B8DF52D}">
  <ds:schemaRefs>
    <ds:schemaRef ds:uri="http://schemas.microsoft.com/sharepoint/v3/contenttype/forms"/>
  </ds:schemaRefs>
</ds:datastoreItem>
</file>

<file path=customXml/itemProps3.xml><?xml version="1.0" encoding="utf-8"?>
<ds:datastoreItem xmlns:ds="http://schemas.openxmlformats.org/officeDocument/2006/customXml" ds:itemID="{6BC53313-4C67-42E4-9A79-FA1428D72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98ff8-a920-4b49-a5f6-3b1300a2f808"/>
    <ds:schemaRef ds:uri="db99a4d6-c8f3-42a9-97eb-2030ef8be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FE853A-0DC4-4EC5-842E-FB3BE35C45AA}">
  <ds:schemaRefs>
    <ds:schemaRef ds:uri="http://schemas.microsoft.com/office/2006/metadata/properties"/>
    <ds:schemaRef ds:uri="http://schemas.microsoft.com/office/infopath/2007/PartnerControls"/>
    <ds:schemaRef ds:uri="af698ff8-a920-4b49-a5f6-3b1300a2f808"/>
    <ds:schemaRef ds:uri="db99a4d6-c8f3-42a9-97eb-2030ef8bef78"/>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538</ap:Words>
  <ap:Characters>3072</ap:Characters>
  <ap:Application>Microsoft Office Word</ap:Application>
  <ap:DocSecurity>0</ap:DocSecurity>
  <ap:Lines>25</ap:Lines>
  <ap:Paragraphs>7</ap:Paragraphs>
  <ap:ScaleCrop>false</ap:ScaleCrop>
  <ap:Company/>
  <ap:LinksUpToDate>false</ap:LinksUpToDate>
  <ap:CharactersWithSpaces>3603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2026-09-03T14:21:41Z</dcterms:created>
  <dcterms:modified xsi:type="dcterms:W3CDTF">2026-09-03T14:21:41Z</dcterms:modified>
</cp:coreProperties>
</file>