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Pr="0051493D" w:rsidR="00A76F4A" w:rsidP="00A76F4A" w:rsidRDefault="00A76F4A" w14:paraId="2AFEBBF1" w14:textId="29C99B95">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15CCFF16">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676034">
        <w:rPr>
          <w:rFonts w:ascii="Palatino Linotype" w:hAnsi="Palatino Linotype" w:eastAsia="Times New Roman" w:cs="Times New Roman"/>
          <w:b/>
          <w:kern w:val="0"/>
          <w14:ligatures w14:val="none"/>
        </w:rPr>
        <w:t xml:space="preserve">September </w:t>
      </w:r>
      <w:r w:rsidR="00C1528A">
        <w:rPr>
          <w:rFonts w:ascii="Palatino Linotype" w:hAnsi="Palatino Linotype" w:eastAsia="Times New Roman" w:cs="Times New Roman"/>
          <w:b/>
          <w:kern w:val="0"/>
          <w14:ligatures w14:val="none"/>
        </w:rPr>
        <w:t>17</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Approves, with modifications, an agreement to facilitate the energization of a new 250 megawatt (MW) data center load through transmission-level retail electric service for customer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The Commission approves the AL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to match the outcome in the Rule</w:t>
      </w:r>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r>
        <w:rPr>
          <w:rFonts w:ascii="Palatino Linotype" w:hAnsi="Palatino Linotype" w:eastAsia="Times New Roman" w:cs="Times New Roman"/>
          <w:kern w:val="0"/>
          <w14:ligatures w14:val="none"/>
        </w:rPr>
        <w:t xml:space="preserve">all of </w:t>
      </w:r>
      <w:r w:rsidR="00A6263C">
        <w:rPr>
          <w:rFonts w:ascii="Palatino Linotype" w:hAnsi="Palatino Linotype" w:eastAsia="Times New Roman" w:cs="Times New Roman"/>
          <w:kern w:val="0"/>
          <w14:ligatures w14:val="none"/>
        </w:rPr>
        <w:t>Marin county</w:t>
      </w:r>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and about half the overall average demand of San Mateo county.</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submitted an application on March 3, 2025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and</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continue into the future.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2026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available, but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implicate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responsibility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paced too quickly relative to net revenues actually received,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Mostly driven by the datacenter load, the long term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refund amount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th</w:t>
      </w:r>
      <w:r w:rsidR="005E3082">
        <w:rPr>
          <w:rFonts w:ascii="Palatino Linotype" w:hAnsi="Palatino Linotype" w:eastAsia="Palatino Linotype" w:cs="Times New Roman"/>
          <w:kern w:val="0"/>
          <w14:ligatures w14:val="none"/>
        </w:rPr>
        <w:t>e Rule 30</w:t>
      </w:r>
      <w:r w:rsidR="00C07F73">
        <w:rPr>
          <w:rFonts w:ascii="Palatino Linotype" w:hAnsi="Palatino Linotype" w:eastAsia="Palatino Linotype" w:cs="Times New Roman"/>
          <w:kern w:val="0"/>
          <w14:ligatures w14:val="none"/>
        </w:rPr>
        <w:t xml:space="preserve"> proceeding</w:t>
      </w:r>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argues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the Commission should require modifications similar to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actually cover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annual net revenues” means the revenues actually received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paced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r w:rsidR="00DE55CA">
        <w:rPr>
          <w:rFonts w:ascii="Palatino Linotype" w:hAnsi="Palatino Linotype" w:eastAsia="Palatino Linotype" w:cs="Times New Roman"/>
          <w:kern w:val="0"/>
          <w14:ligatures w14:val="none"/>
        </w:rPr>
        <w:t>an additional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further limit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refunds to revenues actually received—reducing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actually received,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actually received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We make one additional modification to the standard BARC process here. Under the standard process, if a customer’s expected future net revenues are not enough to justify the costs of their energization, they are charged an additional fee to cover PG&amp;E’s cost of ownership. In light of the modifications we adopt here intentionally limiting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engineering</w:t>
      </w:r>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e approve PG&amp;E’s recovery of reasonable oversight and supplemental costs in general, but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protections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Imel requests that PG&amp;E provide a redacted version of the agreement and additional public detail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it corresponds with the outcome in the Rule 30 Proceeding</w:t>
      </w:r>
      <w:r w:rsidR="001D4311">
        <w:rPr>
          <w:rFonts w:ascii="Palatino Linotype" w:hAnsi="Palatino Linotype" w:eastAsia="Palatino Linotype" w:cs="Times New Roman"/>
          <w:kern w:val="0"/>
          <w14:ligatures w14:val="none"/>
        </w:rPr>
        <w:t xml:space="preserve"> and submit it to the Commission for approval via a Tier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be recovered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they so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Cal Advocates supports the Resolution’s finding that additional ratepayer protections are necessary</w:t>
      </w:r>
      <w:r w:rsidR="00D53CEC">
        <w:rPr>
          <w:rFonts w:ascii="Palatino Linotype" w:hAnsi="Palatino Linotype" w:eastAsia="Palatino Linotype" w:cs="Times New Roman"/>
          <w:kern w:val="0"/>
          <w14:ligatures w14:val="none"/>
        </w:rPr>
        <w:t xml:space="preserve">, and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is both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customer, </w:t>
      </w:r>
      <w:r w:rsidR="00FA26D6">
        <w:rPr>
          <w:rFonts w:ascii="Palatino Linotype" w:hAnsi="Palatino Linotype" w:eastAsia="Palatino Linotype" w:cs="Times New Roman"/>
          <w:kern w:val="0"/>
          <w14:ligatures w14:val="none"/>
        </w:rPr>
        <w:t>and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a defined,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Advocates, and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PG&amp;E filed Advice Letter (AL) 7785-E on December 18, 2025, requesting Commission approval of an agreement with Google LLC (Google) to energize a new 250 megawatt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actually cover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to correspond to the outcome of the Rule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actually received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in implementing refunds and to extend the refund eligibility period from 10 years to 15 years so that the customer may still receive a full refund over time while annual refunds are paced to net revenues actually received.</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protection, but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The findings and conclusions in this Resolution should in no way prejudice the ongoing deliberation in the Rule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Therefore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all of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569A457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San Francisco</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AB3EF" w14:textId="77777777" w:rsidR="00656999" w:rsidRDefault="00656999" w:rsidP="00A76F4A">
      <w:pPr>
        <w:spacing w:after="0" w:line="240" w:lineRule="auto"/>
      </w:pPr>
      <w:r>
        <w:separator/>
      </w:r>
    </w:p>
  </w:endnote>
  <w:endnote w:type="continuationSeparator" w:id="0">
    <w:p w14:paraId="2F8A9774" w14:textId="77777777" w:rsidR="00656999" w:rsidRDefault="00656999" w:rsidP="00A76F4A">
      <w:pPr>
        <w:spacing w:after="0" w:line="240" w:lineRule="auto"/>
      </w:pPr>
      <w:r>
        <w:continuationSeparator/>
      </w:r>
    </w:p>
  </w:endnote>
  <w:endnote w:type="continuationNotice" w:id="1">
    <w:p w14:paraId="3DE867A0" w14:textId="77777777" w:rsidR="00656999" w:rsidRDefault="006569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74F7" w14:textId="77777777" w:rsidR="00B1326D" w:rsidRDefault="00B13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2874A6BD" w:rsidR="004A7A4C" w:rsidRPr="004A7A4C" w:rsidRDefault="00B1326D" w:rsidP="004A7A4C">
        <w:pPr>
          <w:pStyle w:val="Footer"/>
          <w:rPr>
            <w:rFonts w:ascii="Palatino Linotype" w:hAnsi="Palatino Linotype"/>
          </w:rPr>
        </w:pPr>
        <w:r w:rsidRPr="00B1326D">
          <w:rPr>
            <w:rFonts w:ascii="Tahoma" w:hAnsi="Tahoma" w:cs="Tahoma"/>
            <w:sz w:val="16"/>
            <w:szCs w:val="22"/>
          </w:rPr>
          <w:t>617684613</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DA38B" w14:textId="77777777" w:rsidR="00656999" w:rsidRDefault="00656999" w:rsidP="00A76F4A">
      <w:pPr>
        <w:spacing w:after="0" w:line="240" w:lineRule="auto"/>
      </w:pPr>
      <w:r>
        <w:separator/>
      </w:r>
    </w:p>
  </w:footnote>
  <w:footnote w:type="continuationSeparator" w:id="0">
    <w:p w14:paraId="6BEA4552" w14:textId="77777777" w:rsidR="00656999" w:rsidRDefault="00656999" w:rsidP="00A76F4A">
      <w:pPr>
        <w:spacing w:after="0" w:line="240" w:lineRule="auto"/>
      </w:pPr>
      <w:r>
        <w:continuationSeparator/>
      </w:r>
    </w:p>
  </w:footnote>
  <w:footnote w:type="continuationNotice" w:id="1">
    <w:p w14:paraId="5EA0D973" w14:textId="77777777" w:rsidR="00656999" w:rsidRDefault="00656999">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255B" w14:textId="77777777" w:rsidR="00B1326D" w:rsidRDefault="00B13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268D661E"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676034" w:rsidRPr="00676034">
      <w:rPr>
        <w:rFonts w:ascii="Palatino Linotype" w:eastAsia="Times New Roman" w:hAnsi="Palatino Linotype" w:cs="Times New Roman"/>
        <w:bCs/>
        <w:kern w:val="0"/>
        <w14:ligatures w14:val="none"/>
      </w:rPr>
      <w:t>September</w:t>
    </w:r>
    <w:r w:rsidR="00676034" w:rsidRPr="00676034">
      <w:rPr>
        <w:rFonts w:ascii="Palatino Linotype" w:hAnsi="Palatino Linotype"/>
        <w:bCs/>
      </w:rPr>
      <w:t xml:space="preserve"> </w:t>
    </w:r>
    <w:r w:rsidR="00C1528A">
      <w:rPr>
        <w:rFonts w:ascii="Palatino Linotype" w:hAnsi="Palatino Linotype"/>
      </w:rPr>
      <w:t>17</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733"/>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43A3"/>
    <w:rsid w:val="002E4762"/>
    <w:rsid w:val="002E47A2"/>
    <w:rsid w:val="002E68FB"/>
    <w:rsid w:val="002E6BBB"/>
    <w:rsid w:val="002E6C33"/>
    <w:rsid w:val="002F0CBF"/>
    <w:rsid w:val="002F5FB0"/>
    <w:rsid w:val="002F796F"/>
    <w:rsid w:val="003011C0"/>
    <w:rsid w:val="003012ED"/>
    <w:rsid w:val="0030494A"/>
    <w:rsid w:val="003052AB"/>
    <w:rsid w:val="0030547C"/>
    <w:rsid w:val="0030610D"/>
    <w:rsid w:val="0030737B"/>
    <w:rsid w:val="00307EEC"/>
    <w:rsid w:val="00311206"/>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7C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0590"/>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5699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C14F4"/>
    <w:rsid w:val="006C20FE"/>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6927"/>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C63EC"/>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26D"/>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528A"/>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3F54"/>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1AD9"/>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C7DA9"/>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5180"/>
    <w:rsid w:val="00E467F3"/>
    <w:rsid w:val="00E50E44"/>
    <w:rsid w:val="00E51BEC"/>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4.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9862</ap:Words>
  <ap:Characters>56216</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65947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2026-09-04T11:17:57Z</dcterms:created>
  <dcterms:modified xsi:type="dcterms:W3CDTF">2026-09-04T11:17:57Z</dcterms:modified>
</cp:coreProperties>
</file>