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5FC3" w:rsidP="00BC5FC3" w:rsidRDefault="00D25BBA" w14:paraId="3BA31982" w14:textId="466D9410">
      <w:pPr>
        <w:tabs>
          <w:tab w:val="center" w:pos="4680"/>
          <w:tab w:val="right" w:pos="9360"/>
        </w:tabs>
        <w:spacing w:line="240" w:lineRule="auto"/>
        <w:ind w:firstLine="0"/>
        <w:rPr>
          <w:b/>
        </w:rPr>
      </w:pPr>
      <w:r w:rsidRPr="00D25BBA">
        <w:rPr>
          <w:bCs/>
        </w:rPr>
        <w:t>ALJ/DBB/vhj</w:t>
      </w:r>
      <w:r w:rsidRPr="00D25BBA">
        <w:rPr>
          <w:bCs/>
        </w:rPr>
        <w:tab/>
      </w:r>
      <w:r w:rsidRPr="00D25BBA">
        <w:rPr>
          <w:rFonts w:ascii="Arial" w:hAnsi="Arial" w:cs="Arial"/>
          <w:b/>
          <w:sz w:val="32"/>
          <w:szCs w:val="32"/>
        </w:rPr>
        <w:t>PROPOSED DECISION</w:t>
      </w:r>
      <w:r w:rsidRPr="00D25BBA" w:rsidR="00BC5FC3">
        <w:rPr>
          <w:rFonts w:ascii="Arial" w:hAnsi="Arial" w:cs="Arial"/>
          <w:b/>
          <w:sz w:val="32"/>
          <w:szCs w:val="32"/>
        </w:rPr>
        <w:tab/>
      </w:r>
      <w:r w:rsidRPr="00D25BBA" w:rsidR="00BC5FC3">
        <w:rPr>
          <w:b/>
        </w:rPr>
        <w:t>Agenda ID #</w:t>
      </w:r>
      <w:r w:rsidRPr="00B06ABD" w:rsidR="00B06ABD">
        <w:rPr>
          <w:b/>
        </w:rPr>
        <w:t>24485</w:t>
      </w:r>
    </w:p>
    <w:p w:rsidRPr="00D25BBA" w:rsidR="00255B87" w:rsidP="00255B87" w:rsidRDefault="00255B87" w14:paraId="7A6DDFC6" w14:textId="3F821B23">
      <w:pPr>
        <w:tabs>
          <w:tab w:val="center" w:pos="4680"/>
          <w:tab w:val="right" w:pos="9360"/>
        </w:tabs>
        <w:spacing w:line="240" w:lineRule="auto"/>
        <w:ind w:firstLine="0"/>
        <w:jc w:val="right"/>
        <w:rPr>
          <w:bCs/>
        </w:rPr>
      </w:pPr>
      <w:r>
        <w:rPr>
          <w:b/>
        </w:rPr>
        <w:t>Quasi-Legislative</w:t>
      </w:r>
    </w:p>
    <w:p w:rsidRPr="00D25BBA" w:rsidR="00D73DE9" w:rsidP="008356AC" w:rsidRDefault="00D73DE9" w14:paraId="1AE4941C" w14:textId="77777777">
      <w:pPr>
        <w:spacing w:line="240" w:lineRule="auto"/>
        <w:ind w:firstLine="0"/>
      </w:pPr>
    </w:p>
    <w:p w:rsidR="00D73DE9" w:rsidP="008356AC" w:rsidRDefault="00D73DE9" w14:paraId="3DC3AE50" w14:textId="35269663">
      <w:pPr>
        <w:spacing w:line="240" w:lineRule="auto"/>
        <w:ind w:firstLine="0"/>
      </w:pPr>
      <w:r>
        <w:t>Decision __________</w:t>
      </w:r>
    </w:p>
    <w:p w:rsidR="00B02F0F" w:rsidP="008356AC" w:rsidRDefault="00B02F0F" w14:paraId="2EF0EF88" w14:textId="77777777">
      <w:pPr>
        <w:spacing w:line="240" w:lineRule="auto"/>
        <w:ind w:firstLine="0"/>
      </w:pPr>
    </w:p>
    <w:p w:rsidR="008356AC" w:rsidP="008356AC" w:rsidRDefault="008356AC" w14:paraId="6BF22CBA" w14:textId="77777777">
      <w:pPr>
        <w:spacing w:line="240" w:lineRule="auto"/>
        <w:ind w:firstLine="0"/>
      </w:pPr>
    </w:p>
    <w:p w:rsidR="00580084" w:rsidP="00471F88" w:rsidRDefault="00580084" w14:paraId="09411CC4" w14:textId="77777777">
      <w:pPr>
        <w:spacing w:line="240" w:lineRule="auto"/>
        <w:ind w:firstLine="0"/>
        <w:jc w:val="center"/>
        <w:rPr>
          <w:rFonts w:ascii="Arial" w:hAnsi="Arial" w:cs="Arial"/>
          <w:sz w:val="24"/>
          <w:szCs w:val="24"/>
        </w:rPr>
      </w:pPr>
      <w:r>
        <w:rPr>
          <w:rFonts w:ascii="Arial" w:hAnsi="Arial" w:cs="Arial"/>
          <w:b/>
          <w:sz w:val="24"/>
          <w:szCs w:val="24"/>
        </w:rPr>
        <w:t>BEFORE THE PUBLIC UTILITIES COMMISSION OF THE STATE OF CALIFORNIA</w:t>
      </w:r>
    </w:p>
    <w:p w:rsidR="00580084" w:rsidP="00471F88" w:rsidRDefault="00580084" w14:paraId="21F94C51" w14:textId="77777777">
      <w:pPr>
        <w:spacing w:line="240" w:lineRule="auto"/>
        <w:ind w:firstLine="0"/>
        <w:rPr>
          <w:rFonts w:ascii="Arial" w:hAnsi="Arial" w:cs="Arial"/>
          <w:sz w:val="24"/>
          <w:szCs w:val="24"/>
        </w:rPr>
      </w:pPr>
    </w:p>
    <w:tbl>
      <w:tblPr>
        <w:tblStyle w:val="TableGrid"/>
        <w:tblW w:w="9360" w:type="dxa"/>
        <w:tblInd w:w="0" w:type="dxa"/>
        <w:tblLayout w:type="fixed"/>
        <w:tblLook w:val="04A0" w:firstRow="1" w:lastRow="0" w:firstColumn="1" w:lastColumn="0" w:noHBand="0" w:noVBand="1"/>
      </w:tblPr>
      <w:tblGrid>
        <w:gridCol w:w="4680"/>
        <w:gridCol w:w="4680"/>
      </w:tblGrid>
      <w:tr w:rsidR="00580084" w:rsidTr="00AF4212" w14:paraId="0F9DA1F8" w14:textId="77777777">
        <w:tc>
          <w:tcPr>
            <w:tcW w:w="5040" w:type="dxa"/>
            <w:tcBorders>
              <w:top w:val="nil"/>
              <w:left w:val="nil"/>
              <w:bottom w:val="single" w:color="auto" w:sz="4" w:space="0"/>
              <w:right w:val="single" w:color="auto" w:sz="4" w:space="0"/>
            </w:tcBorders>
          </w:tcPr>
          <w:p w:rsidR="00580084" w:rsidP="003A0810" w:rsidRDefault="00580084" w14:paraId="51A5182D" w14:textId="77777777">
            <w:pPr>
              <w:spacing w:line="240" w:lineRule="auto"/>
              <w:ind w:firstLine="0"/>
              <w:rPr>
                <w:rFonts w:cs="Arial"/>
                <w:szCs w:val="26"/>
              </w:rPr>
            </w:pPr>
            <w:r>
              <w:rPr>
                <w:rFonts w:cs="Arial"/>
                <w:szCs w:val="26"/>
              </w:rPr>
              <w:t>Order Instituting Rulemaking</w:t>
            </w:r>
            <w:r w:rsidR="003A0810">
              <w:rPr>
                <w:rFonts w:cs="Arial"/>
                <w:szCs w:val="26"/>
              </w:rPr>
              <w:t xml:space="preserve"> </w:t>
            </w:r>
            <w:r w:rsidR="00D457C8">
              <w:rPr>
                <w:rFonts w:cs="Arial"/>
                <w:szCs w:val="26"/>
              </w:rPr>
              <w:t>to</w:t>
            </w:r>
            <w:r w:rsidR="003E0D10">
              <w:rPr>
                <w:rFonts w:cs="Arial"/>
                <w:szCs w:val="26"/>
              </w:rPr>
              <w:t xml:space="preserve"> Implement Assembly Bill 825</w:t>
            </w:r>
            <w:r w:rsidR="00D457C8">
              <w:rPr>
                <w:rFonts w:cs="Arial"/>
                <w:szCs w:val="26"/>
              </w:rPr>
              <w:t xml:space="preserve"> Related to </w:t>
            </w:r>
            <w:r w:rsidR="00722FD8">
              <w:rPr>
                <w:rFonts w:cs="Arial"/>
                <w:szCs w:val="26"/>
              </w:rPr>
              <w:t xml:space="preserve">Independent </w:t>
            </w:r>
            <w:r w:rsidR="00D457C8">
              <w:rPr>
                <w:rFonts w:cs="Arial"/>
                <w:szCs w:val="26"/>
              </w:rPr>
              <w:t>Regional</w:t>
            </w:r>
            <w:r w:rsidR="007A034C">
              <w:rPr>
                <w:rFonts w:cs="Arial"/>
                <w:szCs w:val="26"/>
              </w:rPr>
              <w:t xml:space="preserve"> Organization.</w:t>
            </w:r>
          </w:p>
          <w:p w:rsidR="00F74B41" w:rsidP="003A0810" w:rsidRDefault="00F74B41" w14:paraId="15AE8198" w14:textId="6EB80005">
            <w:pPr>
              <w:spacing w:line="240" w:lineRule="auto"/>
              <w:ind w:firstLine="0"/>
              <w:rPr>
                <w:rFonts w:cs="Arial"/>
                <w:szCs w:val="26"/>
              </w:rPr>
            </w:pPr>
          </w:p>
        </w:tc>
        <w:tc>
          <w:tcPr>
            <w:tcW w:w="5040" w:type="dxa"/>
            <w:tcBorders>
              <w:top w:val="nil"/>
              <w:left w:val="single" w:color="auto" w:sz="4" w:space="0"/>
              <w:bottom w:val="nil"/>
              <w:right w:val="nil"/>
            </w:tcBorders>
            <w:vAlign w:val="center"/>
            <w:hideMark/>
          </w:tcPr>
          <w:p w:rsidR="00580084" w:rsidP="00471F88" w:rsidRDefault="00392880" w14:paraId="267FCB0E" w14:textId="7079DF2C">
            <w:pPr>
              <w:spacing w:line="240" w:lineRule="auto"/>
              <w:ind w:firstLine="0"/>
              <w:jc w:val="center"/>
              <w:rPr>
                <w:rFonts w:cs="Arial"/>
                <w:szCs w:val="26"/>
              </w:rPr>
            </w:pPr>
            <w:r>
              <w:rPr>
                <w:rFonts w:cs="Arial"/>
                <w:szCs w:val="26"/>
              </w:rPr>
              <w:t>R</w:t>
            </w:r>
            <w:r w:rsidR="009014FC">
              <w:rPr>
                <w:rFonts w:cs="Arial"/>
                <w:szCs w:val="26"/>
              </w:rPr>
              <w:t xml:space="preserve">ulemaking </w:t>
            </w:r>
            <w:r>
              <w:rPr>
                <w:rFonts w:cs="Arial"/>
                <w:szCs w:val="26"/>
              </w:rPr>
              <w:t>______</w:t>
            </w:r>
            <w:r w:rsidR="009014FC">
              <w:rPr>
                <w:rFonts w:cs="Arial"/>
                <w:szCs w:val="26"/>
              </w:rPr>
              <w:t>____</w:t>
            </w:r>
          </w:p>
        </w:tc>
      </w:tr>
    </w:tbl>
    <w:p w:rsidR="00580084" w:rsidP="00471F88" w:rsidRDefault="00580084" w14:paraId="2D5B5E51" w14:textId="77777777">
      <w:pPr>
        <w:spacing w:line="240" w:lineRule="auto"/>
        <w:ind w:firstLine="0"/>
        <w:rPr>
          <w:rFonts w:ascii="Arial" w:hAnsi="Arial" w:cs="Arial"/>
          <w:sz w:val="24"/>
          <w:szCs w:val="24"/>
        </w:rPr>
      </w:pPr>
    </w:p>
    <w:p w:rsidR="00580084" w:rsidP="00471F88" w:rsidRDefault="00580084" w14:paraId="253E1E3F" w14:textId="77777777">
      <w:pPr>
        <w:spacing w:line="240" w:lineRule="auto"/>
        <w:ind w:firstLine="0"/>
        <w:rPr>
          <w:rFonts w:ascii="Arial" w:hAnsi="Arial" w:cs="Arial"/>
          <w:sz w:val="24"/>
          <w:szCs w:val="24"/>
        </w:rPr>
      </w:pPr>
    </w:p>
    <w:p w:rsidR="00580084" w:rsidP="00B02F0F" w:rsidRDefault="00580084" w14:paraId="5B1B220A" w14:textId="1F6DA2B8">
      <w:pPr>
        <w:pStyle w:val="Dummy"/>
        <w:spacing w:after="0"/>
        <w:jc w:val="center"/>
      </w:pPr>
      <w:r>
        <w:t>ORDER INSTITUTING RULEMAKING</w:t>
      </w:r>
    </w:p>
    <w:p w:rsidRPr="00B02F0F" w:rsidR="00B02F0F" w:rsidP="00B02F0F" w:rsidRDefault="00B02F0F" w14:paraId="6E4B6147" w14:textId="77777777">
      <w:pPr>
        <w:spacing w:line="240" w:lineRule="auto"/>
        <w:ind w:firstLine="0"/>
      </w:pPr>
    </w:p>
    <w:p w:rsidR="00580084" w:rsidP="00B02F0F" w:rsidRDefault="00580084" w14:paraId="3AF5BA97" w14:textId="77777777">
      <w:pPr>
        <w:pStyle w:val="Dummy"/>
      </w:pPr>
      <w:bookmarkStart w:name="_Toc8123714" w:id="0"/>
      <w:bookmarkStart w:name="_Toc12866683" w:id="1"/>
      <w:r>
        <w:t>Summary</w:t>
      </w:r>
      <w:bookmarkEnd w:id="0"/>
      <w:bookmarkEnd w:id="1"/>
    </w:p>
    <w:p w:rsidR="00EC7A03" w:rsidP="00EC7A03" w:rsidRDefault="00580084" w14:paraId="17956715" w14:textId="623FAB3C">
      <w:pPr>
        <w:pStyle w:val="Standard"/>
      </w:pPr>
      <w:r>
        <w:t>Th</w:t>
      </w:r>
      <w:r w:rsidR="00477DC3">
        <w:t xml:space="preserve">e </w:t>
      </w:r>
      <w:r w:rsidR="00EC7A03">
        <w:t xml:space="preserve">California Public Utilities </w:t>
      </w:r>
      <w:r w:rsidR="00477DC3">
        <w:t xml:space="preserve">Commission </w:t>
      </w:r>
      <w:r w:rsidR="00EC7A03">
        <w:t xml:space="preserve">(Commission) </w:t>
      </w:r>
      <w:r w:rsidR="00477DC3">
        <w:t xml:space="preserve">opens this Order Instituting Rulemaking to implement Assembly Bill (AB) 825 (Petrie-Norris, 2025).  AB 825 provides for the </w:t>
      </w:r>
      <w:r w:rsidR="000838FE">
        <w:t xml:space="preserve">California </w:t>
      </w:r>
      <w:r w:rsidR="00477DC3">
        <w:t xml:space="preserve">Independent System Operator </w:t>
      </w:r>
      <w:r w:rsidR="00EC7A03">
        <w:t>to operate regional electricity markets on behalf of a new,</w:t>
      </w:r>
      <w:r w:rsidR="00477DC3">
        <w:t xml:space="preserve"> regional organization</w:t>
      </w:r>
      <w:r w:rsidR="00A97725">
        <w:t xml:space="preserve">.  </w:t>
      </w:r>
      <w:r w:rsidRPr="009C389A" w:rsidR="00EC7A03">
        <w:t>AB 825</w:t>
      </w:r>
      <w:r w:rsidR="00EC7A03">
        <w:t xml:space="preserve"> also </w:t>
      </w:r>
      <w:r w:rsidRPr="009C389A" w:rsidR="00EC7A03">
        <w:t xml:space="preserve">requires the Commission to make a determination through a formal decision </w:t>
      </w:r>
      <w:r w:rsidR="00EC7A03">
        <w:t xml:space="preserve">that certain </w:t>
      </w:r>
      <w:r w:rsidRPr="009C389A" w:rsidR="00EC7A03">
        <w:t xml:space="preserve">requirements have been satisfied before an electrical corporation can participate in an energy market governed by an independent </w:t>
      </w:r>
      <w:r w:rsidR="00EC7A03">
        <w:t>regional operator</w:t>
      </w:r>
      <w:r w:rsidRPr="009C389A" w:rsidR="00EC7A03">
        <w:t>.</w:t>
      </w:r>
      <w:r w:rsidR="00EC7A03">
        <w:t xml:space="preserve">  AB 825 maintains the Commission’s authority to direct an electrical corporation to withdraw from an energy market governed by an independent regional operator.</w:t>
      </w:r>
    </w:p>
    <w:p w:rsidR="00865BB2" w:rsidP="00471F88" w:rsidRDefault="00580084" w14:paraId="1D768492" w14:textId="1834B9B1">
      <w:pPr>
        <w:pStyle w:val="Standard"/>
      </w:pPr>
      <w:r>
        <w:t>Comments on preliminary matters pertaining to the scope, schedule, and administration of the proceeding are due no later than 20 days after the issuance of this Order Instituting Rulemaking.  Reply comments may be filed no later than 30 days after the issuance of this Order</w:t>
      </w:r>
      <w:r w:rsidR="00486A01">
        <w:t xml:space="preserve"> Instituting Rulemaking</w:t>
      </w:r>
      <w:r>
        <w:t>.</w:t>
      </w:r>
    </w:p>
    <w:p w:rsidR="00580084" w:rsidP="00B02F0F" w:rsidRDefault="00580084" w14:paraId="17717D67" w14:textId="0CD689F0">
      <w:pPr>
        <w:pStyle w:val="Heading1"/>
      </w:pPr>
      <w:r>
        <w:lastRenderedPageBreak/>
        <w:t>Background</w:t>
      </w:r>
    </w:p>
    <w:p w:rsidR="00A86600" w:rsidP="00A97725" w:rsidRDefault="00ED49D9" w14:paraId="79D4F5EB" w14:textId="161B8A32">
      <w:pPr>
        <w:pStyle w:val="Standard"/>
      </w:pPr>
      <w:r>
        <w:t>On September 19, 2025</w:t>
      </w:r>
      <w:r w:rsidR="003E0D10">
        <w:t xml:space="preserve">, the Governor </w:t>
      </w:r>
      <w:r w:rsidR="00633412">
        <w:t xml:space="preserve">signed </w:t>
      </w:r>
      <w:r w:rsidR="00F06BF9">
        <w:t>Assembly Bill (</w:t>
      </w:r>
      <w:r w:rsidR="00633412">
        <w:t>AB</w:t>
      </w:r>
      <w:r w:rsidR="00F06BF9">
        <w:t>)</w:t>
      </w:r>
      <w:r w:rsidR="00633412">
        <w:t xml:space="preserve"> 825</w:t>
      </w:r>
      <w:r>
        <w:t xml:space="preserve">, which authorizes the </w:t>
      </w:r>
      <w:r w:rsidR="00F06BF9">
        <w:t>California Independent System Operator (</w:t>
      </w:r>
      <w:r w:rsidR="000838FE">
        <w:t>CAISO</w:t>
      </w:r>
      <w:r w:rsidR="00362B2B">
        <w:t xml:space="preserve"> or ISO</w:t>
      </w:r>
      <w:r w:rsidR="00F06BF9">
        <w:t>)</w:t>
      </w:r>
      <w:r>
        <w:t xml:space="preserve"> </w:t>
      </w:r>
      <w:r w:rsidR="00A97725">
        <w:t xml:space="preserve">and the electrical corporations that are participating transmission owners whose transmission systems are operated by the CAISO to use </w:t>
      </w:r>
      <w:r w:rsidR="00EC7A03">
        <w:t xml:space="preserve">a </w:t>
      </w:r>
      <w:r w:rsidR="00A97725">
        <w:t>voluntary energy market</w:t>
      </w:r>
      <w:r w:rsidR="00EC7A03">
        <w:t xml:space="preserve"> governed by an independent regional organization (RO),</w:t>
      </w:r>
      <w:r w:rsidR="00A97725">
        <w:t xml:space="preserve"> if specified requirements are satisfied.  AB 825 requires the Commission to make a determination through a formal decision that the specified requirements have been satisfied before an electrical corporation can participate in an energy market governed by an independent </w:t>
      </w:r>
      <w:r w:rsidR="00A86600">
        <w:t>RO</w:t>
      </w:r>
      <w:r w:rsidR="00A97725">
        <w:t xml:space="preserve">.  </w:t>
      </w:r>
      <w:r w:rsidR="003E0D10">
        <w:t xml:space="preserve">AB 825 </w:t>
      </w:r>
      <w:r w:rsidR="00A97725">
        <w:t>authorizes the CAISO, on or after January 1, 2028, to implement tariff modifications accepted by the Federal Energy Regulatory Commission (FERC) to operate the energy markets whose rules are governed by the independent RO</w:t>
      </w:r>
      <w:r w:rsidR="00A86600">
        <w:t>, if the CAISO governing board has adopted a resolution finding that the specified requirements have been adopted by the RO.</w:t>
      </w:r>
      <w:r w:rsidR="00A97725">
        <w:t xml:space="preserve"> </w:t>
      </w:r>
    </w:p>
    <w:p w:rsidR="00006436" w:rsidP="00A86600" w:rsidRDefault="00EC7A03" w14:paraId="77FC4201" w14:textId="1408059B">
      <w:pPr>
        <w:pStyle w:val="Standard"/>
      </w:pPr>
      <w:r>
        <w:t xml:space="preserve">AB 825 maintains the Commission’s authority to direct an electrical corporation to withdraw from an energy market governed by an RO.  AB 825 also maintains that the Commission has authority over an electrical corporation’s participation in any additional products or services offered by the RO.  </w:t>
      </w:r>
      <w:r w:rsidR="00A86600">
        <w:t xml:space="preserve">AB 825 </w:t>
      </w:r>
      <w:r>
        <w:t>further</w:t>
      </w:r>
      <w:r w:rsidR="00A86600">
        <w:t xml:space="preserve"> requires </w:t>
      </w:r>
      <w:r w:rsidR="003E0D10">
        <w:t xml:space="preserve">the </w:t>
      </w:r>
      <w:r w:rsidR="000838FE">
        <w:t xml:space="preserve">Commission and </w:t>
      </w:r>
      <w:r w:rsidR="00A86600">
        <w:t xml:space="preserve">the </w:t>
      </w:r>
      <w:r w:rsidR="000838FE">
        <w:t xml:space="preserve">California Energy Commission (CEC) </w:t>
      </w:r>
      <w:r w:rsidR="003E0D10">
        <w:t>to coordinate to revise any relevant rules or guidance to ensure that the transition to a</w:t>
      </w:r>
      <w:r w:rsidR="00C2706E">
        <w:t>n</w:t>
      </w:r>
      <w:r w:rsidR="003E0D10">
        <w:t xml:space="preserve"> energy market governed by the </w:t>
      </w:r>
      <w:r w:rsidR="000838FE">
        <w:t>CAISO</w:t>
      </w:r>
      <w:r w:rsidR="003E0D10">
        <w:t xml:space="preserve"> or the </w:t>
      </w:r>
      <w:r w:rsidR="00C2706E">
        <w:t>RO</w:t>
      </w:r>
      <w:r w:rsidR="003E0D10">
        <w:t xml:space="preserve"> does not expand the types of transactions that meet the portfolio content category requirements, as compared to the transactions that would meet those requirements on December 31, 2025.     </w:t>
      </w:r>
    </w:p>
    <w:p w:rsidR="00580084" w:rsidP="00471F88" w:rsidRDefault="00580084" w14:paraId="2A8D8F90" w14:textId="1501184A">
      <w:pPr>
        <w:pStyle w:val="Heading1"/>
        <w:keepLines w:val="0"/>
      </w:pPr>
      <w:r>
        <w:lastRenderedPageBreak/>
        <w:t>Preliminary Scoping Memo</w:t>
      </w:r>
    </w:p>
    <w:p w:rsidR="00500BCA" w:rsidP="00324835" w:rsidRDefault="00580084" w14:paraId="31A122BE" w14:textId="6F4BF3D1">
      <w:pPr>
        <w:pStyle w:val="Standard"/>
      </w:pPr>
      <w:r>
        <w:t xml:space="preserve">As required by </w:t>
      </w:r>
      <w:r w:rsidR="00E74658">
        <w:t>Rule </w:t>
      </w:r>
      <w:r>
        <w:t xml:space="preserve">7.1(d) of the Commission’s </w:t>
      </w:r>
      <w:r w:rsidRPr="00E80B04">
        <w:t xml:space="preserve">Rules of Practice and Procedure </w:t>
      </w:r>
      <w:r>
        <w:t>(</w:t>
      </w:r>
      <w:r w:rsidRPr="00E80B04">
        <w:t>Rules</w:t>
      </w:r>
      <w:r>
        <w:t xml:space="preserve">), this </w:t>
      </w:r>
      <w:r w:rsidRPr="00E80B04">
        <w:t xml:space="preserve">Order Instituting Rulemaking </w:t>
      </w:r>
      <w:r>
        <w:t>(</w:t>
      </w:r>
      <w:r w:rsidRPr="00E80B04">
        <w:t>OIR</w:t>
      </w:r>
      <w:r>
        <w:t>) includes a preliminary Scoping Memo</w:t>
      </w:r>
      <w:r w:rsidR="00500BCA">
        <w:t xml:space="preserve"> as set forth below, and preliminar</w:t>
      </w:r>
      <w:r w:rsidR="00C2706E">
        <w:t>il</w:t>
      </w:r>
      <w:r w:rsidR="00500BCA">
        <w:t>y determines the category of this proceeding and the need for hearing</w:t>
      </w:r>
      <w:r>
        <w:t xml:space="preserve">.  </w:t>
      </w:r>
    </w:p>
    <w:p w:rsidR="00324835" w:rsidP="00324835" w:rsidRDefault="00580084" w14:paraId="0ED499B0" w14:textId="6E0DB8A6">
      <w:pPr>
        <w:pStyle w:val="Standard"/>
      </w:pPr>
      <w:r>
        <w:t>In this preliminary Scoping Memo, we describe the issues to be considered in this proceeding</w:t>
      </w:r>
      <w:r w:rsidR="00500BCA">
        <w:t xml:space="preserve"> and the timetable for the proceeding</w:t>
      </w:r>
      <w:r>
        <w:t>.  In response to this OIR, parties will have an opportunity to provide comments on the</w:t>
      </w:r>
      <w:r w:rsidR="003C0192">
        <w:t xml:space="preserve"> scope of</w:t>
      </w:r>
      <w:r>
        <w:t xml:space="preserve"> issues </w:t>
      </w:r>
      <w:r w:rsidR="003C0192">
        <w:t>identified</w:t>
      </w:r>
      <w:r>
        <w:t xml:space="preserve">.  After a </w:t>
      </w:r>
      <w:r w:rsidRPr="00E80B04">
        <w:t xml:space="preserve">prehearing conference </w:t>
      </w:r>
      <w:r>
        <w:t>(</w:t>
      </w:r>
      <w:r w:rsidRPr="00E80B04">
        <w:t>PHC</w:t>
      </w:r>
      <w:r>
        <w:t xml:space="preserve">), an Assigned Commissioner’s Scoping Memo and Ruling will be issued </w:t>
      </w:r>
      <w:r w:rsidR="00F06BF9">
        <w:t>that lays</w:t>
      </w:r>
      <w:r>
        <w:t xml:space="preserve"> out the issues and procedural </w:t>
      </w:r>
      <w:r w:rsidR="00C2706E">
        <w:t xml:space="preserve">schedule </w:t>
      </w:r>
      <w:r>
        <w:t>in greater detail.</w:t>
      </w:r>
    </w:p>
    <w:p w:rsidR="00C2706E" w:rsidP="00C2706E" w:rsidRDefault="00C2706E" w14:paraId="138917B2" w14:textId="3BFD0D43">
      <w:pPr>
        <w:pStyle w:val="Heading2"/>
        <w:ind w:left="1080"/>
      </w:pPr>
      <w:r>
        <w:t>Preliminary Issues</w:t>
      </w:r>
    </w:p>
    <w:p w:rsidR="00324835" w:rsidP="00324835" w:rsidRDefault="00324835" w14:paraId="5B7EFEE6" w14:textId="7C71F357">
      <w:pPr>
        <w:pStyle w:val="Standard"/>
        <w:rPr>
          <w:szCs w:val="26"/>
        </w:rPr>
      </w:pPr>
      <w:r w:rsidRPr="00324835">
        <w:rPr>
          <w:szCs w:val="26"/>
        </w:rPr>
        <w:t>The issues preliminarily determined to be within the scope of the proceeding are as follows</w:t>
      </w:r>
      <w:r w:rsidR="00C2706E">
        <w:rPr>
          <w:szCs w:val="26"/>
        </w:rPr>
        <w:t>.  Note that the relevant statutory language is included in Appendix A for reference.</w:t>
      </w:r>
    </w:p>
    <w:p w:rsidR="00FA4AB1" w:rsidP="00E049E3" w:rsidRDefault="00FA4AB1" w14:paraId="56A55808" w14:textId="05FD6BE5">
      <w:pPr>
        <w:pStyle w:val="Heading8"/>
        <w:rPr>
          <w:bCs/>
        </w:rPr>
      </w:pPr>
      <w:r w:rsidRPr="00F2458B">
        <w:t>Issue 1</w:t>
      </w:r>
      <w:r w:rsidRPr="00F2458B">
        <w:rPr>
          <w:bCs/>
        </w:rPr>
        <w:t xml:space="preserve">.  </w:t>
      </w:r>
      <w:r w:rsidRPr="00F2458B">
        <w:t>Participation</w:t>
      </w:r>
      <w:r w:rsidR="00362B2B">
        <w:rPr>
          <w:bCs/>
        </w:rPr>
        <w:t xml:space="preserve"> </w:t>
      </w:r>
      <w:r w:rsidRPr="00362B2B" w:rsidR="00362B2B">
        <w:t>Authorization</w:t>
      </w:r>
      <w:r w:rsidR="00362B2B">
        <w:rPr>
          <w:bCs/>
        </w:rPr>
        <w:t>.</w:t>
      </w:r>
    </w:p>
    <w:p w:rsidRPr="00250CEF" w:rsidR="00C2706E" w:rsidP="00C2706E" w:rsidRDefault="00C2706E" w14:paraId="06849243" w14:textId="77777777">
      <w:pPr>
        <w:pStyle w:val="ListNum"/>
        <w:ind w:right="1440"/>
        <w:rPr>
          <w:bCs/>
        </w:rPr>
      </w:pPr>
      <w:r w:rsidRPr="00250CEF">
        <w:rPr>
          <w:bCs/>
        </w:rPr>
        <w:t xml:space="preserve">Have all of the requirements </w:t>
      </w:r>
      <w:r>
        <w:rPr>
          <w:bCs/>
        </w:rPr>
        <w:t>of</w:t>
      </w:r>
      <w:r w:rsidRPr="00250CEF">
        <w:rPr>
          <w:bCs/>
        </w:rPr>
        <w:t xml:space="preserve"> </w:t>
      </w:r>
      <w:r w:rsidRPr="00AD05AC">
        <w:rPr>
          <w:bCs/>
        </w:rPr>
        <w:t>Public Utilities (Pub. Util.) Code § 345.6(</w:t>
      </w:r>
      <w:r>
        <w:rPr>
          <w:bCs/>
        </w:rPr>
        <w:t>a</w:t>
      </w:r>
      <w:r w:rsidRPr="00AD05AC">
        <w:rPr>
          <w:bCs/>
        </w:rPr>
        <w:t>)</w:t>
      </w:r>
      <w:r>
        <w:rPr>
          <w:rStyle w:val="FootnoteReference"/>
          <w:bCs/>
        </w:rPr>
        <w:footnoteReference w:id="2"/>
      </w:r>
      <w:r w:rsidRPr="00AD05AC">
        <w:rPr>
          <w:bCs/>
        </w:rPr>
        <w:t xml:space="preserve"> </w:t>
      </w:r>
      <w:r w:rsidRPr="00250CEF">
        <w:rPr>
          <w:bCs/>
        </w:rPr>
        <w:t>been satisfied such that the Commission can allow electrical corporations to use voluntary energy markets governed by an RO?</w:t>
      </w:r>
    </w:p>
    <w:p w:rsidRPr="00250CEF" w:rsidR="00C2706E" w:rsidP="00C2706E" w:rsidRDefault="00C2706E" w14:paraId="26EBC352" w14:textId="77777777">
      <w:pPr>
        <w:pStyle w:val="ListNum"/>
        <w:ind w:right="1440"/>
        <w:rPr>
          <w:bCs/>
        </w:rPr>
      </w:pPr>
      <w:r>
        <w:rPr>
          <w:bCs/>
        </w:rPr>
        <w:t xml:space="preserve">Have all of the requirements of </w:t>
      </w:r>
      <w:r w:rsidRPr="00D42476">
        <w:rPr>
          <w:bCs/>
        </w:rPr>
        <w:t>§</w:t>
      </w:r>
      <w:r>
        <w:rPr>
          <w:bCs/>
        </w:rPr>
        <w:t xml:space="preserve"> 345.6(b) been satisfied such that the Commission can allow electrical corporations to use voluntary energy markets governed by an RO?</w:t>
      </w:r>
    </w:p>
    <w:p w:rsidR="00C2706E" w:rsidP="00C2706E" w:rsidRDefault="00C2706E" w14:paraId="61FD3DC2" w14:textId="133DF699">
      <w:pPr>
        <w:rPr>
          <w:rFonts w:ascii="Helvetica" w:hAnsi="Helvetica" w:eastAsia="Times New Roman" w:cs="Times New Roman"/>
          <w:b/>
          <w:iCs/>
          <w:sz w:val="24"/>
          <w:szCs w:val="24"/>
        </w:rPr>
      </w:pPr>
      <w:r w:rsidRPr="00C2706E">
        <w:rPr>
          <w:rFonts w:ascii="Helvetica" w:hAnsi="Helvetica" w:eastAsia="Times New Roman" w:cs="Times New Roman"/>
          <w:b/>
          <w:iCs/>
          <w:sz w:val="24"/>
          <w:szCs w:val="24"/>
        </w:rPr>
        <w:t xml:space="preserve">Issue </w:t>
      </w:r>
      <w:r>
        <w:rPr>
          <w:rFonts w:ascii="Helvetica" w:hAnsi="Helvetica" w:eastAsia="Times New Roman" w:cs="Times New Roman"/>
          <w:b/>
          <w:iCs/>
          <w:sz w:val="24"/>
          <w:szCs w:val="24"/>
        </w:rPr>
        <w:t>2</w:t>
      </w:r>
      <w:r w:rsidRPr="00C2706E">
        <w:rPr>
          <w:rFonts w:ascii="Helvetica" w:hAnsi="Helvetica" w:eastAsia="Times New Roman" w:cs="Times New Roman"/>
          <w:b/>
          <w:iCs/>
          <w:sz w:val="24"/>
          <w:szCs w:val="24"/>
        </w:rPr>
        <w:t xml:space="preserve">.  </w:t>
      </w:r>
      <w:r>
        <w:rPr>
          <w:rFonts w:ascii="Helvetica" w:hAnsi="Helvetica" w:eastAsia="Times New Roman" w:cs="Times New Roman"/>
          <w:b/>
          <w:iCs/>
          <w:sz w:val="24"/>
          <w:szCs w:val="24"/>
        </w:rPr>
        <w:t>Withdrawal</w:t>
      </w:r>
      <w:r w:rsidRPr="00C2706E">
        <w:rPr>
          <w:rFonts w:ascii="Helvetica" w:hAnsi="Helvetica" w:eastAsia="Times New Roman" w:cs="Times New Roman"/>
          <w:b/>
          <w:iCs/>
          <w:sz w:val="24"/>
          <w:szCs w:val="24"/>
        </w:rPr>
        <w:t xml:space="preserve"> Authorization</w:t>
      </w:r>
      <w:r>
        <w:rPr>
          <w:rFonts w:ascii="Helvetica" w:hAnsi="Helvetica" w:eastAsia="Times New Roman" w:cs="Times New Roman"/>
          <w:b/>
          <w:iCs/>
          <w:sz w:val="24"/>
          <w:szCs w:val="24"/>
        </w:rPr>
        <w:t>.</w:t>
      </w:r>
    </w:p>
    <w:p w:rsidRPr="00C2706E" w:rsidR="00C2706E" w:rsidP="00C2706E" w:rsidRDefault="00C2706E" w14:paraId="3DAC28FD" w14:textId="1CBD56A2">
      <w:pPr>
        <w:pStyle w:val="ListNum"/>
        <w:numPr>
          <w:ilvl w:val="6"/>
          <w:numId w:val="40"/>
        </w:numPr>
        <w:ind w:right="1440"/>
        <w:rPr>
          <w:bCs/>
        </w:rPr>
      </w:pPr>
      <w:r w:rsidRPr="00C2706E">
        <w:rPr>
          <w:bCs/>
        </w:rPr>
        <w:t xml:space="preserve">What are the requirements according to which the Commission may direct an electrical corporation to </w:t>
      </w:r>
      <w:r w:rsidRPr="00C2706E">
        <w:rPr>
          <w:bCs/>
        </w:rPr>
        <w:lastRenderedPageBreak/>
        <w:t>withdraw from an RO-governed energy market under § 345.6(d)?</w:t>
      </w:r>
    </w:p>
    <w:p w:rsidRPr="0073675A" w:rsidR="00C2706E" w:rsidP="00C2706E" w:rsidRDefault="00C2706E" w14:paraId="10AD4289" w14:textId="77777777">
      <w:pPr>
        <w:pStyle w:val="ListNum"/>
        <w:ind w:right="1440"/>
        <w:rPr>
          <w:bCs/>
        </w:rPr>
      </w:pPr>
      <w:r w:rsidRPr="003E5F5F">
        <w:rPr>
          <w:bCs/>
        </w:rPr>
        <w:t xml:space="preserve">What process should be established for the Commission to determine whether </w:t>
      </w:r>
      <w:r>
        <w:rPr>
          <w:bCs/>
        </w:rPr>
        <w:t>to direct an electrical corporation to withdraw</w:t>
      </w:r>
      <w:r w:rsidRPr="003E5F5F">
        <w:rPr>
          <w:bCs/>
        </w:rPr>
        <w:t>?</w:t>
      </w:r>
      <w:r>
        <w:rPr>
          <w:bCs/>
        </w:rPr>
        <w:t xml:space="preserve">  </w:t>
      </w:r>
    </w:p>
    <w:p w:rsidRPr="00C2706E" w:rsidR="00C2706E" w:rsidP="00C2706E" w:rsidRDefault="00C2706E" w14:paraId="1FE5604D" w14:textId="64E99EDD">
      <w:pPr>
        <w:pStyle w:val="Heading1"/>
        <w:numPr>
          <w:ilvl w:val="0"/>
          <w:numId w:val="0"/>
        </w:numPr>
        <w:ind w:left="720"/>
        <w:rPr>
          <w:rFonts w:ascii="Helvetica" w:hAnsi="Helvetica" w:eastAsia="Times New Roman" w:cs="Times New Roman"/>
          <w:iCs/>
          <w:sz w:val="24"/>
          <w:szCs w:val="24"/>
        </w:rPr>
      </w:pPr>
      <w:r w:rsidRPr="00C2706E">
        <w:rPr>
          <w:rFonts w:ascii="Helvetica" w:hAnsi="Helvetica" w:eastAsia="Times New Roman" w:cs="Times New Roman"/>
          <w:iCs/>
          <w:sz w:val="24"/>
          <w:szCs w:val="24"/>
        </w:rPr>
        <w:t xml:space="preserve">Issue </w:t>
      </w:r>
      <w:r>
        <w:rPr>
          <w:rFonts w:ascii="Helvetica" w:hAnsi="Helvetica" w:eastAsia="Times New Roman" w:cs="Times New Roman"/>
          <w:iCs/>
          <w:sz w:val="24"/>
          <w:szCs w:val="24"/>
        </w:rPr>
        <w:t>3</w:t>
      </w:r>
      <w:r w:rsidRPr="00C2706E">
        <w:rPr>
          <w:rFonts w:ascii="Helvetica" w:hAnsi="Helvetica" w:eastAsia="Times New Roman" w:cs="Times New Roman"/>
          <w:iCs/>
          <w:sz w:val="24"/>
          <w:szCs w:val="24"/>
        </w:rPr>
        <w:t xml:space="preserve">.  </w:t>
      </w:r>
      <w:r>
        <w:rPr>
          <w:rFonts w:ascii="Helvetica" w:hAnsi="Helvetica" w:eastAsia="Times New Roman" w:cs="Times New Roman"/>
          <w:iCs/>
          <w:sz w:val="24"/>
          <w:szCs w:val="24"/>
        </w:rPr>
        <w:t>Additional Product/Service Participation.</w:t>
      </w:r>
    </w:p>
    <w:p w:rsidRPr="00C2706E" w:rsidR="00C2706E" w:rsidP="00C2706E" w:rsidRDefault="00C2706E" w14:paraId="25A2A86D" w14:textId="77777777">
      <w:pPr>
        <w:pStyle w:val="ListNum"/>
        <w:numPr>
          <w:ilvl w:val="6"/>
          <w:numId w:val="41"/>
        </w:numPr>
        <w:ind w:right="1440"/>
        <w:rPr>
          <w:rFonts w:cs="Arial"/>
          <w:bCs/>
          <w:szCs w:val="26"/>
        </w:rPr>
      </w:pPr>
      <w:r w:rsidRPr="00C2706E">
        <w:rPr>
          <w:rFonts w:cs="Arial"/>
          <w:bCs/>
          <w:szCs w:val="26"/>
        </w:rPr>
        <w:t xml:space="preserve">How </w:t>
      </w:r>
      <w:r w:rsidRPr="00C2706E">
        <w:rPr>
          <w:bCs/>
        </w:rPr>
        <w:t>should</w:t>
      </w:r>
      <w:r w:rsidRPr="00C2706E">
        <w:rPr>
          <w:rFonts w:cs="Arial"/>
          <w:bCs/>
          <w:szCs w:val="26"/>
        </w:rPr>
        <w:t xml:space="preserve"> the Commission determine whether to authorize an electrical corporation’s participation in any additional products or services offered by the RO, and what process should be established to determine this?  </w:t>
      </w:r>
    </w:p>
    <w:p w:rsidRPr="00C2706E" w:rsidR="00C2706E" w:rsidP="00C2706E" w:rsidRDefault="00C2706E" w14:paraId="53626DA1" w14:textId="4B334249">
      <w:pPr>
        <w:pStyle w:val="Heading1"/>
        <w:numPr>
          <w:ilvl w:val="0"/>
          <w:numId w:val="0"/>
        </w:numPr>
        <w:ind w:left="720"/>
        <w:rPr>
          <w:rFonts w:ascii="Helvetica" w:hAnsi="Helvetica" w:eastAsia="Times New Roman" w:cs="Times New Roman"/>
          <w:iCs/>
          <w:sz w:val="24"/>
          <w:szCs w:val="24"/>
        </w:rPr>
      </w:pPr>
      <w:r w:rsidRPr="00C2706E">
        <w:rPr>
          <w:rFonts w:ascii="Helvetica" w:hAnsi="Helvetica" w:eastAsia="Times New Roman" w:cs="Times New Roman"/>
          <w:iCs/>
          <w:sz w:val="24"/>
          <w:szCs w:val="24"/>
        </w:rPr>
        <w:t xml:space="preserve">Issue </w:t>
      </w:r>
      <w:r>
        <w:rPr>
          <w:rFonts w:ascii="Helvetica" w:hAnsi="Helvetica" w:eastAsia="Times New Roman" w:cs="Times New Roman"/>
          <w:iCs/>
          <w:sz w:val="24"/>
          <w:szCs w:val="24"/>
        </w:rPr>
        <w:t>4</w:t>
      </w:r>
      <w:r w:rsidRPr="00C2706E">
        <w:rPr>
          <w:rFonts w:ascii="Helvetica" w:hAnsi="Helvetica" w:eastAsia="Times New Roman" w:cs="Times New Roman"/>
          <w:iCs/>
          <w:sz w:val="24"/>
          <w:szCs w:val="24"/>
        </w:rPr>
        <w:t xml:space="preserve">.  </w:t>
      </w:r>
      <w:r>
        <w:rPr>
          <w:rFonts w:ascii="Helvetica" w:hAnsi="Helvetica" w:eastAsia="Times New Roman" w:cs="Times New Roman"/>
          <w:iCs/>
          <w:sz w:val="24"/>
          <w:szCs w:val="24"/>
        </w:rPr>
        <w:t>Rule Revisions.</w:t>
      </w:r>
    </w:p>
    <w:p w:rsidRPr="00C2706E" w:rsidR="00C2706E" w:rsidP="00C2706E" w:rsidRDefault="00C2706E" w14:paraId="7B745C43" w14:textId="7C204E44">
      <w:pPr>
        <w:pStyle w:val="ListNum"/>
        <w:numPr>
          <w:ilvl w:val="6"/>
          <w:numId w:val="42"/>
        </w:numPr>
        <w:ind w:right="1440"/>
        <w:rPr>
          <w:rFonts w:cs="Arial"/>
          <w:bCs/>
          <w:szCs w:val="26"/>
        </w:rPr>
      </w:pPr>
      <w:r w:rsidRPr="00C2706E">
        <w:rPr>
          <w:rFonts w:cs="Arial"/>
          <w:bCs/>
          <w:szCs w:val="26"/>
        </w:rPr>
        <w:t>By what process should the Commission</w:t>
      </w:r>
      <w:r>
        <w:rPr>
          <w:rFonts w:cs="Arial"/>
          <w:bCs/>
          <w:szCs w:val="26"/>
        </w:rPr>
        <w:t>’s</w:t>
      </w:r>
      <w:r w:rsidRPr="00C2706E">
        <w:rPr>
          <w:rFonts w:cs="Arial"/>
          <w:bCs/>
          <w:szCs w:val="26"/>
        </w:rPr>
        <w:t xml:space="preserve"> rules, regulations, or guidance be updated to ensure that the transition to a regional energy market governed by the ISO or RO does not expand the types of transactions that meet the portfolio content category requirements of Section 399.16(1)(b), as compared to transactions that would meet those requirements on December 31, 2025? </w:t>
      </w:r>
    </w:p>
    <w:p w:rsidR="00C2706E" w:rsidP="00C2706E" w:rsidRDefault="00C2706E" w14:paraId="56C9356F" w14:textId="77777777">
      <w:pPr>
        <w:pStyle w:val="Heading2"/>
        <w:keepLines w:val="0"/>
        <w:ind w:left="1080"/>
      </w:pPr>
      <w:r>
        <w:t>Additional Questions on Scope of Issues</w:t>
      </w:r>
    </w:p>
    <w:p w:rsidR="00C2706E" w:rsidP="00C2706E" w:rsidRDefault="00C2706E" w14:paraId="3D7A4584" w14:textId="77777777">
      <w:r>
        <w:t>The following are questions the Commission may consider for each scoped issue.</w:t>
      </w:r>
    </w:p>
    <w:p w:rsidR="00C2706E" w:rsidP="00C2706E" w:rsidRDefault="00C2706E" w14:paraId="5887B772" w14:textId="77777777">
      <w:pPr>
        <w:pStyle w:val="Heading3"/>
        <w:rPr>
          <w:bCs/>
        </w:rPr>
      </w:pPr>
      <w:r>
        <w:rPr>
          <w:bCs/>
        </w:rPr>
        <w:t>Issue 1. Participation Authorization.</w:t>
      </w:r>
    </w:p>
    <w:p w:rsidR="00C2706E" w:rsidP="00D76587" w:rsidRDefault="00C2706E" w14:paraId="1EBE1231" w14:textId="13461A5E">
      <w:pPr>
        <w:rPr>
          <w:bCs/>
        </w:rPr>
      </w:pPr>
      <w:r w:rsidRPr="00AD05AC">
        <w:rPr>
          <w:bCs/>
        </w:rPr>
        <w:t xml:space="preserve">Pub. Util. Code § 345.6(c) provides that the Commission shall make a determination </w:t>
      </w:r>
      <w:r w:rsidRPr="00D76587">
        <w:t>that</w:t>
      </w:r>
      <w:r w:rsidRPr="00AD05AC">
        <w:rPr>
          <w:bCs/>
        </w:rPr>
        <w:t xml:space="preserve"> the requirements in § 345.6(a) and (b) have been satisfied </w:t>
      </w:r>
      <w:r w:rsidRPr="00AD05AC">
        <w:rPr>
          <w:rFonts w:cs="Arial"/>
          <w:bCs/>
          <w:szCs w:val="26"/>
        </w:rPr>
        <w:t>before</w:t>
      </w:r>
      <w:r w:rsidRPr="00AD05AC">
        <w:rPr>
          <w:bCs/>
        </w:rPr>
        <w:t xml:space="preserve"> electrical corporations can participate in an energy market governed by an RO.  </w:t>
      </w:r>
    </w:p>
    <w:p w:rsidRPr="00250CEF" w:rsidR="00C2706E" w:rsidP="00C2706E" w:rsidRDefault="00C2706E" w14:paraId="7CCCB442" w14:textId="77777777">
      <w:pPr>
        <w:pStyle w:val="ListAlpha"/>
        <w:ind w:left="1800" w:right="1440"/>
        <w:rPr>
          <w:bCs/>
        </w:rPr>
      </w:pPr>
      <w:r w:rsidRPr="00250CEF">
        <w:rPr>
          <w:rFonts w:cs="Arial"/>
          <w:bCs/>
          <w:szCs w:val="26"/>
        </w:rPr>
        <w:t>When evaluating § 345.6(a)(1), how should the Commission assess whether the RO’s governance documents and tariff include a requirement to respect the authority of each state “to set its own procurement, resource adequacy, environmental, reliability, and other public interest policies and exercise oversight over its regulated entities”?</w:t>
      </w:r>
    </w:p>
    <w:p w:rsidRPr="00AD05AC" w:rsidR="00C2706E" w:rsidP="00C2706E" w:rsidRDefault="00C2706E" w14:paraId="542C30FD" w14:textId="77777777">
      <w:pPr>
        <w:pStyle w:val="ListAlpha"/>
        <w:ind w:left="1800" w:right="1440"/>
        <w:rPr>
          <w:rFonts w:cs="Arial"/>
          <w:bCs/>
          <w:szCs w:val="26"/>
        </w:rPr>
      </w:pPr>
      <w:r w:rsidRPr="00250CEF">
        <w:rPr>
          <w:rFonts w:cs="Arial"/>
          <w:bCs/>
          <w:szCs w:val="26"/>
        </w:rPr>
        <w:lastRenderedPageBreak/>
        <w:t>When evaluating § 345.6(a)(6), how should the Commission assess whether the RO maintains access to independent market analysis “on the impacts of market dynamics or rule changes to minimize overall costs to end-use consumers”?</w:t>
      </w:r>
    </w:p>
    <w:p w:rsidRPr="00AD05AC" w:rsidR="00C2706E" w:rsidP="00C2706E" w:rsidRDefault="00C2706E" w14:paraId="3E603672" w14:textId="77777777">
      <w:pPr>
        <w:pStyle w:val="ListAlpha"/>
        <w:ind w:left="1800" w:right="1440"/>
        <w:rPr>
          <w:rFonts w:cs="Arial"/>
          <w:bCs/>
          <w:szCs w:val="26"/>
        </w:rPr>
      </w:pPr>
      <w:r w:rsidRPr="00250CEF">
        <w:rPr>
          <w:rFonts w:cs="Arial"/>
          <w:bCs/>
          <w:szCs w:val="26"/>
        </w:rPr>
        <w:t>When evaluating § 345.6(a)(9), how should the Commission assess whether the RO has satisfied this requirement?  For example, how should the Commission assess whether the RO’s open process and transparency obligations are “substantially similar to those that apply to the Independent System Operator at the time a resolution is adopted under subdivision (b)”?</w:t>
      </w:r>
    </w:p>
    <w:p w:rsidRPr="00C2706E" w:rsidR="00C2706E" w:rsidP="00C2706E" w:rsidRDefault="00C2706E" w14:paraId="0C1599C5" w14:textId="77777777">
      <w:pPr>
        <w:pStyle w:val="ListAlpha"/>
        <w:ind w:left="1800" w:right="1440"/>
        <w:rPr>
          <w:bCs/>
        </w:rPr>
      </w:pPr>
      <w:r w:rsidRPr="00766FAA">
        <w:rPr>
          <w:rFonts w:cs="Arial"/>
          <w:bCs/>
          <w:szCs w:val="26"/>
        </w:rPr>
        <w:t>When evaluating § 345.6(b)(7), how should the Commission assess whether this requirement has been satisfied?</w:t>
      </w:r>
    </w:p>
    <w:p w:rsidRPr="00BE6DC2" w:rsidR="00C2706E" w:rsidP="00C2706E" w:rsidRDefault="00C2706E" w14:paraId="7024307D" w14:textId="77777777">
      <w:pPr>
        <w:pStyle w:val="ListAlpha"/>
        <w:ind w:left="1800" w:right="1440"/>
        <w:rPr>
          <w:rFonts w:cs="Arial"/>
          <w:bCs/>
          <w:szCs w:val="26"/>
        </w:rPr>
      </w:pPr>
      <w:r w:rsidRPr="009F12AB">
        <w:rPr>
          <w:rFonts w:cs="Arial"/>
          <w:bCs/>
          <w:szCs w:val="26"/>
        </w:rPr>
        <w:t>When evaluating § 345.6(a)(12), how should the Commission assess whether each participant retain</w:t>
      </w:r>
      <w:r>
        <w:rPr>
          <w:rFonts w:cs="Arial"/>
          <w:bCs/>
          <w:szCs w:val="26"/>
        </w:rPr>
        <w:t>s</w:t>
      </w:r>
      <w:r w:rsidRPr="009F12AB">
        <w:rPr>
          <w:rFonts w:cs="Arial"/>
          <w:bCs/>
          <w:szCs w:val="26"/>
        </w:rPr>
        <w:t xml:space="preserve"> its decision-making autonomy regarding the extent of its participation in the voluntary services offered by the independent regional organization, while</w:t>
      </w:r>
      <w:r>
        <w:rPr>
          <w:rFonts w:cs="Arial"/>
          <w:bCs/>
          <w:szCs w:val="26"/>
        </w:rPr>
        <w:t xml:space="preserve"> simultaneously</w:t>
      </w:r>
      <w:r w:rsidRPr="009F12AB">
        <w:rPr>
          <w:rFonts w:cs="Arial"/>
          <w:bCs/>
          <w:szCs w:val="26"/>
        </w:rPr>
        <w:t xml:space="preserve"> ensuring that the Commission retains its authority over an electrical corporation’s participation in any additional products or services offered by the RO, as maintained by § 345.6(h)(4)</w:t>
      </w:r>
      <w:r>
        <w:rPr>
          <w:rFonts w:cs="Arial"/>
          <w:bCs/>
          <w:szCs w:val="26"/>
        </w:rPr>
        <w:t>?</w:t>
      </w:r>
    </w:p>
    <w:p w:rsidRPr="003C0192" w:rsidR="003C0192" w:rsidP="003C0192" w:rsidRDefault="00C2706E" w14:paraId="35F6AA93" w14:textId="78F84225">
      <w:pPr>
        <w:pStyle w:val="ListAlpha"/>
        <w:ind w:left="1800" w:right="1440"/>
        <w:rPr>
          <w:rFonts w:cs="Arial"/>
          <w:bCs/>
          <w:szCs w:val="26"/>
        </w:rPr>
      </w:pPr>
      <w:r>
        <w:rPr>
          <w:bCs/>
        </w:rPr>
        <w:t xml:space="preserve">What process and schedule should be established for the Commission to determine whether the requirements for </w:t>
      </w:r>
      <w:r w:rsidRPr="00766FAA">
        <w:rPr>
          <w:bCs/>
        </w:rPr>
        <w:t>§</w:t>
      </w:r>
      <w:r>
        <w:rPr>
          <w:bCs/>
        </w:rPr>
        <w:t xml:space="preserve"> 345(a) and (b) have been satisfied?</w:t>
      </w:r>
      <w:r w:rsidR="003C0192">
        <w:rPr>
          <w:bCs/>
        </w:rPr>
        <w:t xml:space="preserve">  </w:t>
      </w:r>
      <w:r w:rsidRPr="000410D8" w:rsidR="003C0192">
        <w:rPr>
          <w:rFonts w:cs="Arial"/>
          <w:bCs/>
          <w:szCs w:val="26"/>
        </w:rPr>
        <w:t>What modifications should be made to the preliminary schedule outlined in Section 3 below?</w:t>
      </w:r>
    </w:p>
    <w:p w:rsidRPr="003C0192" w:rsidR="00C2706E" w:rsidP="003C0192" w:rsidRDefault="003C0192" w14:paraId="162BB283" w14:textId="48FD3C14">
      <w:pPr>
        <w:pStyle w:val="ListAlpha"/>
        <w:ind w:left="1800" w:right="1440"/>
        <w:rPr>
          <w:rFonts w:cs="Arial"/>
          <w:bCs/>
          <w:szCs w:val="26"/>
        </w:rPr>
      </w:pPr>
      <w:r>
        <w:rPr>
          <w:rFonts w:cs="Arial"/>
          <w:bCs/>
          <w:szCs w:val="26"/>
        </w:rPr>
        <w:t xml:space="preserve">What process or actions, if any, should be taken in the event the Commission finds that an </w:t>
      </w:r>
      <w:r w:rsidRPr="005F24F3">
        <w:rPr>
          <w:rFonts w:cs="Arial"/>
          <w:bCs/>
          <w:szCs w:val="26"/>
        </w:rPr>
        <w:t xml:space="preserve">element of </w:t>
      </w:r>
      <w:r w:rsidRPr="00AD05AC">
        <w:rPr>
          <w:rFonts w:cs="Arial"/>
          <w:bCs/>
          <w:szCs w:val="26"/>
        </w:rPr>
        <w:t>§ 345.6</w:t>
      </w:r>
      <w:r w:rsidRPr="005F24F3">
        <w:rPr>
          <w:rFonts w:cs="Arial"/>
          <w:bCs/>
          <w:szCs w:val="26"/>
        </w:rPr>
        <w:t xml:space="preserve">(a) and/or (b) </w:t>
      </w:r>
      <w:r>
        <w:rPr>
          <w:rFonts w:cs="Arial"/>
          <w:bCs/>
          <w:szCs w:val="26"/>
        </w:rPr>
        <w:t xml:space="preserve">has not been </w:t>
      </w:r>
      <w:r w:rsidRPr="005F24F3">
        <w:rPr>
          <w:rFonts w:cs="Arial"/>
          <w:bCs/>
          <w:szCs w:val="26"/>
        </w:rPr>
        <w:t>met?</w:t>
      </w:r>
    </w:p>
    <w:p w:rsidRPr="00AD05AC" w:rsidR="00C2706E" w:rsidP="00C2706E" w:rsidRDefault="00C2706E" w14:paraId="256C1326" w14:textId="28757CA8">
      <w:pPr>
        <w:pStyle w:val="ListAlpha"/>
        <w:ind w:left="1800" w:right="1440"/>
        <w:rPr>
          <w:rFonts w:cs="Arial"/>
          <w:bCs/>
          <w:szCs w:val="26"/>
        </w:rPr>
      </w:pPr>
      <w:r w:rsidRPr="00022F50">
        <w:rPr>
          <w:rFonts w:cs="Arial"/>
          <w:bCs/>
          <w:szCs w:val="26"/>
        </w:rPr>
        <w:t xml:space="preserve">What </w:t>
      </w:r>
      <w:r w:rsidR="006D2742">
        <w:rPr>
          <w:rFonts w:cs="Arial"/>
          <w:bCs/>
          <w:szCs w:val="26"/>
        </w:rPr>
        <w:t xml:space="preserve">RO and ISO </w:t>
      </w:r>
      <w:r w:rsidRPr="00022F50">
        <w:rPr>
          <w:rFonts w:cs="Arial"/>
          <w:bCs/>
          <w:szCs w:val="26"/>
        </w:rPr>
        <w:t>information or documentation should inform the determination that §</w:t>
      </w:r>
      <w:r>
        <w:rPr>
          <w:rFonts w:cs="Arial"/>
          <w:bCs/>
          <w:szCs w:val="26"/>
        </w:rPr>
        <w:t xml:space="preserve"> 345.6(a) and (b)</w:t>
      </w:r>
      <w:r w:rsidRPr="00022F50">
        <w:rPr>
          <w:rFonts w:cs="Arial"/>
          <w:bCs/>
          <w:szCs w:val="26"/>
        </w:rPr>
        <w:t xml:space="preserve"> </w:t>
      </w:r>
      <w:r>
        <w:rPr>
          <w:rFonts w:cs="Arial"/>
          <w:bCs/>
          <w:szCs w:val="26"/>
        </w:rPr>
        <w:t xml:space="preserve">requirements </w:t>
      </w:r>
      <w:r w:rsidRPr="00022F50">
        <w:rPr>
          <w:rFonts w:cs="Arial"/>
          <w:bCs/>
          <w:szCs w:val="26"/>
        </w:rPr>
        <w:t>have been satisfied?</w:t>
      </w:r>
      <w:r w:rsidRPr="00AD05AC">
        <w:rPr>
          <w:rFonts w:cs="Arial"/>
          <w:bCs/>
          <w:szCs w:val="26"/>
        </w:rPr>
        <w:t xml:space="preserve">  </w:t>
      </w:r>
      <w:r w:rsidRPr="00022F50">
        <w:rPr>
          <w:rFonts w:cs="Arial"/>
          <w:bCs/>
          <w:szCs w:val="26"/>
        </w:rPr>
        <w:t xml:space="preserve">When </w:t>
      </w:r>
      <w:r w:rsidR="006D2742">
        <w:rPr>
          <w:rFonts w:cs="Arial"/>
          <w:bCs/>
          <w:szCs w:val="26"/>
        </w:rPr>
        <w:t xml:space="preserve">and </w:t>
      </w:r>
      <w:r w:rsidR="006D2742">
        <w:rPr>
          <w:rFonts w:cs="Arial"/>
          <w:bCs/>
          <w:szCs w:val="26"/>
        </w:rPr>
        <w:lastRenderedPageBreak/>
        <w:t xml:space="preserve">how </w:t>
      </w:r>
      <w:r w:rsidRPr="00022F50">
        <w:rPr>
          <w:rFonts w:cs="Arial"/>
          <w:bCs/>
          <w:szCs w:val="26"/>
        </w:rPr>
        <w:t xml:space="preserve">should the information or documentation be submitted to the Commission?  </w:t>
      </w:r>
    </w:p>
    <w:p w:rsidRPr="00AD05AC" w:rsidR="00C2706E" w:rsidP="00C2706E" w:rsidRDefault="00C2706E" w14:paraId="3E275E30" w14:textId="77777777">
      <w:pPr>
        <w:pStyle w:val="ListAlpha"/>
        <w:ind w:left="1800" w:right="1440"/>
        <w:rPr>
          <w:rFonts w:cs="Arial"/>
          <w:bCs/>
          <w:szCs w:val="26"/>
        </w:rPr>
      </w:pPr>
      <w:r w:rsidRPr="00022F50">
        <w:rPr>
          <w:rFonts w:cs="Arial"/>
          <w:bCs/>
          <w:szCs w:val="26"/>
        </w:rPr>
        <w:t xml:space="preserve">Should the determination be based on final ISO resolutions and/or FERC-approved tariff modifications, or can the Commission rely on draft tariff and governance terms? </w:t>
      </w:r>
    </w:p>
    <w:p w:rsidRPr="00AD05AC" w:rsidR="00C2706E" w:rsidP="00C2706E" w:rsidRDefault="00C2706E" w14:paraId="075538EC" w14:textId="77777777">
      <w:pPr>
        <w:pStyle w:val="ListAlpha"/>
        <w:ind w:left="1800" w:right="1440"/>
        <w:rPr>
          <w:rFonts w:cs="Arial"/>
          <w:bCs/>
          <w:szCs w:val="26"/>
        </w:rPr>
      </w:pPr>
      <w:r w:rsidRPr="000410D8">
        <w:rPr>
          <w:rFonts w:cs="Arial"/>
          <w:bCs/>
          <w:szCs w:val="26"/>
        </w:rPr>
        <w:t xml:space="preserve">Section 345.6(c) requires the Commission to determine that subdivisions (a) and (b) have been satisfied before electrical corporations may participate, while subdivision (b) allows the ISO to implement tariff modifications and begin operating under the RO’s rules on or after January 1, 2028.  If the ISO completes its subdivision (b) resolution and begins operating under the new tariff and the Commission has not completed its § 345.6(c) determination, should an interim process be developed? </w:t>
      </w:r>
    </w:p>
    <w:p w:rsidRPr="00AD05AC" w:rsidR="00C2706E" w:rsidP="00C2706E" w:rsidRDefault="00C2706E" w14:paraId="6B757545" w14:textId="77777777">
      <w:pPr>
        <w:pStyle w:val="ListAlpha"/>
        <w:ind w:left="1800" w:right="1440"/>
        <w:rPr>
          <w:rFonts w:cs="Arial"/>
          <w:bCs/>
          <w:szCs w:val="26"/>
        </w:rPr>
      </w:pPr>
      <w:r w:rsidRPr="000410D8">
        <w:rPr>
          <w:rFonts w:cs="Arial"/>
          <w:bCs/>
          <w:szCs w:val="26"/>
        </w:rPr>
        <w:t>Should the RO or ISO submit regular updates to the Commission on the workstreams associated with satisfying subdivisions (a) and (b), particularly if a potential timing mismatch arises, as discussed above?</w:t>
      </w:r>
    </w:p>
    <w:p w:rsidRPr="00A16E8F" w:rsidR="003C0192" w:rsidP="003C0192" w:rsidRDefault="003C0192" w14:paraId="1BC59AC6" w14:textId="77777777">
      <w:pPr>
        <w:pStyle w:val="ListAlpha"/>
        <w:ind w:left="1800" w:right="1440"/>
        <w:rPr>
          <w:rFonts w:cs="Arial"/>
          <w:bCs/>
          <w:szCs w:val="26"/>
        </w:rPr>
      </w:pPr>
      <w:r w:rsidRPr="00250CEF">
        <w:rPr>
          <w:rFonts w:cs="Arial"/>
          <w:bCs/>
          <w:szCs w:val="26"/>
        </w:rPr>
        <w:t>What other terms or requirements in § 345.6(a) require further clarification?</w:t>
      </w:r>
    </w:p>
    <w:p w:rsidRPr="003C0192" w:rsidR="003C0192" w:rsidP="003C0192" w:rsidRDefault="003C0192" w14:paraId="57EC354C" w14:textId="5FDB3DFC">
      <w:pPr>
        <w:pStyle w:val="ListAlpha"/>
        <w:ind w:left="1800" w:right="1440"/>
        <w:rPr>
          <w:bCs/>
        </w:rPr>
      </w:pPr>
      <w:r w:rsidRPr="00022F50">
        <w:rPr>
          <w:rFonts w:cs="Arial"/>
          <w:bCs/>
          <w:szCs w:val="26"/>
        </w:rPr>
        <w:t>What other terms or requirements in § 345.6(</w:t>
      </w:r>
      <w:r>
        <w:rPr>
          <w:rFonts w:cs="Arial"/>
          <w:bCs/>
          <w:szCs w:val="26"/>
        </w:rPr>
        <w:t>b</w:t>
      </w:r>
      <w:r w:rsidRPr="00022F50">
        <w:rPr>
          <w:rFonts w:cs="Arial"/>
          <w:bCs/>
          <w:szCs w:val="26"/>
        </w:rPr>
        <w:t>) require further clarification?</w:t>
      </w:r>
    </w:p>
    <w:p w:rsidRPr="00E21D1A" w:rsidR="00C11245" w:rsidP="00C11245" w:rsidRDefault="00C11245" w14:paraId="7376394F" w14:textId="77777777">
      <w:pPr>
        <w:pStyle w:val="Heading3"/>
        <w:rPr>
          <w:bCs/>
        </w:rPr>
      </w:pPr>
      <w:r>
        <w:rPr>
          <w:bCs/>
        </w:rPr>
        <w:t>Issue 2. Withdrawal Authorization.</w:t>
      </w:r>
    </w:p>
    <w:p w:rsidR="00C2706E" w:rsidP="00D76587" w:rsidRDefault="00C11245" w14:paraId="72022D10" w14:textId="38AD8947">
      <w:pPr>
        <w:rPr>
          <w:bCs/>
        </w:rPr>
      </w:pPr>
      <w:r w:rsidRPr="00FA4AB1">
        <w:rPr>
          <w:bCs/>
        </w:rPr>
        <w:t>Pub. Util. Code § 345.6(</w:t>
      </w:r>
      <w:r>
        <w:rPr>
          <w:bCs/>
        </w:rPr>
        <w:t xml:space="preserve">d) provides that </w:t>
      </w:r>
      <w:r w:rsidRPr="00FA4AB1">
        <w:rPr>
          <w:bCs/>
        </w:rPr>
        <w:t>the Commission</w:t>
      </w:r>
      <w:r>
        <w:rPr>
          <w:bCs/>
        </w:rPr>
        <w:t xml:space="preserve"> maintains its authority to </w:t>
      </w:r>
      <w:r w:rsidRPr="00D76587">
        <w:t>direct</w:t>
      </w:r>
      <w:r>
        <w:rPr>
          <w:bCs/>
        </w:rPr>
        <w:t xml:space="preserve"> an electrical corporation to withdraw from an energy market</w:t>
      </w:r>
      <w:r w:rsidRPr="00FA4AB1">
        <w:rPr>
          <w:bCs/>
        </w:rPr>
        <w:t xml:space="preserve"> </w:t>
      </w:r>
      <w:r>
        <w:rPr>
          <w:bCs/>
        </w:rPr>
        <w:t xml:space="preserve">governed by an RO.  Section 345.6(e) provides that the ISO shall maintain the necessary technical capability to operate energy markets to enable electrical corporations and other market participants to withdraw from an energy market governed by an RO.  </w:t>
      </w:r>
    </w:p>
    <w:p w:rsidRPr="00C11245" w:rsidR="00C11245" w:rsidP="00C11245" w:rsidRDefault="00C11245" w14:paraId="2885AA7A" w14:textId="77777777">
      <w:pPr>
        <w:spacing w:line="240" w:lineRule="auto"/>
        <w:ind w:left="1440" w:right="1440" w:firstLine="0"/>
        <w:rPr>
          <w:bCs/>
        </w:rPr>
      </w:pPr>
    </w:p>
    <w:p w:rsidRPr="00250CEF" w:rsidR="00C11245" w:rsidP="00C11245" w:rsidRDefault="00C11245" w14:paraId="2DACA54D" w14:textId="718C56D2">
      <w:pPr>
        <w:pStyle w:val="ListAlpha"/>
        <w:ind w:left="1800" w:right="1440"/>
        <w:rPr>
          <w:bCs/>
        </w:rPr>
      </w:pPr>
      <w:r w:rsidRPr="003E5F5F">
        <w:rPr>
          <w:rFonts w:cs="Arial"/>
          <w:bCs/>
          <w:szCs w:val="26"/>
        </w:rPr>
        <w:t>Pursuant to § 345(e)(1), how</w:t>
      </w:r>
      <w:r>
        <w:rPr>
          <w:rFonts w:cs="Arial"/>
          <w:bCs/>
          <w:szCs w:val="26"/>
        </w:rPr>
        <w:t xml:space="preserve"> should</w:t>
      </w:r>
      <w:r w:rsidRPr="003E5F5F">
        <w:rPr>
          <w:rFonts w:cs="Arial"/>
          <w:bCs/>
          <w:szCs w:val="26"/>
        </w:rPr>
        <w:t xml:space="preserve"> the Commission consider whether the ISO has maintained the “necessary technical capability to operate energy markets in a manner that enables” withdrawal, for purposes of the Commission’s authority to direct an electrical corporation to withdraw under § 345.6(d)? </w:t>
      </w:r>
    </w:p>
    <w:p w:rsidR="00C11245" w:rsidP="00C11245" w:rsidRDefault="00C11245" w14:paraId="534E35A4" w14:textId="77777777">
      <w:pPr>
        <w:pStyle w:val="ListAlpha"/>
        <w:ind w:left="1800" w:right="1440"/>
        <w:rPr>
          <w:rFonts w:cs="Arial"/>
          <w:bCs/>
          <w:szCs w:val="26"/>
        </w:rPr>
      </w:pPr>
      <w:r w:rsidRPr="003E5F5F">
        <w:rPr>
          <w:rFonts w:cs="Arial"/>
          <w:bCs/>
          <w:szCs w:val="26"/>
        </w:rPr>
        <w:t xml:space="preserve">Pursuant to § 345(e)(2), the ISO is to provide “separate market services for those entities” that withdraw.  How should the Commission consider this for purposes of its authority to direct an electrical corporation to withdraw under § 345.6(d)?  </w:t>
      </w:r>
    </w:p>
    <w:p w:rsidR="00C11245" w:rsidP="00C11245" w:rsidRDefault="00C11245" w14:paraId="14139DED" w14:textId="77777777">
      <w:pPr>
        <w:pStyle w:val="ListAlpha"/>
        <w:ind w:left="1800" w:right="1440"/>
        <w:rPr>
          <w:rFonts w:cs="Arial"/>
          <w:bCs/>
          <w:szCs w:val="26"/>
        </w:rPr>
      </w:pPr>
      <w:r>
        <w:rPr>
          <w:rFonts w:cs="Arial"/>
          <w:bCs/>
          <w:szCs w:val="26"/>
        </w:rPr>
        <w:t xml:space="preserve">How can the Commission ensure that its withdrawal procedures, and any potential future withdrawal directive(s), do not frustrate compliance with </w:t>
      </w:r>
      <w:r w:rsidRPr="003E5F5F">
        <w:rPr>
          <w:rFonts w:cs="Arial"/>
          <w:bCs/>
          <w:szCs w:val="26"/>
        </w:rPr>
        <w:t>§ 3</w:t>
      </w:r>
      <w:r>
        <w:rPr>
          <w:rFonts w:cs="Arial"/>
          <w:bCs/>
          <w:szCs w:val="26"/>
        </w:rPr>
        <w:t xml:space="preserve">62, which requires </w:t>
      </w:r>
      <w:r w:rsidRPr="00BC7C9A">
        <w:rPr>
          <w:rFonts w:cs="Arial"/>
          <w:bCs/>
          <w:szCs w:val="26"/>
        </w:rPr>
        <w:t>an electrical corporation subject to D</w:t>
      </w:r>
      <w:r>
        <w:rPr>
          <w:rFonts w:cs="Arial"/>
          <w:bCs/>
          <w:szCs w:val="26"/>
        </w:rPr>
        <w:t xml:space="preserve">ecision </w:t>
      </w:r>
      <w:r w:rsidRPr="00BC7C9A">
        <w:rPr>
          <w:rFonts w:cs="Arial"/>
          <w:bCs/>
          <w:szCs w:val="26"/>
        </w:rPr>
        <w:t>98-01-053</w:t>
      </w:r>
      <w:r>
        <w:rPr>
          <w:rFonts w:cs="Arial"/>
          <w:bCs/>
          <w:szCs w:val="26"/>
        </w:rPr>
        <w:t xml:space="preserve"> to par</w:t>
      </w:r>
      <w:r w:rsidRPr="00BC7C9A">
        <w:rPr>
          <w:rFonts w:cs="Arial"/>
          <w:bCs/>
          <w:szCs w:val="26"/>
        </w:rPr>
        <w:t xml:space="preserve">ticipate in the </w:t>
      </w:r>
      <w:r>
        <w:rPr>
          <w:rFonts w:cs="Arial"/>
          <w:bCs/>
          <w:szCs w:val="26"/>
        </w:rPr>
        <w:t>ISO?</w:t>
      </w:r>
    </w:p>
    <w:p w:rsidRPr="00C469A1" w:rsidR="00C11245" w:rsidP="00C11245" w:rsidRDefault="00C11245" w14:paraId="4F9E37E2" w14:textId="77777777">
      <w:pPr>
        <w:pStyle w:val="ListAlpha"/>
        <w:ind w:left="1800" w:right="1440"/>
        <w:rPr>
          <w:rFonts w:cs="Arial"/>
          <w:bCs/>
          <w:szCs w:val="26"/>
        </w:rPr>
      </w:pPr>
      <w:r w:rsidRPr="00C469A1">
        <w:rPr>
          <w:rFonts w:cs="Arial"/>
          <w:bCs/>
          <w:szCs w:val="26"/>
        </w:rPr>
        <w:t>Should the Commission assess the ISO’s role to both govern the RO market and provide “separate market services” to a withdrawing entity under § 345.6(d)</w:t>
      </w:r>
      <w:r>
        <w:rPr>
          <w:rFonts w:cs="Arial"/>
          <w:bCs/>
          <w:szCs w:val="26"/>
        </w:rPr>
        <w:t>?  I</w:t>
      </w:r>
      <w:r w:rsidRPr="00C469A1">
        <w:rPr>
          <w:rFonts w:cs="Arial"/>
          <w:bCs/>
          <w:szCs w:val="26"/>
        </w:rPr>
        <w:t>f so, how?</w:t>
      </w:r>
    </w:p>
    <w:p w:rsidRPr="00A0722D" w:rsidR="00C11245" w:rsidP="00C11245" w:rsidRDefault="00C11245" w14:paraId="04926B40" w14:textId="2C70B86F">
      <w:pPr>
        <w:pStyle w:val="ListAlpha"/>
        <w:ind w:left="1800" w:right="1440"/>
        <w:rPr>
          <w:bCs/>
        </w:rPr>
      </w:pPr>
      <w:r>
        <w:rPr>
          <w:bCs/>
        </w:rPr>
        <w:t xml:space="preserve">Pursuant to </w:t>
      </w:r>
      <w:r w:rsidRPr="00A0722D">
        <w:rPr>
          <w:bCs/>
        </w:rPr>
        <w:t>§</w:t>
      </w:r>
      <w:r>
        <w:rPr>
          <w:bCs/>
        </w:rPr>
        <w:t xml:space="preserve"> 345.6(e)(2) and the ISO’s report to the Commission, how should the report be submitted to the Commission? </w:t>
      </w:r>
    </w:p>
    <w:p w:rsidRPr="00250CEF" w:rsidR="00C11245" w:rsidP="00C11245" w:rsidRDefault="00C11245" w14:paraId="4714BDBD" w14:textId="77777777">
      <w:pPr>
        <w:pStyle w:val="ListAlpha"/>
        <w:ind w:left="1800" w:right="1440"/>
        <w:rPr>
          <w:bCs/>
        </w:rPr>
      </w:pPr>
      <w:r w:rsidRPr="003E5F5F">
        <w:rPr>
          <w:rFonts w:cs="Arial"/>
          <w:bCs/>
          <w:szCs w:val="26"/>
        </w:rPr>
        <w:t xml:space="preserve">Pursuant to § 345.6(e)(3), if the Commission finds that the report required under § 345.6(e)(2) is not in compliance, should any additional process be developed? </w:t>
      </w:r>
    </w:p>
    <w:p w:rsidRPr="003C0192" w:rsidR="00C11245" w:rsidP="00C11245" w:rsidRDefault="00C11245" w14:paraId="01BFCB50" w14:textId="77777777">
      <w:pPr>
        <w:pStyle w:val="ListAlpha"/>
        <w:ind w:left="1800" w:right="1440"/>
        <w:rPr>
          <w:bCs/>
        </w:rPr>
      </w:pPr>
      <w:r w:rsidRPr="003E5F5F">
        <w:rPr>
          <w:rFonts w:cs="Arial"/>
          <w:bCs/>
          <w:szCs w:val="26"/>
        </w:rPr>
        <w:t xml:space="preserve">What schedule and process should be adopted to allow for sufficient process and time for the Commission to effectuate a </w:t>
      </w:r>
      <w:r w:rsidRPr="003E5F5F">
        <w:rPr>
          <w:bCs/>
        </w:rPr>
        <w:t xml:space="preserve">§ 345.6(d) withdrawal </w:t>
      </w:r>
      <w:r w:rsidRPr="003E5F5F">
        <w:rPr>
          <w:rFonts w:cs="Arial"/>
          <w:bCs/>
          <w:szCs w:val="26"/>
        </w:rPr>
        <w:t xml:space="preserve">determination, and to allow parties to sufficiently participate?  Should that schedule and process be developed before the Commission makes its § 345.6(c) determination? </w:t>
      </w:r>
      <w:r>
        <w:rPr>
          <w:rFonts w:cs="Arial"/>
          <w:bCs/>
          <w:szCs w:val="26"/>
        </w:rPr>
        <w:t xml:space="preserve"> </w:t>
      </w:r>
      <w:r w:rsidRPr="003E5F5F">
        <w:rPr>
          <w:rFonts w:cs="Arial"/>
          <w:bCs/>
          <w:szCs w:val="26"/>
        </w:rPr>
        <w:t>Should an ongoing process be developed?</w:t>
      </w:r>
    </w:p>
    <w:p w:rsidRPr="003C0192" w:rsidR="003C0192" w:rsidP="003C0192" w:rsidRDefault="003C0192" w14:paraId="5482CF3A" w14:textId="6146D199">
      <w:pPr>
        <w:pStyle w:val="ListAlpha"/>
        <w:ind w:left="1800" w:right="1440"/>
        <w:rPr>
          <w:rFonts w:cs="Arial"/>
          <w:bCs/>
          <w:szCs w:val="26"/>
        </w:rPr>
      </w:pPr>
      <w:r w:rsidRPr="003932FC">
        <w:rPr>
          <w:rFonts w:cs="Arial"/>
          <w:bCs/>
          <w:szCs w:val="26"/>
        </w:rPr>
        <w:lastRenderedPageBreak/>
        <w:t>What other terms or requirements in § 345.6(d)-(g) require further clarification?</w:t>
      </w:r>
    </w:p>
    <w:p w:rsidRPr="0073675A" w:rsidR="00C11245" w:rsidP="00C11245" w:rsidRDefault="00C11245" w14:paraId="1C1E894D" w14:textId="77777777">
      <w:pPr>
        <w:pStyle w:val="Heading3"/>
        <w:rPr>
          <w:bCs/>
        </w:rPr>
      </w:pPr>
      <w:r>
        <w:rPr>
          <w:bCs/>
        </w:rPr>
        <w:t>Issue 3. Additional Product/Service Participation.</w:t>
      </w:r>
    </w:p>
    <w:p w:rsidR="00C11245" w:rsidP="00D76587" w:rsidRDefault="00C11245" w14:paraId="5A861E9F" w14:textId="0744928E">
      <w:pPr>
        <w:rPr>
          <w:bCs/>
        </w:rPr>
      </w:pPr>
      <w:r w:rsidRPr="00FA4AB1">
        <w:rPr>
          <w:bCs/>
        </w:rPr>
        <w:t>Pub. Util. Code § 345.6(</w:t>
      </w:r>
      <w:r>
        <w:rPr>
          <w:bCs/>
        </w:rPr>
        <w:t xml:space="preserve">h)(4) provides that </w:t>
      </w:r>
      <w:r w:rsidRPr="00FA4AB1">
        <w:rPr>
          <w:bCs/>
        </w:rPr>
        <w:t>the Commission</w:t>
      </w:r>
      <w:r>
        <w:rPr>
          <w:bCs/>
        </w:rPr>
        <w:t xml:space="preserve"> maintains its authority over an electrical corporation’s participation in any additional products or services offered by an RO.  </w:t>
      </w:r>
    </w:p>
    <w:p w:rsidR="00C11245" w:rsidP="00C11245" w:rsidRDefault="00C11245" w14:paraId="665196D2" w14:textId="64EF3386">
      <w:pPr>
        <w:pStyle w:val="ListAlpha"/>
        <w:ind w:left="1800" w:right="1440"/>
        <w:rPr>
          <w:rFonts w:cs="Arial"/>
        </w:rPr>
      </w:pPr>
      <w:r w:rsidRPr="50641FFD">
        <w:rPr>
          <w:rFonts w:cs="Arial"/>
        </w:rPr>
        <w:t>How</w:t>
      </w:r>
      <w:r>
        <w:rPr>
          <w:rFonts w:cs="Arial"/>
        </w:rPr>
        <w:t xml:space="preserve">, and by what process, </w:t>
      </w:r>
      <w:r>
        <w:t>should</w:t>
      </w:r>
      <w:r w:rsidRPr="50641FFD">
        <w:rPr>
          <w:rFonts w:cs="Arial"/>
        </w:rPr>
        <w:t xml:space="preserve"> the Commission determine whether to authorize an electrical corporation’s participation in any additional products or services offered by the RO?  For example, how should the Commission consider whether to authorize an electrical corporation’s participation in a potential RO-administered resource adequacy program (in consideration of the Commission’s existing resource adequacy program)?</w:t>
      </w:r>
    </w:p>
    <w:p w:rsidRPr="008B64CB" w:rsidR="00C11245" w:rsidP="00C11245" w:rsidRDefault="00C11245" w14:paraId="02182BEA" w14:textId="77777777">
      <w:pPr>
        <w:pStyle w:val="ListAlpha"/>
        <w:ind w:left="1800" w:right="1440"/>
        <w:rPr>
          <w:rFonts w:cs="Arial"/>
          <w:bCs/>
          <w:szCs w:val="26"/>
        </w:rPr>
      </w:pPr>
      <w:r w:rsidRPr="008B64CB">
        <w:rPr>
          <w:rFonts w:cs="Arial"/>
          <w:bCs/>
          <w:szCs w:val="26"/>
        </w:rPr>
        <w:t>What other terms or requirements in § 345.6(h) and (j) require further clarification?</w:t>
      </w:r>
    </w:p>
    <w:p w:rsidRPr="00A16E8F" w:rsidR="00C11245" w:rsidP="00C11245" w:rsidRDefault="00C11245" w14:paraId="3B77D50D" w14:textId="77777777">
      <w:pPr>
        <w:pStyle w:val="Heading3"/>
        <w:rPr>
          <w:bCs/>
        </w:rPr>
      </w:pPr>
      <w:r>
        <w:rPr>
          <w:bCs/>
        </w:rPr>
        <w:t>Issue 4. Rule Revisions.</w:t>
      </w:r>
    </w:p>
    <w:p w:rsidR="00C11245" w:rsidP="00C11245" w:rsidRDefault="00C11245" w14:paraId="381A2D1C" w14:textId="0C6B9C31">
      <w:pPr>
        <w:pStyle w:val="ListAlpha"/>
        <w:ind w:left="1800" w:right="1440"/>
        <w:rPr>
          <w:rFonts w:cs="Arial"/>
          <w:bCs/>
          <w:szCs w:val="26"/>
        </w:rPr>
      </w:pPr>
      <w:r>
        <w:rPr>
          <w:rFonts w:cs="Arial"/>
          <w:bCs/>
          <w:szCs w:val="26"/>
        </w:rPr>
        <w:t xml:space="preserve">By what process </w:t>
      </w:r>
      <w:r w:rsidRPr="003932FC">
        <w:rPr>
          <w:rFonts w:cs="Arial"/>
          <w:bCs/>
          <w:szCs w:val="26"/>
        </w:rPr>
        <w:t>should the Commission consider revisions of relevant rules, regulations, or guidance to ensure that the transition to a regional energy market governed by the ISO or RO does not expand the types of transactions that meet the portfolio content category requirements of Section 399.16(</w:t>
      </w:r>
      <w:r>
        <w:rPr>
          <w:rFonts w:cs="Arial"/>
          <w:bCs/>
          <w:szCs w:val="26"/>
        </w:rPr>
        <w:t>b</w:t>
      </w:r>
      <w:r w:rsidRPr="003932FC">
        <w:rPr>
          <w:rFonts w:cs="Arial"/>
          <w:bCs/>
          <w:szCs w:val="26"/>
        </w:rPr>
        <w:t>)(</w:t>
      </w:r>
      <w:r>
        <w:rPr>
          <w:rFonts w:cs="Arial"/>
          <w:bCs/>
          <w:szCs w:val="26"/>
        </w:rPr>
        <w:t>1</w:t>
      </w:r>
      <w:r w:rsidRPr="003932FC">
        <w:rPr>
          <w:rFonts w:cs="Arial"/>
          <w:bCs/>
          <w:szCs w:val="26"/>
        </w:rPr>
        <w:t xml:space="preserve">), as compared to transactions that would meet those requirements on December 31, 2025? </w:t>
      </w:r>
      <w:r>
        <w:rPr>
          <w:rFonts w:cs="Arial"/>
          <w:bCs/>
          <w:szCs w:val="26"/>
        </w:rPr>
        <w:t xml:space="preserve"> </w:t>
      </w:r>
    </w:p>
    <w:p w:rsidRPr="00E95D90" w:rsidR="0024793D" w:rsidP="00C11245" w:rsidRDefault="0024793D" w14:paraId="7D506F8F" w14:textId="3BED2896">
      <w:pPr>
        <w:pStyle w:val="Standard"/>
        <w:spacing w:after="120" w:line="240" w:lineRule="auto"/>
        <w:ind w:right="1440" w:firstLine="0"/>
        <w:rPr>
          <w:rFonts w:cs="Arial"/>
          <w:bCs/>
          <w:szCs w:val="26"/>
        </w:rPr>
      </w:pPr>
    </w:p>
    <w:p w:rsidR="00580084" w:rsidP="00471F88" w:rsidRDefault="005F2CDE" w14:paraId="6B27BBB5" w14:textId="396F29C6">
      <w:pPr>
        <w:pStyle w:val="Heading1"/>
        <w:keepLines w:val="0"/>
      </w:pPr>
      <w:r>
        <w:t>Preliminary</w:t>
      </w:r>
      <w:r w:rsidR="00580084">
        <w:t xml:space="preserve"> Schedule</w:t>
      </w:r>
    </w:p>
    <w:p w:rsidR="00580084" w:rsidP="003A0810" w:rsidRDefault="00580084" w14:paraId="69ED3B55" w14:textId="33D527BA">
      <w:pPr>
        <w:pStyle w:val="Standard"/>
      </w:pPr>
      <w:r>
        <w:t xml:space="preserve">Based on comments, reply comments and discussion at the PHC, the Scoping Memo may add to or otherwise </w:t>
      </w:r>
      <w:r w:rsidR="003C0192">
        <w:t>modify</w:t>
      </w:r>
      <w:r>
        <w:t xml:space="preserve"> the </w:t>
      </w:r>
      <w:r w:rsidR="003C0192">
        <w:t xml:space="preserve">preliminary </w:t>
      </w:r>
      <w:r>
        <w:t>schedule.  Accordingly, the preliminary schedule for the proceeding is as follows:</w:t>
      </w:r>
    </w:p>
    <w:tbl>
      <w:tblPr>
        <w:tblW w:w="936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58" w:type="dxa"/>
          <w:bottom w:w="58" w:type="dxa"/>
        </w:tblCellMar>
        <w:tblLook w:val="04A0" w:firstRow="1" w:lastRow="0" w:firstColumn="1" w:lastColumn="0" w:noHBand="0" w:noVBand="1"/>
      </w:tblPr>
      <w:tblGrid>
        <w:gridCol w:w="6385"/>
        <w:gridCol w:w="2975"/>
      </w:tblGrid>
      <w:tr w:rsidR="00580084" w:rsidTr="009003E9" w14:paraId="62932F86" w14:textId="77777777">
        <w:trPr>
          <w:cantSplit/>
          <w:tblHeader/>
        </w:trPr>
        <w:tc>
          <w:tcPr>
            <w:tcW w:w="6385" w:type="dxa"/>
            <w:tcBorders>
              <w:top w:val="single" w:color="auto" w:sz="6" w:space="0"/>
              <w:left w:val="single" w:color="auto" w:sz="4" w:space="0"/>
              <w:bottom w:val="single" w:color="auto" w:sz="6" w:space="0"/>
              <w:right w:val="single" w:color="auto" w:sz="6" w:space="0"/>
            </w:tcBorders>
            <w:noWrap/>
            <w:vAlign w:val="bottom"/>
            <w:hideMark/>
          </w:tcPr>
          <w:p w:rsidR="00580084" w:rsidP="009003E9" w:rsidRDefault="00580084" w14:paraId="0503D8FB" w14:textId="77777777">
            <w:pPr>
              <w:keepNext/>
              <w:spacing w:line="240" w:lineRule="auto"/>
              <w:ind w:firstLine="0"/>
              <w:jc w:val="center"/>
              <w:rPr>
                <w:b/>
              </w:rPr>
            </w:pPr>
            <w:r>
              <w:rPr>
                <w:b/>
              </w:rPr>
              <w:lastRenderedPageBreak/>
              <w:t>EVENT</w:t>
            </w:r>
          </w:p>
        </w:tc>
        <w:tc>
          <w:tcPr>
            <w:tcW w:w="2975" w:type="dxa"/>
            <w:tcBorders>
              <w:top w:val="single" w:color="auto" w:sz="6" w:space="0"/>
              <w:left w:val="single" w:color="auto" w:sz="6" w:space="0"/>
              <w:bottom w:val="single" w:color="auto" w:sz="6" w:space="0"/>
              <w:right w:val="single" w:color="auto" w:sz="4" w:space="0"/>
            </w:tcBorders>
            <w:vAlign w:val="bottom"/>
            <w:hideMark/>
          </w:tcPr>
          <w:p w:rsidR="00580084" w:rsidP="009003E9" w:rsidRDefault="00580084" w14:paraId="7FA7C73B" w14:textId="77777777">
            <w:pPr>
              <w:keepNext/>
              <w:spacing w:line="240" w:lineRule="auto"/>
              <w:ind w:firstLine="0"/>
              <w:jc w:val="center"/>
              <w:rPr>
                <w:b/>
              </w:rPr>
            </w:pPr>
            <w:r>
              <w:rPr>
                <w:b/>
              </w:rPr>
              <w:t>DATE</w:t>
            </w:r>
          </w:p>
        </w:tc>
      </w:tr>
      <w:tr w:rsidR="00580084" w:rsidTr="009003E9" w14:paraId="0C018D8E" w14:textId="77777777">
        <w:trPr>
          <w:cantSplit/>
        </w:trPr>
        <w:tc>
          <w:tcPr>
            <w:tcW w:w="6385" w:type="dxa"/>
            <w:tcBorders>
              <w:top w:val="single" w:color="auto" w:sz="6" w:space="0"/>
              <w:left w:val="single" w:color="auto" w:sz="4" w:space="0"/>
              <w:bottom w:val="single" w:color="auto" w:sz="6" w:space="0"/>
              <w:right w:val="single" w:color="auto" w:sz="6" w:space="0"/>
            </w:tcBorders>
            <w:noWrap/>
            <w:hideMark/>
          </w:tcPr>
          <w:p w:rsidR="00580084" w:rsidP="003B1E87" w:rsidRDefault="00B478F3" w14:paraId="439302B8" w14:textId="752491F3">
            <w:pPr>
              <w:spacing w:line="240" w:lineRule="auto"/>
              <w:ind w:firstLine="0"/>
            </w:pPr>
            <w:r>
              <w:t xml:space="preserve">Opening </w:t>
            </w:r>
            <w:r w:rsidR="00580084">
              <w:t xml:space="preserve">Comments on OIR filed </w:t>
            </w:r>
            <w:r>
              <w:t>and served</w:t>
            </w:r>
          </w:p>
        </w:tc>
        <w:tc>
          <w:tcPr>
            <w:tcW w:w="2975" w:type="dxa"/>
            <w:tcBorders>
              <w:top w:val="single" w:color="auto" w:sz="6" w:space="0"/>
              <w:left w:val="single" w:color="auto" w:sz="6" w:space="0"/>
              <w:bottom w:val="single" w:color="auto" w:sz="6" w:space="0"/>
              <w:right w:val="single" w:color="auto" w:sz="4" w:space="0"/>
            </w:tcBorders>
            <w:hideMark/>
          </w:tcPr>
          <w:p w:rsidR="00865BB2" w:rsidP="003B1E87" w:rsidRDefault="00580084" w14:paraId="26B1794F" w14:textId="77777777">
            <w:pPr>
              <w:spacing w:line="240" w:lineRule="auto"/>
              <w:ind w:hanging="29"/>
              <w:jc w:val="center"/>
            </w:pPr>
            <w:r>
              <w:t>20 days from the</w:t>
            </w:r>
          </w:p>
          <w:p w:rsidR="00580084" w:rsidP="003B1E87" w:rsidRDefault="00580084" w14:paraId="79DC1AEA" w14:textId="2CCF45B2">
            <w:pPr>
              <w:spacing w:line="240" w:lineRule="auto"/>
              <w:ind w:hanging="29"/>
              <w:jc w:val="center"/>
            </w:pPr>
            <w:r>
              <w:t>issuance of OIR</w:t>
            </w:r>
          </w:p>
        </w:tc>
      </w:tr>
      <w:tr w:rsidR="00580084" w:rsidTr="009003E9" w14:paraId="23A2A188" w14:textId="77777777">
        <w:trPr>
          <w:cantSplit/>
        </w:trPr>
        <w:tc>
          <w:tcPr>
            <w:tcW w:w="6385" w:type="dxa"/>
            <w:tcBorders>
              <w:top w:val="single" w:color="auto" w:sz="6" w:space="0"/>
              <w:left w:val="single" w:color="auto" w:sz="4" w:space="0"/>
              <w:bottom w:val="single" w:color="auto" w:sz="6" w:space="0"/>
              <w:right w:val="single" w:color="auto" w:sz="6" w:space="0"/>
            </w:tcBorders>
            <w:noWrap/>
            <w:hideMark/>
          </w:tcPr>
          <w:p w:rsidR="00580084" w:rsidP="003B1E87" w:rsidRDefault="00580084" w14:paraId="32A02E85" w14:textId="4B3294A3">
            <w:pPr>
              <w:spacing w:line="240" w:lineRule="auto"/>
              <w:ind w:hanging="30"/>
            </w:pPr>
            <w:r>
              <w:t xml:space="preserve">Reply </w:t>
            </w:r>
            <w:r w:rsidR="00C11245">
              <w:t>C</w:t>
            </w:r>
            <w:r>
              <w:t>omments on OIR filed</w:t>
            </w:r>
            <w:r w:rsidR="00B478F3">
              <w:t xml:space="preserve"> and served</w:t>
            </w:r>
          </w:p>
        </w:tc>
        <w:tc>
          <w:tcPr>
            <w:tcW w:w="2975" w:type="dxa"/>
            <w:tcBorders>
              <w:top w:val="single" w:color="auto" w:sz="6" w:space="0"/>
              <w:left w:val="single" w:color="auto" w:sz="6" w:space="0"/>
              <w:bottom w:val="single" w:color="auto" w:sz="6" w:space="0"/>
              <w:right w:val="single" w:color="auto" w:sz="4" w:space="0"/>
            </w:tcBorders>
            <w:hideMark/>
          </w:tcPr>
          <w:p w:rsidR="00865BB2" w:rsidP="003B1E87" w:rsidRDefault="00580084" w14:paraId="49850C39" w14:textId="77777777">
            <w:pPr>
              <w:spacing w:line="240" w:lineRule="auto"/>
              <w:ind w:hanging="29"/>
              <w:jc w:val="center"/>
            </w:pPr>
            <w:r>
              <w:t>30 days from the</w:t>
            </w:r>
          </w:p>
          <w:p w:rsidR="00580084" w:rsidP="003B1E87" w:rsidRDefault="00580084" w14:paraId="4625650E" w14:textId="018795A8">
            <w:pPr>
              <w:spacing w:line="240" w:lineRule="auto"/>
              <w:ind w:hanging="29"/>
              <w:jc w:val="center"/>
            </w:pPr>
            <w:r>
              <w:t>issuance of OIR</w:t>
            </w:r>
          </w:p>
        </w:tc>
      </w:tr>
      <w:tr w:rsidR="00580084" w:rsidTr="009003E9" w14:paraId="569D6668" w14:textId="77777777">
        <w:trPr>
          <w:cantSplit/>
        </w:trPr>
        <w:tc>
          <w:tcPr>
            <w:tcW w:w="6385" w:type="dxa"/>
            <w:tcBorders>
              <w:top w:val="single" w:color="auto" w:sz="6" w:space="0"/>
              <w:left w:val="single" w:color="auto" w:sz="4" w:space="0"/>
              <w:bottom w:val="single" w:color="auto" w:sz="6" w:space="0"/>
              <w:right w:val="single" w:color="auto" w:sz="6" w:space="0"/>
            </w:tcBorders>
            <w:noWrap/>
            <w:hideMark/>
          </w:tcPr>
          <w:p w:rsidR="00580084" w:rsidP="003B1E87" w:rsidRDefault="00AA05D6" w14:paraId="311B90E9" w14:textId="429B1229">
            <w:pPr>
              <w:spacing w:line="240" w:lineRule="auto"/>
              <w:ind w:hanging="30"/>
            </w:pPr>
            <w:r>
              <w:t>P</w:t>
            </w:r>
            <w:r w:rsidR="00794613">
              <w:t>rehearing Conference</w:t>
            </w:r>
          </w:p>
        </w:tc>
        <w:tc>
          <w:tcPr>
            <w:tcW w:w="2975" w:type="dxa"/>
            <w:tcBorders>
              <w:top w:val="single" w:color="auto" w:sz="6" w:space="0"/>
              <w:left w:val="single" w:color="auto" w:sz="6" w:space="0"/>
              <w:bottom w:val="single" w:color="auto" w:sz="6" w:space="0"/>
              <w:right w:val="single" w:color="auto" w:sz="4" w:space="0"/>
            </w:tcBorders>
            <w:hideMark/>
          </w:tcPr>
          <w:p w:rsidR="00580084" w:rsidP="003B1E87" w:rsidRDefault="003A0810" w14:paraId="48D61CBB" w14:textId="13042010">
            <w:pPr>
              <w:spacing w:line="240" w:lineRule="auto"/>
              <w:ind w:hanging="29"/>
              <w:jc w:val="center"/>
            </w:pPr>
            <w:r>
              <w:t>November</w:t>
            </w:r>
            <w:r w:rsidR="00131AF4">
              <w:t xml:space="preserve"> </w:t>
            </w:r>
            <w:r w:rsidR="00155585">
              <w:t>12,</w:t>
            </w:r>
            <w:r w:rsidR="00131AF4">
              <w:t xml:space="preserve"> 2026</w:t>
            </w:r>
          </w:p>
          <w:p w:rsidR="008073A3" w:rsidP="003B1E87" w:rsidRDefault="008073A3" w14:paraId="09B2C271" w14:textId="14F5C5AA">
            <w:pPr>
              <w:spacing w:line="240" w:lineRule="auto"/>
              <w:ind w:hanging="29"/>
              <w:jc w:val="center"/>
            </w:pPr>
            <w:r>
              <w:t>10:00 a.m.</w:t>
            </w:r>
          </w:p>
          <w:p w:rsidRPr="00EE6AB1" w:rsidR="005E2963" w:rsidP="003B1E87" w:rsidRDefault="005E2963" w14:paraId="00159262" w14:textId="13C0CA33">
            <w:pPr>
              <w:spacing w:line="240" w:lineRule="auto"/>
              <w:ind w:hanging="29"/>
              <w:jc w:val="center"/>
            </w:pPr>
            <w:r>
              <w:t xml:space="preserve">Via </w:t>
            </w:r>
            <w:r w:rsidR="00F06BF9">
              <w:t>WebEx</w:t>
            </w:r>
          </w:p>
        </w:tc>
      </w:tr>
      <w:tr w:rsidR="00580084" w:rsidTr="009003E9" w14:paraId="3877438F" w14:textId="77777777">
        <w:trPr>
          <w:cantSplit/>
        </w:trPr>
        <w:tc>
          <w:tcPr>
            <w:tcW w:w="6385" w:type="dxa"/>
            <w:tcBorders>
              <w:top w:val="single" w:color="auto" w:sz="6" w:space="0"/>
              <w:left w:val="single" w:color="auto" w:sz="4" w:space="0"/>
              <w:bottom w:val="single" w:color="auto" w:sz="6" w:space="0"/>
              <w:right w:val="single" w:color="auto" w:sz="6" w:space="0"/>
            </w:tcBorders>
            <w:noWrap/>
            <w:hideMark/>
          </w:tcPr>
          <w:p w:rsidR="00580084" w:rsidP="003B1E87" w:rsidRDefault="00580084" w14:paraId="6F6E9572" w14:textId="77777777">
            <w:pPr>
              <w:spacing w:line="240" w:lineRule="auto"/>
              <w:ind w:hanging="30"/>
            </w:pPr>
            <w:r>
              <w:t>Scoping Memo issued</w:t>
            </w:r>
          </w:p>
        </w:tc>
        <w:tc>
          <w:tcPr>
            <w:tcW w:w="2975" w:type="dxa"/>
            <w:tcBorders>
              <w:top w:val="single" w:color="auto" w:sz="6" w:space="0"/>
              <w:left w:val="single" w:color="auto" w:sz="6" w:space="0"/>
              <w:bottom w:val="single" w:color="auto" w:sz="6" w:space="0"/>
              <w:right w:val="single" w:color="auto" w:sz="4" w:space="0"/>
            </w:tcBorders>
            <w:hideMark/>
          </w:tcPr>
          <w:p w:rsidR="00580084" w:rsidP="003B1E87" w:rsidRDefault="00131AF4" w14:paraId="006832F3" w14:textId="77B9D1C5">
            <w:pPr>
              <w:spacing w:line="240" w:lineRule="auto"/>
              <w:ind w:hanging="29"/>
              <w:jc w:val="center"/>
            </w:pPr>
            <w:r>
              <w:t>December</w:t>
            </w:r>
            <w:r w:rsidR="00580084">
              <w:t xml:space="preserve"> 202</w:t>
            </w:r>
            <w:r>
              <w:t>6</w:t>
            </w:r>
          </w:p>
        </w:tc>
      </w:tr>
      <w:tr w:rsidR="00B478F3" w:rsidTr="009003E9" w14:paraId="38C59AE9" w14:textId="77777777">
        <w:trPr>
          <w:cantSplit/>
        </w:trPr>
        <w:tc>
          <w:tcPr>
            <w:tcW w:w="6385" w:type="dxa"/>
            <w:tcBorders>
              <w:top w:val="single" w:color="auto" w:sz="6" w:space="0"/>
              <w:left w:val="single" w:color="auto" w:sz="4" w:space="0"/>
              <w:bottom w:val="single" w:color="auto" w:sz="4" w:space="0"/>
              <w:right w:val="single" w:color="auto" w:sz="6" w:space="0"/>
            </w:tcBorders>
            <w:noWrap/>
          </w:tcPr>
          <w:p w:rsidR="00B478F3" w:rsidP="003B1E87" w:rsidRDefault="00B478F3" w14:paraId="1ABB4413" w14:textId="2B5FB72E">
            <w:pPr>
              <w:spacing w:line="240" w:lineRule="auto"/>
              <w:ind w:hanging="30"/>
            </w:pPr>
            <w:r>
              <w:t>Workshop on Scoped Issues</w:t>
            </w:r>
          </w:p>
        </w:tc>
        <w:tc>
          <w:tcPr>
            <w:tcW w:w="2975" w:type="dxa"/>
            <w:tcBorders>
              <w:top w:val="single" w:color="auto" w:sz="6" w:space="0"/>
              <w:left w:val="single" w:color="auto" w:sz="6" w:space="0"/>
              <w:bottom w:val="single" w:color="auto" w:sz="4" w:space="0"/>
              <w:right w:val="single" w:color="auto" w:sz="4" w:space="0"/>
            </w:tcBorders>
          </w:tcPr>
          <w:p w:rsidR="00B478F3" w:rsidP="003B1E87" w:rsidRDefault="00B478F3" w14:paraId="1D2F4061" w14:textId="04C3E677">
            <w:pPr>
              <w:spacing w:line="240" w:lineRule="auto"/>
              <w:ind w:hanging="29"/>
              <w:jc w:val="center"/>
            </w:pPr>
            <w:r>
              <w:t>February 2027</w:t>
            </w:r>
          </w:p>
        </w:tc>
      </w:tr>
      <w:tr w:rsidR="00B478F3" w:rsidTr="009003E9" w14:paraId="2012309A" w14:textId="77777777">
        <w:trPr>
          <w:cantSplit/>
        </w:trPr>
        <w:tc>
          <w:tcPr>
            <w:tcW w:w="6385" w:type="dxa"/>
            <w:tcBorders>
              <w:top w:val="single" w:color="auto" w:sz="6" w:space="0"/>
              <w:left w:val="single" w:color="auto" w:sz="4" w:space="0"/>
              <w:bottom w:val="single" w:color="auto" w:sz="4" w:space="0"/>
              <w:right w:val="single" w:color="auto" w:sz="6" w:space="0"/>
            </w:tcBorders>
            <w:noWrap/>
          </w:tcPr>
          <w:p w:rsidR="00B478F3" w:rsidP="003B1E87" w:rsidRDefault="00B478F3" w14:paraId="49DA1375" w14:textId="72A60C18">
            <w:pPr>
              <w:spacing w:line="240" w:lineRule="auto"/>
              <w:ind w:hanging="30"/>
            </w:pPr>
            <w:r>
              <w:t>Comments on Scoped Issue</w:t>
            </w:r>
            <w:r w:rsidR="00131AF4">
              <w:t>s</w:t>
            </w:r>
          </w:p>
        </w:tc>
        <w:tc>
          <w:tcPr>
            <w:tcW w:w="2975" w:type="dxa"/>
            <w:tcBorders>
              <w:top w:val="single" w:color="auto" w:sz="6" w:space="0"/>
              <w:left w:val="single" w:color="auto" w:sz="6" w:space="0"/>
              <w:bottom w:val="single" w:color="auto" w:sz="4" w:space="0"/>
              <w:right w:val="single" w:color="auto" w:sz="4" w:space="0"/>
            </w:tcBorders>
          </w:tcPr>
          <w:p w:rsidR="00B478F3" w:rsidP="003B1E87" w:rsidRDefault="00B478F3" w14:paraId="4E294393" w14:textId="46BB6DA5">
            <w:pPr>
              <w:spacing w:line="240" w:lineRule="auto"/>
              <w:ind w:hanging="29"/>
              <w:jc w:val="center"/>
            </w:pPr>
            <w:r>
              <w:t xml:space="preserve">March /April 2027 </w:t>
            </w:r>
          </w:p>
        </w:tc>
      </w:tr>
      <w:tr w:rsidR="0064381A" w:rsidTr="009003E9" w14:paraId="3A284B2E" w14:textId="77777777">
        <w:trPr>
          <w:cantSplit/>
        </w:trPr>
        <w:tc>
          <w:tcPr>
            <w:tcW w:w="6385" w:type="dxa"/>
            <w:tcBorders>
              <w:top w:val="single" w:color="auto" w:sz="6" w:space="0"/>
              <w:left w:val="single" w:color="auto" w:sz="4" w:space="0"/>
              <w:bottom w:val="single" w:color="auto" w:sz="4" w:space="0"/>
              <w:right w:val="single" w:color="auto" w:sz="6" w:space="0"/>
            </w:tcBorders>
            <w:noWrap/>
          </w:tcPr>
          <w:p w:rsidR="0064381A" w:rsidP="003B1E87" w:rsidRDefault="0064381A" w14:paraId="0A293715" w14:textId="36D8FF46">
            <w:pPr>
              <w:spacing w:line="240" w:lineRule="auto"/>
              <w:ind w:hanging="30"/>
            </w:pPr>
            <w:r>
              <w:t xml:space="preserve">Proposed Decision </w:t>
            </w:r>
          </w:p>
        </w:tc>
        <w:tc>
          <w:tcPr>
            <w:tcW w:w="2975" w:type="dxa"/>
            <w:tcBorders>
              <w:top w:val="single" w:color="auto" w:sz="6" w:space="0"/>
              <w:left w:val="single" w:color="auto" w:sz="6" w:space="0"/>
              <w:bottom w:val="single" w:color="auto" w:sz="4" w:space="0"/>
              <w:right w:val="single" w:color="auto" w:sz="4" w:space="0"/>
            </w:tcBorders>
          </w:tcPr>
          <w:p w:rsidR="0064381A" w:rsidP="003B1E87" w:rsidRDefault="001D6887" w14:paraId="6A32CE7C" w14:textId="6A7A3F3B">
            <w:pPr>
              <w:spacing w:line="240" w:lineRule="auto"/>
              <w:ind w:hanging="29"/>
              <w:jc w:val="center"/>
            </w:pPr>
            <w:r>
              <w:t>3</w:t>
            </w:r>
            <w:r w:rsidRPr="001D6887">
              <w:rPr>
                <w:vertAlign w:val="superscript"/>
              </w:rPr>
              <w:t>rd</w:t>
            </w:r>
            <w:r>
              <w:t xml:space="preserve"> Quarter</w:t>
            </w:r>
            <w:r w:rsidR="0064381A">
              <w:t xml:space="preserve"> 202</w:t>
            </w:r>
            <w:r w:rsidR="00B478F3">
              <w:t>7</w:t>
            </w:r>
          </w:p>
        </w:tc>
      </w:tr>
    </w:tbl>
    <w:p w:rsidR="00580084" w:rsidP="00E95D90" w:rsidRDefault="00580084" w14:paraId="0DF5A7D9" w14:textId="565049CF">
      <w:pPr>
        <w:pStyle w:val="Standard"/>
        <w:spacing w:before="240"/>
      </w:pPr>
      <w:r>
        <w:t xml:space="preserve">The PHC will be held remotely on </w:t>
      </w:r>
      <w:r w:rsidR="00722FD8">
        <w:t>November 12, 2026</w:t>
      </w:r>
      <w:r w:rsidR="00056C95">
        <w:t>,</w:t>
      </w:r>
      <w:r>
        <w:t xml:space="preserve"> at 10:00</w:t>
      </w:r>
      <w:r w:rsidR="00DF0746">
        <w:t> </w:t>
      </w:r>
      <w:r>
        <w:t>a.m.</w:t>
      </w:r>
      <w:r w:rsidR="0064381A">
        <w:t xml:space="preserve"> via </w:t>
      </w:r>
      <w:r w:rsidR="00DF0746">
        <w:t>Webex</w:t>
      </w:r>
      <w:r w:rsidR="0064381A">
        <w:t>.</w:t>
      </w:r>
      <w:r w:rsidR="00E62727">
        <w:t xml:space="preserve">  A PHC will be held for the purposes of (1) taking appearances, (2)</w:t>
      </w:r>
      <w:r w:rsidR="00F74B41">
        <w:t> </w:t>
      </w:r>
      <w:r w:rsidR="00E62727">
        <w:t>discussing schedule and process, and (3) informing the Scoping Memo.</w:t>
      </w:r>
    </w:p>
    <w:p w:rsidR="00580084" w:rsidP="00471F88" w:rsidRDefault="00580084" w14:paraId="2434E02A" w14:textId="1DBE9172">
      <w:pPr>
        <w:pStyle w:val="Standard"/>
      </w:pPr>
      <w:r>
        <w:t xml:space="preserve">This is a preliminary schedule, and is subject to change.  The assigned Commissioner and the assigned </w:t>
      </w:r>
      <w:r w:rsidRPr="00E80B04">
        <w:t xml:space="preserve">Administrative Law Judge </w:t>
      </w:r>
      <w:r>
        <w:t>(</w:t>
      </w:r>
      <w:r w:rsidRPr="00E80B04">
        <w:rPr>
          <w:szCs w:val="26"/>
        </w:rPr>
        <w:t>ALJ</w:t>
      </w:r>
      <w:r>
        <w:t xml:space="preserve">) have the authority to make any and all necessary changes to the schedule during the course of the proceeding to promote the efficient and fair resolution of the rulemaking.  </w:t>
      </w:r>
      <w:r w:rsidR="00B478F3">
        <w:t>Based on this schedule, the proceeding will be resolved within 24</w:t>
      </w:r>
      <w:r w:rsidR="00F74B41">
        <w:t> </w:t>
      </w:r>
      <w:r w:rsidR="00B478F3">
        <w:t>months.</w:t>
      </w:r>
    </w:p>
    <w:p w:rsidR="00580084" w:rsidP="00471F88" w:rsidRDefault="00580084" w14:paraId="1B8864CE" w14:textId="06A1CEA7">
      <w:pPr>
        <w:pStyle w:val="Standard"/>
      </w:pPr>
      <w:r>
        <w:t xml:space="preserve">There </w:t>
      </w:r>
      <w:r w:rsidR="00B478F3">
        <w:t xml:space="preserve">may be a </w:t>
      </w:r>
      <w:r>
        <w:t>workshop in this proceeding.  Notice of workshops or webinars will be noticed to the service list of this proceeding and posted on the Commission’s Daily Calendar to inform the public that a decisionmaker or an advisor may be present at those meetings or workshops.  Parties should check the Daily Calendar regularly for such notices.</w:t>
      </w:r>
    </w:p>
    <w:p w:rsidR="00B478F3" w:rsidP="00B478F3" w:rsidRDefault="00B478F3" w14:paraId="79CAE330" w14:textId="77777777">
      <w:pPr>
        <w:pStyle w:val="Heading1"/>
        <w:keepLines w:val="0"/>
      </w:pPr>
      <w:r>
        <w:lastRenderedPageBreak/>
        <w:t>Comments on Preliminary Determinations</w:t>
      </w:r>
      <w:r>
        <w:br/>
        <w:t>and Scoping Memo</w:t>
      </w:r>
    </w:p>
    <w:p w:rsidR="0050631A" w:rsidP="00B478F3" w:rsidRDefault="00B478F3" w14:paraId="70129D81" w14:textId="729D2B0D">
      <w:pPr>
        <w:pStyle w:val="Standard"/>
      </w:pPr>
      <w:r>
        <w:t xml:space="preserve">This OIR serves as a solicitation for parties to comment on the preliminary determinations and </w:t>
      </w:r>
      <w:r w:rsidR="003C0192">
        <w:t xml:space="preserve">the </w:t>
      </w:r>
      <w:r w:rsidR="00F06BF9">
        <w:t>scope of issues</w:t>
      </w:r>
      <w:r>
        <w:t xml:space="preserve"> identified in this order.  </w:t>
      </w:r>
      <w:r w:rsidRPr="005F2CDE" w:rsidR="0050631A">
        <w:rPr>
          <w:rFonts w:cs="Arial"/>
          <w:bCs/>
          <w:szCs w:val="26"/>
        </w:rPr>
        <w:t xml:space="preserve">The entities named as respondents shall, and all other </w:t>
      </w:r>
      <w:r w:rsidR="0050631A">
        <w:rPr>
          <w:rFonts w:cs="Arial"/>
          <w:bCs/>
          <w:szCs w:val="26"/>
        </w:rPr>
        <w:t>entities</w:t>
      </w:r>
      <w:r w:rsidRPr="005F2CDE" w:rsidR="0050631A">
        <w:rPr>
          <w:rFonts w:cs="Arial"/>
          <w:bCs/>
          <w:szCs w:val="26"/>
        </w:rPr>
        <w:t xml:space="preserve"> may, file and serve comments.  </w:t>
      </w:r>
    </w:p>
    <w:p w:rsidR="00B478F3" w:rsidP="00B478F3" w:rsidRDefault="00B478F3" w14:paraId="00DB57FB" w14:textId="6E7D18D7">
      <w:pPr>
        <w:pStyle w:val="Standard"/>
      </w:pPr>
      <w:r>
        <w:t>Comments are due to be filed and served no later than 20 days after the issuance of this OIR.  Reply comments may be filed and served no later than 30 days after the issuance of this OIR.  Comments are limited to no more than 25 pages per party, with replies limited to 15 pages per party.</w:t>
      </w:r>
    </w:p>
    <w:p w:rsidR="00580084" w:rsidP="00471F88" w:rsidRDefault="00580084" w14:paraId="672B6F12" w14:textId="28DABF51">
      <w:pPr>
        <w:pStyle w:val="Heading1"/>
        <w:keepLines w:val="0"/>
      </w:pPr>
      <w:r>
        <w:t xml:space="preserve">Category of Proceeding; </w:t>
      </w:r>
      <w:r>
        <w:rPr>
          <w:i/>
          <w:iCs/>
        </w:rPr>
        <w:t>Ex</w:t>
      </w:r>
      <w:r w:rsidR="00EC5D54">
        <w:rPr>
          <w:i/>
          <w:iCs/>
        </w:rPr>
        <w:t> </w:t>
      </w:r>
      <w:r>
        <w:rPr>
          <w:i/>
          <w:iCs/>
        </w:rPr>
        <w:t>Parte</w:t>
      </w:r>
      <w:r>
        <w:br/>
        <w:t>Communications; Need for Hearing</w:t>
      </w:r>
    </w:p>
    <w:p w:rsidR="00865BB2" w:rsidP="00471F88" w:rsidRDefault="00580084" w14:paraId="04B2E7C7" w14:textId="286CA766">
      <w:pPr>
        <w:pStyle w:val="Standard"/>
      </w:pPr>
      <w:r>
        <w:t xml:space="preserve">The </w:t>
      </w:r>
      <w:r w:rsidR="006C450D">
        <w:t xml:space="preserve">Commission’s </w:t>
      </w:r>
      <w:r>
        <w:t>Rules require that an OIR preliminarily determine the category of the proceeding and the need for hearing.</w:t>
      </w:r>
      <w:r>
        <w:rPr>
          <w:vertAlign w:val="superscript"/>
        </w:rPr>
        <w:footnoteReference w:id="3"/>
      </w:r>
      <w:r>
        <w:t xml:space="preserve">  The category of the proceeding is preliminarily determined to be </w:t>
      </w:r>
      <w:r w:rsidR="00FA7855">
        <w:t>quasi-legislative</w:t>
      </w:r>
      <w:r>
        <w:t xml:space="preserve">.  Accordingly, </w:t>
      </w:r>
      <w:r>
        <w:rPr>
          <w:i/>
        </w:rPr>
        <w:t>ex</w:t>
      </w:r>
      <w:r w:rsidR="00995F78">
        <w:rPr>
          <w:i/>
        </w:rPr>
        <w:t> </w:t>
      </w:r>
      <w:r>
        <w:rPr>
          <w:i/>
        </w:rPr>
        <w:t>parte</w:t>
      </w:r>
      <w:r>
        <w:t xml:space="preserve"> communications are </w:t>
      </w:r>
      <w:r w:rsidR="00FA7855">
        <w:t xml:space="preserve">permitted per Article 8 of the Rules of Practice and Procedure. </w:t>
      </w:r>
      <w:r>
        <w:t xml:space="preserve"> </w:t>
      </w:r>
      <w:r w:rsidRPr="00FA7855" w:rsidR="00FA7855">
        <w:t>However, parties are reminded not</w:t>
      </w:r>
      <w:r w:rsidR="00F06BF9">
        <w:t xml:space="preserve"> to</w:t>
      </w:r>
      <w:r w:rsidRPr="00FA7855" w:rsidR="00FA7855">
        <w:t xml:space="preserve"> contact the assigned ALJ outside of a publicly-noticed forum, except that parties may send procedural questions by email to the assigned ALJ</w:t>
      </w:r>
      <w:r w:rsidR="00F06BF9">
        <w:t xml:space="preserve"> (with service to the service list of the proceeding)</w:t>
      </w:r>
      <w:r w:rsidRPr="00FA7855" w:rsidR="00FA7855">
        <w:t>.</w:t>
      </w:r>
    </w:p>
    <w:p w:rsidR="00580084" w:rsidP="00471F88" w:rsidRDefault="00B478F3" w14:paraId="2259D51E" w14:textId="502ED1F6">
      <w:pPr>
        <w:pStyle w:val="Standard"/>
      </w:pPr>
      <w:r>
        <w:t xml:space="preserve">The Commission is required to preliminarily </w:t>
      </w:r>
      <w:r w:rsidR="00580084">
        <w:t xml:space="preserve">determine </w:t>
      </w:r>
      <w:r>
        <w:t>if</w:t>
      </w:r>
      <w:r w:rsidR="00580084">
        <w:t xml:space="preserve"> hearings are necessary.  </w:t>
      </w:r>
      <w:r>
        <w:t>We preliminarily determine that hearings are not necessary for this proceeding.</w:t>
      </w:r>
      <w:r w:rsidR="00580084">
        <w:t xml:space="preserve"> </w:t>
      </w:r>
    </w:p>
    <w:p w:rsidR="005F2CDE" w:rsidP="005F2CDE" w:rsidRDefault="005F2CDE" w14:paraId="21723EB1" w14:textId="77777777">
      <w:pPr>
        <w:pStyle w:val="Heading1"/>
        <w:rPr>
          <w:rFonts w:ascii="Helvetica" w:hAnsi="Helvetica"/>
        </w:rPr>
      </w:pPr>
      <w:r>
        <w:lastRenderedPageBreak/>
        <w:t>Respondents</w:t>
      </w:r>
    </w:p>
    <w:p w:rsidR="003D291F" w:rsidP="00722FD8" w:rsidRDefault="001D6887" w14:paraId="6B190304" w14:textId="533E8C08">
      <w:pPr>
        <w:pStyle w:val="standard0"/>
      </w:pPr>
      <w:r>
        <w:t xml:space="preserve">The </w:t>
      </w:r>
      <w:r w:rsidR="005F2CDE">
        <w:t xml:space="preserve">electrical corporations </w:t>
      </w:r>
      <w:r w:rsidR="00C35D9B">
        <w:t xml:space="preserve">in CAISO’s balancing authority area </w:t>
      </w:r>
      <w:r w:rsidR="005F2CDE">
        <w:t>are named as respondents to this proceeding</w:t>
      </w:r>
      <w:r w:rsidR="00B478F3">
        <w:t>: Pacific Gas and Electric Company,</w:t>
      </w:r>
      <w:r w:rsidR="004C46EF">
        <w:t xml:space="preserve"> </w:t>
      </w:r>
      <w:r w:rsidR="00B478F3">
        <w:t xml:space="preserve">Southern California Edison Company, and San Diego Gas </w:t>
      </w:r>
      <w:r w:rsidR="00C11245">
        <w:t xml:space="preserve">&amp; </w:t>
      </w:r>
      <w:r w:rsidR="00B478F3">
        <w:t>Electric Company.</w:t>
      </w:r>
    </w:p>
    <w:p w:rsidR="00580084" w:rsidP="00471F88" w:rsidRDefault="00580084" w14:paraId="6B51AD99" w14:textId="77777777">
      <w:pPr>
        <w:pStyle w:val="Heading1"/>
        <w:keepLines w:val="0"/>
      </w:pPr>
      <w:bookmarkStart w:name="_Toc386104451" w:id="2"/>
      <w:r>
        <w:t>Service of Order Instituting Rulemaking</w:t>
      </w:r>
      <w:bookmarkEnd w:id="2"/>
    </w:p>
    <w:p w:rsidR="005F2CDE" w:rsidP="004C46EF" w:rsidRDefault="00580084" w14:paraId="4FDE5423" w14:textId="0AD8DB8A">
      <w:pPr>
        <w:pStyle w:val="Standard"/>
      </w:pPr>
      <w:r>
        <w:t>This OIR shall be served on</w:t>
      </w:r>
      <w:r w:rsidR="005F2CDE">
        <w:t xml:space="preserve"> all respondents</w:t>
      </w:r>
      <w:r>
        <w:t xml:space="preserve">. </w:t>
      </w:r>
      <w:r w:rsidR="005F2CDE">
        <w:t xml:space="preserve"> In addition, in the interest of broad notice, this OIR will be served on:</w:t>
      </w:r>
      <w:r w:rsidR="004C46EF">
        <w:t xml:space="preserve"> </w:t>
      </w:r>
      <w:r w:rsidR="00FB6A00">
        <w:t xml:space="preserve">Rulemaking (R.) 20-05-003, R.24-01-017, R.25-02-005, </w:t>
      </w:r>
      <w:r w:rsidR="00C11245">
        <w:t xml:space="preserve">R.25-06-019, </w:t>
      </w:r>
      <w:r w:rsidR="00FB6A00">
        <w:t>and R.25-10-003.</w:t>
      </w:r>
    </w:p>
    <w:p w:rsidR="00865BB2" w:rsidP="00471F88" w:rsidRDefault="00580084" w14:paraId="66B36EDE" w14:textId="6B5EACFF">
      <w:pPr>
        <w:pStyle w:val="Standard"/>
      </w:pPr>
      <w:r>
        <w:rPr>
          <w:iCs/>
        </w:rPr>
        <w:t xml:space="preserve">Service of the OIR does not confer party status or place a person who has received such service on the Official Service List for this proceeding.  </w:t>
      </w:r>
      <w:r>
        <w:t xml:space="preserve">Addition to the official service list is governed by </w:t>
      </w:r>
      <w:r w:rsidR="00E74658">
        <w:t>Rule </w:t>
      </w:r>
      <w:r>
        <w:t>1.9(f).</w:t>
      </w:r>
    </w:p>
    <w:p w:rsidR="004C46EF" w:rsidP="004C46EF" w:rsidRDefault="004C46EF" w14:paraId="1A111760" w14:textId="5EDA11FD">
      <w:pPr>
        <w:pStyle w:val="Heading1"/>
        <w:keepLines w:val="0"/>
      </w:pPr>
      <w:r>
        <w:t>Filing and Service of Comments and Other Documents</w:t>
      </w:r>
    </w:p>
    <w:p w:rsidRPr="004C46EF" w:rsidR="004C46EF" w:rsidP="004C46EF" w:rsidRDefault="004C46EF" w14:paraId="2D8179B7" w14:textId="1D5BDEED">
      <w:r>
        <w:t>Filing and service of comments and other documents in the proceeding are governed by the Rules.  Parties are instructed to only serve documents on the assigned Commissioner, advisors to the assigned Commissioner, and the assigned ALJ by electronic copy and not paper copy, unless specifically instructed to do otherwise.</w:t>
      </w:r>
    </w:p>
    <w:p w:rsidR="004C46EF" w:rsidP="004C46EF" w:rsidRDefault="004C46EF" w14:paraId="08810B4B" w14:textId="29F2082E">
      <w:pPr>
        <w:pStyle w:val="Heading1"/>
        <w:keepLines w:val="0"/>
      </w:pPr>
      <w:r>
        <w:t>Addition to the Official Service List</w:t>
      </w:r>
    </w:p>
    <w:p w:rsidR="00580084" w:rsidP="00471F88" w:rsidRDefault="004C46EF" w14:paraId="6B93E8FB" w14:textId="5A864B8D">
      <w:pPr>
        <w:pStyle w:val="Standard"/>
      </w:pPr>
      <w:r>
        <w:t xml:space="preserve">Addition to the official service list is governed by Rule 1.9(f).  </w:t>
      </w:r>
      <w:r w:rsidR="00580084">
        <w:t xml:space="preserve">Any </w:t>
      </w:r>
      <w:r>
        <w:t>entity</w:t>
      </w:r>
      <w:r w:rsidR="00580084">
        <w:t xml:space="preserve"> will be added to the “Information Only” category of the official service list upon request, for electronic service of all documents in the proceeding, and should do so promptly in order to ensure timely service of comments and other documents and correspondence in the proceeding.</w:t>
      </w:r>
      <w:r w:rsidR="00580084">
        <w:rPr>
          <w:vertAlign w:val="superscript"/>
        </w:rPr>
        <w:footnoteReference w:id="4"/>
      </w:r>
      <w:r w:rsidR="00580084">
        <w:t xml:space="preserve">  The request must be sent to the Process </w:t>
      </w:r>
      <w:r w:rsidR="00580084">
        <w:lastRenderedPageBreak/>
        <w:t xml:space="preserve">Office by </w:t>
      </w:r>
      <w:r w:rsidR="00B02F0F">
        <w:t>email</w:t>
      </w:r>
      <w:r w:rsidR="00580084">
        <w:t xml:space="preserve"> (</w:t>
      </w:r>
      <w:hyperlink w:history="1" r:id="rId8">
        <w:r w:rsidR="00580084">
          <w:rPr>
            <w:rStyle w:val="Hyperlink"/>
            <w:color w:val="0000FF"/>
          </w:rPr>
          <w:t>process_office@cpuc.ca.gov</w:t>
        </w:r>
      </w:hyperlink>
      <w:r w:rsidR="00580084">
        <w:t>).  Please include the Docket Number of this rulemaking in the request.</w:t>
      </w:r>
    </w:p>
    <w:p w:rsidR="00580084" w:rsidP="00471F88" w:rsidRDefault="004C46EF" w14:paraId="245DC372" w14:textId="523181BE">
      <w:pPr>
        <w:pStyle w:val="Standard"/>
      </w:pPr>
      <w:r>
        <w:t>Entities</w:t>
      </w:r>
      <w:r w:rsidR="00580084">
        <w:t xml:space="preserve"> </w:t>
      </w:r>
      <w:r>
        <w:t>that</w:t>
      </w:r>
      <w:r w:rsidR="00580084">
        <w:t xml:space="preserve"> file responsive comments</w:t>
      </w:r>
      <w:r>
        <w:t xml:space="preserve"> to the OIR thereby</w:t>
      </w:r>
      <w:r w:rsidR="00580084">
        <w:t xml:space="preserve"> become parties to the proceeding (</w:t>
      </w:r>
      <w:r w:rsidR="00580084">
        <w:rPr>
          <w:i/>
        </w:rPr>
        <w:t>see</w:t>
      </w:r>
      <w:r w:rsidR="00580084">
        <w:t xml:space="preserve"> </w:t>
      </w:r>
      <w:r w:rsidR="00E74658">
        <w:t>Rule </w:t>
      </w:r>
      <w:r w:rsidR="00580084">
        <w:t xml:space="preserve">1.4(a)(2)) and will be added to the “Parties” category of the official service list upon such filing.  </w:t>
      </w:r>
      <w:r w:rsidR="00580084">
        <w:rPr>
          <w:iCs/>
        </w:rPr>
        <w:t>In order to assure service of comments and other documents and correspondence in advance of obtaining party status, persons should promptly request addition to the “Information Only” category as described above;</w:t>
      </w:r>
      <w:r w:rsidR="00580084">
        <w:t xml:space="preserve"> they will be removed from that category upon obtaining party status.</w:t>
      </w:r>
    </w:p>
    <w:p w:rsidR="00580084" w:rsidP="00471F88" w:rsidRDefault="00580084" w14:paraId="2253F677" w14:textId="77777777">
      <w:pPr>
        <w:pStyle w:val="Heading1"/>
        <w:keepLines w:val="0"/>
      </w:pPr>
      <w:r>
        <w:t>Intervenor Compensation</w:t>
      </w:r>
    </w:p>
    <w:p w:rsidR="00580084" w:rsidP="00471F88" w:rsidRDefault="00580084" w14:paraId="0A22EFC7" w14:textId="44D31A6C">
      <w:pPr>
        <w:pStyle w:val="Standard"/>
      </w:pPr>
      <w:r>
        <w:t xml:space="preserve">Intervenor Compensation is permitted in this proceeding.  Any party that expects to claim intervenor compensation for its participation in this rulemaking shall file its </w:t>
      </w:r>
      <w:r w:rsidRPr="00E80B04">
        <w:t xml:space="preserve">notice of intent </w:t>
      </w:r>
      <w:r>
        <w:t>to claim intervenor compensation within 30</w:t>
      </w:r>
      <w:r w:rsidR="00E26FCA">
        <w:t xml:space="preserve"> </w:t>
      </w:r>
      <w:r>
        <w:t>days after the filing of reply comments, except that notice may be filed within 30 days of a PHC as well.</w:t>
      </w:r>
      <w:r w:rsidR="00B35BD4">
        <w:rPr>
          <w:rStyle w:val="FootnoteReference"/>
        </w:rPr>
        <w:footnoteReference w:id="5"/>
      </w:r>
      <w:r>
        <w:t xml:space="preserve">  Intervenor compensation rules are governed by </w:t>
      </w:r>
      <w:r w:rsidR="00AA05D6">
        <w:t>Section </w:t>
      </w:r>
      <w:r>
        <w:t>1801</w:t>
      </w:r>
      <w:r w:rsidR="00AA05D6">
        <w:t>,</w:t>
      </w:r>
      <w:r>
        <w:t xml:space="preserve"> </w:t>
      </w:r>
      <w:r w:rsidRPr="00AA05D6">
        <w:rPr>
          <w:i/>
          <w:iCs/>
        </w:rPr>
        <w:t>et seq.</w:t>
      </w:r>
      <w:r>
        <w:t xml:space="preserve"> of the Public Utilities Code.</w:t>
      </w:r>
    </w:p>
    <w:p w:rsidR="00580084" w:rsidP="00471F88" w:rsidRDefault="00580084" w14:paraId="58E25EC2" w14:textId="77777777">
      <w:pPr>
        <w:pStyle w:val="Heading1"/>
        <w:keepLines w:val="0"/>
      </w:pPr>
      <w:r>
        <w:t>Public Advisor</w:t>
      </w:r>
    </w:p>
    <w:p w:rsidR="00580084" w:rsidP="00471F88" w:rsidRDefault="00580084" w14:paraId="7F5A0DD1" w14:textId="322403E2">
      <w:pPr>
        <w:pStyle w:val="Standard"/>
      </w:pPr>
      <w:r>
        <w:t xml:space="preserve">Any person or entity interested in participating in this rulemaking who is unfamiliar with the Commission’s procedures should contact the Commission’s Public Advisor in </w:t>
      </w:r>
      <w:r w:rsidR="000E51F3">
        <w:t>San </w:t>
      </w:r>
      <w:r>
        <w:t>Francisco at 415</w:t>
      </w:r>
      <w:r w:rsidR="004C46EF">
        <w:t>-</w:t>
      </w:r>
      <w:r>
        <w:t>703</w:t>
      </w:r>
      <w:r w:rsidR="005934C9">
        <w:noBreakHyphen/>
      </w:r>
      <w:r>
        <w:t>2074 or 1</w:t>
      </w:r>
      <w:r w:rsidR="005934C9">
        <w:noBreakHyphen/>
      </w:r>
      <w:r>
        <w:t>866</w:t>
      </w:r>
      <w:r w:rsidR="004C46EF">
        <w:t>-</w:t>
      </w:r>
      <w:r>
        <w:t>849</w:t>
      </w:r>
      <w:r w:rsidR="005934C9">
        <w:noBreakHyphen/>
      </w:r>
      <w:r>
        <w:t xml:space="preserve">8390 or </w:t>
      </w:r>
      <w:r w:rsidR="00B02F0F">
        <w:t>email</w:t>
      </w:r>
      <w:r>
        <w:t xml:space="preserve"> </w:t>
      </w:r>
      <w:hyperlink w:history="1" r:id="rId9">
        <w:r>
          <w:rPr>
            <w:rStyle w:val="Hyperlink"/>
          </w:rPr>
          <w:t>public.advisor@cpuc.ca.gov</w:t>
        </w:r>
      </w:hyperlink>
      <w:r>
        <w:t>.  The TTY number is 1</w:t>
      </w:r>
      <w:r w:rsidR="005934C9">
        <w:noBreakHyphen/>
      </w:r>
      <w:r>
        <w:t>866</w:t>
      </w:r>
      <w:r w:rsidR="004C46EF">
        <w:t>-</w:t>
      </w:r>
      <w:r>
        <w:t>836</w:t>
      </w:r>
      <w:r w:rsidR="005934C9">
        <w:noBreakHyphen/>
      </w:r>
      <w:r>
        <w:t>7825.</w:t>
      </w:r>
    </w:p>
    <w:p w:rsidR="00580084" w:rsidP="00471F88" w:rsidRDefault="00580084" w14:paraId="3CD106DC" w14:textId="77777777">
      <w:pPr>
        <w:pStyle w:val="Standard"/>
        <w:keepNext/>
      </w:pPr>
      <w:r>
        <w:rPr>
          <w:b/>
        </w:rPr>
        <w:t>IT IS ORDERED</w:t>
      </w:r>
      <w:r>
        <w:t xml:space="preserve"> that:</w:t>
      </w:r>
    </w:p>
    <w:p w:rsidRPr="00E95D90" w:rsidR="005F2CDE" w:rsidP="00E95D90" w:rsidRDefault="005F2CDE" w14:paraId="71609A51" w14:textId="2AB5C653">
      <w:pPr>
        <w:pStyle w:val="OP"/>
      </w:pPr>
      <w:r w:rsidRPr="00E95D90">
        <w:t xml:space="preserve">This Order Instituting Rulemaking is adopted pursuant to </w:t>
      </w:r>
      <w:r w:rsidRPr="00E95D90" w:rsidR="008B67BB">
        <w:t>Rule 6.1 of the Commission’s Rules of Practice and Procedure</w:t>
      </w:r>
      <w:r w:rsidRPr="00E95D90">
        <w:t>.</w:t>
      </w:r>
    </w:p>
    <w:p w:rsidRPr="00E95D90" w:rsidR="008B67BB" w:rsidP="00E95D90" w:rsidRDefault="008B67BB" w14:paraId="062B398C" w14:textId="6BD48ACC">
      <w:pPr>
        <w:pStyle w:val="OP"/>
      </w:pPr>
      <w:r w:rsidRPr="00E95D90">
        <w:lastRenderedPageBreak/>
        <w:t xml:space="preserve">The preliminary scope of issues is as stated above in Section </w:t>
      </w:r>
      <w:r w:rsidRPr="00E95D90" w:rsidR="0071480A">
        <w:t>2</w:t>
      </w:r>
      <w:r w:rsidRPr="00E95D90">
        <w:t>.</w:t>
      </w:r>
    </w:p>
    <w:p w:rsidRPr="00E95D90" w:rsidR="008B67BB" w:rsidP="00E95D90" w:rsidRDefault="008B67BB" w14:paraId="1292DDF5" w14:textId="2DE4B953">
      <w:pPr>
        <w:pStyle w:val="OP"/>
      </w:pPr>
      <w:r w:rsidRPr="00E95D90">
        <w:t>The preliminary determination is that evidentiary hearings are not needed.</w:t>
      </w:r>
    </w:p>
    <w:p w:rsidRPr="00E95D90" w:rsidR="008B67BB" w:rsidP="00E95D90" w:rsidRDefault="008B67BB" w14:paraId="03E518B9" w14:textId="4478F86B">
      <w:pPr>
        <w:pStyle w:val="OP"/>
      </w:pPr>
      <w:r w:rsidRPr="00E95D90">
        <w:t xml:space="preserve">The preliminary categorization of this rulemaking is </w:t>
      </w:r>
      <w:r w:rsidRPr="00E95D90" w:rsidR="00FB6A00">
        <w:t>quasi-legislative</w:t>
      </w:r>
      <w:r w:rsidRPr="00E95D90">
        <w:t>.</w:t>
      </w:r>
    </w:p>
    <w:p w:rsidRPr="00E95D90" w:rsidR="008B67BB" w:rsidP="00E95D90" w:rsidRDefault="0050631A" w14:paraId="147C696C" w14:textId="52AAC7EC">
      <w:pPr>
        <w:pStyle w:val="OP"/>
      </w:pPr>
      <w:r>
        <w:t>E</w:t>
      </w:r>
      <w:r w:rsidRPr="00E95D90" w:rsidR="004C46EF">
        <w:t xml:space="preserve">lectrical corporations operating in </w:t>
      </w:r>
      <w:r w:rsidRPr="00E95D90" w:rsidR="001D6887">
        <w:t>the California Independent System Operator’s balancing authority area</w:t>
      </w:r>
      <w:r w:rsidRPr="00E95D90" w:rsidR="008B67BB">
        <w:t xml:space="preserve"> are respondents to this Order Instituting Rulemaking.</w:t>
      </w:r>
    </w:p>
    <w:p w:rsidRPr="00E95D90" w:rsidR="00DE7D0E" w:rsidP="00E95D90" w:rsidRDefault="002B257F" w14:paraId="3A444907" w14:textId="6488284D">
      <w:pPr>
        <w:pStyle w:val="OP"/>
      </w:pPr>
      <w:r w:rsidRPr="00E95D90">
        <w:t>Respondents shall, and a</w:t>
      </w:r>
      <w:r w:rsidRPr="00E95D90" w:rsidR="00DE7D0E">
        <w:t xml:space="preserve">ny </w:t>
      </w:r>
      <w:r w:rsidRPr="00E95D90">
        <w:t xml:space="preserve">other </w:t>
      </w:r>
      <w:r w:rsidRPr="00E95D90" w:rsidR="00DE7D0E">
        <w:t>entity may</w:t>
      </w:r>
      <w:r w:rsidRPr="00E95D90">
        <w:t>,</w:t>
      </w:r>
      <w:r w:rsidRPr="00E95D90" w:rsidR="00DE7D0E">
        <w:t xml:space="preserve"> file and serve opening comments responding to this Order Instituting Rulemaking (OIR) within 20 days of the issuance date of this OIR.  Reply comments may be filed and served within 30 days of the issuance of this OIR.</w:t>
      </w:r>
    </w:p>
    <w:p w:rsidRPr="00E95D90" w:rsidR="00580084" w:rsidP="00E95D90" w:rsidRDefault="00580084" w14:paraId="2FB63378" w14:textId="1EE4741E">
      <w:pPr>
        <w:pStyle w:val="OP"/>
      </w:pPr>
      <w:r w:rsidRPr="00E95D90">
        <w:t>The Executive Director shall cause this Order Instituting Rulemaking to be served on the service list</w:t>
      </w:r>
      <w:r w:rsidRPr="00E95D90" w:rsidR="00493BE8">
        <w:t>s</w:t>
      </w:r>
      <w:r w:rsidRPr="00E95D90">
        <w:t xml:space="preserve"> for </w:t>
      </w:r>
      <w:r w:rsidRPr="00E95D90" w:rsidR="00493BE8">
        <w:t xml:space="preserve">Rulemaking (R.) 20-05-003, R.24-01-017, R.25-02-005, </w:t>
      </w:r>
      <w:r w:rsidR="00C11245">
        <w:t xml:space="preserve">R.25-06-019, </w:t>
      </w:r>
      <w:r w:rsidRPr="00E95D90" w:rsidR="00493BE8">
        <w:t>and R.25-10-003.</w:t>
      </w:r>
    </w:p>
    <w:p w:rsidRPr="00E95D90" w:rsidR="00580084" w:rsidP="00E95D90" w:rsidRDefault="00580084" w14:paraId="0EFA47A1" w14:textId="7C361D80">
      <w:pPr>
        <w:pStyle w:val="OP"/>
      </w:pPr>
      <w:r w:rsidRPr="00E95D90">
        <w:t xml:space="preserve">A </w:t>
      </w:r>
      <w:r w:rsidRPr="00E95D90" w:rsidR="002C219F">
        <w:t xml:space="preserve">prehearing conference </w:t>
      </w:r>
      <w:r w:rsidRPr="00E95D90">
        <w:t xml:space="preserve">will be held remotely via </w:t>
      </w:r>
      <w:r w:rsidRPr="00E95D90" w:rsidR="00DF0746">
        <w:t>Web</w:t>
      </w:r>
      <w:r w:rsidRPr="00E95D90" w:rsidR="002B264A">
        <w:t>E</w:t>
      </w:r>
      <w:r w:rsidRPr="00E95D90" w:rsidR="00DF0746">
        <w:t>x</w:t>
      </w:r>
      <w:r w:rsidRPr="00E95D90">
        <w:t xml:space="preserve"> on </w:t>
      </w:r>
      <w:r w:rsidRPr="00E95D90" w:rsidR="007F213B">
        <w:t>November 12, 2026 at 10:00 a.m</w:t>
      </w:r>
      <w:r w:rsidRPr="00E95D90">
        <w:t>.</w:t>
      </w:r>
    </w:p>
    <w:p w:rsidR="008B67BB" w:rsidP="00E95D90" w:rsidRDefault="008B67BB" w14:paraId="5F6AA542" w14:textId="6DB98D14">
      <w:pPr>
        <w:pStyle w:val="OP"/>
      </w:pPr>
      <w:r w:rsidRPr="00E95D90">
        <w:t>Any party that expects to claim intervenor compensation for its participation in this Rulemaking must file its notice of intent to claim intervenor compensation within 30 days of the first prehearing conference held in this proceeding</w:t>
      </w:r>
      <w:r w:rsidR="00E706EB">
        <w:t>.</w:t>
      </w:r>
    </w:p>
    <w:p w:rsidRPr="00E95D90" w:rsidR="00BD686B" w:rsidP="00E95D90" w:rsidRDefault="00BD686B" w14:paraId="0DB4801F" w14:textId="54C7AC16">
      <w:pPr>
        <w:pStyle w:val="OP"/>
      </w:pPr>
      <w:r>
        <w:t>The relevant statutory language is attached to this Order Instituting Rulemaking as Appendix A.</w:t>
      </w:r>
    </w:p>
    <w:p w:rsidR="00580084" w:rsidP="00F85DDD" w:rsidRDefault="00580084" w14:paraId="7782D5D8" w14:textId="77777777">
      <w:pPr>
        <w:pStyle w:val="Standard"/>
        <w:keepNext/>
      </w:pPr>
      <w:r>
        <w:t>This order is effective today.</w:t>
      </w:r>
    </w:p>
    <w:p w:rsidR="00580084" w:rsidP="00F85DDD" w:rsidRDefault="00580084" w14:paraId="7152A885" w14:textId="22477268">
      <w:pPr>
        <w:pStyle w:val="Standard"/>
        <w:keepNext/>
      </w:pPr>
      <w:r>
        <w:t xml:space="preserve">Dated </w:t>
      </w:r>
      <w:r w:rsidR="00471F88">
        <w:t>____________________</w:t>
      </w:r>
      <w:r>
        <w:t xml:space="preserve">, at </w:t>
      </w:r>
      <w:r w:rsidRPr="00F75324" w:rsidR="00F75324">
        <w:t>San Marcos</w:t>
      </w:r>
      <w:r w:rsidR="00F75324">
        <w:t xml:space="preserve">, </w:t>
      </w:r>
      <w:r>
        <w:t>California.</w:t>
      </w:r>
    </w:p>
    <w:p w:rsidR="00580084" w:rsidP="00F85DDD" w:rsidRDefault="00580084" w14:paraId="0B17DA33" w14:textId="77777777">
      <w:pPr>
        <w:pStyle w:val="Standard"/>
        <w:keepNext/>
      </w:pPr>
    </w:p>
    <w:p w:rsidR="002F6B2F" w:rsidP="00F85DDD" w:rsidRDefault="002F6B2F" w14:paraId="1B654F2D" w14:textId="77777777">
      <w:pPr>
        <w:pStyle w:val="Standard"/>
        <w:keepNext/>
      </w:pPr>
    </w:p>
    <w:p w:rsidR="00F85DDD" w:rsidP="00F85DDD" w:rsidRDefault="00F85DDD" w14:paraId="0B0AF329" w14:textId="77777777">
      <w:pPr>
        <w:pStyle w:val="Standard"/>
        <w:keepNext/>
      </w:pPr>
    </w:p>
    <w:sectPr w:rsidR="00F85DDD" w:rsidSect="00BC5FC3">
      <w:headerReference w:type="even" r:id="rId10"/>
      <w:headerReference w:type="default" r:id="rId11"/>
      <w:footerReference w:type="even" r:id="rId12"/>
      <w:footerReference w:type="default" r:id="rId13"/>
      <w:headerReference w:type="first" r:id="rId14"/>
      <w:footerReference w:type="first" r:id="rId15"/>
      <w:pgSz w:w="12240" w:h="15840"/>
      <w:pgMar w:top="1728"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13366E" w14:textId="77777777" w:rsidR="009E7ACB" w:rsidRDefault="009E7ACB" w:rsidP="00580084">
      <w:pPr>
        <w:spacing w:line="240" w:lineRule="auto"/>
      </w:pPr>
      <w:r>
        <w:separator/>
      </w:r>
    </w:p>
  </w:endnote>
  <w:endnote w:type="continuationSeparator" w:id="0">
    <w:p w14:paraId="614E2933" w14:textId="77777777" w:rsidR="009E7ACB" w:rsidRDefault="009E7ACB" w:rsidP="00580084">
      <w:pPr>
        <w:spacing w:line="240" w:lineRule="auto"/>
      </w:pPr>
      <w:r>
        <w:continuationSeparator/>
      </w:r>
    </w:p>
  </w:endnote>
  <w:endnote w:type="continuationNotice" w:id="1">
    <w:p w14:paraId="2DB5E0E4" w14:textId="77777777" w:rsidR="009E7ACB" w:rsidRDefault="009E7AC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w:altName w:val="Palatino Linotype"/>
    <w:charset w:val="00"/>
    <w:family w:val="roman"/>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2EC14" w14:textId="77777777" w:rsidR="001F4805" w:rsidRDefault="001F48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13415" w14:textId="4105A974" w:rsidR="008356AC" w:rsidRPr="008356AC" w:rsidRDefault="005934C9" w:rsidP="008356AC">
    <w:pPr>
      <w:pStyle w:val="Footer"/>
      <w:ind w:firstLine="0"/>
      <w:jc w:val="center"/>
    </w:pPr>
    <w:r>
      <w:noBreakHyphen/>
    </w:r>
    <w:r w:rsidR="008356AC">
      <w:t xml:space="preserve"> </w:t>
    </w:r>
    <w:r w:rsidR="008356AC">
      <w:fldChar w:fldCharType="begin"/>
    </w:r>
    <w:r w:rsidR="008356AC">
      <w:instrText xml:space="preserve"> PAGE   \* MERGEFORMAT </w:instrText>
    </w:r>
    <w:r w:rsidR="008356AC">
      <w:fldChar w:fldCharType="separate"/>
    </w:r>
    <w:r w:rsidR="008356AC">
      <w:t>2</w:t>
    </w:r>
    <w:r w:rsidR="008356AC">
      <w:rPr>
        <w:noProof/>
      </w:rPr>
      <w:fldChar w:fldCharType="end"/>
    </w:r>
    <w:r w:rsidR="008356AC">
      <w:t xml:space="preserve"> </w:t>
    </w:r>
    <w:r>
      <w:noBreakHyphen/>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0E596" w14:textId="709003F8" w:rsidR="008356AC" w:rsidRDefault="001F4805" w:rsidP="008356AC">
    <w:pPr>
      <w:pStyle w:val="Footer"/>
      <w:ind w:firstLine="0"/>
    </w:pPr>
    <w:r w:rsidRPr="001F4805">
      <w:rPr>
        <w:sz w:val="16"/>
        <w:szCs w:val="16"/>
      </w:rPr>
      <w:t>617694644</w:t>
    </w:r>
    <w:r w:rsidR="008356AC">
      <w:tab/>
    </w:r>
    <w:r w:rsidR="005934C9">
      <w:noBreakHyphen/>
    </w:r>
    <w:r w:rsidR="008356AC">
      <w:t xml:space="preserve"> </w:t>
    </w:r>
    <w:r w:rsidR="008356AC">
      <w:fldChar w:fldCharType="begin"/>
    </w:r>
    <w:r w:rsidR="008356AC">
      <w:instrText xml:space="preserve"> PAGE   \* MERGEFORMAT </w:instrText>
    </w:r>
    <w:r w:rsidR="008356AC">
      <w:fldChar w:fldCharType="separate"/>
    </w:r>
    <w:r w:rsidR="008356AC">
      <w:t>2</w:t>
    </w:r>
    <w:r w:rsidR="008356AC">
      <w:rPr>
        <w:noProof/>
      </w:rPr>
      <w:fldChar w:fldCharType="end"/>
    </w:r>
    <w:r w:rsidR="008356AC">
      <w:t xml:space="preserve"> </w:t>
    </w:r>
    <w:r w:rsidR="005934C9">
      <w:noBreakHyphen/>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8040C" w14:textId="77777777" w:rsidR="009E7ACB" w:rsidRDefault="009E7ACB" w:rsidP="005A2BF5">
      <w:pPr>
        <w:spacing w:line="240" w:lineRule="auto"/>
        <w:ind w:firstLine="0"/>
      </w:pPr>
      <w:r>
        <w:separator/>
      </w:r>
    </w:p>
  </w:footnote>
  <w:footnote w:type="continuationSeparator" w:id="0">
    <w:p w14:paraId="2C8D0423" w14:textId="77777777" w:rsidR="009E7ACB" w:rsidRDefault="009E7ACB" w:rsidP="00580084">
      <w:pPr>
        <w:spacing w:line="240" w:lineRule="auto"/>
      </w:pPr>
      <w:r>
        <w:continuationSeparator/>
      </w:r>
    </w:p>
  </w:footnote>
  <w:footnote w:type="continuationNotice" w:id="1">
    <w:p w14:paraId="2E4AEACD" w14:textId="77777777" w:rsidR="009E7ACB" w:rsidRDefault="009E7ACB">
      <w:pPr>
        <w:spacing w:line="240" w:lineRule="auto"/>
      </w:pPr>
    </w:p>
  </w:footnote>
  <w:footnote w:id="2">
    <w:p w14:paraId="3DB0F65C" w14:textId="77777777" w:rsidR="00C2706E" w:rsidRDefault="00C2706E" w:rsidP="00C2706E">
      <w:pPr>
        <w:pStyle w:val="FootnoteText"/>
      </w:pPr>
      <w:r>
        <w:rPr>
          <w:rStyle w:val="FootnoteReference"/>
        </w:rPr>
        <w:footnoteRef/>
      </w:r>
      <w:r>
        <w:t xml:space="preserve"> All statutory references are to the Public Utilities Code unless otherwise noted.</w:t>
      </w:r>
    </w:p>
  </w:footnote>
  <w:footnote w:id="3">
    <w:p w14:paraId="1B697794" w14:textId="05FC3324" w:rsidR="00580084" w:rsidRDefault="00580084" w:rsidP="00580084">
      <w:pPr>
        <w:pStyle w:val="FootnoteText"/>
      </w:pPr>
      <w:r>
        <w:rPr>
          <w:rStyle w:val="FootnoteReference"/>
        </w:rPr>
        <w:footnoteRef/>
      </w:r>
      <w:r>
        <w:t xml:space="preserve">  </w:t>
      </w:r>
      <w:r w:rsidR="00B07152">
        <w:rPr>
          <w:i/>
          <w:iCs/>
        </w:rPr>
        <w:t>See</w:t>
      </w:r>
      <w:r w:rsidR="00B07152">
        <w:t xml:space="preserve"> </w:t>
      </w:r>
      <w:r w:rsidR="00E74658">
        <w:t>Rule </w:t>
      </w:r>
      <w:r>
        <w:t>7.1(a).</w:t>
      </w:r>
    </w:p>
  </w:footnote>
  <w:footnote w:id="4">
    <w:p w14:paraId="512A38AD" w14:textId="515295FC" w:rsidR="00580084" w:rsidRDefault="00580084" w:rsidP="00580084">
      <w:pPr>
        <w:pStyle w:val="FootnoteText"/>
        <w:rPr>
          <w:szCs w:val="22"/>
        </w:rPr>
      </w:pPr>
      <w:r>
        <w:rPr>
          <w:rStyle w:val="FootnoteReference"/>
          <w:szCs w:val="22"/>
        </w:rPr>
        <w:footnoteRef/>
      </w:r>
      <w:r>
        <w:rPr>
          <w:szCs w:val="22"/>
        </w:rPr>
        <w:t xml:space="preserve">  </w:t>
      </w:r>
      <w:r>
        <w:rPr>
          <w:i/>
          <w:szCs w:val="22"/>
        </w:rPr>
        <w:t>See</w:t>
      </w:r>
      <w:r>
        <w:rPr>
          <w:szCs w:val="22"/>
        </w:rPr>
        <w:t xml:space="preserve"> </w:t>
      </w:r>
      <w:r w:rsidR="00E74658">
        <w:rPr>
          <w:szCs w:val="22"/>
        </w:rPr>
        <w:t>Rule </w:t>
      </w:r>
      <w:r>
        <w:rPr>
          <w:szCs w:val="22"/>
        </w:rPr>
        <w:t>1.9(f).</w:t>
      </w:r>
    </w:p>
  </w:footnote>
  <w:footnote w:id="5">
    <w:p w14:paraId="3671DD41" w14:textId="6C39C929" w:rsidR="00B35BD4" w:rsidRPr="00B35BD4" w:rsidRDefault="00B35BD4">
      <w:pPr>
        <w:pStyle w:val="FootnoteText"/>
        <w:rPr>
          <w:lang w:val="en-ZW"/>
        </w:rPr>
      </w:pPr>
      <w:r>
        <w:rPr>
          <w:rStyle w:val="FootnoteReference"/>
        </w:rPr>
        <w:footnoteRef/>
      </w:r>
      <w:r>
        <w:t xml:space="preserve"> </w:t>
      </w:r>
      <w:r w:rsidR="004F6CDA">
        <w:t xml:space="preserve"> </w:t>
      </w:r>
      <w:r>
        <w:rPr>
          <w:i/>
          <w:iCs/>
        </w:rPr>
        <w:t>See</w:t>
      </w:r>
      <w:r>
        <w:t xml:space="preserve"> </w:t>
      </w:r>
      <w:r w:rsidR="00E74658">
        <w:t>Rule </w:t>
      </w:r>
      <w:r>
        <w:t>17.1(a)(2).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B1397" w14:textId="77777777" w:rsidR="001F4805" w:rsidRDefault="001F48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1F587" w14:textId="5CBB06EA" w:rsidR="00B02F0F" w:rsidRDefault="00D25BBA" w:rsidP="00D25BBA">
    <w:pPr>
      <w:tabs>
        <w:tab w:val="left" w:pos="5580"/>
        <w:tab w:val="right" w:pos="9360"/>
      </w:tabs>
      <w:spacing w:line="240" w:lineRule="auto"/>
      <w:ind w:firstLine="0"/>
      <w:rPr>
        <w:rFonts w:ascii="Arial" w:hAnsi="Arial" w:cs="Arial"/>
        <w:b/>
        <w:bCs/>
      </w:rPr>
    </w:pPr>
    <w:r>
      <w:t xml:space="preserve">R._________  ALJ/DBB/vhj </w:t>
    </w:r>
    <w:r>
      <w:tab/>
    </w:r>
    <w:r>
      <w:tab/>
    </w:r>
    <w:r w:rsidR="00BC5FC3" w:rsidRPr="00D25BBA">
      <w:rPr>
        <w:rFonts w:ascii="Arial" w:hAnsi="Arial" w:cs="Arial"/>
        <w:b/>
        <w:bCs/>
      </w:rPr>
      <w:t>PROPOSED DECISION</w:t>
    </w:r>
  </w:p>
  <w:p w14:paraId="6F5DC023" w14:textId="77777777" w:rsidR="00B4311A" w:rsidRPr="00D25BBA" w:rsidRDefault="00B4311A" w:rsidP="00B4311A">
    <w:pPr>
      <w:tabs>
        <w:tab w:val="left" w:pos="5580"/>
        <w:tab w:val="right" w:pos="9360"/>
      </w:tabs>
      <w:spacing w:line="240" w:lineRule="auto"/>
      <w:ind w:firstLine="0"/>
      <w:rPr>
        <w:rFonts w:ascii="Arial" w:hAnsi="Arial" w:cs="Arial"/>
        <w:b/>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0158B" w14:textId="08E01499" w:rsidR="00D96DFB" w:rsidRDefault="00D96DFB" w:rsidP="00D96DFB">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B6C29"/>
    <w:multiLevelType w:val="hybridMultilevel"/>
    <w:tmpl w:val="7234B4CC"/>
    <w:lvl w:ilvl="0" w:tplc="FFFFFFFF">
      <w:start w:val="1"/>
      <w:numFmt w:val="decimal"/>
      <w:lvlText w:val="(%1)"/>
      <w:lvlJc w:val="left"/>
      <w:pPr>
        <w:ind w:left="1812" w:hanging="372"/>
      </w:pPr>
      <w:rPr>
        <w:rFonts w:hint="default"/>
        <w:b w:val="0"/>
        <w:bCs w:val="0"/>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 w15:restartNumberingAfterBreak="0">
    <w:nsid w:val="06C439B0"/>
    <w:multiLevelType w:val="hybridMultilevel"/>
    <w:tmpl w:val="9452AA7C"/>
    <w:lvl w:ilvl="0" w:tplc="FFFFFFFF">
      <w:start w:val="1"/>
      <w:numFmt w:val="decimal"/>
      <w:lvlText w:val="%1."/>
      <w:lvlJc w:val="left"/>
      <w:pPr>
        <w:ind w:left="1800" w:hanging="360"/>
      </w:pPr>
      <w:rPr>
        <w:rFonts w:ascii="Book Antiqua" w:eastAsiaTheme="minorHAnsi" w:hAnsi="Book Antiqua" w:cs="Arial"/>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 w15:restartNumberingAfterBreak="0">
    <w:nsid w:val="0BAC6E63"/>
    <w:multiLevelType w:val="hybridMultilevel"/>
    <w:tmpl w:val="2F9869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46C1C14"/>
    <w:multiLevelType w:val="multilevel"/>
    <w:tmpl w:val="18F4A5AC"/>
    <w:styleLink w:val="FoFCoLOP"/>
    <w:lvl w:ilvl="0">
      <w:start w:val="1"/>
      <w:numFmt w:val="decimal"/>
      <w:pStyle w:val="OP"/>
      <w:lvlText w:val="%1."/>
      <w:lvlJc w:val="right"/>
      <w:pPr>
        <w:ind w:left="0" w:firstLine="540"/>
      </w:pPr>
    </w:lvl>
    <w:lvl w:ilvl="1">
      <w:start w:val="1"/>
      <w:numFmt w:val="lowerLetter"/>
      <w:lvlText w:val="(%2)"/>
      <w:lvlJc w:val="right"/>
      <w:pPr>
        <w:ind w:left="1152" w:hanging="72"/>
      </w:pPr>
    </w:lvl>
    <w:lvl w:ilvl="2">
      <w:start w:val="1"/>
      <w:numFmt w:val="none"/>
      <w:lvlText w:val=""/>
      <w:lvlJc w:val="left"/>
      <w:pPr>
        <w:ind w:left="720" w:firstLine="0"/>
      </w:pPr>
    </w:lvl>
    <w:lvl w:ilvl="3">
      <w:start w:val="1"/>
      <w:numFmt w:val="none"/>
      <w:lvlText w:val=""/>
      <w:lvlJc w:val="left"/>
      <w:pPr>
        <w:ind w:left="720" w:firstLine="0"/>
      </w:pPr>
    </w:lvl>
    <w:lvl w:ilvl="4">
      <w:start w:val="1"/>
      <w:numFmt w:val="none"/>
      <w:lvlText w:val=""/>
      <w:lvlJc w:val="left"/>
      <w:pPr>
        <w:ind w:left="720" w:firstLine="0"/>
      </w:pPr>
    </w:lvl>
    <w:lvl w:ilvl="5">
      <w:start w:val="1"/>
      <w:numFmt w:val="none"/>
      <w:lvlText w:val=""/>
      <w:lvlJc w:val="left"/>
      <w:pPr>
        <w:ind w:left="720" w:firstLine="0"/>
      </w:pPr>
    </w:lvl>
    <w:lvl w:ilvl="6">
      <w:start w:val="1"/>
      <w:numFmt w:val="none"/>
      <w:lvlText w:val=""/>
      <w:lvlJc w:val="left"/>
      <w:pPr>
        <w:ind w:left="720" w:firstLine="0"/>
      </w:pPr>
    </w:lvl>
    <w:lvl w:ilvl="7">
      <w:start w:val="1"/>
      <w:numFmt w:val="none"/>
      <w:lvlText w:val=""/>
      <w:lvlJc w:val="left"/>
      <w:pPr>
        <w:ind w:left="720" w:firstLine="0"/>
      </w:pPr>
    </w:lvl>
    <w:lvl w:ilvl="8">
      <w:start w:val="1"/>
      <w:numFmt w:val="none"/>
      <w:lvlText w:val=""/>
      <w:lvlJc w:val="left"/>
      <w:pPr>
        <w:ind w:left="720" w:firstLine="0"/>
      </w:pPr>
    </w:lvl>
  </w:abstractNum>
  <w:abstractNum w:abstractNumId="4" w15:restartNumberingAfterBreak="0">
    <w:nsid w:val="15E073AB"/>
    <w:multiLevelType w:val="hybridMultilevel"/>
    <w:tmpl w:val="DC0A124A"/>
    <w:lvl w:ilvl="0" w:tplc="2E62F3B4">
      <w:start w:val="1"/>
      <w:numFmt w:val="upperLetter"/>
      <w:lvlText w:val="(%1)"/>
      <w:lvlJc w:val="left"/>
      <w:pPr>
        <w:ind w:left="732" w:hanging="3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B051D0"/>
    <w:multiLevelType w:val="hybridMultilevel"/>
    <w:tmpl w:val="0DBC62B0"/>
    <w:lvl w:ilvl="0" w:tplc="BD32B3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356666"/>
    <w:multiLevelType w:val="hybridMultilevel"/>
    <w:tmpl w:val="69EE4FE4"/>
    <w:lvl w:ilvl="0" w:tplc="77EC1B18">
      <w:start w:val="1"/>
      <w:numFmt w:val="decimal"/>
      <w:lvlText w:val="%1."/>
      <w:lvlJc w:val="left"/>
      <w:pPr>
        <w:ind w:left="1812" w:hanging="372"/>
      </w:pPr>
      <w:rPr>
        <w:rFonts w:ascii="Book Antiqua" w:eastAsiaTheme="minorHAnsi" w:hAnsi="Book Antiqua" w:cs="Arial"/>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56F5140"/>
    <w:multiLevelType w:val="hybridMultilevel"/>
    <w:tmpl w:val="705AB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097E63"/>
    <w:multiLevelType w:val="hybridMultilevel"/>
    <w:tmpl w:val="7CEE5566"/>
    <w:lvl w:ilvl="0" w:tplc="8E22238C">
      <w:start w:val="1"/>
      <w:numFmt w:val="decimal"/>
      <w:lvlText w:val="%1."/>
      <w:lvlJc w:val="left"/>
      <w:pPr>
        <w:ind w:left="1812" w:hanging="372"/>
      </w:pPr>
      <w:rPr>
        <w:rFonts w:ascii="Book Antiqua" w:eastAsiaTheme="minorHAnsi" w:hAnsi="Book Antiqua" w:cs="Arial"/>
        <w:b w:val="0"/>
        <w:bCs w:val="0"/>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9" w15:restartNumberingAfterBreak="0">
    <w:nsid w:val="2E070BCB"/>
    <w:multiLevelType w:val="hybridMultilevel"/>
    <w:tmpl w:val="9452AA7C"/>
    <w:lvl w:ilvl="0" w:tplc="0B0ABF1E">
      <w:start w:val="1"/>
      <w:numFmt w:val="decimal"/>
      <w:lvlText w:val="%1."/>
      <w:lvlJc w:val="left"/>
      <w:pPr>
        <w:ind w:left="1800" w:hanging="360"/>
      </w:pPr>
      <w:rPr>
        <w:rFonts w:ascii="Book Antiqua" w:eastAsiaTheme="minorHAnsi" w:hAnsi="Book Antiqua" w:cs="Arial"/>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32565800"/>
    <w:multiLevelType w:val="hybridMultilevel"/>
    <w:tmpl w:val="9452AA7C"/>
    <w:lvl w:ilvl="0" w:tplc="FFFFFFFF">
      <w:start w:val="1"/>
      <w:numFmt w:val="decimal"/>
      <w:lvlText w:val="%1."/>
      <w:lvlJc w:val="left"/>
      <w:pPr>
        <w:ind w:left="1800" w:hanging="360"/>
      </w:pPr>
      <w:rPr>
        <w:rFonts w:ascii="Book Antiqua" w:eastAsiaTheme="minorHAnsi" w:hAnsi="Book Antiqua" w:cs="Arial"/>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1" w15:restartNumberingAfterBreak="0">
    <w:nsid w:val="331F6D42"/>
    <w:multiLevelType w:val="multilevel"/>
    <w:tmpl w:val="3C526EDE"/>
    <w:styleLink w:val="Headings"/>
    <w:lvl w:ilvl="0">
      <w:start w:val="1"/>
      <w:numFmt w:val="decimal"/>
      <w:pStyle w:val="Heading1"/>
      <w:lvlText w:val="%1."/>
      <w:lvlJc w:val="left"/>
      <w:pPr>
        <w:ind w:left="720" w:hanging="720"/>
      </w:pPr>
      <w:rPr>
        <w:rFonts w:ascii="Arial" w:hAnsi="Arial" w:cs="Times New Roman" w:hint="default"/>
        <w:b/>
        <w:i w:val="0"/>
        <w:caps w:val="0"/>
        <w:strike w:val="0"/>
        <w:dstrike w:val="0"/>
        <w:vanish w:val="0"/>
        <w:webHidden w:val="0"/>
        <w:color w:val="auto"/>
        <w:kern w:val="0"/>
        <w:position w:val="0"/>
        <w:sz w:val="26"/>
        <w:u w:val="none"/>
        <w:effect w:val="none"/>
        <w:vertAlign w:val="baseline"/>
        <w:specVanish w:val="0"/>
        <w14:ligatures w14:val="none"/>
        <w14:numSpacing w14:val="default"/>
        <w14:cntxtAlts w14:val="0"/>
      </w:rPr>
    </w:lvl>
    <w:lvl w:ilvl="1">
      <w:start w:val="1"/>
      <w:numFmt w:val="decimal"/>
      <w:pStyle w:val="Heading2"/>
      <w:lvlText w:val="%1.%2."/>
      <w:lvlJc w:val="left"/>
      <w:pPr>
        <w:tabs>
          <w:tab w:val="num" w:pos="1080"/>
        </w:tabs>
        <w:ind w:left="1080" w:hanging="720"/>
      </w:pPr>
      <w:rPr>
        <w:rFonts w:ascii="Arial" w:hAnsi="Arial" w:cs="Times New Roman" w:hint="default"/>
        <w:b/>
        <w:i w:val="0"/>
        <w:caps w:val="0"/>
        <w:strike w:val="0"/>
        <w:dstrike w:val="0"/>
        <w:vanish w:val="0"/>
        <w:webHidden w:val="0"/>
        <w:color w:val="auto"/>
        <w:kern w:val="0"/>
        <w:sz w:val="26"/>
        <w:u w:val="none"/>
        <w:effect w:val="none"/>
        <w:vertAlign w:val="baseline"/>
        <w:specVanish w:val="0"/>
        <w14:cntxtAlts w14:val="0"/>
      </w:rPr>
    </w:lvl>
    <w:lvl w:ilvl="2">
      <w:start w:val="1"/>
      <w:numFmt w:val="decimal"/>
      <w:pStyle w:val="Heading3"/>
      <w:lvlText w:val="%1.%2.%3."/>
      <w:lvlJc w:val="left"/>
      <w:pPr>
        <w:tabs>
          <w:tab w:val="num" w:pos="1656"/>
        </w:tabs>
        <w:ind w:left="1656" w:hanging="936"/>
      </w:pPr>
      <w:rPr>
        <w:rFonts w:ascii="Arial" w:hAnsi="Arial" w:cs="Times New Roman" w:hint="default"/>
        <w:b/>
        <w:i w:val="0"/>
        <w:caps w:val="0"/>
        <w:strike w:val="0"/>
        <w:dstrike w:val="0"/>
        <w:vanish w:val="0"/>
        <w:webHidden w:val="0"/>
        <w:color w:val="auto"/>
        <w:kern w:val="0"/>
        <w:sz w:val="26"/>
        <w:u w:val="none"/>
        <w:effect w:val="none"/>
        <w:vertAlign w:val="baseline"/>
        <w:specVanish w:val="0"/>
        <w14:cntxtAlts w14:val="0"/>
      </w:rPr>
    </w:lvl>
    <w:lvl w:ilvl="3">
      <w:start w:val="1"/>
      <w:numFmt w:val="decimal"/>
      <w:pStyle w:val="Heading4"/>
      <w:lvlText w:val="%1.%2.%3.%4."/>
      <w:lvlJc w:val="left"/>
      <w:pPr>
        <w:tabs>
          <w:tab w:val="num" w:pos="2232"/>
        </w:tabs>
        <w:ind w:left="2232" w:hanging="1152"/>
      </w:pPr>
      <w:rPr>
        <w:rFonts w:ascii="Arial" w:hAnsi="Arial" w:cs="Times New Roman" w:hint="default"/>
        <w:b/>
        <w:i w:val="0"/>
        <w:caps w:val="0"/>
        <w:strike w:val="0"/>
        <w:dstrike w:val="0"/>
        <w:vanish w:val="0"/>
        <w:webHidden w:val="0"/>
        <w:kern w:val="0"/>
        <w:sz w:val="26"/>
        <w:u w:val="none"/>
        <w:effect w:val="none"/>
        <w:vertAlign w:val="baseline"/>
        <w:specVanish w:val="0"/>
        <w14:cntxtAlts w14:val="0"/>
      </w:rPr>
    </w:lvl>
    <w:lvl w:ilvl="4">
      <w:start w:val="1"/>
      <w:numFmt w:val="decimal"/>
      <w:pStyle w:val="Heading5"/>
      <w:lvlText w:val="%1.%2.%3.%4.%5."/>
      <w:lvlJc w:val="left"/>
      <w:pPr>
        <w:tabs>
          <w:tab w:val="num" w:pos="2880"/>
        </w:tabs>
        <w:ind w:left="2880" w:hanging="1440"/>
      </w:pPr>
      <w:rPr>
        <w:rFonts w:ascii="Arial" w:hAnsi="Arial" w:cs="Times New Roman" w:hint="default"/>
        <w:b/>
        <w:i w:val="0"/>
        <w:sz w:val="26"/>
      </w:rPr>
    </w:lvl>
    <w:lvl w:ilvl="5">
      <w:start w:val="1"/>
      <w:numFmt w:val="decimal"/>
      <w:pStyle w:val="Heading6"/>
      <w:lvlText w:val="%1.%2.%3.%4.%5.%6."/>
      <w:lvlJc w:val="left"/>
      <w:pPr>
        <w:tabs>
          <w:tab w:val="num" w:pos="3528"/>
        </w:tabs>
        <w:ind w:left="3528" w:hanging="1728"/>
      </w:pPr>
      <w:rPr>
        <w:rFonts w:ascii="Arial" w:hAnsi="Arial" w:cs="Times New Roman" w:hint="default"/>
        <w:b/>
        <w:i w:val="0"/>
        <w:sz w:val="26"/>
      </w:rPr>
    </w:lvl>
    <w:lvl w:ilvl="6">
      <w:start w:val="1"/>
      <w:numFmt w:val="decimal"/>
      <w:pStyle w:val="ListNum"/>
      <w:lvlText w:val="%7."/>
      <w:lvlJc w:val="left"/>
      <w:pPr>
        <w:tabs>
          <w:tab w:val="num" w:pos="1080"/>
        </w:tabs>
        <w:ind w:left="1080" w:hanging="360"/>
      </w:pPr>
      <w:rPr>
        <w:rFonts w:ascii="Book Antiqua" w:hAnsi="Book Antiqua" w:hint="default"/>
        <w:b w:val="0"/>
        <w:i w:val="0"/>
        <w:sz w:val="26"/>
      </w:rPr>
    </w:lvl>
    <w:lvl w:ilvl="7">
      <w:start w:val="1"/>
      <w:numFmt w:val="lowerLetter"/>
      <w:pStyle w:val="ListAlpha"/>
      <w:lvlText w:val="%8."/>
      <w:lvlJc w:val="left"/>
      <w:pPr>
        <w:ind w:left="1080" w:hanging="360"/>
      </w:pPr>
      <w:rPr>
        <w:rFonts w:ascii="Book Antiqua" w:hAnsi="Book Antiqua" w:hint="default"/>
        <w:sz w:val="26"/>
      </w:rPr>
    </w:lvl>
    <w:lvl w:ilvl="8">
      <w:start w:val="1"/>
      <w:numFmt w:val="none"/>
      <w:lvlText w:val=""/>
      <w:lvlJc w:val="left"/>
      <w:pPr>
        <w:ind w:left="3240" w:hanging="360"/>
      </w:pPr>
    </w:lvl>
  </w:abstractNum>
  <w:abstractNum w:abstractNumId="12" w15:restartNumberingAfterBreak="0">
    <w:nsid w:val="36871EED"/>
    <w:multiLevelType w:val="hybridMultilevel"/>
    <w:tmpl w:val="3B32812C"/>
    <w:lvl w:ilvl="0" w:tplc="143CB406">
      <w:start w:val="1"/>
      <w:numFmt w:val="decimal"/>
      <w:lvlText w:val="%1."/>
      <w:lvlJc w:val="left"/>
      <w:pPr>
        <w:ind w:left="1020" w:hanging="360"/>
      </w:pPr>
    </w:lvl>
    <w:lvl w:ilvl="1" w:tplc="B714F31E">
      <w:start w:val="1"/>
      <w:numFmt w:val="decimal"/>
      <w:lvlText w:val="%2."/>
      <w:lvlJc w:val="left"/>
      <w:pPr>
        <w:ind w:left="1020" w:hanging="360"/>
      </w:pPr>
    </w:lvl>
    <w:lvl w:ilvl="2" w:tplc="63F40084">
      <w:start w:val="1"/>
      <w:numFmt w:val="decimal"/>
      <w:lvlText w:val="%3."/>
      <w:lvlJc w:val="left"/>
      <w:pPr>
        <w:ind w:left="1020" w:hanging="360"/>
      </w:pPr>
    </w:lvl>
    <w:lvl w:ilvl="3" w:tplc="090090F0">
      <w:start w:val="1"/>
      <w:numFmt w:val="decimal"/>
      <w:lvlText w:val="%4."/>
      <w:lvlJc w:val="left"/>
      <w:pPr>
        <w:ind w:left="1020" w:hanging="360"/>
      </w:pPr>
    </w:lvl>
    <w:lvl w:ilvl="4" w:tplc="AD66B2AA">
      <w:start w:val="1"/>
      <w:numFmt w:val="decimal"/>
      <w:lvlText w:val="%5."/>
      <w:lvlJc w:val="left"/>
      <w:pPr>
        <w:ind w:left="1020" w:hanging="360"/>
      </w:pPr>
    </w:lvl>
    <w:lvl w:ilvl="5" w:tplc="92240A22">
      <w:start w:val="1"/>
      <w:numFmt w:val="decimal"/>
      <w:lvlText w:val="%6."/>
      <w:lvlJc w:val="left"/>
      <w:pPr>
        <w:ind w:left="1020" w:hanging="360"/>
      </w:pPr>
    </w:lvl>
    <w:lvl w:ilvl="6" w:tplc="3ED27A76">
      <w:start w:val="1"/>
      <w:numFmt w:val="decimal"/>
      <w:lvlText w:val="%7."/>
      <w:lvlJc w:val="left"/>
      <w:pPr>
        <w:ind w:left="1020" w:hanging="360"/>
      </w:pPr>
    </w:lvl>
    <w:lvl w:ilvl="7" w:tplc="89A062A6">
      <w:start w:val="1"/>
      <w:numFmt w:val="decimal"/>
      <w:lvlText w:val="%8."/>
      <w:lvlJc w:val="left"/>
      <w:pPr>
        <w:ind w:left="1020" w:hanging="360"/>
      </w:pPr>
    </w:lvl>
    <w:lvl w:ilvl="8" w:tplc="19926BF2">
      <w:start w:val="1"/>
      <w:numFmt w:val="decimal"/>
      <w:lvlText w:val="%9."/>
      <w:lvlJc w:val="left"/>
      <w:pPr>
        <w:ind w:left="1020" w:hanging="360"/>
      </w:pPr>
    </w:lvl>
  </w:abstractNum>
  <w:abstractNum w:abstractNumId="13" w15:restartNumberingAfterBreak="0">
    <w:nsid w:val="36D7241E"/>
    <w:multiLevelType w:val="hybridMultilevel"/>
    <w:tmpl w:val="9452AA7C"/>
    <w:lvl w:ilvl="0" w:tplc="FFFFFFFF">
      <w:start w:val="1"/>
      <w:numFmt w:val="decimal"/>
      <w:lvlText w:val="%1."/>
      <w:lvlJc w:val="left"/>
      <w:pPr>
        <w:ind w:left="1800" w:hanging="360"/>
      </w:pPr>
      <w:rPr>
        <w:rFonts w:ascii="Book Antiqua" w:eastAsiaTheme="minorHAnsi" w:hAnsi="Book Antiqua" w:cs="Arial"/>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4" w15:restartNumberingAfterBreak="0">
    <w:nsid w:val="3AA33F78"/>
    <w:multiLevelType w:val="hybridMultilevel"/>
    <w:tmpl w:val="6C5EDC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C35069"/>
    <w:multiLevelType w:val="hybridMultilevel"/>
    <w:tmpl w:val="E7403776"/>
    <w:lvl w:ilvl="0" w:tplc="FFFFFFFF">
      <w:start w:val="1"/>
      <w:numFmt w:val="decimal"/>
      <w:lvlText w:val="%1."/>
      <w:lvlJc w:val="left"/>
      <w:pPr>
        <w:ind w:left="1812" w:hanging="372"/>
      </w:pPr>
      <w:rPr>
        <w:rFonts w:ascii="Book Antiqua" w:eastAsiaTheme="minorHAnsi" w:hAnsi="Book Antiqua" w:cs="Arial"/>
        <w:b w:val="0"/>
        <w:bCs w:val="0"/>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6" w15:restartNumberingAfterBreak="0">
    <w:nsid w:val="44E82C4C"/>
    <w:multiLevelType w:val="hybridMultilevel"/>
    <w:tmpl w:val="B3FE9002"/>
    <w:lvl w:ilvl="0" w:tplc="FE582856">
      <w:start w:val="1"/>
      <w:numFmt w:val="decimal"/>
      <w:lvlText w:val="%1."/>
      <w:lvlJc w:val="left"/>
      <w:pPr>
        <w:ind w:left="1812" w:hanging="372"/>
      </w:pPr>
      <w:rPr>
        <w:rFonts w:ascii="Book Antiqua" w:eastAsiaTheme="minorHAnsi" w:hAnsi="Book Antiqua" w:cs="Arial"/>
        <w:b w:val="0"/>
        <w:bCs w:val="0"/>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7" w15:restartNumberingAfterBreak="0">
    <w:nsid w:val="4760626D"/>
    <w:multiLevelType w:val="hybridMultilevel"/>
    <w:tmpl w:val="A14C5CCE"/>
    <w:lvl w:ilvl="0" w:tplc="D5F4B362">
      <w:start w:val="1"/>
      <w:numFmt w:val="decimal"/>
      <w:lvlText w:val="%1."/>
      <w:lvlJc w:val="left"/>
      <w:pPr>
        <w:ind w:left="1812" w:hanging="372"/>
      </w:pPr>
      <w:rPr>
        <w:rFonts w:ascii="Book Antiqua" w:eastAsiaTheme="minorHAnsi" w:hAnsi="Book Antiqua" w:cs="Arial"/>
        <w:b w:val="0"/>
        <w:bCs w:val="0"/>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8" w15:restartNumberingAfterBreak="0">
    <w:nsid w:val="49947537"/>
    <w:multiLevelType w:val="hybridMultilevel"/>
    <w:tmpl w:val="6E9492DC"/>
    <w:lvl w:ilvl="0" w:tplc="FFFFFFFF">
      <w:start w:val="1"/>
      <w:numFmt w:val="decimal"/>
      <w:lvlText w:val="%1."/>
      <w:lvlJc w:val="left"/>
      <w:pPr>
        <w:ind w:left="1440" w:hanging="360"/>
      </w:pPr>
      <w:rPr>
        <w:b w:val="0"/>
        <w:bCs w:val="0"/>
      </w:rPr>
    </w:lvl>
    <w:lvl w:ilvl="1" w:tplc="FFFFFFFF">
      <w:start w:val="1"/>
      <w:numFmt w:val="lowerLetter"/>
      <w:lvlText w:val="%2."/>
      <w:lvlJc w:val="left"/>
      <w:pPr>
        <w:ind w:left="2160" w:hanging="360"/>
      </w:pPr>
      <w:rPr>
        <w:b w:val="0"/>
        <w:bCs w:val="0"/>
      </w:r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19" w15:restartNumberingAfterBreak="0">
    <w:nsid w:val="51CB2A00"/>
    <w:multiLevelType w:val="hybridMultilevel"/>
    <w:tmpl w:val="14C892F6"/>
    <w:lvl w:ilvl="0" w:tplc="448072A0">
      <w:numFmt w:val="bullet"/>
      <w:lvlText w:val=""/>
      <w:lvlJc w:val="left"/>
      <w:pPr>
        <w:ind w:left="720" w:hanging="360"/>
      </w:pPr>
      <w:rPr>
        <w:rFonts w:ascii="Symbol" w:eastAsiaTheme="minorHAns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61A25780"/>
    <w:multiLevelType w:val="multilevel"/>
    <w:tmpl w:val="3C526EDE"/>
    <w:numStyleLink w:val="Headings"/>
  </w:abstractNum>
  <w:abstractNum w:abstractNumId="21" w15:restartNumberingAfterBreak="0">
    <w:nsid w:val="628541D0"/>
    <w:multiLevelType w:val="hybridMultilevel"/>
    <w:tmpl w:val="07246DA4"/>
    <w:lvl w:ilvl="0" w:tplc="9CAA95B8">
      <w:start w:val="1"/>
      <w:numFmt w:val="decimal"/>
      <w:lvlText w:val="%1."/>
      <w:lvlJc w:val="left"/>
      <w:pPr>
        <w:ind w:left="1812" w:hanging="372"/>
      </w:pPr>
      <w:rPr>
        <w:rFonts w:ascii="Book Antiqua" w:eastAsiaTheme="minorHAnsi" w:hAnsi="Book Antiqua" w:cs="Arial"/>
        <w:b w:val="0"/>
        <w:bCs w:val="0"/>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2" w15:restartNumberingAfterBreak="0">
    <w:nsid w:val="662734DD"/>
    <w:multiLevelType w:val="hybridMultilevel"/>
    <w:tmpl w:val="EC728496"/>
    <w:lvl w:ilvl="0" w:tplc="E7D0B772">
      <w:start w:val="1"/>
      <w:numFmt w:val="decimal"/>
      <w:lvlText w:val="%1."/>
      <w:lvlJc w:val="left"/>
      <w:pPr>
        <w:ind w:left="1812" w:hanging="372"/>
      </w:pPr>
      <w:rPr>
        <w:rFonts w:ascii="Book Antiqua" w:eastAsiaTheme="minorHAnsi" w:hAnsi="Book Antiqua" w:cs="Arial"/>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3" w15:restartNumberingAfterBreak="0">
    <w:nsid w:val="683338B4"/>
    <w:multiLevelType w:val="hybridMultilevel"/>
    <w:tmpl w:val="462A4446"/>
    <w:lvl w:ilvl="0" w:tplc="ABC89946">
      <w:start w:val="1"/>
      <w:numFmt w:val="decimal"/>
      <w:lvlText w:val="%1."/>
      <w:lvlJc w:val="left"/>
      <w:pPr>
        <w:ind w:left="1812" w:hanging="372"/>
      </w:pPr>
      <w:rPr>
        <w:rFonts w:ascii="Book Antiqua" w:eastAsiaTheme="minorHAnsi" w:hAnsi="Book Antiqua" w:cs="Arial"/>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4" w15:restartNumberingAfterBreak="0">
    <w:nsid w:val="68C3463E"/>
    <w:multiLevelType w:val="hybridMultilevel"/>
    <w:tmpl w:val="E7403776"/>
    <w:lvl w:ilvl="0" w:tplc="1F74F49C">
      <w:start w:val="1"/>
      <w:numFmt w:val="decimal"/>
      <w:lvlText w:val="%1."/>
      <w:lvlJc w:val="left"/>
      <w:pPr>
        <w:ind w:left="1812" w:hanging="372"/>
      </w:pPr>
      <w:rPr>
        <w:rFonts w:ascii="Book Antiqua" w:eastAsiaTheme="minorHAnsi" w:hAnsi="Book Antiqua" w:cs="Arial"/>
        <w:b w:val="0"/>
        <w:bCs w:val="0"/>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5" w15:restartNumberingAfterBreak="0">
    <w:nsid w:val="7508018A"/>
    <w:multiLevelType w:val="hybridMultilevel"/>
    <w:tmpl w:val="4EC671E2"/>
    <w:lvl w:ilvl="0" w:tplc="81A64F4E">
      <w:start w:val="1"/>
      <w:numFmt w:val="decimal"/>
      <w:lvlText w:val="%1."/>
      <w:lvlJc w:val="left"/>
      <w:pPr>
        <w:ind w:left="1812" w:hanging="372"/>
      </w:pPr>
      <w:rPr>
        <w:rFonts w:ascii="Book Antiqua" w:eastAsiaTheme="minorHAnsi" w:hAnsi="Book Antiqua" w:cs="Arial"/>
        <w:b w:val="0"/>
        <w:bCs w:val="0"/>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6" w15:restartNumberingAfterBreak="0">
    <w:nsid w:val="77136019"/>
    <w:multiLevelType w:val="hybridMultilevel"/>
    <w:tmpl w:val="E7403776"/>
    <w:lvl w:ilvl="0" w:tplc="FFFFFFFF">
      <w:start w:val="1"/>
      <w:numFmt w:val="decimal"/>
      <w:lvlText w:val="%1."/>
      <w:lvlJc w:val="left"/>
      <w:pPr>
        <w:ind w:left="1812" w:hanging="372"/>
      </w:pPr>
      <w:rPr>
        <w:rFonts w:ascii="Book Antiqua" w:eastAsiaTheme="minorHAnsi" w:hAnsi="Book Antiqua" w:cs="Arial"/>
        <w:b w:val="0"/>
        <w:bCs w:val="0"/>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7" w15:restartNumberingAfterBreak="0">
    <w:nsid w:val="789A0AFE"/>
    <w:multiLevelType w:val="multilevel"/>
    <w:tmpl w:val="18F4A5AC"/>
    <w:numStyleLink w:val="FoFCoLOP"/>
  </w:abstractNum>
  <w:abstractNum w:abstractNumId="28" w15:restartNumberingAfterBreak="0">
    <w:nsid w:val="78F479ED"/>
    <w:multiLevelType w:val="hybridMultilevel"/>
    <w:tmpl w:val="EE782180"/>
    <w:lvl w:ilvl="0" w:tplc="04FC7D7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98A0226"/>
    <w:multiLevelType w:val="hybridMultilevel"/>
    <w:tmpl w:val="5A40D926"/>
    <w:lvl w:ilvl="0" w:tplc="0310E82E">
      <w:start w:val="1"/>
      <w:numFmt w:val="decimal"/>
      <w:lvlText w:val="%1."/>
      <w:lvlJc w:val="left"/>
      <w:pPr>
        <w:ind w:left="1440" w:hanging="360"/>
      </w:pPr>
      <w:rPr>
        <w:b/>
        <w:bCs/>
        <w:sz w:val="26"/>
        <w:szCs w:val="26"/>
      </w:rPr>
    </w:lvl>
    <w:lvl w:ilvl="1" w:tplc="803282C2">
      <w:start w:val="1"/>
      <w:numFmt w:val="lowerLetter"/>
      <w:lvlText w:val="%2."/>
      <w:lvlJc w:val="left"/>
      <w:pPr>
        <w:ind w:left="2160" w:hanging="360"/>
      </w:pPr>
      <w:rPr>
        <w:b w:val="0"/>
        <w:bCs w:val="0"/>
      </w:r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0" w15:restartNumberingAfterBreak="0">
    <w:nsid w:val="7B1C30FD"/>
    <w:multiLevelType w:val="singleLevel"/>
    <w:tmpl w:val="2FB6A734"/>
    <w:lvl w:ilvl="0">
      <w:start w:val="1"/>
      <w:numFmt w:val="decimal"/>
      <w:lvlText w:val="%1."/>
      <w:legacy w:legacy="1" w:legacySpace="144" w:legacyIndent="0"/>
      <w:lvlJc w:val="left"/>
      <w:pPr>
        <w:ind w:left="0" w:firstLine="0"/>
      </w:pPr>
    </w:lvl>
  </w:abstractNum>
  <w:abstractNum w:abstractNumId="31" w15:restartNumberingAfterBreak="0">
    <w:nsid w:val="7ED86908"/>
    <w:multiLevelType w:val="hybridMultilevel"/>
    <w:tmpl w:val="3B56C304"/>
    <w:lvl w:ilvl="0" w:tplc="F70E6668">
      <w:start w:val="345"/>
      <w:numFmt w:val="bullet"/>
      <w:lvlText w:val=""/>
      <w:lvlJc w:val="left"/>
      <w:pPr>
        <w:ind w:left="720" w:hanging="360"/>
      </w:pPr>
      <w:rPr>
        <w:rFonts w:ascii="Symbol" w:eastAsia="Calibri" w:hAnsi="Symbol" w:cs="Calibri" w:hint="default"/>
        <w:b w:val="0"/>
        <w:bCs w:val="0"/>
        <w:i w:val="0"/>
        <w:iCs w:val="0"/>
        <w:color w:val="auto"/>
        <w:sz w:val="2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208170590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34862946">
    <w:abstractNumId w:val="27"/>
    <w:lvlOverride w:ilvl="0">
      <w:startOverride w:val="1"/>
      <w:lvl w:ilvl="0">
        <w:start w:val="1"/>
        <w:numFmt w:val="decimal"/>
        <w:pStyle w:val="OP"/>
        <w:lvlText w:val="%1."/>
        <w:lvlJc w:val="right"/>
        <w:pPr>
          <w:ind w:left="0" w:firstLine="54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 w16cid:durableId="2141529183">
    <w:abstractNumId w:val="29"/>
  </w:num>
  <w:num w:numId="4" w16cid:durableId="1601718571">
    <w:abstractNumId w:val="3"/>
  </w:num>
  <w:num w:numId="5" w16cid:durableId="1135099135">
    <w:abstractNumId w:val="11"/>
  </w:num>
  <w:num w:numId="6" w16cid:durableId="1954558863">
    <w:abstractNumId w:val="14"/>
  </w:num>
  <w:num w:numId="7" w16cid:durableId="220556251">
    <w:abstractNumId w:val="29"/>
  </w:num>
  <w:num w:numId="8" w16cid:durableId="67075882">
    <w:abstractNumId w:val="18"/>
  </w:num>
  <w:num w:numId="9" w16cid:durableId="904028917">
    <w:abstractNumId w:val="7"/>
  </w:num>
  <w:num w:numId="10" w16cid:durableId="1103573929">
    <w:abstractNumId w:val="12"/>
  </w:num>
  <w:num w:numId="11" w16cid:durableId="1681471190">
    <w:abstractNumId w:val="27"/>
    <w:lvlOverride w:ilvl="0">
      <w:lvl w:ilvl="0">
        <w:start w:val="1"/>
        <w:numFmt w:val="decimal"/>
        <w:pStyle w:val="OP"/>
        <w:lvlText w:val="%1."/>
        <w:lvlJc w:val="right"/>
        <w:pPr>
          <w:ind w:left="0" w:firstLine="540"/>
        </w:pPr>
      </w:lvl>
    </w:lvlOverride>
  </w:num>
  <w:num w:numId="12" w16cid:durableId="742223010">
    <w:abstractNumId w:val="5"/>
  </w:num>
  <w:num w:numId="13" w16cid:durableId="2006087575">
    <w:abstractNumId w:val="9"/>
  </w:num>
  <w:num w:numId="14" w16cid:durableId="881019548">
    <w:abstractNumId w:val="6"/>
  </w:num>
  <w:num w:numId="15" w16cid:durableId="628753868">
    <w:abstractNumId w:val="2"/>
  </w:num>
  <w:num w:numId="16" w16cid:durableId="205487">
    <w:abstractNumId w:val="30"/>
    <w:lvlOverride w:ilvl="0">
      <w:startOverride w:val="1"/>
    </w:lvlOverride>
  </w:num>
  <w:num w:numId="17" w16cid:durableId="1017075076">
    <w:abstractNumId w:val="22"/>
  </w:num>
  <w:num w:numId="18" w16cid:durableId="472216339">
    <w:abstractNumId w:val="23"/>
  </w:num>
  <w:num w:numId="19" w16cid:durableId="1586496962">
    <w:abstractNumId w:val="4"/>
  </w:num>
  <w:num w:numId="20" w16cid:durableId="878250429">
    <w:abstractNumId w:val="19"/>
  </w:num>
  <w:num w:numId="21" w16cid:durableId="1817070301">
    <w:abstractNumId w:val="31"/>
  </w:num>
  <w:num w:numId="22" w16cid:durableId="355737765">
    <w:abstractNumId w:val="28"/>
  </w:num>
  <w:num w:numId="23" w16cid:durableId="237175409">
    <w:abstractNumId w:val="24"/>
  </w:num>
  <w:num w:numId="24" w16cid:durableId="892422136">
    <w:abstractNumId w:val="25"/>
  </w:num>
  <w:num w:numId="25" w16cid:durableId="670261211">
    <w:abstractNumId w:val="16"/>
  </w:num>
  <w:num w:numId="26" w16cid:durableId="2077825521">
    <w:abstractNumId w:val="8"/>
  </w:num>
  <w:num w:numId="27" w16cid:durableId="1099105793">
    <w:abstractNumId w:val="0"/>
  </w:num>
  <w:num w:numId="28" w16cid:durableId="326904897">
    <w:abstractNumId w:val="21"/>
  </w:num>
  <w:num w:numId="29" w16cid:durableId="48065396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162555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0436339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09009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7041128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79119333">
    <w:abstractNumId w:val="17"/>
  </w:num>
  <w:num w:numId="35" w16cid:durableId="1259101244">
    <w:abstractNumId w:val="1"/>
  </w:num>
  <w:num w:numId="36" w16cid:durableId="1267153260">
    <w:abstractNumId w:val="13"/>
  </w:num>
  <w:num w:numId="37" w16cid:durableId="946621568">
    <w:abstractNumId w:val="10"/>
  </w:num>
  <w:num w:numId="38" w16cid:durableId="471214173">
    <w:abstractNumId w:val="15"/>
  </w:num>
  <w:num w:numId="39" w16cid:durableId="1985307221">
    <w:abstractNumId w:val="26"/>
  </w:num>
  <w:num w:numId="40" w16cid:durableId="153992604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5323559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2475715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084"/>
    <w:rsid w:val="00006436"/>
    <w:rsid w:val="000079AC"/>
    <w:rsid w:val="00007CF2"/>
    <w:rsid w:val="00010973"/>
    <w:rsid w:val="000159A9"/>
    <w:rsid w:val="000366B4"/>
    <w:rsid w:val="00056C95"/>
    <w:rsid w:val="00060A24"/>
    <w:rsid w:val="00061027"/>
    <w:rsid w:val="000612F0"/>
    <w:rsid w:val="00064426"/>
    <w:rsid w:val="00080238"/>
    <w:rsid w:val="000838FE"/>
    <w:rsid w:val="000A623D"/>
    <w:rsid w:val="000C5629"/>
    <w:rsid w:val="000D308D"/>
    <w:rsid w:val="000D4C3C"/>
    <w:rsid w:val="000E51F3"/>
    <w:rsid w:val="00116766"/>
    <w:rsid w:val="001208C3"/>
    <w:rsid w:val="00131AF4"/>
    <w:rsid w:val="00141CBE"/>
    <w:rsid w:val="00146137"/>
    <w:rsid w:val="00155585"/>
    <w:rsid w:val="0016054B"/>
    <w:rsid w:val="00173754"/>
    <w:rsid w:val="00180844"/>
    <w:rsid w:val="00186B00"/>
    <w:rsid w:val="0019110D"/>
    <w:rsid w:val="00191800"/>
    <w:rsid w:val="00193029"/>
    <w:rsid w:val="00193905"/>
    <w:rsid w:val="001A14FF"/>
    <w:rsid w:val="001A4FDF"/>
    <w:rsid w:val="001B2FF7"/>
    <w:rsid w:val="001B5E8E"/>
    <w:rsid w:val="001D1A62"/>
    <w:rsid w:val="001D45B8"/>
    <w:rsid w:val="001D658B"/>
    <w:rsid w:val="001D6887"/>
    <w:rsid w:val="001E37D5"/>
    <w:rsid w:val="001F2E37"/>
    <w:rsid w:val="001F4805"/>
    <w:rsid w:val="0020075B"/>
    <w:rsid w:val="00203F13"/>
    <w:rsid w:val="0021192F"/>
    <w:rsid w:val="002139FC"/>
    <w:rsid w:val="0024128E"/>
    <w:rsid w:val="0024793D"/>
    <w:rsid w:val="00255B87"/>
    <w:rsid w:val="0025755D"/>
    <w:rsid w:val="00276D28"/>
    <w:rsid w:val="002773A7"/>
    <w:rsid w:val="00282F93"/>
    <w:rsid w:val="00285174"/>
    <w:rsid w:val="002935A1"/>
    <w:rsid w:val="002A1B27"/>
    <w:rsid w:val="002A201F"/>
    <w:rsid w:val="002B23EC"/>
    <w:rsid w:val="002B257F"/>
    <w:rsid w:val="002B264A"/>
    <w:rsid w:val="002B541E"/>
    <w:rsid w:val="002C219F"/>
    <w:rsid w:val="002C527C"/>
    <w:rsid w:val="002C5C94"/>
    <w:rsid w:val="002D12BD"/>
    <w:rsid w:val="002D7EA4"/>
    <w:rsid w:val="002E1DA9"/>
    <w:rsid w:val="002E7472"/>
    <w:rsid w:val="002E7C00"/>
    <w:rsid w:val="002F6B2F"/>
    <w:rsid w:val="00324835"/>
    <w:rsid w:val="00334DE9"/>
    <w:rsid w:val="003427A4"/>
    <w:rsid w:val="00342BD7"/>
    <w:rsid w:val="00346D23"/>
    <w:rsid w:val="00350A5B"/>
    <w:rsid w:val="0035589D"/>
    <w:rsid w:val="00357648"/>
    <w:rsid w:val="00362B2B"/>
    <w:rsid w:val="003707E1"/>
    <w:rsid w:val="00370C0E"/>
    <w:rsid w:val="00392880"/>
    <w:rsid w:val="00394472"/>
    <w:rsid w:val="003A0810"/>
    <w:rsid w:val="003A2BA6"/>
    <w:rsid w:val="003A38A4"/>
    <w:rsid w:val="003B1E87"/>
    <w:rsid w:val="003B2227"/>
    <w:rsid w:val="003B5547"/>
    <w:rsid w:val="003C0192"/>
    <w:rsid w:val="003C0580"/>
    <w:rsid w:val="003D291F"/>
    <w:rsid w:val="003E0D10"/>
    <w:rsid w:val="003E2417"/>
    <w:rsid w:val="003E5C20"/>
    <w:rsid w:val="003F296A"/>
    <w:rsid w:val="004129D8"/>
    <w:rsid w:val="00423048"/>
    <w:rsid w:val="00424306"/>
    <w:rsid w:val="0042604D"/>
    <w:rsid w:val="00426284"/>
    <w:rsid w:val="00427E84"/>
    <w:rsid w:val="00434DA8"/>
    <w:rsid w:val="004378BA"/>
    <w:rsid w:val="00437E8B"/>
    <w:rsid w:val="00446316"/>
    <w:rsid w:val="004465D6"/>
    <w:rsid w:val="00462CAA"/>
    <w:rsid w:val="00462D07"/>
    <w:rsid w:val="004672DA"/>
    <w:rsid w:val="004715DC"/>
    <w:rsid w:val="00471F88"/>
    <w:rsid w:val="00477DC3"/>
    <w:rsid w:val="00481F92"/>
    <w:rsid w:val="00486A01"/>
    <w:rsid w:val="00490E64"/>
    <w:rsid w:val="00493BE8"/>
    <w:rsid w:val="004965BB"/>
    <w:rsid w:val="004A139D"/>
    <w:rsid w:val="004A4A94"/>
    <w:rsid w:val="004A5E2E"/>
    <w:rsid w:val="004A7E22"/>
    <w:rsid w:val="004B03B6"/>
    <w:rsid w:val="004C18B1"/>
    <w:rsid w:val="004C46EF"/>
    <w:rsid w:val="004C5F25"/>
    <w:rsid w:val="004F6250"/>
    <w:rsid w:val="004F6CDA"/>
    <w:rsid w:val="00500BCA"/>
    <w:rsid w:val="00501CFA"/>
    <w:rsid w:val="0050631A"/>
    <w:rsid w:val="00507132"/>
    <w:rsid w:val="00515C6B"/>
    <w:rsid w:val="0054108C"/>
    <w:rsid w:val="00553FA7"/>
    <w:rsid w:val="00557C5F"/>
    <w:rsid w:val="00567E5C"/>
    <w:rsid w:val="00571BBA"/>
    <w:rsid w:val="00577E37"/>
    <w:rsid w:val="00580084"/>
    <w:rsid w:val="005812A7"/>
    <w:rsid w:val="0058613A"/>
    <w:rsid w:val="00591679"/>
    <w:rsid w:val="005934C9"/>
    <w:rsid w:val="00595EF7"/>
    <w:rsid w:val="005A29AE"/>
    <w:rsid w:val="005A2BF5"/>
    <w:rsid w:val="005A69B0"/>
    <w:rsid w:val="005B08CF"/>
    <w:rsid w:val="005C27A8"/>
    <w:rsid w:val="005C2BC4"/>
    <w:rsid w:val="005E2963"/>
    <w:rsid w:val="005F2CDE"/>
    <w:rsid w:val="005F7CC4"/>
    <w:rsid w:val="005F7F5B"/>
    <w:rsid w:val="00613989"/>
    <w:rsid w:val="00624B12"/>
    <w:rsid w:val="00633412"/>
    <w:rsid w:val="0064381A"/>
    <w:rsid w:val="00644C3E"/>
    <w:rsid w:val="0066600C"/>
    <w:rsid w:val="006700ED"/>
    <w:rsid w:val="00671EBD"/>
    <w:rsid w:val="00673CD3"/>
    <w:rsid w:val="00674F3F"/>
    <w:rsid w:val="006C38E8"/>
    <w:rsid w:val="006C43C0"/>
    <w:rsid w:val="006C450D"/>
    <w:rsid w:val="006C59CB"/>
    <w:rsid w:val="006D2742"/>
    <w:rsid w:val="006D3513"/>
    <w:rsid w:val="006D7499"/>
    <w:rsid w:val="006E4A28"/>
    <w:rsid w:val="006E54F8"/>
    <w:rsid w:val="006F619A"/>
    <w:rsid w:val="00704423"/>
    <w:rsid w:val="007121CF"/>
    <w:rsid w:val="0071414D"/>
    <w:rsid w:val="00714349"/>
    <w:rsid w:val="0071480A"/>
    <w:rsid w:val="00722FD8"/>
    <w:rsid w:val="00733FD7"/>
    <w:rsid w:val="00736AA7"/>
    <w:rsid w:val="00794613"/>
    <w:rsid w:val="007A034C"/>
    <w:rsid w:val="007A38E3"/>
    <w:rsid w:val="007B7F34"/>
    <w:rsid w:val="007C312C"/>
    <w:rsid w:val="007D4754"/>
    <w:rsid w:val="007E0E6B"/>
    <w:rsid w:val="007E6BDC"/>
    <w:rsid w:val="007E7B71"/>
    <w:rsid w:val="007F213B"/>
    <w:rsid w:val="0080413E"/>
    <w:rsid w:val="008063B1"/>
    <w:rsid w:val="008073A3"/>
    <w:rsid w:val="00817615"/>
    <w:rsid w:val="0082136F"/>
    <w:rsid w:val="008356AC"/>
    <w:rsid w:val="00843D77"/>
    <w:rsid w:val="00845FFE"/>
    <w:rsid w:val="00847D40"/>
    <w:rsid w:val="00857F1B"/>
    <w:rsid w:val="008635F6"/>
    <w:rsid w:val="00865BB2"/>
    <w:rsid w:val="0086625D"/>
    <w:rsid w:val="0087402E"/>
    <w:rsid w:val="00881E7D"/>
    <w:rsid w:val="0088419F"/>
    <w:rsid w:val="008903B1"/>
    <w:rsid w:val="00891B01"/>
    <w:rsid w:val="008A428F"/>
    <w:rsid w:val="008B3372"/>
    <w:rsid w:val="008B67BB"/>
    <w:rsid w:val="008D061D"/>
    <w:rsid w:val="008D44E9"/>
    <w:rsid w:val="009003E9"/>
    <w:rsid w:val="009014FC"/>
    <w:rsid w:val="00915A48"/>
    <w:rsid w:val="00916C4C"/>
    <w:rsid w:val="00921317"/>
    <w:rsid w:val="0092648C"/>
    <w:rsid w:val="00943649"/>
    <w:rsid w:val="00950F0E"/>
    <w:rsid w:val="009536B5"/>
    <w:rsid w:val="009548AF"/>
    <w:rsid w:val="00957142"/>
    <w:rsid w:val="00962B07"/>
    <w:rsid w:val="00963F61"/>
    <w:rsid w:val="00965326"/>
    <w:rsid w:val="00966846"/>
    <w:rsid w:val="00971FEA"/>
    <w:rsid w:val="0097378E"/>
    <w:rsid w:val="00977DCF"/>
    <w:rsid w:val="00986FB7"/>
    <w:rsid w:val="00995F78"/>
    <w:rsid w:val="009A2FB6"/>
    <w:rsid w:val="009A3AED"/>
    <w:rsid w:val="009D0D58"/>
    <w:rsid w:val="009D4BE0"/>
    <w:rsid w:val="009D6195"/>
    <w:rsid w:val="009E7359"/>
    <w:rsid w:val="009E7ACB"/>
    <w:rsid w:val="009F3470"/>
    <w:rsid w:val="009F3B12"/>
    <w:rsid w:val="00A0768C"/>
    <w:rsid w:val="00A116A5"/>
    <w:rsid w:val="00A13EA0"/>
    <w:rsid w:val="00A16EFE"/>
    <w:rsid w:val="00A17ACB"/>
    <w:rsid w:val="00A23AF6"/>
    <w:rsid w:val="00A50B21"/>
    <w:rsid w:val="00A54AD3"/>
    <w:rsid w:val="00A6073A"/>
    <w:rsid w:val="00A808E1"/>
    <w:rsid w:val="00A82265"/>
    <w:rsid w:val="00A86600"/>
    <w:rsid w:val="00A877E1"/>
    <w:rsid w:val="00A97725"/>
    <w:rsid w:val="00AA05D6"/>
    <w:rsid w:val="00AA78FF"/>
    <w:rsid w:val="00AA795F"/>
    <w:rsid w:val="00AB429C"/>
    <w:rsid w:val="00AF4212"/>
    <w:rsid w:val="00B02F0F"/>
    <w:rsid w:val="00B06ABD"/>
    <w:rsid w:val="00B07152"/>
    <w:rsid w:val="00B13CEC"/>
    <w:rsid w:val="00B35BD4"/>
    <w:rsid w:val="00B35D65"/>
    <w:rsid w:val="00B4311A"/>
    <w:rsid w:val="00B4652F"/>
    <w:rsid w:val="00B478F3"/>
    <w:rsid w:val="00B54887"/>
    <w:rsid w:val="00B67945"/>
    <w:rsid w:val="00B94018"/>
    <w:rsid w:val="00BA6C2E"/>
    <w:rsid w:val="00BB4146"/>
    <w:rsid w:val="00BB7F1D"/>
    <w:rsid w:val="00BB7FB1"/>
    <w:rsid w:val="00BC5FC3"/>
    <w:rsid w:val="00BD686B"/>
    <w:rsid w:val="00BE12DF"/>
    <w:rsid w:val="00BF5BDF"/>
    <w:rsid w:val="00BF6DEA"/>
    <w:rsid w:val="00C070B5"/>
    <w:rsid w:val="00C11245"/>
    <w:rsid w:val="00C235CF"/>
    <w:rsid w:val="00C2445B"/>
    <w:rsid w:val="00C2706E"/>
    <w:rsid w:val="00C276B4"/>
    <w:rsid w:val="00C35D9B"/>
    <w:rsid w:val="00C42ABD"/>
    <w:rsid w:val="00C43E58"/>
    <w:rsid w:val="00C46292"/>
    <w:rsid w:val="00C51073"/>
    <w:rsid w:val="00C5269D"/>
    <w:rsid w:val="00C564EC"/>
    <w:rsid w:val="00C61E63"/>
    <w:rsid w:val="00CA4989"/>
    <w:rsid w:val="00CB0053"/>
    <w:rsid w:val="00CB115F"/>
    <w:rsid w:val="00CB7545"/>
    <w:rsid w:val="00CC666A"/>
    <w:rsid w:val="00CD68D8"/>
    <w:rsid w:val="00CE01FE"/>
    <w:rsid w:val="00D25BBA"/>
    <w:rsid w:val="00D354C0"/>
    <w:rsid w:val="00D457C8"/>
    <w:rsid w:val="00D514C6"/>
    <w:rsid w:val="00D51E23"/>
    <w:rsid w:val="00D53750"/>
    <w:rsid w:val="00D61FCF"/>
    <w:rsid w:val="00D6655D"/>
    <w:rsid w:val="00D73DE9"/>
    <w:rsid w:val="00D76587"/>
    <w:rsid w:val="00D84CCD"/>
    <w:rsid w:val="00D96DFB"/>
    <w:rsid w:val="00DA570B"/>
    <w:rsid w:val="00DB7D82"/>
    <w:rsid w:val="00DD5869"/>
    <w:rsid w:val="00DE6765"/>
    <w:rsid w:val="00DE7D0E"/>
    <w:rsid w:val="00DF0746"/>
    <w:rsid w:val="00E049E3"/>
    <w:rsid w:val="00E1196C"/>
    <w:rsid w:val="00E148A2"/>
    <w:rsid w:val="00E24E7D"/>
    <w:rsid w:val="00E26A10"/>
    <w:rsid w:val="00E26FCA"/>
    <w:rsid w:val="00E37245"/>
    <w:rsid w:val="00E453E5"/>
    <w:rsid w:val="00E54556"/>
    <w:rsid w:val="00E60D26"/>
    <w:rsid w:val="00E62727"/>
    <w:rsid w:val="00E706EB"/>
    <w:rsid w:val="00E7293F"/>
    <w:rsid w:val="00E74658"/>
    <w:rsid w:val="00E747F1"/>
    <w:rsid w:val="00E80229"/>
    <w:rsid w:val="00E80B04"/>
    <w:rsid w:val="00E91507"/>
    <w:rsid w:val="00E95D90"/>
    <w:rsid w:val="00E97239"/>
    <w:rsid w:val="00EB72C1"/>
    <w:rsid w:val="00EC5D54"/>
    <w:rsid w:val="00EC7A03"/>
    <w:rsid w:val="00ED49D9"/>
    <w:rsid w:val="00ED7E5E"/>
    <w:rsid w:val="00EE6AB1"/>
    <w:rsid w:val="00EF7BC3"/>
    <w:rsid w:val="00F06BF9"/>
    <w:rsid w:val="00F11FC7"/>
    <w:rsid w:val="00F215A3"/>
    <w:rsid w:val="00F2458B"/>
    <w:rsid w:val="00F308D8"/>
    <w:rsid w:val="00F30F3D"/>
    <w:rsid w:val="00F31E2B"/>
    <w:rsid w:val="00F32621"/>
    <w:rsid w:val="00F45850"/>
    <w:rsid w:val="00F45B78"/>
    <w:rsid w:val="00F51FF4"/>
    <w:rsid w:val="00F52004"/>
    <w:rsid w:val="00F60AB9"/>
    <w:rsid w:val="00F7175C"/>
    <w:rsid w:val="00F74B41"/>
    <w:rsid w:val="00F75324"/>
    <w:rsid w:val="00F805F5"/>
    <w:rsid w:val="00F85DDD"/>
    <w:rsid w:val="00F9126F"/>
    <w:rsid w:val="00F95893"/>
    <w:rsid w:val="00FA1244"/>
    <w:rsid w:val="00FA48A0"/>
    <w:rsid w:val="00FA4AB1"/>
    <w:rsid w:val="00FA7855"/>
    <w:rsid w:val="00FB6A00"/>
    <w:rsid w:val="00FC2ED1"/>
    <w:rsid w:val="00FC34CB"/>
    <w:rsid w:val="00FD5959"/>
    <w:rsid w:val="00FF20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67C9C2"/>
  <w15:chartTrackingRefBased/>
  <w15:docId w15:val="{5580E7CA-67DE-4D4B-A3E8-EE983C7D73D4}"/>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311A"/>
    <w:pPr>
      <w:spacing w:after="0" w:line="360" w:lineRule="auto"/>
      <w:ind w:firstLine="720"/>
    </w:pPr>
    <w:rPr>
      <w:rFonts w:ascii="Book Antiqua" w:hAnsi="Book Antiqua"/>
      <w:kern w:val="0"/>
      <w:sz w:val="26"/>
      <w14:ligatures w14:val="none"/>
    </w:rPr>
  </w:style>
  <w:style w:type="paragraph" w:styleId="Heading1">
    <w:name w:val="heading 1"/>
    <w:basedOn w:val="Normal"/>
    <w:next w:val="Normal"/>
    <w:link w:val="Heading1Char"/>
    <w:qFormat/>
    <w:rsid w:val="00580084"/>
    <w:pPr>
      <w:keepNext/>
      <w:keepLines/>
      <w:numPr>
        <w:numId w:val="1"/>
      </w:numPr>
      <w:spacing w:after="120" w:line="240" w:lineRule="auto"/>
      <w:ind w:right="2160"/>
      <w:outlineLvl w:val="0"/>
    </w:pPr>
    <w:rPr>
      <w:rFonts w:ascii="Arial" w:eastAsiaTheme="majorEastAsia" w:hAnsi="Arial" w:cstheme="majorBidi"/>
      <w:b/>
      <w:szCs w:val="32"/>
    </w:rPr>
  </w:style>
  <w:style w:type="paragraph" w:styleId="Heading2">
    <w:name w:val="heading 2"/>
    <w:basedOn w:val="Normal"/>
    <w:next w:val="Normal"/>
    <w:link w:val="Heading2Char"/>
    <w:unhideWhenUsed/>
    <w:qFormat/>
    <w:rsid w:val="00580084"/>
    <w:pPr>
      <w:keepNext/>
      <w:keepLines/>
      <w:numPr>
        <w:ilvl w:val="1"/>
        <w:numId w:val="1"/>
      </w:numPr>
      <w:spacing w:after="120" w:line="240" w:lineRule="auto"/>
      <w:ind w:left="1440" w:right="2160"/>
      <w:outlineLvl w:val="1"/>
    </w:pPr>
    <w:rPr>
      <w:rFonts w:ascii="Arial" w:eastAsia="Times New Roman" w:hAnsi="Arial" w:cs="Arial"/>
      <w:b/>
      <w:szCs w:val="26"/>
    </w:rPr>
  </w:style>
  <w:style w:type="paragraph" w:styleId="Heading3">
    <w:name w:val="heading 3"/>
    <w:basedOn w:val="Normal"/>
    <w:next w:val="Normal"/>
    <w:link w:val="Heading3Char"/>
    <w:unhideWhenUsed/>
    <w:qFormat/>
    <w:rsid w:val="00580084"/>
    <w:pPr>
      <w:keepNext/>
      <w:keepLines/>
      <w:numPr>
        <w:ilvl w:val="2"/>
        <w:numId w:val="1"/>
      </w:numPr>
      <w:spacing w:after="120" w:line="240" w:lineRule="auto"/>
      <w:ind w:right="2160"/>
      <w:outlineLvl w:val="2"/>
    </w:pPr>
    <w:rPr>
      <w:rFonts w:ascii="Arial" w:eastAsiaTheme="majorEastAsia" w:hAnsi="Arial" w:cstheme="majorBidi"/>
      <w:b/>
      <w:szCs w:val="24"/>
    </w:rPr>
  </w:style>
  <w:style w:type="paragraph" w:styleId="Heading4">
    <w:name w:val="heading 4"/>
    <w:basedOn w:val="Normal"/>
    <w:next w:val="Normal"/>
    <w:link w:val="Heading4Char"/>
    <w:semiHidden/>
    <w:unhideWhenUsed/>
    <w:qFormat/>
    <w:rsid w:val="00580084"/>
    <w:pPr>
      <w:keepNext/>
      <w:keepLines/>
      <w:numPr>
        <w:ilvl w:val="3"/>
        <w:numId w:val="1"/>
      </w:numPr>
      <w:spacing w:after="120" w:line="240" w:lineRule="auto"/>
      <w:ind w:right="2160"/>
      <w:outlineLvl w:val="3"/>
    </w:pPr>
    <w:rPr>
      <w:rFonts w:ascii="Arial" w:eastAsiaTheme="majorEastAsia" w:hAnsi="Arial" w:cstheme="majorBidi"/>
      <w:b/>
      <w:iCs/>
      <w:szCs w:val="26"/>
    </w:rPr>
  </w:style>
  <w:style w:type="paragraph" w:styleId="Heading5">
    <w:name w:val="heading 5"/>
    <w:basedOn w:val="Normal"/>
    <w:next w:val="Normal"/>
    <w:link w:val="Heading5Char"/>
    <w:semiHidden/>
    <w:unhideWhenUsed/>
    <w:qFormat/>
    <w:rsid w:val="00580084"/>
    <w:pPr>
      <w:keepNext/>
      <w:keepLines/>
      <w:numPr>
        <w:ilvl w:val="4"/>
        <w:numId w:val="1"/>
      </w:numPr>
      <w:spacing w:after="120" w:line="240" w:lineRule="auto"/>
      <w:ind w:right="2160"/>
      <w:outlineLvl w:val="4"/>
    </w:pPr>
    <w:rPr>
      <w:rFonts w:ascii="Arial" w:eastAsiaTheme="majorEastAsia" w:hAnsi="Arial" w:cstheme="majorBidi"/>
      <w:b/>
      <w:szCs w:val="26"/>
    </w:rPr>
  </w:style>
  <w:style w:type="paragraph" w:styleId="Heading6">
    <w:name w:val="heading 6"/>
    <w:basedOn w:val="Normal"/>
    <w:next w:val="Normal"/>
    <w:link w:val="Heading6Char"/>
    <w:unhideWhenUsed/>
    <w:qFormat/>
    <w:rsid w:val="00580084"/>
    <w:pPr>
      <w:keepNext/>
      <w:keepLines/>
      <w:numPr>
        <w:ilvl w:val="5"/>
        <w:numId w:val="1"/>
      </w:numPr>
      <w:spacing w:before="40" w:after="120" w:line="240" w:lineRule="auto"/>
      <w:ind w:right="2160"/>
      <w:outlineLvl w:val="5"/>
    </w:pPr>
    <w:rPr>
      <w:rFonts w:ascii="Arial" w:eastAsiaTheme="majorEastAsia" w:hAnsi="Arial" w:cstheme="majorBidi"/>
      <w:b/>
      <w:szCs w:val="26"/>
    </w:rPr>
  </w:style>
  <w:style w:type="paragraph" w:styleId="Heading7">
    <w:name w:val="heading 7"/>
    <w:basedOn w:val="Normal"/>
    <w:next w:val="Normal"/>
    <w:link w:val="Heading7Char"/>
    <w:unhideWhenUsed/>
    <w:qFormat/>
    <w:rsid w:val="005F2CDE"/>
    <w:pPr>
      <w:tabs>
        <w:tab w:val="num" w:pos="360"/>
        <w:tab w:val="left" w:pos="2520"/>
      </w:tabs>
      <w:spacing w:before="120" w:after="120" w:line="240" w:lineRule="auto"/>
      <w:ind w:left="2520" w:hanging="1800"/>
      <w:outlineLvl w:val="6"/>
    </w:pPr>
    <w:rPr>
      <w:rFonts w:ascii="Helvetica" w:eastAsia="Times New Roman" w:hAnsi="Helvetica" w:cs="Times New Roman"/>
      <w:b/>
      <w:szCs w:val="24"/>
    </w:rPr>
  </w:style>
  <w:style w:type="paragraph" w:styleId="Heading8">
    <w:name w:val="heading 8"/>
    <w:basedOn w:val="Normal"/>
    <w:next w:val="Normal"/>
    <w:link w:val="Heading8Char"/>
    <w:unhideWhenUsed/>
    <w:qFormat/>
    <w:rsid w:val="005F2CDE"/>
    <w:pPr>
      <w:tabs>
        <w:tab w:val="num" w:pos="360"/>
      </w:tabs>
      <w:spacing w:before="120" w:after="120" w:line="240" w:lineRule="auto"/>
      <w:ind w:left="2700" w:hanging="1890"/>
      <w:outlineLvl w:val="7"/>
    </w:pPr>
    <w:rPr>
      <w:rFonts w:ascii="Helvetica" w:eastAsia="Times New Roman" w:hAnsi="Helvetica" w:cs="Times New Roman"/>
      <w:b/>
      <w:iCs/>
      <w:sz w:val="24"/>
      <w:szCs w:val="24"/>
    </w:rPr>
  </w:style>
  <w:style w:type="paragraph" w:styleId="Heading9">
    <w:name w:val="heading 9"/>
    <w:basedOn w:val="Normal"/>
    <w:next w:val="Normal"/>
    <w:link w:val="Heading9Char"/>
    <w:semiHidden/>
    <w:unhideWhenUsed/>
    <w:qFormat/>
    <w:rsid w:val="005F2CDE"/>
    <w:pPr>
      <w:tabs>
        <w:tab w:val="num" w:pos="360"/>
      </w:tabs>
      <w:spacing w:before="240" w:after="60" w:line="240" w:lineRule="auto"/>
      <w:ind w:firstLine="0"/>
      <w:outlineLvl w:val="8"/>
    </w:pPr>
    <w:rPr>
      <w:rFonts w:ascii="Arial" w:eastAsia="Times New Roman" w:hAnsi="Arial" w:cs="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4"/>
    <w:rsid w:val="00580084"/>
    <w:rPr>
      <w:rFonts w:ascii="Arial" w:eastAsiaTheme="majorEastAsia" w:hAnsi="Arial" w:cstheme="majorBidi"/>
      <w:b/>
      <w:kern w:val="0"/>
      <w:sz w:val="26"/>
      <w:szCs w:val="32"/>
      <w14:ligatures w14:val="none"/>
    </w:rPr>
  </w:style>
  <w:style w:type="character" w:customStyle="1" w:styleId="Heading2Char">
    <w:name w:val="Heading 2 Char"/>
    <w:basedOn w:val="DefaultParagraphFont"/>
    <w:link w:val="Heading2"/>
    <w:rsid w:val="00580084"/>
    <w:rPr>
      <w:rFonts w:ascii="Arial" w:eastAsia="Times New Roman" w:hAnsi="Arial" w:cs="Arial"/>
      <w:b/>
      <w:kern w:val="0"/>
      <w:sz w:val="26"/>
      <w:szCs w:val="26"/>
      <w14:ligatures w14:val="none"/>
    </w:rPr>
  </w:style>
  <w:style w:type="character" w:customStyle="1" w:styleId="Heading3Char">
    <w:name w:val="Heading 3 Char"/>
    <w:basedOn w:val="DefaultParagraphFont"/>
    <w:link w:val="Heading3"/>
    <w:rsid w:val="00580084"/>
    <w:rPr>
      <w:rFonts w:ascii="Arial" w:eastAsiaTheme="majorEastAsia" w:hAnsi="Arial" w:cstheme="majorBidi"/>
      <w:b/>
      <w:kern w:val="0"/>
      <w:sz w:val="26"/>
      <w:szCs w:val="24"/>
      <w14:ligatures w14:val="none"/>
    </w:rPr>
  </w:style>
  <w:style w:type="character" w:customStyle="1" w:styleId="Heading4Char">
    <w:name w:val="Heading 4 Char"/>
    <w:basedOn w:val="DefaultParagraphFont"/>
    <w:link w:val="Heading4"/>
    <w:uiPriority w:val="4"/>
    <w:semiHidden/>
    <w:rsid w:val="00580084"/>
    <w:rPr>
      <w:rFonts w:ascii="Arial" w:eastAsiaTheme="majorEastAsia" w:hAnsi="Arial" w:cstheme="majorBidi"/>
      <w:b/>
      <w:iCs/>
      <w:kern w:val="0"/>
      <w:sz w:val="26"/>
      <w:szCs w:val="26"/>
      <w14:ligatures w14:val="none"/>
    </w:rPr>
  </w:style>
  <w:style w:type="character" w:customStyle="1" w:styleId="Heading5Char">
    <w:name w:val="Heading 5 Char"/>
    <w:basedOn w:val="DefaultParagraphFont"/>
    <w:link w:val="Heading5"/>
    <w:uiPriority w:val="4"/>
    <w:semiHidden/>
    <w:rsid w:val="00580084"/>
    <w:rPr>
      <w:rFonts w:ascii="Arial" w:eastAsiaTheme="majorEastAsia" w:hAnsi="Arial" w:cstheme="majorBidi"/>
      <w:b/>
      <w:kern w:val="0"/>
      <w:sz w:val="26"/>
      <w:szCs w:val="26"/>
      <w14:ligatures w14:val="none"/>
    </w:rPr>
  </w:style>
  <w:style w:type="character" w:customStyle="1" w:styleId="Heading6Char">
    <w:name w:val="Heading 6 Char"/>
    <w:basedOn w:val="DefaultParagraphFont"/>
    <w:link w:val="Heading6"/>
    <w:uiPriority w:val="4"/>
    <w:rsid w:val="00580084"/>
    <w:rPr>
      <w:rFonts w:ascii="Arial" w:eastAsiaTheme="majorEastAsia" w:hAnsi="Arial" w:cstheme="majorBidi"/>
      <w:b/>
      <w:kern w:val="0"/>
      <w:sz w:val="26"/>
      <w:szCs w:val="26"/>
      <w14:ligatures w14:val="none"/>
    </w:rPr>
  </w:style>
  <w:style w:type="character" w:styleId="Hyperlink">
    <w:name w:val="Hyperlink"/>
    <w:basedOn w:val="DefaultParagraphFont"/>
    <w:uiPriority w:val="99"/>
    <w:semiHidden/>
    <w:unhideWhenUsed/>
    <w:rsid w:val="00580084"/>
    <w:rPr>
      <w:color w:val="0563C1" w:themeColor="hyperlink"/>
      <w:u w:val="single"/>
    </w:rPr>
  </w:style>
  <w:style w:type="character" w:customStyle="1" w:styleId="FootnoteTextChar">
    <w:name w:val="Footnote Text Char"/>
    <w:aliases w:val="Footnote Text Char Char Char1,Footnote Text Char2 Char Char,Footnote Text Char Char Char Char,Footnote Text Char2 Char Char Char Char,Footnote Text Char Char Char Char Char Char,Footnote Text Char2 Char Char Char Char1 Char Char"/>
    <w:basedOn w:val="DefaultParagraphFont"/>
    <w:link w:val="FootnoteText"/>
    <w:uiPriority w:val="99"/>
    <w:locked/>
    <w:rsid w:val="00580084"/>
    <w:rPr>
      <w:rFonts w:ascii="Book Antiqua" w:hAnsi="Book Antiqua"/>
      <w:szCs w:val="20"/>
    </w:rPr>
  </w:style>
  <w:style w:type="paragraph" w:styleId="FootnoteText">
    <w:name w:val="footnote text"/>
    <w:aliases w:val="Footnote Text Char Char,Footnote Text Char2 Char,Footnote Text Char Char Char,Footnote Text Char2 Char Char Char,Footnote Text Char Char Char Char Char,Footnote Text Char2 Char Char Char Char1 Char,fn,Footnote Text Char2,ALTS FOOTNOTE"/>
    <w:basedOn w:val="Normal"/>
    <w:link w:val="FootnoteTextChar"/>
    <w:uiPriority w:val="99"/>
    <w:unhideWhenUsed/>
    <w:qFormat/>
    <w:rsid w:val="00580084"/>
    <w:pPr>
      <w:spacing w:after="120" w:line="240" w:lineRule="auto"/>
      <w:ind w:firstLine="0"/>
    </w:pPr>
    <w:rPr>
      <w:kern w:val="2"/>
      <w:sz w:val="22"/>
      <w:szCs w:val="20"/>
      <w14:ligatures w14:val="standardContextual"/>
    </w:rPr>
  </w:style>
  <w:style w:type="character" w:customStyle="1" w:styleId="FootnoteTextChar1">
    <w:name w:val="Footnote Text Char1"/>
    <w:basedOn w:val="DefaultParagraphFont"/>
    <w:uiPriority w:val="99"/>
    <w:semiHidden/>
    <w:rsid w:val="00580084"/>
    <w:rPr>
      <w:rFonts w:ascii="Book Antiqua" w:hAnsi="Book Antiqua"/>
      <w:kern w:val="0"/>
      <w:sz w:val="20"/>
      <w:szCs w:val="20"/>
      <w14:ligatures w14:val="none"/>
    </w:rPr>
  </w:style>
  <w:style w:type="paragraph" w:customStyle="1" w:styleId="Main">
    <w:name w:val="Main"/>
    <w:next w:val="Normal"/>
    <w:uiPriority w:val="19"/>
    <w:rsid w:val="00580084"/>
    <w:pPr>
      <w:spacing w:after="0" w:line="240" w:lineRule="auto"/>
      <w:jc w:val="center"/>
    </w:pPr>
    <w:rPr>
      <w:rFonts w:ascii="Arial" w:eastAsiaTheme="majorEastAsia" w:hAnsi="Arial" w:cstheme="majorBidi"/>
      <w:b/>
      <w:caps/>
      <w:kern w:val="0"/>
      <w:sz w:val="26"/>
      <w:szCs w:val="56"/>
      <w14:ligatures w14:val="none"/>
    </w:rPr>
  </w:style>
  <w:style w:type="paragraph" w:customStyle="1" w:styleId="OP">
    <w:name w:val="OP"/>
    <w:basedOn w:val="Normal"/>
    <w:uiPriority w:val="8"/>
    <w:qFormat/>
    <w:rsid w:val="00580084"/>
    <w:pPr>
      <w:numPr>
        <w:numId w:val="2"/>
      </w:numPr>
    </w:pPr>
  </w:style>
  <w:style w:type="paragraph" w:customStyle="1" w:styleId="ListAlpha">
    <w:name w:val="List Alpha"/>
    <w:basedOn w:val="Normal"/>
    <w:uiPriority w:val="4"/>
    <w:qFormat/>
    <w:rsid w:val="00580084"/>
    <w:pPr>
      <w:numPr>
        <w:ilvl w:val="7"/>
        <w:numId w:val="1"/>
      </w:numPr>
      <w:spacing w:after="120" w:line="240" w:lineRule="auto"/>
    </w:pPr>
  </w:style>
  <w:style w:type="paragraph" w:customStyle="1" w:styleId="ListNum">
    <w:name w:val="List Num"/>
    <w:basedOn w:val="Normal"/>
    <w:uiPriority w:val="4"/>
    <w:rsid w:val="00580084"/>
    <w:pPr>
      <w:numPr>
        <w:ilvl w:val="6"/>
        <w:numId w:val="1"/>
      </w:numPr>
      <w:spacing w:after="120" w:line="240" w:lineRule="auto"/>
    </w:pPr>
  </w:style>
  <w:style w:type="character" w:styleId="FootnoteReference">
    <w:name w:val="footnote reference"/>
    <w:aliases w:val="o,fr,o1,o2,o3,o4,o5,o6,o11,o21,o7,Style 12,(NECG) Footnote Reference,Appel note de bas de p,Style 124,o + Times New Roman,Style 3,Style 17,Style 20,Style 13,fr1,fr2,fr3,Style 58,Style 15,Style 9,Style 18,Style 7,Style 8,Style 19,Styl"/>
    <w:basedOn w:val="DefaultParagraphFont"/>
    <w:uiPriority w:val="99"/>
    <w:unhideWhenUsed/>
    <w:qFormat/>
    <w:rsid w:val="00580084"/>
    <w:rPr>
      <w:vertAlign w:val="superscript"/>
    </w:rPr>
  </w:style>
  <w:style w:type="table" w:styleId="TableGrid">
    <w:name w:val="Table Grid"/>
    <w:basedOn w:val="TableNormal"/>
    <w:uiPriority w:val="39"/>
    <w:rsid w:val="00580084"/>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FCoLOP">
    <w:name w:val="FoF/CoL/OP"/>
    <w:uiPriority w:val="99"/>
    <w:rsid w:val="00580084"/>
    <w:pPr>
      <w:numPr>
        <w:numId w:val="4"/>
      </w:numPr>
    </w:pPr>
  </w:style>
  <w:style w:type="numbering" w:customStyle="1" w:styleId="Headings">
    <w:name w:val="Headings"/>
    <w:uiPriority w:val="99"/>
    <w:rsid w:val="00580084"/>
    <w:pPr>
      <w:numPr>
        <w:numId w:val="5"/>
      </w:numPr>
    </w:pPr>
  </w:style>
  <w:style w:type="paragraph" w:styleId="ListParagraph">
    <w:name w:val="List Paragraph"/>
    <w:basedOn w:val="Normal"/>
    <w:uiPriority w:val="34"/>
    <w:qFormat/>
    <w:rsid w:val="008063B1"/>
    <w:pPr>
      <w:spacing w:after="160" w:line="259" w:lineRule="auto"/>
      <w:ind w:left="720" w:firstLine="0"/>
      <w:contextualSpacing/>
    </w:pPr>
    <w:rPr>
      <w:rFonts w:asciiTheme="minorHAnsi" w:hAnsiTheme="minorHAnsi"/>
      <w:kern w:val="2"/>
      <w:sz w:val="22"/>
      <w14:ligatures w14:val="standardContextual"/>
    </w:rPr>
  </w:style>
  <w:style w:type="paragraph" w:customStyle="1" w:styleId="BlockQuote">
    <w:name w:val="BlockQuote"/>
    <w:basedOn w:val="Normal"/>
    <w:qFormat/>
    <w:rsid w:val="00AF4212"/>
    <w:pPr>
      <w:spacing w:after="120" w:line="240" w:lineRule="auto"/>
      <w:ind w:left="720" w:right="1440" w:firstLine="0"/>
    </w:pPr>
  </w:style>
  <w:style w:type="paragraph" w:customStyle="1" w:styleId="Standard">
    <w:name w:val="Standard"/>
    <w:basedOn w:val="Normal"/>
    <w:qFormat/>
    <w:rsid w:val="00471F88"/>
  </w:style>
  <w:style w:type="paragraph" w:styleId="Header">
    <w:name w:val="header"/>
    <w:basedOn w:val="Normal"/>
    <w:link w:val="HeaderChar"/>
    <w:uiPriority w:val="99"/>
    <w:unhideWhenUsed/>
    <w:rsid w:val="008356AC"/>
    <w:pPr>
      <w:tabs>
        <w:tab w:val="center" w:pos="4680"/>
        <w:tab w:val="right" w:pos="9360"/>
      </w:tabs>
      <w:spacing w:line="240" w:lineRule="auto"/>
    </w:pPr>
  </w:style>
  <w:style w:type="character" w:customStyle="1" w:styleId="HeaderChar">
    <w:name w:val="Header Char"/>
    <w:basedOn w:val="DefaultParagraphFont"/>
    <w:link w:val="Header"/>
    <w:uiPriority w:val="99"/>
    <w:rsid w:val="008356AC"/>
    <w:rPr>
      <w:rFonts w:ascii="Book Antiqua" w:hAnsi="Book Antiqua"/>
      <w:kern w:val="0"/>
      <w:sz w:val="26"/>
      <w14:ligatures w14:val="none"/>
    </w:rPr>
  </w:style>
  <w:style w:type="paragraph" w:styleId="Footer">
    <w:name w:val="footer"/>
    <w:basedOn w:val="Normal"/>
    <w:link w:val="FooterChar"/>
    <w:uiPriority w:val="99"/>
    <w:unhideWhenUsed/>
    <w:rsid w:val="008356AC"/>
    <w:pPr>
      <w:tabs>
        <w:tab w:val="center" w:pos="4680"/>
        <w:tab w:val="right" w:pos="9360"/>
      </w:tabs>
      <w:spacing w:line="240" w:lineRule="auto"/>
    </w:pPr>
  </w:style>
  <w:style w:type="character" w:customStyle="1" w:styleId="FooterChar">
    <w:name w:val="Footer Char"/>
    <w:basedOn w:val="DefaultParagraphFont"/>
    <w:link w:val="Footer"/>
    <w:uiPriority w:val="99"/>
    <w:rsid w:val="008356AC"/>
    <w:rPr>
      <w:rFonts w:ascii="Book Antiqua" w:hAnsi="Book Antiqua"/>
      <w:kern w:val="0"/>
      <w:sz w:val="26"/>
      <w14:ligatures w14:val="none"/>
    </w:rPr>
  </w:style>
  <w:style w:type="paragraph" w:customStyle="1" w:styleId="BlockQuoteH025">
    <w:name w:val="BlockQuoteH025"/>
    <w:basedOn w:val="Normal"/>
    <w:qFormat/>
    <w:rsid w:val="00571BBA"/>
    <w:pPr>
      <w:spacing w:after="120" w:line="240" w:lineRule="auto"/>
      <w:ind w:left="1080" w:right="1440" w:hanging="360"/>
    </w:pPr>
  </w:style>
  <w:style w:type="paragraph" w:customStyle="1" w:styleId="BlockQuoteH025subH025">
    <w:name w:val="BlockQuoteH025subH025"/>
    <w:basedOn w:val="Normal"/>
    <w:qFormat/>
    <w:rsid w:val="00571BBA"/>
    <w:pPr>
      <w:spacing w:after="120" w:line="240" w:lineRule="auto"/>
      <w:ind w:left="1404" w:right="1440" w:hanging="360"/>
    </w:pPr>
  </w:style>
  <w:style w:type="paragraph" w:customStyle="1" w:styleId="Dummy">
    <w:name w:val="Dummy"/>
    <w:next w:val="Normal"/>
    <w:uiPriority w:val="19"/>
    <w:rsid w:val="00B02F0F"/>
    <w:pPr>
      <w:keepNext/>
      <w:keepLines/>
      <w:spacing w:after="120" w:line="240" w:lineRule="auto"/>
      <w:outlineLvl w:val="0"/>
    </w:pPr>
    <w:rPr>
      <w:rFonts w:ascii="Arial" w:hAnsi="Arial" w:cs="Arial"/>
      <w:b/>
      <w:kern w:val="0"/>
      <w:sz w:val="26"/>
      <w:szCs w:val="26"/>
      <w14:ligatures w14:val="none"/>
    </w:rPr>
  </w:style>
  <w:style w:type="paragraph" w:customStyle="1" w:styleId="BoxCheck1">
    <w:name w:val="Box&amp;Check1"/>
    <w:basedOn w:val="Normal"/>
    <w:qFormat/>
    <w:rsid w:val="00B02F0F"/>
    <w:pPr>
      <w:spacing w:line="240" w:lineRule="exact"/>
      <w:ind w:left="288" w:hanging="288"/>
    </w:pPr>
    <w:rPr>
      <w:rFonts w:ascii="Times New Roman" w:hAnsi="Times New Roman"/>
      <w:sz w:val="24"/>
    </w:rPr>
  </w:style>
  <w:style w:type="paragraph" w:styleId="Revision">
    <w:name w:val="Revision"/>
    <w:hidden/>
    <w:uiPriority w:val="99"/>
    <w:semiHidden/>
    <w:rsid w:val="00794613"/>
    <w:pPr>
      <w:spacing w:after="0" w:line="240" w:lineRule="auto"/>
    </w:pPr>
    <w:rPr>
      <w:rFonts w:ascii="Book Antiqua" w:hAnsi="Book Antiqua"/>
      <w:kern w:val="0"/>
      <w:sz w:val="26"/>
      <w14:ligatures w14:val="none"/>
    </w:rPr>
  </w:style>
  <w:style w:type="character" w:customStyle="1" w:styleId="cf01">
    <w:name w:val="cf01"/>
    <w:basedOn w:val="DefaultParagraphFont"/>
    <w:rsid w:val="00EB72C1"/>
    <w:rPr>
      <w:rFonts w:ascii="Segoe UI" w:hAnsi="Segoe UI" w:cs="Segoe UI" w:hint="default"/>
      <w:sz w:val="18"/>
      <w:szCs w:val="18"/>
    </w:rPr>
  </w:style>
  <w:style w:type="character" w:styleId="CommentReference">
    <w:name w:val="annotation reference"/>
    <w:basedOn w:val="DefaultParagraphFont"/>
    <w:uiPriority w:val="99"/>
    <w:semiHidden/>
    <w:unhideWhenUsed/>
    <w:rsid w:val="003A38A4"/>
    <w:rPr>
      <w:sz w:val="16"/>
      <w:szCs w:val="16"/>
    </w:rPr>
  </w:style>
  <w:style w:type="paragraph" w:styleId="CommentText">
    <w:name w:val="annotation text"/>
    <w:basedOn w:val="Normal"/>
    <w:link w:val="CommentTextChar"/>
    <w:uiPriority w:val="99"/>
    <w:unhideWhenUsed/>
    <w:rsid w:val="003A38A4"/>
    <w:pPr>
      <w:spacing w:line="240" w:lineRule="auto"/>
    </w:pPr>
    <w:rPr>
      <w:sz w:val="20"/>
      <w:szCs w:val="20"/>
    </w:rPr>
  </w:style>
  <w:style w:type="character" w:customStyle="1" w:styleId="CommentTextChar">
    <w:name w:val="Comment Text Char"/>
    <w:basedOn w:val="DefaultParagraphFont"/>
    <w:link w:val="CommentText"/>
    <w:uiPriority w:val="99"/>
    <w:rsid w:val="003A38A4"/>
    <w:rPr>
      <w:rFonts w:ascii="Book Antiqua" w:hAnsi="Book Antiqua"/>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A38A4"/>
    <w:rPr>
      <w:b/>
      <w:bCs/>
    </w:rPr>
  </w:style>
  <w:style w:type="character" w:customStyle="1" w:styleId="CommentSubjectChar">
    <w:name w:val="Comment Subject Char"/>
    <w:basedOn w:val="CommentTextChar"/>
    <w:link w:val="CommentSubject"/>
    <w:uiPriority w:val="99"/>
    <w:semiHidden/>
    <w:rsid w:val="003A38A4"/>
    <w:rPr>
      <w:rFonts w:ascii="Book Antiqua" w:hAnsi="Book Antiqua"/>
      <w:b/>
      <w:bCs/>
      <w:kern w:val="0"/>
      <w:sz w:val="20"/>
      <w:szCs w:val="20"/>
      <w14:ligatures w14:val="none"/>
    </w:rPr>
  </w:style>
  <w:style w:type="character" w:customStyle="1" w:styleId="Heading7Char">
    <w:name w:val="Heading 7 Char"/>
    <w:basedOn w:val="DefaultParagraphFont"/>
    <w:link w:val="Heading7"/>
    <w:rsid w:val="005F2CDE"/>
    <w:rPr>
      <w:rFonts w:ascii="Helvetica" w:eastAsia="Times New Roman" w:hAnsi="Helvetica" w:cs="Times New Roman"/>
      <w:b/>
      <w:kern w:val="0"/>
      <w:sz w:val="26"/>
      <w:szCs w:val="24"/>
      <w14:ligatures w14:val="none"/>
    </w:rPr>
  </w:style>
  <w:style w:type="character" w:customStyle="1" w:styleId="Heading8Char">
    <w:name w:val="Heading 8 Char"/>
    <w:basedOn w:val="DefaultParagraphFont"/>
    <w:link w:val="Heading8"/>
    <w:rsid w:val="005F2CDE"/>
    <w:rPr>
      <w:rFonts w:ascii="Helvetica" w:eastAsia="Times New Roman" w:hAnsi="Helvetica" w:cs="Times New Roman"/>
      <w:b/>
      <w:iCs/>
      <w:kern w:val="0"/>
      <w:sz w:val="24"/>
      <w:szCs w:val="24"/>
      <w14:ligatures w14:val="none"/>
    </w:rPr>
  </w:style>
  <w:style w:type="character" w:customStyle="1" w:styleId="Heading9Char">
    <w:name w:val="Heading 9 Char"/>
    <w:basedOn w:val="DefaultParagraphFont"/>
    <w:link w:val="Heading9"/>
    <w:semiHidden/>
    <w:rsid w:val="005F2CDE"/>
    <w:rPr>
      <w:rFonts w:ascii="Arial" w:eastAsia="Times New Roman" w:hAnsi="Arial" w:cs="Arial"/>
      <w:kern w:val="0"/>
      <w14:ligatures w14:val="none"/>
    </w:rPr>
  </w:style>
  <w:style w:type="paragraph" w:customStyle="1" w:styleId="standard0">
    <w:name w:val="standard"/>
    <w:basedOn w:val="Normal"/>
    <w:link w:val="standardChar"/>
    <w:rsid w:val="005F2CDE"/>
    <w:rPr>
      <w:rFonts w:ascii="Palatino" w:eastAsia="Times New Roman" w:hAnsi="Palatino" w:cs="Times New Roman"/>
      <w:szCs w:val="20"/>
    </w:rPr>
  </w:style>
  <w:style w:type="character" w:customStyle="1" w:styleId="standardChar">
    <w:name w:val="standard Char"/>
    <w:link w:val="standard0"/>
    <w:locked/>
    <w:rsid w:val="005F2CDE"/>
    <w:rPr>
      <w:rFonts w:ascii="Palatino" w:eastAsia="Times New Roman" w:hAnsi="Palatino" w:cs="Times New Roman"/>
      <w:kern w:val="0"/>
      <w:sz w:val="26"/>
      <w:szCs w:val="20"/>
      <w14:ligatures w14:val="none"/>
    </w:rPr>
  </w:style>
  <w:style w:type="paragraph" w:customStyle="1" w:styleId="num1">
    <w:name w:val="num1"/>
    <w:basedOn w:val="Normal"/>
    <w:rsid w:val="008B67BB"/>
    <w:pPr>
      <w:tabs>
        <w:tab w:val="left" w:pos="-720"/>
      </w:tabs>
      <w:suppressAutoHyphens/>
      <w:ind w:firstLine="360"/>
    </w:pPr>
    <w:rPr>
      <w:rFonts w:ascii="Palatino" w:eastAsia="Times New Roman" w:hAnsi="Palatino" w:cs="Times New Roman"/>
      <w:szCs w:val="20"/>
    </w:rPr>
  </w:style>
  <w:style w:type="character" w:styleId="Mention">
    <w:name w:val="Mention"/>
    <w:basedOn w:val="DefaultParagraphFont"/>
    <w:uiPriority w:val="99"/>
    <w:unhideWhenUsed/>
    <w:rsid w:val="006F619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19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ess_office@cpuc.ca.go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ublic.advisor@cpuc.ca.go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AE9018-4E2E-438E-AF81-872382BC1C60}">
  <ds:schemaRefs>
    <ds:schemaRef ds:uri="http://schemas.openxmlformats.org/officeDocument/2006/bibliography"/>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13</ap:Pages>
  <ap:Words>2911</ap:Words>
  <ap:Characters>16597</ap:Characters>
  <ap:Application>Microsoft Office Word</ap:Application>
  <ap:DocSecurity>0</ap:DocSecurity>
  <ap:Lines>138</ap:Lines>
  <ap:Paragraphs>38</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19470</ap:CharactersWithSpaces>
  <ap:SharedDoc>false</ap:SharedDoc>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2023-09-12T22:58:00Z</cp:lastPrinted>
  <dcterms:created xsi:type="dcterms:W3CDTF">2026-09-04T14:49:13Z</dcterms:created>
  <dcterms:modified xsi:type="dcterms:W3CDTF">2026-09-04T14:49:13Z</dcterms:modified>
</cp:coreProperties>
</file>