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4315" w:rsidR="00F91183" w:rsidP="00FE6D01" w:rsidRDefault="005A6A51" w14:paraId="37F6D0D5" w14:textId="3CB2C65C">
      <w:pPr>
        <w:tabs>
          <w:tab w:val="center" w:pos="4230"/>
          <w:tab w:val="right" w:pos="9360"/>
        </w:tabs>
        <w:spacing w:line="240" w:lineRule="auto"/>
        <w:ind w:firstLine="0"/>
        <w:rPr>
          <w:b/>
        </w:rPr>
      </w:pPr>
      <w:r>
        <w:t>ALJ/CJA/asf</w:t>
      </w:r>
      <w:r w:rsidR="007E0FEE">
        <w:tab/>
      </w:r>
      <w:r w:rsidR="00DA7B5D">
        <w:tab/>
      </w:r>
      <w:r w:rsidR="00FE6D01">
        <w:rPr>
          <w:b/>
        </w:rPr>
        <w:t>Date of Issuance 9/8/2026</w:t>
      </w:r>
    </w:p>
    <w:p w:rsidR="00DA7B5D" w:rsidP="008F0116" w:rsidRDefault="00DA7B5D" w14:paraId="0E926455" w14:textId="77777777">
      <w:pPr>
        <w:ind w:firstLine="0"/>
      </w:pPr>
    </w:p>
    <w:p w:rsidRPr="00FE6D01" w:rsidR="00DA7B5D" w:rsidP="0098655A" w:rsidRDefault="00DA7B5D" w14:paraId="211FD60A" w14:textId="0D286203">
      <w:pPr>
        <w:ind w:left="1080" w:hanging="1080"/>
      </w:pPr>
      <w:r>
        <w:t>Decision</w:t>
      </w:r>
      <w:r w:rsidRPr="00FE6D01" w:rsidR="00FE6D01">
        <w:t xml:space="preserve"> 26-09-007</w:t>
      </w:r>
      <w:r w:rsidR="00FE6D01">
        <w:t xml:space="preserve">  September 3, 2026</w:t>
      </w:r>
    </w:p>
    <w:p w:rsidR="00DA7B5D" w:rsidP="00BB0243" w:rsidRDefault="00DA7B5D" w14:paraId="5D630A35" w14:textId="77777777">
      <w:pPr>
        <w:spacing w:line="240" w:lineRule="auto"/>
        <w:jc w:val="center"/>
        <w:rPr>
          <w:u w:val="single"/>
        </w:rPr>
      </w:pPr>
    </w:p>
    <w:p w:rsidR="00DA7B5D" w:rsidP="00BB0243" w:rsidRDefault="00DA7B5D" w14:paraId="3B8B8585"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728E193A"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35E22975"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D45100" w14:paraId="506AC513" w14:textId="13BAB413">
            <w:pPr>
              <w:spacing w:line="240" w:lineRule="auto"/>
              <w:ind w:firstLine="0"/>
              <w:rPr>
                <w:rFonts w:cs="Arial"/>
                <w:szCs w:val="26"/>
              </w:rPr>
            </w:pPr>
            <w:r>
              <w:rPr>
                <w:rFonts w:cs="Arial"/>
                <w:szCs w:val="26"/>
              </w:rPr>
              <w:t>Order Instituting Rulemaking to Consider Distributed Energy Resource Program Cost-Effectiveness Issues, Data Access and Use, and Equipment Performance Standards.</w:t>
            </w:r>
            <w:r w:rsidRPr="00DA7B5D" w:rsidR="00DA7B5D">
              <w:rPr>
                <w:rFonts w:cs="Arial"/>
                <w:szCs w:val="26"/>
              </w:rPr>
              <w:br/>
            </w:r>
          </w:p>
        </w:tc>
        <w:tc>
          <w:tcPr>
            <w:tcW w:w="5040" w:type="dxa"/>
            <w:tcBorders>
              <w:top w:val="nil"/>
              <w:left w:val="single" w:color="auto" w:sz="4" w:space="0"/>
              <w:bottom w:val="nil"/>
              <w:right w:val="nil"/>
            </w:tcBorders>
            <w:vAlign w:val="center"/>
          </w:tcPr>
          <w:p w:rsidRPr="00DA7B5D" w:rsidR="00DA7B5D" w:rsidP="00412C83" w:rsidRDefault="00D45100" w14:paraId="2B173F3F" w14:textId="743D8D31">
            <w:pPr>
              <w:spacing w:line="240" w:lineRule="auto"/>
              <w:ind w:firstLine="0"/>
              <w:jc w:val="center"/>
              <w:rPr>
                <w:rFonts w:cs="Arial"/>
                <w:szCs w:val="26"/>
              </w:rPr>
            </w:pPr>
            <w:r>
              <w:rPr>
                <w:rFonts w:cs="Arial"/>
                <w:szCs w:val="26"/>
              </w:rPr>
              <w:t>Rulemaking 22-11-013</w:t>
            </w:r>
          </w:p>
        </w:tc>
      </w:tr>
    </w:tbl>
    <w:p w:rsidR="00DA7B5D" w:rsidP="008F0116" w:rsidRDefault="00DA7B5D" w14:paraId="405D319D" w14:textId="77777777">
      <w:pPr>
        <w:spacing w:line="240" w:lineRule="auto"/>
        <w:ind w:firstLine="0"/>
        <w:rPr>
          <w:rFonts w:ascii="Arial" w:hAnsi="Arial" w:cs="Arial"/>
          <w:sz w:val="24"/>
          <w:szCs w:val="24"/>
        </w:rPr>
      </w:pPr>
    </w:p>
    <w:p w:rsidR="00DA7B5D" w:rsidP="008F0116" w:rsidRDefault="00DA7B5D" w14:paraId="52453225" w14:textId="77777777">
      <w:pPr>
        <w:spacing w:line="240" w:lineRule="auto"/>
        <w:ind w:firstLine="0"/>
        <w:rPr>
          <w:rFonts w:ascii="Arial" w:hAnsi="Arial" w:cs="Arial"/>
          <w:sz w:val="24"/>
          <w:szCs w:val="24"/>
        </w:rPr>
      </w:pPr>
    </w:p>
    <w:p w:rsidRPr="00F92385" w:rsidR="00F92385" w:rsidP="00B3087D" w:rsidRDefault="00D45100" w14:paraId="43A194AD" w14:textId="0A0DE65F">
      <w:pPr>
        <w:pStyle w:val="Dummy"/>
        <w:jc w:val="center"/>
        <w:sectPr w:rsidRPr="00F92385" w:rsidR="00F92385" w:rsidSect="000A3DBB">
          <w:footerReference w:type="first" r:id="rId11"/>
          <w:pgSz w:w="12240" w:h="15840"/>
          <w:pgMar w:top="1440" w:right="1440" w:bottom="1440" w:left="1440" w:header="720" w:footer="720" w:gutter="0"/>
          <w:pgNumType w:start="1"/>
          <w:cols w:space="720"/>
          <w:titlePg/>
          <w:docGrid w:linePitch="360"/>
        </w:sectPr>
      </w:pPr>
      <w:bookmarkStart w:name="_Toc238810849" w:id="0"/>
      <w:r>
        <w:t xml:space="preserve">DECISION ADOPTING </w:t>
      </w:r>
      <w:r w:rsidR="0000455C">
        <w:t xml:space="preserve">UPDATES </w:t>
      </w:r>
      <w:r>
        <w:t>TO THE AVOIDED COST CALCULATOR</w:t>
      </w:r>
      <w:bookmarkEnd w:id="0"/>
    </w:p>
    <w:p w:rsidRPr="001E2A62" w:rsidR="00D50119" w:rsidP="00F76650" w:rsidRDefault="00D50119" w14:paraId="28D18585"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08FBFC89" w14:textId="77777777">
      <w:pPr>
        <w:tabs>
          <w:tab w:val="right" w:pos="9360"/>
        </w:tabs>
        <w:ind w:firstLine="0"/>
      </w:pPr>
      <w:r w:rsidRPr="00D50119">
        <w:rPr>
          <w:b/>
        </w:rPr>
        <w:t>Title</w:t>
      </w:r>
      <w:r>
        <w:tab/>
      </w:r>
      <w:r w:rsidRPr="00D50119">
        <w:rPr>
          <w:b/>
        </w:rPr>
        <w:t>Page</w:t>
      </w:r>
    </w:p>
    <w:sdt>
      <w:sdtPr>
        <w:id w:val="157178984"/>
        <w:docPartObj>
          <w:docPartGallery w:val="Table of Contents"/>
          <w:docPartUnique/>
        </w:docPartObj>
      </w:sdtPr>
      <w:sdtEndPr/>
      <w:sdtContent>
        <w:p w:rsidR="00A07986" w:rsidRDefault="00F24B1C" w14:paraId="79786D45" w14:textId="3F570FD3">
          <w:pPr>
            <w:pStyle w:val="TOC1"/>
            <w:tabs>
              <w:tab w:val="right" w:leader="dot" w:pos="9350"/>
            </w:tabs>
            <w:rPr>
              <w:rFonts w:asciiTheme="minorHAnsi" w:hAnsiTheme="minorHAnsi" w:cstheme="minorBidi"/>
              <w:noProof/>
              <w:kern w:val="2"/>
              <w:sz w:val="24"/>
              <w:szCs w:val="24"/>
              <w14:ligatures w14:val="standardContextual"/>
            </w:rPr>
          </w:pPr>
          <w:r>
            <w:fldChar w:fldCharType="begin"/>
          </w:r>
          <w:r w:rsidR="008C7413">
            <w:instrText>TOC \o "1-6" \z \u \h</w:instrText>
          </w:r>
          <w:r>
            <w:fldChar w:fldCharType="separate"/>
          </w:r>
          <w:hyperlink w:history="1" w:anchor="_Toc238810849">
            <w:r w:rsidRPr="00BD5560" w:rsidR="00A07986">
              <w:rPr>
                <w:rStyle w:val="Hyperlink"/>
                <w:noProof/>
              </w:rPr>
              <w:t>DECISION ADOPTING UPDATES TO THE AVOIDED COST CALCULATOR</w:t>
            </w:r>
            <w:r w:rsidR="00A07986">
              <w:rPr>
                <w:noProof/>
                <w:webHidden/>
              </w:rPr>
              <w:tab/>
            </w:r>
            <w:r w:rsidR="00A07986">
              <w:rPr>
                <w:noProof/>
                <w:webHidden/>
              </w:rPr>
              <w:fldChar w:fldCharType="begin"/>
            </w:r>
            <w:r w:rsidR="00A07986">
              <w:rPr>
                <w:noProof/>
                <w:webHidden/>
              </w:rPr>
              <w:instrText xml:space="preserve"> PAGEREF _Toc238810849 \h </w:instrText>
            </w:r>
            <w:r w:rsidR="00A07986">
              <w:rPr>
                <w:noProof/>
                <w:webHidden/>
              </w:rPr>
            </w:r>
            <w:r w:rsidR="00A07986">
              <w:rPr>
                <w:noProof/>
                <w:webHidden/>
              </w:rPr>
              <w:fldChar w:fldCharType="separate"/>
            </w:r>
            <w:r w:rsidR="003073AC">
              <w:rPr>
                <w:noProof/>
                <w:webHidden/>
              </w:rPr>
              <w:t>1</w:t>
            </w:r>
            <w:r w:rsidR="00A07986">
              <w:rPr>
                <w:noProof/>
                <w:webHidden/>
              </w:rPr>
              <w:fldChar w:fldCharType="end"/>
            </w:r>
          </w:hyperlink>
        </w:p>
        <w:p w:rsidR="00A07986" w:rsidRDefault="00A07986" w14:paraId="1C04F837" w14:textId="6D0C8449">
          <w:pPr>
            <w:pStyle w:val="TOC1"/>
            <w:tabs>
              <w:tab w:val="right" w:leader="dot" w:pos="9350"/>
            </w:tabs>
            <w:rPr>
              <w:rFonts w:asciiTheme="minorHAnsi" w:hAnsiTheme="minorHAnsi" w:cstheme="minorBidi"/>
              <w:noProof/>
              <w:kern w:val="2"/>
              <w:sz w:val="24"/>
              <w:szCs w:val="24"/>
              <w14:ligatures w14:val="standardContextual"/>
            </w:rPr>
          </w:pPr>
          <w:hyperlink w:history="1" w:anchor="_Toc238810850">
            <w:r w:rsidRPr="00BD5560">
              <w:rPr>
                <w:rStyle w:val="Hyperlink"/>
                <w:noProof/>
              </w:rPr>
              <w:t>Summary</w:t>
            </w:r>
            <w:r>
              <w:rPr>
                <w:noProof/>
                <w:webHidden/>
              </w:rPr>
              <w:tab/>
            </w:r>
            <w:r>
              <w:rPr>
                <w:noProof/>
                <w:webHidden/>
              </w:rPr>
              <w:fldChar w:fldCharType="begin"/>
            </w:r>
            <w:r>
              <w:rPr>
                <w:noProof/>
                <w:webHidden/>
              </w:rPr>
              <w:instrText xml:space="preserve"> PAGEREF _Toc238810850 \h </w:instrText>
            </w:r>
            <w:r>
              <w:rPr>
                <w:noProof/>
                <w:webHidden/>
              </w:rPr>
            </w:r>
            <w:r>
              <w:rPr>
                <w:noProof/>
                <w:webHidden/>
              </w:rPr>
              <w:fldChar w:fldCharType="separate"/>
            </w:r>
            <w:r w:rsidR="003073AC">
              <w:rPr>
                <w:noProof/>
                <w:webHidden/>
              </w:rPr>
              <w:t>2</w:t>
            </w:r>
            <w:r>
              <w:rPr>
                <w:noProof/>
                <w:webHidden/>
              </w:rPr>
              <w:fldChar w:fldCharType="end"/>
            </w:r>
          </w:hyperlink>
        </w:p>
        <w:p w:rsidR="00A07986" w:rsidRDefault="00A07986" w14:paraId="05B30B1C" w14:textId="51E1D0CA">
          <w:pPr>
            <w:pStyle w:val="TOC1"/>
            <w:tabs>
              <w:tab w:val="right" w:leader="dot" w:pos="9350"/>
            </w:tabs>
            <w:rPr>
              <w:rFonts w:asciiTheme="minorHAnsi" w:hAnsiTheme="minorHAnsi" w:cstheme="minorBidi"/>
              <w:noProof/>
              <w:kern w:val="2"/>
              <w:sz w:val="24"/>
              <w:szCs w:val="24"/>
              <w14:ligatures w14:val="standardContextual"/>
            </w:rPr>
          </w:pPr>
          <w:hyperlink w:history="1" w:anchor="_Toc238810851">
            <w:r w:rsidRPr="00BD5560">
              <w:rPr>
                <w:rStyle w:val="Hyperlink"/>
                <w:noProof/>
              </w:rPr>
              <w:t>1.</w:t>
            </w:r>
            <w:r>
              <w:rPr>
                <w:rFonts w:asciiTheme="minorHAnsi" w:hAnsiTheme="minorHAnsi" w:cstheme="minorBidi"/>
                <w:noProof/>
                <w:kern w:val="2"/>
                <w:sz w:val="24"/>
                <w:szCs w:val="24"/>
                <w14:ligatures w14:val="standardContextual"/>
              </w:rPr>
              <w:tab/>
            </w:r>
            <w:r w:rsidRPr="00BD5560">
              <w:rPr>
                <w:rStyle w:val="Hyperlink"/>
                <w:noProof/>
              </w:rPr>
              <w:t>Background</w:t>
            </w:r>
            <w:r>
              <w:rPr>
                <w:noProof/>
                <w:webHidden/>
              </w:rPr>
              <w:tab/>
            </w:r>
            <w:r>
              <w:rPr>
                <w:noProof/>
                <w:webHidden/>
              </w:rPr>
              <w:fldChar w:fldCharType="begin"/>
            </w:r>
            <w:r>
              <w:rPr>
                <w:noProof/>
                <w:webHidden/>
              </w:rPr>
              <w:instrText xml:space="preserve"> PAGEREF _Toc238810851 \h </w:instrText>
            </w:r>
            <w:r>
              <w:rPr>
                <w:noProof/>
                <w:webHidden/>
              </w:rPr>
            </w:r>
            <w:r>
              <w:rPr>
                <w:noProof/>
                <w:webHidden/>
              </w:rPr>
              <w:fldChar w:fldCharType="separate"/>
            </w:r>
            <w:r w:rsidR="003073AC">
              <w:rPr>
                <w:noProof/>
                <w:webHidden/>
              </w:rPr>
              <w:t>3</w:t>
            </w:r>
            <w:r>
              <w:rPr>
                <w:noProof/>
                <w:webHidden/>
              </w:rPr>
              <w:fldChar w:fldCharType="end"/>
            </w:r>
          </w:hyperlink>
        </w:p>
        <w:p w:rsidR="00A07986" w:rsidRDefault="00A07986" w14:paraId="40BDDC55" w14:textId="51378193">
          <w:pPr>
            <w:pStyle w:val="TOC2"/>
            <w:tabs>
              <w:tab w:val="right" w:leader="dot" w:pos="9350"/>
            </w:tabs>
            <w:rPr>
              <w:rFonts w:asciiTheme="minorHAnsi" w:hAnsiTheme="minorHAnsi" w:cstheme="minorBidi"/>
              <w:noProof/>
              <w:kern w:val="2"/>
              <w:sz w:val="24"/>
              <w:szCs w:val="24"/>
              <w14:ligatures w14:val="standardContextual"/>
            </w:rPr>
          </w:pPr>
          <w:hyperlink w:history="1" w:anchor="_Toc238810852">
            <w:r w:rsidRPr="00BD5560">
              <w:rPr>
                <w:rStyle w:val="Hyperlink"/>
                <w:noProof/>
              </w:rPr>
              <w:t>1.1.</w:t>
            </w:r>
            <w:r>
              <w:rPr>
                <w:rFonts w:asciiTheme="minorHAnsi" w:hAnsiTheme="minorHAnsi" w:cstheme="minorBidi"/>
                <w:noProof/>
                <w:kern w:val="2"/>
                <w:sz w:val="24"/>
                <w:szCs w:val="24"/>
                <w14:ligatures w14:val="standardContextual"/>
              </w:rPr>
              <w:tab/>
            </w:r>
            <w:r w:rsidRPr="00BD5560">
              <w:rPr>
                <w:rStyle w:val="Hyperlink"/>
                <w:noProof/>
              </w:rPr>
              <w:t>Avoided Cost Calculator</w:t>
            </w:r>
            <w:r>
              <w:rPr>
                <w:noProof/>
                <w:webHidden/>
              </w:rPr>
              <w:tab/>
            </w:r>
            <w:r>
              <w:rPr>
                <w:noProof/>
                <w:webHidden/>
              </w:rPr>
              <w:fldChar w:fldCharType="begin"/>
            </w:r>
            <w:r>
              <w:rPr>
                <w:noProof/>
                <w:webHidden/>
              </w:rPr>
              <w:instrText xml:space="preserve"> PAGEREF _Toc238810852 \h </w:instrText>
            </w:r>
            <w:r>
              <w:rPr>
                <w:noProof/>
                <w:webHidden/>
              </w:rPr>
            </w:r>
            <w:r>
              <w:rPr>
                <w:noProof/>
                <w:webHidden/>
              </w:rPr>
              <w:fldChar w:fldCharType="separate"/>
            </w:r>
            <w:r w:rsidR="003073AC">
              <w:rPr>
                <w:noProof/>
                <w:webHidden/>
              </w:rPr>
              <w:t>3</w:t>
            </w:r>
            <w:r>
              <w:rPr>
                <w:noProof/>
                <w:webHidden/>
              </w:rPr>
              <w:fldChar w:fldCharType="end"/>
            </w:r>
          </w:hyperlink>
        </w:p>
        <w:p w:rsidR="00A07986" w:rsidRDefault="00A07986" w14:paraId="4EBA7455" w14:textId="6E59F23D">
          <w:pPr>
            <w:pStyle w:val="TOC2"/>
            <w:tabs>
              <w:tab w:val="right" w:leader="dot" w:pos="9350"/>
            </w:tabs>
            <w:rPr>
              <w:rFonts w:asciiTheme="minorHAnsi" w:hAnsiTheme="minorHAnsi" w:cstheme="minorBidi"/>
              <w:noProof/>
              <w:kern w:val="2"/>
              <w:sz w:val="24"/>
              <w:szCs w:val="24"/>
              <w14:ligatures w14:val="standardContextual"/>
            </w:rPr>
          </w:pPr>
          <w:hyperlink w:history="1" w:anchor="_Toc238810853">
            <w:r w:rsidRPr="00BD5560">
              <w:rPr>
                <w:rStyle w:val="Hyperlink"/>
                <w:noProof/>
              </w:rPr>
              <w:t>1.2.</w:t>
            </w:r>
            <w:r>
              <w:rPr>
                <w:rFonts w:asciiTheme="minorHAnsi" w:hAnsiTheme="minorHAnsi" w:cstheme="minorBidi"/>
                <w:noProof/>
                <w:kern w:val="2"/>
                <w:sz w:val="24"/>
                <w:szCs w:val="24"/>
                <w14:ligatures w14:val="standardContextual"/>
              </w:rPr>
              <w:tab/>
            </w:r>
            <w:r w:rsidRPr="00BD5560">
              <w:rPr>
                <w:rStyle w:val="Hyperlink"/>
                <w:noProof/>
              </w:rPr>
              <w:t>Relationship between the Avoided Cost Calculator and the Integrated Resource Planning Proceeding</w:t>
            </w:r>
            <w:r>
              <w:rPr>
                <w:noProof/>
                <w:webHidden/>
              </w:rPr>
              <w:tab/>
            </w:r>
            <w:r>
              <w:rPr>
                <w:noProof/>
                <w:webHidden/>
              </w:rPr>
              <w:fldChar w:fldCharType="begin"/>
            </w:r>
            <w:r>
              <w:rPr>
                <w:noProof/>
                <w:webHidden/>
              </w:rPr>
              <w:instrText xml:space="preserve"> PAGEREF _Toc238810853 \h </w:instrText>
            </w:r>
            <w:r>
              <w:rPr>
                <w:noProof/>
                <w:webHidden/>
              </w:rPr>
            </w:r>
            <w:r>
              <w:rPr>
                <w:noProof/>
                <w:webHidden/>
              </w:rPr>
              <w:fldChar w:fldCharType="separate"/>
            </w:r>
            <w:r w:rsidR="003073AC">
              <w:rPr>
                <w:noProof/>
                <w:webHidden/>
              </w:rPr>
              <w:t>4</w:t>
            </w:r>
            <w:r>
              <w:rPr>
                <w:noProof/>
                <w:webHidden/>
              </w:rPr>
              <w:fldChar w:fldCharType="end"/>
            </w:r>
          </w:hyperlink>
        </w:p>
        <w:p w:rsidR="00A07986" w:rsidRDefault="00A07986" w14:paraId="620DB758" w14:textId="7519715A">
          <w:pPr>
            <w:pStyle w:val="TOC1"/>
            <w:tabs>
              <w:tab w:val="right" w:leader="dot" w:pos="9350"/>
            </w:tabs>
            <w:rPr>
              <w:rFonts w:asciiTheme="minorHAnsi" w:hAnsiTheme="minorHAnsi" w:cstheme="minorBidi"/>
              <w:noProof/>
              <w:kern w:val="2"/>
              <w:sz w:val="24"/>
              <w:szCs w:val="24"/>
              <w14:ligatures w14:val="standardContextual"/>
            </w:rPr>
          </w:pPr>
          <w:hyperlink w:history="1" w:anchor="_Toc238810854">
            <w:r w:rsidRPr="00BD5560">
              <w:rPr>
                <w:rStyle w:val="Hyperlink"/>
                <w:noProof/>
              </w:rPr>
              <w:t>2.</w:t>
            </w:r>
            <w:r>
              <w:rPr>
                <w:rFonts w:asciiTheme="minorHAnsi" w:hAnsiTheme="minorHAnsi" w:cstheme="minorBidi"/>
                <w:noProof/>
                <w:kern w:val="2"/>
                <w:sz w:val="24"/>
                <w:szCs w:val="24"/>
                <w14:ligatures w14:val="standardContextual"/>
              </w:rPr>
              <w:tab/>
            </w:r>
            <w:r w:rsidRPr="00BD5560">
              <w:rPr>
                <w:rStyle w:val="Hyperlink"/>
                <w:noProof/>
              </w:rPr>
              <w:t>2024 Avoided Cost Calculator Decision</w:t>
            </w:r>
            <w:r>
              <w:rPr>
                <w:noProof/>
                <w:webHidden/>
              </w:rPr>
              <w:tab/>
            </w:r>
            <w:r>
              <w:rPr>
                <w:noProof/>
                <w:webHidden/>
              </w:rPr>
              <w:fldChar w:fldCharType="begin"/>
            </w:r>
            <w:r>
              <w:rPr>
                <w:noProof/>
                <w:webHidden/>
              </w:rPr>
              <w:instrText xml:space="preserve"> PAGEREF _Toc238810854 \h </w:instrText>
            </w:r>
            <w:r>
              <w:rPr>
                <w:noProof/>
                <w:webHidden/>
              </w:rPr>
            </w:r>
            <w:r>
              <w:rPr>
                <w:noProof/>
                <w:webHidden/>
              </w:rPr>
              <w:fldChar w:fldCharType="separate"/>
            </w:r>
            <w:r w:rsidR="003073AC">
              <w:rPr>
                <w:noProof/>
                <w:webHidden/>
              </w:rPr>
              <w:t>5</w:t>
            </w:r>
            <w:r>
              <w:rPr>
                <w:noProof/>
                <w:webHidden/>
              </w:rPr>
              <w:fldChar w:fldCharType="end"/>
            </w:r>
          </w:hyperlink>
        </w:p>
        <w:p w:rsidR="00A07986" w:rsidRDefault="00A07986" w14:paraId="433F9C56" w14:textId="70BA68AA">
          <w:pPr>
            <w:pStyle w:val="TOC1"/>
            <w:tabs>
              <w:tab w:val="right" w:leader="dot" w:pos="9350"/>
            </w:tabs>
            <w:rPr>
              <w:rFonts w:asciiTheme="minorHAnsi" w:hAnsiTheme="minorHAnsi" w:cstheme="minorBidi"/>
              <w:noProof/>
              <w:kern w:val="2"/>
              <w:sz w:val="24"/>
              <w:szCs w:val="24"/>
              <w14:ligatures w14:val="standardContextual"/>
            </w:rPr>
          </w:pPr>
          <w:hyperlink w:history="1" w:anchor="_Toc238810855">
            <w:r w:rsidRPr="00BD5560">
              <w:rPr>
                <w:rStyle w:val="Hyperlink"/>
                <w:noProof/>
              </w:rPr>
              <w:t>3.</w:t>
            </w:r>
            <w:r>
              <w:rPr>
                <w:rFonts w:asciiTheme="minorHAnsi" w:hAnsiTheme="minorHAnsi" w:cstheme="minorBidi"/>
                <w:noProof/>
                <w:kern w:val="2"/>
                <w:sz w:val="24"/>
                <w:szCs w:val="24"/>
                <w14:ligatures w14:val="standardContextual"/>
              </w:rPr>
              <w:tab/>
            </w:r>
            <w:r w:rsidRPr="00BD5560">
              <w:rPr>
                <w:rStyle w:val="Hyperlink"/>
                <w:noProof/>
              </w:rPr>
              <w:t>Staff Proposal</w:t>
            </w:r>
            <w:r>
              <w:rPr>
                <w:noProof/>
                <w:webHidden/>
              </w:rPr>
              <w:tab/>
            </w:r>
            <w:r>
              <w:rPr>
                <w:noProof/>
                <w:webHidden/>
              </w:rPr>
              <w:fldChar w:fldCharType="begin"/>
            </w:r>
            <w:r>
              <w:rPr>
                <w:noProof/>
                <w:webHidden/>
              </w:rPr>
              <w:instrText xml:space="preserve"> PAGEREF _Toc238810855 \h </w:instrText>
            </w:r>
            <w:r>
              <w:rPr>
                <w:noProof/>
                <w:webHidden/>
              </w:rPr>
            </w:r>
            <w:r>
              <w:rPr>
                <w:noProof/>
                <w:webHidden/>
              </w:rPr>
              <w:fldChar w:fldCharType="separate"/>
            </w:r>
            <w:r w:rsidR="003073AC">
              <w:rPr>
                <w:noProof/>
                <w:webHidden/>
              </w:rPr>
              <w:t>6</w:t>
            </w:r>
            <w:r>
              <w:rPr>
                <w:noProof/>
                <w:webHidden/>
              </w:rPr>
              <w:fldChar w:fldCharType="end"/>
            </w:r>
          </w:hyperlink>
        </w:p>
        <w:p w:rsidR="00A07986" w:rsidRDefault="00A07986" w14:paraId="7A5D6242" w14:textId="28B63AD6">
          <w:pPr>
            <w:pStyle w:val="TOC1"/>
            <w:tabs>
              <w:tab w:val="right" w:leader="dot" w:pos="9350"/>
            </w:tabs>
            <w:rPr>
              <w:rFonts w:asciiTheme="minorHAnsi" w:hAnsiTheme="minorHAnsi" w:cstheme="minorBidi"/>
              <w:noProof/>
              <w:kern w:val="2"/>
              <w:sz w:val="24"/>
              <w:szCs w:val="24"/>
              <w14:ligatures w14:val="standardContextual"/>
            </w:rPr>
          </w:pPr>
          <w:hyperlink w:history="1" w:anchor="_Toc238810856">
            <w:r w:rsidRPr="00BD5560">
              <w:rPr>
                <w:rStyle w:val="Hyperlink"/>
                <w:noProof/>
              </w:rPr>
              <w:t>4.</w:t>
            </w:r>
            <w:r>
              <w:rPr>
                <w:rFonts w:asciiTheme="minorHAnsi" w:hAnsiTheme="minorHAnsi" w:cstheme="minorBidi"/>
                <w:noProof/>
                <w:kern w:val="2"/>
                <w:sz w:val="24"/>
                <w:szCs w:val="24"/>
                <w14:ligatures w14:val="standardContextual"/>
              </w:rPr>
              <w:tab/>
            </w:r>
            <w:r w:rsidRPr="00BD5560">
              <w:rPr>
                <w:rStyle w:val="Hyperlink"/>
                <w:noProof/>
              </w:rPr>
              <w:t>Proceeding History</w:t>
            </w:r>
            <w:r>
              <w:rPr>
                <w:noProof/>
                <w:webHidden/>
              </w:rPr>
              <w:tab/>
            </w:r>
            <w:r>
              <w:rPr>
                <w:noProof/>
                <w:webHidden/>
              </w:rPr>
              <w:fldChar w:fldCharType="begin"/>
            </w:r>
            <w:r>
              <w:rPr>
                <w:noProof/>
                <w:webHidden/>
              </w:rPr>
              <w:instrText xml:space="preserve"> PAGEREF _Toc238810856 \h </w:instrText>
            </w:r>
            <w:r>
              <w:rPr>
                <w:noProof/>
                <w:webHidden/>
              </w:rPr>
            </w:r>
            <w:r>
              <w:rPr>
                <w:noProof/>
                <w:webHidden/>
              </w:rPr>
              <w:fldChar w:fldCharType="separate"/>
            </w:r>
            <w:r w:rsidR="003073AC">
              <w:rPr>
                <w:noProof/>
                <w:webHidden/>
              </w:rPr>
              <w:t>8</w:t>
            </w:r>
            <w:r>
              <w:rPr>
                <w:noProof/>
                <w:webHidden/>
              </w:rPr>
              <w:fldChar w:fldCharType="end"/>
            </w:r>
          </w:hyperlink>
        </w:p>
        <w:p w:rsidR="00A07986" w:rsidRDefault="00A07986" w14:paraId="6B8F8811" w14:textId="34C47460">
          <w:pPr>
            <w:pStyle w:val="TOC1"/>
            <w:tabs>
              <w:tab w:val="right" w:leader="dot" w:pos="9350"/>
            </w:tabs>
            <w:rPr>
              <w:rFonts w:asciiTheme="minorHAnsi" w:hAnsiTheme="minorHAnsi" w:cstheme="minorBidi"/>
              <w:noProof/>
              <w:kern w:val="2"/>
              <w:sz w:val="24"/>
              <w:szCs w:val="24"/>
              <w14:ligatures w14:val="standardContextual"/>
            </w:rPr>
          </w:pPr>
          <w:hyperlink w:history="1" w:anchor="_Toc238810857">
            <w:r w:rsidRPr="00BD5560">
              <w:rPr>
                <w:rStyle w:val="Hyperlink"/>
                <w:noProof/>
              </w:rPr>
              <w:t>5.</w:t>
            </w:r>
            <w:r>
              <w:rPr>
                <w:rFonts w:asciiTheme="minorHAnsi" w:hAnsiTheme="minorHAnsi" w:cstheme="minorBidi"/>
                <w:noProof/>
                <w:kern w:val="2"/>
                <w:sz w:val="24"/>
                <w:szCs w:val="24"/>
                <w14:ligatures w14:val="standardContextual"/>
              </w:rPr>
              <w:tab/>
            </w:r>
            <w:r w:rsidRPr="00BD5560">
              <w:rPr>
                <w:rStyle w:val="Hyperlink"/>
                <w:noProof/>
              </w:rPr>
              <w:t>Submission Date</w:t>
            </w:r>
            <w:r>
              <w:rPr>
                <w:noProof/>
                <w:webHidden/>
              </w:rPr>
              <w:tab/>
            </w:r>
            <w:r>
              <w:rPr>
                <w:noProof/>
                <w:webHidden/>
              </w:rPr>
              <w:fldChar w:fldCharType="begin"/>
            </w:r>
            <w:r>
              <w:rPr>
                <w:noProof/>
                <w:webHidden/>
              </w:rPr>
              <w:instrText xml:space="preserve"> PAGEREF _Toc238810857 \h </w:instrText>
            </w:r>
            <w:r>
              <w:rPr>
                <w:noProof/>
                <w:webHidden/>
              </w:rPr>
            </w:r>
            <w:r>
              <w:rPr>
                <w:noProof/>
                <w:webHidden/>
              </w:rPr>
              <w:fldChar w:fldCharType="separate"/>
            </w:r>
            <w:r w:rsidR="003073AC">
              <w:rPr>
                <w:noProof/>
                <w:webHidden/>
              </w:rPr>
              <w:t>10</w:t>
            </w:r>
            <w:r>
              <w:rPr>
                <w:noProof/>
                <w:webHidden/>
              </w:rPr>
              <w:fldChar w:fldCharType="end"/>
            </w:r>
          </w:hyperlink>
        </w:p>
        <w:p w:rsidR="00A07986" w:rsidRDefault="00A07986" w14:paraId="7C63EB62" w14:textId="40A14CAB">
          <w:pPr>
            <w:pStyle w:val="TOC1"/>
            <w:tabs>
              <w:tab w:val="right" w:leader="dot" w:pos="9350"/>
            </w:tabs>
            <w:rPr>
              <w:rFonts w:asciiTheme="minorHAnsi" w:hAnsiTheme="minorHAnsi" w:cstheme="minorBidi"/>
              <w:noProof/>
              <w:kern w:val="2"/>
              <w:sz w:val="24"/>
              <w:szCs w:val="24"/>
              <w14:ligatures w14:val="standardContextual"/>
            </w:rPr>
          </w:pPr>
          <w:hyperlink w:history="1" w:anchor="_Toc238810858">
            <w:r w:rsidRPr="00BD5560">
              <w:rPr>
                <w:rStyle w:val="Hyperlink"/>
                <w:noProof/>
              </w:rPr>
              <w:t>6.</w:t>
            </w:r>
            <w:r>
              <w:rPr>
                <w:rFonts w:asciiTheme="minorHAnsi" w:hAnsiTheme="minorHAnsi" w:cstheme="minorBidi"/>
                <w:noProof/>
                <w:kern w:val="2"/>
                <w:sz w:val="24"/>
                <w:szCs w:val="24"/>
                <w14:ligatures w14:val="standardContextual"/>
              </w:rPr>
              <w:tab/>
            </w:r>
            <w:r w:rsidRPr="00BD5560">
              <w:rPr>
                <w:rStyle w:val="Hyperlink"/>
                <w:noProof/>
              </w:rPr>
              <w:t>Issues Before the Commission</w:t>
            </w:r>
            <w:r>
              <w:rPr>
                <w:noProof/>
                <w:webHidden/>
              </w:rPr>
              <w:tab/>
            </w:r>
            <w:r>
              <w:rPr>
                <w:noProof/>
                <w:webHidden/>
              </w:rPr>
              <w:fldChar w:fldCharType="begin"/>
            </w:r>
            <w:r>
              <w:rPr>
                <w:noProof/>
                <w:webHidden/>
              </w:rPr>
              <w:instrText xml:space="preserve"> PAGEREF _Toc238810858 \h </w:instrText>
            </w:r>
            <w:r>
              <w:rPr>
                <w:noProof/>
                <w:webHidden/>
              </w:rPr>
            </w:r>
            <w:r>
              <w:rPr>
                <w:noProof/>
                <w:webHidden/>
              </w:rPr>
              <w:fldChar w:fldCharType="separate"/>
            </w:r>
            <w:r w:rsidR="003073AC">
              <w:rPr>
                <w:noProof/>
                <w:webHidden/>
              </w:rPr>
              <w:t>10</w:t>
            </w:r>
            <w:r>
              <w:rPr>
                <w:noProof/>
                <w:webHidden/>
              </w:rPr>
              <w:fldChar w:fldCharType="end"/>
            </w:r>
          </w:hyperlink>
        </w:p>
        <w:p w:rsidR="00A07986" w:rsidRDefault="00A07986" w14:paraId="204A0E82" w14:textId="7F532F43">
          <w:pPr>
            <w:pStyle w:val="TOC1"/>
            <w:tabs>
              <w:tab w:val="right" w:leader="dot" w:pos="9350"/>
            </w:tabs>
            <w:rPr>
              <w:rFonts w:asciiTheme="minorHAnsi" w:hAnsiTheme="minorHAnsi" w:cstheme="minorBidi"/>
              <w:noProof/>
              <w:kern w:val="2"/>
              <w:sz w:val="24"/>
              <w:szCs w:val="24"/>
              <w14:ligatures w14:val="standardContextual"/>
            </w:rPr>
          </w:pPr>
          <w:hyperlink w:history="1" w:anchor="_Toc238810859">
            <w:r w:rsidRPr="00BD5560">
              <w:rPr>
                <w:rStyle w:val="Hyperlink"/>
                <w:noProof/>
              </w:rPr>
              <w:t>7.</w:t>
            </w:r>
            <w:r>
              <w:rPr>
                <w:rFonts w:asciiTheme="minorHAnsi" w:hAnsiTheme="minorHAnsi" w:cstheme="minorBidi"/>
                <w:noProof/>
                <w:kern w:val="2"/>
                <w:sz w:val="24"/>
                <w:szCs w:val="24"/>
                <w14:ligatures w14:val="standardContextual"/>
              </w:rPr>
              <w:tab/>
            </w:r>
            <w:r w:rsidRPr="00BD5560">
              <w:rPr>
                <w:rStyle w:val="Hyperlink"/>
                <w:noProof/>
              </w:rPr>
              <w:t>Implementing a Single Electricity-Based Value to GHG Emission Reductions</w:t>
            </w:r>
            <w:r>
              <w:rPr>
                <w:noProof/>
                <w:webHidden/>
              </w:rPr>
              <w:tab/>
            </w:r>
            <w:r>
              <w:rPr>
                <w:noProof/>
                <w:webHidden/>
              </w:rPr>
              <w:fldChar w:fldCharType="begin"/>
            </w:r>
            <w:r>
              <w:rPr>
                <w:noProof/>
                <w:webHidden/>
              </w:rPr>
              <w:instrText xml:space="preserve"> PAGEREF _Toc238810859 \h </w:instrText>
            </w:r>
            <w:r>
              <w:rPr>
                <w:noProof/>
                <w:webHidden/>
              </w:rPr>
            </w:r>
            <w:r>
              <w:rPr>
                <w:noProof/>
                <w:webHidden/>
              </w:rPr>
              <w:fldChar w:fldCharType="separate"/>
            </w:r>
            <w:r w:rsidR="003073AC">
              <w:rPr>
                <w:noProof/>
                <w:webHidden/>
              </w:rPr>
              <w:t>11</w:t>
            </w:r>
            <w:r>
              <w:rPr>
                <w:noProof/>
                <w:webHidden/>
              </w:rPr>
              <w:fldChar w:fldCharType="end"/>
            </w:r>
          </w:hyperlink>
        </w:p>
        <w:p w:rsidR="00A07986" w:rsidRDefault="00A07986" w14:paraId="541B4719" w14:textId="43828852">
          <w:pPr>
            <w:pStyle w:val="TOC1"/>
            <w:tabs>
              <w:tab w:val="right" w:leader="dot" w:pos="9350"/>
            </w:tabs>
            <w:rPr>
              <w:rFonts w:asciiTheme="minorHAnsi" w:hAnsiTheme="minorHAnsi" w:cstheme="minorBidi"/>
              <w:noProof/>
              <w:kern w:val="2"/>
              <w:sz w:val="24"/>
              <w:szCs w:val="24"/>
              <w14:ligatures w14:val="standardContextual"/>
            </w:rPr>
          </w:pPr>
          <w:hyperlink w:history="1" w:anchor="_Toc238810860">
            <w:r w:rsidRPr="00BD5560">
              <w:rPr>
                <w:rStyle w:val="Hyperlink"/>
                <w:noProof/>
              </w:rPr>
              <w:t>8.</w:t>
            </w:r>
            <w:r>
              <w:rPr>
                <w:rFonts w:asciiTheme="minorHAnsi" w:hAnsiTheme="minorHAnsi" w:cstheme="minorBidi"/>
                <w:noProof/>
                <w:kern w:val="2"/>
                <w:sz w:val="24"/>
                <w:szCs w:val="24"/>
                <w14:ligatures w14:val="standardContextual"/>
              </w:rPr>
              <w:tab/>
            </w:r>
            <w:r w:rsidRPr="00BD5560">
              <w:rPr>
                <w:rStyle w:val="Hyperlink"/>
                <w:noProof/>
              </w:rPr>
              <w:t>Removing the GHG Rebalancing Component</w:t>
            </w:r>
            <w:r>
              <w:rPr>
                <w:noProof/>
                <w:webHidden/>
              </w:rPr>
              <w:tab/>
            </w:r>
            <w:r>
              <w:rPr>
                <w:noProof/>
                <w:webHidden/>
              </w:rPr>
              <w:fldChar w:fldCharType="begin"/>
            </w:r>
            <w:r>
              <w:rPr>
                <w:noProof/>
                <w:webHidden/>
              </w:rPr>
              <w:instrText xml:space="preserve"> PAGEREF _Toc238810860 \h </w:instrText>
            </w:r>
            <w:r>
              <w:rPr>
                <w:noProof/>
                <w:webHidden/>
              </w:rPr>
            </w:r>
            <w:r>
              <w:rPr>
                <w:noProof/>
                <w:webHidden/>
              </w:rPr>
              <w:fldChar w:fldCharType="separate"/>
            </w:r>
            <w:r w:rsidR="003073AC">
              <w:rPr>
                <w:noProof/>
                <w:webHidden/>
              </w:rPr>
              <w:t>15</w:t>
            </w:r>
            <w:r>
              <w:rPr>
                <w:noProof/>
                <w:webHidden/>
              </w:rPr>
              <w:fldChar w:fldCharType="end"/>
            </w:r>
          </w:hyperlink>
        </w:p>
        <w:p w:rsidR="00A07986" w:rsidRDefault="00A07986" w14:paraId="35837AED" w14:textId="399D5731">
          <w:pPr>
            <w:pStyle w:val="TOC1"/>
            <w:tabs>
              <w:tab w:val="right" w:leader="dot" w:pos="9350"/>
            </w:tabs>
            <w:rPr>
              <w:rFonts w:asciiTheme="minorHAnsi" w:hAnsiTheme="minorHAnsi" w:cstheme="minorBidi"/>
              <w:noProof/>
              <w:kern w:val="2"/>
              <w:sz w:val="24"/>
              <w:szCs w:val="24"/>
              <w14:ligatures w14:val="standardContextual"/>
            </w:rPr>
          </w:pPr>
          <w:hyperlink w:history="1" w:anchor="_Toc238810861">
            <w:r w:rsidRPr="00BD5560">
              <w:rPr>
                <w:rStyle w:val="Hyperlink"/>
                <w:noProof/>
              </w:rPr>
              <w:t>9.</w:t>
            </w:r>
            <w:r>
              <w:rPr>
                <w:rFonts w:asciiTheme="minorHAnsi" w:hAnsiTheme="minorHAnsi" w:cstheme="minorBidi"/>
                <w:noProof/>
                <w:kern w:val="2"/>
                <w:sz w:val="24"/>
                <w:szCs w:val="24"/>
                <w14:ligatures w14:val="standardContextual"/>
              </w:rPr>
              <w:tab/>
            </w:r>
            <w:r w:rsidRPr="00BD5560">
              <w:rPr>
                <w:rStyle w:val="Hyperlink"/>
                <w:noProof/>
              </w:rPr>
              <w:t>Capping Total GHG Value at the Societal Cost of Carbon</w:t>
            </w:r>
            <w:r>
              <w:rPr>
                <w:noProof/>
                <w:webHidden/>
              </w:rPr>
              <w:tab/>
            </w:r>
            <w:r>
              <w:rPr>
                <w:noProof/>
                <w:webHidden/>
              </w:rPr>
              <w:fldChar w:fldCharType="begin"/>
            </w:r>
            <w:r>
              <w:rPr>
                <w:noProof/>
                <w:webHidden/>
              </w:rPr>
              <w:instrText xml:space="preserve"> PAGEREF _Toc238810861 \h </w:instrText>
            </w:r>
            <w:r>
              <w:rPr>
                <w:noProof/>
                <w:webHidden/>
              </w:rPr>
            </w:r>
            <w:r>
              <w:rPr>
                <w:noProof/>
                <w:webHidden/>
              </w:rPr>
              <w:fldChar w:fldCharType="separate"/>
            </w:r>
            <w:r w:rsidR="003073AC">
              <w:rPr>
                <w:noProof/>
                <w:webHidden/>
              </w:rPr>
              <w:t>19</w:t>
            </w:r>
            <w:r>
              <w:rPr>
                <w:noProof/>
                <w:webHidden/>
              </w:rPr>
              <w:fldChar w:fldCharType="end"/>
            </w:r>
          </w:hyperlink>
        </w:p>
        <w:p w:rsidR="00A07986" w:rsidRDefault="00A07986" w14:paraId="100F9EB5" w14:textId="2452F64F">
          <w:pPr>
            <w:pStyle w:val="TOC1"/>
            <w:tabs>
              <w:tab w:val="right" w:leader="dot" w:pos="9350"/>
            </w:tabs>
            <w:rPr>
              <w:rFonts w:asciiTheme="minorHAnsi" w:hAnsiTheme="minorHAnsi" w:cstheme="minorBidi"/>
              <w:noProof/>
              <w:kern w:val="2"/>
              <w:sz w:val="24"/>
              <w:szCs w:val="24"/>
              <w14:ligatures w14:val="standardContextual"/>
            </w:rPr>
          </w:pPr>
          <w:hyperlink w:history="1" w:anchor="_Toc238810862">
            <w:r w:rsidRPr="00BD5560">
              <w:rPr>
                <w:rStyle w:val="Hyperlink"/>
                <w:noProof/>
              </w:rPr>
              <w:t>10.</w:t>
            </w:r>
            <w:r>
              <w:rPr>
                <w:rFonts w:asciiTheme="minorHAnsi" w:hAnsiTheme="minorHAnsi" w:cstheme="minorBidi"/>
                <w:noProof/>
                <w:kern w:val="2"/>
                <w:sz w:val="24"/>
                <w:szCs w:val="24"/>
                <w14:ligatures w14:val="standardContextual"/>
              </w:rPr>
              <w:tab/>
            </w:r>
            <w:r w:rsidRPr="00BD5560">
              <w:rPr>
                <w:rStyle w:val="Hyperlink"/>
                <w:noProof/>
              </w:rPr>
              <w:t>Refining the Integrated Calculation of Generation Capacity and GHG Avoided Costs</w:t>
            </w:r>
            <w:r>
              <w:rPr>
                <w:noProof/>
                <w:webHidden/>
              </w:rPr>
              <w:tab/>
            </w:r>
            <w:r>
              <w:rPr>
                <w:noProof/>
                <w:webHidden/>
              </w:rPr>
              <w:fldChar w:fldCharType="begin"/>
            </w:r>
            <w:r>
              <w:rPr>
                <w:noProof/>
                <w:webHidden/>
              </w:rPr>
              <w:instrText xml:space="preserve"> PAGEREF _Toc238810862 \h </w:instrText>
            </w:r>
            <w:r>
              <w:rPr>
                <w:noProof/>
                <w:webHidden/>
              </w:rPr>
            </w:r>
            <w:r>
              <w:rPr>
                <w:noProof/>
                <w:webHidden/>
              </w:rPr>
              <w:fldChar w:fldCharType="separate"/>
            </w:r>
            <w:r w:rsidR="003073AC">
              <w:rPr>
                <w:noProof/>
                <w:webHidden/>
              </w:rPr>
              <w:t>24</w:t>
            </w:r>
            <w:r>
              <w:rPr>
                <w:noProof/>
                <w:webHidden/>
              </w:rPr>
              <w:fldChar w:fldCharType="end"/>
            </w:r>
          </w:hyperlink>
        </w:p>
        <w:p w:rsidR="00A07986" w:rsidRDefault="00A07986" w14:paraId="4248399B" w14:textId="593FFCB3">
          <w:pPr>
            <w:pStyle w:val="TOC1"/>
            <w:tabs>
              <w:tab w:val="right" w:leader="dot" w:pos="9350"/>
            </w:tabs>
            <w:rPr>
              <w:rFonts w:asciiTheme="minorHAnsi" w:hAnsiTheme="minorHAnsi" w:cstheme="minorBidi"/>
              <w:noProof/>
              <w:kern w:val="2"/>
              <w:sz w:val="24"/>
              <w:szCs w:val="24"/>
              <w14:ligatures w14:val="standardContextual"/>
            </w:rPr>
          </w:pPr>
          <w:hyperlink w:history="1" w:anchor="_Toc238810863">
            <w:r w:rsidRPr="00BD5560">
              <w:rPr>
                <w:rStyle w:val="Hyperlink"/>
                <w:noProof/>
              </w:rPr>
              <w:t>11.</w:t>
            </w:r>
            <w:r>
              <w:rPr>
                <w:rFonts w:asciiTheme="minorHAnsi" w:hAnsiTheme="minorHAnsi" w:cstheme="minorBidi"/>
                <w:noProof/>
                <w:kern w:val="2"/>
                <w:sz w:val="24"/>
                <w:szCs w:val="24"/>
                <w14:ligatures w14:val="standardContextual"/>
              </w:rPr>
              <w:tab/>
            </w:r>
            <w:r w:rsidRPr="00BD5560">
              <w:rPr>
                <w:rStyle w:val="Hyperlink"/>
                <w:noProof/>
              </w:rPr>
              <w:t>Refining the Hourly Allocation of Generation Capacity Value</w:t>
            </w:r>
            <w:r>
              <w:rPr>
                <w:noProof/>
                <w:webHidden/>
              </w:rPr>
              <w:tab/>
            </w:r>
            <w:r>
              <w:rPr>
                <w:noProof/>
                <w:webHidden/>
              </w:rPr>
              <w:fldChar w:fldCharType="begin"/>
            </w:r>
            <w:r>
              <w:rPr>
                <w:noProof/>
                <w:webHidden/>
              </w:rPr>
              <w:instrText xml:space="preserve"> PAGEREF _Toc238810863 \h </w:instrText>
            </w:r>
            <w:r>
              <w:rPr>
                <w:noProof/>
                <w:webHidden/>
              </w:rPr>
            </w:r>
            <w:r>
              <w:rPr>
                <w:noProof/>
                <w:webHidden/>
              </w:rPr>
              <w:fldChar w:fldCharType="separate"/>
            </w:r>
            <w:r w:rsidR="003073AC">
              <w:rPr>
                <w:noProof/>
                <w:webHidden/>
              </w:rPr>
              <w:t>33</w:t>
            </w:r>
            <w:r>
              <w:rPr>
                <w:noProof/>
                <w:webHidden/>
              </w:rPr>
              <w:fldChar w:fldCharType="end"/>
            </w:r>
          </w:hyperlink>
        </w:p>
        <w:p w:rsidR="00A07986" w:rsidRDefault="00A07986" w14:paraId="67D6BD75" w14:textId="43BA25F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8810864">
            <w:r w:rsidRPr="00BD5560">
              <w:rPr>
                <w:rStyle w:val="Hyperlink"/>
                <w:noProof/>
              </w:rPr>
              <w:t>11.1.</w:t>
            </w:r>
            <w:r>
              <w:rPr>
                <w:rFonts w:asciiTheme="minorHAnsi" w:hAnsiTheme="minorHAnsi" w:cstheme="minorBidi"/>
                <w:noProof/>
                <w:kern w:val="2"/>
                <w:sz w:val="24"/>
                <w:szCs w:val="24"/>
                <w14:ligatures w14:val="standardContextual"/>
              </w:rPr>
              <w:tab/>
            </w:r>
            <w:r w:rsidRPr="00BD5560">
              <w:rPr>
                <w:rStyle w:val="Hyperlink"/>
                <w:noProof/>
              </w:rPr>
              <w:t>Using Loss of Load Hours Rather than EUE for Generation Capacity Allocation Factors</w:t>
            </w:r>
            <w:r>
              <w:rPr>
                <w:noProof/>
                <w:webHidden/>
              </w:rPr>
              <w:tab/>
            </w:r>
            <w:r>
              <w:rPr>
                <w:noProof/>
                <w:webHidden/>
              </w:rPr>
              <w:fldChar w:fldCharType="begin"/>
            </w:r>
            <w:r>
              <w:rPr>
                <w:noProof/>
                <w:webHidden/>
              </w:rPr>
              <w:instrText xml:space="preserve"> PAGEREF _Toc238810864 \h </w:instrText>
            </w:r>
            <w:r>
              <w:rPr>
                <w:noProof/>
                <w:webHidden/>
              </w:rPr>
            </w:r>
            <w:r>
              <w:rPr>
                <w:noProof/>
                <w:webHidden/>
              </w:rPr>
              <w:fldChar w:fldCharType="separate"/>
            </w:r>
            <w:r w:rsidR="003073AC">
              <w:rPr>
                <w:noProof/>
                <w:webHidden/>
              </w:rPr>
              <w:t>34</w:t>
            </w:r>
            <w:r>
              <w:rPr>
                <w:noProof/>
                <w:webHidden/>
              </w:rPr>
              <w:fldChar w:fldCharType="end"/>
            </w:r>
          </w:hyperlink>
        </w:p>
        <w:p w:rsidR="00A07986" w:rsidRDefault="00A07986" w14:paraId="342F1CA7" w14:textId="6E77524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8810865">
            <w:r w:rsidRPr="00BD5560">
              <w:rPr>
                <w:rStyle w:val="Hyperlink"/>
                <w:noProof/>
              </w:rPr>
              <w:t>11.2.</w:t>
            </w:r>
            <w:r>
              <w:rPr>
                <w:rFonts w:asciiTheme="minorHAnsi" w:hAnsiTheme="minorHAnsi" w:cstheme="minorBidi"/>
                <w:noProof/>
                <w:kern w:val="2"/>
                <w:sz w:val="24"/>
                <w:szCs w:val="24"/>
                <w14:ligatures w14:val="standardContextual"/>
              </w:rPr>
              <w:tab/>
            </w:r>
            <w:r w:rsidRPr="00BD5560">
              <w:rPr>
                <w:rStyle w:val="Hyperlink"/>
                <w:noProof/>
              </w:rPr>
              <w:t>Using Energy Prices Rather than Temperature to Assign Days with High Generation Capacity Value</w:t>
            </w:r>
            <w:r>
              <w:rPr>
                <w:noProof/>
                <w:webHidden/>
              </w:rPr>
              <w:tab/>
            </w:r>
            <w:r>
              <w:rPr>
                <w:noProof/>
                <w:webHidden/>
              </w:rPr>
              <w:fldChar w:fldCharType="begin"/>
            </w:r>
            <w:r>
              <w:rPr>
                <w:noProof/>
                <w:webHidden/>
              </w:rPr>
              <w:instrText xml:space="preserve"> PAGEREF _Toc238810865 \h </w:instrText>
            </w:r>
            <w:r>
              <w:rPr>
                <w:noProof/>
                <w:webHidden/>
              </w:rPr>
            </w:r>
            <w:r>
              <w:rPr>
                <w:noProof/>
                <w:webHidden/>
              </w:rPr>
              <w:fldChar w:fldCharType="separate"/>
            </w:r>
            <w:r w:rsidR="003073AC">
              <w:rPr>
                <w:noProof/>
                <w:webHidden/>
              </w:rPr>
              <w:t>36</w:t>
            </w:r>
            <w:r>
              <w:rPr>
                <w:noProof/>
                <w:webHidden/>
              </w:rPr>
              <w:fldChar w:fldCharType="end"/>
            </w:r>
          </w:hyperlink>
        </w:p>
        <w:p w:rsidR="00A07986" w:rsidRDefault="00A07986" w14:paraId="0E6B02C5" w14:textId="0C9E19BB">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8810866">
            <w:r w:rsidRPr="00BD5560">
              <w:rPr>
                <w:rStyle w:val="Hyperlink"/>
                <w:noProof/>
              </w:rPr>
              <w:t>11.3.</w:t>
            </w:r>
            <w:r>
              <w:rPr>
                <w:rFonts w:asciiTheme="minorHAnsi" w:hAnsiTheme="minorHAnsi" w:cstheme="minorBidi"/>
                <w:noProof/>
                <w:kern w:val="2"/>
                <w:sz w:val="24"/>
                <w:szCs w:val="24"/>
                <w14:ligatures w14:val="standardContextual"/>
              </w:rPr>
              <w:tab/>
            </w:r>
            <w:r w:rsidRPr="00BD5560">
              <w:rPr>
                <w:rStyle w:val="Hyperlink"/>
                <w:noProof/>
              </w:rPr>
              <w:t>Representing Reliability Risk Difference of Weekdays Versus Weekends in Capacity Value Allocation</w:t>
            </w:r>
            <w:r>
              <w:rPr>
                <w:noProof/>
                <w:webHidden/>
              </w:rPr>
              <w:tab/>
            </w:r>
            <w:r>
              <w:rPr>
                <w:noProof/>
                <w:webHidden/>
              </w:rPr>
              <w:fldChar w:fldCharType="begin"/>
            </w:r>
            <w:r>
              <w:rPr>
                <w:noProof/>
                <w:webHidden/>
              </w:rPr>
              <w:instrText xml:space="preserve"> PAGEREF _Toc238810866 \h </w:instrText>
            </w:r>
            <w:r>
              <w:rPr>
                <w:noProof/>
                <w:webHidden/>
              </w:rPr>
            </w:r>
            <w:r>
              <w:rPr>
                <w:noProof/>
                <w:webHidden/>
              </w:rPr>
              <w:fldChar w:fldCharType="separate"/>
            </w:r>
            <w:r w:rsidR="003073AC">
              <w:rPr>
                <w:noProof/>
                <w:webHidden/>
              </w:rPr>
              <w:t>38</w:t>
            </w:r>
            <w:r>
              <w:rPr>
                <w:noProof/>
                <w:webHidden/>
              </w:rPr>
              <w:fldChar w:fldCharType="end"/>
            </w:r>
          </w:hyperlink>
        </w:p>
        <w:p w:rsidR="00A07986" w:rsidRDefault="00A07986" w14:paraId="3A55F9B6" w14:textId="0D60EDA5">
          <w:pPr>
            <w:pStyle w:val="TOC1"/>
            <w:tabs>
              <w:tab w:val="right" w:leader="dot" w:pos="9350"/>
            </w:tabs>
            <w:rPr>
              <w:rFonts w:asciiTheme="minorHAnsi" w:hAnsiTheme="minorHAnsi" w:cstheme="minorBidi"/>
              <w:noProof/>
              <w:kern w:val="2"/>
              <w:sz w:val="24"/>
              <w:szCs w:val="24"/>
              <w14:ligatures w14:val="standardContextual"/>
            </w:rPr>
          </w:pPr>
          <w:hyperlink w:history="1" w:anchor="_Toc238810867">
            <w:r w:rsidRPr="00BD5560">
              <w:rPr>
                <w:rStyle w:val="Hyperlink"/>
                <w:noProof/>
              </w:rPr>
              <w:t>12.</w:t>
            </w:r>
            <w:r>
              <w:rPr>
                <w:rFonts w:asciiTheme="minorHAnsi" w:hAnsiTheme="minorHAnsi" w:cstheme="minorBidi"/>
                <w:noProof/>
                <w:kern w:val="2"/>
                <w:sz w:val="24"/>
                <w:szCs w:val="24"/>
                <w14:ligatures w14:val="standardContextual"/>
              </w:rPr>
              <w:tab/>
            </w:r>
            <w:r w:rsidRPr="00BD5560">
              <w:rPr>
                <w:rStyle w:val="Hyperlink"/>
                <w:noProof/>
              </w:rPr>
              <w:t>Refining the Hourly Allocation of Transmission Capacity Value</w:t>
            </w:r>
            <w:r>
              <w:rPr>
                <w:noProof/>
                <w:webHidden/>
              </w:rPr>
              <w:tab/>
            </w:r>
            <w:r>
              <w:rPr>
                <w:noProof/>
                <w:webHidden/>
              </w:rPr>
              <w:fldChar w:fldCharType="begin"/>
            </w:r>
            <w:r>
              <w:rPr>
                <w:noProof/>
                <w:webHidden/>
              </w:rPr>
              <w:instrText xml:space="preserve"> PAGEREF _Toc238810867 \h </w:instrText>
            </w:r>
            <w:r>
              <w:rPr>
                <w:noProof/>
                <w:webHidden/>
              </w:rPr>
            </w:r>
            <w:r>
              <w:rPr>
                <w:noProof/>
                <w:webHidden/>
              </w:rPr>
              <w:fldChar w:fldCharType="separate"/>
            </w:r>
            <w:r w:rsidR="003073AC">
              <w:rPr>
                <w:noProof/>
                <w:webHidden/>
              </w:rPr>
              <w:t>39</w:t>
            </w:r>
            <w:r>
              <w:rPr>
                <w:noProof/>
                <w:webHidden/>
              </w:rPr>
              <w:fldChar w:fldCharType="end"/>
            </w:r>
          </w:hyperlink>
        </w:p>
        <w:p w:rsidR="00A07986" w:rsidRDefault="00A07986" w14:paraId="0F599329" w14:textId="4B748A66">
          <w:pPr>
            <w:pStyle w:val="TOC1"/>
            <w:tabs>
              <w:tab w:val="right" w:leader="dot" w:pos="9350"/>
            </w:tabs>
            <w:rPr>
              <w:rFonts w:asciiTheme="minorHAnsi" w:hAnsiTheme="minorHAnsi" w:cstheme="minorBidi"/>
              <w:noProof/>
              <w:kern w:val="2"/>
              <w:sz w:val="24"/>
              <w:szCs w:val="24"/>
              <w14:ligatures w14:val="standardContextual"/>
            </w:rPr>
          </w:pPr>
          <w:hyperlink w:history="1" w:anchor="_Toc238810868">
            <w:r w:rsidRPr="00BD5560">
              <w:rPr>
                <w:rStyle w:val="Hyperlink"/>
                <w:noProof/>
              </w:rPr>
              <w:t>13.</w:t>
            </w:r>
            <w:r>
              <w:rPr>
                <w:rFonts w:asciiTheme="minorHAnsi" w:hAnsiTheme="minorHAnsi" w:cstheme="minorBidi"/>
                <w:noProof/>
                <w:kern w:val="2"/>
                <w:sz w:val="24"/>
                <w:szCs w:val="24"/>
                <w14:ligatures w14:val="standardContextual"/>
              </w:rPr>
              <w:tab/>
            </w:r>
            <w:r w:rsidRPr="00BD5560">
              <w:rPr>
                <w:rStyle w:val="Hyperlink"/>
                <w:noProof/>
              </w:rPr>
              <w:t>Alignment of Transmission Avoided Cost Calculations Across Utilities.</w:t>
            </w:r>
            <w:r>
              <w:rPr>
                <w:noProof/>
                <w:webHidden/>
              </w:rPr>
              <w:tab/>
            </w:r>
            <w:r>
              <w:rPr>
                <w:noProof/>
                <w:webHidden/>
              </w:rPr>
              <w:fldChar w:fldCharType="begin"/>
            </w:r>
            <w:r>
              <w:rPr>
                <w:noProof/>
                <w:webHidden/>
              </w:rPr>
              <w:instrText xml:space="preserve"> PAGEREF _Toc238810868 \h </w:instrText>
            </w:r>
            <w:r>
              <w:rPr>
                <w:noProof/>
                <w:webHidden/>
              </w:rPr>
            </w:r>
            <w:r>
              <w:rPr>
                <w:noProof/>
                <w:webHidden/>
              </w:rPr>
              <w:fldChar w:fldCharType="separate"/>
            </w:r>
            <w:r w:rsidR="003073AC">
              <w:rPr>
                <w:noProof/>
                <w:webHidden/>
              </w:rPr>
              <w:t>41</w:t>
            </w:r>
            <w:r>
              <w:rPr>
                <w:noProof/>
                <w:webHidden/>
              </w:rPr>
              <w:fldChar w:fldCharType="end"/>
            </w:r>
          </w:hyperlink>
        </w:p>
        <w:p w:rsidR="00A07986" w:rsidRDefault="00A07986" w14:paraId="7A6F4FC7" w14:textId="670EE092">
          <w:pPr>
            <w:pStyle w:val="TOC1"/>
            <w:tabs>
              <w:tab w:val="right" w:leader="dot" w:pos="9350"/>
            </w:tabs>
            <w:rPr>
              <w:rFonts w:asciiTheme="minorHAnsi" w:hAnsiTheme="minorHAnsi" w:cstheme="minorBidi"/>
              <w:noProof/>
              <w:kern w:val="2"/>
              <w:sz w:val="24"/>
              <w:szCs w:val="24"/>
              <w14:ligatures w14:val="standardContextual"/>
            </w:rPr>
          </w:pPr>
          <w:hyperlink w:history="1" w:anchor="_Toc238810869">
            <w:r w:rsidRPr="00BD5560">
              <w:rPr>
                <w:rStyle w:val="Hyperlink"/>
                <w:noProof/>
              </w:rPr>
              <w:t>14.</w:t>
            </w:r>
            <w:r>
              <w:rPr>
                <w:rFonts w:asciiTheme="minorHAnsi" w:hAnsiTheme="minorHAnsi" w:cstheme="minorBidi"/>
                <w:noProof/>
                <w:kern w:val="2"/>
                <w:sz w:val="24"/>
                <w:szCs w:val="24"/>
                <w14:ligatures w14:val="standardContextual"/>
              </w:rPr>
              <w:tab/>
            </w:r>
            <w:r w:rsidRPr="00BD5560">
              <w:rPr>
                <w:rStyle w:val="Hyperlink"/>
                <w:noProof/>
              </w:rPr>
              <w:t>Party Proposals Related to the Avoided Cost Calculator</w:t>
            </w:r>
            <w:r>
              <w:rPr>
                <w:noProof/>
                <w:webHidden/>
              </w:rPr>
              <w:tab/>
            </w:r>
            <w:r>
              <w:rPr>
                <w:noProof/>
                <w:webHidden/>
              </w:rPr>
              <w:fldChar w:fldCharType="begin"/>
            </w:r>
            <w:r>
              <w:rPr>
                <w:noProof/>
                <w:webHidden/>
              </w:rPr>
              <w:instrText xml:space="preserve"> PAGEREF _Toc238810869 \h </w:instrText>
            </w:r>
            <w:r>
              <w:rPr>
                <w:noProof/>
                <w:webHidden/>
              </w:rPr>
            </w:r>
            <w:r>
              <w:rPr>
                <w:noProof/>
                <w:webHidden/>
              </w:rPr>
              <w:fldChar w:fldCharType="separate"/>
            </w:r>
            <w:r w:rsidR="003073AC">
              <w:rPr>
                <w:noProof/>
                <w:webHidden/>
              </w:rPr>
              <w:t>43</w:t>
            </w:r>
            <w:r>
              <w:rPr>
                <w:noProof/>
                <w:webHidden/>
              </w:rPr>
              <w:fldChar w:fldCharType="end"/>
            </w:r>
          </w:hyperlink>
        </w:p>
        <w:p w:rsidR="00A07986" w:rsidRDefault="00A07986" w14:paraId="1B5474DD" w14:textId="6B441559">
          <w:pPr>
            <w:pStyle w:val="TOC1"/>
            <w:tabs>
              <w:tab w:val="right" w:leader="dot" w:pos="9350"/>
            </w:tabs>
            <w:rPr>
              <w:rFonts w:asciiTheme="minorHAnsi" w:hAnsiTheme="minorHAnsi" w:cstheme="minorBidi"/>
              <w:noProof/>
              <w:kern w:val="2"/>
              <w:sz w:val="24"/>
              <w:szCs w:val="24"/>
              <w14:ligatures w14:val="standardContextual"/>
            </w:rPr>
          </w:pPr>
          <w:hyperlink w:history="1" w:anchor="_Toc238810870">
            <w:r w:rsidRPr="00BD5560">
              <w:rPr>
                <w:rStyle w:val="Hyperlink"/>
                <w:noProof/>
              </w:rPr>
              <w:t>15.</w:t>
            </w:r>
            <w:r>
              <w:rPr>
                <w:rFonts w:asciiTheme="minorHAnsi" w:hAnsiTheme="minorHAnsi" w:cstheme="minorBidi"/>
                <w:noProof/>
                <w:kern w:val="2"/>
                <w:sz w:val="24"/>
                <w:szCs w:val="24"/>
                <w14:ligatures w14:val="standardContextual"/>
              </w:rPr>
              <w:tab/>
            </w:r>
            <w:r w:rsidRPr="00BD5560">
              <w:rPr>
                <w:rStyle w:val="Hyperlink"/>
                <w:noProof/>
              </w:rPr>
              <w:t>Timeline of 2026 Avoided Cost Calculator Update</w:t>
            </w:r>
            <w:r>
              <w:rPr>
                <w:noProof/>
                <w:webHidden/>
              </w:rPr>
              <w:tab/>
            </w:r>
            <w:r>
              <w:rPr>
                <w:noProof/>
                <w:webHidden/>
              </w:rPr>
              <w:fldChar w:fldCharType="begin"/>
            </w:r>
            <w:r>
              <w:rPr>
                <w:noProof/>
                <w:webHidden/>
              </w:rPr>
              <w:instrText xml:space="preserve"> PAGEREF _Toc238810870 \h </w:instrText>
            </w:r>
            <w:r>
              <w:rPr>
                <w:noProof/>
                <w:webHidden/>
              </w:rPr>
            </w:r>
            <w:r>
              <w:rPr>
                <w:noProof/>
                <w:webHidden/>
              </w:rPr>
              <w:fldChar w:fldCharType="separate"/>
            </w:r>
            <w:r w:rsidR="003073AC">
              <w:rPr>
                <w:noProof/>
                <w:webHidden/>
              </w:rPr>
              <w:t>44</w:t>
            </w:r>
            <w:r>
              <w:rPr>
                <w:noProof/>
                <w:webHidden/>
              </w:rPr>
              <w:fldChar w:fldCharType="end"/>
            </w:r>
          </w:hyperlink>
        </w:p>
        <w:p w:rsidR="00A07986" w:rsidRDefault="00A07986" w14:paraId="12140799" w14:textId="5C040E72">
          <w:pPr>
            <w:pStyle w:val="TOC1"/>
            <w:tabs>
              <w:tab w:val="right" w:leader="dot" w:pos="9350"/>
            </w:tabs>
            <w:rPr>
              <w:rFonts w:asciiTheme="minorHAnsi" w:hAnsiTheme="minorHAnsi" w:cstheme="minorBidi"/>
              <w:noProof/>
              <w:kern w:val="2"/>
              <w:sz w:val="24"/>
              <w:szCs w:val="24"/>
              <w14:ligatures w14:val="standardContextual"/>
            </w:rPr>
          </w:pPr>
          <w:hyperlink w:history="1" w:anchor="_Toc238810871">
            <w:r w:rsidRPr="00BD5560">
              <w:rPr>
                <w:rStyle w:val="Hyperlink"/>
                <w:noProof/>
              </w:rPr>
              <w:t>16.</w:t>
            </w:r>
            <w:r>
              <w:rPr>
                <w:rFonts w:asciiTheme="minorHAnsi" w:hAnsiTheme="minorHAnsi" w:cstheme="minorBidi"/>
                <w:noProof/>
                <w:kern w:val="2"/>
                <w:sz w:val="24"/>
                <w:szCs w:val="24"/>
                <w14:ligatures w14:val="standardContextual"/>
              </w:rPr>
              <w:tab/>
            </w:r>
            <w:r w:rsidRPr="00BD5560">
              <w:rPr>
                <w:rStyle w:val="Hyperlink"/>
                <w:noProof/>
              </w:rPr>
              <w:t>Summary of Public Comment</w:t>
            </w:r>
            <w:r>
              <w:rPr>
                <w:noProof/>
                <w:webHidden/>
              </w:rPr>
              <w:tab/>
            </w:r>
            <w:r>
              <w:rPr>
                <w:noProof/>
                <w:webHidden/>
              </w:rPr>
              <w:fldChar w:fldCharType="begin"/>
            </w:r>
            <w:r>
              <w:rPr>
                <w:noProof/>
                <w:webHidden/>
              </w:rPr>
              <w:instrText xml:space="preserve"> PAGEREF _Toc238810871 \h </w:instrText>
            </w:r>
            <w:r>
              <w:rPr>
                <w:noProof/>
                <w:webHidden/>
              </w:rPr>
            </w:r>
            <w:r>
              <w:rPr>
                <w:noProof/>
                <w:webHidden/>
              </w:rPr>
              <w:fldChar w:fldCharType="separate"/>
            </w:r>
            <w:r w:rsidR="003073AC">
              <w:rPr>
                <w:noProof/>
                <w:webHidden/>
              </w:rPr>
              <w:t>45</w:t>
            </w:r>
            <w:r>
              <w:rPr>
                <w:noProof/>
                <w:webHidden/>
              </w:rPr>
              <w:fldChar w:fldCharType="end"/>
            </w:r>
          </w:hyperlink>
        </w:p>
        <w:p w:rsidR="00A07986" w:rsidRDefault="00A07986" w14:paraId="25742CBC" w14:textId="559BD1D0">
          <w:pPr>
            <w:pStyle w:val="TOC1"/>
            <w:tabs>
              <w:tab w:val="right" w:leader="dot" w:pos="9350"/>
            </w:tabs>
            <w:rPr>
              <w:rFonts w:asciiTheme="minorHAnsi" w:hAnsiTheme="minorHAnsi" w:cstheme="minorBidi"/>
              <w:noProof/>
              <w:kern w:val="2"/>
              <w:sz w:val="24"/>
              <w:szCs w:val="24"/>
              <w14:ligatures w14:val="standardContextual"/>
            </w:rPr>
          </w:pPr>
          <w:hyperlink w:history="1" w:anchor="_Toc238810872">
            <w:r w:rsidRPr="00BD5560">
              <w:rPr>
                <w:rStyle w:val="Hyperlink"/>
                <w:noProof/>
              </w:rPr>
              <w:t>17.</w:t>
            </w:r>
            <w:r>
              <w:rPr>
                <w:rFonts w:asciiTheme="minorHAnsi" w:hAnsiTheme="minorHAnsi" w:cstheme="minorBidi"/>
                <w:noProof/>
                <w:kern w:val="2"/>
                <w:sz w:val="24"/>
                <w:szCs w:val="24"/>
                <w14:ligatures w14:val="standardContextual"/>
              </w:rPr>
              <w:tab/>
            </w:r>
            <w:r w:rsidRPr="00BD5560">
              <w:rPr>
                <w:rStyle w:val="Hyperlink"/>
                <w:noProof/>
              </w:rPr>
              <w:t>Procedural Matters</w:t>
            </w:r>
            <w:r>
              <w:rPr>
                <w:noProof/>
                <w:webHidden/>
              </w:rPr>
              <w:tab/>
            </w:r>
            <w:r>
              <w:rPr>
                <w:noProof/>
                <w:webHidden/>
              </w:rPr>
              <w:fldChar w:fldCharType="begin"/>
            </w:r>
            <w:r>
              <w:rPr>
                <w:noProof/>
                <w:webHidden/>
              </w:rPr>
              <w:instrText xml:space="preserve"> PAGEREF _Toc238810872 \h </w:instrText>
            </w:r>
            <w:r>
              <w:rPr>
                <w:noProof/>
                <w:webHidden/>
              </w:rPr>
            </w:r>
            <w:r>
              <w:rPr>
                <w:noProof/>
                <w:webHidden/>
              </w:rPr>
              <w:fldChar w:fldCharType="separate"/>
            </w:r>
            <w:r w:rsidR="003073AC">
              <w:rPr>
                <w:noProof/>
                <w:webHidden/>
              </w:rPr>
              <w:t>45</w:t>
            </w:r>
            <w:r>
              <w:rPr>
                <w:noProof/>
                <w:webHidden/>
              </w:rPr>
              <w:fldChar w:fldCharType="end"/>
            </w:r>
          </w:hyperlink>
        </w:p>
        <w:p w:rsidR="00A07986" w:rsidRDefault="00A07986" w14:paraId="74E4EBF4" w14:textId="657050E7">
          <w:pPr>
            <w:pStyle w:val="TOC1"/>
            <w:tabs>
              <w:tab w:val="right" w:leader="dot" w:pos="9350"/>
            </w:tabs>
            <w:rPr>
              <w:rFonts w:asciiTheme="minorHAnsi" w:hAnsiTheme="minorHAnsi" w:cstheme="minorBidi"/>
              <w:noProof/>
              <w:kern w:val="2"/>
              <w:sz w:val="24"/>
              <w:szCs w:val="24"/>
              <w14:ligatures w14:val="standardContextual"/>
            </w:rPr>
          </w:pPr>
          <w:hyperlink w:history="1" w:anchor="_Toc238810873">
            <w:r w:rsidRPr="00BD5560">
              <w:rPr>
                <w:rStyle w:val="Hyperlink"/>
                <w:noProof/>
              </w:rPr>
              <w:t>18.</w:t>
            </w:r>
            <w:r>
              <w:rPr>
                <w:rFonts w:asciiTheme="minorHAnsi" w:hAnsiTheme="minorHAnsi" w:cstheme="minorBidi"/>
                <w:noProof/>
                <w:kern w:val="2"/>
                <w:sz w:val="24"/>
                <w:szCs w:val="24"/>
                <w14:ligatures w14:val="standardContextual"/>
              </w:rPr>
              <w:tab/>
            </w:r>
            <w:r w:rsidRPr="00BD5560">
              <w:rPr>
                <w:rStyle w:val="Hyperlink"/>
                <w:noProof/>
              </w:rPr>
              <w:t>Comments on Proposed Decision</w:t>
            </w:r>
            <w:r>
              <w:rPr>
                <w:noProof/>
                <w:webHidden/>
              </w:rPr>
              <w:tab/>
            </w:r>
            <w:r>
              <w:rPr>
                <w:noProof/>
                <w:webHidden/>
              </w:rPr>
              <w:fldChar w:fldCharType="begin"/>
            </w:r>
            <w:r>
              <w:rPr>
                <w:noProof/>
                <w:webHidden/>
              </w:rPr>
              <w:instrText xml:space="preserve"> PAGEREF _Toc238810873 \h </w:instrText>
            </w:r>
            <w:r>
              <w:rPr>
                <w:noProof/>
                <w:webHidden/>
              </w:rPr>
            </w:r>
            <w:r>
              <w:rPr>
                <w:noProof/>
                <w:webHidden/>
              </w:rPr>
              <w:fldChar w:fldCharType="separate"/>
            </w:r>
            <w:r w:rsidR="003073AC">
              <w:rPr>
                <w:noProof/>
                <w:webHidden/>
              </w:rPr>
              <w:t>45</w:t>
            </w:r>
            <w:r>
              <w:rPr>
                <w:noProof/>
                <w:webHidden/>
              </w:rPr>
              <w:fldChar w:fldCharType="end"/>
            </w:r>
          </w:hyperlink>
        </w:p>
        <w:p w:rsidR="00A07986" w:rsidRDefault="00A07986" w14:paraId="0D3CF0AC" w14:textId="3EC55A18">
          <w:pPr>
            <w:pStyle w:val="TOC1"/>
            <w:tabs>
              <w:tab w:val="right" w:leader="dot" w:pos="9350"/>
            </w:tabs>
            <w:rPr>
              <w:rFonts w:asciiTheme="minorHAnsi" w:hAnsiTheme="minorHAnsi" w:cstheme="minorBidi"/>
              <w:noProof/>
              <w:kern w:val="2"/>
              <w:sz w:val="24"/>
              <w:szCs w:val="24"/>
              <w14:ligatures w14:val="standardContextual"/>
            </w:rPr>
          </w:pPr>
          <w:hyperlink w:history="1" w:anchor="_Toc238810874">
            <w:r w:rsidRPr="00BD5560">
              <w:rPr>
                <w:rStyle w:val="Hyperlink"/>
                <w:noProof/>
              </w:rPr>
              <w:t>19.</w:t>
            </w:r>
            <w:r>
              <w:rPr>
                <w:rFonts w:asciiTheme="minorHAnsi" w:hAnsiTheme="minorHAnsi" w:cstheme="minorBidi"/>
                <w:noProof/>
                <w:kern w:val="2"/>
                <w:sz w:val="24"/>
                <w:szCs w:val="24"/>
                <w14:ligatures w14:val="standardContextual"/>
              </w:rPr>
              <w:tab/>
            </w:r>
            <w:r w:rsidRPr="00BD5560">
              <w:rPr>
                <w:rStyle w:val="Hyperlink"/>
                <w:noProof/>
              </w:rPr>
              <w:t>Assignment of Proceeding</w:t>
            </w:r>
            <w:r>
              <w:rPr>
                <w:noProof/>
                <w:webHidden/>
              </w:rPr>
              <w:tab/>
            </w:r>
            <w:r>
              <w:rPr>
                <w:noProof/>
                <w:webHidden/>
              </w:rPr>
              <w:fldChar w:fldCharType="begin"/>
            </w:r>
            <w:r>
              <w:rPr>
                <w:noProof/>
                <w:webHidden/>
              </w:rPr>
              <w:instrText xml:space="preserve"> PAGEREF _Toc238810874 \h </w:instrText>
            </w:r>
            <w:r>
              <w:rPr>
                <w:noProof/>
                <w:webHidden/>
              </w:rPr>
            </w:r>
            <w:r>
              <w:rPr>
                <w:noProof/>
                <w:webHidden/>
              </w:rPr>
              <w:fldChar w:fldCharType="separate"/>
            </w:r>
            <w:r w:rsidR="003073AC">
              <w:rPr>
                <w:noProof/>
                <w:webHidden/>
              </w:rPr>
              <w:t>49</w:t>
            </w:r>
            <w:r>
              <w:rPr>
                <w:noProof/>
                <w:webHidden/>
              </w:rPr>
              <w:fldChar w:fldCharType="end"/>
            </w:r>
          </w:hyperlink>
        </w:p>
        <w:p w:rsidR="00A07986" w:rsidRDefault="00A07986" w14:paraId="75E9A1DD" w14:textId="313FD966">
          <w:pPr>
            <w:pStyle w:val="TOC1"/>
            <w:tabs>
              <w:tab w:val="right" w:leader="dot" w:pos="9350"/>
            </w:tabs>
            <w:rPr>
              <w:rFonts w:asciiTheme="minorHAnsi" w:hAnsiTheme="minorHAnsi" w:cstheme="minorBidi"/>
              <w:noProof/>
              <w:kern w:val="2"/>
              <w:sz w:val="24"/>
              <w:szCs w:val="24"/>
              <w14:ligatures w14:val="standardContextual"/>
            </w:rPr>
          </w:pPr>
          <w:hyperlink w:history="1" w:anchor="_Toc238810875">
            <w:r w:rsidRPr="00BD5560">
              <w:rPr>
                <w:rStyle w:val="Hyperlink"/>
                <w:noProof/>
              </w:rPr>
              <w:t>Findings of Fact</w:t>
            </w:r>
            <w:r>
              <w:rPr>
                <w:noProof/>
                <w:webHidden/>
              </w:rPr>
              <w:tab/>
            </w:r>
            <w:r>
              <w:rPr>
                <w:noProof/>
                <w:webHidden/>
              </w:rPr>
              <w:fldChar w:fldCharType="begin"/>
            </w:r>
            <w:r>
              <w:rPr>
                <w:noProof/>
                <w:webHidden/>
              </w:rPr>
              <w:instrText xml:space="preserve"> PAGEREF _Toc238810875 \h </w:instrText>
            </w:r>
            <w:r>
              <w:rPr>
                <w:noProof/>
                <w:webHidden/>
              </w:rPr>
            </w:r>
            <w:r>
              <w:rPr>
                <w:noProof/>
                <w:webHidden/>
              </w:rPr>
              <w:fldChar w:fldCharType="separate"/>
            </w:r>
            <w:r w:rsidR="003073AC">
              <w:rPr>
                <w:noProof/>
                <w:webHidden/>
              </w:rPr>
              <w:t>49</w:t>
            </w:r>
            <w:r>
              <w:rPr>
                <w:noProof/>
                <w:webHidden/>
              </w:rPr>
              <w:fldChar w:fldCharType="end"/>
            </w:r>
          </w:hyperlink>
        </w:p>
        <w:p w:rsidR="00A07986" w:rsidRDefault="00A07986" w14:paraId="1EF3A202" w14:textId="5557AA98">
          <w:pPr>
            <w:pStyle w:val="TOC1"/>
            <w:tabs>
              <w:tab w:val="right" w:leader="dot" w:pos="9350"/>
            </w:tabs>
            <w:rPr>
              <w:rFonts w:asciiTheme="minorHAnsi" w:hAnsiTheme="minorHAnsi" w:cstheme="minorBidi"/>
              <w:noProof/>
              <w:kern w:val="2"/>
              <w:sz w:val="24"/>
              <w:szCs w:val="24"/>
              <w14:ligatures w14:val="standardContextual"/>
            </w:rPr>
          </w:pPr>
          <w:hyperlink w:history="1" w:anchor="_Toc238810876">
            <w:r w:rsidRPr="00BD5560">
              <w:rPr>
                <w:rStyle w:val="Hyperlink"/>
                <w:noProof/>
              </w:rPr>
              <w:t>Conclusions of Law</w:t>
            </w:r>
            <w:r>
              <w:rPr>
                <w:noProof/>
                <w:webHidden/>
              </w:rPr>
              <w:tab/>
            </w:r>
            <w:r>
              <w:rPr>
                <w:noProof/>
                <w:webHidden/>
              </w:rPr>
              <w:fldChar w:fldCharType="begin"/>
            </w:r>
            <w:r>
              <w:rPr>
                <w:noProof/>
                <w:webHidden/>
              </w:rPr>
              <w:instrText xml:space="preserve"> PAGEREF _Toc238810876 \h </w:instrText>
            </w:r>
            <w:r>
              <w:rPr>
                <w:noProof/>
                <w:webHidden/>
              </w:rPr>
            </w:r>
            <w:r>
              <w:rPr>
                <w:noProof/>
                <w:webHidden/>
              </w:rPr>
              <w:fldChar w:fldCharType="separate"/>
            </w:r>
            <w:r w:rsidR="003073AC">
              <w:rPr>
                <w:noProof/>
                <w:webHidden/>
              </w:rPr>
              <w:t>51</w:t>
            </w:r>
            <w:r>
              <w:rPr>
                <w:noProof/>
                <w:webHidden/>
              </w:rPr>
              <w:fldChar w:fldCharType="end"/>
            </w:r>
          </w:hyperlink>
        </w:p>
        <w:p w:rsidR="00A07986" w:rsidRDefault="00A07986" w14:paraId="039AF0FC" w14:textId="46A9AA28">
          <w:pPr>
            <w:pStyle w:val="TOC1"/>
            <w:tabs>
              <w:tab w:val="right" w:leader="dot" w:pos="9350"/>
            </w:tabs>
            <w:rPr>
              <w:rFonts w:asciiTheme="minorHAnsi" w:hAnsiTheme="minorHAnsi" w:cstheme="minorBidi"/>
              <w:noProof/>
              <w:kern w:val="2"/>
              <w:sz w:val="24"/>
              <w:szCs w:val="24"/>
              <w14:ligatures w14:val="standardContextual"/>
            </w:rPr>
          </w:pPr>
          <w:hyperlink w:history="1" w:anchor="_Toc238810877">
            <w:r w:rsidRPr="00BD5560">
              <w:rPr>
                <w:rStyle w:val="Hyperlink"/>
                <w:noProof/>
              </w:rPr>
              <w:t>ORDER</w:t>
            </w:r>
            <w:r>
              <w:rPr>
                <w:noProof/>
                <w:webHidden/>
              </w:rPr>
              <w:tab/>
            </w:r>
            <w:r>
              <w:rPr>
                <w:noProof/>
                <w:webHidden/>
              </w:rPr>
              <w:fldChar w:fldCharType="begin"/>
            </w:r>
            <w:r>
              <w:rPr>
                <w:noProof/>
                <w:webHidden/>
              </w:rPr>
              <w:instrText xml:space="preserve"> PAGEREF _Toc238810877 \h </w:instrText>
            </w:r>
            <w:r>
              <w:rPr>
                <w:noProof/>
                <w:webHidden/>
              </w:rPr>
            </w:r>
            <w:r>
              <w:rPr>
                <w:noProof/>
                <w:webHidden/>
              </w:rPr>
              <w:fldChar w:fldCharType="separate"/>
            </w:r>
            <w:r w:rsidR="003073AC">
              <w:rPr>
                <w:noProof/>
                <w:webHidden/>
              </w:rPr>
              <w:t>53</w:t>
            </w:r>
            <w:r>
              <w:rPr>
                <w:noProof/>
                <w:webHidden/>
              </w:rPr>
              <w:fldChar w:fldCharType="end"/>
            </w:r>
          </w:hyperlink>
        </w:p>
        <w:p w:rsidR="00F24B1C" w:rsidP="000A3DBB" w:rsidRDefault="00F24B1C" w14:paraId="2F75CCEC" w14:textId="572F9181">
          <w:pPr>
            <w:pStyle w:val="TOC1"/>
            <w:tabs>
              <w:tab w:val="right" w:leader="dot" w:pos="9345"/>
            </w:tabs>
            <w:ind w:left="0" w:firstLine="0"/>
            <w:rPr>
              <w:rStyle w:val="Hyperlink"/>
            </w:rPr>
          </w:pPr>
          <w:r>
            <w:fldChar w:fldCharType="end"/>
          </w:r>
        </w:p>
      </w:sdtContent>
    </w:sdt>
    <w:p w:rsidR="0098655A" w:rsidP="00D82A43" w:rsidRDefault="006F26D7" w14:paraId="6A383D16" w14:textId="355B2284">
      <w:pPr>
        <w:pStyle w:val="Main"/>
        <w:spacing w:after="240"/>
      </w:pPr>
      <w:r>
        <w:lastRenderedPageBreak/>
        <w:t xml:space="preserve">DECISION ADOPTING </w:t>
      </w:r>
      <w:r w:rsidR="0000455C">
        <w:t xml:space="preserve">UPDATES </w:t>
      </w:r>
      <w:r>
        <w:t>TO THE AVOIDED COST CALCULATOR</w:t>
      </w:r>
    </w:p>
    <w:p w:rsidR="005A148C" w:rsidP="005A148C" w:rsidRDefault="005A148C" w14:paraId="0A8C5C52" w14:textId="77777777">
      <w:pPr>
        <w:pStyle w:val="Dummy"/>
      </w:pPr>
      <w:bookmarkStart w:name="_Toc8123714" w:id="1"/>
      <w:bookmarkStart w:name="_Toc238810850" w:id="2"/>
      <w:r>
        <w:t>Summary</w:t>
      </w:r>
      <w:bookmarkEnd w:id="1"/>
      <w:bookmarkEnd w:id="2"/>
    </w:p>
    <w:p w:rsidR="006F26D7" w:rsidP="006E6574" w:rsidRDefault="006F26D7" w14:paraId="68ECD7FB" w14:textId="284BF388">
      <w:pPr>
        <w:pStyle w:val="Standard"/>
      </w:pPr>
      <w:r w:rsidRPr="006F26D7">
        <w:t xml:space="preserve">This decision </w:t>
      </w:r>
      <w:r w:rsidR="006B4D34">
        <w:t>up</w:t>
      </w:r>
      <w:r w:rsidRPr="006F26D7">
        <w:t>dates the Avoided Cost Calculator (ACC), beginning with the 202</w:t>
      </w:r>
      <w:r w:rsidR="00E42F79">
        <w:t>6</w:t>
      </w:r>
      <w:r w:rsidRPr="006F26D7">
        <w:t xml:space="preserve"> ACC.</w:t>
      </w:r>
      <w:r w:rsidR="006B4D34">
        <w:t xml:space="preserve"> The updates are designed to create a more robust, transparent ACC model that better reflects changing </w:t>
      </w:r>
      <w:r w:rsidR="002F5C52">
        <w:t xml:space="preserve">system and </w:t>
      </w:r>
      <w:r w:rsidR="006B4D34">
        <w:t>load patterns due to increased building and vehicle electrification and growing renewable penetration on the grid.</w:t>
      </w:r>
    </w:p>
    <w:p w:rsidR="006B4D34" w:rsidP="006E6574" w:rsidRDefault="006B4D34" w14:paraId="60396608" w14:textId="46B02D00">
      <w:pPr>
        <w:pStyle w:val="Standard"/>
      </w:pPr>
      <w:r>
        <w:t>This decision adopts the following changes to the ACC:</w:t>
      </w:r>
    </w:p>
    <w:p w:rsidR="006B4D34" w:rsidP="000A3DBB" w:rsidRDefault="006B4D34" w14:paraId="23C14C3C" w14:textId="4A93A306">
      <w:pPr>
        <w:pStyle w:val="Standard"/>
        <w:numPr>
          <w:ilvl w:val="0"/>
          <w:numId w:val="24"/>
        </w:numPr>
        <w:spacing w:after="120" w:line="240" w:lineRule="auto"/>
        <w:ind w:left="1080" w:right="1440"/>
      </w:pPr>
      <w:r>
        <w:t>A</w:t>
      </w:r>
      <w:r w:rsidR="00E42F79">
        <w:t xml:space="preserve">dopts a single electricity-based value to represent both electricity and natural gas greenhouse gas (GHG) values in the ACC and removes the GHG rebalancing </w:t>
      </w:r>
      <w:r w:rsidR="00237393">
        <w:t>c</w:t>
      </w:r>
      <w:r w:rsidR="00E42F79">
        <w:t xml:space="preserve">omponent. </w:t>
      </w:r>
    </w:p>
    <w:p w:rsidR="006B4D34" w:rsidP="000A3DBB" w:rsidRDefault="006B4D34" w14:paraId="30796869" w14:textId="7584C60D">
      <w:pPr>
        <w:pStyle w:val="Standard"/>
        <w:numPr>
          <w:ilvl w:val="0"/>
          <w:numId w:val="24"/>
        </w:numPr>
        <w:spacing w:line="240" w:lineRule="auto"/>
        <w:ind w:left="1080" w:right="1440"/>
      </w:pPr>
      <w:r>
        <w:t>A</w:t>
      </w:r>
      <w:r w:rsidR="00E42F79">
        <w:t xml:space="preserve">dopts a simplified implementation of the Integrated Calculation </w:t>
      </w:r>
      <w:r w:rsidR="00244CB2">
        <w:t xml:space="preserve">for Generation </w:t>
      </w:r>
      <w:r w:rsidR="00064AF8">
        <w:t>Capacity</w:t>
      </w:r>
      <w:r w:rsidR="00244CB2">
        <w:t xml:space="preserve"> and GHG Costs </w:t>
      </w:r>
      <w:r w:rsidR="00E42F79">
        <w:t>to address transparency</w:t>
      </w:r>
      <w:r w:rsidR="00237393">
        <w:t xml:space="preserve"> issues</w:t>
      </w:r>
      <w:r w:rsidR="00E42F79">
        <w:t xml:space="preserve"> and sensitivity </w:t>
      </w:r>
      <w:r w:rsidR="00DD6249">
        <w:t xml:space="preserve">to </w:t>
      </w:r>
      <w:r w:rsidR="00E42F79">
        <w:t xml:space="preserve">minor inconsistencies </w:t>
      </w:r>
      <w:r w:rsidR="00DD6249">
        <w:t>b</w:t>
      </w:r>
      <w:r w:rsidR="00E42F79">
        <w:t>etween</w:t>
      </w:r>
      <w:r w:rsidR="00237393">
        <w:t xml:space="preserve"> the</w:t>
      </w:r>
      <w:r w:rsidR="00E42F79">
        <w:t xml:space="preserve"> RESOLVE</w:t>
      </w:r>
      <w:r w:rsidR="00395082">
        <w:t xml:space="preserve"> model</w:t>
      </w:r>
      <w:r w:rsidR="00E42F79">
        <w:t xml:space="preserve"> and</w:t>
      </w:r>
      <w:r w:rsidR="00395082">
        <w:t xml:space="preserve"> the Strategic Energy &amp; Risk Valuation Model (</w:t>
      </w:r>
      <w:r w:rsidR="00E42F79">
        <w:t>SERVM</w:t>
      </w:r>
      <w:r w:rsidR="00395082">
        <w:t>)</w:t>
      </w:r>
      <w:r w:rsidR="00E42F79">
        <w:t>.</w:t>
      </w:r>
    </w:p>
    <w:p w:rsidR="006B4D34" w:rsidP="000A3DBB" w:rsidRDefault="006B4D34" w14:paraId="5D043B74" w14:textId="2B5F52E3">
      <w:pPr>
        <w:pStyle w:val="Standard"/>
        <w:numPr>
          <w:ilvl w:val="0"/>
          <w:numId w:val="24"/>
        </w:numPr>
        <w:spacing w:line="240" w:lineRule="auto"/>
        <w:ind w:left="1080" w:right="1440"/>
      </w:pPr>
      <w:r>
        <w:t>A</w:t>
      </w:r>
      <w:r w:rsidR="00E42F79">
        <w:t xml:space="preserve">dopts </w:t>
      </w:r>
      <w:r w:rsidR="00237393">
        <w:t>l</w:t>
      </w:r>
      <w:r w:rsidR="00E42F79">
        <w:t xml:space="preserve">oss of </w:t>
      </w:r>
      <w:r w:rsidR="00237393">
        <w:t>l</w:t>
      </w:r>
      <w:r w:rsidR="00E42F79">
        <w:t xml:space="preserve">oad </w:t>
      </w:r>
      <w:r w:rsidR="00237393">
        <w:t>ho</w:t>
      </w:r>
      <w:r w:rsidR="00E42F79">
        <w:t xml:space="preserve">urs </w:t>
      </w:r>
      <w:r w:rsidR="00DF4CDC">
        <w:t xml:space="preserve">(LOLH) </w:t>
      </w:r>
      <w:r w:rsidR="00E42F79">
        <w:t xml:space="preserve">rather than </w:t>
      </w:r>
      <w:r w:rsidR="00237393">
        <w:t>e</w:t>
      </w:r>
      <w:r w:rsidR="00E42F79">
        <w:t xml:space="preserve">xpected </w:t>
      </w:r>
      <w:r w:rsidR="00237393">
        <w:t>u</w:t>
      </w:r>
      <w:r w:rsidR="00E42F79">
        <w:t xml:space="preserve">nserved </w:t>
      </w:r>
      <w:r w:rsidR="00237393">
        <w:t>e</w:t>
      </w:r>
      <w:r w:rsidR="00E42F79">
        <w:t xml:space="preserve">nergy </w:t>
      </w:r>
      <w:r w:rsidR="00DF4CDC">
        <w:t xml:space="preserve">(EUE) </w:t>
      </w:r>
      <w:r w:rsidR="00E42F79">
        <w:t xml:space="preserve">for </w:t>
      </w:r>
      <w:r w:rsidR="00DD6249">
        <w:t xml:space="preserve">calculating </w:t>
      </w:r>
      <w:r w:rsidR="00E42F79">
        <w:t>ACC capacity allocation factors to measure the frequency of loss of load events.</w:t>
      </w:r>
    </w:p>
    <w:p w:rsidR="006B4D34" w:rsidP="000A3DBB" w:rsidRDefault="006B4D34" w14:paraId="1FAA3A82" w14:textId="2E8C7FED">
      <w:pPr>
        <w:pStyle w:val="Standard"/>
        <w:numPr>
          <w:ilvl w:val="0"/>
          <w:numId w:val="24"/>
        </w:numPr>
        <w:spacing w:line="240" w:lineRule="auto"/>
        <w:ind w:left="1080" w:right="1440"/>
      </w:pPr>
      <w:r>
        <w:t>U</w:t>
      </w:r>
      <w:r w:rsidR="00237393">
        <w:t>ses e</w:t>
      </w:r>
      <w:r w:rsidR="00E42F79">
        <w:t xml:space="preserve">nergy </w:t>
      </w:r>
      <w:r w:rsidR="00237393">
        <w:t>p</w:t>
      </w:r>
      <w:r w:rsidR="00E42F79">
        <w:t xml:space="preserve">rices </w:t>
      </w:r>
      <w:r w:rsidR="00237393">
        <w:t>r</w:t>
      </w:r>
      <w:r w:rsidR="00E42F79">
        <w:t xml:space="preserve">ather than </w:t>
      </w:r>
      <w:r w:rsidR="00237393">
        <w:t>t</w:t>
      </w:r>
      <w:r w:rsidR="00E42F79">
        <w:t xml:space="preserve">emperature </w:t>
      </w:r>
      <w:r w:rsidR="00237393">
        <w:t xml:space="preserve">to </w:t>
      </w:r>
      <w:r w:rsidR="00DF4CDC">
        <w:t>allo</w:t>
      </w:r>
      <w:r w:rsidR="00BA547F">
        <w:t xml:space="preserve">cate </w:t>
      </w:r>
      <w:r w:rsidR="00237393">
        <w:t>g</w:t>
      </w:r>
      <w:r w:rsidR="00E42F79">
        <w:t xml:space="preserve">eneration </w:t>
      </w:r>
      <w:r w:rsidR="00237393">
        <w:t>c</w:t>
      </w:r>
      <w:r w:rsidR="00E42F79">
        <w:t xml:space="preserve">apacity </w:t>
      </w:r>
      <w:r w:rsidR="00237393">
        <w:t>v</w:t>
      </w:r>
      <w:r w:rsidR="00E42F79">
        <w:t>alue</w:t>
      </w:r>
      <w:r w:rsidR="00BA547F">
        <w:t xml:space="preserve"> to specific </w:t>
      </w:r>
      <w:r w:rsidR="000D7AC6">
        <w:t>days of the year</w:t>
      </w:r>
      <w:r w:rsidR="00237393">
        <w:t>.</w:t>
      </w:r>
    </w:p>
    <w:p w:rsidR="006B4D34" w:rsidP="000A3DBB" w:rsidRDefault="006B4D34" w14:paraId="53534785" w14:textId="5B670C7B">
      <w:pPr>
        <w:pStyle w:val="Standard"/>
        <w:numPr>
          <w:ilvl w:val="0"/>
          <w:numId w:val="24"/>
        </w:numPr>
        <w:spacing w:line="240" w:lineRule="auto"/>
        <w:ind w:left="1080" w:right="1440"/>
      </w:pPr>
      <w:r>
        <w:t>R</w:t>
      </w:r>
      <w:r w:rsidR="00E42F79">
        <w:t>epresent</w:t>
      </w:r>
      <w:r w:rsidR="00237393">
        <w:t>s</w:t>
      </w:r>
      <w:r w:rsidR="00E42F79">
        <w:t xml:space="preserve"> </w:t>
      </w:r>
      <w:r w:rsidR="00237393">
        <w:t>r</w:t>
      </w:r>
      <w:r w:rsidR="00E42F79">
        <w:t xml:space="preserve">eliability </w:t>
      </w:r>
      <w:r w:rsidR="00237393">
        <w:t>r</w:t>
      </w:r>
      <w:r w:rsidR="00E42F79">
        <w:t xml:space="preserve">isk </w:t>
      </w:r>
      <w:r w:rsidR="00237393">
        <w:t>d</w:t>
      </w:r>
      <w:r w:rsidR="00E42F79">
        <w:t>ifference</w:t>
      </w:r>
      <w:r w:rsidR="00237393">
        <w:t>s</w:t>
      </w:r>
      <w:r w:rsidR="00E42F79">
        <w:t xml:space="preserve"> of </w:t>
      </w:r>
      <w:r w:rsidR="00237393">
        <w:t>w</w:t>
      </w:r>
      <w:r w:rsidR="00E42F79">
        <w:t xml:space="preserve">eekdays </w:t>
      </w:r>
      <w:r w:rsidR="00237393">
        <w:t>v</w:t>
      </w:r>
      <w:r w:rsidR="00E42F79">
        <w:t xml:space="preserve">ersus </w:t>
      </w:r>
      <w:r w:rsidR="00237393">
        <w:t>w</w:t>
      </w:r>
      <w:r w:rsidR="00E42F79">
        <w:t xml:space="preserve">eekends in </w:t>
      </w:r>
      <w:r w:rsidR="00237393">
        <w:t>the ACC’s c</w:t>
      </w:r>
      <w:r w:rsidR="00E42F79">
        <w:t xml:space="preserve">apacity </w:t>
      </w:r>
      <w:r w:rsidR="00237393">
        <w:t>v</w:t>
      </w:r>
      <w:r w:rsidR="00E42F79">
        <w:t xml:space="preserve">alue </w:t>
      </w:r>
      <w:r w:rsidR="00237393">
        <w:t>a</w:t>
      </w:r>
      <w:r w:rsidR="00E42F79">
        <w:t>llocation</w:t>
      </w:r>
      <w:r w:rsidR="00237393">
        <w:t>.</w:t>
      </w:r>
    </w:p>
    <w:p w:rsidR="006B4D34" w:rsidP="000A3DBB" w:rsidRDefault="006B4D34" w14:paraId="29210208" w14:textId="40D738F8">
      <w:pPr>
        <w:pStyle w:val="Standard"/>
        <w:numPr>
          <w:ilvl w:val="0"/>
          <w:numId w:val="24"/>
        </w:numPr>
        <w:spacing w:line="240" w:lineRule="auto"/>
        <w:ind w:left="1080" w:right="1440"/>
      </w:pPr>
      <w:r>
        <w:t>U</w:t>
      </w:r>
      <w:r w:rsidR="00237393">
        <w:t xml:space="preserve">pdates the </w:t>
      </w:r>
      <w:r w:rsidR="00E42F79">
        <w:t xml:space="preserve">peak capacity allocation factors </w:t>
      </w:r>
      <w:r w:rsidR="00E42B2A">
        <w:t xml:space="preserve">(PCAF) </w:t>
      </w:r>
      <w:r w:rsidR="00E42F79">
        <w:t xml:space="preserve">calculations </w:t>
      </w:r>
      <w:r w:rsidR="003608FB">
        <w:t xml:space="preserve">for transmission avoided costs </w:t>
      </w:r>
      <w:r w:rsidR="00E42F79">
        <w:t xml:space="preserve">to </w:t>
      </w:r>
      <w:r w:rsidR="00D812EF">
        <w:t xml:space="preserve">use </w:t>
      </w:r>
      <w:r w:rsidR="00237393">
        <w:t>the</w:t>
      </w:r>
      <w:r w:rsidR="00E42F79">
        <w:t xml:space="preserve"> Integrated Energy Policy Report</w:t>
      </w:r>
      <w:r w:rsidR="00BF0002">
        <w:t xml:space="preserve"> (IEPR)</w:t>
      </w:r>
      <w:r w:rsidR="00E42F79">
        <w:t xml:space="preserve"> load forecast</w:t>
      </w:r>
      <w:r w:rsidR="000B3A6D">
        <w:t xml:space="preserve"> </w:t>
      </w:r>
      <w:r w:rsidR="00E42F79">
        <w:t>for future years</w:t>
      </w:r>
      <w:r w:rsidR="000B3A6D">
        <w:t xml:space="preserve">, as used in SERVM modelling for calculating energy avoided costs, </w:t>
      </w:r>
      <w:r w:rsidR="00E42F79">
        <w:t>instead of historical loads.</w:t>
      </w:r>
    </w:p>
    <w:p w:rsidR="00E42F79" w:rsidP="000A3DBB" w:rsidRDefault="00AF09DA" w14:paraId="3E5954C4" w14:textId="2DAA7337">
      <w:pPr>
        <w:pStyle w:val="Standard"/>
        <w:numPr>
          <w:ilvl w:val="0"/>
          <w:numId w:val="24"/>
        </w:numPr>
        <w:spacing w:line="240" w:lineRule="auto"/>
        <w:ind w:left="1080" w:right="1440"/>
      </w:pPr>
      <w:r>
        <w:t xml:space="preserve">Uses </w:t>
      </w:r>
      <w:r w:rsidR="00237393">
        <w:t>the Discounted Total Investment Method</w:t>
      </w:r>
      <w:r w:rsidR="00DD6249">
        <w:t xml:space="preserve"> approach</w:t>
      </w:r>
      <w:r w:rsidR="00237393">
        <w:t xml:space="preserve"> to calculate marginal transmission costs for </w:t>
      </w:r>
      <w:r w:rsidR="008C0E8B">
        <w:t xml:space="preserve">all </w:t>
      </w:r>
      <w:r w:rsidR="00195362">
        <w:t xml:space="preserve">electric </w:t>
      </w:r>
      <w:r w:rsidR="008C0E8B">
        <w:t>utilities</w:t>
      </w:r>
      <w:r w:rsidR="00237393">
        <w:t>.</w:t>
      </w:r>
    </w:p>
    <w:p w:rsidR="006B4D34" w:rsidP="00FE7FFA" w:rsidRDefault="006B4D34" w14:paraId="7D889D88" w14:textId="74CA40F5">
      <w:pPr>
        <w:pStyle w:val="Standard"/>
        <w:ind w:firstLine="360"/>
      </w:pPr>
      <w:r>
        <w:t>This proceeding remains open.</w:t>
      </w:r>
    </w:p>
    <w:p w:rsidRPr="00121089" w:rsidR="005A148C" w:rsidP="00FE7FFA" w:rsidRDefault="002C7FE9" w14:paraId="16CFCC04" w14:textId="77777777">
      <w:pPr>
        <w:pStyle w:val="Heading1"/>
      </w:pPr>
      <w:bookmarkStart w:name="_Toc8123715" w:id="3"/>
      <w:bookmarkStart w:name="_Toc238810851" w:id="4"/>
      <w:r w:rsidRPr="00121089">
        <w:lastRenderedPageBreak/>
        <w:t>Background</w:t>
      </w:r>
      <w:bookmarkEnd w:id="3"/>
      <w:bookmarkEnd w:id="4"/>
    </w:p>
    <w:p w:rsidR="0063491C" w:rsidP="00FE7FFA" w:rsidRDefault="006760E2" w14:paraId="6ED6C6B7" w14:textId="37C95D2F">
      <w:pPr>
        <w:pStyle w:val="Heading2"/>
      </w:pPr>
      <w:bookmarkStart w:name="_Toc238810852" w:id="5"/>
      <w:r>
        <w:t>Avoided Cost Calculator</w:t>
      </w:r>
      <w:bookmarkEnd w:id="5"/>
    </w:p>
    <w:p w:rsidR="0022750F" w:rsidP="0022750F" w:rsidRDefault="0022750F" w14:paraId="63CD4080" w14:textId="2BE6867C">
      <w:pPr>
        <w:pStyle w:val="Standard"/>
      </w:pPr>
      <w:r>
        <w:t>The Commission uses the Avoided Cost Calculator (ACC) to provide guidance across a variety of proceedings on the value of distributed energy resources (DERs) as part of the overall portfolio mix with supply-side resources.</w:t>
      </w:r>
      <w:r w:rsidR="00D367C9">
        <w:rPr>
          <w:rStyle w:val="FootnoteReference"/>
        </w:rPr>
        <w:footnoteReference w:id="2"/>
      </w:r>
      <w:r>
        <w:rPr>
          <w:sz w:val="17"/>
          <w:szCs w:val="17"/>
        </w:rPr>
        <w:t xml:space="preserve"> </w:t>
      </w:r>
      <w:r>
        <w:t>The ACC calculates the avoided costs related to the provision of electric and natural gas service. These avoided costs can be categorized into the following types of avoided costs: generation capacity, energy, transmission and distribution capacity, ancillary services, greenhouse gas (GHG) emissions, and high global warming potential gases. The outputs of the ACC are used in the</w:t>
      </w:r>
      <w:r w:rsidR="00074B40">
        <w:t xml:space="preserve"> </w:t>
      </w:r>
      <w:r w:rsidR="009E736C">
        <w:t xml:space="preserve">DER </w:t>
      </w:r>
      <w:r>
        <w:t>cost-effectiveness analysis</w:t>
      </w:r>
      <w:r w:rsidR="007B2E76">
        <w:t>,</w:t>
      </w:r>
      <w:r w:rsidR="00B815AB">
        <w:t xml:space="preserve"> </w:t>
      </w:r>
      <w:r w:rsidR="00EC6671">
        <w:t xml:space="preserve">including for demand response and energy efficiency, </w:t>
      </w:r>
      <w:r w:rsidR="00B815AB">
        <w:t>among other purposes</w:t>
      </w:r>
      <w:r>
        <w:t xml:space="preserve">. </w:t>
      </w:r>
    </w:p>
    <w:p w:rsidR="00796D23" w:rsidP="0022750F" w:rsidRDefault="0022750F" w14:paraId="7CD10EE8" w14:textId="0447DFC6">
      <w:pPr>
        <w:pStyle w:val="Standard"/>
      </w:pPr>
      <w:r>
        <w:t xml:space="preserve">In Decision (D.) 16-06-007, </w:t>
      </w:r>
      <w:r w:rsidRPr="0022750F">
        <w:rPr>
          <w:i/>
          <w:iCs/>
        </w:rPr>
        <w:t>Decision to Update Portions of the Commission’s Current Cost-Effectiveness Framework</w:t>
      </w:r>
      <w:r>
        <w:t>, the Commission directed that a single avoided cost model should apply to all DER proceedings.</w:t>
      </w:r>
      <w:r w:rsidR="009438D1">
        <w:rPr>
          <w:rStyle w:val="FootnoteReference"/>
        </w:rPr>
        <w:footnoteReference w:id="3"/>
      </w:r>
      <w:r w:rsidRPr="0022750F">
        <w:rPr>
          <w:sz w:val="17"/>
          <w:szCs w:val="17"/>
        </w:rPr>
        <w:t xml:space="preserve"> </w:t>
      </w:r>
      <w:r>
        <w:t xml:space="preserve">In D.19-05-019, the Commission approved a formal biennial process, to be conducted in Rulemaking (R.) 14-10-003 or a successor proceeding, to ensure that major changes to the ACC are addressed on a regular basis. </w:t>
      </w:r>
      <w:r w:rsidR="008C6E13">
        <w:t>D.25-11-005 modified th</w:t>
      </w:r>
      <w:r w:rsidR="00735CB5">
        <w:t>e 2026</w:t>
      </w:r>
      <w:r w:rsidR="008C6E13">
        <w:t xml:space="preserve"> update schedule to release the ACC update staff proposal in </w:t>
      </w:r>
      <w:r w:rsidR="00735CB5">
        <w:t>late March</w:t>
      </w:r>
      <w:r w:rsidR="008C6E13">
        <w:t xml:space="preserve"> 2026 to align with the adoption of the Integrated Resource Plan (IRP) proceedings’ Preferred System Plan (PSP)</w:t>
      </w:r>
      <w:r w:rsidR="006A1DD3">
        <w:t>, among other procedural and schedule updates</w:t>
      </w:r>
      <w:r w:rsidR="008C6E13">
        <w:t>.</w:t>
      </w:r>
      <w:r w:rsidR="00735CB5">
        <w:rPr>
          <w:rStyle w:val="FootnoteReference"/>
        </w:rPr>
        <w:footnoteReference w:id="4"/>
      </w:r>
      <w:r w:rsidR="008C6E13">
        <w:t xml:space="preserve"> </w:t>
      </w:r>
      <w:r w:rsidR="00735CB5">
        <w:t xml:space="preserve">The updated schedule allows for evidentiary hearing in May </w:t>
      </w:r>
      <w:r w:rsidR="00C1756F">
        <w:t>of each even-numbered year starting in 2026</w:t>
      </w:r>
      <w:r w:rsidR="00735CB5">
        <w:t xml:space="preserve"> if needed and briefing in May and June of </w:t>
      </w:r>
      <w:r w:rsidR="00C1756F">
        <w:t xml:space="preserve">each even-numbered </w:t>
      </w:r>
      <w:r w:rsidR="00C1756F">
        <w:lastRenderedPageBreak/>
        <w:t>year</w:t>
      </w:r>
      <w:r w:rsidR="00735CB5">
        <w:t xml:space="preserve"> if needed. </w:t>
      </w:r>
      <w:r w:rsidR="008C6E13">
        <w:t xml:space="preserve">The modified </w:t>
      </w:r>
      <w:r w:rsidR="00735CB5">
        <w:t>2026</w:t>
      </w:r>
      <w:r w:rsidR="008C6E13">
        <w:t xml:space="preserve"> update schedule concludes with an adopted decision in </w:t>
      </w:r>
      <w:r w:rsidR="00481B1A">
        <w:t>late-</w:t>
      </w:r>
      <w:r w:rsidR="008C6E13">
        <w:t xml:space="preserve">July </w:t>
      </w:r>
      <w:r w:rsidR="00C1756F">
        <w:t>of each even-numbered year</w:t>
      </w:r>
      <w:r w:rsidR="008C6E13">
        <w:t>.</w:t>
      </w:r>
    </w:p>
    <w:p w:rsidR="006760E2" w:rsidP="00C812F1" w:rsidRDefault="006760E2" w14:paraId="4AD9A7A7" w14:textId="57F593BA">
      <w:pPr>
        <w:pStyle w:val="Heading2"/>
      </w:pPr>
      <w:bookmarkStart w:name="_Toc238810853" w:id="6"/>
      <w:r>
        <w:t>Relationship between the Avoided Cost Calculator and the Integrated Resource Planning Proceeding</w:t>
      </w:r>
      <w:bookmarkEnd w:id="6"/>
    </w:p>
    <w:p w:rsidR="00D640D3" w:rsidP="00D640D3" w:rsidRDefault="00D640D3" w14:paraId="63035301" w14:textId="17ECDD78">
      <w:pPr>
        <w:pStyle w:val="Standard"/>
      </w:pPr>
      <w:r w:rsidRPr="00E06863">
        <w:t>The</w:t>
      </w:r>
      <w:r w:rsidR="00244CB2">
        <w:t xml:space="preserve"> Commission-led</w:t>
      </w:r>
      <w:r w:rsidRPr="00E06863">
        <w:t xml:space="preserve"> IRP process (designed in R.16-02-007 and continued in R.20-05-003 and R.25-06-019) </w:t>
      </w:r>
      <w:r w:rsidR="00244CB2">
        <w:t>uses</w:t>
      </w:r>
      <w:r w:rsidRPr="00E06863">
        <w:t xml:space="preserve"> load serving entities’ (LSE) generation procurement plans to develop portfolios of electricity resources t</w:t>
      </w:r>
      <w:r w:rsidR="00086251">
        <w:t>hat</w:t>
      </w:r>
      <w:r w:rsidRPr="00E06863">
        <w:t xml:space="preserve"> ensure procurement meets the state’s </w:t>
      </w:r>
      <w:r w:rsidR="00855A73">
        <w:t xml:space="preserve">safety, </w:t>
      </w:r>
      <w:r w:rsidR="00CE6D12">
        <w:t>reliability</w:t>
      </w:r>
      <w:r w:rsidR="00855A73">
        <w:t>,</w:t>
      </w:r>
      <w:r w:rsidR="00CE6D12">
        <w:t xml:space="preserve"> and </w:t>
      </w:r>
      <w:r w:rsidR="00CD3FD4">
        <w:t>GHG</w:t>
      </w:r>
      <w:r w:rsidRPr="00E06863">
        <w:t xml:space="preserve"> reduction goals in a</w:t>
      </w:r>
      <w:r w:rsidR="00CE6D12">
        <w:t>s</w:t>
      </w:r>
      <w:r w:rsidRPr="00E06863">
        <w:t xml:space="preserve"> cost</w:t>
      </w:r>
      <w:r>
        <w:t>-</w:t>
      </w:r>
      <w:r w:rsidRPr="00E06863">
        <w:t xml:space="preserve">effective </w:t>
      </w:r>
      <w:r w:rsidR="00CE6D12">
        <w:t xml:space="preserve">a </w:t>
      </w:r>
      <w:r w:rsidRPr="00E06863">
        <w:t>manner</w:t>
      </w:r>
      <w:r w:rsidR="00CE6D12">
        <w:t xml:space="preserve"> as possible</w:t>
      </w:r>
      <w:r w:rsidRPr="00E06863">
        <w:t xml:space="preserve">. The portfolios inform procurement of generation resources, and based on the adopted portfolios, the Commission transmits generation portfolios to the California Independent System Operator (CAISO) to inform its Transmission Planning Process (TPP). Additionally, the Commission has ordered jurisdictional LSEs to procure resources to meet reliability needs and manage compliance with those procurement orders. </w:t>
      </w:r>
    </w:p>
    <w:p w:rsidR="00D640D3" w:rsidP="00D640D3" w:rsidRDefault="00D640D3" w14:paraId="11943AB0" w14:textId="0FD46B28">
      <w:pPr>
        <w:pStyle w:val="Standard"/>
      </w:pPr>
      <w:r w:rsidRPr="00E06863">
        <w:t xml:space="preserve">The IRP PSP portfolio has been used as the basis for the ACC’s calculations, providing the baseline assumptions against which marginal costs can be evaluated. The data the IRP uses includes existing, contracted, and planned resources that the LSEs submit to the Commission in their individual IRP Plans, plus any additional resources the Commission, through this process, finds necessary for system reliability and </w:t>
      </w:r>
      <w:r w:rsidR="00CD3FD4">
        <w:t>GHG</w:t>
      </w:r>
      <w:r w:rsidRPr="00E06863">
        <w:t xml:space="preserve"> emissions goals. In some years,</w:t>
      </w:r>
      <w:r>
        <w:t xml:space="preserve"> </w:t>
      </w:r>
      <w:r w:rsidRPr="00E06863">
        <w:t xml:space="preserve">the PSP that the Commission adopts is also transmitted to the CAISO for </w:t>
      </w:r>
      <w:r w:rsidR="0088505D">
        <w:t>its</w:t>
      </w:r>
      <w:r w:rsidRPr="00E06863" w:rsidR="0088505D">
        <w:t xml:space="preserve"> </w:t>
      </w:r>
      <w:r w:rsidRPr="00E06863">
        <w:t xml:space="preserve">TPP. In years when there is no new PSP portfolio, the Commission has various options for TPP Base Case portfolio adoption, usually including updates to the prior year’s TPP Base Case with key input updates made by staff or adjustments made based on the latest IEPR electricity demand forecast.  The Commission transmits at least one TPP portfolio (a “Base Case”) to the CAISO for use in </w:t>
      </w:r>
      <w:r w:rsidR="0088505D">
        <w:t>its</w:t>
      </w:r>
      <w:r w:rsidRPr="00E06863" w:rsidR="0088505D">
        <w:t xml:space="preserve"> </w:t>
      </w:r>
      <w:r w:rsidRPr="00E06863">
        <w:t xml:space="preserve">TPP.  </w:t>
      </w:r>
      <w:r w:rsidRPr="00E06863">
        <w:lastRenderedPageBreak/>
        <w:t xml:space="preserve">Typically, in years when the PSP is adopted by the Commission, </w:t>
      </w:r>
      <w:r w:rsidR="00D86E56">
        <w:t xml:space="preserve">the Commission’s </w:t>
      </w:r>
      <w:r w:rsidR="00F1695A">
        <w:t xml:space="preserve">Energy Division </w:t>
      </w:r>
      <w:r w:rsidRPr="00E06863">
        <w:t xml:space="preserve">uses the PSP portfolio to inform the ACC update </w:t>
      </w:r>
      <w:r w:rsidR="00F1695A">
        <w:t xml:space="preserve">staff </w:t>
      </w:r>
      <w:r w:rsidRPr="00E06863">
        <w:t>proposal.</w:t>
      </w:r>
    </w:p>
    <w:p w:rsidR="00F27E4B" w:rsidP="00D640D3" w:rsidRDefault="00D640D3" w14:paraId="3D79490F" w14:textId="6DC6CCDD">
      <w:pPr>
        <w:pStyle w:val="Standard"/>
      </w:pPr>
      <w:r>
        <w:t xml:space="preserve">D.25-11-005 determined that </w:t>
      </w:r>
      <w:r w:rsidRPr="00C1756F">
        <w:t>the IRP PSP w</w:t>
      </w:r>
      <w:r>
        <w:t>ould</w:t>
      </w:r>
      <w:r w:rsidRPr="00C1756F">
        <w:t xml:space="preserve"> not be ready by early 2026 due to the recently updated three-year cycle for the PSP,  therefore an alternative </w:t>
      </w:r>
      <w:r>
        <w:t>wa</w:t>
      </w:r>
      <w:r w:rsidRPr="00C1756F">
        <w:t>s needed.</w:t>
      </w:r>
      <w:r>
        <w:rPr>
          <w:rStyle w:val="FootnoteReference"/>
        </w:rPr>
        <w:footnoteReference w:id="5"/>
      </w:r>
      <w:r w:rsidRPr="00C1756F">
        <w:t xml:space="preserve"> </w:t>
      </w:r>
      <w:r>
        <w:t>D.25-11-005 found tha</w:t>
      </w:r>
      <w:r w:rsidRPr="00C1756F">
        <w:t xml:space="preserve">t using the IRP’s approved TPP </w:t>
      </w:r>
      <w:r w:rsidR="002A1CA7">
        <w:t>B</w:t>
      </w:r>
      <w:r w:rsidRPr="00C1756F">
        <w:t xml:space="preserve">ase </w:t>
      </w:r>
      <w:r w:rsidR="002A1CA7">
        <w:t>C</w:t>
      </w:r>
      <w:r w:rsidRPr="00C1756F">
        <w:t xml:space="preserve">ase portfolio transmitted to the CAISO </w:t>
      </w:r>
      <w:r>
        <w:t>wa</w:t>
      </w:r>
      <w:r w:rsidRPr="00C1756F">
        <w:t>s also reasonable based on the IRP’s current anticipated cycle timeline and the ACC’s timing needs.</w:t>
      </w:r>
      <w:r>
        <w:rPr>
          <w:rStyle w:val="FootnoteReference"/>
        </w:rPr>
        <w:footnoteReference w:id="6"/>
      </w:r>
      <w:r w:rsidRPr="00C1756F">
        <w:t xml:space="preserve"> </w:t>
      </w:r>
      <w:r>
        <w:t>The decision found that</w:t>
      </w:r>
      <w:r w:rsidR="002D4567">
        <w:t>:</w:t>
      </w:r>
      <w:r>
        <w:t xml:space="preserve"> </w:t>
      </w:r>
    </w:p>
    <w:p w:rsidR="009F680C" w:rsidP="00EC68B6" w:rsidRDefault="00D640D3" w14:paraId="62CFF686" w14:textId="7D121EA3">
      <w:pPr>
        <w:pStyle w:val="Standard"/>
        <w:spacing w:after="240" w:line="240" w:lineRule="auto"/>
        <w:ind w:left="720" w:firstLine="0"/>
      </w:pPr>
      <w:r>
        <w:t>[b]</w:t>
      </w:r>
      <w:r w:rsidRPr="00C1756F">
        <w:t>oth the PSP and the IRP TPP portfolio are Commission-adopted products that leverage the same stakeholder-vetted inputs, assumptions and modeling. As such, we find that both can sufficiently serve the purpose of providing the ACC with the baseline assumptions against which marginal costs can be evaluated.</w:t>
      </w:r>
      <w:r>
        <w:rPr>
          <w:rStyle w:val="FootnoteReference"/>
        </w:rPr>
        <w:footnoteReference w:id="7"/>
      </w:r>
      <w:r>
        <w:t xml:space="preserve"> </w:t>
      </w:r>
    </w:p>
    <w:p w:rsidRPr="00D640D3" w:rsidR="00D640D3" w:rsidP="00D640D3" w:rsidRDefault="00D640D3" w14:paraId="70D97FA8" w14:textId="08B354FC">
      <w:pPr>
        <w:pStyle w:val="Standard"/>
      </w:pPr>
      <w:r>
        <w:t>The decision concluded: “</w:t>
      </w:r>
      <w:r w:rsidRPr="00C1756F">
        <w:t>Moving forward, on an ongoing basis, the ACC Update cycle will use the IRP portfolio that best aligns with the timing needs of the ACC Update cycle, meaning the portfolio that was most recently adopted by the Commission.</w:t>
      </w:r>
      <w:r>
        <w:t>”</w:t>
      </w:r>
      <w:r>
        <w:rPr>
          <w:rStyle w:val="FootnoteReference"/>
        </w:rPr>
        <w:footnoteReference w:id="8"/>
      </w:r>
    </w:p>
    <w:p w:rsidR="0063491C" w:rsidP="00FE7FFA" w:rsidRDefault="006760E2" w14:paraId="4A76F445" w14:textId="6CF9E6A8">
      <w:pPr>
        <w:pStyle w:val="Heading1"/>
      </w:pPr>
      <w:bookmarkStart w:name="_Toc238810854" w:id="7"/>
      <w:r>
        <w:t>2024 Avoided Cost Calculator Decision</w:t>
      </w:r>
      <w:bookmarkEnd w:id="7"/>
    </w:p>
    <w:p w:rsidRPr="00EE61C7" w:rsidR="00EE61C7" w:rsidP="00CD3FD4" w:rsidRDefault="00CB5BC2" w14:paraId="093B4C2E" w14:textId="076EF2F6">
      <w:pPr>
        <w:pStyle w:val="Standard"/>
      </w:pPr>
      <w:r>
        <w:t>In</w:t>
      </w:r>
      <w:r w:rsidR="002A1CA7">
        <w:t xml:space="preserve"> R.22-11-013</w:t>
      </w:r>
      <w:r w:rsidRPr="00EE61C7" w:rsidR="00EE61C7">
        <w:t>, the Commission issued D.2</w:t>
      </w:r>
      <w:r w:rsidR="00EE61C7">
        <w:t>4</w:t>
      </w:r>
      <w:r w:rsidRPr="00EE61C7" w:rsidR="00EE61C7">
        <w:t>-</w:t>
      </w:r>
      <w:r w:rsidR="00EE61C7">
        <w:t>08</w:t>
      </w:r>
      <w:r w:rsidRPr="00EE61C7" w:rsidR="00EE61C7">
        <w:t>-00</w:t>
      </w:r>
      <w:r w:rsidR="00EE61C7">
        <w:t>7</w:t>
      </w:r>
      <w:r w:rsidRPr="00EE61C7" w:rsidR="00EE61C7">
        <w:t xml:space="preserve"> (202</w:t>
      </w:r>
      <w:r w:rsidR="00EE61C7">
        <w:t>4</w:t>
      </w:r>
      <w:r w:rsidRPr="00EE61C7" w:rsidR="00EE61C7">
        <w:t xml:space="preserve"> ACC Decision) to adopt changes to the ACC during the 202</w:t>
      </w:r>
      <w:r w:rsidR="00EE61C7">
        <w:t>4</w:t>
      </w:r>
      <w:r w:rsidRPr="00EE61C7" w:rsidR="00EE61C7">
        <w:t xml:space="preserve"> ACC Update Cycle. Among other things, the 202</w:t>
      </w:r>
      <w:r w:rsidR="00EE61C7">
        <w:t>4</w:t>
      </w:r>
      <w:r w:rsidRPr="00EE61C7" w:rsidR="00EE61C7">
        <w:t xml:space="preserve"> ACC Decision </w:t>
      </w:r>
      <w:r w:rsidR="001D0D72">
        <w:t>ordered that t</w:t>
      </w:r>
      <w:r w:rsidRPr="00EE61C7" w:rsidR="00EE61C7">
        <w:t xml:space="preserve">he ACC should use the IRP’s latest </w:t>
      </w:r>
      <w:r w:rsidRPr="00EE61C7" w:rsidR="00EE61C7">
        <w:lastRenderedPageBreak/>
        <w:t>adopted system plan as the baseline portfolio.</w:t>
      </w:r>
      <w:r w:rsidR="001D0D72">
        <w:rPr>
          <w:rStyle w:val="FootnoteReference"/>
        </w:rPr>
        <w:footnoteReference w:id="9"/>
      </w:r>
      <w:r w:rsidRPr="00EE61C7" w:rsidR="00EE61C7">
        <w:t xml:space="preserve"> </w:t>
      </w:r>
      <w:r w:rsidR="001D0D72">
        <w:t>The 2024 ACC Decision also concluded that t</w:t>
      </w:r>
      <w:r w:rsidRPr="00EE61C7" w:rsidR="00EE61C7">
        <w:t>he Integrated Calculation</w:t>
      </w:r>
      <w:r w:rsidR="002A1CA7">
        <w:t xml:space="preserve"> for Generation Capacity and GHG Costs (Integrated Calculation)</w:t>
      </w:r>
      <w:r w:rsidRPr="00EE61C7" w:rsidR="00EE61C7">
        <w:t xml:space="preserve"> should be adopted for the ACC.</w:t>
      </w:r>
      <w:r w:rsidR="001D0D72">
        <w:rPr>
          <w:rStyle w:val="FootnoteReference"/>
        </w:rPr>
        <w:footnoteReference w:id="10"/>
      </w:r>
      <w:r w:rsidRPr="00EE61C7" w:rsidR="00EE61C7">
        <w:t xml:space="preserve"> </w:t>
      </w:r>
      <w:r w:rsidR="00244CB2">
        <w:t xml:space="preserve">The calculation jointly derives values for both generation capacity and GHG costs for the ACC. </w:t>
      </w:r>
      <w:r w:rsidR="00CD3FD4">
        <w:t>The decision found it was reasonable</w:t>
      </w:r>
      <w:r w:rsidRPr="00EE61C7" w:rsidR="00EE61C7">
        <w:t xml:space="preserve"> to include only utility solar and lithium-ion energy storage resources in the Integrated Calculation</w:t>
      </w:r>
      <w:r w:rsidR="00CD3FD4">
        <w:t xml:space="preserve">, and </w:t>
      </w:r>
      <w:r w:rsidR="002A4C73">
        <w:t xml:space="preserve">also found </w:t>
      </w:r>
      <w:r w:rsidR="00CD3FD4">
        <w:t xml:space="preserve">it was </w:t>
      </w:r>
      <w:r w:rsidRPr="00EE61C7" w:rsidR="00EE61C7">
        <w:t xml:space="preserve">reasonable to exclude resources that are procured to satisfy the Mid-Term Reliability Procurement Orders adopted in R.20-05-003 from the Integrated Calculation model. </w:t>
      </w:r>
    </w:p>
    <w:p w:rsidRPr="00EE61C7" w:rsidR="00EE61C7" w:rsidP="002A1CA7" w:rsidRDefault="002A1CA7" w14:paraId="7CB84A4C" w14:textId="5CD3F73E">
      <w:pPr>
        <w:pStyle w:val="Standard"/>
      </w:pPr>
      <w:r>
        <w:t>Regarding</w:t>
      </w:r>
      <w:r w:rsidR="00CD3FD4">
        <w:t xml:space="preserve"> calculating avoided generation capacity costs, the decision found that a</w:t>
      </w:r>
      <w:r w:rsidRPr="00EE61C7" w:rsidR="00EE61C7">
        <w:t xml:space="preserve"> minimum level for the ACC model should be set at the fixed operations and maintenance costs </w:t>
      </w:r>
      <w:r>
        <w:t xml:space="preserve">(O&amp;M) </w:t>
      </w:r>
      <w:r w:rsidRPr="00EE61C7" w:rsidR="00EE61C7">
        <w:t>of existing gas generation</w:t>
      </w:r>
      <w:r w:rsidR="00CD3FD4">
        <w:t xml:space="preserve"> and a</w:t>
      </w:r>
      <w:r w:rsidRPr="00EE61C7" w:rsidR="00EE61C7">
        <w:t xml:space="preserve"> minimum level of avoided GHG costs for the ACC model should be set at the cap-and-</w:t>
      </w:r>
      <w:r w:rsidR="00AE0DC7">
        <w:t>invest</w:t>
      </w:r>
      <w:r w:rsidRPr="00EE61C7" w:rsidR="00EE61C7">
        <w:t xml:space="preserve"> price forecasts. The </w:t>
      </w:r>
      <w:r w:rsidR="007B32A1">
        <w:t xml:space="preserve">decision also defined </w:t>
      </w:r>
      <w:r w:rsidRPr="00EE61C7" w:rsidR="00EE61C7">
        <w:t xml:space="preserve">alternative storage dispatch logic </w:t>
      </w:r>
      <w:r w:rsidR="007B32A1">
        <w:t>to</w:t>
      </w:r>
      <w:r w:rsidRPr="00EE61C7" w:rsidR="00EE61C7">
        <w:t xml:space="preserve"> be used in </w:t>
      </w:r>
      <w:r w:rsidR="007B32A1">
        <w:t xml:space="preserve">the </w:t>
      </w:r>
      <w:r w:rsidRPr="007B32A1" w:rsidR="007B32A1">
        <w:t xml:space="preserve">Strategic Energy </w:t>
      </w:r>
      <w:r w:rsidR="045288A9">
        <w:t>&amp;</w:t>
      </w:r>
      <w:r w:rsidR="007B32A1">
        <w:t xml:space="preserve"> </w:t>
      </w:r>
      <w:r w:rsidRPr="007B32A1" w:rsidR="007B32A1">
        <w:t xml:space="preserve">Risk Valuation Model </w:t>
      </w:r>
      <w:r w:rsidR="007B32A1">
        <w:t>(</w:t>
      </w:r>
      <w:r w:rsidRPr="00EE61C7" w:rsidR="00EE61C7">
        <w:t>SERVM</w:t>
      </w:r>
      <w:r w:rsidR="007B32A1">
        <w:t>)</w:t>
      </w:r>
      <w:r w:rsidRPr="00EE61C7" w:rsidR="00EE61C7">
        <w:t xml:space="preserve"> to calculate the hourly generation capacity allocation prior to input in the ACC model</w:t>
      </w:r>
      <w:r w:rsidR="007B32A1">
        <w:t xml:space="preserve"> and reasonable benchmarking and calibration for the SERVM model.</w:t>
      </w:r>
    </w:p>
    <w:p w:rsidR="006760E2" w:rsidP="00C812F1" w:rsidRDefault="006760E2" w14:paraId="3D16FE52" w14:textId="2061ADA2">
      <w:pPr>
        <w:pStyle w:val="Heading1"/>
      </w:pPr>
      <w:bookmarkStart w:name="_Toc238810855" w:id="8"/>
      <w:r>
        <w:t>Staff Proposal</w:t>
      </w:r>
      <w:bookmarkEnd w:id="8"/>
    </w:p>
    <w:p w:rsidR="0000455C" w:rsidP="00662F3E" w:rsidRDefault="00E02FF0" w14:paraId="3EBBE738" w14:textId="631F92BB">
      <w:pPr>
        <w:pStyle w:val="Standard"/>
      </w:pPr>
      <w:r w:rsidRPr="00E02FF0">
        <w:t>The Commission’s Energy Division produced a staff proposal in which staff propose</w:t>
      </w:r>
      <w:r w:rsidR="00A22B7A">
        <w:t>d</w:t>
      </w:r>
      <w:r w:rsidRPr="00E02FF0">
        <w:t xml:space="preserve"> </w:t>
      </w:r>
      <w:r w:rsidR="00C71BF5">
        <w:t>nine</w:t>
      </w:r>
      <w:r w:rsidRPr="00E02FF0">
        <w:t xml:space="preserve"> major updates for the 202</w:t>
      </w:r>
      <w:r>
        <w:t>6</w:t>
      </w:r>
      <w:r w:rsidRPr="00E02FF0">
        <w:t xml:space="preserve"> ACC (Staff Proposal). The Staff </w:t>
      </w:r>
      <w:r w:rsidRPr="00E02FF0">
        <w:lastRenderedPageBreak/>
        <w:t>Proposal was issued for party comments in an assigned ALJ ruling</w:t>
      </w:r>
      <w:r>
        <w:t xml:space="preserve"> on April 23, 2026</w:t>
      </w:r>
      <w:r w:rsidRPr="00E02FF0">
        <w:t xml:space="preserve">. </w:t>
      </w:r>
      <w:r w:rsidR="00A22B7A">
        <w:t xml:space="preserve">A </w:t>
      </w:r>
      <w:r w:rsidR="00641E42">
        <w:t>R</w:t>
      </w:r>
      <w:r w:rsidR="00A22B7A">
        <w:t>evised Staff Proposal was issued on June 5, 2026.</w:t>
      </w:r>
      <w:r w:rsidR="0000455C">
        <w:rPr>
          <w:rStyle w:val="FootnoteReference"/>
        </w:rPr>
        <w:footnoteReference w:id="11"/>
      </w:r>
    </w:p>
    <w:p w:rsidR="00662F3E" w:rsidP="00662F3E" w:rsidRDefault="00E02FF0" w14:paraId="3866905F" w14:textId="6134B977">
      <w:pPr>
        <w:pStyle w:val="Standard"/>
      </w:pPr>
      <w:r w:rsidRPr="00E02FF0">
        <w:t xml:space="preserve">The proposed updates </w:t>
      </w:r>
      <w:r w:rsidR="00634122">
        <w:t xml:space="preserve">in the </w:t>
      </w:r>
      <w:r w:rsidR="00641E42">
        <w:t>R</w:t>
      </w:r>
      <w:r w:rsidR="00634122">
        <w:t xml:space="preserve">evised Staff Proposal </w:t>
      </w:r>
      <w:r w:rsidR="00A22B7A">
        <w:t>a</w:t>
      </w:r>
      <w:r w:rsidRPr="00E02FF0">
        <w:t>re:</w:t>
      </w:r>
    </w:p>
    <w:p w:rsidR="00E02FF0" w:rsidP="000A3DBB" w:rsidRDefault="00E02FF0" w14:paraId="5A687A49" w14:textId="694B6856">
      <w:pPr>
        <w:pStyle w:val="Standard"/>
        <w:numPr>
          <w:ilvl w:val="0"/>
          <w:numId w:val="25"/>
        </w:numPr>
        <w:spacing w:after="120" w:line="240" w:lineRule="auto"/>
        <w:ind w:left="1080" w:right="1440"/>
      </w:pPr>
      <w:r>
        <w:t>Add a Single Value to GHG Emission Reductions</w:t>
      </w:r>
      <w:r w:rsidR="008D5B1F">
        <w:t>: Staff recommends</w:t>
      </w:r>
      <w:r w:rsidR="007E4F61">
        <w:t xml:space="preserve"> applying a single electricity-based value to represent both electricity and natural gas GHG values in the ACC.</w:t>
      </w:r>
      <w:r w:rsidR="00634122">
        <w:rPr>
          <w:rStyle w:val="FootnoteReference"/>
        </w:rPr>
        <w:footnoteReference w:id="12"/>
      </w:r>
    </w:p>
    <w:p w:rsidR="00E02FF0" w:rsidP="000A3DBB" w:rsidRDefault="00E02FF0" w14:paraId="75281AC8" w14:textId="0698FBE3">
      <w:pPr>
        <w:pStyle w:val="Standard"/>
        <w:numPr>
          <w:ilvl w:val="0"/>
          <w:numId w:val="25"/>
        </w:numPr>
        <w:spacing w:after="120" w:line="240" w:lineRule="auto"/>
        <w:ind w:left="1080" w:right="1440"/>
      </w:pPr>
      <w:r>
        <w:t>Remove the GHG Rebalancing Component</w:t>
      </w:r>
      <w:r w:rsidR="008D5B1F">
        <w:t xml:space="preserve">: Staff </w:t>
      </w:r>
      <w:r w:rsidR="007E4F61">
        <w:t xml:space="preserve">advises that a GHG rebalancing component is no longer necessary with the </w:t>
      </w:r>
      <w:r w:rsidR="00804383">
        <w:t>adoption</w:t>
      </w:r>
      <w:r w:rsidR="007E4F61">
        <w:t xml:space="preserve"> of a single GHG emissions reductions value.</w:t>
      </w:r>
    </w:p>
    <w:p w:rsidRPr="00511B49" w:rsidR="00E02FF0" w:rsidP="000A3DBB" w:rsidRDefault="00E02FF0" w14:paraId="1E9869D0" w14:textId="0C41B25C">
      <w:pPr>
        <w:pStyle w:val="Standard"/>
        <w:numPr>
          <w:ilvl w:val="0"/>
          <w:numId w:val="25"/>
        </w:numPr>
        <w:spacing w:after="120" w:line="240" w:lineRule="auto"/>
        <w:ind w:left="1080" w:right="1440"/>
      </w:pPr>
      <w:r w:rsidRPr="00511B49">
        <w:t>Cap Total GHG Value at the Societal Cost of Carbon</w:t>
      </w:r>
      <w:r w:rsidR="00E344E6">
        <w:t xml:space="preserve"> (SCC)</w:t>
      </w:r>
      <w:r w:rsidRPr="00511B49" w:rsidR="008D5B1F">
        <w:t>: Staff recommend</w:t>
      </w:r>
      <w:r w:rsidRPr="00511B49" w:rsidR="00A22B7A">
        <w:t>s</w:t>
      </w:r>
      <w:r w:rsidRPr="00511B49" w:rsidR="007E4F61">
        <w:t xml:space="preserve"> implementing a cap on the GHG value in both electric and gas models equal to the high societal cost of carbon adopted in the Societal Cost Test.</w:t>
      </w:r>
    </w:p>
    <w:p w:rsidR="00E02FF0" w:rsidP="000A3DBB" w:rsidRDefault="00E02FF0" w14:paraId="58200D7A" w14:textId="041E33A7">
      <w:pPr>
        <w:pStyle w:val="Standard"/>
        <w:numPr>
          <w:ilvl w:val="0"/>
          <w:numId w:val="25"/>
        </w:numPr>
        <w:spacing w:after="120" w:line="240" w:lineRule="auto"/>
        <w:ind w:left="1080" w:right="1440"/>
      </w:pPr>
      <w:r>
        <w:t>Refine the Integrated Calculation of Generation Capacity and GHG Avoided Costs</w:t>
      </w:r>
      <w:r w:rsidR="00133E5C">
        <w:t xml:space="preserve"> (Integrated Calculation)</w:t>
      </w:r>
      <w:r w:rsidR="008D5B1F">
        <w:t xml:space="preserve">: Staff </w:t>
      </w:r>
      <w:r w:rsidR="00133E5C">
        <w:t>propose</w:t>
      </w:r>
      <w:r w:rsidR="00A22B7A">
        <w:t>s</w:t>
      </w:r>
      <w:r w:rsidR="00133E5C">
        <w:t xml:space="preserve"> a simplified implementation of the Integrated Calculation to address transparency and sensitivity to minor inconsistencies between RESOLVE and SERVM models.</w:t>
      </w:r>
    </w:p>
    <w:p w:rsidR="00E02FF0" w:rsidP="000A3DBB" w:rsidRDefault="00E02FF0" w14:paraId="261138F3" w14:textId="5795D54D">
      <w:pPr>
        <w:pStyle w:val="Standard"/>
        <w:numPr>
          <w:ilvl w:val="0"/>
          <w:numId w:val="25"/>
        </w:numPr>
        <w:spacing w:after="120" w:line="240" w:lineRule="auto"/>
        <w:ind w:left="1080" w:right="1440"/>
      </w:pPr>
      <w:r>
        <w:t xml:space="preserve">Use Loss of Load Hours </w:t>
      </w:r>
      <w:r w:rsidR="00667741">
        <w:t xml:space="preserve">(LOLH) </w:t>
      </w:r>
      <w:r>
        <w:t>Rather than</w:t>
      </w:r>
      <w:r w:rsidR="00667741">
        <w:t xml:space="preserve"> Expected Unserved Energy (</w:t>
      </w:r>
      <w:r>
        <w:t>EUE</w:t>
      </w:r>
      <w:r w:rsidR="00667741">
        <w:t>)</w:t>
      </w:r>
      <w:r>
        <w:t xml:space="preserve"> for Allocation Factors</w:t>
      </w:r>
      <w:r w:rsidR="00C85E13">
        <w:t>: S</w:t>
      </w:r>
      <w:r w:rsidR="008D5B1F">
        <w:t xml:space="preserve">taff </w:t>
      </w:r>
      <w:r w:rsidR="00667741">
        <w:t xml:space="preserve">proposes using LOLH as the basis for the ACC capacity allocation factors to measure the frequency of loss of load events. </w:t>
      </w:r>
    </w:p>
    <w:p w:rsidR="00E02FF0" w:rsidP="000A3DBB" w:rsidRDefault="00E02FF0" w14:paraId="7DC29957" w14:textId="0B049481">
      <w:pPr>
        <w:pStyle w:val="Standard"/>
        <w:numPr>
          <w:ilvl w:val="0"/>
          <w:numId w:val="25"/>
        </w:numPr>
        <w:spacing w:after="120" w:line="240" w:lineRule="auto"/>
        <w:ind w:left="1080" w:right="1440"/>
      </w:pPr>
      <w:r>
        <w:t>Use Energy Prices Rather than Temperature for High Generation Capacity Value</w:t>
      </w:r>
      <w:r w:rsidR="008D5B1F">
        <w:t>: Staff recommends</w:t>
      </w:r>
      <w:r w:rsidR="00667741">
        <w:t xml:space="preserve"> using </w:t>
      </w:r>
      <w:r w:rsidR="00667741">
        <w:lastRenderedPageBreak/>
        <w:t>energy prices rather than temperature to calculate the high generation capacity value to reflect increased electricity use in both summer and winter months.</w:t>
      </w:r>
    </w:p>
    <w:p w:rsidR="00E02FF0" w:rsidP="000A3DBB" w:rsidRDefault="00E02FF0" w14:paraId="2D81A15B" w14:textId="74F8C0FC">
      <w:pPr>
        <w:pStyle w:val="Standard"/>
        <w:numPr>
          <w:ilvl w:val="0"/>
          <w:numId w:val="25"/>
        </w:numPr>
        <w:spacing w:line="240" w:lineRule="auto"/>
        <w:ind w:left="1080" w:right="1440"/>
      </w:pPr>
      <w:r>
        <w:t>Represent Reliability Risk Difference of Weekdays Versus Weekends in Capacity Value Allocation</w:t>
      </w:r>
      <w:r w:rsidR="008D5B1F">
        <w:t>: Staff recommends</w:t>
      </w:r>
      <w:r w:rsidR="00667741">
        <w:t xml:space="preserve"> allocating days with non-zero </w:t>
      </w:r>
      <w:r w:rsidR="00804383">
        <w:t>reliability</w:t>
      </w:r>
      <w:r w:rsidR="00667741">
        <w:t xml:space="preserve"> risk to weekends and weekdays to align with the final capacity </w:t>
      </w:r>
      <w:r w:rsidR="00804383">
        <w:t>value</w:t>
      </w:r>
      <w:r w:rsidR="00667741">
        <w:t xml:space="preserve"> allocation.</w:t>
      </w:r>
    </w:p>
    <w:p w:rsidR="00E02FF0" w:rsidP="000A3DBB" w:rsidRDefault="00804383" w14:paraId="7630151E" w14:textId="7C42864E">
      <w:pPr>
        <w:pStyle w:val="Standard"/>
        <w:numPr>
          <w:ilvl w:val="0"/>
          <w:numId w:val="25"/>
        </w:numPr>
        <w:spacing w:after="120" w:line="240" w:lineRule="auto"/>
        <w:ind w:left="1080" w:right="1440"/>
      </w:pPr>
      <w:r>
        <w:t>Refine</w:t>
      </w:r>
      <w:r w:rsidR="00E02FF0">
        <w:t xml:space="preserve"> Hourly Allocation of Transmission Capacity Value</w:t>
      </w:r>
      <w:r w:rsidR="008D5B1F">
        <w:t>: Staff recommends</w:t>
      </w:r>
      <w:r w:rsidR="00667741">
        <w:t xml:space="preserve"> updating the peak capacity allocation factors (PCAF) calculations to use Integrated Energy Policy Report (IEPR) load </w:t>
      </w:r>
      <w:r>
        <w:t>forecast</w:t>
      </w:r>
      <w:r w:rsidR="0008520D">
        <w:t>s</w:t>
      </w:r>
      <w:r w:rsidR="00667741">
        <w:t xml:space="preserve"> for future years instead of historical loads.</w:t>
      </w:r>
    </w:p>
    <w:p w:rsidRPr="00662F3E" w:rsidR="00130378" w:rsidP="000A3DBB" w:rsidRDefault="00130378" w14:paraId="6034882E" w14:textId="4AAF39CD">
      <w:pPr>
        <w:pStyle w:val="Standard"/>
        <w:numPr>
          <w:ilvl w:val="0"/>
          <w:numId w:val="25"/>
        </w:numPr>
        <w:spacing w:after="120" w:line="240" w:lineRule="auto"/>
        <w:ind w:left="1080" w:right="1440"/>
      </w:pPr>
      <w:r>
        <w:t xml:space="preserve">Align </w:t>
      </w:r>
      <w:r w:rsidR="0008520D">
        <w:t>T</w:t>
      </w:r>
      <w:r>
        <w:t xml:space="preserve">ransmission </w:t>
      </w:r>
      <w:r w:rsidR="0008520D">
        <w:t>A</w:t>
      </w:r>
      <w:r>
        <w:t xml:space="preserve">voided </w:t>
      </w:r>
      <w:r w:rsidR="0008520D">
        <w:t>C</w:t>
      </w:r>
      <w:r>
        <w:t xml:space="preserve">ost </w:t>
      </w:r>
      <w:r w:rsidR="0008520D">
        <w:t>C</w:t>
      </w:r>
      <w:r>
        <w:t xml:space="preserve">alculations Across Utilities: Staff recommends using only the Discounted Total Investment Method (DTIM) to calculate marginal transmission costs for </w:t>
      </w:r>
      <w:r w:rsidR="00785364">
        <w:t>all electric utilities.</w:t>
      </w:r>
    </w:p>
    <w:p w:rsidR="006760E2" w:rsidP="00FE7FFA" w:rsidRDefault="006760E2" w14:paraId="50D79020" w14:textId="58D746BF">
      <w:pPr>
        <w:pStyle w:val="Heading1"/>
      </w:pPr>
      <w:bookmarkStart w:name="_Toc238810856" w:id="9"/>
      <w:r>
        <w:t>Proceeding History</w:t>
      </w:r>
      <w:bookmarkEnd w:id="9"/>
    </w:p>
    <w:p w:rsidR="00A22B7A" w:rsidP="00481B1A" w:rsidRDefault="00481B1A" w14:paraId="342CA7FD" w14:textId="05DEDC8E">
      <w:pPr>
        <w:pStyle w:val="Standard"/>
      </w:pPr>
      <w:r w:rsidRPr="00481B1A">
        <w:t>On November 23, 2022, the Commission issued Order Instituting Rulemaking 22-11-013 to achieve consistency of cost effectiveness assessments, improve data access and use, and consider equipment performance standards for DER customer programs.</w:t>
      </w:r>
      <w:r>
        <w:rPr>
          <w:rStyle w:val="FootnoteReference"/>
        </w:rPr>
        <w:footnoteReference w:id="13"/>
      </w:r>
      <w:r w:rsidRPr="00481B1A">
        <w:t xml:space="preserve">  R.22-11-013, the successor to R.14-10-003, provides the procedural framework for advancing the vision articulated in the Customer </w:t>
      </w:r>
      <w:r w:rsidRPr="00481B1A">
        <w:lastRenderedPageBreak/>
        <w:t>Programs Track of the Commission’s DER Action Plan 2.0. The goal of the DER Action Plan, which R.22-11-013 helps achieve, is to enable all customers to effectively manage their energy usage in a manner that facilitates equitable</w:t>
      </w:r>
      <w:r w:rsidR="000A6F99">
        <w:t xml:space="preserve"> </w:t>
      </w:r>
      <w:r w:rsidRPr="000A6F99" w:rsidR="000A6F99">
        <w:t xml:space="preserve">participation </w:t>
      </w:r>
      <w:r w:rsidR="00244CB2">
        <w:t xml:space="preserve">in DER resources </w:t>
      </w:r>
      <w:r w:rsidRPr="000A6F99" w:rsidR="000A6F99">
        <w:t xml:space="preserve">and </w:t>
      </w:r>
      <w:r w:rsidR="00244CB2">
        <w:t xml:space="preserve">equitable </w:t>
      </w:r>
      <w:r w:rsidRPr="000A6F99" w:rsidR="000A6F99">
        <w:t xml:space="preserve">distribution </w:t>
      </w:r>
      <w:r w:rsidR="00244CB2">
        <w:t xml:space="preserve">of DER </w:t>
      </w:r>
      <w:r w:rsidRPr="000A6F99" w:rsidR="000A6F99">
        <w:t>benefits. The DER Action Plan also aims to align activities across evolving rate design and load flexibility, distribution planning, and IRP objectives.</w:t>
      </w:r>
    </w:p>
    <w:p w:rsidR="00481B1A" w:rsidP="00481B1A" w:rsidRDefault="000A6F99" w14:paraId="44A1DE1B" w14:textId="79F99174">
      <w:pPr>
        <w:pStyle w:val="Standard"/>
      </w:pPr>
      <w:r w:rsidRPr="000A6F99">
        <w:t xml:space="preserve">On May 31, 2023, the assigned </w:t>
      </w:r>
      <w:r w:rsidR="009F242D">
        <w:t>c</w:t>
      </w:r>
      <w:r w:rsidRPr="000A6F99">
        <w:t xml:space="preserve">ommissioner issued a Scoping Memo and Ruling that bifurcated this proceeding into two phases. Phase One focuses on issues related to </w:t>
      </w:r>
      <w:r w:rsidR="00A22B7A">
        <w:t xml:space="preserve">the </w:t>
      </w:r>
      <w:r w:rsidRPr="000A6F99">
        <w:t xml:space="preserve">cost effectiveness of customer DER programs, including updating the ACC, and policies on improving data usage and access to help customers make informed decisions about adoption, evaluation, and utilization of DERs. Phase Two focuses on developing equipment performance standards. </w:t>
      </w:r>
      <w:r w:rsidR="009F242D">
        <w:t xml:space="preserve">The Scoping Memo and Ruling described two tracks for </w:t>
      </w:r>
      <w:r w:rsidRPr="000A6F99">
        <w:t>Phase One. Track One examines how to make cost effectiveness assessments more accurate and consistent across DER programs. Track Two examines the rules and requirements to improve data access to facilitate adoption, evaluation, and utilization of DERs by customers and other entities and to improve DER integration with the grid.</w:t>
      </w:r>
    </w:p>
    <w:p w:rsidR="00662F3E" w:rsidP="00481B1A" w:rsidRDefault="00662F3E" w14:paraId="531ED75A" w14:textId="6D5254A7">
      <w:pPr>
        <w:pStyle w:val="Standard"/>
      </w:pPr>
      <w:r>
        <w:t>As described earlier, D.24-08-007 adopted the 2024 ACC Update, while D.25-11-005 adopted a modified timeline and budget for the biennial ACC updates.</w:t>
      </w:r>
    </w:p>
    <w:p w:rsidR="00794A26" w:rsidP="00481B1A" w:rsidRDefault="00794A26" w14:paraId="38B21B14" w14:textId="13A496CB">
      <w:pPr>
        <w:pStyle w:val="Standard"/>
      </w:pPr>
      <w:r>
        <w:t xml:space="preserve">An Amended Assigned Commissioner’s Scoping Ruling was issued on March 3, 2026 adding a Track Three to </w:t>
      </w:r>
      <w:r w:rsidR="009F242D">
        <w:t xml:space="preserve">Phase One of </w:t>
      </w:r>
      <w:r>
        <w:t>R.22-11-013 to examine ACC guiding principles.</w:t>
      </w:r>
      <w:r w:rsidR="0077798A">
        <w:t xml:space="preserve"> </w:t>
      </w:r>
    </w:p>
    <w:p w:rsidR="0077798A" w:rsidP="00481B1A" w:rsidRDefault="0077798A" w14:paraId="41F86CB4" w14:textId="3D7799C2">
      <w:pPr>
        <w:pStyle w:val="Standard"/>
      </w:pPr>
      <w:r>
        <w:t xml:space="preserve">An ALJ Ruling was issued on April 23, 2026 requesting party comment on the 2026 ACC Staff Proposal (Staff Proposal). On May 13, 2026, opening </w:t>
      </w:r>
      <w:r>
        <w:lastRenderedPageBreak/>
        <w:t>comments on the Staff Proposal were filed by</w:t>
      </w:r>
      <w:r w:rsidR="00130A91">
        <w:t xml:space="preserve"> the</w:t>
      </w:r>
      <w:r>
        <w:t xml:space="preserve"> Association of Bay Area Governments for the San Francisco Bay Area Regional Energy Networks (BayREN) and the County of Ventura for the Tri-County Regional Energy Network (3C-REN) filing jointly, Southern California Edison </w:t>
      </w:r>
      <w:r w:rsidR="00821159">
        <w:t xml:space="preserve">Company </w:t>
      </w:r>
      <w:r>
        <w:t xml:space="preserve">(SCE), Pacific Gas and Electric Company (PG&amp;E), Southern California Gas Company (SoCalGas), California Large Energy Consumers Association (CLECA), San Diego Gas &amp; Electric Company (SDG&amp;E), the Public Advocates Office at the California Public Utilities Commission (Cal Advocates), the Solar Energy Industries Association (SEIA), the Coalition of California Utility Employees (CUE), Small Business Utility Advocates (SBUA), and the Natural Resources </w:t>
      </w:r>
      <w:r w:rsidR="00641E42">
        <w:t>Defense</w:t>
      </w:r>
      <w:r>
        <w:t xml:space="preserve"> Council (NRDC). On May 18, 2026, reply comments on the Staff Proposal were filed by BayREN and 3-C Ren filing jointly, PG&amp;E, SCE, CUE, SEIA, SDG&amp;E, SoCalGas, and CLECA.</w:t>
      </w:r>
    </w:p>
    <w:p w:rsidR="004D6226" w:rsidP="00756B59" w:rsidRDefault="0077798A" w14:paraId="134668B7" w14:textId="23D7B81C">
      <w:pPr>
        <w:pStyle w:val="Standard"/>
      </w:pPr>
      <w:r>
        <w:t xml:space="preserve">On June 5, 2026, an ALJ Ruling </w:t>
      </w:r>
      <w:r w:rsidR="00130A91">
        <w:t xml:space="preserve">was issued </w:t>
      </w:r>
      <w:r>
        <w:t xml:space="preserve">seeking party comment on a revised 2026 ACC Staff Proposal (Revised Staff Proposal). On June 18, 2026, opening comments on the Revised Staff Proposal were filed by Clean Coalition, SBUA, PG&amp;E, NRDC, and Cal Advocates. On June 19, 2026, </w:t>
      </w:r>
      <w:r w:rsidR="00821159">
        <w:t>opening</w:t>
      </w:r>
      <w:r>
        <w:t xml:space="preserve"> comments on the Revised Staff Proposal were filed by BayREN and 3-C Ren filing jointly, SoCalGas, SEIA, CLECA, SDG&amp;E, SCE, and </w:t>
      </w:r>
      <w:r w:rsidR="00AA1370">
        <w:t>the Southern California Regional Energy Network (</w:t>
      </w:r>
      <w:r>
        <w:t>SoCalREN</w:t>
      </w:r>
      <w:r w:rsidR="00AA1370">
        <w:t>)</w:t>
      </w:r>
      <w:r>
        <w:t>. On June 26, 2026, reply comments on the Revised Staff Proposal were filed by SEIA, CLECA, PG&amp;E, and SCE.</w:t>
      </w:r>
    </w:p>
    <w:p w:rsidR="00FE6DA8" w:rsidP="00FE7FFA" w:rsidRDefault="00FE6DA8" w14:paraId="434053E0" w14:textId="77777777">
      <w:pPr>
        <w:pStyle w:val="Heading1"/>
      </w:pPr>
      <w:bookmarkStart w:name="_Toc238810857" w:id="10"/>
      <w:r>
        <w:t>Submission Date</w:t>
      </w:r>
      <w:bookmarkEnd w:id="10"/>
    </w:p>
    <w:p w:rsidRPr="00481B1A" w:rsidR="00FE6DA8" w:rsidP="00FE6DA8" w:rsidRDefault="00FE6DA8" w14:paraId="091AC12F" w14:textId="4B299960">
      <w:pPr>
        <w:pStyle w:val="Standard"/>
      </w:pPr>
      <w:r w:rsidRPr="00FF0265">
        <w:t xml:space="preserve">This matter was submitted on </w:t>
      </w:r>
      <w:r w:rsidR="00130A91">
        <w:t xml:space="preserve">June 26, </w:t>
      </w:r>
      <w:r w:rsidR="006615DF">
        <w:t xml:space="preserve">2026 </w:t>
      </w:r>
      <w:r w:rsidRPr="00FF0265" w:rsidR="006615DF">
        <w:t>upon</w:t>
      </w:r>
      <w:r w:rsidRPr="00FF0265">
        <w:t xml:space="preserve"> </w:t>
      </w:r>
      <w:r w:rsidR="00130A91">
        <w:t xml:space="preserve">submission of reply comments on the Revised Staff Proposal. </w:t>
      </w:r>
    </w:p>
    <w:p w:rsidR="006760E2" w:rsidP="00FE7FFA" w:rsidRDefault="006760E2" w14:paraId="73D2C16D" w14:textId="7A61F372">
      <w:pPr>
        <w:pStyle w:val="Heading1"/>
      </w:pPr>
      <w:bookmarkStart w:name="_Toc238810858" w:id="11"/>
      <w:r>
        <w:t>Issues Before the Commission</w:t>
      </w:r>
      <w:bookmarkEnd w:id="11"/>
    </w:p>
    <w:p w:rsidR="00917BA8" w:rsidP="00917BA8" w:rsidRDefault="00917BA8" w14:paraId="001D3DC5" w14:textId="1C87581E">
      <w:pPr>
        <w:pStyle w:val="Standard"/>
      </w:pPr>
      <w:r w:rsidRPr="00917BA8">
        <w:t xml:space="preserve">The issue considered in this decision </w:t>
      </w:r>
      <w:r w:rsidR="00634122">
        <w:t>is</w:t>
      </w:r>
      <w:r w:rsidRPr="00917BA8">
        <w:t>:</w:t>
      </w:r>
    </w:p>
    <w:p w:rsidR="00917BA8" w:rsidP="00FE7FFA" w:rsidRDefault="00917BA8" w14:paraId="44083BF9" w14:textId="77777777">
      <w:pPr>
        <w:pStyle w:val="ListAlpha"/>
        <w:ind w:right="1440"/>
      </w:pPr>
      <w:r w:rsidRPr="00917BA8">
        <w:lastRenderedPageBreak/>
        <w:t xml:space="preserve">What ACC updates should the Commission adopt, beginning with the 2026 ACC? </w:t>
      </w:r>
    </w:p>
    <w:p w:rsidR="00917BA8" w:rsidP="00917BA8" w:rsidRDefault="00917BA8" w14:paraId="5A31C307" w14:textId="4360EA5A">
      <w:pPr>
        <w:pStyle w:val="Standard"/>
        <w:rPr>
          <w:szCs w:val="26"/>
        </w:rPr>
      </w:pPr>
      <w:r>
        <w:rPr>
          <w:szCs w:val="26"/>
        </w:rPr>
        <w:t>This decision adopts ACC updates, beginning with the 2026 ACC.</w:t>
      </w:r>
      <w:r w:rsidR="00A22B7A">
        <w:rPr>
          <w:szCs w:val="26"/>
        </w:rPr>
        <w:t xml:space="preserve"> T</w:t>
      </w:r>
      <w:r>
        <w:rPr>
          <w:szCs w:val="26"/>
        </w:rPr>
        <w:t xml:space="preserve">he Commission will continue to </w:t>
      </w:r>
      <w:r w:rsidR="00A22B7A">
        <w:rPr>
          <w:szCs w:val="26"/>
        </w:rPr>
        <w:t xml:space="preserve">consider DER data access and privacy </w:t>
      </w:r>
      <w:r>
        <w:rPr>
          <w:szCs w:val="26"/>
        </w:rPr>
        <w:t xml:space="preserve">issues </w:t>
      </w:r>
      <w:r w:rsidR="00A22B7A">
        <w:rPr>
          <w:szCs w:val="26"/>
        </w:rPr>
        <w:t>in Track Two</w:t>
      </w:r>
      <w:r w:rsidR="00F24B1C">
        <w:rPr>
          <w:szCs w:val="26"/>
        </w:rPr>
        <w:t xml:space="preserve"> of this proceeding</w:t>
      </w:r>
      <w:r w:rsidR="00A22B7A">
        <w:rPr>
          <w:szCs w:val="26"/>
        </w:rPr>
        <w:t xml:space="preserve"> and ACC guiding principles in Track Three of</w:t>
      </w:r>
      <w:r>
        <w:rPr>
          <w:szCs w:val="26"/>
        </w:rPr>
        <w:t xml:space="preserve"> this proceeding.</w:t>
      </w:r>
    </w:p>
    <w:p w:rsidRPr="00917BA8" w:rsidR="00634122" w:rsidP="00917BA8" w:rsidRDefault="00634122" w14:paraId="636ACEDA" w14:textId="1DB91F56">
      <w:pPr>
        <w:pStyle w:val="Standard"/>
      </w:pPr>
      <w:r>
        <w:rPr>
          <w:szCs w:val="26"/>
        </w:rPr>
        <w:t xml:space="preserve">The following sections describe each proposed change to the ACC in the </w:t>
      </w:r>
      <w:r w:rsidR="00CD43A3">
        <w:rPr>
          <w:szCs w:val="26"/>
        </w:rPr>
        <w:t xml:space="preserve">Staff Proposal and </w:t>
      </w:r>
      <w:r w:rsidR="00422DC4">
        <w:rPr>
          <w:szCs w:val="26"/>
        </w:rPr>
        <w:t xml:space="preserve">Revised </w:t>
      </w:r>
      <w:r>
        <w:rPr>
          <w:szCs w:val="26"/>
        </w:rPr>
        <w:t>Staff Proposal, party comments and proposals on the proposed change, and a discussion of the Commission’s determination regarding the proposed change.</w:t>
      </w:r>
    </w:p>
    <w:p w:rsidR="006760E2" w:rsidP="00FE7FFA" w:rsidRDefault="002105F5" w14:paraId="58CC3E21" w14:textId="56908387">
      <w:pPr>
        <w:pStyle w:val="Heading1"/>
      </w:pPr>
      <w:bookmarkStart w:name="_Toc238810859" w:id="12"/>
      <w:r>
        <w:t>Implementin</w:t>
      </w:r>
      <w:r w:rsidR="0073652D">
        <w:t>g</w:t>
      </w:r>
      <w:r w:rsidR="00F37995">
        <w:t xml:space="preserve"> a Single </w:t>
      </w:r>
      <w:r w:rsidR="00640B85">
        <w:t xml:space="preserve">Electricity-Based </w:t>
      </w:r>
      <w:r w:rsidR="00F37995">
        <w:t>Value to GHG Emission Reductions</w:t>
      </w:r>
      <w:bookmarkEnd w:id="12"/>
    </w:p>
    <w:p w:rsidR="00917BA8" w:rsidP="00917BA8" w:rsidRDefault="0073652D" w14:paraId="42DDBF1B" w14:textId="6EB1460D">
      <w:pPr>
        <w:pStyle w:val="Standard"/>
      </w:pPr>
      <w:r>
        <w:t>The Staff Proposal recommends using a single electricity-based value to calculate GHG emission reductions rather than using one value to calculate electricity-based GHG emission reductions and another value to calculate natural gas-based GHG emission reductions.</w:t>
      </w:r>
    </w:p>
    <w:p w:rsidR="00640B85" w:rsidP="00917BA8" w:rsidRDefault="00640B85" w14:paraId="134E619B" w14:textId="52378009">
      <w:pPr>
        <w:pStyle w:val="Standard"/>
      </w:pPr>
      <w:r>
        <w:t>Currently, the state of California lacks a cross-sector basis for valuing GHG reductions since state climate policy is implemented through sector-specific planning frameworks.</w:t>
      </w:r>
      <w:r>
        <w:rPr>
          <w:rStyle w:val="FootnoteReference"/>
        </w:rPr>
        <w:footnoteReference w:id="14"/>
      </w:r>
      <w:r>
        <w:t xml:space="preserve"> Additionally, the state has not yet developed sector-specific modeling of marginal abatement costs for the natural gas sector beyond the current interim value</w:t>
      </w:r>
      <w:r w:rsidR="00B6298F">
        <w:t xml:space="preserve"> based on a 2021 </w:t>
      </w:r>
      <w:r w:rsidR="002E7396">
        <w:t>California Energy Commission (</w:t>
      </w:r>
      <w:r w:rsidR="00B6298F">
        <w:t>CEC</w:t>
      </w:r>
      <w:r w:rsidR="002E7396">
        <w:t>)</w:t>
      </w:r>
      <w:r w:rsidR="00B6298F">
        <w:t xml:space="preserve"> report on the GHG abatement cost in buildings</w:t>
      </w:r>
      <w:r>
        <w:t>.</w:t>
      </w:r>
      <w:r w:rsidR="00B6298F">
        <w:rPr>
          <w:rStyle w:val="FootnoteReference"/>
        </w:rPr>
        <w:footnoteReference w:id="15"/>
      </w:r>
    </w:p>
    <w:p w:rsidR="00640B85" w:rsidP="00917BA8" w:rsidRDefault="00640B85" w14:paraId="51E04992" w14:textId="782E453C">
      <w:pPr>
        <w:pStyle w:val="Standard"/>
      </w:pPr>
      <w:r>
        <w:t>The Staff Proposal</w:t>
      </w:r>
      <w:r w:rsidR="006709CF">
        <w:t xml:space="preserve"> proposes applying the more current electric-sector GHG value to all GHG reductions in the ACC model, including in both electric and gas </w:t>
      </w:r>
      <w:r w:rsidR="006709CF">
        <w:lastRenderedPageBreak/>
        <w:t>models.</w:t>
      </w:r>
      <w:r w:rsidR="006709CF">
        <w:rPr>
          <w:rStyle w:val="FootnoteReference"/>
        </w:rPr>
        <w:footnoteReference w:id="16"/>
      </w:r>
      <w:r w:rsidR="006709CF">
        <w:t xml:space="preserve"> </w:t>
      </w:r>
      <w:r w:rsidR="00634122">
        <w:t xml:space="preserve">The GHG value </w:t>
      </w:r>
      <w:r w:rsidR="00F031EE">
        <w:t xml:space="preserve">calculated in the electric model </w:t>
      </w:r>
      <w:r w:rsidR="00634122">
        <w:t xml:space="preserve">is composed of the </w:t>
      </w:r>
      <w:r w:rsidR="002E7396">
        <w:t>c</w:t>
      </w:r>
      <w:r w:rsidR="00634122">
        <w:t>ap-and-</w:t>
      </w:r>
      <w:r w:rsidR="002E7396">
        <w:t>invest</w:t>
      </w:r>
      <w:r w:rsidR="00634122">
        <w:t xml:space="preserve"> value, which </w:t>
      </w:r>
      <w:r w:rsidRPr="00611173" w:rsidR="00634122">
        <w:t xml:space="preserve">represents the </w:t>
      </w:r>
      <w:r w:rsidR="002E7396">
        <w:t>IEPR</w:t>
      </w:r>
      <w:r w:rsidRPr="00611173" w:rsidR="00634122">
        <w:t xml:space="preserve"> price forecast for </w:t>
      </w:r>
      <w:r w:rsidR="002E7396">
        <w:t>the</w:t>
      </w:r>
      <w:r w:rsidRPr="00611173" w:rsidR="00634122">
        <w:t xml:space="preserve"> </w:t>
      </w:r>
      <w:r w:rsidR="002E7396">
        <w:t>c</w:t>
      </w:r>
      <w:r w:rsidR="00634122">
        <w:t>ap</w:t>
      </w:r>
      <w:r w:rsidRPr="00611173" w:rsidR="00634122">
        <w:t>-and-</w:t>
      </w:r>
      <w:r w:rsidR="002E7396">
        <w:t>invest</w:t>
      </w:r>
      <w:r w:rsidRPr="00611173" w:rsidR="00634122">
        <w:t xml:space="preserve"> program</w:t>
      </w:r>
      <w:r w:rsidR="00634122">
        <w:t xml:space="preserve">, and an additional GHG </w:t>
      </w:r>
      <w:r w:rsidR="002E7396">
        <w:t>a</w:t>
      </w:r>
      <w:r w:rsidR="00634122">
        <w:t xml:space="preserve">dder, which </w:t>
      </w:r>
      <w:r w:rsidRPr="00611173" w:rsidR="00634122">
        <w:t xml:space="preserve">represents the additional costs needed beyond the </w:t>
      </w:r>
      <w:r w:rsidR="002E7396">
        <w:t>c</w:t>
      </w:r>
      <w:r w:rsidR="00634122">
        <w:t>ap</w:t>
      </w:r>
      <w:r w:rsidRPr="00611173" w:rsidR="00634122">
        <w:t>-and-</w:t>
      </w:r>
      <w:r w:rsidR="002E7396">
        <w:t>invest</w:t>
      </w:r>
      <w:r w:rsidRPr="00611173" w:rsidR="00634122">
        <w:t xml:space="preserve"> program to meet the electric sector GHG target</w:t>
      </w:r>
      <w:r w:rsidRPr="00FE3EDE" w:rsidR="00634122">
        <w:t xml:space="preserve">. </w:t>
      </w:r>
      <w:r w:rsidR="006709CF">
        <w:t>This value aligns with the marginal GHG value indic</w:t>
      </w:r>
      <w:r w:rsidR="00E75602">
        <w:t>a</w:t>
      </w:r>
      <w:r w:rsidR="006709CF">
        <w:t>ted by the IRP</w:t>
      </w:r>
      <w:r w:rsidR="00615C1F">
        <w:t xml:space="preserve">, which is considered the state’s most </w:t>
      </w:r>
      <w:r w:rsidR="00804383">
        <w:t>robust</w:t>
      </w:r>
      <w:r w:rsidR="00615C1F">
        <w:t xml:space="preserve"> and transparent modeling process that analyzes the cost to meet specified GHG reduction goals.</w:t>
      </w:r>
      <w:r w:rsidR="00615C1F">
        <w:rPr>
          <w:rStyle w:val="FootnoteReference"/>
        </w:rPr>
        <w:footnoteReference w:id="17"/>
      </w:r>
      <w:r w:rsidR="00615C1F">
        <w:t xml:space="preserve"> Adopting the electric-sector GHG value would </w:t>
      </w:r>
      <w:r w:rsidR="001061AE">
        <w:t>thus</w:t>
      </w:r>
      <w:r w:rsidR="00615C1F">
        <w:t xml:space="preserve"> </w:t>
      </w:r>
      <w:r w:rsidR="006709CF">
        <w:t xml:space="preserve">provide a coherent basis for evaluating emissions reductions across the electric and gas sectors. The Staff Proposal states that the electric-sector GHG value </w:t>
      </w:r>
      <w:r w:rsidR="001061AE">
        <w:t xml:space="preserve">also </w:t>
      </w:r>
      <w:r w:rsidR="006709CF">
        <w:t>provides a consistent price signal for DER investment by treating all GHG reductions equally.</w:t>
      </w:r>
      <w:r w:rsidR="006709CF">
        <w:rPr>
          <w:rStyle w:val="FootnoteReference"/>
        </w:rPr>
        <w:footnoteReference w:id="18"/>
      </w:r>
      <w:r w:rsidR="006709CF">
        <w:t xml:space="preserve"> The Staff Proposal states that using the electric-sector GHG value as the cross-sector proxy also ensures that any changes to the electric-sector GHG target are applied consistently.</w:t>
      </w:r>
      <w:r w:rsidR="006709CF">
        <w:rPr>
          <w:rStyle w:val="FootnoteReference"/>
        </w:rPr>
        <w:footnoteReference w:id="19"/>
      </w:r>
    </w:p>
    <w:p w:rsidR="005607D5" w:rsidP="005607D5" w:rsidRDefault="005607D5" w14:paraId="2E5BA01A" w14:textId="2C562D37">
      <w:pPr>
        <w:pStyle w:val="Standard"/>
      </w:pPr>
      <w:r>
        <w:t xml:space="preserve">In their comments on the Staff Proposal, PG&amp;E and SoCalGas support the staff’s </w:t>
      </w:r>
      <w:r w:rsidR="00CD43A3">
        <w:t>recommendation</w:t>
      </w:r>
      <w:r>
        <w:t xml:space="preserve"> to use a single electricity-based GHG value across both the electric and gas ACC models. PG&amp;E cites “</w:t>
      </w:r>
      <w:r w:rsidRPr="00DB4881">
        <w:t>the absence of a natural gas-specific modeling and planning framework akin to the (IRP) used in the electric sector</w:t>
      </w:r>
      <w:r>
        <w:t>” while SoCalGas cites “the absence of a natural gas specific adder” while agreeing that using the more recently updated electricity-based value would be a more robust measure of the GHG avoided cost value.</w:t>
      </w:r>
      <w:r>
        <w:rPr>
          <w:rStyle w:val="FootnoteReference"/>
        </w:rPr>
        <w:footnoteReference w:id="20"/>
      </w:r>
      <w:r>
        <w:t xml:space="preserve"> SoCalGas s</w:t>
      </w:r>
      <w:r w:rsidR="001061AE">
        <w:t>uggests</w:t>
      </w:r>
      <w:r>
        <w:t xml:space="preserve"> that the Commission categorize the </w:t>
      </w:r>
      <w:r w:rsidR="00804383">
        <w:t>electric</w:t>
      </w:r>
      <w:r>
        <w:t xml:space="preserve"> value in the gas ACC as an </w:t>
      </w:r>
      <w:r w:rsidRPr="00CD43A3">
        <w:t>“</w:t>
      </w:r>
      <w:r w:rsidRPr="00A02C4A">
        <w:t xml:space="preserve">updated </w:t>
      </w:r>
      <w:r w:rsidRPr="00A02C4A">
        <w:lastRenderedPageBreak/>
        <w:t>interim solution</w:t>
      </w:r>
      <w:r>
        <w:t xml:space="preserve"> until a specific </w:t>
      </w:r>
      <w:r w:rsidR="00804383">
        <w:t>natural</w:t>
      </w:r>
      <w:r>
        <w:t xml:space="preserve"> gas adder is established through the Customer DER proceeding or other proceeding.”</w:t>
      </w:r>
      <w:r>
        <w:rPr>
          <w:rStyle w:val="FootnoteReference"/>
        </w:rPr>
        <w:footnoteReference w:id="21"/>
      </w:r>
    </w:p>
    <w:p w:rsidR="005607D5" w:rsidP="005607D5" w:rsidRDefault="005607D5" w14:paraId="0C19DF37" w14:textId="15CA5CCD">
      <w:pPr>
        <w:pStyle w:val="Standard"/>
      </w:pPr>
      <w:r>
        <w:t xml:space="preserve">SCE, </w:t>
      </w:r>
      <w:r w:rsidR="005302FD">
        <w:t>Cal Advocates</w:t>
      </w:r>
      <w:r>
        <w:t xml:space="preserve">, CUE, and </w:t>
      </w:r>
      <w:r w:rsidR="001061AE">
        <w:t xml:space="preserve">NRDC </w:t>
      </w:r>
      <w:r>
        <w:t xml:space="preserve">oppose using a single electricity-based GHG value across both the electric and </w:t>
      </w:r>
      <w:r w:rsidR="001061AE">
        <w:t xml:space="preserve">natural </w:t>
      </w:r>
      <w:r>
        <w:t>gas ACC models.</w:t>
      </w:r>
      <w:r>
        <w:rPr>
          <w:rStyle w:val="FootnoteReference"/>
        </w:rPr>
        <w:footnoteReference w:id="22"/>
      </w:r>
      <w:r>
        <w:t xml:space="preserve"> SCE states that developing a </w:t>
      </w:r>
      <w:r w:rsidR="001061AE">
        <w:t xml:space="preserve">natural </w:t>
      </w:r>
      <w:r>
        <w:t>gas sector GHG avoided cost</w:t>
      </w:r>
      <w:r w:rsidR="001061AE">
        <w:t xml:space="preserve"> value</w:t>
      </w:r>
      <w:r>
        <w:t xml:space="preserve"> that more accurately reflects the cost of decarbonizing the gas system would make cross-sectoral comparisons of GHG costs more robust.</w:t>
      </w:r>
      <w:r>
        <w:rPr>
          <w:rStyle w:val="FootnoteReference"/>
        </w:rPr>
        <w:footnoteReference w:id="23"/>
      </w:r>
      <w:r>
        <w:t xml:space="preserve"> SCE also states that the GHG </w:t>
      </w:r>
      <w:r w:rsidR="009A5877">
        <w:t xml:space="preserve">figure </w:t>
      </w:r>
      <w:r>
        <w:t>is supposed to measure avoided costs, not the value of each resource as described in the Staff Proposal, and “the GHG avoided cost assumed in the ACC has generally been less than the likely benefit.”</w:t>
      </w:r>
      <w:r>
        <w:rPr>
          <w:rStyle w:val="FootnoteReference"/>
        </w:rPr>
        <w:footnoteReference w:id="24"/>
      </w:r>
      <w:r>
        <w:t xml:space="preserve"> SCE  states that “gas and electric sector abatement costs are substantially different” and that “[a] single multi-sector value risks sending an erroneous signal that gas-sector emissions can be reduced at the same marginal cost as electricity-sector emissions.”</w:t>
      </w:r>
      <w:r>
        <w:rPr>
          <w:rStyle w:val="FootnoteReference"/>
        </w:rPr>
        <w:footnoteReference w:id="25"/>
      </w:r>
      <w:r>
        <w:t xml:space="preserve"> </w:t>
      </w:r>
      <w:r w:rsidR="001061AE">
        <w:t>Cal Advocates</w:t>
      </w:r>
      <w:r>
        <w:t xml:space="preserve"> makes a similar argument about the different GHG abatement costs in the electric and gas sectors and argues that “[u]sing the electric GHG value for the natural gas sector would systemically undervalue electrification measures because there is no comparable technology to solar and battery storage to decarbonize direct natural gas consumption in </w:t>
      </w:r>
      <w:r w:rsidR="00804383">
        <w:t>buildings</w:t>
      </w:r>
      <w:r>
        <w:t>.”</w:t>
      </w:r>
      <w:r>
        <w:rPr>
          <w:rStyle w:val="FootnoteReference"/>
        </w:rPr>
        <w:footnoteReference w:id="26"/>
      </w:r>
      <w:r>
        <w:t xml:space="preserve"> CUE echoes SCE and </w:t>
      </w:r>
      <w:r w:rsidR="005302FD">
        <w:t>Cal Advocates’</w:t>
      </w:r>
      <w:r>
        <w:t xml:space="preserve"> argument about the different GHG abatement costs of gas and electric resources and suggests the Commission develop “an economy-wide or </w:t>
      </w:r>
      <w:r>
        <w:lastRenderedPageBreak/>
        <w:t>cross-sector analytical framework, not by import</w:t>
      </w:r>
      <w:r w:rsidR="00053942">
        <w:t>ing</w:t>
      </w:r>
      <w:r>
        <w:t xml:space="preserve"> an electric-sector IRP value into the gas model.”</w:t>
      </w:r>
      <w:r>
        <w:rPr>
          <w:rStyle w:val="FootnoteReference"/>
        </w:rPr>
        <w:footnoteReference w:id="27"/>
      </w:r>
      <w:r>
        <w:t xml:space="preserve"> NRDC states that Energy Division staff “have selected the lower of the two possible abatement values as the uniform GHG Adder” rather than the marginal cost of reducing emissions across both sectors, which “would be set by whichever sector faces the higher marginal abatement cost.”</w:t>
      </w:r>
      <w:r>
        <w:rPr>
          <w:rStyle w:val="FootnoteReference"/>
        </w:rPr>
        <w:footnoteReference w:id="28"/>
      </w:r>
      <w:r>
        <w:t xml:space="preserve"> NRDC states: “This choice will leave cost-effective carbon abatement opportunities in the gas sector unrealized.”</w:t>
      </w:r>
      <w:r>
        <w:rPr>
          <w:rStyle w:val="FootnoteReference"/>
        </w:rPr>
        <w:footnoteReference w:id="29"/>
      </w:r>
    </w:p>
    <w:p w:rsidR="005607D5" w:rsidP="005607D5" w:rsidRDefault="005607D5" w14:paraId="5794E552" w14:textId="1A62B9C1">
      <w:pPr>
        <w:pStyle w:val="Standard"/>
      </w:pPr>
      <w:r>
        <w:t>BayREN and 3C-REN state that using a single electricity-based GHG value across both the electric and gas ACC models could “</w:t>
      </w:r>
      <w:r w:rsidRPr="00074E14">
        <w:t>directly reduce the cost-effectiveness of fuel-switching energy efficiency measures</w:t>
      </w:r>
      <w:r>
        <w:t xml:space="preserve">” but state that a final decision on the issue can’t be made without first issuing a decision on Track 3 </w:t>
      </w:r>
      <w:r w:rsidR="00053942">
        <w:t>g</w:t>
      </w:r>
      <w:r>
        <w:t xml:space="preserve">uiding </w:t>
      </w:r>
      <w:r w:rsidR="00053942">
        <w:t>p</w:t>
      </w:r>
      <w:r>
        <w:t>rinciples.</w:t>
      </w:r>
      <w:r>
        <w:rPr>
          <w:rStyle w:val="FootnoteReference"/>
        </w:rPr>
        <w:footnoteReference w:id="30"/>
      </w:r>
      <w:r w:rsidR="00522447">
        <w:t xml:space="preserve"> BayREN and 3C-REN state that that the Commission should make any policy determination to phase out natural gas energy efficiency measures through the Viable Electric Alternatives framework that the Commission is developing in </w:t>
      </w:r>
      <w:r w:rsidR="00053942">
        <w:t>its</w:t>
      </w:r>
      <w:r w:rsidR="00522447">
        <w:t xml:space="preserve"> energy efficiency rulemaking.</w:t>
      </w:r>
      <w:r w:rsidR="00522447">
        <w:rPr>
          <w:rStyle w:val="FootnoteReference"/>
        </w:rPr>
        <w:footnoteReference w:id="31"/>
      </w:r>
    </w:p>
    <w:p w:rsidRPr="00074E14" w:rsidR="005607D5" w:rsidP="005607D5" w:rsidRDefault="005607D5" w14:paraId="062E584E" w14:textId="5862BB74">
      <w:pPr>
        <w:pStyle w:val="Standard"/>
      </w:pPr>
      <w:r>
        <w:t>CLECA</w:t>
      </w:r>
      <w:r w:rsidR="007B54B8">
        <w:t>, SBUA,</w:t>
      </w:r>
      <w:r>
        <w:t xml:space="preserve"> </w:t>
      </w:r>
      <w:r w:rsidR="008C7EA0">
        <w:t xml:space="preserve">SDG&amp;E, </w:t>
      </w:r>
      <w:r>
        <w:t>and SEIA take no stand on the issue.</w:t>
      </w:r>
      <w:r>
        <w:rPr>
          <w:rStyle w:val="FootnoteReference"/>
        </w:rPr>
        <w:footnoteReference w:id="32"/>
      </w:r>
    </w:p>
    <w:p w:rsidR="008941B5" w:rsidP="00917BA8" w:rsidRDefault="00E75602" w14:paraId="6C32E968" w14:textId="31A581B4">
      <w:pPr>
        <w:pStyle w:val="Standard"/>
      </w:pPr>
      <w:r>
        <w:t xml:space="preserve">The Commission acknowledges the shortcomings of using an electricity-based GHG emissions reductions value to represent both </w:t>
      </w:r>
      <w:r w:rsidR="00C12171">
        <w:t>electric</w:t>
      </w:r>
      <w:r>
        <w:t xml:space="preserve"> and natural gas-based resources</w:t>
      </w:r>
      <w:r w:rsidR="001B0F45">
        <w:t>. However,</w:t>
      </w:r>
      <w:r w:rsidR="00053942">
        <w:t xml:space="preserve"> </w:t>
      </w:r>
      <w:r w:rsidR="0026176C">
        <w:t>the Commission finds that the electric</w:t>
      </w:r>
      <w:r w:rsidR="00603E71">
        <w:t xml:space="preserve">-sector value is the most </w:t>
      </w:r>
      <w:r w:rsidR="00053942">
        <w:t>appropriate</w:t>
      </w:r>
      <w:r w:rsidR="00603E71">
        <w:t xml:space="preserve"> value available at this time for the</w:t>
      </w:r>
      <w:r w:rsidR="00053942">
        <w:t xml:space="preserve"> interim </w:t>
      </w:r>
      <w:r w:rsidR="00053942">
        <w:lastRenderedPageBreak/>
        <w:t xml:space="preserve">valuation of DERs’ GHG </w:t>
      </w:r>
      <w:r w:rsidR="00C12171">
        <w:t>emissions</w:t>
      </w:r>
      <w:r w:rsidR="00053942">
        <w:t xml:space="preserve"> reduction potential</w:t>
      </w:r>
      <w:r>
        <w:t>. As several parties note, using the electricity-based GHG emissions value risks undervaluing electrification measures</w:t>
      </w:r>
      <w:r w:rsidR="009971F2">
        <w:t xml:space="preserve"> and equat</w:t>
      </w:r>
      <w:r w:rsidR="00053942">
        <w:t>ing</w:t>
      </w:r>
      <w:r w:rsidR="009971F2">
        <w:t xml:space="preserve"> electricity-based GHG reduction measures with gas-b</w:t>
      </w:r>
      <w:r w:rsidR="00053942">
        <w:t>a</w:t>
      </w:r>
      <w:r w:rsidR="009971F2">
        <w:t>sed measures</w:t>
      </w:r>
      <w:r>
        <w:t xml:space="preserve">. However, using that value across sectors as an interim measure in the 2026 ACC cycle outweighs </w:t>
      </w:r>
      <w:r w:rsidR="009971F2">
        <w:t>those</w:t>
      </w:r>
      <w:r>
        <w:t xml:space="preserve"> drawbacks </w:t>
      </w:r>
      <w:r w:rsidR="009971F2">
        <w:t>by</w:t>
      </w:r>
      <w:r>
        <w:t xml:space="preserve"> </w:t>
      </w:r>
      <w:r w:rsidR="009971F2">
        <w:t>employing a</w:t>
      </w:r>
      <w:r w:rsidR="00244CB2">
        <w:t xml:space="preserve"> </w:t>
      </w:r>
      <w:r w:rsidR="009971F2">
        <w:t xml:space="preserve"> GHG emissions reduction value that aligns with the marginal GHG value used in the IRP</w:t>
      </w:r>
      <w:r w:rsidR="00244CB2">
        <w:t xml:space="preserve"> and is also more frequently updated than the current interim value of natural gas-based GHG emission reductions</w:t>
      </w:r>
      <w:r w:rsidR="009971F2">
        <w:t xml:space="preserve">. Using that </w:t>
      </w:r>
      <w:r w:rsidR="00244CB2">
        <w:t xml:space="preserve">electric-sector </w:t>
      </w:r>
      <w:r w:rsidR="009971F2">
        <w:t>value on an interim basis rather than sticking with a</w:t>
      </w:r>
      <w:r w:rsidR="00244CB2">
        <w:t xml:space="preserve"> </w:t>
      </w:r>
      <w:r w:rsidR="009971F2">
        <w:t>n</w:t>
      </w:r>
      <w:r w:rsidR="00244CB2">
        <w:t>atural gas-based</w:t>
      </w:r>
      <w:r w:rsidR="009971F2">
        <w:t xml:space="preserve"> indicator that potentially overstates the value of electrification measures</w:t>
      </w:r>
      <w:r w:rsidR="00362A5D">
        <w:t xml:space="preserve"> benefits ratepayers by keeping the cost of those programs from becoming inflated</w:t>
      </w:r>
      <w:r w:rsidR="00E10418">
        <w:t xml:space="preserve"> </w:t>
      </w:r>
      <w:r w:rsidR="009971F2">
        <w:t xml:space="preserve">– an important consideration as California wrestles with </w:t>
      </w:r>
      <w:r w:rsidR="00053942">
        <w:t>rising utility costs</w:t>
      </w:r>
      <w:r w:rsidR="009971F2">
        <w:t xml:space="preserve">. </w:t>
      </w:r>
    </w:p>
    <w:p w:rsidRPr="00917BA8" w:rsidR="00754F3E" w:rsidP="00917BA8" w:rsidRDefault="008941B5" w14:paraId="16456F6E" w14:textId="2FD835CB">
      <w:pPr>
        <w:pStyle w:val="Standard"/>
      </w:pPr>
      <w:r>
        <w:t>In future</w:t>
      </w:r>
      <w:r w:rsidR="009971F2">
        <w:t xml:space="preserve"> ACC cycle</w:t>
      </w:r>
      <w:r>
        <w:t>s</w:t>
      </w:r>
      <w:r w:rsidR="009971F2">
        <w:t xml:space="preserve">, the Commission </w:t>
      </w:r>
      <w:r w:rsidR="00053942">
        <w:t>should</w:t>
      </w:r>
      <w:r w:rsidR="009971F2">
        <w:t xml:space="preserve"> </w:t>
      </w:r>
      <w:r>
        <w:t>re-evaluate</w:t>
      </w:r>
      <w:r w:rsidR="00AF30A1">
        <w:t xml:space="preserve"> </w:t>
      </w:r>
      <w:r w:rsidR="0099745F">
        <w:t>whether to continue to use the electric sector</w:t>
      </w:r>
      <w:r w:rsidR="00471C0D">
        <w:t xml:space="preserve"> </w:t>
      </w:r>
      <w:r w:rsidR="0016605B">
        <w:t xml:space="preserve">GHG </w:t>
      </w:r>
      <w:r w:rsidR="006615DF">
        <w:t>value on</w:t>
      </w:r>
      <w:r w:rsidR="003D703C">
        <w:t xml:space="preserve"> an interim or permanent basis, or whether </w:t>
      </w:r>
      <w:r w:rsidR="0099745F">
        <w:t xml:space="preserve">some other </w:t>
      </w:r>
      <w:r w:rsidR="00471C0D">
        <w:t>value</w:t>
      </w:r>
      <w:r w:rsidR="0099745F">
        <w:t xml:space="preserve"> more</w:t>
      </w:r>
      <w:r w:rsidR="00AF30A1">
        <w:t xml:space="preserve"> accurately differentiate</w:t>
      </w:r>
      <w:r w:rsidR="0099745F">
        <w:t>s</w:t>
      </w:r>
      <w:r w:rsidR="00AF30A1">
        <w:t xml:space="preserve"> between gas sector and electric sector GHG </w:t>
      </w:r>
      <w:r w:rsidR="00815371">
        <w:t xml:space="preserve">abatement </w:t>
      </w:r>
      <w:r w:rsidR="003870F1">
        <w:t>cost</w:t>
      </w:r>
      <w:r w:rsidR="00AF30A1">
        <w:t>s in the ACC. In the meantime, it is in the ratepayers’ interest to adopt an electricity-specific GHG emissions reduction value across the electri</w:t>
      </w:r>
      <w:r w:rsidR="00C12171">
        <w:t>ci</w:t>
      </w:r>
      <w:r w:rsidR="00AF30A1">
        <w:t>ty and gas sectors in the</w:t>
      </w:r>
      <w:r w:rsidR="00C63B70">
        <w:t xml:space="preserve"> </w:t>
      </w:r>
      <w:r w:rsidR="00AF30A1">
        <w:t>ACC</w:t>
      </w:r>
      <w:r w:rsidR="007D3A8C">
        <w:t xml:space="preserve"> that more accurately reflects abatement costs</w:t>
      </w:r>
      <w:r w:rsidR="00AF30A1">
        <w:t>.</w:t>
      </w:r>
      <w:r w:rsidR="00F14F4D">
        <w:t xml:space="preserve"> </w:t>
      </w:r>
      <w:r w:rsidR="00123B1E">
        <w:t>Accordingly</w:t>
      </w:r>
      <w:r w:rsidR="00F14F4D">
        <w:t xml:space="preserve">, this decision </w:t>
      </w:r>
      <w:r w:rsidR="001F5CC7">
        <w:t xml:space="preserve">updates the ACC to </w:t>
      </w:r>
      <w:r w:rsidRPr="00A71361" w:rsidR="00123B1E">
        <w:t>apply a single electricity-based value to represent both electricity and natural gas GHG values in the ACC.</w:t>
      </w:r>
    </w:p>
    <w:p w:rsidR="00F37995" w:rsidP="00FE7FFA" w:rsidRDefault="00F37995" w14:paraId="7556C10B" w14:textId="6B8466E1">
      <w:pPr>
        <w:pStyle w:val="Heading1"/>
      </w:pPr>
      <w:bookmarkStart w:name="_Toc238810860" w:id="13"/>
      <w:r>
        <w:t>Remov</w:t>
      </w:r>
      <w:r w:rsidR="006709CF">
        <w:t>ing</w:t>
      </w:r>
      <w:r>
        <w:t xml:space="preserve"> the GHG Rebalancing Component</w:t>
      </w:r>
      <w:bookmarkEnd w:id="13"/>
    </w:p>
    <w:p w:rsidR="00E8024A" w:rsidP="00161CBE" w:rsidRDefault="00161908" w14:paraId="3C007821" w14:textId="14CBBDD8">
      <w:pPr>
        <w:pStyle w:val="Standard"/>
      </w:pPr>
      <w:r>
        <w:t xml:space="preserve">The Staff Proposal recommends removing the GHG rebalancing component of the ACC. </w:t>
      </w:r>
      <w:r w:rsidR="00F70436">
        <w:t xml:space="preserve">The GHG rebalancing component of the ACC was originally introduced into the ACC to account for the cross-sector implications of </w:t>
      </w:r>
      <w:r w:rsidR="00F70436">
        <w:lastRenderedPageBreak/>
        <w:t>electrification as the electric and gas ACC models used separate GHG values.</w:t>
      </w:r>
      <w:r w:rsidR="00F70436">
        <w:rPr>
          <w:rStyle w:val="FootnoteReference"/>
        </w:rPr>
        <w:footnoteReference w:id="33"/>
      </w:r>
      <w:r w:rsidR="00364DD1">
        <w:t xml:space="preserve"> </w:t>
      </w:r>
      <w:r w:rsidR="007D3A8C">
        <w:t>Specifically, the rebalancing</w:t>
      </w:r>
      <w:r w:rsidRPr="007D3A8C" w:rsidR="007D3A8C">
        <w:t xml:space="preserve"> component</w:t>
      </w:r>
      <w:r w:rsidR="007D3A8C">
        <w:t xml:space="preserve"> is</w:t>
      </w:r>
      <w:r w:rsidRPr="007D3A8C" w:rsidR="007D3A8C">
        <w:t xml:space="preserve"> intended to capture how changes in electric sector load may lead to changes in the absolute </w:t>
      </w:r>
      <w:r w:rsidR="007D3A8C">
        <w:t>GHG</w:t>
      </w:r>
      <w:r w:rsidRPr="007D3A8C" w:rsidR="007D3A8C">
        <w:t xml:space="preserve"> planning target for the electric sector</w:t>
      </w:r>
      <w:r w:rsidR="007D3A8C">
        <w:t>. F</w:t>
      </w:r>
      <w:r w:rsidRPr="007D3A8C" w:rsidR="007D3A8C">
        <w:t xml:space="preserve">or example, increases in load due to electrification that reduce emissions in other sectors of the economy may be accompanied by an increase in allowable emissions within the electric sector. </w:t>
      </w:r>
      <w:r w:rsidR="00364DD1">
        <w:t>The Staff Proposal states that t</w:t>
      </w:r>
      <w:r w:rsidR="007D3A8C">
        <w:t>he</w:t>
      </w:r>
      <w:r w:rsidR="00364DD1">
        <w:t xml:space="preserve"> rationale for the GHG rebalancing component becomes irrelevant if </w:t>
      </w:r>
      <w:r w:rsidR="00804383">
        <w:t>the</w:t>
      </w:r>
      <w:r w:rsidR="00364DD1">
        <w:t xml:space="preserve"> ACC adopts a single electric-sector GHG value to </w:t>
      </w:r>
      <w:r w:rsidR="008E6480">
        <w:t xml:space="preserve">represent </w:t>
      </w:r>
      <w:r w:rsidR="00364DD1">
        <w:t xml:space="preserve">all GHG valuations in the ACC regardless of whether they occur in the electric or </w:t>
      </w:r>
      <w:r w:rsidR="008E6480">
        <w:t xml:space="preserve">natural </w:t>
      </w:r>
      <w:r w:rsidR="00364DD1">
        <w:t>gas sectors.</w:t>
      </w:r>
      <w:r w:rsidR="00364DD1">
        <w:rPr>
          <w:rStyle w:val="FootnoteReference"/>
        </w:rPr>
        <w:footnoteReference w:id="34"/>
      </w:r>
      <w:r w:rsidR="00364DD1">
        <w:t xml:space="preserve"> As a result, applying the electric-sector GHG values </w:t>
      </w:r>
      <w:r w:rsidR="00804383">
        <w:t>uniformly</w:t>
      </w:r>
      <w:r w:rsidR="00364DD1">
        <w:t xml:space="preserve"> allows the ACC to represent marginal cost signals captur</w:t>
      </w:r>
      <w:r w:rsidR="008E6480">
        <w:t>ing</w:t>
      </w:r>
      <w:r w:rsidR="00364DD1">
        <w:t xml:space="preserve"> the full GHG impacts of electrification and fuel-</w:t>
      </w:r>
      <w:r w:rsidR="00804383">
        <w:t>substitution</w:t>
      </w:r>
      <w:r w:rsidR="00364DD1">
        <w:t xml:space="preserve"> measures without an additional adjustment step.</w:t>
      </w:r>
      <w:r w:rsidR="00364DD1">
        <w:rPr>
          <w:rStyle w:val="FootnoteReference"/>
        </w:rPr>
        <w:footnoteReference w:id="35"/>
      </w:r>
      <w:r w:rsidR="00364DD1">
        <w:t xml:space="preserve"> </w:t>
      </w:r>
    </w:p>
    <w:p w:rsidR="00F70436" w:rsidP="00754F3E" w:rsidRDefault="00922F97" w14:paraId="54824213" w14:textId="4FD296BF">
      <w:pPr>
        <w:pStyle w:val="Standard"/>
      </w:pPr>
      <w:r>
        <w:t>R</w:t>
      </w:r>
      <w:r w:rsidR="00364DD1">
        <w:t xml:space="preserve">emoving the GHG </w:t>
      </w:r>
      <w:r w:rsidR="00804383">
        <w:t>rebalancing</w:t>
      </w:r>
      <w:r w:rsidR="00364DD1">
        <w:t xml:space="preserve"> component also increases consistency with the IRP by </w:t>
      </w:r>
      <w:r w:rsidR="00134B79">
        <w:t xml:space="preserve">aligning with </w:t>
      </w:r>
      <w:r w:rsidR="00364DD1">
        <w:t xml:space="preserve">the </w:t>
      </w:r>
      <w:r w:rsidR="008E6480">
        <w:t xml:space="preserve">most </w:t>
      </w:r>
      <w:r w:rsidR="00364DD1">
        <w:t xml:space="preserve">current GHG </w:t>
      </w:r>
      <w:r w:rsidR="008E6480">
        <w:t xml:space="preserve">reductions </w:t>
      </w:r>
      <w:r w:rsidR="00364DD1">
        <w:t xml:space="preserve">target </w:t>
      </w:r>
      <w:r w:rsidR="00134B79">
        <w:t>and</w:t>
      </w:r>
      <w:r w:rsidR="008E6480">
        <w:t xml:space="preserve"> the </w:t>
      </w:r>
      <w:r w:rsidR="00364DD1">
        <w:t>most recent IRP modeling, which</w:t>
      </w:r>
      <w:r w:rsidR="008E6480">
        <w:t xml:space="preserve"> are both updated </w:t>
      </w:r>
      <w:r w:rsidR="00364DD1">
        <w:t>to reflect any electric sector target changes in subsequent ACC cycles.</w:t>
      </w:r>
      <w:r w:rsidR="00364DD1">
        <w:rPr>
          <w:rStyle w:val="FootnoteReference"/>
        </w:rPr>
        <w:footnoteReference w:id="36"/>
      </w:r>
      <w:r w:rsidR="00615C1F">
        <w:t xml:space="preserve"> </w:t>
      </w:r>
      <w:r w:rsidR="008E6480">
        <w:t>The proposal also</w:t>
      </w:r>
      <w:r w:rsidR="00615C1F">
        <w:t xml:space="preserve"> </w:t>
      </w:r>
      <w:r w:rsidR="008E6480">
        <w:t xml:space="preserve">would </w:t>
      </w:r>
      <w:r w:rsidR="00615C1F">
        <w:t>align the GHG value in the ACC with the marginal GHG value calculated in the IRP</w:t>
      </w:r>
      <w:r w:rsidR="007D3A8C">
        <w:t>, which would help ensure the Commission uses consistent GHG values across proceedings</w:t>
      </w:r>
      <w:r w:rsidR="00615C1F">
        <w:t>.</w:t>
      </w:r>
    </w:p>
    <w:p w:rsidR="005607D5" w:rsidP="005607D5" w:rsidRDefault="005607D5" w14:paraId="06013B7C" w14:textId="50D272FA">
      <w:pPr>
        <w:pStyle w:val="Standard"/>
      </w:pPr>
      <w:r>
        <w:t>SEIA</w:t>
      </w:r>
      <w:r w:rsidR="0065039E">
        <w:t xml:space="preserve"> and</w:t>
      </w:r>
      <w:r>
        <w:t xml:space="preserve"> PG&amp;E support removing the </w:t>
      </w:r>
      <w:r w:rsidR="0065039E">
        <w:t>GHG rebalancing component</w:t>
      </w:r>
      <w:r w:rsidR="008E6480">
        <w:t>.</w:t>
      </w:r>
      <w:r w:rsidR="0065039E">
        <w:t xml:space="preserve"> SEIA stat</w:t>
      </w:r>
      <w:r w:rsidR="008E6480">
        <w:t>es</w:t>
      </w:r>
      <w:r w:rsidR="0065039E">
        <w:t xml:space="preserve"> that “</w:t>
      </w:r>
      <w:r w:rsidRPr="0065039E" w:rsidR="0065039E">
        <w:t xml:space="preserve">so long as the ACC reflects the marginal resource costs from the </w:t>
      </w:r>
      <w:r w:rsidRPr="0065039E" w:rsidR="0065039E">
        <w:lastRenderedPageBreak/>
        <w:t>current IRP portfolio, it will include the ongoing costs needed to re-balance the electric sector to meet its full GHG emission reduction responsibilities</w:t>
      </w:r>
      <w:r w:rsidR="0065039E">
        <w:t>.”</w:t>
      </w:r>
      <w:r w:rsidR="0065039E">
        <w:rPr>
          <w:rStyle w:val="FootnoteReference"/>
        </w:rPr>
        <w:footnoteReference w:id="37"/>
      </w:r>
    </w:p>
    <w:p w:rsidR="0089168C" w:rsidP="005607D5" w:rsidRDefault="005607D5" w14:paraId="074D0E97" w14:textId="5CEDF62D">
      <w:pPr>
        <w:pStyle w:val="Standard"/>
      </w:pPr>
      <w:r>
        <w:t xml:space="preserve">SCE, </w:t>
      </w:r>
      <w:r w:rsidR="005302FD">
        <w:t>Cal Advocates</w:t>
      </w:r>
      <w:r>
        <w:t>, CUE, BayREN</w:t>
      </w:r>
      <w:r w:rsidR="008E6480">
        <w:t>,</w:t>
      </w:r>
      <w:r>
        <w:t xml:space="preserve"> </w:t>
      </w:r>
      <w:r w:rsidR="007240FF">
        <w:t xml:space="preserve">and 3C-REN </w:t>
      </w:r>
      <w:r>
        <w:t>oppose</w:t>
      </w:r>
      <w:r w:rsidR="00DD6553">
        <w:t xml:space="preserve"> removing the GHG rebalancing component</w:t>
      </w:r>
      <w:r w:rsidR="007D6EB2">
        <w:t>. SCE states that the rebalancing component “exists to approximate a quantity adjustment – i.e. a proportional reallocation of allowable GHG emissions – when load shifts among sectors due to electrification and other load-modifying DERs</w:t>
      </w:r>
      <w:r w:rsidR="008E6480">
        <w:t>.</w:t>
      </w:r>
      <w:r w:rsidR="007D6EB2">
        <w:t>”</w:t>
      </w:r>
      <w:r w:rsidR="008E6480">
        <w:rPr>
          <w:rStyle w:val="FootnoteReference"/>
        </w:rPr>
        <w:footnoteReference w:id="38"/>
      </w:r>
      <w:r w:rsidR="007D6EB2">
        <w:t xml:space="preserve"> </w:t>
      </w:r>
      <w:r w:rsidR="008E6480">
        <w:t>SCE then</w:t>
      </w:r>
      <w:r w:rsidR="007D6EB2">
        <w:t xml:space="preserve"> quotes from the Staff Proposal that GHG emissions from the electric sector would be expected to increase proportionally if </w:t>
      </w:r>
      <w:r w:rsidR="00804383">
        <w:t>electrification</w:t>
      </w:r>
      <w:r w:rsidR="007D6EB2">
        <w:t xml:space="preserve"> load was added to an electric sector IRP portfolio.</w:t>
      </w:r>
      <w:r w:rsidR="007D6EB2">
        <w:rPr>
          <w:rStyle w:val="FootnoteReference"/>
        </w:rPr>
        <w:footnoteReference w:id="39"/>
      </w:r>
      <w:r w:rsidR="007D6EB2">
        <w:t xml:space="preserve"> </w:t>
      </w:r>
      <w:r w:rsidR="005302FD">
        <w:t>Cal Advocates</w:t>
      </w:r>
      <w:r w:rsidR="007D6EB2">
        <w:t xml:space="preserve"> states that the Commission should not adopt the electric GHG value for all sectors and thus should retain the GHG rebalancing component.</w:t>
      </w:r>
      <w:r w:rsidR="007D6EB2">
        <w:rPr>
          <w:rStyle w:val="FootnoteReference"/>
        </w:rPr>
        <w:footnoteReference w:id="40"/>
      </w:r>
      <w:r w:rsidR="0032671A">
        <w:t xml:space="preserve"> CUE states that the Commission should first analyze the GHG emission impacts of load-reducing electric DERs, gas-to-electric building electrification measures, and transportat</w:t>
      </w:r>
      <w:r w:rsidR="00804383">
        <w:t>i</w:t>
      </w:r>
      <w:r w:rsidR="0032671A">
        <w:t>on electrification measures and</w:t>
      </w:r>
      <w:r w:rsidR="00B830C4">
        <w:t xml:space="preserve"> determine</w:t>
      </w:r>
      <w:r w:rsidR="0032671A">
        <w:t xml:space="preserve"> whether a single electricity-based GHG value eliminates the need for rebalancing across those three sectors.</w:t>
      </w:r>
      <w:r w:rsidR="0032671A">
        <w:rPr>
          <w:rStyle w:val="FootnoteReference"/>
        </w:rPr>
        <w:footnoteReference w:id="41"/>
      </w:r>
      <w:r w:rsidR="00B830C4">
        <w:t xml:space="preserve"> </w:t>
      </w:r>
      <w:r w:rsidR="00030C8D">
        <w:t>BayREN and 3C</w:t>
      </w:r>
      <w:r w:rsidR="000D6EC5">
        <w:t>-REN</w:t>
      </w:r>
      <w:r w:rsidR="00030C8D">
        <w:t xml:space="preserve"> state that removing the GHG rebalancing component would create a “double penalty” for local electrification programs by making the electricity consumed by heat pumps and electric vehicles more carbon-heavy and expensive on paper.</w:t>
      </w:r>
      <w:r w:rsidR="00030C8D">
        <w:rPr>
          <w:rStyle w:val="FootnoteReference"/>
        </w:rPr>
        <w:footnoteReference w:id="42"/>
      </w:r>
    </w:p>
    <w:p w:rsidR="0080214F" w:rsidP="005607D5" w:rsidRDefault="0080214F" w14:paraId="5A705227" w14:textId="145F5869">
      <w:pPr>
        <w:pStyle w:val="Standard"/>
      </w:pPr>
      <w:r>
        <w:lastRenderedPageBreak/>
        <w:t>SEIA responds that the IRP process already includes the expected growth in demand due to fuel switching technologies such as EVs and heat pumps.</w:t>
      </w:r>
      <w:r>
        <w:rPr>
          <w:rStyle w:val="FootnoteReference"/>
        </w:rPr>
        <w:footnoteReference w:id="43"/>
      </w:r>
      <w:r w:rsidR="00EF08C4">
        <w:t xml:space="preserve"> CUE challenges this statement</w:t>
      </w:r>
      <w:r w:rsidR="008E6480">
        <w:t xml:space="preserve"> by</w:t>
      </w:r>
      <w:r w:rsidR="00EF08C4">
        <w:t xml:space="preserve"> stating that the ACC </w:t>
      </w:r>
      <w:r w:rsidR="00C12171">
        <w:t>evaluates</w:t>
      </w:r>
      <w:r w:rsidR="00EF08C4">
        <w:t xml:space="preserve"> program-attributable and tariff-</w:t>
      </w:r>
      <w:r w:rsidR="00C12171">
        <w:t>attributable</w:t>
      </w:r>
      <w:r w:rsidR="00EF08C4">
        <w:t xml:space="preserve"> DER impacts while the IRP forecast includes expected baseline electrification, not incremental DERs and programs.</w:t>
      </w:r>
      <w:r w:rsidR="00EF08C4">
        <w:rPr>
          <w:rStyle w:val="FootnoteReference"/>
        </w:rPr>
        <w:footnoteReference w:id="44"/>
      </w:r>
    </w:p>
    <w:p w:rsidR="0082088D" w:rsidP="00FB0920" w:rsidRDefault="005607D5" w14:paraId="00AADE32" w14:textId="1A1BBB16">
      <w:pPr>
        <w:pStyle w:val="Standard"/>
      </w:pPr>
      <w:r w:rsidRPr="007D6EB2">
        <w:t>NRDC, SoCalGas,</w:t>
      </w:r>
      <w:r w:rsidR="008C7EA0">
        <w:t xml:space="preserve"> SDG&amp;E,</w:t>
      </w:r>
      <w:r w:rsidR="007B54B8">
        <w:t xml:space="preserve"> SBUA,</w:t>
      </w:r>
      <w:r w:rsidRPr="007D6EB2">
        <w:t xml:space="preserve"> </w:t>
      </w:r>
      <w:r w:rsidR="0089168C">
        <w:t xml:space="preserve">and </w:t>
      </w:r>
      <w:r w:rsidRPr="007D6EB2">
        <w:t xml:space="preserve">CLECA </w:t>
      </w:r>
      <w:r w:rsidR="0089168C">
        <w:t xml:space="preserve">take </w:t>
      </w:r>
      <w:r w:rsidRPr="007D6EB2">
        <w:t>no position</w:t>
      </w:r>
      <w:r w:rsidR="0089168C">
        <w:t xml:space="preserve"> on the</w:t>
      </w:r>
      <w:r w:rsidR="008E6480">
        <w:t xml:space="preserve"> GHG rebalancing component</w:t>
      </w:r>
      <w:r w:rsidR="0089168C">
        <w:t>.</w:t>
      </w:r>
    </w:p>
    <w:p w:rsidR="00362A5D" w:rsidP="00754F3E" w:rsidRDefault="001C4372" w14:paraId="2AEBF8E0" w14:textId="34E4FBE2">
      <w:pPr>
        <w:pStyle w:val="Standard"/>
      </w:pPr>
      <w:r>
        <w:t>The Commission agrees with SCE that the GHG Rebalancing component “exists to approximate a quantity adjustment—i.e., a proportional reallocation of allowable GHG emissions—when load shifts among sectors due to electrification and other load-modifying DERs.“</w:t>
      </w:r>
      <w:r w:rsidR="006A0790">
        <w:rPr>
          <w:rStyle w:val="FootnoteReference"/>
        </w:rPr>
        <w:footnoteReference w:id="45"/>
      </w:r>
      <w:r w:rsidRPr="00EC1F14" w:rsidR="00EC1F14">
        <w:t xml:space="preserve"> </w:t>
      </w:r>
      <w:r w:rsidR="00D0723D">
        <w:t xml:space="preserve">The Commission also agrees with the Staff Proposal that this cross-sector reallocation of allowable GHG emissions is appropriately accounted for </w:t>
      </w:r>
      <w:r w:rsidR="00724E45">
        <w:t xml:space="preserve">by aligning </w:t>
      </w:r>
      <w:r w:rsidR="00326A03">
        <w:t xml:space="preserve">the ACC with </w:t>
      </w:r>
      <w:r w:rsidR="00724E45">
        <w:t>IRP modelling</w:t>
      </w:r>
      <w:r w:rsidR="00915838">
        <w:t xml:space="preserve"> and that “</w:t>
      </w:r>
      <w:r w:rsidR="00DC2A7F">
        <w:t>[i]f the electric sector target does change in the future, both the IRP and ACC will be updated to reflect that change in the subsequent cycles of each proceeding.”</w:t>
      </w:r>
      <w:r w:rsidR="00DC2A7F">
        <w:rPr>
          <w:rStyle w:val="FootnoteReference"/>
        </w:rPr>
        <w:footnoteReference w:id="46"/>
      </w:r>
      <w:r w:rsidR="00D0723D">
        <w:t xml:space="preserve"> </w:t>
      </w:r>
      <w:r w:rsidRPr="00EC1F14" w:rsidR="00EC1F14">
        <w:t xml:space="preserve">This appropriately aligns IRP and ACC modelling, instead of only assuming a change to the allowable GHG emissions in the ACC, which is what the GHG </w:t>
      </w:r>
      <w:r w:rsidR="006A0790">
        <w:t>rebalancing component</w:t>
      </w:r>
      <w:r w:rsidRPr="00EC1F14" w:rsidR="00EC1F14">
        <w:t xml:space="preserve"> currently does.</w:t>
      </w:r>
      <w:r w:rsidR="00362A5D">
        <w:t xml:space="preserve"> Accordingly, this decision updates the ACC to remove the </w:t>
      </w:r>
      <w:r w:rsidRPr="00A71361" w:rsidR="00362A5D">
        <w:t>GHG rebalancing component.</w:t>
      </w:r>
    </w:p>
    <w:p w:rsidRPr="00511B49" w:rsidR="00F37995" w:rsidP="00FE7FFA" w:rsidRDefault="00F37995" w14:paraId="3E2C4E26" w14:textId="2CC628F1">
      <w:pPr>
        <w:pStyle w:val="Heading1"/>
      </w:pPr>
      <w:bookmarkStart w:name="_Toc238810861" w:id="14"/>
      <w:r w:rsidRPr="00511B49">
        <w:lastRenderedPageBreak/>
        <w:t>Cap</w:t>
      </w:r>
      <w:r w:rsidRPr="00511B49" w:rsidR="006709CF">
        <w:t>ping</w:t>
      </w:r>
      <w:r w:rsidRPr="00511B49">
        <w:t xml:space="preserve"> Total GHG Value at the Societal Cost of Carbon</w:t>
      </w:r>
      <w:bookmarkEnd w:id="14"/>
    </w:p>
    <w:p w:rsidRPr="00511B49" w:rsidR="007A4D1E" w:rsidP="009C0047" w:rsidRDefault="002D2BBC" w14:paraId="1D608F81" w14:textId="6DCD251E">
      <w:pPr>
        <w:pStyle w:val="Standard"/>
      </w:pPr>
      <w:r w:rsidRPr="00511B49">
        <w:t xml:space="preserve">The Staff Proposal recommends implementing a cap on the GHG value in both the electric and gas models equal to the high </w:t>
      </w:r>
      <w:r w:rsidRPr="00511B49" w:rsidR="00E739E8">
        <w:t xml:space="preserve">value of the SCC </w:t>
      </w:r>
      <w:r w:rsidRPr="00511B49">
        <w:t>in the Societal Cost Test.</w:t>
      </w:r>
      <w:r w:rsidRPr="00511B49" w:rsidR="0072756A">
        <w:rPr>
          <w:rStyle w:val="FootnoteReference"/>
        </w:rPr>
        <w:footnoteReference w:id="47"/>
      </w:r>
      <w:r w:rsidRPr="00511B49">
        <w:t xml:space="preserve"> </w:t>
      </w:r>
    </w:p>
    <w:p w:rsidRPr="00511B49" w:rsidR="009C0047" w:rsidP="009C0047" w:rsidRDefault="007A4D1E" w14:paraId="4B3026C1" w14:textId="7DFC0A5F">
      <w:pPr>
        <w:pStyle w:val="Standard"/>
      </w:pPr>
      <w:r w:rsidRPr="00511B49">
        <w:t xml:space="preserve">The proposal states that such a cap on the final GHG value </w:t>
      </w:r>
      <w:r w:rsidRPr="00511B49" w:rsidR="007C434F">
        <w:t>following</w:t>
      </w:r>
      <w:r w:rsidRPr="00511B49">
        <w:t xml:space="preserve"> the </w:t>
      </w:r>
      <w:r w:rsidR="00E344E6">
        <w:t>I</w:t>
      </w:r>
      <w:r w:rsidRPr="00511B49">
        <w:t xml:space="preserve">ntegrated </w:t>
      </w:r>
      <w:r w:rsidR="00E344E6">
        <w:t>C</w:t>
      </w:r>
      <w:r w:rsidRPr="00511B49">
        <w:t>alculation would represent a safeguard for ratepayers against a GHG value that exceeds the value that emissions reductions provide to society.</w:t>
      </w:r>
      <w:r w:rsidRPr="00511B49">
        <w:rPr>
          <w:rStyle w:val="FootnoteReference"/>
        </w:rPr>
        <w:footnoteReference w:id="48"/>
      </w:r>
      <w:r w:rsidRPr="00511B49">
        <w:t xml:space="preserve"> The proposal states that capping GHG values within the ACC </w:t>
      </w:r>
      <w:r w:rsidRPr="00511B49" w:rsidR="007C434F">
        <w:t>would reduce the volatility of the ACC GHG value between ACC cycles and thus</w:t>
      </w:r>
      <w:r w:rsidRPr="00511B49">
        <w:t xml:space="preserve"> ensure that a short-term high GHG value is not being used to determine long-term DER </w:t>
      </w:r>
      <w:r w:rsidRPr="00511B49" w:rsidR="00804383">
        <w:t>investments</w:t>
      </w:r>
      <w:r w:rsidRPr="00511B49">
        <w:t xml:space="preserve"> in the time between IRP and ACC cycles.</w:t>
      </w:r>
      <w:r w:rsidRPr="00511B49">
        <w:rPr>
          <w:rStyle w:val="FootnoteReference"/>
        </w:rPr>
        <w:footnoteReference w:id="49"/>
      </w:r>
    </w:p>
    <w:p w:rsidRPr="00511B49" w:rsidR="002738C7" w:rsidP="009C0047" w:rsidRDefault="0065764D" w14:paraId="3A2C0E88" w14:textId="1FA309AF">
      <w:pPr>
        <w:pStyle w:val="Standard"/>
      </w:pPr>
      <w:r w:rsidRPr="00511B49">
        <w:t>SCE</w:t>
      </w:r>
      <w:r w:rsidR="009F185B">
        <w:t xml:space="preserve"> </w:t>
      </w:r>
      <w:r w:rsidRPr="00511B49" w:rsidR="00E30879">
        <w:t xml:space="preserve">and </w:t>
      </w:r>
      <w:r w:rsidRPr="00511B49">
        <w:t>CUE support</w:t>
      </w:r>
      <w:r w:rsidRPr="00511B49" w:rsidR="00E30879">
        <w:t xml:space="preserve"> implementing a cap on the GHG value in both the electric and gas models equal to the high </w:t>
      </w:r>
      <w:r w:rsidRPr="00511B49" w:rsidR="00E739E8">
        <w:t>SCC</w:t>
      </w:r>
      <w:r w:rsidRPr="00511B49" w:rsidR="00E30879">
        <w:t xml:space="preserve"> adopted in the Societal</w:t>
      </w:r>
      <w:r w:rsidRPr="00511B49" w:rsidR="00E739E8">
        <w:t xml:space="preserve"> Cost Test</w:t>
      </w:r>
      <w:r w:rsidRPr="00511B49" w:rsidR="00E30879">
        <w:t xml:space="preserve">. </w:t>
      </w:r>
      <w:r w:rsidRPr="00511B49" w:rsidR="00E739E8">
        <w:t xml:space="preserve">that the Staff Proposal does not define </w:t>
      </w:r>
      <w:r w:rsidRPr="00511B49" w:rsidR="00782584">
        <w:t xml:space="preserve">what </w:t>
      </w:r>
      <w:r w:rsidRPr="00511B49" w:rsidR="00E739E8">
        <w:t>an up-to-date, scientifically determined SCC value</w:t>
      </w:r>
      <w:r w:rsidRPr="00511B49" w:rsidR="00782584">
        <w:t xml:space="preserve"> would be for a GHG value cap</w:t>
      </w:r>
      <w:r w:rsidRPr="00511B49" w:rsidR="00E739E8">
        <w:t>.</w:t>
      </w:r>
      <w:r w:rsidRPr="00511B49" w:rsidR="00782584">
        <w:t xml:space="preserve"> SCE </w:t>
      </w:r>
      <w:r w:rsidRPr="00511B49" w:rsidR="006936AE">
        <w:t>notes that an avoided ACC GHG cost cap will minimize the impact of the timing lag resulting from the 2026 ACC assuming GHG targets remain at levels established in D.24-02-047 before the 2024-2026 IRP cycle can consider whether changed conditions warrant an update to the electric sector GHG targets and/or trajectory.</w:t>
      </w:r>
      <w:r w:rsidRPr="00511B49" w:rsidR="006936AE">
        <w:rPr>
          <w:rStyle w:val="FootnoteReference"/>
        </w:rPr>
        <w:footnoteReference w:id="50"/>
      </w:r>
      <w:r w:rsidRPr="00511B49" w:rsidR="006936AE">
        <w:t xml:space="preserve"> CUE points to Staff Proposal language that </w:t>
      </w:r>
      <w:r w:rsidRPr="00511B49" w:rsidR="00F25282">
        <w:t>state</w:t>
      </w:r>
      <w:r w:rsidR="00297517">
        <w:t>s</w:t>
      </w:r>
      <w:r w:rsidRPr="00511B49" w:rsidR="00F25282">
        <w:t xml:space="preserve"> that </w:t>
      </w:r>
      <w:r w:rsidRPr="00511B49" w:rsidR="006936AE">
        <w:t xml:space="preserve">“future electric-sector GHG targets should be adjusted if electric abatement costs are too high for ratepayers to bear </w:t>
      </w:r>
      <w:r w:rsidRPr="00511B49" w:rsidR="006936AE">
        <w:lastRenderedPageBreak/>
        <w:t>or if reductions in other sectors can be achieved more cost-effectively.”</w:t>
      </w:r>
      <w:r w:rsidRPr="00511B49" w:rsidR="006936AE">
        <w:rPr>
          <w:rStyle w:val="FootnoteReference"/>
        </w:rPr>
        <w:footnoteReference w:id="51"/>
      </w:r>
      <w:r w:rsidRPr="00511B49" w:rsidR="00331E29">
        <w:t xml:space="preserve"> CUE also states that the Commission should reject implementation proposals that automatically replace capped GHG values with increased generati</w:t>
      </w:r>
      <w:r w:rsidRPr="00511B49" w:rsidR="007022A2">
        <w:t>on</w:t>
      </w:r>
      <w:r w:rsidRPr="00511B49" w:rsidR="00331E29">
        <w:t xml:space="preserve"> capacity value</w:t>
      </w:r>
      <w:r w:rsidRPr="00511B49" w:rsidR="00F25282">
        <w:t>s</w:t>
      </w:r>
      <w:r w:rsidRPr="00511B49" w:rsidR="00331E29">
        <w:t>.</w:t>
      </w:r>
      <w:r w:rsidRPr="00511B49" w:rsidR="00331E29">
        <w:rPr>
          <w:rStyle w:val="FootnoteReference"/>
        </w:rPr>
        <w:footnoteReference w:id="52"/>
      </w:r>
      <w:r w:rsidRPr="00511B49" w:rsidR="007022A2">
        <w:t xml:space="preserve"> CUE states that Energy Division staff should disclose the annual cap values, the years in which the cap binds, and how the cap interacts with the Integrated Calculation.</w:t>
      </w:r>
      <w:r w:rsidRPr="00511B49" w:rsidR="007022A2">
        <w:rPr>
          <w:rStyle w:val="FootnoteReference"/>
        </w:rPr>
        <w:footnoteReference w:id="53"/>
      </w:r>
    </w:p>
    <w:p w:rsidRPr="00511B49" w:rsidR="00830282" w:rsidP="00830282" w:rsidRDefault="006D2F7E" w14:paraId="4504D723" w14:textId="30157433">
      <w:pPr>
        <w:pStyle w:val="Standard"/>
      </w:pPr>
      <w:r w:rsidRPr="00511B49">
        <w:t>Cal Advocates</w:t>
      </w:r>
      <w:r w:rsidRPr="00511B49" w:rsidR="0065764D">
        <w:t>, SDG&amp;E, SoCalGas,</w:t>
      </w:r>
      <w:r w:rsidRPr="00511B49" w:rsidR="006936AE">
        <w:t xml:space="preserve"> </w:t>
      </w:r>
      <w:r w:rsidRPr="00511B49" w:rsidR="0065764D">
        <w:t>NRDC</w:t>
      </w:r>
      <w:r w:rsidRPr="00511B49" w:rsidR="00830282">
        <w:t>, BayREN, and 3C</w:t>
      </w:r>
      <w:r w:rsidRPr="00511B49" w:rsidR="000D6EC5">
        <w:t>-</w:t>
      </w:r>
      <w:r w:rsidRPr="00511B49" w:rsidR="00830282">
        <w:t>REN</w:t>
      </w:r>
      <w:r w:rsidRPr="00511B49" w:rsidR="0065764D">
        <w:t xml:space="preserve"> oppose</w:t>
      </w:r>
      <w:r w:rsidRPr="00511B49" w:rsidR="006936AE">
        <w:t xml:space="preserve"> implementing </w:t>
      </w:r>
      <w:r w:rsidR="00756B59">
        <w:t>the</w:t>
      </w:r>
      <w:r w:rsidRPr="00511B49" w:rsidR="006936AE">
        <w:t xml:space="preserve"> cap</w:t>
      </w:r>
      <w:r w:rsidR="00756B59">
        <w:t xml:space="preserve"> </w:t>
      </w:r>
      <w:r w:rsidR="00B27049">
        <w:t xml:space="preserve">as </w:t>
      </w:r>
      <w:r w:rsidR="00756B59">
        <w:t>proposed in the Staff Proposal</w:t>
      </w:r>
      <w:r w:rsidRPr="00511B49" w:rsidR="006936AE">
        <w:t xml:space="preserve"> on the GHG value in both the electric and gas models. </w:t>
      </w:r>
      <w:r w:rsidRPr="00511B49">
        <w:t>Cal Advocates</w:t>
      </w:r>
      <w:r w:rsidRPr="00511B49" w:rsidR="006936AE">
        <w:t xml:space="preserve"> states that </w:t>
      </w:r>
      <w:r w:rsidRPr="00511B49" w:rsidR="005302FD">
        <w:t>the Staff Proposal lacks enough information to determine whether using SCC as an upper limit on the GHG value is merited.</w:t>
      </w:r>
      <w:r w:rsidRPr="00511B49" w:rsidR="005302FD">
        <w:rPr>
          <w:rStyle w:val="FootnoteReference"/>
        </w:rPr>
        <w:footnoteReference w:id="54"/>
      </w:r>
      <w:r w:rsidRPr="00511B49" w:rsidR="005302FD">
        <w:t xml:space="preserve"> </w:t>
      </w:r>
      <w:r w:rsidRPr="00511B49">
        <w:t>SDG&amp;E state</w:t>
      </w:r>
      <w:r w:rsidRPr="00511B49" w:rsidR="00F25282">
        <w:t>s</w:t>
      </w:r>
      <w:r w:rsidRPr="00511B49">
        <w:t xml:space="preserve"> that tying the cap to the federal SCC is improper</w:t>
      </w:r>
      <w:r w:rsidR="007D3A8C">
        <w:t>,</w:t>
      </w:r>
      <w:r w:rsidRPr="00511B49">
        <w:t xml:space="preserve"> pointing to the </w:t>
      </w:r>
      <w:r w:rsidRPr="00511B49" w:rsidR="00804383">
        <w:t>volatility</w:t>
      </w:r>
      <w:r w:rsidRPr="00511B49">
        <w:t xml:space="preserve"> of the federal SCC and what it says is the mismatch between the national scale of the federal SCC and the California-specific marginal abatement cost.</w:t>
      </w:r>
      <w:r w:rsidRPr="00511B49">
        <w:rPr>
          <w:rStyle w:val="FootnoteReference"/>
        </w:rPr>
        <w:footnoteReference w:id="55"/>
      </w:r>
      <w:r w:rsidRPr="00511B49">
        <w:t xml:space="preserve"> </w:t>
      </w:r>
      <w:r w:rsidRPr="00511B49" w:rsidR="002E53C9">
        <w:t>SDG&amp;E also states that the SCC measures the present value of societal damage from incremental GHG emissions, not the marginal cost of abating those emissions.</w:t>
      </w:r>
      <w:r w:rsidRPr="00511B49" w:rsidR="002E53C9">
        <w:rPr>
          <w:rStyle w:val="FootnoteReference"/>
        </w:rPr>
        <w:footnoteReference w:id="56"/>
      </w:r>
      <w:r w:rsidRPr="00511B49" w:rsidR="002E53C9">
        <w:t xml:space="preserve"> SDG&amp;E </w:t>
      </w:r>
      <w:r w:rsidR="00756B59">
        <w:t xml:space="preserve">states that if the Commission imposes a cap on the GHG value, it should use </w:t>
      </w:r>
      <w:r w:rsidRPr="00511B49" w:rsidR="002E53C9">
        <w:t>the maximum marginal GHG shadow price adopted in the most recent IRP cycle as a cap.</w:t>
      </w:r>
      <w:r w:rsidRPr="00511B49" w:rsidR="002E53C9">
        <w:rPr>
          <w:rStyle w:val="FootnoteReference"/>
        </w:rPr>
        <w:footnoteReference w:id="57"/>
      </w:r>
      <w:r w:rsidRPr="00511B49" w:rsidR="002E53C9">
        <w:t xml:space="preserve"> </w:t>
      </w:r>
      <w:r w:rsidRPr="00511B49" w:rsidR="0057460D">
        <w:t xml:space="preserve">SCE challenges that proposal, stating the GHG shadow price is only a different way of calculating </w:t>
      </w:r>
      <w:r w:rsidRPr="00511B49" w:rsidR="0057460D">
        <w:lastRenderedPageBreak/>
        <w:t>abatement costs associated with meeting the state’s 2045 GHG emissions goal</w:t>
      </w:r>
      <w:r w:rsidR="007D3A8C">
        <w:t xml:space="preserve"> rather than </w:t>
      </w:r>
      <w:r w:rsidRPr="007D3A8C" w:rsidR="007D3A8C">
        <w:t>an actual cap on costs based on what is reasonable for customers to bear</w:t>
      </w:r>
      <w:r w:rsidRPr="00511B49" w:rsidR="0057460D">
        <w:t>.</w:t>
      </w:r>
      <w:r w:rsidRPr="00511B49" w:rsidR="0057460D">
        <w:rPr>
          <w:rStyle w:val="FootnoteReference"/>
        </w:rPr>
        <w:footnoteReference w:id="58"/>
      </w:r>
      <w:r w:rsidRPr="00511B49" w:rsidR="0057460D">
        <w:t xml:space="preserve"> </w:t>
      </w:r>
      <w:r w:rsidRPr="00511B49" w:rsidR="007022A2">
        <w:t xml:space="preserve">CUE </w:t>
      </w:r>
      <w:r w:rsidRPr="00511B49" w:rsidR="00F25282">
        <w:t xml:space="preserve">also </w:t>
      </w:r>
      <w:r w:rsidRPr="00511B49" w:rsidR="007022A2">
        <w:t xml:space="preserve">opposes </w:t>
      </w:r>
      <w:r w:rsidRPr="00511B49" w:rsidR="00F25282">
        <w:t>SDG&amp;E’s</w:t>
      </w:r>
      <w:r w:rsidRPr="00511B49" w:rsidR="007022A2">
        <w:t xml:space="preserve"> suggestion</w:t>
      </w:r>
      <w:r w:rsidR="00E344E6">
        <w:t>,</w:t>
      </w:r>
      <w:r w:rsidRPr="00511B49" w:rsidR="007022A2">
        <w:t xml:space="preserve"> stating that the </w:t>
      </w:r>
      <w:r w:rsidR="00E344E6">
        <w:t xml:space="preserve">GHG </w:t>
      </w:r>
      <w:r w:rsidRPr="00511B49" w:rsidR="007022A2">
        <w:t>shadow price is a modeled compliance or abatement cost, not an estimate of the societal value of the emissions reductions.</w:t>
      </w:r>
      <w:r w:rsidRPr="00511B49" w:rsidR="007022A2">
        <w:rPr>
          <w:rStyle w:val="FootnoteReference"/>
        </w:rPr>
        <w:footnoteReference w:id="59"/>
      </w:r>
      <w:r w:rsidRPr="00511B49" w:rsidR="007022A2">
        <w:t xml:space="preserve"> </w:t>
      </w:r>
      <w:r w:rsidRPr="00511B49">
        <w:t xml:space="preserve">SoCalGas states that capping California’s GHG avoided costs at the SCC will create </w:t>
      </w:r>
      <w:r w:rsidRPr="00511B49" w:rsidR="00804383">
        <w:t>inconsistencies</w:t>
      </w:r>
      <w:r w:rsidRPr="00511B49">
        <w:t xml:space="preserve"> across the ACC, IRP, </w:t>
      </w:r>
      <w:r w:rsidRPr="00511B49" w:rsidR="00F25282">
        <w:t>cap-and</w:t>
      </w:r>
      <w:r w:rsidR="00AE0DC7">
        <w:t>-invest</w:t>
      </w:r>
      <w:r w:rsidRPr="00511B49">
        <w:t>, and other regulatory frameworks and that such a cap should be implemented across proceedings</w:t>
      </w:r>
      <w:r w:rsidR="00E344E6">
        <w:t xml:space="preserve"> if it is implemented</w:t>
      </w:r>
      <w:r w:rsidRPr="00511B49">
        <w:t>.</w:t>
      </w:r>
      <w:r w:rsidRPr="00511B49">
        <w:rPr>
          <w:rStyle w:val="FootnoteReference"/>
        </w:rPr>
        <w:footnoteReference w:id="60"/>
      </w:r>
      <w:r w:rsidRPr="00511B49" w:rsidR="00AB2702">
        <w:t xml:space="preserve"> </w:t>
      </w:r>
      <w:r w:rsidRPr="00511B49" w:rsidR="007F0801">
        <w:t xml:space="preserve">SoCalGas also states that capping the GHG avoided cost at the SCC should be part of </w:t>
      </w:r>
      <w:r w:rsidRPr="00511B49" w:rsidR="00C12171">
        <w:t>bro</w:t>
      </w:r>
      <w:r w:rsidR="00AE0DC7">
        <w:t>a</w:t>
      </w:r>
      <w:r w:rsidRPr="00511B49" w:rsidR="00C12171">
        <w:t>der</w:t>
      </w:r>
      <w:r w:rsidRPr="00511B49" w:rsidR="007F0801">
        <w:t xml:space="preserve"> policy change </w:t>
      </w:r>
      <w:r w:rsidRPr="00511B49" w:rsidR="0008076E">
        <w:t xml:space="preserve">and </w:t>
      </w:r>
      <w:r w:rsidRPr="00511B49" w:rsidR="007F0801">
        <w:t>not as a modeling input to the ACC.</w:t>
      </w:r>
      <w:r w:rsidRPr="00511B49" w:rsidR="007F0801">
        <w:rPr>
          <w:rStyle w:val="FootnoteReference"/>
        </w:rPr>
        <w:footnoteReference w:id="61"/>
      </w:r>
      <w:r w:rsidRPr="00511B49" w:rsidR="007F0801">
        <w:t xml:space="preserve"> </w:t>
      </w:r>
      <w:r w:rsidRPr="00511B49" w:rsidR="00AB2702">
        <w:t>NRDC states that capping the value of GHGs on the demand side but not applying it to the supply side will cause demand side resources to be artificially undervalued relative to supply side values.</w:t>
      </w:r>
      <w:r w:rsidRPr="00511B49" w:rsidR="00AB2702">
        <w:rPr>
          <w:rStyle w:val="FootnoteReference"/>
        </w:rPr>
        <w:footnoteReference w:id="62"/>
      </w:r>
      <w:r w:rsidRPr="00511B49" w:rsidR="007022A2">
        <w:t xml:space="preserve"> </w:t>
      </w:r>
      <w:r w:rsidRPr="00511B49" w:rsidR="00830282">
        <w:t>BayREN and 3C</w:t>
      </w:r>
      <w:r w:rsidRPr="00511B49" w:rsidR="000D6EC5">
        <w:t>-</w:t>
      </w:r>
      <w:r w:rsidRPr="00511B49" w:rsidR="00830282">
        <w:t xml:space="preserve">REN state that implementing a GHG value cap based on the </w:t>
      </w:r>
      <w:r w:rsidR="005D4619">
        <w:t>SCC</w:t>
      </w:r>
      <w:r w:rsidRPr="00511B49" w:rsidR="00830282">
        <w:t xml:space="preserve"> would undervalue </w:t>
      </w:r>
      <w:r w:rsidRPr="00511B49" w:rsidR="0008076E">
        <w:t xml:space="preserve">true </w:t>
      </w:r>
      <w:r w:rsidRPr="00511B49" w:rsidR="00830282">
        <w:t>societal impacts and “not reflect the full impacts of decisions made as a result of ACC application” and would result in</w:t>
      </w:r>
      <w:r w:rsidRPr="00511B49" w:rsidR="00F25282">
        <w:t xml:space="preserve"> the same amount of</w:t>
      </w:r>
      <w:r w:rsidRPr="00511B49" w:rsidR="00830282">
        <w:t xml:space="preserve"> avoided carbon</w:t>
      </w:r>
      <w:r w:rsidRPr="00511B49" w:rsidR="00F25282">
        <w:t xml:space="preserve"> emissions</w:t>
      </w:r>
      <w:r w:rsidRPr="00511B49" w:rsidR="00830282">
        <w:t xml:space="preserve"> be</w:t>
      </w:r>
      <w:r w:rsidRPr="00511B49" w:rsidR="00F25282">
        <w:t>ing</w:t>
      </w:r>
      <w:r w:rsidRPr="00511B49" w:rsidR="00830282">
        <w:t xml:space="preserve"> assigned a higher value </w:t>
      </w:r>
      <w:r w:rsidRPr="00511B49" w:rsidR="00F25282">
        <w:t>when they’re the result of</w:t>
      </w:r>
      <w:r w:rsidRPr="00511B49" w:rsidR="00830282">
        <w:t xml:space="preserve"> utility-built infrastructure compared to </w:t>
      </w:r>
      <w:r w:rsidRPr="00511B49" w:rsidR="00F25282">
        <w:t xml:space="preserve">when they’re the product of </w:t>
      </w:r>
      <w:r w:rsidRPr="00511B49" w:rsidR="00830282">
        <w:t>energy efficiency measures.</w:t>
      </w:r>
      <w:r w:rsidRPr="00511B49" w:rsidR="00830282">
        <w:rPr>
          <w:rStyle w:val="FootnoteReference"/>
        </w:rPr>
        <w:footnoteReference w:id="63"/>
      </w:r>
      <w:r w:rsidRPr="00511B49" w:rsidR="00830282">
        <w:t xml:space="preserve"> </w:t>
      </w:r>
      <w:r w:rsidRPr="00511B49" w:rsidR="002E53C9">
        <w:t xml:space="preserve">BayREN and 3C-REN also state that if the Commission adopts a GHG value constraint, it must be applied equally to </w:t>
      </w:r>
      <w:r w:rsidRPr="00511B49" w:rsidR="002E53C9">
        <w:lastRenderedPageBreak/>
        <w:t>the supply-side IRP proceedings that use the same GHG shadow prices.</w:t>
      </w:r>
      <w:r w:rsidRPr="00511B49" w:rsidR="002E53C9">
        <w:rPr>
          <w:rStyle w:val="FootnoteReference"/>
        </w:rPr>
        <w:footnoteReference w:id="64"/>
      </w:r>
      <w:r w:rsidRPr="00511B49" w:rsidR="00CC29F3">
        <w:t xml:space="preserve"> Finally, BayREN and 3C-REN state that Energy Division should treat Societal Cost Test</w:t>
      </w:r>
      <w:r w:rsidRPr="00511B49" w:rsidR="007F0801">
        <w:t xml:space="preserve"> </w:t>
      </w:r>
      <w:r w:rsidRPr="00511B49" w:rsidR="00CC29F3">
        <w:t>values as a floor for GHG cost accounting in standard cost-effectiveness tests.</w:t>
      </w:r>
      <w:r w:rsidRPr="00511B49" w:rsidR="00CC29F3">
        <w:rPr>
          <w:rStyle w:val="FootnoteReference"/>
        </w:rPr>
        <w:footnoteReference w:id="65"/>
      </w:r>
      <w:r w:rsidRPr="00511B49" w:rsidR="007F0801">
        <w:t xml:space="preserve"> SoCalGas challenges BayREN and 3C-REN’s proposal, stating that the SCT was intended to be an information-only cost effectiveness test and not to be used for Total Resource Cost TRC calculations.</w:t>
      </w:r>
      <w:r w:rsidRPr="00511B49" w:rsidR="007F0801">
        <w:rPr>
          <w:rStyle w:val="FootnoteReference"/>
        </w:rPr>
        <w:footnoteReference w:id="66"/>
      </w:r>
    </w:p>
    <w:p w:rsidRPr="00511B49" w:rsidR="0065764D" w:rsidP="009C0047" w:rsidRDefault="0065764D" w14:paraId="17055DF2" w14:textId="2EF49EF5">
      <w:pPr>
        <w:pStyle w:val="Standard"/>
      </w:pPr>
      <w:r w:rsidRPr="00511B49">
        <w:t xml:space="preserve">CLECA </w:t>
      </w:r>
      <w:r w:rsidRPr="00511B49" w:rsidR="008D4746">
        <w:t xml:space="preserve">states that “[c]apping GHG is a </w:t>
      </w:r>
      <w:r w:rsidRPr="00511B49" w:rsidR="00804383">
        <w:t>reasonable</w:t>
      </w:r>
      <w:r w:rsidRPr="00511B49" w:rsidR="008D4746">
        <w:t xml:space="preserve"> measure” but </w:t>
      </w:r>
      <w:r w:rsidRPr="00511B49">
        <w:t xml:space="preserve">questions </w:t>
      </w:r>
      <w:r w:rsidRPr="00511B49" w:rsidR="008D4746">
        <w:t xml:space="preserve">using the </w:t>
      </w:r>
      <w:r w:rsidRPr="00511B49">
        <w:t>high S</w:t>
      </w:r>
      <w:r w:rsidRPr="00511B49" w:rsidR="008D4746">
        <w:t>ocietal Cost Test scenario as the</w:t>
      </w:r>
      <w:r w:rsidRPr="00511B49">
        <w:t xml:space="preserve"> cap</w:t>
      </w:r>
      <w:r w:rsidRPr="00511B49" w:rsidR="008D4746">
        <w:t xml:space="preserve"> level “without explanation” and states that the cap should be implemented </w:t>
      </w:r>
      <w:r w:rsidRPr="00511B49" w:rsidR="00804383">
        <w:t>consistently</w:t>
      </w:r>
      <w:r w:rsidRPr="00511B49" w:rsidR="008D4746">
        <w:t xml:space="preserve"> with the Integrated Calculation framework, and not only in the final output stage.</w:t>
      </w:r>
      <w:r w:rsidRPr="00511B49" w:rsidR="008D4746">
        <w:rPr>
          <w:rStyle w:val="FootnoteReference"/>
        </w:rPr>
        <w:footnoteReference w:id="67"/>
      </w:r>
      <w:r w:rsidRPr="00511B49" w:rsidR="0096116B">
        <w:t xml:space="preserve"> </w:t>
      </w:r>
      <w:r w:rsidR="00B41CF4">
        <w:t xml:space="preserve">SEIA </w:t>
      </w:r>
      <w:r w:rsidR="00B16E17">
        <w:t>and PG&amp;E also support applying the cap in the Integrated Calculation before the GHG value is used as an input</w:t>
      </w:r>
      <w:r w:rsidR="00B41CF4">
        <w:t>.</w:t>
      </w:r>
      <w:r w:rsidR="00B41CF4">
        <w:rPr>
          <w:rStyle w:val="FootnoteReference"/>
        </w:rPr>
        <w:footnoteReference w:id="68"/>
      </w:r>
      <w:r w:rsidR="00B41CF4">
        <w:t xml:space="preserve"> </w:t>
      </w:r>
      <w:r w:rsidRPr="00511B49" w:rsidR="0096116B">
        <w:t>SCE challenges CLECA’s proposal, stating that applying the cap within the Integrated Calculation model would increase avoided generation capacity costs in year</w:t>
      </w:r>
      <w:r w:rsidRPr="00511B49" w:rsidR="008277AF">
        <w:t>s</w:t>
      </w:r>
      <w:r w:rsidRPr="00511B49" w:rsidR="0096116B">
        <w:t xml:space="preserve"> where the model calculates an avoided GHG cost that exceeds the SCC.</w:t>
      </w:r>
      <w:r w:rsidRPr="00511B49" w:rsidR="0096116B">
        <w:rPr>
          <w:rStyle w:val="FootnoteReference"/>
        </w:rPr>
        <w:footnoteReference w:id="69"/>
      </w:r>
      <w:r w:rsidRPr="00511B49" w:rsidR="00E4536F">
        <w:t xml:space="preserve"> CLECA proposes setting the cap at the Base SCC level.</w:t>
      </w:r>
      <w:r w:rsidRPr="00511B49" w:rsidR="00E4536F">
        <w:rPr>
          <w:rStyle w:val="FootnoteReference"/>
        </w:rPr>
        <w:footnoteReference w:id="70"/>
      </w:r>
      <w:r w:rsidRPr="00511B49" w:rsidR="007A1AC1">
        <w:t xml:space="preserve"> </w:t>
      </w:r>
    </w:p>
    <w:p w:rsidR="00491B5C" w:rsidP="00830282" w:rsidRDefault="005725C8" w14:paraId="6E6B965D" w14:textId="1DB7591A">
      <w:pPr>
        <w:pStyle w:val="Standard"/>
      </w:pPr>
      <w:r w:rsidRPr="005725C8">
        <w:t xml:space="preserve">SEIA states that the SCC cap is useful only if it is regularly updated and notes </w:t>
      </w:r>
      <w:r w:rsidRPr="00511B49" w:rsidR="00830282">
        <w:t xml:space="preserve">PG&amp;E supports capping the total GHG value </w:t>
      </w:r>
      <w:r w:rsidRPr="00511B49" w:rsidR="00CB6204">
        <w:t xml:space="preserve">on an interim basis </w:t>
      </w:r>
      <w:r w:rsidRPr="00511B49" w:rsidR="00830282">
        <w:t xml:space="preserve">but urges the Commission to work </w:t>
      </w:r>
      <w:r w:rsidR="005C0F65">
        <w:t>with the California Air Resources Board (</w:t>
      </w:r>
      <w:r w:rsidRPr="00511B49" w:rsidR="00830282">
        <w:t>CARB</w:t>
      </w:r>
      <w:r w:rsidR="005C0F65">
        <w:t>)</w:t>
      </w:r>
      <w:r w:rsidRPr="00511B49" w:rsidR="00830282">
        <w:t xml:space="preserve"> on a </w:t>
      </w:r>
      <w:r w:rsidRPr="00511B49" w:rsidR="00830282">
        <w:lastRenderedPageBreak/>
        <w:t>marginal measure in the next CARB Scoping Plan due in 2027</w:t>
      </w:r>
      <w:r w:rsidRPr="00511B49" w:rsidR="00CB6204">
        <w:t xml:space="preserve"> that informs both the demand and supply sides</w:t>
      </w:r>
      <w:r w:rsidRPr="00511B49" w:rsidR="00830282">
        <w:t>.</w:t>
      </w:r>
      <w:r w:rsidRPr="00511B49" w:rsidR="00830282">
        <w:rPr>
          <w:rStyle w:val="FootnoteReference"/>
        </w:rPr>
        <w:footnoteReference w:id="71"/>
      </w:r>
      <w:r w:rsidRPr="00511B49" w:rsidR="0057460D">
        <w:t xml:space="preserve"> </w:t>
      </w:r>
      <w:r w:rsidRPr="00491B5C" w:rsidR="00491B5C">
        <w:t>SEIA additionally states that "t</w:t>
      </w:r>
      <w:r w:rsidRPr="00EB7AF3" w:rsidR="00491B5C">
        <w:t>here should be no cap on the avoided GHG values in the ACC if such a cap does not also apply to the underlying Integrated Resource Plan (“IRP”) modeling.”</w:t>
      </w:r>
      <w:r w:rsidRPr="00491B5C" w:rsidR="00491B5C">
        <w:rPr>
          <w:vertAlign w:val="superscript"/>
        </w:rPr>
        <w:footnoteReference w:id="72"/>
      </w:r>
      <w:r w:rsidRPr="00491B5C" w:rsidR="00491B5C">
        <w:t xml:space="preserve"> </w:t>
      </w:r>
      <w:r w:rsidR="00491B5C">
        <w:t xml:space="preserve"> </w:t>
      </w:r>
    </w:p>
    <w:p w:rsidRPr="00511B49" w:rsidR="00830282" w:rsidP="00830282" w:rsidRDefault="00491B5C" w14:paraId="493056D3" w14:textId="3074527D">
      <w:pPr>
        <w:pStyle w:val="Standard"/>
      </w:pPr>
      <w:r w:rsidRPr="00491B5C">
        <w:t>PG&amp;E supports capping the total GHG value on an interim basis but urges the Commission to work with the California Air Resources Board (CARB) on a marginal measure in the next CARB Scoping Plan due in 2027 that informs both the demand and supply sides.</w:t>
      </w:r>
      <w:r w:rsidRPr="00491B5C">
        <w:rPr>
          <w:vertAlign w:val="superscript"/>
        </w:rPr>
        <w:footnoteReference w:id="73"/>
      </w:r>
      <w:r>
        <w:t xml:space="preserve"> </w:t>
      </w:r>
      <w:r w:rsidRPr="00511B49" w:rsidR="0057460D">
        <w:t>SCE challenges PG&amp;E’s proposal, stating that the CARB marginal abatement cost would only be a separate methodology for estimating the costs necessary to reach the state’s 2045 GHG emissions goals under status quo conditions and not based on what is reasonable for customers to bear.</w:t>
      </w:r>
      <w:r w:rsidRPr="00511B49" w:rsidR="0057460D">
        <w:rPr>
          <w:rStyle w:val="FootnoteReference"/>
        </w:rPr>
        <w:footnoteReference w:id="74"/>
      </w:r>
    </w:p>
    <w:p w:rsidRPr="00511B49" w:rsidR="007B54B8" w:rsidP="00830282" w:rsidRDefault="007B54B8" w14:paraId="53D16EFF" w14:textId="2620A5E9">
      <w:pPr>
        <w:pStyle w:val="Standard"/>
      </w:pPr>
      <w:r w:rsidRPr="00511B49">
        <w:t>SBUA takes no stand on the issue.</w:t>
      </w:r>
    </w:p>
    <w:p w:rsidR="00AE0DC7" w:rsidP="009C0047" w:rsidRDefault="008277AF" w14:paraId="600FA770" w14:textId="16152AF5">
      <w:pPr>
        <w:pStyle w:val="Standard"/>
      </w:pPr>
      <w:r w:rsidRPr="00511B49">
        <w:t xml:space="preserve">The Commission agrees with </w:t>
      </w:r>
      <w:r w:rsidR="00AE0DC7">
        <w:t xml:space="preserve">SoCalGas that </w:t>
      </w:r>
      <w:r w:rsidRPr="001549EF" w:rsidR="00AE0DC7">
        <w:t>capping California’s GHG avoided costs at the SCC will create inconsistencies across the ACC, IRP, cap-and-</w:t>
      </w:r>
      <w:r w:rsidR="00AE0DC7">
        <w:t>invest</w:t>
      </w:r>
      <w:r w:rsidRPr="001549EF" w:rsidR="00AE0DC7">
        <w:t>, and other regulatory frameworks</w:t>
      </w:r>
      <w:r w:rsidR="00AE0DC7">
        <w:t>. The Commission also agrees with NRDC</w:t>
      </w:r>
      <w:r w:rsidR="007D3A8C">
        <w:t>, BayREN</w:t>
      </w:r>
      <w:r w:rsidR="00FF1C36">
        <w:t>,</w:t>
      </w:r>
      <w:r w:rsidR="007D3A8C">
        <w:t xml:space="preserve"> and 3-C Ren</w:t>
      </w:r>
      <w:r w:rsidR="00AE0DC7">
        <w:t xml:space="preserve"> that capping the GHG value on </w:t>
      </w:r>
      <w:r w:rsidRPr="001549EF" w:rsidR="00AE0DC7">
        <w:t>the demand side but not applying it to the supply side will cause demand side resources to be artificially undervalued relative to supply side values</w:t>
      </w:r>
      <w:r w:rsidR="00AE0DC7">
        <w:t xml:space="preserve">. Finally, the Commission agrees with SDG&amp;E that the federal SCC may prove to be too volatile and incompatible to use in the ACC. </w:t>
      </w:r>
    </w:p>
    <w:p w:rsidR="00B83962" w:rsidP="00C57712" w:rsidRDefault="00AE0DC7" w14:paraId="150C7F29" w14:textId="014E72F1">
      <w:pPr>
        <w:pStyle w:val="Standard"/>
      </w:pPr>
      <w:r>
        <w:lastRenderedPageBreak/>
        <w:t>As explained below, the Integrated Calculation will be updated in the ACC to adopt the RESOLVE model’s GHG constraint as used in the IRP to calculate GHG avoided costs from the Commission’s IRP proceeding, which will better align ACC and IRP values. Using that “shadow price” will more accurately reflect current valuations of GHG avoided costs than adopting a federal SCC-based cap. Accordingly, this decision does not update the ACC to adopt a</w:t>
      </w:r>
      <w:r w:rsidR="00C57712">
        <w:t xml:space="preserve">ny </w:t>
      </w:r>
      <w:r>
        <w:t xml:space="preserve">cap on GHG values. </w:t>
      </w:r>
      <w:r w:rsidR="005E5E0B">
        <w:t xml:space="preserve">The Commission acknowledges the diverse alternatives proposed by SEIA, PG&amp;E, CLECA, and SDG&amp;E for capping GHG avoided costs in the ACC. In light of that ongoing debate, </w:t>
      </w:r>
      <w:r w:rsidR="00C57712">
        <w:t xml:space="preserve">the </w:t>
      </w:r>
      <w:r w:rsidR="000E684A">
        <w:t>Commission may reconsider capping GHG avoided costs in the ACC if the RESOLVE model’s GHG shadow prices become persistently high and unrealistic in the future.</w:t>
      </w:r>
    </w:p>
    <w:p w:rsidR="00E21B8B" w:rsidP="00742A25" w:rsidRDefault="00E21B8B" w14:paraId="5E5EEEEC" w14:textId="1EAE0542">
      <w:pPr>
        <w:pStyle w:val="Heading1"/>
      </w:pPr>
      <w:bookmarkStart w:name="_Toc238810862" w:id="15"/>
      <w:r>
        <w:t>Refin</w:t>
      </w:r>
      <w:r w:rsidR="006709CF">
        <w:t>ing</w:t>
      </w:r>
      <w:r>
        <w:t xml:space="preserve"> the Integrated Calculation of Generation Capacity and GHG Avoided Costs</w:t>
      </w:r>
      <w:bookmarkEnd w:id="15"/>
    </w:p>
    <w:p w:rsidR="001811CD" w:rsidP="004A57C0" w:rsidRDefault="009656A4" w14:paraId="6DDE4904" w14:textId="5924F317">
      <w:pPr>
        <w:pStyle w:val="Standard"/>
      </w:pPr>
      <w:r>
        <w:t>The</w:t>
      </w:r>
      <w:r w:rsidR="001332DB">
        <w:t xml:space="preserve"> </w:t>
      </w:r>
      <w:r w:rsidR="00641E42">
        <w:t>R</w:t>
      </w:r>
      <w:r w:rsidR="001332DB">
        <w:t>evised</w:t>
      </w:r>
      <w:r>
        <w:t xml:space="preserve"> Staff Proposal recommends adopting a simplified implementation of the Integrated Calculation to address concerns about the calculation’s transparency and </w:t>
      </w:r>
      <w:r w:rsidR="00161845">
        <w:t xml:space="preserve">sensitivities to minor </w:t>
      </w:r>
      <w:r>
        <w:t xml:space="preserve">inconsistencies between </w:t>
      </w:r>
      <w:r w:rsidR="00161845">
        <w:t>the results produced by RESOLVE and SERVM.</w:t>
      </w:r>
      <w:r w:rsidR="001811CD">
        <w:rPr>
          <w:rStyle w:val="FootnoteReference"/>
        </w:rPr>
        <w:footnoteReference w:id="75"/>
      </w:r>
      <w:r w:rsidR="00161845">
        <w:t xml:space="preserve"> </w:t>
      </w:r>
    </w:p>
    <w:p w:rsidR="004A57C0" w:rsidP="004A57C0" w:rsidRDefault="001811CD" w14:paraId="3ED16F07" w14:textId="187F6FA6">
      <w:pPr>
        <w:pStyle w:val="Standard"/>
      </w:pPr>
      <w:r>
        <w:t xml:space="preserve">The 2024 ACC introduced the Integrated Calculation of both GHGs and Generation Capacity Avoided Costs that derived the two cost components </w:t>
      </w:r>
      <w:r w:rsidR="00804383">
        <w:t>simultaneously</w:t>
      </w:r>
      <w:r>
        <w:t>.</w:t>
      </w:r>
      <w:r>
        <w:rPr>
          <w:rStyle w:val="FootnoteReference"/>
        </w:rPr>
        <w:footnoteReference w:id="76"/>
      </w:r>
      <w:r>
        <w:t xml:space="preserve"> Staff implemented the Integrated Calculation as an optimization problem requiring that the net present value of the energy, capacity, and GHG benefits could offset the total cost of the resource.</w:t>
      </w:r>
      <w:r>
        <w:rPr>
          <w:rStyle w:val="FootnoteReference"/>
        </w:rPr>
        <w:footnoteReference w:id="77"/>
      </w:r>
      <w:r>
        <w:t xml:space="preserve"> The model also sought to minimize total system costs while producing internally </w:t>
      </w:r>
      <w:r>
        <w:lastRenderedPageBreak/>
        <w:t>consistent annual generation capacity avoided costs and GHG avoided costs.</w:t>
      </w:r>
      <w:r>
        <w:rPr>
          <w:rStyle w:val="FootnoteReference"/>
        </w:rPr>
        <w:footnoteReference w:id="78"/>
      </w:r>
      <w:r>
        <w:t xml:space="preserve"> The staff implemented the model through a Python-based script and workbook that summarized key assumptions and data sources.</w:t>
      </w:r>
      <w:r>
        <w:rPr>
          <w:rStyle w:val="FootnoteReference"/>
        </w:rPr>
        <w:footnoteReference w:id="79"/>
      </w:r>
      <w:r w:rsidR="00BD7A23">
        <w:t xml:space="preserve"> Finally, the 2024 ACC adopted staff recommendations to only include in the Integrated Calculation model utility solar and lithium-ion energy storage resources because they were the dominant resource additions from the IRP.</w:t>
      </w:r>
      <w:r w:rsidR="00BD7A23">
        <w:rPr>
          <w:rStyle w:val="FootnoteReference"/>
        </w:rPr>
        <w:footnoteReference w:id="80"/>
      </w:r>
      <w:r w:rsidR="00BD7A23">
        <w:t xml:space="preserve"> </w:t>
      </w:r>
    </w:p>
    <w:p w:rsidR="001811CD" w:rsidP="004A57C0" w:rsidRDefault="001811CD" w14:paraId="44ABB679" w14:textId="37922DD7">
      <w:pPr>
        <w:pStyle w:val="Standard"/>
      </w:pPr>
      <w:r>
        <w:t xml:space="preserve">For the 2026 ACC Update, staff </w:t>
      </w:r>
      <w:r w:rsidR="00FF1C36">
        <w:t xml:space="preserve">initially proposed a </w:t>
      </w:r>
      <w:r>
        <w:t>simplified formula that retain</w:t>
      </w:r>
      <w:r w:rsidR="008C437A">
        <w:t>ed</w:t>
      </w:r>
      <w:r>
        <w:t xml:space="preserve"> </w:t>
      </w:r>
      <w:r w:rsidR="00516A67">
        <w:t xml:space="preserve">the </w:t>
      </w:r>
      <w:r>
        <w:t>same principles of the 2024 ACC Integrated Calculation but use</w:t>
      </w:r>
      <w:r w:rsidR="00FF1C36">
        <w:t xml:space="preserve">d two </w:t>
      </w:r>
      <w:r w:rsidR="00DF35B6">
        <w:t>g</w:t>
      </w:r>
      <w:r>
        <w:t>overning equation</w:t>
      </w:r>
      <w:r w:rsidR="00FF1C36">
        <w:t>s</w:t>
      </w:r>
      <w:r>
        <w:t xml:space="preserve"> to directly calculate </w:t>
      </w:r>
      <w:r w:rsidR="008C437A">
        <w:t xml:space="preserve">a resource’s GHG avoided cost and </w:t>
      </w:r>
      <w:r>
        <w:t xml:space="preserve">annual </w:t>
      </w:r>
      <w:r w:rsidR="00DF35B6">
        <w:t>generation capacity</w:t>
      </w:r>
      <w:r>
        <w:t xml:space="preserve"> costs for each year.</w:t>
      </w:r>
      <w:r>
        <w:rPr>
          <w:rStyle w:val="FootnoteReference"/>
        </w:rPr>
        <w:footnoteReference w:id="81"/>
      </w:r>
      <w:r w:rsidR="00FF1C36">
        <w:t xml:space="preserve"> After SEIA and CLECA pointed out </w:t>
      </w:r>
      <w:r w:rsidR="00EE6A91">
        <w:t xml:space="preserve">that </w:t>
      </w:r>
      <w:r w:rsidR="008C437A">
        <w:t>the proposed I</w:t>
      </w:r>
      <w:r w:rsidR="00602FF6">
        <w:t xml:space="preserve">ntegrated </w:t>
      </w:r>
      <w:r w:rsidR="008C437A">
        <w:t>C</w:t>
      </w:r>
      <w:r w:rsidR="00602FF6">
        <w:t>alculation</w:t>
      </w:r>
      <w:r w:rsidR="008C437A">
        <w:t xml:space="preserve"> produced </w:t>
      </w:r>
      <w:r w:rsidR="00FF1C36">
        <w:t>inconsistent results</w:t>
      </w:r>
      <w:r w:rsidR="00EE6A91">
        <w:t>,</w:t>
      </w:r>
      <w:r w:rsidR="00BC1979">
        <w:rPr>
          <w:rStyle w:val="FootnoteReference"/>
        </w:rPr>
        <w:footnoteReference w:id="82"/>
      </w:r>
      <w:r w:rsidR="00FF1C36">
        <w:t xml:space="preserve"> a June </w:t>
      </w:r>
      <w:r w:rsidR="00821159">
        <w:t>5</w:t>
      </w:r>
      <w:r w:rsidR="00FF1C36">
        <w:t xml:space="preserve">, 2026 ALJ Ruling </w:t>
      </w:r>
      <w:r w:rsidR="00EE6A91">
        <w:t xml:space="preserve">(June </w:t>
      </w:r>
      <w:r w:rsidR="00821159">
        <w:t>5</w:t>
      </w:r>
      <w:r w:rsidR="00EE6A91">
        <w:t xml:space="preserve"> Ruling) </w:t>
      </w:r>
      <w:r w:rsidR="00BC1979">
        <w:t xml:space="preserve">proposed </w:t>
      </w:r>
      <w:r w:rsidR="008C437A">
        <w:t>a revised I</w:t>
      </w:r>
      <w:r w:rsidR="00602FF6">
        <w:t xml:space="preserve">ntegrated </w:t>
      </w:r>
      <w:r w:rsidR="008C437A">
        <w:t>C</w:t>
      </w:r>
      <w:r w:rsidR="00602FF6">
        <w:t>alculation</w:t>
      </w:r>
      <w:r w:rsidR="008C437A">
        <w:t xml:space="preserve"> that uses only one governing equation to calculate </w:t>
      </w:r>
      <w:r w:rsidR="00BC1979">
        <w:t>a resource’s</w:t>
      </w:r>
      <w:r w:rsidR="008C437A">
        <w:t xml:space="preserve"> generation capacity costs for each year.</w:t>
      </w:r>
      <w:r w:rsidR="00BC1979">
        <w:rPr>
          <w:rStyle w:val="FootnoteReference"/>
        </w:rPr>
        <w:footnoteReference w:id="83"/>
      </w:r>
    </w:p>
    <w:p w:rsidR="00DF35B6" w:rsidP="004A57C0" w:rsidRDefault="00DF35B6" w14:paraId="552E6357" w14:textId="02E5289E">
      <w:pPr>
        <w:pStyle w:val="Standard"/>
      </w:pPr>
      <w:r>
        <w:t xml:space="preserve">The </w:t>
      </w:r>
      <w:r w:rsidR="00602FF6">
        <w:t xml:space="preserve">revised </w:t>
      </w:r>
      <w:r>
        <w:t xml:space="preserve">2026 ACC model </w:t>
      </w:r>
      <w:r w:rsidR="008C0365">
        <w:t xml:space="preserve">update </w:t>
      </w:r>
      <w:r>
        <w:t>first adopts the “shadow price”</w:t>
      </w:r>
      <w:r w:rsidR="00C12171">
        <w:t xml:space="preserve"> </w:t>
      </w:r>
      <w:r>
        <w:t xml:space="preserve">of the RESOLVE model’s GHG constraint as used in </w:t>
      </w:r>
      <w:r w:rsidR="00BD2EB3">
        <w:t>the I</w:t>
      </w:r>
      <w:r>
        <w:t xml:space="preserve">RP to calculate GHG avoided costs. The “shadow price” represents the </w:t>
      </w:r>
      <w:r w:rsidR="00C12171">
        <w:t>marginal</w:t>
      </w:r>
      <w:r>
        <w:t xml:space="preserve"> cost per metric </w:t>
      </w:r>
      <w:r w:rsidR="00C12171">
        <w:t>ton</w:t>
      </w:r>
      <w:r>
        <w:t xml:space="preserve"> incurred by California ratepayers to achieve that level of carbon reductions.</w:t>
      </w:r>
      <w:r>
        <w:rPr>
          <w:rStyle w:val="FootnoteReference"/>
        </w:rPr>
        <w:footnoteReference w:id="84"/>
      </w:r>
      <w:r>
        <w:t xml:space="preserve"> The </w:t>
      </w:r>
      <w:r w:rsidR="00641E42">
        <w:t>R</w:t>
      </w:r>
      <w:r w:rsidR="00602FF6">
        <w:t xml:space="preserve">evised </w:t>
      </w:r>
      <w:r>
        <w:t>Staff Proposal propose</w:t>
      </w:r>
      <w:r w:rsidR="14FC333B">
        <w:t>d</w:t>
      </w:r>
      <w:r>
        <w:t xml:space="preserve"> calculating generation capacity value in the ACC using a </w:t>
      </w:r>
      <w:r>
        <w:lastRenderedPageBreak/>
        <w:t>single equation to represent a hybrid resource composed of marginal resources selected based on the resources built in</w:t>
      </w:r>
      <w:r w:rsidR="00BD2EB3">
        <w:t>to</w:t>
      </w:r>
      <w:r>
        <w:t xml:space="preserve"> the IRP portfolio.</w:t>
      </w:r>
      <w:r>
        <w:rPr>
          <w:rStyle w:val="FootnoteReference"/>
        </w:rPr>
        <w:footnoteReference w:id="85"/>
      </w:r>
      <w:r>
        <w:t xml:space="preserve"> The hybrid resource used in th</w:t>
      </w:r>
      <w:r w:rsidR="00BD2EB3">
        <w:t>e</w:t>
      </w:r>
      <w:r w:rsidR="009C2585">
        <w:t xml:space="preserve"> </w:t>
      </w:r>
      <w:r w:rsidR="00602FF6">
        <w:t xml:space="preserve">revised </w:t>
      </w:r>
      <w:r w:rsidR="009C2585">
        <w:t>2026</w:t>
      </w:r>
      <w:r w:rsidR="00C63B70">
        <w:t xml:space="preserve"> </w:t>
      </w:r>
      <w:r w:rsidR="00BD2EB3">
        <w:t>ACC</w:t>
      </w:r>
      <w:r>
        <w:t xml:space="preserve"> model would be solar + 4-hour storage until 2036 and then solar + 8-hour storage thereafter</w:t>
      </w:r>
      <w:r w:rsidR="00BD7A23">
        <w:t xml:space="preserve"> </w:t>
      </w:r>
      <w:r w:rsidRPr="70B6A1CC" w:rsidDel="00BD7A23" w:rsidR="00BD7A23">
        <w:rPr>
          <w:rStyle w:val="FootnoteReference"/>
        </w:rPr>
        <w:t xml:space="preserve"> </w:t>
      </w:r>
      <w:r w:rsidR="00BD7A23">
        <w:t xml:space="preserve"> “[c]</w:t>
      </w:r>
      <w:r w:rsidRPr="00BD7A23" w:rsidR="00BD7A23">
        <w:t>onsidering the portfolio of resources from the IRP used in the 2024 ACC</w:t>
      </w:r>
      <w:r w:rsidR="00BD7A23">
        <w:t>.”</w:t>
      </w:r>
      <w:r w:rsidR="00BD7A23">
        <w:rPr>
          <w:rStyle w:val="FootnoteReference"/>
        </w:rPr>
        <w:footnoteReference w:id="86"/>
      </w:r>
      <w:r w:rsidR="00BD7A23">
        <w:t xml:space="preserve"> The combination of resources included in the hybrid resource may change and will be based on the latest IRP or TPP modeling.</w:t>
      </w:r>
      <w:r w:rsidRPr="70B6A1CC" w:rsidR="00BD7A23">
        <w:rPr>
          <w:rStyle w:val="FootnoteReference"/>
        </w:rPr>
        <w:footnoteReference w:id="87"/>
      </w:r>
      <w:r w:rsidRPr="00BD7A23" w:rsidR="00BD7A23">
        <w:t xml:space="preserve"> </w:t>
      </w:r>
    </w:p>
    <w:p w:rsidR="001811CD" w:rsidP="004A57C0" w:rsidRDefault="001811CD" w14:paraId="3C705ACB" w14:textId="30C76B81">
      <w:pPr>
        <w:pStyle w:val="Standard"/>
      </w:pPr>
      <w:r>
        <w:t>For</w:t>
      </w:r>
      <w:r w:rsidR="00DF35B6">
        <w:t xml:space="preserve"> the hybrid </w:t>
      </w:r>
      <w:r>
        <w:t>marginal resource in year n, the relationship between resource costs and avoided costs is expressed as:</w:t>
      </w:r>
    </w:p>
    <w:p w:rsidRPr="001811CD" w:rsidR="001811CD" w:rsidP="001811CD" w:rsidRDefault="001811CD" w14:paraId="308A672B" w14:textId="43D61BC9">
      <w:pPr>
        <w:pStyle w:val="Standard"/>
      </w:pPr>
      <w:r w:rsidRPr="001811CD">
        <w:rPr>
          <w:rFonts w:ascii="Cambria Math" w:hAnsi="Cambria Math" w:cs="Cambria Math"/>
        </w:rPr>
        <w:t>𝑹𝑬𝑪𝑪</w:t>
      </w:r>
      <w:r w:rsidRPr="001811CD">
        <w:t xml:space="preserve"> (</w:t>
      </w:r>
      <w:r w:rsidRPr="001811CD">
        <w:rPr>
          <w:rFonts w:ascii="Cambria Math" w:hAnsi="Cambria Math" w:cs="Cambria Math"/>
        </w:rPr>
        <w:t>𝒏</w:t>
      </w:r>
      <w:r w:rsidRPr="001811CD">
        <w:t xml:space="preserve">) = </w:t>
      </w:r>
      <w:r w:rsidRPr="001811CD">
        <w:rPr>
          <w:rFonts w:ascii="Cambria Math" w:hAnsi="Cambria Math" w:cs="Cambria Math"/>
        </w:rPr>
        <w:t>𝑹</w:t>
      </w:r>
      <w:r w:rsidRPr="00742A25">
        <w:rPr>
          <w:rFonts w:ascii="Cambria Math" w:hAnsi="Cambria Math" w:cs="Cambria Math"/>
          <w:vertAlign w:val="subscript"/>
        </w:rPr>
        <w:t>𝒆𝒏𝒆𝒓𝒈𝒚</w:t>
      </w:r>
      <w:r w:rsidRPr="001811CD">
        <w:t>(</w:t>
      </w:r>
      <w:r w:rsidRPr="001811CD">
        <w:rPr>
          <w:rFonts w:ascii="Cambria Math" w:hAnsi="Cambria Math" w:cs="Cambria Math"/>
        </w:rPr>
        <w:t>𝒏</w:t>
      </w:r>
      <w:r w:rsidRPr="001811CD">
        <w:t xml:space="preserve">) + </w:t>
      </w:r>
      <w:r w:rsidRPr="001811CD">
        <w:rPr>
          <w:rFonts w:ascii="Cambria Math" w:hAnsi="Cambria Math" w:cs="Cambria Math"/>
        </w:rPr>
        <w:t>𝑨𝑪</w:t>
      </w:r>
      <w:r w:rsidRPr="00742A25">
        <w:rPr>
          <w:rFonts w:ascii="Cambria Math" w:hAnsi="Cambria Math" w:cs="Cambria Math"/>
          <w:vertAlign w:val="subscript"/>
        </w:rPr>
        <w:t>𝑮𝑪</w:t>
      </w:r>
      <w:r w:rsidRPr="001811CD">
        <w:t>(</w:t>
      </w:r>
      <w:r w:rsidRPr="001811CD">
        <w:rPr>
          <w:rFonts w:ascii="Cambria Math" w:hAnsi="Cambria Math" w:cs="Cambria Math"/>
        </w:rPr>
        <w:t>𝒏</w:t>
      </w:r>
      <w:r w:rsidRPr="001811CD">
        <w:t xml:space="preserve">) × </w:t>
      </w:r>
      <w:r w:rsidRPr="001811CD">
        <w:rPr>
          <w:rFonts w:ascii="Cambria Math" w:hAnsi="Cambria Math" w:cs="Cambria Math"/>
        </w:rPr>
        <w:t>𝑸</w:t>
      </w:r>
      <w:r w:rsidRPr="00742A25">
        <w:rPr>
          <w:rFonts w:ascii="Cambria Math" w:hAnsi="Cambria Math" w:cs="Cambria Math"/>
          <w:vertAlign w:val="subscript"/>
        </w:rPr>
        <w:t>𝑬𝑳𝑪𝑪</w:t>
      </w:r>
      <w:r w:rsidRPr="001811CD">
        <w:t>(</w:t>
      </w:r>
      <w:r w:rsidRPr="001811CD">
        <w:rPr>
          <w:rFonts w:ascii="Cambria Math" w:hAnsi="Cambria Math" w:cs="Cambria Math"/>
        </w:rPr>
        <w:t>𝒏</w:t>
      </w:r>
      <w:r w:rsidRPr="001811CD">
        <w:t xml:space="preserve">) + </w:t>
      </w:r>
      <w:r w:rsidRPr="001811CD">
        <w:rPr>
          <w:rFonts w:ascii="Cambria Math" w:hAnsi="Cambria Math" w:cs="Cambria Math"/>
        </w:rPr>
        <w:t>𝑨𝑪</w:t>
      </w:r>
      <w:r w:rsidRPr="00742A25">
        <w:rPr>
          <w:rFonts w:ascii="Cambria Math" w:hAnsi="Cambria Math" w:cs="Cambria Math"/>
          <w:vertAlign w:val="subscript"/>
        </w:rPr>
        <w:t>𝑮𝑯𝑮</w:t>
      </w:r>
      <w:r w:rsidRPr="001811CD">
        <w:t>(</w:t>
      </w:r>
      <w:r w:rsidRPr="001811CD">
        <w:rPr>
          <w:rFonts w:ascii="Cambria Math" w:hAnsi="Cambria Math" w:cs="Cambria Math"/>
        </w:rPr>
        <w:t>𝒏</w:t>
      </w:r>
      <w:r w:rsidRPr="001811CD">
        <w:t xml:space="preserve">) × </w:t>
      </w:r>
      <w:r w:rsidRPr="001811CD">
        <w:rPr>
          <w:rFonts w:ascii="Cambria Math" w:hAnsi="Cambria Math" w:cs="Cambria Math"/>
        </w:rPr>
        <w:t>𝑸</w:t>
      </w:r>
      <w:r w:rsidRPr="00742A25">
        <w:rPr>
          <w:rFonts w:ascii="Cambria Math" w:hAnsi="Cambria Math" w:cs="Cambria Math"/>
          <w:vertAlign w:val="subscript"/>
        </w:rPr>
        <w:t>𝑮𝑯𝑮</w:t>
      </w:r>
      <w:r w:rsidRPr="001811CD">
        <w:t>(</w:t>
      </w:r>
      <w:r w:rsidRPr="001811CD">
        <w:rPr>
          <w:rFonts w:ascii="Cambria Math" w:hAnsi="Cambria Math" w:cs="Cambria Math"/>
        </w:rPr>
        <w:t>𝒏</w:t>
      </w:r>
      <w:r w:rsidRPr="001811CD">
        <w:t>)</w:t>
      </w:r>
    </w:p>
    <w:p w:rsidR="001811CD" w:rsidP="001811CD" w:rsidRDefault="001811CD" w14:paraId="483F8AB1" w14:textId="60552519">
      <w:pPr>
        <w:pStyle w:val="Standard"/>
      </w:pPr>
      <w:r>
        <w:t>RECC</w:t>
      </w:r>
      <w:r w:rsidR="00AE61C7">
        <w:t xml:space="preserve"> i</w:t>
      </w:r>
      <w:r>
        <w:t>s the gross real economic carrying charge, R</w:t>
      </w:r>
      <w:r w:rsidRPr="00742A25">
        <w:rPr>
          <w:vertAlign w:val="subscript"/>
        </w:rPr>
        <w:t>energy</w:t>
      </w:r>
      <w:r>
        <w:t xml:space="preserve"> is net energy revenues, AC</w:t>
      </w:r>
      <w:r w:rsidRPr="00742A25">
        <w:rPr>
          <w:vertAlign w:val="subscript"/>
        </w:rPr>
        <w:t>GC</w:t>
      </w:r>
      <w:r>
        <w:t xml:space="preserve"> is the </w:t>
      </w:r>
      <w:r w:rsidR="00DF35B6">
        <w:t>generation cap</w:t>
      </w:r>
      <w:r>
        <w:t>acity avoided costs, Q</w:t>
      </w:r>
      <w:r w:rsidRPr="00742A25">
        <w:rPr>
          <w:vertAlign w:val="subscript"/>
        </w:rPr>
        <w:t>ELCC</w:t>
      </w:r>
      <w:r>
        <w:t xml:space="preserve"> is the deemed resource adequacy contribution, AC</w:t>
      </w:r>
      <w:r w:rsidRPr="00742A25">
        <w:rPr>
          <w:vertAlign w:val="subscript"/>
        </w:rPr>
        <w:t>GHG</w:t>
      </w:r>
      <w:r>
        <w:t xml:space="preserve"> is the GHG avoided costs, and Q</w:t>
      </w:r>
      <w:r w:rsidRPr="00742A25">
        <w:rPr>
          <w:vertAlign w:val="subscript"/>
        </w:rPr>
        <w:t>GHG</w:t>
      </w:r>
      <w:r>
        <w:t xml:space="preserve"> is the marginal GHG impacts.</w:t>
      </w:r>
    </w:p>
    <w:p w:rsidR="001811CD" w:rsidP="001811CD" w:rsidRDefault="001811CD" w14:paraId="39D4EA9E" w14:textId="7ED7FEA2">
      <w:pPr>
        <w:pStyle w:val="Standard"/>
      </w:pPr>
      <w:r>
        <w:t>Staff state</w:t>
      </w:r>
      <w:r w:rsidR="0036074C">
        <w:t>d</w:t>
      </w:r>
      <w:r>
        <w:t xml:space="preserve"> that the new calculation will be easier for stakeholders to review and audit since it is entirely contained in an Excel workbook.</w:t>
      </w:r>
      <w:r w:rsidR="002218F1">
        <w:rPr>
          <w:rStyle w:val="FootnoteReference"/>
        </w:rPr>
        <w:footnoteReference w:id="88"/>
      </w:r>
      <w:r>
        <w:t xml:space="preserve"> </w:t>
      </w:r>
      <w:r w:rsidR="00615C1F">
        <w:t>The modified method is more tolerant of inconsistent inputs because it doesn’t rely on optimization.</w:t>
      </w:r>
      <w:r w:rsidR="002218F1">
        <w:rPr>
          <w:rStyle w:val="FootnoteReference"/>
        </w:rPr>
        <w:footnoteReference w:id="89"/>
      </w:r>
      <w:r w:rsidR="0016095B">
        <w:t xml:space="preserve"> </w:t>
      </w:r>
      <w:r w:rsidRPr="5314FB78" w:rsidR="004177AF">
        <w:rPr>
          <w:rFonts w:cs="Times New Roman"/>
        </w:rPr>
        <w:t>Staff also highlight</w:t>
      </w:r>
      <w:r w:rsidR="0036074C">
        <w:rPr>
          <w:rFonts w:cs="Times New Roman"/>
        </w:rPr>
        <w:t>ed</w:t>
      </w:r>
      <w:r w:rsidRPr="5314FB78" w:rsidR="004177AF">
        <w:rPr>
          <w:rFonts w:cs="Times New Roman"/>
        </w:rPr>
        <w:t xml:space="preserve"> that </w:t>
      </w:r>
      <w:r w:rsidRPr="5314FB78" w:rsidR="0016095B">
        <w:rPr>
          <w:rFonts w:cs="Times New Roman"/>
        </w:rPr>
        <w:t>a single resource was often driving both GHG and generation capacity value leading to results that were set based on the bounds of the problem.</w:t>
      </w:r>
      <w:r w:rsidR="002218F1">
        <w:rPr>
          <w:rStyle w:val="FootnoteReference"/>
          <w:rFonts w:cs="Times New Roman"/>
        </w:rPr>
        <w:footnoteReference w:id="90"/>
      </w:r>
    </w:p>
    <w:p w:rsidR="00DF35B6" w:rsidP="001811CD" w:rsidRDefault="006C47C7" w14:paraId="64EE0BAD" w14:textId="2C53F47D">
      <w:pPr>
        <w:pStyle w:val="Standard"/>
      </w:pPr>
      <w:r>
        <w:lastRenderedPageBreak/>
        <w:t>Staff propose</w:t>
      </w:r>
      <w:r w:rsidR="00342D2C">
        <w:t>d</w:t>
      </w:r>
      <w:r>
        <w:t xml:space="preserve"> to </w:t>
      </w:r>
      <w:r w:rsidR="00DB7B0E">
        <w:t xml:space="preserve">continue to </w:t>
      </w:r>
      <w:r>
        <w:t>imp</w:t>
      </w:r>
      <w:r w:rsidR="00A53853">
        <w:t>lement</w:t>
      </w:r>
      <w:r>
        <w:t xml:space="preserve"> lower bounds on both the generation capacity and GHG avoided costs, aligned with the ACC modeling, with the generation capacity bounds reflecting the assumed ongoing fixed </w:t>
      </w:r>
      <w:r w:rsidR="00BC4BC1">
        <w:t>O&amp;M</w:t>
      </w:r>
      <w:r>
        <w:t xml:space="preserve"> cost of existing gas resources, while the floor for the GHG avoided costs is set equal to the forecast for cap-and-</w:t>
      </w:r>
      <w:r w:rsidR="00602FF6">
        <w:t>invest allowance prices used in the IRP.</w:t>
      </w:r>
      <w:r w:rsidRPr="5314FB78">
        <w:rPr>
          <w:rStyle w:val="FootnoteReference"/>
        </w:rPr>
        <w:footnoteReference w:id="91"/>
      </w:r>
    </w:p>
    <w:p w:rsidRPr="00742A25" w:rsidR="00A4120E" w:rsidP="001811CD" w:rsidRDefault="00A4120E" w14:paraId="51E9289A" w14:textId="56F72088">
      <w:pPr>
        <w:pStyle w:val="Standard"/>
      </w:pPr>
      <w:r w:rsidRPr="00742A25">
        <w:t xml:space="preserve">SDG&amp;E supports the </w:t>
      </w:r>
      <w:r w:rsidRPr="00742A25" w:rsidR="00EE6A91">
        <w:t>revised I</w:t>
      </w:r>
      <w:r w:rsidR="00602FF6">
        <w:t xml:space="preserve">ntegrated </w:t>
      </w:r>
      <w:r w:rsidRPr="00742A25" w:rsidR="00EE6A91">
        <w:t>C</w:t>
      </w:r>
      <w:r w:rsidR="00602FF6">
        <w:t>alculation</w:t>
      </w:r>
      <w:r w:rsidRPr="00742A25">
        <w:t xml:space="preserve"> but suggests that Energy Division publish a side-by-side comparison of the calculation’s outputs under the new and prior methodologies for at least one common </w:t>
      </w:r>
      <w:r w:rsidR="00602FF6">
        <w:t>set</w:t>
      </w:r>
      <w:r w:rsidRPr="00742A25">
        <w:t xml:space="preserve"> of inputs</w:t>
      </w:r>
      <w:r w:rsidR="00602FF6">
        <w:t xml:space="preserve"> or one common year</w:t>
      </w:r>
      <w:r w:rsidRPr="00742A25">
        <w:t>.</w:t>
      </w:r>
      <w:r w:rsidRPr="00742A25">
        <w:rPr>
          <w:rStyle w:val="FootnoteReference"/>
        </w:rPr>
        <w:footnoteReference w:id="92"/>
      </w:r>
    </w:p>
    <w:p w:rsidR="00B16E17" w:rsidP="001811CD" w:rsidRDefault="008D5132" w14:paraId="6030C507" w14:textId="3506CFB4">
      <w:pPr>
        <w:pStyle w:val="Standard"/>
      </w:pPr>
      <w:r w:rsidRPr="00742A25">
        <w:t>SCE support</w:t>
      </w:r>
      <w:r w:rsidR="00602FF6">
        <w:t>s</w:t>
      </w:r>
      <w:r w:rsidRPr="00742A25">
        <w:t xml:space="preserve"> the revised I</w:t>
      </w:r>
      <w:r w:rsidR="00602FF6">
        <w:t xml:space="preserve">ntegrated </w:t>
      </w:r>
      <w:r w:rsidRPr="00742A25">
        <w:t>C</w:t>
      </w:r>
      <w:r w:rsidR="00602FF6">
        <w:t>alculation</w:t>
      </w:r>
      <w:r w:rsidRPr="00742A25">
        <w:t xml:space="preserve"> but proposes aligning the generation capacity value in the ACC with the generation capac</w:t>
      </w:r>
      <w:r w:rsidR="00602FF6">
        <w:t>i</w:t>
      </w:r>
      <w:r w:rsidRPr="00742A25">
        <w:t>ty value in the IRP.</w:t>
      </w:r>
      <w:r w:rsidRPr="00742A25">
        <w:rPr>
          <w:rStyle w:val="FootnoteReference"/>
        </w:rPr>
        <w:footnoteReference w:id="93"/>
      </w:r>
      <w:r w:rsidRPr="00742A25">
        <w:t xml:space="preserve"> </w:t>
      </w:r>
      <w:r w:rsidR="00B16E17">
        <w:t xml:space="preserve">PG&amp;E supports SCE’s proposal but warns that the capacity values in the </w:t>
      </w:r>
      <w:r w:rsidR="0078565C">
        <w:t>ACC</w:t>
      </w:r>
      <w:r w:rsidR="00B16E17">
        <w:t xml:space="preserve"> and IRP models should be checked for consistency</w:t>
      </w:r>
      <w:r w:rsidR="00821159">
        <w:t xml:space="preserve"> first</w:t>
      </w:r>
      <w:r w:rsidR="00B16E17">
        <w:t>.</w:t>
      </w:r>
      <w:r w:rsidR="00B16E17">
        <w:rPr>
          <w:rStyle w:val="FootnoteReference"/>
        </w:rPr>
        <w:footnoteReference w:id="94"/>
      </w:r>
      <w:r w:rsidR="00B16E17">
        <w:t xml:space="preserve"> </w:t>
      </w:r>
      <w:r w:rsidR="000D6475">
        <w:t xml:space="preserve">SEIA opposes SCE’s proposal, stating that the generation capacity costs estimated in the early years of the modeled IRP portfolio are distorted due to resources chosen not based on economic reasons but because they </w:t>
      </w:r>
      <w:r w:rsidR="00821159">
        <w:t>we</w:t>
      </w:r>
      <w:r w:rsidR="000D6475">
        <w:t>re included in the LSE</w:t>
      </w:r>
      <w:r w:rsidR="0078565C">
        <w:t xml:space="preserve">s’ </w:t>
      </w:r>
      <w:r w:rsidR="000D6475">
        <w:t>resource plans.</w:t>
      </w:r>
      <w:r w:rsidR="000D6475">
        <w:rPr>
          <w:rStyle w:val="FootnoteReference"/>
        </w:rPr>
        <w:footnoteReference w:id="95"/>
      </w:r>
      <w:r w:rsidR="000D6475">
        <w:t xml:space="preserve"> SEIA also states that the IRP </w:t>
      </w:r>
      <w:r w:rsidR="00F37482">
        <w:t xml:space="preserve">and Integrated Calculation have different purposes, as the IRP is </w:t>
      </w:r>
      <w:r w:rsidR="000D6475">
        <w:t xml:space="preserve">intended to optimize the selection of a portfolio of resources based on preferences in the LSEs’ resource plans while the Integrated Calculation aims to determine an avoided generation capacity cost that enables a </w:t>
      </w:r>
      <w:r w:rsidR="000D6475">
        <w:lastRenderedPageBreak/>
        <w:t>marginal resource from the IRP to recover its costs fully.</w:t>
      </w:r>
      <w:r w:rsidR="000D6475">
        <w:rPr>
          <w:rStyle w:val="FootnoteReference"/>
        </w:rPr>
        <w:footnoteReference w:id="96"/>
      </w:r>
      <w:r w:rsidR="00F37482">
        <w:t xml:space="preserve"> </w:t>
      </w:r>
      <w:r w:rsidR="002770EB">
        <w:t>CLECA also opposes SCE’s suggestion about</w:t>
      </w:r>
      <w:r w:rsidR="00821159">
        <w:t xml:space="preserve"> the ACC</w:t>
      </w:r>
      <w:r w:rsidR="002770EB">
        <w:t xml:space="preserve"> adopting the IRP’s generation capacity value.</w:t>
      </w:r>
      <w:r w:rsidR="002770EB">
        <w:rPr>
          <w:rStyle w:val="FootnoteReference"/>
        </w:rPr>
        <w:footnoteReference w:id="97"/>
      </w:r>
      <w:r w:rsidR="002770EB">
        <w:t xml:space="preserve"> </w:t>
      </w:r>
    </w:p>
    <w:p w:rsidRPr="00742A25" w:rsidR="008D5132" w:rsidP="001811CD" w:rsidRDefault="008D5132" w14:paraId="1B7626A6" w14:textId="264C8255">
      <w:pPr>
        <w:pStyle w:val="Standard"/>
      </w:pPr>
      <w:r w:rsidRPr="00742A25">
        <w:t>SCE also suggest</w:t>
      </w:r>
      <w:r w:rsidR="00602FF6">
        <w:t>s</w:t>
      </w:r>
      <w:r w:rsidRPr="00742A25">
        <w:t xml:space="preserve"> reintroducing the smoothing step for</w:t>
      </w:r>
      <w:r w:rsidR="00602FF6">
        <w:t xml:space="preserve"> GHG and</w:t>
      </w:r>
      <w:r w:rsidRPr="00742A25">
        <w:t xml:space="preserve"> generation capacity avoided costs included in the original Staff Proposal</w:t>
      </w:r>
      <w:r w:rsidR="00602FF6">
        <w:t xml:space="preserve"> using a seven-year rolling average to reduce inter-year volatility</w:t>
      </w:r>
      <w:r w:rsidRPr="00742A25">
        <w:t>.</w:t>
      </w:r>
      <w:r w:rsidRPr="00742A25">
        <w:rPr>
          <w:rStyle w:val="FootnoteReference"/>
        </w:rPr>
        <w:footnoteReference w:id="98"/>
      </w:r>
      <w:r w:rsidR="00B41CF4">
        <w:t xml:space="preserve"> CLECA and SEIA agree with SCE’s suggestion about the smoothing step.</w:t>
      </w:r>
      <w:r w:rsidR="00B41CF4">
        <w:rPr>
          <w:rStyle w:val="FootnoteReference"/>
        </w:rPr>
        <w:footnoteReference w:id="99"/>
      </w:r>
    </w:p>
    <w:p w:rsidRPr="00742A25" w:rsidR="008D5132" w:rsidP="008D5132" w:rsidRDefault="008D5132" w14:paraId="4B298BCD" w14:textId="1F52D1F8">
      <w:pPr>
        <w:pStyle w:val="Standard"/>
      </w:pPr>
      <w:r w:rsidRPr="00742A25">
        <w:t>SBUA and PG&amp;E support the revised I</w:t>
      </w:r>
      <w:r w:rsidR="00602FF6">
        <w:t xml:space="preserve">ntegrated </w:t>
      </w:r>
      <w:r w:rsidRPr="00742A25">
        <w:t>C</w:t>
      </w:r>
      <w:r w:rsidR="00602FF6">
        <w:t xml:space="preserve">alculation while </w:t>
      </w:r>
      <w:r w:rsidRPr="002A257C" w:rsidR="00602FF6">
        <w:t>SoCalGas supports the revised I</w:t>
      </w:r>
      <w:r w:rsidR="00602FF6">
        <w:t xml:space="preserve">ntegrated </w:t>
      </w:r>
      <w:r w:rsidRPr="002A257C" w:rsidR="00602FF6">
        <w:t>C</w:t>
      </w:r>
      <w:r w:rsidR="00602FF6">
        <w:t>alculation</w:t>
      </w:r>
      <w:r w:rsidRPr="002A257C" w:rsidR="00602FF6">
        <w:t xml:space="preserve"> as an interim measure.</w:t>
      </w:r>
      <w:r w:rsidRPr="00742A25">
        <w:rPr>
          <w:rStyle w:val="FootnoteReference"/>
        </w:rPr>
        <w:footnoteReference w:id="100"/>
      </w:r>
    </w:p>
    <w:p w:rsidRPr="00742A25" w:rsidR="001811CD" w:rsidP="001811CD" w:rsidRDefault="00562725" w14:paraId="6B53DA81" w14:textId="0D7E25C8">
      <w:pPr>
        <w:pStyle w:val="Standard"/>
      </w:pPr>
      <w:r w:rsidRPr="00742A25">
        <w:t xml:space="preserve">SEIA </w:t>
      </w:r>
      <w:r w:rsidRPr="00742A25" w:rsidR="00A503EB">
        <w:t>overall supports the revised I</w:t>
      </w:r>
      <w:r w:rsidR="00602FF6">
        <w:t xml:space="preserve">ntegrated </w:t>
      </w:r>
      <w:r w:rsidRPr="00742A25" w:rsidR="00A503EB">
        <w:t>C</w:t>
      </w:r>
      <w:r w:rsidR="00602FF6">
        <w:t>alculation</w:t>
      </w:r>
      <w:r w:rsidRPr="00742A25" w:rsidR="00A503EB">
        <w:t xml:space="preserve"> but states that it should incorporate a wider range of resources</w:t>
      </w:r>
      <w:r w:rsidRPr="00742A25">
        <w:t>.</w:t>
      </w:r>
      <w:r w:rsidRPr="00742A25">
        <w:rPr>
          <w:rStyle w:val="FootnoteReference"/>
        </w:rPr>
        <w:footnoteReference w:id="101"/>
      </w:r>
      <w:r w:rsidRPr="00742A25">
        <w:t xml:space="preserve"> Additionally, SEIA recommends </w:t>
      </w:r>
      <w:r w:rsidRPr="00742A25" w:rsidR="00142DC0">
        <w:t xml:space="preserve">moving up, to 2029-2031, </w:t>
      </w:r>
      <w:r w:rsidR="00602FF6">
        <w:t>the</w:t>
      </w:r>
      <w:r w:rsidRPr="00742A25">
        <w:t xml:space="preserve"> switch from the model’s 4-</w:t>
      </w:r>
      <w:r w:rsidR="00B41CF4">
        <w:t>hour</w:t>
      </w:r>
      <w:r w:rsidRPr="00742A25">
        <w:t xml:space="preserve"> battery assumption to an 8-</w:t>
      </w:r>
      <w:r w:rsidR="00B41CF4">
        <w:t>hour</w:t>
      </w:r>
      <w:r w:rsidRPr="00742A25">
        <w:t xml:space="preserve"> battery assumption to avoid the major swings in the results during the transition </w:t>
      </w:r>
      <w:r w:rsidRPr="00742A25" w:rsidR="0004567E">
        <w:t>year</w:t>
      </w:r>
      <w:r w:rsidRPr="00742A25">
        <w:t>.</w:t>
      </w:r>
      <w:r w:rsidRPr="00742A25" w:rsidR="00142DC0">
        <w:rPr>
          <w:rStyle w:val="FootnoteReference"/>
        </w:rPr>
        <w:footnoteReference w:id="102"/>
      </w:r>
      <w:r w:rsidRPr="00742A25" w:rsidR="0004567E">
        <w:t xml:space="preserve"> </w:t>
      </w:r>
      <w:r w:rsidR="00B41CF4">
        <w:t xml:space="preserve">CLECA supports SEIA’s recommendation on modifying the transition </w:t>
      </w:r>
      <w:r w:rsidR="00821159">
        <w:t xml:space="preserve">from 4-hour to 8-hour </w:t>
      </w:r>
      <w:r w:rsidR="00B41CF4">
        <w:t>battery assumptions.</w:t>
      </w:r>
      <w:r w:rsidR="00B41CF4">
        <w:rPr>
          <w:rStyle w:val="FootnoteReference"/>
        </w:rPr>
        <w:footnoteReference w:id="103"/>
      </w:r>
    </w:p>
    <w:p w:rsidRPr="00742A25" w:rsidR="0004567E" w:rsidP="001811CD" w:rsidRDefault="00E5545F" w14:paraId="4D9CD0DF" w14:textId="78C37CDE">
      <w:pPr>
        <w:pStyle w:val="Standard"/>
      </w:pPr>
      <w:r w:rsidRPr="00742A25">
        <w:t>CLECA state</w:t>
      </w:r>
      <w:r w:rsidRPr="00742A25" w:rsidR="00806984">
        <w:t>s</w:t>
      </w:r>
      <w:r w:rsidRPr="00742A25">
        <w:t xml:space="preserve"> that the </w:t>
      </w:r>
      <w:r w:rsidRPr="00742A25" w:rsidR="005F1828">
        <w:t xml:space="preserve">revised </w:t>
      </w:r>
      <w:r w:rsidRPr="00742A25">
        <w:t xml:space="preserve">Integrated Calculation </w:t>
      </w:r>
      <w:r w:rsidRPr="00742A25" w:rsidR="005F1828">
        <w:t>is not technology-agnostic and excludes resources that the IRP relies upon for reliability.</w:t>
      </w:r>
      <w:r w:rsidRPr="00742A25" w:rsidR="005F1828">
        <w:rPr>
          <w:rStyle w:val="FootnoteReference"/>
        </w:rPr>
        <w:footnoteReference w:id="104"/>
      </w:r>
      <w:r w:rsidRPr="00742A25" w:rsidR="005F1828">
        <w:t xml:space="preserve"> </w:t>
      </w:r>
      <w:r w:rsidR="00F37482">
        <w:t xml:space="preserve">SEIA </w:t>
      </w:r>
      <w:r w:rsidR="00F37482">
        <w:lastRenderedPageBreak/>
        <w:t>agrees that the Integrated Calculation should include more resources.</w:t>
      </w:r>
      <w:r w:rsidR="00F37482">
        <w:rPr>
          <w:rStyle w:val="FootnoteReference"/>
        </w:rPr>
        <w:footnoteReference w:id="105"/>
      </w:r>
      <w:r w:rsidR="00F37482">
        <w:t xml:space="preserve"> </w:t>
      </w:r>
      <w:r w:rsidRPr="00742A25" w:rsidR="005F1828">
        <w:t xml:space="preserve">CLECA also states that the </w:t>
      </w:r>
      <w:r w:rsidR="00641E42">
        <w:t>R</w:t>
      </w:r>
      <w:r w:rsidRPr="00742A25" w:rsidR="005F1828">
        <w:t>evised Staff Proposal does not explain why the revised I</w:t>
      </w:r>
      <w:r w:rsidR="00602FF6">
        <w:t xml:space="preserve">ntegrated </w:t>
      </w:r>
      <w:r w:rsidRPr="00742A25" w:rsidR="005F1828">
        <w:t>C</w:t>
      </w:r>
      <w:r w:rsidR="00602FF6">
        <w:t>alculation</w:t>
      </w:r>
      <w:r w:rsidRPr="00742A25" w:rsidR="005F1828">
        <w:t xml:space="preserve"> chooses a hybrid solar-plus-storage resource versus another resource and that it remains unstable because it relies on “a poorly chosen, incomplete set of </w:t>
      </w:r>
      <w:r w:rsidRPr="00064AF8" w:rsidR="00064AF8">
        <w:t>resources</w:t>
      </w:r>
      <w:r w:rsidRPr="00742A25" w:rsidR="005F1828">
        <w:t xml:space="preserve"> with attributes that sit too close together to produce meaningful, stable results.”</w:t>
      </w:r>
      <w:r w:rsidRPr="00742A25" w:rsidR="005F1828">
        <w:rPr>
          <w:rStyle w:val="FootnoteReference"/>
        </w:rPr>
        <w:footnoteReference w:id="106"/>
      </w:r>
      <w:r w:rsidR="00F37482">
        <w:t xml:space="preserve"> SEIA agrees with CLECA’s comments, stating “hybrids are not a candidate resource in RESOLVE, and the IRP does not require or plan for </w:t>
      </w:r>
      <w:r w:rsidR="00821159">
        <w:t xml:space="preserve">solar </w:t>
      </w:r>
      <w:r w:rsidR="00F37482">
        <w:t>and storage projects to be developed together as hybrids.”</w:t>
      </w:r>
      <w:r w:rsidR="00F37482">
        <w:rPr>
          <w:rStyle w:val="FootnoteReference"/>
        </w:rPr>
        <w:footnoteReference w:id="107"/>
      </w:r>
      <w:r w:rsidRPr="00742A25" w:rsidR="005F1828">
        <w:t xml:space="preserve"> CLECA writes that the natural gas </w:t>
      </w:r>
      <w:r w:rsidR="00BC4BC1">
        <w:t>O&amp;M</w:t>
      </w:r>
      <w:r w:rsidRPr="00742A25" w:rsidR="005F1828">
        <w:t xml:space="preserve"> cost floor is understated because it omits taxes and insurance costs and that the revised I</w:t>
      </w:r>
      <w:r w:rsidR="00602FF6">
        <w:t xml:space="preserve">ntegrated </w:t>
      </w:r>
      <w:r w:rsidRPr="00742A25" w:rsidR="005F1828">
        <w:t>C</w:t>
      </w:r>
      <w:r w:rsidR="00602FF6">
        <w:t>alculation</w:t>
      </w:r>
      <w:r w:rsidRPr="00742A25" w:rsidR="005F1828">
        <w:t xml:space="preserve"> subordinates capacity value to the GHG value and removes the independence of modeled resources.</w:t>
      </w:r>
      <w:r w:rsidRPr="00742A25" w:rsidR="005F1828">
        <w:rPr>
          <w:rStyle w:val="FootnoteReference"/>
        </w:rPr>
        <w:footnoteReference w:id="108"/>
      </w:r>
      <w:r w:rsidRPr="00742A25" w:rsidR="005F1828">
        <w:t xml:space="preserve"> </w:t>
      </w:r>
      <w:r w:rsidR="00F37482">
        <w:t xml:space="preserve">SCE and SEIA agree with CLECA’s comments about the natural gas </w:t>
      </w:r>
      <w:r w:rsidR="00BC4BC1">
        <w:t>O&amp;M</w:t>
      </w:r>
      <w:r w:rsidR="00F37482">
        <w:t xml:space="preserve"> cost floor</w:t>
      </w:r>
      <w:r w:rsidR="00821159">
        <w:t xml:space="preserve"> being too low</w:t>
      </w:r>
      <w:r w:rsidR="00F37482">
        <w:t>.</w:t>
      </w:r>
      <w:r w:rsidR="00F37482">
        <w:rPr>
          <w:rStyle w:val="FootnoteReference"/>
        </w:rPr>
        <w:footnoteReference w:id="109"/>
      </w:r>
      <w:r w:rsidR="00F37482">
        <w:t xml:space="preserve"> </w:t>
      </w:r>
      <w:r w:rsidRPr="00742A25" w:rsidR="005F1828">
        <w:t>Finally, CLECA questions the accuracy of the results of the SERVM and RESOLVE models.</w:t>
      </w:r>
      <w:r w:rsidRPr="00742A25" w:rsidR="005F1828">
        <w:rPr>
          <w:rStyle w:val="FootnoteReference"/>
        </w:rPr>
        <w:footnoteReference w:id="110"/>
      </w:r>
      <w:r w:rsidRPr="00742A25" w:rsidR="005F1828">
        <w:t xml:space="preserve">  </w:t>
      </w:r>
    </w:p>
    <w:p w:rsidRPr="00742A25" w:rsidR="0004567E" w:rsidP="001811CD" w:rsidRDefault="0004567E" w14:paraId="308C081A" w14:textId="763A2B8F">
      <w:pPr>
        <w:pStyle w:val="Standard"/>
      </w:pPr>
      <w:r w:rsidRPr="00742A25">
        <w:t xml:space="preserve">BayREN and 3C-REN state that the </w:t>
      </w:r>
      <w:r w:rsidRPr="00742A25" w:rsidR="00615A77">
        <w:t>Commission should publish the I</w:t>
      </w:r>
      <w:r w:rsidR="00602FF6">
        <w:t xml:space="preserve">ntegrated </w:t>
      </w:r>
      <w:r w:rsidRPr="00742A25" w:rsidR="00615A77">
        <w:t>C</w:t>
      </w:r>
      <w:r w:rsidR="00602FF6">
        <w:t>alculation</w:t>
      </w:r>
      <w:r w:rsidRPr="00742A25" w:rsidR="00615A77">
        <w:t>’s GHG output</w:t>
      </w:r>
      <w:r w:rsidR="00821159">
        <w:t>s</w:t>
      </w:r>
      <w:r w:rsidRPr="00742A25" w:rsidR="00615A77">
        <w:t xml:space="preserve"> and allow for party comment before approving a final calculation.</w:t>
      </w:r>
      <w:r w:rsidRPr="00742A25" w:rsidR="00615A77">
        <w:rPr>
          <w:rStyle w:val="FootnoteReference"/>
        </w:rPr>
        <w:footnoteReference w:id="111"/>
      </w:r>
      <w:r w:rsidRPr="00742A25" w:rsidR="00615A77">
        <w:t xml:space="preserve"> BayREN and 3C-REN also write that the </w:t>
      </w:r>
      <w:r w:rsidRPr="00742A25" w:rsidR="00615A77">
        <w:lastRenderedPageBreak/>
        <w:t xml:space="preserve">Commission should not approve a final </w:t>
      </w:r>
      <w:r w:rsidRPr="00742A25">
        <w:t xml:space="preserve">ACC model </w:t>
      </w:r>
      <w:r w:rsidRPr="00742A25" w:rsidR="00615A77">
        <w:t>before deciding on guiding principles in Track 3 of this proceeding.</w:t>
      </w:r>
      <w:r w:rsidRPr="00742A25" w:rsidR="00615A77">
        <w:rPr>
          <w:rStyle w:val="FootnoteReference"/>
        </w:rPr>
        <w:footnoteReference w:id="112"/>
      </w:r>
      <w:r w:rsidRPr="00742A25" w:rsidR="00615A77">
        <w:t xml:space="preserve"> </w:t>
      </w:r>
    </w:p>
    <w:p w:rsidRPr="00742A25" w:rsidR="00C15402" w:rsidP="001811CD" w:rsidRDefault="00C15402" w14:paraId="7EECE229" w14:textId="1E3E2675">
      <w:pPr>
        <w:pStyle w:val="Standard"/>
      </w:pPr>
      <w:r w:rsidRPr="00742A25">
        <w:t>SoCalREN opposes the revised I</w:t>
      </w:r>
      <w:r w:rsidR="00602FF6">
        <w:t xml:space="preserve">ntegrated </w:t>
      </w:r>
      <w:r w:rsidRPr="00742A25">
        <w:t>C</w:t>
      </w:r>
      <w:r w:rsidR="00602FF6">
        <w:t>alculation</w:t>
      </w:r>
      <w:r w:rsidRPr="00742A25">
        <w:t>, stating that “collapsing GHG abatement costs into a single value oversimplifies their true variation and undermines the model’s ability to serve Equity customers effectively.”</w:t>
      </w:r>
      <w:r w:rsidR="00454BF4">
        <w:t xml:space="preserve"> SoCalREN </w:t>
      </w:r>
      <w:r w:rsidR="00501B25">
        <w:t xml:space="preserve">argues that </w:t>
      </w:r>
      <w:r w:rsidRPr="00501B25" w:rsidR="00501B25">
        <w:t xml:space="preserve">GHG </w:t>
      </w:r>
      <w:r w:rsidR="00CD47FE">
        <w:t xml:space="preserve">abatement </w:t>
      </w:r>
      <w:r w:rsidRPr="00501B25" w:rsidR="00501B25">
        <w:t xml:space="preserve">costs </w:t>
      </w:r>
      <w:r w:rsidR="00501B25">
        <w:t>really</w:t>
      </w:r>
      <w:r w:rsidRPr="00501B25" w:rsidR="00501B25">
        <w:t xml:space="preserve"> vary b</w:t>
      </w:r>
      <w:r w:rsidR="00AD4C5C">
        <w:t>y</w:t>
      </w:r>
      <w:r w:rsidRPr="00501B25" w:rsidR="00501B25">
        <w:t xml:space="preserve"> customer </w:t>
      </w:r>
      <w:r w:rsidR="005511D9">
        <w:t>sector</w:t>
      </w:r>
      <w:r w:rsidR="00124E10">
        <w:t xml:space="preserve">, e.g., differing between </w:t>
      </w:r>
      <w:r w:rsidRPr="00124E10" w:rsidR="00124E10">
        <w:t xml:space="preserve">large industrial </w:t>
      </w:r>
      <w:r w:rsidR="00124E10">
        <w:t>and</w:t>
      </w:r>
      <w:r w:rsidRPr="00124E10" w:rsidR="00124E10">
        <w:t xml:space="preserve"> equity-focused multifamily </w:t>
      </w:r>
      <w:r w:rsidR="00C71650">
        <w:t>sectors</w:t>
      </w:r>
      <w:r w:rsidRPr="00501B25" w:rsidR="00501B25">
        <w:t>.</w:t>
      </w:r>
      <w:r w:rsidRPr="00742A25">
        <w:rPr>
          <w:rStyle w:val="FootnoteReference"/>
        </w:rPr>
        <w:footnoteReference w:id="113"/>
      </w:r>
    </w:p>
    <w:p w:rsidRPr="00742A25" w:rsidR="00A4120E" w:rsidP="001811CD" w:rsidRDefault="00A4120E" w14:paraId="25850349" w14:textId="2D0FA144">
      <w:pPr>
        <w:pStyle w:val="Standard"/>
      </w:pPr>
      <w:r w:rsidRPr="00742A25">
        <w:t>NRDC states that the Staff Proposal should not presume that future clean energy procurement targets will be adjusted if emission reductions can be achieved more cost effectively elsewhere due to statutory electric sector specific mandates.</w:t>
      </w:r>
      <w:r w:rsidRPr="00742A25">
        <w:rPr>
          <w:rStyle w:val="FootnoteReference"/>
        </w:rPr>
        <w:footnoteReference w:id="114"/>
      </w:r>
      <w:r w:rsidRPr="00742A25">
        <w:t xml:space="preserve"> </w:t>
      </w:r>
    </w:p>
    <w:p w:rsidR="008B29E0" w:rsidP="008D5132" w:rsidRDefault="00C15402" w14:paraId="2FFAAD3D" w14:textId="77777777">
      <w:pPr>
        <w:pStyle w:val="Standard"/>
      </w:pPr>
      <w:r>
        <w:t xml:space="preserve">The Commission agrees with SBUA, PG&amp;E, </w:t>
      </w:r>
      <w:r w:rsidR="00820E66">
        <w:t xml:space="preserve">SoCalGas, </w:t>
      </w:r>
      <w:r w:rsidR="008D5132">
        <w:t xml:space="preserve">SDG&amp;E, </w:t>
      </w:r>
      <w:r w:rsidR="00820E66">
        <w:t>and SCE</w:t>
      </w:r>
      <w:r w:rsidR="008D5132">
        <w:t xml:space="preserve"> that the revised I</w:t>
      </w:r>
      <w:r w:rsidR="00602FF6">
        <w:t xml:space="preserve">ntegrated </w:t>
      </w:r>
      <w:r w:rsidR="008D5132">
        <w:t>C</w:t>
      </w:r>
      <w:r w:rsidR="00602FF6">
        <w:t>alculation</w:t>
      </w:r>
      <w:r w:rsidR="008D5132">
        <w:t xml:space="preserve"> fixes the inconsistent results from the previous I</w:t>
      </w:r>
      <w:r w:rsidR="00602FF6">
        <w:t xml:space="preserve">ntegrated </w:t>
      </w:r>
      <w:r w:rsidR="008D5132">
        <w:t>C</w:t>
      </w:r>
      <w:r w:rsidR="00602FF6">
        <w:t>alculation</w:t>
      </w:r>
      <w:r w:rsidR="008D5132">
        <w:t xml:space="preserve"> proposal</w:t>
      </w:r>
      <w:r w:rsidR="00602FF6">
        <w:t xml:space="preserve"> issued with the April 23, 2026 ALJ Ruling</w:t>
      </w:r>
      <w:r w:rsidR="008D5132">
        <w:t>. Additionally, the Commission agrees with S</w:t>
      </w:r>
      <w:r w:rsidR="00884D78">
        <w:t>CE that the “changes improve transparency, reduce model complexity, and better align the ACC with underlying IRP outcomes.”</w:t>
      </w:r>
      <w:r w:rsidR="00884D78">
        <w:rPr>
          <w:rStyle w:val="FootnoteReference"/>
        </w:rPr>
        <w:footnoteReference w:id="115"/>
      </w:r>
      <w:r w:rsidR="00884D78">
        <w:t xml:space="preserve"> The Commission also agrees with S</w:t>
      </w:r>
      <w:r w:rsidR="008D5132">
        <w:t>BUA that the “</w:t>
      </w:r>
      <w:r w:rsidRPr="008D5132" w:rsidR="008D5132">
        <w:t>additional refinement of representing marginal resources as hybrid resources in a single</w:t>
      </w:r>
      <w:r w:rsidR="008D5132">
        <w:t xml:space="preserve"> </w:t>
      </w:r>
      <w:r w:rsidRPr="008D5132" w:rsidR="008D5132">
        <w:t>equation should ensure that the Integrated Calculation accurately accounts for inputs that</w:t>
      </w:r>
      <w:r w:rsidR="008D5132">
        <w:t xml:space="preserve"> </w:t>
      </w:r>
      <w:r w:rsidRPr="008D5132" w:rsidR="008D5132">
        <w:t>do not indicate a system in equilibrium</w:t>
      </w:r>
      <w:r w:rsidR="008D5132">
        <w:t>.”</w:t>
      </w:r>
      <w:r w:rsidR="008D5132">
        <w:rPr>
          <w:rStyle w:val="FootnoteReference"/>
        </w:rPr>
        <w:footnoteReference w:id="116"/>
      </w:r>
      <w:r w:rsidR="008D5132">
        <w:t xml:space="preserve"> </w:t>
      </w:r>
      <w:r w:rsidR="00EC2BE9">
        <w:t xml:space="preserve">The </w:t>
      </w:r>
      <w:r w:rsidR="00EC2BE9">
        <w:lastRenderedPageBreak/>
        <w:t>Commission adopts solar generation and battery storage as the hybrid resource in the Integrated Calculation because they are the marginal resources in the IRP model.</w:t>
      </w:r>
    </w:p>
    <w:p w:rsidR="008B29E0" w:rsidP="008B29E0" w:rsidRDefault="008B29E0" w14:paraId="67E06A3D" w14:textId="77777777">
      <w:pPr>
        <w:pStyle w:val="Standard"/>
        <w:rPr>
          <w:rFonts w:ascii="Calibri" w:hAnsi="Calibri" w:eastAsia="Calibri" w:cs="Calibri"/>
        </w:rPr>
      </w:pPr>
      <w:r>
        <w:t>The Commission declines to align the generation capacity value in the ACC with the generation capacity value in the IRP, as suggested by SCE. The Commission agrees with SEIA that the IRP and Integrated Calculation have different purposes. Also, the Commission notes that h</w:t>
      </w:r>
      <w:r w:rsidRPr="00215E00">
        <w:t>ourly energy prices are uniquely calculated in the ACC (and not in the IRP) and considering them in the generation capacity value calculation provides additional information that is not included in the IRP generation capacity shadow prices.</w:t>
      </w:r>
      <w:r>
        <w:rPr>
          <w:rFonts w:ascii="Calibri" w:hAnsi="Calibri" w:eastAsia="Calibri" w:cs="Calibri"/>
        </w:rPr>
        <w:t xml:space="preserve"> </w:t>
      </w:r>
    </w:p>
    <w:p w:rsidR="008B29E0" w:rsidP="008B29E0" w:rsidRDefault="008B29E0" w14:paraId="2758A53E" w14:textId="31692310">
      <w:pPr>
        <w:pStyle w:val="Standard"/>
      </w:pPr>
      <w:r w:rsidRPr="006C4E45">
        <w:t>The Commission similarly declines to include a wider range of resources in the Integrated Calculation as suggested by SEIA. The Commission notes that t</w:t>
      </w:r>
      <w:r w:rsidRPr="00215E00">
        <w:t>he resources providing marginal GHG value and generation capacity value reflect the largest avoided cost value needed to make a resource whole</w:t>
      </w:r>
      <w:r w:rsidRPr="006C4E45">
        <w:t xml:space="preserve">. The Integrated Calculation uses </w:t>
      </w:r>
      <w:r w:rsidRPr="00215E00">
        <w:t>solar and storage (4-hour in near-term years and 8-hour in later years) as the marginal resources because both resources are selected economically throughout the IRP planning horizon, reflecting their respective long-term roles as scalable resources meet</w:t>
      </w:r>
      <w:r w:rsidR="00E44C13">
        <w:t>ing</w:t>
      </w:r>
      <w:r w:rsidRPr="00215E00">
        <w:t xml:space="preserve"> the state’s reliability and decarbonization goals. The 2024 version of the ACC adopted this resource mix, which remains the same in the 2026 ACC.</w:t>
      </w:r>
    </w:p>
    <w:p w:rsidR="008B29E0" w:rsidP="008B29E0" w:rsidRDefault="008B29E0" w14:paraId="0479249E" w14:textId="35EC6B5C">
      <w:pPr>
        <w:pStyle w:val="Standard"/>
      </w:pPr>
      <w:r w:rsidRPr="006C4E45">
        <w:t>Responding to CLECA’s comments questioning the use of a hybrid solar-plus-storage resource</w:t>
      </w:r>
      <w:r>
        <w:t xml:space="preserve"> in the Integrated Calculation</w:t>
      </w:r>
      <w:r w:rsidRPr="006C4E45">
        <w:t xml:space="preserve">, the Commission notes that the </w:t>
      </w:r>
      <w:r w:rsidRPr="00215E00">
        <w:t>hybrid resource solution captures the interdependence of solar and storage resources without requiring inputs to show a system perfectly in equilibrium</w:t>
      </w:r>
      <w:r w:rsidRPr="006C4E45">
        <w:t>.</w:t>
      </w:r>
      <w:r>
        <w:t xml:space="preserve"> The adoption of the hybrid solar-plus-storage resource a</w:t>
      </w:r>
      <w:r w:rsidR="00E44C13">
        <w:t>lso a</w:t>
      </w:r>
      <w:r>
        <w:t xml:space="preserve">ddresses party concerns that the original methodology </w:t>
      </w:r>
      <w:r w:rsidRPr="00EC68B6">
        <w:t xml:space="preserve">understated the GHG reduction benefit </w:t>
      </w:r>
      <w:r w:rsidRPr="00EC68B6">
        <w:lastRenderedPageBreak/>
        <w:t>associated with solar because it does not capture that solar is used to charge storage, which subsequently discharges during hours with high GHG emissions.</w:t>
      </w:r>
    </w:p>
    <w:p w:rsidR="008B29E0" w:rsidP="008B29E0" w:rsidRDefault="008B29E0" w14:paraId="64BE9F33" w14:textId="04590F83">
      <w:pPr>
        <w:pStyle w:val="Standard"/>
      </w:pPr>
      <w:r>
        <w:t xml:space="preserve">The Commission declines to publish </w:t>
      </w:r>
      <w:r w:rsidR="001E082D">
        <w:t>any</w:t>
      </w:r>
      <w:r>
        <w:t xml:space="preserve"> calculation </w:t>
      </w:r>
      <w:r w:rsidRPr="008B29E0">
        <w:t>outputs</w:t>
      </w:r>
      <w:r w:rsidR="003B49A5">
        <w:t xml:space="preserve"> at this time</w:t>
      </w:r>
      <w:r w:rsidRPr="008B29E0">
        <w:t xml:space="preserve">, as </w:t>
      </w:r>
      <w:r w:rsidRPr="008B29E0" w:rsidR="00844EC0">
        <w:t>suggested</w:t>
      </w:r>
      <w:r w:rsidRPr="008B29E0">
        <w:t xml:space="preserve"> by SDG&amp;E</w:t>
      </w:r>
      <w:r w:rsidR="001E082D">
        <w:t>, BayREN, and 3C-REN</w:t>
      </w:r>
      <w:r w:rsidRPr="008B29E0">
        <w:t xml:space="preserve">, as the 2026 ACC is a </w:t>
      </w:r>
      <w:r w:rsidRPr="008B29E0" w:rsidR="00844EC0">
        <w:t>methodological</w:t>
      </w:r>
      <w:r w:rsidRPr="008B29E0">
        <w:t xml:space="preserve"> proposal and </w:t>
      </w:r>
      <w:r w:rsidRPr="00EC68B6">
        <w:t>it would be premature to share results and values prior to the revised model’s approval.</w:t>
      </w:r>
      <w:r w:rsidR="001C0933">
        <w:rPr>
          <w:rStyle w:val="FootnoteReference"/>
        </w:rPr>
        <w:footnoteReference w:id="117"/>
      </w:r>
      <w:r>
        <w:t xml:space="preserve"> The Commission also declines to delay approval of the 2026 ACC model until after deciding on guiding principles in Track 3 of this proceeding</w:t>
      </w:r>
      <w:r w:rsidRPr="001E082D">
        <w:t>.</w:t>
      </w:r>
    </w:p>
    <w:p w:rsidR="008B29E0" w:rsidP="008B29E0" w:rsidRDefault="00446C8F" w14:paraId="0EC7F166" w14:textId="6FF83682">
      <w:pPr>
        <w:pStyle w:val="Standard"/>
      </w:pPr>
      <w:r>
        <w:t>In response to SCE, CLECA, and SEIA’s recommendation that the Commission re-introduce a smoothing step for GHG and generation capacity avoided costs, t</w:t>
      </w:r>
      <w:r w:rsidR="008B29E0">
        <w:t xml:space="preserve">he Commission acknowledges that </w:t>
      </w:r>
      <w:r>
        <w:t>generation capacity values can be volatile when there are step changes in resource costs but the Commission declines to adopt a smoothing step in the 2026 ACC so that it can maintain flexibility in implementing smoothing for future updates.</w:t>
      </w:r>
    </w:p>
    <w:p w:rsidR="00446C8F" w:rsidP="008B29E0" w:rsidRDefault="00446C8F" w14:paraId="77090496" w14:textId="0C4D3317">
      <w:pPr>
        <w:pStyle w:val="Standard"/>
      </w:pPr>
      <w:r>
        <w:t>In response to SEIA’s recommendation that the revised ACC model</w:t>
      </w:r>
      <w:r w:rsidR="00247B6A">
        <w:t xml:space="preserve"> adopt</w:t>
      </w:r>
      <w:r>
        <w:t xml:space="preserve"> 2029-2031 </w:t>
      </w:r>
      <w:r w:rsidR="00247B6A">
        <w:t xml:space="preserve">as the transition period </w:t>
      </w:r>
      <w:r>
        <w:t xml:space="preserve">from the model’s four-hour battery assumption to an eight-hour battery assumption, the 2026 ACC calculation will move up the hourly switch </w:t>
      </w:r>
      <w:r w:rsidR="00E44C13">
        <w:t>in 20</w:t>
      </w:r>
      <w:r w:rsidR="002F0113">
        <w:t>31</w:t>
      </w:r>
      <w:r w:rsidR="00E44C13">
        <w:t xml:space="preserve"> </w:t>
      </w:r>
      <w:r>
        <w:t>to align with the latest IRP. Similarly, the Commission declines to modify the natural gas O&amp;M cost floor to better align the value with the IRP inputs and assumptions.</w:t>
      </w:r>
    </w:p>
    <w:p w:rsidRPr="00215E00" w:rsidR="00446C8F" w:rsidP="008B29E0" w:rsidRDefault="00446C8F" w14:paraId="7AA0ED22" w14:textId="1255893F">
      <w:pPr>
        <w:pStyle w:val="Standard"/>
      </w:pPr>
      <w:r w:rsidRPr="00740425">
        <w:t>Finally, the Commission disagrees with CLECA’s comments about the accuracy of the results of the SERVM and RESOLVE models as well as SoCalREN’s comments about the impact of the revised model on equity populations.</w:t>
      </w:r>
      <w:r w:rsidRPr="008A68B4" w:rsidR="008A68B4">
        <w:t xml:space="preserve"> </w:t>
      </w:r>
      <w:r w:rsidR="008A68B4">
        <w:t>T</w:t>
      </w:r>
      <w:r w:rsidRPr="008A68B4" w:rsidR="008A68B4">
        <w:t xml:space="preserve">he GHG avoided cost valuation adopted in this decision uses </w:t>
      </w:r>
      <w:r w:rsidRPr="008A68B4" w:rsidR="008A68B4">
        <w:lastRenderedPageBreak/>
        <w:t>marginal costs generated by IRP supply-side models, that is</w:t>
      </w:r>
      <w:r w:rsidR="00FC6324">
        <w:t>,</w:t>
      </w:r>
      <w:r w:rsidRPr="008A68B4" w:rsidR="008A68B4">
        <w:t xml:space="preserve"> the procurement costs attributable to compliance with GHG emissions constraints that can be avoided by DERs. SoCalREN’s </w:t>
      </w:r>
      <w:r w:rsidR="00431F7B">
        <w:t>comment</w:t>
      </w:r>
      <w:r w:rsidRPr="008A68B4" w:rsidR="008A68B4">
        <w:t xml:space="preserve"> confuses </w:t>
      </w:r>
      <w:r w:rsidR="00431F7B">
        <w:t>customer</w:t>
      </w:r>
      <w:r w:rsidRPr="008A68B4" w:rsidR="008A68B4">
        <w:t xml:space="preserve"> costs of </w:t>
      </w:r>
      <w:r w:rsidR="00431F7B">
        <w:t>abating GHG emissions</w:t>
      </w:r>
      <w:r w:rsidRPr="008A68B4" w:rsidR="008A68B4">
        <w:t xml:space="preserve"> with the avoided system costs of adding DERs.</w:t>
      </w:r>
      <w:r>
        <w:t xml:space="preserve"> </w:t>
      </w:r>
    </w:p>
    <w:p w:rsidRPr="004A57C0" w:rsidR="008D752D" w:rsidP="008D5132" w:rsidRDefault="00884D78" w14:paraId="51C93CAF" w14:textId="06060501">
      <w:pPr>
        <w:pStyle w:val="Standard"/>
      </w:pPr>
      <w:r>
        <w:t>Accordingly, this decision adopts the revised I</w:t>
      </w:r>
      <w:r w:rsidR="00602FF6">
        <w:t xml:space="preserve">ntegrated </w:t>
      </w:r>
      <w:r>
        <w:t>C</w:t>
      </w:r>
      <w:r w:rsidR="00602FF6">
        <w:t>alculation</w:t>
      </w:r>
      <w:r>
        <w:t xml:space="preserve"> issued in the June 6 Ruling</w:t>
      </w:r>
      <w:r w:rsidR="00602FF6">
        <w:t xml:space="preserve"> as a more transparent, simpler method for estimated generation capacity and GHG avoided costs that better aligns with the IRP</w:t>
      </w:r>
      <w:r w:rsidR="00821159">
        <w:t xml:space="preserve"> process</w:t>
      </w:r>
      <w:r>
        <w:t>.</w:t>
      </w:r>
    </w:p>
    <w:p w:rsidR="00E21B8B" w:rsidP="00FE7FFA" w:rsidRDefault="00E21B8B" w14:paraId="7901D3C6" w14:textId="2A29E5DD">
      <w:pPr>
        <w:pStyle w:val="Heading1"/>
      </w:pPr>
      <w:bookmarkStart w:name="_Toc238810863" w:id="16"/>
      <w:r>
        <w:t>Refin</w:t>
      </w:r>
      <w:r w:rsidR="006709CF">
        <w:t>ing the</w:t>
      </w:r>
      <w:r>
        <w:t xml:space="preserve"> Hourly Allocation of Generation Capacity Value</w:t>
      </w:r>
      <w:bookmarkEnd w:id="16"/>
    </w:p>
    <w:p w:rsidR="005E1E4F" w:rsidP="003B4206" w:rsidRDefault="003B4206" w14:paraId="56FAC32F" w14:textId="7E9A381F">
      <w:pPr>
        <w:pStyle w:val="Standard"/>
      </w:pPr>
      <w:r>
        <w:t xml:space="preserve">The Staff Proposal recommends adopting three refinements to the process for calculating </w:t>
      </w:r>
      <w:r w:rsidR="007154F3">
        <w:t xml:space="preserve">hourly </w:t>
      </w:r>
      <w:r>
        <w:t>generation capacity avoided costs in the ACC</w:t>
      </w:r>
      <w:r w:rsidR="005E1E4F">
        <w:t>, which aim to quantify, for each hour of the year, the reliability value associated with a marginal megawatt-hour (MWh) of load reduction.</w:t>
      </w:r>
      <w:r w:rsidR="005E1E4F">
        <w:rPr>
          <w:rStyle w:val="FootnoteReference"/>
        </w:rPr>
        <w:footnoteReference w:id="118"/>
      </w:r>
      <w:r w:rsidR="005E1E4F">
        <w:t xml:space="preserve"> The ACC multiplies</w:t>
      </w:r>
      <w:r>
        <w:t xml:space="preserve"> the annual generation capacity avoided costs by hourly generation capacity allocation factors</w:t>
      </w:r>
      <w:r w:rsidR="00FC47D5">
        <w:t xml:space="preserve"> to produce hourly </w:t>
      </w:r>
      <w:r w:rsidR="00E64A66">
        <w:t>generation capacity avoided costs</w:t>
      </w:r>
      <w:r w:rsidR="00973968">
        <w:t>.</w:t>
      </w:r>
      <w:r w:rsidR="00973968">
        <w:rPr>
          <w:rStyle w:val="FootnoteReference"/>
        </w:rPr>
        <w:footnoteReference w:id="119"/>
      </w:r>
    </w:p>
    <w:p w:rsidRPr="003B4206" w:rsidR="003B4206" w:rsidP="003B4206" w:rsidRDefault="003B4206" w14:paraId="521BB557" w14:textId="6D6421A0">
      <w:pPr>
        <w:pStyle w:val="Standard"/>
      </w:pPr>
      <w:r>
        <w:t>The 2024 ACC derive</w:t>
      </w:r>
      <w:r w:rsidR="005E1E4F">
        <w:t>s</w:t>
      </w:r>
      <w:r>
        <w:t xml:space="preserve"> 8,760 hourly allocation factors from month-hour averages of </w:t>
      </w:r>
      <w:r w:rsidR="00B82DDB">
        <w:t>e</w:t>
      </w:r>
      <w:r>
        <w:t xml:space="preserve">xpected </w:t>
      </w:r>
      <w:r w:rsidR="00B82DDB">
        <w:t>u</w:t>
      </w:r>
      <w:r>
        <w:t xml:space="preserve">nserved </w:t>
      </w:r>
      <w:r w:rsidR="00B82DDB">
        <w:t>e</w:t>
      </w:r>
      <w:r>
        <w:t>nergy</w:t>
      </w:r>
      <w:r w:rsidR="00B82DDB">
        <w:t xml:space="preserve"> (EUE)</w:t>
      </w:r>
      <w:r w:rsidR="007B2920">
        <w:t xml:space="preserve"> outputs from SERVM reliability modelling </w:t>
      </w:r>
      <w:r>
        <w:t>for the years 2026, 2023, 2035, and 2040</w:t>
      </w:r>
      <w:r w:rsidR="005C295C">
        <w:t>. EUE</w:t>
      </w:r>
      <w:r w:rsidR="005E1E4F">
        <w:t xml:space="preserve"> </w:t>
      </w:r>
      <w:r>
        <w:t>represent</w:t>
      </w:r>
      <w:r w:rsidR="005C295C">
        <w:t>s</w:t>
      </w:r>
      <w:r>
        <w:t xml:space="preserve"> the expected quantity of unserved energy when system demand exceeds available generation capacity. </w:t>
      </w:r>
      <w:r w:rsidR="00C47A54">
        <w:t>EUE values</w:t>
      </w:r>
      <w:r>
        <w:t xml:space="preserve"> are based on </w:t>
      </w:r>
      <w:r w:rsidR="00AE46E0">
        <w:t xml:space="preserve">the </w:t>
      </w:r>
      <w:r>
        <w:t>IRP portfolio</w:t>
      </w:r>
      <w:r w:rsidR="00973968">
        <w:t>,</w:t>
      </w:r>
      <w:r w:rsidR="00AE46E0">
        <w:t xml:space="preserve"> which is then tuned</w:t>
      </w:r>
      <w:r>
        <w:t xml:space="preserve"> to achieve a system Loss of Load Expectation (LOLE) of 0.1 events per year.</w:t>
      </w:r>
      <w:r>
        <w:rPr>
          <w:rStyle w:val="FootnoteReference"/>
        </w:rPr>
        <w:footnoteReference w:id="120"/>
      </w:r>
      <w:r w:rsidR="007F7448">
        <w:t xml:space="preserve"> The 2024 ACC converted month-hour average EUE values to 8,760 capacity allocation </w:t>
      </w:r>
      <w:r w:rsidR="007F7448">
        <w:lastRenderedPageBreak/>
        <w:t xml:space="preserve">factors using temperature data by: calculating a load-weighted daily maximum statewide temperature using typical weather year data used in the 2022 building code cycle; assigning month-hour average EUE values from SERVM for all hours within days on which the maximum </w:t>
      </w:r>
      <w:r w:rsidR="00804383">
        <w:t>temperature</w:t>
      </w:r>
      <w:r w:rsidR="007F7448">
        <w:t xml:space="preserve"> exceeds a specific temperature threshold; and assigning a value of zero for days with a maximum </w:t>
      </w:r>
      <w:r w:rsidR="00804383">
        <w:t>temperature</w:t>
      </w:r>
      <w:r w:rsidR="007F7448">
        <w:t xml:space="preserve"> below the threshold. Capacity allocation factors were then </w:t>
      </w:r>
      <w:r w:rsidR="00804383">
        <w:t>normalized</w:t>
      </w:r>
      <w:r w:rsidR="007F7448">
        <w:t xml:space="preserve"> to sum to 1.0 over the full year.</w:t>
      </w:r>
      <w:r w:rsidR="007F7448">
        <w:rPr>
          <w:rStyle w:val="FootnoteReference"/>
        </w:rPr>
        <w:footnoteReference w:id="121"/>
      </w:r>
    </w:p>
    <w:p w:rsidR="00E21B8B" w:rsidP="00FE7FFA" w:rsidRDefault="00E21B8B" w14:paraId="11EFA306" w14:textId="7A9475FA">
      <w:pPr>
        <w:pStyle w:val="Heading2"/>
      </w:pPr>
      <w:bookmarkStart w:name="_Toc238810864" w:id="17"/>
      <w:r>
        <w:t>Us</w:t>
      </w:r>
      <w:r w:rsidR="006709CF">
        <w:t>ing</w:t>
      </w:r>
      <w:r>
        <w:t xml:space="preserve"> Loss of Load Hours Rather than EUE for </w:t>
      </w:r>
      <w:r w:rsidR="0092206E">
        <w:t xml:space="preserve">Generation Capacity </w:t>
      </w:r>
      <w:r>
        <w:t>Allocation Factors</w:t>
      </w:r>
      <w:bookmarkEnd w:id="17"/>
    </w:p>
    <w:p w:rsidR="007F7448" w:rsidP="00EC3E89" w:rsidRDefault="007F7448" w14:paraId="5E4429A4" w14:textId="1C113311">
      <w:pPr>
        <w:pStyle w:val="Standard"/>
      </w:pPr>
      <w:r>
        <w:t xml:space="preserve">The Staff Proposal </w:t>
      </w:r>
      <w:r w:rsidR="007C3456">
        <w:t>suggests</w:t>
      </w:r>
      <w:r>
        <w:t xml:space="preserve"> modifying the hourly allocation of generation capacity value by using loss of load hours</w:t>
      </w:r>
      <w:r w:rsidR="00B82DDB">
        <w:t xml:space="preserve"> (LOLH)</w:t>
      </w:r>
      <w:r>
        <w:t xml:space="preserve"> </w:t>
      </w:r>
      <w:r w:rsidR="00615C1F">
        <w:t>r</w:t>
      </w:r>
      <w:r>
        <w:t>ather than EUE as the basis for the allocation factors.</w:t>
      </w:r>
      <w:r w:rsidR="005E1E4F">
        <w:t xml:space="preserve"> The proposal explains that EUE measures the magnitude of unserved energy, which places greater weight on hours in which system shortfalls are larger rather than hours with smaller shortfalls.</w:t>
      </w:r>
      <w:r w:rsidR="005E1E4F">
        <w:rPr>
          <w:rStyle w:val="FootnoteReference"/>
        </w:rPr>
        <w:footnoteReference w:id="122"/>
      </w:r>
      <w:r w:rsidR="005E1E4F">
        <w:t xml:space="preserve"> That approach concentrate</w:t>
      </w:r>
      <w:r w:rsidR="00E570A9">
        <w:t>s</w:t>
      </w:r>
      <w:r w:rsidR="005E1E4F">
        <w:t xml:space="preserve"> capacity value allocation in hours where the magnitude of unserved energy is the largest</w:t>
      </w:r>
      <w:r w:rsidR="00AC481E">
        <w:t xml:space="preserve">. However, the </w:t>
      </w:r>
      <w:r w:rsidR="000C2FA4">
        <w:t xml:space="preserve">value of a small </w:t>
      </w:r>
      <w:r w:rsidR="007C35D5">
        <w:t>increase or decrease</w:t>
      </w:r>
      <w:r w:rsidR="000C2FA4">
        <w:t xml:space="preserve"> in load (</w:t>
      </w:r>
      <w:r w:rsidR="007C35D5">
        <w:t>the marginal value)</w:t>
      </w:r>
      <w:r w:rsidR="000C2FA4">
        <w:t xml:space="preserve"> does not depend on whether the </w:t>
      </w:r>
      <w:r w:rsidR="007C35D5">
        <w:t>system shortfall is</w:t>
      </w:r>
      <w:r w:rsidR="005E1E4F">
        <w:t xml:space="preserve"> small versus large </w:t>
      </w:r>
      <w:r w:rsidR="00BA58B7">
        <w:t>in any given hour. The</w:t>
      </w:r>
      <w:r w:rsidR="00B60DF1">
        <w:t xml:space="preserve"> </w:t>
      </w:r>
      <w:r w:rsidR="00804383">
        <w:t>reliability</w:t>
      </w:r>
      <w:r w:rsidR="005E1E4F">
        <w:t xml:space="preserve"> benefit</w:t>
      </w:r>
      <w:r w:rsidR="00BA17A8">
        <w:t xml:space="preserve"> of a marginal cha</w:t>
      </w:r>
      <w:r w:rsidR="00CD0EDB">
        <w:t>n</w:t>
      </w:r>
      <w:r w:rsidR="00BA17A8">
        <w:t xml:space="preserve">ge in </w:t>
      </w:r>
      <w:r w:rsidR="00B60DF1">
        <w:t xml:space="preserve">load is the same </w:t>
      </w:r>
      <w:r w:rsidR="005E1E4F">
        <w:t>across all hours with a loss of load</w:t>
      </w:r>
      <w:r w:rsidR="00BA17A8">
        <w:t>, regardless of the magnitude of the loss of load event</w:t>
      </w:r>
      <w:r w:rsidR="005E1E4F">
        <w:t>.</w:t>
      </w:r>
      <w:r w:rsidR="005E1E4F">
        <w:rPr>
          <w:rStyle w:val="FootnoteReference"/>
        </w:rPr>
        <w:footnoteReference w:id="123"/>
      </w:r>
      <w:r w:rsidR="00EC3E89">
        <w:t xml:space="preserve"> The Staff Proposal thus suggests using LOLH to calculate the ACC capacity allocation factor, which </w:t>
      </w:r>
      <w:r w:rsidR="00EC3E89">
        <w:lastRenderedPageBreak/>
        <w:t>would measure the frequency rather than the magnitude of such loss of load events.</w:t>
      </w:r>
      <w:r w:rsidR="00EC3E89">
        <w:rPr>
          <w:rStyle w:val="FootnoteReference"/>
        </w:rPr>
        <w:footnoteReference w:id="124"/>
      </w:r>
      <w:r w:rsidR="00EC3E89">
        <w:t xml:space="preserve"> </w:t>
      </w:r>
    </w:p>
    <w:p w:rsidR="0039490C" w:rsidP="00EC3E89" w:rsidRDefault="0039490C" w14:paraId="79EAF173" w14:textId="39BD6176">
      <w:pPr>
        <w:pStyle w:val="Standard"/>
      </w:pPr>
      <w:r>
        <w:t xml:space="preserve">Cal Advocates, SDG&amp;E, and PG&amp;E support modifying the hourly allocation of generation capacity value by using </w:t>
      </w:r>
      <w:r w:rsidR="00B82DDB">
        <w:t>LOLH</w:t>
      </w:r>
      <w:r>
        <w:t xml:space="preserve"> rather than EUE as the basis for the allocation factors.</w:t>
      </w:r>
      <w:r w:rsidR="009D4000">
        <w:t xml:space="preserve"> Cal Advocates states that</w:t>
      </w:r>
      <w:r w:rsidRPr="009D4000" w:rsidR="009D4000">
        <w:t xml:space="preserve"> </w:t>
      </w:r>
      <w:r w:rsidR="009D4000">
        <w:t>“[</w:t>
      </w:r>
      <w:r w:rsidRPr="009D4000" w:rsidR="009D4000">
        <w:t>a</w:t>
      </w:r>
      <w:r w:rsidR="009D4000">
        <w:t>]</w:t>
      </w:r>
      <w:r w:rsidRPr="009D4000" w:rsidR="009D4000">
        <w:t>ny marginal loss of load hour has an equivalent marginal reliability value, since a single MWh of load reduction has the same reliability benefit for any hour that has a loss of load, regardless of the magnitude of the loss of load</w:t>
      </w:r>
      <w:r w:rsidR="009D4000">
        <w:t>.”</w:t>
      </w:r>
      <w:r w:rsidR="009D4000">
        <w:rPr>
          <w:rStyle w:val="FootnoteReference"/>
        </w:rPr>
        <w:footnoteReference w:id="125"/>
      </w:r>
      <w:r w:rsidR="009D4000">
        <w:t xml:space="preserve"> SDG&amp;E states that EUE factors are sensitive to a small population of high-magnitude events and can substantially shift weights placed on individual hours while the modification aligns with the Commission’s adopted </w:t>
      </w:r>
      <w:r w:rsidR="00804383">
        <w:t>reliability</w:t>
      </w:r>
      <w:r w:rsidR="009D4000">
        <w:t xml:space="preserve"> planning standard using LOLH rather than EUEs.</w:t>
      </w:r>
      <w:r w:rsidR="00EC5FC4">
        <w:rPr>
          <w:rStyle w:val="FootnoteReference"/>
        </w:rPr>
        <w:footnoteReference w:id="126"/>
      </w:r>
      <w:r w:rsidR="009D4000">
        <w:t xml:space="preserve"> PG&amp;E state</w:t>
      </w:r>
      <w:r w:rsidR="0059237E">
        <w:t>s</w:t>
      </w:r>
      <w:r w:rsidR="009D4000">
        <w:t xml:space="preserve"> that the modification will help spread DER response across a wider set of hours than using EUE.</w:t>
      </w:r>
      <w:r w:rsidR="00EC5FC4">
        <w:rPr>
          <w:rStyle w:val="FootnoteReference"/>
        </w:rPr>
        <w:footnoteReference w:id="127"/>
      </w:r>
    </w:p>
    <w:p w:rsidR="00270825" w:rsidP="00EC3E89" w:rsidRDefault="00270825" w14:paraId="65C2A82C" w14:textId="333B8319">
      <w:pPr>
        <w:pStyle w:val="Standard"/>
      </w:pPr>
      <w:r>
        <w:t>CUE states that it supports the proposal in concept and that an allocation method based only on the magnitude of unserved energy can over-concentrate value in a smaller number of extreme events.</w:t>
      </w:r>
      <w:r>
        <w:rPr>
          <w:rStyle w:val="FootnoteReference"/>
        </w:rPr>
        <w:footnoteReference w:id="128"/>
      </w:r>
      <w:r>
        <w:t xml:space="preserve"> However, CUE states that the Energy Division and E3 should provide more hourly allocation detail before the Commission approves the proposal.</w:t>
      </w:r>
    </w:p>
    <w:p w:rsidR="00A26BAA" w:rsidP="00A26BAA" w:rsidRDefault="00A26BAA" w14:paraId="217B34DB" w14:textId="3150D07F">
      <w:pPr>
        <w:pStyle w:val="Standard"/>
      </w:pPr>
      <w:r>
        <w:lastRenderedPageBreak/>
        <w:t xml:space="preserve">Bay-REN and 3C-REN state that the Commission should defer a decision on this issue until it issues a decision on ACC guiding principles in Track </w:t>
      </w:r>
      <w:r w:rsidR="00467F58">
        <w:t>3</w:t>
      </w:r>
      <w:r>
        <w:t xml:space="preserve"> of this proceeding.</w:t>
      </w:r>
      <w:r>
        <w:rPr>
          <w:rStyle w:val="FootnoteReference"/>
        </w:rPr>
        <w:footnoteReference w:id="129"/>
      </w:r>
      <w:r>
        <w:t xml:space="preserve"> </w:t>
      </w:r>
    </w:p>
    <w:p w:rsidRPr="0039490C" w:rsidR="0039490C" w:rsidP="0039490C" w:rsidRDefault="0039490C" w14:paraId="6F680A83" w14:textId="08ADB72D">
      <w:pPr>
        <w:pStyle w:val="Standard"/>
      </w:pPr>
      <w:r w:rsidRPr="0039490C">
        <w:t xml:space="preserve">SEIA, SCE, CLECA, </w:t>
      </w:r>
      <w:r w:rsidR="00A26BAA">
        <w:t xml:space="preserve">and </w:t>
      </w:r>
      <w:r w:rsidRPr="0039490C">
        <w:t xml:space="preserve">SBUA </w:t>
      </w:r>
      <w:r>
        <w:t xml:space="preserve">take </w:t>
      </w:r>
      <w:r w:rsidRPr="0039490C">
        <w:t xml:space="preserve">no position </w:t>
      </w:r>
      <w:r>
        <w:t xml:space="preserve">on using </w:t>
      </w:r>
      <w:r w:rsidR="00B82DDB">
        <w:t>LOLH</w:t>
      </w:r>
      <w:r>
        <w:t>s rather than EUE as the basis for the allocation factors.</w:t>
      </w:r>
    </w:p>
    <w:p w:rsidRPr="007F7448" w:rsidR="007C3456" w:rsidP="00EC3E89" w:rsidRDefault="0092206E" w14:paraId="39FB16DC" w14:textId="266AAF9B">
      <w:pPr>
        <w:pStyle w:val="Standard"/>
      </w:pPr>
      <w:r>
        <w:t xml:space="preserve">The Commission agrees with the Staff Proposal that using LOLH rather than EUE as the basis for the </w:t>
      </w:r>
      <w:r w:rsidR="00F737C7">
        <w:t xml:space="preserve">generation capacity value </w:t>
      </w:r>
      <w:r>
        <w:t>allocation</w:t>
      </w:r>
      <w:r w:rsidR="00F737C7">
        <w:t xml:space="preserve"> will better reflect the reliability benefit of a generation resource across all hours rather than focusing on hours with the great</w:t>
      </w:r>
      <w:r w:rsidR="00FF7E5C">
        <w:t>e</w:t>
      </w:r>
      <w:r w:rsidR="00F737C7">
        <w:t>s</w:t>
      </w:r>
      <w:r w:rsidR="00FF7E5C">
        <w:t>t</w:t>
      </w:r>
      <w:r w:rsidR="00F737C7">
        <w:t xml:space="preserve"> amount of unserved energy.</w:t>
      </w:r>
      <w:r w:rsidR="00FF7E5C">
        <w:t xml:space="preserve"> The Staff Proposal and accompanying ACC model provide enough detail about the proposed LOLH methodology to approve its adoption in the </w:t>
      </w:r>
      <w:r w:rsidR="00AF7AEB">
        <w:t>ACC</w:t>
      </w:r>
      <w:r w:rsidR="00FF7E5C">
        <w:t>.</w:t>
      </w:r>
      <w:r w:rsidR="00AF7AEB">
        <w:t xml:space="preserve"> Accordingly, this decision updates the ACC to use LOLH rather than EUEs to allocate generation capacity value.</w:t>
      </w:r>
      <w:r w:rsidR="00F737C7">
        <w:t xml:space="preserve"> </w:t>
      </w:r>
    </w:p>
    <w:p w:rsidR="00E21B8B" w:rsidP="00FE7FFA" w:rsidRDefault="00E21B8B" w14:paraId="100BC02F" w14:textId="4C0E7D2A">
      <w:pPr>
        <w:pStyle w:val="Heading2"/>
      </w:pPr>
      <w:bookmarkStart w:name="_Toc238810865" w:id="18"/>
      <w:r>
        <w:t>Us</w:t>
      </w:r>
      <w:r w:rsidR="006709CF">
        <w:t>ing</w:t>
      </w:r>
      <w:r>
        <w:t xml:space="preserve"> Energy Prices Rather than Temperature </w:t>
      </w:r>
      <w:r w:rsidR="005811FD">
        <w:t xml:space="preserve">to Assign </w:t>
      </w:r>
      <w:r w:rsidR="00832FC0">
        <w:t>D</w:t>
      </w:r>
      <w:r w:rsidR="005811FD">
        <w:t xml:space="preserve">ays with </w:t>
      </w:r>
      <w:r>
        <w:t>High Generation Capacity Value</w:t>
      </w:r>
      <w:bookmarkEnd w:id="18"/>
    </w:p>
    <w:p w:rsidR="009947C4" w:rsidP="00EC3E89" w:rsidRDefault="007C3456" w14:paraId="437E2F23" w14:textId="04CFF09B">
      <w:pPr>
        <w:pStyle w:val="Standard"/>
      </w:pPr>
      <w:r>
        <w:t xml:space="preserve">The Staff Proposal suggests modifying the method for assigning month-hour averages of generation capacity values </w:t>
      </w:r>
      <w:r w:rsidR="000A03B8">
        <w:t xml:space="preserve">to </w:t>
      </w:r>
      <w:r w:rsidR="00987796">
        <w:t>individual</w:t>
      </w:r>
      <w:r>
        <w:t xml:space="preserve"> days </w:t>
      </w:r>
      <w:r w:rsidR="00987796">
        <w:t>from a method that uses days with the</w:t>
      </w:r>
      <w:r>
        <w:t xml:space="preserve"> highest temperatures to days with highest energy prices. The proposal states that the current approach of assigning the generation capacity values to the hottest days reflects historical energy system dynamics in which the days of greatest reliability concern typically aligned with high temperatures.</w:t>
      </w:r>
      <w:r>
        <w:rPr>
          <w:rStyle w:val="FootnoteReference"/>
        </w:rPr>
        <w:footnoteReference w:id="130"/>
      </w:r>
      <w:r w:rsidR="009947C4">
        <w:t xml:space="preserve"> The proposal, however, notes that the combination of increasing winter loads due to building electrification and the growing penetrations of renewables is shifting reliability risks from summer to winter months.</w:t>
      </w:r>
      <w:r w:rsidR="009947C4">
        <w:rPr>
          <w:rStyle w:val="FootnoteReference"/>
        </w:rPr>
        <w:footnoteReference w:id="131"/>
      </w:r>
      <w:r w:rsidR="009947C4">
        <w:t xml:space="preserve"> Other metrics, such as energy prices, better reflect the timing of loss-of-load events within the year, when the balance between supply and demand is most constrained, according to the Staff Proposal.</w:t>
      </w:r>
      <w:r w:rsidR="009947C4">
        <w:rPr>
          <w:rStyle w:val="FootnoteReference"/>
        </w:rPr>
        <w:footnoteReference w:id="132"/>
      </w:r>
      <w:r w:rsidR="009947C4">
        <w:t xml:space="preserve"> </w:t>
      </w:r>
    </w:p>
    <w:p w:rsidR="009947C4" w:rsidP="009947C4" w:rsidRDefault="009947C4" w14:paraId="4E0DBFF7" w14:textId="7204AE66">
      <w:pPr>
        <w:pStyle w:val="Standard"/>
      </w:pPr>
      <w:r>
        <w:t>Therefore, staff recommend that the ACC adopt hourly energy prices from SERVM, rather than temperature, to identify days of greatest grid constraints, as energy prices capture both supply and demand dynamics and scarcity of available generation.</w:t>
      </w:r>
      <w:r>
        <w:rPr>
          <w:rStyle w:val="FootnoteReference"/>
        </w:rPr>
        <w:footnoteReference w:id="133"/>
      </w:r>
      <w:r>
        <w:t xml:space="preserve"> Days within each month with high energy prices would be used to allocate non-zero capacity allocation hours using month-hour average outputs developed from reliability modeling.</w:t>
      </w:r>
      <w:r>
        <w:rPr>
          <w:rStyle w:val="FootnoteReference"/>
        </w:rPr>
        <w:footnoteReference w:id="134"/>
      </w:r>
    </w:p>
    <w:p w:rsidR="00BE5A75" w:rsidP="009947C4" w:rsidRDefault="00BE5A75" w14:paraId="57F4623E" w14:textId="07983628">
      <w:pPr>
        <w:pStyle w:val="Standard"/>
      </w:pPr>
      <w:r>
        <w:t xml:space="preserve">Cal Advocates, PG&amp;E, </w:t>
      </w:r>
      <w:r w:rsidR="00087E0C">
        <w:t xml:space="preserve">SDG&amp;E, </w:t>
      </w:r>
      <w:r>
        <w:t>and CUE support</w:t>
      </w:r>
      <w:r w:rsidRPr="00BE5A75">
        <w:t xml:space="preserve"> </w:t>
      </w:r>
      <w:r>
        <w:t>modifying the method for assigning month-hour averages of generation capacity values from the days with the highest temperatures to the days with highest energy prices.</w:t>
      </w:r>
    </w:p>
    <w:p w:rsidR="00A26BAA" w:rsidP="00A26BAA" w:rsidRDefault="00A26BAA" w14:paraId="0E192BA1" w14:textId="384E298D">
      <w:pPr>
        <w:pStyle w:val="Standard"/>
      </w:pPr>
      <w:r>
        <w:t xml:space="preserve">Bay-REN and 3C-REN state that the Commission should defer a decision on this issue until it issues a decision on ACC guiding principles in Track </w:t>
      </w:r>
      <w:r w:rsidR="00CD2106">
        <w:t>3</w:t>
      </w:r>
      <w:r>
        <w:t xml:space="preserve"> of this proceeding.</w:t>
      </w:r>
      <w:r>
        <w:rPr>
          <w:rStyle w:val="FootnoteReference"/>
        </w:rPr>
        <w:footnoteReference w:id="135"/>
      </w:r>
      <w:r>
        <w:t xml:space="preserve"> </w:t>
      </w:r>
    </w:p>
    <w:p w:rsidR="009947C4" w:rsidP="009947C4" w:rsidRDefault="00BE5A75" w14:paraId="40535811" w14:textId="0B58E735">
      <w:pPr>
        <w:pStyle w:val="Standard"/>
      </w:pPr>
      <w:r>
        <w:t xml:space="preserve">SEIA, SCE, CLECA,  SoCalGas, </w:t>
      </w:r>
      <w:r w:rsidR="008C7EA0">
        <w:t>NRDC,</w:t>
      </w:r>
      <w:r>
        <w:t xml:space="preserve"> and SBUA take no stand on modifying the method for assigning month-hour averages of generation capacity values.</w:t>
      </w:r>
    </w:p>
    <w:p w:rsidRPr="00EC3E89" w:rsidR="009947C4" w:rsidP="00EC3E89" w:rsidRDefault="002E1453" w14:paraId="7899A2D7" w14:textId="299CC564">
      <w:pPr>
        <w:pStyle w:val="Standard"/>
      </w:pPr>
      <w:r>
        <w:t xml:space="preserve">The Commission agrees with the Staff Proposal that assigning month-hour averages of generation capacity </w:t>
      </w:r>
      <w:r w:rsidR="002A4BED">
        <w:t>values to individual days from a method that uses days with the highest temperatures to days with highest energy prices</w:t>
      </w:r>
      <w:r>
        <w:t xml:space="preserve"> more accurately identifies days with greatest grid constraints, reflecting </w:t>
      </w:r>
      <w:r w:rsidR="00AD5A1E">
        <w:t>higher</w:t>
      </w:r>
      <w:r>
        <w:t xml:space="preserve"> building electrification uptake and growing renewable</w:t>
      </w:r>
      <w:r w:rsidR="0022216B">
        <w:t xml:space="preserve"> generation</w:t>
      </w:r>
      <w:r>
        <w:t>.</w:t>
      </w:r>
      <w:r w:rsidR="00AF7AEB">
        <w:t xml:space="preserve"> Accordingly, this decision updates the ACC to adopt hourly energy prices from SERVM, rather than temperature, to identify days of greatest grid constraints.</w:t>
      </w:r>
    </w:p>
    <w:p w:rsidR="00E21B8B" w:rsidP="00FE7FFA" w:rsidRDefault="00E21B8B" w14:paraId="0E1FEDB9" w14:textId="6B26B5E3">
      <w:pPr>
        <w:pStyle w:val="Heading2"/>
      </w:pPr>
      <w:bookmarkStart w:name="_Toc238810866" w:id="19"/>
      <w:r>
        <w:t>Represent</w:t>
      </w:r>
      <w:r w:rsidR="006709CF">
        <w:t>ing</w:t>
      </w:r>
      <w:r>
        <w:t xml:space="preserve"> Reliability Risk Difference of Weekdays Versus Weekends in Capacity Value Allocation</w:t>
      </w:r>
      <w:bookmarkEnd w:id="19"/>
    </w:p>
    <w:p w:rsidR="009947C4" w:rsidP="009947C4" w:rsidRDefault="00615C1F" w14:paraId="51F5FD0E" w14:textId="57088AF6">
      <w:pPr>
        <w:pStyle w:val="Standard"/>
      </w:pPr>
      <w:r>
        <w:t xml:space="preserve">The Staff Proposal suggests allocating days with non-zero reliability risk to weekends and weekdays so that the final capacity value allocation aligns with the </w:t>
      </w:r>
      <w:r w:rsidR="00C12171">
        <w:t>weekend</w:t>
      </w:r>
      <w:r>
        <w:t>/weekday risk from reliability modeling.</w:t>
      </w:r>
      <w:r>
        <w:rPr>
          <w:rStyle w:val="FootnoteReference"/>
        </w:rPr>
        <w:footnoteReference w:id="136"/>
      </w:r>
    </w:p>
    <w:p w:rsidR="00615C1F" w:rsidP="009947C4" w:rsidRDefault="00307248" w14:paraId="24B43D23" w14:textId="4CC60162">
      <w:pPr>
        <w:pStyle w:val="Standard"/>
      </w:pPr>
      <w:r>
        <w:t xml:space="preserve">The ACC currently does not take into account differences in reliability risk on weekends compared to weekdays although </w:t>
      </w:r>
      <w:r w:rsidR="00804383">
        <w:t>reliability</w:t>
      </w:r>
      <w:r>
        <w:t xml:space="preserve"> modeling has shown that weekdays typically have significantly higher reliability risk than weekends.</w:t>
      </w:r>
      <w:r>
        <w:rPr>
          <w:rStyle w:val="FootnoteReference"/>
        </w:rPr>
        <w:footnoteReference w:id="137"/>
      </w:r>
      <w:r w:rsidR="004B2ED3">
        <w:t xml:space="preserve"> Already, several end-uses of the ACC do consider the differences between weekends and weekdays such as the DER profiles used in cost-effectiveness evaluation and the export rates in the Net Billing Tariff.</w:t>
      </w:r>
      <w:r w:rsidR="004B2ED3">
        <w:rPr>
          <w:rStyle w:val="FootnoteReference"/>
        </w:rPr>
        <w:footnoteReference w:id="138"/>
      </w:r>
    </w:p>
    <w:p w:rsidR="008C7EA0" w:rsidP="009947C4" w:rsidRDefault="008C7EA0" w14:paraId="6F38F837" w14:textId="7E4D4585">
      <w:pPr>
        <w:pStyle w:val="Standard"/>
      </w:pPr>
      <w:r>
        <w:t xml:space="preserve">Cal Advocates, SDG&amp;E, </w:t>
      </w:r>
      <w:r w:rsidR="00A4120E">
        <w:t xml:space="preserve">and </w:t>
      </w:r>
      <w:r>
        <w:t>PG&amp;E support</w:t>
      </w:r>
      <w:r w:rsidR="00A4120E">
        <w:t xml:space="preserve"> </w:t>
      </w:r>
      <w:r w:rsidRPr="00FF3E3F" w:rsidR="00FF3E3F">
        <w:t>differentiating between weekends and weekdays when allocating reliability risk</w:t>
      </w:r>
      <w:r w:rsidR="00A4120E">
        <w:t>.</w:t>
      </w:r>
    </w:p>
    <w:p w:rsidR="008C7EA0" w:rsidP="009947C4" w:rsidRDefault="008C7EA0" w14:paraId="5CA0AFF3" w14:textId="7571085B">
      <w:pPr>
        <w:pStyle w:val="Standard"/>
      </w:pPr>
      <w:r>
        <w:t xml:space="preserve">CUE </w:t>
      </w:r>
      <w:r w:rsidR="00270825">
        <w:t xml:space="preserve">supports </w:t>
      </w:r>
      <w:r w:rsidRPr="00FF3E3F" w:rsidR="00FF3E3F">
        <w:t>differentiating between weekends and weekdays when allocating reliability risk</w:t>
      </w:r>
      <w:r w:rsidR="00270825">
        <w:t xml:space="preserve"> but states that the Commission should demand more detail about hourly allocation factors from Energy Division and E3 before approving the proposal.</w:t>
      </w:r>
    </w:p>
    <w:p w:rsidR="004B2ED3" w:rsidP="009947C4" w:rsidRDefault="008C7EA0" w14:paraId="2E34ECAC" w14:textId="6CAA9605">
      <w:pPr>
        <w:pStyle w:val="Standard"/>
      </w:pPr>
      <w:r>
        <w:t>SEIA, SCE, CLECA, SBUA, NRDC, Bay-REN</w:t>
      </w:r>
      <w:r w:rsidR="00FB36EE">
        <w:t>,</w:t>
      </w:r>
      <w:r>
        <w:t xml:space="preserve"> and 3C-REN take no stand</w:t>
      </w:r>
      <w:r w:rsidR="00270825">
        <w:t xml:space="preserve"> on the issue.</w:t>
      </w:r>
    </w:p>
    <w:p w:rsidRPr="009947C4" w:rsidR="004B2ED3" w:rsidP="009947C4" w:rsidRDefault="00063D66" w14:paraId="59452B45" w14:textId="0D808943">
      <w:pPr>
        <w:pStyle w:val="Standard"/>
      </w:pPr>
      <w:r>
        <w:t xml:space="preserve">The Commission agrees with the Staff Proposal that </w:t>
      </w:r>
      <w:r w:rsidR="00725A64">
        <w:t>taking into account differences in reliability risk on weekends compared to weekdays in the ACC model will better reflect the results of reliability modeling that show weekdays have significantly higher reliability risk than weekends.</w:t>
      </w:r>
      <w:r w:rsidR="008B7ABD">
        <w:t xml:space="preserve"> Accordingly, this decision updates the ACC to account for reliability risk differences on weekdays and weekends.</w:t>
      </w:r>
    </w:p>
    <w:p w:rsidR="00E21B8B" w:rsidP="00FE7FFA" w:rsidRDefault="00E21B8B" w14:paraId="1A212B1D" w14:textId="1B640951">
      <w:pPr>
        <w:pStyle w:val="Heading1"/>
      </w:pPr>
      <w:bookmarkStart w:name="_Toc238810867" w:id="20"/>
      <w:r>
        <w:t>Refin</w:t>
      </w:r>
      <w:r w:rsidR="006709CF">
        <w:t>ing the</w:t>
      </w:r>
      <w:r>
        <w:t xml:space="preserve"> Hourly Allocation of Transmission Capacity Value</w:t>
      </w:r>
      <w:bookmarkEnd w:id="20"/>
      <w:r>
        <w:t xml:space="preserve"> </w:t>
      </w:r>
    </w:p>
    <w:p w:rsidR="004B2ED3" w:rsidP="004B2ED3" w:rsidRDefault="009B6E11" w14:paraId="645BE354" w14:textId="3712BA03">
      <w:pPr>
        <w:pStyle w:val="Standard"/>
      </w:pPr>
      <w:r>
        <w:t>The Staff Proposal suggests updating the peak capacity allocation factors (PCAF</w:t>
      </w:r>
      <w:r w:rsidR="004E7464">
        <w:t>s</w:t>
      </w:r>
      <w:r>
        <w:t>) used to calculate the hourly allocation of transmission capacity value by calculating the PCAF</w:t>
      </w:r>
      <w:r w:rsidR="004E7464">
        <w:t>s</w:t>
      </w:r>
      <w:r>
        <w:t xml:space="preserve"> with IEPR load </w:t>
      </w:r>
      <w:r w:rsidR="00804383">
        <w:t>forecasts</w:t>
      </w:r>
      <w:r>
        <w:t xml:space="preserve"> for future years instead of historical loads.</w:t>
      </w:r>
      <w:r>
        <w:rPr>
          <w:rStyle w:val="FootnoteReference"/>
        </w:rPr>
        <w:footnoteReference w:id="139"/>
      </w:r>
    </w:p>
    <w:p w:rsidR="009B6E11" w:rsidP="004B2ED3" w:rsidRDefault="009B6E11" w14:paraId="767B6C4C" w14:textId="18005FE3">
      <w:pPr>
        <w:pStyle w:val="Standard"/>
      </w:pPr>
      <w:r>
        <w:t>The 2024 ACC Update calculated the PCAF</w:t>
      </w:r>
      <w:r w:rsidR="004E7464">
        <w:t>s</w:t>
      </w:r>
      <w:r>
        <w:t xml:space="preserve"> by using historical system-level hourly loads from the CAISO Energy Management System dataset that were then adjusted to align with the typical weather year represented by the ACC.</w:t>
      </w:r>
      <w:r>
        <w:rPr>
          <w:rStyle w:val="FootnoteReference"/>
        </w:rPr>
        <w:footnoteReference w:id="140"/>
      </w:r>
      <w:r>
        <w:t xml:space="preserve"> The same PCAFs were applied to all years, assuming that the hours of constrained transmission capacity will stay static.</w:t>
      </w:r>
      <w:r>
        <w:rPr>
          <w:rStyle w:val="FootnoteReference"/>
        </w:rPr>
        <w:footnoteReference w:id="141"/>
      </w:r>
      <w:r>
        <w:t xml:space="preserve"> However, the IEPR load forecasts indicate that the hours of constrained transmission capacity will evolve</w:t>
      </w:r>
      <w:r w:rsidR="006A5043">
        <w:t xml:space="preserve"> due to increasing penetration of electric </w:t>
      </w:r>
      <w:r w:rsidR="00804383">
        <w:t>vehicles</w:t>
      </w:r>
      <w:r w:rsidR="006A5043">
        <w:t xml:space="preserve"> and building electrification and increasing behind-the-meter generation</w:t>
      </w:r>
      <w:r>
        <w:t>. Therefore, staff propose using those IEPR load forecasts to update the PCAF calculations for transmission capacity allocation to better represent the hours in which DERs are expected to provide transmission capacity value in the future</w:t>
      </w:r>
      <w:r w:rsidR="006A5043">
        <w:t xml:space="preserve"> and to better align with energy </w:t>
      </w:r>
      <w:r w:rsidR="00804383">
        <w:t>avoided</w:t>
      </w:r>
      <w:r w:rsidR="006A5043">
        <w:t xml:space="preserve"> costs and generation capacity allocation factors currently used in the ACC</w:t>
      </w:r>
      <w:r>
        <w:t>.</w:t>
      </w:r>
      <w:r>
        <w:rPr>
          <w:rStyle w:val="FootnoteReference"/>
        </w:rPr>
        <w:footnoteReference w:id="142"/>
      </w:r>
    </w:p>
    <w:p w:rsidR="009B6E11" w:rsidP="004B2ED3" w:rsidRDefault="00A26BAA" w14:paraId="43E516F7" w14:textId="143555F3">
      <w:pPr>
        <w:pStyle w:val="Standard"/>
      </w:pPr>
      <w:r>
        <w:t>Cal Advocates supports</w:t>
      </w:r>
      <w:r w:rsidRPr="00A26BAA">
        <w:t xml:space="preserve"> </w:t>
      </w:r>
      <w:r>
        <w:t>estimating the hourly allocation of transmission capacity value by calculating the PCAF</w:t>
      </w:r>
      <w:r w:rsidR="00C45646">
        <w:t>s</w:t>
      </w:r>
      <w:r>
        <w:t xml:space="preserve"> with IEPR load </w:t>
      </w:r>
      <w:r w:rsidR="00804383">
        <w:t>forecasts</w:t>
      </w:r>
      <w:r>
        <w:t xml:space="preserve"> for future years instead of historical loads. Cal Advocates states that using the IPER load forecasts provides a more updated, dynamic estimate of the avoided cost value of marginal distributed resources on the transmission grid.</w:t>
      </w:r>
      <w:r>
        <w:rPr>
          <w:rStyle w:val="FootnoteReference"/>
        </w:rPr>
        <w:footnoteReference w:id="143"/>
      </w:r>
    </w:p>
    <w:p w:rsidR="00A26BAA" w:rsidP="004B2ED3" w:rsidRDefault="00A26BAA" w14:paraId="160E8A78" w14:textId="7D67F79E">
      <w:pPr>
        <w:pStyle w:val="Standard"/>
      </w:pPr>
      <w:r>
        <w:t xml:space="preserve">BayREN and 3C-REN state that the Commission should defer a decision on this issue until it issues a decision on ACC guiding principles in Track </w:t>
      </w:r>
      <w:r w:rsidR="00FE6DA8">
        <w:t>3</w:t>
      </w:r>
      <w:r>
        <w:t xml:space="preserve"> of this proceeding. </w:t>
      </w:r>
    </w:p>
    <w:p w:rsidR="00A26BAA" w:rsidP="00A26BAA" w:rsidRDefault="00A26BAA" w14:paraId="74A85740" w14:textId="1FC32CC3">
      <w:pPr>
        <w:pStyle w:val="Standard"/>
      </w:pPr>
      <w:r>
        <w:t>CUE</w:t>
      </w:r>
      <w:r w:rsidR="00891DB6">
        <w:t xml:space="preserve"> states that the proposal appears to be “directionally reasonable” but that more workpapers and impact analysis are needed for the Commission to adopt the proposal.</w:t>
      </w:r>
      <w:r w:rsidR="00891DB6">
        <w:rPr>
          <w:rStyle w:val="FootnoteReference"/>
        </w:rPr>
        <w:footnoteReference w:id="144"/>
      </w:r>
    </w:p>
    <w:p w:rsidR="00A26BAA" w:rsidP="004B2ED3" w:rsidRDefault="00A26BAA" w14:paraId="6B7B1C1B" w14:textId="3D46FBE8">
      <w:pPr>
        <w:pStyle w:val="Standard"/>
      </w:pPr>
      <w:r>
        <w:t>SEIA, SCE, CLECA, SDG&amp;E, PG&amp;E, SBUA, SoCalGas, and NRDC take no stand on the issue.</w:t>
      </w:r>
    </w:p>
    <w:p w:rsidR="009B6E11" w:rsidP="004B2ED3" w:rsidRDefault="00725A64" w14:paraId="6CD91056" w14:textId="18935A11">
      <w:pPr>
        <w:pStyle w:val="Standard"/>
      </w:pPr>
      <w:r>
        <w:t>The Commission agrees with the Staff Proposal that calculating the PCAF</w:t>
      </w:r>
      <w:r w:rsidR="00AC662D">
        <w:t>s</w:t>
      </w:r>
      <w:r>
        <w:t xml:space="preserve"> with IEPR load forecasts for future years instead of historical loads will better capture the hourly allocation of transmission capacity value due to increasing transportation electrification and behind-the-meter generation.</w:t>
      </w:r>
      <w:r w:rsidR="00230376">
        <w:t xml:space="preserve"> </w:t>
      </w:r>
      <w:r w:rsidR="00FE6DA8">
        <w:t xml:space="preserve">While BayREN and 3C-REN urge the Commission to postpone updating the PCAF methodology until guiding principles are defined in Track Three of this proceeding, they do not specify how the outcome of Track Three would impact the PCAF methodology specifically compared to the other updates suggested in the Staff Proposal. Without such </w:t>
      </w:r>
      <w:r w:rsidR="00C63B70">
        <w:t>specificity</w:t>
      </w:r>
      <w:r w:rsidR="00FE6DA8">
        <w:t>, the Commission cannot</w:t>
      </w:r>
      <w:r w:rsidR="008C0365">
        <w:t xml:space="preserve"> delay</w:t>
      </w:r>
      <w:r w:rsidR="00FE6DA8">
        <w:t xml:space="preserve"> the 2026 ACC update cycle until guiding principles are defined and implemented. Additionally, any ACC guiding principles adopted in Track Three can be applied to the next biannual ACC update. </w:t>
      </w:r>
      <w:r w:rsidR="00230376">
        <w:t>Accordingly, this decision</w:t>
      </w:r>
      <w:r w:rsidR="00FE6DA8">
        <w:t xml:space="preserve"> updates the ACC to calculate the PCAF</w:t>
      </w:r>
      <w:r w:rsidR="00B03900">
        <w:t>s</w:t>
      </w:r>
      <w:r w:rsidR="00FE6DA8">
        <w:t xml:space="preserve"> with IEPR load forecasts</w:t>
      </w:r>
      <w:r w:rsidR="00B22D68">
        <w:t xml:space="preserve"> </w:t>
      </w:r>
      <w:r w:rsidR="00FE6DA8">
        <w:t>for future years</w:t>
      </w:r>
      <w:r w:rsidR="00B22D68">
        <w:t xml:space="preserve">, as used in SERVM modelling for calculating energy avoided costs, </w:t>
      </w:r>
      <w:r w:rsidR="00FE6DA8">
        <w:t>instead of historical loads.</w:t>
      </w:r>
    </w:p>
    <w:p w:rsidR="00DB0FE0" w:rsidP="00FE7FFA" w:rsidRDefault="00DB0FE0" w14:paraId="070134CD" w14:textId="6CB39587">
      <w:pPr>
        <w:pStyle w:val="Heading1"/>
      </w:pPr>
      <w:bookmarkStart w:name="_Toc238810868" w:id="21"/>
      <w:r>
        <w:t xml:space="preserve">Alignment of </w:t>
      </w:r>
      <w:r w:rsidR="00946B21">
        <w:t>T</w:t>
      </w:r>
      <w:r>
        <w:t xml:space="preserve">ransmission </w:t>
      </w:r>
      <w:r w:rsidR="00946B21">
        <w:t>A</w:t>
      </w:r>
      <w:r>
        <w:t xml:space="preserve">voided </w:t>
      </w:r>
      <w:r w:rsidR="00946B21">
        <w:t>C</w:t>
      </w:r>
      <w:r>
        <w:t xml:space="preserve">ost </w:t>
      </w:r>
      <w:r w:rsidR="00946B21">
        <w:t>C</w:t>
      </w:r>
      <w:r>
        <w:t xml:space="preserve">alculations </w:t>
      </w:r>
      <w:r w:rsidR="00511B49">
        <w:t>A</w:t>
      </w:r>
      <w:r>
        <w:t>cross Utilities.</w:t>
      </w:r>
      <w:bookmarkEnd w:id="21"/>
    </w:p>
    <w:p w:rsidR="00946B21" w:rsidP="00444B11" w:rsidRDefault="00444B11" w14:paraId="0C272F6B" w14:textId="4D6BC51E">
      <w:pPr>
        <w:pStyle w:val="Standard"/>
      </w:pPr>
      <w:r>
        <w:t xml:space="preserve">The </w:t>
      </w:r>
      <w:r w:rsidR="003759EB">
        <w:t>R</w:t>
      </w:r>
      <w:r w:rsidR="00AB1633">
        <w:t xml:space="preserve">evised </w:t>
      </w:r>
      <w:r>
        <w:t>Staff Proposal suggests using only the Discounted Total Investment Method (DTIM) to calculate marginal transmission costs for SCE</w:t>
      </w:r>
      <w:r w:rsidR="006B3DC4">
        <w:t>,</w:t>
      </w:r>
      <w:r>
        <w:t xml:space="preserve"> rather than </w:t>
      </w:r>
      <w:r w:rsidR="001E4F3B">
        <w:t>the</w:t>
      </w:r>
      <w:r w:rsidR="006B3DC4">
        <w:t xml:space="preserve"> combination</w:t>
      </w:r>
      <w:r w:rsidR="00D64F11">
        <w:t xml:space="preserve"> of</w:t>
      </w:r>
      <w:r w:rsidR="006B3DC4">
        <w:t xml:space="preserve"> </w:t>
      </w:r>
      <w:r>
        <w:t xml:space="preserve">the DTIM and the Locational Net Benefits Analysis (LNBA) </w:t>
      </w:r>
      <w:r w:rsidR="009B0946">
        <w:t xml:space="preserve">which had been </w:t>
      </w:r>
      <w:r w:rsidR="00A23432">
        <w:t xml:space="preserve">applied </w:t>
      </w:r>
      <w:r w:rsidR="00FB36EE">
        <w:t xml:space="preserve">for SCE </w:t>
      </w:r>
      <w:r>
        <w:t>since the 2020 ACC update cycle.</w:t>
      </w:r>
      <w:r>
        <w:rPr>
          <w:rStyle w:val="FootnoteReference"/>
        </w:rPr>
        <w:footnoteReference w:id="145"/>
      </w:r>
      <w:r>
        <w:t xml:space="preserve"> </w:t>
      </w:r>
      <w:r w:rsidR="00FC6738">
        <w:t>The DTIM is generally applied for system-wide capacity-driven transmission investments while the LNBA is applied for individual large projects where localized load growth and associated capacity-driven investment can be readily broken out from the rest of the system.</w:t>
      </w:r>
      <w:r w:rsidR="00FC6738">
        <w:rPr>
          <w:rStyle w:val="FootnoteReference"/>
        </w:rPr>
        <w:footnoteReference w:id="146"/>
      </w:r>
      <w:r w:rsidR="00FC6738">
        <w:t xml:space="preserve"> </w:t>
      </w:r>
      <w:r w:rsidR="00A84F22">
        <w:t>Transmission value</w:t>
      </w:r>
      <w:r w:rsidR="00017E74">
        <w:t>s</w:t>
      </w:r>
      <w:r w:rsidR="00A84F22">
        <w:t xml:space="preserve"> for </w:t>
      </w:r>
      <w:r w:rsidR="00FC6738">
        <w:t xml:space="preserve">PG&amp;E and SDG&amp;E </w:t>
      </w:r>
      <w:r w:rsidR="000505CA">
        <w:t xml:space="preserve">were </w:t>
      </w:r>
      <w:r w:rsidR="00FC6738">
        <w:t>already calculated using</w:t>
      </w:r>
      <w:r w:rsidR="00FB36EE">
        <w:t xml:space="preserve"> only </w:t>
      </w:r>
      <w:r w:rsidR="00FC6738">
        <w:t xml:space="preserve">the DTIM </w:t>
      </w:r>
      <w:r w:rsidR="006966C8">
        <w:t xml:space="preserve">in prior cycles. </w:t>
      </w:r>
      <w:r w:rsidR="00725AB6">
        <w:t xml:space="preserve">In prior cycles, </w:t>
      </w:r>
      <w:r w:rsidR="00486630">
        <w:t>Energy Division s</w:t>
      </w:r>
      <w:r w:rsidR="00FF1C68">
        <w:t xml:space="preserve">taff </w:t>
      </w:r>
      <w:r w:rsidR="006966C8">
        <w:t xml:space="preserve">calculated transmission value for </w:t>
      </w:r>
      <w:r w:rsidR="00FC6738">
        <w:t>SCE using both the DTIM and LNBA because SCE provided costs and capacity needs for individual large projects as well as system-wide investments.</w:t>
      </w:r>
      <w:r w:rsidR="00FC6738">
        <w:rPr>
          <w:rStyle w:val="FootnoteReference"/>
        </w:rPr>
        <w:footnoteReference w:id="147"/>
      </w:r>
      <w:r w:rsidR="00FC6738">
        <w:t xml:space="preserve"> With the staff proposal to use only the DT</w:t>
      </w:r>
      <w:r w:rsidR="00B50C51">
        <w:t>IM method for SCE, the capacity needs and investment associated with any large projects would be folded into the overall system-wide capacity needs and investment.</w:t>
      </w:r>
      <w:r w:rsidR="00B50C51">
        <w:rPr>
          <w:rStyle w:val="FootnoteReference"/>
        </w:rPr>
        <w:footnoteReference w:id="148"/>
      </w:r>
      <w:r w:rsidR="00B50C51">
        <w:t xml:space="preserve"> </w:t>
      </w:r>
      <w:r w:rsidR="008D3DB4">
        <w:t xml:space="preserve">The </w:t>
      </w:r>
      <w:r w:rsidR="000D6135">
        <w:t xml:space="preserve">proposed </w:t>
      </w:r>
      <w:r w:rsidR="008D3DB4">
        <w:t xml:space="preserve">method would improve consistency in the calculations across </w:t>
      </w:r>
      <w:r w:rsidR="001C6E4E">
        <w:t xml:space="preserve">electric </w:t>
      </w:r>
      <w:r w:rsidR="008D3DB4">
        <w:t>utilities and reduce volatility in the transmission value tied to the impacts of individual large projects</w:t>
      </w:r>
      <w:r w:rsidR="00B50C51">
        <w:t>.</w:t>
      </w:r>
      <w:r w:rsidR="00B50C51">
        <w:rPr>
          <w:rStyle w:val="FootnoteReference"/>
        </w:rPr>
        <w:footnoteReference w:id="149"/>
      </w:r>
      <w:r w:rsidR="00FE6DA8">
        <w:t xml:space="preserve"> </w:t>
      </w:r>
    </w:p>
    <w:p w:rsidR="00CD0B84" w:rsidP="00444B11" w:rsidRDefault="00CD0B84" w14:paraId="0983BA4F" w14:textId="3A75E6F7">
      <w:pPr>
        <w:pStyle w:val="Standard"/>
      </w:pPr>
      <w:r>
        <w:t xml:space="preserve">SCE supports the adoption of the </w:t>
      </w:r>
      <w:r w:rsidR="003759EB">
        <w:t>t</w:t>
      </w:r>
      <w:r>
        <w:t>ransmission</w:t>
      </w:r>
      <w:r w:rsidR="0031240F">
        <w:t xml:space="preserve"> </w:t>
      </w:r>
      <w:r w:rsidR="003759EB">
        <w:t>a</w:t>
      </w:r>
      <w:r w:rsidR="0031240F">
        <w:t>voided</w:t>
      </w:r>
      <w:r>
        <w:t xml:space="preserve"> </w:t>
      </w:r>
      <w:r w:rsidR="003759EB">
        <w:t>c</w:t>
      </w:r>
      <w:r>
        <w:t xml:space="preserve">ost </w:t>
      </w:r>
      <w:r w:rsidR="003759EB">
        <w:t>c</w:t>
      </w:r>
      <w:r>
        <w:t>alculation method for all</w:t>
      </w:r>
      <w:r w:rsidR="001C6E4E">
        <w:t xml:space="preserve"> electric</w:t>
      </w:r>
      <w:r>
        <w:t xml:space="preserve"> utilities</w:t>
      </w:r>
      <w:r w:rsidR="00486630">
        <w:t xml:space="preserve"> only</w:t>
      </w:r>
      <w:r>
        <w:t xml:space="preserve"> for the 2026 ACC Update, stating that it has not been able to fully investigate the impacts of retiring the LNBA method on a permanent basis.</w:t>
      </w:r>
      <w:r>
        <w:rPr>
          <w:rStyle w:val="FootnoteReference"/>
        </w:rPr>
        <w:footnoteReference w:id="150"/>
      </w:r>
      <w:r>
        <w:t xml:space="preserve"> SCE also writes that it expects the one remaining LNBA transmission project to shift to the DTIM for 2026.</w:t>
      </w:r>
      <w:r>
        <w:rPr>
          <w:rStyle w:val="FootnoteReference"/>
        </w:rPr>
        <w:footnoteReference w:id="151"/>
      </w:r>
    </w:p>
    <w:p w:rsidR="00CD0B84" w:rsidP="00444B11" w:rsidRDefault="00CD0B84" w14:paraId="6487CDFE" w14:textId="4DECD280">
      <w:pPr>
        <w:pStyle w:val="Standard"/>
      </w:pPr>
      <w:r>
        <w:t xml:space="preserve">SDG&amp;E does not oppose or support the </w:t>
      </w:r>
      <w:r w:rsidR="003759EB">
        <w:t>t</w:t>
      </w:r>
      <w:r>
        <w:t xml:space="preserve">ransmission </w:t>
      </w:r>
      <w:r w:rsidR="003759EB">
        <w:t>a</w:t>
      </w:r>
      <w:r w:rsidR="0031240F">
        <w:t xml:space="preserve">voided </w:t>
      </w:r>
      <w:r w:rsidR="003759EB">
        <w:t>c</w:t>
      </w:r>
      <w:r>
        <w:t xml:space="preserve">ost </w:t>
      </w:r>
      <w:r w:rsidR="003759EB">
        <w:t>c</w:t>
      </w:r>
      <w:r>
        <w:t>alculation method but states it “does not oppose a revision that is transparent, grounded in verifiable planning information, and sufficiently documented to permit stakeholder review.”</w:t>
      </w:r>
      <w:r>
        <w:rPr>
          <w:rStyle w:val="FootnoteReference"/>
        </w:rPr>
        <w:footnoteReference w:id="152"/>
      </w:r>
    </w:p>
    <w:p w:rsidR="002B09EB" w:rsidP="00444B11" w:rsidRDefault="002B09EB" w14:paraId="40FCBB75" w14:textId="1D23D0FC">
      <w:pPr>
        <w:pStyle w:val="Standard"/>
      </w:pPr>
      <w:r>
        <w:t>Clean Coalition states that the Commission should require the 2026 ACC workpapers to clearly identify which SCE large transmission projects are included in the DTIM calculation, which projects a</w:t>
      </w:r>
      <w:r w:rsidR="003759EB">
        <w:t>re</w:t>
      </w:r>
      <w:r>
        <w:t xml:space="preserve"> excluded and why, how capacity need is calculated, and how the resulting DTIM-only value </w:t>
      </w:r>
      <w:r w:rsidR="00064AF8">
        <w:t>compares</w:t>
      </w:r>
      <w:r>
        <w:t xml:space="preserve"> to the prior combined DTIM/LNBA value.</w:t>
      </w:r>
      <w:r>
        <w:rPr>
          <w:rStyle w:val="FootnoteReference"/>
        </w:rPr>
        <w:footnoteReference w:id="153"/>
      </w:r>
      <w:r>
        <w:t xml:space="preserve"> </w:t>
      </w:r>
    </w:p>
    <w:p w:rsidR="002B09EB" w:rsidP="00444B11" w:rsidRDefault="002B09EB" w14:paraId="758DBD40" w14:textId="2E449C37">
      <w:pPr>
        <w:pStyle w:val="Standard"/>
      </w:pPr>
      <w:r>
        <w:t xml:space="preserve">SEIA does not oppose the standardization of the </w:t>
      </w:r>
      <w:r w:rsidR="003759EB">
        <w:t>t</w:t>
      </w:r>
      <w:r>
        <w:t>ransmission</w:t>
      </w:r>
      <w:r w:rsidR="0031240F">
        <w:t xml:space="preserve"> </w:t>
      </w:r>
      <w:r w:rsidR="003759EB">
        <w:t>a</w:t>
      </w:r>
      <w:r w:rsidR="0031240F">
        <w:t>voided</w:t>
      </w:r>
      <w:r>
        <w:t xml:space="preserve"> </w:t>
      </w:r>
      <w:r w:rsidR="003759EB">
        <w:t>c</w:t>
      </w:r>
      <w:r>
        <w:t xml:space="preserve">ost </w:t>
      </w:r>
      <w:r w:rsidR="003759EB">
        <w:t>c</w:t>
      </w:r>
      <w:r w:rsidR="00064AF8">
        <w:t>alculation</w:t>
      </w:r>
      <w:r>
        <w:t xml:space="preserve"> across all electric IOUs </w:t>
      </w:r>
      <w:r w:rsidR="001C6E4E">
        <w:t>but</w:t>
      </w:r>
      <w:r>
        <w:t xml:space="preserve"> recommends that SCE and S</w:t>
      </w:r>
      <w:r w:rsidR="001C6E4E">
        <w:t>D</w:t>
      </w:r>
      <w:r>
        <w:t>G</w:t>
      </w:r>
      <w:r w:rsidR="001C6E4E">
        <w:t>&amp;</w:t>
      </w:r>
      <w:r>
        <w:t>E’s D</w:t>
      </w:r>
      <w:r w:rsidR="0031240F">
        <w:t>T</w:t>
      </w:r>
      <w:r>
        <w:t xml:space="preserve">IM calculations of avoided transmission costs use the same criteria adopted by PG&amp;E </w:t>
      </w:r>
      <w:r w:rsidR="001C6E4E">
        <w:t>to</w:t>
      </w:r>
      <w:r>
        <w:t xml:space="preserve"> determi</w:t>
      </w:r>
      <w:r w:rsidR="001C6E4E">
        <w:t>ne</w:t>
      </w:r>
      <w:r>
        <w:t xml:space="preserve"> which future transmission projects are capacity-related.</w:t>
      </w:r>
      <w:r>
        <w:rPr>
          <w:rStyle w:val="FootnoteReference"/>
        </w:rPr>
        <w:footnoteReference w:id="154"/>
      </w:r>
      <w:r>
        <w:t xml:space="preserve"> SEIA also recommends parties be allowed to provide </w:t>
      </w:r>
      <w:r w:rsidR="00064AF8">
        <w:t>feedback</w:t>
      </w:r>
      <w:r>
        <w:t xml:space="preserve"> on the cost data to be used for the marginal transmission costs in the 2026 ACC.</w:t>
      </w:r>
      <w:r>
        <w:rPr>
          <w:rStyle w:val="FootnoteReference"/>
        </w:rPr>
        <w:footnoteReference w:id="155"/>
      </w:r>
    </w:p>
    <w:p w:rsidRPr="00FB0920" w:rsidR="00B50C51" w:rsidP="00FB0920" w:rsidRDefault="00CD0B84" w14:paraId="6212E1BD" w14:textId="4F9FCC1E">
      <w:pPr>
        <w:pStyle w:val="Standard"/>
      </w:pPr>
      <w:r>
        <w:t>SoCalREN, PG&amp;E, SoCalGas</w:t>
      </w:r>
      <w:r w:rsidR="002B09EB">
        <w:t>, SBUA,</w:t>
      </w:r>
      <w:r>
        <w:t xml:space="preserve"> and CLECA do not take a position on the </w:t>
      </w:r>
      <w:r w:rsidR="003759EB">
        <w:t>t</w:t>
      </w:r>
      <w:r>
        <w:t xml:space="preserve">ransmission </w:t>
      </w:r>
      <w:r w:rsidR="003759EB">
        <w:t>a</w:t>
      </w:r>
      <w:r w:rsidR="0031240F">
        <w:t xml:space="preserve">voided </w:t>
      </w:r>
      <w:r w:rsidR="003759EB">
        <w:t>c</w:t>
      </w:r>
      <w:r>
        <w:t xml:space="preserve">ost </w:t>
      </w:r>
      <w:r w:rsidR="003759EB">
        <w:t>c</w:t>
      </w:r>
      <w:r>
        <w:t>alculation.</w:t>
      </w:r>
      <w:r>
        <w:rPr>
          <w:rStyle w:val="FootnoteReference"/>
        </w:rPr>
        <w:footnoteReference w:id="156"/>
      </w:r>
    </w:p>
    <w:p w:rsidRPr="00444B11" w:rsidR="0045250C" w:rsidP="00444B11" w:rsidRDefault="0031240F" w14:paraId="66F6501E" w14:textId="7F92569E">
      <w:pPr>
        <w:pStyle w:val="Standard"/>
      </w:pPr>
      <w:r w:rsidRPr="00FB0920">
        <w:t xml:space="preserve">The Commission agrees with </w:t>
      </w:r>
      <w:r w:rsidRPr="00FB0920" w:rsidR="001C6E4E">
        <w:t>SCE</w:t>
      </w:r>
      <w:r w:rsidRPr="00FB0920">
        <w:t xml:space="preserve"> that</w:t>
      </w:r>
      <w:r>
        <w:t xml:space="preserve"> all electric IOUs </w:t>
      </w:r>
      <w:r w:rsidR="001C6E4E">
        <w:t>should be require</w:t>
      </w:r>
      <w:r w:rsidR="00345FB0">
        <w:t>d</w:t>
      </w:r>
      <w:r w:rsidR="001C6E4E">
        <w:t xml:space="preserve"> </w:t>
      </w:r>
      <w:r>
        <w:t xml:space="preserve">to use the DTIM-only </w:t>
      </w:r>
      <w:r w:rsidR="003759EB">
        <w:t>t</w:t>
      </w:r>
      <w:r>
        <w:t xml:space="preserve">ransmission </w:t>
      </w:r>
      <w:r w:rsidR="003759EB">
        <w:t>a</w:t>
      </w:r>
      <w:r>
        <w:t xml:space="preserve">voided </w:t>
      </w:r>
      <w:r w:rsidR="003759EB">
        <w:t>c</w:t>
      </w:r>
      <w:r>
        <w:t xml:space="preserve">ost </w:t>
      </w:r>
      <w:r w:rsidR="003759EB">
        <w:t>c</w:t>
      </w:r>
      <w:r>
        <w:t>alculation</w:t>
      </w:r>
      <w:r w:rsidR="001C6E4E">
        <w:t xml:space="preserve">. The Commission agrees with the </w:t>
      </w:r>
      <w:r w:rsidR="00641E42">
        <w:t>Revised</w:t>
      </w:r>
      <w:r w:rsidR="001C6E4E">
        <w:t xml:space="preserve"> Staff Proposal that adopting the proposed DTIM-only approach</w:t>
      </w:r>
      <w:r>
        <w:t xml:space="preserve"> will improve consistency in calculation</w:t>
      </w:r>
      <w:r w:rsidR="001C6E4E">
        <w:t>s</w:t>
      </w:r>
      <w:r>
        <w:t xml:space="preserve"> across utilities and maintain the use</w:t>
      </w:r>
      <w:r w:rsidR="003759EB">
        <w:t xml:space="preserve"> of</w:t>
      </w:r>
      <w:r>
        <w:t xml:space="preserve"> a DTIM-only approach that has been approved and used in recent ACC cycles.</w:t>
      </w:r>
      <w:r>
        <w:rPr>
          <w:rStyle w:val="FootnoteReference"/>
        </w:rPr>
        <w:footnoteReference w:id="157"/>
      </w:r>
      <w:r>
        <w:t xml:space="preserve"> </w:t>
      </w:r>
      <w:r w:rsidR="00446C8F">
        <w:t xml:space="preserve">Responding to Clean Coalition’s suggestion that </w:t>
      </w:r>
      <w:r w:rsidR="00D73910">
        <w:t xml:space="preserve">the Commission require that the </w:t>
      </w:r>
      <w:r w:rsidR="00446C8F">
        <w:t xml:space="preserve">2026 ACC work papers clearly identify which SCE large transmission projects are included in the DTIM calculation, the Commission </w:t>
      </w:r>
      <w:r w:rsidR="00D73910">
        <w:t>declines to specify particular contents of the</w:t>
      </w:r>
      <w:r w:rsidR="00446C8F">
        <w:t xml:space="preserve"> workpapers</w:t>
      </w:r>
      <w:r w:rsidR="00314AC9">
        <w:t xml:space="preserve"> in this decision</w:t>
      </w:r>
      <w:r w:rsidR="00446C8F">
        <w:t xml:space="preserve">. </w:t>
      </w:r>
      <w:r>
        <w:t xml:space="preserve">Accordingly, this decision adopts the DTIM-only </w:t>
      </w:r>
      <w:r w:rsidR="003759EB">
        <w:t>t</w:t>
      </w:r>
      <w:r>
        <w:t xml:space="preserve">ransmission </w:t>
      </w:r>
      <w:r w:rsidR="003759EB">
        <w:t>a</w:t>
      </w:r>
      <w:r>
        <w:t xml:space="preserve">voided </w:t>
      </w:r>
      <w:r w:rsidR="003759EB">
        <w:t>c</w:t>
      </w:r>
      <w:r>
        <w:t xml:space="preserve">ost </w:t>
      </w:r>
      <w:r w:rsidR="003759EB">
        <w:t>c</w:t>
      </w:r>
      <w:r>
        <w:t>alculation for all electric utilities in the 2026 and future ACC cycles.</w:t>
      </w:r>
    </w:p>
    <w:p w:rsidR="00A473FA" w:rsidP="00FE7FFA" w:rsidRDefault="00A473FA" w14:paraId="66CE43E5" w14:textId="33E98C08">
      <w:pPr>
        <w:pStyle w:val="Heading1"/>
      </w:pPr>
      <w:bookmarkStart w:name="_Toc238810869" w:id="22"/>
      <w:r>
        <w:t>Party Proposals Related to the Avoided Cost Calculator</w:t>
      </w:r>
      <w:bookmarkEnd w:id="22"/>
    </w:p>
    <w:p w:rsidR="007060FC" w:rsidP="007060FC" w:rsidRDefault="007060FC" w14:paraId="6FBA8B85" w14:textId="52649295">
      <w:pPr>
        <w:pStyle w:val="Standard"/>
      </w:pPr>
      <w:r>
        <w:t>SEIA, SCE, Cal Advocates, CLECA, BayREN, 3C-REN, and CUE all state that parties did not receive enough time and information to thoroughly evaluate the proposed changes within the proceeding schedule. The parties request more time as well as another round of comments</w:t>
      </w:r>
      <w:r w:rsidR="004A62FD">
        <w:t xml:space="preserve"> and additional workshops</w:t>
      </w:r>
      <w:r>
        <w:t xml:space="preserve"> on the proposed ACC modifications.</w:t>
      </w:r>
      <w:r>
        <w:rPr>
          <w:rStyle w:val="FootnoteReference"/>
        </w:rPr>
        <w:footnoteReference w:id="158"/>
      </w:r>
      <w:r w:rsidR="00E37177">
        <w:t xml:space="preserve"> PG&amp;E proposes adopting a schedule similar to that followed in the Resource Adequacy proceeding, which gathers stakeholder ideas, allows them to present their ideas in workshops, and includes a formal comment process on those proposals.</w:t>
      </w:r>
      <w:r w:rsidR="00E37177">
        <w:rPr>
          <w:rStyle w:val="FootnoteReference"/>
        </w:rPr>
        <w:footnoteReference w:id="159"/>
      </w:r>
    </w:p>
    <w:p w:rsidRPr="007060FC" w:rsidR="00C967B8" w:rsidP="00C967B8" w:rsidRDefault="009534FA" w14:paraId="0941D731" w14:textId="582A6E1E">
      <w:pPr>
        <w:pStyle w:val="Standard"/>
      </w:pPr>
      <w:r>
        <w:t>BayREN and 3C-REN propose that Energy Division publish a side-by-side comparison of current 2024 ACC GHG values, proposed 2026 ACC GHG values, and 2026-2027 TPP RESOLVE shadow prices before adopting GHG methodology changes.</w:t>
      </w:r>
      <w:r>
        <w:rPr>
          <w:rStyle w:val="FootnoteReference"/>
        </w:rPr>
        <w:footnoteReference w:id="160"/>
      </w:r>
      <w:r w:rsidR="00196165">
        <w:t xml:space="preserve"> BayREN and 3-C Ren also suggest that the Commission publish the Integrated Calculation’s GHG output and allow for party comment before a final calculation method is adopted.</w:t>
      </w:r>
      <w:r w:rsidR="00196165">
        <w:rPr>
          <w:rStyle w:val="FootnoteReference"/>
        </w:rPr>
        <w:footnoteReference w:id="161"/>
      </w:r>
    </w:p>
    <w:p w:rsidRPr="00A473FA" w:rsidR="00A473FA" w:rsidP="00FE7FFA" w:rsidRDefault="00A473FA" w14:paraId="64734567" w14:textId="40254DA4">
      <w:pPr>
        <w:pStyle w:val="Heading1"/>
      </w:pPr>
      <w:bookmarkStart w:name="_Toc238810870" w:id="23"/>
      <w:r>
        <w:t>Timeline of 2026 Avoided Cost Calculator Update</w:t>
      </w:r>
      <w:bookmarkEnd w:id="23"/>
    </w:p>
    <w:p w:rsidR="00187402" w:rsidP="00187402" w:rsidRDefault="00187402" w14:paraId="3403E2CC" w14:textId="77777777">
      <w:pPr>
        <w:pStyle w:val="Standard"/>
      </w:pPr>
      <w:r>
        <w:t xml:space="preserve">The updates to the ACC methodology, as described in the Conclusions of Law in this decision, are adopted. </w:t>
      </w:r>
    </w:p>
    <w:p w:rsidRPr="00F37995" w:rsidR="00F37995" w:rsidP="00187402" w:rsidRDefault="00187402" w14:paraId="54236C4C" w14:textId="3C9EAC90">
      <w:pPr>
        <w:pStyle w:val="Standard"/>
      </w:pPr>
      <w:r>
        <w:t>Energy Division will release a draft 2026 ACC after the proposed decision is issued</w:t>
      </w:r>
      <w:r w:rsidR="00624842">
        <w:t xml:space="preserve"> and</w:t>
      </w:r>
      <w:r>
        <w:t xml:space="preserve"> hold a workshop on the draft 2026 ACC. The workshop discussions and </w:t>
      </w:r>
      <w:r w:rsidR="00C04136">
        <w:t xml:space="preserve">subsequent </w:t>
      </w:r>
      <w:r>
        <w:t>party comments will be considered in a Commission resolution approving the 2026 ACC. The 2026 ACC will be effective upon approval of the resolution approving the 2026 ACC.</w:t>
      </w:r>
    </w:p>
    <w:p w:rsidR="00603238" w:rsidP="00FE7FFA" w:rsidRDefault="00603238" w14:paraId="73AEA38D" w14:textId="77777777">
      <w:pPr>
        <w:pStyle w:val="Heading1"/>
      </w:pPr>
      <w:bookmarkStart w:name="_Toc238810871" w:id="24"/>
      <w:bookmarkStart w:name="_Toc8123721" w:id="25"/>
      <w:r>
        <w:t>Summary of Public Comment</w:t>
      </w:r>
      <w:bookmarkEnd w:id="24"/>
    </w:p>
    <w:p w:rsidRPr="00D85C17" w:rsidR="00603238" w:rsidP="00284D8D" w:rsidRDefault="00603238" w14:paraId="66F23E83" w14:textId="55242A7E">
      <w:pPr>
        <w:rPr>
          <w:rFonts w:ascii="Calibri" w:hAnsi="Calibri"/>
          <w:sz w:val="22"/>
        </w:rPr>
      </w:pPr>
      <w:r w:rsidRPr="00D85C17">
        <w:t xml:space="preserve">Rule 1.18 </w:t>
      </w:r>
      <w:r w:rsidR="00C86090">
        <w:t>of the Rules of Practice and Procedure</w:t>
      </w:r>
      <w:r w:rsidRPr="00D85C17">
        <w:t xml:space="preserve"> allows any member of the public to submit written comment in any Commission proceeding using the “Public Comment” tab of the online Docket Card for that proceeding on the Commission’s website.  Rule 1.18(b) requires that relevant written comment submitted in a proceeding be summarized in the final decision issued in that proceeding.</w:t>
      </w:r>
    </w:p>
    <w:p w:rsidRPr="00603238" w:rsidR="00603238" w:rsidP="00603238" w:rsidRDefault="00D85C17" w14:paraId="7655186E" w14:textId="7355D8B8">
      <w:pPr>
        <w:pStyle w:val="Standard"/>
      </w:pPr>
      <w:r>
        <w:t xml:space="preserve">No </w:t>
      </w:r>
      <w:r w:rsidR="00311A4B">
        <w:t xml:space="preserve">relevant </w:t>
      </w:r>
      <w:r>
        <w:t>public comment</w:t>
      </w:r>
      <w:r w:rsidR="00311A4B">
        <w:t>s</w:t>
      </w:r>
      <w:r>
        <w:t xml:space="preserve"> </w:t>
      </w:r>
      <w:r w:rsidR="00311A4B">
        <w:t>were</w:t>
      </w:r>
      <w:r>
        <w:t xml:space="preserve"> received in the docket of this proceeding</w:t>
      </w:r>
      <w:r w:rsidR="00437BF4">
        <w:t xml:space="preserve"> as of the date of submission of th</w:t>
      </w:r>
      <w:r w:rsidR="00311A4B">
        <w:t>e record for this decision</w:t>
      </w:r>
      <w:r w:rsidR="00603238">
        <w:t>.</w:t>
      </w:r>
    </w:p>
    <w:p w:rsidR="004A1EAD" w:rsidP="00FE7FFA" w:rsidRDefault="004A1EAD" w14:paraId="592540DE" w14:textId="77777777">
      <w:pPr>
        <w:pStyle w:val="Heading1"/>
      </w:pPr>
      <w:bookmarkStart w:name="_Toc238810872" w:id="26"/>
      <w:bookmarkStart w:name="_Toc8123723" w:id="27"/>
      <w:bookmarkEnd w:id="25"/>
      <w:r>
        <w:t>Procedural Matters</w:t>
      </w:r>
      <w:bookmarkEnd w:id="26"/>
    </w:p>
    <w:p w:rsidRPr="008B175A" w:rsidR="004A1EAD" w:rsidP="004A1EAD" w:rsidRDefault="004A1EAD" w14:paraId="05366BAE" w14:textId="0A9EEE7F">
      <w:pPr>
        <w:pStyle w:val="Standard"/>
      </w:pPr>
      <w:r w:rsidRPr="008B175A">
        <w:t xml:space="preserve">This decision affirms all rulings made by the Administrative Law Judge and </w:t>
      </w:r>
      <w:r w:rsidR="006D665D">
        <w:t xml:space="preserve">the </w:t>
      </w:r>
      <w:r w:rsidRPr="008B175A">
        <w:t xml:space="preserve">assigned Commissioner in this proceeding. All motions </w:t>
      </w:r>
      <w:r w:rsidR="0022221A">
        <w:t>related to the issues in this decision</w:t>
      </w:r>
      <w:r w:rsidRPr="008B175A">
        <w:t xml:space="preserve"> not ruled on are deemed denied.</w:t>
      </w:r>
    </w:p>
    <w:p w:rsidR="005939A5" w:rsidP="00FE7FFA" w:rsidRDefault="005939A5" w14:paraId="13CD9C53" w14:textId="77777777">
      <w:pPr>
        <w:pStyle w:val="Heading1"/>
      </w:pPr>
      <w:bookmarkStart w:name="_Toc238810873" w:id="28"/>
      <w:r>
        <w:t>Comments on Proposed Decision</w:t>
      </w:r>
      <w:bookmarkEnd w:id="27"/>
      <w:bookmarkEnd w:id="28"/>
    </w:p>
    <w:p w:rsidR="005939A5" w:rsidP="005C58FA" w:rsidRDefault="005C58FA" w14:paraId="6B8CDFBA" w14:textId="05FD3308">
      <w:pPr>
        <w:pStyle w:val="Standard"/>
      </w:pPr>
      <w:r w:rsidRPr="00662DEF">
        <w:t>The proposed decision of ALJ</w:t>
      </w:r>
      <w:r w:rsidRPr="00662DEF" w:rsidR="00662DEF">
        <w:t xml:space="preserve"> Jack Chang</w:t>
      </w:r>
      <w:r w:rsidRPr="00662DEF">
        <w:t xml:space="preserve"> in</w:t>
      </w:r>
      <w:r>
        <w:t xml:space="preserve"> this matter was mailed to the parties in accordance with Section 311 of the Public Utilities Code and comments were allowed under Rule 14.3 of the Commission’s Rules of Practice and Procedure.  Comments were filed on </w:t>
      </w:r>
      <w:r w:rsidR="002F0113">
        <w:t xml:space="preserve">August 20, 2026 by SEIA, PG&amp;E, SCE, SDG&amp;E, CLECA, Cal Advocates, </w:t>
      </w:r>
      <w:r w:rsidR="00E458DD">
        <w:t>Protect Our Communities Foundation (PCF), SoCalGas and CUE</w:t>
      </w:r>
      <w:r>
        <w:t xml:space="preserve">, and reply comments were filed on </w:t>
      </w:r>
      <w:r w:rsidR="00E458DD">
        <w:t xml:space="preserve">August 25, 2026 </w:t>
      </w:r>
      <w:r>
        <w:t xml:space="preserve"> by </w:t>
      </w:r>
      <w:r w:rsidR="00E458DD">
        <w:t xml:space="preserve">SEIA, SCE, </w:t>
      </w:r>
      <w:r w:rsidR="006A6090">
        <w:t xml:space="preserve">SDG&amp;E, CLECA, </w:t>
      </w:r>
      <w:r w:rsidR="00E458DD">
        <w:t>and PG&amp;E</w:t>
      </w:r>
      <w:r w:rsidRPr="00C878D5" w:rsidR="00C878D5">
        <w:t>.</w:t>
      </w:r>
    </w:p>
    <w:p w:rsidR="00756B59" w:rsidP="00756B59" w:rsidRDefault="00756B59" w14:paraId="7D5B3E08" w14:textId="68B9F019">
      <w:pPr>
        <w:pStyle w:val="Standard"/>
      </w:pPr>
      <w:r w:rsidRPr="0062607F">
        <w:t xml:space="preserve">In </w:t>
      </w:r>
      <w:r>
        <w:t>opening comments, Cal Advocates</w:t>
      </w:r>
      <w:r w:rsidRPr="0062607F">
        <w:t xml:space="preserve"> recommend</w:t>
      </w:r>
      <w:r>
        <w:t>s</w:t>
      </w:r>
      <w:r w:rsidRPr="0062607F">
        <w:t xml:space="preserve"> adopting 2031 as the year in which hybrid resources with 8-hour duration storage become the marginal resource</w:t>
      </w:r>
      <w:r>
        <w:t>.</w:t>
      </w:r>
      <w:r>
        <w:rPr>
          <w:rStyle w:val="FootnoteReference"/>
        </w:rPr>
        <w:footnoteReference w:id="162"/>
      </w:r>
      <w:r>
        <w:t xml:space="preserve"> Cal Advocates</w:t>
      </w:r>
      <w:r w:rsidRPr="0062607F">
        <w:t xml:space="preserve"> highlight</w:t>
      </w:r>
      <w:r>
        <w:t>s</w:t>
      </w:r>
      <w:r w:rsidRPr="0062607F">
        <w:t xml:space="preserve"> the “IRP’s predominant selection of 4-hour storage in 2028 but no significant online 8-hour storage until 203</w:t>
      </w:r>
      <w:r>
        <w:t>1</w:t>
      </w:r>
      <w:r w:rsidRPr="0062607F">
        <w:t>.</w:t>
      </w:r>
      <w:r>
        <w:t>”</w:t>
      </w:r>
      <w:r w:rsidRPr="0062607F">
        <w:t xml:space="preserve"> In reply comments, CLECA and SDG&amp;E recommend </w:t>
      </w:r>
      <w:r>
        <w:t xml:space="preserve">the Commission </w:t>
      </w:r>
      <w:r w:rsidR="00A07986">
        <w:t>keep</w:t>
      </w:r>
      <w:r>
        <w:t xml:space="preserve"> </w:t>
      </w:r>
      <w:r w:rsidRPr="0062607F">
        <w:t xml:space="preserve">the 2028 transition year as the current transition rate is still reasonable, while SEIA recommends 2030 as </w:t>
      </w:r>
      <w:r>
        <w:t>the transi</w:t>
      </w:r>
      <w:r w:rsidR="00A07986">
        <w:t>t</w:t>
      </w:r>
      <w:r>
        <w:t xml:space="preserve">ion year, stating </w:t>
      </w:r>
      <w:r w:rsidRPr="0062607F">
        <w:t>that is “when the first large tranche (9 GW) of 8-hour storage is added</w:t>
      </w:r>
      <w:r>
        <w:t>.</w:t>
      </w:r>
      <w:r w:rsidRPr="0062607F">
        <w:t>”</w:t>
      </w:r>
      <w:r>
        <w:rPr>
          <w:rStyle w:val="FootnoteReference"/>
        </w:rPr>
        <w:footnoteReference w:id="163"/>
      </w:r>
      <w:r w:rsidRPr="0062607F">
        <w:t xml:space="preserve"> </w:t>
      </w:r>
      <w:r w:rsidR="009A30F0">
        <w:t>SDG&amp;E supports retaining the 2028 transition year, stating that "the relevant question is which resource the optimization adds when the system needs the next increment of capacity."</w:t>
      </w:r>
      <w:r w:rsidR="009A30F0">
        <w:rPr>
          <w:rStyle w:val="FootnoteReference"/>
        </w:rPr>
        <w:footnoteReference w:id="164"/>
      </w:r>
      <w:r w:rsidR="009A30F0">
        <w:t xml:space="preserve"> </w:t>
      </w:r>
      <w:r w:rsidR="00E23A09">
        <w:t>SEIA states that if the Commission chooses to modify the 2028 transition year, it should select 2030 as the transition year.</w:t>
      </w:r>
      <w:r w:rsidR="00E23A09">
        <w:rPr>
          <w:rStyle w:val="FootnoteReference"/>
        </w:rPr>
        <w:footnoteReference w:id="165"/>
      </w:r>
      <w:r w:rsidR="00E23A09">
        <w:t xml:space="preserve"> </w:t>
      </w:r>
      <w:r w:rsidRPr="0062607F">
        <w:t>After review of this issue, the</w:t>
      </w:r>
      <w:r>
        <w:t xml:space="preserve"> Commission agrees with Cal Advocates and establishes </w:t>
      </w:r>
      <w:r w:rsidRPr="0062607F">
        <w:t xml:space="preserve">2031 </w:t>
      </w:r>
      <w:r>
        <w:t xml:space="preserve">as the transition year in which 8-hour duration storage becomes the marginal resource, which </w:t>
      </w:r>
      <w:r w:rsidRPr="0062607F">
        <w:t>will help further align the ACC with the IRP.</w:t>
      </w:r>
    </w:p>
    <w:p w:rsidR="00756B59" w:rsidP="005C58FA" w:rsidRDefault="00BF7E14" w14:paraId="2438DB8D" w14:textId="6CDAB275">
      <w:pPr>
        <w:pStyle w:val="Standard"/>
      </w:pPr>
      <w:r>
        <w:t>SDG&amp;E highlight</w:t>
      </w:r>
      <w:r w:rsidR="008A0F1D">
        <w:t>s</w:t>
      </w:r>
      <w:r>
        <w:t xml:space="preserve"> errors in its opening comments to the Proposed Decision regarding SDG&amp;E’s stated positions on several ACC components,</w:t>
      </w:r>
      <w:r w:rsidR="002B620C">
        <w:rPr>
          <w:rStyle w:val="FootnoteReference"/>
        </w:rPr>
        <w:footnoteReference w:id="166"/>
      </w:r>
      <w:r>
        <w:t xml:space="preserve"> argue</w:t>
      </w:r>
      <w:r w:rsidR="008A0F1D">
        <w:t>s</w:t>
      </w:r>
      <w:r>
        <w:t xml:space="preserve"> that the Proposed Decision lacked sufficient findings of fact and conclusions of law </w:t>
      </w:r>
      <w:r w:rsidR="00247B6A">
        <w:t>counter to</w:t>
      </w:r>
      <w:r>
        <w:t xml:space="preserve"> capping the GHG avoided cost in the ACC,</w:t>
      </w:r>
      <w:r w:rsidR="002B620C">
        <w:rPr>
          <w:rStyle w:val="FootnoteReference"/>
        </w:rPr>
        <w:footnoteReference w:id="167"/>
      </w:r>
      <w:r>
        <w:t xml:space="preserve"> and propose</w:t>
      </w:r>
      <w:r w:rsidR="008A0F1D">
        <w:t>s</w:t>
      </w:r>
      <w:r>
        <w:t xml:space="preserve"> an alternative method for capping the GHG avoided cost in the model.</w:t>
      </w:r>
      <w:r w:rsidR="002B620C">
        <w:rPr>
          <w:rStyle w:val="FootnoteReference"/>
        </w:rPr>
        <w:footnoteReference w:id="168"/>
      </w:r>
      <w:r>
        <w:t xml:space="preserve"> The revised Proposed Decision corrects or clarifies SDG&amp;E’s positions on </w:t>
      </w:r>
      <w:r w:rsidR="008A0F1D">
        <w:t xml:space="preserve">the highlighted </w:t>
      </w:r>
      <w:r>
        <w:t xml:space="preserve">ACC components and adds findings of fact regarding the Commission not adopting an ACC cap on avoided GHG costs. </w:t>
      </w:r>
    </w:p>
    <w:p w:rsidRPr="006A6090" w:rsidR="006615DF" w:rsidP="005C58FA" w:rsidRDefault="00BF7E14" w14:paraId="3C0534B1" w14:textId="3C19032B">
      <w:pPr>
        <w:pStyle w:val="Standard"/>
        <w:rPr>
          <w:szCs w:val="26"/>
        </w:rPr>
      </w:pPr>
      <w:r>
        <w:t>SCE state</w:t>
      </w:r>
      <w:r w:rsidR="008A0F1D">
        <w:t>s</w:t>
      </w:r>
      <w:r>
        <w:t xml:space="preserve"> in its opening comments </w:t>
      </w:r>
      <w:r w:rsidR="006615DF">
        <w:t>on</w:t>
      </w:r>
      <w:r>
        <w:t xml:space="preserve"> the Proposed Decision that </w:t>
      </w:r>
      <w:r w:rsidR="008A0F1D">
        <w:t>the Commission should adopt the Staff Proposal’s cap of GHG avoided costs set at the high SCC value in the Societal Cost Test and that if the Commission does not adopt that cap, that it should implement a 10-year smoothing period for GHG avoided costs in the ACC.</w:t>
      </w:r>
      <w:r w:rsidR="008A0F1D">
        <w:rPr>
          <w:rStyle w:val="FootnoteReference"/>
        </w:rPr>
        <w:footnoteReference w:id="169"/>
      </w:r>
      <w:r w:rsidR="008A0F1D">
        <w:t xml:space="preserve"> </w:t>
      </w:r>
      <w:r w:rsidR="002B620C">
        <w:t>SDG&amp;E states that "SCE's request for ten-year smoothing mi</w:t>
      </w:r>
      <w:r w:rsidR="006615DF">
        <w:t>s</w:t>
      </w:r>
      <w:r w:rsidR="002B620C">
        <w:t>characterizes the relief it would provide."</w:t>
      </w:r>
      <w:r w:rsidR="002B620C">
        <w:rPr>
          <w:rStyle w:val="FootnoteReference"/>
        </w:rPr>
        <w:footnoteReference w:id="170"/>
      </w:r>
      <w:r w:rsidR="002B620C">
        <w:t xml:space="preserve"> </w:t>
      </w:r>
      <w:r w:rsidR="008A0F1D">
        <w:t xml:space="preserve">SCE also questions the ACC adopting the GHG shadow price in the IRP and states that </w:t>
      </w:r>
      <w:r w:rsidR="006615DF">
        <w:t>adopting</w:t>
      </w:r>
      <w:r w:rsidR="008A0F1D">
        <w:t xml:space="preserve"> the IRP GHG shadow price double-counts avoided cap-and-invest costs.</w:t>
      </w:r>
      <w:r w:rsidR="008A0F1D">
        <w:rPr>
          <w:rStyle w:val="FootnoteReference"/>
        </w:rPr>
        <w:footnoteReference w:id="171"/>
      </w:r>
      <w:r w:rsidR="00334ADC">
        <w:t xml:space="preserve"> </w:t>
      </w:r>
      <w:r w:rsidR="006A6090">
        <w:t xml:space="preserve">The Commission </w:t>
      </w:r>
      <w:r w:rsidR="00051D93">
        <w:t xml:space="preserve">also </w:t>
      </w:r>
      <w:r w:rsidR="006A6090">
        <w:t>highlights that t</w:t>
      </w:r>
      <w:r w:rsidRPr="00EB7AF3" w:rsidR="006A6090">
        <w:rPr>
          <w:color w:val="212121"/>
          <w:szCs w:val="26"/>
        </w:rPr>
        <w:t xml:space="preserve">he GHG shadow prices being used in the 2026 ACC for the GHG adder refers to the GHG incremental to the </w:t>
      </w:r>
      <w:r w:rsidR="006A6090">
        <w:rPr>
          <w:color w:val="212121"/>
          <w:szCs w:val="26"/>
        </w:rPr>
        <w:t>c</w:t>
      </w:r>
      <w:r w:rsidRPr="00EB7AF3" w:rsidR="006A6090">
        <w:rPr>
          <w:color w:val="212121"/>
          <w:szCs w:val="26"/>
        </w:rPr>
        <w:t>ap-and-</w:t>
      </w:r>
      <w:r w:rsidR="006A6090">
        <w:rPr>
          <w:color w:val="212121"/>
          <w:szCs w:val="26"/>
        </w:rPr>
        <w:t>i</w:t>
      </w:r>
      <w:r w:rsidRPr="00EB7AF3" w:rsidR="006A6090">
        <w:rPr>
          <w:color w:val="212121"/>
          <w:szCs w:val="26"/>
        </w:rPr>
        <w:t xml:space="preserve">nvest value and does not encompass the </w:t>
      </w:r>
      <w:r w:rsidR="006A6090">
        <w:rPr>
          <w:color w:val="212121"/>
          <w:szCs w:val="26"/>
        </w:rPr>
        <w:t>c</w:t>
      </w:r>
      <w:r w:rsidRPr="00EB7AF3" w:rsidR="006A6090">
        <w:rPr>
          <w:color w:val="212121"/>
          <w:szCs w:val="26"/>
        </w:rPr>
        <w:t>ap</w:t>
      </w:r>
      <w:r w:rsidR="006A6090">
        <w:rPr>
          <w:color w:val="212121"/>
          <w:szCs w:val="26"/>
        </w:rPr>
        <w:t>-and-i</w:t>
      </w:r>
      <w:r w:rsidRPr="00EB7AF3" w:rsidR="006A6090">
        <w:rPr>
          <w:color w:val="212121"/>
          <w:szCs w:val="26"/>
        </w:rPr>
        <w:t xml:space="preserve">nvest value itself. Therefore, when the </w:t>
      </w:r>
      <w:r w:rsidR="006A6090">
        <w:rPr>
          <w:color w:val="212121"/>
          <w:szCs w:val="26"/>
        </w:rPr>
        <w:t>c</w:t>
      </w:r>
      <w:r w:rsidRPr="00EB7AF3" w:rsidR="006A6090">
        <w:rPr>
          <w:color w:val="212121"/>
          <w:szCs w:val="26"/>
        </w:rPr>
        <w:t>ap</w:t>
      </w:r>
      <w:r w:rsidR="006A6090">
        <w:rPr>
          <w:color w:val="212121"/>
          <w:szCs w:val="26"/>
        </w:rPr>
        <w:t>-</w:t>
      </w:r>
      <w:r w:rsidRPr="00EB7AF3" w:rsidR="006A6090">
        <w:rPr>
          <w:color w:val="212121"/>
          <w:szCs w:val="26"/>
        </w:rPr>
        <w:t>and</w:t>
      </w:r>
      <w:r w:rsidR="006A6090">
        <w:rPr>
          <w:color w:val="212121"/>
          <w:szCs w:val="26"/>
        </w:rPr>
        <w:t>-i</w:t>
      </w:r>
      <w:r w:rsidRPr="00EB7AF3" w:rsidR="006A6090">
        <w:rPr>
          <w:color w:val="212121"/>
          <w:szCs w:val="26"/>
        </w:rPr>
        <w:t>nvest and the GHG Adder are added together in the 2026 ACC outputs, this results in a total avoided GHG value without double-counting.</w:t>
      </w:r>
      <w:r w:rsidR="00E23A09">
        <w:rPr>
          <w:color w:val="212121"/>
          <w:szCs w:val="26"/>
        </w:rPr>
        <w:t xml:space="preserve"> </w:t>
      </w:r>
      <w:r w:rsidR="006615DF">
        <w:t>SCE supports SDG&amp;E’s suggested alternative method for calculating an upper bound for GHG avoided costs in the ACC.</w:t>
      </w:r>
      <w:r w:rsidR="006615DF">
        <w:rPr>
          <w:rStyle w:val="FootnoteReference"/>
        </w:rPr>
        <w:footnoteReference w:id="172"/>
      </w:r>
      <w:r w:rsidR="006615DF">
        <w:t xml:space="preserve"> PG&amp;E suggests adopting an interim cap on GHG values in the ACC "while a more durable methodology is developed."</w:t>
      </w:r>
      <w:r w:rsidR="006615DF">
        <w:rPr>
          <w:rStyle w:val="FootnoteReference"/>
        </w:rPr>
        <w:footnoteReference w:id="173"/>
      </w:r>
      <w:r w:rsidR="006615DF">
        <w:t xml:space="preserve"> SEIA opposes capping the GHG value used in the ACC at the SCC.</w:t>
      </w:r>
      <w:r w:rsidR="006615DF">
        <w:rPr>
          <w:rStyle w:val="FootnoteReference"/>
        </w:rPr>
        <w:footnoteReference w:id="174"/>
      </w:r>
      <w:r w:rsidR="006615DF">
        <w:t xml:space="preserve"> As discussed in this decision, the Commission determines that a cap on GHG avoided cost values is not needed with the adoption of the IRP GHG shadow price.</w:t>
      </w:r>
    </w:p>
    <w:p w:rsidR="006A6090" w:rsidP="006A6090" w:rsidRDefault="006A6090" w14:paraId="0948F1D0" w14:textId="77777777">
      <w:pPr>
        <w:pStyle w:val="Standard"/>
        <w:rPr>
          <w:sz w:val="24"/>
          <w:szCs w:val="24"/>
        </w:rPr>
      </w:pPr>
      <w:r>
        <w:t>SEIA and CLECA oppose the Proposed Decision’s adoption of a hybrid solar and storage resource in the Integrated Calculation.</w:t>
      </w:r>
      <w:r>
        <w:rPr>
          <w:rStyle w:val="FootnoteReference"/>
        </w:rPr>
        <w:footnoteReference w:id="175"/>
      </w:r>
      <w:r>
        <w:t xml:space="preserve"> The Commission</w:t>
      </w:r>
      <w:r w:rsidRPr="006A6090">
        <w:t xml:space="preserve"> consider</w:t>
      </w:r>
      <w:r>
        <w:t>s</w:t>
      </w:r>
      <w:r w:rsidRPr="006A6090">
        <w:t xml:space="preserve"> hybrid solar and storage to be the best option for setting capacity avoided costs given that </w:t>
      </w:r>
      <w:r>
        <w:t xml:space="preserve">the </w:t>
      </w:r>
      <w:r w:rsidRPr="006A6090">
        <w:t>GHG adder has been determined.</w:t>
      </w:r>
    </w:p>
    <w:p w:rsidRPr="006A6090" w:rsidR="00126DAF" w:rsidP="00126DAF" w:rsidRDefault="006A6090" w14:paraId="5B1F72EE" w14:textId="69ED4507">
      <w:pPr>
        <w:pStyle w:val="Standard"/>
        <w:rPr>
          <w:szCs w:val="26"/>
        </w:rPr>
      </w:pPr>
      <w:r>
        <w:t xml:space="preserve">CLECA, SEIA, </w:t>
      </w:r>
      <w:r w:rsidR="00E23A09">
        <w:t xml:space="preserve">PG&amp;E, </w:t>
      </w:r>
      <w:r>
        <w:t>and SCE state that the Commission should use updated O&amp;M costs for existing natural gas plants retained by the IRP.</w:t>
      </w:r>
      <w:r>
        <w:rPr>
          <w:rStyle w:val="FootnoteReference"/>
        </w:rPr>
        <w:footnoteReference w:id="176"/>
      </w:r>
      <w:r>
        <w:t xml:space="preserve"> </w:t>
      </w:r>
      <w:r w:rsidRPr="00EB7AF3">
        <w:rPr>
          <w:rFonts w:eastAsia="Times New Roman" w:cs="Times New Roman"/>
          <w:color w:val="212121"/>
          <w:szCs w:val="26"/>
        </w:rPr>
        <w:t xml:space="preserve">The </w:t>
      </w:r>
      <w:r>
        <w:rPr>
          <w:rFonts w:eastAsia="Times New Roman" w:cs="Times New Roman"/>
          <w:color w:val="212121"/>
          <w:szCs w:val="26"/>
        </w:rPr>
        <w:t xml:space="preserve">Commission highlights that the </w:t>
      </w:r>
      <w:r w:rsidRPr="00EB7AF3">
        <w:rPr>
          <w:rFonts w:eastAsia="Times New Roman" w:cs="Times New Roman"/>
          <w:color w:val="212121"/>
          <w:szCs w:val="26"/>
        </w:rPr>
        <w:t>gas O&amp;M costs used for the 2026 ACC are aligned with the 2026-2027 TPP.</w:t>
      </w:r>
    </w:p>
    <w:p w:rsidR="0052299C" w:rsidP="009F7D0C" w:rsidRDefault="00126DAF" w14:paraId="278A2AE9" w14:textId="086E172D">
      <w:pPr>
        <w:pStyle w:val="Standard"/>
        <w:rPr>
          <w:color w:val="212121"/>
          <w:szCs w:val="26"/>
        </w:rPr>
      </w:pPr>
      <w:r>
        <w:t>PCF proposes preserving the use of the LNBA in the DTIM method, stating that "the LNBA is the only existing method that could be used as a basis for ascertaining locational evidence relevant to show where distributed energy resources (DERs) defer transmission lines."</w:t>
      </w:r>
      <w:r>
        <w:rPr>
          <w:rStyle w:val="FootnoteReference"/>
        </w:rPr>
        <w:footnoteReference w:id="177"/>
      </w:r>
      <w:r w:rsidR="006A6090">
        <w:t xml:space="preserve"> The </w:t>
      </w:r>
      <w:r w:rsidRPr="006A6090" w:rsidR="006A6090">
        <w:rPr>
          <w:szCs w:val="26"/>
        </w:rPr>
        <w:t xml:space="preserve">Commission </w:t>
      </w:r>
      <w:r w:rsidR="00247B6A">
        <w:rPr>
          <w:szCs w:val="26"/>
        </w:rPr>
        <w:t>conclude</w:t>
      </w:r>
      <w:r w:rsidRPr="006A6090" w:rsidR="006A6090">
        <w:rPr>
          <w:szCs w:val="26"/>
        </w:rPr>
        <w:t xml:space="preserve">s that </w:t>
      </w:r>
      <w:r w:rsidR="006A6090">
        <w:rPr>
          <w:szCs w:val="26"/>
        </w:rPr>
        <w:t>t</w:t>
      </w:r>
      <w:r w:rsidRPr="00EB7AF3" w:rsidR="006A6090">
        <w:rPr>
          <w:color w:val="212121"/>
          <w:szCs w:val="26"/>
        </w:rPr>
        <w:t>he use of the DTIM for all utilities in the 2026 ACC improves consistency in calculation methodology across utilities.</w:t>
      </w:r>
    </w:p>
    <w:p w:rsidR="00861A39" w:rsidP="009F7D0C" w:rsidRDefault="00861A39" w14:paraId="1D4AF268" w14:textId="334DA3E6">
      <w:pPr>
        <w:pStyle w:val="Standard"/>
      </w:pPr>
      <w:r>
        <w:rPr>
          <w:color w:val="212121"/>
          <w:szCs w:val="26"/>
        </w:rPr>
        <w:t>SEIA suggests that the Commission adopt a methodology for selecting transmission projects to include in the calculation of IOU marginal transmission costs that would be used uniformly by all IOUs.</w:t>
      </w:r>
      <w:r>
        <w:rPr>
          <w:rStyle w:val="FootnoteReference"/>
          <w:color w:val="212121"/>
          <w:szCs w:val="26"/>
        </w:rPr>
        <w:footnoteReference w:id="178"/>
      </w:r>
      <w:r>
        <w:rPr>
          <w:color w:val="212121"/>
          <w:szCs w:val="26"/>
        </w:rPr>
        <w:t xml:space="preserve"> SCE states that it works with the Energy Division to select its utility-specific </w:t>
      </w:r>
      <w:r w:rsidR="006615DF">
        <w:rPr>
          <w:color w:val="212121"/>
          <w:szCs w:val="26"/>
        </w:rPr>
        <w:t>transmission</w:t>
      </w:r>
      <w:r>
        <w:rPr>
          <w:color w:val="212121"/>
          <w:szCs w:val="26"/>
        </w:rPr>
        <w:t xml:space="preserve"> projects.</w:t>
      </w:r>
      <w:r>
        <w:rPr>
          <w:rStyle w:val="FootnoteReference"/>
          <w:color w:val="212121"/>
          <w:szCs w:val="26"/>
        </w:rPr>
        <w:footnoteReference w:id="179"/>
      </w:r>
    </w:p>
    <w:p w:rsidR="005939A5" w:rsidP="00FE7FFA" w:rsidRDefault="005939A5" w14:paraId="166FCEB2" w14:textId="77777777">
      <w:pPr>
        <w:pStyle w:val="Heading1"/>
      </w:pPr>
      <w:bookmarkStart w:name="_Toc8123724" w:id="29"/>
      <w:bookmarkStart w:name="_Toc238810874" w:id="30"/>
      <w:r>
        <w:t>Assignment of Proceeding</w:t>
      </w:r>
      <w:bookmarkEnd w:id="29"/>
      <w:bookmarkEnd w:id="30"/>
    </w:p>
    <w:p w:rsidR="005939A5" w:rsidP="006E6574" w:rsidRDefault="00A473FA" w14:paraId="5A593A56" w14:textId="5F0694D8">
      <w:pPr>
        <w:pStyle w:val="Standard"/>
      </w:pPr>
      <w:r>
        <w:t>Darcie L. Houck</w:t>
      </w:r>
      <w:r w:rsidR="005939A5">
        <w:t xml:space="preserve"> is the assigned Commissioner</w:t>
      </w:r>
      <w:r w:rsidR="00824ECA">
        <w:t>,</w:t>
      </w:r>
      <w:r w:rsidR="005939A5">
        <w:t xml:space="preserve"> and </w:t>
      </w:r>
      <w:r>
        <w:t>Jack Chang</w:t>
      </w:r>
      <w:r w:rsidR="005939A5">
        <w:t xml:space="preserve"> is the assigned Administrative Law Judge in this proceeding.</w:t>
      </w:r>
    </w:p>
    <w:p w:rsidR="00FE270B" w:rsidP="00FE270B" w:rsidRDefault="00FE270B" w14:paraId="6AAC08F3" w14:textId="77777777">
      <w:pPr>
        <w:pStyle w:val="Dummy"/>
      </w:pPr>
      <w:bookmarkStart w:name="_Toc238810875" w:id="31"/>
      <w:r>
        <w:t>Findings of Fact</w:t>
      </w:r>
      <w:bookmarkEnd w:id="31"/>
    </w:p>
    <w:p w:rsidR="00FE270B" w:rsidP="00FE270B" w:rsidRDefault="00FE270B" w14:paraId="64E04631" w14:textId="77777777">
      <w:pPr>
        <w:pStyle w:val="FoF"/>
      </w:pPr>
      <w:r>
        <w:t>The state of California lacks a cross-sector basis for valuing GHG reductions.</w:t>
      </w:r>
    </w:p>
    <w:p w:rsidR="00FE270B" w:rsidP="00FE270B" w:rsidRDefault="00FE270B" w14:paraId="0AF19F92" w14:textId="77777777">
      <w:pPr>
        <w:pStyle w:val="FoF"/>
      </w:pPr>
      <w:r>
        <w:t>The state of California has not developed sector-specific modeling of marginal abatement costs for the natural gas sector beyond the current interim value based on a 2021 CEC report on the GHG abatement cost in buildings.</w:t>
      </w:r>
    </w:p>
    <w:p w:rsidR="00FE270B" w:rsidP="00FE270B" w:rsidRDefault="00FE270B" w14:paraId="3178EE7B" w14:textId="361F3992">
      <w:pPr>
        <w:pStyle w:val="FoF"/>
      </w:pPr>
      <w:r>
        <w:t>The electric sector GHG value is more frequently updated than the natural gas sector GHG interim value currently used in the ACC.</w:t>
      </w:r>
    </w:p>
    <w:p w:rsidR="00FE270B" w:rsidP="00FE270B" w:rsidRDefault="00FE270B" w14:paraId="72834860" w14:textId="5DEEFA60">
      <w:pPr>
        <w:pStyle w:val="FoF"/>
      </w:pPr>
      <w:r>
        <w:t>Using a</w:t>
      </w:r>
      <w:r w:rsidR="00C32617">
        <w:t>n</w:t>
      </w:r>
      <w:r>
        <w:t xml:space="preserve"> electric sector GHG value for all GHG reductions in the ACC model aligns with the marginal GHG value indicated by the IRP.</w:t>
      </w:r>
    </w:p>
    <w:p w:rsidR="00FE270B" w:rsidP="00FE270B" w:rsidRDefault="00FE270B" w14:paraId="317C8EC0" w14:textId="77777777">
      <w:pPr>
        <w:pStyle w:val="FoF"/>
      </w:pPr>
      <w:r>
        <w:t>Adopting the electric-sector GHG value for all GHG reductions would provide a coherent basis for evaluating emissions reductions across the electric and gas sectors.</w:t>
      </w:r>
    </w:p>
    <w:p w:rsidR="00FE6DA8" w:rsidP="00FE270B" w:rsidRDefault="00FE6DA8" w14:paraId="4340E447" w14:textId="2DD48ED7">
      <w:pPr>
        <w:pStyle w:val="FoF"/>
      </w:pPr>
      <w:r>
        <w:t>Avoiding the overvaluation of GHG reduction measures by adopting an electric-sector GHG value for all GHG reductions is in the ratepayer interest.</w:t>
      </w:r>
    </w:p>
    <w:p w:rsidR="00FE270B" w:rsidP="00FE270B" w:rsidRDefault="00FE270B" w14:paraId="127D299B" w14:textId="21D5DCCB">
      <w:pPr>
        <w:pStyle w:val="FoF"/>
      </w:pPr>
      <w:r>
        <w:t xml:space="preserve">The GHG rebalancing component of the ACC was introduced to account for </w:t>
      </w:r>
      <w:r w:rsidR="00ED10C9">
        <w:t xml:space="preserve">the </w:t>
      </w:r>
      <w:r w:rsidRPr="0014148F" w:rsidR="00ED10C9">
        <w:t>reallocation of allowable GHG emissions</w:t>
      </w:r>
      <w:r w:rsidDel="00ED10C9" w:rsidR="00ED10C9">
        <w:t xml:space="preserve"> </w:t>
      </w:r>
      <w:r w:rsidR="00ED10C9">
        <w:t>across electric and gas sectors</w:t>
      </w:r>
      <w:r>
        <w:t>.</w:t>
      </w:r>
    </w:p>
    <w:p w:rsidR="00FE270B" w:rsidP="00FE270B" w:rsidRDefault="00F33995" w14:paraId="66B1C838" w14:textId="548BC61E">
      <w:pPr>
        <w:pStyle w:val="FoF"/>
      </w:pPr>
      <w:r>
        <w:t>Removing the GHG rebalancing component aligns the GHG value in the ACC with the GHG value in the IRP</w:t>
      </w:r>
      <w:r w:rsidR="00FE270B">
        <w:t>.</w:t>
      </w:r>
      <w:r w:rsidR="00514D9E">
        <w:t xml:space="preserve"> </w:t>
      </w:r>
    </w:p>
    <w:p w:rsidR="00511B49" w:rsidP="00FE270B" w:rsidRDefault="00511B49" w14:paraId="569024E5" w14:textId="113C54FA">
      <w:pPr>
        <w:pStyle w:val="FoF"/>
      </w:pPr>
      <w:r>
        <w:t xml:space="preserve">Using the IRP GHG avoided cost “shadow price” in the ACC would align the </w:t>
      </w:r>
      <w:r w:rsidRPr="00FB0920">
        <w:t xml:space="preserve">IRP and ACC. </w:t>
      </w:r>
    </w:p>
    <w:p w:rsidR="00A52444" w:rsidP="00A52444" w:rsidRDefault="004D6226" w14:paraId="4BE452A2" w14:textId="77777777">
      <w:pPr>
        <w:pStyle w:val="FoF"/>
      </w:pPr>
      <w:r w:rsidRPr="004D6226">
        <w:t xml:space="preserve">Capping California’s GHG avoided costs at the SCC </w:t>
      </w:r>
      <w:r>
        <w:t>may</w:t>
      </w:r>
      <w:r w:rsidRPr="004D6226">
        <w:t xml:space="preserve"> create inconsistencies across the ACC, IRP, cap and-invest, and other regulatory frameworks</w:t>
      </w:r>
      <w:r>
        <w:t>.</w:t>
      </w:r>
    </w:p>
    <w:p w:rsidR="004D6226" w:rsidP="00A52444" w:rsidRDefault="00A52444" w14:paraId="35FB329B" w14:textId="1C4DEE1E">
      <w:pPr>
        <w:pStyle w:val="FoF"/>
      </w:pPr>
      <w:r>
        <w:t xml:space="preserve">Capping the GHG value on </w:t>
      </w:r>
      <w:r w:rsidRPr="001549EF">
        <w:t xml:space="preserve">the demand side but not applying it to the supply side </w:t>
      </w:r>
      <w:r>
        <w:t>may</w:t>
      </w:r>
      <w:r w:rsidRPr="001549EF">
        <w:t xml:space="preserve"> cause demand side resources to be artificially undervalued relative to supply side values</w:t>
      </w:r>
      <w:r>
        <w:t>.</w:t>
      </w:r>
    </w:p>
    <w:p w:rsidRPr="00FB0920" w:rsidR="002A4288" w:rsidP="00A52444" w:rsidRDefault="002A4288" w14:paraId="1B54982C" w14:textId="312436B1">
      <w:pPr>
        <w:pStyle w:val="FoF"/>
      </w:pPr>
      <w:r>
        <w:rPr>
          <w:rStyle w:val="normaltextrun"/>
          <w:color w:val="0078D4"/>
          <w:szCs w:val="26"/>
          <w:u w:val="single"/>
          <w:shd w:val="clear" w:color="auto" w:fill="FFFFFF"/>
        </w:rPr>
        <w:t>Using th</w:t>
      </w:r>
      <w:r w:rsidR="00491B5C">
        <w:rPr>
          <w:rStyle w:val="normaltextrun"/>
          <w:color w:val="0078D4"/>
          <w:szCs w:val="26"/>
          <w:u w:val="single"/>
          <w:shd w:val="clear" w:color="auto" w:fill="FFFFFF"/>
        </w:rPr>
        <w:t>e IRP GHG</w:t>
      </w:r>
      <w:r>
        <w:rPr>
          <w:rStyle w:val="normaltextrun"/>
          <w:color w:val="0078D4"/>
          <w:szCs w:val="26"/>
          <w:u w:val="single"/>
          <w:shd w:val="clear" w:color="auto" w:fill="FFFFFF"/>
        </w:rPr>
        <w:t xml:space="preserve"> “shadow price” will more accurately reflect current valuations of GHG avoided costs than adopting a federal SCC-based cap.</w:t>
      </w:r>
      <w:r>
        <w:rPr>
          <w:rStyle w:val="eop"/>
          <w:color w:val="0078D4"/>
          <w:szCs w:val="26"/>
          <w:bdr w:val="none" w:color="auto" w:sz="0" w:space="0" w:frame="1"/>
          <w:shd w:val="clear" w:color="auto" w:fill="C6C6C6"/>
        </w:rPr>
        <w:t> </w:t>
      </w:r>
    </w:p>
    <w:p w:rsidR="00FE270B" w:rsidP="00FE270B" w:rsidRDefault="00AB1633" w14:paraId="1AF634F0" w14:textId="5294B9C2">
      <w:pPr>
        <w:pStyle w:val="FoF"/>
      </w:pPr>
      <w:r w:rsidRPr="00FB0920">
        <w:t xml:space="preserve">Adopting a simplified Integrated Calculation using a hybrid energy resource and the GHG avoided cost shadow price </w:t>
      </w:r>
      <w:r w:rsidRPr="00FB0920" w:rsidR="00196165">
        <w:t xml:space="preserve">from the IRP model </w:t>
      </w:r>
      <w:r w:rsidRPr="00FB0920">
        <w:t>to calculate avoided generation capacity costs will help provide a consistent method across the ACC and IRP proceedings.</w:t>
      </w:r>
    </w:p>
    <w:p w:rsidRPr="00FB0920" w:rsidR="00C57712" w:rsidP="00FE270B" w:rsidRDefault="00C57712" w14:paraId="362FA488" w14:textId="54F00A40">
      <w:pPr>
        <w:pStyle w:val="FoF"/>
      </w:pPr>
      <w:r>
        <w:t>Adopting 2031 as the year in which hybrid resources with eight-hour duration storage becomes the margin resource in the Integrated Calculation will help further align the ACC with the IRP.</w:t>
      </w:r>
    </w:p>
    <w:p w:rsidR="00FE270B" w:rsidP="00FE270B" w:rsidRDefault="00FE270B" w14:paraId="7259A4C4" w14:textId="77777777">
      <w:pPr>
        <w:pStyle w:val="FoF"/>
      </w:pPr>
      <w:r>
        <w:t>A small versus large amount of load reduction during an hour results in the same reliability benefit across all hours with a loss of load.</w:t>
      </w:r>
    </w:p>
    <w:p w:rsidR="00FE270B" w:rsidP="00FE270B" w:rsidRDefault="00FE270B" w14:paraId="7412DB47" w14:textId="2EA7377F">
      <w:pPr>
        <w:pStyle w:val="FoF"/>
      </w:pPr>
      <w:r>
        <w:t>Using LOLH to calculate the ACC capacity allocation factor would measure the frequency rather than the magnitude of such loss of load events.</w:t>
      </w:r>
    </w:p>
    <w:p w:rsidR="00FE270B" w:rsidP="00FE270B" w:rsidRDefault="00FE270B" w14:paraId="1273182D" w14:textId="77777777">
      <w:pPr>
        <w:pStyle w:val="FoF"/>
      </w:pPr>
      <w:r>
        <w:t>The combination of increasing winter loads due to building electrification and the growing penetrations of renewables is shifting reliability risks from summer to winter months due to higher winter loads and lower renewable output during winter months.</w:t>
      </w:r>
    </w:p>
    <w:p w:rsidR="00FE270B" w:rsidP="00FE270B" w:rsidRDefault="00FE270B" w14:paraId="647320AE" w14:textId="6008CBD1">
      <w:pPr>
        <w:pStyle w:val="FoF"/>
      </w:pPr>
      <w:r>
        <w:t xml:space="preserve">Energy prices, compared to </w:t>
      </w:r>
      <w:r w:rsidR="00B06D52">
        <w:t>temperature</w:t>
      </w:r>
      <w:r>
        <w:t>, better reflect the timing of loss-of-load events within the year, when the balance between supply and demand is most constrained.</w:t>
      </w:r>
    </w:p>
    <w:p w:rsidR="00FE270B" w:rsidP="00FE270B" w:rsidRDefault="00FE270B" w14:paraId="2FB9A51A" w14:textId="77777777">
      <w:pPr>
        <w:pStyle w:val="FoF"/>
      </w:pPr>
      <w:r>
        <w:t>Reliability modeling has shown that weekdays typically have significantly higher reliability risks than weekends.</w:t>
      </w:r>
    </w:p>
    <w:p w:rsidR="00FE270B" w:rsidP="00FE270B" w:rsidRDefault="00FF3E3F" w14:paraId="7FFFB3E1" w14:textId="36D8A54D">
      <w:pPr>
        <w:pStyle w:val="FoF"/>
      </w:pPr>
      <w:r>
        <w:t>Differentiating between weekends and weekdays when a</w:t>
      </w:r>
      <w:r w:rsidR="00FE270B">
        <w:t>llocating days with non-zero reliability risk enables the final capacity value allocation to align with the weekend/weekday risk from reliability modeling.</w:t>
      </w:r>
    </w:p>
    <w:p w:rsidR="00FE270B" w:rsidP="00FE270B" w:rsidRDefault="00FE270B" w14:paraId="0FA4ABFD" w14:textId="77777777">
      <w:pPr>
        <w:pStyle w:val="FoF"/>
      </w:pPr>
      <w:r>
        <w:t>IEPR load forecasts indicate that the hours of constrained transmission capacity will evolve due to increasing penetration of electric vehicles and building electrification and increasing behind-the-meter generation.</w:t>
      </w:r>
    </w:p>
    <w:p w:rsidRPr="00196165" w:rsidR="00FE270B" w:rsidP="00FE270B" w:rsidRDefault="00FE270B" w14:paraId="3B66B618" w14:textId="77777777">
      <w:pPr>
        <w:pStyle w:val="FoF"/>
      </w:pPr>
      <w:r>
        <w:t xml:space="preserve">Using IEPR load forecasts to update the PCAF calculations for transmission capacity allocation better represent the hours in which DERs are expected to provide transmission capacity value and better align with energy avoided costs and generation capacity allocation factors currently used in the </w:t>
      </w:r>
      <w:r w:rsidRPr="00196165">
        <w:t>ACC.</w:t>
      </w:r>
    </w:p>
    <w:p w:rsidRPr="00742A25" w:rsidR="00FE270B" w:rsidP="00FE270B" w:rsidRDefault="00FE270B" w14:paraId="6E647E7F" w14:textId="304A46E0">
      <w:pPr>
        <w:pStyle w:val="FoF"/>
      </w:pPr>
      <w:r w:rsidRPr="00742A25">
        <w:t xml:space="preserve">Using a DTIM-only method to measure marginal transmission costs for </w:t>
      </w:r>
      <w:r w:rsidRPr="00742A25" w:rsidR="006B18D7">
        <w:t xml:space="preserve">all electric utilities </w:t>
      </w:r>
      <w:r w:rsidRPr="00742A25">
        <w:t>would improve consistency in the calculations across utilities and reduce volatility in the transmission value tied to the impacts of individual large projects.</w:t>
      </w:r>
    </w:p>
    <w:p w:rsidR="00FE270B" w:rsidP="00FE270B" w:rsidRDefault="00FE270B" w14:paraId="2055CECA" w14:textId="77777777">
      <w:pPr>
        <w:pStyle w:val="Dummy"/>
      </w:pPr>
      <w:bookmarkStart w:name="_Toc238810876" w:id="32"/>
      <w:r w:rsidRPr="00196165">
        <w:t>Conclusions of Law</w:t>
      </w:r>
      <w:bookmarkEnd w:id="32"/>
    </w:p>
    <w:p w:rsidRPr="001E2A62" w:rsidR="00FE270B" w:rsidP="00FE270B" w:rsidRDefault="00FE270B" w14:paraId="16EAF094" w14:textId="77777777">
      <w:pPr>
        <w:pStyle w:val="CoL"/>
      </w:pPr>
      <w:r>
        <w:t xml:space="preserve">The ACC should be updated to </w:t>
      </w:r>
      <w:r w:rsidRPr="00A71361">
        <w:t>apply a single electricity-based value to represent both electricity and natural gas GHG values in the ACC.</w:t>
      </w:r>
    </w:p>
    <w:p w:rsidR="00FE270B" w:rsidP="00FE270B" w:rsidRDefault="00FE270B" w14:paraId="4E1C2566" w14:textId="77777777">
      <w:pPr>
        <w:pStyle w:val="CoL"/>
      </w:pPr>
      <w:r>
        <w:t xml:space="preserve">The ACC should be updated to remove the </w:t>
      </w:r>
      <w:r w:rsidRPr="00A71361">
        <w:t>GHG rebalancing component.</w:t>
      </w:r>
    </w:p>
    <w:p w:rsidR="00FE270B" w:rsidP="00FE270B" w:rsidRDefault="00FE270B" w14:paraId="28D38669" w14:textId="7BD8CAD9">
      <w:pPr>
        <w:pStyle w:val="CoL"/>
      </w:pPr>
      <w:r w:rsidRPr="00511B49">
        <w:t xml:space="preserve">The ACC should </w:t>
      </w:r>
      <w:r w:rsidRPr="00511B49" w:rsidR="00511B49">
        <w:t xml:space="preserve">not </w:t>
      </w:r>
      <w:r w:rsidRPr="00511B49">
        <w:t>be updated to implement a cap on the GHG value in both electric and gas models equal to the high societal cost of carbon adopted in the Societal Cost Test.</w:t>
      </w:r>
    </w:p>
    <w:p w:rsidRPr="00511B49" w:rsidR="004D6226" w:rsidP="00FE270B" w:rsidRDefault="004D6226" w14:paraId="6B28A9E5" w14:textId="68C8D7CD">
      <w:pPr>
        <w:pStyle w:val="CoL"/>
      </w:pPr>
      <w:r w:rsidRPr="004D6226">
        <w:t>The Commission may reconsider capping GHG avoided costs in the ACC if the RESOLVE model’s GHG shadow prices become persistently high and unrealistic in the future</w:t>
      </w:r>
      <w:r>
        <w:t>.</w:t>
      </w:r>
    </w:p>
    <w:p w:rsidR="00FE270B" w:rsidP="00FE270B" w:rsidRDefault="00FE270B" w14:paraId="55D82124" w14:textId="76825D46">
      <w:pPr>
        <w:pStyle w:val="CoL"/>
      </w:pPr>
      <w:r w:rsidRPr="00742A25">
        <w:t>The ACC should be updated to implement a simplified Integrated Calculation to address transparency and sensitivity to minor inconsistencies between RESOLVE and SERVM models.</w:t>
      </w:r>
    </w:p>
    <w:p w:rsidRPr="00742A25" w:rsidR="00C57712" w:rsidP="00FE270B" w:rsidRDefault="00C57712" w14:paraId="0D2D8F9C" w14:textId="2B6D323C">
      <w:pPr>
        <w:pStyle w:val="CoL"/>
      </w:pPr>
      <w:r>
        <w:t>The ACC should adopt 2031 as the year in which hybrid resources with eight-hour duration storage becomes the margin resource in the Integrated Calculation.</w:t>
      </w:r>
    </w:p>
    <w:p w:rsidR="00FE270B" w:rsidP="5314FB78" w:rsidRDefault="00FE270B" w14:paraId="5F7C485B" w14:textId="1BE11DF3">
      <w:pPr>
        <w:pStyle w:val="CoL"/>
        <w:rPr>
          <w:sz w:val="24"/>
          <w:szCs w:val="24"/>
        </w:rPr>
      </w:pPr>
      <w:r>
        <w:t>The ACC should be updated to use LOLH rather than EUE as the basis for ACC capacity allocation factors.</w:t>
      </w:r>
    </w:p>
    <w:p w:rsidRPr="00A71361" w:rsidR="00FE270B" w:rsidP="00FE270B" w:rsidRDefault="00FE270B" w14:paraId="3DF0A293" w14:textId="1C68A81E">
      <w:pPr>
        <w:pStyle w:val="CoL"/>
      </w:pPr>
      <w:r>
        <w:t>The ACC should be updated to use</w:t>
      </w:r>
      <w:r w:rsidRPr="00A71361">
        <w:t xml:space="preserve"> energy prices rather than temperature to calculate high generation capacity value</w:t>
      </w:r>
      <w:r>
        <w:t>s</w:t>
      </w:r>
      <w:r w:rsidRPr="00A71361">
        <w:t xml:space="preserve"> to </w:t>
      </w:r>
      <w:r>
        <w:t xml:space="preserve">better </w:t>
      </w:r>
      <w:r w:rsidRPr="00A71361">
        <w:t>reflect increased electricity use in both summer and winter months.</w:t>
      </w:r>
    </w:p>
    <w:p w:rsidRPr="00A71361" w:rsidR="00FE270B" w:rsidP="00FE270B" w:rsidRDefault="00FE270B" w14:paraId="5399C13C" w14:textId="6802ADE3">
      <w:pPr>
        <w:pStyle w:val="CoL"/>
      </w:pPr>
      <w:r>
        <w:t xml:space="preserve">The ACC should </w:t>
      </w:r>
      <w:r w:rsidR="009B7B39">
        <w:t>differentiate between weekends and weekdays when</w:t>
      </w:r>
      <w:r>
        <w:t xml:space="preserve"> allocat</w:t>
      </w:r>
      <w:r w:rsidR="009B7B39">
        <w:t>ing</w:t>
      </w:r>
      <w:r w:rsidRPr="00A71361">
        <w:t xml:space="preserve"> days with non-zero reliability risk to align with </w:t>
      </w:r>
      <w:r w:rsidR="00453623">
        <w:t>weekend/weekday reliability risk indicated in reliability modelling</w:t>
      </w:r>
      <w:r w:rsidRPr="00A71361">
        <w:t>.</w:t>
      </w:r>
    </w:p>
    <w:p w:rsidR="00FE270B" w:rsidP="00FE270B" w:rsidRDefault="00FE270B" w14:paraId="4C9700D9" w14:textId="49D5B8F4">
      <w:pPr>
        <w:pStyle w:val="CoL"/>
      </w:pPr>
      <w:r>
        <w:t>The ACC should be updated so that</w:t>
      </w:r>
      <w:r w:rsidRPr="00A71361">
        <w:t xml:space="preserve"> the </w:t>
      </w:r>
      <w:r>
        <w:t>PCAF</w:t>
      </w:r>
      <w:r w:rsidRPr="00A71361">
        <w:t xml:space="preserve"> calculations </w:t>
      </w:r>
      <w:r w:rsidR="007F52AC">
        <w:t xml:space="preserve">for transmission avoided costs </w:t>
      </w:r>
      <w:r w:rsidRPr="00A71361">
        <w:t>use</w:t>
      </w:r>
      <w:r>
        <w:t>s</w:t>
      </w:r>
      <w:r w:rsidRPr="00A71361">
        <w:t xml:space="preserve"> </w:t>
      </w:r>
      <w:r>
        <w:t xml:space="preserve">the </w:t>
      </w:r>
      <w:r w:rsidRPr="00A71361">
        <w:t>IEPR load forecast for future years</w:t>
      </w:r>
      <w:r w:rsidR="007F52AC">
        <w:t xml:space="preserve">, as used in SERVM modelling for calculating energy avoided costs, </w:t>
      </w:r>
      <w:r w:rsidRPr="00A71361">
        <w:t>instead of historical loads.</w:t>
      </w:r>
    </w:p>
    <w:p w:rsidRPr="00742A25" w:rsidR="00FE270B" w:rsidP="00FE270B" w:rsidRDefault="00FE270B" w14:paraId="58086DCE" w14:textId="27253A2A">
      <w:pPr>
        <w:pStyle w:val="CoL"/>
      </w:pPr>
      <w:r w:rsidRPr="00742A25">
        <w:t xml:space="preserve">The ACC should be updated to use a DTIM-only method to calculate marginal transmission costs for </w:t>
      </w:r>
      <w:r w:rsidRPr="00742A25" w:rsidR="005A20DE">
        <w:t>all electric utilities</w:t>
      </w:r>
      <w:r w:rsidRPr="00742A25">
        <w:t>.</w:t>
      </w:r>
    </w:p>
    <w:p w:rsidR="00FE270B" w:rsidP="00FE270B" w:rsidRDefault="00FE270B" w14:paraId="56696408" w14:textId="78DD594E">
      <w:pPr>
        <w:pStyle w:val="CoL"/>
      </w:pPr>
      <w:r>
        <w:t xml:space="preserve">It is reasonable to continue to use the current methodology and the most current </w:t>
      </w:r>
      <w:r w:rsidR="00EF4F0B">
        <w:t>transmission and distribution c</w:t>
      </w:r>
      <w:r>
        <w:t xml:space="preserve">ost data to calculate avoided </w:t>
      </w:r>
      <w:r w:rsidR="00EF4F0B">
        <w:t xml:space="preserve">transmission and distribution </w:t>
      </w:r>
      <w:r>
        <w:t xml:space="preserve">costs in the ACC. </w:t>
      </w:r>
    </w:p>
    <w:p w:rsidR="00FE270B" w:rsidP="00FE270B" w:rsidRDefault="00FE270B" w14:paraId="242F6BD6" w14:textId="0236E843">
      <w:pPr>
        <w:pStyle w:val="CoL"/>
      </w:pPr>
      <w:r>
        <w:t xml:space="preserve">Except as explicitly provided in the Conclusions of Law of this decision, it is reasonable to apply the methodologies approved in the 2024 ACC Decision to the ACC. </w:t>
      </w:r>
    </w:p>
    <w:p w:rsidRPr="001E2A62" w:rsidR="00FE270B" w:rsidP="00FE270B" w:rsidRDefault="00FE270B" w14:paraId="4A48BDEB" w14:textId="77777777">
      <w:pPr>
        <w:pStyle w:val="CoL"/>
      </w:pPr>
      <w:r>
        <w:t xml:space="preserve">It is reasonable to affirm all rulings made by the assigned ALJ or the assigned Commissioner related to the issues considered in this decision. </w:t>
      </w:r>
    </w:p>
    <w:p w:rsidRPr="001E2A62" w:rsidR="00FE270B" w:rsidP="00FE270B" w:rsidRDefault="00FE270B" w14:paraId="63AABDA8" w14:textId="77777777">
      <w:pPr>
        <w:pStyle w:val="CoL"/>
      </w:pPr>
      <w:r>
        <w:t>It is reasonable to deny all motions related to the issues considered in this decision that were not ruled on.</w:t>
      </w:r>
    </w:p>
    <w:p w:rsidR="00BB0243" w:rsidP="000A6E05" w:rsidRDefault="005939A5" w14:paraId="150C7F49" w14:textId="77777777">
      <w:pPr>
        <w:pStyle w:val="Mainex"/>
      </w:pPr>
      <w:bookmarkStart w:name="_Toc238810877" w:id="33"/>
      <w:r>
        <w:t>O</w:t>
      </w:r>
      <w:r w:rsidR="00722850">
        <w:t>RDER</w:t>
      </w:r>
      <w:bookmarkEnd w:id="33"/>
    </w:p>
    <w:p w:rsidR="00BB0243" w:rsidP="000A6E05" w:rsidRDefault="00BB0243" w14:paraId="1B7BD2B0" w14:textId="77777777">
      <w:pPr>
        <w:keepNext/>
      </w:pPr>
      <w:r w:rsidRPr="00BB0243">
        <w:rPr>
          <w:b/>
        </w:rPr>
        <w:t>IT IS ORDERED</w:t>
      </w:r>
      <w:r>
        <w:t xml:space="preserve"> that:</w:t>
      </w:r>
    </w:p>
    <w:p w:rsidR="00932865" w:rsidP="001E2A62" w:rsidRDefault="002F038B" w14:paraId="784E6221" w14:textId="4AE259C4">
      <w:pPr>
        <w:pStyle w:val="OP"/>
      </w:pPr>
      <w:r>
        <w:t>The updates to the Avoided Cost Calculator methodology describe</w:t>
      </w:r>
      <w:r w:rsidR="00730EC2">
        <w:t>d</w:t>
      </w:r>
      <w:r>
        <w:t xml:space="preserve"> in the Conclusions of Law of this decision are adopted</w:t>
      </w:r>
      <w:r w:rsidRPr="001E2A62" w:rsidR="000A6E05">
        <w:t>.</w:t>
      </w:r>
    </w:p>
    <w:p w:rsidR="002F038B" w:rsidP="001E2A62" w:rsidRDefault="002F038B" w14:paraId="5EF06CE6" w14:textId="285D9101">
      <w:pPr>
        <w:pStyle w:val="OP"/>
      </w:pPr>
      <w:r>
        <w:t>All rulings made by the assigned Administrative Law Judge or the assigned Commissioner related to the issues considered are affirmed.</w:t>
      </w:r>
    </w:p>
    <w:p w:rsidRPr="001E2A62" w:rsidR="002F038B" w:rsidP="001E2A62" w:rsidRDefault="002F038B" w14:paraId="50B63C8C" w14:textId="6DB4F126">
      <w:pPr>
        <w:pStyle w:val="OP"/>
      </w:pPr>
      <w:r>
        <w:t>All motions related to the issues considered in this decision that were not ruled on are denied.</w:t>
      </w:r>
    </w:p>
    <w:p w:rsidR="00F6397D" w:rsidP="00B3087D" w:rsidRDefault="00824ECA" w14:paraId="72179508" w14:textId="710F8E4D">
      <w:pPr>
        <w:pStyle w:val="OP"/>
      </w:pPr>
      <w:r>
        <w:t>R</w:t>
      </w:r>
      <w:r w:rsidRPr="001E2A62" w:rsidR="00E23CBB">
        <w:t>ulemaking</w:t>
      </w:r>
      <w:r>
        <w:t xml:space="preserve"> 22</w:t>
      </w:r>
      <w:r w:rsidRPr="001E2A62" w:rsidR="00E23CBB">
        <w:t>-</w:t>
      </w:r>
      <w:r>
        <w:t>11</w:t>
      </w:r>
      <w:r w:rsidRPr="001E2A62" w:rsidR="00E23CBB">
        <w:t>-</w:t>
      </w:r>
      <w:r>
        <w:t>013</w:t>
      </w:r>
      <w:r w:rsidRPr="001E2A62" w:rsidR="00E23CBB">
        <w:t xml:space="preserve"> </w:t>
      </w:r>
      <w:r>
        <w:t>remains open</w:t>
      </w:r>
      <w:r w:rsidRPr="001E2A62" w:rsidR="00E23CBB">
        <w:t>.</w:t>
      </w:r>
    </w:p>
    <w:p w:rsidR="008F0116" w:rsidP="008F0116" w:rsidRDefault="008F0116" w14:paraId="0DBD364A" w14:textId="77777777">
      <w:r>
        <w:t>This order is effective today.</w:t>
      </w:r>
    </w:p>
    <w:p w:rsidR="00714CF2" w:rsidP="00816E05" w:rsidRDefault="008F0116" w14:paraId="2ED87B64" w14:textId="7F0A3213">
      <w:r>
        <w:t>Dated</w:t>
      </w:r>
      <w:r w:rsidR="00FE6D01">
        <w:t xml:space="preserve"> September 3, 2026</w:t>
      </w:r>
      <w:r>
        <w:t xml:space="preserve">, at </w:t>
      </w:r>
      <w:r w:rsidR="00FE7FFA">
        <w:t>Sacramento</w:t>
      </w:r>
      <w:r>
        <w:t>, California</w:t>
      </w:r>
      <w:r w:rsidR="008418F0">
        <w:t>.</w:t>
      </w:r>
    </w:p>
    <w:p w:rsidRPr="00FE6D01" w:rsidR="00FE6D01" w:rsidP="00FE6D01" w:rsidRDefault="00FE6D01" w14:paraId="0A6C3789" w14:textId="77777777">
      <w:pPr>
        <w:spacing w:line="240" w:lineRule="auto"/>
        <w:ind w:left="3600"/>
        <w:jc w:val="both"/>
        <w:textAlignment w:val="baseline"/>
        <w:rPr>
          <w:rFonts w:eastAsia="Times New Roman" w:cs="Times New Roman"/>
          <w:szCs w:val="26"/>
        </w:rPr>
      </w:pPr>
      <w:r w:rsidRPr="00FE6D01">
        <w:rPr>
          <w:rFonts w:eastAsia="Times New Roman" w:cs="Times New Roman"/>
          <w:szCs w:val="26"/>
        </w:rPr>
        <w:t>JOHN REYNOLDS</w:t>
      </w:r>
    </w:p>
    <w:p w:rsidRPr="00FE6D01" w:rsidR="00FE6D01" w:rsidP="00FE6D01" w:rsidRDefault="00FE6D01" w14:paraId="749B3019" w14:textId="77777777">
      <w:pPr>
        <w:spacing w:line="240" w:lineRule="auto"/>
        <w:ind w:firstLine="4320"/>
        <w:jc w:val="both"/>
        <w:textAlignment w:val="baseline"/>
        <w:rPr>
          <w:rFonts w:eastAsia="Times New Roman" w:cs="Times New Roman"/>
          <w:szCs w:val="26"/>
        </w:rPr>
      </w:pPr>
      <w:r w:rsidRPr="00FE6D01">
        <w:rPr>
          <w:rFonts w:eastAsia="Times New Roman" w:cs="Times New Roman"/>
          <w:szCs w:val="26"/>
        </w:rPr>
        <w:t>                       President</w:t>
      </w:r>
    </w:p>
    <w:p w:rsidRPr="00FE6D01" w:rsidR="00FE6D01" w:rsidP="00FE6D01" w:rsidRDefault="00FE6D01" w14:paraId="00912B2B" w14:textId="77777777">
      <w:pPr>
        <w:spacing w:line="240" w:lineRule="auto"/>
        <w:ind w:left="3600"/>
        <w:jc w:val="both"/>
        <w:textAlignment w:val="baseline"/>
        <w:rPr>
          <w:rFonts w:eastAsia="Times New Roman" w:cs="Times New Roman"/>
          <w:szCs w:val="26"/>
        </w:rPr>
      </w:pPr>
      <w:r w:rsidRPr="00FE6D01">
        <w:rPr>
          <w:rFonts w:eastAsia="Times New Roman" w:cs="Times New Roman"/>
          <w:szCs w:val="26"/>
        </w:rPr>
        <w:t>DARCIE L. HOUCK</w:t>
      </w:r>
    </w:p>
    <w:p w:rsidRPr="00FE6D01" w:rsidR="00FE6D01" w:rsidP="00FE6D01" w:rsidRDefault="00FE6D01" w14:paraId="5C31BC4E" w14:textId="77777777">
      <w:pPr>
        <w:spacing w:line="240" w:lineRule="auto"/>
        <w:ind w:left="3600"/>
        <w:jc w:val="both"/>
        <w:textAlignment w:val="baseline"/>
        <w:rPr>
          <w:rFonts w:eastAsia="Times New Roman" w:cs="Times New Roman"/>
          <w:szCs w:val="26"/>
        </w:rPr>
      </w:pPr>
      <w:r w:rsidRPr="00FE6D01">
        <w:rPr>
          <w:rFonts w:eastAsia="Times New Roman" w:cs="Times New Roman"/>
          <w:color w:val="000000"/>
          <w:szCs w:val="26"/>
        </w:rPr>
        <w:t>KAREN DOUGLAS</w:t>
      </w:r>
    </w:p>
    <w:p w:rsidRPr="00FE6D01" w:rsidR="00FE6D01" w:rsidP="00FE6D01" w:rsidRDefault="00FE6D01" w14:paraId="7B11D234" w14:textId="77777777">
      <w:pPr>
        <w:spacing w:line="240" w:lineRule="auto"/>
        <w:ind w:left="3600"/>
        <w:jc w:val="both"/>
        <w:textAlignment w:val="baseline"/>
        <w:rPr>
          <w:rFonts w:eastAsia="Times New Roman" w:cs="Times New Roman"/>
          <w:szCs w:val="26"/>
        </w:rPr>
      </w:pPr>
      <w:r w:rsidRPr="00FE6D01">
        <w:rPr>
          <w:rFonts w:eastAsia="Times New Roman" w:cs="Times New Roman"/>
          <w:szCs w:val="26"/>
        </w:rPr>
        <w:t>CHRISTINE HARADA</w:t>
      </w:r>
    </w:p>
    <w:p w:rsidRPr="00FE6D01" w:rsidR="00FE6D01" w:rsidP="00FE6D01" w:rsidRDefault="00FE6D01" w14:paraId="75BA0056" w14:textId="77777777">
      <w:pPr>
        <w:spacing w:line="240" w:lineRule="auto"/>
        <w:ind w:left="4320"/>
        <w:jc w:val="both"/>
        <w:textAlignment w:val="baseline"/>
        <w:rPr>
          <w:rFonts w:eastAsia="Times New Roman" w:cs="Times New Roman"/>
          <w:szCs w:val="26"/>
        </w:rPr>
      </w:pPr>
      <w:r w:rsidRPr="00FE6D01">
        <w:rPr>
          <w:rFonts w:eastAsia="Times New Roman" w:cs="Times New Roman"/>
          <w:szCs w:val="26"/>
        </w:rPr>
        <w:t>            Commissioners</w:t>
      </w:r>
    </w:p>
    <w:p w:rsidRPr="00FE6D01" w:rsidR="00FE6D01" w:rsidP="00FE6D01" w:rsidRDefault="00FE6D01" w14:paraId="7BABCF5C" w14:textId="77777777">
      <w:pPr>
        <w:spacing w:line="240" w:lineRule="auto"/>
        <w:textAlignment w:val="baseline"/>
        <w:rPr>
          <w:rFonts w:eastAsia="Times New Roman" w:cs="Times New Roman"/>
          <w:szCs w:val="26"/>
        </w:rPr>
      </w:pPr>
    </w:p>
    <w:p w:rsidRPr="00FE6D01" w:rsidR="00FE6D01" w:rsidP="00FE6D01" w:rsidRDefault="00FE6D01" w14:paraId="093F00D3" w14:textId="77777777">
      <w:pPr>
        <w:spacing w:line="240" w:lineRule="auto"/>
        <w:ind w:left="4380" w:firstLine="0"/>
        <w:textAlignment w:val="baseline"/>
        <w:rPr>
          <w:rFonts w:eastAsia="Times New Roman" w:cs="Times New Roman"/>
          <w:szCs w:val="26"/>
        </w:rPr>
      </w:pPr>
      <w:r w:rsidRPr="00FE6D01">
        <w:rPr>
          <w:rFonts w:eastAsia="Times New Roman" w:cs="Times New Roman"/>
          <w:szCs w:val="26"/>
        </w:rPr>
        <w:t>Commissioner Matthew Baker recused himself and did not participate in the vote of this item.</w:t>
      </w:r>
    </w:p>
    <w:p w:rsidRPr="00714CF2" w:rsidR="00FE6D01" w:rsidP="00816E05" w:rsidRDefault="00FE6D01" w14:paraId="5AD1F890" w14:textId="77777777"/>
    <w:sectPr w:rsidRPr="00714CF2" w:rsidR="00FE6D01" w:rsidSect="00D44DB6">
      <w:headerReference w:type="default" r:id="rId12"/>
      <w:footerReference w:type="default" r:id="rId13"/>
      <w:pgSz w:w="12240" w:h="15840"/>
      <w:pgMar w:top="1728"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E65F" w14:textId="77777777" w:rsidR="002F718A" w:rsidRDefault="002F718A" w:rsidP="0098138E">
      <w:pPr>
        <w:spacing w:line="240" w:lineRule="auto"/>
      </w:pPr>
      <w:r>
        <w:separator/>
      </w:r>
    </w:p>
  </w:endnote>
  <w:endnote w:type="continuationSeparator" w:id="0">
    <w:p w14:paraId="50C2EBAE" w14:textId="77777777" w:rsidR="002F718A" w:rsidRDefault="002F718A"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382448"/>
      <w:docPartObj>
        <w:docPartGallery w:val="Page Numbers (Bottom of Page)"/>
        <w:docPartUnique/>
      </w:docPartObj>
    </w:sdtPr>
    <w:sdtEndPr>
      <w:rPr>
        <w:noProof/>
      </w:rPr>
    </w:sdtEndPr>
    <w:sdtContent>
      <w:p w14:paraId="652E7692" w14:textId="692126D5" w:rsidR="000A3DBB" w:rsidRDefault="001056BE" w:rsidP="000A3DBB">
        <w:pPr>
          <w:pStyle w:val="Footer"/>
          <w:ind w:firstLine="0"/>
        </w:pPr>
        <w:r w:rsidRPr="001056BE">
          <w:rPr>
            <w:sz w:val="16"/>
            <w:szCs w:val="16"/>
          </w:rPr>
          <w:t>617821785</w:t>
        </w:r>
        <w:r w:rsidR="000A3DBB">
          <w:tab/>
        </w:r>
        <w:r w:rsidR="000A3DBB">
          <w:fldChar w:fldCharType="begin"/>
        </w:r>
        <w:r w:rsidR="000A3DBB">
          <w:instrText xml:space="preserve"> PAGE   \* MERGEFORMAT </w:instrText>
        </w:r>
        <w:r w:rsidR="000A3DBB">
          <w:fldChar w:fldCharType="separate"/>
        </w:r>
        <w:r w:rsidR="000A3DBB">
          <w:rPr>
            <w:noProof/>
          </w:rPr>
          <w:t>2</w:t>
        </w:r>
        <w:r w:rsidR="000A3DBB">
          <w:rPr>
            <w:noProof/>
          </w:rPr>
          <w:fldChar w:fldCharType="end"/>
        </w:r>
      </w:p>
    </w:sdtContent>
  </w:sdt>
  <w:p w14:paraId="0E2789A0" w14:textId="77777777" w:rsidR="000A3DBB" w:rsidRDefault="000A3DBB" w:rsidP="007E0FEE">
    <w:pPr>
      <w:tabs>
        <w:tab w:val="center" w:pos="4680"/>
      </w:tabs>
      <w:ind w:firstLine="0"/>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7066"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60DB" w14:textId="77777777" w:rsidR="002F718A" w:rsidRDefault="002F718A" w:rsidP="00DF58E7">
      <w:pPr>
        <w:spacing w:line="240" w:lineRule="auto"/>
        <w:ind w:firstLine="0"/>
      </w:pPr>
      <w:r>
        <w:separator/>
      </w:r>
    </w:p>
  </w:footnote>
  <w:footnote w:type="continuationSeparator" w:id="0">
    <w:p w14:paraId="29ADAF58" w14:textId="77777777" w:rsidR="002F718A" w:rsidRDefault="002F718A" w:rsidP="00DF58E7">
      <w:pPr>
        <w:spacing w:line="240" w:lineRule="auto"/>
        <w:ind w:firstLine="0"/>
      </w:pPr>
      <w:r>
        <w:continuationSeparator/>
      </w:r>
    </w:p>
  </w:footnote>
  <w:footnote w:type="continuationNotice" w:id="1">
    <w:p w14:paraId="505E3E5C" w14:textId="77777777" w:rsidR="002F718A" w:rsidRPr="00DF58E7" w:rsidRDefault="002F718A" w:rsidP="00DF58E7">
      <w:pPr>
        <w:spacing w:line="240" w:lineRule="auto"/>
        <w:ind w:firstLine="0"/>
        <w:jc w:val="right"/>
        <w:rPr>
          <w:i/>
          <w:sz w:val="22"/>
        </w:rPr>
      </w:pPr>
      <w:r w:rsidRPr="00DF58E7">
        <w:rPr>
          <w:i/>
          <w:sz w:val="22"/>
        </w:rPr>
        <w:t>Footnote continued on next page.</w:t>
      </w:r>
    </w:p>
  </w:footnote>
  <w:footnote w:id="2">
    <w:p w14:paraId="1EF7D2BC" w14:textId="7FFD99DA" w:rsidR="00D367C9" w:rsidRDefault="00D367C9">
      <w:pPr>
        <w:pStyle w:val="FootnoteText"/>
      </w:pPr>
      <w:r>
        <w:rPr>
          <w:rStyle w:val="FootnoteReference"/>
        </w:rPr>
        <w:footnoteRef/>
      </w:r>
      <w:r>
        <w:t xml:space="preserve"> </w:t>
      </w:r>
      <w:r w:rsidRPr="00D367C9">
        <w:t xml:space="preserve">D.22-05-002 at Finding of Fact 1.  </w:t>
      </w:r>
    </w:p>
  </w:footnote>
  <w:footnote w:id="3">
    <w:p w14:paraId="1A376779" w14:textId="5D63AB5D" w:rsidR="009438D1" w:rsidRDefault="009438D1">
      <w:pPr>
        <w:pStyle w:val="FootnoteText"/>
      </w:pPr>
      <w:r>
        <w:rPr>
          <w:rStyle w:val="FootnoteReference"/>
        </w:rPr>
        <w:footnoteRef/>
      </w:r>
      <w:r>
        <w:t xml:space="preserve"> </w:t>
      </w:r>
      <w:r w:rsidRPr="009438D1">
        <w:t xml:space="preserve">D.16-06-007 at 1, 5-6, Finding of Fact 4, Conclusion of Law 2, and Ordering Paragraph 1.  </w:t>
      </w:r>
    </w:p>
  </w:footnote>
  <w:footnote w:id="4">
    <w:p w14:paraId="16D734EB" w14:textId="564787CE" w:rsidR="00735CB5" w:rsidRDefault="00735CB5">
      <w:pPr>
        <w:pStyle w:val="FootnoteText"/>
      </w:pPr>
      <w:r>
        <w:rPr>
          <w:rStyle w:val="FootnoteReference"/>
        </w:rPr>
        <w:footnoteRef/>
      </w:r>
      <w:r>
        <w:t xml:space="preserve"> D.25-11-005 at 9.</w:t>
      </w:r>
    </w:p>
  </w:footnote>
  <w:footnote w:id="5">
    <w:p w14:paraId="47684446" w14:textId="77777777" w:rsidR="00D640D3" w:rsidRDefault="00D640D3" w:rsidP="00D640D3">
      <w:pPr>
        <w:pStyle w:val="FootnoteText"/>
      </w:pPr>
      <w:r>
        <w:rPr>
          <w:rStyle w:val="FootnoteReference"/>
        </w:rPr>
        <w:footnoteRef/>
      </w:r>
      <w:r>
        <w:t xml:space="preserve"> D.25-11-005 at 13.</w:t>
      </w:r>
    </w:p>
  </w:footnote>
  <w:footnote w:id="6">
    <w:p w14:paraId="0610146A" w14:textId="77777777" w:rsidR="00D640D3" w:rsidRDefault="00D640D3" w:rsidP="00D640D3">
      <w:pPr>
        <w:pStyle w:val="FootnoteText"/>
      </w:pPr>
      <w:r>
        <w:rPr>
          <w:rStyle w:val="FootnoteReference"/>
        </w:rPr>
        <w:footnoteRef/>
      </w:r>
      <w:r>
        <w:t xml:space="preserve"> D.25-11-005 at 13.</w:t>
      </w:r>
    </w:p>
  </w:footnote>
  <w:footnote w:id="7">
    <w:p w14:paraId="31EBD7F6" w14:textId="77777777" w:rsidR="00D640D3" w:rsidRDefault="00D640D3" w:rsidP="00D640D3">
      <w:pPr>
        <w:pStyle w:val="FootnoteText"/>
      </w:pPr>
      <w:r>
        <w:rPr>
          <w:rStyle w:val="FootnoteReference"/>
        </w:rPr>
        <w:footnoteRef/>
      </w:r>
      <w:r>
        <w:t xml:space="preserve"> D.25-11-005 at 13.</w:t>
      </w:r>
    </w:p>
  </w:footnote>
  <w:footnote w:id="8">
    <w:p w14:paraId="3FC8CDB6" w14:textId="77777777" w:rsidR="00D640D3" w:rsidRDefault="00D640D3" w:rsidP="00D640D3">
      <w:pPr>
        <w:pStyle w:val="FootnoteText"/>
      </w:pPr>
      <w:r>
        <w:rPr>
          <w:rStyle w:val="FootnoteReference"/>
        </w:rPr>
        <w:footnoteRef/>
      </w:r>
      <w:r>
        <w:t xml:space="preserve"> D.25-11-005 at 13-14.</w:t>
      </w:r>
    </w:p>
  </w:footnote>
  <w:footnote w:id="9">
    <w:p w14:paraId="428E50B2" w14:textId="01AC33D9" w:rsidR="001D0D72" w:rsidRDefault="001D0D72">
      <w:pPr>
        <w:pStyle w:val="FootnoteText"/>
      </w:pPr>
      <w:r>
        <w:rPr>
          <w:rStyle w:val="FootnoteReference"/>
        </w:rPr>
        <w:footnoteRef/>
      </w:r>
      <w:r>
        <w:t xml:space="preserve"> D.24-08-007 Conclusion of Law 1.</w:t>
      </w:r>
    </w:p>
  </w:footnote>
  <w:footnote w:id="10">
    <w:p w14:paraId="4447CA39" w14:textId="14763391" w:rsidR="001D0D72" w:rsidRDefault="001D0D72">
      <w:pPr>
        <w:pStyle w:val="FootnoteText"/>
      </w:pPr>
      <w:r>
        <w:rPr>
          <w:rStyle w:val="FootnoteReference"/>
        </w:rPr>
        <w:footnoteRef/>
      </w:r>
      <w:r>
        <w:t xml:space="preserve"> D.24-08-007 Conclusion of Law 2.</w:t>
      </w:r>
    </w:p>
  </w:footnote>
  <w:footnote w:id="11">
    <w:p w14:paraId="2BBD117B" w14:textId="098E8FB7" w:rsidR="0000455C" w:rsidRDefault="0000455C">
      <w:pPr>
        <w:pStyle w:val="FootnoteText"/>
      </w:pPr>
      <w:r>
        <w:rPr>
          <w:rStyle w:val="FootnoteReference"/>
        </w:rPr>
        <w:footnoteRef/>
      </w:r>
      <w:r>
        <w:t xml:space="preserve"> </w:t>
      </w:r>
      <w:r w:rsidRPr="0000455C">
        <w:t xml:space="preserve">The </w:t>
      </w:r>
      <w:r>
        <w:t>R</w:t>
      </w:r>
      <w:r w:rsidRPr="0000455C">
        <w:t>evised Staff Proposal modifi</w:t>
      </w:r>
      <w:r>
        <w:t>ed</w:t>
      </w:r>
      <w:r w:rsidRPr="0000455C">
        <w:t xml:space="preserve"> the Integrated Calculation proposed for the 2026 ACC to address output issues with the previously proposed Integrated Calculation. The revised Staff Proposal also modifie</w:t>
      </w:r>
      <w:r>
        <w:t>d</w:t>
      </w:r>
      <w:r w:rsidRPr="0000455C">
        <w:t xml:space="preserve"> the transmission avoided cost calculation for Southern California Edison to only include a Discounted Total Investment Method (DTIM) approach rather than a combined DTIM and Locational Net Benefits Analysis calculation.</w:t>
      </w:r>
    </w:p>
  </w:footnote>
  <w:footnote w:id="12">
    <w:p w14:paraId="0CEE9EA3" w14:textId="31955C6F" w:rsidR="00634122" w:rsidRDefault="00634122">
      <w:pPr>
        <w:pStyle w:val="FootnoteText"/>
      </w:pPr>
      <w:r>
        <w:rPr>
          <w:rStyle w:val="FootnoteReference"/>
        </w:rPr>
        <w:footnoteRef/>
      </w:r>
      <w:r>
        <w:t xml:space="preserve"> Staff refers to the </w:t>
      </w:r>
      <w:r w:rsidRPr="00511B49">
        <w:t>Commission’s Energy Division working with the consultant Energy and Environmental Economics (E3).</w:t>
      </w:r>
    </w:p>
  </w:footnote>
  <w:footnote w:id="13">
    <w:p w14:paraId="274B86E1" w14:textId="5FD0095B" w:rsidR="00481B1A" w:rsidRDefault="00481B1A">
      <w:pPr>
        <w:pStyle w:val="FootnoteText"/>
      </w:pPr>
      <w:r>
        <w:rPr>
          <w:rStyle w:val="FootnoteReference"/>
        </w:rPr>
        <w:footnoteRef/>
      </w:r>
      <w:r>
        <w:t xml:space="preserve"> </w:t>
      </w:r>
      <w:r w:rsidRPr="00481B1A">
        <w:t>DER customer programs are programs offered to ratepayers by utilities, or other load-serving entities, that enable participants to manage their energy use by purchasing energy efficient or electric generation technologies, making behavioral changes, or engaging in other activities that occur on the customer’s premises (often called “behind-the-meter”). They are sometimes referred to as “demand-side management” programs because they allow customers to manage their own demand for electricity or natural gas. They are also referred to as “distributed energy resource” programs since the technologies used may be small, modular devices that can be distributed throughout the electric grid or natural gas system, rather than centrally-stationed like most utility-scale generation (e.g., power plants). This proceeding will use the terms DER or customer programs to refer only to behind-the-meter activities. The term “distributed energy resources” as used elsewhere sometimes includes small, distributed generation or energy storage resources owned or procured by load serving entities</w:t>
      </w:r>
      <w:r w:rsidR="008E6E91">
        <w:t>, which are not considered here</w:t>
      </w:r>
      <w:r w:rsidRPr="00481B1A">
        <w:t>.</w:t>
      </w:r>
    </w:p>
  </w:footnote>
  <w:footnote w:id="14">
    <w:p w14:paraId="07DA0F93" w14:textId="61FE37B3" w:rsidR="00640B85" w:rsidRDefault="00640B85">
      <w:pPr>
        <w:pStyle w:val="FootnoteText"/>
      </w:pPr>
      <w:r>
        <w:rPr>
          <w:rStyle w:val="FootnoteReference"/>
        </w:rPr>
        <w:footnoteRef/>
      </w:r>
      <w:r>
        <w:t xml:space="preserve"> Staff Proposal at 5.</w:t>
      </w:r>
    </w:p>
  </w:footnote>
  <w:footnote w:id="15">
    <w:p w14:paraId="3185352E" w14:textId="70ABC54F" w:rsidR="00B6298F" w:rsidRDefault="00B6298F">
      <w:pPr>
        <w:pStyle w:val="FootnoteText"/>
      </w:pPr>
      <w:r>
        <w:rPr>
          <w:rStyle w:val="FootnoteReference"/>
        </w:rPr>
        <w:footnoteRef/>
      </w:r>
      <w:r>
        <w:t xml:space="preserve"> Staff Proposal at 5.</w:t>
      </w:r>
    </w:p>
  </w:footnote>
  <w:footnote w:id="16">
    <w:p w14:paraId="399338E8" w14:textId="08BD6E80" w:rsidR="006709CF" w:rsidRDefault="006709CF">
      <w:pPr>
        <w:pStyle w:val="FootnoteText"/>
      </w:pPr>
      <w:r>
        <w:rPr>
          <w:rStyle w:val="FootnoteReference"/>
        </w:rPr>
        <w:footnoteRef/>
      </w:r>
      <w:r>
        <w:t xml:space="preserve"> Staff Proposal at 5.</w:t>
      </w:r>
    </w:p>
  </w:footnote>
  <w:footnote w:id="17">
    <w:p w14:paraId="0C78B615" w14:textId="6644CF48" w:rsidR="00615C1F" w:rsidRDefault="00615C1F">
      <w:pPr>
        <w:pStyle w:val="FootnoteText"/>
      </w:pPr>
      <w:r>
        <w:rPr>
          <w:rStyle w:val="FootnoteReference"/>
        </w:rPr>
        <w:footnoteRef/>
      </w:r>
      <w:r>
        <w:t xml:space="preserve"> Staff Proposal at 5.</w:t>
      </w:r>
    </w:p>
  </w:footnote>
  <w:footnote w:id="18">
    <w:p w14:paraId="14894B1B" w14:textId="78D0F27E" w:rsidR="006709CF" w:rsidRDefault="006709CF">
      <w:pPr>
        <w:pStyle w:val="FootnoteText"/>
      </w:pPr>
      <w:r>
        <w:rPr>
          <w:rStyle w:val="FootnoteReference"/>
        </w:rPr>
        <w:footnoteRef/>
      </w:r>
      <w:r>
        <w:t xml:space="preserve"> Staff Proposal at 5.</w:t>
      </w:r>
    </w:p>
  </w:footnote>
  <w:footnote w:id="19">
    <w:p w14:paraId="3C7BA8EA" w14:textId="02F3B6DA" w:rsidR="006709CF" w:rsidRDefault="006709CF">
      <w:pPr>
        <w:pStyle w:val="FootnoteText"/>
      </w:pPr>
      <w:r>
        <w:rPr>
          <w:rStyle w:val="FootnoteReference"/>
        </w:rPr>
        <w:footnoteRef/>
      </w:r>
      <w:r>
        <w:t xml:space="preserve"> Staff Proposal at 6.</w:t>
      </w:r>
    </w:p>
  </w:footnote>
  <w:footnote w:id="20">
    <w:p w14:paraId="3AFE4FD3" w14:textId="77777777" w:rsidR="005607D5" w:rsidRDefault="005607D5" w:rsidP="005607D5">
      <w:pPr>
        <w:pStyle w:val="FootnoteText"/>
      </w:pPr>
      <w:r>
        <w:rPr>
          <w:rStyle w:val="FootnoteReference"/>
        </w:rPr>
        <w:footnoteRef/>
      </w:r>
      <w:r>
        <w:t xml:space="preserve"> PG&amp;E Opening Comments at 2, SoCalGas Opening Comments at 1-2.</w:t>
      </w:r>
    </w:p>
  </w:footnote>
  <w:footnote w:id="21">
    <w:p w14:paraId="494920ED" w14:textId="77777777" w:rsidR="005607D5" w:rsidRDefault="005607D5" w:rsidP="005607D5">
      <w:pPr>
        <w:pStyle w:val="FootnoteText"/>
      </w:pPr>
      <w:r>
        <w:rPr>
          <w:rStyle w:val="FootnoteReference"/>
        </w:rPr>
        <w:footnoteRef/>
      </w:r>
      <w:r>
        <w:t xml:space="preserve"> SoCalGas Opening Comments at 2.</w:t>
      </w:r>
    </w:p>
  </w:footnote>
  <w:footnote w:id="22">
    <w:p w14:paraId="158104AF" w14:textId="77777777" w:rsidR="005607D5" w:rsidRDefault="005607D5" w:rsidP="005607D5">
      <w:pPr>
        <w:pStyle w:val="FootnoteText"/>
      </w:pPr>
      <w:r>
        <w:rPr>
          <w:rStyle w:val="FootnoteReference"/>
        </w:rPr>
        <w:footnoteRef/>
      </w:r>
      <w:r>
        <w:t xml:space="preserve"> SCE Opening Comments at 5-7, PAO Opening Comments at 4-7, CUE at 3-6, NRDC Opening Comments at 2-3.</w:t>
      </w:r>
    </w:p>
  </w:footnote>
  <w:footnote w:id="23">
    <w:p w14:paraId="119D6639" w14:textId="77777777" w:rsidR="005607D5" w:rsidRDefault="005607D5" w:rsidP="005607D5">
      <w:pPr>
        <w:pStyle w:val="FootnoteText"/>
      </w:pPr>
      <w:r>
        <w:rPr>
          <w:rStyle w:val="FootnoteReference"/>
        </w:rPr>
        <w:footnoteRef/>
      </w:r>
      <w:r>
        <w:t xml:space="preserve"> SCE Opening Comments at 5.</w:t>
      </w:r>
    </w:p>
  </w:footnote>
  <w:footnote w:id="24">
    <w:p w14:paraId="5E675878" w14:textId="77777777" w:rsidR="005607D5" w:rsidRDefault="005607D5" w:rsidP="005607D5">
      <w:pPr>
        <w:pStyle w:val="FootnoteText"/>
      </w:pPr>
      <w:r>
        <w:rPr>
          <w:rStyle w:val="FootnoteReference"/>
        </w:rPr>
        <w:footnoteRef/>
      </w:r>
      <w:r>
        <w:t xml:space="preserve"> SCE Opening Comments at 6.</w:t>
      </w:r>
    </w:p>
  </w:footnote>
  <w:footnote w:id="25">
    <w:p w14:paraId="3DB9E389" w14:textId="77777777" w:rsidR="005607D5" w:rsidRDefault="005607D5" w:rsidP="005607D5">
      <w:pPr>
        <w:pStyle w:val="FootnoteText"/>
      </w:pPr>
      <w:r>
        <w:rPr>
          <w:rStyle w:val="FootnoteReference"/>
        </w:rPr>
        <w:footnoteRef/>
      </w:r>
      <w:r>
        <w:t xml:space="preserve"> SCE Opening Comments at 6-7.</w:t>
      </w:r>
    </w:p>
  </w:footnote>
  <w:footnote w:id="26">
    <w:p w14:paraId="1F5AE6D9" w14:textId="0360E289" w:rsidR="005607D5" w:rsidRDefault="005607D5" w:rsidP="005607D5">
      <w:pPr>
        <w:pStyle w:val="FootnoteText"/>
      </w:pPr>
      <w:r>
        <w:rPr>
          <w:rStyle w:val="FootnoteReference"/>
        </w:rPr>
        <w:footnoteRef/>
      </w:r>
      <w:r>
        <w:t xml:space="preserve"> </w:t>
      </w:r>
      <w:r w:rsidR="005302FD">
        <w:t>Cal Advocates</w:t>
      </w:r>
      <w:r>
        <w:t xml:space="preserve"> Opening Comments at 5.</w:t>
      </w:r>
    </w:p>
  </w:footnote>
  <w:footnote w:id="27">
    <w:p w14:paraId="7D56D1C5" w14:textId="77777777" w:rsidR="005607D5" w:rsidRDefault="005607D5" w:rsidP="005607D5">
      <w:pPr>
        <w:pStyle w:val="FootnoteText"/>
      </w:pPr>
      <w:r>
        <w:rPr>
          <w:rStyle w:val="FootnoteReference"/>
        </w:rPr>
        <w:footnoteRef/>
      </w:r>
      <w:r>
        <w:t xml:space="preserve"> CUE Opening Comments at 5.</w:t>
      </w:r>
    </w:p>
  </w:footnote>
  <w:footnote w:id="28">
    <w:p w14:paraId="06BA6297" w14:textId="77777777" w:rsidR="005607D5" w:rsidRDefault="005607D5" w:rsidP="005607D5">
      <w:pPr>
        <w:pStyle w:val="FootnoteText"/>
      </w:pPr>
      <w:r>
        <w:rPr>
          <w:rStyle w:val="FootnoteReference"/>
        </w:rPr>
        <w:footnoteRef/>
      </w:r>
      <w:r>
        <w:t xml:space="preserve"> NRDC Opening Comments at 3.</w:t>
      </w:r>
    </w:p>
  </w:footnote>
  <w:footnote w:id="29">
    <w:p w14:paraId="3764DD40" w14:textId="77777777" w:rsidR="005607D5" w:rsidRDefault="005607D5" w:rsidP="005607D5">
      <w:pPr>
        <w:pStyle w:val="FootnoteText"/>
      </w:pPr>
      <w:r>
        <w:rPr>
          <w:rStyle w:val="FootnoteReference"/>
        </w:rPr>
        <w:footnoteRef/>
      </w:r>
      <w:r>
        <w:t xml:space="preserve"> NRDC Opening Comments at 3.</w:t>
      </w:r>
    </w:p>
  </w:footnote>
  <w:footnote w:id="30">
    <w:p w14:paraId="3388A20A" w14:textId="74369C2E" w:rsidR="005607D5" w:rsidRDefault="005607D5" w:rsidP="005607D5">
      <w:pPr>
        <w:pStyle w:val="FootnoteText"/>
      </w:pPr>
      <w:r>
        <w:rPr>
          <w:rStyle w:val="FootnoteReference"/>
        </w:rPr>
        <w:footnoteRef/>
      </w:r>
      <w:r>
        <w:t xml:space="preserve"> BayREN and 3C</w:t>
      </w:r>
      <w:r w:rsidR="00522447">
        <w:t>-</w:t>
      </w:r>
      <w:r>
        <w:t>REN Opening Comments at 2-3.</w:t>
      </w:r>
    </w:p>
  </w:footnote>
  <w:footnote w:id="31">
    <w:p w14:paraId="6CD73E4F" w14:textId="6E127809" w:rsidR="00522447" w:rsidRDefault="00522447">
      <w:pPr>
        <w:pStyle w:val="FootnoteText"/>
      </w:pPr>
      <w:r>
        <w:rPr>
          <w:rStyle w:val="FootnoteReference"/>
        </w:rPr>
        <w:footnoteRef/>
      </w:r>
      <w:r>
        <w:t xml:space="preserve"> BayREN and 3C-REN Reply Comments at 4-5.</w:t>
      </w:r>
    </w:p>
  </w:footnote>
  <w:footnote w:id="32">
    <w:p w14:paraId="1BBD1F8B" w14:textId="77777777" w:rsidR="005607D5" w:rsidRDefault="005607D5" w:rsidP="005607D5">
      <w:pPr>
        <w:pStyle w:val="FootnoteText"/>
      </w:pPr>
      <w:r>
        <w:rPr>
          <w:rStyle w:val="FootnoteReference"/>
        </w:rPr>
        <w:footnoteRef/>
      </w:r>
      <w:r>
        <w:t xml:space="preserve"> CLECA Opening Comments at 7.</w:t>
      </w:r>
    </w:p>
  </w:footnote>
  <w:footnote w:id="33">
    <w:p w14:paraId="027307F5" w14:textId="5ABA6C09" w:rsidR="00F70436" w:rsidRDefault="00F70436">
      <w:pPr>
        <w:pStyle w:val="FootnoteText"/>
      </w:pPr>
      <w:r>
        <w:rPr>
          <w:rStyle w:val="FootnoteReference"/>
        </w:rPr>
        <w:footnoteRef/>
      </w:r>
      <w:r>
        <w:t xml:space="preserve"> Staff Proposal at 6.</w:t>
      </w:r>
    </w:p>
  </w:footnote>
  <w:footnote w:id="34">
    <w:p w14:paraId="5C27B10E" w14:textId="3CCF80DF" w:rsidR="00364DD1" w:rsidRDefault="00364DD1">
      <w:pPr>
        <w:pStyle w:val="FootnoteText"/>
      </w:pPr>
      <w:r>
        <w:rPr>
          <w:rStyle w:val="FootnoteReference"/>
        </w:rPr>
        <w:footnoteRef/>
      </w:r>
      <w:r>
        <w:t xml:space="preserve"> Staff Proposal at 6.</w:t>
      </w:r>
    </w:p>
  </w:footnote>
  <w:footnote w:id="35">
    <w:p w14:paraId="5D821F3A" w14:textId="7F8FAF31" w:rsidR="00364DD1" w:rsidRDefault="00364DD1">
      <w:pPr>
        <w:pStyle w:val="FootnoteText"/>
      </w:pPr>
      <w:r>
        <w:rPr>
          <w:rStyle w:val="FootnoteReference"/>
        </w:rPr>
        <w:footnoteRef/>
      </w:r>
      <w:r>
        <w:t xml:space="preserve"> Staff Proposal at 6.</w:t>
      </w:r>
    </w:p>
  </w:footnote>
  <w:footnote w:id="36">
    <w:p w14:paraId="7074C203" w14:textId="4640F63E" w:rsidR="00364DD1" w:rsidRDefault="00364DD1">
      <w:pPr>
        <w:pStyle w:val="FootnoteText"/>
      </w:pPr>
      <w:r>
        <w:rPr>
          <w:rStyle w:val="FootnoteReference"/>
        </w:rPr>
        <w:footnoteRef/>
      </w:r>
      <w:r>
        <w:t xml:space="preserve"> Staff Proposal at 6.</w:t>
      </w:r>
    </w:p>
  </w:footnote>
  <w:footnote w:id="37">
    <w:p w14:paraId="768BD013" w14:textId="7468FBFE" w:rsidR="0065039E" w:rsidRDefault="0065039E">
      <w:pPr>
        <w:pStyle w:val="FootnoteText"/>
      </w:pPr>
      <w:r>
        <w:rPr>
          <w:rStyle w:val="FootnoteReference"/>
        </w:rPr>
        <w:footnoteRef/>
      </w:r>
      <w:r>
        <w:t xml:space="preserve"> SEIA Opening Comments at 3.</w:t>
      </w:r>
    </w:p>
  </w:footnote>
  <w:footnote w:id="38">
    <w:p w14:paraId="2C4504FC" w14:textId="522C03B3" w:rsidR="008E6480" w:rsidRDefault="008E6480">
      <w:pPr>
        <w:pStyle w:val="FootnoteText"/>
      </w:pPr>
      <w:r>
        <w:rPr>
          <w:rStyle w:val="FootnoteReference"/>
        </w:rPr>
        <w:footnoteRef/>
      </w:r>
      <w:r>
        <w:t xml:space="preserve"> SCE Opening Comments at 8.</w:t>
      </w:r>
    </w:p>
  </w:footnote>
  <w:footnote w:id="39">
    <w:p w14:paraId="226A88B3" w14:textId="6B4410D2" w:rsidR="007D6EB2" w:rsidRDefault="007D6EB2">
      <w:pPr>
        <w:pStyle w:val="FootnoteText"/>
      </w:pPr>
      <w:r>
        <w:rPr>
          <w:rStyle w:val="FootnoteReference"/>
        </w:rPr>
        <w:footnoteRef/>
      </w:r>
      <w:r>
        <w:t xml:space="preserve"> SCE Opening Comments at 8.</w:t>
      </w:r>
    </w:p>
  </w:footnote>
  <w:footnote w:id="40">
    <w:p w14:paraId="0B7C9E3D" w14:textId="6C6E7C36" w:rsidR="007D6EB2" w:rsidRDefault="007D6EB2">
      <w:pPr>
        <w:pStyle w:val="FootnoteText"/>
      </w:pPr>
      <w:r>
        <w:rPr>
          <w:rStyle w:val="FootnoteReference"/>
        </w:rPr>
        <w:footnoteRef/>
      </w:r>
      <w:r>
        <w:t xml:space="preserve"> </w:t>
      </w:r>
      <w:r w:rsidR="005302FD">
        <w:t>Cal Advocates</w:t>
      </w:r>
      <w:r>
        <w:t xml:space="preserve"> Opening Comments at 7.</w:t>
      </w:r>
    </w:p>
  </w:footnote>
  <w:footnote w:id="41">
    <w:p w14:paraId="1A5D3B07" w14:textId="29337B8D" w:rsidR="0032671A" w:rsidRDefault="0032671A">
      <w:pPr>
        <w:pStyle w:val="FootnoteText"/>
      </w:pPr>
      <w:r>
        <w:rPr>
          <w:rStyle w:val="FootnoteReference"/>
        </w:rPr>
        <w:footnoteRef/>
      </w:r>
      <w:r>
        <w:t xml:space="preserve"> CUE Opening Comments at 9.</w:t>
      </w:r>
    </w:p>
  </w:footnote>
  <w:footnote w:id="42">
    <w:p w14:paraId="2A702F69" w14:textId="2B264C6F" w:rsidR="00030C8D" w:rsidRDefault="00030C8D">
      <w:pPr>
        <w:pStyle w:val="FootnoteText"/>
      </w:pPr>
      <w:r>
        <w:rPr>
          <w:rStyle w:val="FootnoteReference"/>
        </w:rPr>
        <w:footnoteRef/>
      </w:r>
      <w:r>
        <w:t xml:space="preserve"> BayREN and 3</w:t>
      </w:r>
      <w:r w:rsidR="000D6EC5">
        <w:t>C-REN</w:t>
      </w:r>
      <w:r>
        <w:t xml:space="preserve"> </w:t>
      </w:r>
      <w:r w:rsidR="00804383">
        <w:t>Comments</w:t>
      </w:r>
      <w:r>
        <w:t xml:space="preserve"> at 8.</w:t>
      </w:r>
    </w:p>
  </w:footnote>
  <w:footnote w:id="43">
    <w:p w14:paraId="4D19B2C3" w14:textId="22A980D1" w:rsidR="0080214F" w:rsidRDefault="0080214F">
      <w:pPr>
        <w:pStyle w:val="FootnoteText"/>
      </w:pPr>
      <w:r>
        <w:rPr>
          <w:rStyle w:val="FootnoteReference"/>
        </w:rPr>
        <w:footnoteRef/>
      </w:r>
      <w:r>
        <w:t xml:space="preserve"> SEIA Reply Comments at 3.</w:t>
      </w:r>
    </w:p>
  </w:footnote>
  <w:footnote w:id="44">
    <w:p w14:paraId="5681DCD8" w14:textId="2C2D98E7" w:rsidR="00EF08C4" w:rsidRDefault="00EF08C4">
      <w:pPr>
        <w:pStyle w:val="FootnoteText"/>
      </w:pPr>
      <w:r>
        <w:rPr>
          <w:rStyle w:val="FootnoteReference"/>
        </w:rPr>
        <w:footnoteRef/>
      </w:r>
      <w:r>
        <w:t xml:space="preserve"> CUE Reply Comments at 11-12.</w:t>
      </w:r>
    </w:p>
  </w:footnote>
  <w:footnote w:id="45">
    <w:p w14:paraId="48BE146B" w14:textId="3E105963" w:rsidR="006A0790" w:rsidRDefault="006A0790">
      <w:pPr>
        <w:pStyle w:val="FootnoteText"/>
      </w:pPr>
      <w:r>
        <w:rPr>
          <w:rStyle w:val="FootnoteReference"/>
        </w:rPr>
        <w:footnoteRef/>
      </w:r>
      <w:r>
        <w:t xml:space="preserve"> SCE Opening Comments at 8.</w:t>
      </w:r>
    </w:p>
  </w:footnote>
  <w:footnote w:id="46">
    <w:p w14:paraId="22584C0A" w14:textId="453383B6" w:rsidR="00DC2A7F" w:rsidRDefault="00DC2A7F">
      <w:pPr>
        <w:pStyle w:val="FootnoteText"/>
      </w:pPr>
      <w:r>
        <w:rPr>
          <w:rStyle w:val="FootnoteReference"/>
        </w:rPr>
        <w:footnoteRef/>
      </w:r>
      <w:r>
        <w:t xml:space="preserve"> Staff Proposal at 6.</w:t>
      </w:r>
    </w:p>
  </w:footnote>
  <w:footnote w:id="47">
    <w:p w14:paraId="3A0003FC" w14:textId="6450B921" w:rsidR="0072756A" w:rsidRDefault="0072756A">
      <w:pPr>
        <w:pStyle w:val="FootnoteText"/>
      </w:pPr>
      <w:r>
        <w:rPr>
          <w:rStyle w:val="FootnoteReference"/>
        </w:rPr>
        <w:footnoteRef/>
      </w:r>
      <w:r>
        <w:t xml:space="preserve"> Staff Proposal at 6.</w:t>
      </w:r>
    </w:p>
  </w:footnote>
  <w:footnote w:id="48">
    <w:p w14:paraId="4B6714BF" w14:textId="07DB02EE" w:rsidR="007A4D1E" w:rsidRDefault="007A4D1E">
      <w:pPr>
        <w:pStyle w:val="FootnoteText"/>
      </w:pPr>
      <w:r>
        <w:rPr>
          <w:rStyle w:val="FootnoteReference"/>
        </w:rPr>
        <w:footnoteRef/>
      </w:r>
      <w:r>
        <w:t xml:space="preserve"> Staff Proposal at 6.</w:t>
      </w:r>
    </w:p>
  </w:footnote>
  <w:footnote w:id="49">
    <w:p w14:paraId="469A18E0" w14:textId="780C1310" w:rsidR="007A4D1E" w:rsidRDefault="007A4D1E">
      <w:pPr>
        <w:pStyle w:val="FootnoteText"/>
      </w:pPr>
      <w:r>
        <w:rPr>
          <w:rStyle w:val="FootnoteReference"/>
        </w:rPr>
        <w:footnoteRef/>
      </w:r>
      <w:r>
        <w:t xml:space="preserve"> Staff Proposal at 6.</w:t>
      </w:r>
    </w:p>
  </w:footnote>
  <w:footnote w:id="50">
    <w:p w14:paraId="7186899A" w14:textId="0B317535" w:rsidR="006936AE" w:rsidRDefault="006936AE">
      <w:pPr>
        <w:pStyle w:val="FootnoteText"/>
      </w:pPr>
      <w:r>
        <w:rPr>
          <w:rStyle w:val="FootnoteReference"/>
        </w:rPr>
        <w:footnoteRef/>
      </w:r>
      <w:r>
        <w:t xml:space="preserve"> SCE Opening Comments at 3.</w:t>
      </w:r>
    </w:p>
  </w:footnote>
  <w:footnote w:id="51">
    <w:p w14:paraId="32C82D6D" w14:textId="7A67C669" w:rsidR="006936AE" w:rsidRDefault="006936AE">
      <w:pPr>
        <w:pStyle w:val="FootnoteText"/>
      </w:pPr>
      <w:r>
        <w:rPr>
          <w:rStyle w:val="FootnoteReference"/>
        </w:rPr>
        <w:footnoteRef/>
      </w:r>
      <w:r>
        <w:t xml:space="preserve"> CUE Opening Comments at 3.</w:t>
      </w:r>
    </w:p>
  </w:footnote>
  <w:footnote w:id="52">
    <w:p w14:paraId="759A5707" w14:textId="56326F22" w:rsidR="00331E29" w:rsidRDefault="00331E29">
      <w:pPr>
        <w:pStyle w:val="FootnoteText"/>
      </w:pPr>
      <w:r>
        <w:rPr>
          <w:rStyle w:val="FootnoteReference"/>
        </w:rPr>
        <w:footnoteRef/>
      </w:r>
      <w:r>
        <w:t xml:space="preserve"> CUE Reply Comments at 1-2.</w:t>
      </w:r>
    </w:p>
  </w:footnote>
  <w:footnote w:id="53">
    <w:p w14:paraId="42D70343" w14:textId="20BB4947" w:rsidR="007022A2" w:rsidRDefault="007022A2">
      <w:pPr>
        <w:pStyle w:val="FootnoteText"/>
      </w:pPr>
      <w:r>
        <w:rPr>
          <w:rStyle w:val="FootnoteReference"/>
        </w:rPr>
        <w:footnoteRef/>
      </w:r>
      <w:r>
        <w:t xml:space="preserve"> CUE Reply Comments at 7.</w:t>
      </w:r>
    </w:p>
  </w:footnote>
  <w:footnote w:id="54">
    <w:p w14:paraId="465C5ABB" w14:textId="756A1287" w:rsidR="005302FD" w:rsidRDefault="005302FD">
      <w:pPr>
        <w:pStyle w:val="FootnoteText"/>
      </w:pPr>
      <w:r>
        <w:rPr>
          <w:rStyle w:val="FootnoteReference"/>
        </w:rPr>
        <w:footnoteRef/>
      </w:r>
      <w:r>
        <w:t xml:space="preserve"> PAO Opening Comments at 7.</w:t>
      </w:r>
    </w:p>
  </w:footnote>
  <w:footnote w:id="55">
    <w:p w14:paraId="6611548C" w14:textId="2662DF6F" w:rsidR="006D2F7E" w:rsidRDefault="006D2F7E">
      <w:pPr>
        <w:pStyle w:val="FootnoteText"/>
      </w:pPr>
      <w:r>
        <w:rPr>
          <w:rStyle w:val="FootnoteReference"/>
        </w:rPr>
        <w:footnoteRef/>
      </w:r>
      <w:r>
        <w:t xml:space="preserve"> SDG&amp;E Opening Comments at 2-3.</w:t>
      </w:r>
    </w:p>
  </w:footnote>
  <w:footnote w:id="56">
    <w:p w14:paraId="0D4C8CFF" w14:textId="1736E4C6" w:rsidR="002E53C9" w:rsidRDefault="002E53C9">
      <w:pPr>
        <w:pStyle w:val="FootnoteText"/>
      </w:pPr>
      <w:r>
        <w:rPr>
          <w:rStyle w:val="FootnoteReference"/>
        </w:rPr>
        <w:footnoteRef/>
      </w:r>
      <w:r>
        <w:t xml:space="preserve"> SDG&amp;E Reply Comments at 2.</w:t>
      </w:r>
    </w:p>
  </w:footnote>
  <w:footnote w:id="57">
    <w:p w14:paraId="6578036E" w14:textId="2560AFDC" w:rsidR="002E53C9" w:rsidRDefault="002E53C9">
      <w:pPr>
        <w:pStyle w:val="FootnoteText"/>
      </w:pPr>
      <w:r>
        <w:rPr>
          <w:rStyle w:val="FootnoteReference"/>
        </w:rPr>
        <w:footnoteRef/>
      </w:r>
      <w:r>
        <w:t xml:space="preserve"> SDG&amp;E Reply Comments at 2.</w:t>
      </w:r>
    </w:p>
  </w:footnote>
  <w:footnote w:id="58">
    <w:p w14:paraId="390D9002" w14:textId="5817BB8C" w:rsidR="0057460D" w:rsidRDefault="0057460D">
      <w:pPr>
        <w:pStyle w:val="FootnoteText"/>
      </w:pPr>
      <w:r>
        <w:rPr>
          <w:rStyle w:val="FootnoteReference"/>
        </w:rPr>
        <w:footnoteRef/>
      </w:r>
      <w:r>
        <w:t xml:space="preserve"> SCE Reply Comments at 2.</w:t>
      </w:r>
    </w:p>
  </w:footnote>
  <w:footnote w:id="59">
    <w:p w14:paraId="54E10963" w14:textId="7466D9E0" w:rsidR="007022A2" w:rsidRDefault="007022A2">
      <w:pPr>
        <w:pStyle w:val="FootnoteText"/>
      </w:pPr>
      <w:r>
        <w:rPr>
          <w:rStyle w:val="FootnoteReference"/>
        </w:rPr>
        <w:footnoteRef/>
      </w:r>
      <w:r>
        <w:t xml:space="preserve"> CUE Reply Comments at 7.</w:t>
      </w:r>
    </w:p>
  </w:footnote>
  <w:footnote w:id="60">
    <w:p w14:paraId="1E2FA3DC" w14:textId="70803F39" w:rsidR="006D2F7E" w:rsidRDefault="006D2F7E">
      <w:pPr>
        <w:pStyle w:val="FootnoteText"/>
      </w:pPr>
      <w:r>
        <w:rPr>
          <w:rStyle w:val="FootnoteReference"/>
        </w:rPr>
        <w:footnoteRef/>
      </w:r>
      <w:r>
        <w:t xml:space="preserve"> SoCalGas Opening Comments at 2-3.</w:t>
      </w:r>
    </w:p>
  </w:footnote>
  <w:footnote w:id="61">
    <w:p w14:paraId="3976D8C3" w14:textId="0319F5AA" w:rsidR="007F0801" w:rsidRDefault="007F0801">
      <w:pPr>
        <w:pStyle w:val="FootnoteText"/>
      </w:pPr>
      <w:r>
        <w:rPr>
          <w:rStyle w:val="FootnoteReference"/>
        </w:rPr>
        <w:footnoteRef/>
      </w:r>
      <w:r>
        <w:t xml:space="preserve"> SoCalGas Reply Comments at 4.</w:t>
      </w:r>
    </w:p>
  </w:footnote>
  <w:footnote w:id="62">
    <w:p w14:paraId="7D49F3A7" w14:textId="009FF4FF" w:rsidR="00AB2702" w:rsidRDefault="00AB2702">
      <w:pPr>
        <w:pStyle w:val="FootnoteText"/>
      </w:pPr>
      <w:r>
        <w:rPr>
          <w:rStyle w:val="FootnoteReference"/>
        </w:rPr>
        <w:footnoteRef/>
      </w:r>
      <w:r>
        <w:t xml:space="preserve"> NRDC Opening Comments at 4.</w:t>
      </w:r>
    </w:p>
  </w:footnote>
  <w:footnote w:id="63">
    <w:p w14:paraId="4DC0F544" w14:textId="3C6BCC7C" w:rsidR="00830282" w:rsidRDefault="00830282" w:rsidP="00830282">
      <w:pPr>
        <w:pStyle w:val="FootnoteText"/>
      </w:pPr>
      <w:r>
        <w:rPr>
          <w:rStyle w:val="FootnoteReference"/>
        </w:rPr>
        <w:footnoteRef/>
      </w:r>
      <w:r>
        <w:t xml:space="preserve"> BayREN and 3C</w:t>
      </w:r>
      <w:r w:rsidR="000D6EC5">
        <w:t>-</w:t>
      </w:r>
      <w:r>
        <w:t>REN Opening Comments at 7-8.</w:t>
      </w:r>
    </w:p>
  </w:footnote>
  <w:footnote w:id="64">
    <w:p w14:paraId="336F2430" w14:textId="6ED32D98" w:rsidR="002E53C9" w:rsidRDefault="002E53C9">
      <w:pPr>
        <w:pStyle w:val="FootnoteText"/>
      </w:pPr>
      <w:r>
        <w:rPr>
          <w:rStyle w:val="FootnoteReference"/>
        </w:rPr>
        <w:footnoteRef/>
      </w:r>
      <w:r>
        <w:t xml:space="preserve"> BayREN and 3C-REN Reply Comments at 2.</w:t>
      </w:r>
    </w:p>
  </w:footnote>
  <w:footnote w:id="65">
    <w:p w14:paraId="7F1CB8C5" w14:textId="5D74C7AA" w:rsidR="00CC29F3" w:rsidRDefault="00CC29F3">
      <w:pPr>
        <w:pStyle w:val="FootnoteText"/>
      </w:pPr>
      <w:r>
        <w:rPr>
          <w:rStyle w:val="FootnoteReference"/>
        </w:rPr>
        <w:footnoteRef/>
      </w:r>
      <w:r>
        <w:t xml:space="preserve"> BayREN and 3C-REN Opening Comments at 11.</w:t>
      </w:r>
    </w:p>
  </w:footnote>
  <w:footnote w:id="66">
    <w:p w14:paraId="1F8D15BE" w14:textId="18A2DEDF" w:rsidR="007F0801" w:rsidRDefault="007F0801">
      <w:pPr>
        <w:pStyle w:val="FootnoteText"/>
      </w:pPr>
      <w:r>
        <w:rPr>
          <w:rStyle w:val="FootnoteReference"/>
        </w:rPr>
        <w:footnoteRef/>
      </w:r>
      <w:r>
        <w:t xml:space="preserve"> SoCalGas Reply Comments at 2.</w:t>
      </w:r>
    </w:p>
  </w:footnote>
  <w:footnote w:id="67">
    <w:p w14:paraId="1BA0B073" w14:textId="4CC4575F" w:rsidR="008D4746" w:rsidRDefault="008D4746">
      <w:pPr>
        <w:pStyle w:val="FootnoteText"/>
      </w:pPr>
      <w:r>
        <w:rPr>
          <w:rStyle w:val="FootnoteReference"/>
        </w:rPr>
        <w:footnoteRef/>
      </w:r>
      <w:r>
        <w:t xml:space="preserve"> CLECA Opening Comments at 7-8</w:t>
      </w:r>
      <w:r w:rsidR="00402F18">
        <w:t>, CLECA Reply Comments at 6.</w:t>
      </w:r>
    </w:p>
  </w:footnote>
  <w:footnote w:id="68">
    <w:p w14:paraId="3F304BF3" w14:textId="6265EF3D" w:rsidR="00B41CF4" w:rsidRDefault="00B41CF4">
      <w:pPr>
        <w:pStyle w:val="FootnoteText"/>
      </w:pPr>
      <w:r>
        <w:rPr>
          <w:rStyle w:val="FootnoteReference"/>
        </w:rPr>
        <w:footnoteRef/>
      </w:r>
      <w:r>
        <w:t xml:space="preserve"> SEIA Opening Comments on June </w:t>
      </w:r>
      <w:r w:rsidR="00821159">
        <w:t>5</w:t>
      </w:r>
      <w:r>
        <w:t xml:space="preserve"> Ruling at 4-5</w:t>
      </w:r>
      <w:r w:rsidR="00B16E17">
        <w:t xml:space="preserve">, PG&amp;E Reply Comments on June </w:t>
      </w:r>
      <w:r w:rsidR="00821159">
        <w:t>5</w:t>
      </w:r>
      <w:r w:rsidR="00B16E17">
        <w:t xml:space="preserve"> Ruling at 2</w:t>
      </w:r>
      <w:r>
        <w:t>.</w:t>
      </w:r>
    </w:p>
  </w:footnote>
  <w:footnote w:id="69">
    <w:p w14:paraId="351F085C" w14:textId="04747F50" w:rsidR="0096116B" w:rsidRDefault="0096116B">
      <w:pPr>
        <w:pStyle w:val="FootnoteText"/>
      </w:pPr>
      <w:r>
        <w:rPr>
          <w:rStyle w:val="FootnoteReference"/>
        </w:rPr>
        <w:footnoteRef/>
      </w:r>
      <w:r>
        <w:t xml:space="preserve"> SCE Reply Comments at 4</w:t>
      </w:r>
      <w:r w:rsidR="0060575E">
        <w:t xml:space="preserve">, SCE Reply Comments on June </w:t>
      </w:r>
      <w:r w:rsidR="00821159">
        <w:t>5</w:t>
      </w:r>
      <w:r w:rsidR="0060575E">
        <w:t xml:space="preserve"> Ruling at 3</w:t>
      </w:r>
      <w:r>
        <w:t>.</w:t>
      </w:r>
    </w:p>
  </w:footnote>
  <w:footnote w:id="70">
    <w:p w14:paraId="2EF6AB53" w14:textId="7B6271B0" w:rsidR="00E4536F" w:rsidRDefault="00E4536F">
      <w:pPr>
        <w:pStyle w:val="FootnoteText"/>
      </w:pPr>
      <w:r>
        <w:rPr>
          <w:rStyle w:val="FootnoteReference"/>
        </w:rPr>
        <w:footnoteRef/>
      </w:r>
      <w:r>
        <w:t xml:space="preserve"> CLECA Reply Comments at 6.</w:t>
      </w:r>
    </w:p>
  </w:footnote>
  <w:footnote w:id="71">
    <w:p w14:paraId="5E7FB24B" w14:textId="6AD63097" w:rsidR="00830282" w:rsidRDefault="00830282" w:rsidP="00830282">
      <w:pPr>
        <w:pStyle w:val="FootnoteText"/>
      </w:pPr>
      <w:r>
        <w:rPr>
          <w:rStyle w:val="FootnoteReference"/>
        </w:rPr>
        <w:footnoteRef/>
      </w:r>
      <w:r>
        <w:t xml:space="preserve"> PG&amp;E Opening Comments at 2</w:t>
      </w:r>
      <w:r w:rsidR="00CB6204">
        <w:t>, PG&amp;E Reply Comments at 3</w:t>
      </w:r>
      <w:r>
        <w:t>.</w:t>
      </w:r>
    </w:p>
  </w:footnote>
  <w:footnote w:id="72">
    <w:p w14:paraId="5DFBC39F" w14:textId="77777777" w:rsidR="00491B5C" w:rsidRDefault="00491B5C" w:rsidP="00491B5C">
      <w:pPr>
        <w:pStyle w:val="FootnoteText"/>
      </w:pPr>
      <w:r>
        <w:rPr>
          <w:rStyle w:val="FootnoteReference"/>
        </w:rPr>
        <w:footnoteRef/>
      </w:r>
      <w:r>
        <w:t xml:space="preserve"> SEIA Opening Comments on Revised Staff Proposal at 1.</w:t>
      </w:r>
    </w:p>
  </w:footnote>
  <w:footnote w:id="73">
    <w:p w14:paraId="40B83553" w14:textId="77777777" w:rsidR="00491B5C" w:rsidRDefault="00491B5C" w:rsidP="00491B5C">
      <w:pPr>
        <w:pStyle w:val="FootnoteText"/>
      </w:pPr>
      <w:r>
        <w:rPr>
          <w:rStyle w:val="FootnoteReference"/>
        </w:rPr>
        <w:footnoteRef/>
      </w:r>
      <w:r>
        <w:t xml:space="preserve"> PG&amp;E Opening Comments at 2, PG&amp;E Reply Comments at 3.</w:t>
      </w:r>
    </w:p>
  </w:footnote>
  <w:footnote w:id="74">
    <w:p w14:paraId="35A55D55" w14:textId="7522DF36" w:rsidR="0057460D" w:rsidRDefault="0057460D">
      <w:pPr>
        <w:pStyle w:val="FootnoteText"/>
      </w:pPr>
      <w:r>
        <w:rPr>
          <w:rStyle w:val="FootnoteReference"/>
        </w:rPr>
        <w:footnoteRef/>
      </w:r>
      <w:r>
        <w:t xml:space="preserve"> SCE Reply Comments at 2.</w:t>
      </w:r>
    </w:p>
  </w:footnote>
  <w:footnote w:id="75">
    <w:p w14:paraId="5C161F80" w14:textId="55AF368B" w:rsidR="001811CD" w:rsidRDefault="001811CD">
      <w:pPr>
        <w:pStyle w:val="FootnoteText"/>
      </w:pPr>
      <w:r>
        <w:rPr>
          <w:rStyle w:val="FootnoteReference"/>
        </w:rPr>
        <w:footnoteRef/>
      </w:r>
      <w:r>
        <w:t xml:space="preserve"> </w:t>
      </w:r>
      <w:r w:rsidR="001332DB">
        <w:t xml:space="preserve">Revised </w:t>
      </w:r>
      <w:r>
        <w:t>Staff Proposal at 7.</w:t>
      </w:r>
    </w:p>
  </w:footnote>
  <w:footnote w:id="76">
    <w:p w14:paraId="0856F500" w14:textId="2228FE5C" w:rsidR="001811CD" w:rsidRDefault="001811CD">
      <w:pPr>
        <w:pStyle w:val="FootnoteText"/>
      </w:pPr>
      <w:r>
        <w:rPr>
          <w:rStyle w:val="FootnoteReference"/>
        </w:rPr>
        <w:footnoteRef/>
      </w:r>
      <w:r>
        <w:t xml:space="preserve"> </w:t>
      </w:r>
      <w:r w:rsidR="00821159">
        <w:t xml:space="preserve">Revised </w:t>
      </w:r>
      <w:r>
        <w:t>Staff Proposal at 7.</w:t>
      </w:r>
    </w:p>
  </w:footnote>
  <w:footnote w:id="77">
    <w:p w14:paraId="2CA32A17" w14:textId="2C223270" w:rsidR="001811CD" w:rsidRDefault="001811CD">
      <w:pPr>
        <w:pStyle w:val="FootnoteText"/>
      </w:pPr>
      <w:r>
        <w:rPr>
          <w:rStyle w:val="FootnoteReference"/>
        </w:rPr>
        <w:footnoteRef/>
      </w:r>
      <w:r>
        <w:t xml:space="preserve"> </w:t>
      </w:r>
      <w:r w:rsidR="00821159">
        <w:t xml:space="preserve">Revised </w:t>
      </w:r>
      <w:r>
        <w:t>Staff Proposal at 7.</w:t>
      </w:r>
    </w:p>
  </w:footnote>
  <w:footnote w:id="78">
    <w:p w14:paraId="04063EC5" w14:textId="392045BF" w:rsidR="001811CD" w:rsidRDefault="001811CD">
      <w:pPr>
        <w:pStyle w:val="FootnoteText"/>
      </w:pPr>
      <w:r>
        <w:rPr>
          <w:rStyle w:val="FootnoteReference"/>
        </w:rPr>
        <w:footnoteRef/>
      </w:r>
      <w:r>
        <w:t xml:space="preserve"> </w:t>
      </w:r>
      <w:r w:rsidR="00821159">
        <w:t xml:space="preserve">Revised </w:t>
      </w:r>
      <w:r>
        <w:t>Staff Proposal at 7.</w:t>
      </w:r>
    </w:p>
  </w:footnote>
  <w:footnote w:id="79">
    <w:p w14:paraId="6C06E1C3" w14:textId="1404ACDF" w:rsidR="001811CD" w:rsidRDefault="001811CD">
      <w:pPr>
        <w:pStyle w:val="FootnoteText"/>
      </w:pPr>
      <w:r>
        <w:rPr>
          <w:rStyle w:val="FootnoteReference"/>
        </w:rPr>
        <w:footnoteRef/>
      </w:r>
      <w:r>
        <w:t xml:space="preserve"> </w:t>
      </w:r>
      <w:r w:rsidR="00821159">
        <w:t xml:space="preserve">Revised </w:t>
      </w:r>
      <w:r>
        <w:t>Staff Proposal at 7.</w:t>
      </w:r>
    </w:p>
  </w:footnote>
  <w:footnote w:id="80">
    <w:p w14:paraId="0C7EFC58" w14:textId="6633DEE2" w:rsidR="00BD7A23" w:rsidRDefault="00BD7A23">
      <w:pPr>
        <w:pStyle w:val="FootnoteText"/>
      </w:pPr>
      <w:r>
        <w:rPr>
          <w:rStyle w:val="FootnoteReference"/>
        </w:rPr>
        <w:footnoteRef/>
      </w:r>
      <w:r>
        <w:t xml:space="preserve"> D.24-08-007 at 20.</w:t>
      </w:r>
    </w:p>
  </w:footnote>
  <w:footnote w:id="81">
    <w:p w14:paraId="12C8D67B" w14:textId="6CE57A02" w:rsidR="001811CD" w:rsidRDefault="001811CD">
      <w:pPr>
        <w:pStyle w:val="FootnoteText"/>
      </w:pPr>
      <w:r w:rsidRPr="001E209C">
        <w:rPr>
          <w:rStyle w:val="FootnoteReference"/>
        </w:rPr>
        <w:footnoteRef/>
      </w:r>
      <w:r w:rsidRPr="001E209C">
        <w:t xml:space="preserve"> </w:t>
      </w:r>
      <w:r w:rsidR="00821159">
        <w:t xml:space="preserve">Revised </w:t>
      </w:r>
      <w:r w:rsidRPr="001E209C">
        <w:t>Staff Proposal at 7.</w:t>
      </w:r>
    </w:p>
  </w:footnote>
  <w:footnote w:id="82">
    <w:p w14:paraId="4AF525B6" w14:textId="209C1CBE" w:rsidR="00BC1979" w:rsidRDefault="00BC1979">
      <w:pPr>
        <w:pStyle w:val="FootnoteText"/>
      </w:pPr>
      <w:r>
        <w:rPr>
          <w:rStyle w:val="FootnoteReference"/>
        </w:rPr>
        <w:footnoteRef/>
      </w:r>
      <w:r>
        <w:t xml:space="preserve"> SEIA Opening Comments at 5, CLECA Opening Comments at 10-12.</w:t>
      </w:r>
    </w:p>
  </w:footnote>
  <w:footnote w:id="83">
    <w:p w14:paraId="0C23F34D" w14:textId="338564CE" w:rsidR="00BC1979" w:rsidRDefault="00BC1979">
      <w:pPr>
        <w:pStyle w:val="FootnoteText"/>
      </w:pPr>
      <w:r>
        <w:rPr>
          <w:rStyle w:val="FootnoteReference"/>
        </w:rPr>
        <w:footnoteRef/>
      </w:r>
      <w:r>
        <w:t xml:space="preserve"> Revised Staff Proposal at 9-10.</w:t>
      </w:r>
    </w:p>
  </w:footnote>
  <w:footnote w:id="84">
    <w:p w14:paraId="74D3A178" w14:textId="0EF06856" w:rsidR="00DF35B6" w:rsidRDefault="00DF35B6">
      <w:pPr>
        <w:pStyle w:val="FootnoteText"/>
      </w:pPr>
      <w:r>
        <w:rPr>
          <w:rStyle w:val="FootnoteReference"/>
        </w:rPr>
        <w:footnoteRef/>
      </w:r>
      <w:r>
        <w:t xml:space="preserve"> </w:t>
      </w:r>
      <w:r w:rsidR="001332DB">
        <w:t xml:space="preserve">Revised </w:t>
      </w:r>
      <w:r>
        <w:t>Staff Proposal at 8.</w:t>
      </w:r>
    </w:p>
  </w:footnote>
  <w:footnote w:id="85">
    <w:p w14:paraId="28F15DE9" w14:textId="2B702EB4" w:rsidR="00DF35B6" w:rsidRDefault="00DF35B6">
      <w:pPr>
        <w:pStyle w:val="FootnoteText"/>
      </w:pPr>
      <w:r>
        <w:rPr>
          <w:rStyle w:val="FootnoteReference"/>
        </w:rPr>
        <w:footnoteRef/>
      </w:r>
      <w:r>
        <w:t xml:space="preserve"> </w:t>
      </w:r>
      <w:r w:rsidR="001332DB">
        <w:t xml:space="preserve">Revised </w:t>
      </w:r>
      <w:r>
        <w:t>Staff Proposal at 9.</w:t>
      </w:r>
    </w:p>
  </w:footnote>
  <w:footnote w:id="86">
    <w:p w14:paraId="0CA04096" w14:textId="7078C588" w:rsidR="00BD7A23" w:rsidRDefault="00BD7A23">
      <w:pPr>
        <w:pStyle w:val="FootnoteText"/>
      </w:pPr>
      <w:r>
        <w:rPr>
          <w:rStyle w:val="FootnoteReference"/>
        </w:rPr>
        <w:footnoteRef/>
      </w:r>
      <w:r>
        <w:t xml:space="preserve"> Revised Staff Proposal at 9.</w:t>
      </w:r>
    </w:p>
  </w:footnote>
  <w:footnote w:id="87">
    <w:p w14:paraId="7F6726B6" w14:textId="0AA86D5B" w:rsidR="00BD7A23" w:rsidRDefault="00BD7A23" w:rsidP="00BD7A23">
      <w:pPr>
        <w:pStyle w:val="FootnoteText"/>
      </w:pPr>
      <w:r>
        <w:rPr>
          <w:rStyle w:val="FootnoteReference"/>
        </w:rPr>
        <w:footnoteRef/>
      </w:r>
      <w:r>
        <w:t xml:space="preserve"> Revised Staff Proposal at 9.</w:t>
      </w:r>
    </w:p>
  </w:footnote>
  <w:footnote w:id="88">
    <w:p w14:paraId="3E91CCB8" w14:textId="29AC8351" w:rsidR="002218F1" w:rsidRDefault="002218F1">
      <w:pPr>
        <w:pStyle w:val="FootnoteText"/>
      </w:pPr>
      <w:r>
        <w:rPr>
          <w:rStyle w:val="FootnoteReference"/>
        </w:rPr>
        <w:footnoteRef/>
      </w:r>
      <w:r>
        <w:t xml:space="preserve"> Revised Staff Proposal at 8.</w:t>
      </w:r>
    </w:p>
  </w:footnote>
  <w:footnote w:id="89">
    <w:p w14:paraId="23960D29" w14:textId="14BC6755" w:rsidR="002218F1" w:rsidRDefault="002218F1">
      <w:pPr>
        <w:pStyle w:val="FootnoteText"/>
      </w:pPr>
      <w:r>
        <w:rPr>
          <w:rStyle w:val="FootnoteReference"/>
        </w:rPr>
        <w:footnoteRef/>
      </w:r>
      <w:r>
        <w:t xml:space="preserve"> Revised Staff Proposal at 8.</w:t>
      </w:r>
    </w:p>
  </w:footnote>
  <w:footnote w:id="90">
    <w:p w14:paraId="3F508377" w14:textId="34ACBC64" w:rsidR="002218F1" w:rsidRDefault="002218F1">
      <w:pPr>
        <w:pStyle w:val="FootnoteText"/>
      </w:pPr>
      <w:r>
        <w:rPr>
          <w:rStyle w:val="FootnoteReference"/>
        </w:rPr>
        <w:footnoteRef/>
      </w:r>
      <w:r>
        <w:t xml:space="preserve"> Revised Staff Proposal at 7.</w:t>
      </w:r>
    </w:p>
  </w:footnote>
  <w:footnote w:id="91">
    <w:p w14:paraId="559978AA" w14:textId="6770E41F" w:rsidR="006C47C7" w:rsidRDefault="006C47C7">
      <w:pPr>
        <w:pStyle w:val="FootnoteText"/>
      </w:pPr>
      <w:r>
        <w:rPr>
          <w:rStyle w:val="FootnoteReference"/>
        </w:rPr>
        <w:footnoteRef/>
      </w:r>
      <w:r>
        <w:t xml:space="preserve"> </w:t>
      </w:r>
      <w:r w:rsidR="001332DB">
        <w:t xml:space="preserve">Revised </w:t>
      </w:r>
      <w:r>
        <w:t>Staff Proposal at 10.</w:t>
      </w:r>
    </w:p>
  </w:footnote>
  <w:footnote w:id="92">
    <w:p w14:paraId="0D719C84" w14:textId="42F55994" w:rsidR="00A4120E" w:rsidRDefault="00A4120E">
      <w:pPr>
        <w:pStyle w:val="FootnoteText"/>
      </w:pPr>
      <w:r>
        <w:rPr>
          <w:rStyle w:val="FootnoteReference"/>
        </w:rPr>
        <w:footnoteRef/>
      </w:r>
      <w:r>
        <w:t xml:space="preserve"> SDG&amp;E Opening Comments</w:t>
      </w:r>
      <w:r w:rsidR="00EE6A91">
        <w:t xml:space="preserve"> </w:t>
      </w:r>
      <w:r w:rsidR="005F1828">
        <w:t>on</w:t>
      </w:r>
      <w:r w:rsidR="00EE6A91">
        <w:t xml:space="preserve"> June </w:t>
      </w:r>
      <w:r w:rsidR="00821159">
        <w:t>5</w:t>
      </w:r>
      <w:r w:rsidR="00EE6A91">
        <w:t xml:space="preserve"> Ruling</w:t>
      </w:r>
      <w:r>
        <w:t xml:space="preserve"> at </w:t>
      </w:r>
      <w:r w:rsidR="00EE6A91">
        <w:t>1-</w:t>
      </w:r>
      <w:r>
        <w:t>2.</w:t>
      </w:r>
    </w:p>
  </w:footnote>
  <w:footnote w:id="93">
    <w:p w14:paraId="5F5B33C3" w14:textId="058A83D1" w:rsidR="008D5132" w:rsidRDefault="008D5132" w:rsidP="008D5132">
      <w:pPr>
        <w:pStyle w:val="FootnoteText"/>
      </w:pPr>
      <w:r>
        <w:rPr>
          <w:rStyle w:val="FootnoteReference"/>
        </w:rPr>
        <w:footnoteRef/>
      </w:r>
      <w:r>
        <w:t xml:space="preserve"> SCE Opening Comments on June </w:t>
      </w:r>
      <w:r w:rsidR="00821159">
        <w:t>5</w:t>
      </w:r>
      <w:r>
        <w:t xml:space="preserve"> Ruling at 2-3.</w:t>
      </w:r>
    </w:p>
  </w:footnote>
  <w:footnote w:id="94">
    <w:p w14:paraId="2050E2E3" w14:textId="0ED1A975" w:rsidR="00B16E17" w:rsidRDefault="00B16E17">
      <w:pPr>
        <w:pStyle w:val="FootnoteText"/>
      </w:pPr>
      <w:r>
        <w:rPr>
          <w:rStyle w:val="FootnoteReference"/>
        </w:rPr>
        <w:footnoteRef/>
      </w:r>
      <w:r>
        <w:t xml:space="preserve"> PG&amp;E Reply Comments on June </w:t>
      </w:r>
      <w:r w:rsidR="00821159">
        <w:t>5</w:t>
      </w:r>
      <w:r>
        <w:t xml:space="preserve"> Ruling at 1-2.</w:t>
      </w:r>
    </w:p>
  </w:footnote>
  <w:footnote w:id="95">
    <w:p w14:paraId="47F7B2A8" w14:textId="05FE52C1" w:rsidR="000D6475" w:rsidRDefault="000D6475">
      <w:pPr>
        <w:pStyle w:val="FootnoteText"/>
      </w:pPr>
      <w:r>
        <w:rPr>
          <w:rStyle w:val="FootnoteReference"/>
        </w:rPr>
        <w:footnoteRef/>
      </w:r>
      <w:r>
        <w:t xml:space="preserve"> SEIA Reply Comments on June </w:t>
      </w:r>
      <w:r w:rsidR="00821159">
        <w:t>5</w:t>
      </w:r>
      <w:r>
        <w:t xml:space="preserve"> Ruling at 2-3.</w:t>
      </w:r>
    </w:p>
  </w:footnote>
  <w:footnote w:id="96">
    <w:p w14:paraId="57C6E9FA" w14:textId="02444C45" w:rsidR="000D6475" w:rsidRDefault="000D6475">
      <w:pPr>
        <w:pStyle w:val="FootnoteText"/>
      </w:pPr>
      <w:r>
        <w:rPr>
          <w:rStyle w:val="FootnoteReference"/>
        </w:rPr>
        <w:footnoteRef/>
      </w:r>
      <w:r>
        <w:t xml:space="preserve"> </w:t>
      </w:r>
      <w:r w:rsidR="00BD7A23">
        <w:t>SEIA Reply Comments on June 5 Ruling at 3.</w:t>
      </w:r>
    </w:p>
  </w:footnote>
  <w:footnote w:id="97">
    <w:p w14:paraId="0A2B21E6" w14:textId="3286CA47" w:rsidR="002770EB" w:rsidRDefault="002770EB">
      <w:pPr>
        <w:pStyle w:val="FootnoteText"/>
      </w:pPr>
      <w:r>
        <w:rPr>
          <w:rStyle w:val="FootnoteReference"/>
        </w:rPr>
        <w:footnoteRef/>
      </w:r>
      <w:r>
        <w:t xml:space="preserve"> CLECA Reply Comments on June </w:t>
      </w:r>
      <w:r w:rsidR="00821159">
        <w:t>5</w:t>
      </w:r>
      <w:r>
        <w:t xml:space="preserve"> Ruling at 7-8.</w:t>
      </w:r>
    </w:p>
  </w:footnote>
  <w:footnote w:id="98">
    <w:p w14:paraId="48DD9AE1" w14:textId="54004FEA" w:rsidR="008D5132" w:rsidRDefault="008D5132" w:rsidP="008D5132">
      <w:pPr>
        <w:pStyle w:val="FootnoteText"/>
      </w:pPr>
      <w:r>
        <w:rPr>
          <w:rStyle w:val="FootnoteReference"/>
        </w:rPr>
        <w:footnoteRef/>
      </w:r>
      <w:r>
        <w:t xml:space="preserve"> </w:t>
      </w:r>
      <w:r w:rsidR="000D6475">
        <w:t xml:space="preserve">SCE Opening Comments on June </w:t>
      </w:r>
      <w:r w:rsidR="00821159">
        <w:t>5</w:t>
      </w:r>
      <w:r w:rsidR="000D6475">
        <w:t xml:space="preserve"> Ruling </w:t>
      </w:r>
      <w:r>
        <w:t>at 3.</w:t>
      </w:r>
    </w:p>
  </w:footnote>
  <w:footnote w:id="99">
    <w:p w14:paraId="330787C9" w14:textId="2CE81728" w:rsidR="00B41CF4" w:rsidRDefault="00B41CF4">
      <w:pPr>
        <w:pStyle w:val="FootnoteText"/>
      </w:pPr>
      <w:r>
        <w:rPr>
          <w:rStyle w:val="FootnoteReference"/>
        </w:rPr>
        <w:footnoteRef/>
      </w:r>
      <w:r>
        <w:t xml:space="preserve"> CLECA Reply Comments on June </w:t>
      </w:r>
      <w:r w:rsidR="00821159">
        <w:t>5</w:t>
      </w:r>
      <w:r>
        <w:t xml:space="preserve"> Ruling at 6-7, SEIA Opening Comments on June </w:t>
      </w:r>
      <w:r w:rsidR="00821159">
        <w:t>5</w:t>
      </w:r>
      <w:r>
        <w:t xml:space="preserve"> Ruling at 8.</w:t>
      </w:r>
    </w:p>
  </w:footnote>
  <w:footnote w:id="100">
    <w:p w14:paraId="6A1C7EA0" w14:textId="5291B167" w:rsidR="008D5132" w:rsidRDefault="008D5132" w:rsidP="008D5132">
      <w:pPr>
        <w:pStyle w:val="FootnoteText"/>
      </w:pPr>
      <w:r>
        <w:rPr>
          <w:rStyle w:val="FootnoteReference"/>
        </w:rPr>
        <w:footnoteRef/>
      </w:r>
      <w:r w:rsidR="00602FF6">
        <w:t xml:space="preserve"> SoCalGas Opening Comments on June </w:t>
      </w:r>
      <w:r w:rsidR="00821159">
        <w:t>5</w:t>
      </w:r>
      <w:r w:rsidR="00602FF6">
        <w:t xml:space="preserve"> Ruling at 1,</w:t>
      </w:r>
      <w:r>
        <w:t xml:space="preserve"> SBUA Opening Comments on June </w:t>
      </w:r>
      <w:r w:rsidR="00821159">
        <w:t>5</w:t>
      </w:r>
      <w:r>
        <w:t xml:space="preserve"> </w:t>
      </w:r>
      <w:r w:rsidR="00602FF6">
        <w:t>R</w:t>
      </w:r>
      <w:r>
        <w:t xml:space="preserve">uling at 1, PG&amp;E Opening Comments on June </w:t>
      </w:r>
      <w:r w:rsidR="00821159">
        <w:t>5</w:t>
      </w:r>
      <w:r>
        <w:t xml:space="preserve"> Ruling at 1.</w:t>
      </w:r>
    </w:p>
  </w:footnote>
  <w:footnote w:id="101">
    <w:p w14:paraId="1E08E486" w14:textId="5593DDB1" w:rsidR="00562725" w:rsidRDefault="00562725">
      <w:pPr>
        <w:pStyle w:val="FootnoteText"/>
      </w:pPr>
      <w:r>
        <w:rPr>
          <w:rStyle w:val="FootnoteReference"/>
        </w:rPr>
        <w:footnoteRef/>
      </w:r>
      <w:r>
        <w:t xml:space="preserve"> SEIA Opening Comments </w:t>
      </w:r>
      <w:r w:rsidR="005F1828">
        <w:t>on</w:t>
      </w:r>
      <w:r w:rsidR="00A503EB">
        <w:t xml:space="preserve"> June </w:t>
      </w:r>
      <w:r w:rsidR="00821159">
        <w:t>5</w:t>
      </w:r>
      <w:r w:rsidR="00A503EB">
        <w:t xml:space="preserve"> Ruling </w:t>
      </w:r>
      <w:r>
        <w:t xml:space="preserve">at </w:t>
      </w:r>
      <w:r w:rsidR="00A503EB">
        <w:t>9-10</w:t>
      </w:r>
      <w:r>
        <w:t>.</w:t>
      </w:r>
    </w:p>
  </w:footnote>
  <w:footnote w:id="102">
    <w:p w14:paraId="698D5332" w14:textId="13650151" w:rsidR="00142DC0" w:rsidRDefault="00142DC0">
      <w:pPr>
        <w:pStyle w:val="FootnoteText"/>
      </w:pPr>
      <w:r>
        <w:rPr>
          <w:rStyle w:val="FootnoteReference"/>
        </w:rPr>
        <w:footnoteRef/>
      </w:r>
      <w:r>
        <w:t xml:space="preserve"> SEIA Opening Comments </w:t>
      </w:r>
      <w:r w:rsidR="005F1828">
        <w:t>on</w:t>
      </w:r>
      <w:r>
        <w:t xml:space="preserve"> June </w:t>
      </w:r>
      <w:r w:rsidR="00821159">
        <w:t>5</w:t>
      </w:r>
      <w:r>
        <w:t xml:space="preserve"> Ruling at 9-10.</w:t>
      </w:r>
    </w:p>
  </w:footnote>
  <w:footnote w:id="103">
    <w:p w14:paraId="05EC3DF2" w14:textId="65904600" w:rsidR="00B41CF4" w:rsidRDefault="00B41CF4">
      <w:pPr>
        <w:pStyle w:val="FootnoteText"/>
      </w:pPr>
      <w:r>
        <w:rPr>
          <w:rStyle w:val="FootnoteReference"/>
        </w:rPr>
        <w:footnoteRef/>
      </w:r>
      <w:r>
        <w:t xml:space="preserve"> CLECA Reply Comments on June </w:t>
      </w:r>
      <w:r w:rsidR="00821159">
        <w:t>5</w:t>
      </w:r>
      <w:r>
        <w:t xml:space="preserve"> Ruling at 6.</w:t>
      </w:r>
    </w:p>
  </w:footnote>
  <w:footnote w:id="104">
    <w:p w14:paraId="247D8AA7" w14:textId="3FEB7205" w:rsidR="005F1828" w:rsidRDefault="005F1828">
      <w:pPr>
        <w:pStyle w:val="FootnoteText"/>
      </w:pPr>
      <w:r>
        <w:rPr>
          <w:rStyle w:val="FootnoteReference"/>
        </w:rPr>
        <w:footnoteRef/>
      </w:r>
      <w:r>
        <w:t xml:space="preserve"> CLECA Opening Comments on June </w:t>
      </w:r>
      <w:r w:rsidR="00821159">
        <w:t>5</w:t>
      </w:r>
      <w:r>
        <w:t xml:space="preserve"> Ruling at 3.</w:t>
      </w:r>
    </w:p>
  </w:footnote>
  <w:footnote w:id="105">
    <w:p w14:paraId="5DC40E09" w14:textId="5F5BDC29" w:rsidR="00F37482" w:rsidRDefault="00F37482">
      <w:pPr>
        <w:pStyle w:val="FootnoteText"/>
      </w:pPr>
      <w:r>
        <w:rPr>
          <w:rStyle w:val="FootnoteReference"/>
        </w:rPr>
        <w:footnoteRef/>
      </w:r>
      <w:r>
        <w:t xml:space="preserve"> SEIA Reply Comments on June </w:t>
      </w:r>
      <w:r w:rsidR="00821159">
        <w:t>5</w:t>
      </w:r>
      <w:r>
        <w:t xml:space="preserve"> Ruling at 5.</w:t>
      </w:r>
    </w:p>
  </w:footnote>
  <w:footnote w:id="106">
    <w:p w14:paraId="7975783E" w14:textId="42D93742" w:rsidR="005F1828" w:rsidRDefault="005F1828">
      <w:pPr>
        <w:pStyle w:val="FootnoteText"/>
      </w:pPr>
      <w:r>
        <w:rPr>
          <w:rStyle w:val="FootnoteReference"/>
        </w:rPr>
        <w:footnoteRef/>
      </w:r>
      <w:r>
        <w:t xml:space="preserve"> </w:t>
      </w:r>
      <w:r w:rsidR="00F37482">
        <w:t xml:space="preserve">CLECA Opening Comments on June </w:t>
      </w:r>
      <w:r w:rsidR="00821159">
        <w:t>5</w:t>
      </w:r>
      <w:r w:rsidR="00F37482">
        <w:t xml:space="preserve"> Ruling at 3</w:t>
      </w:r>
      <w:r>
        <w:t>.</w:t>
      </w:r>
    </w:p>
  </w:footnote>
  <w:footnote w:id="107">
    <w:p w14:paraId="50AD7AC8" w14:textId="69DD5274" w:rsidR="00F37482" w:rsidRDefault="00F37482">
      <w:pPr>
        <w:pStyle w:val="FootnoteText"/>
      </w:pPr>
      <w:r>
        <w:rPr>
          <w:rStyle w:val="FootnoteReference"/>
        </w:rPr>
        <w:footnoteRef/>
      </w:r>
      <w:r>
        <w:t xml:space="preserve"> SEIA Reply Comments on June </w:t>
      </w:r>
      <w:r w:rsidR="00821159">
        <w:t>5</w:t>
      </w:r>
      <w:r>
        <w:t xml:space="preserve"> Ruling at 4.</w:t>
      </w:r>
    </w:p>
  </w:footnote>
  <w:footnote w:id="108">
    <w:p w14:paraId="02DE4FC5" w14:textId="51778C21" w:rsidR="005F1828" w:rsidRDefault="005F1828">
      <w:pPr>
        <w:pStyle w:val="FootnoteText"/>
      </w:pPr>
      <w:r>
        <w:rPr>
          <w:rStyle w:val="FootnoteReference"/>
        </w:rPr>
        <w:footnoteRef/>
      </w:r>
      <w:r>
        <w:t xml:space="preserve"> </w:t>
      </w:r>
      <w:r w:rsidR="00F37482">
        <w:t xml:space="preserve">CLECA Opening Comments on June </w:t>
      </w:r>
      <w:r w:rsidR="00821159">
        <w:t>5</w:t>
      </w:r>
      <w:r w:rsidR="00F37482">
        <w:t xml:space="preserve"> Ruling</w:t>
      </w:r>
      <w:r>
        <w:t xml:space="preserve"> at 5 and 7-8.</w:t>
      </w:r>
    </w:p>
  </w:footnote>
  <w:footnote w:id="109">
    <w:p w14:paraId="54D7E479" w14:textId="6F28823D" w:rsidR="00F37482" w:rsidRDefault="00F37482">
      <w:pPr>
        <w:pStyle w:val="FootnoteText"/>
      </w:pPr>
      <w:r>
        <w:rPr>
          <w:rStyle w:val="FootnoteReference"/>
        </w:rPr>
        <w:footnoteRef/>
      </w:r>
      <w:r>
        <w:t xml:space="preserve"> SCE Opening Comment</w:t>
      </w:r>
      <w:r w:rsidR="00821159">
        <w:t>s</w:t>
      </w:r>
      <w:r>
        <w:t xml:space="preserve"> at 11-13, SEIA Reply Comments on June </w:t>
      </w:r>
      <w:r w:rsidR="00821159">
        <w:t>5</w:t>
      </w:r>
      <w:r>
        <w:t xml:space="preserve"> Ruling at 5.</w:t>
      </w:r>
    </w:p>
  </w:footnote>
  <w:footnote w:id="110">
    <w:p w14:paraId="26BBA953" w14:textId="4C42414D" w:rsidR="005F1828" w:rsidRDefault="005F1828">
      <w:pPr>
        <w:pStyle w:val="FootnoteText"/>
      </w:pPr>
      <w:r>
        <w:rPr>
          <w:rStyle w:val="FootnoteReference"/>
        </w:rPr>
        <w:footnoteRef/>
      </w:r>
      <w:r>
        <w:t xml:space="preserve"> </w:t>
      </w:r>
      <w:r w:rsidR="003F7EEE">
        <w:t>CLECA Opening Comments on June 5 Ruling at</w:t>
      </w:r>
      <w:r>
        <w:t xml:space="preserve"> 11-13.</w:t>
      </w:r>
    </w:p>
  </w:footnote>
  <w:footnote w:id="111">
    <w:p w14:paraId="19EDDC42" w14:textId="7C1E1A38" w:rsidR="00615A77" w:rsidRDefault="00615A77">
      <w:pPr>
        <w:pStyle w:val="FootnoteText"/>
      </w:pPr>
      <w:r>
        <w:rPr>
          <w:rStyle w:val="FootnoteReference"/>
        </w:rPr>
        <w:footnoteRef/>
      </w:r>
      <w:r>
        <w:t xml:space="preserve"> BayREN and 3C-REN Opening Comments on June </w:t>
      </w:r>
      <w:r w:rsidR="00821159">
        <w:t>5</w:t>
      </w:r>
      <w:r>
        <w:t xml:space="preserve"> Ruling at 4.</w:t>
      </w:r>
    </w:p>
  </w:footnote>
  <w:footnote w:id="112">
    <w:p w14:paraId="1076D110" w14:textId="458FB5FB" w:rsidR="00615A77" w:rsidRDefault="00615A77">
      <w:pPr>
        <w:pStyle w:val="FootnoteText"/>
      </w:pPr>
      <w:r>
        <w:rPr>
          <w:rStyle w:val="FootnoteReference"/>
        </w:rPr>
        <w:footnoteRef/>
      </w:r>
      <w:r>
        <w:t xml:space="preserve"> </w:t>
      </w:r>
      <w:r w:rsidR="003F7EEE">
        <w:t>BayREN and 3C-REN Opening Comments on June 5 Ruling</w:t>
      </w:r>
      <w:r>
        <w:t xml:space="preserve"> at 5.</w:t>
      </w:r>
    </w:p>
  </w:footnote>
  <w:footnote w:id="113">
    <w:p w14:paraId="166D3E9D" w14:textId="2FD6B72B" w:rsidR="00C15402" w:rsidRDefault="00C15402">
      <w:pPr>
        <w:pStyle w:val="FootnoteText"/>
      </w:pPr>
      <w:r>
        <w:rPr>
          <w:rStyle w:val="FootnoteReference"/>
        </w:rPr>
        <w:footnoteRef/>
      </w:r>
      <w:r>
        <w:t xml:space="preserve"> SoCalREN Opening Comments on June </w:t>
      </w:r>
      <w:r w:rsidR="00821159">
        <w:t>5</w:t>
      </w:r>
      <w:r>
        <w:t xml:space="preserve"> Ruling at 2</w:t>
      </w:r>
      <w:r w:rsidR="00B552ED">
        <w:t>-3</w:t>
      </w:r>
      <w:r>
        <w:t>.</w:t>
      </w:r>
    </w:p>
  </w:footnote>
  <w:footnote w:id="114">
    <w:p w14:paraId="4BAA82E5" w14:textId="4618DEAB" w:rsidR="00A4120E" w:rsidRDefault="00A4120E">
      <w:pPr>
        <w:pStyle w:val="FootnoteText"/>
      </w:pPr>
      <w:r>
        <w:rPr>
          <w:rStyle w:val="FootnoteReference"/>
        </w:rPr>
        <w:footnoteRef/>
      </w:r>
      <w:r>
        <w:t xml:space="preserve"> NRDC Opening Comments at 4.</w:t>
      </w:r>
    </w:p>
  </w:footnote>
  <w:footnote w:id="115">
    <w:p w14:paraId="0792782F" w14:textId="6DA0E4D7" w:rsidR="00884D78" w:rsidRDefault="00884D78">
      <w:pPr>
        <w:pStyle w:val="FootnoteText"/>
      </w:pPr>
      <w:r>
        <w:rPr>
          <w:rStyle w:val="FootnoteReference"/>
        </w:rPr>
        <w:footnoteRef/>
      </w:r>
      <w:r>
        <w:t xml:space="preserve"> SCE Opening Comments on June </w:t>
      </w:r>
      <w:r w:rsidR="00821159">
        <w:t>5</w:t>
      </w:r>
      <w:r>
        <w:t xml:space="preserve"> Ruling at 1.</w:t>
      </w:r>
    </w:p>
  </w:footnote>
  <w:footnote w:id="116">
    <w:p w14:paraId="44FFD5B2" w14:textId="73FDB6FB" w:rsidR="008D5132" w:rsidRDefault="008D5132">
      <w:pPr>
        <w:pStyle w:val="FootnoteText"/>
      </w:pPr>
      <w:r>
        <w:rPr>
          <w:rStyle w:val="FootnoteReference"/>
        </w:rPr>
        <w:footnoteRef/>
      </w:r>
      <w:r>
        <w:t xml:space="preserve"> SBUA Opening Comments on June </w:t>
      </w:r>
      <w:r w:rsidR="00821159">
        <w:t>5</w:t>
      </w:r>
      <w:r>
        <w:t xml:space="preserve"> Ruling at 1.</w:t>
      </w:r>
    </w:p>
  </w:footnote>
  <w:footnote w:id="117">
    <w:p w14:paraId="6A01FD9C" w14:textId="297E9D86" w:rsidR="001C0933" w:rsidRDefault="001C0933">
      <w:pPr>
        <w:pStyle w:val="FootnoteText"/>
      </w:pPr>
      <w:r>
        <w:rPr>
          <w:rStyle w:val="FootnoteReference"/>
        </w:rPr>
        <w:footnoteRef/>
      </w:r>
      <w:r>
        <w:t xml:space="preserve"> See </w:t>
      </w:r>
      <w:r w:rsidRPr="001C0933">
        <w:t>D.22-05-002</w:t>
      </w:r>
      <w:r w:rsidR="000078B1">
        <w:t xml:space="preserve">, Ordering Paragraph 1, as reaffirmed by </w:t>
      </w:r>
      <w:r w:rsidR="000078B1" w:rsidRPr="000078B1">
        <w:t>D.24-08-007</w:t>
      </w:r>
      <w:r w:rsidR="000078B1">
        <w:t xml:space="preserve"> at </w:t>
      </w:r>
      <w:r w:rsidR="007B67A2">
        <w:t>5.</w:t>
      </w:r>
    </w:p>
  </w:footnote>
  <w:footnote w:id="118">
    <w:p w14:paraId="1BBCC309" w14:textId="66806FA3" w:rsidR="005E1E4F" w:rsidRDefault="005E1E4F">
      <w:pPr>
        <w:pStyle w:val="FootnoteText"/>
      </w:pPr>
      <w:r>
        <w:rPr>
          <w:rStyle w:val="FootnoteReference"/>
        </w:rPr>
        <w:footnoteRef/>
      </w:r>
      <w:r>
        <w:t xml:space="preserve"> </w:t>
      </w:r>
      <w:r w:rsidR="00AB1633">
        <w:t xml:space="preserve">Revised </w:t>
      </w:r>
      <w:r>
        <w:t>Staff Proposal at 10.</w:t>
      </w:r>
    </w:p>
  </w:footnote>
  <w:footnote w:id="119">
    <w:p w14:paraId="0C7930D9" w14:textId="4B110BB4" w:rsidR="00973968" w:rsidRDefault="00973968">
      <w:pPr>
        <w:pStyle w:val="FootnoteText"/>
      </w:pPr>
      <w:r>
        <w:rPr>
          <w:rStyle w:val="FootnoteReference"/>
        </w:rPr>
        <w:footnoteRef/>
      </w:r>
      <w:r>
        <w:t xml:space="preserve"> Revised Staff Proposal at 10.</w:t>
      </w:r>
    </w:p>
  </w:footnote>
  <w:footnote w:id="120">
    <w:p w14:paraId="60F11A23" w14:textId="0F4C77EE" w:rsidR="003B4206" w:rsidRDefault="003B4206">
      <w:pPr>
        <w:pStyle w:val="FootnoteText"/>
      </w:pPr>
      <w:r>
        <w:rPr>
          <w:rStyle w:val="FootnoteReference"/>
        </w:rPr>
        <w:footnoteRef/>
      </w:r>
      <w:r>
        <w:t xml:space="preserve"> </w:t>
      </w:r>
      <w:r w:rsidR="00821159">
        <w:t xml:space="preserve">Revised </w:t>
      </w:r>
      <w:r>
        <w:t xml:space="preserve">Staff Proposal at </w:t>
      </w:r>
      <w:r w:rsidR="001E209C">
        <w:t>10</w:t>
      </w:r>
      <w:r>
        <w:t>.</w:t>
      </w:r>
    </w:p>
  </w:footnote>
  <w:footnote w:id="121">
    <w:p w14:paraId="2B381E68" w14:textId="70A429F0" w:rsidR="007F7448" w:rsidRDefault="007F7448">
      <w:pPr>
        <w:pStyle w:val="FootnoteText"/>
      </w:pPr>
      <w:r>
        <w:rPr>
          <w:rStyle w:val="FootnoteReference"/>
        </w:rPr>
        <w:footnoteRef/>
      </w:r>
      <w:r>
        <w:t xml:space="preserve"> </w:t>
      </w:r>
      <w:r w:rsidR="00821159">
        <w:t xml:space="preserve">Revised </w:t>
      </w:r>
      <w:r>
        <w:t xml:space="preserve">Staff Proposal at </w:t>
      </w:r>
      <w:r w:rsidR="001E209C">
        <w:t>10</w:t>
      </w:r>
      <w:r>
        <w:t>.</w:t>
      </w:r>
    </w:p>
  </w:footnote>
  <w:footnote w:id="122">
    <w:p w14:paraId="1242E027" w14:textId="36029DB2" w:rsidR="005E1E4F" w:rsidRDefault="005E1E4F">
      <w:pPr>
        <w:pStyle w:val="FootnoteText"/>
      </w:pPr>
      <w:r>
        <w:rPr>
          <w:rStyle w:val="FootnoteReference"/>
        </w:rPr>
        <w:footnoteRef/>
      </w:r>
      <w:r>
        <w:t xml:space="preserve"> </w:t>
      </w:r>
      <w:r w:rsidR="00AB1633">
        <w:t xml:space="preserve">Revised </w:t>
      </w:r>
      <w:r>
        <w:t>Staff Proposal at 1</w:t>
      </w:r>
      <w:r w:rsidR="001E209C">
        <w:t>1</w:t>
      </w:r>
      <w:r>
        <w:t>.</w:t>
      </w:r>
    </w:p>
  </w:footnote>
  <w:footnote w:id="123">
    <w:p w14:paraId="0B216AD1" w14:textId="65CCD32B" w:rsidR="005E1E4F" w:rsidRDefault="005E1E4F">
      <w:pPr>
        <w:pStyle w:val="FootnoteText"/>
      </w:pPr>
      <w:r>
        <w:rPr>
          <w:rStyle w:val="FootnoteReference"/>
        </w:rPr>
        <w:footnoteRef/>
      </w:r>
      <w:r>
        <w:t xml:space="preserve"> </w:t>
      </w:r>
      <w:r w:rsidR="00AB1633">
        <w:t xml:space="preserve">Revised </w:t>
      </w:r>
      <w:r>
        <w:t>Staff Proposal at 1</w:t>
      </w:r>
      <w:r w:rsidR="001E209C">
        <w:t>1</w:t>
      </w:r>
      <w:r>
        <w:t xml:space="preserve">. </w:t>
      </w:r>
    </w:p>
  </w:footnote>
  <w:footnote w:id="124">
    <w:p w14:paraId="189E26F0" w14:textId="7535CF76" w:rsidR="00EC3E89" w:rsidRDefault="00EC3E89">
      <w:pPr>
        <w:pStyle w:val="FootnoteText"/>
      </w:pPr>
      <w:r>
        <w:rPr>
          <w:rStyle w:val="FootnoteReference"/>
        </w:rPr>
        <w:footnoteRef/>
      </w:r>
      <w:r>
        <w:t xml:space="preserve"> </w:t>
      </w:r>
      <w:r w:rsidR="00821159">
        <w:t xml:space="preserve">Revised </w:t>
      </w:r>
      <w:r>
        <w:t>Staff Proposal at 1</w:t>
      </w:r>
      <w:r w:rsidR="001E209C">
        <w:t>1</w:t>
      </w:r>
      <w:r>
        <w:t>.</w:t>
      </w:r>
    </w:p>
  </w:footnote>
  <w:footnote w:id="125">
    <w:p w14:paraId="196A93E6" w14:textId="0DA18DD1" w:rsidR="009D4000" w:rsidRDefault="009D4000">
      <w:pPr>
        <w:pStyle w:val="FootnoteText"/>
      </w:pPr>
      <w:r>
        <w:rPr>
          <w:rStyle w:val="FootnoteReference"/>
        </w:rPr>
        <w:footnoteRef/>
      </w:r>
      <w:r>
        <w:t xml:space="preserve"> Cal Advocates Opening Comments at 10.</w:t>
      </w:r>
    </w:p>
  </w:footnote>
  <w:footnote w:id="126">
    <w:p w14:paraId="11C88B76" w14:textId="62A8C98A" w:rsidR="00EC5FC4" w:rsidRDefault="00EC5FC4">
      <w:pPr>
        <w:pStyle w:val="FootnoteText"/>
      </w:pPr>
      <w:r>
        <w:rPr>
          <w:rStyle w:val="FootnoteReference"/>
        </w:rPr>
        <w:footnoteRef/>
      </w:r>
      <w:r>
        <w:t xml:space="preserve"> SDG&amp;E Opening Comments at 4-5.</w:t>
      </w:r>
    </w:p>
  </w:footnote>
  <w:footnote w:id="127">
    <w:p w14:paraId="1E352E04" w14:textId="1F8999A7" w:rsidR="00EC5FC4" w:rsidRDefault="00EC5FC4">
      <w:pPr>
        <w:pStyle w:val="FootnoteText"/>
      </w:pPr>
      <w:r>
        <w:rPr>
          <w:rStyle w:val="FootnoteReference"/>
        </w:rPr>
        <w:footnoteRef/>
      </w:r>
      <w:r>
        <w:t xml:space="preserve"> PG&amp;E Opening Comments at 3.</w:t>
      </w:r>
    </w:p>
  </w:footnote>
  <w:footnote w:id="128">
    <w:p w14:paraId="4C7250B0" w14:textId="77777777" w:rsidR="00270825" w:rsidRDefault="00270825" w:rsidP="00270825">
      <w:pPr>
        <w:pStyle w:val="FootnoteText"/>
      </w:pPr>
      <w:r>
        <w:rPr>
          <w:rStyle w:val="FootnoteReference"/>
        </w:rPr>
        <w:footnoteRef/>
      </w:r>
      <w:r>
        <w:t xml:space="preserve"> CUE Opening Comments at 13-14.</w:t>
      </w:r>
    </w:p>
  </w:footnote>
  <w:footnote w:id="129">
    <w:p w14:paraId="49106BD5" w14:textId="24ACA2D9" w:rsidR="00A26BAA" w:rsidRDefault="00A26BAA" w:rsidP="00A26BAA">
      <w:pPr>
        <w:pStyle w:val="FootnoteText"/>
      </w:pPr>
      <w:r>
        <w:rPr>
          <w:rStyle w:val="FootnoteReference"/>
        </w:rPr>
        <w:footnoteRef/>
      </w:r>
      <w:r>
        <w:t xml:space="preserve"> BayREN and 3C-REN Opening Comments at 5.</w:t>
      </w:r>
    </w:p>
  </w:footnote>
  <w:footnote w:id="130">
    <w:p w14:paraId="2DC6703D" w14:textId="085A4A69" w:rsidR="007C3456" w:rsidRDefault="007C3456">
      <w:pPr>
        <w:pStyle w:val="FootnoteText"/>
      </w:pPr>
      <w:r>
        <w:rPr>
          <w:rStyle w:val="FootnoteReference"/>
        </w:rPr>
        <w:footnoteRef/>
      </w:r>
      <w:r>
        <w:t xml:space="preserve"> </w:t>
      </w:r>
      <w:r w:rsidR="00AB1633">
        <w:t xml:space="preserve">Revised </w:t>
      </w:r>
      <w:r>
        <w:t>Staff Proposal at 1</w:t>
      </w:r>
      <w:r w:rsidR="001E209C">
        <w:t>1</w:t>
      </w:r>
      <w:r>
        <w:t>.</w:t>
      </w:r>
    </w:p>
  </w:footnote>
  <w:footnote w:id="131">
    <w:p w14:paraId="336F5BE4" w14:textId="77073D11" w:rsidR="009947C4" w:rsidRDefault="009947C4">
      <w:pPr>
        <w:pStyle w:val="FootnoteText"/>
      </w:pPr>
      <w:r>
        <w:rPr>
          <w:rStyle w:val="FootnoteReference"/>
        </w:rPr>
        <w:footnoteRef/>
      </w:r>
      <w:r>
        <w:t xml:space="preserve"> </w:t>
      </w:r>
      <w:r w:rsidR="00AB1633">
        <w:t xml:space="preserve">Revised </w:t>
      </w:r>
      <w:r>
        <w:t>Staff Proposal at 1</w:t>
      </w:r>
      <w:r w:rsidR="009F4181">
        <w:t>2</w:t>
      </w:r>
      <w:r>
        <w:t>.</w:t>
      </w:r>
    </w:p>
  </w:footnote>
  <w:footnote w:id="132">
    <w:p w14:paraId="6485C398" w14:textId="53D4A294" w:rsidR="009947C4" w:rsidRDefault="009947C4">
      <w:pPr>
        <w:pStyle w:val="FootnoteText"/>
      </w:pPr>
      <w:r>
        <w:rPr>
          <w:rStyle w:val="FootnoteReference"/>
        </w:rPr>
        <w:footnoteRef/>
      </w:r>
      <w:r>
        <w:t xml:space="preserve"> </w:t>
      </w:r>
      <w:r w:rsidR="00AB1633">
        <w:t xml:space="preserve">Revised </w:t>
      </w:r>
      <w:r>
        <w:t>Staff Proposal at 1</w:t>
      </w:r>
      <w:r w:rsidR="009F4181">
        <w:t>2</w:t>
      </w:r>
      <w:r>
        <w:t>.</w:t>
      </w:r>
    </w:p>
  </w:footnote>
  <w:footnote w:id="133">
    <w:p w14:paraId="5F927ADA" w14:textId="0206BF7F" w:rsidR="009947C4" w:rsidRDefault="009947C4">
      <w:pPr>
        <w:pStyle w:val="FootnoteText"/>
      </w:pPr>
      <w:r>
        <w:rPr>
          <w:rStyle w:val="FootnoteReference"/>
        </w:rPr>
        <w:footnoteRef/>
      </w:r>
      <w:r>
        <w:t xml:space="preserve"> </w:t>
      </w:r>
      <w:r w:rsidR="00AB1633">
        <w:t xml:space="preserve">Revised </w:t>
      </w:r>
      <w:r>
        <w:t>Staff Proposal at 1</w:t>
      </w:r>
      <w:r w:rsidR="009F4181">
        <w:t>2</w:t>
      </w:r>
      <w:r>
        <w:t>.</w:t>
      </w:r>
    </w:p>
  </w:footnote>
  <w:footnote w:id="134">
    <w:p w14:paraId="08BDC92F" w14:textId="2EC9CF41" w:rsidR="009947C4" w:rsidRDefault="009947C4">
      <w:pPr>
        <w:pStyle w:val="FootnoteText"/>
      </w:pPr>
      <w:r>
        <w:rPr>
          <w:rStyle w:val="FootnoteReference"/>
        </w:rPr>
        <w:footnoteRef/>
      </w:r>
      <w:r>
        <w:t xml:space="preserve"> </w:t>
      </w:r>
      <w:r w:rsidR="00AB1633">
        <w:t xml:space="preserve">Revised </w:t>
      </w:r>
      <w:r>
        <w:t>Staff Proposal at 1</w:t>
      </w:r>
      <w:r w:rsidR="009F4181">
        <w:t>2</w:t>
      </w:r>
      <w:r>
        <w:t>.</w:t>
      </w:r>
    </w:p>
  </w:footnote>
  <w:footnote w:id="135">
    <w:p w14:paraId="71D1B588" w14:textId="0DF0269E" w:rsidR="00A26BAA" w:rsidRDefault="00A26BAA">
      <w:pPr>
        <w:pStyle w:val="FootnoteText"/>
      </w:pPr>
      <w:r>
        <w:rPr>
          <w:rStyle w:val="FootnoteReference"/>
        </w:rPr>
        <w:footnoteRef/>
      </w:r>
      <w:r>
        <w:t xml:space="preserve"> BayREN and 3C-REN Opening Comments at 5.</w:t>
      </w:r>
    </w:p>
  </w:footnote>
  <w:footnote w:id="136">
    <w:p w14:paraId="7A181E48" w14:textId="10C236F3" w:rsidR="00615C1F" w:rsidRDefault="00615C1F">
      <w:pPr>
        <w:pStyle w:val="FootnoteText"/>
      </w:pPr>
      <w:r>
        <w:rPr>
          <w:rStyle w:val="FootnoteReference"/>
        </w:rPr>
        <w:footnoteRef/>
      </w:r>
      <w:r>
        <w:t xml:space="preserve"> </w:t>
      </w:r>
      <w:r w:rsidR="00AB1633">
        <w:t xml:space="preserve">Revised </w:t>
      </w:r>
      <w:r>
        <w:t>Staff Proposal at 1</w:t>
      </w:r>
      <w:r w:rsidR="009F4181">
        <w:t>3</w:t>
      </w:r>
      <w:r>
        <w:t>.</w:t>
      </w:r>
    </w:p>
  </w:footnote>
  <w:footnote w:id="137">
    <w:p w14:paraId="5F35641A" w14:textId="3A7262B7" w:rsidR="00307248" w:rsidRDefault="00307248">
      <w:pPr>
        <w:pStyle w:val="FootnoteText"/>
      </w:pPr>
      <w:r>
        <w:rPr>
          <w:rStyle w:val="FootnoteReference"/>
        </w:rPr>
        <w:footnoteRef/>
      </w:r>
      <w:r>
        <w:t xml:space="preserve"> </w:t>
      </w:r>
      <w:r w:rsidR="00AB1633">
        <w:t xml:space="preserve">Revised </w:t>
      </w:r>
      <w:r>
        <w:t>Staff Proposal at 1</w:t>
      </w:r>
      <w:r w:rsidR="009F4181">
        <w:t>3</w:t>
      </w:r>
      <w:r>
        <w:t>.</w:t>
      </w:r>
    </w:p>
  </w:footnote>
  <w:footnote w:id="138">
    <w:p w14:paraId="58943E06" w14:textId="5130D8BD" w:rsidR="004B2ED3" w:rsidRDefault="004B2ED3">
      <w:pPr>
        <w:pStyle w:val="FootnoteText"/>
      </w:pPr>
      <w:r>
        <w:rPr>
          <w:rStyle w:val="FootnoteReference"/>
        </w:rPr>
        <w:footnoteRef/>
      </w:r>
      <w:r>
        <w:t xml:space="preserve"> </w:t>
      </w:r>
      <w:r w:rsidR="00AB1633">
        <w:t xml:space="preserve">Revised </w:t>
      </w:r>
      <w:r>
        <w:t>Staff Proposal at 1</w:t>
      </w:r>
      <w:r w:rsidR="009F4181">
        <w:t>3</w:t>
      </w:r>
      <w:r>
        <w:t>.</w:t>
      </w:r>
    </w:p>
  </w:footnote>
  <w:footnote w:id="139">
    <w:p w14:paraId="0873B085" w14:textId="639389F7" w:rsidR="009B6E11" w:rsidRDefault="009B6E11">
      <w:pPr>
        <w:pStyle w:val="FootnoteText"/>
      </w:pPr>
      <w:r>
        <w:rPr>
          <w:rStyle w:val="FootnoteReference"/>
        </w:rPr>
        <w:footnoteRef/>
      </w:r>
      <w:r>
        <w:t xml:space="preserve"> </w:t>
      </w:r>
      <w:r w:rsidR="00AB1633">
        <w:t xml:space="preserve">Revised </w:t>
      </w:r>
      <w:r>
        <w:t>Staff Proposal at 1</w:t>
      </w:r>
      <w:r w:rsidR="009F4181">
        <w:t>3</w:t>
      </w:r>
      <w:r>
        <w:t>.</w:t>
      </w:r>
    </w:p>
  </w:footnote>
  <w:footnote w:id="140">
    <w:p w14:paraId="62F29A0F" w14:textId="696F3839" w:rsidR="009B6E11" w:rsidRDefault="009B6E11">
      <w:pPr>
        <w:pStyle w:val="FootnoteText"/>
      </w:pPr>
      <w:r>
        <w:rPr>
          <w:rStyle w:val="FootnoteReference"/>
        </w:rPr>
        <w:footnoteRef/>
      </w:r>
      <w:r>
        <w:t xml:space="preserve"> </w:t>
      </w:r>
      <w:r w:rsidR="00AB1633">
        <w:t xml:space="preserve">Revised </w:t>
      </w:r>
      <w:r>
        <w:t>Staff Proposal at 1</w:t>
      </w:r>
      <w:r w:rsidR="009F4181">
        <w:t>3</w:t>
      </w:r>
      <w:r>
        <w:t>.</w:t>
      </w:r>
    </w:p>
  </w:footnote>
  <w:footnote w:id="141">
    <w:p w14:paraId="01B03E54" w14:textId="2DA02778" w:rsidR="009B6E11" w:rsidRDefault="009B6E11">
      <w:pPr>
        <w:pStyle w:val="FootnoteText"/>
      </w:pPr>
      <w:r>
        <w:rPr>
          <w:rStyle w:val="FootnoteReference"/>
        </w:rPr>
        <w:footnoteRef/>
      </w:r>
      <w:r>
        <w:t xml:space="preserve"> </w:t>
      </w:r>
      <w:r w:rsidR="00AB1633">
        <w:t xml:space="preserve">Revised </w:t>
      </w:r>
      <w:r>
        <w:t>Staff Proposal at 1</w:t>
      </w:r>
      <w:r w:rsidR="009F4181">
        <w:t>3</w:t>
      </w:r>
      <w:r>
        <w:t>.</w:t>
      </w:r>
    </w:p>
  </w:footnote>
  <w:footnote w:id="142">
    <w:p w14:paraId="7F83AD5C" w14:textId="68E8B343" w:rsidR="009B6E11" w:rsidRDefault="009B6E11">
      <w:pPr>
        <w:pStyle w:val="FootnoteText"/>
      </w:pPr>
      <w:r>
        <w:rPr>
          <w:rStyle w:val="FootnoteReference"/>
        </w:rPr>
        <w:footnoteRef/>
      </w:r>
      <w:r>
        <w:t xml:space="preserve"> </w:t>
      </w:r>
      <w:r w:rsidR="00AB1633">
        <w:t xml:space="preserve">Revised </w:t>
      </w:r>
      <w:r>
        <w:t>Staff Proposal at 1</w:t>
      </w:r>
      <w:r w:rsidR="009F4181">
        <w:t>3</w:t>
      </w:r>
      <w:r>
        <w:t>.</w:t>
      </w:r>
    </w:p>
  </w:footnote>
  <w:footnote w:id="143">
    <w:p w14:paraId="1DC16F66" w14:textId="1B367585" w:rsidR="00A26BAA" w:rsidRDefault="00A26BAA">
      <w:pPr>
        <w:pStyle w:val="FootnoteText"/>
      </w:pPr>
      <w:r>
        <w:rPr>
          <w:rStyle w:val="FootnoteReference"/>
        </w:rPr>
        <w:footnoteRef/>
      </w:r>
      <w:r>
        <w:t xml:space="preserve"> Cal Advocates Opening Comments at 12.</w:t>
      </w:r>
    </w:p>
  </w:footnote>
  <w:footnote w:id="144">
    <w:p w14:paraId="7C27C88F" w14:textId="61DE4E47" w:rsidR="00891DB6" w:rsidRDefault="00891DB6">
      <w:pPr>
        <w:pStyle w:val="FootnoteText"/>
      </w:pPr>
      <w:r>
        <w:rPr>
          <w:rStyle w:val="FootnoteReference"/>
        </w:rPr>
        <w:footnoteRef/>
      </w:r>
      <w:r>
        <w:t xml:space="preserve"> CUE Opening Comments at 17.</w:t>
      </w:r>
    </w:p>
  </w:footnote>
  <w:footnote w:id="145">
    <w:p w14:paraId="414B910C" w14:textId="20262B50" w:rsidR="00444B11" w:rsidRDefault="00444B11">
      <w:pPr>
        <w:pStyle w:val="FootnoteText"/>
      </w:pPr>
      <w:r>
        <w:rPr>
          <w:rStyle w:val="FootnoteReference"/>
        </w:rPr>
        <w:footnoteRef/>
      </w:r>
      <w:r>
        <w:t xml:space="preserve"> </w:t>
      </w:r>
      <w:r w:rsidR="00AB1633">
        <w:t xml:space="preserve">Revised </w:t>
      </w:r>
      <w:r>
        <w:t>Staff Proposal at 14.</w:t>
      </w:r>
    </w:p>
  </w:footnote>
  <w:footnote w:id="146">
    <w:p w14:paraId="3599118A" w14:textId="78A87C15" w:rsidR="00FC6738" w:rsidRDefault="00FC6738">
      <w:pPr>
        <w:pStyle w:val="FootnoteText"/>
      </w:pPr>
      <w:r w:rsidRPr="009F4181">
        <w:rPr>
          <w:rStyle w:val="FootnoteReference"/>
        </w:rPr>
        <w:footnoteRef/>
      </w:r>
      <w:r w:rsidRPr="009F4181">
        <w:t xml:space="preserve"> </w:t>
      </w:r>
      <w:r w:rsidR="00AB1633">
        <w:t xml:space="preserve">Revised </w:t>
      </w:r>
      <w:r w:rsidRPr="009F4181">
        <w:t>Staff Proposal at 1</w:t>
      </w:r>
      <w:r w:rsidR="009F4181" w:rsidRPr="009F4181">
        <w:t>4</w:t>
      </w:r>
      <w:r w:rsidRPr="009F4181">
        <w:t>.</w:t>
      </w:r>
    </w:p>
  </w:footnote>
  <w:footnote w:id="147">
    <w:p w14:paraId="2F3D6181" w14:textId="60631D2A" w:rsidR="00FC6738" w:rsidRDefault="00FC6738">
      <w:pPr>
        <w:pStyle w:val="FootnoteText"/>
      </w:pPr>
      <w:r>
        <w:rPr>
          <w:rStyle w:val="FootnoteReference"/>
        </w:rPr>
        <w:footnoteRef/>
      </w:r>
      <w:r>
        <w:t xml:space="preserve"> </w:t>
      </w:r>
      <w:r w:rsidR="00AB1633">
        <w:t xml:space="preserve">Revised </w:t>
      </w:r>
      <w:r>
        <w:t>Staff Proposal at 1</w:t>
      </w:r>
      <w:r w:rsidR="009F4181">
        <w:t>4</w:t>
      </w:r>
      <w:r>
        <w:t>.</w:t>
      </w:r>
    </w:p>
  </w:footnote>
  <w:footnote w:id="148">
    <w:p w14:paraId="31896726" w14:textId="5506E548" w:rsidR="00B50C51" w:rsidRDefault="00B50C51">
      <w:pPr>
        <w:pStyle w:val="FootnoteText"/>
      </w:pPr>
      <w:r>
        <w:rPr>
          <w:rStyle w:val="FootnoteReference"/>
        </w:rPr>
        <w:footnoteRef/>
      </w:r>
      <w:r>
        <w:t xml:space="preserve"> </w:t>
      </w:r>
      <w:r w:rsidR="00AB1633">
        <w:t xml:space="preserve">Revised </w:t>
      </w:r>
      <w:r>
        <w:t>Staff Proposal at 1</w:t>
      </w:r>
      <w:r w:rsidR="000A249D">
        <w:t>4</w:t>
      </w:r>
      <w:r>
        <w:t>.</w:t>
      </w:r>
    </w:p>
  </w:footnote>
  <w:footnote w:id="149">
    <w:p w14:paraId="66B4A2DD" w14:textId="49DDF7B4" w:rsidR="00B50C51" w:rsidRDefault="00B50C51">
      <w:pPr>
        <w:pStyle w:val="FootnoteText"/>
      </w:pPr>
      <w:r>
        <w:rPr>
          <w:rStyle w:val="FootnoteReference"/>
        </w:rPr>
        <w:footnoteRef/>
      </w:r>
      <w:r>
        <w:t xml:space="preserve"> </w:t>
      </w:r>
      <w:r w:rsidR="00AB1633">
        <w:t xml:space="preserve">Revised </w:t>
      </w:r>
      <w:r>
        <w:t>Staff Proposal at 1</w:t>
      </w:r>
      <w:r w:rsidR="000A249D">
        <w:t>4</w:t>
      </w:r>
      <w:r>
        <w:t>.</w:t>
      </w:r>
    </w:p>
  </w:footnote>
  <w:footnote w:id="150">
    <w:p w14:paraId="510ECB30" w14:textId="6F4C1789" w:rsidR="00CD0B84" w:rsidRDefault="00CD0B84">
      <w:pPr>
        <w:pStyle w:val="FootnoteText"/>
      </w:pPr>
      <w:r>
        <w:rPr>
          <w:rStyle w:val="FootnoteReference"/>
        </w:rPr>
        <w:footnoteRef/>
      </w:r>
      <w:r>
        <w:t xml:space="preserve"> SCE Opening Comments on June </w:t>
      </w:r>
      <w:r w:rsidR="003759EB">
        <w:t>5</w:t>
      </w:r>
      <w:r>
        <w:t xml:space="preserve"> Ruling at 4.</w:t>
      </w:r>
    </w:p>
  </w:footnote>
  <w:footnote w:id="151">
    <w:p w14:paraId="3078841E" w14:textId="35453B8C" w:rsidR="00CD0B84" w:rsidRDefault="00CD0B84">
      <w:pPr>
        <w:pStyle w:val="FootnoteText"/>
      </w:pPr>
      <w:r>
        <w:rPr>
          <w:rStyle w:val="FootnoteReference"/>
        </w:rPr>
        <w:footnoteRef/>
      </w:r>
      <w:r>
        <w:t xml:space="preserve"> </w:t>
      </w:r>
      <w:r w:rsidR="003F7EEE">
        <w:t>SCE Opening Comments on June 5 Ruling at 4.</w:t>
      </w:r>
    </w:p>
  </w:footnote>
  <w:footnote w:id="152">
    <w:p w14:paraId="1D3C1267" w14:textId="13BCA553" w:rsidR="00CD0B84" w:rsidRDefault="00CD0B84">
      <w:pPr>
        <w:pStyle w:val="FootnoteText"/>
      </w:pPr>
      <w:r>
        <w:rPr>
          <w:rStyle w:val="FootnoteReference"/>
        </w:rPr>
        <w:footnoteRef/>
      </w:r>
      <w:r>
        <w:t xml:space="preserve"> SDG&amp;E Opening Comments on June </w:t>
      </w:r>
      <w:r w:rsidR="003759EB">
        <w:t>5</w:t>
      </w:r>
      <w:r>
        <w:t xml:space="preserve"> Ruling at 2.</w:t>
      </w:r>
    </w:p>
  </w:footnote>
  <w:footnote w:id="153">
    <w:p w14:paraId="1C64D7C1" w14:textId="0C21CDF0" w:rsidR="002B09EB" w:rsidRDefault="002B09EB">
      <w:pPr>
        <w:pStyle w:val="FootnoteText"/>
      </w:pPr>
      <w:r>
        <w:rPr>
          <w:rStyle w:val="FootnoteReference"/>
        </w:rPr>
        <w:footnoteRef/>
      </w:r>
      <w:r>
        <w:t xml:space="preserve"> Clean Coalition Opening Comments on June </w:t>
      </w:r>
      <w:r w:rsidR="003759EB">
        <w:t>5</w:t>
      </w:r>
      <w:r>
        <w:t xml:space="preserve"> Ruling at 2.</w:t>
      </w:r>
    </w:p>
  </w:footnote>
  <w:footnote w:id="154">
    <w:p w14:paraId="7A054D3E" w14:textId="7BD0C6C0" w:rsidR="002B09EB" w:rsidRDefault="002B09EB">
      <w:pPr>
        <w:pStyle w:val="FootnoteText"/>
      </w:pPr>
      <w:r>
        <w:rPr>
          <w:rStyle w:val="FootnoteReference"/>
        </w:rPr>
        <w:footnoteRef/>
      </w:r>
      <w:r>
        <w:t xml:space="preserve"> SEIA Opening Comments on June </w:t>
      </w:r>
      <w:r w:rsidR="003759EB">
        <w:t>5</w:t>
      </w:r>
      <w:r>
        <w:t xml:space="preserve"> Ruling at 10-11.</w:t>
      </w:r>
    </w:p>
  </w:footnote>
  <w:footnote w:id="155">
    <w:p w14:paraId="73BF608F" w14:textId="6CF16872" w:rsidR="002B09EB" w:rsidRDefault="002B09EB">
      <w:pPr>
        <w:pStyle w:val="FootnoteText"/>
      </w:pPr>
      <w:r>
        <w:rPr>
          <w:rStyle w:val="FootnoteReference"/>
        </w:rPr>
        <w:footnoteRef/>
      </w:r>
      <w:r>
        <w:t xml:space="preserve"> </w:t>
      </w:r>
      <w:r w:rsidR="003F7EEE">
        <w:t>SEIA Opening Comments on June 5 Ruling at 10-11.</w:t>
      </w:r>
    </w:p>
  </w:footnote>
  <w:footnote w:id="156">
    <w:p w14:paraId="2F9D16B4" w14:textId="45746D22" w:rsidR="00CD0B84" w:rsidRDefault="00CD0B84">
      <w:pPr>
        <w:pStyle w:val="FootnoteText"/>
      </w:pPr>
      <w:r>
        <w:rPr>
          <w:rStyle w:val="FootnoteReference"/>
        </w:rPr>
        <w:footnoteRef/>
      </w:r>
      <w:r>
        <w:t xml:space="preserve"> SoCalREN Opening Comments on June </w:t>
      </w:r>
      <w:r w:rsidR="003759EB">
        <w:t>5</w:t>
      </w:r>
      <w:r>
        <w:t xml:space="preserve"> Ruling at 6, PG&amp;E Opening Comments on June </w:t>
      </w:r>
      <w:r w:rsidR="003759EB">
        <w:t>5</w:t>
      </w:r>
      <w:r>
        <w:t xml:space="preserve"> Ruling at 1, </w:t>
      </w:r>
      <w:r w:rsidR="002B09EB">
        <w:t xml:space="preserve">SoCalGas Opening Comments on June </w:t>
      </w:r>
      <w:r w:rsidR="003759EB">
        <w:t>5</w:t>
      </w:r>
      <w:r w:rsidR="002B09EB">
        <w:t xml:space="preserve"> Ruling at 2, SBUA Opening Comments on June </w:t>
      </w:r>
      <w:r w:rsidR="003759EB">
        <w:t>5</w:t>
      </w:r>
      <w:r w:rsidR="002B09EB">
        <w:t xml:space="preserve"> Ruling at 1,</w:t>
      </w:r>
      <w:r>
        <w:t xml:space="preserve"> CLECA Opening Comments on June </w:t>
      </w:r>
      <w:r w:rsidR="003759EB">
        <w:t>5</w:t>
      </w:r>
      <w:r>
        <w:t xml:space="preserve"> Ruling at 13</w:t>
      </w:r>
      <w:r w:rsidR="002B09EB">
        <w:t>.</w:t>
      </w:r>
    </w:p>
  </w:footnote>
  <w:footnote w:id="157">
    <w:p w14:paraId="5C254BB3" w14:textId="7E87EBBF" w:rsidR="0031240F" w:rsidRDefault="0031240F">
      <w:pPr>
        <w:pStyle w:val="FootnoteText"/>
      </w:pPr>
      <w:r>
        <w:rPr>
          <w:rStyle w:val="FootnoteReference"/>
        </w:rPr>
        <w:footnoteRef/>
      </w:r>
      <w:r>
        <w:t xml:space="preserve"> Revised Staff Proposal at 15.</w:t>
      </w:r>
    </w:p>
  </w:footnote>
  <w:footnote w:id="158">
    <w:p w14:paraId="7A296A19" w14:textId="51062F53" w:rsidR="007060FC" w:rsidRDefault="007060FC" w:rsidP="007060FC">
      <w:pPr>
        <w:pStyle w:val="FootnoteText"/>
      </w:pPr>
      <w:r>
        <w:rPr>
          <w:rStyle w:val="FootnoteReference"/>
        </w:rPr>
        <w:footnoteRef/>
      </w:r>
      <w:r>
        <w:t xml:space="preserve"> </w:t>
      </w:r>
      <w:r w:rsidRPr="007060FC">
        <w:t xml:space="preserve">SCE </w:t>
      </w:r>
      <w:r>
        <w:t xml:space="preserve">Opening </w:t>
      </w:r>
      <w:r w:rsidRPr="007060FC">
        <w:t>Comments</w:t>
      </w:r>
      <w:r>
        <w:t xml:space="preserve"> at</w:t>
      </w:r>
      <w:r w:rsidRPr="007060FC">
        <w:t xml:space="preserve"> 13-15</w:t>
      </w:r>
      <w:r>
        <w:t>, Cal Advocates Opening C</w:t>
      </w:r>
      <w:r w:rsidRPr="007060FC">
        <w:t>omments at 2-4</w:t>
      </w:r>
      <w:r>
        <w:t>,</w:t>
      </w:r>
      <w:r w:rsidRPr="007060FC">
        <w:t xml:space="preserve"> CLECA </w:t>
      </w:r>
      <w:r>
        <w:t xml:space="preserve">Opening </w:t>
      </w:r>
      <w:r w:rsidRPr="007060FC">
        <w:t>Comments 2-4</w:t>
      </w:r>
      <w:r>
        <w:t xml:space="preserve">, </w:t>
      </w:r>
      <w:r w:rsidR="00166B96">
        <w:t>CLECA Reply Comments at 3</w:t>
      </w:r>
      <w:r w:rsidR="00570CCA">
        <w:t>-</w:t>
      </w:r>
      <w:r w:rsidR="00E4536F">
        <w:t>5</w:t>
      </w:r>
      <w:r w:rsidR="00166B96">
        <w:t xml:space="preserve">, </w:t>
      </w:r>
      <w:r w:rsidRPr="007060FC">
        <w:t xml:space="preserve">SEIA </w:t>
      </w:r>
      <w:r>
        <w:t xml:space="preserve">Opening </w:t>
      </w:r>
      <w:r w:rsidRPr="007060FC">
        <w:t>Comments, at 16-19</w:t>
      </w:r>
      <w:r>
        <w:t xml:space="preserve">, SEIA Reply Comments at 6, </w:t>
      </w:r>
      <w:r w:rsidRPr="007060FC">
        <w:t>BayREN</w:t>
      </w:r>
      <w:r>
        <w:t xml:space="preserve"> and </w:t>
      </w:r>
      <w:r w:rsidRPr="007060FC">
        <w:t>3C</w:t>
      </w:r>
      <w:r>
        <w:t>-</w:t>
      </w:r>
      <w:r w:rsidRPr="007060FC">
        <w:t>REN</w:t>
      </w:r>
      <w:r>
        <w:t xml:space="preserve"> </w:t>
      </w:r>
      <w:r w:rsidR="00C12171">
        <w:t>Opening</w:t>
      </w:r>
      <w:r>
        <w:t xml:space="preserve"> Comments at</w:t>
      </w:r>
      <w:r w:rsidRPr="007060FC">
        <w:t xml:space="preserve"> 3-5</w:t>
      </w:r>
      <w:r>
        <w:t>,</w:t>
      </w:r>
      <w:r w:rsidRPr="007060FC">
        <w:t xml:space="preserve"> CUE </w:t>
      </w:r>
      <w:r>
        <w:t xml:space="preserve">Opening </w:t>
      </w:r>
      <w:r w:rsidRPr="007060FC">
        <w:t>Comments 10-13 and 15-18</w:t>
      </w:r>
      <w:r w:rsidR="004A62FD">
        <w:t xml:space="preserve">, </w:t>
      </w:r>
      <w:r w:rsidR="00331E29">
        <w:t>CUE Reply Comments at 3</w:t>
      </w:r>
      <w:r w:rsidR="00D613A8">
        <w:t xml:space="preserve"> and 14-17</w:t>
      </w:r>
      <w:r w:rsidR="00331E29">
        <w:t xml:space="preserve">, </w:t>
      </w:r>
      <w:r w:rsidR="004A62FD">
        <w:t>PG&amp;E Reply Comments at 1-2</w:t>
      </w:r>
      <w:r w:rsidR="00B41CF4">
        <w:t>, CLECA Reply Comments on June 6 Ruling at 3</w:t>
      </w:r>
      <w:r w:rsidRPr="007060FC">
        <w:t>.</w:t>
      </w:r>
    </w:p>
  </w:footnote>
  <w:footnote w:id="159">
    <w:p w14:paraId="7758368B" w14:textId="5763CDDD" w:rsidR="00E37177" w:rsidRDefault="00E37177">
      <w:pPr>
        <w:pStyle w:val="FootnoteText"/>
      </w:pPr>
      <w:r>
        <w:rPr>
          <w:rStyle w:val="FootnoteReference"/>
        </w:rPr>
        <w:footnoteRef/>
      </w:r>
      <w:r>
        <w:t xml:space="preserve"> PG&amp;E Reply Comments at 2.</w:t>
      </w:r>
    </w:p>
  </w:footnote>
  <w:footnote w:id="160">
    <w:p w14:paraId="128B8BA8" w14:textId="75525845" w:rsidR="009534FA" w:rsidRDefault="009534FA">
      <w:pPr>
        <w:pStyle w:val="FootnoteText"/>
      </w:pPr>
      <w:r>
        <w:rPr>
          <w:rStyle w:val="FootnoteReference"/>
        </w:rPr>
        <w:footnoteRef/>
      </w:r>
      <w:r>
        <w:t xml:space="preserve"> Bay</w:t>
      </w:r>
      <w:r w:rsidR="00196165">
        <w:t xml:space="preserve"> </w:t>
      </w:r>
      <w:r>
        <w:t>REN and 3C-REN Reply Comments at 8.</w:t>
      </w:r>
    </w:p>
  </w:footnote>
  <w:footnote w:id="161">
    <w:p w14:paraId="66BE6174" w14:textId="01CD18F7" w:rsidR="00196165" w:rsidRDefault="00196165">
      <w:pPr>
        <w:pStyle w:val="FootnoteText"/>
      </w:pPr>
      <w:r>
        <w:rPr>
          <w:rStyle w:val="FootnoteReference"/>
        </w:rPr>
        <w:footnoteRef/>
      </w:r>
      <w:r>
        <w:t xml:space="preserve"> BayREN and 3-C Ren Opening Comments on June 5 Ruling at 4.</w:t>
      </w:r>
    </w:p>
  </w:footnote>
  <w:footnote w:id="162">
    <w:p w14:paraId="3067AA33" w14:textId="77777777" w:rsidR="00756B59" w:rsidRDefault="00756B59" w:rsidP="00756B59">
      <w:pPr>
        <w:pStyle w:val="FootnoteText"/>
      </w:pPr>
      <w:r>
        <w:rPr>
          <w:rStyle w:val="FootnoteReference"/>
        </w:rPr>
        <w:footnoteRef/>
      </w:r>
      <w:r>
        <w:t xml:space="preserve"> Cal Advocates Opening Comments on Proposed Decision at 4.</w:t>
      </w:r>
    </w:p>
  </w:footnote>
  <w:footnote w:id="163">
    <w:p w14:paraId="13F93295" w14:textId="77777777" w:rsidR="00756B59" w:rsidRDefault="00756B59" w:rsidP="00756B59">
      <w:pPr>
        <w:pStyle w:val="FootnoteText"/>
      </w:pPr>
      <w:r>
        <w:rPr>
          <w:rStyle w:val="FootnoteReference"/>
        </w:rPr>
        <w:footnoteRef/>
      </w:r>
      <w:r>
        <w:t xml:space="preserve"> </w:t>
      </w:r>
      <w:r w:rsidRPr="0062607F">
        <w:t>CLECA Reply Comments</w:t>
      </w:r>
      <w:r>
        <w:t xml:space="preserve"> on Proposed Decision at </w:t>
      </w:r>
      <w:r w:rsidRPr="0062607F">
        <w:t>4-5</w:t>
      </w:r>
      <w:r>
        <w:t xml:space="preserve">, </w:t>
      </w:r>
      <w:r w:rsidRPr="0062607F">
        <w:t>SDG&amp;E Reply Comments</w:t>
      </w:r>
      <w:r>
        <w:t xml:space="preserve"> on Proposed Decision at </w:t>
      </w:r>
      <w:r w:rsidRPr="0062607F">
        <w:t>4-5</w:t>
      </w:r>
      <w:r>
        <w:t>,</w:t>
      </w:r>
      <w:r w:rsidRPr="0062607F">
        <w:t>  SEIA Reply Comments</w:t>
      </w:r>
      <w:r>
        <w:t xml:space="preserve"> on Proposed Decision at 4</w:t>
      </w:r>
      <w:r w:rsidRPr="0062607F">
        <w:t>.</w:t>
      </w:r>
    </w:p>
  </w:footnote>
  <w:footnote w:id="164">
    <w:p w14:paraId="23D47167" w14:textId="55CD5656" w:rsidR="009A30F0" w:rsidRDefault="009A30F0">
      <w:pPr>
        <w:pStyle w:val="FootnoteText"/>
      </w:pPr>
      <w:r>
        <w:rPr>
          <w:rStyle w:val="FootnoteReference"/>
        </w:rPr>
        <w:footnoteRef/>
      </w:r>
      <w:r>
        <w:t xml:space="preserve"> SDG&amp;E Reply Comments on Proposed Decision at 4-5.</w:t>
      </w:r>
    </w:p>
  </w:footnote>
  <w:footnote w:id="165">
    <w:p w14:paraId="35E33A55" w14:textId="2E4FD59A" w:rsidR="00E23A09" w:rsidRDefault="00E23A09">
      <w:pPr>
        <w:pStyle w:val="FootnoteText"/>
      </w:pPr>
      <w:r>
        <w:rPr>
          <w:rStyle w:val="FootnoteReference"/>
        </w:rPr>
        <w:footnoteRef/>
      </w:r>
      <w:r>
        <w:t xml:space="preserve"> SEIA Reply Comments on Proposed Decision at 4.</w:t>
      </w:r>
    </w:p>
  </w:footnote>
  <w:footnote w:id="166">
    <w:p w14:paraId="33DF67E7" w14:textId="1EDB7418" w:rsidR="002B620C" w:rsidRDefault="002B620C">
      <w:pPr>
        <w:pStyle w:val="FootnoteText"/>
      </w:pPr>
      <w:r>
        <w:rPr>
          <w:rStyle w:val="FootnoteReference"/>
        </w:rPr>
        <w:footnoteRef/>
      </w:r>
      <w:r>
        <w:t xml:space="preserve"> SDG&amp;E Opening Comments on Proposed Decision at 2-5.</w:t>
      </w:r>
    </w:p>
  </w:footnote>
  <w:footnote w:id="167">
    <w:p w14:paraId="4F1260C5" w14:textId="52B41EAC" w:rsidR="002B620C" w:rsidRDefault="002B620C">
      <w:pPr>
        <w:pStyle w:val="FootnoteText"/>
      </w:pPr>
      <w:r>
        <w:rPr>
          <w:rStyle w:val="FootnoteReference"/>
        </w:rPr>
        <w:footnoteRef/>
      </w:r>
      <w:r>
        <w:t xml:space="preserve"> SDG&amp;E Opening Comments on Proposed Decision at 6-7.</w:t>
      </w:r>
    </w:p>
  </w:footnote>
  <w:footnote w:id="168">
    <w:p w14:paraId="2C51C41D" w14:textId="0B196196" w:rsidR="002B620C" w:rsidRDefault="002B620C">
      <w:pPr>
        <w:pStyle w:val="FootnoteText"/>
      </w:pPr>
      <w:r>
        <w:rPr>
          <w:rStyle w:val="FootnoteReference"/>
        </w:rPr>
        <w:footnoteRef/>
      </w:r>
      <w:r>
        <w:t xml:space="preserve"> SDG&amp;E Opening Comments on Proposed Decision at 7-12.</w:t>
      </w:r>
    </w:p>
  </w:footnote>
  <w:footnote w:id="169">
    <w:p w14:paraId="32AD05E0" w14:textId="69F07980" w:rsidR="008A0F1D" w:rsidRDefault="008A0F1D">
      <w:pPr>
        <w:pStyle w:val="FootnoteText"/>
      </w:pPr>
      <w:r>
        <w:rPr>
          <w:rStyle w:val="FootnoteReference"/>
        </w:rPr>
        <w:footnoteRef/>
      </w:r>
      <w:r>
        <w:t xml:space="preserve"> SCE Opening Comments on Proposed Decision at 2-6.</w:t>
      </w:r>
    </w:p>
  </w:footnote>
  <w:footnote w:id="170">
    <w:p w14:paraId="195A5357" w14:textId="78B0451B" w:rsidR="002B620C" w:rsidRDefault="002B620C">
      <w:pPr>
        <w:pStyle w:val="FootnoteText"/>
      </w:pPr>
      <w:r>
        <w:rPr>
          <w:rStyle w:val="FootnoteReference"/>
        </w:rPr>
        <w:footnoteRef/>
      </w:r>
      <w:r>
        <w:t xml:space="preserve"> SDG&amp;E Reply Comments on Proposed Decision at 3-4.</w:t>
      </w:r>
    </w:p>
  </w:footnote>
  <w:footnote w:id="171">
    <w:p w14:paraId="25E5A8F9" w14:textId="1E12EDD6" w:rsidR="008A0F1D" w:rsidRDefault="008A0F1D">
      <w:pPr>
        <w:pStyle w:val="FootnoteText"/>
      </w:pPr>
      <w:r>
        <w:rPr>
          <w:rStyle w:val="FootnoteReference"/>
        </w:rPr>
        <w:footnoteRef/>
      </w:r>
      <w:r>
        <w:t xml:space="preserve"> SCE Opening Comments on Proposed Decision at 9-12.</w:t>
      </w:r>
    </w:p>
  </w:footnote>
  <w:footnote w:id="172">
    <w:p w14:paraId="2A103661" w14:textId="77777777" w:rsidR="006615DF" w:rsidRDefault="006615DF" w:rsidP="006615DF">
      <w:pPr>
        <w:pStyle w:val="FootnoteText"/>
      </w:pPr>
      <w:r>
        <w:rPr>
          <w:rStyle w:val="FootnoteReference"/>
        </w:rPr>
        <w:footnoteRef/>
      </w:r>
      <w:r>
        <w:t xml:space="preserve"> SCE Reply Comments on Proposed Decision at 3.</w:t>
      </w:r>
    </w:p>
  </w:footnote>
  <w:footnote w:id="173">
    <w:p w14:paraId="4B03019A" w14:textId="77777777" w:rsidR="006615DF" w:rsidRDefault="006615DF" w:rsidP="006615DF">
      <w:pPr>
        <w:pStyle w:val="FootnoteText"/>
      </w:pPr>
      <w:r>
        <w:rPr>
          <w:rStyle w:val="FootnoteReference"/>
        </w:rPr>
        <w:footnoteRef/>
      </w:r>
      <w:r>
        <w:t xml:space="preserve"> PG&amp;E Reply Comments on Proposed Decision at 1-3.</w:t>
      </w:r>
    </w:p>
  </w:footnote>
  <w:footnote w:id="174">
    <w:p w14:paraId="4D614D08" w14:textId="77777777" w:rsidR="006615DF" w:rsidRDefault="006615DF" w:rsidP="006615DF">
      <w:pPr>
        <w:pStyle w:val="FootnoteText"/>
      </w:pPr>
      <w:r>
        <w:rPr>
          <w:rStyle w:val="FootnoteReference"/>
        </w:rPr>
        <w:footnoteRef/>
      </w:r>
      <w:r>
        <w:t xml:space="preserve"> SEIA Reply Comments on Proposed Decision at 1-2.</w:t>
      </w:r>
    </w:p>
  </w:footnote>
  <w:footnote w:id="175">
    <w:p w14:paraId="2693E1AA" w14:textId="77777777" w:rsidR="006A6090" w:rsidRDefault="006A6090" w:rsidP="006A6090">
      <w:pPr>
        <w:pStyle w:val="FootnoteText"/>
      </w:pPr>
      <w:r>
        <w:rPr>
          <w:rStyle w:val="FootnoteReference"/>
        </w:rPr>
        <w:footnoteRef/>
      </w:r>
      <w:r>
        <w:t xml:space="preserve"> SEIA Opening Comments on Proposed Decision at 2, CLECA Opening Comments on Proposed Decision at 3.</w:t>
      </w:r>
    </w:p>
  </w:footnote>
  <w:footnote w:id="176">
    <w:p w14:paraId="3D3AFCE4" w14:textId="575F7C95" w:rsidR="006A6090" w:rsidRDefault="006A6090" w:rsidP="006A6090">
      <w:pPr>
        <w:pStyle w:val="FootnoteText"/>
      </w:pPr>
      <w:r>
        <w:rPr>
          <w:rStyle w:val="FootnoteReference"/>
        </w:rPr>
        <w:footnoteRef/>
      </w:r>
      <w:r>
        <w:t xml:space="preserve"> SEIA Opening Comments on Proposed Decision at 3, CLECA Opening Comments on Proposed Decision at </w:t>
      </w:r>
      <w:r w:rsidR="006615DF">
        <w:t>4</w:t>
      </w:r>
      <w:r>
        <w:t xml:space="preserve">, </w:t>
      </w:r>
      <w:r w:rsidR="005412FB">
        <w:t xml:space="preserve">CLECA Reply Comments on Proposed Decision at 3, </w:t>
      </w:r>
      <w:r>
        <w:t>SCE Opening Comments on Proposed Decision at 3</w:t>
      </w:r>
      <w:r w:rsidR="00051D93">
        <w:t>, PG&amp;E Reply Comments on Proposed Decision at 4</w:t>
      </w:r>
      <w:r>
        <w:t>.</w:t>
      </w:r>
    </w:p>
  </w:footnote>
  <w:footnote w:id="177">
    <w:p w14:paraId="238252B2" w14:textId="4B96DBC4" w:rsidR="00126DAF" w:rsidRDefault="00126DAF">
      <w:pPr>
        <w:pStyle w:val="FootnoteText"/>
      </w:pPr>
      <w:r>
        <w:rPr>
          <w:rStyle w:val="FootnoteReference"/>
        </w:rPr>
        <w:footnoteRef/>
      </w:r>
      <w:r>
        <w:t xml:space="preserve"> PCF Opening Comments on Proposed Decision at 2.</w:t>
      </w:r>
    </w:p>
  </w:footnote>
  <w:footnote w:id="178">
    <w:p w14:paraId="08BB2983" w14:textId="1EC490BF" w:rsidR="00861A39" w:rsidRDefault="00861A39">
      <w:pPr>
        <w:pStyle w:val="FootnoteText"/>
      </w:pPr>
      <w:r>
        <w:rPr>
          <w:rStyle w:val="FootnoteReference"/>
        </w:rPr>
        <w:footnoteRef/>
      </w:r>
      <w:r>
        <w:t xml:space="preserve"> SEIA Opening Comments on Proposed Decision at 4.</w:t>
      </w:r>
    </w:p>
  </w:footnote>
  <w:footnote w:id="179">
    <w:p w14:paraId="41662A5B" w14:textId="3005A068" w:rsidR="00861A39" w:rsidRDefault="00861A39">
      <w:pPr>
        <w:pStyle w:val="FootnoteText"/>
      </w:pPr>
      <w:r>
        <w:rPr>
          <w:rStyle w:val="FootnoteReference"/>
        </w:rPr>
        <w:footnoteRef/>
      </w:r>
      <w:r>
        <w:t xml:space="preserve"> SCE Reply Comments on Proposed Decision at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431F" w14:textId="4F3FE926" w:rsidR="00FE2351" w:rsidRDefault="001D443F" w:rsidP="00EE4315">
    <w:pPr>
      <w:pStyle w:val="Header"/>
      <w:tabs>
        <w:tab w:val="clear" w:pos="4680"/>
      </w:tabs>
      <w:ind w:firstLine="0"/>
      <w:rPr>
        <w:b/>
      </w:rPr>
    </w:pPr>
    <w:r>
      <w:t>R.22-11-013  ALJ/CJA</w:t>
    </w:r>
    <w:r w:rsidR="008418F0">
      <w:t>/asf</w:t>
    </w:r>
    <w:r w:rsidR="00FE2351">
      <w:tab/>
    </w:r>
  </w:p>
  <w:p w14:paraId="5C967A3D" w14:textId="77777777" w:rsidR="001D443F" w:rsidRDefault="001D443F" w:rsidP="00B3087D">
    <w:pPr>
      <w:pStyle w:val="Header"/>
      <w:tabs>
        <w:tab w:val="clear" w:pos="4680"/>
      </w:tabs>
      <w:ind w:firstLine="0"/>
      <w:rPr>
        <w:i/>
        <w:color w:val="FF0000"/>
      </w:rPr>
    </w:pPr>
  </w:p>
  <w:p w14:paraId="08A202E5" w14:textId="77777777" w:rsidR="001D443F" w:rsidRPr="00B3087D" w:rsidRDefault="001D443F"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08FC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2465EB"/>
    <w:multiLevelType w:val="hybridMultilevel"/>
    <w:tmpl w:val="58F2A58A"/>
    <w:lvl w:ilvl="0" w:tplc="15FCAB4E">
      <w:start w:val="1"/>
      <w:numFmt w:val="bullet"/>
      <w:lvlText w:val=""/>
      <w:lvlJc w:val="left"/>
      <w:pPr>
        <w:ind w:left="1080" w:hanging="360"/>
      </w:pPr>
      <w:rPr>
        <w:rFonts w:ascii="Symbol" w:hAnsi="Symbol"/>
      </w:rPr>
    </w:lvl>
    <w:lvl w:ilvl="1" w:tplc="43E075A4">
      <w:start w:val="1"/>
      <w:numFmt w:val="bullet"/>
      <w:lvlText w:val=""/>
      <w:lvlJc w:val="left"/>
      <w:pPr>
        <w:ind w:left="1080" w:hanging="360"/>
      </w:pPr>
      <w:rPr>
        <w:rFonts w:ascii="Symbol" w:hAnsi="Symbol"/>
      </w:rPr>
    </w:lvl>
    <w:lvl w:ilvl="2" w:tplc="8D9C03BE">
      <w:start w:val="1"/>
      <w:numFmt w:val="bullet"/>
      <w:lvlText w:val=""/>
      <w:lvlJc w:val="left"/>
      <w:pPr>
        <w:ind w:left="1080" w:hanging="360"/>
      </w:pPr>
      <w:rPr>
        <w:rFonts w:ascii="Symbol" w:hAnsi="Symbol"/>
      </w:rPr>
    </w:lvl>
    <w:lvl w:ilvl="3" w:tplc="104CACB6">
      <w:start w:val="1"/>
      <w:numFmt w:val="bullet"/>
      <w:lvlText w:val=""/>
      <w:lvlJc w:val="left"/>
      <w:pPr>
        <w:ind w:left="1080" w:hanging="360"/>
      </w:pPr>
      <w:rPr>
        <w:rFonts w:ascii="Symbol" w:hAnsi="Symbol"/>
      </w:rPr>
    </w:lvl>
    <w:lvl w:ilvl="4" w:tplc="622A7626">
      <w:start w:val="1"/>
      <w:numFmt w:val="bullet"/>
      <w:lvlText w:val=""/>
      <w:lvlJc w:val="left"/>
      <w:pPr>
        <w:ind w:left="1080" w:hanging="360"/>
      </w:pPr>
      <w:rPr>
        <w:rFonts w:ascii="Symbol" w:hAnsi="Symbol"/>
      </w:rPr>
    </w:lvl>
    <w:lvl w:ilvl="5" w:tplc="24EAAC58">
      <w:start w:val="1"/>
      <w:numFmt w:val="bullet"/>
      <w:lvlText w:val=""/>
      <w:lvlJc w:val="left"/>
      <w:pPr>
        <w:ind w:left="1080" w:hanging="360"/>
      </w:pPr>
      <w:rPr>
        <w:rFonts w:ascii="Symbol" w:hAnsi="Symbol"/>
      </w:rPr>
    </w:lvl>
    <w:lvl w:ilvl="6" w:tplc="51CC4E28">
      <w:start w:val="1"/>
      <w:numFmt w:val="bullet"/>
      <w:lvlText w:val=""/>
      <w:lvlJc w:val="left"/>
      <w:pPr>
        <w:ind w:left="1080" w:hanging="360"/>
      </w:pPr>
      <w:rPr>
        <w:rFonts w:ascii="Symbol" w:hAnsi="Symbol"/>
      </w:rPr>
    </w:lvl>
    <w:lvl w:ilvl="7" w:tplc="CB46B9EC">
      <w:start w:val="1"/>
      <w:numFmt w:val="bullet"/>
      <w:lvlText w:val=""/>
      <w:lvlJc w:val="left"/>
      <w:pPr>
        <w:ind w:left="1080" w:hanging="360"/>
      </w:pPr>
      <w:rPr>
        <w:rFonts w:ascii="Symbol" w:hAnsi="Symbol"/>
      </w:rPr>
    </w:lvl>
    <w:lvl w:ilvl="8" w:tplc="1EE2063E">
      <w:start w:val="1"/>
      <w:numFmt w:val="bullet"/>
      <w:lvlText w:val=""/>
      <w:lvlJc w:val="left"/>
      <w:pPr>
        <w:ind w:left="1080" w:hanging="360"/>
      </w:pPr>
      <w:rPr>
        <w:rFonts w:ascii="Symbol" w:hAnsi="Symbol"/>
      </w:rPr>
    </w:lvl>
  </w:abstractNum>
  <w:abstractNum w:abstractNumId="3"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981BCE"/>
    <w:multiLevelType w:val="multilevel"/>
    <w:tmpl w:val="D0B070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5F056CB"/>
    <w:multiLevelType w:val="multilevel"/>
    <w:tmpl w:val="18F4A5AC"/>
    <w:numStyleLink w:val="FoFCoLOP"/>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70038F"/>
    <w:multiLevelType w:val="multilevel"/>
    <w:tmpl w:val="3C526EDE"/>
    <w:numStyleLink w:val="Headings"/>
  </w:abstractNum>
  <w:abstractNum w:abstractNumId="8" w15:restartNumberingAfterBreak="0">
    <w:nsid w:val="1E2242C9"/>
    <w:multiLevelType w:val="multilevel"/>
    <w:tmpl w:val="3C526EDE"/>
    <w:numStyleLink w:val="Headings"/>
  </w:abstractNum>
  <w:abstractNum w:abstractNumId="9" w15:restartNumberingAfterBreak="0">
    <w:nsid w:val="21FB58FE"/>
    <w:multiLevelType w:val="multilevel"/>
    <w:tmpl w:val="3C526EDE"/>
    <w:numStyleLink w:val="Headings"/>
  </w:abstractNum>
  <w:abstractNum w:abstractNumId="10" w15:restartNumberingAfterBreak="0">
    <w:nsid w:val="22BF4420"/>
    <w:multiLevelType w:val="hybridMultilevel"/>
    <w:tmpl w:val="672C59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3663A0"/>
    <w:multiLevelType w:val="multilevel"/>
    <w:tmpl w:val="3C526EDE"/>
    <w:numStyleLink w:val="Headings"/>
  </w:abstractNum>
  <w:abstractNum w:abstractNumId="12" w15:restartNumberingAfterBreak="0">
    <w:nsid w:val="29253B42"/>
    <w:multiLevelType w:val="hybridMultilevel"/>
    <w:tmpl w:val="4BC4FAF8"/>
    <w:lvl w:ilvl="0" w:tplc="B75E2A4E">
      <w:start w:val="1"/>
      <w:numFmt w:val="bullet"/>
      <w:lvlText w:val=""/>
      <w:lvlJc w:val="left"/>
      <w:pPr>
        <w:ind w:left="1080" w:hanging="360"/>
      </w:pPr>
      <w:rPr>
        <w:rFonts w:ascii="Symbol" w:hAnsi="Symbol"/>
      </w:rPr>
    </w:lvl>
    <w:lvl w:ilvl="1" w:tplc="673E163C">
      <w:start w:val="1"/>
      <w:numFmt w:val="bullet"/>
      <w:lvlText w:val=""/>
      <w:lvlJc w:val="left"/>
      <w:pPr>
        <w:ind w:left="1080" w:hanging="360"/>
      </w:pPr>
      <w:rPr>
        <w:rFonts w:ascii="Symbol" w:hAnsi="Symbol"/>
      </w:rPr>
    </w:lvl>
    <w:lvl w:ilvl="2" w:tplc="454E254C">
      <w:start w:val="1"/>
      <w:numFmt w:val="bullet"/>
      <w:lvlText w:val=""/>
      <w:lvlJc w:val="left"/>
      <w:pPr>
        <w:ind w:left="1080" w:hanging="360"/>
      </w:pPr>
      <w:rPr>
        <w:rFonts w:ascii="Symbol" w:hAnsi="Symbol"/>
      </w:rPr>
    </w:lvl>
    <w:lvl w:ilvl="3" w:tplc="4AAE44BA">
      <w:start w:val="1"/>
      <w:numFmt w:val="bullet"/>
      <w:lvlText w:val=""/>
      <w:lvlJc w:val="left"/>
      <w:pPr>
        <w:ind w:left="1080" w:hanging="360"/>
      </w:pPr>
      <w:rPr>
        <w:rFonts w:ascii="Symbol" w:hAnsi="Symbol"/>
      </w:rPr>
    </w:lvl>
    <w:lvl w:ilvl="4" w:tplc="13D084AC">
      <w:start w:val="1"/>
      <w:numFmt w:val="bullet"/>
      <w:lvlText w:val=""/>
      <w:lvlJc w:val="left"/>
      <w:pPr>
        <w:ind w:left="1080" w:hanging="360"/>
      </w:pPr>
      <w:rPr>
        <w:rFonts w:ascii="Symbol" w:hAnsi="Symbol"/>
      </w:rPr>
    </w:lvl>
    <w:lvl w:ilvl="5" w:tplc="25B4B758">
      <w:start w:val="1"/>
      <w:numFmt w:val="bullet"/>
      <w:lvlText w:val=""/>
      <w:lvlJc w:val="left"/>
      <w:pPr>
        <w:ind w:left="1080" w:hanging="360"/>
      </w:pPr>
      <w:rPr>
        <w:rFonts w:ascii="Symbol" w:hAnsi="Symbol"/>
      </w:rPr>
    </w:lvl>
    <w:lvl w:ilvl="6" w:tplc="288A9032">
      <w:start w:val="1"/>
      <w:numFmt w:val="bullet"/>
      <w:lvlText w:val=""/>
      <w:lvlJc w:val="left"/>
      <w:pPr>
        <w:ind w:left="1080" w:hanging="360"/>
      </w:pPr>
      <w:rPr>
        <w:rFonts w:ascii="Symbol" w:hAnsi="Symbol"/>
      </w:rPr>
    </w:lvl>
    <w:lvl w:ilvl="7" w:tplc="52CCD2A2">
      <w:start w:val="1"/>
      <w:numFmt w:val="bullet"/>
      <w:lvlText w:val=""/>
      <w:lvlJc w:val="left"/>
      <w:pPr>
        <w:ind w:left="1080" w:hanging="360"/>
      </w:pPr>
      <w:rPr>
        <w:rFonts w:ascii="Symbol" w:hAnsi="Symbol"/>
      </w:rPr>
    </w:lvl>
    <w:lvl w:ilvl="8" w:tplc="06EA7E0E">
      <w:start w:val="1"/>
      <w:numFmt w:val="bullet"/>
      <w:lvlText w:val=""/>
      <w:lvlJc w:val="left"/>
      <w:pPr>
        <w:ind w:left="1080" w:hanging="360"/>
      </w:pPr>
      <w:rPr>
        <w:rFonts w:ascii="Symbol" w:hAnsi="Symbol"/>
      </w:rPr>
    </w:lvl>
  </w:abstractNum>
  <w:abstractNum w:abstractNumId="13" w15:restartNumberingAfterBreak="0">
    <w:nsid w:val="2B8124D7"/>
    <w:multiLevelType w:val="multilevel"/>
    <w:tmpl w:val="3C526EDE"/>
    <w:numStyleLink w:val="Headings"/>
  </w:abstractNum>
  <w:abstractNum w:abstractNumId="14"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5" w15:restartNumberingAfterBreak="0">
    <w:nsid w:val="4E640BC6"/>
    <w:multiLevelType w:val="hybridMultilevel"/>
    <w:tmpl w:val="71263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7D1C06"/>
    <w:multiLevelType w:val="hybridMultilevel"/>
    <w:tmpl w:val="7FA203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3C526EDE"/>
    <w:numStyleLink w:val="Headings"/>
  </w:abstractNum>
  <w:abstractNum w:abstractNumId="19" w15:restartNumberingAfterBreak="0">
    <w:nsid w:val="5DDF7467"/>
    <w:multiLevelType w:val="multilevel"/>
    <w:tmpl w:val="E064E8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0543F77"/>
    <w:multiLevelType w:val="hybridMultilevel"/>
    <w:tmpl w:val="13946E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A25780"/>
    <w:multiLevelType w:val="multilevel"/>
    <w:tmpl w:val="3C526EDE"/>
    <w:numStyleLink w:val="Headings"/>
  </w:abstractNum>
  <w:abstractNum w:abstractNumId="22"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C61AB1"/>
    <w:multiLevelType w:val="hybridMultilevel"/>
    <w:tmpl w:val="F0208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A0AFE"/>
    <w:multiLevelType w:val="multilevel"/>
    <w:tmpl w:val="18F4A5AC"/>
    <w:numStyleLink w:val="FoFCoLOP"/>
  </w:abstractNum>
  <w:num w:numId="1" w16cid:durableId="1354526949">
    <w:abstractNumId w:val="18"/>
  </w:num>
  <w:num w:numId="2" w16cid:durableId="140774137">
    <w:abstractNumId w:val="3"/>
  </w:num>
  <w:num w:numId="3" w16cid:durableId="1898543446">
    <w:abstractNumId w:val="17"/>
  </w:num>
  <w:num w:numId="4" w16cid:durableId="701521005">
    <w:abstractNumId w:val="5"/>
  </w:num>
  <w:num w:numId="5" w16cid:durableId="2017029027">
    <w:abstractNumId w:val="24"/>
  </w:num>
  <w:num w:numId="6" w16cid:durableId="973756952">
    <w:abstractNumId w:val="14"/>
  </w:num>
  <w:num w:numId="7" w16cid:durableId="827667741">
    <w:abstractNumId w:val="8"/>
  </w:num>
  <w:num w:numId="8" w16cid:durableId="1760327020">
    <w:abstractNumId w:val="22"/>
  </w:num>
  <w:num w:numId="9" w16cid:durableId="816924040">
    <w:abstractNumId w:val="1"/>
  </w:num>
  <w:num w:numId="10" w16cid:durableId="1817916489">
    <w:abstractNumId w:val="7"/>
  </w:num>
  <w:num w:numId="11" w16cid:durableId="291985460">
    <w:abstractNumId w:val="9"/>
  </w:num>
  <w:num w:numId="12" w16cid:durableId="467941983">
    <w:abstractNumId w:val="6"/>
  </w:num>
  <w:num w:numId="13" w16cid:durableId="712996464">
    <w:abstractNumId w:val="11"/>
  </w:num>
  <w:num w:numId="14" w16cid:durableId="1303778653">
    <w:abstractNumId w:val="13"/>
  </w:num>
  <w:num w:numId="15" w16cid:durableId="1714382259">
    <w:abstractNumId w:val="21"/>
  </w:num>
  <w:num w:numId="16" w16cid:durableId="5481076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21"/>
  </w:num>
  <w:num w:numId="18" w16cid:durableId="1616226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1033698">
    <w:abstractNumId w:val="0"/>
  </w:num>
  <w:num w:numId="20" w16cid:durableId="193009777">
    <w:abstractNumId w:val="20"/>
  </w:num>
  <w:num w:numId="21" w16cid:durableId="1062750907">
    <w:abstractNumId w:val="10"/>
  </w:num>
  <w:num w:numId="22" w16cid:durableId="1261715491">
    <w:abstractNumId w:val="16"/>
  </w:num>
  <w:num w:numId="23" w16cid:durableId="1738278942">
    <w:abstractNumId w:val="21"/>
  </w:num>
  <w:num w:numId="24" w16cid:durableId="1273317696">
    <w:abstractNumId w:val="23"/>
  </w:num>
  <w:num w:numId="25" w16cid:durableId="1602108451">
    <w:abstractNumId w:val="15"/>
  </w:num>
  <w:num w:numId="26" w16cid:durableId="700864980">
    <w:abstractNumId w:val="12"/>
  </w:num>
  <w:num w:numId="27" w16cid:durableId="2095202348">
    <w:abstractNumId w:val="2"/>
  </w:num>
  <w:num w:numId="28" w16cid:durableId="1671979055">
    <w:abstractNumId w:val="19"/>
  </w:num>
  <w:num w:numId="29" w16cid:durableId="51735550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CF"/>
    <w:rsid w:val="000008C3"/>
    <w:rsid w:val="00000F6A"/>
    <w:rsid w:val="0000455C"/>
    <w:rsid w:val="000054BC"/>
    <w:rsid w:val="0000624C"/>
    <w:rsid w:val="000078B1"/>
    <w:rsid w:val="00015DDC"/>
    <w:rsid w:val="00015E52"/>
    <w:rsid w:val="00017E74"/>
    <w:rsid w:val="00020CD9"/>
    <w:rsid w:val="00022498"/>
    <w:rsid w:val="00023E33"/>
    <w:rsid w:val="000268F2"/>
    <w:rsid w:val="00030C8D"/>
    <w:rsid w:val="00037A8B"/>
    <w:rsid w:val="00042BC1"/>
    <w:rsid w:val="00042FEC"/>
    <w:rsid w:val="0004567E"/>
    <w:rsid w:val="00045720"/>
    <w:rsid w:val="00047A01"/>
    <w:rsid w:val="00047E7A"/>
    <w:rsid w:val="000505CA"/>
    <w:rsid w:val="00051D93"/>
    <w:rsid w:val="00053942"/>
    <w:rsid w:val="00054728"/>
    <w:rsid w:val="00056A61"/>
    <w:rsid w:val="00061314"/>
    <w:rsid w:val="000631C8"/>
    <w:rsid w:val="00063D66"/>
    <w:rsid w:val="00063E86"/>
    <w:rsid w:val="00064AF8"/>
    <w:rsid w:val="00066069"/>
    <w:rsid w:val="0007115A"/>
    <w:rsid w:val="0007179A"/>
    <w:rsid w:val="00074B40"/>
    <w:rsid w:val="00074E14"/>
    <w:rsid w:val="000772A5"/>
    <w:rsid w:val="0008076E"/>
    <w:rsid w:val="000817E8"/>
    <w:rsid w:val="0008520D"/>
    <w:rsid w:val="00085243"/>
    <w:rsid w:val="000861D3"/>
    <w:rsid w:val="00086251"/>
    <w:rsid w:val="00087E0C"/>
    <w:rsid w:val="00092898"/>
    <w:rsid w:val="00095C08"/>
    <w:rsid w:val="000973C8"/>
    <w:rsid w:val="000A03B8"/>
    <w:rsid w:val="000A249D"/>
    <w:rsid w:val="000A26D1"/>
    <w:rsid w:val="000A2AA9"/>
    <w:rsid w:val="000A3DBB"/>
    <w:rsid w:val="000A4599"/>
    <w:rsid w:val="000A56F2"/>
    <w:rsid w:val="000A6E05"/>
    <w:rsid w:val="000A6F99"/>
    <w:rsid w:val="000A7126"/>
    <w:rsid w:val="000B05F7"/>
    <w:rsid w:val="000B12FA"/>
    <w:rsid w:val="000B3A6D"/>
    <w:rsid w:val="000B4C82"/>
    <w:rsid w:val="000B6970"/>
    <w:rsid w:val="000B741E"/>
    <w:rsid w:val="000B7457"/>
    <w:rsid w:val="000C08BF"/>
    <w:rsid w:val="000C2FA4"/>
    <w:rsid w:val="000C3B9A"/>
    <w:rsid w:val="000C3BFE"/>
    <w:rsid w:val="000C7F47"/>
    <w:rsid w:val="000D25A8"/>
    <w:rsid w:val="000D5426"/>
    <w:rsid w:val="000D6135"/>
    <w:rsid w:val="000D6475"/>
    <w:rsid w:val="000D6EC5"/>
    <w:rsid w:val="000D7AC6"/>
    <w:rsid w:val="000E270A"/>
    <w:rsid w:val="000E4C53"/>
    <w:rsid w:val="000E684A"/>
    <w:rsid w:val="000F1A8F"/>
    <w:rsid w:val="000F399D"/>
    <w:rsid w:val="000F48C6"/>
    <w:rsid w:val="001056BE"/>
    <w:rsid w:val="001061AE"/>
    <w:rsid w:val="00110103"/>
    <w:rsid w:val="00121089"/>
    <w:rsid w:val="00123B1E"/>
    <w:rsid w:val="00124E10"/>
    <w:rsid w:val="00126C6E"/>
    <w:rsid w:val="00126DAF"/>
    <w:rsid w:val="00130378"/>
    <w:rsid w:val="00130A91"/>
    <w:rsid w:val="001332DB"/>
    <w:rsid w:val="00133E5C"/>
    <w:rsid w:val="00134B79"/>
    <w:rsid w:val="0013529D"/>
    <w:rsid w:val="001362AD"/>
    <w:rsid w:val="0014148F"/>
    <w:rsid w:val="00142DC0"/>
    <w:rsid w:val="00145A60"/>
    <w:rsid w:val="001520BF"/>
    <w:rsid w:val="00156355"/>
    <w:rsid w:val="0016041A"/>
    <w:rsid w:val="0016095B"/>
    <w:rsid w:val="00161845"/>
    <w:rsid w:val="00161908"/>
    <w:rsid w:val="00161CBE"/>
    <w:rsid w:val="00162599"/>
    <w:rsid w:val="001637B0"/>
    <w:rsid w:val="001657ED"/>
    <w:rsid w:val="0016605B"/>
    <w:rsid w:val="00166897"/>
    <w:rsid w:val="00166B96"/>
    <w:rsid w:val="00170727"/>
    <w:rsid w:val="0017683B"/>
    <w:rsid w:val="0018118C"/>
    <w:rsid w:val="001811CD"/>
    <w:rsid w:val="00184A8F"/>
    <w:rsid w:val="00187402"/>
    <w:rsid w:val="00195362"/>
    <w:rsid w:val="00195C0D"/>
    <w:rsid w:val="00196165"/>
    <w:rsid w:val="001A105A"/>
    <w:rsid w:val="001A5C60"/>
    <w:rsid w:val="001B0F45"/>
    <w:rsid w:val="001B1440"/>
    <w:rsid w:val="001C0933"/>
    <w:rsid w:val="001C19FC"/>
    <w:rsid w:val="001C1A24"/>
    <w:rsid w:val="001C363F"/>
    <w:rsid w:val="001C4372"/>
    <w:rsid w:val="001C6E4E"/>
    <w:rsid w:val="001C7C23"/>
    <w:rsid w:val="001D0D72"/>
    <w:rsid w:val="001D443F"/>
    <w:rsid w:val="001D5BA3"/>
    <w:rsid w:val="001E082D"/>
    <w:rsid w:val="001E209C"/>
    <w:rsid w:val="001E2A62"/>
    <w:rsid w:val="001E4B24"/>
    <w:rsid w:val="001E4F3B"/>
    <w:rsid w:val="001E7FDB"/>
    <w:rsid w:val="001F2819"/>
    <w:rsid w:val="001F2DDD"/>
    <w:rsid w:val="001F5CC7"/>
    <w:rsid w:val="00200BDA"/>
    <w:rsid w:val="002016A0"/>
    <w:rsid w:val="0020290F"/>
    <w:rsid w:val="002043EC"/>
    <w:rsid w:val="00205843"/>
    <w:rsid w:val="002105F5"/>
    <w:rsid w:val="002120D0"/>
    <w:rsid w:val="00213ED2"/>
    <w:rsid w:val="00215760"/>
    <w:rsid w:val="00216051"/>
    <w:rsid w:val="002172C5"/>
    <w:rsid w:val="0022175B"/>
    <w:rsid w:val="002218F1"/>
    <w:rsid w:val="0022216B"/>
    <w:rsid w:val="0022221A"/>
    <w:rsid w:val="0022750F"/>
    <w:rsid w:val="00230376"/>
    <w:rsid w:val="00232C0D"/>
    <w:rsid w:val="00232D55"/>
    <w:rsid w:val="0023462E"/>
    <w:rsid w:val="00237393"/>
    <w:rsid w:val="00243DC0"/>
    <w:rsid w:val="00244CB2"/>
    <w:rsid w:val="00247477"/>
    <w:rsid w:val="00247B6A"/>
    <w:rsid w:val="002546C8"/>
    <w:rsid w:val="0026003B"/>
    <w:rsid w:val="0026176C"/>
    <w:rsid w:val="0026278C"/>
    <w:rsid w:val="002657E3"/>
    <w:rsid w:val="00270440"/>
    <w:rsid w:val="00270825"/>
    <w:rsid w:val="00271B45"/>
    <w:rsid w:val="002738C7"/>
    <w:rsid w:val="002741E7"/>
    <w:rsid w:val="0027631B"/>
    <w:rsid w:val="002770EB"/>
    <w:rsid w:val="00277919"/>
    <w:rsid w:val="00282F33"/>
    <w:rsid w:val="00284D8D"/>
    <w:rsid w:val="00286274"/>
    <w:rsid w:val="00287088"/>
    <w:rsid w:val="00287BC5"/>
    <w:rsid w:val="002918E9"/>
    <w:rsid w:val="00293DEE"/>
    <w:rsid w:val="0029482E"/>
    <w:rsid w:val="00295479"/>
    <w:rsid w:val="00295E61"/>
    <w:rsid w:val="00296770"/>
    <w:rsid w:val="0029727C"/>
    <w:rsid w:val="00297517"/>
    <w:rsid w:val="002A057A"/>
    <w:rsid w:val="002A0B5D"/>
    <w:rsid w:val="002A1CA7"/>
    <w:rsid w:val="002A1EA3"/>
    <w:rsid w:val="002A4288"/>
    <w:rsid w:val="002A4BED"/>
    <w:rsid w:val="002A4C73"/>
    <w:rsid w:val="002B09EB"/>
    <w:rsid w:val="002B4181"/>
    <w:rsid w:val="002B620C"/>
    <w:rsid w:val="002C4CA1"/>
    <w:rsid w:val="002C64DD"/>
    <w:rsid w:val="002C6807"/>
    <w:rsid w:val="002C760A"/>
    <w:rsid w:val="002C7FE9"/>
    <w:rsid w:val="002D0DC5"/>
    <w:rsid w:val="002D2BBC"/>
    <w:rsid w:val="002D32D1"/>
    <w:rsid w:val="002D4567"/>
    <w:rsid w:val="002D4EFD"/>
    <w:rsid w:val="002E0F4A"/>
    <w:rsid w:val="002E1453"/>
    <w:rsid w:val="002E3EAE"/>
    <w:rsid w:val="002E53C9"/>
    <w:rsid w:val="002E7396"/>
    <w:rsid w:val="002F0113"/>
    <w:rsid w:val="002F038B"/>
    <w:rsid w:val="002F1602"/>
    <w:rsid w:val="002F22DE"/>
    <w:rsid w:val="002F25F6"/>
    <w:rsid w:val="002F5C52"/>
    <w:rsid w:val="002F718A"/>
    <w:rsid w:val="00303002"/>
    <w:rsid w:val="00307248"/>
    <w:rsid w:val="003073AC"/>
    <w:rsid w:val="003101A3"/>
    <w:rsid w:val="00311A4B"/>
    <w:rsid w:val="0031240F"/>
    <w:rsid w:val="003124A0"/>
    <w:rsid w:val="00314AC9"/>
    <w:rsid w:val="00315A97"/>
    <w:rsid w:val="00316071"/>
    <w:rsid w:val="0032671A"/>
    <w:rsid w:val="00326A03"/>
    <w:rsid w:val="00331A83"/>
    <w:rsid w:val="00331E29"/>
    <w:rsid w:val="003342A5"/>
    <w:rsid w:val="00334ADC"/>
    <w:rsid w:val="00335E00"/>
    <w:rsid w:val="00342922"/>
    <w:rsid w:val="00342D2C"/>
    <w:rsid w:val="00343E5C"/>
    <w:rsid w:val="00344FB8"/>
    <w:rsid w:val="00345FB0"/>
    <w:rsid w:val="00346B57"/>
    <w:rsid w:val="00347875"/>
    <w:rsid w:val="00352160"/>
    <w:rsid w:val="00354056"/>
    <w:rsid w:val="0036017B"/>
    <w:rsid w:val="00360614"/>
    <w:rsid w:val="0036074C"/>
    <w:rsid w:val="003608FB"/>
    <w:rsid w:val="00362755"/>
    <w:rsid w:val="00362A5D"/>
    <w:rsid w:val="00362C5A"/>
    <w:rsid w:val="00363C16"/>
    <w:rsid w:val="00364DD1"/>
    <w:rsid w:val="00366BC2"/>
    <w:rsid w:val="00371BA3"/>
    <w:rsid w:val="00373B93"/>
    <w:rsid w:val="00374804"/>
    <w:rsid w:val="003759EB"/>
    <w:rsid w:val="00380CD1"/>
    <w:rsid w:val="00383ACA"/>
    <w:rsid w:val="003853E3"/>
    <w:rsid w:val="003870F1"/>
    <w:rsid w:val="0039490C"/>
    <w:rsid w:val="00395082"/>
    <w:rsid w:val="003A02CA"/>
    <w:rsid w:val="003A08C9"/>
    <w:rsid w:val="003A2BA2"/>
    <w:rsid w:val="003A38F0"/>
    <w:rsid w:val="003B4206"/>
    <w:rsid w:val="003B49A5"/>
    <w:rsid w:val="003C4BB4"/>
    <w:rsid w:val="003D3E01"/>
    <w:rsid w:val="003D608B"/>
    <w:rsid w:val="003D703C"/>
    <w:rsid w:val="003D7EAE"/>
    <w:rsid w:val="003E14F0"/>
    <w:rsid w:val="003E597D"/>
    <w:rsid w:val="003E5FFC"/>
    <w:rsid w:val="003E65E6"/>
    <w:rsid w:val="003F069A"/>
    <w:rsid w:val="003F4329"/>
    <w:rsid w:val="003F5100"/>
    <w:rsid w:val="003F75B0"/>
    <w:rsid w:val="003F7943"/>
    <w:rsid w:val="003F7EEE"/>
    <w:rsid w:val="00402F18"/>
    <w:rsid w:val="00404049"/>
    <w:rsid w:val="004054FD"/>
    <w:rsid w:val="004062AE"/>
    <w:rsid w:val="00411D4C"/>
    <w:rsid w:val="00412534"/>
    <w:rsid w:val="00412C83"/>
    <w:rsid w:val="004177AF"/>
    <w:rsid w:val="00421851"/>
    <w:rsid w:val="00421C00"/>
    <w:rsid w:val="00422DC4"/>
    <w:rsid w:val="00423E43"/>
    <w:rsid w:val="00426014"/>
    <w:rsid w:val="0042641B"/>
    <w:rsid w:val="00431F7B"/>
    <w:rsid w:val="00437BF4"/>
    <w:rsid w:val="00444B11"/>
    <w:rsid w:val="00444CA1"/>
    <w:rsid w:val="0044617E"/>
    <w:rsid w:val="00446C8F"/>
    <w:rsid w:val="00450E75"/>
    <w:rsid w:val="0045250C"/>
    <w:rsid w:val="00453623"/>
    <w:rsid w:val="00454BF4"/>
    <w:rsid w:val="00454C70"/>
    <w:rsid w:val="0046078B"/>
    <w:rsid w:val="00460B7D"/>
    <w:rsid w:val="00461A9F"/>
    <w:rsid w:val="004620B8"/>
    <w:rsid w:val="00464E73"/>
    <w:rsid w:val="00467F58"/>
    <w:rsid w:val="004702E1"/>
    <w:rsid w:val="00471B21"/>
    <w:rsid w:val="00471C0D"/>
    <w:rsid w:val="004738C5"/>
    <w:rsid w:val="00477388"/>
    <w:rsid w:val="00480CB0"/>
    <w:rsid w:val="00481B1A"/>
    <w:rsid w:val="00481EE6"/>
    <w:rsid w:val="00483603"/>
    <w:rsid w:val="00484C63"/>
    <w:rsid w:val="00486630"/>
    <w:rsid w:val="00491B5C"/>
    <w:rsid w:val="004927E7"/>
    <w:rsid w:val="00492FE1"/>
    <w:rsid w:val="00494D63"/>
    <w:rsid w:val="004A1EAD"/>
    <w:rsid w:val="004A47BE"/>
    <w:rsid w:val="004A5423"/>
    <w:rsid w:val="004A55DD"/>
    <w:rsid w:val="004A57C0"/>
    <w:rsid w:val="004A62FD"/>
    <w:rsid w:val="004B2ED3"/>
    <w:rsid w:val="004B34EA"/>
    <w:rsid w:val="004B5494"/>
    <w:rsid w:val="004C1222"/>
    <w:rsid w:val="004C7A2B"/>
    <w:rsid w:val="004C7D3A"/>
    <w:rsid w:val="004D0AB8"/>
    <w:rsid w:val="004D11E5"/>
    <w:rsid w:val="004D6043"/>
    <w:rsid w:val="004D6226"/>
    <w:rsid w:val="004E5F3A"/>
    <w:rsid w:val="004E7464"/>
    <w:rsid w:val="004F49D0"/>
    <w:rsid w:val="004F532D"/>
    <w:rsid w:val="004F7A83"/>
    <w:rsid w:val="005018A8"/>
    <w:rsid w:val="00501B25"/>
    <w:rsid w:val="005054D3"/>
    <w:rsid w:val="00505A39"/>
    <w:rsid w:val="00511B49"/>
    <w:rsid w:val="00514D9E"/>
    <w:rsid w:val="00516A67"/>
    <w:rsid w:val="00516E8D"/>
    <w:rsid w:val="00521F31"/>
    <w:rsid w:val="00522447"/>
    <w:rsid w:val="0052299C"/>
    <w:rsid w:val="00523246"/>
    <w:rsid w:val="005240BF"/>
    <w:rsid w:val="005274D0"/>
    <w:rsid w:val="005302FD"/>
    <w:rsid w:val="00530453"/>
    <w:rsid w:val="00533546"/>
    <w:rsid w:val="005412FB"/>
    <w:rsid w:val="00541F43"/>
    <w:rsid w:val="005432F3"/>
    <w:rsid w:val="00545FEB"/>
    <w:rsid w:val="0055065A"/>
    <w:rsid w:val="005511D9"/>
    <w:rsid w:val="00552E0F"/>
    <w:rsid w:val="00557DA0"/>
    <w:rsid w:val="005607D5"/>
    <w:rsid w:val="00560E3F"/>
    <w:rsid w:val="00561419"/>
    <w:rsid w:val="00562725"/>
    <w:rsid w:val="00565441"/>
    <w:rsid w:val="005666A4"/>
    <w:rsid w:val="00566E79"/>
    <w:rsid w:val="00570CCA"/>
    <w:rsid w:val="005725C8"/>
    <w:rsid w:val="0057460D"/>
    <w:rsid w:val="005811FD"/>
    <w:rsid w:val="005821BB"/>
    <w:rsid w:val="00583FB5"/>
    <w:rsid w:val="00585390"/>
    <w:rsid w:val="0059237E"/>
    <w:rsid w:val="005931E0"/>
    <w:rsid w:val="005939A5"/>
    <w:rsid w:val="005A148C"/>
    <w:rsid w:val="005A20DE"/>
    <w:rsid w:val="005A6A51"/>
    <w:rsid w:val="005A74AE"/>
    <w:rsid w:val="005B5516"/>
    <w:rsid w:val="005B7D48"/>
    <w:rsid w:val="005C0F65"/>
    <w:rsid w:val="005C295C"/>
    <w:rsid w:val="005C4DEC"/>
    <w:rsid w:val="005C4E05"/>
    <w:rsid w:val="005C58FA"/>
    <w:rsid w:val="005C715C"/>
    <w:rsid w:val="005C7166"/>
    <w:rsid w:val="005C7E73"/>
    <w:rsid w:val="005D2C28"/>
    <w:rsid w:val="005D45CE"/>
    <w:rsid w:val="005D4619"/>
    <w:rsid w:val="005D789F"/>
    <w:rsid w:val="005E1E4F"/>
    <w:rsid w:val="005E2566"/>
    <w:rsid w:val="005E5E0B"/>
    <w:rsid w:val="005F1828"/>
    <w:rsid w:val="005F3E52"/>
    <w:rsid w:val="005F5CC9"/>
    <w:rsid w:val="00602FF6"/>
    <w:rsid w:val="00603238"/>
    <w:rsid w:val="00603E71"/>
    <w:rsid w:val="0060575E"/>
    <w:rsid w:val="00606F84"/>
    <w:rsid w:val="00615A77"/>
    <w:rsid w:val="00615C1F"/>
    <w:rsid w:val="00617036"/>
    <w:rsid w:val="00622FE0"/>
    <w:rsid w:val="00624842"/>
    <w:rsid w:val="006255EB"/>
    <w:rsid w:val="00625A2D"/>
    <w:rsid w:val="006274CD"/>
    <w:rsid w:val="00632207"/>
    <w:rsid w:val="00634122"/>
    <w:rsid w:val="0063491C"/>
    <w:rsid w:val="00637DA6"/>
    <w:rsid w:val="00640B85"/>
    <w:rsid w:val="00641A5C"/>
    <w:rsid w:val="00641E42"/>
    <w:rsid w:val="0064443D"/>
    <w:rsid w:val="0064538B"/>
    <w:rsid w:val="00645A8C"/>
    <w:rsid w:val="0065039E"/>
    <w:rsid w:val="0065237B"/>
    <w:rsid w:val="00653D40"/>
    <w:rsid w:val="0065764D"/>
    <w:rsid w:val="00657AFD"/>
    <w:rsid w:val="006604F0"/>
    <w:rsid w:val="006615DF"/>
    <w:rsid w:val="00661AFE"/>
    <w:rsid w:val="0066258C"/>
    <w:rsid w:val="00662DEF"/>
    <w:rsid w:val="00662F3E"/>
    <w:rsid w:val="00667741"/>
    <w:rsid w:val="006709CF"/>
    <w:rsid w:val="0067366C"/>
    <w:rsid w:val="006736C9"/>
    <w:rsid w:val="006760E2"/>
    <w:rsid w:val="0067749F"/>
    <w:rsid w:val="00680F19"/>
    <w:rsid w:val="00683B2C"/>
    <w:rsid w:val="00690106"/>
    <w:rsid w:val="00690E04"/>
    <w:rsid w:val="00692094"/>
    <w:rsid w:val="006936AE"/>
    <w:rsid w:val="006961CC"/>
    <w:rsid w:val="006966C8"/>
    <w:rsid w:val="00697B44"/>
    <w:rsid w:val="006A0790"/>
    <w:rsid w:val="006A1DD3"/>
    <w:rsid w:val="006A5043"/>
    <w:rsid w:val="006A5B82"/>
    <w:rsid w:val="006A6090"/>
    <w:rsid w:val="006B0F7F"/>
    <w:rsid w:val="006B18D7"/>
    <w:rsid w:val="006B3DC4"/>
    <w:rsid w:val="006B4380"/>
    <w:rsid w:val="006B4D34"/>
    <w:rsid w:val="006B7412"/>
    <w:rsid w:val="006C0636"/>
    <w:rsid w:val="006C1F10"/>
    <w:rsid w:val="006C47C7"/>
    <w:rsid w:val="006C6FFA"/>
    <w:rsid w:val="006D2F7E"/>
    <w:rsid w:val="006D55AC"/>
    <w:rsid w:val="006D5AE7"/>
    <w:rsid w:val="006D665D"/>
    <w:rsid w:val="006E5E28"/>
    <w:rsid w:val="006E6574"/>
    <w:rsid w:val="006F11CE"/>
    <w:rsid w:val="006F1B0C"/>
    <w:rsid w:val="006F26D7"/>
    <w:rsid w:val="007022A2"/>
    <w:rsid w:val="00703A4D"/>
    <w:rsid w:val="00704BAA"/>
    <w:rsid w:val="007060FC"/>
    <w:rsid w:val="007078C2"/>
    <w:rsid w:val="007079E4"/>
    <w:rsid w:val="00712721"/>
    <w:rsid w:val="00713935"/>
    <w:rsid w:val="00714CF2"/>
    <w:rsid w:val="007154F3"/>
    <w:rsid w:val="007156B9"/>
    <w:rsid w:val="00716E0D"/>
    <w:rsid w:val="0071769C"/>
    <w:rsid w:val="00720494"/>
    <w:rsid w:val="00720817"/>
    <w:rsid w:val="00722850"/>
    <w:rsid w:val="00722908"/>
    <w:rsid w:val="007240FF"/>
    <w:rsid w:val="00724E45"/>
    <w:rsid w:val="00725A64"/>
    <w:rsid w:val="00725AB6"/>
    <w:rsid w:val="0072756A"/>
    <w:rsid w:val="00730EC2"/>
    <w:rsid w:val="0073353F"/>
    <w:rsid w:val="00735163"/>
    <w:rsid w:val="00735A91"/>
    <w:rsid w:val="00735CB5"/>
    <w:rsid w:val="0073652D"/>
    <w:rsid w:val="00740425"/>
    <w:rsid w:val="00742A25"/>
    <w:rsid w:val="00742E45"/>
    <w:rsid w:val="007447AF"/>
    <w:rsid w:val="00744B6C"/>
    <w:rsid w:val="00750816"/>
    <w:rsid w:val="007524FA"/>
    <w:rsid w:val="00754F3E"/>
    <w:rsid w:val="00756B59"/>
    <w:rsid w:val="007657C1"/>
    <w:rsid w:val="007718E9"/>
    <w:rsid w:val="00775B7B"/>
    <w:rsid w:val="0077755F"/>
    <w:rsid w:val="0077798A"/>
    <w:rsid w:val="00782584"/>
    <w:rsid w:val="00785364"/>
    <w:rsid w:val="0078565C"/>
    <w:rsid w:val="00794A26"/>
    <w:rsid w:val="00795856"/>
    <w:rsid w:val="00796D23"/>
    <w:rsid w:val="007A1AC1"/>
    <w:rsid w:val="007A2D91"/>
    <w:rsid w:val="007A406D"/>
    <w:rsid w:val="007A4D1E"/>
    <w:rsid w:val="007A61E2"/>
    <w:rsid w:val="007A62B0"/>
    <w:rsid w:val="007B2920"/>
    <w:rsid w:val="007B2E76"/>
    <w:rsid w:val="007B32A1"/>
    <w:rsid w:val="007B54B8"/>
    <w:rsid w:val="007B645F"/>
    <w:rsid w:val="007B67A2"/>
    <w:rsid w:val="007C0795"/>
    <w:rsid w:val="007C2F2F"/>
    <w:rsid w:val="007C3456"/>
    <w:rsid w:val="007C35D5"/>
    <w:rsid w:val="007C434F"/>
    <w:rsid w:val="007C5A0C"/>
    <w:rsid w:val="007C6D48"/>
    <w:rsid w:val="007C73D5"/>
    <w:rsid w:val="007C75C6"/>
    <w:rsid w:val="007D35F1"/>
    <w:rsid w:val="007D3A8C"/>
    <w:rsid w:val="007D5E08"/>
    <w:rsid w:val="007D6159"/>
    <w:rsid w:val="007D6EB2"/>
    <w:rsid w:val="007D7CDB"/>
    <w:rsid w:val="007E0FEE"/>
    <w:rsid w:val="007E100B"/>
    <w:rsid w:val="007E162C"/>
    <w:rsid w:val="007E4F61"/>
    <w:rsid w:val="007E6535"/>
    <w:rsid w:val="007E7C6B"/>
    <w:rsid w:val="007F0801"/>
    <w:rsid w:val="007F2017"/>
    <w:rsid w:val="007F2995"/>
    <w:rsid w:val="007F52AC"/>
    <w:rsid w:val="007F6293"/>
    <w:rsid w:val="007F7448"/>
    <w:rsid w:val="00801175"/>
    <w:rsid w:val="0080214F"/>
    <w:rsid w:val="008027A3"/>
    <w:rsid w:val="0080390E"/>
    <w:rsid w:val="00804383"/>
    <w:rsid w:val="00806984"/>
    <w:rsid w:val="00806AB6"/>
    <w:rsid w:val="0080767F"/>
    <w:rsid w:val="00807B26"/>
    <w:rsid w:val="0081102E"/>
    <w:rsid w:val="008137ED"/>
    <w:rsid w:val="00815371"/>
    <w:rsid w:val="008159CF"/>
    <w:rsid w:val="00816E05"/>
    <w:rsid w:val="0082088D"/>
    <w:rsid w:val="00820963"/>
    <w:rsid w:val="00820E66"/>
    <w:rsid w:val="00821159"/>
    <w:rsid w:val="008237C1"/>
    <w:rsid w:val="00824ECA"/>
    <w:rsid w:val="008277AF"/>
    <w:rsid w:val="00830282"/>
    <w:rsid w:val="00830B85"/>
    <w:rsid w:val="008320AA"/>
    <w:rsid w:val="00832FC0"/>
    <w:rsid w:val="008339BB"/>
    <w:rsid w:val="008352DB"/>
    <w:rsid w:val="008378AE"/>
    <w:rsid w:val="00840EEF"/>
    <w:rsid w:val="008418F0"/>
    <w:rsid w:val="00844EC0"/>
    <w:rsid w:val="008552C9"/>
    <w:rsid w:val="00855A73"/>
    <w:rsid w:val="00857D9C"/>
    <w:rsid w:val="00861395"/>
    <w:rsid w:val="008617F4"/>
    <w:rsid w:val="00861A39"/>
    <w:rsid w:val="0086419A"/>
    <w:rsid w:val="00865F46"/>
    <w:rsid w:val="00870003"/>
    <w:rsid w:val="0087023B"/>
    <w:rsid w:val="008773D9"/>
    <w:rsid w:val="00877B42"/>
    <w:rsid w:val="008813CF"/>
    <w:rsid w:val="0088412E"/>
    <w:rsid w:val="0088469A"/>
    <w:rsid w:val="00884D78"/>
    <w:rsid w:val="0088505D"/>
    <w:rsid w:val="0089168C"/>
    <w:rsid w:val="00891DB6"/>
    <w:rsid w:val="00893E3E"/>
    <w:rsid w:val="008941B5"/>
    <w:rsid w:val="008951D4"/>
    <w:rsid w:val="0089552D"/>
    <w:rsid w:val="008A01B7"/>
    <w:rsid w:val="008A08BF"/>
    <w:rsid w:val="008A0F1D"/>
    <w:rsid w:val="008A179F"/>
    <w:rsid w:val="008A17A1"/>
    <w:rsid w:val="008A3C2D"/>
    <w:rsid w:val="008A68B4"/>
    <w:rsid w:val="008B0864"/>
    <w:rsid w:val="008B175A"/>
    <w:rsid w:val="008B2471"/>
    <w:rsid w:val="008B29E0"/>
    <w:rsid w:val="008B51D1"/>
    <w:rsid w:val="008B55E2"/>
    <w:rsid w:val="008B5CA4"/>
    <w:rsid w:val="008B6301"/>
    <w:rsid w:val="008B7ABD"/>
    <w:rsid w:val="008C0365"/>
    <w:rsid w:val="008C0E8B"/>
    <w:rsid w:val="008C3CB7"/>
    <w:rsid w:val="008C437A"/>
    <w:rsid w:val="008C5519"/>
    <w:rsid w:val="008C6E13"/>
    <w:rsid w:val="008C7413"/>
    <w:rsid w:val="008C7EA0"/>
    <w:rsid w:val="008D16B7"/>
    <w:rsid w:val="008D3DB4"/>
    <w:rsid w:val="008D463D"/>
    <w:rsid w:val="008D4746"/>
    <w:rsid w:val="008D5132"/>
    <w:rsid w:val="008D5B1F"/>
    <w:rsid w:val="008D752D"/>
    <w:rsid w:val="008E1D89"/>
    <w:rsid w:val="008E4459"/>
    <w:rsid w:val="008E6480"/>
    <w:rsid w:val="008E6AE6"/>
    <w:rsid w:val="008E6E91"/>
    <w:rsid w:val="008E7649"/>
    <w:rsid w:val="008F0116"/>
    <w:rsid w:val="008F1090"/>
    <w:rsid w:val="008F143D"/>
    <w:rsid w:val="008F799F"/>
    <w:rsid w:val="00901199"/>
    <w:rsid w:val="00902305"/>
    <w:rsid w:val="009052E7"/>
    <w:rsid w:val="00907116"/>
    <w:rsid w:val="00910B41"/>
    <w:rsid w:val="00915838"/>
    <w:rsid w:val="00917BA8"/>
    <w:rsid w:val="0092206E"/>
    <w:rsid w:val="00922F97"/>
    <w:rsid w:val="00923986"/>
    <w:rsid w:val="0092606E"/>
    <w:rsid w:val="00932865"/>
    <w:rsid w:val="00941AD0"/>
    <w:rsid w:val="009437C6"/>
    <w:rsid w:val="009438D1"/>
    <w:rsid w:val="00945732"/>
    <w:rsid w:val="00946B21"/>
    <w:rsid w:val="0095141A"/>
    <w:rsid w:val="009534FA"/>
    <w:rsid w:val="00953652"/>
    <w:rsid w:val="00954257"/>
    <w:rsid w:val="00956119"/>
    <w:rsid w:val="0096116B"/>
    <w:rsid w:val="009637F1"/>
    <w:rsid w:val="009656A4"/>
    <w:rsid w:val="009718B9"/>
    <w:rsid w:val="00973968"/>
    <w:rsid w:val="0097613B"/>
    <w:rsid w:val="0098138E"/>
    <w:rsid w:val="00982558"/>
    <w:rsid w:val="00982BD7"/>
    <w:rsid w:val="0098655A"/>
    <w:rsid w:val="00987796"/>
    <w:rsid w:val="00991626"/>
    <w:rsid w:val="00993927"/>
    <w:rsid w:val="009947C4"/>
    <w:rsid w:val="009971F2"/>
    <w:rsid w:val="0099745F"/>
    <w:rsid w:val="009A1650"/>
    <w:rsid w:val="009A2066"/>
    <w:rsid w:val="009A2D1D"/>
    <w:rsid w:val="009A30F0"/>
    <w:rsid w:val="009A5877"/>
    <w:rsid w:val="009A6E36"/>
    <w:rsid w:val="009B0946"/>
    <w:rsid w:val="009B1C7B"/>
    <w:rsid w:val="009B6E11"/>
    <w:rsid w:val="009B7B39"/>
    <w:rsid w:val="009C0047"/>
    <w:rsid w:val="009C2585"/>
    <w:rsid w:val="009C49BF"/>
    <w:rsid w:val="009D0732"/>
    <w:rsid w:val="009D4000"/>
    <w:rsid w:val="009D4455"/>
    <w:rsid w:val="009E3723"/>
    <w:rsid w:val="009E6052"/>
    <w:rsid w:val="009E736C"/>
    <w:rsid w:val="009E7C7F"/>
    <w:rsid w:val="009F185B"/>
    <w:rsid w:val="009F242D"/>
    <w:rsid w:val="009F342A"/>
    <w:rsid w:val="009F4181"/>
    <w:rsid w:val="009F4C80"/>
    <w:rsid w:val="009F680C"/>
    <w:rsid w:val="009F7AA1"/>
    <w:rsid w:val="009F7D0C"/>
    <w:rsid w:val="00A02C4A"/>
    <w:rsid w:val="00A039D9"/>
    <w:rsid w:val="00A04F15"/>
    <w:rsid w:val="00A07986"/>
    <w:rsid w:val="00A07E6A"/>
    <w:rsid w:val="00A10289"/>
    <w:rsid w:val="00A126DF"/>
    <w:rsid w:val="00A14F89"/>
    <w:rsid w:val="00A16BBC"/>
    <w:rsid w:val="00A17CE0"/>
    <w:rsid w:val="00A22B7A"/>
    <w:rsid w:val="00A23432"/>
    <w:rsid w:val="00A23D48"/>
    <w:rsid w:val="00A268BE"/>
    <w:rsid w:val="00A26BAA"/>
    <w:rsid w:val="00A3350A"/>
    <w:rsid w:val="00A4120E"/>
    <w:rsid w:val="00A42306"/>
    <w:rsid w:val="00A44E8D"/>
    <w:rsid w:val="00A45CA1"/>
    <w:rsid w:val="00A46EA8"/>
    <w:rsid w:val="00A473FA"/>
    <w:rsid w:val="00A503EB"/>
    <w:rsid w:val="00A507DD"/>
    <w:rsid w:val="00A52444"/>
    <w:rsid w:val="00A52F33"/>
    <w:rsid w:val="00A53853"/>
    <w:rsid w:val="00A53C7F"/>
    <w:rsid w:val="00A55ACD"/>
    <w:rsid w:val="00A6088B"/>
    <w:rsid w:val="00A60C2F"/>
    <w:rsid w:val="00A62E05"/>
    <w:rsid w:val="00A678F7"/>
    <w:rsid w:val="00A704C3"/>
    <w:rsid w:val="00A71361"/>
    <w:rsid w:val="00A80D9F"/>
    <w:rsid w:val="00A84F22"/>
    <w:rsid w:val="00A85D27"/>
    <w:rsid w:val="00A86C77"/>
    <w:rsid w:val="00A97F3F"/>
    <w:rsid w:val="00AA09ED"/>
    <w:rsid w:val="00AA0D05"/>
    <w:rsid w:val="00AA1370"/>
    <w:rsid w:val="00AA4237"/>
    <w:rsid w:val="00AA7040"/>
    <w:rsid w:val="00AB1633"/>
    <w:rsid w:val="00AB2702"/>
    <w:rsid w:val="00AB7875"/>
    <w:rsid w:val="00AC481E"/>
    <w:rsid w:val="00AC662D"/>
    <w:rsid w:val="00AC68EE"/>
    <w:rsid w:val="00AD0AF5"/>
    <w:rsid w:val="00AD2E03"/>
    <w:rsid w:val="00AD4C5C"/>
    <w:rsid w:val="00AD5904"/>
    <w:rsid w:val="00AD5A1E"/>
    <w:rsid w:val="00AD6272"/>
    <w:rsid w:val="00AE05D8"/>
    <w:rsid w:val="00AE0DC7"/>
    <w:rsid w:val="00AE46E0"/>
    <w:rsid w:val="00AE61C7"/>
    <w:rsid w:val="00AF09DA"/>
    <w:rsid w:val="00AF17B7"/>
    <w:rsid w:val="00AF1D1F"/>
    <w:rsid w:val="00AF30A1"/>
    <w:rsid w:val="00AF5612"/>
    <w:rsid w:val="00AF7A4C"/>
    <w:rsid w:val="00AF7AEB"/>
    <w:rsid w:val="00B01F7E"/>
    <w:rsid w:val="00B02E08"/>
    <w:rsid w:val="00B03900"/>
    <w:rsid w:val="00B06D52"/>
    <w:rsid w:val="00B13B93"/>
    <w:rsid w:val="00B16C2A"/>
    <w:rsid w:val="00B16E17"/>
    <w:rsid w:val="00B178DA"/>
    <w:rsid w:val="00B2091D"/>
    <w:rsid w:val="00B21120"/>
    <w:rsid w:val="00B22D68"/>
    <w:rsid w:val="00B27049"/>
    <w:rsid w:val="00B3087D"/>
    <w:rsid w:val="00B34794"/>
    <w:rsid w:val="00B35D00"/>
    <w:rsid w:val="00B41CF4"/>
    <w:rsid w:val="00B4442F"/>
    <w:rsid w:val="00B50C51"/>
    <w:rsid w:val="00B54DEA"/>
    <w:rsid w:val="00B552ED"/>
    <w:rsid w:val="00B56458"/>
    <w:rsid w:val="00B60421"/>
    <w:rsid w:val="00B60DF1"/>
    <w:rsid w:val="00B6298F"/>
    <w:rsid w:val="00B649EC"/>
    <w:rsid w:val="00B656AA"/>
    <w:rsid w:val="00B661D3"/>
    <w:rsid w:val="00B700F3"/>
    <w:rsid w:val="00B73A50"/>
    <w:rsid w:val="00B77946"/>
    <w:rsid w:val="00B80799"/>
    <w:rsid w:val="00B815AB"/>
    <w:rsid w:val="00B81EB6"/>
    <w:rsid w:val="00B82DDB"/>
    <w:rsid w:val="00B830C4"/>
    <w:rsid w:val="00B83962"/>
    <w:rsid w:val="00B85E6C"/>
    <w:rsid w:val="00BA17A8"/>
    <w:rsid w:val="00BA3CFC"/>
    <w:rsid w:val="00BA502F"/>
    <w:rsid w:val="00BA547F"/>
    <w:rsid w:val="00BA58B7"/>
    <w:rsid w:val="00BA667A"/>
    <w:rsid w:val="00BB0243"/>
    <w:rsid w:val="00BB6D04"/>
    <w:rsid w:val="00BC0F39"/>
    <w:rsid w:val="00BC1979"/>
    <w:rsid w:val="00BC4704"/>
    <w:rsid w:val="00BC4BC1"/>
    <w:rsid w:val="00BD0CE9"/>
    <w:rsid w:val="00BD2EB3"/>
    <w:rsid w:val="00BD3322"/>
    <w:rsid w:val="00BD7A23"/>
    <w:rsid w:val="00BE0BF0"/>
    <w:rsid w:val="00BE163D"/>
    <w:rsid w:val="00BE5A75"/>
    <w:rsid w:val="00BE7922"/>
    <w:rsid w:val="00BF0002"/>
    <w:rsid w:val="00BF0755"/>
    <w:rsid w:val="00BF7E14"/>
    <w:rsid w:val="00C03C31"/>
    <w:rsid w:val="00C04136"/>
    <w:rsid w:val="00C10B5F"/>
    <w:rsid w:val="00C12134"/>
    <w:rsid w:val="00C12171"/>
    <w:rsid w:val="00C13785"/>
    <w:rsid w:val="00C15402"/>
    <w:rsid w:val="00C172A9"/>
    <w:rsid w:val="00C1756F"/>
    <w:rsid w:val="00C24086"/>
    <w:rsid w:val="00C25B33"/>
    <w:rsid w:val="00C32617"/>
    <w:rsid w:val="00C40411"/>
    <w:rsid w:val="00C45646"/>
    <w:rsid w:val="00C47A54"/>
    <w:rsid w:val="00C510A5"/>
    <w:rsid w:val="00C562F5"/>
    <w:rsid w:val="00C57712"/>
    <w:rsid w:val="00C63B70"/>
    <w:rsid w:val="00C71650"/>
    <w:rsid w:val="00C71BF5"/>
    <w:rsid w:val="00C75103"/>
    <w:rsid w:val="00C812F1"/>
    <w:rsid w:val="00C85E13"/>
    <w:rsid w:val="00C86090"/>
    <w:rsid w:val="00C878D5"/>
    <w:rsid w:val="00C9033B"/>
    <w:rsid w:val="00C90441"/>
    <w:rsid w:val="00C913A1"/>
    <w:rsid w:val="00C967B8"/>
    <w:rsid w:val="00CA1BC9"/>
    <w:rsid w:val="00CA3540"/>
    <w:rsid w:val="00CA51AE"/>
    <w:rsid w:val="00CA65BC"/>
    <w:rsid w:val="00CA71BA"/>
    <w:rsid w:val="00CB5BC2"/>
    <w:rsid w:val="00CB6204"/>
    <w:rsid w:val="00CB62E2"/>
    <w:rsid w:val="00CB704F"/>
    <w:rsid w:val="00CC29F3"/>
    <w:rsid w:val="00CC6A99"/>
    <w:rsid w:val="00CD0B84"/>
    <w:rsid w:val="00CD0EDB"/>
    <w:rsid w:val="00CD2106"/>
    <w:rsid w:val="00CD3FD4"/>
    <w:rsid w:val="00CD43A3"/>
    <w:rsid w:val="00CD47FE"/>
    <w:rsid w:val="00CD569F"/>
    <w:rsid w:val="00CE03B2"/>
    <w:rsid w:val="00CE141B"/>
    <w:rsid w:val="00CE2BB6"/>
    <w:rsid w:val="00CE6D12"/>
    <w:rsid w:val="00CE7AD6"/>
    <w:rsid w:val="00CF010E"/>
    <w:rsid w:val="00CF1DA2"/>
    <w:rsid w:val="00CF2120"/>
    <w:rsid w:val="00CF5E74"/>
    <w:rsid w:val="00CF7A1B"/>
    <w:rsid w:val="00D00AA3"/>
    <w:rsid w:val="00D04055"/>
    <w:rsid w:val="00D0504E"/>
    <w:rsid w:val="00D058A3"/>
    <w:rsid w:val="00D0614C"/>
    <w:rsid w:val="00D0723D"/>
    <w:rsid w:val="00D07F73"/>
    <w:rsid w:val="00D14844"/>
    <w:rsid w:val="00D2041C"/>
    <w:rsid w:val="00D20C24"/>
    <w:rsid w:val="00D21F5E"/>
    <w:rsid w:val="00D25ADE"/>
    <w:rsid w:val="00D367C9"/>
    <w:rsid w:val="00D43297"/>
    <w:rsid w:val="00D44DB6"/>
    <w:rsid w:val="00D45100"/>
    <w:rsid w:val="00D47DBF"/>
    <w:rsid w:val="00D50119"/>
    <w:rsid w:val="00D5451F"/>
    <w:rsid w:val="00D54FEB"/>
    <w:rsid w:val="00D561E9"/>
    <w:rsid w:val="00D60135"/>
    <w:rsid w:val="00D613A8"/>
    <w:rsid w:val="00D61737"/>
    <w:rsid w:val="00D632CE"/>
    <w:rsid w:val="00D638CF"/>
    <w:rsid w:val="00D640D3"/>
    <w:rsid w:val="00D64F11"/>
    <w:rsid w:val="00D73910"/>
    <w:rsid w:val="00D812EF"/>
    <w:rsid w:val="00D82A43"/>
    <w:rsid w:val="00D82CA9"/>
    <w:rsid w:val="00D85C17"/>
    <w:rsid w:val="00D860C0"/>
    <w:rsid w:val="00D86E56"/>
    <w:rsid w:val="00D91EAF"/>
    <w:rsid w:val="00DA0590"/>
    <w:rsid w:val="00DA24B7"/>
    <w:rsid w:val="00DA7B5D"/>
    <w:rsid w:val="00DB0EA3"/>
    <w:rsid w:val="00DB0FE0"/>
    <w:rsid w:val="00DB4881"/>
    <w:rsid w:val="00DB690A"/>
    <w:rsid w:val="00DB7978"/>
    <w:rsid w:val="00DB7B0E"/>
    <w:rsid w:val="00DB7E7F"/>
    <w:rsid w:val="00DC2A7F"/>
    <w:rsid w:val="00DD079F"/>
    <w:rsid w:val="00DD1747"/>
    <w:rsid w:val="00DD3891"/>
    <w:rsid w:val="00DD3EB3"/>
    <w:rsid w:val="00DD3FCD"/>
    <w:rsid w:val="00DD6249"/>
    <w:rsid w:val="00DD6553"/>
    <w:rsid w:val="00DE4520"/>
    <w:rsid w:val="00DE4C8A"/>
    <w:rsid w:val="00DF35B6"/>
    <w:rsid w:val="00DF4CDC"/>
    <w:rsid w:val="00DF58E7"/>
    <w:rsid w:val="00E00B9B"/>
    <w:rsid w:val="00E01857"/>
    <w:rsid w:val="00E0294C"/>
    <w:rsid w:val="00E02FF0"/>
    <w:rsid w:val="00E06863"/>
    <w:rsid w:val="00E10418"/>
    <w:rsid w:val="00E11876"/>
    <w:rsid w:val="00E16D8C"/>
    <w:rsid w:val="00E177B1"/>
    <w:rsid w:val="00E21B8B"/>
    <w:rsid w:val="00E23898"/>
    <w:rsid w:val="00E23A09"/>
    <w:rsid w:val="00E23CBB"/>
    <w:rsid w:val="00E24C5C"/>
    <w:rsid w:val="00E24DFF"/>
    <w:rsid w:val="00E27FEA"/>
    <w:rsid w:val="00E30879"/>
    <w:rsid w:val="00E31BA0"/>
    <w:rsid w:val="00E32E66"/>
    <w:rsid w:val="00E344E6"/>
    <w:rsid w:val="00E34FE1"/>
    <w:rsid w:val="00E37177"/>
    <w:rsid w:val="00E37892"/>
    <w:rsid w:val="00E37B59"/>
    <w:rsid w:val="00E40BFA"/>
    <w:rsid w:val="00E42B2A"/>
    <w:rsid w:val="00E42F79"/>
    <w:rsid w:val="00E44C13"/>
    <w:rsid w:val="00E45337"/>
    <w:rsid w:val="00E4536F"/>
    <w:rsid w:val="00E458DD"/>
    <w:rsid w:val="00E47FF5"/>
    <w:rsid w:val="00E53438"/>
    <w:rsid w:val="00E53873"/>
    <w:rsid w:val="00E53D7F"/>
    <w:rsid w:val="00E55372"/>
    <w:rsid w:val="00E5545F"/>
    <w:rsid w:val="00E570A9"/>
    <w:rsid w:val="00E57CA1"/>
    <w:rsid w:val="00E614E6"/>
    <w:rsid w:val="00E640B7"/>
    <w:rsid w:val="00E64A66"/>
    <w:rsid w:val="00E65081"/>
    <w:rsid w:val="00E65180"/>
    <w:rsid w:val="00E67198"/>
    <w:rsid w:val="00E67597"/>
    <w:rsid w:val="00E7034A"/>
    <w:rsid w:val="00E725FC"/>
    <w:rsid w:val="00E739E8"/>
    <w:rsid w:val="00E75602"/>
    <w:rsid w:val="00E7738E"/>
    <w:rsid w:val="00E8024A"/>
    <w:rsid w:val="00E83DEE"/>
    <w:rsid w:val="00E902F5"/>
    <w:rsid w:val="00E93670"/>
    <w:rsid w:val="00EA2D44"/>
    <w:rsid w:val="00EA311C"/>
    <w:rsid w:val="00EA34B9"/>
    <w:rsid w:val="00EA36C6"/>
    <w:rsid w:val="00EA446D"/>
    <w:rsid w:val="00EA51C3"/>
    <w:rsid w:val="00EB028B"/>
    <w:rsid w:val="00EB61DD"/>
    <w:rsid w:val="00EB7AF3"/>
    <w:rsid w:val="00EC1F14"/>
    <w:rsid w:val="00EC2BE9"/>
    <w:rsid w:val="00EC30F9"/>
    <w:rsid w:val="00EC3E89"/>
    <w:rsid w:val="00EC5FC4"/>
    <w:rsid w:val="00EC6671"/>
    <w:rsid w:val="00EC68B6"/>
    <w:rsid w:val="00ED10C9"/>
    <w:rsid w:val="00ED5725"/>
    <w:rsid w:val="00ED5F10"/>
    <w:rsid w:val="00ED7031"/>
    <w:rsid w:val="00ED768A"/>
    <w:rsid w:val="00EE3060"/>
    <w:rsid w:val="00EE4315"/>
    <w:rsid w:val="00EE504C"/>
    <w:rsid w:val="00EE61C7"/>
    <w:rsid w:val="00EE6A91"/>
    <w:rsid w:val="00EF08C4"/>
    <w:rsid w:val="00EF14F0"/>
    <w:rsid w:val="00EF167D"/>
    <w:rsid w:val="00EF4F0B"/>
    <w:rsid w:val="00EF6925"/>
    <w:rsid w:val="00EF6F31"/>
    <w:rsid w:val="00F0167B"/>
    <w:rsid w:val="00F01D9C"/>
    <w:rsid w:val="00F031EE"/>
    <w:rsid w:val="00F058CD"/>
    <w:rsid w:val="00F1161E"/>
    <w:rsid w:val="00F12118"/>
    <w:rsid w:val="00F14F4D"/>
    <w:rsid w:val="00F1695A"/>
    <w:rsid w:val="00F17C2B"/>
    <w:rsid w:val="00F24B1C"/>
    <w:rsid w:val="00F25282"/>
    <w:rsid w:val="00F25DCF"/>
    <w:rsid w:val="00F26ED3"/>
    <w:rsid w:val="00F27E4B"/>
    <w:rsid w:val="00F309AC"/>
    <w:rsid w:val="00F33995"/>
    <w:rsid w:val="00F3651C"/>
    <w:rsid w:val="00F3698E"/>
    <w:rsid w:val="00F37482"/>
    <w:rsid w:val="00F37995"/>
    <w:rsid w:val="00F37EEE"/>
    <w:rsid w:val="00F40D15"/>
    <w:rsid w:val="00F4357F"/>
    <w:rsid w:val="00F44220"/>
    <w:rsid w:val="00F47BE2"/>
    <w:rsid w:val="00F6098B"/>
    <w:rsid w:val="00F62B7A"/>
    <w:rsid w:val="00F6397D"/>
    <w:rsid w:val="00F64657"/>
    <w:rsid w:val="00F70436"/>
    <w:rsid w:val="00F70477"/>
    <w:rsid w:val="00F7293E"/>
    <w:rsid w:val="00F737C7"/>
    <w:rsid w:val="00F76650"/>
    <w:rsid w:val="00F8182F"/>
    <w:rsid w:val="00F90622"/>
    <w:rsid w:val="00F91183"/>
    <w:rsid w:val="00F9187B"/>
    <w:rsid w:val="00F92385"/>
    <w:rsid w:val="00F95841"/>
    <w:rsid w:val="00F9659E"/>
    <w:rsid w:val="00F972ED"/>
    <w:rsid w:val="00FA1B4F"/>
    <w:rsid w:val="00FA78F0"/>
    <w:rsid w:val="00FB0920"/>
    <w:rsid w:val="00FB15BB"/>
    <w:rsid w:val="00FB36EE"/>
    <w:rsid w:val="00FC0F46"/>
    <w:rsid w:val="00FC2583"/>
    <w:rsid w:val="00FC47D5"/>
    <w:rsid w:val="00FC47F9"/>
    <w:rsid w:val="00FC5145"/>
    <w:rsid w:val="00FC6324"/>
    <w:rsid w:val="00FC6738"/>
    <w:rsid w:val="00FD0E7A"/>
    <w:rsid w:val="00FD436C"/>
    <w:rsid w:val="00FE03E2"/>
    <w:rsid w:val="00FE2351"/>
    <w:rsid w:val="00FE270B"/>
    <w:rsid w:val="00FE337D"/>
    <w:rsid w:val="00FE5580"/>
    <w:rsid w:val="00FE6D01"/>
    <w:rsid w:val="00FE6DA8"/>
    <w:rsid w:val="00FE7FFA"/>
    <w:rsid w:val="00FF04F2"/>
    <w:rsid w:val="00FF110C"/>
    <w:rsid w:val="00FF1C02"/>
    <w:rsid w:val="00FF1C36"/>
    <w:rsid w:val="00FF1C68"/>
    <w:rsid w:val="00FF3E3F"/>
    <w:rsid w:val="00FF7E5C"/>
    <w:rsid w:val="0335740C"/>
    <w:rsid w:val="045288A9"/>
    <w:rsid w:val="141AF9AA"/>
    <w:rsid w:val="14FC333B"/>
    <w:rsid w:val="215E948B"/>
    <w:rsid w:val="285E12B0"/>
    <w:rsid w:val="290D57E9"/>
    <w:rsid w:val="2D5A1D85"/>
    <w:rsid w:val="32C56E8C"/>
    <w:rsid w:val="3720C66B"/>
    <w:rsid w:val="3AE82E5B"/>
    <w:rsid w:val="3D13CFD9"/>
    <w:rsid w:val="3EC59763"/>
    <w:rsid w:val="3F9D3FAB"/>
    <w:rsid w:val="4183A5B0"/>
    <w:rsid w:val="494C10E9"/>
    <w:rsid w:val="4A88773E"/>
    <w:rsid w:val="4E111C3A"/>
    <w:rsid w:val="4EC13B76"/>
    <w:rsid w:val="4F154754"/>
    <w:rsid w:val="5314FB78"/>
    <w:rsid w:val="5392763C"/>
    <w:rsid w:val="571EA255"/>
    <w:rsid w:val="58D94D45"/>
    <w:rsid w:val="59516FFC"/>
    <w:rsid w:val="59B30546"/>
    <w:rsid w:val="5B8DD39F"/>
    <w:rsid w:val="6BDE70AB"/>
    <w:rsid w:val="6C20A247"/>
    <w:rsid w:val="70B6A1CC"/>
    <w:rsid w:val="71132387"/>
    <w:rsid w:val="77833493"/>
    <w:rsid w:val="79F6ADAA"/>
    <w:rsid w:val="79FB2E7F"/>
    <w:rsid w:val="7DEFC0D6"/>
    <w:rsid w:val="7E4EA2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1242"/>
  <w15:chartTrackingRefBased/>
  <w15:docId w15:val="{7253B470-5A5D-4B63-8ECB-B594E315F72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E3 Footnote Text,Footnote Text1 Char,Footnote Text Char Ch,B_Footnote Text,-E Fußnotentext,footnote text,Fußnotentext Ursprung,Style 22,Footnote Text Char1 Char,Footnote Text Char Char Char,Char Char,Footnote Text Char2 Char,TBG Style,fn"/>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E3 Footnote Text Char,Footnote Text1 Char Char,Footnote Text Char Ch Char,B_Footnote Text Char,-E Fußnotentext Char,footnote text Char,Fußnotentext Ursprung Char,Style 22 Char,Footnote Text Char1 Char Char,Char Char Char,fn Char"/>
    <w:basedOn w:val="DefaultParagraphFont"/>
    <w:link w:val="FootnoteText"/>
    <w:uiPriority w:val="99"/>
    <w:rsid w:val="007657C1"/>
    <w:rPr>
      <w:rFonts w:ascii="Book Antiqua" w:hAnsi="Book Antiqua"/>
      <w:szCs w:val="20"/>
    </w:rPr>
  </w:style>
  <w:style w:type="character" w:styleId="FootnoteReference">
    <w:name w:val="footnote reference"/>
    <w:aliases w:val="B_Footnote Reference,-E Fußnotenzeichen,o,fr,Style 3,o1,o2,o3,o4,o5,o6,o11,o21,o7,Style 24,Style 17,Style 11,Style 28,Style 8,Style 13,Style 12,Style 15,Style 9,fr1,fr2,fr3,Style 18,(NECG) Footnote Reference,Style 20,Style 7,Style 19"/>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customStyle="1" w:styleId="Default">
    <w:name w:val="Default"/>
    <w:rsid w:val="0022750F"/>
    <w:pPr>
      <w:autoSpaceDE w:val="0"/>
      <w:autoSpaceDN w:val="0"/>
      <w:adjustRightInd w:val="0"/>
      <w:spacing w:after="0" w:line="240" w:lineRule="auto"/>
    </w:pPr>
    <w:rPr>
      <w:rFonts w:ascii="Book Antiqua" w:hAnsi="Book Antiqua" w:cs="Book Antiqua"/>
      <w:color w:val="000000"/>
      <w:sz w:val="24"/>
      <w:szCs w:val="24"/>
    </w:rPr>
  </w:style>
  <w:style w:type="paragraph" w:customStyle="1" w:styleId="ydpe95830f3standard">
    <w:name w:val="ydpe95830f3standard"/>
    <w:basedOn w:val="Normal"/>
    <w:rsid w:val="00A71361"/>
    <w:pPr>
      <w:spacing w:before="100" w:beforeAutospacing="1" w:after="100" w:afterAutospacing="1" w:line="240" w:lineRule="auto"/>
      <w:ind w:firstLine="0"/>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FE270B"/>
    <w:rPr>
      <w:sz w:val="16"/>
      <w:szCs w:val="16"/>
    </w:rPr>
  </w:style>
  <w:style w:type="paragraph" w:styleId="CommentText">
    <w:name w:val="annotation text"/>
    <w:basedOn w:val="Normal"/>
    <w:link w:val="CommentTextChar"/>
    <w:uiPriority w:val="99"/>
    <w:unhideWhenUsed/>
    <w:rsid w:val="00FE270B"/>
    <w:pPr>
      <w:spacing w:after="160" w:line="240" w:lineRule="auto"/>
      <w:ind w:firstLine="0"/>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FE270B"/>
    <w:rPr>
      <w:kern w:val="2"/>
      <w:sz w:val="20"/>
      <w:szCs w:val="20"/>
      <w14:ligatures w14:val="standardContextual"/>
    </w:rPr>
  </w:style>
  <w:style w:type="paragraph" w:styleId="Revision">
    <w:name w:val="Revision"/>
    <w:hidden/>
    <w:uiPriority w:val="99"/>
    <w:semiHidden/>
    <w:rsid w:val="00205843"/>
    <w:pPr>
      <w:spacing w:after="0" w:line="240" w:lineRule="auto"/>
    </w:pPr>
    <w:rPr>
      <w:rFonts w:ascii="Book Antiqua" w:hAnsi="Book Antiqua"/>
      <w:sz w:val="26"/>
    </w:rPr>
  </w:style>
  <w:style w:type="paragraph" w:styleId="CommentSubject">
    <w:name w:val="annotation subject"/>
    <w:basedOn w:val="CommentText"/>
    <w:next w:val="CommentText"/>
    <w:link w:val="CommentSubjectChar"/>
    <w:uiPriority w:val="99"/>
    <w:semiHidden/>
    <w:unhideWhenUsed/>
    <w:rsid w:val="00205843"/>
    <w:pPr>
      <w:spacing w:after="0"/>
      <w:ind w:firstLine="720"/>
    </w:pPr>
    <w:rPr>
      <w:rFonts w:ascii="Book Antiqua" w:hAnsi="Book Antiqua"/>
      <w:b/>
      <w:bCs/>
      <w:kern w:val="0"/>
      <w14:ligatures w14:val="none"/>
    </w:rPr>
  </w:style>
  <w:style w:type="character" w:customStyle="1" w:styleId="CommentSubjectChar">
    <w:name w:val="Comment Subject Char"/>
    <w:basedOn w:val="CommentTextChar"/>
    <w:link w:val="CommentSubject"/>
    <w:uiPriority w:val="99"/>
    <w:semiHidden/>
    <w:rsid w:val="00205843"/>
    <w:rPr>
      <w:rFonts w:ascii="Book Antiqua" w:hAnsi="Book Antiqua"/>
      <w:b/>
      <w:bCs/>
      <w:kern w:val="2"/>
      <w:sz w:val="20"/>
      <w:szCs w:val="20"/>
      <w14:ligatures w14:val="standardContextual"/>
    </w:rPr>
  </w:style>
  <w:style w:type="character" w:styleId="Mention">
    <w:name w:val="Mention"/>
    <w:basedOn w:val="DefaultParagraphFont"/>
    <w:uiPriority w:val="99"/>
    <w:unhideWhenUsed/>
    <w:rsid w:val="00BF0755"/>
    <w:rPr>
      <w:color w:val="2B579A"/>
      <w:shd w:val="clear" w:color="auto" w:fill="E1DFDD"/>
    </w:rPr>
  </w:style>
  <w:style w:type="character" w:styleId="UnresolvedMention">
    <w:name w:val="Unresolved Mention"/>
    <w:basedOn w:val="DefaultParagraphFont"/>
    <w:uiPriority w:val="99"/>
    <w:semiHidden/>
    <w:unhideWhenUsed/>
    <w:rsid w:val="00421C00"/>
    <w:rPr>
      <w:color w:val="605E5C"/>
      <w:shd w:val="clear" w:color="auto" w:fill="E1DFDD"/>
    </w:rPr>
  </w:style>
  <w:style w:type="character" w:customStyle="1" w:styleId="normaltextrun">
    <w:name w:val="normaltextrun"/>
    <w:basedOn w:val="DefaultParagraphFont"/>
    <w:rsid w:val="002A4288"/>
  </w:style>
  <w:style w:type="character" w:customStyle="1" w:styleId="eop">
    <w:name w:val="eop"/>
    <w:basedOn w:val="DefaultParagraphFont"/>
    <w:rsid w:val="002A4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584c501-4907-45a6-a5fc-3e0757d7aab9">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2.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3.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4.xml><?xml version="1.0" encoding="utf-8"?>
<ds:datastoreItem xmlns:ds="http://schemas.openxmlformats.org/officeDocument/2006/customXml" ds:itemID="{7597C379-5B89-4AD0-8BA1-D5A06D5A1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37</ap:Pages>
  <ap:Words>12007</ap:Words>
  <ap:Characters>68442</ap:Characters>
  <ap:Application>Microsoft Office Word</ap:Application>
  <ap:DocSecurity>0</ap:DocSecurity>
  <ap:Lines>570</ap:Lines>
  <ap:Paragraphs>160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80289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2019-07-03T23:18:00Z</cp:lastPrinted>
  <dcterms:created xsi:type="dcterms:W3CDTF">2026-09-09T15:17:44Z</dcterms:created>
  <dcterms:modified xsi:type="dcterms:W3CDTF">2026-09-09T15:17:44Z</dcterms:modified>
</cp:coreProperties>
</file>