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07E88" w:rsidR="00F174B0" w:rsidP="00E80B35" w:rsidRDefault="00F174B0" w14:paraId="25C4118F" w14:textId="09FD6DC4">
      <w:pPr>
        <w:tabs>
          <w:tab w:val="center" w:pos="4680"/>
          <w:tab w:val="right" w:pos="9360"/>
        </w:tabs>
        <w:rPr>
          <w:b/>
          <w:bCs/>
        </w:rPr>
      </w:pPr>
      <w:bookmarkStart w:name="_Toc370798910" w:id="0"/>
      <w:r>
        <w:t>ALJ/SL5/</w:t>
      </w:r>
      <w:proofErr w:type="spellStart"/>
      <w:r>
        <w:t>smt</w:t>
      </w:r>
      <w:proofErr w:type="spellEnd"/>
      <w:r>
        <w:tab/>
      </w:r>
      <w:r w:rsidR="00607E88">
        <w:tab/>
      </w:r>
      <w:r w:rsidRPr="00607E88" w:rsidR="00607E88">
        <w:rPr>
          <w:b/>
          <w:bCs/>
        </w:rPr>
        <w:t>Date of Issuance 9/10/2026</w:t>
      </w:r>
    </w:p>
    <w:p w:rsidRPr="00EE4315" w:rsidR="00607E88" w:rsidP="00E80B35" w:rsidRDefault="00607E88" w14:paraId="7DD6B523" w14:textId="77777777">
      <w:pPr>
        <w:tabs>
          <w:tab w:val="center" w:pos="4680"/>
          <w:tab w:val="right" w:pos="9360"/>
        </w:tabs>
        <w:rPr>
          <w:b/>
        </w:rPr>
      </w:pPr>
    </w:p>
    <w:p w:rsidR="00F174B0" w:rsidP="00F174B0" w:rsidRDefault="00F174B0" w14:paraId="6DE2711D" w14:textId="77777777"/>
    <w:p w:rsidRPr="00F174B0" w:rsidR="00EE4267" w:rsidP="00F174B0" w:rsidRDefault="00F174B0" w14:paraId="711BF4C1" w14:textId="537C7976">
      <w:pPr>
        <w:ind w:left="1080" w:hanging="1080"/>
      </w:pPr>
      <w:r>
        <w:t>Decision</w:t>
      </w:r>
      <w:r w:rsidR="00607E88">
        <w:t xml:space="preserve"> 26-09-005  September 3, 2026  </w:t>
      </w:r>
    </w:p>
    <w:p w:rsidRPr="000D5378" w:rsidR="00EE4267" w:rsidP="00EE4267" w:rsidRDefault="00EE4267" w14:paraId="31247D28" w14:textId="77777777">
      <w:pPr>
        <w:pStyle w:val="Header"/>
        <w:rPr>
          <w:rFonts w:ascii="Book Antiqua" w:hAnsi="Book Antiqua"/>
        </w:rPr>
      </w:pPr>
    </w:p>
    <w:p w:rsidRPr="000D5378" w:rsidR="00EE4267" w:rsidP="00EE4267" w:rsidRDefault="00EE4267" w14:paraId="5FE22E90" w14:textId="77777777">
      <w:pPr>
        <w:rPr>
          <w:rFonts w:ascii="Arial" w:hAnsi="Arial" w:cs="Arial"/>
          <w:b/>
          <w:sz w:val="24"/>
          <w:szCs w:val="24"/>
        </w:rPr>
      </w:pPr>
      <w:r w:rsidRPr="000D5378">
        <w:rPr>
          <w:rFonts w:ascii="Arial" w:hAnsi="Arial" w:cs="Arial"/>
          <w:b/>
          <w:sz w:val="24"/>
          <w:szCs w:val="24"/>
        </w:rPr>
        <w:t>BEFORE THE PUBLIC UTILITIES COMMISSION OF THE STATE OF CALIFORNIA</w:t>
      </w:r>
    </w:p>
    <w:p w:rsidRPr="000D5378" w:rsidR="00EE4267" w:rsidP="00EE4267" w:rsidRDefault="00EE4267" w14:paraId="03212BA6" w14:textId="392E38D7">
      <w:pPr>
        <w:suppressAutoHyphens/>
        <w:rPr>
          <w:rFonts w:ascii="Book Antiqua" w:hAnsi="Book Antiqua"/>
        </w:rPr>
      </w:pPr>
    </w:p>
    <w:p w:rsidRPr="000D5378" w:rsidR="004651D0" w:rsidP="00EE4267" w:rsidRDefault="004651D0" w14:paraId="3D475D48" w14:textId="77777777">
      <w:pPr>
        <w:suppressAutoHyphens/>
        <w:rPr>
          <w:rFonts w:ascii="Book Antiqua" w:hAnsi="Book Antiqua"/>
        </w:rPr>
      </w:pPr>
    </w:p>
    <w:tbl>
      <w:tblPr>
        <w:tblW w:w="0" w:type="auto"/>
        <w:tblLayout w:type="fixed"/>
        <w:tblLook w:val="0000" w:firstRow="0" w:lastRow="0" w:firstColumn="0" w:lastColumn="0" w:noHBand="0" w:noVBand="0"/>
      </w:tblPr>
      <w:tblGrid>
        <w:gridCol w:w="5148"/>
        <w:gridCol w:w="4097"/>
      </w:tblGrid>
      <w:tr w:rsidRPr="000D5378" w:rsidR="00EE4267" w:rsidTr="007E6094" w14:paraId="197C3031" w14:textId="77777777">
        <w:tc>
          <w:tcPr>
            <w:tcW w:w="5148" w:type="dxa"/>
            <w:tcBorders>
              <w:bottom w:val="single" w:color="auto" w:sz="6" w:space="0"/>
              <w:right w:val="single" w:color="auto" w:sz="6" w:space="0"/>
            </w:tcBorders>
          </w:tcPr>
          <w:p w:rsidR="00F174B0" w:rsidP="00F174B0" w:rsidRDefault="00F174B0" w14:paraId="2AEE6B0E" w14:textId="77777777">
            <w:pPr>
              <w:rPr>
                <w:rFonts w:cs="Arial"/>
                <w:szCs w:val="26"/>
              </w:rPr>
            </w:pPr>
            <w:r>
              <w:rPr>
                <w:rFonts w:cs="Arial"/>
                <w:szCs w:val="26"/>
              </w:rPr>
              <w:t xml:space="preserve">Bob Davis, </w:t>
            </w:r>
          </w:p>
          <w:p w:rsidR="00F174B0" w:rsidP="00F174B0" w:rsidRDefault="00F174B0" w14:paraId="32DAD770" w14:textId="77777777">
            <w:pPr>
              <w:jc w:val="right"/>
              <w:rPr>
                <w:rFonts w:cs="Arial"/>
                <w:szCs w:val="26"/>
              </w:rPr>
            </w:pPr>
            <w:r>
              <w:rPr>
                <w:rFonts w:cs="Arial"/>
                <w:szCs w:val="26"/>
              </w:rPr>
              <w:t xml:space="preserve">Complainant, </w:t>
            </w:r>
          </w:p>
          <w:p w:rsidR="00F174B0" w:rsidP="00F174B0" w:rsidRDefault="00F174B0" w14:paraId="1087C22D" w14:textId="77777777">
            <w:pPr>
              <w:rPr>
                <w:rFonts w:cs="Arial"/>
                <w:szCs w:val="26"/>
              </w:rPr>
            </w:pPr>
          </w:p>
          <w:p w:rsidR="00F174B0" w:rsidP="00F174B0" w:rsidRDefault="00F174B0" w14:paraId="4330EDB2" w14:textId="77777777">
            <w:pPr>
              <w:jc w:val="center"/>
              <w:rPr>
                <w:rFonts w:cs="Arial"/>
                <w:szCs w:val="26"/>
              </w:rPr>
            </w:pPr>
            <w:r>
              <w:rPr>
                <w:rFonts w:cs="Arial"/>
                <w:szCs w:val="26"/>
              </w:rPr>
              <w:t>vs.</w:t>
            </w:r>
          </w:p>
          <w:p w:rsidR="00F174B0" w:rsidP="00F174B0" w:rsidRDefault="00F174B0" w14:paraId="471BAC17" w14:textId="77777777">
            <w:pPr>
              <w:rPr>
                <w:rFonts w:cs="Arial"/>
                <w:szCs w:val="26"/>
              </w:rPr>
            </w:pPr>
          </w:p>
          <w:p w:rsidR="00F174B0" w:rsidP="00F174B0" w:rsidRDefault="00F174B0" w14:paraId="0BA5D3D0" w14:textId="77777777">
            <w:pPr>
              <w:rPr>
                <w:rFonts w:cs="Arial"/>
                <w:szCs w:val="26"/>
              </w:rPr>
            </w:pPr>
            <w:r w:rsidRPr="00A871FB">
              <w:rPr>
                <w:rFonts w:cs="Arial"/>
                <w:szCs w:val="26"/>
              </w:rPr>
              <w:t>Pacific Bell d/b/a AT&amp;T California (U1001C),</w:t>
            </w:r>
            <w:r>
              <w:rPr>
                <w:rFonts w:cs="Arial"/>
                <w:szCs w:val="26"/>
              </w:rPr>
              <w:t xml:space="preserve"> </w:t>
            </w:r>
          </w:p>
          <w:p w:rsidR="007E6094" w:rsidP="00F174B0" w:rsidRDefault="00F174B0" w14:paraId="1CE3B8B2" w14:textId="77777777">
            <w:pPr>
              <w:tabs>
                <w:tab w:val="left" w:pos="4575"/>
              </w:tabs>
              <w:jc w:val="right"/>
              <w:rPr>
                <w:rFonts w:cs="Arial"/>
                <w:szCs w:val="26"/>
              </w:rPr>
            </w:pPr>
            <w:r>
              <w:rPr>
                <w:rFonts w:cs="Arial"/>
                <w:szCs w:val="26"/>
              </w:rPr>
              <w:t>Defendants.</w:t>
            </w:r>
          </w:p>
          <w:p w:rsidRPr="000D5378" w:rsidR="00F174B0" w:rsidP="00F174B0" w:rsidRDefault="00F174B0" w14:paraId="2A9430E9" w14:textId="7BBBC32E">
            <w:pPr>
              <w:tabs>
                <w:tab w:val="left" w:pos="4575"/>
              </w:tabs>
              <w:jc w:val="right"/>
              <w:rPr>
                <w:rFonts w:ascii="Book Antiqua" w:hAnsi="Book Antiqua"/>
              </w:rPr>
            </w:pPr>
          </w:p>
        </w:tc>
        <w:tc>
          <w:tcPr>
            <w:tcW w:w="4097" w:type="dxa"/>
            <w:tcBorders>
              <w:left w:val="nil"/>
            </w:tcBorders>
          </w:tcPr>
          <w:p w:rsidR="00EE4267" w:rsidP="00EE4267" w:rsidRDefault="00EE4267" w14:paraId="12251791" w14:textId="1661D125">
            <w:pPr>
              <w:jc w:val="center"/>
              <w:rPr>
                <w:rFonts w:ascii="Book Antiqua" w:hAnsi="Book Antiqua"/>
              </w:rPr>
            </w:pPr>
          </w:p>
          <w:p w:rsidR="00F174B0" w:rsidP="00EE4267" w:rsidRDefault="00F174B0" w14:paraId="3FEFB404" w14:textId="77777777">
            <w:pPr>
              <w:jc w:val="center"/>
              <w:rPr>
                <w:rFonts w:ascii="Book Antiqua" w:hAnsi="Book Antiqua"/>
              </w:rPr>
            </w:pPr>
          </w:p>
          <w:p w:rsidR="00F174B0" w:rsidP="00EE4267" w:rsidRDefault="00F174B0" w14:paraId="6610DF50" w14:textId="77777777">
            <w:pPr>
              <w:jc w:val="center"/>
              <w:rPr>
                <w:rFonts w:ascii="Book Antiqua" w:hAnsi="Book Antiqua"/>
              </w:rPr>
            </w:pPr>
          </w:p>
          <w:p w:rsidR="00F174B0" w:rsidP="00EE4267" w:rsidRDefault="00E16F4C" w14:paraId="0492B2A2" w14:textId="1F03A397">
            <w:pPr>
              <w:jc w:val="center"/>
              <w:rPr>
                <w:rFonts w:ascii="Book Antiqua" w:hAnsi="Book Antiqua"/>
              </w:rPr>
            </w:pPr>
            <w:r>
              <w:rPr>
                <w:rFonts w:ascii="Book Antiqua" w:hAnsi="Book Antiqua"/>
              </w:rPr>
              <w:t>(ECP)</w:t>
            </w:r>
          </w:p>
          <w:p w:rsidR="007E6094" w:rsidP="00EE4267" w:rsidRDefault="00800EBD" w14:paraId="41A146F7" w14:textId="09F317E4">
            <w:pPr>
              <w:jc w:val="center"/>
              <w:rPr>
                <w:rFonts w:ascii="Book Antiqua" w:hAnsi="Book Antiqua"/>
              </w:rPr>
            </w:pPr>
            <w:r>
              <w:rPr>
                <w:rFonts w:ascii="Book Antiqua" w:hAnsi="Book Antiqua"/>
              </w:rPr>
              <w:t>Case 25-</w:t>
            </w:r>
            <w:r w:rsidR="00876C3E">
              <w:rPr>
                <w:rFonts w:ascii="Book Antiqua" w:hAnsi="Book Antiqua"/>
              </w:rPr>
              <w:t>11-004</w:t>
            </w:r>
          </w:p>
          <w:p w:rsidRPr="000D5378" w:rsidR="000B040C" w:rsidP="004D0183" w:rsidRDefault="000B040C" w14:paraId="5E951CBC" w14:textId="2A03FF88">
            <w:pPr>
              <w:jc w:val="center"/>
              <w:rPr>
                <w:rFonts w:ascii="Book Antiqua" w:hAnsi="Book Antiqua"/>
              </w:rPr>
            </w:pPr>
          </w:p>
        </w:tc>
      </w:tr>
    </w:tbl>
    <w:p w:rsidR="00EE4267" w:rsidP="00EE4267" w:rsidRDefault="00EE4267" w14:paraId="6D520032" w14:textId="77777777"/>
    <w:p w:rsidR="00800EBD" w:rsidP="00EE4267" w:rsidRDefault="00800EBD" w14:paraId="4D739507" w14:textId="77777777"/>
    <w:p w:rsidR="00F174B0" w:rsidP="00F174B0" w:rsidRDefault="00F174B0" w14:paraId="679BC328" w14:textId="7454A5BD">
      <w:pPr>
        <w:pStyle w:val="Dummy0"/>
        <w:jc w:val="center"/>
      </w:pPr>
      <w:bookmarkStart w:name="_Toc234929147" w:id="1"/>
      <w:r>
        <w:t xml:space="preserve">DECISION DISMISSING </w:t>
      </w:r>
      <w:bookmarkEnd w:id="1"/>
      <w:r>
        <w:t xml:space="preserve">EXPEDITED COMPLAINT </w:t>
      </w:r>
      <w:r>
        <w:br/>
        <w:t xml:space="preserve">PROCEEDNG </w:t>
      </w:r>
      <w:r w:rsidR="00192B99">
        <w:t>AS MOOT AND FOR FAILURE TO PROSECUTE</w:t>
      </w:r>
    </w:p>
    <w:p w:rsidR="00F174B0" w:rsidP="00F174B0" w:rsidRDefault="00F174B0" w14:paraId="5D9ABA15" w14:textId="77777777">
      <w:pPr>
        <w:pStyle w:val="Dummy0"/>
      </w:pPr>
      <w:bookmarkStart w:name="_Toc8123714" w:id="2"/>
      <w:bookmarkStart w:name="_Toc234929148" w:id="3"/>
      <w:r>
        <w:t>Summary</w:t>
      </w:r>
      <w:bookmarkEnd w:id="2"/>
      <w:bookmarkEnd w:id="3"/>
    </w:p>
    <w:p w:rsidR="00F174B0" w:rsidP="00F174B0" w:rsidRDefault="00F174B0" w14:paraId="13E1AEB1" w14:textId="5B1DCBB6">
      <w:pPr>
        <w:pStyle w:val="Standard0"/>
        <w:rPr>
          <w:rFonts w:cs="Arial"/>
          <w:szCs w:val="26"/>
        </w:rPr>
      </w:pPr>
      <w:r>
        <w:t xml:space="preserve">This decision dismisses the complaint filed by Bob Davis against </w:t>
      </w:r>
      <w:r w:rsidRPr="00A871FB">
        <w:rPr>
          <w:rFonts w:cs="Arial"/>
          <w:szCs w:val="26"/>
        </w:rPr>
        <w:t>Pacific Bell d/b/a AT&amp;T California</w:t>
      </w:r>
      <w:r>
        <w:rPr>
          <w:rFonts w:cs="Arial"/>
          <w:szCs w:val="26"/>
        </w:rPr>
        <w:t xml:space="preserve"> (AT&amp;T or Defendant) </w:t>
      </w:r>
      <w:r w:rsidR="00192B99">
        <w:rPr>
          <w:rFonts w:cs="Arial"/>
          <w:szCs w:val="26"/>
        </w:rPr>
        <w:t xml:space="preserve">As Moot and for </w:t>
      </w:r>
      <w:r w:rsidRPr="00192B99" w:rsidR="00192B99">
        <w:rPr>
          <w:rFonts w:cs="Arial"/>
          <w:szCs w:val="26"/>
        </w:rPr>
        <w:t>failure to prosecute</w:t>
      </w:r>
      <w:r w:rsidR="00192B99">
        <w:rPr>
          <w:rFonts w:cs="Arial"/>
          <w:szCs w:val="26"/>
        </w:rPr>
        <w:t>.</w:t>
      </w:r>
      <w:r>
        <w:rPr>
          <w:rFonts w:cs="Arial"/>
          <w:szCs w:val="26"/>
        </w:rPr>
        <w:t xml:space="preserve">  The Complainant’s home landline service was restored as </w:t>
      </w:r>
      <w:r w:rsidR="00324A9B">
        <w:rPr>
          <w:rFonts w:cs="Arial"/>
          <w:szCs w:val="26"/>
        </w:rPr>
        <w:t xml:space="preserve">of </w:t>
      </w:r>
      <w:r>
        <w:rPr>
          <w:rFonts w:cs="Arial"/>
          <w:szCs w:val="26"/>
        </w:rPr>
        <w:t>June 16, 2026, and the Complainant was not charged throughout the duration of the outage.  The complaint against AT&amp;T is vacated and the complaint is dismissed.</w:t>
      </w:r>
    </w:p>
    <w:p w:rsidR="00F174B0" w:rsidP="00F174B0" w:rsidRDefault="00F174B0" w14:paraId="53F787D4" w14:textId="77777777">
      <w:pPr>
        <w:pStyle w:val="Standard0"/>
      </w:pPr>
      <w:r>
        <w:rPr>
          <w:rFonts w:cs="Arial"/>
          <w:szCs w:val="26"/>
        </w:rPr>
        <w:t xml:space="preserve">This proceeding is closed. </w:t>
      </w:r>
    </w:p>
    <w:p w:rsidR="00F174B0" w:rsidP="00F174B0" w:rsidRDefault="00F174B0" w14:paraId="5A22AD73" w14:textId="77777777">
      <w:pPr>
        <w:pStyle w:val="Heading1"/>
        <w:keepLines/>
        <w:numPr>
          <w:ilvl w:val="0"/>
          <w:numId w:val="15"/>
        </w:numPr>
        <w:spacing w:before="0"/>
        <w:ind w:right="2160"/>
      </w:pPr>
      <w:bookmarkStart w:name="_Toc234929149" w:id="4"/>
      <w:r>
        <w:t>Procedural and Factual Background</w:t>
      </w:r>
      <w:bookmarkEnd w:id="4"/>
      <w:r>
        <w:t xml:space="preserve"> </w:t>
      </w:r>
    </w:p>
    <w:p w:rsidR="00F174B0" w:rsidP="00F174B0" w:rsidRDefault="00F174B0" w14:paraId="7F650205" w14:textId="57ED6CB2">
      <w:pPr>
        <w:pStyle w:val="Standard0"/>
      </w:pPr>
      <w:r>
        <w:t>Bob Davis (Complainant) filed the instant complaint against AT&amp;T on November 1</w:t>
      </w:r>
      <w:r w:rsidR="00653F22">
        <w:t>2</w:t>
      </w:r>
      <w:r>
        <w:t xml:space="preserve">, 2025, pursuant to Rule 4.6 of the Commission’s Rules of Practice </w:t>
      </w:r>
      <w:r>
        <w:lastRenderedPageBreak/>
        <w:t>and Procedure (Rule or Rules).</w:t>
      </w:r>
      <w:r>
        <w:rPr>
          <w:rStyle w:val="FootnoteReference"/>
        </w:rPr>
        <w:footnoteReference w:id="2"/>
      </w:r>
      <w:r>
        <w:t xml:space="preserve">  Complainant alleges that AT&amp;T disconnected his home landline service and has yet to restore it.</w:t>
      </w:r>
    </w:p>
    <w:p w:rsidR="00F174B0" w:rsidP="00F174B0" w:rsidRDefault="00F174B0" w14:paraId="610B7393" w14:textId="77777777">
      <w:pPr>
        <w:pStyle w:val="Standard0"/>
      </w:pPr>
      <w:r>
        <w:t xml:space="preserve">Complainant alleges that on September 15, 2025, AT&amp;T disconnected his home landline telephone service.  Complainant alleges he contacted AT&amp;T customer service more than a dozen times and was told contradictory information regarding his landline outage.  Complainant alleges he was told his home phone outage was due to either: (1) cable theft; (2) construction site cutting the cable; and (3) a line down.  Complainant requests for the timely restoration of his landline service and to not be charged during the duration of the outage.   </w:t>
      </w:r>
    </w:p>
    <w:p w:rsidR="00F174B0" w:rsidP="00F174B0" w:rsidRDefault="00F174B0" w14:paraId="0F5DAEB0" w14:textId="27D359BE">
      <w:pPr>
        <w:pStyle w:val="Standard0"/>
      </w:pPr>
      <w:r>
        <w:t xml:space="preserve">On December 19, 2025, AT&amp;T timely filed its Answer.  In the Answer, AT&amp;T notes that it investigated the Complainant’s landline outage and confirmed that the outage was due to copper theft and vandalism.  AT&amp;T </w:t>
      </w:r>
      <w:r w:rsidR="00782AB6">
        <w:t xml:space="preserve">noted </w:t>
      </w:r>
      <w:r>
        <w:t>that it expected service restoration on or about January 28, 2026, and that it would provide billing adjustments to the Complainant until full service was restored.</w:t>
      </w:r>
    </w:p>
    <w:p w:rsidR="00F174B0" w:rsidP="00F174B0" w:rsidRDefault="00F174B0" w14:paraId="18035913" w14:textId="77777777">
      <w:pPr>
        <w:pStyle w:val="Heading2"/>
        <w:keepLines/>
        <w:tabs>
          <w:tab w:val="num" w:pos="1080"/>
        </w:tabs>
        <w:spacing w:before="0"/>
        <w:ind w:left="1080" w:right="2160"/>
      </w:pPr>
      <w:bookmarkStart w:name="_Toc234929150" w:id="5"/>
      <w:r>
        <w:t>Hearing Preferences</w:t>
      </w:r>
      <w:bookmarkEnd w:id="5"/>
      <w:r>
        <w:t xml:space="preserve"> </w:t>
      </w:r>
    </w:p>
    <w:p w:rsidR="00F174B0" w:rsidP="00F174B0" w:rsidRDefault="00F174B0" w14:paraId="537CFE26" w14:textId="77777777">
      <w:pPr>
        <w:pStyle w:val="Standard0"/>
      </w:pPr>
      <w:r>
        <w:t xml:space="preserve">Before a hearing could be scheduled, the Complainant phoned both the Commission’s Public Advisor’s Office and the Chief Administrative Law Judge (ALJ) to inquire </w:t>
      </w:r>
      <w:proofErr w:type="gramStart"/>
      <w:r>
        <w:t>on</w:t>
      </w:r>
      <w:proofErr w:type="gramEnd"/>
      <w:r>
        <w:t xml:space="preserve"> the status of this case.</w:t>
      </w:r>
      <w:r>
        <w:rPr>
          <w:rStyle w:val="FootnoteReference"/>
        </w:rPr>
        <w:footnoteReference w:id="3"/>
      </w:r>
      <w:r>
        <w:t xml:space="preserve">  The Complainant explained he does not have email or access to a computer.  Considering the Complainant’s proximity to the Commission’s Los Angeles Office, and the fact he does not have </w:t>
      </w:r>
      <w:r>
        <w:lastRenderedPageBreak/>
        <w:t xml:space="preserve">access to a computer, an in-person hearing at the Commission’s Los Angeles Office was noticed.  </w:t>
      </w:r>
    </w:p>
    <w:p w:rsidR="00F174B0" w:rsidP="00F174B0" w:rsidRDefault="00F174B0" w14:paraId="7D2EE63F" w14:textId="703C6CC5">
      <w:pPr>
        <w:pStyle w:val="Standard0"/>
      </w:pPr>
      <w:r>
        <w:t xml:space="preserve">On March 23, 2026, the assigned ALJ issued a ruling noticing an evidentiary hearing in this case for Thursday April 9, 2026 at the Commission’s Los Angeles Office.  The ruling also provided instructions on how to submit exhibits and directed the Commission’s Process Office to mail the ruling to the Complainant at the </w:t>
      </w:r>
      <w:r w:rsidR="00782AB6">
        <w:t xml:space="preserve">physical </w:t>
      </w:r>
      <w:r>
        <w:t>address listed on the service list to the proceeding.  On March 30, 2026, the Complainant spoke with a member of the Commission’s Public Advisor’s Office expressing that he could not attend the April 9</w:t>
      </w:r>
      <w:r w:rsidRPr="00797C88">
        <w:rPr>
          <w:vertAlign w:val="superscript"/>
        </w:rPr>
        <w:t>th</w:t>
      </w:r>
      <w:r>
        <w:t xml:space="preserve"> hearing, and that he would not attend anything in-person.  On April 1, 2026 the assigned ALJ issued a ruling notifying both the Complainant and Defendant that the April 9, 2026 hearing would be rescheduled.  The April 1</w:t>
      </w:r>
      <w:r w:rsidRPr="00797C88">
        <w:rPr>
          <w:vertAlign w:val="superscript"/>
        </w:rPr>
        <w:t>st</w:t>
      </w:r>
      <w:r>
        <w:t xml:space="preserve"> ALJ Ruling directed the Complainant and Defendant to meet and confer to propose at least </w:t>
      </w:r>
      <w:r w:rsidR="00782AB6">
        <w:t xml:space="preserve">four </w:t>
      </w:r>
      <w:r>
        <w:t>dates and times that would be suitable for a hearing in this proceeding.  The April 1</w:t>
      </w:r>
      <w:r w:rsidRPr="00797C88">
        <w:rPr>
          <w:vertAlign w:val="superscript"/>
        </w:rPr>
        <w:t>st</w:t>
      </w:r>
      <w:r>
        <w:t xml:space="preserve"> ALJ Ruling </w:t>
      </w:r>
      <w:r w:rsidR="00782AB6">
        <w:t xml:space="preserve">also </w:t>
      </w:r>
      <w:r>
        <w:t>asked if parties would be amenable to a hearing conducted virtually on the Commission’s Webex platform which has both a video and call-in option.</w:t>
      </w:r>
    </w:p>
    <w:p w:rsidR="00F174B0" w:rsidP="00F174B0" w:rsidRDefault="00F174B0" w14:paraId="0B43F50D" w14:textId="64491858">
      <w:pPr>
        <w:pStyle w:val="Standard0"/>
      </w:pPr>
      <w:r>
        <w:t xml:space="preserve">On April 10, 2026 the Defendant filed a Response on behalf of AT&amp;T and the Complainant, </w:t>
      </w:r>
      <w:r w:rsidR="00192B99">
        <w:t>providing three</w:t>
      </w:r>
      <w:r>
        <w:t xml:space="preserve"> amendable dates for a hearing to occur.  The April 10</w:t>
      </w:r>
      <w:r w:rsidRPr="004441E4">
        <w:rPr>
          <w:vertAlign w:val="superscript"/>
        </w:rPr>
        <w:t>th</w:t>
      </w:r>
      <w:r>
        <w:t xml:space="preserve"> Response indicated that parties agreed for the hearing to be conducted on the Commission’s virtual </w:t>
      </w:r>
      <w:proofErr w:type="spellStart"/>
      <w:r>
        <w:t>WebEx</w:t>
      </w:r>
      <w:proofErr w:type="spellEnd"/>
      <w:r>
        <w:t xml:space="preserve"> platform with both a call-in and video option.  After reviewing the April 10</w:t>
      </w:r>
      <w:r w:rsidRPr="00BD6697">
        <w:rPr>
          <w:vertAlign w:val="superscript"/>
        </w:rPr>
        <w:t>th</w:t>
      </w:r>
      <w:r>
        <w:t xml:space="preserve"> filing, the assigned ALJ issued a ruling setting an evidentiary hearing for May 11, 2026, at 1:00 p.m. via the Commission’s </w:t>
      </w:r>
      <w:proofErr w:type="spellStart"/>
      <w:r>
        <w:t>WebEx</w:t>
      </w:r>
      <w:proofErr w:type="spellEnd"/>
      <w:r>
        <w:t xml:space="preserve"> platform.</w:t>
      </w:r>
      <w:r>
        <w:rPr>
          <w:rStyle w:val="FootnoteReference"/>
        </w:rPr>
        <w:footnoteReference w:id="4"/>
      </w:r>
      <w:r>
        <w:t xml:space="preserve">  </w:t>
      </w:r>
    </w:p>
    <w:p w:rsidR="00F174B0" w:rsidP="00F174B0" w:rsidRDefault="00F174B0" w14:paraId="491CB86F" w14:textId="77777777">
      <w:pPr>
        <w:pStyle w:val="Heading2"/>
        <w:keepLines/>
        <w:tabs>
          <w:tab w:val="num" w:pos="1080"/>
        </w:tabs>
        <w:spacing w:before="0"/>
        <w:ind w:left="1080" w:right="2160"/>
      </w:pPr>
      <w:bookmarkStart w:name="_Toc234929151" w:id="6"/>
      <w:r>
        <w:lastRenderedPageBreak/>
        <w:t>May 11, 2026 Evidentiary Hearing</w:t>
      </w:r>
      <w:bookmarkEnd w:id="6"/>
      <w:r>
        <w:t xml:space="preserve"> </w:t>
      </w:r>
    </w:p>
    <w:p w:rsidR="00F174B0" w:rsidP="00F174B0" w:rsidRDefault="00F174B0" w14:paraId="6DDC4374" w14:textId="76190B25">
      <w:pPr>
        <w:pStyle w:val="Standard0"/>
      </w:pPr>
      <w:r w:rsidRPr="004441E4">
        <w:t>On Monday May 11, 2026, the Complainant and Defendant attended a hearing via the Commission’s Webex platform.</w:t>
      </w:r>
      <w:r>
        <w:t xml:space="preserve"> </w:t>
      </w:r>
      <w:r w:rsidRPr="004441E4">
        <w:t xml:space="preserve"> The hearing last</w:t>
      </w:r>
      <w:r w:rsidR="00FE7B80">
        <w:t>ed</w:t>
      </w:r>
      <w:r w:rsidRPr="004441E4">
        <w:t xml:space="preserve"> approximately 1 hour and focused on the Complainant’s underlying grievance:</w:t>
      </w:r>
      <w:r>
        <w:t xml:space="preserve"> </w:t>
      </w:r>
      <w:r w:rsidRPr="004441E4">
        <w:t xml:space="preserve">that his home landline service has been out of service for a length of time. </w:t>
      </w:r>
      <w:r>
        <w:t xml:space="preserve"> </w:t>
      </w:r>
      <w:r w:rsidRPr="004441E4">
        <w:t>The Defendant estimated the Complainant’s landline would be restored by the end of May 2026. Accordingly, the Parties agreed to a continuance until June 2026 to follow-up on the status of the Complainant’s landline service restoration.</w:t>
      </w:r>
      <w:r>
        <w:t xml:space="preserve">  The Assigned ALJ issued a ruling on May 18, 2026 to memorialize</w:t>
      </w:r>
      <w:r w:rsidR="00782AB6">
        <w:t xml:space="preserve"> the discussion at the May 11</w:t>
      </w:r>
      <w:r w:rsidRPr="00E65A75" w:rsidR="00782AB6">
        <w:rPr>
          <w:vertAlign w:val="superscript"/>
        </w:rPr>
        <w:t>th</w:t>
      </w:r>
      <w:r w:rsidR="00782AB6">
        <w:t xml:space="preserve"> hearing,</w:t>
      </w:r>
      <w:r>
        <w:t xml:space="preserve"> and</w:t>
      </w:r>
      <w:r w:rsidR="00782AB6">
        <w:t xml:space="preserve"> to</w:t>
      </w:r>
      <w:r>
        <w:t xml:space="preserve"> notice a continuation hearing for June 9, 2026.  </w:t>
      </w:r>
      <w:proofErr w:type="gramStart"/>
      <w:r>
        <w:t>The May</w:t>
      </w:r>
      <w:proofErr w:type="gramEnd"/>
      <w:r>
        <w:t xml:space="preserve"> 18, 2026, ruling directed service of the ruling to the Complainant via hardcopy mail</w:t>
      </w:r>
      <w:r w:rsidR="00782AB6">
        <w:t xml:space="preserve"> at the physical address listed on the service list for this proceeding</w:t>
      </w:r>
      <w:r>
        <w:t>.</w:t>
      </w:r>
      <w:r w:rsidRPr="004441E4">
        <w:t xml:space="preserve"> </w:t>
      </w:r>
      <w:bookmarkStart w:name="_Toc8123718" w:id="7"/>
    </w:p>
    <w:p w:rsidR="00F174B0" w:rsidP="00F174B0" w:rsidRDefault="00F174B0" w14:paraId="36149DC5" w14:textId="77777777">
      <w:pPr>
        <w:pStyle w:val="Heading2"/>
        <w:keepLines/>
        <w:tabs>
          <w:tab w:val="num" w:pos="1080"/>
        </w:tabs>
        <w:spacing w:before="0"/>
        <w:ind w:left="1080" w:right="2160"/>
      </w:pPr>
      <w:bookmarkStart w:name="_Toc234929152" w:id="8"/>
      <w:r>
        <w:t>June 9, 2026 Continuance Hearing</w:t>
      </w:r>
      <w:bookmarkEnd w:id="8"/>
    </w:p>
    <w:p w:rsidR="00F174B0" w:rsidP="00F174B0" w:rsidRDefault="00F174B0" w14:paraId="4FF5664F" w14:textId="78CF1FD2">
      <w:pPr>
        <w:pStyle w:val="Standard0"/>
      </w:pPr>
      <w:r w:rsidRPr="00F22B94">
        <w:t xml:space="preserve">On June 9, 2026, at 1:00 p.m. </w:t>
      </w:r>
      <w:r>
        <w:t>the continuation hearing was held via</w:t>
      </w:r>
      <w:r w:rsidRPr="00F22B94">
        <w:t xml:space="preserve"> the Commission’s Webex Platform. </w:t>
      </w:r>
      <w:r>
        <w:t xml:space="preserve"> </w:t>
      </w:r>
      <w:r w:rsidRPr="00F22B94">
        <w:t xml:space="preserve">The Defendant (AT&amp;T) was present from 1:00 pm to 1:20 pm and relayed that the Complainant’s home phone service had been restored as of June 4, 2026. </w:t>
      </w:r>
      <w:r>
        <w:t xml:space="preserve"> </w:t>
      </w:r>
      <w:r w:rsidRPr="00F22B94">
        <w:t xml:space="preserve">Because the Complainant was absent, the </w:t>
      </w:r>
      <w:r>
        <w:t>ALJ</w:t>
      </w:r>
      <w:r w:rsidRPr="00F22B94">
        <w:t xml:space="preserve"> stated she would document the conversation via ruling and would end the hearing. </w:t>
      </w:r>
      <w:r>
        <w:t xml:space="preserve"> </w:t>
      </w:r>
      <w:r w:rsidRPr="00F22B94">
        <w:t xml:space="preserve">At 1:55pm the Complainant reached out to the Chief ALJ and indicated they were having difficulties calling into the hearing. </w:t>
      </w:r>
      <w:r>
        <w:t xml:space="preserve"> </w:t>
      </w:r>
      <w:r w:rsidRPr="00F22B94">
        <w:t>At 1:59</w:t>
      </w:r>
      <w:r>
        <w:t xml:space="preserve"> </w:t>
      </w:r>
      <w:r w:rsidRPr="00F22B94">
        <w:t xml:space="preserve">pm the assigned ALJ </w:t>
      </w:r>
      <w:r>
        <w:br/>
      </w:r>
      <w:r w:rsidRPr="00F22B94">
        <w:t>re-opened the hearing for the Complainant to join. The Complainant was present from 1:59</w:t>
      </w:r>
      <w:r>
        <w:t xml:space="preserve"> </w:t>
      </w:r>
      <w:r w:rsidRPr="00F22B94">
        <w:t xml:space="preserve">pm to 2:10 pm and expressed frustration at their continued home landline outage. </w:t>
      </w:r>
      <w:r>
        <w:t xml:space="preserve"> </w:t>
      </w:r>
      <w:r w:rsidRPr="00F22B94">
        <w:t xml:space="preserve">The Complainant became increasingly upset and </w:t>
      </w:r>
      <w:proofErr w:type="gramStart"/>
      <w:r w:rsidRPr="00F22B94">
        <w:t>hung</w:t>
      </w:r>
      <w:r w:rsidR="00782AB6">
        <w:t>-</w:t>
      </w:r>
      <w:r w:rsidRPr="00F22B94">
        <w:t>up</w:t>
      </w:r>
      <w:proofErr w:type="gramEnd"/>
      <w:r w:rsidRPr="00F22B94">
        <w:t xml:space="preserve"> on the assigned ALJ</w:t>
      </w:r>
      <w:r>
        <w:t>.  The assigned ALJ issued a ruling on June 10, 2026 memorializing the June 9</w:t>
      </w:r>
      <w:r w:rsidRPr="00F22B94">
        <w:rPr>
          <w:vertAlign w:val="superscript"/>
        </w:rPr>
        <w:t>th</w:t>
      </w:r>
      <w:r>
        <w:t xml:space="preserve"> </w:t>
      </w:r>
      <w:r w:rsidR="00782AB6">
        <w:t xml:space="preserve">discussion </w:t>
      </w:r>
      <w:r>
        <w:t xml:space="preserve">and continuing the matter until June 30, </w:t>
      </w:r>
      <w:r>
        <w:lastRenderedPageBreak/>
        <w:t xml:space="preserve">2026.  </w:t>
      </w:r>
      <w:r w:rsidR="00782AB6">
        <w:t xml:space="preserve">Considering the </w:t>
      </w:r>
      <w:r w:rsidR="00192B99">
        <w:t>Complainant’s</w:t>
      </w:r>
      <w:r w:rsidR="00782AB6">
        <w:t xml:space="preserve"> statements that his home landline continued to be out, t</w:t>
      </w:r>
      <w:r>
        <w:t>he June 10</w:t>
      </w:r>
      <w:r w:rsidRPr="00F22B94">
        <w:rPr>
          <w:vertAlign w:val="superscript"/>
        </w:rPr>
        <w:t>th</w:t>
      </w:r>
      <w:r>
        <w:t xml:space="preserve"> ALJ Ruling directed the Defendant to provide:  (1) an attestation as to when the Complainant’s home phone service should be restored; and (2) updated billing information to show what credits were being applied to the Complainant’s account throughout the duration of his home landline outage.</w:t>
      </w:r>
      <w:r>
        <w:rPr>
          <w:rStyle w:val="FootnoteReference"/>
        </w:rPr>
        <w:footnoteReference w:id="5"/>
      </w:r>
      <w:r>
        <w:t xml:space="preserve">  Th</w:t>
      </w:r>
      <w:r w:rsidR="00192B99">
        <w:t>e</w:t>
      </w:r>
      <w:r>
        <w:t xml:space="preserve"> ruling directed the Commission’s Process Office to mail, </w:t>
      </w:r>
      <w:r w:rsidRPr="00E65A75">
        <w:rPr>
          <w:u w:val="single"/>
        </w:rPr>
        <w:t>via certified mail</w:t>
      </w:r>
      <w:r>
        <w:t>, the June 10</w:t>
      </w:r>
      <w:r w:rsidRPr="00F22B94">
        <w:rPr>
          <w:vertAlign w:val="superscript"/>
        </w:rPr>
        <w:t>th</w:t>
      </w:r>
      <w:r>
        <w:t xml:space="preserve"> ALJ Ruling, in addition to all prior rulings in the proceeding to the Complainant at the physical address listed on the service list for this proceeding.</w:t>
      </w:r>
      <w:r>
        <w:rPr>
          <w:rStyle w:val="FootnoteReference"/>
        </w:rPr>
        <w:footnoteReference w:id="6"/>
      </w:r>
    </w:p>
    <w:p w:rsidR="00F174B0" w:rsidP="00F174B0" w:rsidRDefault="00F174B0" w14:paraId="1462B314" w14:textId="77777777">
      <w:pPr>
        <w:pStyle w:val="Heading2"/>
        <w:keepLines/>
        <w:tabs>
          <w:tab w:val="num" w:pos="1080"/>
        </w:tabs>
        <w:spacing w:before="0"/>
        <w:ind w:left="1080" w:right="2160"/>
      </w:pPr>
      <w:bookmarkStart w:name="_Toc234929153" w:id="9"/>
      <w:r>
        <w:t>June 30, 2026 Continuance Hearing</w:t>
      </w:r>
      <w:bookmarkEnd w:id="9"/>
    </w:p>
    <w:p w:rsidR="00F174B0" w:rsidP="00F174B0" w:rsidRDefault="00F174B0" w14:paraId="297CB998" w14:textId="77777777">
      <w:pPr>
        <w:pStyle w:val="Standard0"/>
      </w:pPr>
      <w:r>
        <w:t>On June 30, 2026, the assigned ALJ convened a continuation hearing in this matter.  The Defendant was the only party present.  The assigned ALJ had a staff member call the Complainant to see if they planned on attending the hearing, and the Complainant indicated he would not and would no longer participate in this matter.</w:t>
      </w:r>
    </w:p>
    <w:p w:rsidR="00F174B0" w:rsidP="00F174B0" w:rsidRDefault="00F174B0" w14:paraId="30E8BFF5" w14:textId="77777777">
      <w:pPr>
        <w:pStyle w:val="Heading2"/>
        <w:keepLines/>
        <w:tabs>
          <w:tab w:val="num" w:pos="1080"/>
        </w:tabs>
        <w:spacing w:before="0"/>
        <w:ind w:left="1080" w:right="2160"/>
      </w:pPr>
      <w:bookmarkStart w:name="_Toc234929154" w:id="10"/>
      <w:r>
        <w:t>Documents Filed</w:t>
      </w:r>
      <w:bookmarkEnd w:id="10"/>
      <w:r>
        <w:t xml:space="preserve"> </w:t>
      </w:r>
    </w:p>
    <w:p w:rsidR="00F174B0" w:rsidP="00F174B0" w:rsidRDefault="00F174B0" w14:paraId="6C18D545" w14:textId="762E5FC6">
      <w:pPr>
        <w:pStyle w:val="Standard0"/>
      </w:pPr>
      <w:r>
        <w:t xml:space="preserve">The only document the Complainant filed in this proceeding is the filled-out Expedited Complaint Form, </w:t>
      </w:r>
      <w:r w:rsidRPr="00BC43D8">
        <w:rPr>
          <w:u w:val="single"/>
        </w:rPr>
        <w:t>without</w:t>
      </w:r>
      <w:r>
        <w:t xml:space="preserve"> attachments.  The documents the Defendant filed in this proceeding </w:t>
      </w:r>
      <w:proofErr w:type="gramStart"/>
      <w:r>
        <w:t>are:</w:t>
      </w:r>
      <w:proofErr w:type="gramEnd"/>
      <w:r>
        <w:t xml:space="preserve"> Answer; Response April 10, 2026; Response June 1, 2026; and Response June 29, 2026.  </w:t>
      </w:r>
    </w:p>
    <w:p w:rsidR="00F174B0" w:rsidP="00F174B0" w:rsidRDefault="00F174B0" w14:paraId="0FBAABE9" w14:textId="77777777">
      <w:pPr>
        <w:pStyle w:val="Heading2"/>
        <w:keepLines/>
        <w:tabs>
          <w:tab w:val="num" w:pos="1080"/>
        </w:tabs>
        <w:spacing w:before="0"/>
        <w:ind w:left="1080" w:right="2160"/>
      </w:pPr>
      <w:bookmarkStart w:name="_Toc234929155" w:id="11"/>
      <w:r>
        <w:t>Response and Attestation</w:t>
      </w:r>
      <w:bookmarkEnd w:id="11"/>
      <w:r>
        <w:t xml:space="preserve">  </w:t>
      </w:r>
    </w:p>
    <w:p w:rsidR="00F174B0" w:rsidP="00F174B0" w:rsidRDefault="00F174B0" w14:paraId="0761B63B" w14:textId="32984BDC">
      <w:pPr>
        <w:pStyle w:val="Standard0"/>
      </w:pPr>
      <w:r>
        <w:t xml:space="preserve">The June 29, 2026 Response includes an attestation from AT&amp;T as to the Complainant’s home phone service status and updated billing/account </w:t>
      </w:r>
      <w:r>
        <w:lastRenderedPageBreak/>
        <w:t xml:space="preserve">information.  The Defendant details the following: </w:t>
      </w:r>
      <w:r w:rsidRPr="008B6BE1">
        <w:rPr>
          <w:i/>
          <w:iCs/>
        </w:rPr>
        <w:t>on June 16, 2026 an Associate Director in the Access Construction and Engineering Department dispatched an AT&amp;T employee to the Complainant’s home to test whether the Complainant’s telephone was operational.</w:t>
      </w:r>
      <w:r w:rsidRPr="008B6BE1">
        <w:rPr>
          <w:rStyle w:val="FootnoteReference"/>
          <w:i/>
          <w:iCs/>
        </w:rPr>
        <w:footnoteReference w:id="7"/>
      </w:r>
      <w:r w:rsidRPr="008B6BE1">
        <w:rPr>
          <w:i/>
          <w:iCs/>
        </w:rPr>
        <w:t xml:space="preserve">  At approximately 2:15 p.m. PST, the employee conducted testing at the Serving Area Interface (“SAI”) associated with the Complainant’s telephone line and, based thereon, confirmed there was dial tone at the SAI.</w:t>
      </w:r>
      <w:r w:rsidRPr="008B6BE1">
        <w:rPr>
          <w:rStyle w:val="FootnoteReference"/>
          <w:i/>
          <w:iCs/>
        </w:rPr>
        <w:footnoteReference w:id="8"/>
      </w:r>
      <w:r w:rsidRPr="008B6BE1">
        <w:rPr>
          <w:i/>
          <w:iCs/>
        </w:rPr>
        <w:t xml:space="preserve"> </w:t>
      </w:r>
      <w:r>
        <w:rPr>
          <w:i/>
          <w:iCs/>
        </w:rPr>
        <w:t xml:space="preserve"> </w:t>
      </w:r>
      <w:r w:rsidRPr="008B6BE1">
        <w:rPr>
          <w:i/>
          <w:iCs/>
        </w:rPr>
        <w:t>The AT&amp;T employee proceeded to conduct a visual inspection of the relevant outside plant facilities, and observed and determined that an F2 cable had been compromised at or near the serving telephone pole situated to the rear of the service address’s street.</w:t>
      </w:r>
      <w:r w:rsidRPr="008B6BE1">
        <w:rPr>
          <w:rStyle w:val="FootnoteReference"/>
          <w:i/>
          <w:iCs/>
        </w:rPr>
        <w:footnoteReference w:id="9"/>
      </w:r>
      <w:r w:rsidRPr="008B6BE1">
        <w:rPr>
          <w:i/>
          <w:iCs/>
        </w:rPr>
        <w:t xml:space="preserve">  Thereafter, and to mitigate the service impairment and restore service, the AT&amp;T employee utilized an alternate section of cable to extend service from the pole terminal to the 1.1 at the living unit.</w:t>
      </w:r>
      <w:r w:rsidRPr="008B6BE1">
        <w:rPr>
          <w:rStyle w:val="FootnoteReference"/>
          <w:i/>
          <w:iCs/>
        </w:rPr>
        <w:footnoteReference w:id="10"/>
      </w:r>
      <w:r>
        <w:rPr>
          <w:i/>
          <w:iCs/>
        </w:rPr>
        <w:t xml:space="preserve"> </w:t>
      </w:r>
      <w:r w:rsidRPr="008B6BE1">
        <w:rPr>
          <w:i/>
          <w:iCs/>
        </w:rPr>
        <w:t xml:space="preserve"> Upon completion of the aforesaid connection, the technician placed a call to the Complainant’s telephone number, whereupon the call rang inside the residence, thereby evidencing restoration of service to the premises on June 16, 2026.</w:t>
      </w:r>
      <w:r w:rsidRPr="008B6BE1">
        <w:rPr>
          <w:rStyle w:val="FootnoteReference"/>
          <w:i/>
          <w:iCs/>
        </w:rPr>
        <w:footnoteReference w:id="11"/>
      </w:r>
      <w:r>
        <w:t xml:space="preserve">  </w:t>
      </w:r>
    </w:p>
    <w:p w:rsidR="00F174B0" w:rsidP="00F174B0" w:rsidRDefault="00F174B0" w14:paraId="4A98ABD5" w14:textId="77777777">
      <w:pPr>
        <w:pStyle w:val="Heading1"/>
        <w:keepLines/>
        <w:numPr>
          <w:ilvl w:val="0"/>
          <w:numId w:val="15"/>
        </w:numPr>
        <w:spacing w:before="0"/>
        <w:ind w:right="2160"/>
      </w:pPr>
      <w:bookmarkStart w:name="_Toc234929156" w:id="12"/>
      <w:bookmarkStart w:name="_Toc8123720" w:id="13"/>
      <w:bookmarkEnd w:id="7"/>
      <w:r>
        <w:t>Discussion</w:t>
      </w:r>
      <w:bookmarkEnd w:id="12"/>
      <w:r>
        <w:t xml:space="preserve"> </w:t>
      </w:r>
      <w:bookmarkEnd w:id="13"/>
    </w:p>
    <w:p w:rsidR="00F174B0" w:rsidP="00F174B0" w:rsidRDefault="00F174B0" w14:paraId="5E04DF45" w14:textId="77777777">
      <w:pPr>
        <w:pStyle w:val="Standard0"/>
      </w:pPr>
      <w:r>
        <w:t xml:space="preserve">Throughout the pendency of this proceeding, the Complainant’s main grievance was that their home landline service had been disconnected.  However, without the Complainant’s participation and/or rebuttal, we accept AT&amp;T’s June 29, 2026 Response as a true accounting of the status of the Complainant’s home phone service.  Accordingly, this decision finds that the Complainant’s home phone was restored as of June 16, 2026.  Moreover, in reviewing the billing information provided in </w:t>
      </w:r>
      <w:proofErr w:type="gramStart"/>
      <w:r>
        <w:t>the June</w:t>
      </w:r>
      <w:proofErr w:type="gramEnd"/>
      <w:r>
        <w:t xml:space="preserve"> 29, 2026, it is evident that </w:t>
      </w:r>
      <w:r>
        <w:lastRenderedPageBreak/>
        <w:t xml:space="preserve">AT&amp;T did not charge the Complainant throughout the duration of his home landline outage.  </w:t>
      </w:r>
    </w:p>
    <w:p w:rsidR="00F174B0" w:rsidP="00F174B0" w:rsidRDefault="00F174B0" w14:paraId="7BF6528C" w14:textId="40472C9A">
      <w:pPr>
        <w:pStyle w:val="Standard0"/>
      </w:pPr>
      <w:r>
        <w:t xml:space="preserve">Considering that the Complainant does not want to participate in this matter further and the fact that the underlying alleged issue has been rectified, there is no reason for this proceeding to remain open.  This matter is dismissed </w:t>
      </w:r>
      <w:r w:rsidR="00192B99">
        <w:t xml:space="preserve">as Moot and </w:t>
      </w:r>
      <w:r>
        <w:t xml:space="preserve">for the Complainant’s failure to prosecute.  The instant complaint against the Defendant is vacated. </w:t>
      </w:r>
    </w:p>
    <w:p w:rsidR="00F174B0" w:rsidP="00F174B0" w:rsidRDefault="00F174B0" w14:paraId="33C9C80F" w14:textId="77777777">
      <w:pPr>
        <w:pStyle w:val="Heading1"/>
        <w:keepLines/>
        <w:numPr>
          <w:ilvl w:val="0"/>
          <w:numId w:val="15"/>
        </w:numPr>
        <w:spacing w:before="0"/>
        <w:ind w:right="2160"/>
      </w:pPr>
      <w:bookmarkStart w:name="_Toc234929157" w:id="14"/>
      <w:bookmarkStart w:name="_Toc8123721" w:id="15"/>
      <w:r>
        <w:t>Summary of Public Comment</w:t>
      </w:r>
      <w:bookmarkEnd w:id="14"/>
    </w:p>
    <w:p w:rsidRPr="00220C59" w:rsidR="00F174B0" w:rsidP="00F174B0" w:rsidRDefault="00F174B0" w14:paraId="5F0CC362" w14:textId="19F0BA88">
      <w:pPr>
        <w:pStyle w:val="Standard0"/>
        <w:rPr>
          <w:rFonts w:ascii="Calibri" w:hAnsi="Calibri"/>
          <w:sz w:val="22"/>
        </w:rPr>
      </w:pPr>
      <w:r w:rsidRPr="00220C59">
        <w:t>Rule 1.18 allows any member of the public to submit written comment in any Commission proceeding using the “Public Comment” tab of the online Docket Card for that proceeding on the Commission’s website. </w:t>
      </w:r>
      <w:r>
        <w:t xml:space="preserve"> </w:t>
      </w:r>
      <w:r w:rsidRPr="00220C59">
        <w:t xml:space="preserve">Rule 1.18(a) requires that all written public comment submitted prior to the submission of the proceeding are part of the administrative record of the proceeding. </w:t>
      </w:r>
      <w:r>
        <w:t xml:space="preserve"> </w:t>
      </w:r>
      <w:r w:rsidRPr="00220C59">
        <w:t>Rule 1.18(b) requires that relevant written comment submitted in a proceeding be summarized in the final decision issued in that proceeding.</w:t>
      </w:r>
      <w:r>
        <w:t xml:space="preserve">  As of July </w:t>
      </w:r>
      <w:r w:rsidR="00782AB6">
        <w:t>23</w:t>
      </w:r>
      <w:r>
        <w:t xml:space="preserve">, 2026, there are no public comments filed in relation to this proceeding. </w:t>
      </w:r>
    </w:p>
    <w:p w:rsidR="00F174B0" w:rsidP="00F174B0" w:rsidRDefault="00F174B0" w14:paraId="07B081F0" w14:textId="77777777">
      <w:pPr>
        <w:pStyle w:val="Heading1"/>
        <w:keepLines/>
        <w:numPr>
          <w:ilvl w:val="0"/>
          <w:numId w:val="15"/>
        </w:numPr>
        <w:spacing w:before="0"/>
        <w:ind w:right="2160"/>
      </w:pPr>
      <w:bookmarkStart w:name="_Toc234929158" w:id="16"/>
      <w:bookmarkStart w:name="_Toc8123723" w:id="17"/>
      <w:bookmarkEnd w:id="15"/>
      <w:r>
        <w:t>Procedural Matters</w:t>
      </w:r>
      <w:bookmarkEnd w:id="16"/>
    </w:p>
    <w:p w:rsidRPr="008B175A" w:rsidR="00F174B0" w:rsidP="00F174B0" w:rsidRDefault="00F174B0" w14:paraId="197586EB" w14:textId="77777777">
      <w:pPr>
        <w:pStyle w:val="Standard0"/>
      </w:pPr>
      <w:r w:rsidRPr="008B175A">
        <w:t>This decision affirms all rulings made by the Administrative Law Judge and assigned Commissioner in this proceeding.</w:t>
      </w:r>
      <w:r>
        <w:t xml:space="preserve">  This decision grants two pending motions from AT&amp;T to file certain information under seal.  Specifically, this decision grants AT&amp;T’s Motion for confidential treatment for the information submitted on June 1, 2026, and June 29, 2026, respectively.</w:t>
      </w:r>
    </w:p>
    <w:p w:rsidR="00F174B0" w:rsidP="00F174B0" w:rsidRDefault="00F174B0" w14:paraId="4CC597B9" w14:textId="77777777">
      <w:pPr>
        <w:pStyle w:val="Heading1"/>
        <w:keepLines/>
        <w:numPr>
          <w:ilvl w:val="0"/>
          <w:numId w:val="15"/>
        </w:numPr>
        <w:spacing w:before="0"/>
        <w:ind w:right="2160"/>
      </w:pPr>
      <w:bookmarkStart w:name="_Toc234929159" w:id="18"/>
      <w:bookmarkEnd w:id="17"/>
      <w:r>
        <w:t>Waiver of Comment Period</w:t>
      </w:r>
      <w:bookmarkEnd w:id="18"/>
      <w:r>
        <w:t xml:space="preserve"> </w:t>
      </w:r>
      <w:bookmarkStart w:name="_Toc8123724" w:id="19"/>
    </w:p>
    <w:p w:rsidRPr="00E264EB" w:rsidR="00F174B0" w:rsidP="00F174B0" w:rsidRDefault="00F174B0" w14:paraId="535A7071" w14:textId="547E81E8">
      <w:pPr>
        <w:pStyle w:val="Standard0"/>
      </w:pPr>
      <w:r w:rsidRPr="00E264EB">
        <w:t xml:space="preserve">Pursuant to Rule 14.7(b), the 30-day public review and comment period required by Section 311 of the Public Utilities Code and the opportunity to file comments on the proposed decision is not applicable in Expedited Complaint </w:t>
      </w:r>
      <w:r w:rsidRPr="00E264EB">
        <w:lastRenderedPageBreak/>
        <w:t xml:space="preserve">Proceedings. </w:t>
      </w:r>
      <w:r w:rsidR="005A24B2">
        <w:t xml:space="preserve"> </w:t>
      </w:r>
      <w:r w:rsidRPr="00E264EB">
        <w:t>Accordingly, this matter was placed on the Commission’s agenda directly for prompt action.</w:t>
      </w:r>
    </w:p>
    <w:p w:rsidR="00F174B0" w:rsidP="00F174B0" w:rsidRDefault="00F174B0" w14:paraId="4F988FE4" w14:textId="77777777">
      <w:pPr>
        <w:pStyle w:val="Heading1"/>
        <w:keepLines/>
        <w:numPr>
          <w:ilvl w:val="0"/>
          <w:numId w:val="15"/>
        </w:numPr>
        <w:spacing w:before="0"/>
        <w:ind w:right="2160"/>
      </w:pPr>
      <w:bookmarkStart w:name="_Toc234929160" w:id="20"/>
      <w:r>
        <w:t>Assignment of Proceeding</w:t>
      </w:r>
      <w:bookmarkEnd w:id="19"/>
      <w:bookmarkEnd w:id="20"/>
    </w:p>
    <w:p w:rsidR="00F174B0" w:rsidP="00F174B0" w:rsidRDefault="00F174B0" w14:paraId="2AD50CCC" w14:textId="423EA231">
      <w:pPr>
        <w:pStyle w:val="Standard0"/>
      </w:pPr>
      <w:r>
        <w:t>Christine Harada is the assigned Commissioner and Sasha Goldberg is the assigned A</w:t>
      </w:r>
      <w:r w:rsidR="00145E9A">
        <w:t>dministrative Law Judge</w:t>
      </w:r>
      <w:r>
        <w:t xml:space="preserve"> in this proceeding.</w:t>
      </w:r>
    </w:p>
    <w:p w:rsidR="00F174B0" w:rsidP="00F174B0" w:rsidRDefault="00F174B0" w14:paraId="4A58C853" w14:textId="77777777">
      <w:pPr>
        <w:pStyle w:val="Mainex0"/>
      </w:pPr>
      <w:bookmarkStart w:name="_Toc234929161" w:id="21"/>
      <w:r>
        <w:t>ORDER</w:t>
      </w:r>
      <w:bookmarkEnd w:id="21"/>
    </w:p>
    <w:p w:rsidR="00F174B0" w:rsidP="00F174B0" w:rsidRDefault="00F174B0" w14:paraId="4B09E64D" w14:textId="77777777">
      <w:pPr>
        <w:keepNext/>
        <w:spacing w:after="120"/>
        <w:ind w:firstLine="547"/>
      </w:pPr>
      <w:r w:rsidRPr="00BB0243">
        <w:rPr>
          <w:b/>
        </w:rPr>
        <w:t xml:space="preserve">IT IS </w:t>
      </w:r>
      <w:proofErr w:type="gramStart"/>
      <w:r w:rsidRPr="00BB0243">
        <w:rPr>
          <w:b/>
        </w:rPr>
        <w:t>ORDERED</w:t>
      </w:r>
      <w:r>
        <w:t xml:space="preserve"> that</w:t>
      </w:r>
      <w:proofErr w:type="gramEnd"/>
      <w:r>
        <w:t>:</w:t>
      </w:r>
    </w:p>
    <w:p w:rsidR="00F174B0" w:rsidP="005A24B2" w:rsidRDefault="00F174B0" w14:paraId="55D5031E" w14:textId="77777777">
      <w:pPr>
        <w:pStyle w:val="OP"/>
        <w:ind w:left="532" w:hanging="86"/>
      </w:pPr>
      <w:r>
        <w:t xml:space="preserve">Complaint 25-11-004 against </w:t>
      </w:r>
      <w:r w:rsidRPr="00A871FB">
        <w:t>Pacific Bell d/b/a AT&amp;T California</w:t>
      </w:r>
      <w:r>
        <w:t xml:space="preserve"> is vacated. </w:t>
      </w:r>
    </w:p>
    <w:p w:rsidR="00F174B0" w:rsidP="00F174B0" w:rsidRDefault="00F174B0" w14:paraId="67E58C5C" w14:textId="77777777">
      <w:pPr>
        <w:pStyle w:val="OP"/>
        <w:tabs>
          <w:tab w:val="left" w:pos="540"/>
        </w:tabs>
        <w:ind w:firstLine="450"/>
      </w:pPr>
      <w:r w:rsidRPr="001E2A62">
        <w:t xml:space="preserve">Complaint </w:t>
      </w:r>
      <w:r>
        <w:t>25-11-004</w:t>
      </w:r>
      <w:r w:rsidRPr="001E2A62">
        <w:t xml:space="preserve"> </w:t>
      </w:r>
      <w:r>
        <w:t xml:space="preserve">is dismissed. </w:t>
      </w:r>
    </w:p>
    <w:p w:rsidRPr="00E65A75" w:rsidR="00F174B0" w:rsidP="005A24B2" w:rsidRDefault="00F174B0" w14:paraId="6C4685ED" w14:textId="77777777">
      <w:pPr>
        <w:spacing w:line="360" w:lineRule="auto"/>
        <w:ind w:firstLine="547"/>
        <w:rPr>
          <w:rFonts w:ascii="Book Antiqua" w:hAnsi="Book Antiqua"/>
        </w:rPr>
      </w:pPr>
      <w:r w:rsidRPr="00E65A75">
        <w:rPr>
          <w:rFonts w:ascii="Book Antiqua" w:hAnsi="Book Antiqua"/>
        </w:rPr>
        <w:t>This order is effective today.</w:t>
      </w:r>
    </w:p>
    <w:p w:rsidR="00F174B0" w:rsidP="00F174B0" w:rsidRDefault="00F174B0" w14:paraId="688CD380" w14:textId="65C699C4">
      <w:pPr>
        <w:spacing w:after="120" w:line="360" w:lineRule="auto"/>
        <w:ind w:firstLine="547"/>
        <w:rPr>
          <w:rFonts w:ascii="Book Antiqua" w:hAnsi="Book Antiqua"/>
        </w:rPr>
      </w:pPr>
      <w:r w:rsidRPr="00E65A75">
        <w:rPr>
          <w:rFonts w:ascii="Book Antiqua" w:hAnsi="Book Antiqua"/>
        </w:rPr>
        <w:t>Dated</w:t>
      </w:r>
      <w:r w:rsidR="00607E88">
        <w:rPr>
          <w:rFonts w:ascii="Book Antiqua" w:hAnsi="Book Antiqua"/>
        </w:rPr>
        <w:t xml:space="preserve"> September 3, 2026</w:t>
      </w:r>
      <w:r w:rsidRPr="00E65A75">
        <w:rPr>
          <w:rFonts w:ascii="Book Antiqua" w:hAnsi="Book Antiqua"/>
        </w:rPr>
        <w:t xml:space="preserve">, </w:t>
      </w:r>
      <w:proofErr w:type="gramStart"/>
      <w:r w:rsidRPr="00E65A75">
        <w:rPr>
          <w:rFonts w:ascii="Book Antiqua" w:hAnsi="Book Antiqua"/>
        </w:rPr>
        <w:t>at</w:t>
      </w:r>
      <w:proofErr w:type="gramEnd"/>
      <w:r w:rsidR="00607E88">
        <w:rPr>
          <w:rFonts w:ascii="Book Antiqua" w:hAnsi="Book Antiqua"/>
        </w:rPr>
        <w:t xml:space="preserve"> </w:t>
      </w:r>
      <w:r w:rsidRPr="00E65A75">
        <w:rPr>
          <w:rFonts w:ascii="Book Antiqua" w:hAnsi="Book Antiqua"/>
        </w:rPr>
        <w:t>Sa</w:t>
      </w:r>
      <w:r w:rsidRPr="00E65A75" w:rsidR="005A24B2">
        <w:rPr>
          <w:rFonts w:ascii="Book Antiqua" w:hAnsi="Book Antiqua"/>
        </w:rPr>
        <w:t>cramento</w:t>
      </w:r>
      <w:r w:rsidRPr="00E65A75">
        <w:rPr>
          <w:rFonts w:ascii="Book Antiqua" w:hAnsi="Book Antiqua"/>
        </w:rPr>
        <w:t>, California.</w:t>
      </w:r>
      <w:bookmarkEnd w:id="0"/>
    </w:p>
    <w:p w:rsidRPr="00143BC5" w:rsidR="00607E88" w:rsidP="00607E88" w:rsidRDefault="00607E88" w14:paraId="68F27690" w14:textId="77777777">
      <w:pPr>
        <w:autoSpaceDE w:val="0"/>
        <w:autoSpaceDN w:val="0"/>
        <w:adjustRightInd w:val="0"/>
        <w:ind w:left="3600" w:firstLine="720"/>
        <w:jc w:val="both"/>
        <w:rPr>
          <w:rFonts w:ascii="Book Antiqua" w:hAnsi="Book Antiqua"/>
        </w:rPr>
      </w:pPr>
      <w:r w:rsidRPr="00143BC5">
        <w:rPr>
          <w:rFonts w:ascii="Book Antiqua" w:hAnsi="Book Antiqua"/>
        </w:rPr>
        <w:t>JOHN REYNOLDS</w:t>
      </w:r>
    </w:p>
    <w:p w:rsidRPr="00143BC5" w:rsidR="00607E88" w:rsidP="00607E88" w:rsidRDefault="00607E88" w14:paraId="38BB5B5D" w14:textId="77777777">
      <w:pPr>
        <w:autoSpaceDE w:val="0"/>
        <w:autoSpaceDN w:val="0"/>
        <w:adjustRightInd w:val="0"/>
        <w:ind w:firstLine="720"/>
        <w:jc w:val="both"/>
        <w:rPr>
          <w:rFonts w:ascii="Book Antiqua" w:hAnsi="Book Antiqua"/>
        </w:rPr>
      </w:pPr>
      <w:r w:rsidRPr="00143BC5">
        <w:rPr>
          <w:rFonts w:ascii="Book Antiqua" w:hAnsi="Book Antiqua"/>
        </w:rPr>
        <w:tab/>
      </w:r>
      <w:r w:rsidRPr="00143BC5">
        <w:rPr>
          <w:rFonts w:ascii="Book Antiqua" w:hAnsi="Book Antiqua"/>
        </w:rPr>
        <w:tab/>
      </w:r>
      <w:r w:rsidRPr="00143BC5">
        <w:rPr>
          <w:rFonts w:ascii="Book Antiqua" w:hAnsi="Book Antiqua"/>
        </w:rPr>
        <w:tab/>
      </w:r>
      <w:r w:rsidRPr="00143BC5">
        <w:rPr>
          <w:rFonts w:ascii="Book Antiqua" w:hAnsi="Book Antiqua"/>
        </w:rPr>
        <w:tab/>
      </w:r>
      <w:r w:rsidRPr="00143BC5">
        <w:rPr>
          <w:rFonts w:ascii="Book Antiqua" w:hAnsi="Book Antiqua"/>
        </w:rPr>
        <w:tab/>
        <w:t xml:space="preserve">                       President</w:t>
      </w:r>
    </w:p>
    <w:p w:rsidRPr="00143BC5" w:rsidR="00607E88" w:rsidP="00607E88" w:rsidRDefault="00607E88" w14:paraId="06ACCB97" w14:textId="77777777">
      <w:pPr>
        <w:autoSpaceDE w:val="0"/>
        <w:autoSpaceDN w:val="0"/>
        <w:adjustRightInd w:val="0"/>
        <w:ind w:left="3600" w:firstLine="720"/>
        <w:jc w:val="both"/>
        <w:rPr>
          <w:rFonts w:ascii="Book Antiqua" w:hAnsi="Book Antiqua"/>
        </w:rPr>
      </w:pPr>
      <w:r w:rsidRPr="00143BC5">
        <w:rPr>
          <w:rFonts w:ascii="Book Antiqua" w:hAnsi="Book Antiqua"/>
        </w:rPr>
        <w:t>DARCIE L. HOUCK</w:t>
      </w:r>
    </w:p>
    <w:p w:rsidR="00607E88" w:rsidP="00607E88" w:rsidRDefault="00607E88" w14:paraId="2E0B1A4D" w14:textId="77777777">
      <w:pPr>
        <w:autoSpaceDE w:val="0"/>
        <w:autoSpaceDN w:val="0"/>
        <w:adjustRightInd w:val="0"/>
        <w:ind w:left="3600" w:firstLine="720"/>
        <w:jc w:val="both"/>
        <w:rPr>
          <w:rFonts w:ascii="Book Antiqua" w:hAnsi="Book Antiqua" w:cs="Calibri"/>
          <w:color w:val="000000"/>
          <w:szCs w:val="26"/>
        </w:rPr>
      </w:pPr>
      <w:r w:rsidRPr="00143BC5">
        <w:rPr>
          <w:rFonts w:ascii="Book Antiqua" w:hAnsi="Book Antiqua" w:cs="Calibri"/>
          <w:color w:val="000000"/>
          <w:szCs w:val="26"/>
        </w:rPr>
        <w:t>KAREN DOUGLAS</w:t>
      </w:r>
    </w:p>
    <w:p w:rsidR="00607E88" w:rsidP="00607E88" w:rsidRDefault="00607E88" w14:paraId="7AFCC985" w14:textId="77777777">
      <w:pPr>
        <w:autoSpaceDE w:val="0"/>
        <w:autoSpaceDN w:val="0"/>
        <w:adjustRightInd w:val="0"/>
        <w:ind w:left="3600" w:firstLine="720"/>
        <w:jc w:val="both"/>
        <w:rPr>
          <w:rFonts w:ascii="Book Antiqua" w:hAnsi="Book Antiqua" w:cs="Calibri"/>
          <w:color w:val="000000"/>
          <w:szCs w:val="26"/>
        </w:rPr>
      </w:pPr>
      <w:r>
        <w:rPr>
          <w:rFonts w:ascii="Book Antiqua" w:hAnsi="Book Antiqua" w:cs="Calibri"/>
          <w:color w:val="000000"/>
          <w:szCs w:val="26"/>
        </w:rPr>
        <w:t>MATTHEW BAKER</w:t>
      </w:r>
    </w:p>
    <w:p w:rsidRPr="004E3B33" w:rsidR="00607E88" w:rsidP="00607E88" w:rsidRDefault="00607E88" w14:paraId="4ECBF371" w14:textId="77777777">
      <w:pPr>
        <w:autoSpaceDE w:val="0"/>
        <w:autoSpaceDN w:val="0"/>
        <w:adjustRightInd w:val="0"/>
        <w:ind w:left="3600" w:firstLine="720"/>
        <w:jc w:val="both"/>
        <w:rPr>
          <w:rFonts w:ascii="Book Antiqua" w:hAnsi="Book Antiqua"/>
        </w:rPr>
      </w:pPr>
      <w:r w:rsidRPr="004E3B33">
        <w:rPr>
          <w:rFonts w:ascii="Book Antiqua" w:hAnsi="Book Antiqua"/>
        </w:rPr>
        <w:t>CHRISTINE HARADA</w:t>
      </w:r>
    </w:p>
    <w:p w:rsidR="00607E88" w:rsidP="00607E88" w:rsidRDefault="00607E88" w14:paraId="01472746" w14:textId="77777777">
      <w:pPr>
        <w:autoSpaceDE w:val="0"/>
        <w:autoSpaceDN w:val="0"/>
        <w:adjustRightInd w:val="0"/>
        <w:ind w:left="4320" w:firstLine="720"/>
        <w:jc w:val="both"/>
        <w:rPr>
          <w:rFonts w:ascii="Book Antiqua" w:hAnsi="Book Antiqua"/>
        </w:rPr>
      </w:pPr>
      <w:r w:rsidRPr="00143BC5">
        <w:rPr>
          <w:rFonts w:ascii="Book Antiqua" w:hAnsi="Book Antiqua"/>
        </w:rPr>
        <w:t xml:space="preserve">            Commissioners</w:t>
      </w:r>
    </w:p>
    <w:p w:rsidRPr="00E65A75" w:rsidR="00607E88" w:rsidP="00F174B0" w:rsidRDefault="00607E88" w14:paraId="681B5C0C" w14:textId="77777777">
      <w:pPr>
        <w:spacing w:after="120" w:line="360" w:lineRule="auto"/>
        <w:ind w:firstLine="547"/>
        <w:rPr>
          <w:rFonts w:ascii="Book Antiqua" w:hAnsi="Book Antiqua"/>
        </w:rPr>
      </w:pPr>
    </w:p>
    <w:sectPr w:rsidRPr="00E65A75" w:rsidR="00607E88" w:rsidSect="00EE4267">
      <w:headerReference w:type="default" r:id="rId11"/>
      <w:footerReference w:type="default" r:id="rId12"/>
      <w:footerReference w:type="first" r:id="rId13"/>
      <w:pgSz w:w="12240" w:h="15840" w:code="1"/>
      <w:pgMar w:top="1728"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E32E8" w14:textId="77777777" w:rsidR="00217034" w:rsidRDefault="00217034">
      <w:r>
        <w:separator/>
      </w:r>
    </w:p>
  </w:endnote>
  <w:endnote w:type="continuationSeparator" w:id="0">
    <w:p w14:paraId="4DF5DFC4" w14:textId="77777777" w:rsidR="00217034" w:rsidRDefault="0021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5C89C" w14:textId="77777777" w:rsidR="00230234" w:rsidRPr="00FA3D94" w:rsidRDefault="00230234">
    <w:pPr>
      <w:pStyle w:val="Footer"/>
      <w:jc w:val="left"/>
      <w:rPr>
        <w:rFonts w:ascii="Book Antiqua" w:hAnsi="Book Antiqua"/>
      </w:rPr>
    </w:pPr>
    <w:r>
      <w:tab/>
    </w:r>
    <w:r w:rsidRPr="00FA3D94">
      <w:rPr>
        <w:rFonts w:ascii="Book Antiqua" w:hAnsi="Book Antiqua"/>
      </w:rPr>
      <w:t xml:space="preserve">- </w:t>
    </w:r>
    <w:r w:rsidRPr="00FA3D94">
      <w:rPr>
        <w:rStyle w:val="PageNumber"/>
        <w:rFonts w:ascii="Book Antiqua" w:hAnsi="Book Antiqua"/>
      </w:rPr>
      <w:fldChar w:fldCharType="begin"/>
    </w:r>
    <w:r w:rsidRPr="00FA3D94">
      <w:rPr>
        <w:rStyle w:val="PageNumber"/>
        <w:rFonts w:ascii="Book Antiqua" w:hAnsi="Book Antiqua"/>
      </w:rPr>
      <w:instrText xml:space="preserve"> PAGE </w:instrText>
    </w:r>
    <w:r w:rsidRPr="00FA3D94">
      <w:rPr>
        <w:rStyle w:val="PageNumber"/>
        <w:rFonts w:ascii="Book Antiqua" w:hAnsi="Book Antiqua"/>
      </w:rPr>
      <w:fldChar w:fldCharType="separate"/>
    </w:r>
    <w:r w:rsidR="00D334A8" w:rsidRPr="00FA3D94">
      <w:rPr>
        <w:rStyle w:val="PageNumber"/>
        <w:rFonts w:ascii="Book Antiqua" w:hAnsi="Book Antiqua"/>
        <w:noProof/>
      </w:rPr>
      <w:t>2</w:t>
    </w:r>
    <w:r w:rsidRPr="00FA3D94">
      <w:rPr>
        <w:rStyle w:val="PageNumber"/>
        <w:rFonts w:ascii="Book Antiqua" w:hAnsi="Book Antiqua"/>
      </w:rPr>
      <w:fldChar w:fldCharType="end"/>
    </w:r>
    <w:r w:rsidRPr="00FA3D94">
      <w:rPr>
        <w:rStyle w:val="PageNumber"/>
        <w:rFonts w:ascii="Book Antiqua" w:hAnsi="Book Antiqu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29C6" w14:textId="43C48562" w:rsidR="00230234" w:rsidRPr="000D5378" w:rsidRDefault="00607E88" w:rsidP="00293553">
    <w:pPr>
      <w:pStyle w:val="Footer"/>
      <w:tabs>
        <w:tab w:val="clear" w:pos="4320"/>
        <w:tab w:val="center" w:pos="4680"/>
      </w:tabs>
      <w:jc w:val="left"/>
      <w:rPr>
        <w:rFonts w:ascii="Book Antiqua" w:hAnsi="Book Antiqua"/>
      </w:rPr>
    </w:pPr>
    <w:r w:rsidRPr="00607E88">
      <w:rPr>
        <w:rFonts w:ascii="Book Antiqua" w:hAnsi="Book Antiqua"/>
        <w:sz w:val="16"/>
        <w:szCs w:val="16"/>
      </w:rPr>
      <w:t>618704643</w:t>
    </w:r>
    <w:r w:rsidR="00230234" w:rsidRPr="000D5378">
      <w:rPr>
        <w:rFonts w:ascii="Book Antiqua" w:hAnsi="Book Antiqua"/>
      </w:rPr>
      <w:tab/>
      <w:t xml:space="preserve">- </w:t>
    </w:r>
    <w:r w:rsidR="00230234" w:rsidRPr="000D5378">
      <w:rPr>
        <w:rStyle w:val="PageNumber"/>
        <w:rFonts w:ascii="Book Antiqua" w:hAnsi="Book Antiqua"/>
      </w:rPr>
      <w:fldChar w:fldCharType="begin"/>
    </w:r>
    <w:r w:rsidR="00230234" w:rsidRPr="000D5378">
      <w:rPr>
        <w:rStyle w:val="PageNumber"/>
        <w:rFonts w:ascii="Book Antiqua" w:hAnsi="Book Antiqua"/>
      </w:rPr>
      <w:instrText xml:space="preserve"> PAGE </w:instrText>
    </w:r>
    <w:r w:rsidR="00230234" w:rsidRPr="000D5378">
      <w:rPr>
        <w:rStyle w:val="PageNumber"/>
        <w:rFonts w:ascii="Book Antiqua" w:hAnsi="Book Antiqua"/>
      </w:rPr>
      <w:fldChar w:fldCharType="separate"/>
    </w:r>
    <w:r w:rsidR="00D334A8" w:rsidRPr="000D5378">
      <w:rPr>
        <w:rStyle w:val="PageNumber"/>
        <w:rFonts w:ascii="Book Antiqua" w:hAnsi="Book Antiqua"/>
        <w:noProof/>
      </w:rPr>
      <w:t>1</w:t>
    </w:r>
    <w:r w:rsidR="00230234" w:rsidRPr="000D5378">
      <w:rPr>
        <w:rStyle w:val="PageNumber"/>
        <w:rFonts w:ascii="Book Antiqua" w:hAnsi="Book Antiqua"/>
      </w:rPr>
      <w:fldChar w:fldCharType="end"/>
    </w:r>
    <w:r w:rsidR="00230234" w:rsidRPr="000D5378">
      <w:rPr>
        <w:rStyle w:val="PageNumber"/>
        <w:rFonts w:ascii="Book Antiqua" w:hAnsi="Book Antiqu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F6787" w14:textId="77777777" w:rsidR="00217034" w:rsidRDefault="00217034">
      <w:r>
        <w:separator/>
      </w:r>
    </w:p>
  </w:footnote>
  <w:footnote w:type="continuationSeparator" w:id="0">
    <w:p w14:paraId="135AC765" w14:textId="77777777" w:rsidR="00217034" w:rsidRDefault="00217034">
      <w:r>
        <w:continuationSeparator/>
      </w:r>
    </w:p>
  </w:footnote>
  <w:footnote w:type="continuationNotice" w:id="1">
    <w:p w14:paraId="4938DCDB" w14:textId="77777777" w:rsidR="00217034" w:rsidRDefault="00217034">
      <w:pPr>
        <w:rPr>
          <w:sz w:val="22"/>
        </w:rPr>
      </w:pPr>
    </w:p>
    <w:p w14:paraId="257DACAE" w14:textId="77777777" w:rsidR="00217034" w:rsidRDefault="00217034">
      <w:pPr>
        <w:jc w:val="right"/>
        <w:rPr>
          <w:sz w:val="22"/>
        </w:rPr>
      </w:pPr>
      <w:r>
        <w:rPr>
          <w:i/>
          <w:sz w:val="22"/>
        </w:rPr>
        <w:t xml:space="preserve">Footnote </w:t>
      </w:r>
      <w:proofErr w:type="gramStart"/>
      <w:r>
        <w:rPr>
          <w:i/>
          <w:sz w:val="22"/>
        </w:rPr>
        <w:t>continued on</w:t>
      </w:r>
      <w:proofErr w:type="gramEnd"/>
      <w:r>
        <w:rPr>
          <w:i/>
          <w:sz w:val="22"/>
        </w:rPr>
        <w:t xml:space="preserve"> next page</w:t>
      </w:r>
    </w:p>
  </w:footnote>
  <w:footnote w:id="2">
    <w:p w14:paraId="7D9ABFD2" w14:textId="77777777" w:rsidR="00F174B0" w:rsidRPr="00F174B0" w:rsidRDefault="00F174B0" w:rsidP="00F174B0">
      <w:pPr>
        <w:pStyle w:val="FootnoteText"/>
        <w:rPr>
          <w:rFonts w:ascii="Book Antiqua" w:hAnsi="Book Antiqua"/>
          <w:sz w:val="22"/>
          <w:szCs w:val="22"/>
        </w:rPr>
      </w:pPr>
      <w:r w:rsidRPr="00F174B0">
        <w:rPr>
          <w:rStyle w:val="FootnoteReference"/>
          <w:rFonts w:ascii="Book Antiqua" w:hAnsi="Book Antiqua"/>
          <w:sz w:val="22"/>
          <w:szCs w:val="22"/>
        </w:rPr>
        <w:footnoteRef/>
      </w:r>
      <w:r w:rsidRPr="00F174B0">
        <w:rPr>
          <w:rFonts w:ascii="Book Antiqua" w:hAnsi="Book Antiqua"/>
          <w:sz w:val="22"/>
          <w:szCs w:val="22"/>
        </w:rPr>
        <w:t xml:space="preserve"> Rule 4.6 are the rules governing Expedited Complaint Procedures, or ECPs before the Commission (</w:t>
      </w:r>
      <w:r w:rsidRPr="00F174B0">
        <w:rPr>
          <w:rFonts w:ascii="Book Antiqua" w:hAnsi="Book Antiqua"/>
          <w:i/>
          <w:iCs/>
          <w:sz w:val="22"/>
          <w:szCs w:val="22"/>
        </w:rPr>
        <w:t>see</w:t>
      </w:r>
      <w:r w:rsidRPr="00F174B0">
        <w:rPr>
          <w:rFonts w:ascii="Book Antiqua" w:hAnsi="Book Antiqua"/>
          <w:sz w:val="22"/>
          <w:szCs w:val="22"/>
        </w:rPr>
        <w:t xml:space="preserve"> </w:t>
      </w:r>
      <w:r w:rsidRPr="00F174B0">
        <w:rPr>
          <w:rFonts w:ascii="Book Antiqua" w:hAnsi="Book Antiqua"/>
          <w:i/>
          <w:iCs/>
          <w:sz w:val="22"/>
          <w:szCs w:val="22"/>
        </w:rPr>
        <w:t>also</w:t>
      </w:r>
      <w:r w:rsidRPr="00F174B0">
        <w:rPr>
          <w:rFonts w:ascii="Book Antiqua" w:hAnsi="Book Antiqua"/>
          <w:sz w:val="22"/>
          <w:szCs w:val="22"/>
        </w:rPr>
        <w:t xml:space="preserve">, Public Utilities Code Section 1702.1). </w:t>
      </w:r>
    </w:p>
  </w:footnote>
  <w:footnote w:id="3">
    <w:p w14:paraId="34BDD1D4" w14:textId="77777777" w:rsidR="00F174B0" w:rsidRPr="00F174B0" w:rsidRDefault="00F174B0" w:rsidP="00F174B0">
      <w:pPr>
        <w:pStyle w:val="FootnoteText"/>
        <w:rPr>
          <w:rFonts w:ascii="Book Antiqua" w:hAnsi="Book Antiqua"/>
          <w:sz w:val="22"/>
          <w:szCs w:val="22"/>
        </w:rPr>
      </w:pPr>
      <w:r w:rsidRPr="00F174B0">
        <w:rPr>
          <w:rStyle w:val="FootnoteReference"/>
          <w:rFonts w:ascii="Book Antiqua" w:hAnsi="Book Antiqua"/>
          <w:sz w:val="22"/>
          <w:szCs w:val="22"/>
        </w:rPr>
        <w:footnoteRef/>
      </w:r>
      <w:r w:rsidRPr="00F174B0">
        <w:rPr>
          <w:rFonts w:ascii="Book Antiqua" w:hAnsi="Book Antiqua"/>
          <w:sz w:val="22"/>
          <w:szCs w:val="22"/>
        </w:rPr>
        <w:t xml:space="preserve"> </w:t>
      </w:r>
      <w:r w:rsidRPr="00F174B0">
        <w:rPr>
          <w:rFonts w:ascii="Book Antiqua" w:hAnsi="Book Antiqua"/>
          <w:i/>
          <w:iCs/>
          <w:sz w:val="22"/>
          <w:szCs w:val="22"/>
        </w:rPr>
        <w:t>See</w:t>
      </w:r>
      <w:r w:rsidRPr="00F174B0">
        <w:rPr>
          <w:rFonts w:ascii="Book Antiqua" w:hAnsi="Book Antiqua"/>
          <w:sz w:val="22"/>
          <w:szCs w:val="22"/>
        </w:rPr>
        <w:t xml:space="preserve"> E-Mail Ruling Off-Calendaring April  9, 2026 Hearing (dated April 1, 2026) for a timeline of the Complainant’s outreach to Commission staff. </w:t>
      </w:r>
    </w:p>
  </w:footnote>
  <w:footnote w:id="4">
    <w:p w14:paraId="71277347"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w:t>
      </w:r>
      <w:r w:rsidRPr="00F174B0">
        <w:rPr>
          <w:rFonts w:ascii="Book Antiqua" w:hAnsi="Book Antiqua"/>
          <w:i/>
          <w:iCs/>
          <w:sz w:val="20"/>
        </w:rPr>
        <w:t>See</w:t>
      </w:r>
      <w:r w:rsidRPr="00F174B0">
        <w:rPr>
          <w:rFonts w:ascii="Book Antiqua" w:hAnsi="Book Antiqua"/>
          <w:sz w:val="20"/>
        </w:rPr>
        <w:t xml:space="preserve"> Ruling Setting Evidentiary Hearing for Monday May 11, 2026 at 1:00 p.m. and Exhibit Instructions.</w:t>
      </w:r>
    </w:p>
  </w:footnote>
  <w:footnote w:id="5">
    <w:p w14:paraId="117E4CA7" w14:textId="77777777" w:rsidR="00F174B0" w:rsidRPr="00F174B0" w:rsidRDefault="00F174B0" w:rsidP="00F174B0">
      <w:pPr>
        <w:pStyle w:val="FootnoteText"/>
        <w:rPr>
          <w:rFonts w:ascii="Book Antiqua" w:hAnsi="Book Antiqua"/>
          <w:sz w:val="22"/>
          <w:szCs w:val="22"/>
        </w:rPr>
      </w:pPr>
      <w:r w:rsidRPr="00F174B0">
        <w:rPr>
          <w:rStyle w:val="FootnoteReference"/>
          <w:rFonts w:ascii="Book Antiqua" w:hAnsi="Book Antiqua"/>
          <w:sz w:val="22"/>
          <w:szCs w:val="22"/>
        </w:rPr>
        <w:footnoteRef/>
      </w:r>
      <w:r w:rsidRPr="00F174B0">
        <w:rPr>
          <w:rFonts w:ascii="Book Antiqua" w:hAnsi="Book Antiqua"/>
          <w:sz w:val="22"/>
          <w:szCs w:val="22"/>
        </w:rPr>
        <w:t xml:space="preserve"> Defendant provided both documents on June 29, 2026 via Response.</w:t>
      </w:r>
    </w:p>
  </w:footnote>
  <w:footnote w:id="6">
    <w:p w14:paraId="354F5ED6" w14:textId="77777777" w:rsidR="00F174B0" w:rsidRPr="00F174B0" w:rsidRDefault="00F174B0" w:rsidP="00F174B0">
      <w:pPr>
        <w:pStyle w:val="FootnoteText"/>
        <w:rPr>
          <w:rFonts w:ascii="Book Antiqua" w:hAnsi="Book Antiqua"/>
          <w:sz w:val="22"/>
          <w:szCs w:val="22"/>
        </w:rPr>
      </w:pPr>
      <w:r w:rsidRPr="00F174B0">
        <w:rPr>
          <w:rStyle w:val="FootnoteReference"/>
          <w:rFonts w:ascii="Book Antiqua" w:hAnsi="Book Antiqua"/>
          <w:sz w:val="22"/>
          <w:szCs w:val="22"/>
        </w:rPr>
        <w:footnoteRef/>
      </w:r>
      <w:r w:rsidRPr="00F174B0">
        <w:rPr>
          <w:rFonts w:ascii="Book Antiqua" w:hAnsi="Book Antiqua"/>
          <w:sz w:val="22"/>
          <w:szCs w:val="22"/>
        </w:rPr>
        <w:t xml:space="preserve"> The Commission’s Process Office mailed all the rulings in this proceeding to the Complainant at his physical address listed on the service list via certified mail on June 11, 2026 with a received signature as of June 15, 2026.</w:t>
      </w:r>
    </w:p>
  </w:footnote>
  <w:footnote w:id="7">
    <w:p w14:paraId="40F60C1D"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June 29, 2026, </w:t>
      </w:r>
      <w:proofErr w:type="gramStart"/>
      <w:r w:rsidRPr="00F174B0">
        <w:rPr>
          <w:rFonts w:ascii="Book Antiqua" w:hAnsi="Book Antiqua"/>
          <w:sz w:val="20"/>
        </w:rPr>
        <w:t>Response at</w:t>
      </w:r>
      <w:proofErr w:type="gramEnd"/>
      <w:r w:rsidRPr="00F174B0">
        <w:rPr>
          <w:rFonts w:ascii="Book Antiqua" w:hAnsi="Book Antiqua"/>
          <w:sz w:val="20"/>
        </w:rPr>
        <w:t xml:space="preserve"> Attachment B (Declaration of Michael B. Houston).</w:t>
      </w:r>
    </w:p>
  </w:footnote>
  <w:footnote w:id="8">
    <w:p w14:paraId="3A3B7C3E"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June 29, 2026, </w:t>
      </w:r>
      <w:proofErr w:type="gramStart"/>
      <w:r w:rsidRPr="00F174B0">
        <w:rPr>
          <w:rFonts w:ascii="Book Antiqua" w:hAnsi="Book Antiqua"/>
          <w:sz w:val="20"/>
        </w:rPr>
        <w:t>Response at</w:t>
      </w:r>
      <w:proofErr w:type="gramEnd"/>
      <w:r w:rsidRPr="00F174B0">
        <w:rPr>
          <w:rFonts w:ascii="Book Antiqua" w:hAnsi="Book Antiqua"/>
          <w:sz w:val="20"/>
        </w:rPr>
        <w:t xml:space="preserve"> Attachment B (Declaration of Michael B. Houston).</w:t>
      </w:r>
    </w:p>
  </w:footnote>
  <w:footnote w:id="9">
    <w:p w14:paraId="171A29D9"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June 29, 2026, </w:t>
      </w:r>
      <w:proofErr w:type="gramStart"/>
      <w:r w:rsidRPr="00F174B0">
        <w:rPr>
          <w:rFonts w:ascii="Book Antiqua" w:hAnsi="Book Antiqua"/>
          <w:sz w:val="20"/>
        </w:rPr>
        <w:t>Response at</w:t>
      </w:r>
      <w:proofErr w:type="gramEnd"/>
      <w:r w:rsidRPr="00F174B0">
        <w:rPr>
          <w:rFonts w:ascii="Book Antiqua" w:hAnsi="Book Antiqua"/>
          <w:sz w:val="20"/>
        </w:rPr>
        <w:t xml:space="preserve"> Attachment B (Declaration of Michael B. Houston).</w:t>
      </w:r>
    </w:p>
  </w:footnote>
  <w:footnote w:id="10">
    <w:p w14:paraId="61C41CB5"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June 29, 2026, </w:t>
      </w:r>
      <w:proofErr w:type="gramStart"/>
      <w:r w:rsidRPr="00F174B0">
        <w:rPr>
          <w:rFonts w:ascii="Book Antiqua" w:hAnsi="Book Antiqua"/>
          <w:sz w:val="20"/>
        </w:rPr>
        <w:t>Response at</w:t>
      </w:r>
      <w:proofErr w:type="gramEnd"/>
      <w:r w:rsidRPr="00F174B0">
        <w:rPr>
          <w:rFonts w:ascii="Book Antiqua" w:hAnsi="Book Antiqua"/>
          <w:sz w:val="20"/>
        </w:rPr>
        <w:t xml:space="preserve"> Attachment B (Declaration of Michael B. Houston).</w:t>
      </w:r>
    </w:p>
  </w:footnote>
  <w:footnote w:id="11">
    <w:p w14:paraId="3B8E3268" w14:textId="77777777" w:rsidR="00F174B0" w:rsidRPr="00F174B0" w:rsidRDefault="00F174B0" w:rsidP="00F174B0">
      <w:pPr>
        <w:pStyle w:val="FootnoteText"/>
        <w:rPr>
          <w:rFonts w:ascii="Book Antiqua" w:hAnsi="Book Antiqua"/>
          <w:sz w:val="20"/>
        </w:rPr>
      </w:pPr>
      <w:r w:rsidRPr="00F174B0">
        <w:rPr>
          <w:rStyle w:val="FootnoteReference"/>
          <w:rFonts w:ascii="Book Antiqua" w:hAnsi="Book Antiqua"/>
          <w:sz w:val="20"/>
        </w:rPr>
        <w:footnoteRef/>
      </w:r>
      <w:r w:rsidRPr="00F174B0">
        <w:rPr>
          <w:rFonts w:ascii="Book Antiqua" w:hAnsi="Book Antiqua"/>
          <w:sz w:val="20"/>
        </w:rPr>
        <w:t xml:space="preserve"> June 29, 2026, </w:t>
      </w:r>
      <w:proofErr w:type="gramStart"/>
      <w:r w:rsidRPr="00F174B0">
        <w:rPr>
          <w:rFonts w:ascii="Book Antiqua" w:hAnsi="Book Antiqua"/>
          <w:sz w:val="20"/>
        </w:rPr>
        <w:t>Response at</w:t>
      </w:r>
      <w:proofErr w:type="gramEnd"/>
      <w:r w:rsidRPr="00F174B0">
        <w:rPr>
          <w:rFonts w:ascii="Book Antiqua" w:hAnsi="Book Antiqua"/>
          <w:sz w:val="20"/>
        </w:rPr>
        <w:t xml:space="preserve"> Attachment B (Declaration of Michael B. Houston).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16E38" w14:textId="08DCCCF3" w:rsidR="00230234" w:rsidRDefault="00F174B0">
    <w:pPr>
      <w:pStyle w:val="Header"/>
      <w:tabs>
        <w:tab w:val="clear" w:pos="8640"/>
        <w:tab w:val="right" w:pos="9360"/>
      </w:tabs>
      <w:rPr>
        <w:rFonts w:ascii="Book Antiqua" w:hAnsi="Book Antiqua"/>
        <w:b/>
        <w:bCs/>
      </w:rPr>
    </w:pPr>
    <w:r>
      <w:rPr>
        <w:rFonts w:ascii="Book Antiqua" w:hAnsi="Book Antiqua"/>
      </w:rPr>
      <w:t>C.25-11-004  ALJ/SL5/</w:t>
    </w:r>
    <w:proofErr w:type="spellStart"/>
    <w:r w:rsidR="00800EBD">
      <w:rPr>
        <w:rFonts w:ascii="Book Antiqua" w:hAnsi="Book Antiqua"/>
      </w:rPr>
      <w:t>smt</w:t>
    </w:r>
    <w:proofErr w:type="spellEnd"/>
    <w:r>
      <w:rPr>
        <w:rFonts w:ascii="Book Antiqua" w:hAnsi="Book Antiqua"/>
      </w:rPr>
      <w:tab/>
    </w:r>
    <w:r>
      <w:rPr>
        <w:rFonts w:ascii="Book Antiqua" w:hAnsi="Book Antiqua"/>
      </w:rPr>
      <w:tab/>
    </w:r>
  </w:p>
  <w:p w14:paraId="3AAA64C9" w14:textId="77777777" w:rsidR="00F174B0" w:rsidRPr="00F174B0" w:rsidRDefault="00F174B0">
    <w:pPr>
      <w:pStyle w:val="Header"/>
      <w:tabs>
        <w:tab w:val="clear" w:pos="8640"/>
        <w:tab w:val="right" w:pos="9360"/>
      </w:tabs>
      <w:rPr>
        <w:rFonts w:ascii="Book Antiqua" w:hAnsi="Book Antiqua"/>
        <w:b/>
        <w:bCs/>
      </w:rPr>
    </w:pPr>
  </w:p>
  <w:p w14:paraId="7F451DEA" w14:textId="77777777" w:rsidR="00230234" w:rsidRPr="000D5378" w:rsidRDefault="00230234">
    <w:pPr>
      <w:pStyle w:val="Head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A1C77B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5050A5FC"/>
    <w:lvl w:ilvl="0">
      <w:start w:val="1"/>
      <w:numFmt w:val="decimal"/>
      <w:pStyle w:val="Heading1"/>
      <w:lvlText w:val="%1."/>
      <w:legacy w:legacy="1" w:legacySpace="0" w:legacyIndent="720"/>
      <w:lvlJc w:val="left"/>
      <w:pPr>
        <w:ind w:left="720" w:hanging="720"/>
      </w:pPr>
      <w:rPr>
        <w:b/>
      </w:rPr>
    </w:lvl>
    <w:lvl w:ilvl="1">
      <w:start w:val="1"/>
      <w:numFmt w:val="decimal"/>
      <w:pStyle w:val="Heading2"/>
      <w:lvlText w:val="%1.%2."/>
      <w:legacy w:legacy="1" w:legacySpace="0" w:legacyIndent="720"/>
      <w:lvlJc w:val="left"/>
      <w:pPr>
        <w:ind w:left="1440" w:hanging="720"/>
      </w:pPr>
    </w:lvl>
    <w:lvl w:ilvl="2">
      <w:start w:val="1"/>
      <w:numFmt w:val="decimal"/>
      <w:pStyle w:val="Heading3"/>
      <w:lvlText w:val="%1.%2.%3."/>
      <w:legacy w:legacy="1" w:legacySpace="0" w:legacyIndent="720"/>
      <w:lvlJc w:val="left"/>
      <w:pPr>
        <w:ind w:left="2160" w:hanging="720"/>
      </w:pPr>
    </w:lvl>
    <w:lvl w:ilvl="3">
      <w:start w:val="1"/>
      <w:numFmt w:val="decimal"/>
      <w:pStyle w:val="Heading4"/>
      <w:lvlText w:val="%1.%2.%3.%4."/>
      <w:legacy w:legacy="1" w:legacySpace="0" w:legacyIndent="720"/>
      <w:lvlJc w:val="left"/>
      <w:pPr>
        <w:ind w:left="2880" w:hanging="720"/>
      </w:pPr>
    </w:lvl>
    <w:lvl w:ilvl="4">
      <w:start w:val="1"/>
      <w:numFmt w:val="decimal"/>
      <w:pStyle w:val="Heading5"/>
      <w:lvlText w:val="%1.%2.%3.%4.%5."/>
      <w:legacy w:legacy="1" w:legacySpace="0" w:legacyIndent="720"/>
      <w:lvlJc w:val="left"/>
      <w:pPr>
        <w:ind w:left="4140" w:hanging="720"/>
      </w:pPr>
      <w:rPr>
        <w:rFonts w:ascii="Helvetica" w:hAnsi="Helvetica" w:cs="Times New Roman" w:hint="default"/>
        <w:sz w:val="26"/>
        <w:szCs w:val="26"/>
      </w:rPr>
    </w:lvl>
    <w:lvl w:ilvl="5">
      <w:start w:val="1"/>
      <w:numFmt w:val="decimal"/>
      <w:pStyle w:val="Heading6"/>
      <w:lvlText w:val="%1.%2.%3.%4.%5.%6."/>
      <w:legacy w:legacy="1" w:legacySpace="0" w:legacyIndent="720"/>
      <w:lvlJc w:val="left"/>
      <w:pPr>
        <w:ind w:left="4320" w:hanging="720"/>
      </w:pPr>
      <w:rPr>
        <w:b/>
        <w:i w:val="0"/>
        <w:sz w:val="26"/>
        <w:szCs w:val="26"/>
      </w:rPr>
    </w:lvl>
    <w:lvl w:ilvl="6">
      <w:start w:val="1"/>
      <w:numFmt w:val="decimal"/>
      <w:pStyle w:val="Heading7"/>
      <w:lvlText w:val="%1.%2.%3.%4.%5.%6.%7."/>
      <w:legacy w:legacy="1" w:legacySpace="0" w:legacyIndent="720"/>
      <w:lvlJc w:val="left"/>
      <w:pPr>
        <w:ind w:left="5040" w:hanging="720"/>
      </w:pPr>
    </w:lvl>
    <w:lvl w:ilvl="7">
      <w:start w:val="1"/>
      <w:numFmt w:val="decimal"/>
      <w:lvlText w:val="%1.%2.%3.%4.%5.%6.%7.%8."/>
      <w:legacy w:legacy="1" w:legacySpace="0" w:legacyIndent="720"/>
      <w:lvlJc w:val="left"/>
      <w:pPr>
        <w:ind w:left="5760" w:hanging="720"/>
      </w:pPr>
    </w:lvl>
    <w:lvl w:ilvl="8">
      <w:start w:val="1"/>
      <w:numFmt w:val="decimal"/>
      <w:pStyle w:val="Heading9"/>
      <w:lvlText w:val="%1.%2.%3.%4.%5.%6.%7.%8.%9."/>
      <w:legacy w:legacy="1" w:legacySpace="0" w:legacyIndent="720"/>
      <w:lvlJc w:val="left"/>
      <w:pPr>
        <w:ind w:left="6480" w:hanging="720"/>
      </w:pPr>
    </w:lvl>
  </w:abstractNum>
  <w:abstractNum w:abstractNumId="2" w15:restartNumberingAfterBreak="0">
    <w:nsid w:val="07C12C09"/>
    <w:multiLevelType w:val="multilevel"/>
    <w:tmpl w:val="182A53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13B381E"/>
    <w:multiLevelType w:val="singleLevel"/>
    <w:tmpl w:val="2FB6A734"/>
    <w:lvl w:ilvl="0">
      <w:start w:val="1"/>
      <w:numFmt w:val="decimal"/>
      <w:lvlText w:val="%1."/>
      <w:legacy w:legacy="1" w:legacySpace="144" w:legacyIndent="0"/>
      <w:lvlJc w:val="left"/>
    </w:lvl>
  </w:abstractNum>
  <w:abstractNum w:abstractNumId="4" w15:restartNumberingAfterBreak="0">
    <w:nsid w:val="146C1C14"/>
    <w:multiLevelType w:val="multilevel"/>
    <w:tmpl w:val="18F4A5AC"/>
    <w:styleLink w:val="FoFCoLOP"/>
    <w:lvl w:ilvl="0">
      <w:start w:val="1"/>
      <w:numFmt w:val="decimal"/>
      <w:pStyle w:val="OP"/>
      <w:lvlText w:val="%1."/>
      <w:lvlJc w:val="right"/>
      <w:pPr>
        <w:ind w:left="0" w:firstLine="540"/>
      </w:pPr>
      <w:rPr>
        <w:rFonts w:hint="default"/>
      </w:rPr>
    </w:lvl>
    <w:lvl w:ilvl="1">
      <w:start w:val="1"/>
      <w:numFmt w:val="lowerLetter"/>
      <w:lvlText w:val="(%2)"/>
      <w:lvlJc w:val="right"/>
      <w:pPr>
        <w:ind w:left="1152" w:hanging="72"/>
      </w:pPr>
      <w:rPr>
        <w:rFonts w:hint="default"/>
      </w:rPr>
    </w:lvl>
    <w:lvl w:ilvl="2">
      <w:start w:val="1"/>
      <w:numFmt w:val="none"/>
      <w:lvlText w:val=""/>
      <w:lvlJc w:val="left"/>
      <w:pPr>
        <w:ind w:left="720" w:firstLine="0"/>
      </w:pPr>
      <w:rPr>
        <w:rFonts w:hint="default"/>
      </w:rPr>
    </w:lvl>
    <w:lvl w:ilvl="3">
      <w:start w:val="1"/>
      <w:numFmt w:val="none"/>
      <w:lvlText w:val=""/>
      <w:lvlJc w:val="left"/>
      <w:pPr>
        <w:ind w:left="720" w:firstLine="0"/>
      </w:pPr>
      <w:rPr>
        <w:rFonts w:hint="default"/>
      </w:rPr>
    </w:lvl>
    <w:lvl w:ilvl="4">
      <w:start w:val="1"/>
      <w:numFmt w:val="none"/>
      <w:lvlText w:val=""/>
      <w:lvlJc w:val="left"/>
      <w:pPr>
        <w:ind w:left="720" w:firstLine="0"/>
      </w:pPr>
      <w:rPr>
        <w:rFonts w:hint="default"/>
      </w:rPr>
    </w:lvl>
    <w:lvl w:ilvl="5">
      <w:start w:val="1"/>
      <w:numFmt w:val="none"/>
      <w:lvlText w:val=""/>
      <w:lvlJc w:val="left"/>
      <w:pPr>
        <w:ind w:left="720" w:firstLine="0"/>
      </w:pPr>
      <w:rPr>
        <w:rFonts w:hint="default"/>
      </w:rPr>
    </w:lvl>
    <w:lvl w:ilvl="6">
      <w:start w:val="1"/>
      <w:numFmt w:val="none"/>
      <w:lvlText w:val=""/>
      <w:lvlJc w:val="left"/>
      <w:pPr>
        <w:ind w:left="720" w:firstLine="0"/>
      </w:pPr>
      <w:rPr>
        <w:rFonts w:hint="default"/>
      </w:rPr>
    </w:lvl>
    <w:lvl w:ilvl="7">
      <w:start w:val="1"/>
      <w:numFmt w:val="none"/>
      <w:lvlText w:val=""/>
      <w:lvlJc w:val="left"/>
      <w:pPr>
        <w:ind w:left="720" w:firstLine="0"/>
      </w:pPr>
      <w:rPr>
        <w:rFonts w:hint="default"/>
      </w:rPr>
    </w:lvl>
    <w:lvl w:ilvl="8">
      <w:start w:val="1"/>
      <w:numFmt w:val="none"/>
      <w:lvlText w:val=""/>
      <w:lvlJc w:val="left"/>
      <w:pPr>
        <w:ind w:left="720" w:firstLine="0"/>
      </w:pPr>
      <w:rPr>
        <w:rFonts w:hint="default"/>
      </w:rPr>
    </w:lvl>
  </w:abstractNum>
  <w:abstractNum w:abstractNumId="5" w15:restartNumberingAfterBreak="0">
    <w:nsid w:val="2DD46003"/>
    <w:multiLevelType w:val="singleLevel"/>
    <w:tmpl w:val="408002C8"/>
    <w:lvl w:ilvl="0">
      <w:start w:val="1"/>
      <w:numFmt w:val="decimal"/>
      <w:lvlText w:val="%1."/>
      <w:legacy w:legacy="1" w:legacySpace="144" w:legacyIndent="0"/>
      <w:lvlJc w:val="left"/>
    </w:lvl>
  </w:abstractNum>
  <w:abstractNum w:abstractNumId="6" w15:restartNumberingAfterBreak="0">
    <w:nsid w:val="331F6D42"/>
    <w:multiLevelType w:val="multilevel"/>
    <w:tmpl w:val="3C526EDE"/>
    <w:styleLink w:val="Headings"/>
    <w:lvl w:ilvl="0">
      <w:start w:val="1"/>
      <w:numFmt w:val="decimal"/>
      <w:lvlText w:val="%1."/>
      <w:lvlJc w:val="left"/>
      <w:pPr>
        <w:ind w:left="720" w:hanging="720"/>
      </w:pPr>
      <w:rPr>
        <w:rFonts w:ascii="Arial" w:hAnsi="Arial" w:hint="default"/>
        <w:b/>
        <w:i w:val="0"/>
        <w:caps w:val="0"/>
        <w:strike w:val="0"/>
        <w:dstrike w:val="0"/>
        <w:vanish w:val="0"/>
        <w:color w:val="auto"/>
        <w:kern w:val="0"/>
        <w:position w:val="0"/>
        <w:sz w:val="26"/>
        <w:u w:val="none"/>
        <w:vertAlign w:val="baseline"/>
        <w14:ligatures w14:val="none"/>
        <w14:numSpacing w14:val="default"/>
        <w14:cntxtAlts w14:val="0"/>
      </w:rPr>
    </w:lvl>
    <w:lvl w:ilvl="1">
      <w:start w:val="1"/>
      <w:numFmt w:val="decimal"/>
      <w:lvlText w:val="%1.%2."/>
      <w:lvlJc w:val="left"/>
      <w:pPr>
        <w:tabs>
          <w:tab w:val="num" w:pos="1080"/>
        </w:tabs>
        <w:ind w:left="1080" w:hanging="720"/>
      </w:pPr>
      <w:rPr>
        <w:rFonts w:ascii="Arial" w:hAnsi="Arial" w:hint="default"/>
        <w:b/>
        <w:i w:val="0"/>
        <w:caps w:val="0"/>
        <w:strike w:val="0"/>
        <w:dstrike w:val="0"/>
        <w:vanish w:val="0"/>
        <w:color w:val="auto"/>
        <w:kern w:val="0"/>
        <w:sz w:val="26"/>
        <w:u w:val="none"/>
        <w:vertAlign w:val="baseline"/>
        <w14:cntxtAlts w14:val="0"/>
      </w:rPr>
    </w:lvl>
    <w:lvl w:ilvl="2">
      <w:start w:val="1"/>
      <w:numFmt w:val="decimal"/>
      <w:lvlText w:val="%1.%2.%3."/>
      <w:lvlJc w:val="left"/>
      <w:pPr>
        <w:tabs>
          <w:tab w:val="num" w:pos="1656"/>
        </w:tabs>
        <w:ind w:left="1656" w:hanging="936"/>
      </w:pPr>
      <w:rPr>
        <w:rFonts w:ascii="Arial" w:hAnsi="Arial" w:hint="default"/>
        <w:b/>
        <w:i w:val="0"/>
        <w:caps w:val="0"/>
        <w:strike w:val="0"/>
        <w:dstrike w:val="0"/>
        <w:vanish w:val="0"/>
        <w:color w:val="auto"/>
        <w:kern w:val="0"/>
        <w:sz w:val="26"/>
        <w:u w:val="none"/>
        <w:vertAlign w:val="baseline"/>
        <w14:cntxtAlts w14:val="0"/>
      </w:rPr>
    </w:lvl>
    <w:lvl w:ilvl="3">
      <w:start w:val="1"/>
      <w:numFmt w:val="decimal"/>
      <w:lvlText w:val="%1.%2.%3.%4."/>
      <w:lvlJc w:val="left"/>
      <w:pPr>
        <w:tabs>
          <w:tab w:val="num" w:pos="2232"/>
        </w:tabs>
        <w:ind w:left="2232" w:hanging="1152"/>
      </w:pPr>
      <w:rPr>
        <w:rFonts w:ascii="Arial" w:hAnsi="Arial" w:hint="default"/>
        <w:b/>
        <w:i w:val="0"/>
        <w:caps w:val="0"/>
        <w:strike w:val="0"/>
        <w:dstrike w:val="0"/>
        <w:vanish w:val="0"/>
        <w:kern w:val="0"/>
        <w:sz w:val="26"/>
        <w:vertAlign w:val="baseline"/>
        <w14:cntxtAlts w14:val="0"/>
      </w:rPr>
    </w:lvl>
    <w:lvl w:ilvl="4">
      <w:start w:val="1"/>
      <w:numFmt w:val="decimal"/>
      <w:lvlText w:val="%1.%2.%3.%4.%5."/>
      <w:lvlJc w:val="left"/>
      <w:pPr>
        <w:tabs>
          <w:tab w:val="num" w:pos="2880"/>
        </w:tabs>
        <w:ind w:left="2880" w:hanging="1440"/>
      </w:pPr>
      <w:rPr>
        <w:rFonts w:ascii="Arial" w:hAnsi="Arial" w:hint="default"/>
        <w:b/>
        <w:i w:val="0"/>
        <w:sz w:val="26"/>
      </w:rPr>
    </w:lvl>
    <w:lvl w:ilvl="5">
      <w:start w:val="1"/>
      <w:numFmt w:val="decimal"/>
      <w:lvlText w:val="%1.%2.%3.%4.%5.%6."/>
      <w:lvlJc w:val="left"/>
      <w:pPr>
        <w:tabs>
          <w:tab w:val="num" w:pos="3528"/>
        </w:tabs>
        <w:ind w:left="3528" w:hanging="1728"/>
      </w:pPr>
      <w:rPr>
        <w:rFonts w:ascii="Arial" w:hAnsi="Arial" w:hint="default"/>
        <w:b/>
        <w:i w:val="0"/>
        <w:sz w:val="26"/>
      </w:rPr>
    </w:lvl>
    <w:lvl w:ilvl="6">
      <w:start w:val="1"/>
      <w:numFmt w:val="decimal"/>
      <w:lvlText w:val="%7."/>
      <w:lvlJc w:val="left"/>
      <w:pPr>
        <w:tabs>
          <w:tab w:val="num" w:pos="1080"/>
        </w:tabs>
        <w:ind w:left="1080" w:hanging="360"/>
      </w:pPr>
      <w:rPr>
        <w:rFonts w:ascii="Book Antiqua" w:hAnsi="Book Antiqua" w:hint="default"/>
        <w:b w:val="0"/>
        <w:i w:val="0"/>
        <w:sz w:val="26"/>
      </w:rPr>
    </w:lvl>
    <w:lvl w:ilvl="7">
      <w:start w:val="1"/>
      <w:numFmt w:val="lowerLetter"/>
      <w:lvlText w:val="%8."/>
      <w:lvlJc w:val="left"/>
      <w:pPr>
        <w:ind w:left="1080" w:hanging="360"/>
      </w:pPr>
      <w:rPr>
        <w:rFonts w:ascii="Book Antiqua" w:hAnsi="Book Antiqua" w:hint="default"/>
        <w:sz w:val="26"/>
      </w:rPr>
    </w:lvl>
    <w:lvl w:ilvl="8">
      <w:start w:val="1"/>
      <w:numFmt w:val="none"/>
      <w:lvlText w:val=""/>
      <w:lvlJc w:val="left"/>
      <w:pPr>
        <w:ind w:left="3240" w:hanging="360"/>
      </w:pPr>
      <w:rPr>
        <w:rFonts w:hint="default"/>
      </w:rPr>
    </w:lvl>
  </w:abstractNum>
  <w:abstractNum w:abstractNumId="7" w15:restartNumberingAfterBreak="0">
    <w:nsid w:val="33394DA9"/>
    <w:multiLevelType w:val="hybridMultilevel"/>
    <w:tmpl w:val="301275F8"/>
    <w:lvl w:ilvl="0" w:tplc="2468F054">
      <w:start w:val="1"/>
      <w:numFmt w:val="bullet"/>
      <w:pStyle w:val="bullets"/>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6D37F8C"/>
    <w:multiLevelType w:val="multilevel"/>
    <w:tmpl w:val="DAD268B6"/>
    <w:lvl w:ilvl="0">
      <w:start w:val="1"/>
      <w:numFmt w:val="decimal"/>
      <w:lvlText w:val="%1."/>
      <w:lvlJc w:val="left"/>
      <w:pPr>
        <w:tabs>
          <w:tab w:val="num" w:pos="1440"/>
        </w:tabs>
        <w:ind w:left="1080" w:hanging="360"/>
      </w:pPr>
      <w:rPr>
        <w:rFonts w:hint="default"/>
      </w:rPr>
    </w:lvl>
    <w:lvl w:ilvl="1">
      <w:start w:val="1"/>
      <w:numFmt w:val="decimal"/>
      <w:lvlText w:val="%1.%2."/>
      <w:lvlJc w:val="left"/>
      <w:pPr>
        <w:tabs>
          <w:tab w:val="num" w:pos="2160"/>
        </w:tabs>
        <w:ind w:left="1512" w:hanging="432"/>
      </w:pPr>
      <w:rPr>
        <w:rFonts w:hint="default"/>
      </w:rPr>
    </w:lvl>
    <w:lvl w:ilvl="2">
      <w:start w:val="1"/>
      <w:numFmt w:val="decimal"/>
      <w:lvlText w:val="%1.%2.%3."/>
      <w:lvlJc w:val="left"/>
      <w:pPr>
        <w:tabs>
          <w:tab w:val="num" w:pos="2880"/>
        </w:tabs>
        <w:ind w:left="1944" w:hanging="504"/>
      </w:pPr>
      <w:rPr>
        <w:rFonts w:hint="default"/>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pStyle w:val="StyleHeading6Left05Hanging106"/>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9" w15:restartNumberingAfterBreak="0">
    <w:nsid w:val="3C00172B"/>
    <w:multiLevelType w:val="hybridMultilevel"/>
    <w:tmpl w:val="B65EEAAA"/>
    <w:lvl w:ilvl="0" w:tplc="0409000F">
      <w:start w:val="1"/>
      <w:numFmt w:val="decimal"/>
      <w:lvlText w:val="%1."/>
      <w:lvlJc w:val="left"/>
      <w:pPr>
        <w:tabs>
          <w:tab w:val="num" w:pos="720"/>
        </w:tabs>
        <w:ind w:left="720" w:hanging="360"/>
      </w:pPr>
    </w:lvl>
    <w:lvl w:ilvl="1" w:tplc="2148272C">
      <w:start w:val="1"/>
      <w:numFmt w:val="lowerLetter"/>
      <w:pStyle w:val="a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A527F38"/>
    <w:multiLevelType w:val="singleLevel"/>
    <w:tmpl w:val="E46A7320"/>
    <w:lvl w:ilvl="0">
      <w:start w:val="1"/>
      <w:numFmt w:val="decimal"/>
      <w:lvlText w:val="%1."/>
      <w:legacy w:legacy="1" w:legacySpace="144" w:legacyIndent="0"/>
      <w:lvlJc w:val="left"/>
    </w:lvl>
  </w:abstractNum>
  <w:abstractNum w:abstractNumId="11" w15:restartNumberingAfterBreak="0">
    <w:nsid w:val="5A9E2171"/>
    <w:multiLevelType w:val="multilevel"/>
    <w:tmpl w:val="3C526EDE"/>
    <w:numStyleLink w:val="Headings"/>
  </w:abstractNum>
  <w:abstractNum w:abstractNumId="12" w15:restartNumberingAfterBreak="0">
    <w:nsid w:val="5B3D00B6"/>
    <w:multiLevelType w:val="hybridMultilevel"/>
    <w:tmpl w:val="CF2EB0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6EC4122B"/>
    <w:multiLevelType w:val="multilevel"/>
    <w:tmpl w:val="6C4CF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9A0AFE"/>
    <w:multiLevelType w:val="multilevel"/>
    <w:tmpl w:val="18F4A5AC"/>
    <w:numStyleLink w:val="FoFCoLOP"/>
  </w:abstractNum>
  <w:abstractNum w:abstractNumId="15" w15:restartNumberingAfterBreak="0">
    <w:nsid w:val="7B1C30FD"/>
    <w:multiLevelType w:val="singleLevel"/>
    <w:tmpl w:val="2FB6A734"/>
    <w:lvl w:ilvl="0">
      <w:start w:val="1"/>
      <w:numFmt w:val="decimal"/>
      <w:lvlText w:val="%1."/>
      <w:legacy w:legacy="1" w:legacySpace="144" w:legacyIndent="0"/>
      <w:lvlJc w:val="left"/>
    </w:lvl>
  </w:abstractNum>
  <w:num w:numId="1" w16cid:durableId="923879346">
    <w:abstractNumId w:val="5"/>
  </w:num>
  <w:num w:numId="2" w16cid:durableId="1307466112">
    <w:abstractNumId w:val="3"/>
  </w:num>
  <w:num w:numId="3" w16cid:durableId="392967809">
    <w:abstractNumId w:val="15"/>
  </w:num>
  <w:num w:numId="4" w16cid:durableId="1288319121">
    <w:abstractNumId w:val="7"/>
  </w:num>
  <w:num w:numId="5" w16cid:durableId="297421074">
    <w:abstractNumId w:val="9"/>
  </w:num>
  <w:num w:numId="6" w16cid:durableId="1617716827">
    <w:abstractNumId w:val="1"/>
  </w:num>
  <w:num w:numId="7" w16cid:durableId="1724210003">
    <w:abstractNumId w:val="8"/>
  </w:num>
  <w:num w:numId="8" w16cid:durableId="1716806727">
    <w:abstractNumId w:val="1"/>
  </w:num>
  <w:num w:numId="9" w16cid:durableId="1549494327">
    <w:abstractNumId w:val="1"/>
  </w:num>
  <w:num w:numId="10" w16cid:durableId="1516964083">
    <w:abstractNumId w:val="10"/>
  </w:num>
  <w:num w:numId="11" w16cid:durableId="1611863796">
    <w:abstractNumId w:val="13"/>
  </w:num>
  <w:num w:numId="12" w16cid:durableId="675115393">
    <w:abstractNumId w:val="2"/>
  </w:num>
  <w:num w:numId="13" w16cid:durableId="8207372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498678">
    <w:abstractNumId w:val="12"/>
  </w:num>
  <w:num w:numId="15" w16cid:durableId="1354526949">
    <w:abstractNumId w:val="11"/>
  </w:num>
  <w:num w:numId="16" w16cid:durableId="140774137">
    <w:abstractNumId w:val="4"/>
  </w:num>
  <w:num w:numId="17" w16cid:durableId="2017029027">
    <w:abstractNumId w:val="14"/>
  </w:num>
  <w:num w:numId="18" w16cid:durableId="973756952">
    <w:abstractNumId w:val="6"/>
  </w:num>
  <w:num w:numId="19" w16cid:durableId="816924040">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2C0"/>
    <w:rsid w:val="00001145"/>
    <w:rsid w:val="00031EEA"/>
    <w:rsid w:val="00063198"/>
    <w:rsid w:val="00066713"/>
    <w:rsid w:val="00075938"/>
    <w:rsid w:val="000B040C"/>
    <w:rsid w:val="000D07E2"/>
    <w:rsid w:val="000D5378"/>
    <w:rsid w:val="000D7444"/>
    <w:rsid w:val="000E4D82"/>
    <w:rsid w:val="00111C69"/>
    <w:rsid w:val="00111EE9"/>
    <w:rsid w:val="00145E9A"/>
    <w:rsid w:val="00165D99"/>
    <w:rsid w:val="00192B99"/>
    <w:rsid w:val="001B06DF"/>
    <w:rsid w:val="001B625D"/>
    <w:rsid w:val="001C06BC"/>
    <w:rsid w:val="001E2022"/>
    <w:rsid w:val="0021402B"/>
    <w:rsid w:val="00217034"/>
    <w:rsid w:val="00230234"/>
    <w:rsid w:val="0026152F"/>
    <w:rsid w:val="00293553"/>
    <w:rsid w:val="002A04A6"/>
    <w:rsid w:val="002C3D04"/>
    <w:rsid w:val="002C4F40"/>
    <w:rsid w:val="002E4641"/>
    <w:rsid w:val="0031389D"/>
    <w:rsid w:val="00323942"/>
    <w:rsid w:val="00324A9B"/>
    <w:rsid w:val="00361DC7"/>
    <w:rsid w:val="003A3FDA"/>
    <w:rsid w:val="003D4067"/>
    <w:rsid w:val="00460B27"/>
    <w:rsid w:val="004651D0"/>
    <w:rsid w:val="004D0183"/>
    <w:rsid w:val="004F5E6A"/>
    <w:rsid w:val="005136D9"/>
    <w:rsid w:val="005649F8"/>
    <w:rsid w:val="005670BA"/>
    <w:rsid w:val="005A24B2"/>
    <w:rsid w:val="005D1987"/>
    <w:rsid w:val="005D23BB"/>
    <w:rsid w:val="00602092"/>
    <w:rsid w:val="0060402C"/>
    <w:rsid w:val="00604D6C"/>
    <w:rsid w:val="00607E88"/>
    <w:rsid w:val="00642701"/>
    <w:rsid w:val="006518F6"/>
    <w:rsid w:val="00653F22"/>
    <w:rsid w:val="006623EA"/>
    <w:rsid w:val="006663B8"/>
    <w:rsid w:val="006842C0"/>
    <w:rsid w:val="00686097"/>
    <w:rsid w:val="006E0A73"/>
    <w:rsid w:val="006E7D70"/>
    <w:rsid w:val="00710403"/>
    <w:rsid w:val="00735F24"/>
    <w:rsid w:val="00744E86"/>
    <w:rsid w:val="00745315"/>
    <w:rsid w:val="007467B4"/>
    <w:rsid w:val="00747729"/>
    <w:rsid w:val="007514D4"/>
    <w:rsid w:val="007525A6"/>
    <w:rsid w:val="00775D8D"/>
    <w:rsid w:val="00782AB6"/>
    <w:rsid w:val="007E6094"/>
    <w:rsid w:val="007F100D"/>
    <w:rsid w:val="007F66F5"/>
    <w:rsid w:val="00800EBD"/>
    <w:rsid w:val="00876C3E"/>
    <w:rsid w:val="008C1BD4"/>
    <w:rsid w:val="00901F4F"/>
    <w:rsid w:val="00930042"/>
    <w:rsid w:val="00940602"/>
    <w:rsid w:val="00941BF6"/>
    <w:rsid w:val="00946089"/>
    <w:rsid w:val="00960548"/>
    <w:rsid w:val="00980249"/>
    <w:rsid w:val="00987E43"/>
    <w:rsid w:val="009927FF"/>
    <w:rsid w:val="009A0C06"/>
    <w:rsid w:val="009A5C58"/>
    <w:rsid w:val="009E3BBC"/>
    <w:rsid w:val="009F22C8"/>
    <w:rsid w:val="00A148E9"/>
    <w:rsid w:val="00A44627"/>
    <w:rsid w:val="00A47760"/>
    <w:rsid w:val="00A5469C"/>
    <w:rsid w:val="00A635E2"/>
    <w:rsid w:val="00A86E4A"/>
    <w:rsid w:val="00A94DF3"/>
    <w:rsid w:val="00AB308F"/>
    <w:rsid w:val="00AC1E67"/>
    <w:rsid w:val="00AD342E"/>
    <w:rsid w:val="00B7297B"/>
    <w:rsid w:val="00B75310"/>
    <w:rsid w:val="00B76F31"/>
    <w:rsid w:val="00B8188F"/>
    <w:rsid w:val="00BC2F32"/>
    <w:rsid w:val="00BD2B2F"/>
    <w:rsid w:val="00BF36F9"/>
    <w:rsid w:val="00C24624"/>
    <w:rsid w:val="00C56B09"/>
    <w:rsid w:val="00C66566"/>
    <w:rsid w:val="00C85632"/>
    <w:rsid w:val="00CB0E44"/>
    <w:rsid w:val="00D334A8"/>
    <w:rsid w:val="00D570A3"/>
    <w:rsid w:val="00D901CF"/>
    <w:rsid w:val="00DB2C02"/>
    <w:rsid w:val="00DB63CF"/>
    <w:rsid w:val="00DE4397"/>
    <w:rsid w:val="00E07AD6"/>
    <w:rsid w:val="00E130EE"/>
    <w:rsid w:val="00E16F4C"/>
    <w:rsid w:val="00E33347"/>
    <w:rsid w:val="00E56DAE"/>
    <w:rsid w:val="00E65A75"/>
    <w:rsid w:val="00E71824"/>
    <w:rsid w:val="00E80B35"/>
    <w:rsid w:val="00E81109"/>
    <w:rsid w:val="00EA148F"/>
    <w:rsid w:val="00EC0137"/>
    <w:rsid w:val="00EE4267"/>
    <w:rsid w:val="00EF418B"/>
    <w:rsid w:val="00F06493"/>
    <w:rsid w:val="00F06BE9"/>
    <w:rsid w:val="00F128E3"/>
    <w:rsid w:val="00F152DC"/>
    <w:rsid w:val="00F174B0"/>
    <w:rsid w:val="00F3200C"/>
    <w:rsid w:val="00F32C61"/>
    <w:rsid w:val="00F4515E"/>
    <w:rsid w:val="00F53B89"/>
    <w:rsid w:val="00F541A0"/>
    <w:rsid w:val="00F567D9"/>
    <w:rsid w:val="00F752D4"/>
    <w:rsid w:val="00FA3D94"/>
    <w:rsid w:val="00FB34BB"/>
    <w:rsid w:val="00FB472F"/>
    <w:rsid w:val="00FE4C19"/>
    <w:rsid w:val="00FE5C24"/>
    <w:rsid w:val="00FE7B80"/>
    <w:rsid w:val="00FF3961"/>
    <w:rsid w:val="00FF4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D1EAC1"/>
  <w15:docId w15:val="{9CF26DCC-AFED-4A9F-82DB-91E1D22A48B9}"/>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40"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iPriority="4"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Palatino" w:hAnsi="Palatino"/>
      <w:sz w:val="26"/>
    </w:rPr>
  </w:style>
  <w:style w:type="paragraph" w:styleId="Heading1">
    <w:name w:val="heading 1"/>
    <w:basedOn w:val="Normal"/>
    <w:next w:val="standard"/>
    <w:uiPriority w:val="4"/>
    <w:qFormat/>
    <w:pPr>
      <w:keepNext/>
      <w:numPr>
        <w:numId w:val="9"/>
      </w:numPr>
      <w:spacing w:before="120" w:after="120"/>
      <w:outlineLvl w:val="0"/>
    </w:pPr>
    <w:rPr>
      <w:rFonts w:ascii="Helvetica" w:hAnsi="Helvetica"/>
      <w:b/>
      <w:kern w:val="28"/>
      <w:szCs w:val="26"/>
    </w:rPr>
  </w:style>
  <w:style w:type="paragraph" w:styleId="Heading2">
    <w:name w:val="heading 2"/>
    <w:basedOn w:val="Normal"/>
    <w:next w:val="standard"/>
    <w:uiPriority w:val="4"/>
    <w:qFormat/>
    <w:pPr>
      <w:keepNext/>
      <w:numPr>
        <w:ilvl w:val="1"/>
        <w:numId w:val="9"/>
      </w:numPr>
      <w:spacing w:before="120" w:after="120"/>
      <w:outlineLvl w:val="1"/>
    </w:pPr>
    <w:rPr>
      <w:rFonts w:ascii="Helvetica" w:hAnsi="Helvetica"/>
      <w:b/>
      <w:szCs w:val="26"/>
    </w:rPr>
  </w:style>
  <w:style w:type="paragraph" w:styleId="Heading3">
    <w:name w:val="heading 3"/>
    <w:basedOn w:val="Normal"/>
    <w:next w:val="standard"/>
    <w:uiPriority w:val="4"/>
    <w:qFormat/>
    <w:pPr>
      <w:keepNext/>
      <w:numPr>
        <w:ilvl w:val="2"/>
        <w:numId w:val="9"/>
      </w:numPr>
      <w:tabs>
        <w:tab w:val="left" w:pos="1620"/>
      </w:tabs>
      <w:spacing w:before="120" w:after="120"/>
      <w:outlineLvl w:val="2"/>
    </w:pPr>
    <w:rPr>
      <w:rFonts w:ascii="Helvetica" w:hAnsi="Helvetica"/>
      <w:b/>
      <w:szCs w:val="26"/>
    </w:rPr>
  </w:style>
  <w:style w:type="paragraph" w:styleId="Heading4">
    <w:name w:val="heading 4"/>
    <w:basedOn w:val="Normal"/>
    <w:next w:val="standard"/>
    <w:uiPriority w:val="4"/>
    <w:qFormat/>
    <w:pPr>
      <w:keepNext/>
      <w:numPr>
        <w:ilvl w:val="3"/>
        <w:numId w:val="9"/>
      </w:numPr>
      <w:tabs>
        <w:tab w:val="left" w:pos="1800"/>
      </w:tabs>
      <w:spacing w:before="120" w:after="120"/>
      <w:outlineLvl w:val="3"/>
    </w:pPr>
    <w:rPr>
      <w:rFonts w:ascii="Helvetica" w:hAnsi="Helvetica"/>
      <w:b/>
      <w:szCs w:val="26"/>
    </w:rPr>
  </w:style>
  <w:style w:type="paragraph" w:styleId="Heading5">
    <w:name w:val="heading 5"/>
    <w:basedOn w:val="Normal"/>
    <w:next w:val="standard"/>
    <w:uiPriority w:val="4"/>
    <w:qFormat/>
    <w:pPr>
      <w:numPr>
        <w:ilvl w:val="4"/>
        <w:numId w:val="9"/>
      </w:numPr>
      <w:tabs>
        <w:tab w:val="left" w:pos="1980"/>
      </w:tabs>
      <w:spacing w:before="120" w:after="120"/>
      <w:outlineLvl w:val="4"/>
    </w:pPr>
    <w:rPr>
      <w:rFonts w:ascii="Helvetica" w:hAnsi="Helvetica"/>
      <w:b/>
      <w:szCs w:val="26"/>
    </w:rPr>
  </w:style>
  <w:style w:type="paragraph" w:styleId="Heading6">
    <w:name w:val="heading 6"/>
    <w:basedOn w:val="Normal"/>
    <w:next w:val="standard"/>
    <w:uiPriority w:val="4"/>
    <w:qFormat/>
    <w:pPr>
      <w:numPr>
        <w:ilvl w:val="5"/>
        <w:numId w:val="9"/>
      </w:numPr>
      <w:tabs>
        <w:tab w:val="left" w:pos="2250"/>
      </w:tabs>
      <w:spacing w:before="120" w:after="120"/>
      <w:outlineLvl w:val="5"/>
    </w:pPr>
    <w:rPr>
      <w:rFonts w:ascii="Helvetica" w:hAnsi="Helvetica" w:cs="Arial"/>
      <w:b/>
      <w:bCs/>
      <w:szCs w:val="26"/>
    </w:rPr>
  </w:style>
  <w:style w:type="paragraph" w:styleId="Heading7">
    <w:name w:val="heading 7"/>
    <w:basedOn w:val="Normal"/>
    <w:next w:val="standard"/>
    <w:qFormat/>
    <w:pPr>
      <w:numPr>
        <w:ilvl w:val="6"/>
        <w:numId w:val="9"/>
      </w:numPr>
      <w:tabs>
        <w:tab w:val="left" w:pos="2520"/>
      </w:tabs>
      <w:spacing w:before="120" w:after="120"/>
      <w:outlineLvl w:val="6"/>
    </w:pPr>
    <w:rPr>
      <w:rFonts w:ascii="Helvetica" w:hAnsi="Helvetica"/>
      <w:b/>
    </w:rPr>
  </w:style>
  <w:style w:type="paragraph" w:styleId="Heading8">
    <w:name w:val="heading 8"/>
    <w:basedOn w:val="Heading9"/>
    <w:next w:val="standard"/>
    <w:qFormat/>
    <w:pPr>
      <w:numPr>
        <w:ilvl w:val="0"/>
        <w:numId w:val="0"/>
      </w:numPr>
      <w:outlineLvl w:val="7"/>
    </w:pPr>
  </w:style>
  <w:style w:type="paragraph" w:styleId="Heading9">
    <w:name w:val="heading 9"/>
    <w:basedOn w:val="Normal"/>
    <w:next w:val="standard"/>
    <w:autoRedefine/>
    <w:qFormat/>
    <w:pPr>
      <w:numPr>
        <w:ilvl w:val="8"/>
        <w:numId w:val="9"/>
      </w:numPr>
      <w:tabs>
        <w:tab w:val="left" w:pos="2880"/>
      </w:tabs>
      <w:spacing w:before="120" w:after="120"/>
      <w:outlineLvl w:val="8"/>
    </w:pPr>
    <w:rPr>
      <w:rFonts w:ascii="Helvetica" w:hAnsi="Helvetica"/>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basedOn w:val="Normal"/>
    <w:link w:val="standardChar"/>
    <w:pPr>
      <w:spacing w:line="360" w:lineRule="auto"/>
      <w:ind w:firstLine="720"/>
    </w:pPr>
  </w:style>
  <w:style w:type="paragraph" w:customStyle="1" w:styleId="sub1">
    <w:name w:val="sub1"/>
    <w:basedOn w:val="Normal"/>
    <w:pPr>
      <w:spacing w:line="360" w:lineRule="auto"/>
      <w:ind w:firstLine="720"/>
    </w:pPr>
  </w:style>
  <w:style w:type="paragraph" w:customStyle="1" w:styleId="sub2">
    <w:name w:val="sub2"/>
    <w:basedOn w:val="Normal"/>
    <w:pPr>
      <w:spacing w:line="360" w:lineRule="auto"/>
      <w:ind w:firstLine="720"/>
    </w:pPr>
  </w:style>
  <w:style w:type="paragraph" w:customStyle="1" w:styleId="sub3">
    <w:name w:val="sub3"/>
    <w:basedOn w:val="Normal"/>
    <w:pPr>
      <w:spacing w:line="360" w:lineRule="auto"/>
      <w:ind w:firstLine="720"/>
    </w:pPr>
  </w:style>
  <w:style w:type="paragraph" w:customStyle="1" w:styleId="sub4">
    <w:name w:val="sub4"/>
    <w:basedOn w:val="Normal"/>
    <w:pPr>
      <w:spacing w:line="360" w:lineRule="auto"/>
      <w:ind w:firstLine="720"/>
    </w:pPr>
  </w:style>
  <w:style w:type="paragraph" w:styleId="FootnoteText">
    <w:name w:val="footnote text"/>
    <w:basedOn w:val="Normal"/>
    <w:link w:val="FootnoteTextChar"/>
    <w:uiPriority w:val="40"/>
    <w:pPr>
      <w:spacing w:after="120"/>
    </w:pPr>
    <w:rPr>
      <w:sz w:val="24"/>
    </w:rPr>
  </w:style>
  <w:style w:type="character" w:styleId="FootnoteReference">
    <w:name w:val="footnote reference"/>
    <w:uiPriority w:val="99"/>
    <w:semiHidden/>
    <w:rPr>
      <w:sz w:val="24"/>
      <w:vertAlign w:val="superscript"/>
    </w:rPr>
  </w:style>
  <w:style w:type="paragraph" w:styleId="Subtitle">
    <w:name w:val="Subtitle"/>
    <w:basedOn w:val="Normal"/>
    <w:qFormat/>
    <w:pPr>
      <w:spacing w:after="60"/>
      <w:jc w:val="center"/>
    </w:pPr>
    <w:rPr>
      <w:rFonts w:ascii="Arial" w:hAnsi="Arial"/>
    </w:rPr>
  </w:style>
  <w:style w:type="paragraph" w:customStyle="1" w:styleId="Quote1">
    <w:name w:val="Quote1"/>
    <w:basedOn w:val="standard"/>
    <w:next w:val="standard"/>
    <w:pPr>
      <w:spacing w:before="120" w:after="240" w:line="240" w:lineRule="auto"/>
      <w:ind w:left="720" w:right="720" w:firstLine="0"/>
    </w:pPr>
  </w:style>
  <w:style w:type="paragraph" w:customStyle="1" w:styleId="letter">
    <w:name w:val="letter"/>
    <w:basedOn w:val="num1"/>
    <w:pPr>
      <w:spacing w:after="120" w:line="240" w:lineRule="auto"/>
      <w:ind w:left="994" w:hanging="274"/>
    </w:pPr>
  </w:style>
  <w:style w:type="paragraph" w:customStyle="1" w:styleId="num1">
    <w:name w:val="num1"/>
    <w:basedOn w:val="Normal"/>
    <w:pPr>
      <w:tabs>
        <w:tab w:val="left" w:pos="-720"/>
      </w:tabs>
      <w:suppressAutoHyphens/>
      <w:spacing w:line="360" w:lineRule="auto"/>
      <w:ind w:firstLine="360"/>
    </w:pPr>
  </w:style>
  <w:style w:type="paragraph" w:styleId="TOC4">
    <w:name w:val="toc 4"/>
    <w:basedOn w:val="Normal"/>
    <w:next w:val="Normal"/>
    <w:semiHidden/>
    <w:pPr>
      <w:tabs>
        <w:tab w:val="left" w:pos="2430"/>
        <w:tab w:val="right" w:leader="dot" w:pos="9270"/>
      </w:tabs>
      <w:ind w:left="2430" w:hanging="810"/>
    </w:pPr>
    <w:rPr>
      <w:noProof/>
      <w:szCs w:val="26"/>
    </w:rPr>
  </w:style>
  <w:style w:type="paragraph" w:customStyle="1" w:styleId="main">
    <w:name w:val="main"/>
    <w:basedOn w:val="Normal"/>
    <w:link w:val="mainChar"/>
    <w:pPr>
      <w:jc w:val="center"/>
    </w:pPr>
    <w:rPr>
      <w:rFonts w:ascii="Helvetica" w:hAnsi="Helvetica"/>
      <w:b/>
    </w:rPr>
  </w:style>
  <w:style w:type="paragraph" w:customStyle="1" w:styleId="mainex">
    <w:name w:val="mainex"/>
    <w:basedOn w:val="main"/>
    <w:rPr>
      <w:spacing w:val="120"/>
    </w:rPr>
  </w:style>
  <w:style w:type="paragraph" w:styleId="Header">
    <w:name w:val="header"/>
    <w:basedOn w:val="Normal"/>
    <w:link w:val="HeaderChar"/>
    <w:uiPriority w:val="99"/>
    <w:pPr>
      <w:widowControl w:val="0"/>
      <w:tabs>
        <w:tab w:val="center" w:pos="4320"/>
        <w:tab w:val="right" w:pos="8640"/>
      </w:tabs>
    </w:pPr>
  </w:style>
  <w:style w:type="paragraph" w:customStyle="1" w:styleId="num2">
    <w:name w:val="num2"/>
    <w:basedOn w:val="num1"/>
    <w:pPr>
      <w:ind w:firstLine="270"/>
    </w:pPr>
  </w:style>
  <w:style w:type="paragraph" w:styleId="Footer">
    <w:name w:val="footer"/>
    <w:basedOn w:val="Normal"/>
    <w:pPr>
      <w:tabs>
        <w:tab w:val="center" w:pos="4320"/>
        <w:tab w:val="right" w:pos="8640"/>
      </w:tabs>
      <w:jc w:val="center"/>
    </w:pPr>
  </w:style>
  <w:style w:type="character" w:styleId="PageNumber">
    <w:name w:val="page number"/>
    <w:basedOn w:val="DefaultParagraphFont"/>
  </w:style>
  <w:style w:type="character" w:styleId="Hyperlink">
    <w:name w:val="Hyperlink"/>
    <w:uiPriority w:val="99"/>
    <w:rPr>
      <w:color w:val="0000FF"/>
      <w:u w:val="single"/>
    </w:rPr>
  </w:style>
  <w:style w:type="paragraph" w:styleId="BodyText">
    <w:name w:val="Body Text"/>
    <w:basedOn w:val="Normal"/>
    <w:pPr>
      <w:tabs>
        <w:tab w:val="left" w:pos="2160"/>
        <w:tab w:val="left" w:pos="3600"/>
      </w:tabs>
    </w:pPr>
    <w:rPr>
      <w:rFonts w:ascii="Times New Roman" w:hAnsi="Times New Roman"/>
      <w:sz w:val="24"/>
    </w:rPr>
  </w:style>
  <w:style w:type="character" w:styleId="FollowedHyperlink">
    <w:name w:val="FollowedHyperlink"/>
    <w:uiPriority w:val="99"/>
    <w:rPr>
      <w:color w:val="800080"/>
      <w:u w:val="single"/>
    </w:rPr>
  </w:style>
  <w:style w:type="paragraph" w:customStyle="1" w:styleId="dummy">
    <w:name w:val="dummy"/>
    <w:basedOn w:val="Heading1"/>
    <w:pPr>
      <w:numPr>
        <w:numId w:val="0"/>
      </w:numPr>
      <w:ind w:left="72"/>
      <w:outlineLvl w:val="9"/>
    </w:pPr>
  </w:style>
  <w:style w:type="paragraph" w:styleId="BlockText">
    <w:name w:val="Block Text"/>
    <w:basedOn w:val="Normal"/>
    <w:pPr>
      <w:ind w:left="720" w:right="720"/>
    </w:pPr>
    <w:rPr>
      <w:rFonts w:ascii="Times" w:hAnsi="Times"/>
      <w:sz w:val="24"/>
    </w:rPr>
  </w:style>
  <w:style w:type="paragraph" w:styleId="NormalIndent">
    <w:name w:val="Normal Indent"/>
    <w:basedOn w:val="Normal"/>
    <w:pPr>
      <w:spacing w:line="480" w:lineRule="auto"/>
      <w:ind w:firstLine="720"/>
    </w:pPr>
    <w:rPr>
      <w:rFonts w:ascii="Times" w:hAnsi="Times"/>
      <w:sz w:val="24"/>
    </w:rPr>
  </w:style>
  <w:style w:type="paragraph" w:styleId="BodyText3">
    <w:name w:val="Body Text 3"/>
    <w:basedOn w:val="Normal"/>
    <w:pPr>
      <w:overflowPunct w:val="0"/>
      <w:autoSpaceDE w:val="0"/>
      <w:autoSpaceDN w:val="0"/>
      <w:adjustRightInd w:val="0"/>
      <w:textAlignment w:val="baseline"/>
    </w:pPr>
    <w:rPr>
      <w:rFonts w:ascii="Times New Roman" w:hAnsi="Times New Roman"/>
      <w:sz w:val="24"/>
      <w:u w:val="single"/>
    </w:rPr>
  </w:style>
  <w:style w:type="paragraph" w:styleId="BodyText2">
    <w:name w:val="Body Text 2"/>
    <w:basedOn w:val="Normal"/>
    <w:pPr>
      <w:overflowPunct w:val="0"/>
      <w:autoSpaceDE w:val="0"/>
      <w:autoSpaceDN w:val="0"/>
      <w:adjustRightInd w:val="0"/>
      <w:spacing w:line="480" w:lineRule="auto"/>
      <w:ind w:firstLine="720"/>
      <w:textAlignment w:val="baseline"/>
    </w:pPr>
    <w:rPr>
      <w:rFonts w:ascii="Times" w:hAnsi="Times"/>
      <w:sz w:val="24"/>
    </w:rPr>
  </w:style>
  <w:style w:type="paragraph" w:customStyle="1" w:styleId="Quotation">
    <w:name w:val="Quotation"/>
    <w:basedOn w:val="BodyText"/>
    <w:next w:val="BodyText"/>
    <w:pPr>
      <w:tabs>
        <w:tab w:val="clear" w:pos="2160"/>
        <w:tab w:val="clear" w:pos="3600"/>
      </w:tabs>
      <w:spacing w:after="120"/>
      <w:ind w:left="1440" w:right="1440"/>
    </w:pPr>
    <w:rPr>
      <w:sz w:val="26"/>
    </w:rPr>
  </w:style>
  <w:style w:type="paragraph" w:styleId="BodyTextIndent2">
    <w:name w:val="Body Text Indent 2"/>
    <w:basedOn w:val="Normal"/>
    <w:pPr>
      <w:spacing w:after="120" w:line="480" w:lineRule="auto"/>
      <w:ind w:left="360"/>
    </w:pPr>
    <w:rPr>
      <w:rFonts w:ascii="Times New Roman" w:hAnsi="Times New Roman"/>
      <w:sz w:val="24"/>
      <w:szCs w:val="24"/>
    </w:rPr>
  </w:style>
  <w:style w:type="paragraph" w:styleId="PlainText">
    <w:name w:val="Plain Text"/>
    <w:basedOn w:val="Normal"/>
    <w:pPr>
      <w:spacing w:line="250" w:lineRule="exact"/>
    </w:pPr>
    <w:rPr>
      <w:rFonts w:ascii="Courier New" w:hAnsi="Courier New" w:cs="Courier New"/>
      <w:spacing w:val="-4"/>
      <w:sz w:val="24"/>
    </w:rPr>
  </w:style>
  <w:style w:type="paragraph" w:styleId="BodyTextIndent3">
    <w:name w:val="Body Text Indent 3"/>
    <w:basedOn w:val="Normal"/>
    <w:pPr>
      <w:ind w:left="720"/>
    </w:pPr>
    <w:rPr>
      <w:rFonts w:ascii="Times New Roman" w:hAnsi="Times New Roman"/>
      <w:snapToGrid w:val="0"/>
      <w:sz w:val="24"/>
    </w:rPr>
  </w:style>
  <w:style w:type="paragraph" w:customStyle="1" w:styleId="xl24">
    <w:name w:val="xl24"/>
    <w:basedOn w:val="Normal"/>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pPr>
      <w:spacing w:before="100" w:beforeAutospacing="1" w:after="100" w:afterAutospacing="1"/>
      <w:jc w:val="right"/>
    </w:pPr>
    <w:rPr>
      <w:rFonts w:ascii="Arial" w:eastAsia="Arial Unicode MS" w:hAnsi="Arial" w:cs="Arial"/>
      <w:b/>
      <w:bCs/>
      <w:sz w:val="24"/>
      <w:szCs w:val="24"/>
    </w:rPr>
  </w:style>
  <w:style w:type="paragraph" w:customStyle="1" w:styleId="xl27">
    <w:name w:val="xl27"/>
    <w:basedOn w:val="Normal"/>
    <w:pPr>
      <w:spacing w:before="100" w:beforeAutospacing="1" w:after="100" w:afterAutospacing="1"/>
      <w:jc w:val="center"/>
    </w:pPr>
    <w:rPr>
      <w:rFonts w:ascii="Arial" w:eastAsia="Arial Unicode MS" w:hAnsi="Arial" w:cs="Arial"/>
      <w:b/>
      <w:bCs/>
      <w:sz w:val="24"/>
      <w:szCs w:val="24"/>
    </w:rPr>
  </w:style>
  <w:style w:type="paragraph" w:customStyle="1" w:styleId="xl28">
    <w:name w:val="xl28"/>
    <w:basedOn w:val="Normal"/>
    <w:pPr>
      <w:pBdr>
        <w:top w:val="single" w:sz="8" w:space="0" w:color="auto"/>
        <w:left w:val="single" w:sz="8"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pPr>
      <w:pBdr>
        <w:top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0">
    <w:name w:val="xl30"/>
    <w:basedOn w:val="Normal"/>
    <w:pPr>
      <w:pBdr>
        <w:top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1">
    <w:name w:val="xl31"/>
    <w:basedOn w:val="Normal"/>
    <w:pPr>
      <w:pBdr>
        <w:left w:val="single" w:sz="8"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pPr>
      <w:pBdr>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8">
    <w:name w:val="xl48"/>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49">
    <w:name w:val="xl49"/>
    <w:basedOn w:val="Normal"/>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Unicode MS" w:eastAsia="Arial Unicode MS" w:hAnsi="Arial Unicode MS" w:cs="Arial Unicode MS"/>
      <w:sz w:val="24"/>
      <w:szCs w:val="24"/>
    </w:rPr>
  </w:style>
  <w:style w:type="paragraph" w:customStyle="1" w:styleId="xl50">
    <w:name w:val="xl50"/>
    <w:basedOn w:val="Normal"/>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pPr>
    <w:rPr>
      <w:rFonts w:ascii="Arial Unicode MS" w:eastAsia="Arial Unicode MS" w:hAnsi="Arial Unicode MS" w:cs="Arial Unicode MS"/>
      <w:sz w:val="24"/>
      <w:szCs w:val="24"/>
    </w:rPr>
  </w:style>
  <w:style w:type="paragraph" w:customStyle="1" w:styleId="xl51">
    <w:name w:val="xl51"/>
    <w:basedOn w:val="Normal"/>
    <w:pPr>
      <w:spacing w:before="100" w:beforeAutospacing="1" w:after="100" w:afterAutospacing="1"/>
      <w:jc w:val="right"/>
    </w:pPr>
    <w:rPr>
      <w:rFonts w:ascii="Arial Unicode MS" w:eastAsia="Arial Unicode MS" w:hAnsi="Arial Unicode MS" w:cs="Arial Unicode MS"/>
      <w:sz w:val="24"/>
      <w:szCs w:val="24"/>
    </w:rPr>
  </w:style>
  <w:style w:type="paragraph" w:styleId="TOC1">
    <w:name w:val="toc 1"/>
    <w:basedOn w:val="Normal"/>
    <w:next w:val="Normal"/>
    <w:autoRedefine/>
    <w:semiHidden/>
    <w:pPr>
      <w:tabs>
        <w:tab w:val="left" w:pos="520"/>
        <w:tab w:val="left" w:pos="1080"/>
        <w:tab w:val="right" w:leader="dot" w:pos="9350"/>
      </w:tabs>
      <w:ind w:left="90"/>
    </w:pPr>
    <w:rPr>
      <w:noProof/>
      <w:szCs w:val="26"/>
    </w:rPr>
  </w:style>
  <w:style w:type="paragraph" w:styleId="TOC2">
    <w:name w:val="toc 2"/>
    <w:basedOn w:val="Normal"/>
    <w:next w:val="Normal"/>
    <w:autoRedefine/>
    <w:semiHidden/>
    <w:pPr>
      <w:tabs>
        <w:tab w:val="left" w:pos="1080"/>
        <w:tab w:val="right" w:leader="dot" w:pos="9350"/>
      </w:tabs>
      <w:ind w:left="1080" w:hanging="450"/>
    </w:pPr>
    <w:rPr>
      <w:noProof/>
      <w:szCs w:val="26"/>
    </w:rPr>
  </w:style>
  <w:style w:type="paragraph" w:styleId="TOC3">
    <w:name w:val="toc 3"/>
    <w:basedOn w:val="Normal"/>
    <w:next w:val="Normal"/>
    <w:autoRedefine/>
    <w:semiHidden/>
    <w:pPr>
      <w:tabs>
        <w:tab w:val="left" w:pos="1620"/>
        <w:tab w:val="right" w:leader="dot" w:pos="9350"/>
      </w:tabs>
      <w:ind w:left="1620" w:hanging="540"/>
    </w:pPr>
    <w:rPr>
      <w:noProof/>
      <w:szCs w:val="24"/>
    </w:rPr>
  </w:style>
  <w:style w:type="paragraph" w:styleId="TOC5">
    <w:name w:val="toc 5"/>
    <w:basedOn w:val="Normal"/>
    <w:next w:val="Normal"/>
    <w:autoRedefine/>
    <w:semiHidden/>
    <w:pPr>
      <w:tabs>
        <w:tab w:val="left" w:pos="3060"/>
        <w:tab w:val="right" w:leader="dot" w:pos="9270"/>
      </w:tabs>
      <w:ind w:left="3060" w:hanging="990"/>
    </w:pPr>
    <w:rPr>
      <w:noProof/>
      <w:szCs w:val="24"/>
    </w:rPr>
  </w:style>
  <w:style w:type="paragraph" w:styleId="TOC6">
    <w:name w:val="toc 6"/>
    <w:basedOn w:val="Normal"/>
    <w:next w:val="Normal"/>
    <w:autoRedefine/>
    <w:semiHidden/>
    <w:pPr>
      <w:tabs>
        <w:tab w:val="left" w:pos="3690"/>
        <w:tab w:val="right" w:leader="dot" w:pos="9350"/>
      </w:tabs>
      <w:ind w:left="3690" w:hanging="1170"/>
    </w:pPr>
    <w:rPr>
      <w:noProof/>
      <w:szCs w:val="26"/>
    </w:rPr>
  </w:style>
  <w:style w:type="paragraph" w:styleId="TOC7">
    <w:name w:val="toc 7"/>
    <w:basedOn w:val="Normal"/>
    <w:next w:val="Normal"/>
    <w:autoRedefine/>
    <w:semiHidden/>
    <w:pPr>
      <w:ind w:left="1560"/>
    </w:pPr>
  </w:style>
  <w:style w:type="paragraph" w:styleId="TOC8">
    <w:name w:val="toc 8"/>
    <w:basedOn w:val="Normal"/>
    <w:next w:val="Normal"/>
    <w:autoRedefine/>
    <w:semiHidden/>
    <w:pPr>
      <w:ind w:left="1820"/>
    </w:pPr>
  </w:style>
  <w:style w:type="paragraph" w:styleId="TOC9">
    <w:name w:val="toc 9"/>
    <w:basedOn w:val="Normal"/>
    <w:next w:val="Normal"/>
    <w:autoRedefine/>
    <w:semiHidden/>
    <w:pPr>
      <w:ind w:left="2080"/>
    </w:pPr>
  </w:style>
  <w:style w:type="paragraph" w:customStyle="1" w:styleId="sub5">
    <w:name w:val="sub5"/>
    <w:basedOn w:val="sub4"/>
  </w:style>
  <w:style w:type="paragraph" w:customStyle="1" w:styleId="quote10">
    <w:name w:val="quote1"/>
    <w:basedOn w:val="Quote1"/>
    <w:pPr>
      <w:ind w:right="1080"/>
    </w:pPr>
  </w:style>
  <w:style w:type="paragraph" w:customStyle="1" w:styleId="quote3">
    <w:name w:val="quote3"/>
    <w:basedOn w:val="Quote1"/>
    <w:pPr>
      <w:ind w:right="1080"/>
    </w:pPr>
  </w:style>
  <w:style w:type="paragraph" w:customStyle="1" w:styleId="quote2">
    <w:name w:val="quote2"/>
    <w:basedOn w:val="quote3"/>
  </w:style>
  <w:style w:type="paragraph" w:customStyle="1" w:styleId="bullets">
    <w:name w:val="bullets"/>
    <w:basedOn w:val="sub1"/>
    <w:pPr>
      <w:numPr>
        <w:numId w:val="4"/>
      </w:numPr>
      <w:spacing w:after="120" w:line="240" w:lineRule="auto"/>
      <w:ind w:right="720"/>
    </w:pPr>
  </w:style>
  <w:style w:type="paragraph" w:customStyle="1" w:styleId="sub6">
    <w:name w:val="sub6"/>
    <w:basedOn w:val="sub4"/>
  </w:style>
  <w:style w:type="paragraph" w:customStyle="1" w:styleId="sub7">
    <w:name w:val="sub7"/>
    <w:basedOn w:val="sub4"/>
  </w:style>
  <w:style w:type="paragraph" w:customStyle="1" w:styleId="sub8">
    <w:name w:val="sub8"/>
    <w:basedOn w:val="sub7"/>
    <w:pPr>
      <w:ind w:firstLine="3787"/>
    </w:pPr>
  </w:style>
  <w:style w:type="character" w:customStyle="1" w:styleId="standardChar">
    <w:name w:val="standard Char"/>
    <w:link w:val="standard"/>
    <w:rPr>
      <w:rFonts w:ascii="Palatino" w:hAnsi="Palatino"/>
      <w:sz w:val="26"/>
      <w:lang w:val="en-US" w:eastAsia="en-US" w:bidi="ar-SA"/>
    </w:rPr>
  </w:style>
  <w:style w:type="paragraph" w:customStyle="1" w:styleId="Style1">
    <w:name w:val="Style1"/>
    <w:basedOn w:val="Heading7"/>
    <w:next w:val="sub6"/>
  </w:style>
  <w:style w:type="paragraph" w:customStyle="1" w:styleId="StyleHeading1Before0ptAfter0ptLinespacing15l">
    <w:name w:val="Style Heading 1 + Before:  0 pt After:  0 pt Line spacing:  1.5 l..."/>
    <w:basedOn w:val="Heading1"/>
    <w:autoRedefine/>
    <w:pPr>
      <w:spacing w:before="0" w:after="0" w:line="360" w:lineRule="auto"/>
    </w:pPr>
    <w:rPr>
      <w:bCs/>
    </w:rPr>
  </w:style>
  <w:style w:type="paragraph" w:styleId="BodyTextIndent">
    <w:name w:val="Body Text Indent"/>
    <w:basedOn w:val="Normal"/>
    <w:pPr>
      <w:spacing w:after="120"/>
      <w:ind w:left="360"/>
    </w:pPr>
  </w:style>
  <w:style w:type="paragraph" w:customStyle="1" w:styleId="a1">
    <w:name w:val="a.1"/>
    <w:basedOn w:val="BodyTextIndent"/>
    <w:pPr>
      <w:numPr>
        <w:ilvl w:val="1"/>
        <w:numId w:val="5"/>
      </w:numPr>
      <w:ind w:right="1080"/>
    </w:pPr>
  </w:style>
  <w:style w:type="paragraph" w:customStyle="1" w:styleId="a2">
    <w:name w:val="a2"/>
    <w:basedOn w:val="BodyTextIndent"/>
    <w:pPr>
      <w:ind w:left="1166" w:right="1080" w:hanging="446"/>
    </w:pPr>
  </w:style>
  <w:style w:type="character" w:customStyle="1" w:styleId="mainChar">
    <w:name w:val="main Char"/>
    <w:link w:val="main"/>
    <w:rPr>
      <w:rFonts w:ascii="Helvetica" w:hAnsi="Helvetica"/>
      <w:b/>
      <w:sz w:val="26"/>
      <w:lang w:val="en-US" w:eastAsia="en-US" w:bidi="ar-SA"/>
    </w:rPr>
  </w:style>
  <w:style w:type="paragraph" w:customStyle="1" w:styleId="StyleHeading6Left05Hanging106">
    <w:name w:val="Style Heading 6 + Left:  0.5&quot; Hanging:  1.06&quot;"/>
    <w:basedOn w:val="Heading6"/>
    <w:pPr>
      <w:numPr>
        <w:numId w:val="7"/>
      </w:numPr>
    </w:pPr>
    <w:rPr>
      <w:rFonts w:cs="Times New Roman"/>
      <w:bCs w:val="0"/>
      <w:szCs w:val="20"/>
    </w:rPr>
  </w:style>
  <w:style w:type="paragraph" w:customStyle="1" w:styleId="msonormal0">
    <w:name w:val="msonormal"/>
    <w:basedOn w:val="Normal"/>
    <w:uiPriority w:val="99"/>
    <w:rsid w:val="002E4641"/>
    <w:pPr>
      <w:spacing w:before="100" w:beforeAutospacing="1" w:after="100" w:afterAutospacing="1"/>
    </w:pPr>
    <w:rPr>
      <w:rFonts w:ascii="Calibri" w:eastAsiaTheme="minorHAnsi" w:hAnsi="Calibri" w:cs="Calibri"/>
      <w:sz w:val="22"/>
      <w:szCs w:val="22"/>
    </w:rPr>
  </w:style>
  <w:style w:type="paragraph" w:styleId="NormalWeb">
    <w:name w:val="Normal (Web)"/>
    <w:basedOn w:val="Normal"/>
    <w:uiPriority w:val="99"/>
    <w:semiHidden/>
    <w:unhideWhenUsed/>
    <w:rsid w:val="002E4641"/>
    <w:pPr>
      <w:spacing w:before="100" w:beforeAutospacing="1" w:after="100" w:afterAutospacing="1"/>
    </w:pPr>
    <w:rPr>
      <w:rFonts w:ascii="Calibri" w:eastAsiaTheme="minorHAnsi" w:hAnsi="Calibri" w:cs="Calibri"/>
      <w:sz w:val="22"/>
      <w:szCs w:val="22"/>
    </w:rPr>
  </w:style>
  <w:style w:type="character" w:customStyle="1" w:styleId="emailstyle18">
    <w:name w:val="emailstyle18"/>
    <w:basedOn w:val="DefaultParagraphFont"/>
    <w:semiHidden/>
    <w:rsid w:val="002E4641"/>
    <w:rPr>
      <w:rFonts w:ascii="Calibri" w:hAnsi="Calibri" w:cs="Calibri" w:hint="default"/>
      <w:color w:val="auto"/>
    </w:rPr>
  </w:style>
  <w:style w:type="character" w:customStyle="1" w:styleId="emailstyle19">
    <w:name w:val="emailstyle19"/>
    <w:basedOn w:val="DefaultParagraphFont"/>
    <w:semiHidden/>
    <w:rsid w:val="002E4641"/>
    <w:rPr>
      <w:rFonts w:ascii="Calibri" w:hAnsi="Calibri" w:cs="Calibri" w:hint="default"/>
      <w:color w:val="auto"/>
    </w:rPr>
  </w:style>
  <w:style w:type="paragraph" w:customStyle="1" w:styleId="xxmsonormal">
    <w:name w:val="x_x_msonormal"/>
    <w:basedOn w:val="Normal"/>
    <w:uiPriority w:val="99"/>
    <w:semiHidden/>
    <w:rsid w:val="00BD2B2F"/>
    <w:rPr>
      <w:rFonts w:ascii="Calibri" w:eastAsiaTheme="minorHAnsi" w:hAnsi="Calibri" w:cs="Calibri"/>
      <w:sz w:val="22"/>
      <w:szCs w:val="22"/>
    </w:rPr>
  </w:style>
  <w:style w:type="paragraph" w:customStyle="1" w:styleId="xxxmsonormal">
    <w:name w:val="x_x_xmsonormal"/>
    <w:basedOn w:val="Normal"/>
    <w:uiPriority w:val="99"/>
    <w:semiHidden/>
    <w:rsid w:val="00BD2B2F"/>
    <w:rPr>
      <w:rFonts w:ascii="Calibri" w:eastAsiaTheme="minorHAnsi" w:hAnsi="Calibri" w:cs="Calibri"/>
      <w:sz w:val="22"/>
      <w:szCs w:val="22"/>
    </w:rPr>
  </w:style>
  <w:style w:type="character" w:customStyle="1" w:styleId="emailstyle20">
    <w:name w:val="emailstyle20"/>
    <w:basedOn w:val="DefaultParagraphFont"/>
    <w:semiHidden/>
    <w:rsid w:val="00BD2B2F"/>
    <w:rPr>
      <w:rFonts w:ascii="Calibri" w:hAnsi="Calibri" w:cs="Calibri" w:hint="default"/>
      <w:color w:val="auto"/>
    </w:rPr>
  </w:style>
  <w:style w:type="paragraph" w:customStyle="1" w:styleId="xxxmsonormal0">
    <w:name w:val="x_x_x_msonormal"/>
    <w:basedOn w:val="Normal"/>
    <w:uiPriority w:val="99"/>
    <w:semiHidden/>
    <w:rsid w:val="00BD2B2F"/>
    <w:rPr>
      <w:rFonts w:ascii="Calibri" w:eastAsiaTheme="minorHAnsi" w:hAnsi="Calibri" w:cs="Calibri"/>
      <w:sz w:val="22"/>
      <w:szCs w:val="22"/>
    </w:rPr>
  </w:style>
  <w:style w:type="paragraph" w:customStyle="1" w:styleId="xxxxmsonormal">
    <w:name w:val="x_x_x_xmsonormal"/>
    <w:basedOn w:val="Normal"/>
    <w:uiPriority w:val="99"/>
    <w:semiHidden/>
    <w:rsid w:val="00BD2B2F"/>
    <w:rPr>
      <w:rFonts w:ascii="Calibri" w:eastAsiaTheme="minorHAnsi" w:hAnsi="Calibri" w:cs="Calibri"/>
      <w:sz w:val="22"/>
      <w:szCs w:val="22"/>
    </w:rPr>
  </w:style>
  <w:style w:type="character" w:styleId="Strong">
    <w:name w:val="Strong"/>
    <w:basedOn w:val="DefaultParagraphFont"/>
    <w:uiPriority w:val="22"/>
    <w:qFormat/>
    <w:rsid w:val="00BD2B2F"/>
    <w:rPr>
      <w:b/>
      <w:bCs/>
    </w:rPr>
  </w:style>
  <w:style w:type="paragraph" w:customStyle="1" w:styleId="Dummy0">
    <w:name w:val="Dummy"/>
    <w:next w:val="Normal"/>
    <w:uiPriority w:val="19"/>
    <w:rsid w:val="00F174B0"/>
    <w:pPr>
      <w:keepNext/>
      <w:keepLines/>
      <w:spacing w:after="120"/>
      <w:outlineLvl w:val="0"/>
    </w:pPr>
    <w:rPr>
      <w:rFonts w:ascii="Arial" w:eastAsiaTheme="minorHAnsi" w:hAnsi="Arial" w:cs="Arial"/>
      <w:b/>
      <w:sz w:val="26"/>
      <w:szCs w:val="26"/>
    </w:rPr>
  </w:style>
  <w:style w:type="paragraph" w:customStyle="1" w:styleId="Mainex0">
    <w:name w:val="Mainex"/>
    <w:basedOn w:val="main"/>
    <w:next w:val="Normal"/>
    <w:uiPriority w:val="19"/>
    <w:rsid w:val="00F174B0"/>
    <w:pPr>
      <w:keepNext/>
      <w:spacing w:line="360" w:lineRule="auto"/>
      <w:outlineLvl w:val="0"/>
    </w:pPr>
    <w:rPr>
      <w:rFonts w:ascii="Arial" w:eastAsiaTheme="majorEastAsia" w:hAnsi="Arial" w:cstheme="majorBidi"/>
      <w:caps/>
      <w:spacing w:val="120"/>
      <w:szCs w:val="56"/>
    </w:rPr>
  </w:style>
  <w:style w:type="numbering" w:customStyle="1" w:styleId="FoFCoLOP">
    <w:name w:val="FoF/CoL/OP"/>
    <w:uiPriority w:val="99"/>
    <w:rsid w:val="00F174B0"/>
    <w:pPr>
      <w:numPr>
        <w:numId w:val="16"/>
      </w:numPr>
    </w:pPr>
  </w:style>
  <w:style w:type="character" w:customStyle="1" w:styleId="FootnoteTextChar">
    <w:name w:val="Footnote Text Char"/>
    <w:basedOn w:val="DefaultParagraphFont"/>
    <w:link w:val="FootnoteText"/>
    <w:uiPriority w:val="40"/>
    <w:rsid w:val="00F174B0"/>
    <w:rPr>
      <w:rFonts w:ascii="Palatino" w:hAnsi="Palatino"/>
      <w:sz w:val="24"/>
    </w:rPr>
  </w:style>
  <w:style w:type="paragraph" w:customStyle="1" w:styleId="OP">
    <w:name w:val="OP"/>
    <w:basedOn w:val="Standard0"/>
    <w:uiPriority w:val="8"/>
    <w:qFormat/>
    <w:rsid w:val="00F174B0"/>
    <w:pPr>
      <w:numPr>
        <w:numId w:val="17"/>
      </w:numPr>
      <w:ind w:firstLine="0"/>
    </w:pPr>
  </w:style>
  <w:style w:type="numbering" w:customStyle="1" w:styleId="Headings">
    <w:name w:val="Headings"/>
    <w:uiPriority w:val="99"/>
    <w:rsid w:val="00F174B0"/>
    <w:pPr>
      <w:numPr>
        <w:numId w:val="18"/>
      </w:numPr>
    </w:pPr>
  </w:style>
  <w:style w:type="paragraph" w:customStyle="1" w:styleId="Standard0">
    <w:name w:val="Standard"/>
    <w:basedOn w:val="Normal"/>
    <w:qFormat/>
    <w:rsid w:val="00F174B0"/>
    <w:pPr>
      <w:spacing w:line="360" w:lineRule="auto"/>
      <w:ind w:firstLine="720"/>
    </w:pPr>
    <w:rPr>
      <w:rFonts w:ascii="Book Antiqua" w:eastAsiaTheme="minorHAnsi" w:hAnsi="Book Antiqua" w:cstheme="minorBidi"/>
      <w:szCs w:val="22"/>
    </w:rPr>
  </w:style>
  <w:style w:type="paragraph" w:customStyle="1" w:styleId="ListAlpha">
    <w:name w:val="List Alpha"/>
    <w:basedOn w:val="Standard0"/>
    <w:uiPriority w:val="4"/>
    <w:qFormat/>
    <w:rsid w:val="00F174B0"/>
    <w:pPr>
      <w:spacing w:after="120" w:line="240" w:lineRule="auto"/>
      <w:ind w:firstLine="0"/>
    </w:pPr>
  </w:style>
  <w:style w:type="paragraph" w:styleId="ListBullet">
    <w:name w:val="List Bullet"/>
    <w:basedOn w:val="Standard0"/>
    <w:uiPriority w:val="4"/>
    <w:qFormat/>
    <w:rsid w:val="00F174B0"/>
    <w:pPr>
      <w:numPr>
        <w:numId w:val="19"/>
      </w:numPr>
      <w:tabs>
        <w:tab w:val="clear" w:pos="360"/>
      </w:tabs>
      <w:spacing w:after="120" w:line="240" w:lineRule="auto"/>
      <w:ind w:left="0" w:firstLine="0"/>
    </w:pPr>
  </w:style>
  <w:style w:type="paragraph" w:customStyle="1" w:styleId="ListNum">
    <w:name w:val="List Num"/>
    <w:basedOn w:val="Standard0"/>
    <w:uiPriority w:val="4"/>
    <w:rsid w:val="00F174B0"/>
    <w:pPr>
      <w:spacing w:after="120" w:line="240" w:lineRule="auto"/>
      <w:ind w:firstLine="0"/>
    </w:pPr>
  </w:style>
  <w:style w:type="character" w:customStyle="1" w:styleId="HeaderChar">
    <w:name w:val="Header Char"/>
    <w:basedOn w:val="DefaultParagraphFont"/>
    <w:link w:val="Header"/>
    <w:uiPriority w:val="99"/>
    <w:rsid w:val="00F4515E"/>
    <w:rPr>
      <w:rFonts w:ascii="Palatino" w:hAnsi="Palatino"/>
      <w:sz w:val="26"/>
    </w:rPr>
  </w:style>
  <w:style w:type="paragraph" w:styleId="Revision">
    <w:name w:val="Revision"/>
    <w:hidden/>
    <w:uiPriority w:val="99"/>
    <w:semiHidden/>
    <w:rsid w:val="00782AB6"/>
    <w:rPr>
      <w:rFonts w:ascii="Palatino" w:hAnsi="Palatino"/>
      <w:sz w:val="26"/>
    </w:rPr>
  </w:style>
  <w:style w:type="character" w:styleId="CommentReference">
    <w:name w:val="annotation reference"/>
    <w:basedOn w:val="DefaultParagraphFont"/>
    <w:semiHidden/>
    <w:unhideWhenUsed/>
    <w:rsid w:val="00FE4C19"/>
    <w:rPr>
      <w:sz w:val="16"/>
      <w:szCs w:val="16"/>
    </w:rPr>
  </w:style>
  <w:style w:type="paragraph" w:styleId="CommentText">
    <w:name w:val="annotation text"/>
    <w:basedOn w:val="Normal"/>
    <w:link w:val="CommentTextChar"/>
    <w:unhideWhenUsed/>
    <w:rsid w:val="00FE4C19"/>
    <w:rPr>
      <w:sz w:val="20"/>
    </w:rPr>
  </w:style>
  <w:style w:type="character" w:customStyle="1" w:styleId="CommentTextChar">
    <w:name w:val="Comment Text Char"/>
    <w:basedOn w:val="DefaultParagraphFont"/>
    <w:link w:val="CommentText"/>
    <w:rsid w:val="00FE4C19"/>
    <w:rPr>
      <w:rFonts w:ascii="Palatino" w:hAnsi="Palatino"/>
    </w:rPr>
  </w:style>
  <w:style w:type="paragraph" w:styleId="CommentSubject">
    <w:name w:val="annotation subject"/>
    <w:basedOn w:val="CommentText"/>
    <w:next w:val="CommentText"/>
    <w:link w:val="CommentSubjectChar"/>
    <w:semiHidden/>
    <w:unhideWhenUsed/>
    <w:rsid w:val="00FE4C19"/>
    <w:rPr>
      <w:b/>
      <w:bCs/>
    </w:rPr>
  </w:style>
  <w:style w:type="character" w:customStyle="1" w:styleId="CommentSubjectChar">
    <w:name w:val="Comment Subject Char"/>
    <w:basedOn w:val="CommentTextChar"/>
    <w:link w:val="CommentSubject"/>
    <w:semiHidden/>
    <w:rsid w:val="00FE4C19"/>
    <w:rPr>
      <w:rFonts w:ascii="Palatino" w:hAnsi="Palatino"/>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9817">
      <w:bodyDiv w:val="1"/>
      <w:marLeft w:val="0"/>
      <w:marRight w:val="0"/>
      <w:marTop w:val="0"/>
      <w:marBottom w:val="0"/>
      <w:divBdr>
        <w:top w:val="none" w:sz="0" w:space="0" w:color="auto"/>
        <w:left w:val="none" w:sz="0" w:space="0" w:color="auto"/>
        <w:bottom w:val="none" w:sz="0" w:space="0" w:color="auto"/>
        <w:right w:val="none" w:sz="0" w:space="0" w:color="auto"/>
      </w:divBdr>
    </w:div>
    <w:div w:id="186141457">
      <w:bodyDiv w:val="1"/>
      <w:marLeft w:val="0"/>
      <w:marRight w:val="0"/>
      <w:marTop w:val="0"/>
      <w:marBottom w:val="0"/>
      <w:divBdr>
        <w:top w:val="none" w:sz="0" w:space="0" w:color="auto"/>
        <w:left w:val="none" w:sz="0" w:space="0" w:color="auto"/>
        <w:bottom w:val="none" w:sz="0" w:space="0" w:color="auto"/>
        <w:right w:val="none" w:sz="0" w:space="0" w:color="auto"/>
      </w:divBdr>
    </w:div>
    <w:div w:id="654457415">
      <w:bodyDiv w:val="1"/>
      <w:marLeft w:val="0"/>
      <w:marRight w:val="0"/>
      <w:marTop w:val="0"/>
      <w:marBottom w:val="0"/>
      <w:divBdr>
        <w:top w:val="none" w:sz="0" w:space="0" w:color="auto"/>
        <w:left w:val="none" w:sz="0" w:space="0" w:color="auto"/>
        <w:bottom w:val="none" w:sz="0" w:space="0" w:color="auto"/>
        <w:right w:val="none" w:sz="0" w:space="0" w:color="auto"/>
      </w:divBdr>
    </w:div>
    <w:div w:id="887885711">
      <w:bodyDiv w:val="1"/>
      <w:marLeft w:val="0"/>
      <w:marRight w:val="0"/>
      <w:marTop w:val="0"/>
      <w:marBottom w:val="0"/>
      <w:divBdr>
        <w:top w:val="none" w:sz="0" w:space="0" w:color="auto"/>
        <w:left w:val="none" w:sz="0" w:space="0" w:color="auto"/>
        <w:bottom w:val="none" w:sz="0" w:space="0" w:color="auto"/>
        <w:right w:val="none" w:sz="0" w:space="0" w:color="auto"/>
      </w:divBdr>
    </w:div>
    <w:div w:id="1210147026">
      <w:bodyDiv w:val="1"/>
      <w:marLeft w:val="0"/>
      <w:marRight w:val="0"/>
      <w:marTop w:val="0"/>
      <w:marBottom w:val="0"/>
      <w:divBdr>
        <w:top w:val="none" w:sz="0" w:space="0" w:color="auto"/>
        <w:left w:val="none" w:sz="0" w:space="0" w:color="auto"/>
        <w:bottom w:val="none" w:sz="0" w:space="0" w:color="auto"/>
        <w:right w:val="none" w:sz="0" w:space="0" w:color="auto"/>
      </w:divBdr>
    </w:div>
    <w:div w:id="1953055389">
      <w:bodyDiv w:val="1"/>
      <w:marLeft w:val="0"/>
      <w:marRight w:val="0"/>
      <w:marTop w:val="0"/>
      <w:marBottom w:val="0"/>
      <w:divBdr>
        <w:top w:val="none" w:sz="0" w:space="0" w:color="auto"/>
        <w:left w:val="none" w:sz="0" w:space="0" w:color="auto"/>
        <w:bottom w:val="none" w:sz="0" w:space="0" w:color="auto"/>
        <w:right w:val="none" w:sz="0" w:space="0" w:color="auto"/>
      </w:divBdr>
    </w:div>
    <w:div w:id="199807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1EEB0345788E4686025D8D57F1F3D6" ma:contentTypeVersion="11" ma:contentTypeDescription="Create a new document." ma:contentTypeScope="" ma:versionID="5b20ceecaf65a8eabbb009185ec812c6">
  <xsd:schema xmlns:xsd="http://www.w3.org/2001/XMLSchema" xmlns:xs="http://www.w3.org/2001/XMLSchema" xmlns:p="http://schemas.microsoft.com/office/2006/metadata/properties" xmlns:ns2="fd401c2c-9287-43ab-a293-354c814ae0f9" xmlns:ns3="005d1024-2fde-4134-9d52-de97a2b1c5ac" targetNamespace="http://schemas.microsoft.com/office/2006/metadata/properties" ma:root="true" ma:fieldsID="f904c0a13844b1da02fb4313c82a9cdf" ns2:_="" ns3:_="">
    <xsd:import namespace="fd401c2c-9287-43ab-a293-354c814ae0f9"/>
    <xsd:import namespace="005d1024-2fde-4134-9d52-de97a2b1c5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401c2c-9287-43ab-a293-354c814ae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8c64cc-ee56-435d-b6d0-239f1a5e0d97"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1024-2fde-4134-9d52-de97a2b1c5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b5b1f-8528-4fe2-a0c5-abaabff58d80}" ma:internalName="TaxCatchAll" ma:showField="CatchAllData" ma:web="005d1024-2fde-4134-9d52-de97a2b1c5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05d1024-2fde-4134-9d52-de97a2b1c5ac" xsi:nil="true"/>
    <lcf76f155ced4ddcb4097134ff3c332f xmlns="fd401c2c-9287-43ab-a293-354c814ae0f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5C0419-AE94-49DE-AF61-1F2A0449E9D5}">
  <ds:schemaRefs>
    <ds:schemaRef ds:uri="http://schemas.openxmlformats.org/officeDocument/2006/bibliography"/>
  </ds:schemaRefs>
</ds:datastoreItem>
</file>

<file path=customXml/itemProps2.xml><?xml version="1.0" encoding="utf-8"?>
<ds:datastoreItem xmlns:ds="http://schemas.openxmlformats.org/officeDocument/2006/customXml" ds:itemID="{12F58050-9933-4BA8-8D9A-3BC10C6C9D1D}">
  <ds:schemaRefs>
    <ds:schemaRef ds:uri="http://schemas.microsoft.com/sharepoint/v3/contenttype/forms"/>
  </ds:schemaRefs>
</ds:datastoreItem>
</file>

<file path=customXml/itemProps3.xml><?xml version="1.0" encoding="utf-8"?>
<ds:datastoreItem xmlns:ds="http://schemas.openxmlformats.org/officeDocument/2006/customXml" ds:itemID="{3584C71A-6722-4627-BC9F-3B32AB95FE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401c2c-9287-43ab-a293-354c814ae0f9"/>
    <ds:schemaRef ds:uri="005d1024-2fde-4134-9d52-de97a2b1c5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44594F-B259-4E09-84A7-0E7AB85991B6}">
  <ds:schemaRefs>
    <ds:schemaRef ds:uri="http://schemas.microsoft.com/office/2006/metadata/properties"/>
    <ds:schemaRef ds:uri="http://schemas.microsoft.com/office/infopath/2007/PartnerControls"/>
    <ds:schemaRef ds:uri="005d1024-2fde-4134-9d52-de97a2b1c5ac"/>
    <ds:schemaRef ds:uri="fd401c2c-9287-43ab-a293-354c814ae0f9"/>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8</ap:Pages>
  <ap:Words>1700</ap:Words>
  <ap:Characters>9690</ap:Characters>
  <ap:Application>Microsoft Office Word</ap:Application>
  <ap:DocSecurity>0</ap:DocSecurity>
  <ap:Lines>80</ap:Lines>
  <ap:Paragraphs>22</ap:Paragraphs>
  <ap:ScaleCrop>false</ap:ScaleCrop>
  <ap:HeadingPairs>
    <vt:vector baseType="variant" size="2">
      <vt:variant>
        <vt:lpstr>Title</vt:lpstr>
      </vt:variant>
      <vt:variant>
        <vt:i4>1</vt:i4>
      </vt:variant>
    </vt:vector>
  </ap:HeadingPairs>
  <ap:TitlesOfParts>
    <vt:vector baseType="lpstr" size="1">
      <vt:lpstr>ALJ/MLC/tcg</vt:lpstr>
    </vt:vector>
  </ap:TitlesOfParts>
  <ap:Company/>
  <ap:LinksUpToDate>false</ap:LinksUpToDate>
  <ap:CharactersWithSpaces>11368</ap:CharactersWithSpaces>
  <ap:SharedDoc>false</ap:SharedDoc>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2020-04-13T16:58:00Z</cp:lastPrinted>
  <dcterms:created xsi:type="dcterms:W3CDTF">2026-09-10T13:59:06Z</dcterms:created>
  <dcterms:modified xsi:type="dcterms:W3CDTF">2026-09-10T13:59:06Z</dcterms:modified>
</cp:coreProperties>
</file>