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00FF6330" w:rsidP="00A76F4A" w:rsidRDefault="00FF6330" w14:paraId="19EF73BF" w14:textId="6F2FDB6C">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t>Item #2 (Rev. 3)</w:t>
      </w:r>
    </w:p>
    <w:p w:rsidRPr="0051493D" w:rsidR="00A76F4A" w:rsidP="00A76F4A" w:rsidRDefault="00A76F4A" w14:paraId="2AFEBBF1" w14:textId="557C3AFA">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15CCFF16">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676034">
        <w:rPr>
          <w:rFonts w:ascii="Palatino Linotype" w:hAnsi="Palatino Linotype" w:eastAsia="Times New Roman" w:cs="Times New Roman"/>
          <w:b/>
          <w:kern w:val="0"/>
          <w14:ligatures w14:val="none"/>
        </w:rPr>
        <w:t xml:space="preserve">September </w:t>
      </w:r>
      <w:r w:rsidR="00C1528A">
        <w:rPr>
          <w:rFonts w:ascii="Palatino Linotype" w:hAnsi="Palatino Linotype" w:eastAsia="Times New Roman" w:cs="Times New Roman"/>
          <w:b/>
          <w:kern w:val="0"/>
          <w14:ligatures w14:val="none"/>
        </w:rPr>
        <w:t>17</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Approves, with modifications, an agreement to facilitate the energization of a new 250 megawatt (MW) data center load through transmission-level retail electric service for customer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The Commission approves the AL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to match the outcome in the Rule</w:t>
      </w:r>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r>
        <w:rPr>
          <w:rFonts w:ascii="Palatino Linotype" w:hAnsi="Palatino Linotype" w:eastAsia="Times New Roman" w:cs="Times New Roman"/>
          <w:kern w:val="0"/>
          <w14:ligatures w14:val="none"/>
        </w:rPr>
        <w:t xml:space="preserve">all of </w:t>
      </w:r>
      <w:r w:rsidR="00A6263C">
        <w:rPr>
          <w:rFonts w:ascii="Palatino Linotype" w:hAnsi="Palatino Linotype" w:eastAsia="Times New Roman" w:cs="Times New Roman"/>
          <w:kern w:val="0"/>
          <w14:ligatures w14:val="none"/>
        </w:rPr>
        <w:t>Marin county</w:t>
      </w:r>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and about half the overall average demand of San Mateo county.</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submitted an application on March 3, 2025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and</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continue into the future.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2026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available, but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implicate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responsibility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paced too quickly relative to net revenues actually received,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refund amount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th</w:t>
      </w:r>
      <w:r w:rsidR="005E3082">
        <w:rPr>
          <w:rFonts w:ascii="Palatino Linotype" w:hAnsi="Palatino Linotype" w:eastAsia="Palatino Linotype" w:cs="Times New Roman"/>
          <w:kern w:val="0"/>
          <w14:ligatures w14:val="none"/>
        </w:rPr>
        <w:t>e Rule 30</w:t>
      </w:r>
      <w:r w:rsidR="00C07F73">
        <w:rPr>
          <w:rFonts w:ascii="Palatino Linotype" w:hAnsi="Palatino Linotype" w:eastAsia="Palatino Linotype" w:cs="Times New Roman"/>
          <w:kern w:val="0"/>
          <w14:ligatures w14:val="none"/>
        </w:rPr>
        <w:t xml:space="preserve"> proceeding</w:t>
      </w:r>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argues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the Commission should require modifications similar to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actually cover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annual net revenues” means the revenues actually received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paced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r w:rsidR="00DE55CA">
        <w:rPr>
          <w:rFonts w:ascii="Palatino Linotype" w:hAnsi="Palatino Linotype" w:eastAsia="Palatino Linotype" w:cs="Times New Roman"/>
          <w:kern w:val="0"/>
          <w14:ligatures w14:val="none"/>
        </w:rPr>
        <w:t>an additional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further limit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refunds to revenues actually received—reducing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actually received,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actually received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We make one additional modification to the standard BARC process here. Under the standard process, if a customer’s expected future net revenues are not enough to justify the costs of their energization, they are charged an additional fee to cover PG&amp;E’s cost of ownership. In light of the modifications we adopt here intentionally limiting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engineering</w:t>
      </w:r>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e approve PG&amp;E’s recovery of reasonable oversight and supplemental costs in general, but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protections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Imel requests that PG&amp;E provide a redacted version of the agreement and additional public detail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it corresponds with the outcome in the Rule 30 Proceeding</w:t>
      </w:r>
      <w:r w:rsidR="001D4311">
        <w:rPr>
          <w:rFonts w:ascii="Palatino Linotype" w:hAnsi="Palatino Linotype" w:eastAsia="Palatino Linotype" w:cs="Times New Roman"/>
          <w:kern w:val="0"/>
          <w14:ligatures w14:val="none"/>
        </w:rPr>
        <w:t xml:space="preserve"> and submit it to the Commission for approval via a Tier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be recovered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they so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Cal Advocates supports the Resolution’s finding that additional ratepayer protections are necessary</w:t>
      </w:r>
      <w:r w:rsidR="00D53CEC">
        <w:rPr>
          <w:rFonts w:ascii="Palatino Linotype" w:hAnsi="Palatino Linotype" w:eastAsia="Palatino Linotype" w:cs="Times New Roman"/>
          <w:kern w:val="0"/>
          <w14:ligatures w14:val="none"/>
        </w:rPr>
        <w:t xml:space="preserve">, and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is both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customer, </w:t>
      </w:r>
      <w:r w:rsidR="00FA26D6">
        <w:rPr>
          <w:rFonts w:ascii="Palatino Linotype" w:hAnsi="Palatino Linotype" w:eastAsia="Palatino Linotype" w:cs="Times New Roman"/>
          <w:kern w:val="0"/>
          <w14:ligatures w14:val="none"/>
        </w:rPr>
        <w:t>and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a defined,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Advocates, and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actually cover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to correspond to the outcome of the Rule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actually received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in implementing refunds and to extend the refund eligibility period from 10 years to 15 years so that the customer may still receive a full refund over time while annual refunds are paced to net revenues actually received.</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protection, but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The findings and conclusions in this Resolution should in no way prejudice the ongoing deliberation in the Rule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all of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0A05526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 xml:space="preserve">San </w:t>
      </w:r>
      <w:r w:rsidR="00774557">
        <w:rPr>
          <w:rFonts w:ascii="Palatino Linotype" w:hAnsi="Palatino Linotype" w:eastAsia="Palatino Linotype" w:cs="Times New Roman"/>
        </w:rPr>
        <w:t>Marcos</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41f18e87627d4f97">
        <w:r w:rsidRPr="00CB1292">
          <w:rPr>
            <w:rStyle w:val="Hyperlink"/>
            <w:color w:val="2E74B5" w:themeColor="accent1" w:themeShade="BF"/>
            <w:u w:val="single"/>
          </w:rPr>
          <w:t>E-5455 Draft Agenda Resolution (PG&amp;E AL 7785-E)(Redline)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F3036" w14:textId="77777777" w:rsidR="0001363E" w:rsidRDefault="0001363E" w:rsidP="00A76F4A">
      <w:pPr>
        <w:spacing w:after="0" w:line="240" w:lineRule="auto"/>
      </w:pPr>
      <w:r>
        <w:separator/>
      </w:r>
    </w:p>
  </w:endnote>
  <w:endnote w:type="continuationSeparator" w:id="0">
    <w:p w14:paraId="21DF6865" w14:textId="77777777" w:rsidR="0001363E" w:rsidRDefault="0001363E" w:rsidP="00A76F4A">
      <w:pPr>
        <w:spacing w:after="0" w:line="240" w:lineRule="auto"/>
      </w:pPr>
      <w:r>
        <w:continuationSeparator/>
      </w:r>
    </w:p>
  </w:endnote>
  <w:endnote w:type="continuationNotice" w:id="1">
    <w:p w14:paraId="38B9CB8C" w14:textId="77777777" w:rsidR="0001363E" w:rsidRDefault="000136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657814EB" w:rsidR="004A7A4C" w:rsidRPr="004A7A4C" w:rsidRDefault="00774557" w:rsidP="004A7A4C">
        <w:pPr>
          <w:pStyle w:val="Footer"/>
          <w:rPr>
            <w:rFonts w:ascii="Palatino Linotype" w:hAnsi="Palatino Linotype"/>
          </w:rPr>
        </w:pPr>
        <w:r w:rsidRPr="00774557">
          <w:rPr>
            <w:rFonts w:ascii="Tahoma" w:hAnsi="Tahoma" w:cs="Tahoma"/>
            <w:sz w:val="16"/>
            <w:szCs w:val="22"/>
          </w:rPr>
          <w:t>618891022</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2E5CE" w14:textId="77777777" w:rsidR="0001363E" w:rsidRDefault="0001363E" w:rsidP="00A76F4A">
      <w:pPr>
        <w:spacing w:after="0" w:line="240" w:lineRule="auto"/>
      </w:pPr>
      <w:r>
        <w:separator/>
      </w:r>
    </w:p>
  </w:footnote>
  <w:footnote w:type="continuationSeparator" w:id="0">
    <w:p w14:paraId="2057BCAB" w14:textId="77777777" w:rsidR="0001363E" w:rsidRDefault="0001363E" w:rsidP="00A76F4A">
      <w:pPr>
        <w:spacing w:after="0" w:line="240" w:lineRule="auto"/>
      </w:pPr>
      <w:r>
        <w:continuationSeparator/>
      </w:r>
    </w:p>
  </w:footnote>
  <w:footnote w:type="continuationNotice" w:id="1">
    <w:p w14:paraId="18C28EBA" w14:textId="77777777" w:rsidR="0001363E" w:rsidRDefault="0001363E">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268D661E"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676034" w:rsidRPr="00676034">
      <w:rPr>
        <w:rFonts w:ascii="Palatino Linotype" w:eastAsia="Times New Roman" w:hAnsi="Palatino Linotype" w:cs="Times New Roman"/>
        <w:bCs/>
        <w:kern w:val="0"/>
        <w14:ligatures w14:val="none"/>
      </w:rPr>
      <w:t>September</w:t>
    </w:r>
    <w:r w:rsidR="00676034" w:rsidRPr="00676034">
      <w:rPr>
        <w:rFonts w:ascii="Palatino Linotype" w:hAnsi="Palatino Linotype"/>
        <w:bCs/>
      </w:rPr>
      <w:t xml:space="preserve"> </w:t>
    </w:r>
    <w:r w:rsidR="00C1528A">
      <w:rPr>
        <w:rFonts w:ascii="Palatino Linotype" w:hAnsi="Palatino Linotype"/>
      </w:rPr>
      <w:t>17</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3E"/>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733"/>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43A3"/>
    <w:rsid w:val="002E4762"/>
    <w:rsid w:val="002E47A2"/>
    <w:rsid w:val="002E68FB"/>
    <w:rsid w:val="002E6BBB"/>
    <w:rsid w:val="002E6C33"/>
    <w:rsid w:val="002F0CBF"/>
    <w:rsid w:val="002F5FB0"/>
    <w:rsid w:val="002F796F"/>
    <w:rsid w:val="003011C0"/>
    <w:rsid w:val="003012ED"/>
    <w:rsid w:val="0030494A"/>
    <w:rsid w:val="003052AB"/>
    <w:rsid w:val="0030547C"/>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7C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0590"/>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5699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4557"/>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26D"/>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528A"/>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C7DA9"/>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2BE3"/>
    <w:rsid w:val="00E45180"/>
    <w:rsid w:val="00E467F3"/>
    <w:rsid w:val="00E50E44"/>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6330"/>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18/K891/618891025.pdf" TargetMode="External" Id="R41f18e87627d4f97" /></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3.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9864</ap:Words>
  <ap:Characters>56229</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65962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2026-09-14T09:11:12Z</dcterms:created>
  <dcterms:modified xsi:type="dcterms:W3CDTF">2026-09-14T09:11:12Z</dcterms:modified>
</cp:coreProperties>
</file>