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802705" w:rsidRDefault="00A76F4A" w14:paraId="4C1CE232" w14:textId="77777777">
      <w:pPr>
        <w:spacing w:after="0" w:line="240" w:lineRule="auto"/>
        <w:jc w:val="center"/>
        <w:rPr>
          <w:rFonts w:ascii="Helvetica" w:hAnsi="Helvetica" w:eastAsia="Times New Roman" w:cs="Times New Roman"/>
          <w:b/>
          <w:spacing w:val="20"/>
          <w:kern w:val="0"/>
          <w:sz w:val="26"/>
          <w:szCs w:val="26"/>
          <w14:ligatures w14:val="none"/>
        </w:rPr>
      </w:pPr>
      <w:r w:rsidRPr="00802705">
        <w:rPr>
          <w:rFonts w:ascii="Helvetica" w:hAnsi="Helvetica" w:eastAsia="Times New Roman" w:cs="Times New Roman"/>
          <w:b/>
          <w:spacing w:val="20"/>
          <w:kern w:val="0"/>
          <w:sz w:val="26"/>
          <w:szCs w:val="26"/>
          <w14:ligatures w14:val="none"/>
        </w:rPr>
        <w:t>PUBLIC UTILITIES COMMISSION OF THE STATE OF CALIFORNIA</w:t>
      </w:r>
    </w:p>
    <w:p w:rsidRPr="001942D0" w:rsidR="00A76F4A" w:rsidP="00A76F4A" w:rsidRDefault="00A76F4A" w14:paraId="0B1E8470" w14:textId="77777777">
      <w:pPr>
        <w:suppressAutoHyphens/>
        <w:spacing w:after="0" w:line="240" w:lineRule="auto"/>
        <w:rPr>
          <w:rFonts w:ascii="Palatino" w:hAnsi="Palatino" w:eastAsia="Times New Roman" w:cs="Times New Roman"/>
          <w:kern w:val="0"/>
          <w:sz w:val="26"/>
          <w:szCs w:val="20"/>
          <w14:ligatures w14:val="none"/>
        </w:rPr>
      </w:pPr>
    </w:p>
    <w:p w:rsidR="004D7815" w:rsidP="00B82D3A" w:rsidRDefault="004D7815" w14:paraId="68EB4E97" w14:textId="49D5BA84">
      <w:pPr>
        <w:tabs>
          <w:tab w:val="right" w:pos="8820"/>
        </w:tabs>
        <w:spacing w:after="0" w:line="240" w:lineRule="auto"/>
        <w:rPr>
          <w:rFonts w:ascii="Palatino Linotype" w:hAnsi="Palatino Linotype" w:eastAsia="Times New Roman" w:cs="Times New Roman"/>
          <w:b/>
          <w:kern w:val="0"/>
          <w14:ligatures w14:val="none"/>
        </w:rPr>
      </w:pPr>
      <w:r>
        <w:rPr>
          <w:rFonts w:ascii="Palatino Linotype" w:hAnsi="Palatino Linotype" w:eastAsia="Times New Roman" w:cs="Times New Roman"/>
          <w:b/>
          <w:kern w:val="0"/>
          <w14:ligatures w14:val="none"/>
        </w:rPr>
        <w:tab/>
        <w:t>Item #44 (Rev. 1)</w:t>
      </w:r>
    </w:p>
    <w:p w:rsidRPr="0051493D" w:rsidR="00A76F4A" w:rsidP="00B82D3A" w:rsidRDefault="00A76F4A" w14:paraId="2CCB8239" w14:textId="6CE35972">
      <w:pPr>
        <w:tabs>
          <w:tab w:val="right" w:pos="8820"/>
        </w:tabs>
        <w:spacing w:after="0" w:line="240" w:lineRule="auto"/>
        <w:rPr>
          <w:rFonts w:ascii="Palatino Linotype" w:hAnsi="Palatino Linotype" w:eastAsia="Times New Roman" w:cs="Times New Roman"/>
          <w:b/>
          <w:kern w:val="0"/>
          <w:highlight w:val="yellow"/>
          <w14:ligatures w14:val="none"/>
        </w:rPr>
      </w:pPr>
      <w:r w:rsidRPr="001942D0">
        <w:rPr>
          <w:rFonts w:ascii="Palatino Linotype" w:hAnsi="Palatino Linotype" w:eastAsia="Times New Roman" w:cs="Times New Roman"/>
          <w:b/>
          <w:kern w:val="0"/>
          <w14:ligatures w14:val="none"/>
        </w:rPr>
        <w:tab/>
      </w:r>
      <w:r w:rsidR="00B82D3A">
        <w:rPr>
          <w:rFonts w:ascii="Palatino Linotype" w:hAnsi="Palatino Linotype" w:eastAsia="Times New Roman" w:cs="Times New Roman"/>
          <w:b/>
          <w:kern w:val="0"/>
          <w14:ligatures w14:val="none"/>
        </w:rPr>
        <w:t xml:space="preserve">      </w:t>
      </w:r>
      <w:r w:rsidRPr="00B82D3A">
        <w:rPr>
          <w:rFonts w:ascii="Palatino Linotype" w:hAnsi="Palatino Linotype" w:eastAsia="Palatino Linotype" w:cs="Times New Roman"/>
          <w:b/>
        </w:rPr>
        <w:t>Agenda ID#</w:t>
      </w:r>
      <w:r w:rsidRPr="00B82D3A" w:rsidR="00B82D3A">
        <w:rPr>
          <w:rFonts w:ascii="Palatino Linotype" w:hAnsi="Palatino Linotype" w:eastAsia="Palatino Linotype" w:cs="Times New Roman"/>
          <w:b/>
        </w:rPr>
        <w:t xml:space="preserve"> 24437</w:t>
      </w:r>
    </w:p>
    <w:p w:rsidRPr="0051493D" w:rsidR="00A76F4A" w:rsidP="004D7815" w:rsidRDefault="00204B1B" w14:paraId="164F8DC4" w14:textId="77777777">
      <w:pPr>
        <w:tabs>
          <w:tab w:val="right" w:pos="8820"/>
        </w:tabs>
        <w:spacing w:after="0" w:line="240" w:lineRule="auto"/>
        <w:ind w:left="270"/>
        <w:rPr>
          <w:rFonts w:ascii="Palatino Linotype" w:hAnsi="Palatino Linotype" w:eastAsia="Palatino Linotype" w:cs="Times New Roman"/>
          <w:b/>
          <w:kern w:val="0"/>
          <w:highlight w:val="yellow"/>
          <w14:ligatures w14:val="none"/>
        </w:rPr>
      </w:pPr>
      <w:r w:rsidRPr="00204B1B">
        <w:rPr>
          <w:rFonts w:ascii="Palatino Linotype" w:hAnsi="Palatino Linotype" w:eastAsia="Palatino Linotype" w:cs="Times New Roman"/>
          <w:b/>
          <w:kern w:val="0"/>
          <w14:ligatures w14:val="none"/>
        </w:rPr>
        <w:t>ENERGY DIVISION</w:t>
      </w:r>
      <w:r w:rsidRPr="00204B1B" w:rsidR="00A76F4A">
        <w:rPr>
          <w:rFonts w:ascii="Palatino Linotype" w:hAnsi="Palatino Linotype" w:eastAsia="Times New Roman" w:cs="Times New Roman"/>
          <w:b/>
          <w:kern w:val="0"/>
          <w14:ligatures w14:val="none"/>
        </w:rPr>
        <w:tab/>
      </w:r>
      <w:r w:rsidRPr="00F67261" w:rsidR="00A76F4A">
        <w:rPr>
          <w:rFonts w:ascii="Palatino Linotype" w:hAnsi="Palatino Linotype" w:eastAsia="Palatino Linotype" w:cs="Times New Roman"/>
          <w:b/>
          <w:kern w:val="0"/>
          <w14:ligatures w14:val="none"/>
        </w:rPr>
        <w:t xml:space="preserve">   </w:t>
      </w:r>
      <w:r w:rsidRPr="00F67261" w:rsidR="00A76F4A">
        <w:rPr>
          <w:rFonts w:ascii="Palatino Linotype" w:hAnsi="Palatino Linotype" w:eastAsia="Palatino Linotype" w:cs="Times New Roman"/>
          <w:b/>
        </w:rPr>
        <w:t xml:space="preserve">RESOLUTION </w:t>
      </w:r>
      <w:r w:rsidRPr="00F67261" w:rsidR="00F81ED4">
        <w:rPr>
          <w:rFonts w:ascii="Palatino Linotype" w:hAnsi="Palatino Linotype" w:eastAsia="Palatino Linotype" w:cs="Times New Roman"/>
          <w:b/>
        </w:rPr>
        <w:t>5480</w:t>
      </w:r>
    </w:p>
    <w:p w:rsidRPr="001942D0" w:rsidR="00A76F4A" w:rsidP="0075641E" w:rsidRDefault="00BF1BDB" w14:paraId="04FE4F81" w14:textId="77777777">
      <w:pPr>
        <w:tabs>
          <w:tab w:val="right" w:pos="8820"/>
        </w:tabs>
        <w:spacing w:after="0" w:line="240" w:lineRule="auto"/>
        <w:ind w:left="5040"/>
        <w:jc w:val="center"/>
        <w:rPr>
          <w:rFonts w:ascii="Palatino Linotype" w:hAnsi="Palatino Linotype" w:eastAsia="Times New Roman" w:cs="Times New Roman"/>
          <w:b/>
          <w:kern w:val="0"/>
          <w14:ligatures w14:val="none"/>
        </w:rPr>
      </w:pPr>
      <w:r>
        <w:rPr>
          <w:rFonts w:ascii="Palatino Linotype" w:hAnsi="Palatino Linotype" w:eastAsia="Times New Roman" w:cs="Times New Roman"/>
          <w:b/>
          <w:kern w:val="0"/>
          <w14:ligatures w14:val="none"/>
        </w:rPr>
        <w:t xml:space="preserve">              </w:t>
      </w:r>
      <w:r w:rsidR="00B47BD4">
        <w:rPr>
          <w:rFonts w:ascii="Palatino Linotype" w:hAnsi="Palatino Linotype" w:eastAsia="Times New Roman" w:cs="Times New Roman"/>
          <w:b/>
          <w:kern w:val="0"/>
          <w14:ligatures w14:val="none"/>
        </w:rPr>
        <w:t xml:space="preserve">   </w:t>
      </w:r>
      <w:r>
        <w:rPr>
          <w:rFonts w:ascii="Palatino Linotype" w:hAnsi="Palatino Linotype" w:eastAsia="Times New Roman" w:cs="Times New Roman"/>
          <w:b/>
          <w:kern w:val="0"/>
          <w14:ligatures w14:val="none"/>
        </w:rPr>
        <w:t xml:space="preserve">  </w:t>
      </w:r>
      <w:r w:rsidR="00F67261">
        <w:rPr>
          <w:rFonts w:ascii="Palatino Linotype" w:hAnsi="Palatino Linotype" w:eastAsia="Times New Roman" w:cs="Times New Roman"/>
          <w:b/>
          <w:kern w:val="0"/>
          <w14:ligatures w14:val="none"/>
        </w:rPr>
        <w:t>September</w:t>
      </w:r>
      <w:r w:rsidR="0075641E">
        <w:rPr>
          <w:rFonts w:ascii="Palatino Linotype" w:hAnsi="Palatino Linotype" w:eastAsia="Times New Roman" w:cs="Times New Roman"/>
          <w:b/>
          <w:kern w:val="0"/>
          <w14:ligatures w14:val="none"/>
        </w:rPr>
        <w:t xml:space="preserve"> 17, 2026</w:t>
      </w:r>
    </w:p>
    <w:p w:rsidRPr="001942D0" w:rsidR="00A76F4A" w:rsidP="00A76F4A" w:rsidRDefault="00A76F4A" w14:paraId="2B3CBD4A"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43686EA"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A76F4A" w14:paraId="4AE2A057"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Pr="001942D0" w:rsidR="00A76F4A" w:rsidP="00A76F4A" w:rsidRDefault="00A76F4A" w14:paraId="732E0192" w14:textId="77777777">
      <w:pPr>
        <w:spacing w:after="0" w:line="240" w:lineRule="auto"/>
        <w:rPr>
          <w:rFonts w:ascii="Palatino" w:hAnsi="Palatino" w:eastAsia="Palatino Linotype" w:cs="Times New Roman"/>
          <w:kern w:val="0"/>
          <w:sz w:val="26"/>
          <w:szCs w:val="20"/>
          <w14:ligatures w14:val="none"/>
        </w:rPr>
      </w:pPr>
    </w:p>
    <w:p w:rsidRPr="001942D0" w:rsidR="00A76F4A" w:rsidP="00AF2A8B" w:rsidRDefault="00A76F4A" w14:paraId="46FF2152" w14:textId="29CDA38A">
      <w:pPr>
        <w:spacing w:after="0" w:line="240" w:lineRule="auto"/>
        <w:ind w:left="720" w:right="36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Resolution</w:t>
      </w:r>
      <w:r w:rsidR="00A86EF5">
        <w:rPr>
          <w:rFonts w:ascii="Palatino Linotype" w:hAnsi="Palatino Linotype" w:eastAsia="Times New Roman" w:cs="Times New Roman"/>
          <w:kern w:val="0"/>
          <w14:ligatures w14:val="none"/>
        </w:rPr>
        <w:t xml:space="preserve"> E-54</w:t>
      </w:r>
      <w:r w:rsidR="00B72A21">
        <w:rPr>
          <w:rFonts w:ascii="Palatino Linotype" w:hAnsi="Palatino Linotype" w:eastAsia="Times New Roman" w:cs="Times New Roman"/>
          <w:kern w:val="0"/>
          <w14:ligatures w14:val="none"/>
        </w:rPr>
        <w:t>80</w:t>
      </w:r>
      <w:r>
        <w:rPr>
          <w:rFonts w:ascii="Palatino Linotype" w:hAnsi="Palatino Linotype" w:eastAsia="Times New Roman" w:cs="Times New Roman"/>
          <w:kern w:val="0"/>
          <w14:ligatures w14:val="none"/>
        </w:rPr>
        <w:t>.</w:t>
      </w:r>
      <w:r w:rsidR="00B47BD4">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Southern California Edison</w:t>
      </w:r>
      <w:r w:rsidR="00E26CDE">
        <w:rPr>
          <w:rFonts w:ascii="Palatino Linotype" w:hAnsi="Palatino Linotype" w:eastAsia="Times New Roman" w:cs="Times New Roman"/>
          <w:kern w:val="0"/>
          <w14:ligatures w14:val="none"/>
        </w:rPr>
        <w:t xml:space="preserve"> Company</w:t>
      </w:r>
      <w:r w:rsidRPr="00A86EF5" w:rsidR="00A86EF5">
        <w:rPr>
          <w:rFonts w:ascii="Palatino Linotype" w:hAnsi="Palatino Linotype" w:eastAsia="Times New Roman" w:cs="Times New Roman"/>
          <w:kern w:val="0"/>
          <w14:ligatures w14:val="none"/>
        </w:rPr>
        <w:t xml:space="preserve">, </w:t>
      </w:r>
      <w:r w:rsidRPr="00A86EF5" w:rsidR="00B47BD4">
        <w:rPr>
          <w:rFonts w:ascii="Palatino Linotype" w:hAnsi="Palatino Linotype" w:eastAsia="Times New Roman" w:cs="Times New Roman"/>
          <w:kern w:val="0"/>
          <w14:ligatures w14:val="none"/>
        </w:rPr>
        <w:t>Pacific Gas and Electric</w:t>
      </w:r>
      <w:r w:rsidR="00B47BD4">
        <w:rPr>
          <w:rFonts w:ascii="Palatino Linotype" w:hAnsi="Palatino Linotype" w:eastAsia="Times New Roman" w:cs="Times New Roman"/>
          <w:kern w:val="0"/>
          <w14:ligatures w14:val="none"/>
        </w:rPr>
        <w:t xml:space="preserve"> Company</w:t>
      </w:r>
      <w:r w:rsidRPr="00A86EF5" w:rsidR="00B47BD4">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 xml:space="preserve">and San Diego Gas </w:t>
      </w:r>
      <w:r w:rsidR="004420FB">
        <w:rPr>
          <w:rFonts w:ascii="Palatino Linotype" w:hAnsi="Palatino Linotype" w:eastAsia="Times New Roman" w:cs="Times New Roman"/>
          <w:kern w:val="0"/>
          <w14:ligatures w14:val="none"/>
        </w:rPr>
        <w:t>&amp;</w:t>
      </w:r>
      <w:r w:rsidRPr="00A86EF5" w:rsidR="00A86EF5">
        <w:rPr>
          <w:rFonts w:ascii="Palatino Linotype" w:hAnsi="Palatino Linotype" w:eastAsia="Times New Roman" w:cs="Times New Roman"/>
          <w:kern w:val="0"/>
          <w14:ligatures w14:val="none"/>
        </w:rPr>
        <w:t xml:space="preserve"> Electric </w:t>
      </w:r>
      <w:r w:rsidR="004420FB">
        <w:rPr>
          <w:rFonts w:ascii="Palatino Linotype" w:hAnsi="Palatino Linotype" w:eastAsia="Times New Roman" w:cs="Times New Roman"/>
          <w:kern w:val="0"/>
          <w14:ligatures w14:val="none"/>
        </w:rPr>
        <w:t>Company</w:t>
      </w:r>
      <w:r w:rsidR="00AF2A8B">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implement</w:t>
      </w:r>
      <w:r w:rsidR="004420FB">
        <w:rPr>
          <w:rFonts w:ascii="Palatino Linotype" w:hAnsi="Palatino Linotype" w:eastAsia="Times New Roman" w:cs="Times New Roman"/>
          <w:kern w:val="0"/>
          <w14:ligatures w14:val="none"/>
        </w:rPr>
        <w:t>ation of</w:t>
      </w:r>
      <w:r w:rsidRPr="00A86EF5" w:rsidR="00A86EF5">
        <w:rPr>
          <w:rFonts w:ascii="Palatino Linotype" w:hAnsi="Palatino Linotype" w:eastAsia="Times New Roman" w:cs="Times New Roman"/>
          <w:kern w:val="0"/>
          <w14:ligatures w14:val="none"/>
        </w:rPr>
        <w:t xml:space="preserve"> </w:t>
      </w:r>
      <w:r w:rsidR="00A86EF5">
        <w:rPr>
          <w:rFonts w:ascii="Palatino Linotype" w:hAnsi="Palatino Linotype" w:eastAsia="Times New Roman" w:cs="Times New Roman"/>
          <w:kern w:val="0"/>
          <w14:ligatures w14:val="none"/>
        </w:rPr>
        <w:t>Equity Metrics in the Distribution Planning and Execution Process.</w:t>
      </w:r>
    </w:p>
    <w:p w:rsidRPr="001942D0" w:rsidR="00A76F4A" w:rsidP="00A76F4A" w:rsidRDefault="00A76F4A" w14:paraId="44AE1431" w14:textId="77777777">
      <w:pPr>
        <w:spacing w:after="0" w:line="240" w:lineRule="auto"/>
        <w:ind w:left="720" w:right="720"/>
        <w:rPr>
          <w:rFonts w:ascii="Palatino Linotype" w:hAnsi="Palatino Linotype" w:eastAsia="Times New Roman" w:cs="Times New Roman"/>
          <w:kern w:val="0"/>
          <w14:ligatures w14:val="none"/>
        </w:rPr>
      </w:pPr>
    </w:p>
    <w:p w:rsidRPr="001942D0" w:rsidR="00A76F4A" w:rsidP="00A76F4A" w:rsidRDefault="00A76F4A" w14:paraId="654967A0"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A6733A" w:rsidR="00A76F4A" w:rsidP="00AF2A8B" w:rsidRDefault="00A86EF5" w14:paraId="4C195E6F" w14:textId="77777777">
      <w:pPr>
        <w:numPr>
          <w:ilvl w:val="0"/>
          <w:numId w:val="4"/>
        </w:numPr>
        <w:spacing w:after="0" w:line="240" w:lineRule="auto"/>
        <w:ind w:right="45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Approves with modification the jointly filed proposals of Pacific Gas and Electric</w:t>
      </w:r>
      <w:r w:rsidR="002F52BB">
        <w:rPr>
          <w:rFonts w:ascii="Palatino Linotype" w:hAnsi="Palatino Linotype" w:eastAsia="Times New Roman" w:cs="Times New Roman"/>
          <w:kern w:val="0"/>
          <w14:ligatures w14:val="none"/>
        </w:rPr>
        <w:t xml:space="preserve"> Company</w:t>
      </w:r>
      <w:r>
        <w:rPr>
          <w:rFonts w:ascii="Palatino Linotype" w:hAnsi="Palatino Linotype" w:eastAsia="Times New Roman" w:cs="Times New Roman"/>
          <w:kern w:val="0"/>
          <w14:ligatures w14:val="none"/>
        </w:rPr>
        <w:t xml:space="preserve">, Southern California Edison </w:t>
      </w:r>
      <w:r w:rsidR="002F52BB">
        <w:rPr>
          <w:rFonts w:ascii="Palatino Linotype" w:hAnsi="Palatino Linotype" w:eastAsia="Times New Roman" w:cs="Times New Roman"/>
          <w:kern w:val="0"/>
          <w14:ligatures w14:val="none"/>
        </w:rPr>
        <w:t xml:space="preserve">Company </w:t>
      </w:r>
      <w:r>
        <w:rPr>
          <w:rFonts w:ascii="Palatino Linotype" w:hAnsi="Palatino Linotype" w:eastAsia="Times New Roman" w:cs="Times New Roman"/>
          <w:kern w:val="0"/>
          <w14:ligatures w14:val="none"/>
        </w:rPr>
        <w:t xml:space="preserve">and San Diego Gas </w:t>
      </w:r>
      <w:r w:rsidR="002F52BB">
        <w:rPr>
          <w:rFonts w:ascii="Palatino Linotype" w:hAnsi="Palatino Linotype" w:eastAsia="Times New Roman" w:cs="Times New Roman"/>
          <w:kern w:val="0"/>
          <w14:ligatures w14:val="none"/>
        </w:rPr>
        <w:t>&amp;</w:t>
      </w:r>
      <w:r>
        <w:rPr>
          <w:rFonts w:ascii="Palatino Linotype" w:hAnsi="Palatino Linotype" w:eastAsia="Times New Roman" w:cs="Times New Roman"/>
          <w:kern w:val="0"/>
          <w14:ligatures w14:val="none"/>
        </w:rPr>
        <w:t xml:space="preserve"> Electric</w:t>
      </w:r>
      <w:r w:rsidR="00A6733A">
        <w:rPr>
          <w:rFonts w:ascii="Palatino Linotype" w:hAnsi="Palatino Linotype" w:eastAsia="Times New Roman" w:cs="Times New Roman"/>
          <w:kern w:val="0"/>
          <w14:ligatures w14:val="none"/>
        </w:rPr>
        <w:t xml:space="preserve"> </w:t>
      </w:r>
      <w:r w:rsidR="002F52BB">
        <w:rPr>
          <w:rFonts w:ascii="Palatino Linotype" w:hAnsi="Palatino Linotype" w:eastAsia="Times New Roman" w:cs="Times New Roman"/>
          <w:kern w:val="0"/>
          <w14:ligatures w14:val="none"/>
        </w:rPr>
        <w:t xml:space="preserve">Company </w:t>
      </w:r>
      <w:r w:rsidR="00A6733A">
        <w:rPr>
          <w:rFonts w:ascii="Palatino Linotype" w:hAnsi="Palatino Linotype" w:eastAsia="Times New Roman" w:cs="Times New Roman"/>
          <w:kern w:val="0"/>
          <w14:ligatures w14:val="none"/>
        </w:rPr>
        <w:t>concerning the implementation of Equity Metrics of the Distribution Planning and Execution Process pursuant to ordering paragraph (OP) 23 of Decision 24-10-030 filed in the joint Advice Letter (AL) SCE AL 5498-E, PG&amp;E AL 7530-E, SDG&amp;E AL 4617-E.</w:t>
      </w:r>
    </w:p>
    <w:p w:rsidRPr="001942D0" w:rsidR="00A76F4A" w:rsidP="00A76F4A" w:rsidRDefault="00A76F4A" w14:paraId="0448A517"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71F211E2"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E05EF2" w:rsidR="00A76F4A" w:rsidP="00A76F4A" w:rsidRDefault="00A6733A" w14:paraId="6EA50395" w14:textId="77777777">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There </w:t>
      </w:r>
      <w:proofErr w:type="gramStart"/>
      <w:r>
        <w:rPr>
          <w:rFonts w:ascii="Palatino Linotype" w:hAnsi="Palatino Linotype" w:eastAsia="Times New Roman" w:cs="Times New Roman"/>
          <w:kern w:val="0"/>
          <w14:ligatures w14:val="none"/>
        </w:rPr>
        <w:t>are</w:t>
      </w:r>
      <w:proofErr w:type="gramEnd"/>
      <w:r>
        <w:rPr>
          <w:rFonts w:ascii="Palatino Linotype" w:hAnsi="Palatino Linotype" w:eastAsia="Times New Roman" w:cs="Times New Roman"/>
          <w:kern w:val="0"/>
          <w14:ligatures w14:val="none"/>
        </w:rPr>
        <w:t xml:space="preserve"> no safety considerations related to this resolution.</w:t>
      </w:r>
    </w:p>
    <w:p w:rsidRPr="001942D0" w:rsidR="00A76F4A" w:rsidP="00A76F4A" w:rsidRDefault="00A76F4A" w14:paraId="4B876E54"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25A06874"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00A6733A" w:rsidP="00AF2A8B" w:rsidRDefault="00A76F4A" w14:paraId="15D3FF1D" w14:textId="77777777">
      <w:pPr>
        <w:numPr>
          <w:ilvl w:val="0"/>
          <w:numId w:val="3"/>
        </w:numPr>
        <w:spacing w:after="0" w:line="240" w:lineRule="auto"/>
        <w:ind w:right="45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There are no costs associated with this resolution.</w:t>
      </w:r>
      <w:r w:rsidR="00A6733A">
        <w:rPr>
          <w:rFonts w:ascii="Palatino Linotype" w:hAnsi="Palatino Linotype" w:eastAsia="Times New Roman" w:cs="Times New Roman"/>
          <w:kern w:val="0"/>
          <w14:ligatures w14:val="none"/>
        </w:rPr>
        <w:t xml:space="preserve"> The implementation of this Resolution may impact costs in the future.</w:t>
      </w:r>
    </w:p>
    <w:p w:rsidRPr="001942D0" w:rsidR="00A76F4A" w:rsidP="00A76F4A" w:rsidRDefault="00A76F4A" w14:paraId="00EEAE44"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5FA0190E"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By Advice Letter</w:t>
      </w:r>
      <w:r w:rsidR="00B47BD4">
        <w:rPr>
          <w:rFonts w:ascii="Palatino Linotype" w:hAnsi="Palatino Linotype" w:eastAsia="Palatino Linotype" w:cs="Times New Roman"/>
          <w:kern w:val="0"/>
          <w14:ligatures w14:val="none"/>
        </w:rPr>
        <w:t>s</w:t>
      </w:r>
      <w:r w:rsidRPr="001942D0">
        <w:rPr>
          <w:rFonts w:ascii="Palatino Linotype" w:hAnsi="Palatino Linotype" w:eastAsia="Palatino Linotype" w:cs="Times New Roman"/>
          <w:kern w:val="0"/>
          <w14:ligatures w14:val="none"/>
        </w:rPr>
        <w:t xml:space="preserve"> </w:t>
      </w:r>
      <w:r w:rsidR="00911808">
        <w:rPr>
          <w:rFonts w:ascii="Palatino Linotype" w:hAnsi="Palatino Linotype" w:eastAsia="Palatino Linotype" w:cs="Times New Roman"/>
          <w:kern w:val="0"/>
          <w14:ligatures w14:val="none"/>
        </w:rPr>
        <w:t>5498-E</w:t>
      </w:r>
      <w:r w:rsidRPr="001942D0">
        <w:rPr>
          <w:rFonts w:ascii="Palatino Linotype" w:hAnsi="Palatino Linotype" w:eastAsia="Palatino Linotype" w:cs="Times New Roman"/>
          <w:kern w:val="0"/>
          <w14:ligatures w14:val="none"/>
        </w:rPr>
        <w:t>,</w:t>
      </w:r>
      <w:r w:rsidR="00B47BD4">
        <w:rPr>
          <w:rFonts w:ascii="Palatino Linotype" w:hAnsi="Palatino Linotype" w:eastAsia="Palatino Linotype" w:cs="Times New Roman"/>
          <w:kern w:val="0"/>
          <w14:ligatures w14:val="none"/>
        </w:rPr>
        <w:t xml:space="preserve"> 7530-E and 4617-E</w:t>
      </w:r>
      <w:r w:rsidRPr="001942D0">
        <w:rPr>
          <w:rFonts w:ascii="Palatino Linotype" w:hAnsi="Palatino Linotype" w:eastAsia="Palatino Linotype" w:cs="Times New Roman"/>
          <w:kern w:val="0"/>
          <w14:ligatures w14:val="none"/>
        </w:rPr>
        <w:t xml:space="preserve"> Filed on </w:t>
      </w:r>
      <w:r w:rsidR="00911808">
        <w:rPr>
          <w:rFonts w:ascii="Palatino Linotype" w:hAnsi="Palatino Linotype" w:eastAsia="Palatino Linotype" w:cs="Times New Roman"/>
          <w:kern w:val="0"/>
          <w14:ligatures w14:val="none"/>
        </w:rPr>
        <w:t>March 7, 2025</w:t>
      </w:r>
      <w:r w:rsidRPr="001942D0">
        <w:rPr>
          <w:rFonts w:ascii="Palatino Linotype" w:hAnsi="Palatino Linotype" w:eastAsia="Palatino Linotype" w:cs="Times New Roman"/>
          <w:kern w:val="0"/>
          <w14:ligatures w14:val="none"/>
        </w:rPr>
        <w:t xml:space="preserve">. </w:t>
      </w:r>
    </w:p>
    <w:p w:rsidRPr="001942D0" w:rsidR="00A76F4A" w:rsidP="00A76F4A" w:rsidRDefault="00A76F4A" w14:paraId="1BEE0A54" w14:textId="77777777">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00A76F4A" w:rsidRDefault="00A76F4A" w14:paraId="160EE819"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54EAC7A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Summary</w:t>
      </w:r>
      <w:bookmarkEnd w:id="0"/>
    </w:p>
    <w:p w:rsidR="00B72773" w:rsidP="53F08BA3" w:rsidRDefault="00BF27A9" w14:paraId="4DFADAFD" w14:textId="77777777">
      <w:pPr>
        <w:spacing w:after="0" w:line="240" w:lineRule="auto"/>
        <w:rPr>
          <w:rFonts w:ascii="Palatino Linotype" w:hAnsi="Palatino Linotype" w:eastAsia="Times New Roman" w:cs="Times New Roman"/>
        </w:rPr>
      </w:pPr>
      <w:r w:rsidRPr="00BF27A9">
        <w:rPr>
          <w:rFonts w:ascii="Palatino Linotype" w:hAnsi="Palatino Linotype" w:eastAsia="Times New Roman" w:cs="Times New Roman"/>
          <w:kern w:val="0"/>
          <w14:ligatures w14:val="none"/>
        </w:rPr>
        <w:t xml:space="preserve">This Resolution adopts, with modifications, the </w:t>
      </w:r>
      <w:r w:rsidR="00E601EE">
        <w:rPr>
          <w:rFonts w:ascii="Palatino Linotype" w:hAnsi="Palatino Linotype" w:eastAsia="Times New Roman" w:cs="Times New Roman"/>
          <w:kern w:val="0"/>
          <w14:ligatures w14:val="none"/>
        </w:rPr>
        <w:t>equity metrics proposed by</w:t>
      </w:r>
      <w:r w:rsidRPr="00BF27A9">
        <w:rPr>
          <w:rFonts w:ascii="Palatino Linotype" w:hAnsi="Palatino Linotype" w:eastAsia="Times New Roman" w:cs="Times New Roman"/>
          <w:kern w:val="0"/>
          <w14:ligatures w14:val="none"/>
        </w:rPr>
        <w:t xml:space="preserve"> Pacific Gas and Electric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(PG&amp;E), Southern California Edison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(SCE), and San Diego Gas </w:t>
      </w:r>
      <w:r w:rsidR="00350853">
        <w:rPr>
          <w:rFonts w:ascii="Palatino Linotype" w:hAnsi="Palatino Linotype" w:eastAsia="Times New Roman" w:cs="Times New Roman"/>
          <w:kern w:val="0"/>
          <w14:ligatures w14:val="none"/>
        </w:rPr>
        <w:t>&amp;</w:t>
      </w:r>
      <w:r w:rsidRPr="00BF27A9">
        <w:rPr>
          <w:rFonts w:ascii="Palatino Linotype" w:hAnsi="Palatino Linotype" w:eastAsia="Times New Roman" w:cs="Times New Roman"/>
          <w:kern w:val="0"/>
          <w14:ligatures w14:val="none"/>
        </w:rPr>
        <w:t xml:space="preserve"> Electric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(SDG&amp;E), </w:t>
      </w:r>
      <w:r w:rsidR="006A1F7A">
        <w:rPr>
          <w:rFonts w:ascii="Palatino Linotype" w:hAnsi="Palatino Linotype" w:eastAsia="Times New Roman" w:cs="Times New Roman"/>
          <w:kern w:val="0"/>
          <w14:ligatures w14:val="none"/>
        </w:rPr>
        <w:t>collectively</w:t>
      </w:r>
      <w:r w:rsidRPr="00BF27A9" w:rsidR="006A1F7A">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referred to as the “joint utilities,” to </w:t>
      </w:r>
      <w:r w:rsidR="003E57C0">
        <w:rPr>
          <w:rFonts w:ascii="Palatino Linotype" w:hAnsi="Palatino Linotype" w:eastAsia="Times New Roman" w:cs="Times New Roman"/>
          <w:kern w:val="0"/>
          <w14:ligatures w14:val="none"/>
        </w:rPr>
        <w:t xml:space="preserve">measure equity </w:t>
      </w:r>
      <w:r w:rsidR="00273114">
        <w:rPr>
          <w:rFonts w:ascii="Palatino Linotype" w:hAnsi="Palatino Linotype" w:eastAsia="Times New Roman" w:cs="Times New Roman"/>
          <w:kern w:val="0"/>
          <w14:ligatures w14:val="none"/>
        </w:rPr>
        <w:t xml:space="preserve">in each utility’s </w:t>
      </w:r>
      <w:r w:rsidR="00F751D4">
        <w:rPr>
          <w:rFonts w:ascii="Palatino Linotype" w:hAnsi="Palatino Linotype" w:eastAsia="Times New Roman" w:cs="Times New Roman"/>
          <w:kern w:val="0"/>
          <w14:ligatures w14:val="none"/>
        </w:rPr>
        <w:t xml:space="preserve">yearly </w:t>
      </w:r>
      <w:r w:rsidR="00273114">
        <w:rPr>
          <w:rFonts w:ascii="Palatino Linotype" w:hAnsi="Palatino Linotype" w:eastAsia="Times New Roman" w:cs="Times New Roman"/>
          <w:kern w:val="0"/>
          <w14:ligatures w14:val="none"/>
        </w:rPr>
        <w:t xml:space="preserve">Distribution Planning and Execution Process </w:t>
      </w:r>
      <w:r w:rsidR="00273114">
        <w:rPr>
          <w:rFonts w:ascii="Palatino Linotype" w:hAnsi="Palatino Linotype" w:eastAsia="Times New Roman" w:cs="Times New Roman"/>
          <w:kern w:val="0"/>
          <w14:ligatures w14:val="none"/>
        </w:rPr>
        <w:lastRenderedPageBreak/>
        <w:t>(DPEP)</w:t>
      </w:r>
      <w:r w:rsidRPr="00BF27A9">
        <w:rPr>
          <w:rFonts w:ascii="Palatino Linotype" w:hAnsi="Palatino Linotype" w:eastAsia="Times New Roman" w:cs="Times New Roman"/>
          <w:kern w:val="0"/>
          <w14:ligatures w14:val="none"/>
        </w:rPr>
        <w:t xml:space="preserve">, pursuant to </w:t>
      </w:r>
      <w:r w:rsidR="008A24AA">
        <w:rPr>
          <w:rFonts w:ascii="Palatino Linotype" w:hAnsi="Palatino Linotype" w:eastAsia="Times New Roman" w:cs="Times New Roman"/>
          <w:kern w:val="0"/>
          <w14:ligatures w14:val="none"/>
        </w:rPr>
        <w:t>D</w:t>
      </w:r>
      <w:r w:rsidRPr="00BF27A9">
        <w:rPr>
          <w:rFonts w:ascii="Palatino Linotype" w:hAnsi="Palatino Linotype" w:eastAsia="Times New Roman" w:cs="Times New Roman"/>
          <w:kern w:val="0"/>
          <w14:ligatures w14:val="none"/>
        </w:rPr>
        <w:t xml:space="preserve">ecision </w:t>
      </w:r>
      <w:r w:rsidR="00AC18CC">
        <w:rPr>
          <w:rFonts w:ascii="Palatino Linotype" w:hAnsi="Palatino Linotype" w:eastAsia="Times New Roman" w:cs="Times New Roman"/>
          <w:kern w:val="0"/>
          <w14:ligatures w14:val="none"/>
        </w:rPr>
        <w:t>(</w:t>
      </w:r>
      <w:r w:rsidRPr="00BF27A9">
        <w:rPr>
          <w:rFonts w:ascii="Palatino Linotype" w:hAnsi="Palatino Linotype" w:eastAsia="Times New Roman" w:cs="Times New Roman"/>
          <w:kern w:val="0"/>
          <w14:ligatures w14:val="none"/>
        </w:rPr>
        <w:t>D.</w:t>
      </w:r>
      <w:r w:rsidR="00AC18CC">
        <w:rPr>
          <w:rFonts w:ascii="Palatino Linotype" w:hAnsi="Palatino Linotype" w:eastAsia="Times New Roman" w:cs="Times New Roman"/>
          <w:kern w:val="0"/>
          <w14:ligatures w14:val="none"/>
        </w:rPr>
        <w:t>)</w:t>
      </w:r>
      <w:r w:rsidRPr="00BF27A9">
        <w:rPr>
          <w:rFonts w:ascii="Palatino Linotype" w:hAnsi="Palatino Linotype" w:eastAsia="Times New Roman" w:cs="Times New Roman"/>
          <w:kern w:val="0"/>
          <w14:ligatures w14:val="none"/>
        </w:rPr>
        <w:t>24-10-030. Advice Letter 5</w:t>
      </w:r>
      <w:r w:rsidR="00E2086C">
        <w:rPr>
          <w:rFonts w:ascii="Palatino Linotype" w:hAnsi="Palatino Linotype" w:eastAsia="Times New Roman" w:cs="Times New Roman"/>
          <w:kern w:val="0"/>
          <w14:ligatures w14:val="none"/>
        </w:rPr>
        <w:t>498</w:t>
      </w:r>
      <w:r w:rsidRPr="00BF27A9">
        <w:rPr>
          <w:rFonts w:ascii="Palatino Linotype" w:hAnsi="Palatino Linotype" w:eastAsia="Times New Roman" w:cs="Times New Roman"/>
          <w:kern w:val="0"/>
          <w14:ligatures w14:val="none"/>
        </w:rPr>
        <w:t xml:space="preserve">-E contains </w:t>
      </w:r>
      <w:r w:rsidRPr="00BF27A9" w:rsidR="1F6D8B4B">
        <w:rPr>
          <w:rFonts w:ascii="Palatino Linotype" w:hAnsi="Palatino Linotype" w:eastAsia="Times New Roman" w:cs="Times New Roman"/>
          <w:kern w:val="0"/>
          <w14:ligatures w14:val="none"/>
        </w:rPr>
        <w:t xml:space="preserve">a joint </w:t>
      </w:r>
      <w:r w:rsidRPr="00BF27A9">
        <w:rPr>
          <w:rFonts w:ascii="Palatino Linotype" w:hAnsi="Palatino Linotype" w:eastAsia="Times New Roman" w:cs="Times New Roman"/>
          <w:kern w:val="0"/>
          <w14:ligatures w14:val="none"/>
        </w:rPr>
        <w:t xml:space="preserve">proposal from </w:t>
      </w:r>
      <w:r w:rsidR="00E2086C">
        <w:rPr>
          <w:rFonts w:ascii="Palatino Linotype" w:hAnsi="Palatino Linotype" w:eastAsia="Times New Roman" w:cs="Times New Roman"/>
          <w:kern w:val="0"/>
          <w14:ligatures w14:val="none"/>
        </w:rPr>
        <w:t>PG&amp;E and SCE</w:t>
      </w:r>
      <w:r w:rsidR="067FC2B7">
        <w:rPr>
          <w:rFonts w:ascii="Palatino Linotype" w:hAnsi="Palatino Linotype" w:eastAsia="Times New Roman" w:cs="Times New Roman"/>
          <w:kern w:val="0"/>
          <w14:ligatures w14:val="none"/>
        </w:rPr>
        <w:t>, and a separate</w:t>
      </w:r>
      <w:r w:rsidR="00E2086C">
        <w:rPr>
          <w:rFonts w:ascii="Palatino Linotype" w:hAnsi="Palatino Linotype" w:eastAsia="Times New Roman" w:cs="Times New Roman"/>
          <w:kern w:val="0"/>
          <w14:ligatures w14:val="none"/>
        </w:rPr>
        <w:t xml:space="preserve"> </w:t>
      </w:r>
      <w:r w:rsidR="006A7DFA">
        <w:rPr>
          <w:rFonts w:ascii="Palatino Linotype" w:hAnsi="Palatino Linotype" w:eastAsia="Times New Roman" w:cs="Times New Roman"/>
          <w:kern w:val="0"/>
          <w14:ligatures w14:val="none"/>
        </w:rPr>
        <w:t>propos</w:t>
      </w:r>
      <w:r w:rsidR="3717EFEF">
        <w:rPr>
          <w:rFonts w:ascii="Palatino Linotype" w:hAnsi="Palatino Linotype" w:eastAsia="Times New Roman" w:cs="Times New Roman"/>
          <w:kern w:val="0"/>
          <w14:ligatures w14:val="none"/>
        </w:rPr>
        <w:t>al</w:t>
      </w:r>
      <w:r w:rsidR="006A7DFA">
        <w:rPr>
          <w:rFonts w:ascii="Palatino Linotype" w:hAnsi="Palatino Linotype" w:eastAsia="Times New Roman" w:cs="Times New Roman"/>
          <w:kern w:val="0"/>
          <w14:ligatures w14:val="none"/>
        </w:rPr>
        <w:t xml:space="preserve"> </w:t>
      </w:r>
      <w:r w:rsidRPr="53F08BA3" w:rsidR="15EAC16D">
        <w:rPr>
          <w:rFonts w:ascii="Palatino Linotype" w:hAnsi="Palatino Linotype" w:eastAsia="Times New Roman" w:cs="Times New Roman"/>
        </w:rPr>
        <w:t xml:space="preserve">from </w:t>
      </w:r>
      <w:r w:rsidR="00E2086C">
        <w:rPr>
          <w:rFonts w:ascii="Palatino Linotype" w:hAnsi="Palatino Linotype" w:eastAsia="Times New Roman" w:cs="Times New Roman"/>
          <w:kern w:val="0"/>
          <w14:ligatures w14:val="none"/>
        </w:rPr>
        <w:t xml:space="preserve">SDG&amp;E </w:t>
      </w:r>
      <w:r w:rsidRPr="00BF27A9">
        <w:rPr>
          <w:rFonts w:ascii="Palatino Linotype" w:hAnsi="Palatino Linotype" w:eastAsia="Times New Roman" w:cs="Times New Roman"/>
          <w:kern w:val="0"/>
          <w14:ligatures w14:val="none"/>
        </w:rPr>
        <w:t xml:space="preserve">on the information and sources </w:t>
      </w:r>
      <w:r w:rsidR="00EE537D">
        <w:rPr>
          <w:rFonts w:ascii="Palatino Linotype" w:hAnsi="Palatino Linotype" w:eastAsia="Times New Roman" w:cs="Times New Roman"/>
          <w:kern w:val="0"/>
          <w14:ligatures w14:val="none"/>
        </w:rPr>
        <w:t xml:space="preserve">used </w:t>
      </w:r>
      <w:r w:rsidR="00E2086C">
        <w:rPr>
          <w:rFonts w:ascii="Palatino Linotype" w:hAnsi="Palatino Linotype" w:eastAsia="Times New Roman" w:cs="Times New Roman"/>
          <w:kern w:val="0"/>
          <w14:ligatures w14:val="none"/>
        </w:rPr>
        <w:t xml:space="preserve">to measure the </w:t>
      </w:r>
      <w:r w:rsidR="00EE537D">
        <w:rPr>
          <w:rFonts w:ascii="Palatino Linotype" w:hAnsi="Palatino Linotype" w:eastAsia="Times New Roman" w:cs="Times New Roman"/>
          <w:kern w:val="0"/>
          <w14:ligatures w14:val="none"/>
        </w:rPr>
        <w:t>equity</w:t>
      </w:r>
      <w:r w:rsidR="00E2086C">
        <w:rPr>
          <w:rFonts w:ascii="Palatino Linotype" w:hAnsi="Palatino Linotype" w:eastAsia="Times New Roman" w:cs="Times New Roman"/>
          <w:kern w:val="0"/>
          <w14:ligatures w14:val="none"/>
        </w:rPr>
        <w:t xml:space="preserve"> within </w:t>
      </w:r>
      <w:r w:rsidR="00E915C3">
        <w:rPr>
          <w:rFonts w:ascii="Palatino Linotype" w:hAnsi="Palatino Linotype" w:eastAsia="Times New Roman" w:cs="Times New Roman"/>
          <w:kern w:val="0"/>
          <w14:ligatures w14:val="none"/>
        </w:rPr>
        <w:t xml:space="preserve">each </w:t>
      </w:r>
      <w:r w:rsidR="00A62E43">
        <w:rPr>
          <w:rFonts w:ascii="Palatino Linotype" w:hAnsi="Palatino Linotype" w:eastAsia="Times New Roman" w:cs="Times New Roman"/>
          <w:kern w:val="0"/>
          <w14:ligatures w14:val="none"/>
        </w:rPr>
        <w:t>utility’s</w:t>
      </w:r>
      <w:r w:rsidR="00E915C3">
        <w:rPr>
          <w:rFonts w:ascii="Palatino Linotype" w:hAnsi="Palatino Linotype" w:eastAsia="Times New Roman" w:cs="Times New Roman"/>
          <w:kern w:val="0"/>
          <w14:ligatures w14:val="none"/>
        </w:rPr>
        <w:t xml:space="preserve"> </w:t>
      </w:r>
      <w:r w:rsidR="00E2086C">
        <w:rPr>
          <w:rFonts w:ascii="Palatino Linotype" w:hAnsi="Palatino Linotype" w:eastAsia="Times New Roman" w:cs="Times New Roman"/>
          <w:kern w:val="0"/>
          <w14:ligatures w14:val="none"/>
        </w:rPr>
        <w:t>DPEP.</w:t>
      </w:r>
    </w:p>
    <w:p w:rsidR="00E87507" w:rsidP="00A76F4A" w:rsidRDefault="00E87507" w14:paraId="2BAFFD05" w14:textId="77777777">
      <w:pPr>
        <w:spacing w:after="0" w:line="240" w:lineRule="auto"/>
        <w:rPr>
          <w:rFonts w:ascii="Palatino Linotype" w:hAnsi="Palatino Linotype" w:eastAsia="Times New Roman" w:cs="Times New Roman"/>
        </w:rPr>
      </w:pPr>
    </w:p>
    <w:p w:rsidR="00E2086C" w:rsidP="00A76F4A" w:rsidRDefault="62718D94" w14:paraId="198A6BE1" w14:textId="77777777">
      <w:pPr>
        <w:spacing w:after="0" w:line="240" w:lineRule="auto"/>
        <w:rPr>
          <w:rFonts w:ascii="Palatino Linotype" w:hAnsi="Palatino Linotype" w:eastAsia="Times New Roman" w:cs="Times New Roman"/>
        </w:rPr>
      </w:pPr>
      <w:r w:rsidRPr="79A3EC57">
        <w:rPr>
          <w:rFonts w:ascii="Palatino Linotype" w:hAnsi="Palatino Linotype" w:eastAsia="Times New Roman" w:cs="Times New Roman"/>
        </w:rPr>
        <w:t>P</w:t>
      </w:r>
      <w:r w:rsidR="00213840">
        <w:rPr>
          <w:rFonts w:ascii="Palatino Linotype" w:hAnsi="Palatino Linotype" w:eastAsia="Times New Roman" w:cs="Times New Roman"/>
        </w:rPr>
        <w:t>u</w:t>
      </w:r>
      <w:r w:rsidRPr="79A3EC57">
        <w:rPr>
          <w:rFonts w:ascii="Palatino Linotype" w:hAnsi="Palatino Linotype" w:eastAsia="Times New Roman" w:cs="Times New Roman"/>
        </w:rPr>
        <w:t>rsuant</w:t>
      </w:r>
      <w:r w:rsidRPr="79A3EC57" w:rsidR="0260F825">
        <w:rPr>
          <w:rFonts w:ascii="Palatino Linotype" w:hAnsi="Palatino Linotype" w:eastAsia="Times New Roman" w:cs="Times New Roman"/>
        </w:rPr>
        <w:t xml:space="preserve"> </w:t>
      </w:r>
      <w:r w:rsidRPr="79A3EC57">
        <w:rPr>
          <w:rFonts w:ascii="Palatino Linotype" w:hAnsi="Palatino Linotype" w:eastAsia="Times New Roman" w:cs="Times New Roman"/>
        </w:rPr>
        <w:t>to</w:t>
      </w:r>
      <w:r w:rsidRPr="219163CC" w:rsidR="001435B4">
        <w:rPr>
          <w:rFonts w:ascii="Palatino Linotype" w:hAnsi="Palatino Linotype" w:eastAsia="Times New Roman" w:cs="Times New Roman"/>
        </w:rPr>
        <w:t xml:space="preserve"> D.24-10-030 (the Decision), this </w:t>
      </w:r>
      <w:r w:rsidRPr="219163CC" w:rsidR="00A306F7">
        <w:rPr>
          <w:rFonts w:ascii="Palatino Linotype" w:hAnsi="Palatino Linotype" w:eastAsia="Times New Roman" w:cs="Times New Roman"/>
        </w:rPr>
        <w:t>R</w:t>
      </w:r>
      <w:r w:rsidRPr="219163CC" w:rsidR="001435B4">
        <w:rPr>
          <w:rFonts w:ascii="Palatino Linotype" w:hAnsi="Palatino Linotype" w:eastAsia="Times New Roman" w:cs="Times New Roman"/>
        </w:rPr>
        <w:t xml:space="preserve">esolution establishes reporting requirements </w:t>
      </w:r>
      <w:r w:rsidRPr="219163CC" w:rsidR="00237454">
        <w:rPr>
          <w:rFonts w:ascii="Palatino Linotype" w:hAnsi="Palatino Linotype" w:eastAsia="Times New Roman" w:cs="Times New Roman"/>
        </w:rPr>
        <w:t xml:space="preserve">for </w:t>
      </w:r>
      <w:r w:rsidRPr="219163CC" w:rsidR="001435B4">
        <w:rPr>
          <w:rFonts w:ascii="Palatino Linotype" w:hAnsi="Palatino Linotype" w:eastAsia="Times New Roman" w:cs="Times New Roman"/>
        </w:rPr>
        <w:t xml:space="preserve">the </w:t>
      </w:r>
      <w:r w:rsidRPr="219163CC" w:rsidR="00237454">
        <w:rPr>
          <w:rFonts w:ascii="Palatino Linotype" w:hAnsi="Palatino Linotype" w:eastAsia="Times New Roman" w:cs="Times New Roman"/>
        </w:rPr>
        <w:t>joint</w:t>
      </w:r>
      <w:r w:rsidRPr="219163CC" w:rsidR="001435B4">
        <w:rPr>
          <w:rFonts w:ascii="Palatino Linotype" w:hAnsi="Palatino Linotype" w:eastAsia="Times New Roman" w:cs="Times New Roman"/>
        </w:rPr>
        <w:t xml:space="preserve"> utilities to annually evaluate equity in distribution </w:t>
      </w:r>
      <w:r w:rsidRPr="219163CC" w:rsidR="00237454">
        <w:rPr>
          <w:rFonts w:ascii="Palatino Linotype" w:hAnsi="Palatino Linotype" w:eastAsia="Times New Roman" w:cs="Times New Roman"/>
        </w:rPr>
        <w:t>planning</w:t>
      </w:r>
      <w:r w:rsidRPr="219163CC" w:rsidR="001435B4">
        <w:rPr>
          <w:rFonts w:ascii="Palatino Linotype" w:hAnsi="Palatino Linotype" w:eastAsia="Times New Roman" w:cs="Times New Roman"/>
        </w:rPr>
        <w:t xml:space="preserve"> </w:t>
      </w:r>
      <w:r w:rsidRPr="219163CC" w:rsidR="00237454">
        <w:rPr>
          <w:rFonts w:ascii="Palatino Linotype" w:hAnsi="Palatino Linotype" w:eastAsia="Times New Roman" w:cs="Times New Roman"/>
        </w:rPr>
        <w:t xml:space="preserve">using </w:t>
      </w:r>
      <w:r w:rsidRPr="219163CC" w:rsidR="001435B4">
        <w:rPr>
          <w:rFonts w:ascii="Palatino Linotype" w:hAnsi="Palatino Linotype" w:eastAsia="Times New Roman" w:cs="Times New Roman"/>
        </w:rPr>
        <w:t xml:space="preserve">metrics </w:t>
      </w:r>
      <w:r w:rsidRPr="219163CC" w:rsidR="00237454">
        <w:rPr>
          <w:rFonts w:ascii="Palatino Linotype" w:hAnsi="Palatino Linotype" w:eastAsia="Times New Roman" w:cs="Times New Roman"/>
        </w:rPr>
        <w:t xml:space="preserve">that </w:t>
      </w:r>
      <w:r w:rsidRPr="219163CC" w:rsidR="001435B4">
        <w:rPr>
          <w:rFonts w:ascii="Palatino Linotype" w:hAnsi="Palatino Linotype" w:eastAsia="Times New Roman" w:cs="Times New Roman"/>
        </w:rPr>
        <w:t xml:space="preserve">track </w:t>
      </w:r>
      <w:proofErr w:type="gramStart"/>
      <w:r w:rsidRPr="219163CC" w:rsidR="001435B4">
        <w:rPr>
          <w:rFonts w:ascii="Palatino Linotype" w:hAnsi="Palatino Linotype" w:eastAsia="Times New Roman" w:cs="Times New Roman"/>
        </w:rPr>
        <w:t>how equitably</w:t>
      </w:r>
      <w:proofErr w:type="gramEnd"/>
      <w:r w:rsidRPr="219163CC" w:rsidR="001435B4">
        <w:rPr>
          <w:rFonts w:ascii="Palatino Linotype" w:hAnsi="Palatino Linotype" w:eastAsia="Times New Roman" w:cs="Times New Roman"/>
        </w:rPr>
        <w:t xml:space="preserve"> distribution grid upgrades are </w:t>
      </w:r>
      <w:r w:rsidRPr="219163CC" w:rsidR="00237454">
        <w:rPr>
          <w:rFonts w:ascii="Palatino Linotype" w:hAnsi="Palatino Linotype" w:eastAsia="Times New Roman" w:cs="Times New Roman"/>
        </w:rPr>
        <w:t xml:space="preserve">allocated </w:t>
      </w:r>
      <w:r w:rsidRPr="219163CC" w:rsidR="001435B4">
        <w:rPr>
          <w:rFonts w:ascii="Palatino Linotype" w:hAnsi="Palatino Linotype" w:eastAsia="Times New Roman" w:cs="Times New Roman"/>
        </w:rPr>
        <w:t>over time.</w:t>
      </w:r>
    </w:p>
    <w:p w:rsidR="001435B4" w:rsidP="00A76F4A" w:rsidRDefault="001435B4" w14:paraId="6E596004" w14:textId="77777777">
      <w:pPr>
        <w:spacing w:after="0" w:line="240" w:lineRule="auto"/>
        <w:rPr>
          <w:rFonts w:ascii="Palatino Linotype" w:hAnsi="Palatino Linotype" w:eastAsia="Times New Roman" w:cs="Times New Roman"/>
          <w:kern w:val="0"/>
          <w14:ligatures w14:val="none"/>
        </w:rPr>
      </w:pPr>
    </w:p>
    <w:p w:rsidRPr="001942D0" w:rsidR="00A76F4A" w:rsidP="00A76F4A" w:rsidRDefault="00A76F4A" w14:paraId="75C56C0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Background</w:t>
      </w:r>
    </w:p>
    <w:p w:rsidRPr="001435B4" w:rsidR="001435B4" w:rsidP="53F08BA3" w:rsidRDefault="001435B4" w14:paraId="31CDCB51"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This Resolution disposes of Advice Letter 5498-E as ordered by D.24-10-030, issued on 03/07/2025. The Decision </w:t>
      </w:r>
      <w:r w:rsidRPr="001435B4">
        <w:rPr>
          <w:rFonts w:ascii="Palatino Linotype" w:hAnsi="Palatino Linotype" w:eastAsia="Times New Roman" w:cs="Times New Roman"/>
          <w:kern w:val="0"/>
          <w14:ligatures w14:val="none"/>
        </w:rPr>
        <w:t xml:space="preserve">directed investor-owned utilities (IOUs) to develop and propose a set of equity metrics to support equitable planning outcomes within the Distribution Planning and Execution Process (DPEP). </w:t>
      </w:r>
      <w:r>
        <w:rPr>
          <w:rFonts w:ascii="Palatino Linotype" w:hAnsi="Palatino Linotype" w:eastAsia="Times New Roman" w:cs="Times New Roman"/>
          <w:kern w:val="0"/>
          <w14:ligatures w14:val="none"/>
        </w:rPr>
        <w:t xml:space="preserve">As the decision explains, </w:t>
      </w:r>
      <w:r w:rsidRPr="001435B4">
        <w:rPr>
          <w:rFonts w:ascii="Palatino Linotype" w:hAnsi="Palatino Linotype" w:eastAsia="Times New Roman" w:cs="Times New Roman"/>
          <w:kern w:val="0"/>
          <w14:ligatures w14:val="none"/>
        </w:rPr>
        <w:t xml:space="preserve">equity metrics </w:t>
      </w:r>
      <w:r>
        <w:rPr>
          <w:rFonts w:ascii="Palatino Linotype" w:hAnsi="Palatino Linotype" w:eastAsia="Times New Roman" w:cs="Times New Roman"/>
          <w:kern w:val="0"/>
          <w14:ligatures w14:val="none"/>
        </w:rPr>
        <w:t xml:space="preserve">within DPEP </w:t>
      </w:r>
      <w:r w:rsidRPr="001435B4">
        <w:rPr>
          <w:rFonts w:ascii="Palatino Linotype" w:hAnsi="Palatino Linotype" w:eastAsia="Times New Roman" w:cs="Times New Roman"/>
          <w:kern w:val="0"/>
          <w14:ligatures w14:val="none"/>
        </w:rPr>
        <w:t xml:space="preserve">are for evaluation purposes only and are not to be used for forecasting or </w:t>
      </w:r>
      <w:r w:rsidRPr="53F08BA3" w:rsidR="18761EF4">
        <w:rPr>
          <w:rFonts w:ascii="Palatino Linotype" w:hAnsi="Palatino Linotype" w:eastAsia="Times New Roman" w:cs="Times New Roman"/>
        </w:rPr>
        <w:t>distribution</w:t>
      </w:r>
      <w:r w:rsidRPr="001435B4" w:rsidR="18761EF4">
        <w:rPr>
          <w:rFonts w:ascii="Palatino Linotype" w:hAnsi="Palatino Linotype" w:eastAsia="Times New Roman" w:cs="Times New Roman"/>
          <w:kern w:val="0"/>
          <w14:ligatures w14:val="none"/>
        </w:rPr>
        <w:t xml:space="preserve"> </w:t>
      </w:r>
      <w:r w:rsidRPr="001435B4">
        <w:rPr>
          <w:rFonts w:ascii="Palatino Linotype" w:hAnsi="Palatino Linotype" w:eastAsia="Times New Roman" w:cs="Times New Roman"/>
          <w:kern w:val="0"/>
          <w14:ligatures w14:val="none"/>
        </w:rPr>
        <w:t>planning</w:t>
      </w:r>
      <w:r w:rsidRPr="53F08BA3">
        <w:rPr>
          <w:rFonts w:ascii="Palatino Linotype" w:hAnsi="Palatino Linotype" w:eastAsia="Times New Roman" w:cs="Times New Roman"/>
        </w:rPr>
        <w:t>. The intention is an annual assessment and does not involve modifying the planning process based on equity considerations.</w:t>
      </w:r>
    </w:p>
    <w:p w:rsidR="00477B23" w:rsidP="001435B4" w:rsidRDefault="00477B23" w14:paraId="3EFDB1A0" w14:textId="77777777">
      <w:pPr>
        <w:spacing w:after="0" w:line="240" w:lineRule="auto"/>
        <w:rPr>
          <w:rFonts w:ascii="Palatino Linotype" w:hAnsi="Palatino Linotype" w:eastAsia="Times New Roman" w:cs="Times New Roman"/>
          <w:kern w:val="0"/>
          <w14:ligatures w14:val="none"/>
        </w:rPr>
      </w:pPr>
    </w:p>
    <w:p w:rsidR="001435B4" w:rsidP="001435B4" w:rsidRDefault="001435B4" w14:paraId="259420BE" w14:textId="77777777">
      <w:pPr>
        <w:spacing w:after="0" w:line="240" w:lineRule="auto"/>
        <w:rPr>
          <w:rFonts w:ascii="Palatino Linotype" w:hAnsi="Palatino Linotype" w:eastAsia="Times New Roman" w:cs="Times New Roman"/>
          <w:kern w:val="0"/>
          <w14:ligatures w14:val="none"/>
        </w:rPr>
      </w:pPr>
      <w:r w:rsidRPr="001435B4">
        <w:rPr>
          <w:rFonts w:ascii="Palatino Linotype" w:hAnsi="Palatino Linotype" w:eastAsia="Times New Roman" w:cs="Times New Roman"/>
          <w:kern w:val="0"/>
          <w14:ligatures w14:val="none"/>
        </w:rPr>
        <w:t>Reporting is established as part of the</w:t>
      </w:r>
      <w:r>
        <w:rPr>
          <w:rFonts w:ascii="Palatino Linotype" w:hAnsi="Palatino Linotype" w:eastAsia="Times New Roman" w:cs="Times New Roman"/>
          <w:kern w:val="0"/>
          <w14:ligatures w14:val="none"/>
        </w:rPr>
        <w:t xml:space="preserve"> Grid Needs Assessment (G</w:t>
      </w:r>
      <w:r w:rsidRPr="001435B4">
        <w:rPr>
          <w:rFonts w:ascii="Palatino Linotype" w:hAnsi="Palatino Linotype" w:eastAsia="Times New Roman" w:cs="Times New Roman"/>
          <w:kern w:val="0"/>
          <w14:ligatures w14:val="none"/>
        </w:rPr>
        <w:t>NA</w:t>
      </w:r>
      <w:r>
        <w:rPr>
          <w:rFonts w:ascii="Palatino Linotype" w:hAnsi="Palatino Linotype" w:eastAsia="Times New Roman" w:cs="Times New Roman"/>
          <w:kern w:val="0"/>
          <w14:ligatures w14:val="none"/>
        </w:rPr>
        <w:t>)</w:t>
      </w:r>
      <w:r w:rsidRPr="001435B4">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Distribution Upgrade Project Report (DUPR)</w:t>
      </w:r>
      <w:r w:rsidRPr="001435B4">
        <w:rPr>
          <w:rFonts w:ascii="Palatino Linotype" w:hAnsi="Palatino Linotype" w:eastAsia="Times New Roman" w:cs="Times New Roman"/>
          <w:kern w:val="0"/>
          <w14:ligatures w14:val="none"/>
        </w:rPr>
        <w:t xml:space="preserve"> process to ensure tracking is done on a recurring, annual basis.</w:t>
      </w:r>
    </w:p>
    <w:p w:rsidR="53F08BA3" w:rsidP="53F08BA3" w:rsidRDefault="53F08BA3" w14:paraId="3EB8D5CA" w14:textId="77777777">
      <w:pPr>
        <w:spacing w:after="0" w:line="240" w:lineRule="auto"/>
        <w:rPr>
          <w:rFonts w:ascii="Palatino Linotype" w:hAnsi="Palatino Linotype" w:eastAsia="Times New Roman" w:cs="Times New Roman"/>
        </w:rPr>
      </w:pPr>
    </w:p>
    <w:p w:rsidR="001435B4" w:rsidP="00A76F4A" w:rsidRDefault="001435B4" w14:paraId="53EE8C22" w14:textId="66F74933">
      <w:pPr>
        <w:spacing w:after="0" w:line="240" w:lineRule="auto"/>
        <w:rPr>
          <w:rFonts w:ascii="Palatino Linotype" w:hAnsi="Palatino Linotype" w:eastAsia="Times New Roman" w:cs="Times New Roman"/>
          <w:kern w:val="0"/>
          <w14:ligatures w14:val="none"/>
        </w:rPr>
      </w:pPr>
      <w:r w:rsidRPr="001435B4">
        <w:rPr>
          <w:rFonts w:ascii="Palatino Linotype" w:hAnsi="Palatino Linotype" w:eastAsia="Times New Roman" w:cs="Times New Roman"/>
          <w:kern w:val="0"/>
          <w14:ligatures w14:val="none"/>
        </w:rPr>
        <w:t xml:space="preserve">The Decision required IOUs to present </w:t>
      </w:r>
      <w:r w:rsidR="00592ED9">
        <w:rPr>
          <w:rFonts w:ascii="Palatino Linotype" w:hAnsi="Palatino Linotype" w:eastAsia="Times New Roman" w:cs="Times New Roman"/>
          <w:kern w:val="0"/>
          <w14:ligatures w14:val="none"/>
        </w:rPr>
        <w:t xml:space="preserve">their proposed </w:t>
      </w:r>
      <w:r w:rsidRPr="001435B4">
        <w:rPr>
          <w:rFonts w:ascii="Palatino Linotype" w:hAnsi="Palatino Linotype" w:eastAsia="Times New Roman" w:cs="Times New Roman"/>
          <w:kern w:val="0"/>
          <w14:ligatures w14:val="none"/>
        </w:rPr>
        <w:t xml:space="preserve">metrics at a workshop convened by Energy Division, followed by the submission of a Tier 3 Advice Letter 45 days later. The </w:t>
      </w:r>
      <w:r>
        <w:rPr>
          <w:rFonts w:ascii="Palatino Linotype" w:hAnsi="Palatino Linotype" w:eastAsia="Times New Roman" w:cs="Times New Roman"/>
          <w:kern w:val="0"/>
          <w14:ligatures w14:val="none"/>
        </w:rPr>
        <w:t xml:space="preserve">IOUs </w:t>
      </w:r>
      <w:proofErr w:type="gramStart"/>
      <w:r w:rsidRPr="001435B4">
        <w:rPr>
          <w:rFonts w:ascii="Palatino Linotype" w:hAnsi="Palatino Linotype" w:eastAsia="Times New Roman" w:cs="Times New Roman"/>
          <w:kern w:val="0"/>
          <w14:ligatures w14:val="none"/>
        </w:rPr>
        <w:t>complied,</w:t>
      </w:r>
      <w:proofErr w:type="gramEnd"/>
      <w:r w:rsidRPr="001435B4">
        <w:rPr>
          <w:rFonts w:ascii="Palatino Linotype" w:hAnsi="Palatino Linotype" w:eastAsia="Times New Roman" w:cs="Times New Roman"/>
          <w:kern w:val="0"/>
          <w14:ligatures w14:val="none"/>
        </w:rPr>
        <w:t xml:space="preserve"> presenting their proposals at the January 21, </w:t>
      </w:r>
      <w:r w:rsidRPr="001435B4" w:rsidR="00815D3A">
        <w:rPr>
          <w:rFonts w:ascii="Palatino Linotype" w:hAnsi="Palatino Linotype" w:eastAsia="Times New Roman" w:cs="Times New Roman"/>
          <w:kern w:val="0"/>
          <w14:ligatures w14:val="none"/>
        </w:rPr>
        <w:t>2025,</w:t>
      </w:r>
      <w:r w:rsidRPr="001435B4">
        <w:rPr>
          <w:rFonts w:ascii="Palatino Linotype" w:hAnsi="Palatino Linotype" w:eastAsia="Times New Roman" w:cs="Times New Roman"/>
          <w:kern w:val="0"/>
          <w14:ligatures w14:val="none"/>
        </w:rPr>
        <w:t xml:space="preserve"> workshop and </w:t>
      </w:r>
      <w:r w:rsidR="00627EEC">
        <w:rPr>
          <w:rFonts w:ascii="Palatino Linotype" w:hAnsi="Palatino Linotype" w:eastAsia="Times New Roman" w:cs="Times New Roman"/>
          <w:kern w:val="0"/>
          <w14:ligatures w14:val="none"/>
        </w:rPr>
        <w:t>s</w:t>
      </w:r>
      <w:r w:rsidR="00D2360A">
        <w:rPr>
          <w:rFonts w:ascii="Palatino Linotype" w:hAnsi="Palatino Linotype" w:eastAsia="Times New Roman" w:cs="Times New Roman"/>
          <w:kern w:val="0"/>
          <w14:ligatures w14:val="none"/>
        </w:rPr>
        <w:t>ubmitted</w:t>
      </w:r>
      <w:r w:rsidRPr="001435B4" w:rsidR="00627EEC">
        <w:rPr>
          <w:rFonts w:ascii="Palatino Linotype" w:hAnsi="Palatino Linotype" w:eastAsia="Times New Roman" w:cs="Times New Roman"/>
          <w:kern w:val="0"/>
          <w14:ligatures w14:val="none"/>
        </w:rPr>
        <w:t xml:space="preserve"> </w:t>
      </w:r>
      <w:r w:rsidR="000D2691">
        <w:rPr>
          <w:rFonts w:ascii="Palatino Linotype" w:hAnsi="Palatino Linotype" w:eastAsia="Times New Roman" w:cs="Times New Roman"/>
          <w:kern w:val="0"/>
          <w14:ligatures w14:val="none"/>
        </w:rPr>
        <w:t xml:space="preserve">a Tier 3 </w:t>
      </w:r>
      <w:r w:rsidRPr="001435B4">
        <w:rPr>
          <w:rFonts w:ascii="Palatino Linotype" w:hAnsi="Palatino Linotype" w:eastAsia="Times New Roman" w:cs="Times New Roman"/>
          <w:kern w:val="0"/>
          <w14:ligatures w14:val="none"/>
        </w:rPr>
        <w:t>Advice Letter 5498</w:t>
      </w:r>
      <w:r w:rsidR="000D2691">
        <w:rPr>
          <w:rFonts w:ascii="Palatino Linotype" w:hAnsi="Palatino Linotype" w:eastAsia="Times New Roman" w:cs="Times New Roman"/>
          <w:kern w:val="0"/>
          <w14:ligatures w14:val="none"/>
        </w:rPr>
        <w:t>-E</w:t>
      </w:r>
      <w:r w:rsidRPr="001435B4">
        <w:rPr>
          <w:rFonts w:ascii="Palatino Linotype" w:hAnsi="Palatino Linotype" w:eastAsia="Times New Roman" w:cs="Times New Roman"/>
          <w:kern w:val="0"/>
          <w14:ligatures w14:val="none"/>
        </w:rPr>
        <w:t xml:space="preserve"> on March 7, 2025.</w:t>
      </w:r>
    </w:p>
    <w:p w:rsidR="53F08BA3" w:rsidP="53F08BA3" w:rsidRDefault="53F08BA3" w14:paraId="0182E7D2" w14:textId="77777777">
      <w:pPr>
        <w:spacing w:after="0" w:line="240" w:lineRule="auto"/>
        <w:rPr>
          <w:rFonts w:ascii="Palatino Linotype" w:hAnsi="Palatino Linotype" w:eastAsia="Times New Roman" w:cs="Times New Roman"/>
        </w:rPr>
      </w:pPr>
    </w:p>
    <w:p w:rsidRPr="00123327" w:rsidR="00123327" w:rsidP="00123327" w:rsidRDefault="006236E8" w14:paraId="1604133F" w14:textId="77777777">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In Ordering Paragraph 25 (OP25), </w:t>
      </w:r>
      <w:r w:rsidR="007D006E">
        <w:rPr>
          <w:rFonts w:ascii="Palatino Linotype" w:hAnsi="Palatino Linotype" w:eastAsia="Times New Roman" w:cs="Times New Roman"/>
          <w:kern w:val="0"/>
          <w14:ligatures w14:val="none"/>
        </w:rPr>
        <w:t>the Decision</w:t>
      </w:r>
      <w:r>
        <w:rPr>
          <w:rFonts w:ascii="Palatino Linotype" w:hAnsi="Palatino Linotype" w:eastAsia="Times New Roman" w:cs="Times New Roman"/>
          <w:kern w:val="0"/>
          <w14:ligatures w14:val="none"/>
        </w:rPr>
        <w:t xml:space="preserve"> specifie</w:t>
      </w:r>
      <w:r w:rsidR="007D006E">
        <w:rPr>
          <w:rFonts w:ascii="Palatino Linotype" w:hAnsi="Palatino Linotype" w:eastAsia="Times New Roman" w:cs="Times New Roman"/>
          <w:kern w:val="0"/>
          <w14:ligatures w14:val="none"/>
        </w:rPr>
        <w:t>s</w:t>
      </w:r>
      <w:r>
        <w:rPr>
          <w:rFonts w:ascii="Palatino Linotype" w:hAnsi="Palatino Linotype" w:eastAsia="Times New Roman" w:cs="Times New Roman"/>
          <w:kern w:val="0"/>
          <w14:ligatures w14:val="none"/>
        </w:rPr>
        <w:t xml:space="preserve"> that the utilities shall </w:t>
      </w:r>
      <w:r w:rsidR="007D006E">
        <w:rPr>
          <w:rFonts w:ascii="Palatino Linotype" w:hAnsi="Palatino Linotype" w:eastAsia="Times New Roman" w:cs="Times New Roman"/>
          <w:kern w:val="0"/>
          <w14:ligatures w14:val="none"/>
        </w:rPr>
        <w:t xml:space="preserve">explore </w:t>
      </w:r>
      <w:r w:rsidRPr="00123327" w:rsidR="00123327">
        <w:rPr>
          <w:rFonts w:ascii="Palatino Linotype" w:hAnsi="Palatino Linotype" w:eastAsia="Times New Roman" w:cs="Times New Roman"/>
          <w:kern w:val="0"/>
          <w14:ligatures w14:val="none"/>
        </w:rPr>
        <w:t>the following CPUC-proposed equity metrics</w:t>
      </w:r>
      <w:r w:rsidRPr="00123327" w:rsidR="3CE46149">
        <w:rPr>
          <w:rFonts w:ascii="Palatino Linotype" w:hAnsi="Palatino Linotype" w:eastAsia="Times New Roman" w:cs="Times New Roman"/>
          <w:kern w:val="0"/>
          <w14:ligatures w14:val="none"/>
        </w:rPr>
        <w:t xml:space="preserve"> in a public workshop</w:t>
      </w:r>
      <w:r w:rsidRPr="00123327" w:rsidR="00123327">
        <w:rPr>
          <w:rFonts w:ascii="Palatino Linotype" w:hAnsi="Palatino Linotype" w:eastAsia="Times New Roman" w:cs="Times New Roman"/>
          <w:kern w:val="0"/>
          <w14:ligatures w14:val="none"/>
        </w:rPr>
        <w:t>, including correlated variables:</w:t>
      </w:r>
    </w:p>
    <w:p w:rsidR="00123327" w:rsidP="00123327" w:rsidRDefault="00123327" w14:paraId="356314F5"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Percentage of customers served by the relevant equipment/facility enrolled in the California Alternate Rates for Energy (CARE) or the Family Electric Rate Assistance (FERA) programs;</w:t>
      </w:r>
    </w:p>
    <w:p w:rsidR="00123327" w:rsidP="00123327" w:rsidRDefault="00123327" w14:paraId="3527BB68"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 xml:space="preserve">Priority Populations Map percentile for the area served by the relevant equipment/facility, based on the California Environmental Protection </w:t>
      </w:r>
      <w:r w:rsidR="00B47BD4">
        <w:rPr>
          <w:rFonts w:ascii="Palatino Linotype" w:hAnsi="Palatino Linotype" w:eastAsia="Times New Roman" w:cs="Times New Roman"/>
          <w:kern w:val="0"/>
          <w14:ligatures w14:val="none"/>
        </w:rPr>
        <w:br/>
      </w:r>
      <w:r w:rsidRPr="00123327">
        <w:rPr>
          <w:rFonts w:ascii="Palatino Linotype" w:hAnsi="Palatino Linotype" w:eastAsia="Times New Roman" w:cs="Times New Roman"/>
          <w:kern w:val="0"/>
          <w14:ligatures w14:val="none"/>
        </w:rPr>
        <w:t xml:space="preserve">Agency's (CalEPA) </w:t>
      </w:r>
      <w:proofErr w:type="spellStart"/>
      <w:r w:rsidRPr="00123327">
        <w:rPr>
          <w:rFonts w:ascii="Palatino Linotype" w:hAnsi="Palatino Linotype" w:eastAsia="Times New Roman" w:cs="Times New Roman"/>
          <w:kern w:val="0"/>
          <w14:ligatures w14:val="none"/>
        </w:rPr>
        <w:t>CalEnviroScreen</w:t>
      </w:r>
      <w:proofErr w:type="spellEnd"/>
      <w:r w:rsidRPr="00123327">
        <w:rPr>
          <w:rFonts w:ascii="Palatino Linotype" w:hAnsi="Palatino Linotype" w:eastAsia="Times New Roman" w:cs="Times New Roman"/>
          <w:kern w:val="0"/>
          <w14:ligatures w14:val="none"/>
        </w:rPr>
        <w:t xml:space="preserve"> 4.0, or the latest version at the time of filing;</w:t>
      </w:r>
    </w:p>
    <w:p w:rsidR="00123327" w:rsidP="00123327" w:rsidRDefault="00123327" w14:paraId="504D5002"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Whether the equipment/facility serves a disadvantaged community (Y/N);</w:t>
      </w:r>
    </w:p>
    <w:p w:rsidR="00BF5BC4" w:rsidP="00123327" w:rsidRDefault="00123327" w14:paraId="410344A7"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lastRenderedPageBreak/>
        <w:t>Whether the equipment/facility serves a Tribal community (Y/N); and</w:t>
      </w:r>
    </w:p>
    <w:p w:rsidRPr="00BF5BC4" w:rsidR="006236E8" w:rsidP="00BF5BC4" w:rsidRDefault="00123327" w14:paraId="356D9209" w14:textId="77777777">
      <w:pPr>
        <w:pStyle w:val="ListParagraph"/>
        <w:numPr>
          <w:ilvl w:val="0"/>
          <w:numId w:val="7"/>
        </w:numPr>
        <w:spacing w:line="240" w:lineRule="auto"/>
        <w:rPr>
          <w:rFonts w:ascii="Palatino Linotype" w:hAnsi="Palatino Linotype" w:eastAsia="Times New Roman" w:cs="Times New Roman"/>
          <w:kern w:val="0"/>
          <w14:ligatures w14:val="none"/>
        </w:rPr>
      </w:pPr>
      <w:r w:rsidRPr="00BF5BC4">
        <w:rPr>
          <w:rFonts w:ascii="Palatino Linotype" w:hAnsi="Palatino Linotype" w:eastAsia="Times New Roman" w:cs="Times New Roman"/>
          <w:kern w:val="0"/>
          <w14:ligatures w14:val="none"/>
        </w:rPr>
        <w:t xml:space="preserve">Percentage of customers enrolled in the Medical Baseline program or receiving an equivalent medical discount </w:t>
      </w:r>
      <w:proofErr w:type="gramStart"/>
      <w:r w:rsidRPr="00BF5BC4">
        <w:rPr>
          <w:rFonts w:ascii="Palatino Linotype" w:hAnsi="Palatino Linotype" w:eastAsia="Times New Roman" w:cs="Times New Roman"/>
          <w:kern w:val="0"/>
          <w14:ligatures w14:val="none"/>
        </w:rPr>
        <w:t>in</w:t>
      </w:r>
      <w:proofErr w:type="gramEnd"/>
      <w:r w:rsidRPr="00BF5BC4">
        <w:rPr>
          <w:rFonts w:ascii="Palatino Linotype" w:hAnsi="Palatino Linotype" w:eastAsia="Times New Roman" w:cs="Times New Roman"/>
          <w:kern w:val="0"/>
          <w14:ligatures w14:val="none"/>
        </w:rPr>
        <w:t xml:space="preserve"> an opt-in rate without tiers.</w:t>
      </w:r>
      <w:r w:rsidRPr="00BF5BC4" w:rsidR="006236E8">
        <w:rPr>
          <w:rFonts w:ascii="Palatino Linotype" w:hAnsi="Palatino Linotype" w:eastAsia="Times New Roman" w:cs="Times New Roman"/>
          <w:kern w:val="0"/>
          <w14:ligatures w14:val="none"/>
        </w:rPr>
        <w:t xml:space="preserve"> </w:t>
      </w:r>
    </w:p>
    <w:p w:rsidRPr="00037792" w:rsidR="00037792" w:rsidP="53F08BA3" w:rsidRDefault="6C66EEC8" w14:paraId="4788352B" w14:textId="77777777">
      <w:pPr>
        <w:spacing w:after="0" w:line="240" w:lineRule="auto"/>
        <w:rPr>
          <w:rFonts w:ascii="Palatino Linotype" w:hAnsi="Palatino Linotype" w:eastAsia="Times New Roman" w:cs="Times New Roman"/>
        </w:rPr>
      </w:pPr>
      <w:r w:rsidRPr="53F08BA3">
        <w:rPr>
          <w:rFonts w:ascii="Palatino Linotype" w:hAnsi="Palatino Linotype" w:eastAsia="Times New Roman" w:cs="Times New Roman"/>
        </w:rPr>
        <w:t xml:space="preserve">Following the equity metrics workshop, Utilities were required to submit a Tier 3 advice letter requesting approval of a final set of </w:t>
      </w:r>
      <w:r w:rsidRPr="53F08BA3" w:rsidR="75693A6C">
        <w:rPr>
          <w:rFonts w:ascii="Palatino Linotype" w:hAnsi="Palatino Linotype" w:eastAsia="Times New Roman" w:cs="Times New Roman"/>
        </w:rPr>
        <w:t xml:space="preserve">proposed </w:t>
      </w:r>
      <w:r w:rsidRPr="53F08BA3">
        <w:rPr>
          <w:rFonts w:ascii="Palatino Linotype" w:hAnsi="Palatino Linotype" w:eastAsia="Times New Roman" w:cs="Times New Roman"/>
        </w:rPr>
        <w:t>metrics and any correlated</w:t>
      </w:r>
    </w:p>
    <w:p w:rsidRPr="00037792" w:rsidR="00037792" w:rsidP="53F08BA3" w:rsidRDefault="6C66EEC8" w14:paraId="4F6C7A8D" w14:textId="77777777">
      <w:pPr>
        <w:spacing w:after="0" w:line="240" w:lineRule="auto"/>
        <w:rPr>
          <w:rFonts w:ascii="Palatino Linotype" w:hAnsi="Palatino Linotype" w:eastAsia="Times New Roman" w:cs="Times New Roman"/>
          <w:kern w:val="0"/>
          <w14:ligatures w14:val="none"/>
        </w:rPr>
      </w:pPr>
      <w:r w:rsidRPr="53F08BA3">
        <w:rPr>
          <w:rFonts w:ascii="Palatino Linotype" w:hAnsi="Palatino Linotype" w:eastAsia="Times New Roman" w:cs="Times New Roman"/>
        </w:rPr>
        <w:t>variables.</w:t>
      </w:r>
      <w:r w:rsidR="28609174">
        <w:rPr>
          <w:rFonts w:ascii="Palatino Linotype" w:hAnsi="Palatino Linotype" w:eastAsia="Times New Roman" w:cs="Times New Roman"/>
          <w:kern w:val="0"/>
          <w14:ligatures w14:val="none"/>
        </w:rPr>
        <w:t xml:space="preserve"> </w:t>
      </w:r>
      <w:r w:rsidR="006236E8">
        <w:rPr>
          <w:rFonts w:ascii="Palatino Linotype" w:hAnsi="Palatino Linotype" w:eastAsia="Times New Roman" w:cs="Times New Roman"/>
          <w:kern w:val="0"/>
          <w14:ligatures w14:val="none"/>
        </w:rPr>
        <w:t>In Advice Letter 5498</w:t>
      </w:r>
      <w:r w:rsidR="00704273">
        <w:rPr>
          <w:rFonts w:ascii="Palatino Linotype" w:hAnsi="Palatino Linotype" w:eastAsia="Times New Roman" w:cs="Times New Roman"/>
          <w:kern w:val="0"/>
          <w14:ligatures w14:val="none"/>
        </w:rPr>
        <w:t>-E</w:t>
      </w:r>
      <w:r w:rsidR="006236E8">
        <w:rPr>
          <w:rFonts w:ascii="Palatino Linotype" w:hAnsi="Palatino Linotype" w:eastAsia="Times New Roman" w:cs="Times New Roman"/>
          <w:kern w:val="0"/>
          <w14:ligatures w14:val="none"/>
        </w:rPr>
        <w:t xml:space="preserve">, </w:t>
      </w:r>
      <w:r w:rsidR="00037792">
        <w:rPr>
          <w:rFonts w:ascii="Palatino Linotype" w:hAnsi="Palatino Linotype" w:eastAsia="Times New Roman" w:cs="Times New Roman"/>
          <w:kern w:val="0"/>
          <w14:ligatures w14:val="none"/>
        </w:rPr>
        <w:t>t</w:t>
      </w:r>
      <w:r w:rsidRPr="00037792" w:rsidR="00037792">
        <w:rPr>
          <w:rFonts w:ascii="Palatino Linotype" w:hAnsi="Palatino Linotype" w:eastAsia="Times New Roman" w:cs="Times New Roman"/>
          <w:kern w:val="0"/>
          <w14:ligatures w14:val="none"/>
        </w:rPr>
        <w:t xml:space="preserve">he </w:t>
      </w:r>
      <w:r w:rsidR="00625147">
        <w:rPr>
          <w:rFonts w:ascii="Palatino Linotype" w:hAnsi="Palatino Linotype" w:eastAsia="Times New Roman" w:cs="Times New Roman"/>
          <w:kern w:val="0"/>
          <w14:ligatures w14:val="none"/>
        </w:rPr>
        <w:t>j</w:t>
      </w:r>
      <w:r w:rsidRPr="00037792" w:rsidR="00037792">
        <w:rPr>
          <w:rFonts w:ascii="Palatino Linotype" w:hAnsi="Palatino Linotype" w:eastAsia="Times New Roman" w:cs="Times New Roman"/>
          <w:kern w:val="0"/>
          <w14:ligatures w14:val="none"/>
        </w:rPr>
        <w:t xml:space="preserve">oint </w:t>
      </w:r>
      <w:r w:rsidR="00625147">
        <w:rPr>
          <w:rFonts w:ascii="Palatino Linotype" w:hAnsi="Palatino Linotype" w:eastAsia="Times New Roman" w:cs="Times New Roman"/>
          <w:kern w:val="0"/>
          <w14:ligatures w14:val="none"/>
        </w:rPr>
        <w:t>u</w:t>
      </w:r>
      <w:r w:rsidRPr="00037792" w:rsidR="00037792">
        <w:rPr>
          <w:rFonts w:ascii="Palatino Linotype" w:hAnsi="Palatino Linotype" w:eastAsia="Times New Roman" w:cs="Times New Roman"/>
          <w:kern w:val="0"/>
          <w14:ligatures w14:val="none"/>
        </w:rPr>
        <w:t xml:space="preserve">tilities </w:t>
      </w:r>
      <w:r w:rsidRPr="00037792" w:rsidR="4B418B7A">
        <w:rPr>
          <w:rFonts w:ascii="Palatino Linotype" w:hAnsi="Palatino Linotype" w:eastAsia="Times New Roman" w:cs="Times New Roman"/>
          <w:kern w:val="0"/>
          <w14:ligatures w14:val="none"/>
        </w:rPr>
        <w:t>argued</w:t>
      </w:r>
      <w:r w:rsidRPr="00037792" w:rsidR="00037792">
        <w:rPr>
          <w:rFonts w:ascii="Palatino Linotype" w:hAnsi="Palatino Linotype" w:eastAsia="Times New Roman" w:cs="Times New Roman"/>
          <w:kern w:val="0"/>
          <w14:ligatures w14:val="none"/>
        </w:rPr>
        <w:t xml:space="preserve"> that the metrics proposed in the Decision</w:t>
      </w:r>
      <w:r w:rsidR="004D2228">
        <w:rPr>
          <w:rFonts w:ascii="Palatino Linotype" w:hAnsi="Palatino Linotype" w:eastAsia="Times New Roman" w:cs="Times New Roman"/>
          <w:kern w:val="0"/>
          <w14:ligatures w14:val="none"/>
        </w:rPr>
        <w:t xml:space="preserve"> </w:t>
      </w:r>
      <w:r w:rsidRPr="00037792" w:rsidR="00037792">
        <w:rPr>
          <w:rFonts w:ascii="Palatino Linotype" w:hAnsi="Palatino Linotype" w:eastAsia="Times New Roman" w:cs="Times New Roman"/>
          <w:kern w:val="0"/>
          <w14:ligatures w14:val="none"/>
        </w:rPr>
        <w:t>were not</w:t>
      </w:r>
      <w:r w:rsidR="007C43FA">
        <w:rPr>
          <w:rFonts w:ascii="Palatino Linotype" w:hAnsi="Palatino Linotype" w:eastAsia="Times New Roman" w:cs="Times New Roman"/>
          <w:kern w:val="0"/>
          <w14:ligatures w14:val="none"/>
        </w:rPr>
        <w:t>,</w:t>
      </w:r>
      <w:r w:rsidRPr="007C43FA" w:rsidR="007C43FA">
        <w:rPr>
          <w:rFonts w:ascii="Palatino Linotype" w:hAnsi="Palatino Linotype" w:eastAsia="Times New Roman" w:cs="Times New Roman"/>
          <w:kern w:val="0"/>
          <w14:ligatures w14:val="none"/>
        </w:rPr>
        <w:t xml:space="preserve"> </w:t>
      </w:r>
      <w:r w:rsidRPr="00037792" w:rsidR="007C43FA">
        <w:rPr>
          <w:rFonts w:ascii="Palatino Linotype" w:hAnsi="Palatino Linotype" w:eastAsia="Times New Roman" w:cs="Times New Roman"/>
          <w:kern w:val="0"/>
          <w14:ligatures w14:val="none"/>
        </w:rPr>
        <w:t xml:space="preserve">on their own, </w:t>
      </w:r>
      <w:r w:rsidRPr="00037792" w:rsidR="00037792">
        <w:rPr>
          <w:rFonts w:ascii="Palatino Linotype" w:hAnsi="Palatino Linotype" w:eastAsia="Times New Roman" w:cs="Times New Roman"/>
          <w:kern w:val="0"/>
          <w14:ligatures w14:val="none"/>
        </w:rPr>
        <w:t xml:space="preserve">well-suited to measure equity, as they primarily identify and map the types and demographics of customers connected to each circuit. Accordingly, rather than adopting the CPUC-proposed metrics as </w:t>
      </w:r>
      <w:r w:rsidR="00B35AF3">
        <w:rPr>
          <w:rFonts w:ascii="Palatino Linotype" w:hAnsi="Palatino Linotype" w:eastAsia="Times New Roman" w:cs="Times New Roman"/>
          <w:kern w:val="0"/>
          <w14:ligatures w14:val="none"/>
        </w:rPr>
        <w:t>written</w:t>
      </w:r>
      <w:r w:rsidRPr="00037792" w:rsidR="00037792">
        <w:rPr>
          <w:rFonts w:ascii="Palatino Linotype" w:hAnsi="Palatino Linotype" w:eastAsia="Times New Roman" w:cs="Times New Roman"/>
          <w:kern w:val="0"/>
          <w14:ligatures w14:val="none"/>
        </w:rPr>
        <w:t xml:space="preserve">, the Joint Utilities proposed metrics that differ from those proposed by the Commission, with SDG&amp;E proposing a different set than PG&amp;E and SCE. This Resolution evaluates each utility proposal </w:t>
      </w:r>
      <w:r w:rsidR="005B450D">
        <w:rPr>
          <w:rFonts w:ascii="Palatino Linotype" w:hAnsi="Palatino Linotype" w:eastAsia="Times New Roman" w:cs="Times New Roman"/>
          <w:kern w:val="0"/>
          <w14:ligatures w14:val="none"/>
        </w:rPr>
        <w:t>in</w:t>
      </w:r>
      <w:r w:rsidRPr="00037792" w:rsidR="005B450D">
        <w:rPr>
          <w:rFonts w:ascii="Palatino Linotype" w:hAnsi="Palatino Linotype" w:eastAsia="Times New Roman" w:cs="Times New Roman"/>
          <w:kern w:val="0"/>
          <w14:ligatures w14:val="none"/>
        </w:rPr>
        <w:t xml:space="preserve"> </w:t>
      </w:r>
      <w:r w:rsidRPr="00037792" w:rsidR="00037792">
        <w:rPr>
          <w:rFonts w:ascii="Palatino Linotype" w:hAnsi="Palatino Linotype" w:eastAsia="Times New Roman" w:cs="Times New Roman"/>
          <w:kern w:val="0"/>
          <w14:ligatures w14:val="none"/>
        </w:rPr>
        <w:t xml:space="preserve">the context of </w:t>
      </w:r>
      <w:r w:rsidR="005B450D">
        <w:rPr>
          <w:rFonts w:ascii="Palatino Linotype" w:hAnsi="Palatino Linotype" w:eastAsia="Times New Roman" w:cs="Times New Roman"/>
          <w:kern w:val="0"/>
          <w14:ligatures w14:val="none"/>
        </w:rPr>
        <w:t>the</w:t>
      </w:r>
      <w:r w:rsidRPr="00037792" w:rsidR="00037792">
        <w:rPr>
          <w:rFonts w:ascii="Palatino Linotype" w:hAnsi="Palatino Linotype" w:eastAsia="Times New Roman" w:cs="Times New Roman"/>
          <w:kern w:val="0"/>
          <w14:ligatures w14:val="none"/>
        </w:rPr>
        <w:t xml:space="preserve"> other</w:t>
      </w:r>
      <w:r w:rsidR="005B450D">
        <w:rPr>
          <w:rFonts w:ascii="Palatino Linotype" w:hAnsi="Palatino Linotype" w:eastAsia="Times New Roman" w:cs="Times New Roman"/>
          <w:kern w:val="0"/>
          <w14:ligatures w14:val="none"/>
        </w:rPr>
        <w:t>s</w:t>
      </w:r>
      <w:r w:rsidRPr="00037792" w:rsidR="00037792">
        <w:rPr>
          <w:rFonts w:ascii="Palatino Linotype" w:hAnsi="Palatino Linotype" w:eastAsia="Times New Roman" w:cs="Times New Roman"/>
          <w:kern w:val="0"/>
          <w14:ligatures w14:val="none"/>
        </w:rPr>
        <w:t>.</w:t>
      </w:r>
    </w:p>
    <w:p w:rsidR="00037792" w:rsidP="00037792" w:rsidRDefault="00037792" w14:paraId="0FA65B74" w14:textId="77777777">
      <w:pPr>
        <w:spacing w:after="0" w:line="240" w:lineRule="auto"/>
        <w:rPr>
          <w:rFonts w:ascii="Palatino Linotype" w:hAnsi="Palatino Linotype" w:eastAsia="Times New Roman" w:cs="Times New Roman"/>
          <w:kern w:val="0"/>
          <w14:ligatures w14:val="none"/>
        </w:rPr>
      </w:pPr>
    </w:p>
    <w:p w:rsidRPr="00037792" w:rsidR="00037792" w:rsidP="00037792" w:rsidRDefault="00037792" w14:paraId="7C0F17A7" w14:textId="77777777">
      <w:pPr>
        <w:spacing w:after="0" w:line="240" w:lineRule="auto"/>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SDG&amp;E's proposal included:</w:t>
      </w:r>
    </w:p>
    <w:p w:rsidRPr="00037792" w:rsidR="00037792" w:rsidP="00037792" w:rsidRDefault="00037792" w14:paraId="6A0B4971" w14:textId="77777777">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Treatment of the five CPUC-proposed metrics as data variables rather than standalone metrics, to be used as inputs for equity assessments in combination with forecasting and distribution project-related data.</w:t>
      </w:r>
    </w:p>
    <w:p w:rsidRPr="00037792" w:rsidR="00037792" w:rsidP="00037792" w:rsidRDefault="00037792" w14:paraId="4E0D63EB" w14:textId="77777777">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A definition of Disadvantaged Communities (DACs) using the five customer types from the Decision, SB</w:t>
      </w:r>
      <w:r w:rsidR="007B0009">
        <w:rPr>
          <w:rFonts w:ascii="Palatino Linotype" w:hAnsi="Palatino Linotype" w:eastAsia="Times New Roman" w:cs="Times New Roman"/>
          <w:kern w:val="0"/>
          <w14:ligatures w14:val="none"/>
        </w:rPr>
        <w:t xml:space="preserve"> </w:t>
      </w:r>
      <w:r w:rsidRPr="00037792">
        <w:rPr>
          <w:rFonts w:ascii="Palatino Linotype" w:hAnsi="Palatino Linotype" w:eastAsia="Times New Roman" w:cs="Times New Roman"/>
          <w:kern w:val="0"/>
          <w14:ligatures w14:val="none"/>
        </w:rPr>
        <w:t>535</w:t>
      </w:r>
      <w:r w:rsidR="00FC7B2F">
        <w:rPr>
          <w:rStyle w:val="FootnoteReference"/>
          <w:rFonts w:ascii="Palatino Linotype" w:hAnsi="Palatino Linotype" w:eastAsia="Times New Roman" w:cs="Times New Roman"/>
          <w:kern w:val="0"/>
          <w14:ligatures w14:val="none"/>
        </w:rPr>
        <w:footnoteReference w:id="2"/>
      </w:r>
      <w:r w:rsidRPr="00037792">
        <w:rPr>
          <w:rFonts w:ascii="Palatino Linotype" w:hAnsi="Palatino Linotype" w:eastAsia="Times New Roman" w:cs="Times New Roman"/>
          <w:kern w:val="0"/>
          <w14:ligatures w14:val="none"/>
        </w:rPr>
        <w:t xml:space="preserve"> Priority Populations (including </w:t>
      </w:r>
      <w:proofErr w:type="spellStart"/>
      <w:r w:rsidRPr="00037792">
        <w:rPr>
          <w:rFonts w:ascii="Palatino Linotype" w:hAnsi="Palatino Linotype" w:eastAsia="Times New Roman" w:cs="Times New Roman"/>
          <w:kern w:val="0"/>
          <w14:ligatures w14:val="none"/>
        </w:rPr>
        <w:t>CalEnviroScreen</w:t>
      </w:r>
      <w:proofErr w:type="spellEnd"/>
      <w:r w:rsidRPr="00037792">
        <w:rPr>
          <w:rFonts w:ascii="Palatino Linotype" w:hAnsi="Palatino Linotype" w:eastAsia="Times New Roman" w:cs="Times New Roman"/>
          <w:kern w:val="0"/>
          <w14:ligatures w14:val="none"/>
        </w:rPr>
        <w:t xml:space="preserve"> 4.0), Low Income, Tribal, CARE/FERA, and Medical Baseline</w:t>
      </w:r>
      <w:r w:rsidR="001653FA">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consistent with the Electrification Impact Study Part 2, with circuits designated as DAC or non-DAC using a binary approach.</w:t>
      </w:r>
    </w:p>
    <w:p w:rsidRPr="00037792" w:rsidR="00037792" w:rsidP="00037792" w:rsidRDefault="00037792" w14:paraId="72BF0F7A" w14:textId="77777777">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A83684">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Load Growth</w:t>
      </w:r>
      <w:r w:rsidR="00A83684">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reported in the GNA that measures the proportion of DER-based load growth forecast for DAC circuits compared to non-DAC circuits.</w:t>
      </w:r>
    </w:p>
    <w:p w:rsidRPr="00037792" w:rsidR="00037792" w:rsidP="00037792" w:rsidRDefault="00037792" w14:paraId="26C1A4BF" w14:textId="77777777">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Project Initiation</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reported in the DUPR that measures the proportion of upstream distribution capacity upgrade projects initiated on DAC circuits compared to non-DAC circuits, with project initiation defined as the date scoping or solutioning is completed.</w:t>
      </w:r>
    </w:p>
    <w:p w:rsidRPr="00037792" w:rsidR="00037792" w:rsidP="00037792" w:rsidRDefault="00037792" w14:paraId="6DD9FCBD" w14:textId="77777777">
      <w:pPr>
        <w:spacing w:after="0" w:line="240" w:lineRule="auto"/>
        <w:rPr>
          <w:rFonts w:ascii="Palatino Linotype" w:hAnsi="Palatino Linotype" w:eastAsia="Times New Roman" w:cs="Times New Roman"/>
          <w:kern w:val="0"/>
          <w14:ligatures w14:val="none"/>
        </w:rPr>
      </w:pPr>
    </w:p>
    <w:p w:rsidRPr="00037792" w:rsidR="00037792" w:rsidP="00037792" w:rsidRDefault="00037792" w14:paraId="5EC1D831" w14:textId="77777777">
      <w:pPr>
        <w:spacing w:after="0" w:line="240" w:lineRule="auto"/>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PG&amp;E and SCE's joint proposal included:</w:t>
      </w:r>
    </w:p>
    <w:p w:rsidRPr="00037792" w:rsidR="00037792" w:rsidP="00037792" w:rsidRDefault="00CD33E7" w14:paraId="4D8FC19E" w14:textId="77777777">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w:t>
      </w:r>
      <w:r w:rsidRPr="00037792" w:rsidR="00037792">
        <w:rPr>
          <w:rFonts w:ascii="Palatino Linotype" w:hAnsi="Palatino Linotype" w:eastAsia="Times New Roman" w:cs="Times New Roman"/>
          <w:kern w:val="0"/>
          <w14:ligatures w14:val="none"/>
        </w:rPr>
        <w:t>wo metrics</w:t>
      </w:r>
      <w:r w:rsidR="007F7D27">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 xml:space="preserve"> </w:t>
      </w:r>
      <w:r w:rsidR="007F7D27">
        <w:rPr>
          <w:rFonts w:ascii="Palatino Linotype" w:hAnsi="Palatino Linotype" w:eastAsia="Times New Roman" w:cs="Times New Roman"/>
          <w:kern w:val="0"/>
          <w14:ligatures w14:val="none"/>
        </w:rPr>
        <w:t xml:space="preserve">each calculated </w:t>
      </w:r>
      <w:r w:rsidRPr="00037792" w:rsidR="00037792">
        <w:rPr>
          <w:rFonts w:ascii="Palatino Linotype" w:hAnsi="Palatino Linotype" w:eastAsia="Times New Roman" w:cs="Times New Roman"/>
          <w:kern w:val="0"/>
          <w14:ligatures w14:val="none"/>
        </w:rPr>
        <w:t>across four customer groups</w:t>
      </w:r>
      <w:r w:rsidR="00A675E4">
        <w:rPr>
          <w:rFonts w:ascii="Palatino Linotype" w:hAnsi="Palatino Linotype" w:eastAsia="Times New Roman" w:cs="Times New Roman"/>
          <w:kern w:val="0"/>
          <w14:ligatures w14:val="none"/>
        </w:rPr>
        <w:t xml:space="preserve"> </w:t>
      </w:r>
      <w:r w:rsidR="008E7E9B">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CARE/FERA, Disadvantaged Communities (DAC</w:t>
      </w:r>
      <w:r w:rsidR="009A4470">
        <w:rPr>
          <w:rFonts w:ascii="Palatino Linotype" w:hAnsi="Palatino Linotype" w:eastAsia="Times New Roman" w:cs="Times New Roman"/>
          <w:kern w:val="0"/>
          <w14:ligatures w14:val="none"/>
        </w:rPr>
        <w:t>-SB</w:t>
      </w:r>
      <w:r w:rsidR="00930F18">
        <w:rPr>
          <w:rFonts w:ascii="Palatino Linotype" w:hAnsi="Palatino Linotype" w:eastAsia="Times New Roman" w:cs="Times New Roman"/>
          <w:kern w:val="0"/>
          <w14:ligatures w14:val="none"/>
        </w:rPr>
        <w:t xml:space="preserve"> </w:t>
      </w:r>
      <w:r w:rsidR="009A4470">
        <w:rPr>
          <w:rFonts w:ascii="Palatino Linotype" w:hAnsi="Palatino Linotype" w:eastAsia="Times New Roman" w:cs="Times New Roman"/>
          <w:kern w:val="0"/>
          <w14:ligatures w14:val="none"/>
        </w:rPr>
        <w:t>535</w:t>
      </w:r>
      <w:r w:rsidRPr="00037792" w:rsidR="00037792">
        <w:rPr>
          <w:rFonts w:ascii="Palatino Linotype" w:hAnsi="Palatino Linotype" w:eastAsia="Times New Roman" w:cs="Times New Roman"/>
          <w:kern w:val="0"/>
          <w14:ligatures w14:val="none"/>
        </w:rPr>
        <w:t>), Tribal Communities, and Medical Baseline</w:t>
      </w:r>
      <w:r w:rsidR="008E7E9B">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 xml:space="preserve">, </w:t>
      </w:r>
      <w:r w:rsidR="00C3301C">
        <w:rPr>
          <w:rFonts w:ascii="Palatino Linotype" w:hAnsi="Palatino Linotype" w:eastAsia="Times New Roman" w:cs="Times New Roman"/>
          <w:kern w:val="0"/>
          <w14:ligatures w14:val="none"/>
        </w:rPr>
        <w:t xml:space="preserve">and for the </w:t>
      </w:r>
      <w:r w:rsidRPr="00037792" w:rsidR="00037792">
        <w:rPr>
          <w:rFonts w:ascii="Palatino Linotype" w:hAnsi="Palatino Linotype" w:eastAsia="Times New Roman" w:cs="Times New Roman"/>
          <w:kern w:val="0"/>
          <w14:ligatures w14:val="none"/>
        </w:rPr>
        <w:t>system</w:t>
      </w:r>
      <w:r w:rsidR="00C3301C">
        <w:rPr>
          <w:rFonts w:ascii="Palatino Linotype" w:hAnsi="Palatino Linotype" w:eastAsia="Times New Roman" w:cs="Times New Roman"/>
          <w:kern w:val="0"/>
          <w14:ligatures w14:val="none"/>
        </w:rPr>
        <w:t xml:space="preserve"> </w:t>
      </w:r>
      <w:proofErr w:type="gramStart"/>
      <w:r w:rsidR="00C3301C">
        <w:rPr>
          <w:rFonts w:ascii="Palatino Linotype" w:hAnsi="Palatino Linotype" w:eastAsia="Times New Roman" w:cs="Times New Roman"/>
          <w:kern w:val="0"/>
          <w14:ligatures w14:val="none"/>
        </w:rPr>
        <w:t>as a whole as</w:t>
      </w:r>
      <w:proofErr w:type="gramEnd"/>
      <w:r w:rsidR="00C3301C">
        <w:rPr>
          <w:rFonts w:ascii="Palatino Linotype" w:hAnsi="Palatino Linotype" w:eastAsia="Times New Roman" w:cs="Times New Roman"/>
          <w:kern w:val="0"/>
          <w14:ligatures w14:val="none"/>
        </w:rPr>
        <w:t xml:space="preserve"> a point of comparison</w:t>
      </w:r>
      <w:r w:rsidRPr="00037792" w:rsidR="00037792">
        <w:rPr>
          <w:rFonts w:ascii="Palatino Linotype" w:hAnsi="Palatino Linotype" w:eastAsia="Times New Roman" w:cs="Times New Roman"/>
          <w:kern w:val="0"/>
          <w14:ligatures w14:val="none"/>
        </w:rPr>
        <w:t>.</w:t>
      </w:r>
      <w:r w:rsidR="00F02344">
        <w:rPr>
          <w:rFonts w:ascii="Palatino Linotype" w:hAnsi="Palatino Linotype" w:eastAsia="Times New Roman" w:cs="Times New Roman"/>
          <w:kern w:val="0"/>
          <w14:ligatures w14:val="none"/>
        </w:rPr>
        <w:t xml:space="preserve"> PG&amp;E and SCE consolidated the DAC and Priority Populations designations into a single group, treating the two as equivalent.</w:t>
      </w:r>
    </w:p>
    <w:p w:rsidRPr="00037792" w:rsidR="00037792" w:rsidP="00037792" w:rsidRDefault="00037792" w14:paraId="1F03A0DE" w14:textId="77777777">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lastRenderedPageBreak/>
        <w:t>A Grid Access metric measuring available headroom per circuit (circuit capacity rating minus circuit peak loading) for Year 1 (current) and Year 5 (forecast), using a linear regression model to determine whether a statistically meaningful correlation exists between available headroom and the number of customers in each group.</w:t>
      </w:r>
    </w:p>
    <w:p w:rsidRPr="00037792" w:rsidR="00037792" w:rsidP="00037792" w:rsidRDefault="00037792" w14:paraId="693F2FA6" w14:textId="77777777">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Project Initiation</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measuring the ratio of Planned Investments (funded projects) to total identified projects (Planned Investments plus Planned Solutions) for each customer group, using a linear regression model to determine whether a statistically meaningful correlation exists between project initiation status and the number of customers in each group.</w:t>
      </w:r>
    </w:p>
    <w:p w:rsidR="006236E8" w:rsidP="00037792" w:rsidRDefault="002E5E3A" w14:paraId="3813ECB0" w14:textId="77777777">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2E5E3A">
        <w:rPr>
          <w:rFonts w:ascii="Palatino Linotype" w:hAnsi="Palatino Linotype" w:eastAsia="Times New Roman" w:cs="Times New Roman"/>
          <w:kern w:val="0"/>
          <w14:ligatures w14:val="none"/>
        </w:rPr>
        <w:t>Reporting of the Grid Access data in the GNA and the Project Initiation data in the DUPR, identifying as example reporting locations existing appendices submitted as confidential (e.g., PG&amp;E's GNA Bank and Feeder appendix and DUPR Planned Investment appendix), with regression metric results to be included in the narrative document.</w:t>
      </w:r>
    </w:p>
    <w:p w:rsidRPr="00037792" w:rsidR="00527567" w:rsidP="00527567" w:rsidRDefault="00527567" w14:paraId="3C1D4E13" w14:textId="77777777">
      <w:pPr>
        <w:pStyle w:val="ListParagraph"/>
        <w:spacing w:after="0" w:line="240" w:lineRule="auto"/>
        <w:ind w:left="446"/>
        <w:contextualSpacing w:val="0"/>
        <w:rPr>
          <w:rFonts w:ascii="Palatino Linotype" w:hAnsi="Palatino Linotype" w:eastAsia="Times New Roman" w:cs="Times New Roman"/>
          <w:kern w:val="0"/>
          <w14:ligatures w14:val="none"/>
        </w:rPr>
      </w:pPr>
    </w:p>
    <w:p w:rsidRPr="001942D0" w:rsidR="00A76F4A" w:rsidP="00A76F4A" w:rsidRDefault="00A76F4A" w14:paraId="6F6BFFAA"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00037792" w:rsidP="00A76F4A" w:rsidRDefault="00037792" w14:paraId="1D3C13E5" w14:textId="77777777">
      <w:pPr>
        <w:spacing w:after="0" w:line="240" w:lineRule="auto"/>
        <w:rPr>
          <w:rFonts w:ascii="Palatino Linotype" w:hAnsi="Palatino Linotype" w:eastAsia="Palatino Linotype" w:cs="Times New Roman"/>
          <w:kern w:val="0"/>
          <w14:ligatures w14:val="none"/>
        </w:rPr>
      </w:pPr>
      <w:r w:rsidRPr="00037792">
        <w:rPr>
          <w:rFonts w:ascii="Palatino Linotype" w:hAnsi="Palatino Linotype" w:eastAsia="Palatino Linotype" w:cs="Times New Roman"/>
          <w:kern w:val="0"/>
          <w14:ligatures w14:val="none"/>
        </w:rPr>
        <w:t xml:space="preserve">Notice of AL 5498-E et al. was made by publication in the Commission's Daily Calendar. </w:t>
      </w:r>
      <w:r w:rsidR="005F5C5E">
        <w:rPr>
          <w:rFonts w:ascii="Palatino Linotype" w:hAnsi="Palatino Linotype" w:eastAsia="Palatino Linotype" w:cs="Times New Roman"/>
          <w:kern w:val="0"/>
          <w14:ligatures w14:val="none"/>
        </w:rPr>
        <w:t>SCE</w:t>
      </w:r>
      <w:r w:rsidRPr="00037792">
        <w:rPr>
          <w:rFonts w:ascii="Palatino Linotype" w:hAnsi="Palatino Linotype" w:eastAsia="Palatino Linotype" w:cs="Times New Roman"/>
          <w:kern w:val="0"/>
          <w14:ligatures w14:val="none"/>
        </w:rPr>
        <w:t xml:space="preserve"> states that copies of the Advice Letter were mailed and distributed in accordance with General Rule 4 of General Order 96-B, serving the GO 96-B and </w:t>
      </w:r>
      <w:r w:rsidR="005E2F86">
        <w:rPr>
          <w:rFonts w:ascii="Palatino Linotype" w:hAnsi="Palatino Linotype" w:eastAsia="Palatino Linotype" w:cs="Times New Roman"/>
          <w:kern w:val="0"/>
          <w14:ligatures w14:val="none"/>
        </w:rPr>
        <w:br/>
      </w:r>
      <w:r w:rsidRPr="00037792">
        <w:rPr>
          <w:rFonts w:ascii="Palatino Linotype" w:hAnsi="Palatino Linotype" w:eastAsia="Palatino Linotype" w:cs="Times New Roman"/>
          <w:kern w:val="0"/>
          <w14:ligatures w14:val="none"/>
        </w:rPr>
        <w:t>R.21-06-017 service lists.</w:t>
      </w:r>
    </w:p>
    <w:p w:rsidRPr="001942D0" w:rsidR="00A76F4A" w:rsidP="00A76F4A" w:rsidRDefault="00A76F4A" w14:paraId="24D40AD7" w14:textId="77777777">
      <w:pPr>
        <w:spacing w:after="0" w:line="240" w:lineRule="auto"/>
        <w:rPr>
          <w:rFonts w:ascii="Palatino Linotype" w:hAnsi="Palatino Linotype" w:eastAsia="Palatino Linotype" w:cs="Times New Roman"/>
          <w:kern w:val="0"/>
          <w14:ligatures w14:val="none"/>
        </w:rPr>
      </w:pPr>
    </w:p>
    <w:p w:rsidR="00A76F4A" w:rsidP="53F08BA3" w:rsidRDefault="00A76F4A" w14:paraId="75B09AFE" w14:textId="77777777">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53F08BA3">
        <w:rPr>
          <w:rFonts w:ascii="Palatino Linotype" w:hAnsi="Palatino Linotype" w:eastAsia="Palatino Linotype" w:cs="Times New Roman"/>
          <w:b/>
          <w:bCs/>
          <w:caps/>
          <w:kern w:val="28"/>
          <w:u w:val="single"/>
          <w14:ligatures w14:val="none"/>
        </w:rPr>
        <w:t>Protests</w:t>
      </w:r>
      <w:r w:rsidRPr="53F08BA3" w:rsidR="28DF9D0E">
        <w:rPr>
          <w:rFonts w:ascii="Palatino Linotype" w:hAnsi="Palatino Linotype" w:eastAsia="Palatino Linotype" w:cs="Times New Roman"/>
          <w:b/>
          <w:bCs/>
          <w:caps/>
          <w:kern w:val="28"/>
          <w:u w:val="single"/>
          <w14:ligatures w14:val="none"/>
        </w:rPr>
        <w:t xml:space="preserve"> </w:t>
      </w:r>
      <w:r w:rsidR="00740B6E">
        <w:rPr>
          <w:rFonts w:ascii="Palatino Linotype" w:hAnsi="Palatino Linotype" w:eastAsia="Palatino Linotype" w:cs="Times New Roman"/>
          <w:b/>
          <w:bCs/>
          <w:caps/>
          <w:kern w:val="28"/>
          <w:u w:val="single"/>
          <w14:ligatures w14:val="none"/>
        </w:rPr>
        <w:t>and</w:t>
      </w:r>
      <w:r w:rsidRPr="53F08BA3" w:rsidR="28DF9D0E">
        <w:rPr>
          <w:rFonts w:ascii="Palatino Linotype" w:hAnsi="Palatino Linotype" w:eastAsia="Palatino Linotype" w:cs="Times New Roman"/>
          <w:b/>
          <w:bCs/>
          <w:caps/>
          <w:kern w:val="28"/>
          <w:u w:val="single"/>
          <w14:ligatures w14:val="none"/>
        </w:rPr>
        <w:t xml:space="preserve"> R</w:t>
      </w:r>
      <w:r w:rsidR="00AD696F">
        <w:rPr>
          <w:rFonts w:ascii="Palatino Linotype" w:hAnsi="Palatino Linotype" w:eastAsia="Palatino Linotype" w:cs="Times New Roman"/>
          <w:b/>
          <w:bCs/>
          <w:caps/>
          <w:kern w:val="28"/>
          <w:u w:val="single"/>
          <w14:ligatures w14:val="none"/>
        </w:rPr>
        <w:t>eplies</w:t>
      </w:r>
    </w:p>
    <w:p w:rsidR="001653FA" w:rsidP="001653FA" w:rsidRDefault="001653FA" w14:paraId="1336E7A8" w14:textId="77777777">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AL 5498-E et al. was timely protested on March 20, 2025, by Vote Solar and the Center for Biological Diversity (Vote Solar/CBD), and on March 27, 2025, by the Joint Community Choice Aggregators (Joint CCAs)</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consisting of Ava Community Energy, Marin Clean Energy, Redwood Coast Energy Authority, and Valley Clean Energy</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by the Center for Accessible Technology (</w:t>
      </w:r>
      <w:proofErr w:type="spellStart"/>
      <w:r w:rsidRPr="001653FA">
        <w:rPr>
          <w:rFonts w:ascii="Palatino Linotype" w:hAnsi="Palatino Linotype" w:eastAsia="Palatino Linotype" w:cs="Times New Roman"/>
          <w:kern w:val="0"/>
          <w14:ligatures w14:val="none"/>
        </w:rPr>
        <w:t>CforAT</w:t>
      </w:r>
      <w:proofErr w:type="spellEnd"/>
      <w:r w:rsidRPr="001653FA">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SCE, on behalf of itself, PG&amp;E, and SDG&amp;E, filed reply comments to all protests on April 4, 2025.</w:t>
      </w:r>
    </w:p>
    <w:p w:rsidR="002F526F" w:rsidP="001653FA" w:rsidRDefault="002F526F" w14:paraId="3C61C25E" w14:textId="77777777">
      <w:pPr>
        <w:spacing w:after="0" w:line="240" w:lineRule="auto"/>
        <w:rPr>
          <w:rFonts w:ascii="Palatino Linotype" w:hAnsi="Palatino Linotype" w:eastAsia="Palatino Linotype" w:cs="Times New Roman"/>
          <w:kern w:val="0"/>
          <w14:ligatures w14:val="none"/>
        </w:rPr>
      </w:pPr>
    </w:p>
    <w:p w:rsidR="00A76F4A" w:rsidP="001653FA" w:rsidRDefault="001653FA" w14:paraId="0D6A5BAE" w14:textId="77777777">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 xml:space="preserve">The following </w:t>
      </w:r>
      <w:r w:rsidR="00F35105">
        <w:rPr>
          <w:rFonts w:ascii="Palatino Linotype" w:hAnsi="Palatino Linotype" w:eastAsia="Palatino Linotype" w:cs="Times New Roman"/>
          <w:kern w:val="0"/>
          <w14:ligatures w14:val="none"/>
        </w:rPr>
        <w:t>summarizes</w:t>
      </w:r>
      <w:r w:rsidRPr="001653FA">
        <w:rPr>
          <w:rFonts w:ascii="Palatino Linotype" w:hAnsi="Palatino Linotype" w:eastAsia="Palatino Linotype" w:cs="Times New Roman"/>
          <w:kern w:val="0"/>
          <w14:ligatures w14:val="none"/>
        </w:rPr>
        <w:t xml:space="preserve"> the major issues raised in the protests and the </w:t>
      </w:r>
      <w:r w:rsidR="00F35105">
        <w:rPr>
          <w:rFonts w:ascii="Palatino Linotype" w:hAnsi="Palatino Linotype" w:eastAsia="Palatino Linotype" w:cs="Times New Roman"/>
          <w:kern w:val="0"/>
          <w14:ligatures w14:val="none"/>
        </w:rPr>
        <w:t xml:space="preserve">joint </w:t>
      </w:r>
      <w:r w:rsidR="005E2F86">
        <w:rPr>
          <w:rFonts w:ascii="Palatino Linotype" w:hAnsi="Palatino Linotype" w:eastAsia="Palatino Linotype" w:cs="Times New Roman"/>
          <w:kern w:val="0"/>
          <w14:ligatures w14:val="none"/>
        </w:rPr>
        <w:br/>
      </w:r>
      <w:r w:rsidR="00F35105">
        <w:rPr>
          <w:rFonts w:ascii="Palatino Linotype" w:hAnsi="Palatino Linotype" w:eastAsia="Palatino Linotype" w:cs="Times New Roman"/>
          <w:kern w:val="0"/>
          <w14:ligatures w14:val="none"/>
        </w:rPr>
        <w:t xml:space="preserve">utilities’ </w:t>
      </w:r>
      <w:r w:rsidRPr="001653FA">
        <w:rPr>
          <w:rFonts w:ascii="Palatino Linotype" w:hAnsi="Palatino Linotype" w:eastAsia="Palatino Linotype" w:cs="Times New Roman"/>
          <w:kern w:val="0"/>
          <w14:ligatures w14:val="none"/>
        </w:rPr>
        <w:t>repl</w:t>
      </w:r>
      <w:r w:rsidR="00F35105">
        <w:rPr>
          <w:rFonts w:ascii="Palatino Linotype" w:hAnsi="Palatino Linotype" w:eastAsia="Palatino Linotype" w:cs="Times New Roman"/>
          <w:kern w:val="0"/>
          <w14:ligatures w14:val="none"/>
        </w:rPr>
        <w:t>ies</w:t>
      </w:r>
      <w:r>
        <w:rPr>
          <w:rFonts w:ascii="Palatino Linotype" w:hAnsi="Palatino Linotype" w:eastAsia="Palatino Linotype" w:cs="Times New Roman"/>
          <w:kern w:val="0"/>
          <w14:ligatures w14:val="none"/>
        </w:rPr>
        <w:t>.</w:t>
      </w:r>
    </w:p>
    <w:p w:rsidRPr="001653FA" w:rsidR="001653FA" w:rsidP="001653FA" w:rsidRDefault="001653FA" w14:paraId="444BD949" w14:textId="77777777">
      <w:pPr>
        <w:pStyle w:val="Heading2"/>
        <w:rPr>
          <w:rFonts w:eastAsia="Palatino Linotype"/>
        </w:rPr>
      </w:pPr>
      <w:r w:rsidRPr="001653FA">
        <w:rPr>
          <w:rFonts w:eastAsia="Palatino Linotype"/>
        </w:rPr>
        <w:t>Compliance with D.24-10-030 and OP 25</w:t>
      </w:r>
    </w:p>
    <w:p w:rsidRPr="001653FA" w:rsidR="001653FA" w:rsidP="001653FA" w:rsidRDefault="001653FA" w14:paraId="2CDB8C67" w14:textId="77777777">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 xml:space="preserve">The Joint CCAs argued that the Joint Utilities' proposed metrics deviate from the five metrics explicitly enumerated in OP 25, characterizing the workshop and Tier 3 AL process as designed to refine and finalize the Commission-identified metrics with </w:t>
      </w:r>
      <w:r w:rsidRPr="001653FA">
        <w:rPr>
          <w:rFonts w:ascii="Palatino Linotype" w:hAnsi="Palatino Linotype" w:eastAsia="Palatino Linotype" w:cs="Times New Roman"/>
          <w:kern w:val="0"/>
          <w14:ligatures w14:val="none"/>
        </w:rPr>
        <w:lastRenderedPageBreak/>
        <w:t>stakeholder input</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w:t>
      </w:r>
      <w:r w:rsidR="004B7838">
        <w:rPr>
          <w:rFonts w:ascii="Palatino Linotype" w:hAnsi="Palatino Linotype" w:eastAsia="Palatino Linotype" w:cs="Times New Roman"/>
          <w:kern w:val="0"/>
          <w14:ligatures w14:val="none"/>
        </w:rPr>
        <w:t>rather than</w:t>
      </w:r>
      <w:r w:rsidRPr="001653FA" w:rsidR="004B7838">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replace them. The</w:t>
      </w:r>
      <w:r w:rsidR="00842C66">
        <w:rPr>
          <w:rFonts w:ascii="Palatino Linotype" w:hAnsi="Palatino Linotype" w:eastAsia="Palatino Linotype" w:cs="Times New Roman"/>
          <w:kern w:val="0"/>
          <w14:ligatures w14:val="none"/>
        </w:rPr>
        <w:t>y</w:t>
      </w:r>
      <w:r w:rsidR="002C17C8">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 xml:space="preserve">contended that by proposing alternative metrics (SDG&amp;E's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Load Growth</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Project Initiation</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w:t>
      </w:r>
      <w:r w:rsidR="004D4343">
        <w:rPr>
          <w:rFonts w:ascii="Palatino Linotype" w:hAnsi="Palatino Linotype" w:eastAsia="Palatino Linotype" w:cs="Times New Roman"/>
          <w:kern w:val="0"/>
          <w14:ligatures w14:val="none"/>
        </w:rPr>
        <w:t xml:space="preserve">and </w:t>
      </w:r>
      <w:r w:rsidR="005E2F86">
        <w:rPr>
          <w:rFonts w:ascii="Palatino Linotype" w:hAnsi="Palatino Linotype" w:eastAsia="Palatino Linotype" w:cs="Times New Roman"/>
          <w:kern w:val="0"/>
          <w14:ligatures w14:val="none"/>
        </w:rPr>
        <w:br/>
      </w:r>
      <w:r w:rsidRPr="001653FA">
        <w:rPr>
          <w:rFonts w:ascii="Palatino Linotype" w:hAnsi="Palatino Linotype" w:eastAsia="Palatino Linotype" w:cs="Times New Roman"/>
          <w:kern w:val="0"/>
          <w14:ligatures w14:val="none"/>
        </w:rPr>
        <w:t xml:space="preserve">PG&amp;E/SCE's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Grid Access</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Project Initiation</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the Joint Utilities violated </w:t>
      </w:r>
      <w:r w:rsidR="005E2F86">
        <w:rPr>
          <w:rFonts w:ascii="Palatino Linotype" w:hAnsi="Palatino Linotype" w:eastAsia="Palatino Linotype" w:cs="Times New Roman"/>
          <w:kern w:val="0"/>
          <w14:ligatures w14:val="none"/>
        </w:rPr>
        <w:br/>
      </w:r>
      <w:r w:rsidRPr="001653FA">
        <w:rPr>
          <w:rFonts w:ascii="Palatino Linotype" w:hAnsi="Palatino Linotype" w:eastAsia="Palatino Linotype" w:cs="Times New Roman"/>
          <w:kern w:val="0"/>
          <w14:ligatures w14:val="none"/>
        </w:rPr>
        <w:t>D.24-10-030 and urge the Commission to reject the ALs as submitted or require substantial modifications</w:t>
      </w:r>
      <w:r w:rsidR="00C37592">
        <w:rPr>
          <w:rFonts w:ascii="Palatino Linotype" w:hAnsi="Palatino Linotype" w:eastAsia="Palatino Linotype" w:cs="Times New Roman"/>
          <w:kern w:val="0"/>
          <w14:ligatures w14:val="none"/>
        </w:rPr>
        <w:t>.</w:t>
      </w:r>
      <w:r w:rsidR="00C402BE">
        <w:rPr>
          <w:rStyle w:val="FootnoteReference"/>
          <w:rFonts w:ascii="Palatino Linotype" w:hAnsi="Palatino Linotype" w:eastAsia="Palatino Linotype" w:cs="Times New Roman"/>
          <w:kern w:val="0"/>
          <w14:ligatures w14:val="none"/>
        </w:rPr>
        <w:footnoteReference w:id="3"/>
      </w:r>
      <w:r w:rsidRPr="001653FA">
        <w:rPr>
          <w:rFonts w:ascii="Palatino Linotype" w:hAnsi="Palatino Linotype" w:eastAsia="Palatino Linotype" w:cs="Times New Roman"/>
          <w:kern w:val="0"/>
          <w14:ligatures w14:val="none"/>
        </w:rPr>
        <w:t xml:space="preserve"> Vote Solar/CBD similarly asserted that the Joint Utilities are "required" to track and evaluate the five equity metrics referenced in the Decision</w:t>
      </w:r>
      <w:r w:rsidR="00C37592">
        <w:rPr>
          <w:rFonts w:ascii="Palatino Linotype" w:hAnsi="Palatino Linotype" w:eastAsia="Palatino Linotype" w:cs="Times New Roman"/>
          <w:kern w:val="0"/>
          <w14:ligatures w14:val="none"/>
        </w:rPr>
        <w:t>.</w:t>
      </w:r>
      <w:r w:rsidR="002E2F79">
        <w:rPr>
          <w:rStyle w:val="FootnoteReference"/>
          <w:rFonts w:ascii="Palatino Linotype" w:hAnsi="Palatino Linotype" w:eastAsia="Palatino Linotype" w:cs="Times New Roman"/>
          <w:kern w:val="0"/>
          <w14:ligatures w14:val="none"/>
        </w:rPr>
        <w:footnoteReference w:id="4"/>
      </w:r>
    </w:p>
    <w:p w:rsidR="001653FA" w:rsidP="001653FA" w:rsidRDefault="001653FA" w14:paraId="7DA61ECF" w14:textId="77777777">
      <w:pPr>
        <w:spacing w:before="240"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b/>
          <w:bCs/>
          <w:i/>
          <w:iCs/>
          <w:kern w:val="0"/>
          <w14:ligatures w14:val="none"/>
        </w:rPr>
        <w:t>Joint IOU Reply</w:t>
      </w:r>
      <w:r w:rsidR="00A44096">
        <w:rPr>
          <w:rFonts w:ascii="Palatino Linotype" w:hAnsi="Palatino Linotype" w:eastAsia="Palatino Linotype" w:cs="Times New Roman"/>
          <w:b/>
          <w:bCs/>
          <w:i/>
          <w:iCs/>
          <w:kern w:val="0"/>
          <w14:ligatures w14:val="none"/>
        </w:rPr>
        <w:t xml:space="preserve">: </w:t>
      </w:r>
      <w:r w:rsidR="00084DA5">
        <w:rPr>
          <w:rStyle w:val="FootnoteReference"/>
          <w:rFonts w:ascii="Palatino Linotype" w:hAnsi="Palatino Linotype" w:eastAsia="Palatino Linotype" w:cs="Times New Roman"/>
          <w:b/>
          <w:bCs/>
          <w:i/>
          <w:iCs/>
          <w:kern w:val="0"/>
          <w14:ligatures w14:val="none"/>
        </w:rPr>
        <w:footnoteReference w:id="5"/>
      </w:r>
      <w:r w:rsidRPr="001653FA">
        <w:rPr>
          <w:rFonts w:ascii="Palatino Linotype" w:hAnsi="Palatino Linotype" w:eastAsia="Palatino Linotype" w:cs="Times New Roman"/>
          <w:kern w:val="0"/>
          <w14:ligatures w14:val="none"/>
        </w:rPr>
        <w:t xml:space="preserve"> The Joint Utilities responded that OP 25 does not mandate adoption of the five listed metrics verbatim but rather directs the utilities to hold a workshop for "further exploration" of those metrics and their correlated variables. The Decision contemplates that the Commission may ultimately adopt different metrics, with the final adopted set to be determined by the Commission's resolution on the Tier 3 ALs. The Joint Utilities further noted that the five metrics were in fact explored as directed at </w:t>
      </w:r>
      <w:proofErr w:type="gramStart"/>
      <w:r w:rsidRPr="001653FA">
        <w:rPr>
          <w:rFonts w:ascii="Palatino Linotype" w:hAnsi="Palatino Linotype" w:eastAsia="Palatino Linotype" w:cs="Times New Roman"/>
          <w:kern w:val="0"/>
          <w14:ligatures w14:val="none"/>
        </w:rPr>
        <w:t>the January</w:t>
      </w:r>
      <w:proofErr w:type="gramEnd"/>
      <w:r w:rsidRPr="001653FA">
        <w:rPr>
          <w:rFonts w:ascii="Palatino Linotype" w:hAnsi="Palatino Linotype" w:eastAsia="Palatino Linotype" w:cs="Times New Roman"/>
          <w:kern w:val="0"/>
          <w14:ligatures w14:val="none"/>
        </w:rPr>
        <w:t xml:space="preserve"> 21, 2025, workshop, and modifications were proposed accordingly</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constituting no violation of a Commission order. The Decision also explicitly states that "additional stakeholder input is required to ensure that the appropriate correlated variables are taken into account," confirming the flexibility the Joint Utilities exercised.</w:t>
      </w:r>
    </w:p>
    <w:p w:rsidR="000E7425" w:rsidP="000E7425" w:rsidRDefault="000E7425" w14:paraId="68F8F1C5" w14:textId="77777777">
      <w:pPr>
        <w:pStyle w:val="Heading2"/>
        <w:rPr>
          <w:rFonts w:eastAsia="Palatino Linotype"/>
        </w:rPr>
      </w:pPr>
      <w:r w:rsidRPr="000E7425">
        <w:rPr>
          <w:rFonts w:eastAsia="Palatino Linotype"/>
        </w:rPr>
        <w:t>Consolidation and Redefinition of CPUC-Proposed Metrics</w:t>
      </w:r>
    </w:p>
    <w:p w:rsidR="007A13B6" w:rsidP="000E7425" w:rsidRDefault="000E7425" w14:paraId="315FF519" w14:textId="77777777">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 xml:space="preserve">The Joint CCAs argued that the Joint Utilities redefine, consolidate, or replace </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rather than refine</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each of the five Commission-identified metrics</w:t>
      </w:r>
      <w:r w:rsidR="00F159D6">
        <w:rPr>
          <w:rFonts w:ascii="Palatino Linotype" w:hAnsi="Palatino Linotype" w:eastAsia="Palatino Linotype" w:cs="Times New Roman"/>
          <w:kern w:val="0"/>
          <w14:ligatures w14:val="none"/>
        </w:rPr>
        <w:t>.</w:t>
      </w:r>
      <w:r w:rsidR="003F75A6">
        <w:rPr>
          <w:rStyle w:val="FootnoteReference"/>
          <w:rFonts w:ascii="Palatino Linotype" w:hAnsi="Palatino Linotype" w:eastAsia="Palatino Linotype" w:cs="Times New Roman"/>
          <w:kern w:val="0"/>
          <w14:ligatures w14:val="none"/>
        </w:rPr>
        <w:footnoteReference w:id="6"/>
      </w:r>
      <w:r w:rsidRPr="000E7425">
        <w:rPr>
          <w:rFonts w:ascii="Palatino Linotype" w:hAnsi="Palatino Linotype" w:eastAsia="Palatino Linotype" w:cs="Times New Roman"/>
          <w:kern w:val="0"/>
          <w14:ligatures w14:val="none"/>
        </w:rPr>
        <w:t xml:space="preserve"> Specifically: </w:t>
      </w:r>
    </w:p>
    <w:p w:rsidR="007A13B6" w:rsidP="007A13B6" w:rsidRDefault="00F159D6" w14:paraId="494A9473" w14:textId="77777777">
      <w:pPr>
        <w:pStyle w:val="ListParagraph"/>
        <w:numPr>
          <w:ilvl w:val="0"/>
          <w:numId w:val="3"/>
        </w:num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N</w:t>
      </w:r>
      <w:r w:rsidRPr="007A13B6" w:rsidR="000E7425">
        <w:rPr>
          <w:rFonts w:ascii="Palatino Linotype" w:hAnsi="Palatino Linotype" w:eastAsia="Palatino Linotype" w:cs="Times New Roman"/>
          <w:kern w:val="0"/>
          <w14:ligatures w14:val="none"/>
        </w:rPr>
        <w:t xml:space="preserve">o standalone CARE/FERA percentage is reported at the circuit level; </w:t>
      </w:r>
      <w:r w:rsidR="003A1C96">
        <w:rPr>
          <w:rFonts w:ascii="Palatino Linotype" w:hAnsi="Palatino Linotype" w:eastAsia="Palatino Linotype" w:cs="Times New Roman"/>
          <w:kern w:val="0"/>
          <w14:ligatures w14:val="none"/>
        </w:rPr>
        <w:t xml:space="preserve">and </w:t>
      </w:r>
      <w:r w:rsidRPr="007A13B6" w:rsidR="000E7425">
        <w:rPr>
          <w:rFonts w:ascii="Palatino Linotype" w:hAnsi="Palatino Linotype" w:eastAsia="Palatino Linotype" w:cs="Times New Roman"/>
          <w:kern w:val="0"/>
          <w14:ligatures w14:val="none"/>
        </w:rPr>
        <w:t xml:space="preserve">the </w:t>
      </w:r>
      <w:proofErr w:type="spellStart"/>
      <w:r w:rsidRPr="007A13B6" w:rsidR="000E7425">
        <w:rPr>
          <w:rFonts w:ascii="Palatino Linotype" w:hAnsi="Palatino Linotype" w:eastAsia="Palatino Linotype" w:cs="Times New Roman"/>
          <w:kern w:val="0"/>
          <w14:ligatures w14:val="none"/>
        </w:rPr>
        <w:t>CalEnviroScreen</w:t>
      </w:r>
      <w:proofErr w:type="spellEnd"/>
      <w:r w:rsidRPr="007A13B6" w:rsidR="000E7425">
        <w:rPr>
          <w:rFonts w:ascii="Palatino Linotype" w:hAnsi="Palatino Linotype" w:eastAsia="Palatino Linotype" w:cs="Times New Roman"/>
          <w:kern w:val="0"/>
          <w14:ligatures w14:val="none"/>
        </w:rPr>
        <w:t xml:space="preserve"> percentile score is reduced to a binary DAC threshold rather than reported on a continuous scale;</w:t>
      </w:r>
    </w:p>
    <w:p w:rsidR="00CC753C" w:rsidP="007A13B6" w:rsidRDefault="000E7425" w14:paraId="4D2DEDD9" w14:textId="77777777">
      <w:pPr>
        <w:pStyle w:val="ListParagraph"/>
        <w:numPr>
          <w:ilvl w:val="0"/>
          <w:numId w:val="3"/>
        </w:numPr>
        <w:spacing w:after="0" w:line="240" w:lineRule="auto"/>
        <w:rPr>
          <w:rFonts w:ascii="Palatino Linotype" w:hAnsi="Palatino Linotype" w:eastAsia="Palatino Linotype" w:cs="Times New Roman"/>
          <w:kern w:val="0"/>
          <w14:ligatures w14:val="none"/>
        </w:rPr>
      </w:pPr>
      <w:r w:rsidRPr="007A13B6">
        <w:rPr>
          <w:rFonts w:ascii="Palatino Linotype" w:hAnsi="Palatino Linotype" w:eastAsia="Palatino Linotype" w:cs="Times New Roman"/>
          <w:kern w:val="0"/>
          <w14:ligatures w14:val="none"/>
        </w:rPr>
        <w:t>DAC and Priority Populations designations are improperly merged into one;</w:t>
      </w:r>
      <w:r w:rsidR="00FC3B56">
        <w:rPr>
          <w:rFonts w:ascii="Palatino Linotype" w:hAnsi="Palatino Linotype" w:eastAsia="Palatino Linotype" w:cs="Times New Roman"/>
          <w:kern w:val="0"/>
          <w14:ligatures w14:val="none"/>
        </w:rPr>
        <w:t xml:space="preserve"> </w:t>
      </w:r>
    </w:p>
    <w:p w:rsidR="0082713B" w:rsidP="007A13B6" w:rsidRDefault="000E7425" w14:paraId="760A7126" w14:textId="77777777">
      <w:pPr>
        <w:pStyle w:val="ListParagraph"/>
        <w:numPr>
          <w:ilvl w:val="0"/>
          <w:numId w:val="3"/>
        </w:numPr>
        <w:spacing w:after="0" w:line="240" w:lineRule="auto"/>
        <w:rPr>
          <w:rFonts w:ascii="Palatino Linotype" w:hAnsi="Palatino Linotype" w:eastAsia="Palatino Linotype" w:cs="Times New Roman"/>
          <w:kern w:val="0"/>
          <w14:ligatures w14:val="none"/>
        </w:rPr>
      </w:pPr>
      <w:r w:rsidRPr="007A13B6">
        <w:rPr>
          <w:rFonts w:ascii="Palatino Linotype" w:hAnsi="Palatino Linotype" w:eastAsia="Palatino Linotype" w:cs="Times New Roman"/>
          <w:kern w:val="0"/>
          <w14:ligatures w14:val="none"/>
        </w:rPr>
        <w:t xml:space="preserve">Tribal community status is subsumed into SDG&amp;E's broad DAC circuit designation; and Medical Baseline enrollment is not reported as a standalone percentage. </w:t>
      </w:r>
    </w:p>
    <w:p w:rsidRPr="0082713B" w:rsidR="000E7425" w:rsidP="0082713B" w:rsidRDefault="000E7425" w14:paraId="09A3BE69" w14:textId="77777777">
      <w:pPr>
        <w:spacing w:after="0" w:line="240" w:lineRule="auto"/>
        <w:rPr>
          <w:rFonts w:ascii="Palatino Linotype" w:hAnsi="Palatino Linotype" w:eastAsia="Palatino Linotype" w:cs="Times New Roman"/>
          <w:kern w:val="0"/>
          <w14:ligatures w14:val="none"/>
        </w:rPr>
      </w:pPr>
      <w:proofErr w:type="spellStart"/>
      <w:r w:rsidRPr="0082713B">
        <w:rPr>
          <w:rFonts w:ascii="Palatino Linotype" w:hAnsi="Palatino Linotype" w:eastAsia="Palatino Linotype" w:cs="Times New Roman"/>
          <w:kern w:val="0"/>
          <w14:ligatures w14:val="none"/>
        </w:rPr>
        <w:t>CforAT</w:t>
      </w:r>
      <w:proofErr w:type="spellEnd"/>
      <w:r w:rsidRPr="0082713B">
        <w:rPr>
          <w:rFonts w:ascii="Palatino Linotype" w:hAnsi="Palatino Linotype" w:eastAsia="Palatino Linotype" w:cs="Times New Roman"/>
          <w:kern w:val="0"/>
          <w14:ligatures w14:val="none"/>
        </w:rPr>
        <w:t xml:space="preserve"> raised related concerns about SDG&amp;E's binary DAC/non-DAC classification, arguing it may obscure meaningful distinctions between communities and customer groups</w:t>
      </w:r>
      <w:r w:rsidR="002D0D69">
        <w:rPr>
          <w:rFonts w:ascii="Palatino Linotype" w:hAnsi="Palatino Linotype" w:eastAsia="Palatino Linotype" w:cs="Times New Roman"/>
          <w:kern w:val="0"/>
          <w14:ligatures w14:val="none"/>
        </w:rPr>
        <w:t>.</w:t>
      </w:r>
      <w:r w:rsidR="00E126BD">
        <w:rPr>
          <w:rStyle w:val="FootnoteReference"/>
          <w:rFonts w:ascii="Palatino Linotype" w:hAnsi="Palatino Linotype" w:eastAsia="Palatino Linotype" w:cs="Times New Roman"/>
          <w:kern w:val="0"/>
          <w14:ligatures w14:val="none"/>
        </w:rPr>
        <w:footnoteReference w:id="7"/>
      </w:r>
    </w:p>
    <w:p w:rsidR="000E7425" w:rsidP="000E7425" w:rsidRDefault="000E7425" w14:paraId="69CC8281" w14:textId="77777777">
      <w:pPr>
        <w:spacing w:before="240"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b/>
          <w:bCs/>
          <w:i/>
          <w:iCs/>
          <w:kern w:val="0"/>
          <w14:ligatures w14:val="none"/>
        </w:rPr>
        <w:lastRenderedPageBreak/>
        <w:t>Joint IOU Reply:</w:t>
      </w:r>
      <w:r w:rsidRPr="000E7425">
        <w:rPr>
          <w:rFonts w:ascii="Palatino Linotype" w:hAnsi="Palatino Linotype" w:eastAsia="Palatino Linotype" w:cs="Times New Roman"/>
          <w:kern w:val="0"/>
          <w14:ligatures w14:val="none"/>
        </w:rPr>
        <w:t xml:space="preserve"> The Joint Utilities responded that the SB 535 Priority Populations designation includes </w:t>
      </w:r>
      <w:proofErr w:type="spellStart"/>
      <w:r w:rsidRPr="000E7425">
        <w:rPr>
          <w:rFonts w:ascii="Palatino Linotype" w:hAnsi="Palatino Linotype" w:eastAsia="Palatino Linotype" w:cs="Times New Roman"/>
          <w:kern w:val="0"/>
          <w14:ligatures w14:val="none"/>
        </w:rPr>
        <w:t>CalEnviroScreen</w:t>
      </w:r>
      <w:proofErr w:type="spellEnd"/>
      <w:r w:rsidRPr="000E7425">
        <w:rPr>
          <w:rFonts w:ascii="Palatino Linotype" w:hAnsi="Palatino Linotype" w:eastAsia="Palatino Linotype" w:cs="Times New Roman"/>
          <w:kern w:val="0"/>
          <w14:ligatures w14:val="none"/>
        </w:rPr>
        <w:t xml:space="preserve"> 4.0 DACs, making a separate metric for each duplicative and inefficient, and that nowhere in D.24-10-030 has the Commission mandated specific data points to be tracked independently. The Decision contemplates the possibility that different equity metrics will ultimately be adopted, and nothing prohibits the Joint Utilities from using the five metrics as inputs into their proposed metrics rather than reporting each independently. The Joint Utilities further noted that for SDG&amp;E's </w:t>
      </w:r>
      <w:r w:rsidR="006003BB">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Project Initiation</w:t>
      </w:r>
      <w:r w:rsidR="006003BB">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 customer group data</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including CARE/FERA, Medical Baseline, Tribal, and Priority Populations</w:t>
      </w:r>
      <w:r w:rsidR="006316BC">
        <w:rPr>
          <w:rFonts w:ascii="Palatino Linotype" w:hAnsi="Palatino Linotype" w:eastAsia="Palatino Linotype" w:cs="Times New Roman"/>
          <w:kern w:val="0"/>
          <w14:ligatures w14:val="none"/>
        </w:rPr>
        <w:t xml:space="preserve"> customer</w:t>
      </w:r>
      <w:r w:rsidRPr="000E7425">
        <w:rPr>
          <w:rFonts w:ascii="Palatino Linotype" w:hAnsi="Palatino Linotype" w:eastAsia="Palatino Linotype" w:cs="Times New Roman"/>
          <w:kern w:val="0"/>
          <w14:ligatures w14:val="none"/>
        </w:rPr>
        <w:t xml:space="preserve"> counts</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will be provided at the circuit level for each DUPR-identified project</w:t>
      </w:r>
      <w:r w:rsidR="006E3AAE">
        <w:rPr>
          <w:rFonts w:ascii="Palatino Linotype" w:hAnsi="Palatino Linotype" w:eastAsia="Palatino Linotype" w:cs="Times New Roman"/>
          <w:kern w:val="0"/>
          <w14:ligatures w14:val="none"/>
        </w:rPr>
        <w:t>.</w:t>
      </w:r>
      <w:r w:rsidR="00C95EA7">
        <w:rPr>
          <w:rStyle w:val="FootnoteReference"/>
          <w:rFonts w:ascii="Palatino Linotype" w:hAnsi="Palatino Linotype" w:eastAsia="Palatino Linotype" w:cs="Times New Roman"/>
          <w:kern w:val="0"/>
          <w14:ligatures w14:val="none"/>
        </w:rPr>
        <w:footnoteReference w:id="8"/>
      </w:r>
    </w:p>
    <w:p w:rsidRPr="000E7425" w:rsidR="000E7425" w:rsidP="000E7425" w:rsidRDefault="000E7425" w14:paraId="65B79030" w14:textId="77777777">
      <w:pPr>
        <w:pStyle w:val="Heading2"/>
        <w:spacing w:after="0"/>
        <w:rPr>
          <w:rFonts w:eastAsia="Palatino Linotype"/>
        </w:rPr>
      </w:pPr>
      <w:r w:rsidRPr="000E7425">
        <w:rPr>
          <w:rFonts w:eastAsia="Palatino Linotype"/>
        </w:rPr>
        <w:t>Proposed Metrics and Methodology</w:t>
      </w:r>
    </w:p>
    <w:p w:rsidRPr="000E7425" w:rsidR="000E7425" w:rsidP="000B31D0" w:rsidRDefault="000E7425" w14:paraId="4E236EE8" w14:textId="77777777">
      <w:pPr>
        <w:pStyle w:val="Heading3"/>
        <w:spacing w:after="0"/>
        <w:rPr>
          <w:rFonts w:eastAsia="Palatino Linotype"/>
        </w:rPr>
      </w:pPr>
      <w:r w:rsidRPr="000E7425">
        <w:rPr>
          <w:rFonts w:eastAsia="Palatino Linotype"/>
        </w:rPr>
        <w:t>Regression Methodology and Cross-Group Comparability:</w:t>
      </w:r>
    </w:p>
    <w:p w:rsidRPr="000E7425" w:rsidR="000E7425" w:rsidP="000B31D0" w:rsidRDefault="000E7425" w14:paraId="4062A295" w14:textId="77777777">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The Joint CCAs argued that PG&amp;E/SCE's regression-based metrics are misleading and prone to misinterpretation. The Joint CCAs contended that the Commission intended the utilities to compare available capacity across different customer groups, but that the regression analysis instead evaluates whether the number of customers within a group correlates with available headroom or project initiation</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measuring equity within a group rather than between groups. The Joint CCAs further argued that PG&amp;E/SCE fail to report customer data as a percentage at the circuit level</w:t>
      </w:r>
      <w:r w:rsidR="00AE7E65">
        <w:rPr>
          <w:rFonts w:ascii="Palatino Linotype" w:hAnsi="Palatino Linotype" w:eastAsia="Palatino Linotype" w:cs="Times New Roman"/>
          <w:kern w:val="0"/>
          <w14:ligatures w14:val="none"/>
        </w:rPr>
        <w:t>.</w:t>
      </w:r>
      <w:r w:rsidR="007612AF">
        <w:rPr>
          <w:rStyle w:val="FootnoteReference"/>
          <w:rFonts w:ascii="Palatino Linotype" w:hAnsi="Palatino Linotype" w:eastAsia="Palatino Linotype" w:cs="Times New Roman"/>
          <w:kern w:val="0"/>
          <w14:ligatures w14:val="none"/>
        </w:rPr>
        <w:footnoteReference w:id="9"/>
      </w:r>
    </w:p>
    <w:p w:rsidRPr="000E7425" w:rsidR="000E7425" w:rsidP="000E7425" w:rsidRDefault="000E7425" w14:paraId="230401FA" w14:textId="77777777">
      <w:pPr>
        <w:spacing w:before="240" w:after="0" w:line="240" w:lineRule="auto"/>
        <w:rPr>
          <w:rFonts w:ascii="Palatino Linotype" w:hAnsi="Palatino Linotype" w:eastAsia="Palatino Linotype" w:cs="Times New Roman"/>
          <w:kern w:val="0"/>
          <w14:ligatures w14:val="none"/>
        </w:rPr>
      </w:pPr>
      <w:r w:rsidRPr="53F08BA3">
        <w:rPr>
          <w:rFonts w:ascii="Palatino Linotype" w:hAnsi="Palatino Linotype" w:eastAsia="Palatino Linotype" w:cs="Times New Roman"/>
          <w:b/>
          <w:bCs/>
          <w:i/>
          <w:iCs/>
          <w:kern w:val="0"/>
          <w14:ligatures w14:val="none"/>
        </w:rPr>
        <w:t>PG&amp;E/SCE Reply:</w:t>
      </w:r>
      <w:r w:rsidRPr="000E7425">
        <w:rPr>
          <w:rFonts w:ascii="Palatino Linotype" w:hAnsi="Palatino Linotype" w:eastAsia="Palatino Linotype" w:cs="Times New Roman"/>
          <w:kern w:val="0"/>
          <w14:ligatures w14:val="none"/>
        </w:rPr>
        <w:t xml:space="preserve"> PG&amp;E and SCE responded that the Joint CCAs mischaracterized the proposed metrics as consisting solely of regression models. The proposal also calculates available headroom for each circuit and identifies project initiation at the project level, with customer count data to be reported at the circuit level in the 2026-2027 GNA/DUPR filings. </w:t>
      </w:r>
      <w:r w:rsidRPr="000E7425" w:rsidR="318414A0">
        <w:rPr>
          <w:rFonts w:ascii="Palatino Linotype" w:hAnsi="Palatino Linotype" w:eastAsia="Palatino Linotype" w:cs="Times New Roman"/>
          <w:kern w:val="0"/>
          <w14:ligatures w14:val="none"/>
        </w:rPr>
        <w:t>PG&amp;E and SCE further respond that the</w:t>
      </w:r>
      <w:r w:rsidRPr="000E7425">
        <w:rPr>
          <w:rFonts w:ascii="Palatino Linotype" w:hAnsi="Palatino Linotype" w:eastAsia="Palatino Linotype" w:cs="Times New Roman"/>
          <w:kern w:val="0"/>
          <w14:ligatures w14:val="none"/>
        </w:rPr>
        <w:t xml:space="preserve"> regression analysis assesses whether the number of customers within each customer group correlates with headroom or project initiation, ensuring an objective and unbiased analysis that recognizes customer groups vary in size, behavior, and capacity needs</w:t>
      </w:r>
      <w:r w:rsidR="009E5431">
        <w:rPr>
          <w:rFonts w:ascii="Palatino Linotype" w:hAnsi="Palatino Linotype" w:eastAsia="Palatino Linotype" w:cs="Times New Roman"/>
          <w:kern w:val="0"/>
          <w14:ligatures w14:val="none"/>
        </w:rPr>
        <w:t>.</w:t>
      </w:r>
      <w:r w:rsidR="00A36FA8">
        <w:rPr>
          <w:rStyle w:val="FootnoteReference"/>
          <w:rFonts w:ascii="Palatino Linotype" w:hAnsi="Palatino Linotype" w:eastAsia="Palatino Linotype" w:cs="Times New Roman"/>
          <w:kern w:val="0"/>
          <w14:ligatures w14:val="none"/>
        </w:rPr>
        <w:footnoteReference w:id="10"/>
      </w:r>
    </w:p>
    <w:p w:rsidRPr="000E7425" w:rsidR="000E7425" w:rsidP="000B31D0" w:rsidRDefault="000E7425" w14:paraId="6BCC911C" w14:textId="77777777">
      <w:pPr>
        <w:pStyle w:val="Heading3"/>
        <w:spacing w:after="0"/>
        <w:rPr>
          <w:rFonts w:eastAsia="Palatino Linotype"/>
        </w:rPr>
      </w:pPr>
      <w:r w:rsidRPr="000E7425">
        <w:rPr>
          <w:rFonts w:eastAsia="Palatino Linotype"/>
        </w:rPr>
        <w:t xml:space="preserve">SDG&amp;E's </w:t>
      </w:r>
      <w:r w:rsidR="005D7028">
        <w:rPr>
          <w:rFonts w:eastAsia="Palatino Linotype"/>
        </w:rPr>
        <w:t>“</w:t>
      </w:r>
      <w:r w:rsidRPr="000E7425">
        <w:rPr>
          <w:rFonts w:eastAsia="Palatino Linotype"/>
        </w:rPr>
        <w:t>Load Growth</w:t>
      </w:r>
      <w:r w:rsidR="005D7028">
        <w:rPr>
          <w:rFonts w:eastAsia="Palatino Linotype"/>
        </w:rPr>
        <w:t>”</w:t>
      </w:r>
      <w:r w:rsidRPr="000E7425">
        <w:rPr>
          <w:rFonts w:eastAsia="Palatino Linotype"/>
        </w:rPr>
        <w:t xml:space="preserve"> Metric and IEPR Reliance:</w:t>
      </w:r>
    </w:p>
    <w:p w:rsidRPr="000E7425" w:rsidR="000E7425" w:rsidP="000B31D0" w:rsidRDefault="000E7425" w14:paraId="21E7CF57" w14:textId="77777777">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 xml:space="preserve">Vote Solar/CBD raised concerns about SDG&amp;E's </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Load Growth</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metric's reliance on the IEPR forecast, noting that the IEPR is based on historical data, does not optimize existing DER assets, and excludes organic growth</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which could cause issues in mitigating DER growth above forecasted adoption rates. Vote Solar/CBD recommended </w:t>
      </w:r>
      <w:r w:rsidRPr="000E7425">
        <w:rPr>
          <w:rFonts w:ascii="Palatino Linotype" w:hAnsi="Palatino Linotype" w:eastAsia="Palatino Linotype" w:cs="Times New Roman"/>
          <w:kern w:val="0"/>
          <w14:ligatures w14:val="none"/>
        </w:rPr>
        <w:lastRenderedPageBreak/>
        <w:t>SDG&amp;E consider the impact of strategically controlling existing solar and storage capacity to alleviate grid congestion</w:t>
      </w:r>
      <w:r w:rsidR="004F029F">
        <w:rPr>
          <w:rFonts w:ascii="Palatino Linotype" w:hAnsi="Palatino Linotype" w:eastAsia="Palatino Linotype" w:cs="Times New Roman"/>
          <w:kern w:val="0"/>
          <w14:ligatures w14:val="none"/>
        </w:rPr>
        <w:t>.</w:t>
      </w:r>
      <w:r w:rsidR="0053567B">
        <w:rPr>
          <w:rStyle w:val="FootnoteReference"/>
          <w:rFonts w:ascii="Palatino Linotype" w:hAnsi="Palatino Linotype" w:eastAsia="Palatino Linotype" w:cs="Times New Roman"/>
          <w:kern w:val="0"/>
          <w14:ligatures w14:val="none"/>
        </w:rPr>
        <w:footnoteReference w:id="11"/>
      </w:r>
    </w:p>
    <w:p w:rsidR="000E7425" w:rsidP="009A03B4" w:rsidRDefault="000E7425" w14:paraId="550A134C" w14:textId="77777777">
      <w:pPr>
        <w:spacing w:before="240" w:line="240" w:lineRule="auto"/>
        <w:rPr>
          <w:rFonts w:ascii="Palatino Linotype" w:hAnsi="Palatino Linotype" w:eastAsia="Palatino Linotype" w:cs="Times New Roman"/>
          <w:kern w:val="0"/>
          <w14:ligatures w14:val="none"/>
        </w:rPr>
      </w:pPr>
      <w:r w:rsidRPr="000B31D0">
        <w:rPr>
          <w:rFonts w:ascii="Palatino Linotype" w:hAnsi="Palatino Linotype" w:eastAsia="Palatino Linotype" w:cs="Times New Roman"/>
          <w:b/>
          <w:bCs/>
          <w:i/>
          <w:iCs/>
          <w:kern w:val="0"/>
          <w14:ligatures w14:val="none"/>
        </w:rPr>
        <w:t>SDG&amp;E Reply:</w:t>
      </w:r>
      <w:r w:rsidRPr="000E7425">
        <w:rPr>
          <w:rFonts w:ascii="Palatino Linotype" w:hAnsi="Palatino Linotype" w:eastAsia="Palatino Linotype" w:cs="Times New Roman"/>
          <w:kern w:val="0"/>
          <w14:ligatures w14:val="none"/>
        </w:rPr>
        <w:t xml:space="preserve"> SDG&amp;E responded that it is unclear how solar and storage capacity would be "controlled" as Vote Solar/CBD suggests, and assumed the recommendation refers to the long-term load management framework being considered in the High DER proceeding</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which has no immediate relevance to the equity metrics proposed. SDG&amp;E does not believe its </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Load Growth</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 needs to be modified in response</w:t>
      </w:r>
      <w:r w:rsidR="00EF0324">
        <w:rPr>
          <w:rFonts w:ascii="Palatino Linotype" w:hAnsi="Palatino Linotype" w:eastAsia="Palatino Linotype" w:cs="Times New Roman"/>
          <w:kern w:val="0"/>
          <w14:ligatures w14:val="none"/>
        </w:rPr>
        <w:t>.</w:t>
      </w:r>
      <w:r w:rsidR="00B85CBF">
        <w:rPr>
          <w:rStyle w:val="FootnoteReference"/>
          <w:rFonts w:ascii="Palatino Linotype" w:hAnsi="Palatino Linotype" w:eastAsia="Palatino Linotype" w:cs="Times New Roman"/>
          <w:kern w:val="0"/>
          <w14:ligatures w14:val="none"/>
        </w:rPr>
        <w:footnoteReference w:id="12"/>
      </w:r>
    </w:p>
    <w:p w:rsidRPr="009A03B4" w:rsidR="009A03B4" w:rsidP="009A03B4" w:rsidRDefault="009A03B4" w14:paraId="7E932A84" w14:textId="77777777">
      <w:pPr>
        <w:pStyle w:val="Heading2"/>
        <w:rPr>
          <w:rFonts w:eastAsia="Palatino Linotype"/>
        </w:rPr>
      </w:pPr>
      <w:r w:rsidRPr="009A03B4">
        <w:rPr>
          <w:rFonts w:eastAsia="Palatino Linotype"/>
        </w:rPr>
        <w:t>Definition of Equity in Distribution Planning</w:t>
      </w:r>
    </w:p>
    <w:p w:rsidRPr="009A03B4" w:rsidR="009A03B4" w:rsidP="009A03B4" w:rsidRDefault="009A03B4" w14:paraId="6ED2F6F9" w14:textId="77777777">
      <w:pPr>
        <w:pStyle w:val="Heading3"/>
        <w:spacing w:after="0"/>
        <w:rPr>
          <w:rFonts w:eastAsia="Palatino Linotype"/>
        </w:rPr>
      </w:pPr>
      <w:r w:rsidRPr="009A03B4">
        <w:rPr>
          <w:rFonts w:eastAsia="Palatino Linotype"/>
        </w:rPr>
        <w:t>Definition of Equitable Access and Timely Manner:</w:t>
      </w:r>
    </w:p>
    <w:p w:rsidRPr="009A03B4" w:rsidR="009A03B4" w:rsidP="009A03B4" w:rsidRDefault="009A03B4" w14:paraId="2E599363" w14:textId="77777777">
      <w:pPr>
        <w:spacing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kern w:val="0"/>
          <w14:ligatures w14:val="none"/>
        </w:rPr>
        <w:t>Vote Solar/CBD raised concerns about the Joint Utilities' interpretation of equity as "equitable access to distribution service for historically at-risk communities, based on income, geography, race, ethnicity, or health condition," drawn from Professor Duncan Callaway's presentation at the workshop. Vote Solar/CBD argued that equitable access requires prioritization where unequal access is present, and that the phrase "as the need arises" could be used to defer necessary grid investment. Vote Solar/CBD recommended the Commission establish a timeline to define "timely manner," particularly for circuits with lower headroom in low-income communities</w:t>
      </w:r>
      <w:r w:rsidR="004D614B">
        <w:rPr>
          <w:rFonts w:ascii="Palatino Linotype" w:hAnsi="Palatino Linotype" w:eastAsia="Palatino Linotype" w:cs="Times New Roman"/>
          <w:kern w:val="0"/>
          <w14:ligatures w14:val="none"/>
        </w:rPr>
        <w:t>.</w:t>
      </w:r>
      <w:r w:rsidR="00801CC7">
        <w:rPr>
          <w:rStyle w:val="FootnoteReference"/>
          <w:rFonts w:ascii="Palatino Linotype" w:hAnsi="Palatino Linotype" w:eastAsia="Palatino Linotype" w:cs="Times New Roman"/>
          <w:kern w:val="0"/>
          <w14:ligatures w14:val="none"/>
        </w:rPr>
        <w:footnoteReference w:id="13"/>
      </w:r>
    </w:p>
    <w:p w:rsidRPr="009A03B4" w:rsidR="009A03B4" w:rsidP="009A03B4" w:rsidRDefault="009A03B4" w14:paraId="3D780A37" w14:textId="77777777">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t>PG&amp;E/SCE Reply:</w:t>
      </w:r>
      <w:r w:rsidRPr="009A03B4">
        <w:rPr>
          <w:rFonts w:ascii="Palatino Linotype" w:hAnsi="Palatino Linotype" w:eastAsia="Palatino Linotype" w:cs="Times New Roman"/>
          <w:kern w:val="0"/>
          <w14:ligatures w14:val="none"/>
        </w:rPr>
        <w:t xml:space="preserve"> PG&amp;E and SCE responded that Vote Solar/CBD's view that the need for capacity already exists across California is not a consensus position and has not been substantiated with data across customer groups. PG&amp;E and SCE further noted that the Energization proceeding (R.24-01-018) is already considering timelines, making a separate definition of "timely manner" </w:t>
      </w:r>
      <w:proofErr w:type="gramStart"/>
      <w:r w:rsidRPr="009A03B4">
        <w:rPr>
          <w:rFonts w:ascii="Palatino Linotype" w:hAnsi="Palatino Linotype" w:eastAsia="Palatino Linotype" w:cs="Times New Roman"/>
          <w:kern w:val="0"/>
          <w14:ligatures w14:val="none"/>
        </w:rPr>
        <w:t>in this proceeding redundant</w:t>
      </w:r>
      <w:proofErr w:type="gramEnd"/>
      <w:r w:rsidRPr="009A03B4">
        <w:rPr>
          <w:rFonts w:ascii="Palatino Linotype" w:hAnsi="Palatino Linotype" w:eastAsia="Palatino Linotype" w:cs="Times New Roman"/>
          <w:kern w:val="0"/>
          <w14:ligatures w14:val="none"/>
        </w:rPr>
        <w:t xml:space="preserve">, and that a universal headroom threshold trigger would likely generate unnecessary projects and </w:t>
      </w:r>
      <w:r w:rsidR="009C6188">
        <w:rPr>
          <w:rFonts w:ascii="Palatino Linotype" w:hAnsi="Palatino Linotype" w:eastAsia="Palatino Linotype" w:cs="Times New Roman"/>
          <w:kern w:val="0"/>
          <w14:ligatures w14:val="none"/>
        </w:rPr>
        <w:t xml:space="preserve">be an </w:t>
      </w:r>
      <w:r w:rsidRPr="009A03B4">
        <w:rPr>
          <w:rFonts w:ascii="Palatino Linotype" w:hAnsi="Palatino Linotype" w:eastAsia="Palatino Linotype" w:cs="Times New Roman"/>
          <w:kern w:val="0"/>
          <w14:ligatures w14:val="none"/>
        </w:rPr>
        <w:t>inefficient use of ratepayer funds</w:t>
      </w:r>
      <w:r w:rsidR="009C6188">
        <w:rPr>
          <w:rFonts w:ascii="Palatino Linotype" w:hAnsi="Palatino Linotype" w:eastAsia="Palatino Linotype" w:cs="Times New Roman"/>
          <w:kern w:val="0"/>
          <w14:ligatures w14:val="none"/>
        </w:rPr>
        <w:t>.</w:t>
      </w:r>
      <w:r w:rsidR="00C31B55">
        <w:rPr>
          <w:rStyle w:val="FootnoteReference"/>
          <w:rFonts w:ascii="Palatino Linotype" w:hAnsi="Palatino Linotype" w:eastAsia="Palatino Linotype" w:cs="Times New Roman"/>
          <w:kern w:val="0"/>
          <w14:ligatures w14:val="none"/>
        </w:rPr>
        <w:footnoteReference w:id="14"/>
      </w:r>
    </w:p>
    <w:p w:rsidRPr="009A03B4" w:rsidR="009A03B4" w:rsidP="009A03B4" w:rsidRDefault="009A03B4" w14:paraId="412CC43C" w14:textId="77777777">
      <w:pPr>
        <w:pStyle w:val="Heading3"/>
        <w:spacing w:after="0"/>
        <w:rPr>
          <w:rFonts w:eastAsia="Palatino Linotype"/>
        </w:rPr>
      </w:pPr>
      <w:r w:rsidRPr="009A03B4">
        <w:rPr>
          <w:rFonts w:eastAsia="Palatino Linotype"/>
        </w:rPr>
        <w:t>DAC Map Layer in ICA and GRIP Maps:</w:t>
      </w:r>
    </w:p>
    <w:p w:rsidRPr="009A03B4" w:rsidR="009A03B4" w:rsidP="009A03B4" w:rsidRDefault="009A03B4" w14:paraId="6D710CFB" w14:textId="77777777">
      <w:pPr>
        <w:spacing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kern w:val="0"/>
          <w14:ligatures w14:val="none"/>
        </w:rPr>
        <w:t xml:space="preserve">Vote Solar/CBD recommended that the IOUs take immediate action to incorporate the </w:t>
      </w:r>
      <w:proofErr w:type="spellStart"/>
      <w:r w:rsidRPr="009A03B4">
        <w:rPr>
          <w:rFonts w:ascii="Palatino Linotype" w:hAnsi="Palatino Linotype" w:eastAsia="Palatino Linotype" w:cs="Times New Roman"/>
          <w:kern w:val="0"/>
          <w14:ligatures w14:val="none"/>
        </w:rPr>
        <w:t>CalEnviroScreen</w:t>
      </w:r>
      <w:proofErr w:type="spellEnd"/>
      <w:r w:rsidRPr="009A03B4">
        <w:rPr>
          <w:rFonts w:ascii="Palatino Linotype" w:hAnsi="Palatino Linotype" w:eastAsia="Palatino Linotype" w:cs="Times New Roman"/>
          <w:kern w:val="0"/>
          <w14:ligatures w14:val="none"/>
        </w:rPr>
        <w:t xml:space="preserve"> 4.0 Disadvantaged Community map as a layer in the ICA maps and the Grid Resource Integration Portal (GRIP) map, arguing this would enable real-time identification of planning gaps on DAC circuits more effectively than querying the DUPR annually</w:t>
      </w:r>
      <w:r w:rsidR="000E15DE">
        <w:rPr>
          <w:rFonts w:ascii="Palatino Linotype" w:hAnsi="Palatino Linotype" w:eastAsia="Palatino Linotype" w:cs="Times New Roman"/>
          <w:kern w:val="0"/>
          <w14:ligatures w14:val="none"/>
        </w:rPr>
        <w:t>.</w:t>
      </w:r>
      <w:r w:rsidR="0069741C">
        <w:rPr>
          <w:rStyle w:val="FootnoteReference"/>
          <w:rFonts w:ascii="Palatino Linotype" w:hAnsi="Palatino Linotype" w:eastAsia="Palatino Linotype" w:cs="Times New Roman"/>
          <w:kern w:val="0"/>
          <w14:ligatures w14:val="none"/>
        </w:rPr>
        <w:footnoteReference w:id="15"/>
      </w:r>
    </w:p>
    <w:p w:rsidRPr="009A03B4" w:rsidR="009A03B4" w:rsidP="009A03B4" w:rsidRDefault="009A03B4" w14:paraId="250BFB90" w14:textId="77777777">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lastRenderedPageBreak/>
        <w:t>SCE Reply:</w:t>
      </w:r>
      <w:r w:rsidRPr="009A03B4">
        <w:rPr>
          <w:rFonts w:ascii="Palatino Linotype" w:hAnsi="Palatino Linotype" w:eastAsia="Palatino Linotype" w:cs="Times New Roman"/>
          <w:kern w:val="0"/>
          <w14:ligatures w14:val="none"/>
        </w:rPr>
        <w:t xml:space="preserve"> SCE noted that several needs must be assessed before integrating the map layer, including determining the exact data to be extracted, confirming whether the data is open-sourced, establishing documentation and user guides, and determining </w:t>
      </w:r>
      <w:proofErr w:type="gramStart"/>
      <w:r w:rsidRPr="009A03B4">
        <w:rPr>
          <w:rFonts w:ascii="Palatino Linotype" w:hAnsi="Palatino Linotype" w:eastAsia="Palatino Linotype" w:cs="Times New Roman"/>
          <w:kern w:val="0"/>
          <w14:ligatures w14:val="none"/>
        </w:rPr>
        <w:t>a data</w:t>
      </w:r>
      <w:proofErr w:type="gramEnd"/>
      <w:r w:rsidRPr="009A03B4">
        <w:rPr>
          <w:rFonts w:ascii="Palatino Linotype" w:hAnsi="Palatino Linotype" w:eastAsia="Palatino Linotype" w:cs="Times New Roman"/>
          <w:kern w:val="0"/>
          <w14:ligatures w14:val="none"/>
        </w:rPr>
        <w:t xml:space="preserve"> </w:t>
      </w:r>
      <w:proofErr w:type="gramStart"/>
      <w:r w:rsidRPr="009A03B4">
        <w:rPr>
          <w:rFonts w:ascii="Palatino Linotype" w:hAnsi="Palatino Linotype" w:eastAsia="Palatino Linotype" w:cs="Times New Roman"/>
          <w:kern w:val="0"/>
          <w14:ligatures w14:val="none"/>
        </w:rPr>
        <w:t>refresh</w:t>
      </w:r>
      <w:proofErr w:type="gramEnd"/>
      <w:r w:rsidRPr="009A03B4">
        <w:rPr>
          <w:rFonts w:ascii="Palatino Linotype" w:hAnsi="Palatino Linotype" w:eastAsia="Palatino Linotype" w:cs="Times New Roman"/>
          <w:kern w:val="0"/>
          <w14:ligatures w14:val="none"/>
        </w:rPr>
        <w:t xml:space="preserve"> cadence</w:t>
      </w:r>
      <w:r w:rsidR="000E15DE">
        <w:rPr>
          <w:rFonts w:ascii="Palatino Linotype" w:hAnsi="Palatino Linotype" w:eastAsia="Palatino Linotype" w:cs="Times New Roman"/>
          <w:kern w:val="0"/>
          <w14:ligatures w14:val="none"/>
        </w:rPr>
        <w:t>.</w:t>
      </w:r>
      <w:r w:rsidR="006D2730">
        <w:rPr>
          <w:rStyle w:val="FootnoteReference"/>
          <w:rFonts w:ascii="Palatino Linotype" w:hAnsi="Palatino Linotype" w:eastAsia="Palatino Linotype" w:cs="Times New Roman"/>
          <w:kern w:val="0"/>
          <w14:ligatures w14:val="none"/>
        </w:rPr>
        <w:footnoteReference w:id="16"/>
      </w:r>
    </w:p>
    <w:p w:rsidRPr="009A03B4" w:rsidR="009A03B4" w:rsidP="009A03B4" w:rsidRDefault="009A03B4" w14:paraId="57BE78E3" w14:textId="77777777">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t>PG&amp;E</w:t>
      </w:r>
      <w:r w:rsidR="00E16BD0">
        <w:rPr>
          <w:rFonts w:ascii="Palatino Linotype" w:hAnsi="Palatino Linotype" w:eastAsia="Palatino Linotype" w:cs="Times New Roman"/>
          <w:b/>
          <w:bCs/>
          <w:i/>
          <w:iCs/>
          <w:kern w:val="0"/>
          <w14:ligatures w14:val="none"/>
        </w:rPr>
        <w:t>/SCE</w:t>
      </w:r>
      <w:r w:rsidRPr="009A03B4">
        <w:rPr>
          <w:rFonts w:ascii="Palatino Linotype" w:hAnsi="Palatino Linotype" w:eastAsia="Palatino Linotype" w:cs="Times New Roman"/>
          <w:b/>
          <w:bCs/>
          <w:i/>
          <w:iCs/>
          <w:kern w:val="0"/>
          <w14:ligatures w14:val="none"/>
        </w:rPr>
        <w:t xml:space="preserve"> Reply:</w:t>
      </w:r>
      <w:r w:rsidRPr="009A03B4">
        <w:rPr>
          <w:rFonts w:ascii="Palatino Linotype" w:hAnsi="Palatino Linotype" w:eastAsia="Palatino Linotype" w:cs="Times New Roman"/>
          <w:kern w:val="0"/>
          <w14:ligatures w14:val="none"/>
        </w:rPr>
        <w:t xml:space="preserve"> PG&amp;E indicated it plans to incorporate a DAC layer in its ICA and GRIP maps in the near </w:t>
      </w:r>
      <w:r w:rsidRPr="009A03B4" w:rsidR="00F571D8">
        <w:rPr>
          <w:rFonts w:ascii="Palatino Linotype" w:hAnsi="Palatino Linotype" w:eastAsia="Palatino Linotype" w:cs="Times New Roman"/>
          <w:kern w:val="0"/>
          <w14:ligatures w14:val="none"/>
        </w:rPr>
        <w:t>term but</w:t>
      </w:r>
      <w:r w:rsidRPr="009A03B4">
        <w:rPr>
          <w:rFonts w:ascii="Palatino Linotype" w:hAnsi="Palatino Linotype" w:eastAsia="Palatino Linotype" w:cs="Times New Roman"/>
          <w:kern w:val="0"/>
          <w14:ligatures w14:val="none"/>
        </w:rPr>
        <w:t xml:space="preserve"> noted that ICA implementation and equity metrics implementation in the 2026-2027 DPP cycle are independent. PG&amp;E and SCE stated that once clear direction is provided on the specific data to be incorporated, they will consider whether this integration is feasible for their external portals</w:t>
      </w:r>
      <w:r w:rsidR="00010493">
        <w:rPr>
          <w:rFonts w:ascii="Palatino Linotype" w:hAnsi="Palatino Linotype" w:eastAsia="Palatino Linotype" w:cs="Times New Roman"/>
          <w:kern w:val="0"/>
          <w14:ligatures w14:val="none"/>
        </w:rPr>
        <w:t>.</w:t>
      </w:r>
      <w:r w:rsidR="00353ACA">
        <w:rPr>
          <w:rStyle w:val="FootnoteReference"/>
          <w:rFonts w:ascii="Palatino Linotype" w:hAnsi="Palatino Linotype" w:eastAsia="Palatino Linotype" w:cs="Times New Roman"/>
          <w:kern w:val="0"/>
          <w14:ligatures w14:val="none"/>
        </w:rPr>
        <w:footnoteReference w:id="17"/>
      </w:r>
    </w:p>
    <w:p w:rsidRPr="009A03B4" w:rsidR="009A03B4" w:rsidP="00CD0DB8" w:rsidRDefault="009A03B4" w14:paraId="4130716F" w14:textId="77777777">
      <w:pPr>
        <w:pStyle w:val="Heading3"/>
        <w:spacing w:after="0"/>
        <w:rPr>
          <w:rFonts w:eastAsia="Palatino Linotype"/>
        </w:rPr>
      </w:pPr>
      <w:r w:rsidRPr="009A03B4">
        <w:rPr>
          <w:rFonts w:eastAsia="Palatino Linotype"/>
        </w:rPr>
        <w:t>Medical Baseline Customer Group Scope:</w:t>
      </w:r>
    </w:p>
    <w:p w:rsidRPr="009A03B4" w:rsidR="009A03B4" w:rsidP="00CD0DB8" w:rsidRDefault="009A03B4" w14:paraId="7A7C8869" w14:textId="77777777">
      <w:pPr>
        <w:spacing w:after="0" w:line="240" w:lineRule="auto"/>
        <w:rPr>
          <w:rFonts w:ascii="Palatino Linotype" w:hAnsi="Palatino Linotype" w:eastAsia="Palatino Linotype" w:cs="Times New Roman"/>
          <w:kern w:val="0"/>
          <w14:ligatures w14:val="none"/>
        </w:rPr>
      </w:pPr>
      <w:proofErr w:type="spellStart"/>
      <w:r w:rsidRPr="009A03B4">
        <w:rPr>
          <w:rFonts w:ascii="Palatino Linotype" w:hAnsi="Palatino Linotype" w:eastAsia="Palatino Linotype" w:cs="Times New Roman"/>
          <w:kern w:val="0"/>
          <w14:ligatures w14:val="none"/>
        </w:rPr>
        <w:t>CforAT</w:t>
      </w:r>
      <w:proofErr w:type="spellEnd"/>
      <w:r w:rsidRPr="009A03B4">
        <w:rPr>
          <w:rFonts w:ascii="Palatino Linotype" w:hAnsi="Palatino Linotype" w:eastAsia="Palatino Linotype" w:cs="Times New Roman"/>
          <w:kern w:val="0"/>
          <w14:ligatures w14:val="none"/>
        </w:rPr>
        <w:t xml:space="preserve"> requested that the IOUs confirm that the Medical Baseline customer group includes customers receiving a medical discount if enrolled in an opt-in un</w:t>
      </w:r>
      <w:r w:rsidR="00712FD7">
        <w:rPr>
          <w:rFonts w:ascii="Palatino Linotype" w:hAnsi="Palatino Linotype" w:eastAsia="Palatino Linotype" w:cs="Times New Roman"/>
          <w:kern w:val="0"/>
          <w14:ligatures w14:val="none"/>
        </w:rPr>
        <w:t>-</w:t>
      </w:r>
      <w:r w:rsidRPr="009A03B4">
        <w:rPr>
          <w:rFonts w:ascii="Palatino Linotype" w:hAnsi="Palatino Linotype" w:eastAsia="Palatino Linotype" w:cs="Times New Roman"/>
          <w:kern w:val="0"/>
          <w14:ligatures w14:val="none"/>
        </w:rPr>
        <w:t>tiered rate, as explicitly required by OP 25</w:t>
      </w:r>
      <w:r w:rsidR="00712FD7">
        <w:rPr>
          <w:rFonts w:ascii="Palatino Linotype" w:hAnsi="Palatino Linotype" w:eastAsia="Palatino Linotype" w:cs="Times New Roman"/>
          <w:kern w:val="0"/>
          <w14:ligatures w14:val="none"/>
        </w:rPr>
        <w:t>.</w:t>
      </w:r>
      <w:r w:rsidR="00CD14F3">
        <w:rPr>
          <w:rStyle w:val="FootnoteReference"/>
          <w:rFonts w:ascii="Palatino Linotype" w:hAnsi="Palatino Linotype" w:eastAsia="Palatino Linotype" w:cs="Times New Roman"/>
          <w:kern w:val="0"/>
          <w14:ligatures w14:val="none"/>
        </w:rPr>
        <w:footnoteReference w:id="18"/>
      </w:r>
    </w:p>
    <w:p w:rsidR="009A03B4" w:rsidP="009A03B4" w:rsidRDefault="009A03B4" w14:paraId="168A233A" w14:textId="77777777">
      <w:pPr>
        <w:spacing w:before="240" w:after="0" w:line="240" w:lineRule="auto"/>
        <w:rPr>
          <w:rFonts w:ascii="Palatino Linotype" w:hAnsi="Palatino Linotype" w:eastAsia="Palatino Linotype" w:cs="Times New Roman"/>
          <w:kern w:val="0"/>
          <w14:ligatures w14:val="none"/>
        </w:rPr>
      </w:pPr>
      <w:r w:rsidRPr="00CD0DB8">
        <w:rPr>
          <w:rFonts w:ascii="Palatino Linotype" w:hAnsi="Palatino Linotype" w:eastAsia="Palatino Linotype" w:cs="Times New Roman"/>
          <w:b/>
          <w:bCs/>
          <w:i/>
          <w:iCs/>
          <w:kern w:val="0"/>
          <w14:ligatures w14:val="none"/>
        </w:rPr>
        <w:t>Joint IOU Reply:</w:t>
      </w:r>
      <w:r w:rsidRPr="009A03B4">
        <w:rPr>
          <w:rFonts w:ascii="Palatino Linotype" w:hAnsi="Palatino Linotype" w:eastAsia="Palatino Linotype" w:cs="Times New Roman"/>
          <w:kern w:val="0"/>
          <w14:ligatures w14:val="none"/>
        </w:rPr>
        <w:t xml:space="preserve"> SDG&amp;E, PG&amp;E, and SCE confirmed that the Medical Baseline group will consist of customers enrolled in the Medical Baseline Program, including those receiving either a discount or an additional baseline allotment, depending on the IOU</w:t>
      </w:r>
      <w:r w:rsidR="00305CF6">
        <w:rPr>
          <w:rFonts w:ascii="Palatino Linotype" w:hAnsi="Palatino Linotype" w:eastAsia="Palatino Linotype" w:cs="Times New Roman"/>
          <w:kern w:val="0"/>
          <w14:ligatures w14:val="none"/>
        </w:rPr>
        <w:t>.</w:t>
      </w:r>
      <w:r w:rsidR="00DA47B1">
        <w:rPr>
          <w:rStyle w:val="FootnoteReference"/>
          <w:rFonts w:ascii="Palatino Linotype" w:hAnsi="Palatino Linotype" w:eastAsia="Palatino Linotype" w:cs="Times New Roman"/>
          <w:kern w:val="0"/>
          <w14:ligatures w14:val="none"/>
        </w:rPr>
        <w:footnoteReference w:id="19"/>
      </w:r>
    </w:p>
    <w:p w:rsidR="001653FA" w:rsidP="001653FA" w:rsidRDefault="001653FA" w14:paraId="4C761DF1" w14:textId="77777777">
      <w:pPr>
        <w:spacing w:after="0" w:line="240" w:lineRule="auto"/>
        <w:rPr>
          <w:rFonts w:ascii="Palatino Linotype" w:hAnsi="Palatino Linotype" w:eastAsia="Palatino Linotype" w:cs="Times New Roman"/>
          <w:kern w:val="0"/>
          <w14:ligatures w14:val="none"/>
        </w:rPr>
      </w:pPr>
    </w:p>
    <w:p w:rsidRPr="001942D0" w:rsidR="00A76F4A" w:rsidP="10A63D6A" w:rsidRDefault="00A76F4A" w14:paraId="6A679764" w14:textId="41C99570">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10A63D6A">
        <w:rPr>
          <w:rFonts w:ascii="Palatino Linotype" w:hAnsi="Palatino Linotype" w:eastAsia="Palatino Linotype" w:cs="Times New Roman"/>
          <w:b/>
          <w:bCs/>
          <w:caps/>
          <w:kern w:val="28"/>
          <w:u w:val="single"/>
          <w14:ligatures w14:val="none"/>
        </w:rPr>
        <w:t>Discussion</w:t>
      </w:r>
      <w:r w:rsidRPr="10A63D6A" w:rsidR="64CC7009">
        <w:rPr>
          <w:rFonts w:ascii="Palatino Linotype" w:hAnsi="Palatino Linotype" w:eastAsia="Palatino Linotype" w:cs="Times New Roman"/>
          <w:b/>
          <w:bCs/>
          <w:caps/>
          <w:u w:val="single"/>
        </w:rPr>
        <w:t xml:space="preserve"> OF PROTESTS AND REPLIES</w:t>
      </w:r>
    </w:p>
    <w:p w:rsidR="009A4513" w:rsidP="00A76F4A" w:rsidRDefault="009A4513" w14:paraId="2327C64D" w14:textId="73F2DAD2">
      <w:pPr>
        <w:spacing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t xml:space="preserve">The Commission has reviewed AL 5498-E et al., the protests, and the replies, and </w:t>
      </w:r>
      <w:r w:rsidRPr="10A63D6A" w:rsidR="058FD0EB">
        <w:rPr>
          <w:rFonts w:ascii="Palatino Linotype" w:hAnsi="Palatino Linotype" w:eastAsia="Palatino Linotype" w:cs="Times New Roman"/>
        </w:rPr>
        <w:t>directs the following</w:t>
      </w:r>
      <w:r w:rsidRPr="10A63D6A">
        <w:rPr>
          <w:rFonts w:ascii="Palatino Linotype" w:hAnsi="Palatino Linotype" w:eastAsia="Palatino Linotype" w:cs="Times New Roman"/>
        </w:rPr>
        <w:t xml:space="preserve"> modifications as described below. For clarity, </w:t>
      </w:r>
      <w:r w:rsidRPr="10A63D6A" w:rsidR="003C2E9D">
        <w:rPr>
          <w:rFonts w:ascii="Palatino Linotype" w:hAnsi="Palatino Linotype" w:eastAsia="Palatino Linotype" w:cs="Times New Roman"/>
        </w:rPr>
        <w:t xml:space="preserve">this </w:t>
      </w:r>
      <w:r w:rsidRPr="10A63D6A" w:rsidR="00660446">
        <w:rPr>
          <w:rFonts w:ascii="Palatino Linotype" w:hAnsi="Palatino Linotype" w:eastAsia="Palatino Linotype" w:cs="Times New Roman"/>
        </w:rPr>
        <w:t>Discussion</w:t>
      </w:r>
      <w:r w:rsidRPr="10A63D6A" w:rsidR="003C2E9D">
        <w:rPr>
          <w:rFonts w:ascii="Palatino Linotype" w:hAnsi="Palatino Linotype" w:eastAsia="Palatino Linotype" w:cs="Times New Roman"/>
        </w:rPr>
        <w:t xml:space="preserve"> section begins with</w:t>
      </w:r>
      <w:r w:rsidRPr="10A63D6A">
        <w:rPr>
          <w:rFonts w:ascii="Palatino Linotype" w:hAnsi="Palatino Linotype" w:eastAsia="Palatino Linotype" w:cs="Times New Roman"/>
        </w:rPr>
        <w:t xml:space="preserve"> an overview, </w:t>
      </w:r>
      <w:r w:rsidRPr="10A63D6A" w:rsidR="00F87002">
        <w:rPr>
          <w:rFonts w:ascii="Palatino Linotype" w:hAnsi="Palatino Linotype" w:eastAsia="Palatino Linotype" w:cs="Times New Roman"/>
        </w:rPr>
        <w:t xml:space="preserve">followed by </w:t>
      </w:r>
      <w:r w:rsidRPr="10A63D6A" w:rsidR="00BD7088">
        <w:rPr>
          <w:rFonts w:ascii="Palatino Linotype" w:hAnsi="Palatino Linotype" w:eastAsia="Palatino Linotype" w:cs="Times New Roman"/>
        </w:rPr>
        <w:t xml:space="preserve">a </w:t>
      </w:r>
      <w:r w:rsidRPr="10A63D6A" w:rsidR="00C95B86">
        <w:rPr>
          <w:rFonts w:ascii="Palatino Linotype" w:hAnsi="Palatino Linotype" w:eastAsia="Palatino Linotype" w:cs="Times New Roman"/>
        </w:rPr>
        <w:t xml:space="preserve">point-by-point response to the issues raised in the </w:t>
      </w:r>
      <w:r w:rsidRPr="10A63D6A">
        <w:rPr>
          <w:rFonts w:ascii="Palatino Linotype" w:hAnsi="Palatino Linotype" w:eastAsia="Palatino Linotype" w:cs="Times New Roman"/>
        </w:rPr>
        <w:t>Protests section.</w:t>
      </w:r>
    </w:p>
    <w:p w:rsidRPr="009A4513" w:rsidR="009A4513" w:rsidP="00B01D5C" w:rsidRDefault="009A4513" w14:paraId="47EF2BD3" w14:textId="77777777">
      <w:pPr>
        <w:pStyle w:val="Heading2"/>
        <w:numPr>
          <w:ilvl w:val="0"/>
          <w:numId w:val="12"/>
        </w:numPr>
        <w:spacing w:before="360" w:after="0"/>
        <w:rPr>
          <w:rFonts w:eastAsia="Palatino Linotype"/>
        </w:rPr>
      </w:pPr>
      <w:r w:rsidRPr="009A4513">
        <w:rPr>
          <w:rFonts w:eastAsia="Palatino Linotype"/>
        </w:rPr>
        <w:t>Overview</w:t>
      </w:r>
    </w:p>
    <w:p w:rsidRPr="009A4513" w:rsidR="009A4513" w:rsidP="00F97799" w:rsidRDefault="009A4513" w14:paraId="3D710BCE" w14:textId="2EBADA59">
      <w:pPr>
        <w:spacing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t xml:space="preserve">The Commission has considered the proposals of the Joint Utilities and the protests of Vote Solar/CBD, the Joint CCAs, and </w:t>
      </w:r>
      <w:proofErr w:type="spellStart"/>
      <w:r w:rsidRPr="009A4513">
        <w:rPr>
          <w:rFonts w:ascii="Palatino Linotype" w:hAnsi="Palatino Linotype" w:eastAsia="Palatino Linotype" w:cs="Times New Roman"/>
          <w:kern w:val="0"/>
          <w14:ligatures w14:val="none"/>
        </w:rPr>
        <w:t>CforAT</w:t>
      </w:r>
      <w:proofErr w:type="spellEnd"/>
      <w:r w:rsidRPr="009A4513">
        <w:rPr>
          <w:rFonts w:ascii="Palatino Linotype" w:hAnsi="Palatino Linotype" w:eastAsia="Palatino Linotype" w:cs="Times New Roman"/>
          <w:kern w:val="0"/>
          <w14:ligatures w14:val="none"/>
        </w:rPr>
        <w:t xml:space="preserve">, and finds that the Joint Utilities' proposed metrics, while responsive to OP 25 of D.24-10-030, require modifications to ensure cross-utility comparability, analytical rigor, and alignment with the Commission's </w:t>
      </w:r>
      <w:r w:rsidR="009C67AB">
        <w:rPr>
          <w:rFonts w:ascii="Palatino Linotype" w:hAnsi="Palatino Linotype" w:eastAsia="Palatino Linotype" w:cs="Times New Roman"/>
          <w:kern w:val="0"/>
          <w14:ligatures w14:val="none"/>
        </w:rPr>
        <w:t xml:space="preserve">requirement </w:t>
      </w:r>
      <w:r w:rsidR="006C2C73">
        <w:rPr>
          <w:rFonts w:ascii="Palatino Linotype" w:hAnsi="Palatino Linotype" w:eastAsia="Palatino Linotype" w:cs="Times New Roman"/>
          <w:kern w:val="0"/>
          <w14:ligatures w14:val="none"/>
        </w:rPr>
        <w:t xml:space="preserve">for annual evaluation of </w:t>
      </w:r>
      <w:r w:rsidRPr="009A4513">
        <w:rPr>
          <w:rFonts w:ascii="Palatino Linotype" w:hAnsi="Palatino Linotype" w:eastAsia="Palatino Linotype" w:cs="Times New Roman"/>
          <w:kern w:val="0"/>
          <w14:ligatures w14:val="none"/>
        </w:rPr>
        <w:t>equity in distribution planning</w:t>
      </w:r>
      <w:r w:rsidR="00EA27B0">
        <w:rPr>
          <w:rFonts w:ascii="Palatino Linotype" w:hAnsi="Palatino Linotype" w:eastAsia="Palatino Linotype" w:cs="Times New Roman"/>
          <w:kern w:val="0"/>
          <w14:ligatures w14:val="none"/>
        </w:rPr>
        <w:t xml:space="preserve"> as directed </w:t>
      </w:r>
      <w:r w:rsidR="006A0975">
        <w:rPr>
          <w:rFonts w:ascii="Palatino Linotype" w:hAnsi="Palatino Linotype" w:eastAsia="Palatino Linotype" w:cs="Times New Roman"/>
          <w:kern w:val="0"/>
          <w14:ligatures w14:val="none"/>
        </w:rPr>
        <w:t xml:space="preserve">in </w:t>
      </w:r>
      <w:r w:rsidR="0056609A">
        <w:rPr>
          <w:rFonts w:ascii="Palatino Linotype" w:hAnsi="Palatino Linotype" w:eastAsia="Palatino Linotype" w:cs="Times New Roman"/>
          <w:kern w:val="0"/>
          <w14:ligatures w14:val="none"/>
        </w:rPr>
        <w:br/>
      </w:r>
      <w:r w:rsidR="006A0975">
        <w:rPr>
          <w:rFonts w:ascii="Palatino Linotype" w:hAnsi="Palatino Linotype" w:eastAsia="Palatino Linotype" w:cs="Times New Roman"/>
          <w:kern w:val="0"/>
          <w14:ligatures w14:val="none"/>
        </w:rPr>
        <w:t>OP 25 of D.24-10-030</w:t>
      </w:r>
      <w:r w:rsidRPr="009A4513">
        <w:rPr>
          <w:rFonts w:ascii="Palatino Linotype" w:hAnsi="Palatino Linotype" w:eastAsia="Palatino Linotype" w:cs="Times New Roman"/>
          <w:kern w:val="0"/>
          <w14:ligatures w14:val="none"/>
        </w:rPr>
        <w:t>.</w:t>
      </w:r>
    </w:p>
    <w:p w:rsidRPr="009A4513" w:rsidR="009A4513" w:rsidP="009A4513" w:rsidRDefault="009A4513" w14:paraId="34DEA29F" w14:textId="77777777">
      <w:pPr>
        <w:spacing w:before="240"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lastRenderedPageBreak/>
        <w:t xml:space="preserve">The Commission finds that the five equity-priority metrics identified in OP 25 of </w:t>
      </w:r>
      <w:r w:rsidR="005E2F86">
        <w:rPr>
          <w:rFonts w:ascii="Palatino Linotype" w:hAnsi="Palatino Linotype" w:eastAsia="Palatino Linotype" w:cs="Times New Roman"/>
          <w:kern w:val="0"/>
          <w14:ligatures w14:val="none"/>
        </w:rPr>
        <w:br/>
      </w:r>
      <w:r w:rsidRPr="009A4513">
        <w:rPr>
          <w:rFonts w:ascii="Palatino Linotype" w:hAnsi="Palatino Linotype" w:eastAsia="Palatino Linotype" w:cs="Times New Roman"/>
          <w:kern w:val="0"/>
          <w14:ligatures w14:val="none"/>
        </w:rPr>
        <w:t>D.24-10-030</w:t>
      </w:r>
      <w:r w:rsidR="00C61596">
        <w:rPr>
          <w:rFonts w:ascii="Palatino Linotype" w:hAnsi="Palatino Linotype" w:eastAsia="Palatino Linotype" w:cs="Times New Roman"/>
          <w:kern w:val="0"/>
          <w14:ligatures w14:val="none"/>
        </w:rPr>
        <w:t xml:space="preserve">, together with </w:t>
      </w:r>
      <w:r w:rsidRPr="009A4513">
        <w:rPr>
          <w:rFonts w:ascii="Palatino Linotype" w:hAnsi="Palatino Linotype" w:eastAsia="Palatino Linotype" w:cs="Times New Roman"/>
          <w:kern w:val="0"/>
          <w14:ligatures w14:val="none"/>
        </w:rPr>
        <w:t>the metrics proposed by the Joint Utilities in AL 5498-E et al.</w:t>
      </w:r>
      <w:r w:rsidR="00857E4C">
        <w:rPr>
          <w:rFonts w:ascii="Palatino Linotype" w:hAnsi="Palatino Linotype" w:eastAsia="Palatino Linotype" w:cs="Times New Roman"/>
          <w:kern w:val="0"/>
          <w14:ligatures w14:val="none"/>
        </w:rPr>
        <w:t xml:space="preserve">, </w:t>
      </w:r>
      <w:r w:rsidRPr="009A4513">
        <w:rPr>
          <w:rFonts w:ascii="Palatino Linotype" w:hAnsi="Palatino Linotype" w:eastAsia="Palatino Linotype" w:cs="Times New Roman"/>
          <w:kern w:val="0"/>
          <w14:ligatures w14:val="none"/>
        </w:rPr>
        <w:t xml:space="preserve">shall serve as the foundation for equity analysis in the Distribution Planning and Execution Process (DPEP). </w:t>
      </w:r>
      <w:r w:rsidR="00E71BD2">
        <w:rPr>
          <w:rFonts w:ascii="Palatino Linotype" w:hAnsi="Palatino Linotype" w:eastAsia="Palatino Linotype" w:cs="Times New Roman"/>
          <w:kern w:val="0"/>
          <w14:ligatures w14:val="none"/>
        </w:rPr>
        <w:t>T</w:t>
      </w:r>
      <w:r w:rsidRPr="009A4513">
        <w:rPr>
          <w:rFonts w:ascii="Palatino Linotype" w:hAnsi="Palatino Linotype" w:eastAsia="Palatino Linotype" w:cs="Times New Roman"/>
          <w:kern w:val="0"/>
          <w14:ligatures w14:val="none"/>
        </w:rPr>
        <w:t>he five OP 25 metrics</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(1) CARE/FERA enrollment, (2) </w:t>
      </w:r>
      <w:proofErr w:type="spellStart"/>
      <w:r w:rsidRPr="009A4513">
        <w:rPr>
          <w:rFonts w:ascii="Palatino Linotype" w:hAnsi="Palatino Linotype" w:eastAsia="Palatino Linotype" w:cs="Times New Roman"/>
          <w:kern w:val="0"/>
          <w14:ligatures w14:val="none"/>
        </w:rPr>
        <w:t>CalEnviroScreen</w:t>
      </w:r>
      <w:proofErr w:type="spellEnd"/>
      <w:r w:rsidRPr="009A4513">
        <w:rPr>
          <w:rFonts w:ascii="Palatino Linotype" w:hAnsi="Palatino Linotype" w:eastAsia="Palatino Linotype" w:cs="Times New Roman"/>
          <w:kern w:val="0"/>
          <w14:ligatures w14:val="none"/>
        </w:rPr>
        <w:t xml:space="preserve"> 4.0 Priority Populations percentile, (3) DAC status, (4) Tribal community status, and (5) Medical Baseline enrollment</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shall define the equity-priority populations to be tracked</w:t>
      </w:r>
      <w:r w:rsidR="005C78A6">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3632BA">
        <w:rPr>
          <w:rFonts w:ascii="Palatino Linotype" w:hAnsi="Palatino Linotype" w:eastAsia="Palatino Linotype" w:cs="Times New Roman"/>
          <w:kern w:val="0"/>
          <w14:ligatures w14:val="none"/>
        </w:rPr>
        <w:t>T</w:t>
      </w:r>
      <w:r w:rsidRPr="009A4513">
        <w:rPr>
          <w:rFonts w:ascii="Palatino Linotype" w:hAnsi="Palatino Linotype" w:eastAsia="Palatino Linotype" w:cs="Times New Roman"/>
          <w:kern w:val="0"/>
          <w14:ligatures w14:val="none"/>
        </w:rPr>
        <w:t>he Joint Utilities' proposed metrics</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Load Growth</w:t>
      </w:r>
      <w:r w:rsidR="00853054">
        <w:rPr>
          <w:rFonts w:ascii="Palatino Linotype" w:hAnsi="Palatino Linotype" w:eastAsia="Palatino Linotype" w:cs="Times New Roman"/>
          <w:kern w:val="0"/>
          <w14:ligatures w14:val="none"/>
        </w:rPr>
        <w:t>,</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Available Headroom</w:t>
      </w:r>
      <w:r w:rsidR="00853054">
        <w:rPr>
          <w:rFonts w:ascii="Palatino Linotype" w:hAnsi="Palatino Linotype" w:eastAsia="Palatino Linotype" w:cs="Times New Roman"/>
          <w:kern w:val="0"/>
          <w14:ligatures w14:val="none"/>
        </w:rPr>
        <w:t>,</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and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Project Initiation</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shall inform the analytical framework for evaluating equity outcomes in distribution planning, </w:t>
      </w:r>
      <w:r w:rsidR="002E53BA">
        <w:rPr>
          <w:rFonts w:ascii="Palatino Linotype" w:hAnsi="Palatino Linotype" w:eastAsia="Palatino Linotype" w:cs="Times New Roman"/>
          <w:kern w:val="0"/>
          <w14:ligatures w14:val="none"/>
        </w:rPr>
        <w:t>subject to the</w:t>
      </w:r>
      <w:r w:rsidRPr="009A4513" w:rsidR="002E53BA">
        <w:rPr>
          <w:rFonts w:ascii="Palatino Linotype" w:hAnsi="Palatino Linotype" w:eastAsia="Palatino Linotype" w:cs="Times New Roman"/>
          <w:kern w:val="0"/>
          <w14:ligatures w14:val="none"/>
        </w:rPr>
        <w:t xml:space="preserve"> </w:t>
      </w:r>
      <w:r w:rsidRPr="009A4513">
        <w:rPr>
          <w:rFonts w:ascii="Palatino Linotype" w:hAnsi="Palatino Linotype" w:eastAsia="Palatino Linotype" w:cs="Times New Roman"/>
          <w:kern w:val="0"/>
          <w14:ligatures w14:val="none"/>
        </w:rPr>
        <w:t>modifications described in this Resolution.</w:t>
      </w:r>
    </w:p>
    <w:p w:rsidR="00A76F4A" w:rsidP="009A4513" w:rsidRDefault="005164D8" w14:paraId="5C117DDC" w14:textId="77777777">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The methodological framework for evaluating those metrics shall be developed and implemented by Energy Division. Results shall be presented in an annual </w:t>
      </w:r>
      <w:r w:rsidRPr="005164D8">
        <w:rPr>
          <w:rFonts w:ascii="Palatino Linotype" w:hAnsi="Palatino Linotype" w:eastAsia="Palatino Linotype" w:cs="Times New Roman"/>
          <w:b/>
          <w:bCs/>
          <w:i/>
          <w:iCs/>
          <w:kern w:val="0"/>
          <w14:ligatures w14:val="none"/>
        </w:rPr>
        <w:t>Equity Metrics in the Distribution Planning and Execution Process Report</w:t>
      </w:r>
      <w:r w:rsidRPr="005164D8">
        <w:rPr>
          <w:rFonts w:ascii="Palatino Linotype" w:hAnsi="Palatino Linotype" w:eastAsia="Palatino Linotype" w:cs="Times New Roman"/>
          <w:kern w:val="0"/>
          <w14:ligatures w14:val="none"/>
        </w:rPr>
        <w:t xml:space="preserve"> (Equity Metrics </w:t>
      </w:r>
      <w:r w:rsidR="00186F7C">
        <w:rPr>
          <w:rFonts w:ascii="Palatino Linotype" w:hAnsi="Palatino Linotype" w:eastAsia="Palatino Linotype" w:cs="Times New Roman"/>
          <w:kern w:val="0"/>
          <w14:ligatures w14:val="none"/>
        </w:rPr>
        <w:t xml:space="preserve">in DPEP </w:t>
      </w:r>
      <w:r w:rsidRPr="005164D8">
        <w:rPr>
          <w:rFonts w:ascii="Palatino Linotype" w:hAnsi="Palatino Linotype" w:eastAsia="Palatino Linotype" w:cs="Times New Roman"/>
          <w:kern w:val="0"/>
          <w14:ligatures w14:val="none"/>
        </w:rPr>
        <w:t>Repor</w:t>
      </w:r>
      <w:r w:rsidR="00186F7C">
        <w:rPr>
          <w:rFonts w:ascii="Palatino Linotype" w:hAnsi="Palatino Linotype" w:eastAsia="Palatino Linotype" w:cs="Times New Roman"/>
          <w:kern w:val="0"/>
          <w14:ligatures w14:val="none"/>
        </w:rPr>
        <w:t>t</w:t>
      </w:r>
      <w:r w:rsidRPr="005164D8">
        <w:rPr>
          <w:rFonts w:ascii="Palatino Linotype" w:hAnsi="Palatino Linotype" w:eastAsia="Palatino Linotype" w:cs="Times New Roman"/>
          <w:kern w:val="0"/>
          <w14:ligatures w14:val="none"/>
        </w:rPr>
        <w:t xml:space="preserve">), which will include the econometric models, results, and interpretation for all three IOUs. The first </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is expected to be delivered in the </w:t>
      </w:r>
      <w:r w:rsidR="0003398B">
        <w:rPr>
          <w:rFonts w:ascii="Palatino Linotype" w:hAnsi="Palatino Linotype" w:eastAsia="Palatino Linotype" w:cs="Times New Roman"/>
          <w:kern w:val="0"/>
          <w14:ligatures w14:val="none"/>
        </w:rPr>
        <w:t>third</w:t>
      </w:r>
      <w:r w:rsidRPr="005164D8">
        <w:rPr>
          <w:rFonts w:ascii="Palatino Linotype" w:hAnsi="Palatino Linotype" w:eastAsia="Palatino Linotype" w:cs="Times New Roman"/>
          <w:kern w:val="0"/>
          <w14:ligatures w14:val="none"/>
        </w:rPr>
        <w:t xml:space="preserve"> </w:t>
      </w:r>
      <w:r w:rsidR="00373150">
        <w:rPr>
          <w:rFonts w:ascii="Palatino Linotype" w:hAnsi="Palatino Linotype" w:eastAsia="Palatino Linotype" w:cs="Times New Roman"/>
          <w:kern w:val="0"/>
          <w14:ligatures w14:val="none"/>
        </w:rPr>
        <w:t>quarter</w:t>
      </w:r>
      <w:r w:rsidRPr="005164D8" w:rsidR="00373150">
        <w:rPr>
          <w:rFonts w:ascii="Palatino Linotype" w:hAnsi="Palatino Linotype" w:eastAsia="Palatino Linotype" w:cs="Times New Roman"/>
          <w:kern w:val="0"/>
          <w14:ligatures w14:val="none"/>
        </w:rPr>
        <w:t xml:space="preserve"> </w:t>
      </w:r>
      <w:r w:rsidRPr="005164D8">
        <w:rPr>
          <w:rFonts w:ascii="Palatino Linotype" w:hAnsi="Palatino Linotype" w:eastAsia="Palatino Linotype" w:cs="Times New Roman"/>
          <w:kern w:val="0"/>
          <w14:ligatures w14:val="none"/>
        </w:rPr>
        <w:t xml:space="preserve">of 2027, reflecting data from the 2026-2027 DPEP cycle. In subsequent years,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shall be delivered in the first quarter of each calendar year, reflecting data from the prior year's DPEP cycle</w:t>
      </w:r>
      <w:r>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for example, the second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reflecting data from the</w:t>
      </w:r>
      <w:r w:rsidR="005E2F86">
        <w:rPr>
          <w:rFonts w:ascii="Palatino Linotype" w:hAnsi="Palatino Linotype" w:eastAsia="Palatino Linotype" w:cs="Times New Roman"/>
          <w:kern w:val="0"/>
          <w14:ligatures w14:val="none"/>
        </w:rPr>
        <w:br/>
      </w:r>
      <w:r w:rsidRPr="005164D8">
        <w:rPr>
          <w:rFonts w:ascii="Palatino Linotype" w:hAnsi="Palatino Linotype" w:eastAsia="Palatino Linotype" w:cs="Times New Roman"/>
          <w:kern w:val="0"/>
          <w14:ligatures w14:val="none"/>
        </w:rPr>
        <w:t xml:space="preserve"> 2027-2028 DPEP cycle (GNA/DUPR data received beginning August 2027), is expected to be delivered in Q1 of 2028. IOUs shall provide required input data and summary statistics annually through their GNA and DUPR filings, and Energy Division shall conduct econometric modeling, prepare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and publish outcomes for all IOUs and the public. This approach ensures the highest degree of analytical consistency, cross-utility comparability, and transparency in the annual evaluation of equity in distribution planning</w:t>
      </w:r>
      <w:r w:rsidRPr="009A4513" w:rsidR="009A4513">
        <w:rPr>
          <w:rFonts w:ascii="Palatino Linotype" w:hAnsi="Palatino Linotype" w:eastAsia="Palatino Linotype" w:cs="Times New Roman"/>
          <w:kern w:val="0"/>
          <w14:ligatures w14:val="none"/>
        </w:rPr>
        <w:t>.</w:t>
      </w:r>
    </w:p>
    <w:p w:rsidRPr="005164D8" w:rsidR="005164D8" w:rsidP="00B01D5C" w:rsidRDefault="005164D8" w14:paraId="2616416E" w14:textId="77777777">
      <w:pPr>
        <w:pStyle w:val="Heading2"/>
        <w:numPr>
          <w:ilvl w:val="0"/>
          <w:numId w:val="12"/>
        </w:numPr>
        <w:spacing w:before="360" w:after="0"/>
        <w:rPr>
          <w:rFonts w:eastAsia="Palatino Linotype"/>
        </w:rPr>
      </w:pPr>
      <w:r w:rsidRPr="005164D8">
        <w:rPr>
          <w:rFonts w:eastAsia="Palatino Linotype"/>
        </w:rPr>
        <w:t>Compliance with D.24-10-030 and Scope of OP 25</w:t>
      </w:r>
    </w:p>
    <w:p w:rsidRPr="005164D8" w:rsidR="005164D8" w:rsidP="00F97799" w:rsidRDefault="005164D8" w14:paraId="3ED8F101" w14:textId="77777777">
      <w:pPr>
        <w:spacing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The Joint CCAs and Vote Solar/CBD argued that the Joint Utilities violated D.24-10-030 by proposing alternative metrics rather than adopting the five metrics enumerated in OP 25 verbatim. The Commission disagrees.</w:t>
      </w:r>
    </w:p>
    <w:p w:rsidRPr="005164D8" w:rsidR="005164D8" w:rsidP="005164D8" w:rsidRDefault="005164D8" w14:paraId="23A27740" w14:textId="77777777">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OP 25 of D.24-10-030 directs the Joint Utilities to hold a workshop for "further exploration" of the equity metrics and their correlated variables, and to subsequently submit a Tier 3 Advice Letter requesting approval of a "final set of metrics and any correlated variables." The Decision explicitly recognizes that "additional stakeholder input is required to ensure that the appropriate correlated variables are taken into </w:t>
      </w:r>
      <w:r w:rsidRPr="005164D8">
        <w:rPr>
          <w:rFonts w:ascii="Palatino Linotype" w:hAnsi="Palatino Linotype" w:eastAsia="Palatino Linotype" w:cs="Times New Roman"/>
          <w:kern w:val="0"/>
          <w14:ligatures w14:val="none"/>
        </w:rPr>
        <w:lastRenderedPageBreak/>
        <w:t>account when analyzing the metrics and equity." This language reflects the Commission's intent that the workshop and Tier 3 AL process serve as a mechanism for refining and finalizing the equity metrics framework</w:t>
      </w:r>
      <w:r>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not as a mandate to adopt the five OP 25 metrics without modification.</w:t>
      </w:r>
    </w:p>
    <w:p w:rsidRPr="005164D8" w:rsidR="005164D8" w:rsidP="005164D8" w:rsidRDefault="005164D8" w14:paraId="2AC59B75" w14:textId="77777777">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The Commission finds that the Joint Utilities complied with OP 25</w:t>
      </w:r>
      <w:r w:rsidR="00020D06">
        <w:rPr>
          <w:rFonts w:ascii="Palatino Linotype" w:hAnsi="Palatino Linotype" w:eastAsia="Palatino Linotype" w:cs="Times New Roman"/>
          <w:kern w:val="0"/>
          <w14:ligatures w14:val="none"/>
        </w:rPr>
        <w:t>’s procedural requirements</w:t>
      </w:r>
      <w:r w:rsidRPr="005164D8">
        <w:rPr>
          <w:rFonts w:ascii="Palatino Linotype" w:hAnsi="Palatino Linotype" w:eastAsia="Palatino Linotype" w:cs="Times New Roman"/>
          <w:kern w:val="0"/>
          <w14:ligatures w14:val="none"/>
        </w:rPr>
        <w:t xml:space="preserve"> by holding the required workshop on January 21, 2025, </w:t>
      </w:r>
      <w:r w:rsidR="00D64C28">
        <w:rPr>
          <w:rFonts w:ascii="Palatino Linotype" w:hAnsi="Palatino Linotype" w:eastAsia="Palatino Linotype" w:cs="Times New Roman"/>
          <w:kern w:val="0"/>
          <w14:ligatures w14:val="none"/>
        </w:rPr>
        <w:t xml:space="preserve">considering the metrics in OP 25, </w:t>
      </w:r>
      <w:r w:rsidRPr="005164D8">
        <w:rPr>
          <w:rFonts w:ascii="Palatino Linotype" w:hAnsi="Palatino Linotype" w:eastAsia="Palatino Linotype" w:cs="Times New Roman"/>
          <w:kern w:val="0"/>
          <w14:ligatures w14:val="none"/>
        </w:rPr>
        <w:t xml:space="preserve">and submitting AL 5498-E et al. </w:t>
      </w:r>
      <w:r w:rsidR="00101B52">
        <w:rPr>
          <w:rFonts w:ascii="Palatino Linotype" w:hAnsi="Palatino Linotype" w:eastAsia="Palatino Linotype" w:cs="Times New Roman"/>
          <w:kern w:val="0"/>
          <w14:ligatures w14:val="none"/>
        </w:rPr>
        <w:t>requesting approval of a final set of metrics</w:t>
      </w:r>
      <w:r w:rsidRPr="005164D8" w:rsidR="00596DE8">
        <w:rPr>
          <w:rFonts w:ascii="Palatino Linotype" w:hAnsi="Palatino Linotype" w:eastAsia="Palatino Linotype" w:cs="Times New Roman"/>
          <w:kern w:val="0"/>
          <w14:ligatures w14:val="none"/>
        </w:rPr>
        <w:t xml:space="preserve"> </w:t>
      </w:r>
      <w:r w:rsidRPr="005164D8">
        <w:rPr>
          <w:rFonts w:ascii="Palatino Linotype" w:hAnsi="Palatino Linotype" w:eastAsia="Palatino Linotype" w:cs="Times New Roman"/>
          <w:kern w:val="0"/>
          <w14:ligatures w14:val="none"/>
        </w:rPr>
        <w:t xml:space="preserve">within the required 45-day period. The Commission further finds that the five metrics identified in OP 25 were thoroughly explored at the workshop, as required. </w:t>
      </w:r>
      <w:r w:rsidR="00020D06">
        <w:rPr>
          <w:rFonts w:ascii="Palatino Linotype" w:hAnsi="Palatino Linotype" w:eastAsia="Palatino Linotype" w:cs="Times New Roman"/>
          <w:kern w:val="0"/>
          <w14:ligatures w14:val="none"/>
        </w:rPr>
        <w:t>Accordingly, t</w:t>
      </w:r>
      <w:r w:rsidRPr="005164D8">
        <w:rPr>
          <w:rFonts w:ascii="Palatino Linotype" w:hAnsi="Palatino Linotype" w:eastAsia="Palatino Linotype" w:cs="Times New Roman"/>
          <w:kern w:val="0"/>
          <w14:ligatures w14:val="none"/>
        </w:rPr>
        <w:t>he Commission determines that no violation of D.24-10-030 occurred.</w:t>
      </w:r>
    </w:p>
    <w:p w:rsidR="005164D8" w:rsidP="005164D8" w:rsidRDefault="005164D8" w14:paraId="79E99CBC" w14:textId="77777777">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However, the Commission finds that the Joint Utilities' proposed metrics, as submitted, are not sufficient </w:t>
      </w:r>
      <w:r w:rsidR="00A06CCF">
        <w:rPr>
          <w:rFonts w:ascii="Palatino Linotype" w:hAnsi="Palatino Linotype" w:eastAsia="Palatino Linotype" w:cs="Times New Roman"/>
          <w:kern w:val="0"/>
          <w14:ligatures w14:val="none"/>
        </w:rPr>
        <w:t xml:space="preserve">on their own </w:t>
      </w:r>
      <w:r w:rsidRPr="005164D8">
        <w:rPr>
          <w:rFonts w:ascii="Palatino Linotype" w:hAnsi="Palatino Linotype" w:eastAsia="Palatino Linotype" w:cs="Times New Roman"/>
          <w:kern w:val="0"/>
          <w14:ligatures w14:val="none"/>
        </w:rPr>
        <w:t xml:space="preserve">to </w:t>
      </w:r>
      <w:r w:rsidRPr="00C07DE0" w:rsidR="00C07DE0">
        <w:rPr>
          <w:rFonts w:ascii="Palatino Linotype" w:hAnsi="Palatino Linotype" w:eastAsia="Palatino Linotype" w:cs="Times New Roman"/>
          <w:kern w:val="0"/>
          <w14:ligatures w14:val="none"/>
        </w:rPr>
        <w:t>satisfy the directive in Decision 24-10-030 for tracking and annually evaluating equity in distribution planning</w:t>
      </w:r>
      <w:r w:rsidRPr="005164D8">
        <w:rPr>
          <w:rFonts w:ascii="Palatino Linotype" w:hAnsi="Palatino Linotype" w:eastAsia="Palatino Linotype" w:cs="Times New Roman"/>
          <w:kern w:val="0"/>
          <w14:ligatures w14:val="none"/>
        </w:rPr>
        <w:t>. As described in the sections below, the Commission adopts a modified framework incorporat</w:t>
      </w:r>
      <w:r w:rsidR="00373AE7">
        <w:rPr>
          <w:rFonts w:ascii="Palatino Linotype" w:hAnsi="Palatino Linotype" w:eastAsia="Palatino Linotype" w:cs="Times New Roman"/>
          <w:kern w:val="0"/>
          <w14:ligatures w14:val="none"/>
        </w:rPr>
        <w:t>ing</w:t>
      </w:r>
      <w:r w:rsidRPr="005164D8">
        <w:rPr>
          <w:rFonts w:ascii="Palatino Linotype" w:hAnsi="Palatino Linotype" w:eastAsia="Palatino Linotype" w:cs="Times New Roman"/>
          <w:kern w:val="0"/>
          <w14:ligatures w14:val="none"/>
        </w:rPr>
        <w:t xml:space="preserve"> both the OP 25 metrics and the Joint Utilities' proposed metrics, with Energy Division leading development and implementation of a consistent, cross-utility analytical methodology.</w:t>
      </w:r>
    </w:p>
    <w:p w:rsidRPr="00F97799" w:rsidR="00F97799" w:rsidP="00B01D5C" w:rsidRDefault="00F97799" w14:paraId="122ED235" w14:textId="77777777">
      <w:pPr>
        <w:pStyle w:val="Heading2"/>
        <w:numPr>
          <w:ilvl w:val="0"/>
          <w:numId w:val="12"/>
        </w:numPr>
        <w:spacing w:before="360" w:after="0"/>
        <w:rPr>
          <w:rFonts w:eastAsia="Palatino Linotype"/>
        </w:rPr>
      </w:pPr>
      <w:r w:rsidRPr="00F97799">
        <w:rPr>
          <w:rFonts w:eastAsia="Palatino Linotype"/>
        </w:rPr>
        <w:t>Consolidation and Redefinition of CPUC-Proposed Metrics</w:t>
      </w:r>
    </w:p>
    <w:p w:rsidRPr="00F97799" w:rsidR="00F97799" w:rsidP="00F97799" w:rsidRDefault="00F97799" w14:paraId="2943031D" w14:textId="77777777">
      <w:pPr>
        <w:spacing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 xml:space="preserve">The Joint CCAs and </w:t>
      </w:r>
      <w:proofErr w:type="spellStart"/>
      <w:r w:rsidRPr="00F97799">
        <w:rPr>
          <w:rFonts w:ascii="Palatino Linotype" w:hAnsi="Palatino Linotype" w:eastAsia="Palatino Linotype" w:cs="Times New Roman"/>
          <w:kern w:val="0"/>
          <w14:ligatures w14:val="none"/>
        </w:rPr>
        <w:t>CforAT</w:t>
      </w:r>
      <w:proofErr w:type="spellEnd"/>
      <w:r w:rsidRPr="00F97799">
        <w:rPr>
          <w:rFonts w:ascii="Palatino Linotype" w:hAnsi="Palatino Linotype" w:eastAsia="Palatino Linotype" w:cs="Times New Roman"/>
          <w:kern w:val="0"/>
          <w14:ligatures w14:val="none"/>
        </w:rPr>
        <w:t xml:space="preserve"> argued that the Joint Utilities' proposals fail to directly report each of the five metrics enumerated in OP 25, and that by consolidating or redefining those metrics</w:t>
      </w:r>
      <w:r>
        <w:rPr>
          <w:rFonts w:ascii="Palatino Linotype" w:hAnsi="Palatino Linotype" w:eastAsia="Palatino Linotype" w:cs="Times New Roman"/>
          <w:kern w:val="0"/>
          <w14:ligatures w14:val="none"/>
        </w:rPr>
        <w:t>,</w:t>
      </w:r>
      <w:r w:rsidRPr="00F97799">
        <w:rPr>
          <w:rFonts w:ascii="Palatino Linotype" w:hAnsi="Palatino Linotype" w:eastAsia="Palatino Linotype" w:cs="Times New Roman"/>
          <w:kern w:val="0"/>
          <w14:ligatures w14:val="none"/>
        </w:rPr>
        <w:t xml:space="preserve"> particularly the merging of the </w:t>
      </w:r>
      <w:proofErr w:type="spellStart"/>
      <w:r w:rsidRPr="00F97799">
        <w:rPr>
          <w:rFonts w:ascii="Palatino Linotype" w:hAnsi="Palatino Linotype" w:eastAsia="Palatino Linotype" w:cs="Times New Roman"/>
          <w:kern w:val="0"/>
          <w14:ligatures w14:val="none"/>
        </w:rPr>
        <w:t>CalEnviroScreen</w:t>
      </w:r>
      <w:proofErr w:type="spellEnd"/>
      <w:r w:rsidRPr="00F97799">
        <w:rPr>
          <w:rFonts w:ascii="Palatino Linotype" w:hAnsi="Palatino Linotype" w:eastAsia="Palatino Linotype" w:cs="Times New Roman"/>
          <w:kern w:val="0"/>
          <w14:ligatures w14:val="none"/>
        </w:rPr>
        <w:t xml:space="preserve"> Priority Populations percentile with the DAC yes/no designation, and the subsuming of CARE/FERA, Tribal, and Medical Baseline customers into a broad binary DAC classification under SDG&amp;E's approach</w:t>
      </w:r>
      <w:r>
        <w:rPr>
          <w:rFonts w:ascii="Palatino Linotype" w:hAnsi="Palatino Linotype" w:eastAsia="Palatino Linotype" w:cs="Times New Roman"/>
          <w:kern w:val="0"/>
          <w14:ligatures w14:val="none"/>
        </w:rPr>
        <w:t>,</w:t>
      </w:r>
      <w:r w:rsidRPr="00F97799">
        <w:rPr>
          <w:rFonts w:ascii="Palatino Linotype" w:hAnsi="Palatino Linotype" w:eastAsia="Palatino Linotype" w:cs="Times New Roman"/>
          <w:kern w:val="0"/>
          <w14:ligatures w14:val="none"/>
        </w:rPr>
        <w:t xml:space="preserve"> the Joint Utilities deviated from the Commission's explicit directives.</w:t>
      </w:r>
    </w:p>
    <w:p w:rsidRPr="00F97799" w:rsidR="00F97799" w:rsidP="00F97799" w:rsidRDefault="00F97799" w14:paraId="0ADB2A6F" w14:textId="77777777">
      <w:pPr>
        <w:spacing w:before="240"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The Commission agrees that the Joint Utilities' proposals, as submitted, do not fully preserve the granularity and specificity of the five OP 25 metrics. The Commission finds that each of the five metrics identified in OP 25 serves a distinct analytical purpose and shall be reported independently, with standardized definitions applied consistently across all three IOUs. Energy Division shall establish those standardized definitions and reporting requirements, as further described in Sections 4 and 7 of this Resolution.</w:t>
      </w:r>
    </w:p>
    <w:p w:rsidRPr="001942D0" w:rsidR="00F571D8" w:rsidP="00F97799" w:rsidRDefault="00F97799" w14:paraId="14F78EF6" w14:textId="77777777">
      <w:pPr>
        <w:spacing w:before="240"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 xml:space="preserve">The Commission finds that the modifications adopted herein address the concerns raised by the Joint CCAs and </w:t>
      </w:r>
      <w:proofErr w:type="spellStart"/>
      <w:r w:rsidRPr="00F97799">
        <w:rPr>
          <w:rFonts w:ascii="Palatino Linotype" w:hAnsi="Palatino Linotype" w:eastAsia="Palatino Linotype" w:cs="Times New Roman"/>
          <w:kern w:val="0"/>
          <w14:ligatures w14:val="none"/>
        </w:rPr>
        <w:t>CforAT</w:t>
      </w:r>
      <w:proofErr w:type="spellEnd"/>
      <w:r w:rsidRPr="00F97799">
        <w:rPr>
          <w:rFonts w:ascii="Palatino Linotype" w:hAnsi="Palatino Linotype" w:eastAsia="Palatino Linotype" w:cs="Times New Roman"/>
          <w:kern w:val="0"/>
          <w14:ligatures w14:val="none"/>
        </w:rPr>
        <w:t xml:space="preserve"> regarding the granularity and completeness of the equity metrics framework.</w:t>
      </w:r>
    </w:p>
    <w:p w:rsidRPr="00633753" w:rsidR="00633753" w:rsidP="00F571D8" w:rsidRDefault="00633753" w14:paraId="78343467" w14:textId="77777777">
      <w:pPr>
        <w:pStyle w:val="Heading2"/>
        <w:numPr>
          <w:ilvl w:val="0"/>
          <w:numId w:val="12"/>
        </w:numPr>
        <w:spacing w:before="360" w:after="0"/>
        <w:rPr>
          <w:rFonts w:eastAsia="Palatino Linotype"/>
        </w:rPr>
      </w:pPr>
      <w:r w:rsidRPr="00633753">
        <w:rPr>
          <w:rFonts w:eastAsia="Palatino Linotype"/>
        </w:rPr>
        <w:lastRenderedPageBreak/>
        <w:t xml:space="preserve">Equity-Priority Populations in </w:t>
      </w:r>
      <w:proofErr w:type="gramStart"/>
      <w:r w:rsidRPr="00633753">
        <w:rPr>
          <w:rFonts w:eastAsia="Palatino Linotype"/>
        </w:rPr>
        <w:t>the DPEP</w:t>
      </w:r>
      <w:proofErr w:type="gramEnd"/>
    </w:p>
    <w:p w:rsidRPr="00633753" w:rsidR="00633753" w:rsidP="00633753" w:rsidRDefault="00633753" w14:paraId="05CB46BD" w14:textId="77777777">
      <w:pPr>
        <w:spacing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For the purposes of the equity metrics framework adopted in this Resolution, the Commission establishes the following definitions of equity-priority populations to be tracked and reported in the DPEP. These populations correspond to the five metrics identified in OP 25 of D.24-10-030 and shall serve as the independent variables in the econometric models developed by Energy Division.</w:t>
      </w:r>
    </w:p>
    <w:p w:rsidRPr="00633753" w:rsidR="00633753" w:rsidP="001D3C6F" w:rsidRDefault="00633753" w14:paraId="626562C0" w14:textId="77777777">
      <w:pPr>
        <w:keepNext/>
        <w:spacing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The equity-priority populations are:</w:t>
      </w:r>
    </w:p>
    <w:p w:rsidRPr="00633753" w:rsidR="00633753" w:rsidP="00633753" w:rsidRDefault="00633753" w14:paraId="668A5263"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CARE customers:</w:t>
      </w:r>
      <w:r w:rsidRPr="00633753">
        <w:rPr>
          <w:rFonts w:ascii="Palatino Linotype" w:hAnsi="Palatino Linotype" w:eastAsia="Palatino Linotype" w:cs="Times New Roman"/>
          <w:kern w:val="0"/>
          <w14:ligatures w14:val="none"/>
        </w:rPr>
        <w:t xml:space="preserve"> Customers enrolled in the California Alternate Rates for Energy (CARE) program, identified through IOU customer account data and reported as a percentage of total customers on the circuit or project area.</w:t>
      </w:r>
    </w:p>
    <w:p w:rsidRPr="00633753" w:rsidR="00633753" w:rsidP="00633753" w:rsidRDefault="00633753" w14:paraId="63879CB8"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FERA customers:</w:t>
      </w:r>
      <w:r w:rsidRPr="00633753">
        <w:rPr>
          <w:rFonts w:ascii="Palatino Linotype" w:hAnsi="Palatino Linotype" w:eastAsia="Palatino Linotype" w:cs="Times New Roman"/>
          <w:kern w:val="0"/>
          <w14:ligatures w14:val="none"/>
        </w:rPr>
        <w:t xml:space="preserve"> Customers enrolled in the federal Family Electric Rate Assistance (FERA) program, identified through IOU customer account data and reported as a percentage of total customers on the circuit or project area.</w:t>
      </w:r>
    </w:p>
    <w:p w:rsidRPr="00633753" w:rsidR="00633753" w:rsidP="00633753" w:rsidRDefault="00633753" w14:paraId="6494293D"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Medical Baseline customers:</w:t>
      </w:r>
      <w:r w:rsidRPr="00633753">
        <w:rPr>
          <w:rFonts w:ascii="Palatino Linotype" w:hAnsi="Palatino Linotype" w:eastAsia="Palatino Linotype" w:cs="Times New Roman"/>
          <w:kern w:val="0"/>
          <w14:ligatures w14:val="none"/>
        </w:rPr>
        <w:t xml:space="preserve"> Customers enrolled in the Medical Baseline program or receiving an equivalent medical discount in an opt-in rate without tiers, identified through IOU customer account data and reported as a percentage of total customers on the circuit or project area.</w:t>
      </w:r>
    </w:p>
    <w:p w:rsidRPr="00633753" w:rsidR="00633753" w:rsidP="00633753" w:rsidRDefault="00633753" w14:paraId="22FF06AB"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Tribal population customers:</w:t>
      </w:r>
      <w:r w:rsidRPr="00633753">
        <w:rPr>
          <w:rFonts w:ascii="Palatino Linotype" w:hAnsi="Palatino Linotype" w:eastAsia="Palatino Linotype" w:cs="Times New Roman"/>
          <w:kern w:val="0"/>
          <w14:ligatures w14:val="none"/>
        </w:rPr>
        <w:t xml:space="preserve"> </w:t>
      </w:r>
      <w:r w:rsidRPr="00633753" w:rsidR="00E0168E">
        <w:rPr>
          <w:rFonts w:ascii="Palatino Linotype" w:hAnsi="Palatino Linotype" w:eastAsia="Palatino Linotype" w:cs="Times New Roman"/>
          <w:kern w:val="0"/>
          <w14:ligatures w14:val="none"/>
        </w:rPr>
        <w:t xml:space="preserve">Customers </w:t>
      </w:r>
      <w:r w:rsidR="00264CE1">
        <w:rPr>
          <w:rFonts w:ascii="Palatino Linotype" w:hAnsi="Palatino Linotype" w:eastAsia="Palatino Linotype" w:cs="Times New Roman"/>
          <w:kern w:val="0"/>
          <w14:ligatures w14:val="none"/>
        </w:rPr>
        <w:t>that are members of</w:t>
      </w:r>
      <w:r w:rsidRPr="00633753" w:rsidR="00E0168E">
        <w:rPr>
          <w:rFonts w:ascii="Palatino Linotype" w:hAnsi="Palatino Linotype" w:eastAsia="Palatino Linotype" w:cs="Times New Roman"/>
          <w:kern w:val="0"/>
          <w14:ligatures w14:val="none"/>
        </w:rPr>
        <w:t xml:space="preserve"> a Tribal community, identified through CalEPA's DAC designations or equivalent Tribal land mapping, and reported as a percentage of total customers on the circuit or project area</w:t>
      </w:r>
      <w:r w:rsidRPr="00633753">
        <w:rPr>
          <w:rFonts w:ascii="Palatino Linotype" w:hAnsi="Palatino Linotype" w:eastAsia="Palatino Linotype" w:cs="Times New Roman"/>
          <w:kern w:val="0"/>
          <w14:ligatures w14:val="none"/>
        </w:rPr>
        <w:t>.</w:t>
      </w:r>
    </w:p>
    <w:p w:rsidRPr="00633753" w:rsidR="00633753" w:rsidP="00633753" w:rsidRDefault="00633753" w14:paraId="2CAF8B1D"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Disadvantaged Community (DAC) customers:</w:t>
      </w:r>
      <w:r w:rsidRPr="00633753">
        <w:rPr>
          <w:rFonts w:ascii="Palatino Linotype" w:hAnsi="Palatino Linotype" w:eastAsia="Palatino Linotype" w:cs="Times New Roman"/>
          <w:kern w:val="0"/>
          <w14:ligatures w14:val="none"/>
        </w:rPr>
        <w:t xml:space="preserve"> Customers located within a census tract designated as a Priority Population under SB 535, based on </w:t>
      </w:r>
      <w:proofErr w:type="spellStart"/>
      <w:r w:rsidRPr="00633753">
        <w:rPr>
          <w:rFonts w:ascii="Palatino Linotype" w:hAnsi="Palatino Linotype" w:eastAsia="Palatino Linotype" w:cs="Times New Roman"/>
          <w:kern w:val="0"/>
          <w14:ligatures w14:val="none"/>
        </w:rPr>
        <w:t>CalEnviroScreen</w:t>
      </w:r>
      <w:proofErr w:type="spellEnd"/>
      <w:r w:rsidRPr="00633753">
        <w:rPr>
          <w:rFonts w:ascii="Palatino Linotype" w:hAnsi="Palatino Linotype" w:eastAsia="Palatino Linotype" w:cs="Times New Roman"/>
          <w:kern w:val="0"/>
          <w14:ligatures w14:val="none"/>
        </w:rPr>
        <w:t xml:space="preserve"> 4.0 (or the most recent version at the time of filing). DAC status is determined at the customer level by mapping each customer's service address to its associated census tract. For each circuit, the DAC percentage is calculated as the number of DAC-designated customers divided by the total number of customers on the circuit.</w:t>
      </w:r>
    </w:p>
    <w:p w:rsidRPr="00633753" w:rsidR="00633753" w:rsidP="00BD7C3C" w:rsidRDefault="00633753" w14:paraId="6578ABD4" w14:textId="77777777">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 xml:space="preserve">The Commission finds that each of these five populations is analytically distinct and shall be tracked and reported independently. The DAC designation </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based on census tract-level </w:t>
      </w:r>
      <w:proofErr w:type="spellStart"/>
      <w:r w:rsidRPr="00633753">
        <w:rPr>
          <w:rFonts w:ascii="Palatino Linotype" w:hAnsi="Palatino Linotype" w:eastAsia="Palatino Linotype" w:cs="Times New Roman"/>
          <w:kern w:val="0"/>
          <w14:ligatures w14:val="none"/>
        </w:rPr>
        <w:t>CalEnviroScreen</w:t>
      </w:r>
      <w:proofErr w:type="spellEnd"/>
      <w:r w:rsidRPr="00633753">
        <w:rPr>
          <w:rFonts w:ascii="Palatino Linotype" w:hAnsi="Palatino Linotype" w:eastAsia="Palatino Linotype" w:cs="Times New Roman"/>
          <w:kern w:val="0"/>
          <w14:ligatures w14:val="none"/>
        </w:rPr>
        <w:t xml:space="preserve"> 4.0 data under SB 535</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is a </w:t>
      </w:r>
      <w:r w:rsidRPr="00633753" w:rsidR="00515FC7">
        <w:rPr>
          <w:rFonts w:ascii="Palatino Linotype" w:hAnsi="Palatino Linotype" w:eastAsia="Palatino Linotype" w:cs="Times New Roman"/>
          <w:kern w:val="0"/>
          <w14:ligatures w14:val="none"/>
        </w:rPr>
        <w:t>geographically defined</w:t>
      </w:r>
      <w:r w:rsidRPr="00633753">
        <w:rPr>
          <w:rFonts w:ascii="Palatino Linotype" w:hAnsi="Palatino Linotype" w:eastAsia="Palatino Linotype" w:cs="Times New Roman"/>
          <w:kern w:val="0"/>
          <w14:ligatures w14:val="none"/>
        </w:rPr>
        <w:t xml:space="preserve"> classification that is conceptually and methodologically distinct from the </w:t>
      </w:r>
      <w:r w:rsidR="005E2F86">
        <w:rPr>
          <w:rFonts w:ascii="Palatino Linotype" w:hAnsi="Palatino Linotype" w:eastAsia="Palatino Linotype" w:cs="Times New Roman"/>
          <w:kern w:val="0"/>
          <w14:ligatures w14:val="none"/>
        </w:rPr>
        <w:br/>
      </w:r>
      <w:r w:rsidRPr="00633753">
        <w:rPr>
          <w:rFonts w:ascii="Palatino Linotype" w:hAnsi="Palatino Linotype" w:eastAsia="Palatino Linotype" w:cs="Times New Roman"/>
          <w:kern w:val="0"/>
          <w14:ligatures w14:val="none"/>
        </w:rPr>
        <w:t>program-based designations of CARE, FERA, Medical Baseline, and Tribal populations. A customer may simultaneously belong to more than one equity-priority population</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for example, a CARE customer may also reside in a DAC census tract</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but each population shall be measured and reported through its own separate variable.</w:t>
      </w:r>
    </w:p>
    <w:p w:rsidRPr="00633753" w:rsidR="00633753" w:rsidP="00BD7C3C" w:rsidRDefault="00633753" w14:paraId="6164CB1E" w14:textId="77777777">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lastRenderedPageBreak/>
        <w:t>Accordingly, customer</w:t>
      </w:r>
      <w:r w:rsidR="003972C9">
        <w:rPr>
          <w:rFonts w:ascii="Palatino Linotype" w:hAnsi="Palatino Linotype" w:eastAsia="Palatino Linotype" w:cs="Times New Roman"/>
          <w:kern w:val="0"/>
          <w14:ligatures w14:val="none"/>
        </w:rPr>
        <w:t>s</w:t>
      </w:r>
      <w:r w:rsidRPr="00633753" w:rsidR="00BE6C83">
        <w:rPr>
          <w:rFonts w:ascii="Palatino Linotype" w:hAnsi="Palatino Linotype" w:eastAsia="Palatino Linotype" w:cs="Times New Roman"/>
          <w:kern w:val="0"/>
          <w14:ligatures w14:val="none"/>
        </w:rPr>
        <w:t xml:space="preserve"> served by circuits that fall within a DAC-designated census tract </w:t>
      </w:r>
      <w:r w:rsidRPr="00633753">
        <w:rPr>
          <w:rFonts w:ascii="Palatino Linotype" w:hAnsi="Palatino Linotype" w:eastAsia="Palatino Linotype" w:cs="Times New Roman"/>
          <w:kern w:val="0"/>
          <w14:ligatures w14:val="none"/>
        </w:rPr>
        <w:t xml:space="preserve">shall not be added to the counts of customers enrolled in CARE, FERA, Medical Baseline, or </w:t>
      </w:r>
      <w:r w:rsidR="003972C9">
        <w:rPr>
          <w:rFonts w:ascii="Palatino Linotype" w:hAnsi="Palatino Linotype" w:eastAsia="Palatino Linotype" w:cs="Times New Roman"/>
          <w:kern w:val="0"/>
          <w14:ligatures w14:val="none"/>
        </w:rPr>
        <w:t xml:space="preserve">who are members of a </w:t>
      </w:r>
      <w:r w:rsidRPr="00633753">
        <w:rPr>
          <w:rFonts w:ascii="Palatino Linotype" w:hAnsi="Palatino Linotype" w:eastAsia="Palatino Linotype" w:cs="Times New Roman"/>
          <w:kern w:val="0"/>
          <w14:ligatures w14:val="none"/>
        </w:rPr>
        <w:t xml:space="preserve">Tribal </w:t>
      </w:r>
      <w:r w:rsidR="00C02F2B">
        <w:rPr>
          <w:rFonts w:ascii="Palatino Linotype" w:hAnsi="Palatino Linotype" w:eastAsia="Palatino Linotype" w:cs="Times New Roman"/>
          <w:kern w:val="0"/>
          <w14:ligatures w14:val="none"/>
        </w:rPr>
        <w:t xml:space="preserve">community </w:t>
      </w:r>
      <w:r w:rsidRPr="00633753">
        <w:rPr>
          <w:rFonts w:ascii="Palatino Linotype" w:hAnsi="Palatino Linotype" w:eastAsia="Palatino Linotype" w:cs="Times New Roman"/>
          <w:kern w:val="0"/>
          <w14:ligatures w14:val="none"/>
        </w:rPr>
        <w:t xml:space="preserve">to form a larger combined population. Doing so would </w:t>
      </w:r>
      <w:r>
        <w:rPr>
          <w:rFonts w:ascii="Palatino Linotype" w:hAnsi="Palatino Linotype" w:eastAsia="Palatino Linotype" w:cs="Times New Roman"/>
          <w:kern w:val="0"/>
          <w14:ligatures w14:val="none"/>
        </w:rPr>
        <w:t>combine</w:t>
      </w:r>
      <w:r w:rsidRPr="00633753">
        <w:rPr>
          <w:rFonts w:ascii="Palatino Linotype" w:hAnsi="Palatino Linotype" w:eastAsia="Palatino Linotype" w:cs="Times New Roman"/>
          <w:kern w:val="0"/>
          <w14:ligatures w14:val="none"/>
        </w:rPr>
        <w:t xml:space="preserve"> two different types of equity designations</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one geographic, one program-based</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and would risk inflating population estimates, </w:t>
      </w:r>
      <w:r w:rsidR="005E2F86">
        <w:rPr>
          <w:rFonts w:ascii="Palatino Linotype" w:hAnsi="Palatino Linotype" w:eastAsia="Palatino Linotype" w:cs="Times New Roman"/>
          <w:kern w:val="0"/>
          <w14:ligatures w14:val="none"/>
        </w:rPr>
        <w:br/>
      </w:r>
      <w:r w:rsidRPr="00633753">
        <w:rPr>
          <w:rFonts w:ascii="Palatino Linotype" w:hAnsi="Palatino Linotype" w:eastAsia="Palatino Linotype" w:cs="Times New Roman"/>
          <w:kern w:val="0"/>
          <w14:ligatures w14:val="none"/>
        </w:rPr>
        <w:t xml:space="preserve">double-counting individual customers who belong to more than one </w:t>
      </w:r>
      <w:r w:rsidRPr="00633753" w:rsidR="00DE0166">
        <w:rPr>
          <w:rFonts w:ascii="Palatino Linotype" w:hAnsi="Palatino Linotype" w:eastAsia="Palatino Linotype" w:cs="Times New Roman"/>
          <w:kern w:val="0"/>
          <w14:ligatures w14:val="none"/>
        </w:rPr>
        <w:t>group and</w:t>
      </w:r>
      <w:r w:rsidRPr="00633753">
        <w:rPr>
          <w:rFonts w:ascii="Palatino Linotype" w:hAnsi="Palatino Linotype" w:eastAsia="Palatino Linotype" w:cs="Times New Roman"/>
          <w:kern w:val="0"/>
          <w14:ligatures w14:val="none"/>
        </w:rPr>
        <w:t xml:space="preserve"> obscuring the distinct equity conditions each population is independently intended to capture.</w:t>
      </w:r>
    </w:p>
    <w:p w:rsidR="00A76F4A" w:rsidP="00BD7C3C" w:rsidRDefault="00633753" w14:paraId="72D11556" w14:textId="77777777">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Each equity-priority population shall be reported as a separate percentage of total customers at the circuit level, consistent with the data requirements established in Section 7 of this Resolution.</w:t>
      </w:r>
    </w:p>
    <w:p w:rsidRPr="00BD7C3C" w:rsidR="00BD7C3C" w:rsidP="00F571D8" w:rsidRDefault="00BD7C3C" w14:paraId="5A2C8378" w14:textId="77777777">
      <w:pPr>
        <w:pStyle w:val="Heading2"/>
        <w:numPr>
          <w:ilvl w:val="0"/>
          <w:numId w:val="12"/>
        </w:numPr>
        <w:spacing w:before="360" w:after="0"/>
        <w:rPr>
          <w:rFonts w:eastAsia="Palatino Linotype"/>
        </w:rPr>
      </w:pPr>
      <w:r w:rsidRPr="00BD7C3C">
        <w:rPr>
          <w:rFonts w:eastAsia="Palatino Linotype"/>
        </w:rPr>
        <w:t>Equity Metrics Methodology and ED-Led Modeling</w:t>
      </w:r>
    </w:p>
    <w:p w:rsidR="00633753" w:rsidP="00F571D8" w:rsidRDefault="00BD7C3C" w14:paraId="78BC7CEA" w14:textId="77777777">
      <w:pPr>
        <w:spacing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Commission finds that a consistent, cross-utility analytical methodology is essential to achieving the equity tracking objectives of D.24-10-030. The Commission therefore adopts an Energy Division-led modeling framework in which </w:t>
      </w:r>
      <w:r w:rsidR="00A86085">
        <w:rPr>
          <w:rFonts w:ascii="Palatino Linotype" w:hAnsi="Palatino Linotype" w:eastAsia="Palatino Linotype" w:cs="Times New Roman"/>
          <w:kern w:val="0"/>
          <w14:ligatures w14:val="none"/>
        </w:rPr>
        <w:t xml:space="preserve">the </w:t>
      </w:r>
      <w:r w:rsidRPr="00BD7C3C">
        <w:rPr>
          <w:rFonts w:ascii="Palatino Linotype" w:hAnsi="Palatino Linotype" w:eastAsia="Palatino Linotype" w:cs="Times New Roman"/>
          <w:kern w:val="0"/>
          <w14:ligatures w14:val="none"/>
        </w:rPr>
        <w:t xml:space="preserve">IOUs </w:t>
      </w:r>
      <w:r w:rsidR="008D4557">
        <w:rPr>
          <w:rFonts w:ascii="Palatino Linotype" w:hAnsi="Palatino Linotype" w:eastAsia="Palatino Linotype" w:cs="Times New Roman"/>
          <w:kern w:val="0"/>
          <w14:ligatures w14:val="none"/>
        </w:rPr>
        <w:t xml:space="preserve">annually </w:t>
      </w:r>
      <w:r w:rsidRPr="00BD7C3C">
        <w:rPr>
          <w:rFonts w:ascii="Palatino Linotype" w:hAnsi="Palatino Linotype" w:eastAsia="Palatino Linotype" w:cs="Times New Roman"/>
          <w:kern w:val="0"/>
          <w14:ligatures w14:val="none"/>
        </w:rPr>
        <w:t xml:space="preserve">provide required input data and summary statistics through their GNA and DUPR filings, and Energy Division conducts econometric modeling and reports results for all three IOUs in the annual </w:t>
      </w:r>
      <w:r w:rsidR="004822F4">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Pr="00BD7C3C">
        <w:rPr>
          <w:rFonts w:ascii="Palatino Linotype" w:hAnsi="Palatino Linotype" w:eastAsia="Palatino Linotype" w:cs="Times New Roman"/>
          <w:kern w:val="0"/>
          <w14:ligatures w14:val="none"/>
        </w:rPr>
        <w:t>.</w:t>
      </w:r>
      <w:r w:rsidR="00893979">
        <w:rPr>
          <w:rFonts w:ascii="Palatino Linotype" w:hAnsi="Palatino Linotype" w:eastAsia="Palatino Linotype" w:cs="Times New Roman"/>
          <w:kern w:val="0"/>
          <w14:ligatures w14:val="none"/>
        </w:rPr>
        <w:t>”</w:t>
      </w:r>
    </w:p>
    <w:p w:rsidRPr="00BD7C3C" w:rsidR="00BD7C3C" w:rsidP="00BD7C3C" w:rsidRDefault="00BD7C3C" w14:paraId="7211138B" w14:textId="77777777">
      <w:pPr>
        <w:spacing w:before="120"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Commission finds that this approach best supports analytical consistency, </w:t>
      </w:r>
      <w:r w:rsidR="005E2F86">
        <w:rPr>
          <w:rFonts w:ascii="Palatino Linotype" w:hAnsi="Palatino Linotype" w:eastAsia="Palatino Linotype" w:cs="Times New Roman"/>
          <w:kern w:val="0"/>
          <w14:ligatures w14:val="none"/>
        </w:rPr>
        <w:br/>
      </w:r>
      <w:r w:rsidRPr="00BD7C3C">
        <w:rPr>
          <w:rFonts w:ascii="Palatino Linotype" w:hAnsi="Palatino Linotype" w:eastAsia="Palatino Linotype" w:cs="Times New Roman"/>
          <w:kern w:val="0"/>
          <w14:ligatures w14:val="none"/>
        </w:rPr>
        <w:t xml:space="preserve">cross-utility comparability, and transparency, and that it appropriately </w:t>
      </w:r>
      <w:r w:rsidR="00FA44E6">
        <w:rPr>
          <w:rFonts w:ascii="Palatino Linotype" w:hAnsi="Palatino Linotype" w:eastAsia="Palatino Linotype" w:cs="Times New Roman"/>
          <w:kern w:val="0"/>
          <w14:ligatures w14:val="none"/>
        </w:rPr>
        <w:t>preserves</w:t>
      </w:r>
      <w:r w:rsidRPr="00BD7C3C" w:rsidR="00FA44E6">
        <w:rPr>
          <w:rFonts w:ascii="Palatino Linotype" w:hAnsi="Palatino Linotype" w:eastAsia="Palatino Linotype" w:cs="Times New Roman"/>
          <w:kern w:val="0"/>
          <w14:ligatures w14:val="none"/>
        </w:rPr>
        <w:t xml:space="preserve"> </w:t>
      </w:r>
      <w:r w:rsidRPr="00BD7C3C">
        <w:rPr>
          <w:rFonts w:ascii="Palatino Linotype" w:hAnsi="Palatino Linotype" w:eastAsia="Palatino Linotype" w:cs="Times New Roman"/>
          <w:kern w:val="0"/>
          <w14:ligatures w14:val="none"/>
        </w:rPr>
        <w:t>Commission oversight over model design, validation, and interpretation during the initial years of implementation.</w:t>
      </w:r>
      <w:r w:rsidR="00B61CAE">
        <w:rPr>
          <w:rFonts w:ascii="Palatino Linotype" w:hAnsi="Palatino Linotype" w:eastAsia="Palatino Linotype" w:cs="Times New Roman"/>
          <w:kern w:val="0"/>
          <w14:ligatures w14:val="none"/>
        </w:rPr>
        <w:t xml:space="preserve"> </w:t>
      </w:r>
      <w:r w:rsidR="004E1968">
        <w:rPr>
          <w:rFonts w:ascii="Palatino Linotype" w:hAnsi="Palatino Linotype" w:eastAsia="Palatino Linotype" w:cs="Times New Roman"/>
          <w:kern w:val="0"/>
          <w14:ligatures w14:val="none"/>
        </w:rPr>
        <w:t xml:space="preserve">The </w:t>
      </w:r>
      <w:r w:rsidR="00B61CAE">
        <w:rPr>
          <w:rFonts w:ascii="Palatino Linotype" w:hAnsi="Palatino Linotype" w:eastAsia="Palatino Linotype" w:cs="Times New Roman"/>
          <w:kern w:val="0"/>
          <w14:ligatures w14:val="none"/>
        </w:rPr>
        <w:t>Commission delegates to</w:t>
      </w:r>
      <w:r w:rsidRPr="00BD7C3C">
        <w:rPr>
          <w:rFonts w:ascii="Palatino Linotype" w:hAnsi="Palatino Linotype" w:eastAsia="Palatino Linotype" w:cs="Times New Roman"/>
          <w:kern w:val="0"/>
          <w14:ligatures w14:val="none"/>
        </w:rPr>
        <w:t xml:space="preserve"> Energy Division </w:t>
      </w:r>
      <w:r w:rsidR="00B61CAE">
        <w:rPr>
          <w:rFonts w:ascii="Palatino Linotype" w:hAnsi="Palatino Linotype" w:eastAsia="Palatino Linotype" w:cs="Times New Roman"/>
          <w:kern w:val="0"/>
          <w14:ligatures w14:val="none"/>
        </w:rPr>
        <w:t>the</w:t>
      </w:r>
      <w:r w:rsidRPr="00BD7C3C">
        <w:rPr>
          <w:rFonts w:ascii="Palatino Linotype" w:hAnsi="Palatino Linotype" w:eastAsia="Palatino Linotype" w:cs="Times New Roman"/>
          <w:kern w:val="0"/>
          <w14:ligatures w14:val="none"/>
        </w:rPr>
        <w:t xml:space="preserve"> authority to refine the models as data quality and understanding of the equity metrics framework evolve</w:t>
      </w:r>
      <w:r w:rsidR="000A52C3">
        <w:rPr>
          <w:rFonts w:ascii="Palatino Linotype" w:hAnsi="Palatino Linotype" w:eastAsia="Palatino Linotype" w:cs="Times New Roman"/>
          <w:kern w:val="0"/>
          <w14:ligatures w14:val="none"/>
        </w:rPr>
        <w:t>s</w:t>
      </w:r>
      <w:r w:rsidRPr="00BD7C3C">
        <w:rPr>
          <w:rFonts w:ascii="Palatino Linotype" w:hAnsi="Palatino Linotype" w:eastAsia="Palatino Linotype" w:cs="Times New Roman"/>
          <w:kern w:val="0"/>
          <w14:ligatures w14:val="none"/>
        </w:rPr>
        <w:t xml:space="preserve"> over time.</w:t>
      </w:r>
    </w:p>
    <w:p w:rsidR="00BD7C3C" w:rsidP="00BD7C3C" w:rsidRDefault="00BD7C3C" w14:paraId="1427A320" w14:textId="77777777">
      <w:pPr>
        <w:spacing w:before="120"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w:t>
      </w:r>
      <w:r w:rsidRPr="002B0291" w:rsidR="002B0291">
        <w:rPr>
          <w:rFonts w:ascii="Palatino Linotype" w:hAnsi="Palatino Linotype" w:eastAsia="Palatino Linotype" w:cs="Times New Roman"/>
          <w:kern w:val="0"/>
          <w14:ligatures w14:val="none"/>
        </w:rPr>
        <w:t xml:space="preserve">Commission adopts an initial econometric framework consisting of three models to evaluate equity across the five equity-priority populations defined in Section 4 of this Resolution. These models are intended to serve as screening tools to identify statistically meaningful disparities </w:t>
      </w:r>
      <w:r w:rsidR="00DF34ED">
        <w:rPr>
          <w:rFonts w:ascii="Palatino Linotype" w:hAnsi="Palatino Linotype" w:eastAsia="Palatino Linotype" w:cs="Times New Roman"/>
          <w:kern w:val="0"/>
          <w14:ligatures w14:val="none"/>
        </w:rPr>
        <w:t>in equity outcomes</w:t>
      </w:r>
      <w:r w:rsidRPr="002B0291" w:rsidR="002B0291">
        <w:rPr>
          <w:rFonts w:ascii="Palatino Linotype" w:hAnsi="Palatino Linotype" w:eastAsia="Palatino Linotype" w:cs="Times New Roman"/>
          <w:kern w:val="0"/>
          <w14:ligatures w14:val="none"/>
        </w:rPr>
        <w:t>. The models operate at two levels of analysis, circuit-level and project-level, and are described</w:t>
      </w:r>
      <w:r w:rsidR="002B0291">
        <w:rPr>
          <w:rFonts w:ascii="Palatino Linotype" w:hAnsi="Palatino Linotype" w:eastAsia="Palatino Linotype" w:cs="Times New Roman"/>
          <w:kern w:val="0"/>
          <w14:ligatures w14:val="none"/>
        </w:rPr>
        <w:t xml:space="preserve"> </w:t>
      </w:r>
      <w:r w:rsidRPr="00BD7C3C">
        <w:rPr>
          <w:rFonts w:ascii="Palatino Linotype" w:hAnsi="Palatino Linotype" w:eastAsia="Palatino Linotype" w:cs="Times New Roman"/>
          <w:kern w:val="0"/>
          <w14:ligatures w14:val="none"/>
        </w:rPr>
        <w:t>below.</w:t>
      </w:r>
    </w:p>
    <w:p w:rsidR="00F53895" w:rsidP="00BD7C3C" w:rsidRDefault="00F53895" w14:paraId="0D6B2DBC" w14:textId="77777777">
      <w:pPr>
        <w:spacing w:before="120" w:after="0" w:line="240" w:lineRule="auto"/>
        <w:rPr>
          <w:rFonts w:ascii="Palatino Linotype" w:hAnsi="Palatino Linotype" w:eastAsia="Palatino Linotype" w:cs="Times New Roman"/>
          <w:kern w:val="0"/>
          <w14:ligatures w14:val="none"/>
        </w:rPr>
      </w:pPr>
    </w:p>
    <w:p w:rsidRPr="00BD7C3C" w:rsidR="00BD7C3C" w:rsidP="009432EF" w:rsidRDefault="00BD7C3C" w14:paraId="4FA9BE31" w14:textId="77777777">
      <w:pPr>
        <w:pStyle w:val="Heading3"/>
        <w:numPr>
          <w:ilvl w:val="1"/>
          <w:numId w:val="7"/>
        </w:numPr>
        <w:spacing w:before="360" w:after="0"/>
        <w:rPr>
          <w:rFonts w:eastAsia="Palatino Linotype"/>
        </w:rPr>
      </w:pPr>
      <w:r w:rsidRPr="00BD7C3C">
        <w:rPr>
          <w:rFonts w:eastAsia="Palatino Linotype"/>
        </w:rPr>
        <w:t>Load Growth Regression (Circuit-Level)</w:t>
      </w:r>
    </w:p>
    <w:p w:rsidR="00A95D4E" w:rsidP="00A95D4E" w:rsidRDefault="00A95D4E" w14:paraId="3DF24727" w14:textId="77777777">
      <w:pPr>
        <w:spacing w:after="0" w:line="240" w:lineRule="auto"/>
        <w:rPr>
          <w:rFonts w:ascii="Palatino Linotype" w:hAnsi="Palatino Linotype" w:eastAsia="Palatino Linotype" w:cs="Times New Roman"/>
          <w:kern w:val="0"/>
          <w14:ligatures w14:val="none"/>
        </w:rPr>
      </w:pPr>
      <w:r w:rsidRPr="00A95D4E">
        <w:rPr>
          <w:rFonts w:ascii="Palatino Linotype" w:hAnsi="Palatino Linotype" w:eastAsia="Palatino Linotype" w:cs="Times New Roman"/>
          <w:kern w:val="0"/>
          <w14:ligatures w14:val="none"/>
        </w:rPr>
        <w:t xml:space="preserve">The Load Growth regression evaluates whether circuits serving higher proportions of equity-priority populations experience different levels of load growth relative to other circuits. The model shall be estimated at the circuit level using a multiple linear </w:t>
      </w:r>
      <w:r w:rsidRPr="00A95D4E">
        <w:rPr>
          <w:rFonts w:ascii="Palatino Linotype" w:hAnsi="Palatino Linotype" w:eastAsia="Palatino Linotype" w:cs="Times New Roman"/>
          <w:kern w:val="0"/>
          <w14:ligatures w14:val="none"/>
        </w:rPr>
        <w:lastRenderedPageBreak/>
        <w:t xml:space="preserve">regression or other statistically appropriate specification selected by the Energy Division. </w:t>
      </w:r>
    </w:p>
    <w:p w:rsidRPr="00A95D4E" w:rsidR="001427CA" w:rsidP="00A95D4E" w:rsidRDefault="001427CA" w14:paraId="12A0657C" w14:textId="77777777">
      <w:pPr>
        <w:spacing w:after="0" w:line="240" w:lineRule="auto"/>
        <w:rPr>
          <w:rFonts w:ascii="Palatino Linotype" w:hAnsi="Palatino Linotype" w:eastAsia="Palatino Linotype" w:cs="Times New Roman"/>
          <w:kern w:val="0"/>
          <w14:ligatures w14:val="none"/>
        </w:rPr>
      </w:pPr>
    </w:p>
    <w:p w:rsidR="00490E8B" w:rsidP="00B01D5C" w:rsidRDefault="00A95D4E" w14:paraId="68A1548D" w14:textId="3EF7A5F9">
      <w:pPr>
        <w:spacing w:before="120"/>
        <w:rPr>
          <w:rFonts w:ascii="Palatino Linotype" w:hAnsi="Palatino Linotype" w:eastAsia="Palatino Linotype" w:cs="Times New Roman"/>
          <w:kern w:val="0"/>
          <w14:ligatures w14:val="none"/>
        </w:rPr>
      </w:pPr>
      <w:r w:rsidRPr="00A95D4E">
        <w:rPr>
          <w:rFonts w:ascii="Palatino Linotype" w:hAnsi="Palatino Linotype" w:eastAsia="Palatino Linotype" w:cs="Times New Roman"/>
          <w:kern w:val="0"/>
          <w14:ligatures w14:val="none"/>
        </w:rPr>
        <w:t>The general form of the model is</w:t>
      </w:r>
      <w:r w:rsidR="00490E8B">
        <w:rPr>
          <w:rFonts w:ascii="Palatino Linotype" w:hAnsi="Palatino Linotype" w:eastAsia="Palatino Linotype" w:cs="Times New Roman"/>
          <w:kern w:val="0"/>
          <w14:ligatures w14:val="none"/>
        </w:rPr>
        <w:t>:</w:t>
      </w:r>
    </w:p>
    <w:p w:rsidRPr="00B01D5C" w:rsidR="00B01D5C" w:rsidP="00B01D5C" w:rsidRDefault="00000000" w14:paraId="2E61F002" w14:textId="11D9B92B">
      <w:pPr>
        <w:spacing w:before="120"/>
        <w:rPr>
          <w:rFonts w:ascii="Cambria Math" w:hAnsi="Cambria Math" w:eastAsia="Palatino Linotype"/>
          <w:i/>
        </w:rPr>
      </w:pPr>
      <m:oMathPara>
        <m:oMath>
          <m:sSub>
            <m:sSubPr>
              <m:ctrlPr>
                <w:rPr>
                  <w:rFonts w:ascii="Cambria Math" w:hAnsi="Cambria Math" w:eastAsia="Palatino Linotype"/>
                  <w:b/>
                  <w:i/>
                </w:rPr>
              </m:ctrlPr>
            </m:sSubPr>
            <m:e>
              <m:r>
                <m:rPr>
                  <m:sty m:val="bi"/>
                </m:rPr>
                <w:rPr>
                  <w:rFonts w:ascii="Cambria Math" w:hAnsi="Cambria Math" w:eastAsia="Palatino Linotype"/>
                </w:rPr>
                <m:t>Load Growth</m:t>
              </m:r>
            </m:e>
            <m:sub>
              <m:r>
                <m:rPr>
                  <m:sty m:val="bi"/>
                </m:rPr>
                <w:rPr>
                  <w:rFonts w:ascii="Cambria Math" w:hAnsi="Cambria Math" w:eastAsia="Palatino Linotype"/>
                </w:rPr>
                <m:t>i</m:t>
              </m:r>
            </m:sub>
          </m:sSub>
          <m:r>
            <w:rPr>
              <w:rFonts w:ascii="Cambria Math" w:hAnsi="Cambria Math" w:eastAsia="Palatino Linotyp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m:oMathPara>
    </w:p>
    <w:p w:rsidR="008D530C" w:rsidP="008D530C" w:rsidRDefault="008D530C" w14:paraId="7E414BC6" w14:textId="77777777">
      <w:pPr>
        <w:spacing w:before="120"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Where </w:t>
      </w:r>
      <w:r w:rsidR="0093079B">
        <w:rPr>
          <w:rFonts w:ascii="Palatino Linotype" w:hAnsi="Palatino Linotype" w:eastAsia="Palatino Linotype" w:cs="Times New Roman"/>
          <w:kern w:val="0"/>
          <w14:ligatures w14:val="none"/>
        </w:rPr>
        <w:t>“</w:t>
      </w:r>
      <w:r w:rsidRPr="008D530C">
        <w:rPr>
          <w:rFonts w:ascii="Palatino Linotype" w:hAnsi="Palatino Linotype" w:eastAsia="Palatino Linotype" w:cs="Times New Roman"/>
          <w:kern w:val="0"/>
          <w14:ligatures w14:val="none"/>
        </w:rPr>
        <w:t>Load Growth</w:t>
      </w:r>
      <w:r w:rsidR="0093079B">
        <w:rPr>
          <w:rFonts w:ascii="Palatino Linotype" w:hAnsi="Palatino Linotype" w:eastAsia="Palatino Linotype" w:cs="Times New Roman"/>
          <w:kern w:val="0"/>
          <w14:ligatures w14:val="none"/>
        </w:rPr>
        <w:t>”</w:t>
      </w:r>
      <w:r w:rsidRPr="008D530C">
        <w:rPr>
          <w:rFonts w:ascii="Palatino Linotype" w:hAnsi="Palatino Linotype" w:eastAsia="Palatino Linotype" w:cs="Times New Roman"/>
          <w:kern w:val="0"/>
          <w14:ligatures w14:val="none"/>
        </w:rPr>
        <w:t xml:space="preserve"> </w:t>
      </w:r>
      <w:r w:rsidR="0066586B">
        <w:rPr>
          <w:rFonts w:ascii="Palatino Linotype" w:hAnsi="Palatino Linotype" w:eastAsia="Palatino Linotype" w:cs="Times New Roman"/>
          <w:kern w:val="0"/>
          <w14:ligatures w14:val="none"/>
        </w:rPr>
        <w:t>represents</w:t>
      </w:r>
      <w:r w:rsidRPr="008D530C">
        <w:rPr>
          <w:rFonts w:ascii="Palatino Linotype" w:hAnsi="Palatino Linotype" w:eastAsia="Palatino Linotype" w:cs="Times New Roman"/>
          <w:kern w:val="0"/>
          <w14:ligatures w14:val="none"/>
        </w:rPr>
        <w:t xml:space="preserve"> the forecasted or measured load increase on the circuit</w:t>
      </w:r>
      <w:r w:rsidR="0066586B">
        <w:rPr>
          <w:rFonts w:ascii="Palatino Linotype" w:hAnsi="Palatino Linotype" w:eastAsia="Palatino Linotype" w:cs="Times New Roman"/>
          <w:kern w:val="0"/>
          <w14:ligatures w14:val="none"/>
        </w:rPr>
        <w:t xml:space="preserve">, expressed </w:t>
      </w:r>
      <w:r w:rsidR="009E4DFC">
        <w:rPr>
          <w:rFonts w:ascii="Palatino Linotype" w:hAnsi="Palatino Linotype" w:eastAsia="Palatino Linotype" w:cs="Times New Roman"/>
          <w:kern w:val="0"/>
          <w14:ligatures w14:val="none"/>
        </w:rPr>
        <w:t xml:space="preserve">in MW, percentage terms or </w:t>
      </w:r>
      <w:r w:rsidR="002F0DC4">
        <w:rPr>
          <w:rFonts w:ascii="Palatino Linotype" w:hAnsi="Palatino Linotype" w:eastAsia="Palatino Linotype" w:cs="Times New Roman"/>
          <w:kern w:val="0"/>
          <w14:ligatures w14:val="none"/>
        </w:rPr>
        <w:t>an</w:t>
      </w:r>
      <w:r w:rsidR="009E4DFC">
        <w:rPr>
          <w:rFonts w:ascii="Palatino Linotype" w:hAnsi="Palatino Linotype" w:eastAsia="Palatino Linotype" w:cs="Times New Roman"/>
          <w:kern w:val="0"/>
          <w14:ligatures w14:val="none"/>
        </w:rPr>
        <w:t xml:space="preserve">other </w:t>
      </w:r>
      <w:r w:rsidR="002F0DC4">
        <w:rPr>
          <w:rFonts w:ascii="Palatino Linotype" w:hAnsi="Palatino Linotype" w:eastAsia="Palatino Linotype" w:cs="Times New Roman"/>
          <w:kern w:val="0"/>
          <w14:ligatures w14:val="none"/>
        </w:rPr>
        <w:t>normaliz</w:t>
      </w:r>
      <w:r w:rsidR="00DA7436">
        <w:rPr>
          <w:rFonts w:ascii="Palatino Linotype" w:hAnsi="Palatino Linotype" w:eastAsia="Palatino Linotype" w:cs="Times New Roman"/>
          <w:kern w:val="0"/>
          <w14:ligatures w14:val="none"/>
        </w:rPr>
        <w:t>ed form</w:t>
      </w:r>
      <w:r w:rsidRPr="008D530C">
        <w:rPr>
          <w:rFonts w:ascii="Palatino Linotype" w:hAnsi="Palatino Linotype" w:eastAsia="Palatino Linotype" w:cs="Times New Roman"/>
          <w:kern w:val="0"/>
          <w14:ligatures w14:val="none"/>
        </w:rPr>
        <w:t>;</w:t>
      </w:r>
      <w:r w:rsidRPr="005406F6" w:rsidR="005406F6">
        <w:t xml:space="preserve"> </w:t>
      </w:r>
      <w:r w:rsidRPr="005406F6" w:rsidR="005406F6">
        <w:rPr>
          <w:rFonts w:ascii="Palatino Linotype" w:hAnsi="Palatino Linotype" w:eastAsia="Palatino Linotype" w:cs="Times New Roman"/>
          <w:kern w:val="0"/>
          <w14:ligatures w14:val="none"/>
        </w:rPr>
        <w:t xml:space="preserve">Equity Variables include circuit-level equity-priority population measures defined in Section 4 </w:t>
      </w:r>
      <w:r w:rsidR="005406F6">
        <w:rPr>
          <w:rFonts w:ascii="Palatino Linotype" w:hAnsi="Palatino Linotype" w:eastAsia="Palatino Linotype" w:cs="Times New Roman"/>
          <w:kern w:val="0"/>
          <w14:ligatures w14:val="none"/>
        </w:rPr>
        <w:t>(</w:t>
      </w:r>
      <w:r w:rsidRPr="005406F6" w:rsidR="005406F6">
        <w:rPr>
          <w:rFonts w:ascii="Palatino Linotype" w:hAnsi="Palatino Linotype" w:eastAsia="Palatino Linotype" w:cs="Times New Roman"/>
          <w:kern w:val="0"/>
          <w14:ligatures w14:val="none"/>
        </w:rPr>
        <w:t>including</w:t>
      </w:r>
      <w:r w:rsidRPr="008D530C">
        <w:rPr>
          <w:rFonts w:ascii="Palatino Linotype" w:hAnsi="Palatino Linotype" w:eastAsia="Palatino Linotype" w:cs="Times New Roman"/>
          <w:kern w:val="0"/>
          <w14:ligatures w14:val="none"/>
        </w:rPr>
        <w:t xml:space="preserve"> CARE, FERA, Medical Baseline, Tribal, and DAC</w:t>
      </w:r>
      <w:r w:rsidR="009711E7">
        <w:rPr>
          <w:rFonts w:ascii="Palatino Linotype" w:hAnsi="Palatino Linotype" w:eastAsia="Palatino Linotype" w:cs="Times New Roman"/>
          <w:kern w:val="0"/>
          <w14:ligatures w14:val="none"/>
        </w:rPr>
        <w:t xml:space="preserve"> variables)</w:t>
      </w:r>
      <w:r w:rsidRPr="008D530C">
        <w:rPr>
          <w:rFonts w:ascii="Palatino Linotype" w:hAnsi="Palatino Linotype" w:eastAsia="Palatino Linotype" w:cs="Times New Roman"/>
          <w:kern w:val="0"/>
          <w14:ligatures w14:val="none"/>
        </w:rPr>
        <w:t xml:space="preserve">; </w:t>
      </w:r>
      <w:r w:rsidRPr="00EB39E2" w:rsidR="00EB39E2">
        <w:rPr>
          <w:rFonts w:ascii="Palatino Linotype" w:hAnsi="Palatino Linotype" w:eastAsia="Palatino Linotype" w:cs="Times New Roman"/>
          <w:kern w:val="0"/>
          <w14:ligatures w14:val="none"/>
        </w:rPr>
        <w:t>Controls</w:t>
      </w:r>
      <w:r w:rsidR="00FA10CA">
        <w:rPr>
          <w:rFonts w:ascii="Palatino Linotype" w:hAnsi="Palatino Linotype" w:eastAsia="Palatino Linotype" w:cs="Times New Roman"/>
          <w:kern w:val="0"/>
          <w14:ligatures w14:val="none"/>
        </w:rPr>
        <w:t xml:space="preserve"> shall</w:t>
      </w:r>
      <w:r w:rsidRPr="00EB39E2" w:rsidR="00EB39E2">
        <w:rPr>
          <w:rFonts w:ascii="Palatino Linotype" w:hAnsi="Palatino Linotype" w:eastAsia="Palatino Linotype" w:cs="Times New Roman"/>
          <w:kern w:val="0"/>
          <w14:ligatures w14:val="none"/>
        </w:rPr>
        <w:t xml:space="preserve"> include relevant planning, engineering, demographic, and operational variables</w:t>
      </w:r>
      <w:r w:rsidR="00FA10CA">
        <w:rPr>
          <w:rFonts w:ascii="Palatino Linotype" w:hAnsi="Palatino Linotype" w:eastAsia="Palatino Linotype" w:cs="Times New Roman"/>
          <w:kern w:val="0"/>
          <w14:ligatures w14:val="none"/>
        </w:rPr>
        <w:t xml:space="preserve">; </w:t>
      </w:r>
      <w:r w:rsidRPr="008D530C">
        <w:rPr>
          <w:rFonts w:ascii="Palatino Linotype" w:hAnsi="Palatino Linotype" w:eastAsia="Palatino Linotype" w:cs="Times New Roman"/>
          <w:kern w:val="0"/>
          <w14:ligatures w14:val="none"/>
        </w:rPr>
        <w:t>and ε</w:t>
      </w:r>
      <w:r w:rsidRPr="008D530C">
        <w:rPr>
          <w:rFonts w:ascii="Times New Roman" w:hAnsi="Times New Roman" w:eastAsia="Palatino Linotype" w:cs="Times New Roman"/>
          <w:kern w:val="0"/>
          <w14:ligatures w14:val="none"/>
        </w:rPr>
        <w:t>ᵢ</w:t>
      </w:r>
      <w:r w:rsidRPr="008D530C">
        <w:rPr>
          <w:rFonts w:ascii="Palatino Linotype" w:hAnsi="Palatino Linotype" w:eastAsia="Palatino Linotype" w:cs="Times New Roman"/>
          <w:kern w:val="0"/>
          <w14:ligatures w14:val="none"/>
        </w:rPr>
        <w:t xml:space="preserve"> is the error term.</w:t>
      </w:r>
    </w:p>
    <w:p w:rsidRPr="008D530C" w:rsidR="00F53895" w:rsidP="008D530C" w:rsidRDefault="00F53895" w14:paraId="6E448270" w14:textId="77777777">
      <w:pPr>
        <w:spacing w:before="120" w:after="0" w:line="240" w:lineRule="auto"/>
        <w:rPr>
          <w:rFonts w:ascii="Palatino Linotype" w:hAnsi="Palatino Linotype" w:eastAsia="Palatino Linotype" w:cs="Times New Roman"/>
          <w:kern w:val="0"/>
          <w14:ligatures w14:val="none"/>
        </w:rPr>
      </w:pPr>
    </w:p>
    <w:p w:rsidRPr="008D530C" w:rsidR="008D530C" w:rsidP="009432EF" w:rsidRDefault="008D530C" w14:paraId="2A04DCF9" w14:textId="77777777">
      <w:pPr>
        <w:pStyle w:val="Heading3"/>
        <w:numPr>
          <w:ilvl w:val="1"/>
          <w:numId w:val="7"/>
        </w:numPr>
        <w:spacing w:before="360" w:after="0"/>
        <w:rPr>
          <w:rFonts w:eastAsia="Palatino Linotype"/>
        </w:rPr>
      </w:pPr>
      <w:r w:rsidRPr="008D530C">
        <w:rPr>
          <w:rFonts w:eastAsia="Palatino Linotype"/>
        </w:rPr>
        <w:t>Available Headroom Regression (Circuit-Level)</w:t>
      </w:r>
    </w:p>
    <w:p w:rsidR="00B64D68" w:rsidP="00B64D68" w:rsidRDefault="00B64D68" w14:paraId="179E019E" w14:textId="77777777">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The Available Headroom regression assesses whether circuits serving higher proportions of equity-priority populations experience differences in access to available grid capacity.</w:t>
      </w:r>
    </w:p>
    <w:p w:rsidRPr="00B64D68" w:rsidR="00CE270A" w:rsidP="00B64D68" w:rsidRDefault="00CE270A" w14:paraId="23B0D6FA" w14:textId="77777777">
      <w:pPr>
        <w:spacing w:after="0" w:line="240" w:lineRule="auto"/>
        <w:rPr>
          <w:rFonts w:ascii="Palatino Linotype" w:hAnsi="Palatino Linotype" w:eastAsia="Palatino Linotype" w:cs="Times New Roman"/>
          <w:kern w:val="0"/>
          <w14:ligatures w14:val="none"/>
        </w:rPr>
      </w:pPr>
    </w:p>
    <w:p w:rsidRPr="00B64D68" w:rsidR="00B64D68" w:rsidP="00B64D68" w:rsidRDefault="00B64D68" w14:paraId="523400B9" w14:textId="77777777">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 xml:space="preserve">The model shall be estimated at the circuit level using a multiple linear regression or other statistically appropriate specification selected by the Energy Division. </w:t>
      </w:r>
    </w:p>
    <w:p w:rsidRPr="00B64D68" w:rsidR="00990B9F" w:rsidP="00B64D68" w:rsidRDefault="00B64D68" w14:paraId="300C931F" w14:textId="77777777">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The general form of the model is:</w:t>
      </w:r>
    </w:p>
    <w:p w:rsidRPr="008D530C" w:rsidR="008D530C" w:rsidP="00F571D8" w:rsidRDefault="008D530C" w14:paraId="6D74E4E6" w14:textId="77777777">
      <w:pPr>
        <w:spacing w:after="0" w:line="240" w:lineRule="auto"/>
        <w:rPr>
          <w:rFonts w:ascii="Palatino Linotype" w:hAnsi="Palatino Linotype" w:eastAsia="Palatino Linotype" w:cs="Times New Roman"/>
          <w:kern w:val="0"/>
          <w14:ligatures w14:val="none"/>
        </w:rPr>
      </w:pPr>
    </w:p>
    <w:p w:rsidR="00B01D5C" w:rsidP="008D530C" w:rsidRDefault="00000000" w14:paraId="387E4730" w14:textId="77777777">
      <w:pPr>
        <w:spacing w:before="120" w:after="0" w:line="240" w:lineRule="auto"/>
        <w:rPr>
          <w:rFonts w:ascii="Palatino Linotype" w:hAnsi="Palatino Linotype" w:eastAsia="Palatino Linotype" w:cs="Times New Roman"/>
          <w:kern w:val="0"/>
          <w14:ligatures w14:val="none"/>
        </w:rPr>
      </w:pPr>
      <m:oMathPara>
        <m:oMath>
          <m:sSub>
            <m:sSubPr>
              <m:ctrlPr>
                <w:rPr>
                  <w:rFonts w:ascii="Cambria Math" w:hAnsi="Cambria Math" w:eastAsia="Palatino Linotype" w:cs="Times New Roman"/>
                  <w:b/>
                  <w:i/>
                  <w:kern w:val="0"/>
                  <w14:ligatures w14:val="none"/>
                </w:rPr>
              </m:ctrlPr>
            </m:sSubPr>
            <m:e>
              <m:r>
                <m:rPr>
                  <m:sty m:val="bi"/>
                </m:rPr>
                <w:rPr>
                  <w:rFonts w:ascii="Cambria Math" w:hAnsi="Cambria Math" w:eastAsia="Palatino Linotype" w:cs="Times New Roman"/>
                  <w:kern w:val="0"/>
                  <w14:ligatures w14:val="none"/>
                </w:rPr>
                <m:t>Headroom Available</m:t>
              </m:r>
            </m:e>
            <m:sub>
              <m:r>
                <m:rPr>
                  <m:sty m:val="bi"/>
                </m:rPr>
                <w:rPr>
                  <w:rFonts w:ascii="Cambria Math" w:hAnsi="Cambria Math" w:eastAsia="Palatino Linotype" w:cs="Times New Roman"/>
                  <w:kern w:val="0"/>
                  <w14:ligatures w14:val="none"/>
                </w:rPr>
                <m:t>i</m:t>
              </m:r>
            </m:sub>
          </m:sSub>
          <m:r>
            <w:rPr>
              <w:rFonts w:ascii="Cambria Math" w:hAnsi="Cambria Math" w:eastAsia="Palatino Linotype" w:cs="Times New Roman"/>
              <w:kern w:val="0"/>
              <w14:ligatures w14:val="non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m:oMathPara>
    </w:p>
    <w:p w:rsidRPr="008D530C" w:rsidR="00AA023E" w:rsidP="00AA023E" w:rsidRDefault="00AA023E" w14:paraId="5F7DCB2F" w14:textId="77777777">
      <w:pPr>
        <w:spacing w:before="120"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Where Available Headroom is the available electrical capacity on the circuit, calculated as the difference between the circuit capacity rating and circuit peak loading, measured at Year 1 (current) and Year 5 (forecast); </w:t>
      </w:r>
      <w:r w:rsidRPr="00CB6DD1">
        <w:rPr>
          <w:rFonts w:ascii="Palatino Linotype" w:hAnsi="Palatino Linotype" w:eastAsia="Palatino Linotype" w:cs="Times New Roman"/>
          <w:kern w:val="0"/>
          <w14:ligatures w14:val="none"/>
        </w:rPr>
        <w:t>Equity Variables include circuit-level equity-priority population measures defined in Section 4</w:t>
      </w:r>
      <w:r w:rsidRPr="008D530C">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 xml:space="preserve">Controls </w:t>
      </w:r>
      <w:r w:rsidR="00FA10CA">
        <w:rPr>
          <w:rFonts w:ascii="Palatino Linotype" w:hAnsi="Palatino Linotype" w:eastAsia="Palatino Linotype" w:cs="Times New Roman"/>
          <w:kern w:val="0"/>
          <w14:ligatures w14:val="none"/>
        </w:rPr>
        <w:t xml:space="preserve">shall </w:t>
      </w:r>
      <w:r>
        <w:rPr>
          <w:rFonts w:ascii="Palatino Linotype" w:hAnsi="Palatino Linotype" w:eastAsia="Palatino Linotype" w:cs="Times New Roman"/>
          <w:kern w:val="0"/>
          <w14:ligatures w14:val="none"/>
        </w:rPr>
        <w:t>include relevant planning, engineering, demographic, and operational variables</w:t>
      </w:r>
      <w:r w:rsidRPr="008D530C">
        <w:rPr>
          <w:rFonts w:ascii="Palatino Linotype" w:hAnsi="Palatino Linotype" w:eastAsia="Palatino Linotype" w:cs="Times New Roman"/>
          <w:kern w:val="0"/>
          <w14:ligatures w14:val="none"/>
        </w:rPr>
        <w:t>; and ε</w:t>
      </w:r>
      <w:r w:rsidRPr="008D530C">
        <w:rPr>
          <w:rFonts w:ascii="Times New Roman" w:hAnsi="Times New Roman" w:eastAsia="Palatino Linotype" w:cs="Times New Roman"/>
          <w:kern w:val="0"/>
          <w14:ligatures w14:val="none"/>
        </w:rPr>
        <w:t>ᵢ</w:t>
      </w:r>
      <w:r w:rsidRPr="008D530C">
        <w:rPr>
          <w:rFonts w:ascii="Palatino Linotype" w:hAnsi="Palatino Linotype" w:eastAsia="Palatino Linotype" w:cs="Times New Roman"/>
          <w:kern w:val="0"/>
          <w14:ligatures w14:val="none"/>
        </w:rPr>
        <w:t xml:space="preserve"> is the error term.</w:t>
      </w:r>
    </w:p>
    <w:p w:rsidRPr="008D530C" w:rsidR="00AA023E" w:rsidP="008D530C" w:rsidRDefault="00AA023E" w14:paraId="77E8C69A" w14:textId="77777777">
      <w:pPr>
        <w:spacing w:before="120" w:after="0" w:line="240" w:lineRule="auto"/>
        <w:rPr>
          <w:rFonts w:ascii="Palatino Linotype" w:hAnsi="Palatino Linotype" w:eastAsia="Palatino Linotype" w:cs="Times New Roman"/>
          <w:kern w:val="0"/>
          <w14:ligatures w14:val="none"/>
        </w:rPr>
      </w:pPr>
    </w:p>
    <w:p w:rsidRPr="008D530C" w:rsidR="008D530C" w:rsidP="009432EF" w:rsidRDefault="008D530C" w14:paraId="3817FDCD" w14:textId="77777777">
      <w:pPr>
        <w:pStyle w:val="Heading3"/>
        <w:numPr>
          <w:ilvl w:val="1"/>
          <w:numId w:val="7"/>
        </w:numPr>
        <w:spacing w:before="360" w:after="0"/>
        <w:rPr>
          <w:rFonts w:eastAsia="Palatino Linotype"/>
        </w:rPr>
      </w:pPr>
      <w:r w:rsidRPr="008D530C">
        <w:rPr>
          <w:rFonts w:eastAsia="Palatino Linotype"/>
        </w:rPr>
        <w:t>Project Initiation Regression (Project-Level)</w:t>
      </w:r>
    </w:p>
    <w:p w:rsidRPr="00CB6DD1" w:rsidR="000D6CFE" w:rsidP="000D6CFE" w:rsidRDefault="000D6CFE" w14:paraId="0B70850E" w14:textId="77777777">
      <w:pPr>
        <w:spacing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The Project Initiation regression estimates </w:t>
      </w:r>
      <w:r>
        <w:rPr>
          <w:rFonts w:ascii="Palatino Linotype" w:hAnsi="Palatino Linotype" w:eastAsia="Palatino Linotype" w:cs="Times New Roman"/>
          <w:kern w:val="0"/>
          <w14:ligatures w14:val="none"/>
        </w:rPr>
        <w:t>whether equity-priority populations are associated with differences in the likelihood</w:t>
      </w:r>
      <w:r w:rsidRPr="008D530C">
        <w:rPr>
          <w:rFonts w:ascii="Palatino Linotype" w:hAnsi="Palatino Linotype" w:eastAsia="Palatino Linotype" w:cs="Times New Roman"/>
          <w:kern w:val="0"/>
          <w14:ligatures w14:val="none"/>
        </w:rPr>
        <w:t xml:space="preserve"> of project initiation </w:t>
      </w:r>
      <w:r>
        <w:rPr>
          <w:rFonts w:ascii="Palatino Linotype" w:hAnsi="Palatino Linotype" w:eastAsia="Palatino Linotype" w:cs="Times New Roman"/>
          <w:kern w:val="0"/>
          <w14:ligatures w14:val="none"/>
        </w:rPr>
        <w:t>after accounting for planning need and relevant</w:t>
      </w:r>
      <w:r w:rsidRPr="008D530C">
        <w:rPr>
          <w:rFonts w:ascii="Palatino Linotype" w:hAnsi="Palatino Linotype" w:eastAsia="Palatino Linotype" w:cs="Times New Roman"/>
          <w:kern w:val="0"/>
          <w14:ligatures w14:val="none"/>
        </w:rPr>
        <w:t xml:space="preserve"> project characteristics. </w:t>
      </w:r>
      <w:r w:rsidRPr="00CB6DD1">
        <w:rPr>
          <w:rFonts w:ascii="Palatino Linotype" w:hAnsi="Palatino Linotype" w:eastAsia="Palatino Linotype" w:cs="Times New Roman"/>
          <w:kern w:val="0"/>
          <w14:ligatures w14:val="none"/>
        </w:rPr>
        <w:t xml:space="preserve">The model </w:t>
      </w:r>
      <w:proofErr w:type="gramStart"/>
      <w:r w:rsidRPr="00CB6DD1">
        <w:rPr>
          <w:rFonts w:ascii="Palatino Linotype" w:hAnsi="Palatino Linotype" w:eastAsia="Palatino Linotype" w:cs="Times New Roman"/>
          <w:kern w:val="0"/>
          <w14:ligatures w14:val="none"/>
        </w:rPr>
        <w:t>shall</w:t>
      </w:r>
      <w:proofErr w:type="gramEnd"/>
      <w:r w:rsidRPr="00CB6DD1">
        <w:rPr>
          <w:rFonts w:ascii="Palatino Linotype" w:hAnsi="Palatino Linotype" w:eastAsia="Palatino Linotype" w:cs="Times New Roman"/>
          <w:kern w:val="0"/>
          <w14:ligatures w14:val="none"/>
        </w:rPr>
        <w:t xml:space="preserve"> be estimated using </w:t>
      </w:r>
      <w:r w:rsidRPr="00CB6DD1">
        <w:rPr>
          <w:rFonts w:ascii="Palatino Linotype" w:hAnsi="Palatino Linotype" w:eastAsia="Palatino Linotype" w:cs="Times New Roman"/>
          <w:kern w:val="0"/>
          <w14:ligatures w14:val="none"/>
        </w:rPr>
        <w:lastRenderedPageBreak/>
        <w:t>logistic regression or another statistically appropriate classification method selected by Energy Division.</w:t>
      </w:r>
    </w:p>
    <w:p w:rsidR="00062E4C" w:rsidP="00F53895" w:rsidRDefault="000D6CFE" w14:paraId="0002098E" w14:textId="77777777">
      <w:pPr>
        <w:keepNext/>
        <w:spacing w:before="120" w:after="0" w:line="240" w:lineRule="auto"/>
        <w:rPr>
          <w:rFonts w:ascii="Palatino Linotype" w:hAnsi="Palatino Linotype" w:eastAsia="Palatino Linotype" w:cs="Times New Roman"/>
          <w:kern w:val="0"/>
          <w14:ligatures w14:val="none"/>
        </w:rPr>
      </w:pPr>
      <w:r w:rsidRPr="00CB6DD1">
        <w:rPr>
          <w:rFonts w:ascii="Palatino Linotype" w:hAnsi="Palatino Linotype" w:eastAsia="Palatino Linotype" w:cs="Times New Roman"/>
          <w:kern w:val="0"/>
          <w14:ligatures w14:val="none"/>
        </w:rPr>
        <w:t>The general form of the model is:</w:t>
      </w:r>
    </w:p>
    <w:p w:rsidR="00425C5E" w:rsidP="00F53895" w:rsidRDefault="000D6CFE" w14:paraId="76AD2CEB" w14:textId="0DF4B64B">
      <w:pPr>
        <w:keepNext/>
        <w:spacing w:before="120" w:after="0" w:line="240" w:lineRule="auto"/>
        <w:rPr>
          <w:rFonts w:ascii="Palatino Linotype" w:hAnsi="Palatino Linotype" w:eastAsia="Palatino Linotype" w:cs="Times New Roman"/>
          <w:kern w:val="0"/>
          <w14:ligatures w14:val="none"/>
        </w:rPr>
      </w:pPr>
      <m:oMathPara>
        <m:oMath>
          <m:r>
            <m:rPr>
              <m:sty m:val="bi"/>
            </m:rPr>
            <w:rPr>
              <w:rFonts w:ascii="Cambria Math" w:hAnsi="Cambria Math" w:eastAsia="Palatino Linotype"/>
            </w:rPr>
            <m:t>Logit </m:t>
          </m:r>
          <m:d>
            <m:dPr>
              <m:ctrlPr>
                <w:rPr>
                  <w:rFonts w:ascii="Cambria Math" w:hAnsi="Cambria Math" w:eastAsia="Palatino Linotype"/>
                  <w:b/>
                  <w:bCs/>
                  <w:i/>
                  <w:iCs/>
                </w:rPr>
              </m:ctrlPr>
            </m:dPr>
            <m:e>
              <m:r>
                <m:rPr>
                  <m:sty m:val="bi"/>
                </m:rPr>
                <w:rPr>
                  <w:rFonts w:ascii="Cambria Math" w:hAnsi="Cambria Math" w:eastAsia="Palatino Linotype"/>
                </w:rPr>
                <m:t>Project </m:t>
              </m:r>
              <m:d>
                <m:dPr>
                  <m:ctrlPr>
                    <w:rPr>
                      <w:rFonts w:ascii="Cambria Math" w:hAnsi="Cambria Math" w:eastAsia="Palatino Linotype"/>
                      <w:b/>
                      <w:bCs/>
                      <w:i/>
                      <w:iCs/>
                    </w:rPr>
                  </m:ctrlPr>
                </m:dPr>
                <m:e>
                  <m:r>
                    <m:rPr>
                      <m:sty m:val="bi"/>
                    </m:rPr>
                    <w:rPr>
                      <w:rFonts w:ascii="Cambria Math" w:hAnsi="Cambria Math" w:eastAsia="Palatino Linotype"/>
                    </w:rPr>
                    <m:t>Initiated=1</m:t>
                  </m:r>
                </m:e>
              </m:d>
            </m:e>
          </m:d>
          <m:r>
            <w:rPr>
              <w:rFonts w:ascii="Cambria Math" w:hAnsi="Cambria Math" w:eastAsia="Palatino Linotyp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m:oMathPara>
    </w:p>
    <w:p w:rsidR="00B51818" w:rsidP="00B51818" w:rsidRDefault="00B51818" w14:paraId="6CA13478" w14:textId="77777777">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Where </w:t>
      </w:r>
      <w:r>
        <w:rPr>
          <w:rFonts w:ascii="Palatino Linotype" w:hAnsi="Palatino Linotype" w:eastAsia="Palatino Linotype" w:cs="Times New Roman"/>
          <w:kern w:val="0"/>
          <w14:ligatures w14:val="none"/>
        </w:rPr>
        <w:t xml:space="preserve">Project </w:t>
      </w:r>
      <w:r w:rsidRPr="0064075C">
        <w:rPr>
          <w:rFonts w:ascii="Palatino Linotype" w:hAnsi="Palatino Linotype" w:eastAsia="Palatino Linotype" w:cs="Times New Roman"/>
          <w:kern w:val="0"/>
          <w14:ligatures w14:val="none"/>
        </w:rPr>
        <w:t>Initiated</w:t>
      </w:r>
      <w:r>
        <w:rPr>
          <w:rFonts w:ascii="Palatino Linotype" w:hAnsi="Palatino Linotype" w:eastAsia="Palatino Linotype" w:cs="Times New Roman"/>
          <w:kern w:val="0"/>
          <w14:ligatures w14:val="none"/>
        </w:rPr>
        <w:t xml:space="preserve"> is a binary indicator reflecting whether a project has been initiated according to the utility’s documented criteria; </w:t>
      </w:r>
      <w:r w:rsidRPr="00123DD2">
        <w:rPr>
          <w:rFonts w:ascii="Palatino Linotype" w:hAnsi="Palatino Linotype" w:eastAsia="Palatino Linotype" w:cs="Times New Roman"/>
          <w:kern w:val="0"/>
          <w14:ligatures w14:val="none"/>
        </w:rPr>
        <w:t xml:space="preserve">Controls include relevant planning, engineering, </w:t>
      </w:r>
      <w:r>
        <w:rPr>
          <w:rFonts w:ascii="Palatino Linotype" w:hAnsi="Palatino Linotype" w:eastAsia="Palatino Linotype" w:cs="Times New Roman"/>
          <w:kern w:val="0"/>
          <w14:ligatures w14:val="none"/>
        </w:rPr>
        <w:t>dem</w:t>
      </w:r>
      <w:r w:rsidRPr="00123DD2">
        <w:rPr>
          <w:rFonts w:ascii="Palatino Linotype" w:hAnsi="Palatino Linotype" w:eastAsia="Palatino Linotype" w:cs="Times New Roman"/>
          <w:kern w:val="0"/>
          <w14:ligatures w14:val="none"/>
        </w:rPr>
        <w:t>ographic, operational, and project-level variables</w:t>
      </w:r>
      <w:r w:rsidRPr="0064075C">
        <w:rPr>
          <w:rFonts w:ascii="Palatino Linotype" w:hAnsi="Palatino Linotype" w:eastAsia="Palatino Linotype" w:cs="Times New Roman"/>
          <w:kern w:val="0"/>
          <w14:ligatures w14:val="none"/>
        </w:rPr>
        <w:t>; and ε</w:t>
      </w:r>
      <w:r w:rsidRPr="0064075C">
        <w:rPr>
          <w:rFonts w:ascii="Times New Roman" w:hAnsi="Times New Roman" w:eastAsia="Palatino Linotype" w:cs="Times New Roman"/>
          <w:kern w:val="0"/>
          <w14:ligatures w14:val="none"/>
        </w:rPr>
        <w:t>ᵢ</w:t>
      </w:r>
      <w:r w:rsidRPr="0064075C">
        <w:rPr>
          <w:rFonts w:ascii="Palatino Linotype" w:hAnsi="Palatino Linotype" w:eastAsia="Palatino Linotype" w:cs="Times New Roman"/>
          <w:kern w:val="0"/>
          <w14:ligatures w14:val="none"/>
        </w:rPr>
        <w:t xml:space="preserve"> is the error term.</w:t>
      </w:r>
      <w:r w:rsidRPr="00700FD4" w:rsidR="00700FD4">
        <w:t xml:space="preserve"> </w:t>
      </w:r>
      <w:r w:rsidRPr="00700FD4" w:rsidR="00700FD4">
        <w:rPr>
          <w:rFonts w:ascii="Palatino Linotype" w:hAnsi="Palatino Linotype" w:eastAsia="Palatino Linotype" w:cs="Times New Roman"/>
          <w:kern w:val="0"/>
          <w14:ligatures w14:val="none"/>
        </w:rPr>
        <w:t>Final control variables shall be selected by Energy Division based on data diagnostics, correlation testing, and robustness checks; where control variables such as project size (MW) and estimated cost are highly correlated, Energy Division may use alternative specifications, including normalized measures such as cost per MW.</w:t>
      </w:r>
      <w:r w:rsidR="00700FD4">
        <w:rPr>
          <w:rFonts w:ascii="Palatino Linotype" w:hAnsi="Palatino Linotype" w:eastAsia="Palatino Linotype" w:cs="Times New Roman"/>
          <w:kern w:val="0"/>
          <w14:ligatures w14:val="none"/>
        </w:rPr>
        <w:t xml:space="preserve"> </w:t>
      </w:r>
      <w:r w:rsidRPr="0064075C">
        <w:rPr>
          <w:rFonts w:ascii="Palatino Linotype" w:hAnsi="Palatino Linotype" w:eastAsia="Palatino Linotype" w:cs="Times New Roman"/>
          <w:kern w:val="0"/>
          <w14:ligatures w14:val="none"/>
        </w:rPr>
        <w:t xml:space="preserve"> </w:t>
      </w:r>
    </w:p>
    <w:p w:rsidR="00B51818" w:rsidP="008D530C" w:rsidRDefault="00B51818" w14:paraId="7F66DE98" w14:textId="77777777">
      <w:pPr>
        <w:spacing w:before="120" w:after="0" w:line="240" w:lineRule="auto"/>
        <w:rPr>
          <w:rFonts w:ascii="Palatino Linotype" w:hAnsi="Palatino Linotype" w:eastAsia="Palatino Linotype" w:cs="Times New Roman"/>
          <w:kern w:val="0"/>
          <w14:ligatures w14:val="none"/>
        </w:rPr>
      </w:pPr>
    </w:p>
    <w:p w:rsidR="0064075C" w:rsidP="009432EF" w:rsidRDefault="0064075C" w14:paraId="287668ED" w14:textId="77777777">
      <w:pPr>
        <w:pStyle w:val="Heading3"/>
        <w:numPr>
          <w:ilvl w:val="1"/>
          <w:numId w:val="7"/>
        </w:numPr>
        <w:spacing w:before="360" w:after="0"/>
        <w:rPr>
          <w:rFonts w:eastAsia="Palatino Linotype"/>
        </w:rPr>
      </w:pPr>
      <w:r w:rsidRPr="0064075C">
        <w:rPr>
          <w:rFonts w:eastAsia="Palatino Linotype"/>
        </w:rPr>
        <w:t>Model Results and Documentation</w:t>
      </w:r>
    </w:p>
    <w:p w:rsidR="00180D65" w:rsidP="00180D65" w:rsidRDefault="00180D65" w14:paraId="61A421BD" w14:textId="77777777">
      <w:pPr>
        <w:spacing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For each regression model, Energy Division shall prepare and publish the following outputs as part of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64075C">
        <w:rPr>
          <w:rFonts w:ascii="Palatino Linotype" w:hAnsi="Palatino Linotype" w:eastAsia="Palatino Linotype" w:cs="Times New Roman"/>
          <w:kern w:val="0"/>
          <w14:ligatures w14:val="none"/>
        </w:rPr>
        <w:t xml:space="preserve">: estimated coefficients and standard errors for each variable; p-values for each coefficient; R-squared values for the Load Growth and Available Headroom models; pseudo R-squared values for the Project Initiation model; sample size; results of </w:t>
      </w:r>
      <w:r>
        <w:rPr>
          <w:rFonts w:ascii="Palatino Linotype" w:hAnsi="Palatino Linotype" w:eastAsia="Palatino Linotype" w:cs="Times New Roman"/>
          <w:kern w:val="0"/>
          <w14:ligatures w14:val="none"/>
        </w:rPr>
        <w:t xml:space="preserve">diagnostic testing, including </w:t>
      </w:r>
      <w:r w:rsidRPr="0064075C">
        <w:rPr>
          <w:rFonts w:ascii="Palatino Linotype" w:hAnsi="Palatino Linotype" w:eastAsia="Palatino Linotype" w:cs="Times New Roman"/>
          <w:kern w:val="0"/>
          <w14:ligatures w14:val="none"/>
        </w:rPr>
        <w:t xml:space="preserve">multicollinearity </w:t>
      </w:r>
      <w:r>
        <w:rPr>
          <w:rFonts w:ascii="Palatino Linotype" w:hAnsi="Palatino Linotype" w:eastAsia="Palatino Linotype" w:cs="Times New Roman"/>
          <w:kern w:val="0"/>
          <w14:ligatures w14:val="none"/>
        </w:rPr>
        <w:t>assessments where appropriate</w:t>
      </w:r>
      <w:r w:rsidRPr="0064075C">
        <w:rPr>
          <w:rFonts w:ascii="Palatino Linotype" w:hAnsi="Palatino Linotype" w:eastAsia="Palatino Linotype" w:cs="Times New Roman"/>
          <w:kern w:val="0"/>
          <w14:ligatures w14:val="none"/>
        </w:rPr>
        <w:t>; and a narrative summary of model results, interpretation guidance, and description of assumptions and data limitations.</w:t>
      </w:r>
      <w:r w:rsidR="0036355B">
        <w:rPr>
          <w:rFonts w:ascii="Palatino Linotype" w:hAnsi="Palatino Linotype" w:eastAsia="Palatino Linotype" w:cs="Times New Roman"/>
          <w:kern w:val="0"/>
          <w14:ligatures w14:val="none"/>
        </w:rPr>
        <w:t xml:space="preserve"> </w:t>
      </w:r>
      <w:r w:rsidRPr="0036355B" w:rsidR="0036355B">
        <w:rPr>
          <w:rFonts w:ascii="Palatino Linotype" w:hAnsi="Palatino Linotype" w:eastAsia="Palatino Linotype" w:cs="Times New Roman"/>
          <w:kern w:val="0"/>
          <w14:ligatures w14:val="none"/>
        </w:rPr>
        <w:t>The narrative summary shall include guidance on the interpretation of coefficient estimates for equity-priority variables, including the circumstances under which results warrant further review.</w:t>
      </w:r>
    </w:p>
    <w:p w:rsidR="00FE64CD" w:rsidP="00F571D8" w:rsidRDefault="00FE64CD" w14:paraId="70AF4119" w14:textId="77777777">
      <w:pPr>
        <w:spacing w:after="0" w:line="240" w:lineRule="auto"/>
        <w:rPr>
          <w:rFonts w:ascii="Palatino Linotype" w:hAnsi="Palatino Linotype" w:eastAsia="Palatino Linotype" w:cs="Times New Roman"/>
          <w:kern w:val="0"/>
          <w14:ligatures w14:val="none"/>
        </w:rPr>
      </w:pPr>
    </w:p>
    <w:p w:rsidR="00180D65" w:rsidP="00F571D8" w:rsidRDefault="00635A71" w14:paraId="0E615C70" w14:textId="77777777">
      <w:pPr>
        <w:spacing w:after="0" w:line="240" w:lineRule="auto"/>
        <w:rPr>
          <w:rFonts w:ascii="Palatino Linotype" w:hAnsi="Palatino Linotype" w:eastAsia="Palatino Linotype" w:cs="Times New Roman"/>
          <w:kern w:val="0"/>
          <w14:ligatures w14:val="none"/>
        </w:rPr>
      </w:pPr>
      <w:r w:rsidRPr="00635A71">
        <w:rPr>
          <w:rFonts w:ascii="Palatino Linotype" w:hAnsi="Palatino Linotype" w:eastAsia="Palatino Linotype" w:cs="Times New Roman"/>
          <w:kern w:val="0"/>
          <w14:ligatures w14:val="none"/>
        </w:rPr>
        <w:t>Because the regression models estimate average relationships across the full sample, Energy Division may, where data completeness and sample size permit, supplement regression results with complementary analytical approaches</w:t>
      </w:r>
      <w:r>
        <w:rPr>
          <w:rFonts w:ascii="Palatino Linotype" w:hAnsi="Palatino Linotype" w:eastAsia="Palatino Linotype" w:cs="Times New Roman"/>
          <w:kern w:val="0"/>
          <w14:ligatures w14:val="none"/>
        </w:rPr>
        <w:t>,</w:t>
      </w:r>
      <w:r w:rsidRPr="00635A71">
        <w:rPr>
          <w:rFonts w:ascii="Palatino Linotype" w:hAnsi="Palatino Linotype" w:eastAsia="Palatino Linotype" w:cs="Times New Roman"/>
          <w:kern w:val="0"/>
          <w14:ligatures w14:val="none"/>
        </w:rPr>
        <w:t xml:space="preserve"> such as circuit comparison, scoring, matched comparison groups, or propensity score methods</w:t>
      </w:r>
      <w:r>
        <w:rPr>
          <w:rFonts w:ascii="Palatino Linotype" w:hAnsi="Palatino Linotype" w:eastAsia="Palatino Linotype" w:cs="Times New Roman"/>
          <w:kern w:val="0"/>
          <w14:ligatures w14:val="none"/>
        </w:rPr>
        <w:t>,</w:t>
      </w:r>
      <w:r w:rsidRPr="00635A71">
        <w:rPr>
          <w:rFonts w:ascii="Palatino Linotype" w:hAnsi="Palatino Linotype" w:eastAsia="Palatino Linotype" w:cs="Times New Roman"/>
          <w:kern w:val="0"/>
          <w14:ligatures w14:val="none"/>
        </w:rPr>
        <w:t xml:space="preserve"> to assess whether equity-priority circuits or projects with similar planning characteristics receive comparable planning treatment relative to otherwise similar circuits or projects. Identification of a circuit or project through such analysis does not constitute a determination of inequity but may indicate that additional review is warranted.</w:t>
      </w:r>
    </w:p>
    <w:p w:rsidRPr="0064075C" w:rsidR="0064075C" w:rsidP="009432EF" w:rsidRDefault="0064075C" w14:paraId="4823EE02" w14:textId="77777777">
      <w:pPr>
        <w:pStyle w:val="Heading2"/>
        <w:numPr>
          <w:ilvl w:val="0"/>
          <w:numId w:val="7"/>
        </w:numPr>
        <w:spacing w:before="360" w:after="0"/>
        <w:rPr>
          <w:rFonts w:eastAsia="Palatino Linotype"/>
        </w:rPr>
      </w:pPr>
      <w:r w:rsidRPr="0064075C">
        <w:rPr>
          <w:rFonts w:eastAsia="Palatino Linotype"/>
        </w:rPr>
        <w:lastRenderedPageBreak/>
        <w:t>Definition of Equity in Distribution Planning</w:t>
      </w:r>
    </w:p>
    <w:p w:rsidRPr="0064075C" w:rsidR="0064075C" w:rsidP="009432EF" w:rsidRDefault="0064075C" w14:paraId="256E9AD8" w14:textId="77777777">
      <w:pPr>
        <w:pStyle w:val="Heading3"/>
        <w:numPr>
          <w:ilvl w:val="1"/>
          <w:numId w:val="7"/>
        </w:numPr>
        <w:spacing w:after="0"/>
        <w:rPr>
          <w:rFonts w:eastAsia="Palatino Linotype"/>
        </w:rPr>
      </w:pPr>
      <w:r w:rsidRPr="0064075C">
        <w:rPr>
          <w:rFonts w:eastAsia="Palatino Linotype"/>
        </w:rPr>
        <w:t>Interpretation of Equitable Access and Timely Manner</w:t>
      </w:r>
    </w:p>
    <w:p w:rsidRPr="0064075C" w:rsidR="0064075C" w:rsidP="0064075C" w:rsidRDefault="0064075C" w14:paraId="1F371B53" w14:textId="17305A2A">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Vote Solar/CBD raised concerns about the Joint Utilities' interpretation of equity in distribution planning as "equitable access to distribution service for historically at-risk communities, based on income, geography, race, ethnicity, or health condition," and specifically about the phrase "as the need arises" as a basis for determining when distribution capacity upgrades should occur</w:t>
      </w:r>
      <w:r w:rsidR="006756A9">
        <w:rPr>
          <w:rFonts w:ascii="Palatino Linotype" w:hAnsi="Palatino Linotype" w:eastAsia="Palatino Linotype" w:cs="Times New Roman"/>
          <w:kern w:val="0"/>
          <w14:ligatures w14:val="none"/>
        </w:rPr>
        <w:t>.</w:t>
      </w:r>
      <w:r w:rsidR="006328D1">
        <w:rPr>
          <w:rStyle w:val="FootnoteReference"/>
          <w:rFonts w:ascii="Palatino Linotype" w:hAnsi="Palatino Linotype" w:eastAsia="Palatino Linotype" w:cs="Times New Roman"/>
          <w:kern w:val="0"/>
          <w14:ligatures w14:val="none"/>
        </w:rPr>
        <w:footnoteReference w:id="20"/>
      </w:r>
      <w:r w:rsidRPr="0064075C">
        <w:rPr>
          <w:rFonts w:ascii="Palatino Linotype" w:hAnsi="Palatino Linotype" w:eastAsia="Palatino Linotype" w:cs="Times New Roman"/>
          <w:kern w:val="0"/>
          <w14:ligatures w14:val="none"/>
        </w:rPr>
        <w:t xml:space="preserve"> Vote Solar/CBD argued that the need for capacity upgrades already exists across California, and recommended the Commission establish a timeline to define what constitutes a timely manner for grid upgrades, particularly for circuits with lower headroom in low-income communities.</w:t>
      </w:r>
    </w:p>
    <w:p w:rsidR="00A756AC" w:rsidP="0064075C" w:rsidRDefault="0064075C" w14:paraId="36262644" w14:textId="57E8676E">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The Commission </w:t>
      </w:r>
      <w:r w:rsidRPr="0064075C" w:rsidDel="00BE24A5">
        <w:rPr>
          <w:rFonts w:ascii="Palatino Linotype" w:hAnsi="Palatino Linotype" w:eastAsia="Palatino Linotype" w:cs="Times New Roman"/>
          <w:kern w:val="0"/>
          <w14:ligatures w14:val="none"/>
        </w:rPr>
        <w:t>finds that</w:t>
      </w:r>
      <w:r w:rsidRPr="0064075C">
        <w:rPr>
          <w:rFonts w:ascii="Palatino Linotype" w:hAnsi="Palatino Linotype" w:eastAsia="Palatino Linotype" w:cs="Times New Roman"/>
          <w:kern w:val="0"/>
          <w14:ligatures w14:val="none"/>
        </w:rPr>
        <w:t xml:space="preserve"> </w:t>
      </w:r>
      <w:r w:rsidRPr="6CC67ED7" w:rsidR="003D2DA5">
        <w:rPr>
          <w:rFonts w:ascii="Palatino Linotype" w:hAnsi="Palatino Linotype" w:eastAsia="Palatino Linotype" w:cs="Times New Roman"/>
        </w:rPr>
        <w:t xml:space="preserve">having a definition of </w:t>
      </w:r>
      <w:r w:rsidRPr="6CC67ED7" w:rsidR="004E2717">
        <w:rPr>
          <w:rFonts w:ascii="Palatino Linotype" w:hAnsi="Palatino Linotype" w:eastAsia="Palatino Linotype" w:cs="Times New Roman"/>
        </w:rPr>
        <w:t xml:space="preserve">equitable access is helpful and we draw upon </w:t>
      </w:r>
      <w:r>
        <w:rPr>
          <w:rFonts w:ascii="Palatino Linotype" w:hAnsi="Palatino Linotype" w:eastAsia="Palatino Linotype" w:cs="Times New Roman"/>
          <w:kern w:val="0"/>
          <w14:ligatures w14:val="none"/>
        </w:rPr>
        <w:t xml:space="preserve">the </w:t>
      </w:r>
      <w:r w:rsidRPr="0064075C">
        <w:rPr>
          <w:rFonts w:ascii="Palatino Linotype" w:hAnsi="Palatino Linotype" w:eastAsia="Palatino Linotype" w:cs="Times New Roman"/>
          <w:kern w:val="0"/>
          <w14:ligatures w14:val="none"/>
        </w:rPr>
        <w:t>presentation</w:t>
      </w:r>
      <w:r w:rsidRPr="6CC67ED7" w:rsidR="00560053">
        <w:rPr>
          <w:rFonts w:ascii="Palatino Linotype" w:hAnsi="Palatino Linotype" w:eastAsia="Palatino Linotype" w:cs="Times New Roman"/>
        </w:rPr>
        <w:t xml:space="preserve"> by PhD. Duncan Callaway</w:t>
      </w:r>
      <w:r w:rsidRPr="0064075C">
        <w:rPr>
          <w:rFonts w:ascii="Palatino Linotype" w:hAnsi="Palatino Linotype" w:eastAsia="Palatino Linotype" w:cs="Times New Roman"/>
          <w:kern w:val="0"/>
          <w14:ligatures w14:val="none"/>
        </w:rPr>
        <w:t xml:space="preserve"> at the January 21, 2025 </w:t>
      </w:r>
      <w:r>
        <w:rPr>
          <w:rFonts w:ascii="Palatino Linotype" w:hAnsi="Palatino Linotype" w:eastAsia="Palatino Linotype" w:cs="Times New Roman"/>
          <w:kern w:val="0"/>
          <w14:ligatures w14:val="none"/>
        </w:rPr>
        <w:t xml:space="preserve">“Equity Metrics” </w:t>
      </w:r>
      <w:r w:rsidRPr="0064075C">
        <w:rPr>
          <w:rFonts w:ascii="Palatino Linotype" w:hAnsi="Palatino Linotype" w:eastAsia="Palatino Linotype" w:cs="Times New Roman"/>
          <w:kern w:val="0"/>
          <w14:ligatures w14:val="none"/>
        </w:rPr>
        <w:t>workshop</w:t>
      </w:r>
      <w:r w:rsidR="008F4464">
        <w:rPr>
          <w:rFonts w:ascii="Palatino Linotype" w:hAnsi="Palatino Linotype" w:eastAsia="Palatino Linotype" w:cs="Times New Roman"/>
          <w:kern w:val="0"/>
          <w14:ligatures w14:val="none"/>
        </w:rPr>
        <w:t>.</w:t>
      </w:r>
      <w:r>
        <w:rPr>
          <w:rStyle w:val="FootnoteReference"/>
          <w:rFonts w:ascii="Palatino Linotype" w:hAnsi="Palatino Linotype" w:eastAsia="Palatino Linotype" w:cs="Times New Roman"/>
          <w:kern w:val="0"/>
          <w14:ligatures w14:val="none"/>
        </w:rPr>
        <w:footnoteReference w:id="21"/>
      </w:r>
      <w:r w:rsidRPr="0064075C">
        <w:rPr>
          <w:rFonts w:ascii="Palatino Linotype" w:hAnsi="Palatino Linotype" w:eastAsia="Palatino Linotype" w:cs="Times New Roman"/>
          <w:kern w:val="0"/>
          <w14:ligatures w14:val="none"/>
        </w:rPr>
        <w:t xml:space="preserve"> </w:t>
      </w:r>
      <w:r w:rsidRPr="6CC67ED7" w:rsidR="00984E12">
        <w:rPr>
          <w:rFonts w:ascii="Palatino Linotype" w:hAnsi="Palatino Linotype" w:eastAsia="Palatino Linotype" w:cs="Times New Roman"/>
        </w:rPr>
        <w:t xml:space="preserve"> </w:t>
      </w:r>
      <w:r w:rsidRPr="6CC67ED7" w:rsidR="00444D7F">
        <w:rPr>
          <w:rFonts w:ascii="Palatino Linotype" w:hAnsi="Palatino Linotype" w:eastAsia="Palatino Linotype" w:cs="Times New Roman"/>
        </w:rPr>
        <w:t>We agree with his</w:t>
      </w:r>
      <w:r w:rsidRPr="6CC67ED7" w:rsidR="00422D28">
        <w:rPr>
          <w:rFonts w:ascii="Palatino Linotype" w:hAnsi="Palatino Linotype" w:eastAsia="Palatino Linotype" w:cs="Times New Roman"/>
        </w:rPr>
        <w:t xml:space="preserve"> </w:t>
      </w:r>
      <w:r w:rsidRPr="6CC67ED7" w:rsidR="006C361B">
        <w:rPr>
          <w:rFonts w:ascii="Palatino Linotype" w:hAnsi="Palatino Linotype" w:eastAsia="Palatino Linotype" w:cs="Times New Roman"/>
        </w:rPr>
        <w:t>useful</w:t>
      </w:r>
      <w:r w:rsidRPr="6CC67ED7" w:rsidR="00A439C7">
        <w:rPr>
          <w:rFonts w:ascii="Palatino Linotype" w:hAnsi="Palatino Linotype" w:eastAsia="Palatino Linotype" w:cs="Times New Roman"/>
        </w:rPr>
        <w:t xml:space="preserve"> </w:t>
      </w:r>
      <w:r w:rsidRPr="6CC67ED7" w:rsidR="00422D28">
        <w:rPr>
          <w:rFonts w:ascii="Palatino Linotype" w:hAnsi="Palatino Linotype" w:eastAsia="Palatino Linotype" w:cs="Times New Roman"/>
        </w:rPr>
        <w:t>observation</w:t>
      </w:r>
      <w:r w:rsidRPr="6CC67ED7" w:rsidR="00A439C7">
        <w:rPr>
          <w:rFonts w:ascii="Palatino Linotype" w:hAnsi="Palatino Linotype" w:eastAsia="Palatino Linotype" w:cs="Times New Roman"/>
        </w:rPr>
        <w:t>s</w:t>
      </w:r>
      <w:r w:rsidRPr="6CC67ED7" w:rsidR="00422D28">
        <w:rPr>
          <w:rFonts w:ascii="Palatino Linotype" w:hAnsi="Palatino Linotype" w:eastAsia="Palatino Linotype" w:cs="Times New Roman"/>
        </w:rPr>
        <w:t xml:space="preserve"> that </w:t>
      </w:r>
      <w:r w:rsidRPr="6CC67ED7" w:rsidR="005C0DE4">
        <w:rPr>
          <w:rFonts w:ascii="Palatino Linotype" w:hAnsi="Palatino Linotype" w:eastAsia="Palatino Linotype" w:cs="Times New Roman"/>
        </w:rPr>
        <w:t xml:space="preserve">“Equitable access [means] access (ability to connect, time to wait for the ability) is independent of factors like race, ethnicity, income and linguistic isolation.” Additionally, </w:t>
      </w:r>
      <w:r w:rsidRPr="6CC67ED7" w:rsidR="0E33B96B">
        <w:rPr>
          <w:rFonts w:ascii="Palatino Linotype" w:hAnsi="Palatino Linotype" w:eastAsia="Palatino Linotype" w:cs="Times New Roman"/>
        </w:rPr>
        <w:t xml:space="preserve">we </w:t>
      </w:r>
      <w:r w:rsidRPr="0D882A7F" w:rsidR="0E33B96B">
        <w:rPr>
          <w:rFonts w:ascii="Palatino Linotype" w:hAnsi="Palatino Linotype" w:eastAsia="Palatino Linotype" w:cs="Times New Roman"/>
        </w:rPr>
        <w:t xml:space="preserve">concur that </w:t>
      </w:r>
      <w:r w:rsidRPr="0D882A7F" w:rsidR="005C0DE4">
        <w:rPr>
          <w:rFonts w:ascii="Palatino Linotype" w:hAnsi="Palatino Linotype" w:eastAsia="Palatino Linotype" w:cs="Times New Roman"/>
        </w:rPr>
        <w:t>equitable</w:t>
      </w:r>
      <w:r w:rsidRPr="6CC67ED7" w:rsidR="005C0DE4">
        <w:rPr>
          <w:rFonts w:ascii="Palatino Linotype" w:hAnsi="Palatino Linotype" w:eastAsia="Palatino Linotype" w:cs="Times New Roman"/>
        </w:rPr>
        <w:t xml:space="preserve"> access in distribution planning means that “projects that get approved and built are used and useful, this contains ratepayer costs while ensuring access</w:t>
      </w:r>
      <w:r w:rsidRPr="6CC67ED7" w:rsidR="00984D7B">
        <w:rPr>
          <w:rFonts w:ascii="Palatino Linotype" w:hAnsi="Palatino Linotype" w:eastAsia="Palatino Linotype" w:cs="Times New Roman"/>
        </w:rPr>
        <w:t xml:space="preserve">.  </w:t>
      </w:r>
      <w:r w:rsidRPr="6CC67ED7" w:rsidR="005C0DE4">
        <w:rPr>
          <w:rFonts w:ascii="Palatino Linotype" w:hAnsi="Palatino Linotype" w:eastAsia="Palatino Linotype" w:cs="Times New Roman"/>
        </w:rPr>
        <w:t xml:space="preserve">[Utilities] take measure to ensure they can respond to a range of future DER and load adoption scenarios and maintain equitable access.” A fundamental principle </w:t>
      </w:r>
      <w:r w:rsidRPr="6CC67ED7" w:rsidR="00560053">
        <w:rPr>
          <w:rFonts w:ascii="Palatino Linotype" w:hAnsi="Palatino Linotype" w:eastAsia="Palatino Linotype" w:cs="Times New Roman"/>
        </w:rPr>
        <w:t xml:space="preserve">is that </w:t>
      </w:r>
      <w:r w:rsidRPr="6CC67ED7" w:rsidR="00BE24A5">
        <w:rPr>
          <w:rFonts w:ascii="Palatino Linotype" w:hAnsi="Palatino Linotype" w:eastAsia="Palatino Linotype" w:cs="Times New Roman"/>
        </w:rPr>
        <w:t>“Equitable access does not mean all customers have access to the same capacity for new load… but distribution companies must build new capacity as need arises.”</w:t>
      </w:r>
      <w:r w:rsidRPr="6CC67ED7" w:rsidR="00560053">
        <w:rPr>
          <w:rFonts w:ascii="Palatino Linotype" w:hAnsi="Palatino Linotype" w:eastAsia="Palatino Linotype" w:cs="Times New Roman"/>
        </w:rPr>
        <w:t xml:space="preserve"> </w:t>
      </w:r>
    </w:p>
    <w:p w:rsidR="008772F3" w:rsidP="0064075C" w:rsidRDefault="00A756AC" w14:paraId="0AD2AC00" w14:textId="18764B50">
      <w:pPr>
        <w:spacing w:before="120"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Based on this perspective we adopt a definition that draws on some of his ph</w:t>
      </w:r>
      <w:r w:rsidR="00796304">
        <w:rPr>
          <w:rFonts w:ascii="Palatino Linotype" w:hAnsi="Palatino Linotype" w:eastAsia="Palatino Linotype" w:cs="Times New Roman"/>
          <w:kern w:val="0"/>
          <w14:ligatures w14:val="none"/>
        </w:rPr>
        <w:t>r</w:t>
      </w:r>
      <w:r>
        <w:rPr>
          <w:rFonts w:ascii="Palatino Linotype" w:hAnsi="Palatino Linotype" w:eastAsia="Palatino Linotype" w:cs="Times New Roman"/>
          <w:kern w:val="0"/>
          <w14:ligatures w14:val="none"/>
        </w:rPr>
        <w:t>asing and is finalized here:</w:t>
      </w:r>
    </w:p>
    <w:p w:rsidR="00BE24A5" w:rsidP="000561F6" w:rsidRDefault="00F17942" w14:paraId="6EF8EB58" w14:textId="5B068B49">
      <w:pPr>
        <w:spacing w:before="120" w:after="0" w:line="240" w:lineRule="auto"/>
        <w:ind w:left="720"/>
      </w:pPr>
      <w:r>
        <w:rPr>
          <w:rFonts w:ascii="Palatino Linotype" w:hAnsi="Palatino Linotype"/>
        </w:rPr>
        <w:t>“</w:t>
      </w:r>
      <w:r w:rsidR="00A756AC">
        <w:rPr>
          <w:rFonts w:ascii="Palatino Linotype" w:hAnsi="Palatino Linotype"/>
        </w:rPr>
        <w:t>Equitable access in distribution planning means that connection ability and time to wait for connection are independent of race, ethnicity, income, linguistic isolation</w:t>
      </w:r>
      <w:r w:rsidR="009F0B6A">
        <w:rPr>
          <w:rFonts w:ascii="Palatino Linotype" w:hAnsi="Palatino Linotype"/>
        </w:rPr>
        <w:t>, and other</w:t>
      </w:r>
      <w:r w:rsidR="003F2D9F">
        <w:rPr>
          <w:rFonts w:ascii="Palatino Linotype" w:hAnsi="Palatino Linotype"/>
        </w:rPr>
        <w:t xml:space="preserve"> demographic criteria</w:t>
      </w:r>
      <w:r w:rsidR="00A756AC">
        <w:rPr>
          <w:rFonts w:ascii="Palatino Linotype" w:hAnsi="Palatino Linotype"/>
        </w:rPr>
        <w:t xml:space="preserve">. Utilities must </w:t>
      </w:r>
      <w:r w:rsidRPr="00873BC3" w:rsidR="00A756AC">
        <w:rPr>
          <w:rFonts w:ascii="Palatino Linotype" w:hAnsi="Palatino Linotype"/>
        </w:rPr>
        <w:t xml:space="preserve">take measures to respond to a range of future DER and load adoption scenarios </w:t>
      </w:r>
      <w:r w:rsidR="00A756AC">
        <w:rPr>
          <w:rFonts w:ascii="Palatino Linotype" w:hAnsi="Palatino Linotype"/>
        </w:rPr>
        <w:t>while building new capacity consistently across all customer populations</w:t>
      </w:r>
      <w:r w:rsidR="007D030A">
        <w:rPr>
          <w:rFonts w:ascii="Palatino Linotype" w:hAnsi="Palatino Linotype"/>
        </w:rPr>
        <w:t>, as needs arise</w:t>
      </w:r>
      <w:r w:rsidR="00A756AC">
        <w:rPr>
          <w:rFonts w:ascii="Palatino Linotype" w:hAnsi="Palatino Linotype"/>
        </w:rPr>
        <w:t>; this does not mean that all customers have access to equal capacity for new load.</w:t>
      </w:r>
      <w:r>
        <w:rPr>
          <w:rFonts w:ascii="Palatino Linotype" w:hAnsi="Palatino Linotype"/>
        </w:rPr>
        <w:t>”</w:t>
      </w:r>
    </w:p>
    <w:p w:rsidR="00BE24A5" w:rsidP="003B1344" w:rsidRDefault="00957728" w14:paraId="398E2631" w14:textId="6BDB2983">
      <w:pPr>
        <w:spacing w:before="120" w:after="0" w:line="240" w:lineRule="auto"/>
        <w:rPr>
          <w:rFonts w:ascii="Palatino Linotype" w:hAnsi="Palatino Linotype" w:eastAsia="Palatino Linotype" w:cs="Times New Roman"/>
          <w:kern w:val="0"/>
          <w14:ligatures w14:val="none"/>
        </w:rPr>
      </w:pPr>
      <w:r w:rsidRPr="04D7C6D5">
        <w:rPr>
          <w:rFonts w:ascii="Palatino Linotype" w:hAnsi="Palatino Linotype" w:eastAsia="Palatino Linotype" w:cs="Times New Roman"/>
        </w:rPr>
        <w:lastRenderedPageBreak/>
        <w:t>T</w:t>
      </w:r>
      <w:r w:rsidRPr="04D7C6D5" w:rsidR="00560053">
        <w:rPr>
          <w:rFonts w:ascii="Palatino Linotype" w:hAnsi="Palatino Linotype" w:eastAsia="Palatino Linotype" w:cs="Times New Roman"/>
        </w:rPr>
        <w:t>he</w:t>
      </w:r>
      <w:r w:rsidRPr="04D7C6D5">
        <w:rPr>
          <w:rFonts w:ascii="Palatino Linotype" w:hAnsi="Palatino Linotype" w:eastAsia="Palatino Linotype" w:cs="Times New Roman"/>
        </w:rPr>
        <w:t xml:space="preserve"> Commission clarifies that this definition does not modify the utility planning process, as equity metrics are evaluation tools and not planning criteria.</w:t>
      </w:r>
    </w:p>
    <w:p w:rsidR="0064075C" w:rsidP="0064075C" w:rsidRDefault="0064075C" w14:paraId="2020043D" w14:textId="0C124713">
      <w:pPr>
        <w:spacing w:before="120" w:after="0" w:line="240" w:lineRule="auto"/>
        <w:rPr>
          <w:rFonts w:ascii="Palatino Linotype" w:hAnsi="Palatino Linotype" w:eastAsia="Palatino Linotype" w:cs="Times New Roman"/>
          <w:kern w:val="0"/>
          <w14:ligatures w14:val="none"/>
        </w:rPr>
      </w:pPr>
      <w:r w:rsidRPr="2306320F">
        <w:rPr>
          <w:rFonts w:ascii="Palatino Linotype" w:hAnsi="Palatino Linotype" w:eastAsia="Palatino Linotype" w:cs="Times New Roman"/>
        </w:rPr>
        <w:t xml:space="preserve">The Commission agrees with Vote Solar/CBD that equitable access requires </w:t>
      </w:r>
      <w:r w:rsidRPr="2306320F" w:rsidR="00957728">
        <w:rPr>
          <w:rFonts w:ascii="Palatino Linotype" w:hAnsi="Palatino Linotype" w:eastAsia="Palatino Linotype" w:cs="Times New Roman"/>
        </w:rPr>
        <w:t>both</w:t>
      </w:r>
      <w:r w:rsidRPr="2306320F">
        <w:rPr>
          <w:rFonts w:ascii="Palatino Linotype" w:hAnsi="Palatino Linotype" w:eastAsia="Palatino Linotype" w:cs="Times New Roman"/>
        </w:rPr>
        <w:t xml:space="preserve"> that equity-priority populations have access to distribution capacity</w:t>
      </w:r>
      <w:r w:rsidRPr="2306320F" w:rsidR="00533D97">
        <w:rPr>
          <w:rFonts w:ascii="Palatino Linotype" w:hAnsi="Palatino Linotype" w:eastAsia="Palatino Linotype" w:cs="Times New Roman"/>
        </w:rPr>
        <w:t xml:space="preserve"> when needs arise</w:t>
      </w:r>
      <w:r w:rsidRPr="2306320F">
        <w:rPr>
          <w:rFonts w:ascii="Palatino Linotype" w:hAnsi="Palatino Linotype" w:eastAsia="Palatino Linotype" w:cs="Times New Roman"/>
        </w:rPr>
        <w:t xml:space="preserve">, </w:t>
      </w:r>
      <w:r w:rsidRPr="2306320F" w:rsidR="00957728">
        <w:rPr>
          <w:rFonts w:ascii="Palatino Linotype" w:hAnsi="Palatino Linotype" w:eastAsia="Palatino Linotype" w:cs="Times New Roman"/>
        </w:rPr>
        <w:t xml:space="preserve">and </w:t>
      </w:r>
      <w:r w:rsidRPr="2306320F">
        <w:rPr>
          <w:rFonts w:ascii="Palatino Linotype" w:hAnsi="Palatino Linotype" w:eastAsia="Palatino Linotype" w:cs="Times New Roman"/>
        </w:rPr>
        <w:t xml:space="preserve">that disparities in access be identified. </w:t>
      </w:r>
      <w:r w:rsidRPr="0364DB36" w:rsidR="184F129F">
        <w:rPr>
          <w:rFonts w:ascii="Palatino Linotype" w:hAnsi="Palatino Linotype" w:eastAsia="Palatino Linotype" w:cs="Times New Roman"/>
        </w:rPr>
        <w:t xml:space="preserve">Equity metrics help </w:t>
      </w:r>
      <w:r w:rsidRPr="0835F15E" w:rsidR="184F129F">
        <w:rPr>
          <w:rFonts w:ascii="Palatino Linotype" w:hAnsi="Palatino Linotype" w:eastAsia="Palatino Linotype" w:cs="Times New Roman"/>
        </w:rPr>
        <w:t xml:space="preserve">quantify </w:t>
      </w:r>
      <w:r w:rsidRPr="6577223E" w:rsidR="184F129F">
        <w:rPr>
          <w:rFonts w:ascii="Palatino Linotype" w:hAnsi="Palatino Linotype" w:eastAsia="Palatino Linotype" w:cs="Times New Roman"/>
        </w:rPr>
        <w:t xml:space="preserve">and measure </w:t>
      </w:r>
      <w:r w:rsidRPr="0A034450" w:rsidR="184F129F">
        <w:rPr>
          <w:rFonts w:ascii="Palatino Linotype" w:hAnsi="Palatino Linotype" w:eastAsia="Palatino Linotype" w:cs="Times New Roman"/>
        </w:rPr>
        <w:t>objectively</w:t>
      </w:r>
      <w:r w:rsidRPr="06D76D7D" w:rsidR="184F129F">
        <w:rPr>
          <w:rFonts w:ascii="Palatino Linotype" w:hAnsi="Palatino Linotype" w:eastAsia="Palatino Linotype" w:cs="Times New Roman"/>
        </w:rPr>
        <w:t xml:space="preserve"> </w:t>
      </w:r>
      <w:r w:rsidRPr="4330C1A3" w:rsidR="184F129F">
        <w:rPr>
          <w:rFonts w:ascii="Palatino Linotype" w:hAnsi="Palatino Linotype" w:eastAsia="Palatino Linotype" w:cs="Times New Roman"/>
        </w:rPr>
        <w:t xml:space="preserve">whether </w:t>
      </w:r>
      <w:r w:rsidRPr="2B589D14" w:rsidR="184F129F">
        <w:rPr>
          <w:rFonts w:ascii="Palatino Linotype" w:hAnsi="Palatino Linotype" w:eastAsia="Palatino Linotype" w:cs="Times New Roman"/>
        </w:rPr>
        <w:t xml:space="preserve">any </w:t>
      </w:r>
      <w:r w:rsidRPr="6CF61583" w:rsidR="184F129F">
        <w:rPr>
          <w:rFonts w:ascii="Palatino Linotype" w:hAnsi="Palatino Linotype" w:eastAsia="Palatino Linotype" w:cs="Times New Roman"/>
        </w:rPr>
        <w:t xml:space="preserve">disparities in access </w:t>
      </w:r>
      <w:r w:rsidRPr="437A9A96" w:rsidR="184F129F">
        <w:rPr>
          <w:rFonts w:ascii="Palatino Linotype" w:hAnsi="Palatino Linotype" w:eastAsia="Palatino Linotype" w:cs="Times New Roman"/>
        </w:rPr>
        <w:t>exist.</w:t>
      </w:r>
      <w:r w:rsidRPr="16DA5DED" w:rsidR="184F129F">
        <w:rPr>
          <w:rFonts w:ascii="Palatino Linotype" w:hAnsi="Palatino Linotype" w:eastAsia="Palatino Linotype" w:cs="Times New Roman"/>
        </w:rPr>
        <w:t xml:space="preserve"> </w:t>
      </w:r>
      <w:r w:rsidRPr="498EC6A1" w:rsidR="69EB1901">
        <w:rPr>
          <w:rFonts w:ascii="Palatino Linotype" w:hAnsi="Palatino Linotype" w:eastAsia="Palatino Linotype" w:cs="Times New Roman"/>
        </w:rPr>
        <w:t>Accordingly</w:t>
      </w:r>
      <w:r w:rsidRPr="2306320F">
        <w:rPr>
          <w:rFonts w:ascii="Palatino Linotype" w:hAnsi="Palatino Linotype" w:eastAsia="Palatino Linotype" w:cs="Times New Roman"/>
        </w:rPr>
        <w:t xml:space="preserve">, the Commission finds that establishing a specific timeline for </w:t>
      </w:r>
      <w:r w:rsidRPr="2306320F" w:rsidR="00AB2C54">
        <w:rPr>
          <w:rFonts w:ascii="Palatino Linotype" w:hAnsi="Palatino Linotype" w:eastAsia="Palatino Linotype" w:cs="Times New Roman"/>
        </w:rPr>
        <w:t>add</w:t>
      </w:r>
      <w:r w:rsidRPr="2306320F" w:rsidR="007A72A8">
        <w:rPr>
          <w:rFonts w:ascii="Palatino Linotype" w:hAnsi="Palatino Linotype" w:eastAsia="Palatino Linotype" w:cs="Times New Roman"/>
        </w:rPr>
        <w:t>ressing grid upgrades in a</w:t>
      </w:r>
      <w:r w:rsidRPr="2306320F">
        <w:rPr>
          <w:rFonts w:ascii="Palatino Linotype" w:hAnsi="Palatino Linotype" w:eastAsia="Palatino Linotype" w:cs="Times New Roman"/>
        </w:rPr>
        <w:t xml:space="preserve"> "timely manner" in this proceeding would be duplicative of work already underway in the Energization proceeding (R.24-01-018</w:t>
      </w:r>
      <w:r w:rsidRPr="2306320F" w:rsidR="00B01D5C">
        <w:rPr>
          <w:rFonts w:ascii="Palatino Linotype" w:hAnsi="Palatino Linotype" w:eastAsia="Palatino Linotype" w:cs="Times New Roman"/>
        </w:rPr>
        <w:t>) and</w:t>
      </w:r>
      <w:r w:rsidRPr="2306320F">
        <w:rPr>
          <w:rFonts w:ascii="Palatino Linotype" w:hAnsi="Palatino Linotype" w:eastAsia="Palatino Linotype" w:cs="Times New Roman"/>
        </w:rPr>
        <w:t xml:space="preserve"> declines to do so here. The Commission expects that the annual </w:t>
      </w:r>
      <w:r w:rsidRPr="2306320F" w:rsidR="00186F7C">
        <w:rPr>
          <w:rFonts w:ascii="Palatino Linotype" w:hAnsi="Palatino Linotype" w:eastAsia="Palatino Linotype" w:cs="Times New Roman"/>
        </w:rPr>
        <w:t>‘Equity Metrics in DPEP Report</w:t>
      </w:r>
      <w:r w:rsidRPr="2306320F" w:rsidR="00BD388F">
        <w:rPr>
          <w:rFonts w:ascii="Palatino Linotype" w:hAnsi="Palatino Linotype" w:eastAsia="Palatino Linotype" w:cs="Times New Roman"/>
        </w:rPr>
        <w:t>,</w:t>
      </w:r>
      <w:r w:rsidRPr="2306320F" w:rsidR="00186F7C">
        <w:rPr>
          <w:rFonts w:ascii="Palatino Linotype" w:hAnsi="Palatino Linotype" w:eastAsia="Palatino Linotype" w:cs="Times New Roman"/>
        </w:rPr>
        <w:t>’</w:t>
      </w:r>
      <w:r w:rsidRPr="2306320F">
        <w:rPr>
          <w:rFonts w:ascii="Palatino Linotype" w:hAnsi="Palatino Linotype" w:eastAsia="Palatino Linotype" w:cs="Times New Roman"/>
        </w:rPr>
        <w:t xml:space="preserve"> by identifying statistically meaningful correlations between equity-priority populations and available headroom or project initiation, will provide </w:t>
      </w:r>
      <w:r w:rsidRPr="2306320F" w:rsidR="009A1BCE">
        <w:rPr>
          <w:rFonts w:ascii="Palatino Linotype" w:hAnsi="Palatino Linotype" w:eastAsia="Palatino Linotype" w:cs="Times New Roman"/>
        </w:rPr>
        <w:t>useful information.</w:t>
      </w:r>
    </w:p>
    <w:p w:rsidRPr="00B01D5C" w:rsidR="00B01D5C" w:rsidP="009432EF" w:rsidRDefault="00B01D5C" w14:paraId="074F5DC6" w14:textId="77777777">
      <w:pPr>
        <w:pStyle w:val="Heading3"/>
        <w:numPr>
          <w:ilvl w:val="1"/>
          <w:numId w:val="7"/>
        </w:numPr>
        <w:spacing w:before="360" w:after="0"/>
        <w:rPr>
          <w:rFonts w:eastAsia="Palatino Linotype"/>
        </w:rPr>
      </w:pPr>
      <w:r w:rsidRPr="00B01D5C">
        <w:rPr>
          <w:rFonts w:eastAsia="Palatino Linotype"/>
        </w:rPr>
        <w:t>DAC Map Layer in ICA and GRIP Maps</w:t>
      </w:r>
    </w:p>
    <w:p w:rsidRPr="00B01D5C" w:rsidR="00B01D5C" w:rsidP="00B01D5C" w:rsidRDefault="00B01D5C" w14:paraId="0ACD1E98" w14:textId="77777777">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Vote Solar/CBD recommended that the Commission require the IOUs to incorporate the </w:t>
      </w:r>
      <w:proofErr w:type="spellStart"/>
      <w:r w:rsidRPr="00B01D5C">
        <w:rPr>
          <w:rFonts w:ascii="Palatino Linotype" w:hAnsi="Palatino Linotype" w:eastAsia="Palatino Linotype" w:cs="Times New Roman"/>
          <w:kern w:val="0"/>
          <w14:ligatures w14:val="none"/>
        </w:rPr>
        <w:t>CalEnviroScreen</w:t>
      </w:r>
      <w:proofErr w:type="spellEnd"/>
      <w:r w:rsidRPr="00B01D5C">
        <w:rPr>
          <w:rFonts w:ascii="Palatino Linotype" w:hAnsi="Palatino Linotype" w:eastAsia="Palatino Linotype" w:cs="Times New Roman"/>
          <w:kern w:val="0"/>
          <w14:ligatures w14:val="none"/>
        </w:rPr>
        <w:t xml:space="preserve"> 4.0 Disadvantaged Community map as a layer in the ICA maps and the Grid Resource Integration Portal (GRIP) map, arguing this would enable real-time identification of planning gaps on DAC circuits.</w:t>
      </w:r>
    </w:p>
    <w:p w:rsidRPr="00B01D5C" w:rsidR="00B01D5C" w:rsidP="00B01D5C" w:rsidRDefault="00B01D5C" w14:paraId="7A1B6064" w14:textId="77777777">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The Commission declines to adopt this recommendation. The ICA maps and IOU data portals are designed specifically to support DER siting and interconnection, providing contractors and developers with information about where existing grid infrastructure has capacity to connect new </w:t>
      </w:r>
      <w:r w:rsidR="003942AA">
        <w:rPr>
          <w:rFonts w:ascii="Palatino Linotype" w:hAnsi="Palatino Linotype" w:eastAsia="Palatino Linotype" w:cs="Times New Roman"/>
          <w:kern w:val="0"/>
          <w14:ligatures w14:val="none"/>
        </w:rPr>
        <w:t>DERs</w:t>
      </w:r>
      <w:r w:rsidRPr="00B01D5C">
        <w:rPr>
          <w:rFonts w:ascii="Palatino Linotype" w:hAnsi="Palatino Linotype" w:eastAsia="Palatino Linotype" w:cs="Times New Roman"/>
          <w:kern w:val="0"/>
          <w14:ligatures w14:val="none"/>
        </w:rPr>
        <w:t>. Incorporating a DAC equity population layer into these tools would conflate two distinct purposes</w:t>
      </w:r>
      <w:r>
        <w:rPr>
          <w:rFonts w:ascii="Palatino Linotype" w:hAnsi="Palatino Linotype" w:eastAsia="Palatino Linotype" w:cs="Times New Roman"/>
          <w:kern w:val="0"/>
          <w14:ligatures w14:val="none"/>
        </w:rPr>
        <w:t>,</w:t>
      </w:r>
      <w:r w:rsidRPr="00B01D5C">
        <w:rPr>
          <w:rFonts w:ascii="Palatino Linotype" w:hAnsi="Palatino Linotype" w:eastAsia="Palatino Linotype" w:cs="Times New Roman"/>
          <w:kern w:val="0"/>
          <w14:ligatures w14:val="none"/>
        </w:rPr>
        <w:t xml:space="preserve"> grid capacity visibility for DER developers and equity population mapping for distribution planning </w:t>
      </w:r>
      <w:r w:rsidRPr="00B01D5C" w:rsidR="00A475E4">
        <w:rPr>
          <w:rFonts w:ascii="Palatino Linotype" w:hAnsi="Palatino Linotype" w:eastAsia="Palatino Linotype" w:cs="Times New Roman"/>
          <w:kern w:val="0"/>
          <w14:ligatures w14:val="none"/>
        </w:rPr>
        <w:t>oversight</w:t>
      </w:r>
      <w:r w:rsidR="00A475E4">
        <w:rPr>
          <w:rFonts w:ascii="Palatino Linotype" w:hAnsi="Palatino Linotype" w:eastAsia="Palatino Linotype" w:cs="Times New Roman"/>
          <w:kern w:val="0"/>
          <w14:ligatures w14:val="none"/>
        </w:rPr>
        <w:t xml:space="preserve"> and</w:t>
      </w:r>
      <w:r w:rsidRPr="00B01D5C">
        <w:rPr>
          <w:rFonts w:ascii="Palatino Linotype" w:hAnsi="Palatino Linotype" w:eastAsia="Palatino Linotype" w:cs="Times New Roman"/>
          <w:kern w:val="0"/>
          <w14:ligatures w14:val="none"/>
        </w:rPr>
        <w:t xml:space="preserve"> is outside the scope of the ICA maps and data portals as established in this proceeding.</w:t>
      </w:r>
    </w:p>
    <w:p w:rsidRPr="00B01D5C" w:rsidR="00B01D5C" w:rsidP="00B01D5C" w:rsidRDefault="00B01D5C" w14:paraId="074DDEDB" w14:textId="77777777">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The Commission finds that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 xml:space="preserve">’ </w:t>
      </w:r>
      <w:r w:rsidRPr="00B01D5C">
        <w:rPr>
          <w:rFonts w:ascii="Palatino Linotype" w:hAnsi="Palatino Linotype" w:eastAsia="Palatino Linotype" w:cs="Times New Roman"/>
          <w:kern w:val="0"/>
          <w14:ligatures w14:val="none"/>
        </w:rPr>
        <w:t xml:space="preserve">adopted in this Resolution is the appropriate vehicle for communicating equity outcomes to the public and stakeholders.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 xml:space="preserve">’ </w:t>
      </w:r>
      <w:r w:rsidRPr="00B01D5C">
        <w:rPr>
          <w:rFonts w:ascii="Palatino Linotype" w:hAnsi="Palatino Linotype" w:eastAsia="Palatino Linotype" w:cs="Times New Roman"/>
          <w:kern w:val="0"/>
          <w14:ligatures w14:val="none"/>
        </w:rPr>
        <w:t>will provide transparent, publicly available results of the econometric models described in Section 5, including circuit-level analysis of the relationship between equity-priority populations and available headroom and project initiation across all three IOUs. The Commission finds that this approach better serves the equity transparency objectives of D.24-10-030 than the addition of a map layer to tools designed for a different purpose.</w:t>
      </w:r>
    </w:p>
    <w:p w:rsidRPr="00B01D5C" w:rsidR="00B01D5C" w:rsidP="009432EF" w:rsidRDefault="00B01D5C" w14:paraId="516B3B38" w14:textId="77777777">
      <w:pPr>
        <w:pStyle w:val="Heading3"/>
        <w:numPr>
          <w:ilvl w:val="1"/>
          <w:numId w:val="7"/>
        </w:numPr>
        <w:spacing w:before="360" w:after="0"/>
        <w:rPr>
          <w:rFonts w:eastAsia="Palatino Linotype"/>
        </w:rPr>
      </w:pPr>
      <w:r w:rsidRPr="00B01D5C">
        <w:rPr>
          <w:rFonts w:eastAsia="Palatino Linotype"/>
        </w:rPr>
        <w:lastRenderedPageBreak/>
        <w:t>Medical Baseline Customer Group Scope</w:t>
      </w:r>
    </w:p>
    <w:p w:rsidRPr="00B01D5C" w:rsidR="00B01D5C" w:rsidP="00B01D5C" w:rsidRDefault="00B01D5C" w14:paraId="19CBAE02" w14:textId="77777777">
      <w:pPr>
        <w:spacing w:after="0" w:line="240" w:lineRule="auto"/>
        <w:rPr>
          <w:rFonts w:ascii="Palatino Linotype" w:hAnsi="Palatino Linotype" w:eastAsia="Palatino Linotype" w:cs="Times New Roman"/>
          <w:kern w:val="0"/>
          <w14:ligatures w14:val="none"/>
        </w:rPr>
      </w:pPr>
      <w:proofErr w:type="spellStart"/>
      <w:r w:rsidRPr="00B01D5C">
        <w:rPr>
          <w:rFonts w:ascii="Palatino Linotype" w:hAnsi="Palatino Linotype" w:eastAsia="Palatino Linotype" w:cs="Times New Roman"/>
          <w:kern w:val="0"/>
          <w14:ligatures w14:val="none"/>
        </w:rPr>
        <w:t>CforAT</w:t>
      </w:r>
      <w:proofErr w:type="spellEnd"/>
      <w:r w:rsidRPr="00B01D5C">
        <w:rPr>
          <w:rFonts w:ascii="Palatino Linotype" w:hAnsi="Palatino Linotype" w:eastAsia="Palatino Linotype" w:cs="Times New Roman"/>
          <w:kern w:val="0"/>
          <w14:ligatures w14:val="none"/>
        </w:rPr>
        <w:t xml:space="preserve"> requested confirmation that the Medical Baseline customer group includes customers receiving a medical discount if enrolled in an opt-in un</w:t>
      </w:r>
      <w:r w:rsidR="009A4F63">
        <w:rPr>
          <w:rFonts w:ascii="Palatino Linotype" w:hAnsi="Palatino Linotype" w:eastAsia="Palatino Linotype" w:cs="Times New Roman"/>
          <w:kern w:val="0"/>
          <w14:ligatures w14:val="none"/>
        </w:rPr>
        <w:t>-</w:t>
      </w:r>
      <w:r w:rsidRPr="00B01D5C">
        <w:rPr>
          <w:rFonts w:ascii="Palatino Linotype" w:hAnsi="Palatino Linotype" w:eastAsia="Palatino Linotype" w:cs="Times New Roman"/>
          <w:kern w:val="0"/>
          <w14:ligatures w14:val="none"/>
        </w:rPr>
        <w:t>tiered rate, as explicitly required by OP 25. The Joint Utilities confirmed in their reply that the Medical Baseline group consists of customers enrolled in the Medical Baseline Program, including those receiving either a discount or an additional baseline allotment depending on the IOU.</w:t>
      </w:r>
    </w:p>
    <w:p w:rsidR="0064075C" w:rsidP="00B01D5C" w:rsidRDefault="00B01D5C" w14:paraId="35DF5453" w14:textId="77777777">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The Commission finds that the Medical Baseline customer group, for purposes of the equity metrics framework adopted in this Resolution, shall include all customers enrolled in the Medical Baseline Program, as well as customers receiving an equivalent medical discount if enrolled in an opt-in rate that does not include tiers, consistent with the language of OP 25 in D.24-10-030. IOUs shall ensure that their customer account data submitted pursuant to Section 7 of this Resolution reflects this definition.</w:t>
      </w:r>
    </w:p>
    <w:p w:rsidR="00A15F75" w:rsidP="00B01D5C" w:rsidRDefault="00A15F75" w14:paraId="53B2C693" w14:textId="77777777">
      <w:pPr>
        <w:spacing w:before="120" w:after="0" w:line="240" w:lineRule="auto"/>
        <w:rPr>
          <w:rFonts w:ascii="Palatino Linotype" w:hAnsi="Palatino Linotype" w:eastAsia="Palatino Linotype" w:cs="Times New Roman"/>
          <w:kern w:val="0"/>
          <w14:ligatures w14:val="none"/>
        </w:rPr>
      </w:pPr>
    </w:p>
    <w:p w:rsidRPr="00A15F75" w:rsidR="00A15F75" w:rsidP="009432EF" w:rsidRDefault="00A15F75" w14:paraId="0C78C7C1" w14:textId="77777777">
      <w:pPr>
        <w:pStyle w:val="Heading2"/>
        <w:numPr>
          <w:ilvl w:val="0"/>
          <w:numId w:val="7"/>
        </w:numPr>
        <w:rPr>
          <w:rFonts w:eastAsia="Palatino Linotype"/>
        </w:rPr>
      </w:pPr>
      <w:r w:rsidRPr="00A15F75">
        <w:rPr>
          <w:rFonts w:eastAsia="Palatino Linotype"/>
        </w:rPr>
        <w:t>IOU Data Requirements and Reporting Timeline</w:t>
      </w:r>
    </w:p>
    <w:p w:rsidRPr="00A15F75" w:rsidR="00A15F75" w:rsidP="00A15F75" w:rsidRDefault="00A15F75" w14:paraId="1093DC22" w14:textId="77777777">
      <w:p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To support the Energy Division-led modeling framework adopted in this Resolution, the Commission requires PG&amp;E, SCE, and SDG&amp;E to provide annual input data and summary statistics through their existing GNA filings as a separate appendix titled "Equity Metrics Statistics." The </w:t>
      </w:r>
      <w:proofErr w:type="gramStart"/>
      <w:r w:rsidRPr="00A15F75">
        <w:rPr>
          <w:rFonts w:ascii="Palatino Linotype" w:hAnsi="Palatino Linotype" w:eastAsia="Palatino Linotype" w:cs="Times New Roman"/>
          <w:kern w:val="0"/>
          <w14:ligatures w14:val="none"/>
        </w:rPr>
        <w:t>data requirements</w:t>
      </w:r>
      <w:proofErr w:type="gramEnd"/>
      <w:r w:rsidRPr="00A15F75">
        <w:rPr>
          <w:rFonts w:ascii="Palatino Linotype" w:hAnsi="Palatino Linotype" w:eastAsia="Palatino Linotype" w:cs="Times New Roman"/>
          <w:kern w:val="0"/>
          <w14:ligatures w14:val="none"/>
        </w:rPr>
        <w:t xml:space="preserve"> established herein are intended to ensure cross-utility comparability and to provide Energy Division with the information necessary to develop, validate, and report the econometric models described in Section 5 of this Resolution. The data template attached to this Resolution as Attachment A establishes the required fields, definitions, and structure for both circuit-level and project-level submissions.</w:t>
      </w:r>
    </w:p>
    <w:p w:rsidRPr="00A15F75" w:rsidR="00A15F75" w:rsidP="009432EF" w:rsidRDefault="00A15F75" w14:paraId="1370AD7E" w14:textId="77777777">
      <w:pPr>
        <w:pStyle w:val="Heading3"/>
        <w:numPr>
          <w:ilvl w:val="1"/>
          <w:numId w:val="7"/>
        </w:numPr>
        <w:spacing w:before="360" w:after="0"/>
        <w:rPr>
          <w:rFonts w:eastAsia="Palatino Linotype"/>
        </w:rPr>
      </w:pPr>
      <w:r w:rsidRPr="2DACBF02">
        <w:rPr>
          <w:rFonts w:eastAsia="Palatino Linotype"/>
        </w:rPr>
        <w:t>Circuit-Level Data</w:t>
      </w:r>
      <w:r w:rsidR="00C0114C">
        <w:rPr>
          <w:rFonts w:eastAsia="Palatino Linotype"/>
        </w:rPr>
        <w:t xml:space="preserve">: </w:t>
      </w:r>
      <w:r w:rsidRPr="2DACBF02">
        <w:rPr>
          <w:rFonts w:eastAsia="Palatino Linotype"/>
        </w:rPr>
        <w:t>GNA - Equity Metrics Statistics Appendix</w:t>
      </w:r>
      <w:r w:rsidR="00850072">
        <w:rPr>
          <w:rFonts w:eastAsia="Palatino Linotype"/>
        </w:rPr>
        <w:t xml:space="preserve"> </w:t>
      </w:r>
      <w:r w:rsidR="00BF5568">
        <w:rPr>
          <w:rFonts w:eastAsia="Palatino Linotype"/>
        </w:rPr>
        <w:t>(</w:t>
      </w:r>
      <w:r w:rsidR="00850072">
        <w:rPr>
          <w:rFonts w:eastAsia="Palatino Linotype"/>
        </w:rPr>
        <w:t>Attachment A</w:t>
      </w:r>
      <w:r w:rsidR="00352178">
        <w:rPr>
          <w:rFonts w:eastAsia="Palatino Linotype"/>
        </w:rPr>
        <w:t xml:space="preserve">, </w:t>
      </w:r>
      <w:proofErr w:type="spellStart"/>
      <w:r w:rsidRPr="00554AD0" w:rsidR="00352178">
        <w:rPr>
          <w:rFonts w:eastAsia="Palatino Linotype"/>
          <w:i/>
          <w:iCs/>
        </w:rPr>
        <w:t>Circuit_Data</w:t>
      </w:r>
      <w:proofErr w:type="spellEnd"/>
      <w:r w:rsidR="00895A75">
        <w:rPr>
          <w:rFonts w:eastAsia="Palatino Linotype"/>
        </w:rPr>
        <w:t xml:space="preserve"> tab</w:t>
      </w:r>
      <w:r w:rsidRPr="2DACBF02">
        <w:rPr>
          <w:rFonts w:eastAsia="Palatino Linotype"/>
        </w:rPr>
        <w:t>)</w:t>
      </w:r>
    </w:p>
    <w:p w:rsidRPr="00A15F75" w:rsidR="00A15F75" w:rsidP="00A15F75" w:rsidRDefault="00A15F75" w14:paraId="64BC6388" w14:textId="77777777">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IOUs shall report the following fields for each circuit in their service territory</w:t>
      </w:r>
      <w:r w:rsidR="00043634">
        <w:rPr>
          <w:rFonts w:ascii="Palatino Linotype" w:hAnsi="Palatino Linotype" w:eastAsia="Palatino Linotype" w:cs="Times New Roman"/>
          <w:kern w:val="0"/>
          <w14:ligatures w14:val="none"/>
        </w:rPr>
        <w:t xml:space="preserve">, as specified </w:t>
      </w:r>
      <w:r w:rsidR="00834886">
        <w:rPr>
          <w:rFonts w:ascii="Palatino Linotype" w:hAnsi="Palatino Linotype" w:eastAsia="Palatino Linotype" w:cs="Times New Roman"/>
          <w:kern w:val="0"/>
          <w14:ligatures w14:val="none"/>
        </w:rPr>
        <w:t xml:space="preserve">in the </w:t>
      </w:r>
      <w:r w:rsidR="00D11609">
        <w:rPr>
          <w:rFonts w:ascii="Palatino Linotype" w:hAnsi="Palatino Linotype" w:eastAsia="Palatino Linotype" w:cs="Times New Roman"/>
          <w:kern w:val="0"/>
          <w14:ligatures w14:val="none"/>
        </w:rPr>
        <w:t>“</w:t>
      </w:r>
      <w:proofErr w:type="spellStart"/>
      <w:r w:rsidR="00D11609">
        <w:rPr>
          <w:rFonts w:ascii="Palatino Linotype" w:hAnsi="Palatino Linotype" w:eastAsia="Palatino Linotype" w:cs="Times New Roman"/>
          <w:kern w:val="0"/>
          <w14:ligatures w14:val="none"/>
        </w:rPr>
        <w:t>Circuit_Data</w:t>
      </w:r>
      <w:proofErr w:type="spellEnd"/>
      <w:r w:rsidR="00D11609">
        <w:rPr>
          <w:rFonts w:ascii="Palatino Linotype" w:hAnsi="Palatino Linotype" w:eastAsia="Palatino Linotype" w:cs="Times New Roman"/>
          <w:kern w:val="0"/>
          <w14:ligatures w14:val="none"/>
        </w:rPr>
        <w:t>”</w:t>
      </w:r>
      <w:r w:rsidR="00882B01">
        <w:rPr>
          <w:rFonts w:ascii="Palatino Linotype" w:hAnsi="Palatino Linotype" w:eastAsia="Palatino Linotype" w:cs="Times New Roman"/>
          <w:kern w:val="0"/>
          <w14:ligatures w14:val="none"/>
        </w:rPr>
        <w:t xml:space="preserve"> tab of Attachment A</w:t>
      </w:r>
      <w:r w:rsidR="002E49FE">
        <w:rPr>
          <w:rFonts w:ascii="Palatino Linotype" w:hAnsi="Palatino Linotype" w:eastAsia="Palatino Linotype" w:cs="Times New Roman"/>
          <w:kern w:val="0"/>
          <w14:ligatures w14:val="none"/>
        </w:rPr>
        <w:t xml:space="preserve"> of this resolution</w:t>
      </w:r>
      <w:r w:rsidR="00F43F37">
        <w:rPr>
          <w:rFonts w:ascii="Palatino Linotype" w:hAnsi="Palatino Linotype" w:eastAsia="Palatino Linotype" w:cs="Times New Roman"/>
          <w:kern w:val="0"/>
          <w14:ligatures w14:val="none"/>
        </w:rPr>
        <w:t xml:space="preserve">, and shall </w:t>
      </w:r>
      <w:r w:rsidR="00A05528">
        <w:rPr>
          <w:rFonts w:ascii="Palatino Linotype" w:hAnsi="Palatino Linotype" w:eastAsia="Palatino Linotype" w:cs="Times New Roman"/>
          <w:kern w:val="0"/>
          <w14:ligatures w14:val="none"/>
        </w:rPr>
        <w:t>sub</w:t>
      </w:r>
      <w:r w:rsidR="00973BD4">
        <w:rPr>
          <w:rFonts w:ascii="Palatino Linotype" w:hAnsi="Palatino Linotype" w:eastAsia="Palatino Linotype" w:cs="Times New Roman"/>
          <w:kern w:val="0"/>
          <w14:ligatures w14:val="none"/>
        </w:rPr>
        <w:t xml:space="preserve">mit the </w:t>
      </w:r>
      <w:r w:rsidR="00DC422E">
        <w:rPr>
          <w:rFonts w:ascii="Palatino Linotype" w:hAnsi="Palatino Linotype" w:eastAsia="Palatino Linotype" w:cs="Times New Roman"/>
          <w:kern w:val="0"/>
          <w14:ligatures w14:val="none"/>
        </w:rPr>
        <w:t xml:space="preserve">completed </w:t>
      </w:r>
      <w:proofErr w:type="spellStart"/>
      <w:r w:rsidR="003A231E">
        <w:rPr>
          <w:rFonts w:ascii="Palatino Linotype" w:hAnsi="Palatino Linotype" w:eastAsia="Palatino Linotype" w:cs="Times New Roman"/>
          <w:i/>
          <w:iCs/>
          <w:kern w:val="0"/>
          <w14:ligatures w14:val="none"/>
        </w:rPr>
        <w:t>Circuit_Data</w:t>
      </w:r>
      <w:proofErr w:type="spellEnd"/>
      <w:r w:rsidR="003A231E">
        <w:rPr>
          <w:rFonts w:ascii="Palatino Linotype" w:hAnsi="Palatino Linotype" w:eastAsia="Palatino Linotype" w:cs="Times New Roman"/>
          <w:i/>
          <w:iCs/>
          <w:kern w:val="0"/>
          <w14:ligatures w14:val="none"/>
        </w:rPr>
        <w:t xml:space="preserve"> </w:t>
      </w:r>
      <w:r w:rsidRPr="00554AD0" w:rsidR="00793EEB">
        <w:rPr>
          <w:rFonts w:ascii="Palatino Linotype" w:hAnsi="Palatino Linotype" w:eastAsia="Palatino Linotype" w:cs="Times New Roman"/>
          <w:kern w:val="0"/>
          <w14:ligatures w14:val="none"/>
        </w:rPr>
        <w:t>table as</w:t>
      </w:r>
      <w:r w:rsidR="00793EEB">
        <w:rPr>
          <w:rFonts w:ascii="Palatino Linotype" w:hAnsi="Palatino Linotype" w:eastAsia="Palatino Linotype" w:cs="Times New Roman"/>
          <w:kern w:val="0"/>
          <w14:ligatures w14:val="none"/>
        </w:rPr>
        <w:t xml:space="preserve"> a separate</w:t>
      </w:r>
      <w:r w:rsidR="008A7C42">
        <w:rPr>
          <w:rFonts w:ascii="Palatino Linotype" w:hAnsi="Palatino Linotype" w:eastAsia="Palatino Linotype" w:cs="Times New Roman"/>
          <w:kern w:val="0"/>
          <w14:ligatures w14:val="none"/>
        </w:rPr>
        <w:t xml:space="preserve"> appendi</w:t>
      </w:r>
      <w:r w:rsidR="00751120">
        <w:rPr>
          <w:rFonts w:ascii="Palatino Linotype" w:hAnsi="Palatino Linotype" w:eastAsia="Palatino Linotype" w:cs="Times New Roman"/>
          <w:kern w:val="0"/>
          <w14:ligatures w14:val="none"/>
        </w:rPr>
        <w:t>x to the annual GNA filing</w:t>
      </w:r>
      <w:r w:rsidR="00990D11">
        <w:rPr>
          <w:rFonts w:ascii="Palatino Linotype" w:hAnsi="Palatino Linotype" w:eastAsia="Palatino Linotype" w:cs="Times New Roman"/>
          <w:kern w:val="0"/>
          <w14:ligatures w14:val="none"/>
        </w:rPr>
        <w:t xml:space="preserve">, titled </w:t>
      </w:r>
      <w:r w:rsidR="00A625ED">
        <w:rPr>
          <w:rFonts w:ascii="Palatino Linotype" w:hAnsi="Palatino Linotype" w:eastAsia="Palatino Linotype" w:cs="Times New Roman"/>
          <w:kern w:val="0"/>
          <w14:ligatures w14:val="none"/>
        </w:rPr>
        <w:t>“Equity Metric Statistics</w:t>
      </w:r>
      <w:r w:rsidR="004D6DB8">
        <w:rPr>
          <w:rFonts w:ascii="Palatino Linotype" w:hAnsi="Palatino Linotype" w:eastAsia="Palatino Linotype" w:cs="Times New Roman"/>
          <w:kern w:val="0"/>
          <w14:ligatures w14:val="none"/>
        </w:rPr>
        <w:t>,</w:t>
      </w:r>
      <w:r w:rsidR="00A625ED">
        <w:rPr>
          <w:rFonts w:ascii="Palatino Linotype" w:hAnsi="Palatino Linotype" w:eastAsia="Palatino Linotype" w:cs="Times New Roman"/>
          <w:kern w:val="0"/>
          <w14:ligatures w14:val="none"/>
        </w:rPr>
        <w:t>”</w:t>
      </w:r>
      <w:r w:rsidR="004D6DB8">
        <w:rPr>
          <w:rFonts w:ascii="Palatino Linotype" w:hAnsi="Palatino Linotype" w:eastAsia="Palatino Linotype" w:cs="Times New Roman"/>
          <w:kern w:val="0"/>
          <w14:ligatures w14:val="none"/>
        </w:rPr>
        <w:t xml:space="preserve"> consistent with Ordering Paragraph </w:t>
      </w:r>
      <w:r w:rsidR="003477D3">
        <w:rPr>
          <w:rFonts w:ascii="Palatino Linotype" w:hAnsi="Palatino Linotype" w:eastAsia="Palatino Linotype" w:cs="Times New Roman"/>
          <w:kern w:val="0"/>
          <w14:ligatures w14:val="none"/>
        </w:rPr>
        <w:t>8</w:t>
      </w:r>
      <w:r w:rsidR="00F55F86">
        <w:rPr>
          <w:rFonts w:ascii="Palatino Linotype" w:hAnsi="Palatino Linotype" w:eastAsia="Palatino Linotype" w:cs="Times New Roman"/>
          <w:kern w:val="0"/>
          <w14:ligatures w14:val="none"/>
        </w:rPr>
        <w:t xml:space="preserve">. </w:t>
      </w:r>
      <w:r w:rsidR="00A37CB0">
        <w:rPr>
          <w:rFonts w:ascii="Palatino Linotype" w:hAnsi="Palatino Linotype" w:eastAsia="Palatino Linotype" w:cs="Times New Roman"/>
          <w:kern w:val="0"/>
          <w14:ligatures w14:val="none"/>
        </w:rPr>
        <w:t xml:space="preserve"> The field</w:t>
      </w:r>
      <w:r w:rsidR="00532461">
        <w:rPr>
          <w:rFonts w:ascii="Palatino Linotype" w:hAnsi="Palatino Linotype" w:eastAsia="Palatino Linotype" w:cs="Times New Roman"/>
          <w:kern w:val="0"/>
          <w14:ligatures w14:val="none"/>
        </w:rPr>
        <w:t xml:space="preserve"> names in parentheses</w:t>
      </w:r>
      <w:r w:rsidR="00CA43DA">
        <w:rPr>
          <w:rFonts w:ascii="Palatino Linotype" w:hAnsi="Palatino Linotype" w:eastAsia="Palatino Linotype" w:cs="Times New Roman"/>
          <w:kern w:val="0"/>
          <w14:ligatures w14:val="none"/>
        </w:rPr>
        <w:t xml:space="preserve"> correspond to the column hea</w:t>
      </w:r>
      <w:r w:rsidR="007E01CD">
        <w:rPr>
          <w:rFonts w:ascii="Palatino Linotype" w:hAnsi="Palatino Linotype" w:eastAsia="Palatino Linotype" w:cs="Times New Roman"/>
          <w:kern w:val="0"/>
          <w14:ligatures w14:val="none"/>
        </w:rPr>
        <w:t>d</w:t>
      </w:r>
      <w:r w:rsidR="00CA43DA">
        <w:rPr>
          <w:rFonts w:ascii="Palatino Linotype" w:hAnsi="Palatino Linotype" w:eastAsia="Palatino Linotype" w:cs="Times New Roman"/>
          <w:kern w:val="0"/>
          <w14:ligatures w14:val="none"/>
        </w:rPr>
        <w:t>ers in Attachment A</w:t>
      </w:r>
      <w:r w:rsidRPr="00A15F75">
        <w:rPr>
          <w:rFonts w:ascii="Palatino Linotype" w:hAnsi="Palatino Linotype" w:eastAsia="Palatino Linotype" w:cs="Times New Roman"/>
          <w:kern w:val="0"/>
          <w14:ligatures w14:val="none"/>
        </w:rPr>
        <w:t>:</w:t>
      </w:r>
    </w:p>
    <w:p w:rsidRPr="00A15F75" w:rsidR="00A15F75" w:rsidP="00A15F75" w:rsidRDefault="00A15F75" w14:paraId="2A43516B"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Utility name and service territory, planning area, county, city, ZIP code, circuit identifier and name, and substation identifier</w:t>
      </w:r>
      <w:r w:rsidR="00476A22">
        <w:rPr>
          <w:rFonts w:ascii="Palatino Linotype" w:hAnsi="Palatino Linotype" w:eastAsia="Palatino Linotype" w:cs="Times New Roman"/>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Utility_or_Service_Territory</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Planning_Area</w:t>
      </w:r>
      <w:proofErr w:type="spellEnd"/>
      <w:r w:rsidRPr="00554AD0" w:rsidR="00E3736B">
        <w:rPr>
          <w:rFonts w:ascii="Palatino Linotype" w:hAnsi="Palatino Linotype" w:eastAsia="Palatino Linotype" w:cs="Times New Roman"/>
          <w:i/>
          <w:iCs/>
          <w:kern w:val="0"/>
          <w14:ligatures w14:val="none"/>
        </w:rPr>
        <w:t xml:space="preserve">, County, City, </w:t>
      </w:r>
      <w:proofErr w:type="spellStart"/>
      <w:r w:rsidRPr="00554AD0" w:rsidR="00E3736B">
        <w:rPr>
          <w:rFonts w:ascii="Palatino Linotype" w:hAnsi="Palatino Linotype" w:eastAsia="Palatino Linotype" w:cs="Times New Roman"/>
          <w:i/>
          <w:iCs/>
          <w:kern w:val="0"/>
          <w14:ligatures w14:val="none"/>
        </w:rPr>
        <w:t>ZIP_Code</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Circuit_ID</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Circuit_Name</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Substation_ID</w:t>
      </w:r>
      <w:proofErr w:type="spellEnd"/>
      <w:r w:rsidR="00476A22">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739736C2"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lastRenderedPageBreak/>
        <w:t>Reporting year and data type (</w:t>
      </w:r>
      <w:r w:rsidR="00777462">
        <w:rPr>
          <w:rFonts w:ascii="Palatino Linotype" w:hAnsi="Palatino Linotype" w:eastAsia="Palatino Linotype" w:cs="Times New Roman"/>
          <w:i/>
          <w:iCs/>
          <w:kern w:val="0"/>
          <w14:ligatures w14:val="none"/>
        </w:rPr>
        <w:t>Year;</w:t>
      </w:r>
      <w:r w:rsidR="00A52AD4">
        <w:rPr>
          <w:rFonts w:ascii="Palatino Linotype" w:hAnsi="Palatino Linotype" w:eastAsia="Palatino Linotype" w:cs="Times New Roman"/>
          <w:i/>
          <w:iCs/>
          <w:kern w:val="0"/>
          <w14:ligatures w14:val="none"/>
        </w:rPr>
        <w:t xml:space="preserve"> </w:t>
      </w:r>
      <w:proofErr w:type="spellStart"/>
      <w:r w:rsidR="00A52AD4">
        <w:rPr>
          <w:rFonts w:ascii="Palatino Linotype" w:hAnsi="Palatino Linotype" w:eastAsia="Palatino Linotype" w:cs="Times New Roman"/>
          <w:i/>
          <w:iCs/>
          <w:kern w:val="0"/>
          <w14:ligatures w14:val="none"/>
        </w:rPr>
        <w:t>Data_Type</w:t>
      </w:r>
      <w:proofErr w:type="spellEnd"/>
      <w:r w:rsidR="007F2552">
        <w:rPr>
          <w:rFonts w:ascii="Palatino Linotype" w:hAnsi="Palatino Linotype" w:eastAsia="Palatino Linotype" w:cs="Times New Roman"/>
          <w:i/>
          <w:iCs/>
          <w:kern w:val="0"/>
          <w14:ligatures w14:val="none"/>
        </w:rPr>
        <w:t>,</w:t>
      </w:r>
      <w:r w:rsidR="00AB440A">
        <w:rPr>
          <w:rFonts w:ascii="Palatino Linotype" w:hAnsi="Palatino Linotype" w:eastAsia="Palatino Linotype" w:cs="Times New Roman"/>
          <w:kern w:val="0"/>
          <w14:ligatures w14:val="none"/>
        </w:rPr>
        <w:t xml:space="preserve"> </w:t>
      </w:r>
      <w:r w:rsidR="007F2552">
        <w:rPr>
          <w:rFonts w:ascii="Palatino Linotype" w:hAnsi="Palatino Linotype" w:eastAsia="Palatino Linotype" w:cs="Times New Roman"/>
          <w:kern w:val="0"/>
          <w14:ligatures w14:val="none"/>
        </w:rPr>
        <w:t xml:space="preserve">reported as </w:t>
      </w:r>
      <w:r w:rsidRPr="00A15F75">
        <w:rPr>
          <w:rFonts w:ascii="Palatino Linotype" w:hAnsi="Palatino Linotype" w:eastAsia="Palatino Linotype" w:cs="Times New Roman"/>
          <w:kern w:val="0"/>
          <w14:ligatures w14:val="none"/>
        </w:rPr>
        <w:t>Actual, Forecast, Planned, or Estimated);</w:t>
      </w:r>
    </w:p>
    <w:p w:rsidRPr="00A15F75" w:rsidR="00A15F75" w:rsidP="00A15F75" w:rsidRDefault="00A15F75" w14:paraId="0B1C95DC"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Forecasted peak load and forecasted load growth, reported as the anticipated increase in electrical demand based on planning inputs such as IEPR forecasts and used to anticipate future infrastructure needs for the next planning cycle</w:t>
      </w:r>
      <w:r w:rsidR="00767EE7">
        <w:rPr>
          <w:rFonts w:ascii="Palatino Linotype" w:hAnsi="Palatino Linotype" w:eastAsia="Palatino Linotype" w:cs="Times New Roman"/>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Forecast_Peak_Load_MW</w:t>
      </w:r>
      <w:proofErr w:type="spellEnd"/>
      <w:r w:rsidRPr="00554AD0" w:rsidR="00767EE7">
        <w:rPr>
          <w:rFonts w:ascii="Palatino Linotype" w:hAnsi="Palatino Linotype" w:eastAsia="Palatino Linotype" w:cs="Times New Roman"/>
          <w:i/>
          <w:iCs/>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Load_Growth_MW</w:t>
      </w:r>
      <w:proofErr w:type="spellEnd"/>
      <w:r w:rsidRPr="00554AD0" w:rsidR="00767EE7">
        <w:rPr>
          <w:rFonts w:ascii="Palatino Linotype" w:hAnsi="Palatino Linotype" w:eastAsia="Palatino Linotype" w:cs="Times New Roman"/>
          <w:i/>
          <w:iCs/>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Load_Growth_Pct</w:t>
      </w:r>
      <w:proofErr w:type="spellEnd"/>
      <w:r w:rsidR="00767EE7">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The Commission clarifies that load growth reporting shall reflect forecasted figures, consistent with the purpose of the equity metrics framework, which is to evaluate the distribution planning process and not operational or post-planning performance;</w:t>
      </w:r>
    </w:p>
    <w:p w:rsidRPr="00A15F75" w:rsidR="00A15F75" w:rsidP="00A15F75" w:rsidRDefault="00A15F75" w14:paraId="62ADC341"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Available headroom at Year 1 and Year 5</w:t>
      </w:r>
      <w:r w:rsidR="00453891">
        <w:rPr>
          <w:rFonts w:ascii="Palatino Linotype" w:hAnsi="Palatino Linotype" w:eastAsia="Palatino Linotype" w:cs="Times New Roman"/>
          <w:kern w:val="0"/>
          <w14:ligatures w14:val="none"/>
        </w:rPr>
        <w:t xml:space="preserve"> (</w:t>
      </w:r>
      <w:r w:rsidRPr="00554AD0" w:rsidR="00453891">
        <w:rPr>
          <w:rFonts w:ascii="Palatino Linotype" w:hAnsi="Palatino Linotype" w:eastAsia="Palatino Linotype" w:cs="Times New Roman"/>
          <w:i/>
          <w:iCs/>
          <w:kern w:val="0"/>
          <w14:ligatures w14:val="none"/>
        </w:rPr>
        <w:t>Available_Headroom_MW_Y1, Available_Headroom_MW_Y5</w:t>
      </w:r>
      <w:r w:rsidR="0045389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calculated as the difference between the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 xml:space="preserve">circuit's capacity rating and its forecasted peak load at each planning horizon. The Commission clarifies that available headroom </w:t>
      </w:r>
      <w:proofErr w:type="gramStart"/>
      <w:r w:rsidRPr="00A15F75">
        <w:rPr>
          <w:rFonts w:ascii="Palatino Linotype" w:hAnsi="Palatino Linotype" w:eastAsia="Palatino Linotype" w:cs="Times New Roman"/>
          <w:kern w:val="0"/>
          <w14:ligatures w14:val="none"/>
        </w:rPr>
        <w:t>shall</w:t>
      </w:r>
      <w:proofErr w:type="gramEnd"/>
      <w:r w:rsidRPr="00A15F75">
        <w:rPr>
          <w:rFonts w:ascii="Palatino Linotype" w:hAnsi="Palatino Linotype" w:eastAsia="Palatino Linotype" w:cs="Times New Roman"/>
          <w:kern w:val="0"/>
          <w14:ligatures w14:val="none"/>
        </w:rPr>
        <w:t xml:space="preserve"> also reflect forecasted conditions</w:t>
      </w:r>
      <w:r w:rsidR="007C21D3">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including expected load growth</w:t>
      </w:r>
      <w:r w:rsidR="007C21D3">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rather than historical or operational measurements. Year 5 headroom shall reflect planned system conditions at that future point in time, inclusive of planned investments already incorporated into the planning cycle. The Commission notes that because PG&amp;E and SCE incorporate planned investments into their Year 5 headroom figures, while SDG&amp;E's methodology may differ, Energy Division shall document any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 xml:space="preserve">cross-utility methodological differences in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and account for them in the interpretation of model results;</w:t>
      </w:r>
    </w:p>
    <w:p w:rsidR="005E2A57" w:rsidP="00A15F75" w:rsidRDefault="005E2A57" w14:paraId="3F288681"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5E2A57">
        <w:rPr>
          <w:rFonts w:ascii="Palatino Linotype" w:hAnsi="Palatino Linotype" w:eastAsia="Palatino Linotype" w:cs="Times New Roman"/>
          <w:kern w:val="0"/>
          <w14:ligatures w14:val="none"/>
        </w:rPr>
        <w:t>Supporting circuit characteristics, including historical annual peak load</w:t>
      </w:r>
      <w:r w:rsidR="00B65964">
        <w:rPr>
          <w:rFonts w:ascii="Palatino Linotype" w:hAnsi="Palatino Linotype" w:eastAsia="Palatino Linotype" w:cs="Times New Roman"/>
          <w:kern w:val="0"/>
          <w14:ligatures w14:val="none"/>
        </w:rPr>
        <w:t xml:space="preserve">, </w:t>
      </w:r>
      <w:r w:rsidRPr="005E2A57">
        <w:rPr>
          <w:rFonts w:ascii="Palatino Linotype" w:hAnsi="Palatino Linotype" w:eastAsia="Palatino Linotype" w:cs="Times New Roman"/>
          <w:kern w:val="0"/>
          <w14:ligatures w14:val="none"/>
        </w:rPr>
        <w:t>reported as a reference baseline and not used as a primary model input</w:t>
      </w:r>
      <w:r w:rsidR="00E66392">
        <w:rPr>
          <w:rFonts w:ascii="Palatino Linotype" w:hAnsi="Palatino Linotype" w:eastAsia="Palatino Linotype" w:cs="Times New Roman"/>
          <w:kern w:val="0"/>
          <w14:ligatures w14:val="none"/>
        </w:rPr>
        <w:t xml:space="preserve"> </w:t>
      </w:r>
      <w:r w:rsidR="005C6824">
        <w:rPr>
          <w:rFonts w:ascii="Palatino Linotype" w:hAnsi="Palatino Linotype" w:eastAsia="Palatino Linotype" w:cs="Times New Roman"/>
          <w:kern w:val="0"/>
          <w14:ligatures w14:val="none"/>
        </w:rPr>
        <w:t>(</w:t>
      </w:r>
      <w:proofErr w:type="spellStart"/>
      <w:r w:rsidRPr="00554AD0" w:rsidR="005C6824">
        <w:rPr>
          <w:rFonts w:ascii="Palatino Linotype" w:hAnsi="Palatino Linotype" w:eastAsia="Palatino Linotype" w:cs="Times New Roman"/>
          <w:i/>
          <w:iCs/>
          <w:kern w:val="0"/>
          <w14:ligatures w14:val="none"/>
        </w:rPr>
        <w:t>Annual_Peak_Load_MW</w:t>
      </w:r>
      <w:proofErr w:type="spellEnd"/>
      <w:r w:rsidR="005C6824">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 annual energy served</w:t>
      </w:r>
      <w:r w:rsidR="00F94DDD">
        <w:rPr>
          <w:rFonts w:ascii="Palatino Linotype" w:hAnsi="Palatino Linotype" w:eastAsia="Palatino Linotype" w:cs="Times New Roman"/>
          <w:kern w:val="0"/>
          <w14:ligatures w14:val="none"/>
        </w:rPr>
        <w:t xml:space="preserve"> (</w:t>
      </w:r>
      <w:proofErr w:type="spellStart"/>
      <w:r w:rsidRPr="00554AD0" w:rsidR="00F94DDD">
        <w:rPr>
          <w:rFonts w:ascii="Palatino Linotype" w:hAnsi="Palatino Linotype" w:eastAsia="Palatino Linotype" w:cs="Times New Roman"/>
          <w:i/>
          <w:iCs/>
          <w:kern w:val="0"/>
          <w14:ligatures w14:val="none"/>
        </w:rPr>
        <w:t>Annual_Energy_MWh</w:t>
      </w:r>
      <w:proofErr w:type="spellEnd"/>
      <w:r w:rsidR="00F94DDD">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 xml:space="preserve">, and circuit capacity ratings </w:t>
      </w:r>
      <w:r w:rsidR="00312B18">
        <w:rPr>
          <w:rFonts w:ascii="Palatino Linotype" w:hAnsi="Palatino Linotype" w:eastAsia="Palatino Linotype" w:cs="Times New Roman"/>
          <w:kern w:val="0"/>
          <w14:ligatures w14:val="none"/>
        </w:rPr>
        <w:t>(</w:t>
      </w:r>
      <w:proofErr w:type="spellStart"/>
      <w:r w:rsidRPr="00554AD0" w:rsidR="00312B18">
        <w:rPr>
          <w:rFonts w:ascii="Palatino Linotype" w:hAnsi="Palatino Linotype" w:eastAsia="Palatino Linotype" w:cs="Times New Roman"/>
          <w:i/>
          <w:iCs/>
          <w:kern w:val="0"/>
          <w14:ligatures w14:val="none"/>
        </w:rPr>
        <w:t>Planning_Capacity_MW</w:t>
      </w:r>
      <w:proofErr w:type="spellEnd"/>
      <w:r w:rsidRPr="00554AD0" w:rsidR="00312B18">
        <w:rPr>
          <w:rFonts w:ascii="Palatino Linotype" w:hAnsi="Palatino Linotype" w:eastAsia="Palatino Linotype" w:cs="Times New Roman"/>
          <w:i/>
          <w:iCs/>
          <w:kern w:val="0"/>
          <w14:ligatures w14:val="none"/>
        </w:rPr>
        <w:t xml:space="preserve">, </w:t>
      </w:r>
      <w:proofErr w:type="spellStart"/>
      <w:r w:rsidRPr="00554AD0" w:rsidR="00312B18">
        <w:rPr>
          <w:rFonts w:ascii="Palatino Linotype" w:hAnsi="Palatino Linotype" w:eastAsia="Palatino Linotype" w:cs="Times New Roman"/>
          <w:i/>
          <w:iCs/>
          <w:kern w:val="0"/>
          <w14:ligatures w14:val="none"/>
        </w:rPr>
        <w:t>Normal_Rating_MW</w:t>
      </w:r>
      <w:proofErr w:type="spellEnd"/>
      <w:r w:rsidRPr="00554AD0" w:rsidR="00312B18">
        <w:rPr>
          <w:rFonts w:ascii="Palatino Linotype" w:hAnsi="Palatino Linotype" w:eastAsia="Palatino Linotype" w:cs="Times New Roman"/>
          <w:i/>
          <w:iCs/>
          <w:kern w:val="0"/>
          <w14:ligatures w14:val="none"/>
        </w:rPr>
        <w:t xml:space="preserve">, </w:t>
      </w:r>
      <w:proofErr w:type="spellStart"/>
      <w:r w:rsidRPr="00554AD0" w:rsidR="00312B18">
        <w:rPr>
          <w:rFonts w:ascii="Palatino Linotype" w:hAnsi="Palatino Linotype" w:eastAsia="Palatino Linotype" w:cs="Times New Roman"/>
          <w:i/>
          <w:iCs/>
          <w:kern w:val="0"/>
          <w14:ligatures w14:val="none"/>
        </w:rPr>
        <w:t>Emergency_Rating_MW</w:t>
      </w:r>
      <w:proofErr w:type="spellEnd"/>
      <w:r w:rsidR="00312B18">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w:t>
      </w:r>
    </w:p>
    <w:p w:rsidRPr="00A15F75" w:rsidR="00A15F75" w:rsidP="00A15F75" w:rsidRDefault="00A15F75" w14:paraId="10BCE04D"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Total customer count, and customer counts by customer type</w:t>
      </w:r>
      <w:r w:rsidR="003947A0">
        <w:rPr>
          <w:rFonts w:ascii="Palatino Linotype" w:hAnsi="Palatino Linotype" w:eastAsia="Palatino Linotype" w:cs="Times New Roman"/>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Customers_Total</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Residential_Customers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Commercial_Customers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Industrial_Customers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Agriculture_Other_Customers</w:t>
      </w:r>
      <w:proofErr w:type="spellEnd"/>
      <w:r w:rsidRPr="00554AD0" w:rsidR="003947A0">
        <w:rPr>
          <w:rFonts w:ascii="Palatino Linotype" w:hAnsi="Palatino Linotype" w:eastAsia="Palatino Linotype" w:cs="Times New Roman"/>
          <w:i/>
          <w:iCs/>
          <w:kern w:val="0"/>
          <w14:ligatures w14:val="none"/>
        </w:rPr>
        <w:t>)</w:t>
      </w:r>
      <w:r w:rsidRPr="00A15F75">
        <w:rPr>
          <w:rFonts w:ascii="Palatino Linotype" w:hAnsi="Palatino Linotype" w:eastAsia="Palatino Linotype" w:cs="Times New Roman"/>
          <w:kern w:val="0"/>
          <w14:ligatures w14:val="none"/>
        </w:rPr>
        <w:t>;</w:t>
      </w:r>
    </w:p>
    <w:p w:rsidR="00A15F75" w:rsidP="00A15F75" w:rsidRDefault="00A15F75" w14:paraId="38F5B0DB"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Number and percentage of customers enrolled in CARE, FERA, Medical Baseline, and Tribal programs, each reported independently and as a percentage of total circuit customers, consistent with Section 4 of this Resolution</w:t>
      </w:r>
      <w:r w:rsidR="0028258C">
        <w:rPr>
          <w:rFonts w:ascii="Palatino Linotype" w:hAnsi="Palatino Linotype" w:eastAsia="Palatino Linotype" w:cs="Times New Roman"/>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CARE_Customers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CARE_Pct_of_Total</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FERA_Customers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FERA_Pct_of_Total</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Medical_Baseline_Customers</w:t>
      </w:r>
      <w:proofErr w:type="spellEnd"/>
      <w:r w:rsidRPr="00554AD0" w:rsidR="0028258C">
        <w:rPr>
          <w:rFonts w:ascii="Palatino Linotype" w:hAnsi="Palatino Linotype" w:eastAsia="Palatino Linotype" w:cs="Times New Roman"/>
          <w:i/>
          <w:iCs/>
          <w:kern w:val="0"/>
          <w14:ligatures w14:val="none"/>
        </w:rPr>
        <w:t xml:space="preserve">, Medical_Baseline_Pct_of_Total, </w:t>
      </w:r>
      <w:proofErr w:type="spellStart"/>
      <w:r w:rsidRPr="00554AD0" w:rsidR="0028258C">
        <w:rPr>
          <w:rFonts w:ascii="Palatino Linotype" w:hAnsi="Palatino Linotype" w:eastAsia="Palatino Linotype" w:cs="Times New Roman"/>
          <w:i/>
          <w:iCs/>
          <w:kern w:val="0"/>
          <w14:ligatures w14:val="none"/>
        </w:rPr>
        <w:t>Tribal_Customers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Tribal_Pct_of_Total</w:t>
      </w:r>
      <w:proofErr w:type="spellEnd"/>
      <w:r w:rsidR="0028258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F0445E" w:rsidP="00A15F75" w:rsidRDefault="007C016A" w14:paraId="448E94F4"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7C016A">
        <w:rPr>
          <w:rFonts w:ascii="Palatino Linotype" w:hAnsi="Palatino Linotype" w:eastAsia="Palatino Linotype" w:cs="Times New Roman"/>
          <w:kern w:val="0"/>
          <w14:ligatures w14:val="none"/>
        </w:rPr>
        <w:t xml:space="preserve">Counts of customers enrolled in more than one equity program, reported for each program combination specified in Attachment A (e.g., customers enrolled in both CARE and Medical Baseline), to support analysis of overlap across </w:t>
      </w:r>
      <w:r w:rsidR="005E2F86">
        <w:rPr>
          <w:rFonts w:ascii="Palatino Linotype" w:hAnsi="Palatino Linotype" w:eastAsia="Palatino Linotype" w:cs="Times New Roman"/>
          <w:kern w:val="0"/>
          <w14:ligatures w14:val="none"/>
        </w:rPr>
        <w:br/>
      </w:r>
      <w:r w:rsidRPr="007C016A">
        <w:rPr>
          <w:rFonts w:ascii="Palatino Linotype" w:hAnsi="Palatino Linotype" w:eastAsia="Palatino Linotype" w:cs="Times New Roman"/>
          <w:kern w:val="0"/>
          <w14:ligatures w14:val="none"/>
        </w:rPr>
        <w:lastRenderedPageBreak/>
        <w:t>equity-priority populations and to inform the interpretation of model results</w:t>
      </w:r>
      <w:r w:rsidR="007F335E">
        <w:rPr>
          <w:rFonts w:ascii="Palatino Linotype" w:hAnsi="Palatino Linotype" w:eastAsia="Palatino Linotype" w:cs="Times New Roman"/>
          <w:kern w:val="0"/>
          <w14:ligatures w14:val="none"/>
        </w:rPr>
        <w:t xml:space="preserve"> </w:t>
      </w:r>
      <w:r w:rsidRPr="00554AD0" w:rsidR="007F335E">
        <w:rPr>
          <w:rFonts w:ascii="Palatino Linotype" w:hAnsi="Palatino Linotype" w:eastAsia="Palatino Linotype" w:cs="Times New Roman"/>
          <w:i/>
          <w:iCs/>
          <w:kern w:val="0"/>
          <w14:ligatures w14:val="none"/>
        </w:rPr>
        <w:t>(</w:t>
      </w:r>
      <w:r w:rsidRPr="00554AD0" w:rsidR="00412E1D">
        <w:rPr>
          <w:rFonts w:ascii="Palatino Linotype" w:hAnsi="Palatino Linotype" w:eastAsia="Palatino Linotype" w:cs="Times New Roman"/>
          <w:i/>
          <w:iCs/>
          <w:kern w:val="0"/>
          <w14:ligatures w14:val="none"/>
        </w:rPr>
        <w:t xml:space="preserve">CARE_MED, FERA_MED, </w:t>
      </w:r>
      <w:proofErr w:type="spellStart"/>
      <w:r w:rsidRPr="00554AD0" w:rsidR="00412E1D">
        <w:rPr>
          <w:rFonts w:ascii="Palatino Linotype" w:hAnsi="Palatino Linotype" w:eastAsia="Palatino Linotype" w:cs="Times New Roman"/>
          <w:i/>
          <w:iCs/>
          <w:kern w:val="0"/>
          <w14:ligatures w14:val="none"/>
        </w:rPr>
        <w:t>CARE_Tribal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FERA_Tribal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MED_Tribal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CARE_MED_Tribal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FERA_MED_Tribal</w:t>
      </w:r>
      <w:proofErr w:type="spellEnd"/>
      <w:r w:rsidRPr="00554AD0" w:rsidR="007F335E">
        <w:rPr>
          <w:rFonts w:ascii="Palatino Linotype" w:hAnsi="Palatino Linotype" w:eastAsia="Palatino Linotype" w:cs="Times New Roman"/>
          <w:i/>
          <w:iCs/>
          <w:kern w:val="0"/>
          <w14:ligatures w14:val="none"/>
        </w:rPr>
        <w:t>)</w:t>
      </w:r>
      <w:r w:rsidRPr="007C016A">
        <w:rPr>
          <w:rFonts w:ascii="Palatino Linotype" w:hAnsi="Palatino Linotype" w:eastAsia="Palatino Linotype" w:cs="Times New Roman"/>
          <w:kern w:val="0"/>
          <w14:ligatures w14:val="none"/>
        </w:rPr>
        <w:t>;</w:t>
      </w:r>
    </w:p>
    <w:p w:rsidRPr="00A15F75" w:rsidR="00A15F75" w:rsidP="00A15F75" w:rsidRDefault="00A15F75" w14:paraId="2CF534DA"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Percentage of customers located within a DAC-designated census tract, consistent with SB 535 and </w:t>
      </w:r>
      <w:proofErr w:type="spellStart"/>
      <w:r w:rsidRPr="00A15F75">
        <w:rPr>
          <w:rFonts w:ascii="Palatino Linotype" w:hAnsi="Palatino Linotype" w:eastAsia="Palatino Linotype" w:cs="Times New Roman"/>
          <w:kern w:val="0"/>
          <w14:ligatures w14:val="none"/>
        </w:rPr>
        <w:t>CalEnviroScreen</w:t>
      </w:r>
      <w:proofErr w:type="spellEnd"/>
      <w:r w:rsidRPr="00A15F75">
        <w:rPr>
          <w:rFonts w:ascii="Palatino Linotype" w:hAnsi="Palatino Linotype" w:eastAsia="Palatino Linotype" w:cs="Times New Roman"/>
          <w:kern w:val="0"/>
          <w14:ligatures w14:val="none"/>
        </w:rPr>
        <w:t xml:space="preserve"> 4.0 (or the most recent version at the time of filing), along with a methodology note describing the approach used to estimate DAC populations at the circuit level</w:t>
      </w:r>
      <w:r w:rsidR="00DF234A">
        <w:rPr>
          <w:rFonts w:ascii="Palatino Linotype" w:hAnsi="Palatino Linotype" w:eastAsia="Palatino Linotype" w:cs="Times New Roman"/>
          <w:kern w:val="0"/>
          <w14:ligatures w14:val="none"/>
        </w:rPr>
        <w:t xml:space="preserve"> </w:t>
      </w:r>
      <w:r w:rsidRPr="00532CB4" w:rsidR="00967C46">
        <w:rPr>
          <w:rFonts w:ascii="Palatino Linotype" w:hAnsi="Palatino Linotype" w:eastAsia="Palatino Linotype" w:cs="Times New Roman"/>
          <w:i/>
          <w:iCs/>
          <w:kern w:val="0"/>
          <w14:ligatures w14:val="none"/>
        </w:rPr>
        <w:t>(</w:t>
      </w:r>
      <w:proofErr w:type="spellStart"/>
      <w:r w:rsidRPr="00532CB4" w:rsidR="007F15D0">
        <w:rPr>
          <w:rFonts w:ascii="Palatino Linotype" w:hAnsi="Palatino Linotype" w:eastAsia="Palatino Linotype" w:cs="Times New Roman"/>
          <w:i/>
          <w:iCs/>
          <w:kern w:val="0"/>
          <w14:ligatures w14:val="none"/>
        </w:rPr>
        <w:t>DAC_Pct_of_Total</w:t>
      </w:r>
      <w:proofErr w:type="spellEnd"/>
      <w:r w:rsidRPr="00532CB4" w:rsidR="007F15D0">
        <w:rPr>
          <w:rFonts w:ascii="Palatino Linotype" w:hAnsi="Palatino Linotype" w:eastAsia="Palatino Linotype" w:cs="Times New Roman"/>
          <w:i/>
          <w:iCs/>
          <w:kern w:val="0"/>
          <w14:ligatures w14:val="none"/>
        </w:rPr>
        <w:t xml:space="preserve">, </w:t>
      </w:r>
      <w:proofErr w:type="spellStart"/>
      <w:r w:rsidRPr="00532CB4" w:rsidR="007F15D0">
        <w:rPr>
          <w:rFonts w:ascii="Palatino Linotype" w:hAnsi="Palatino Linotype" w:eastAsia="Palatino Linotype" w:cs="Times New Roman"/>
          <w:i/>
          <w:iCs/>
          <w:kern w:val="0"/>
          <w14:ligatures w14:val="none"/>
        </w:rPr>
        <w:t>DAC_Methodology_Notes</w:t>
      </w:r>
      <w:proofErr w:type="spellEnd"/>
      <w:r w:rsidRPr="00532CB4" w:rsidR="00967C46">
        <w:rPr>
          <w:rFonts w:ascii="Palatino Linotype" w:hAnsi="Palatino Linotype" w:eastAsia="Palatino Linotype" w:cs="Times New Roman"/>
          <w:i/>
          <w:iCs/>
          <w:kern w:val="0"/>
          <w14:ligatures w14:val="none"/>
        </w:rPr>
        <w:t>)</w:t>
      </w:r>
      <w:r w:rsidRPr="00A15F75">
        <w:rPr>
          <w:rFonts w:ascii="Palatino Linotype" w:hAnsi="Palatino Linotype" w:eastAsia="Palatino Linotype" w:cs="Times New Roman"/>
          <w:kern w:val="0"/>
          <w14:ligatures w14:val="none"/>
        </w:rPr>
        <w:t>;</w:t>
      </w:r>
    </w:p>
    <w:p w:rsidRPr="00A15F75" w:rsidR="00CF4E9C" w:rsidP="00A15F75" w:rsidRDefault="00CF4E9C" w14:paraId="55F94B5D" w14:textId="77777777">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 notes field documenting definitions</w:t>
      </w:r>
      <w:r w:rsidR="00C741B1">
        <w:rPr>
          <w:rFonts w:ascii="Palatino Linotype" w:hAnsi="Palatino Linotype" w:eastAsia="Palatino Linotype" w:cs="Times New Roman"/>
          <w:kern w:val="0"/>
          <w14:ligatures w14:val="none"/>
        </w:rPr>
        <w:t>, data limitations, approximations</w:t>
      </w:r>
      <w:r w:rsidR="00523CDD">
        <w:rPr>
          <w:rFonts w:ascii="Palatino Linotype" w:hAnsi="Palatino Linotype" w:eastAsia="Palatino Linotype" w:cs="Times New Roman"/>
          <w:kern w:val="0"/>
          <w14:ligatures w14:val="none"/>
        </w:rPr>
        <w:t xml:space="preserve">, or other comments relevant to the interpretation </w:t>
      </w:r>
      <w:r w:rsidR="00DE13F5">
        <w:rPr>
          <w:rFonts w:ascii="Palatino Linotype" w:hAnsi="Palatino Linotype" w:eastAsia="Palatino Linotype" w:cs="Times New Roman"/>
          <w:kern w:val="0"/>
          <w14:ligatures w14:val="none"/>
        </w:rPr>
        <w:t xml:space="preserve">of the submitted </w:t>
      </w:r>
      <w:r w:rsidR="003115A1">
        <w:rPr>
          <w:rFonts w:ascii="Palatino Linotype" w:hAnsi="Palatino Linotype" w:eastAsia="Palatino Linotype" w:cs="Times New Roman"/>
          <w:kern w:val="0"/>
          <w14:ligatures w14:val="none"/>
        </w:rPr>
        <w:t>data</w:t>
      </w:r>
      <w:r w:rsidR="00686200">
        <w:rPr>
          <w:rFonts w:ascii="Palatino Linotype" w:hAnsi="Palatino Linotype" w:eastAsia="Palatino Linotype" w:cs="Times New Roman"/>
          <w:kern w:val="0"/>
          <w14:ligatures w14:val="none"/>
        </w:rPr>
        <w:t xml:space="preserve">, including </w:t>
      </w:r>
      <w:r w:rsidR="006A67FF">
        <w:rPr>
          <w:rFonts w:ascii="Palatino Linotype" w:hAnsi="Palatino Linotype" w:eastAsia="Palatino Linotype" w:cs="Times New Roman"/>
          <w:kern w:val="0"/>
          <w14:ligatures w14:val="none"/>
        </w:rPr>
        <w:t xml:space="preserve">an explanation for any field left blank due to data unavailability </w:t>
      </w:r>
      <w:r w:rsidR="006A67FF">
        <w:rPr>
          <w:rFonts w:ascii="Palatino Linotype" w:hAnsi="Palatino Linotype" w:eastAsia="Palatino Linotype" w:cs="Times New Roman"/>
          <w:i/>
          <w:iCs/>
          <w:kern w:val="0"/>
          <w14:ligatures w14:val="none"/>
        </w:rPr>
        <w:t>(Notes).</w:t>
      </w:r>
    </w:p>
    <w:p w:rsidRPr="00A15F75" w:rsidR="00A15F75" w:rsidP="009432EF" w:rsidRDefault="00A15F75" w14:paraId="57CD0327" w14:textId="77777777">
      <w:pPr>
        <w:pStyle w:val="Heading3"/>
        <w:numPr>
          <w:ilvl w:val="1"/>
          <w:numId w:val="7"/>
        </w:numPr>
        <w:spacing w:before="360" w:after="0"/>
        <w:rPr>
          <w:rFonts w:eastAsia="Palatino Linotype"/>
        </w:rPr>
      </w:pPr>
      <w:r w:rsidRPr="00A15F75">
        <w:rPr>
          <w:rFonts w:eastAsia="Palatino Linotype"/>
        </w:rPr>
        <w:t>Project-Level Data</w:t>
      </w:r>
      <w:r w:rsidR="00465B7E">
        <w:rPr>
          <w:rFonts w:eastAsia="Palatino Linotype"/>
        </w:rPr>
        <w:t xml:space="preserve">: </w:t>
      </w:r>
      <w:r w:rsidRPr="00A15F75">
        <w:rPr>
          <w:rFonts w:eastAsia="Palatino Linotype"/>
        </w:rPr>
        <w:t>DUPR</w:t>
      </w:r>
      <w:r w:rsidR="004E5F3B">
        <w:rPr>
          <w:rFonts w:eastAsia="Palatino Linotype"/>
        </w:rPr>
        <w:t xml:space="preserve"> - </w:t>
      </w:r>
      <w:r w:rsidR="00E86FFE">
        <w:rPr>
          <w:rFonts w:eastAsia="Palatino Linotype"/>
        </w:rPr>
        <w:t>E</w:t>
      </w:r>
      <w:r w:rsidR="004E5F3B">
        <w:rPr>
          <w:rFonts w:eastAsia="Palatino Linotype"/>
        </w:rPr>
        <w:t>quity Metrics Statistics</w:t>
      </w:r>
      <w:r w:rsidR="00C41E5B">
        <w:rPr>
          <w:rFonts w:eastAsia="Palatino Linotype"/>
        </w:rPr>
        <w:t xml:space="preserve"> Appendix (A</w:t>
      </w:r>
      <w:r w:rsidR="00145C03">
        <w:rPr>
          <w:rFonts w:eastAsia="Palatino Linotype"/>
        </w:rPr>
        <w:t xml:space="preserve">ttachment A, </w:t>
      </w:r>
      <w:proofErr w:type="spellStart"/>
      <w:r w:rsidR="00880900">
        <w:rPr>
          <w:rFonts w:eastAsia="Palatino Linotype"/>
          <w:i/>
          <w:iCs/>
        </w:rPr>
        <w:t>Project_Data</w:t>
      </w:r>
      <w:proofErr w:type="spellEnd"/>
      <w:r w:rsidR="00880900">
        <w:rPr>
          <w:rFonts w:eastAsia="Palatino Linotype"/>
          <w:i/>
          <w:iCs/>
        </w:rPr>
        <w:t xml:space="preserve"> </w:t>
      </w:r>
      <w:r w:rsidRPr="005031A7" w:rsidR="008D79A8">
        <w:rPr>
          <w:rFonts w:eastAsia="Palatino Linotype"/>
        </w:rPr>
        <w:t>tab</w:t>
      </w:r>
      <w:r w:rsidR="00C41E5B">
        <w:rPr>
          <w:rFonts w:eastAsia="Palatino Linotype"/>
        </w:rPr>
        <w:t>)</w:t>
      </w:r>
    </w:p>
    <w:p w:rsidRPr="00A15F75" w:rsidR="00A15F75" w:rsidP="00A15F75" w:rsidRDefault="00A15F75" w14:paraId="6EFEDD3C" w14:textId="77777777">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IOUs shall report the following fields for each distribution upgrade project</w:t>
      </w:r>
      <w:r w:rsidRPr="003A4BBD" w:rsidR="003A4BBD">
        <w:rPr>
          <w:rFonts w:ascii="Palatino Linotype" w:hAnsi="Palatino Linotype" w:eastAsia="Palatino Linotype" w:cs="Times New Roman"/>
          <w:kern w:val="0"/>
          <w14:ligatures w14:val="none"/>
        </w:rPr>
        <w:t>, as specified in the "</w:t>
      </w:r>
      <w:proofErr w:type="spellStart"/>
      <w:r w:rsidRPr="003A4BBD" w:rsidR="003A4BBD">
        <w:rPr>
          <w:rFonts w:ascii="Palatino Linotype" w:hAnsi="Palatino Linotype" w:eastAsia="Palatino Linotype" w:cs="Times New Roman"/>
          <w:kern w:val="0"/>
          <w14:ligatures w14:val="none"/>
        </w:rPr>
        <w:t>Project_Data</w:t>
      </w:r>
      <w:proofErr w:type="spellEnd"/>
      <w:r w:rsidRPr="003A4BBD" w:rsidR="003A4BBD">
        <w:rPr>
          <w:rFonts w:ascii="Palatino Linotype" w:hAnsi="Palatino Linotype" w:eastAsia="Palatino Linotype" w:cs="Times New Roman"/>
          <w:kern w:val="0"/>
          <w14:ligatures w14:val="none"/>
        </w:rPr>
        <w:t>" tab of Attachment A to this Resolution,</w:t>
      </w:r>
      <w:r w:rsidRPr="00A15F75">
        <w:rPr>
          <w:rFonts w:ascii="Palatino Linotype" w:hAnsi="Palatino Linotype" w:eastAsia="Palatino Linotype" w:cs="Times New Roman"/>
          <w:kern w:val="0"/>
          <w14:ligatures w14:val="none"/>
        </w:rPr>
        <w:t xml:space="preserve"> </w:t>
      </w:r>
      <w:r w:rsidR="003A4BBD">
        <w:rPr>
          <w:rFonts w:ascii="Palatino Linotype" w:hAnsi="Palatino Linotype" w:eastAsia="Palatino Linotype" w:cs="Times New Roman"/>
          <w:kern w:val="0"/>
          <w14:ligatures w14:val="none"/>
        </w:rPr>
        <w:t xml:space="preserve">and shall </w:t>
      </w:r>
      <w:r w:rsidR="001D65D3">
        <w:rPr>
          <w:rFonts w:ascii="Palatino Linotype" w:hAnsi="Palatino Linotype" w:eastAsia="Palatino Linotype" w:cs="Times New Roman"/>
          <w:kern w:val="0"/>
          <w14:ligatures w14:val="none"/>
        </w:rPr>
        <w:t xml:space="preserve">submit the </w:t>
      </w:r>
      <w:r w:rsidR="001C5B9E">
        <w:rPr>
          <w:rFonts w:ascii="Palatino Linotype" w:hAnsi="Palatino Linotype" w:eastAsia="Palatino Linotype" w:cs="Times New Roman"/>
          <w:kern w:val="0"/>
          <w14:ligatures w14:val="none"/>
        </w:rPr>
        <w:t xml:space="preserve">completed </w:t>
      </w:r>
      <w:proofErr w:type="spellStart"/>
      <w:r w:rsidRPr="007802C4" w:rsidR="007802C4">
        <w:rPr>
          <w:rFonts w:ascii="Palatino Linotype" w:hAnsi="Palatino Linotype" w:eastAsia="Palatino Linotype" w:cs="Times New Roman"/>
          <w:kern w:val="0"/>
          <w14:ligatures w14:val="none"/>
        </w:rPr>
        <w:t>Project_Data</w:t>
      </w:r>
      <w:proofErr w:type="spellEnd"/>
      <w:r w:rsidRPr="007802C4" w:rsidR="007802C4">
        <w:rPr>
          <w:rFonts w:ascii="Palatino Linotype" w:hAnsi="Palatino Linotype" w:eastAsia="Palatino Linotype" w:cs="Times New Roman"/>
          <w:kern w:val="0"/>
          <w14:ligatures w14:val="none"/>
        </w:rPr>
        <w:t xml:space="preserve"> table as a separate appendix</w:t>
      </w:r>
      <w:r w:rsidR="007802C4">
        <w:rPr>
          <w:rFonts w:ascii="Palatino Linotype" w:hAnsi="Palatino Linotype" w:eastAsia="Palatino Linotype" w:cs="Times New Roman"/>
          <w:kern w:val="0"/>
          <w14:ligatures w14:val="none"/>
        </w:rPr>
        <w:t xml:space="preserve"> </w:t>
      </w:r>
      <w:r w:rsidRPr="00A15F75">
        <w:rPr>
          <w:rFonts w:ascii="Palatino Linotype" w:hAnsi="Palatino Linotype" w:eastAsia="Palatino Linotype" w:cs="Times New Roman"/>
          <w:kern w:val="0"/>
          <w14:ligatures w14:val="none"/>
        </w:rPr>
        <w:t>in their annual DUPR filing</w:t>
      </w:r>
      <w:r w:rsidR="00CC12CA">
        <w:rPr>
          <w:rFonts w:ascii="Palatino Linotype" w:hAnsi="Palatino Linotype" w:eastAsia="Palatino Linotype" w:cs="Times New Roman"/>
          <w:kern w:val="0"/>
          <w14:ligatures w14:val="none"/>
        </w:rPr>
        <w:t xml:space="preserve">, titled </w:t>
      </w:r>
      <w:r w:rsidR="007B70FD">
        <w:rPr>
          <w:rFonts w:ascii="Palatino Linotype" w:hAnsi="Palatino Linotype" w:eastAsia="Palatino Linotype" w:cs="Times New Roman"/>
          <w:kern w:val="0"/>
          <w14:ligatures w14:val="none"/>
        </w:rPr>
        <w:t>“Equity Metrics Statistics</w:t>
      </w:r>
      <w:r w:rsidR="00777546">
        <w:rPr>
          <w:rFonts w:ascii="Palatino Linotype" w:hAnsi="Palatino Linotype" w:eastAsia="Palatino Linotype" w:cs="Times New Roman"/>
          <w:kern w:val="0"/>
          <w14:ligatures w14:val="none"/>
        </w:rPr>
        <w:t xml:space="preserve">,” consistent </w:t>
      </w:r>
      <w:r w:rsidRPr="009D2040" w:rsidR="009D2040">
        <w:rPr>
          <w:rFonts w:ascii="Palatino Linotype" w:hAnsi="Palatino Linotype" w:eastAsia="Palatino Linotype" w:cs="Times New Roman"/>
          <w:kern w:val="0"/>
          <w14:ligatures w14:val="none"/>
        </w:rPr>
        <w:t>with Ordering Paragraph 8</w:t>
      </w:r>
      <w:r w:rsidRPr="00A15F75">
        <w:rPr>
          <w:rFonts w:ascii="Palatino Linotype" w:hAnsi="Palatino Linotype" w:eastAsia="Palatino Linotype" w:cs="Times New Roman"/>
          <w:kern w:val="0"/>
          <w14:ligatures w14:val="none"/>
        </w:rPr>
        <w:t>:</w:t>
      </w:r>
    </w:p>
    <w:p w:rsidRPr="00A15F75" w:rsidR="00A15F75" w:rsidP="00A15F75" w:rsidRDefault="00A15F75" w14:paraId="427A407B"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identifier, circuit-to-project mapping listing all circuits affected by the project, utility name, planning area, and reporting year</w:t>
      </w:r>
      <w:r w:rsidR="00701561">
        <w:rPr>
          <w:rFonts w:ascii="Palatino Linotype" w:hAnsi="Palatino Linotype" w:eastAsia="Palatino Linotype" w:cs="Times New Roman"/>
          <w:kern w:val="0"/>
          <w14:ligatures w14:val="none"/>
        </w:rPr>
        <w:t xml:space="preserve"> </w:t>
      </w:r>
      <w:r w:rsidRPr="00701561" w:rsidR="00701561">
        <w:rPr>
          <w:rFonts w:ascii="Palatino Linotype" w:hAnsi="Palatino Linotype" w:eastAsia="Palatino Linotype" w:cs="Times New Roman"/>
          <w:kern w:val="0"/>
          <w14:ligatures w14:val="none"/>
        </w:rPr>
        <w:t>(</w:t>
      </w:r>
      <w:proofErr w:type="spellStart"/>
      <w:r w:rsidRPr="00701561" w:rsidR="00701561">
        <w:rPr>
          <w:rFonts w:ascii="Palatino Linotype" w:hAnsi="Palatino Linotype" w:eastAsia="Palatino Linotype" w:cs="Times New Roman"/>
          <w:i/>
          <w:iCs/>
          <w:kern w:val="0"/>
          <w14:ligatures w14:val="none"/>
        </w:rPr>
        <w:t>Project_ID</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Circuit_to_Project</w:t>
      </w:r>
      <w:proofErr w:type="spellEnd"/>
      <w:r w:rsidRPr="00701561" w:rsidR="00701561">
        <w:rPr>
          <w:rFonts w:ascii="Palatino Linotype" w:hAnsi="Palatino Linotype" w:eastAsia="Palatino Linotype" w:cs="Times New Roman"/>
          <w:i/>
          <w:iCs/>
          <w:kern w:val="0"/>
          <w14:ligatures w14:val="none"/>
        </w:rPr>
        <w:t xml:space="preserve"> Mapping, </w:t>
      </w:r>
      <w:proofErr w:type="spellStart"/>
      <w:r w:rsidRPr="00701561" w:rsidR="00701561">
        <w:rPr>
          <w:rFonts w:ascii="Palatino Linotype" w:hAnsi="Palatino Linotype" w:eastAsia="Palatino Linotype" w:cs="Times New Roman"/>
          <w:i/>
          <w:iCs/>
          <w:kern w:val="0"/>
          <w14:ligatures w14:val="none"/>
        </w:rPr>
        <w:t>Circuit_Name</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Utility_or_Service_Territory</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Planning_Area</w:t>
      </w:r>
      <w:proofErr w:type="spellEnd"/>
      <w:r w:rsidRPr="00701561" w:rsidR="00701561">
        <w:rPr>
          <w:rFonts w:ascii="Palatino Linotype" w:hAnsi="Palatino Linotype" w:eastAsia="Palatino Linotype" w:cs="Times New Roman"/>
          <w:i/>
          <w:iCs/>
          <w:kern w:val="0"/>
          <w14:ligatures w14:val="none"/>
        </w:rPr>
        <w:t>, Year</w:t>
      </w:r>
      <w:r w:rsidRPr="00701561" w:rsidR="0070156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670887EC"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type</w:t>
      </w:r>
      <w:r w:rsidR="001B1D38">
        <w:rPr>
          <w:rFonts w:ascii="Palatino Linotype" w:hAnsi="Palatino Linotype" w:eastAsia="Palatino Linotype" w:cs="Times New Roman"/>
          <w:kern w:val="0"/>
          <w14:ligatures w14:val="none"/>
        </w:rPr>
        <w:t xml:space="preserve"> and</w:t>
      </w:r>
      <w:r w:rsidRPr="00A15F75">
        <w:rPr>
          <w:rFonts w:ascii="Palatino Linotype" w:hAnsi="Palatino Linotype" w:eastAsia="Palatino Linotype" w:cs="Times New Roman"/>
          <w:kern w:val="0"/>
          <w14:ligatures w14:val="none"/>
        </w:rPr>
        <w:t xml:space="preserve"> status</w:t>
      </w:r>
      <w:r w:rsidR="00D724DA">
        <w:rPr>
          <w:rFonts w:ascii="Palatino Linotype" w:hAnsi="Palatino Linotype" w:eastAsia="Palatino Linotype" w:cs="Times New Roman"/>
          <w:kern w:val="0"/>
          <w14:ligatures w14:val="none"/>
        </w:rPr>
        <w:t xml:space="preserve"> </w:t>
      </w:r>
      <w:r w:rsidRPr="00D724DA" w:rsidR="00D724DA">
        <w:rPr>
          <w:rFonts w:ascii="Palatino Linotype" w:hAnsi="Palatino Linotype" w:eastAsia="Palatino Linotype" w:cs="Times New Roman"/>
          <w:kern w:val="0"/>
          <w14:ligatures w14:val="none"/>
        </w:rPr>
        <w:t>(</w:t>
      </w:r>
      <w:proofErr w:type="spellStart"/>
      <w:r w:rsidRPr="00D724DA" w:rsidR="00D724DA">
        <w:rPr>
          <w:rFonts w:ascii="Palatino Linotype" w:hAnsi="Palatino Linotype" w:eastAsia="Palatino Linotype" w:cs="Times New Roman"/>
          <w:i/>
          <w:iCs/>
          <w:kern w:val="0"/>
          <w14:ligatures w14:val="none"/>
        </w:rPr>
        <w:t>Project_Type</w:t>
      </w:r>
      <w:proofErr w:type="spellEnd"/>
      <w:r w:rsidRPr="00D724DA" w:rsidR="00D724DA">
        <w:rPr>
          <w:rFonts w:ascii="Palatino Linotype" w:hAnsi="Palatino Linotype" w:eastAsia="Palatino Linotype" w:cs="Times New Roman"/>
          <w:i/>
          <w:iCs/>
          <w:kern w:val="0"/>
          <w14:ligatures w14:val="none"/>
        </w:rPr>
        <w:t xml:space="preserve">; </w:t>
      </w:r>
      <w:proofErr w:type="spellStart"/>
      <w:r w:rsidRPr="00D724DA" w:rsidR="00D724DA">
        <w:rPr>
          <w:rFonts w:ascii="Palatino Linotype" w:hAnsi="Palatino Linotype" w:eastAsia="Palatino Linotype" w:cs="Times New Roman"/>
          <w:i/>
          <w:iCs/>
          <w:kern w:val="0"/>
          <w14:ligatures w14:val="none"/>
        </w:rPr>
        <w:t>Project_Status</w:t>
      </w:r>
      <w:proofErr w:type="spellEnd"/>
      <w:r w:rsidRPr="00D724DA" w:rsidR="00D724DA">
        <w:rPr>
          <w:rFonts w:ascii="Palatino Linotype" w:hAnsi="Palatino Linotype" w:eastAsia="Palatino Linotype" w:cs="Times New Roman"/>
          <w:kern w:val="0"/>
          <w14:ligatures w14:val="none"/>
        </w:rPr>
        <w:t>, reported as Proposed, Approved, Initiated, Completed, Deferred, or Rejected)</w:t>
      </w:r>
      <w:r w:rsidRPr="00A15F75">
        <w:rPr>
          <w:rFonts w:ascii="Palatino Linotype" w:hAnsi="Palatino Linotype" w:eastAsia="Palatino Linotype" w:cs="Times New Roman"/>
          <w:kern w:val="0"/>
          <w14:ligatures w14:val="none"/>
        </w:rPr>
        <w:t>, proposal date, approval date, initiation date, and completion date where available</w:t>
      </w:r>
      <w:r w:rsidR="00115218">
        <w:rPr>
          <w:rFonts w:ascii="Palatino Linotype" w:hAnsi="Palatino Linotype" w:eastAsia="Palatino Linotype" w:cs="Times New Roman"/>
          <w:kern w:val="0"/>
          <w14:ligatures w14:val="none"/>
        </w:rPr>
        <w:t xml:space="preserve"> </w:t>
      </w:r>
      <w:r w:rsidRPr="00115218" w:rsidR="00115218">
        <w:rPr>
          <w:rFonts w:ascii="Palatino Linotype" w:hAnsi="Palatino Linotype" w:eastAsia="Palatino Linotype" w:cs="Times New Roman"/>
          <w:kern w:val="0"/>
          <w14:ligatures w14:val="none"/>
        </w:rPr>
        <w:t>(</w:t>
      </w:r>
      <w:proofErr w:type="spellStart"/>
      <w:r w:rsidRPr="00115218" w:rsidR="00115218">
        <w:rPr>
          <w:rFonts w:ascii="Palatino Linotype" w:hAnsi="Palatino Linotype" w:eastAsia="Palatino Linotype" w:cs="Times New Roman"/>
          <w:i/>
          <w:iCs/>
          <w:kern w:val="0"/>
          <w14:ligatures w14:val="none"/>
        </w:rPr>
        <w:t>Proposal_Date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Approval_Date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Initiation_Date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Completion_Date</w:t>
      </w:r>
      <w:proofErr w:type="spellEnd"/>
      <w:r w:rsidRPr="00115218" w:rsidR="00115218">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4D534F63"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Estimated and actual project cost, MW capacity added, project driver, and constraint addressed</w:t>
      </w:r>
      <w:r w:rsidR="00205541">
        <w:rPr>
          <w:rFonts w:ascii="Palatino Linotype" w:hAnsi="Palatino Linotype" w:eastAsia="Palatino Linotype" w:cs="Times New Roman"/>
          <w:kern w:val="0"/>
          <w14:ligatures w14:val="none"/>
        </w:rPr>
        <w:t xml:space="preserve"> </w:t>
      </w:r>
      <w:r w:rsidRPr="00205541" w:rsidR="00205541">
        <w:rPr>
          <w:rFonts w:ascii="Palatino Linotype" w:hAnsi="Palatino Linotype" w:eastAsia="Palatino Linotype" w:cs="Times New Roman"/>
          <w:kern w:val="0"/>
          <w14:ligatures w14:val="none"/>
        </w:rPr>
        <w:t>(</w:t>
      </w:r>
      <w:proofErr w:type="spellStart"/>
      <w:r w:rsidRPr="00205541" w:rsidR="00205541">
        <w:rPr>
          <w:rFonts w:ascii="Palatino Linotype" w:hAnsi="Palatino Linotype" w:eastAsia="Palatino Linotype" w:cs="Times New Roman"/>
          <w:i/>
          <w:iCs/>
          <w:kern w:val="0"/>
          <w14:ligatures w14:val="none"/>
        </w:rPr>
        <w:t>Estimated_Cost</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Actual_Cost</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MW_Capacity_Added</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Project_Driver</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Constraint_Addressed</w:t>
      </w:r>
      <w:proofErr w:type="spellEnd"/>
      <w:r w:rsidRPr="00205541" w:rsidR="0020554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00A15F75" w:rsidP="00A15F75" w:rsidRDefault="00A15F75" w14:paraId="10195CF6"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initiation status, reported as a binary Yes/No indicator of whether the project has been initiated, along with a note documenting the IOU's definition of "initiated" for purposes of cross-utility comparability</w:t>
      </w:r>
      <w:r w:rsidR="005F3508">
        <w:rPr>
          <w:rFonts w:ascii="Palatino Linotype" w:hAnsi="Palatino Linotype" w:eastAsia="Palatino Linotype" w:cs="Times New Roman"/>
          <w:kern w:val="0"/>
          <w14:ligatures w14:val="none"/>
        </w:rPr>
        <w:t xml:space="preserve"> </w:t>
      </w:r>
      <w:r w:rsidRPr="005F3508" w:rsidR="005F3508">
        <w:rPr>
          <w:rFonts w:ascii="Palatino Linotype" w:hAnsi="Palatino Linotype" w:eastAsia="Palatino Linotype" w:cs="Times New Roman"/>
          <w:kern w:val="0"/>
          <w14:ligatures w14:val="none"/>
        </w:rPr>
        <w:t>(</w:t>
      </w:r>
      <w:proofErr w:type="spellStart"/>
      <w:r w:rsidRPr="005F3508" w:rsidR="005F3508">
        <w:rPr>
          <w:rFonts w:ascii="Palatino Linotype" w:hAnsi="Palatino Linotype" w:eastAsia="Palatino Linotype" w:cs="Times New Roman"/>
          <w:i/>
          <w:iCs/>
          <w:kern w:val="0"/>
          <w14:ligatures w14:val="none"/>
        </w:rPr>
        <w:t>Initiated_Project</w:t>
      </w:r>
      <w:proofErr w:type="spellEnd"/>
      <w:r w:rsidRPr="005F3508" w:rsidR="005F3508">
        <w:rPr>
          <w:rFonts w:ascii="Palatino Linotype" w:hAnsi="Palatino Linotype" w:eastAsia="Palatino Linotype" w:cs="Times New Roman"/>
          <w:i/>
          <w:iCs/>
          <w:kern w:val="0"/>
          <w14:ligatures w14:val="none"/>
        </w:rPr>
        <w:t xml:space="preserve">, </w:t>
      </w:r>
      <w:proofErr w:type="spellStart"/>
      <w:r w:rsidRPr="005F3508" w:rsidR="005F3508">
        <w:rPr>
          <w:rFonts w:ascii="Palatino Linotype" w:hAnsi="Palatino Linotype" w:eastAsia="Palatino Linotype" w:cs="Times New Roman"/>
          <w:i/>
          <w:iCs/>
          <w:kern w:val="0"/>
          <w14:ligatures w14:val="none"/>
        </w:rPr>
        <w:t>Initiated_Project_Notes</w:t>
      </w:r>
      <w:proofErr w:type="spellEnd"/>
      <w:r w:rsidRPr="005F3508" w:rsidR="005F3508">
        <w:rPr>
          <w:rFonts w:ascii="Palatino Linotype" w:hAnsi="Palatino Linotype" w:eastAsia="Palatino Linotype" w:cs="Times New Roman"/>
          <w:kern w:val="0"/>
          <w14:ligatures w14:val="none"/>
        </w:rPr>
        <w:t>)</w:t>
      </w:r>
      <w:r w:rsidR="00D67D81">
        <w:rPr>
          <w:rFonts w:ascii="Palatino Linotype" w:hAnsi="Palatino Linotype" w:eastAsia="Palatino Linotype" w:cs="Times New Roman"/>
          <w:kern w:val="0"/>
          <w14:ligatures w14:val="none"/>
        </w:rPr>
        <w:t>;</w:t>
      </w:r>
    </w:p>
    <w:p w:rsidR="00B429C2" w:rsidP="00A15F75" w:rsidRDefault="00C86608" w14:paraId="38101499"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C86608">
        <w:rPr>
          <w:rFonts w:ascii="Palatino Linotype" w:hAnsi="Palatino Linotype" w:eastAsia="Palatino Linotype" w:cs="Times New Roman"/>
          <w:kern w:val="0"/>
          <w14:ligatures w14:val="none"/>
        </w:rPr>
        <w:t>Whether the project was deferred or rejected, the reason for any deferral or rejection, and whether the project is included in the IOU's distribution planning documents, to support identification of non-initiated outcomes in the "Project Initiation" model (</w:t>
      </w:r>
      <w:proofErr w:type="spellStart"/>
      <w:r w:rsidRPr="00C86608">
        <w:rPr>
          <w:rFonts w:ascii="Palatino Linotype" w:hAnsi="Palatino Linotype" w:eastAsia="Palatino Linotype" w:cs="Times New Roman"/>
          <w:i/>
          <w:iCs/>
          <w:kern w:val="0"/>
          <w14:ligatures w14:val="none"/>
        </w:rPr>
        <w:t>Deferred_or_Rejected_Flag</w:t>
      </w:r>
      <w:proofErr w:type="spellEnd"/>
      <w:r w:rsidRPr="00C86608">
        <w:rPr>
          <w:rFonts w:ascii="Palatino Linotype" w:hAnsi="Palatino Linotype" w:eastAsia="Palatino Linotype" w:cs="Times New Roman"/>
          <w:i/>
          <w:iCs/>
          <w:kern w:val="0"/>
          <w14:ligatures w14:val="none"/>
        </w:rPr>
        <w:t xml:space="preserve">, </w:t>
      </w:r>
      <w:proofErr w:type="spellStart"/>
      <w:r w:rsidRPr="00C86608">
        <w:rPr>
          <w:rFonts w:ascii="Palatino Linotype" w:hAnsi="Palatino Linotype" w:eastAsia="Palatino Linotype" w:cs="Times New Roman"/>
          <w:i/>
          <w:iCs/>
          <w:kern w:val="0"/>
          <w14:ligatures w14:val="none"/>
        </w:rPr>
        <w:t>Deferral_or_Rejection_Reason</w:t>
      </w:r>
      <w:proofErr w:type="spellEnd"/>
      <w:r w:rsidRPr="00C86608">
        <w:rPr>
          <w:rFonts w:ascii="Palatino Linotype" w:hAnsi="Palatino Linotype" w:eastAsia="Palatino Linotype" w:cs="Times New Roman"/>
          <w:i/>
          <w:iCs/>
          <w:kern w:val="0"/>
          <w14:ligatures w14:val="none"/>
        </w:rPr>
        <w:t xml:space="preserve">, </w:t>
      </w:r>
      <w:proofErr w:type="spellStart"/>
      <w:r w:rsidRPr="00C86608">
        <w:rPr>
          <w:rFonts w:ascii="Palatino Linotype" w:hAnsi="Palatino Linotype" w:eastAsia="Palatino Linotype" w:cs="Times New Roman"/>
          <w:i/>
          <w:iCs/>
          <w:kern w:val="0"/>
          <w14:ligatures w14:val="none"/>
        </w:rPr>
        <w:t>Included_In_Distribution_Plan</w:t>
      </w:r>
      <w:proofErr w:type="spellEnd"/>
      <w:r w:rsidRPr="00C86608">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and</w:t>
      </w:r>
    </w:p>
    <w:p w:rsidRPr="00A15F75" w:rsidR="00C86608" w:rsidP="00A15F75" w:rsidRDefault="00AE6C16" w14:paraId="5BF2F325" w14:textId="7777777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E6C16">
        <w:rPr>
          <w:rFonts w:ascii="Palatino Linotype" w:hAnsi="Palatino Linotype" w:eastAsia="Palatino Linotype" w:cs="Times New Roman"/>
          <w:kern w:val="0"/>
          <w14:ligatures w14:val="none"/>
        </w:rPr>
        <w:lastRenderedPageBreak/>
        <w:t>A notes field documenting definitions, data limitations, approximations, or other comments relevant to the interpretation of the submitted data, including an explanation for any field left blank due to data unavailability (</w:t>
      </w:r>
      <w:r w:rsidRPr="00AE6C16">
        <w:rPr>
          <w:rFonts w:ascii="Palatino Linotype" w:hAnsi="Palatino Linotype" w:eastAsia="Palatino Linotype" w:cs="Times New Roman"/>
          <w:i/>
          <w:iCs/>
          <w:kern w:val="0"/>
          <w14:ligatures w14:val="none"/>
        </w:rPr>
        <w:t>Notes</w:t>
      </w:r>
      <w:r w:rsidRPr="00AE6C16">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w:t>
      </w:r>
    </w:p>
    <w:p w:rsidRPr="00A15F75" w:rsidR="00A15F75" w:rsidP="00A15F75" w:rsidRDefault="00A15F75" w14:paraId="1266A9D0" w14:textId="77777777">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Through the circuit-to-project mapping field, Energy Division will cross-reference project-level data with the circuit-level equity-priority population data reported in the GNA Equity Metrics Statistics appendix to estimate the equity-priority population characteristics of each project area. IOUs are not required to independently calculate equity-priority population percentages at the project level.</w:t>
      </w:r>
    </w:p>
    <w:p w:rsidRPr="00A15F75" w:rsidR="00A15F75" w:rsidP="009432EF" w:rsidRDefault="00A15F75" w14:paraId="078D3C1A" w14:textId="77777777">
      <w:pPr>
        <w:pStyle w:val="Heading3"/>
        <w:numPr>
          <w:ilvl w:val="1"/>
          <w:numId w:val="7"/>
        </w:numPr>
        <w:spacing w:before="360" w:after="0"/>
        <w:rPr>
          <w:rFonts w:eastAsia="Palatino Linotype"/>
        </w:rPr>
      </w:pPr>
      <w:r w:rsidRPr="00A15F75">
        <w:rPr>
          <w:rFonts w:eastAsia="Palatino Linotype"/>
        </w:rPr>
        <w:t>Reporting Timeline</w:t>
      </w:r>
    </w:p>
    <w:p w:rsidRPr="00A15F75" w:rsidR="00A15F75" w:rsidP="00A15F75" w:rsidRDefault="00A15F75" w14:paraId="50475303" w14:textId="79FF4950">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The Commission finds that the submission of equity metrics input data shall be </w:t>
      </w:r>
      <w:r w:rsidRPr="5DEF23EE" w:rsidR="00474A47">
        <w:rPr>
          <w:rFonts w:ascii="Palatino Linotype" w:hAnsi="Palatino Linotype" w:eastAsia="Palatino Linotype" w:cs="Times New Roman"/>
        </w:rPr>
        <w:t xml:space="preserve">submitted in three phases. The 2025-2026 GNA and DUPR data, filed on </w:t>
      </w:r>
      <w:r w:rsidR="005410F3">
        <w:rPr>
          <w:rFonts w:ascii="Palatino Linotype" w:hAnsi="Palatino Linotype" w:eastAsia="Palatino Linotype" w:cs="Times New Roman"/>
        </w:rPr>
        <w:br/>
      </w:r>
      <w:r w:rsidRPr="5DEF23EE" w:rsidR="00474A47">
        <w:rPr>
          <w:rFonts w:ascii="Palatino Linotype" w:hAnsi="Palatino Linotype" w:eastAsia="Palatino Linotype" w:cs="Times New Roman"/>
        </w:rPr>
        <w:t xml:space="preserve">August 16, 2026, shall be submitted in the format of Attachment A </w:t>
      </w:r>
      <w:r w:rsidRPr="00A15F75">
        <w:rPr>
          <w:rFonts w:ascii="Palatino Linotype" w:hAnsi="Palatino Linotype" w:eastAsia="Palatino Linotype" w:cs="Times New Roman"/>
          <w:kern w:val="0"/>
          <w14:ligatures w14:val="none"/>
        </w:rPr>
        <w:t xml:space="preserve">no later than </w:t>
      </w:r>
      <w:r w:rsidR="005410F3">
        <w:rPr>
          <w:rFonts w:ascii="Palatino Linotype" w:hAnsi="Palatino Linotype" w:eastAsia="Palatino Linotype" w:cs="Times New Roman"/>
          <w:kern w:val="0"/>
          <w14:ligatures w14:val="none"/>
        </w:rPr>
        <w:br/>
      </w:r>
      <w:r w:rsidR="009D6D35">
        <w:rPr>
          <w:rFonts w:ascii="Palatino Linotype" w:hAnsi="Palatino Linotype" w:eastAsia="Palatino Linotype" w:cs="Times New Roman"/>
          <w:kern w:val="0"/>
          <w14:ligatures w14:val="none"/>
        </w:rPr>
        <w:t>O</w:t>
      </w:r>
      <w:r w:rsidR="003E780C">
        <w:rPr>
          <w:rFonts w:ascii="Palatino Linotype" w:hAnsi="Palatino Linotype" w:eastAsia="Palatino Linotype" w:cs="Times New Roman"/>
          <w:kern w:val="0"/>
          <w14:ligatures w14:val="none"/>
        </w:rPr>
        <w:t>ctober</w:t>
      </w:r>
      <w:r w:rsidR="003D7BC7">
        <w:rPr>
          <w:rFonts w:ascii="Palatino Linotype" w:hAnsi="Palatino Linotype" w:eastAsia="Palatino Linotype" w:cs="Times New Roman"/>
          <w:kern w:val="0"/>
          <w14:ligatures w14:val="none"/>
        </w:rPr>
        <w:t xml:space="preserve"> </w:t>
      </w:r>
      <w:r w:rsidR="003E780C">
        <w:rPr>
          <w:rFonts w:ascii="Palatino Linotype" w:hAnsi="Palatino Linotype" w:eastAsia="Palatino Linotype" w:cs="Times New Roman"/>
          <w:kern w:val="0"/>
          <w14:ligatures w14:val="none"/>
        </w:rPr>
        <w:t>1</w:t>
      </w:r>
      <w:r w:rsidR="00185E05">
        <w:rPr>
          <w:rFonts w:ascii="Palatino Linotype" w:hAnsi="Palatino Linotype" w:eastAsia="Palatino Linotype" w:cs="Times New Roman"/>
          <w:kern w:val="0"/>
          <w14:ligatures w14:val="none"/>
        </w:rPr>
        <w:t>6</w:t>
      </w:r>
      <w:r w:rsidRPr="00A15F75">
        <w:rPr>
          <w:rFonts w:ascii="Palatino Linotype" w:hAnsi="Palatino Linotype" w:eastAsia="Palatino Linotype" w:cs="Times New Roman"/>
          <w:kern w:val="0"/>
          <w14:ligatures w14:val="none"/>
        </w:rPr>
        <w:t>, 2026</w:t>
      </w:r>
      <w:r w:rsidRPr="5DEF23EE" w:rsidR="00474A47">
        <w:rPr>
          <w:rFonts w:ascii="Palatino Linotype" w:hAnsi="Palatino Linotype" w:eastAsia="Palatino Linotype" w:cs="Times New Roman"/>
        </w:rPr>
        <w:t>. Historical data for the GNA and DUPR (previously DDOR</w:t>
      </w:r>
      <w:r w:rsidR="00D74950">
        <w:rPr>
          <w:rStyle w:val="FootnoteReference"/>
          <w:rFonts w:ascii="Palatino Linotype" w:hAnsi="Palatino Linotype" w:eastAsia="Palatino Linotype" w:cs="Times New Roman"/>
          <w:kern w:val="0"/>
          <w14:ligatures w14:val="none"/>
        </w:rPr>
        <w:footnoteReference w:id="22"/>
      </w:r>
      <w:r w:rsidRPr="5DEF23EE" w:rsidR="00474A47">
        <w:rPr>
          <w:rFonts w:ascii="Palatino Linotype" w:hAnsi="Palatino Linotype" w:eastAsia="Palatino Linotype" w:cs="Times New Roman"/>
        </w:rPr>
        <w:t xml:space="preserve">) filings </w:t>
      </w:r>
      <w:proofErr w:type="gramStart"/>
      <w:r w:rsidRPr="5DEF23EE" w:rsidR="00474A47">
        <w:rPr>
          <w:rFonts w:ascii="Palatino Linotype" w:hAnsi="Palatino Linotype" w:eastAsia="Palatino Linotype" w:cs="Times New Roman"/>
        </w:rPr>
        <w:t>of</w:t>
      </w:r>
      <w:proofErr w:type="gramEnd"/>
      <w:r w:rsidRPr="5DEF23EE" w:rsidR="00474A47">
        <w:rPr>
          <w:rFonts w:ascii="Palatino Linotype" w:hAnsi="Palatino Linotype" w:eastAsia="Palatino Linotype" w:cs="Times New Roman"/>
        </w:rPr>
        <w:t xml:space="preserve"> the years 2019-2025 shall be submitted in the format of Attachment A no later than December 31, 2026. The content of historic data provides statistical tools to analyze behavior of the variables involved and provides a br</w:t>
      </w:r>
      <w:r w:rsidRPr="5DEF23EE" w:rsidR="00BD00A7">
        <w:rPr>
          <w:rFonts w:ascii="Palatino Linotype" w:hAnsi="Palatino Linotype" w:eastAsia="Palatino Linotype" w:cs="Times New Roman"/>
        </w:rPr>
        <w:t>o</w:t>
      </w:r>
      <w:r w:rsidRPr="5DEF23EE" w:rsidR="00474A47">
        <w:rPr>
          <w:rFonts w:ascii="Palatino Linotype" w:hAnsi="Palatino Linotype" w:eastAsia="Palatino Linotype" w:cs="Times New Roman"/>
        </w:rPr>
        <w:t xml:space="preserve">ader context for the eventual interpretation of results. This timeline </w:t>
      </w:r>
      <w:r w:rsidRPr="00A15F75">
        <w:rPr>
          <w:rFonts w:ascii="Palatino Linotype" w:hAnsi="Palatino Linotype" w:eastAsia="Palatino Linotype" w:cs="Times New Roman"/>
          <w:kern w:val="0"/>
          <w14:ligatures w14:val="none"/>
        </w:rPr>
        <w:t>allow</w:t>
      </w:r>
      <w:r w:rsidRPr="5DEF23EE" w:rsidR="00474A47">
        <w:rPr>
          <w:rFonts w:ascii="Palatino Linotype" w:hAnsi="Palatino Linotype" w:eastAsia="Palatino Linotype" w:cs="Times New Roman"/>
        </w:rPr>
        <w:t>s</w:t>
      </w:r>
      <w:r w:rsidRPr="00A15F75">
        <w:rPr>
          <w:rFonts w:ascii="Palatino Linotype" w:hAnsi="Palatino Linotype" w:eastAsia="Palatino Linotype" w:cs="Times New Roman"/>
          <w:kern w:val="0"/>
          <w14:ligatures w14:val="none"/>
        </w:rPr>
        <w:t xml:space="preserve"> Energy Division sufficient time to develop</w:t>
      </w:r>
      <w:r w:rsidRPr="5DEF23EE" w:rsidR="00474A47">
        <w:rPr>
          <w:rFonts w:ascii="Palatino Linotype" w:hAnsi="Palatino Linotype" w:eastAsia="Palatino Linotype" w:cs="Times New Roman"/>
        </w:rPr>
        <w:t>, test,</w:t>
      </w:r>
      <w:r w:rsidRPr="00A15F75">
        <w:rPr>
          <w:rFonts w:ascii="Palatino Linotype" w:hAnsi="Palatino Linotype" w:eastAsia="Palatino Linotype" w:cs="Times New Roman"/>
          <w:kern w:val="0"/>
          <w14:ligatures w14:val="none"/>
        </w:rPr>
        <w:t xml:space="preserve"> and </w:t>
      </w:r>
      <w:r w:rsidRPr="5DEF23EE">
        <w:rPr>
          <w:rFonts w:ascii="Palatino Linotype" w:hAnsi="Palatino Linotype" w:eastAsia="Palatino Linotype" w:cs="Times New Roman"/>
        </w:rPr>
        <w:t xml:space="preserve">validate the </w:t>
      </w:r>
      <w:r w:rsidRPr="5DEF23EE" w:rsidR="00474A47">
        <w:rPr>
          <w:rFonts w:ascii="Palatino Linotype" w:hAnsi="Palatino Linotype" w:eastAsia="Palatino Linotype" w:cs="Times New Roman"/>
        </w:rPr>
        <w:t xml:space="preserve">econometric </w:t>
      </w:r>
      <w:r w:rsidRPr="00A15F75">
        <w:rPr>
          <w:rFonts w:ascii="Palatino Linotype" w:hAnsi="Palatino Linotype" w:eastAsia="Palatino Linotype" w:cs="Times New Roman"/>
          <w:kern w:val="0"/>
          <w14:ligatures w14:val="none"/>
        </w:rPr>
        <w:t>models in advance of the</w:t>
      </w:r>
      <w:r w:rsidRPr="5DEF23EE" w:rsidR="00474A47">
        <w:rPr>
          <w:rFonts w:ascii="Palatino Linotype" w:hAnsi="Palatino Linotype" w:eastAsia="Palatino Linotype" w:cs="Times New Roman"/>
        </w:rPr>
        <w:t xml:space="preserve"> draft for the</w:t>
      </w:r>
      <w:r w:rsidRPr="00A15F75">
        <w:rPr>
          <w:rFonts w:ascii="Palatino Linotype" w:hAnsi="Palatino Linotype" w:eastAsia="Palatino Linotype" w:cs="Times New Roman"/>
          <w:kern w:val="0"/>
          <w14:ligatures w14:val="none"/>
        </w:rPr>
        <w:t xml:space="preserv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F76B37">
        <w:rPr>
          <w:rFonts w:ascii="Palatino Linotype" w:hAnsi="Palatino Linotype" w:eastAsia="Palatino Linotype" w:cs="Times New Roman"/>
          <w:kern w:val="0"/>
          <w14:ligatures w14:val="none"/>
        </w:rPr>
        <w:t>,</w:t>
      </w:r>
      <w:r w:rsidR="00186F7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expected in the </w:t>
      </w:r>
      <w:r w:rsidR="008661FA">
        <w:rPr>
          <w:rFonts w:ascii="Palatino Linotype" w:hAnsi="Palatino Linotype" w:eastAsia="Palatino Linotype" w:cs="Times New Roman"/>
          <w:kern w:val="0"/>
          <w14:ligatures w14:val="none"/>
        </w:rPr>
        <w:t>third quar</w:t>
      </w:r>
      <w:r w:rsidRPr="00A15F75">
        <w:rPr>
          <w:rFonts w:ascii="Palatino Linotype" w:hAnsi="Palatino Linotype" w:eastAsia="Palatino Linotype" w:cs="Times New Roman"/>
          <w:kern w:val="0"/>
          <w14:ligatures w14:val="none"/>
        </w:rPr>
        <w:t xml:space="preserve">ter of 2027. </w:t>
      </w:r>
      <w:r w:rsidRPr="5DEF23EE" w:rsidR="00474A47">
        <w:rPr>
          <w:rFonts w:ascii="Palatino Linotype" w:hAnsi="Palatino Linotype" w:eastAsia="Palatino Linotype" w:cs="Times New Roman"/>
        </w:rPr>
        <w:t xml:space="preserve">Both </w:t>
      </w:r>
      <w:r w:rsidRPr="00A15F75">
        <w:rPr>
          <w:rFonts w:ascii="Palatino Linotype" w:hAnsi="Palatino Linotype" w:eastAsia="Palatino Linotype" w:cs="Times New Roman"/>
          <w:kern w:val="0"/>
          <w14:ligatures w14:val="none"/>
        </w:rPr>
        <w:t>submission</w:t>
      </w:r>
      <w:r w:rsidRPr="5DEF23EE" w:rsidR="00474A47">
        <w:rPr>
          <w:rFonts w:ascii="Palatino Linotype" w:hAnsi="Palatino Linotype" w:eastAsia="Palatino Linotype" w:cs="Times New Roman"/>
        </w:rPr>
        <w:t>s</w:t>
      </w:r>
      <w:r w:rsidRPr="00A15F75">
        <w:rPr>
          <w:rFonts w:ascii="Palatino Linotype" w:hAnsi="Palatino Linotype" w:eastAsia="Palatino Linotype" w:cs="Times New Roman"/>
          <w:kern w:val="0"/>
          <w14:ligatures w14:val="none"/>
        </w:rPr>
        <w:t xml:space="preserve"> shall be consistent with the data fields specified in Attachment A and shall reflect</w:t>
      </w:r>
      <w:r w:rsidRPr="5DEF23EE">
        <w:rPr>
          <w:rFonts w:ascii="Palatino Linotype" w:hAnsi="Palatino Linotype" w:eastAsia="Palatino Linotype" w:cs="Times New Roman"/>
        </w:rPr>
        <w:t xml:space="preserve"> the forecasted data previously reported in past GNA and DUPR filings for the period</w:t>
      </w:r>
      <w:r w:rsidRPr="5DEF23EE" w:rsidR="00474A47">
        <w:rPr>
          <w:rFonts w:ascii="Palatino Linotype" w:hAnsi="Palatino Linotype" w:eastAsia="Palatino Linotype" w:cs="Times New Roman"/>
        </w:rPr>
        <w:t>s covered</w:t>
      </w:r>
      <w:r w:rsidRPr="00A15F75">
        <w:rPr>
          <w:rFonts w:ascii="Palatino Linotype" w:hAnsi="Palatino Linotype" w:eastAsia="Palatino Linotype" w:cs="Times New Roman"/>
          <w:kern w:val="0"/>
          <w14:ligatures w14:val="none"/>
        </w:rPr>
        <w:t>.</w:t>
      </w:r>
    </w:p>
    <w:p w:rsidRPr="00A15F75" w:rsidR="00A15F75" w:rsidP="00A15F75" w:rsidRDefault="00A15F75" w14:paraId="5B488250" w14:textId="77777777">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In subsequent years, equity metrics input data shall be submitted as part of the IOUs' regular GNA and DUPR filings, on the same schedule as those filings, with the GNA Equity Metrics Statistics appendix due on the same date as the GNA filing. For each subsequent submission, IOUs shall provide the forecasted data reported in the current GNA and DUPR filings for the applicable planning cycle, covering the same years and planning horizon as those filings.</w:t>
      </w:r>
    </w:p>
    <w:p w:rsidR="00A15F75" w:rsidP="00A15F75" w:rsidRDefault="00A15F75" w14:paraId="07BC2A4E" w14:textId="3B9595B9">
      <w:pPr>
        <w:spacing w:before="240" w:after="0" w:line="240" w:lineRule="auto"/>
        <w:rPr>
          <w:rFonts w:ascii="Palatino Linotype" w:hAnsi="Palatino Linotype" w:eastAsia="Palatino Linotype" w:cs="Times New Roman"/>
          <w:kern w:val="0"/>
          <w14:ligatures w14:val="none"/>
        </w:rPr>
      </w:pPr>
      <w:r w:rsidRPr="0D62F954">
        <w:rPr>
          <w:rFonts w:ascii="Palatino Linotype" w:hAnsi="Palatino Linotype" w:eastAsia="Palatino Linotype" w:cs="Times New Roman"/>
        </w:rPr>
        <w:t xml:space="preserve">Energy Division shall publish the annual </w:t>
      </w:r>
      <w:r w:rsidRPr="0D62F954" w:rsidR="00186F7C">
        <w:rPr>
          <w:rFonts w:ascii="Palatino Linotype" w:hAnsi="Palatino Linotype" w:eastAsia="Palatino Linotype" w:cs="Times New Roman"/>
        </w:rPr>
        <w:t>‘Equity Metrics in DPEP Report’</w:t>
      </w:r>
      <w:r w:rsidRPr="0D62F954">
        <w:rPr>
          <w:rFonts w:ascii="Palatino Linotype" w:hAnsi="Palatino Linotype" w:eastAsia="Palatino Linotype" w:cs="Times New Roman"/>
        </w:rPr>
        <w:t xml:space="preserve"> in the first quarter of each calendar year, reflecting data from the prior year's DPEP cycle, as described in the Overview section of this Resolution.</w:t>
      </w:r>
      <w:r w:rsidRPr="0D62F954" w:rsidR="00753AA3">
        <w:rPr>
          <w:rFonts w:ascii="Palatino Linotype" w:hAnsi="Palatino Linotype" w:eastAsia="Palatino Linotype" w:cs="Times New Roman"/>
        </w:rPr>
        <w:t xml:space="preserve"> The first official Equity Metrics in </w:t>
      </w:r>
      <w:r w:rsidRPr="0D62F954" w:rsidR="00753AA3">
        <w:rPr>
          <w:rFonts w:ascii="Palatino Linotype" w:hAnsi="Palatino Linotype" w:eastAsia="Palatino Linotype" w:cs="Times New Roman"/>
        </w:rPr>
        <w:lastRenderedPageBreak/>
        <w:t>DPEP Report is expected in the first quarter of 2028, reflecting data from the 2026-20</w:t>
      </w:r>
      <w:r w:rsidRPr="0D62F954" w:rsidR="7A61597E">
        <w:rPr>
          <w:rFonts w:ascii="Palatino Linotype" w:hAnsi="Palatino Linotype" w:eastAsia="Palatino Linotype" w:cs="Times New Roman"/>
        </w:rPr>
        <w:t>2</w:t>
      </w:r>
      <w:r w:rsidRPr="0D62F954" w:rsidR="00753AA3">
        <w:rPr>
          <w:rFonts w:ascii="Palatino Linotype" w:hAnsi="Palatino Linotype" w:eastAsia="Palatino Linotype" w:cs="Times New Roman"/>
        </w:rPr>
        <w:t>7 DPEP cycle (GNA and DUPR filings submitted in August 2027).</w:t>
      </w:r>
    </w:p>
    <w:p w:rsidR="00D953A4" w:rsidP="00A15F75" w:rsidRDefault="00D74950" w14:paraId="32F70054" w14:textId="5D95A28E">
      <w:pPr>
        <w:spacing w:before="240"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Table 1. </w:t>
      </w:r>
      <w:r w:rsidR="004F61CD">
        <w:rPr>
          <w:rFonts w:ascii="Palatino Linotype" w:hAnsi="Palatino Linotype" w:eastAsia="Palatino Linotype" w:cs="Times New Roman"/>
          <w:kern w:val="0"/>
          <w14:ligatures w14:val="none"/>
        </w:rPr>
        <w:t>Data submission phases</w:t>
      </w:r>
    </w:p>
    <w:tbl>
      <w:tblPr>
        <w:tblStyle w:val="TableGrid"/>
        <w:tblW w:w="0" w:type="auto"/>
        <w:tblLook w:val="04A0" w:firstRow="1" w:lastRow="0" w:firstColumn="1" w:lastColumn="0" w:noHBand="0" w:noVBand="1"/>
      </w:tblPr>
      <w:tblGrid>
        <w:gridCol w:w="1523"/>
        <w:gridCol w:w="2612"/>
        <w:gridCol w:w="2635"/>
        <w:gridCol w:w="2580"/>
      </w:tblGrid>
      <w:tr w:rsidR="00474A47" w:rsidTr="00676A11" w14:paraId="6C3F36E0" w14:textId="77777777">
        <w:trPr>
          <w:trHeight w:val="735"/>
        </w:trPr>
        <w:tc>
          <w:tcPr>
            <w:tcW w:w="1523" w:type="dxa"/>
            <w:vAlign w:val="center"/>
          </w:tcPr>
          <w:p w:rsidRPr="00676A11" w:rsidR="00474A47" w:rsidP="00676A11" w:rsidRDefault="00875A85" w14:paraId="26B03A3A" w14:textId="0F25043B">
            <w:pPr>
              <w:jc w:val="center"/>
              <w:rPr>
                <w:rFonts w:ascii="Palatino Linotype" w:hAnsi="Palatino Linotype" w:eastAsia="Palatino Linotype" w:cs="Times New Roman"/>
                <w:b/>
                <w:bCs/>
                <w:kern w:val="0"/>
                <w14:ligatures w14:val="none"/>
              </w:rPr>
            </w:pPr>
            <w:r w:rsidRPr="00676A11">
              <w:rPr>
                <w:rFonts w:ascii="Palatino Linotype" w:hAnsi="Palatino Linotype" w:eastAsia="Palatino Linotype" w:cs="Times New Roman"/>
                <w:b/>
                <w:bCs/>
                <w:kern w:val="0"/>
                <w14:ligatures w14:val="none"/>
              </w:rPr>
              <w:t>Submission Phase</w:t>
            </w:r>
          </w:p>
        </w:tc>
        <w:tc>
          <w:tcPr>
            <w:tcW w:w="2612" w:type="dxa"/>
            <w:vAlign w:val="center"/>
          </w:tcPr>
          <w:p w:rsidRPr="00676A11" w:rsidR="00474A47" w:rsidP="00676A11" w:rsidRDefault="00875A85" w14:paraId="51B67A71" w14:textId="5D8D6AFD">
            <w:pPr>
              <w:jc w:val="center"/>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Data Coverage</w:t>
            </w:r>
          </w:p>
        </w:tc>
        <w:tc>
          <w:tcPr>
            <w:tcW w:w="2635" w:type="dxa"/>
            <w:vAlign w:val="center"/>
          </w:tcPr>
          <w:p w:rsidRPr="00676A11" w:rsidR="00474A47" w:rsidP="00676A11" w:rsidRDefault="00875A85" w14:paraId="608423CE" w14:textId="51B1D197">
            <w:pPr>
              <w:jc w:val="center"/>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Deadline</w:t>
            </w:r>
          </w:p>
        </w:tc>
        <w:tc>
          <w:tcPr>
            <w:tcW w:w="2580" w:type="dxa"/>
            <w:vAlign w:val="center"/>
          </w:tcPr>
          <w:p w:rsidRPr="00676A11" w:rsidR="00474A47" w:rsidP="00676A11" w:rsidRDefault="00875A85" w14:paraId="485E7F1C" w14:textId="5DC4DDB3">
            <w:pPr>
              <w:jc w:val="center"/>
              <w:rPr>
                <w:rFonts w:ascii="Palatino Linotype" w:hAnsi="Palatino Linotype" w:eastAsia="Palatino Linotype" w:cs="Times New Roman"/>
                <w:b/>
                <w:bCs/>
                <w:kern w:val="0"/>
                <w14:ligatures w14:val="none"/>
              </w:rPr>
            </w:pPr>
            <w:r>
              <w:rPr>
                <w:rFonts w:ascii="Palatino Linotype" w:hAnsi="Palatino Linotype" w:eastAsia="Palatino Linotype" w:cs="Times New Roman"/>
                <w:b/>
                <w:bCs/>
                <w:kern w:val="0"/>
                <w14:ligatures w14:val="none"/>
              </w:rPr>
              <w:t>Purpose</w:t>
            </w:r>
          </w:p>
        </w:tc>
      </w:tr>
      <w:tr w:rsidR="00D953A4" w:rsidTr="00676A11" w14:paraId="07092390" w14:textId="77777777">
        <w:trPr>
          <w:trHeight w:val="1104"/>
        </w:trPr>
        <w:tc>
          <w:tcPr>
            <w:tcW w:w="1523" w:type="dxa"/>
            <w:vAlign w:val="center"/>
          </w:tcPr>
          <w:p w:rsidR="00875A85" w:rsidP="00676A11" w:rsidRDefault="00875A85" w14:paraId="2B2F5330" w14:textId="3ACA8206">
            <w:pPr>
              <w:jc w:val="cente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Phase 1</w:t>
            </w:r>
          </w:p>
        </w:tc>
        <w:tc>
          <w:tcPr>
            <w:tcW w:w="2612" w:type="dxa"/>
            <w:vAlign w:val="center"/>
          </w:tcPr>
          <w:p w:rsidR="00D953A4" w:rsidP="00676A11" w:rsidRDefault="00875A85" w14:paraId="51971667" w14:textId="0090C8EA">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2025-2026 GNA/DUPR (filed Aug 16, 2026)</w:t>
            </w:r>
          </w:p>
        </w:tc>
        <w:tc>
          <w:tcPr>
            <w:tcW w:w="2635" w:type="dxa"/>
            <w:vAlign w:val="center"/>
          </w:tcPr>
          <w:p w:rsidR="00D953A4" w:rsidP="00676A11" w:rsidRDefault="00875A85" w14:paraId="2C434F93" w14:textId="4C2D8DD5">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October 16, 2026.</w:t>
            </w:r>
          </w:p>
        </w:tc>
        <w:tc>
          <w:tcPr>
            <w:tcW w:w="2580" w:type="dxa"/>
            <w:vAlign w:val="center"/>
          </w:tcPr>
          <w:p w:rsidR="00D953A4" w:rsidP="00676A11" w:rsidRDefault="00875A85" w14:paraId="2D50924B" w14:textId="18B85F95">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Model development and validation.</w:t>
            </w:r>
          </w:p>
        </w:tc>
      </w:tr>
      <w:tr w:rsidR="00875A85" w:rsidTr="00676A11" w14:paraId="66A87029" w14:textId="77777777">
        <w:trPr>
          <w:trHeight w:val="1104"/>
        </w:trPr>
        <w:tc>
          <w:tcPr>
            <w:tcW w:w="1523" w:type="dxa"/>
            <w:vAlign w:val="center"/>
          </w:tcPr>
          <w:p w:rsidR="00875A85" w:rsidP="00676A11" w:rsidRDefault="00875A85" w14:paraId="50292A2F" w14:textId="64022CFB">
            <w:pPr>
              <w:jc w:val="cente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Phase 2</w:t>
            </w:r>
          </w:p>
        </w:tc>
        <w:tc>
          <w:tcPr>
            <w:tcW w:w="2612" w:type="dxa"/>
            <w:vAlign w:val="center"/>
          </w:tcPr>
          <w:p w:rsidR="00875A85" w:rsidP="00BD00A7" w:rsidRDefault="00875A85" w14:paraId="01CFC34F" w14:textId="77777777">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Historical data</w:t>
            </w:r>
          </w:p>
          <w:p w:rsidR="00875A85" w:rsidP="00676A11" w:rsidRDefault="00875A85" w14:paraId="56441BD3" w14:textId="4945475E">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(GNA submissions 2019-2025)</w:t>
            </w:r>
          </w:p>
        </w:tc>
        <w:tc>
          <w:tcPr>
            <w:tcW w:w="2635" w:type="dxa"/>
            <w:vAlign w:val="center"/>
          </w:tcPr>
          <w:p w:rsidR="00875A85" w:rsidP="00676A11" w:rsidRDefault="00875A85" w14:paraId="0DEC43D3" w14:textId="77B7E3AE">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December 31, 2026.</w:t>
            </w:r>
          </w:p>
        </w:tc>
        <w:tc>
          <w:tcPr>
            <w:tcW w:w="2580" w:type="dxa"/>
            <w:vAlign w:val="center"/>
          </w:tcPr>
          <w:p w:rsidR="00875A85" w:rsidP="00676A11" w:rsidRDefault="00875A85" w14:paraId="3BF2A4C8" w14:textId="53038D88">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Model development and validation.</w:t>
            </w:r>
          </w:p>
        </w:tc>
      </w:tr>
      <w:tr w:rsidR="00875A85" w:rsidTr="00676A11" w14:paraId="7761D382" w14:textId="77777777">
        <w:trPr>
          <w:trHeight w:val="1116"/>
        </w:trPr>
        <w:tc>
          <w:tcPr>
            <w:tcW w:w="1523" w:type="dxa"/>
            <w:vAlign w:val="center"/>
          </w:tcPr>
          <w:p w:rsidR="00875A85" w:rsidP="00676A11" w:rsidRDefault="00875A85" w14:paraId="66E3B720" w14:textId="3F72E7DE">
            <w:pPr>
              <w:jc w:val="cente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Phase 3</w:t>
            </w:r>
          </w:p>
        </w:tc>
        <w:tc>
          <w:tcPr>
            <w:tcW w:w="2612" w:type="dxa"/>
            <w:vAlign w:val="center"/>
          </w:tcPr>
          <w:p w:rsidR="00875A85" w:rsidP="00BD00A7" w:rsidRDefault="00875A85" w14:paraId="1443B776" w14:textId="77777777">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2026-2027 GNA/DUPR</w:t>
            </w:r>
          </w:p>
          <w:p w:rsidR="00875A85" w:rsidP="00676A11" w:rsidRDefault="00875A85" w14:paraId="48F5257C" w14:textId="1180C64A">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(regular 2027 cycle)</w:t>
            </w:r>
          </w:p>
        </w:tc>
        <w:tc>
          <w:tcPr>
            <w:tcW w:w="2635" w:type="dxa"/>
            <w:vAlign w:val="center"/>
          </w:tcPr>
          <w:p w:rsidR="00875A85" w:rsidP="00676A11" w:rsidRDefault="00875A85" w14:paraId="7FABDE3C" w14:textId="02F2EECC">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August</w:t>
            </w:r>
            <w:r w:rsidR="00BD00A7">
              <w:rPr>
                <w:rFonts w:ascii="Palatino Linotype" w:hAnsi="Palatino Linotype" w:eastAsia="Palatino Linotype" w:cs="Times New Roman"/>
                <w:kern w:val="0"/>
                <w14:ligatures w14:val="none"/>
              </w:rPr>
              <w:t xml:space="preserve"> 16</w:t>
            </w:r>
            <w:r>
              <w:rPr>
                <w:rFonts w:ascii="Palatino Linotype" w:hAnsi="Palatino Linotype" w:eastAsia="Palatino Linotype" w:cs="Times New Roman"/>
                <w:kern w:val="0"/>
                <w14:ligatures w14:val="none"/>
              </w:rPr>
              <w:t>, 2027.</w:t>
            </w:r>
          </w:p>
        </w:tc>
        <w:tc>
          <w:tcPr>
            <w:tcW w:w="2580" w:type="dxa"/>
            <w:vAlign w:val="center"/>
          </w:tcPr>
          <w:p w:rsidR="00875A85" w:rsidP="00676A11" w:rsidRDefault="00875A85" w14:paraId="7F799BFA" w14:textId="1E301DFE">
            <w:pPr>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First official report data.</w:t>
            </w:r>
          </w:p>
        </w:tc>
      </w:tr>
    </w:tbl>
    <w:p w:rsidRPr="00A15F75" w:rsidR="00474A47" w:rsidP="00A15F75" w:rsidRDefault="00474A47" w14:paraId="158D7144" w14:textId="77777777">
      <w:pPr>
        <w:spacing w:before="240" w:after="0" w:line="240" w:lineRule="auto"/>
        <w:rPr>
          <w:rFonts w:ascii="Palatino Linotype" w:hAnsi="Palatino Linotype" w:eastAsia="Palatino Linotype" w:cs="Times New Roman"/>
          <w:kern w:val="0"/>
          <w14:ligatures w14:val="none"/>
        </w:rPr>
      </w:pPr>
    </w:p>
    <w:p w:rsidR="00AE43E7" w:rsidP="00A15F75" w:rsidRDefault="00AE43E7" w14:paraId="48E176D2" w14:textId="792677C0">
      <w:pPr>
        <w:spacing w:before="240"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Energy Division shall use data from Phases 1 and 2 to develop, test and validate the econometric models, and shall prepare a draft Equity Metrics in DPEP Report expected in the third quarter of 2027. Following receipt of Phases 3 data in August 2027, Energy Division shall prepare the first official Equity Metrics in DPEP Report for publication in Q1 2028.</w:t>
      </w:r>
    </w:p>
    <w:p w:rsidR="00A15F75" w:rsidP="00A15F75" w:rsidRDefault="00A15F75" w14:paraId="58AFB3BF" w14:textId="4E2A53E6">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Energy Division </w:t>
      </w:r>
      <w:r w:rsidR="00377A33">
        <w:rPr>
          <w:rFonts w:ascii="Palatino Linotype" w:hAnsi="Palatino Linotype" w:eastAsia="Palatino Linotype" w:cs="Times New Roman"/>
          <w:kern w:val="0"/>
          <w14:ligatures w14:val="none"/>
        </w:rPr>
        <w:t xml:space="preserve">is authorized to </w:t>
      </w:r>
      <w:r w:rsidR="00C04DF7">
        <w:rPr>
          <w:rFonts w:ascii="Palatino Linotype" w:hAnsi="Palatino Linotype" w:eastAsia="Palatino Linotype" w:cs="Times New Roman"/>
          <w:kern w:val="0"/>
          <w14:ligatures w14:val="none"/>
        </w:rPr>
        <w:t>modify the content requirements of the GNA Equity Metrics Statistics appendix</w:t>
      </w:r>
      <w:r w:rsidR="001D0A50">
        <w:rPr>
          <w:rFonts w:ascii="Palatino Linotype" w:hAnsi="Palatino Linotype" w:eastAsia="Palatino Linotype" w:cs="Times New Roman"/>
          <w:kern w:val="0"/>
          <w14:ligatures w14:val="none"/>
        </w:rPr>
        <w:t xml:space="preserve">, including the data fields, definitions, </w:t>
      </w:r>
      <w:r w:rsidR="00561DDC">
        <w:rPr>
          <w:rFonts w:ascii="Palatino Linotype" w:hAnsi="Palatino Linotype" w:eastAsia="Palatino Linotype" w:cs="Times New Roman"/>
          <w:kern w:val="0"/>
          <w14:ligatures w14:val="none"/>
        </w:rPr>
        <w:t xml:space="preserve">and </w:t>
      </w:r>
      <w:r w:rsidR="001D0A50">
        <w:rPr>
          <w:rFonts w:ascii="Palatino Linotype" w:hAnsi="Palatino Linotype" w:eastAsia="Palatino Linotype" w:cs="Times New Roman"/>
          <w:kern w:val="0"/>
          <w14:ligatures w14:val="none"/>
        </w:rPr>
        <w:t xml:space="preserve">structure specified in Attachment A </w:t>
      </w:r>
      <w:r w:rsidR="00767BF7">
        <w:rPr>
          <w:rFonts w:ascii="Palatino Linotype" w:hAnsi="Palatino Linotype" w:eastAsia="Palatino Linotype" w:cs="Times New Roman"/>
          <w:kern w:val="0"/>
          <w14:ligatures w14:val="none"/>
        </w:rPr>
        <w:t xml:space="preserve">to this Resolution, as needed </w:t>
      </w:r>
      <w:r w:rsidR="00AC63E4">
        <w:rPr>
          <w:rFonts w:ascii="Palatino Linotype" w:hAnsi="Palatino Linotype" w:eastAsia="Palatino Linotype" w:cs="Times New Roman"/>
          <w:kern w:val="0"/>
          <w14:ligatures w14:val="none"/>
        </w:rPr>
        <w:t xml:space="preserve">to </w:t>
      </w:r>
      <w:r w:rsidRPr="00A15F75">
        <w:rPr>
          <w:rFonts w:ascii="Palatino Linotype" w:hAnsi="Palatino Linotype" w:eastAsia="Palatino Linotype" w:cs="Times New Roman"/>
          <w:kern w:val="0"/>
          <w14:ligatures w14:val="none"/>
        </w:rPr>
        <w:t>support of the annual modeling cycle</w:t>
      </w:r>
      <w:r w:rsidR="006C0D87">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consistent with the Commission's oversight responsibilities under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D.24-10-030.</w:t>
      </w:r>
      <w:r w:rsidR="006C0D87">
        <w:rPr>
          <w:rFonts w:ascii="Palatino Linotype" w:hAnsi="Palatino Linotype" w:eastAsia="Palatino Linotype" w:cs="Times New Roman"/>
          <w:kern w:val="0"/>
          <w14:ligatures w14:val="none"/>
        </w:rPr>
        <w:t xml:space="preserve">  As the econometric models are developed, validated, and refined over future DPEP cycles, the data required to support them may also evolve</w:t>
      </w:r>
      <w:r w:rsidR="003C649F">
        <w:rPr>
          <w:rFonts w:ascii="Palatino Linotype" w:hAnsi="Palatino Linotype" w:eastAsia="Palatino Linotype" w:cs="Times New Roman"/>
          <w:kern w:val="0"/>
          <w14:ligatures w14:val="none"/>
        </w:rPr>
        <w:t xml:space="preserve">. </w:t>
      </w:r>
      <w:r w:rsidR="00A956ED">
        <w:rPr>
          <w:rFonts w:ascii="Palatino Linotype" w:hAnsi="Palatino Linotype" w:eastAsia="Palatino Linotype" w:cs="Times New Roman"/>
          <w:kern w:val="0"/>
          <w14:ligatures w14:val="none"/>
        </w:rPr>
        <w:t>Therefore,</w:t>
      </w:r>
      <w:r w:rsidR="003C649F">
        <w:rPr>
          <w:rFonts w:ascii="Palatino Linotype" w:hAnsi="Palatino Linotype" w:eastAsia="Palatino Linotype" w:cs="Times New Roman"/>
          <w:kern w:val="0"/>
          <w14:ligatures w14:val="none"/>
        </w:rPr>
        <w:t xml:space="preserve"> </w:t>
      </w:r>
      <w:r w:rsidR="001A3D15">
        <w:rPr>
          <w:rFonts w:ascii="Palatino Linotype" w:hAnsi="Palatino Linotype" w:eastAsia="Palatino Linotype" w:cs="Times New Roman"/>
          <w:kern w:val="0"/>
          <w14:ligatures w14:val="none"/>
        </w:rPr>
        <w:t xml:space="preserve">we </w:t>
      </w:r>
      <w:r w:rsidR="006C0D87">
        <w:rPr>
          <w:rFonts w:ascii="Palatino Linotype" w:hAnsi="Palatino Linotype" w:eastAsia="Palatino Linotype" w:cs="Times New Roman"/>
          <w:kern w:val="0"/>
          <w14:ligatures w14:val="none"/>
        </w:rPr>
        <w:t>authoriz</w:t>
      </w:r>
      <w:r w:rsidR="001A3D15">
        <w:rPr>
          <w:rFonts w:ascii="Palatino Linotype" w:hAnsi="Palatino Linotype" w:eastAsia="Palatino Linotype" w:cs="Times New Roman"/>
          <w:kern w:val="0"/>
          <w14:ligatures w14:val="none"/>
        </w:rPr>
        <w:t>e</w:t>
      </w:r>
      <w:r w:rsidR="00A956ED">
        <w:rPr>
          <w:rFonts w:ascii="Palatino Linotype" w:hAnsi="Palatino Linotype" w:eastAsia="Palatino Linotype" w:cs="Times New Roman"/>
          <w:kern w:val="0"/>
          <w14:ligatures w14:val="none"/>
        </w:rPr>
        <w:t xml:space="preserve"> </w:t>
      </w:r>
      <w:r w:rsidR="006C0D87">
        <w:rPr>
          <w:rFonts w:ascii="Palatino Linotype" w:hAnsi="Palatino Linotype" w:eastAsia="Palatino Linotype" w:cs="Times New Roman"/>
          <w:kern w:val="0"/>
          <w14:ligatures w14:val="none"/>
        </w:rPr>
        <w:t>Energy Division to update Attachment A</w:t>
      </w:r>
      <w:r w:rsidR="00B10B62">
        <w:rPr>
          <w:rFonts w:ascii="Palatino Linotype" w:hAnsi="Palatino Linotype" w:eastAsia="Palatino Linotype" w:cs="Times New Roman"/>
          <w:kern w:val="0"/>
          <w14:ligatures w14:val="none"/>
        </w:rPr>
        <w:t xml:space="preserve"> to</w:t>
      </w:r>
      <w:r w:rsidR="006C0D87">
        <w:rPr>
          <w:rFonts w:ascii="Palatino Linotype" w:hAnsi="Palatino Linotype" w:eastAsia="Palatino Linotype" w:cs="Times New Roman"/>
          <w:kern w:val="0"/>
          <w14:ligatures w14:val="none"/>
        </w:rPr>
        <w:t xml:space="preserve"> ensure that data collection remains aligned with the models without requiring a new Commission resolution for each </w:t>
      </w:r>
      <w:r w:rsidR="00AA20E2">
        <w:rPr>
          <w:rFonts w:ascii="Palatino Linotype" w:hAnsi="Palatino Linotype" w:eastAsia="Palatino Linotype" w:cs="Times New Roman"/>
          <w:kern w:val="0"/>
          <w14:ligatures w14:val="none"/>
        </w:rPr>
        <w:t>incremental change</w:t>
      </w:r>
      <w:r w:rsidR="006C0D87">
        <w:rPr>
          <w:rFonts w:ascii="Palatino Linotype" w:hAnsi="Palatino Linotype" w:eastAsia="Palatino Linotype" w:cs="Times New Roman"/>
          <w:kern w:val="0"/>
          <w14:ligatures w14:val="none"/>
        </w:rPr>
        <w:t>.</w:t>
      </w:r>
    </w:p>
    <w:p w:rsidR="00FB31A7" w:rsidP="00A15F75" w:rsidRDefault="00132F86" w14:paraId="678F962D" w14:textId="00B5D770">
      <w:pPr>
        <w:spacing w:before="240" w:after="0" w:line="240" w:lineRule="auto"/>
        <w:rPr>
          <w:rFonts w:ascii="Palatino Linotype" w:hAnsi="Palatino Linotype" w:eastAsia="Palatino Linotype" w:cs="Times New Roman"/>
          <w:kern w:val="0"/>
          <w14:ligatures w14:val="none"/>
        </w:rPr>
      </w:pPr>
      <w:r w:rsidRPr="00132F86">
        <w:rPr>
          <w:rFonts w:ascii="Palatino Linotype" w:hAnsi="Palatino Linotype" w:eastAsia="Palatino Linotype" w:cs="Times New Roman"/>
          <w:kern w:val="0"/>
          <w14:ligatures w14:val="none"/>
        </w:rPr>
        <w:t xml:space="preserve">The Commission further clarifies that, for each annual submission, all forecast and planned data </w:t>
      </w:r>
      <w:r w:rsidR="007360C7">
        <w:rPr>
          <w:rFonts w:ascii="Palatino Linotype" w:hAnsi="Palatino Linotype" w:eastAsia="Palatino Linotype" w:cs="Times New Roman"/>
          <w:kern w:val="0"/>
          <w14:ligatures w14:val="none"/>
        </w:rPr>
        <w:t>(</w:t>
      </w:r>
      <w:r w:rsidRPr="00132F86">
        <w:rPr>
          <w:rFonts w:ascii="Palatino Linotype" w:hAnsi="Palatino Linotype" w:eastAsia="Palatino Linotype" w:cs="Times New Roman"/>
          <w:kern w:val="0"/>
          <w14:ligatures w14:val="none"/>
        </w:rPr>
        <w:t>including forecasted peak load, forecasted load growth, and Year 1 and Year 5 available headroom</w:t>
      </w:r>
      <w:r w:rsidR="007360C7">
        <w:rPr>
          <w:rFonts w:ascii="Palatino Linotype" w:hAnsi="Palatino Linotype" w:eastAsia="Palatino Linotype" w:cs="Times New Roman"/>
          <w:kern w:val="0"/>
          <w14:ligatures w14:val="none"/>
        </w:rPr>
        <w:t>)</w:t>
      </w:r>
      <w:r w:rsidRPr="00132F86">
        <w:rPr>
          <w:rFonts w:ascii="Palatino Linotype" w:hAnsi="Palatino Linotype" w:eastAsia="Palatino Linotype" w:cs="Times New Roman"/>
          <w:kern w:val="0"/>
          <w14:ligatures w14:val="none"/>
        </w:rPr>
        <w:t xml:space="preserve"> shall </w:t>
      </w:r>
      <w:r w:rsidRPr="00CA407F" w:rsidR="00CA407F">
        <w:rPr>
          <w:rFonts w:ascii="Palatino Linotype" w:hAnsi="Palatino Linotype" w:eastAsia="Palatino Linotype" w:cs="Times New Roman"/>
          <w:kern w:val="0"/>
          <w14:ligatures w14:val="none"/>
        </w:rPr>
        <w:t xml:space="preserve">reflect the forecast and planned figures developed for and presented in that filing covering that filing's forecast horizon. Forecast or planned </w:t>
      </w:r>
      <w:r w:rsidRPr="00CA407F" w:rsidR="00CA407F">
        <w:rPr>
          <w:rFonts w:ascii="Palatino Linotype" w:hAnsi="Palatino Linotype" w:eastAsia="Palatino Linotype" w:cs="Times New Roman"/>
          <w:kern w:val="0"/>
          <w14:ligatures w14:val="none"/>
        </w:rPr>
        <w:lastRenderedPageBreak/>
        <w:t>figures carried over from a prior year's GNA or DUPR shall not be substituted for the current filings</w:t>
      </w:r>
      <w:r w:rsidR="00B355FE">
        <w:rPr>
          <w:rFonts w:ascii="Palatino Linotype" w:hAnsi="Palatino Linotype" w:eastAsia="Palatino Linotype" w:cs="Times New Roman"/>
          <w:kern w:val="0"/>
          <w14:ligatures w14:val="none"/>
        </w:rPr>
        <w:t>’</w:t>
      </w:r>
      <w:r w:rsidRPr="00CA407F" w:rsidR="00CA407F">
        <w:rPr>
          <w:rFonts w:ascii="Palatino Linotype" w:hAnsi="Palatino Linotype" w:eastAsia="Palatino Linotype" w:cs="Times New Roman"/>
          <w:kern w:val="0"/>
          <w14:ligatures w14:val="none"/>
        </w:rPr>
        <w:t xml:space="preserve"> figures. The </w:t>
      </w:r>
      <w:r w:rsidR="00AE43E7">
        <w:rPr>
          <w:rFonts w:ascii="Palatino Linotype" w:hAnsi="Palatino Linotype" w:eastAsia="Palatino Linotype" w:cs="Times New Roman"/>
          <w:kern w:val="0"/>
          <w14:ligatures w14:val="none"/>
        </w:rPr>
        <w:t xml:space="preserve">phase 1 and 2 </w:t>
      </w:r>
      <w:r w:rsidRPr="00CA407F" w:rsidR="00CA407F">
        <w:rPr>
          <w:rFonts w:ascii="Palatino Linotype" w:hAnsi="Palatino Linotype" w:eastAsia="Palatino Linotype" w:cs="Times New Roman"/>
          <w:kern w:val="0"/>
          <w14:ligatures w14:val="none"/>
        </w:rPr>
        <w:t>submission</w:t>
      </w:r>
      <w:r w:rsidR="00AE43E7">
        <w:rPr>
          <w:rFonts w:ascii="Palatino Linotype" w:hAnsi="Palatino Linotype" w:eastAsia="Palatino Linotype" w:cs="Times New Roman"/>
          <w:kern w:val="0"/>
          <w14:ligatures w14:val="none"/>
        </w:rPr>
        <w:t>s</w:t>
      </w:r>
      <w:r w:rsidRPr="00CA407F" w:rsidR="00CA407F">
        <w:rPr>
          <w:rFonts w:ascii="Palatino Linotype" w:hAnsi="Palatino Linotype" w:eastAsia="Palatino Linotype" w:cs="Times New Roman"/>
          <w:kern w:val="0"/>
          <w14:ligatures w14:val="none"/>
        </w:rPr>
        <w:t xml:space="preserve"> </w:t>
      </w:r>
      <w:r w:rsidR="00EF7DA0">
        <w:rPr>
          <w:rFonts w:ascii="Palatino Linotype" w:hAnsi="Palatino Linotype" w:eastAsia="Palatino Linotype" w:cs="Times New Roman"/>
          <w:kern w:val="0"/>
          <w14:ligatures w14:val="none"/>
        </w:rPr>
        <w:t>are</w:t>
      </w:r>
      <w:r w:rsidRPr="00CA407F" w:rsidR="00CA407F">
        <w:rPr>
          <w:rFonts w:ascii="Palatino Linotype" w:hAnsi="Palatino Linotype" w:eastAsia="Palatino Linotype" w:cs="Times New Roman"/>
          <w:kern w:val="0"/>
          <w14:ligatures w14:val="none"/>
        </w:rPr>
        <w:t xml:space="preserve"> the sole exception, as </w:t>
      </w:r>
      <w:r w:rsidR="00EF7DA0">
        <w:rPr>
          <w:rFonts w:ascii="Palatino Linotype" w:hAnsi="Palatino Linotype" w:eastAsia="Palatino Linotype" w:cs="Times New Roman"/>
          <w:kern w:val="0"/>
          <w14:ligatures w14:val="none"/>
        </w:rPr>
        <w:t>the phases</w:t>
      </w:r>
      <w:r w:rsidRPr="00CA407F" w:rsidR="00CA407F">
        <w:rPr>
          <w:rFonts w:ascii="Palatino Linotype" w:hAnsi="Palatino Linotype" w:eastAsia="Palatino Linotype" w:cs="Times New Roman"/>
          <w:kern w:val="0"/>
          <w14:ligatures w14:val="none"/>
        </w:rPr>
        <w:t xml:space="preserve"> necessarily compile forecast and planned data previously reported in past GNA and DUPR filings for the 2019–202</w:t>
      </w:r>
      <w:r w:rsidR="00EF7DA0">
        <w:rPr>
          <w:rFonts w:ascii="Palatino Linotype" w:hAnsi="Palatino Linotype" w:eastAsia="Palatino Linotype" w:cs="Times New Roman"/>
          <w:kern w:val="0"/>
          <w14:ligatures w14:val="none"/>
        </w:rPr>
        <w:t>6</w:t>
      </w:r>
      <w:r w:rsidRPr="00CA407F" w:rsidR="00CA407F">
        <w:rPr>
          <w:rFonts w:ascii="Palatino Linotype" w:hAnsi="Palatino Linotype" w:eastAsia="Palatino Linotype" w:cs="Times New Roman"/>
          <w:kern w:val="0"/>
          <w14:ligatures w14:val="none"/>
        </w:rPr>
        <w:t xml:space="preserve"> period</w:t>
      </w:r>
      <w:r w:rsidRPr="00FB31A7" w:rsidR="00FB31A7">
        <w:rPr>
          <w:rFonts w:ascii="Palatino Linotype" w:hAnsi="Palatino Linotype" w:eastAsia="Palatino Linotype" w:cs="Times New Roman"/>
          <w:kern w:val="0"/>
          <w14:ligatures w14:val="none"/>
        </w:rPr>
        <w:t>.</w:t>
      </w:r>
    </w:p>
    <w:p w:rsidRPr="00A15F75" w:rsidR="0066059E" w:rsidP="0066059E" w:rsidRDefault="007E7F6D" w14:paraId="0A813CDA" w14:textId="77777777">
      <w:pPr>
        <w:pStyle w:val="Heading3"/>
        <w:numPr>
          <w:ilvl w:val="1"/>
          <w:numId w:val="7"/>
        </w:numPr>
        <w:spacing w:before="360" w:after="0"/>
        <w:rPr>
          <w:rFonts w:eastAsia="Palatino Linotype"/>
        </w:rPr>
      </w:pPr>
      <w:r w:rsidRPr="007E7F6D">
        <w:rPr>
          <w:rFonts w:eastAsia="Palatino Linotype"/>
        </w:rPr>
        <w:t>Confidential Treatment of Equity Metrics Input Data</w:t>
      </w:r>
    </w:p>
    <w:p w:rsidRPr="00D64187" w:rsidR="00D64187" w:rsidP="00D64187" w:rsidRDefault="00D64187" w14:paraId="1B083E61" w14:textId="77777777">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t>In AL 5498-E et al., the Joint Utilities identified existing confidential GNA and DUPR appendices as example reporting locations for the proposed metrics data (e.g., the GNA Bank and Feeder appendix and the DUPR Planned Investment appendix), while providing that regression results would be included in the public narrative document. Because this Resolution instead requires submission of equity metrics input data through a new, dedicated GNA appendix and new DUPR fields, the Commission clarifies the confidential treatment applicable to these submissions.</w:t>
      </w:r>
    </w:p>
    <w:p w:rsidRPr="00D64187" w:rsidR="00D64187" w:rsidP="00D64187" w:rsidRDefault="00D64187" w14:paraId="264DD825" w14:textId="77777777">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t xml:space="preserve">The equity metrics input data required by this Resolution shall be subject to the same confidentiality framework that governs the IOUs' GNA and DUPR filings generally, including Public Utilities Code Section 583, General Order 66-D, and the 15/15 Rule adopted in Ordering Paragraph 31 of D.24-10-030 for data redaction protecting individual customer privacy in the ICA, GNA, and DUPR. Accordingly, IOUs </w:t>
      </w:r>
      <w:r w:rsidR="00540C5C">
        <w:rPr>
          <w:rFonts w:ascii="Palatino Linotype" w:hAnsi="Palatino Linotype" w:eastAsia="Palatino Linotype" w:cs="Times New Roman"/>
          <w:kern w:val="0"/>
          <w14:ligatures w14:val="none"/>
        </w:rPr>
        <w:t>shall</w:t>
      </w:r>
      <w:r w:rsidRPr="00D64187">
        <w:rPr>
          <w:rFonts w:ascii="Palatino Linotype" w:hAnsi="Palatino Linotype" w:eastAsia="Palatino Linotype" w:cs="Times New Roman"/>
          <w:kern w:val="0"/>
          <w14:ligatures w14:val="none"/>
        </w:rPr>
        <w:t xml:space="preserve"> </w:t>
      </w:r>
      <w:r w:rsidR="007B16F3">
        <w:rPr>
          <w:rFonts w:ascii="Palatino Linotype" w:hAnsi="Palatino Linotype" w:eastAsia="Palatino Linotype" w:cs="Times New Roman"/>
          <w:kern w:val="0"/>
          <w14:ligatures w14:val="none"/>
        </w:rPr>
        <w:t xml:space="preserve">submit two versions of the </w:t>
      </w:r>
      <w:r w:rsidR="007B16F3">
        <w:rPr>
          <w:rFonts w:ascii="Palatino Linotype" w:hAnsi="Palatino Linotype" w:eastAsia="Palatino Linotype" w:cs="Times New Roman"/>
          <w:i/>
          <w:iCs/>
          <w:kern w:val="0"/>
          <w14:ligatures w14:val="none"/>
        </w:rPr>
        <w:t xml:space="preserve">Equity Metrics Statistics Appendices </w:t>
      </w:r>
      <w:r w:rsidRPr="00D64187">
        <w:rPr>
          <w:rFonts w:ascii="Palatino Linotype" w:hAnsi="Palatino Linotype" w:eastAsia="Palatino Linotype" w:cs="Times New Roman"/>
          <w:kern w:val="0"/>
          <w14:ligatures w14:val="none"/>
        </w:rPr>
        <w:t xml:space="preserve">and the equity-related fields added to the </w:t>
      </w:r>
      <w:r w:rsidR="003F731A">
        <w:rPr>
          <w:rFonts w:ascii="Palatino Linotype" w:hAnsi="Palatino Linotype" w:eastAsia="Palatino Linotype" w:cs="Times New Roman"/>
          <w:kern w:val="0"/>
          <w14:ligatures w14:val="none"/>
        </w:rPr>
        <w:t xml:space="preserve">GNA and </w:t>
      </w:r>
      <w:r w:rsidRPr="00D64187">
        <w:rPr>
          <w:rFonts w:ascii="Palatino Linotype" w:hAnsi="Palatino Linotype" w:eastAsia="Palatino Linotype" w:cs="Times New Roman"/>
          <w:kern w:val="0"/>
          <w14:ligatures w14:val="none"/>
        </w:rPr>
        <w:t>DUPR</w:t>
      </w:r>
      <w:r w:rsidR="00AA52A7">
        <w:rPr>
          <w:rFonts w:ascii="Palatino Linotype" w:hAnsi="Palatino Linotype" w:eastAsia="Palatino Linotype" w:cs="Times New Roman"/>
          <w:kern w:val="0"/>
          <w14:ligatures w14:val="none"/>
        </w:rPr>
        <w:t>: (1) a complete, unredacted version submitted confidentially to Energy Division</w:t>
      </w:r>
      <w:r w:rsidR="00B0033B">
        <w:rPr>
          <w:rFonts w:ascii="Palatino Linotype" w:hAnsi="Palatino Linotype" w:eastAsia="Palatino Linotype" w:cs="Times New Roman"/>
          <w:kern w:val="0"/>
          <w14:ligatures w14:val="none"/>
        </w:rPr>
        <w:t>; and (2) a public version in which</w:t>
      </w:r>
      <w:r w:rsidRPr="00D64187">
        <w:rPr>
          <w:rFonts w:ascii="Palatino Linotype" w:hAnsi="Palatino Linotype" w:eastAsia="Palatino Linotype" w:cs="Times New Roman"/>
          <w:kern w:val="0"/>
          <w14:ligatures w14:val="none"/>
        </w:rPr>
        <w:t xml:space="preserve"> </w:t>
      </w:r>
      <w:r w:rsidR="00D21A5D">
        <w:rPr>
          <w:rFonts w:ascii="Palatino Linotype" w:hAnsi="Palatino Linotype" w:eastAsia="Palatino Linotype" w:cs="Times New Roman"/>
          <w:kern w:val="0"/>
          <w14:ligatures w14:val="none"/>
        </w:rPr>
        <w:t xml:space="preserve">only those fields that would reveal </w:t>
      </w:r>
      <w:r w:rsidRPr="00D64187">
        <w:rPr>
          <w:rFonts w:ascii="Palatino Linotype" w:hAnsi="Palatino Linotype" w:eastAsia="Palatino Linotype" w:cs="Times New Roman"/>
          <w:kern w:val="0"/>
          <w14:ligatures w14:val="none"/>
        </w:rPr>
        <w:t xml:space="preserve">customer-specific information </w:t>
      </w:r>
      <w:r w:rsidR="00664DFF">
        <w:rPr>
          <w:rFonts w:ascii="Palatino Linotype" w:hAnsi="Palatino Linotype" w:eastAsia="Palatino Linotype" w:cs="Times New Roman"/>
          <w:kern w:val="0"/>
          <w14:ligatures w14:val="none"/>
        </w:rPr>
        <w:t xml:space="preserve">are redacted. IOUs shall support any redaction in the public version </w:t>
      </w:r>
      <w:r w:rsidR="001265FF">
        <w:rPr>
          <w:rFonts w:ascii="Palatino Linotype" w:hAnsi="Palatino Linotype" w:eastAsia="Palatino Linotype" w:cs="Times New Roman"/>
          <w:kern w:val="0"/>
          <w14:ligatures w14:val="none"/>
        </w:rPr>
        <w:t xml:space="preserve">consistent </w:t>
      </w:r>
      <w:r w:rsidRPr="00D64187">
        <w:rPr>
          <w:rFonts w:ascii="Palatino Linotype" w:hAnsi="Palatino Linotype" w:eastAsia="Palatino Linotype" w:cs="Times New Roman"/>
          <w:kern w:val="0"/>
          <w14:ligatures w14:val="none"/>
        </w:rPr>
        <w:t xml:space="preserve">with applicable Commission rules. </w:t>
      </w:r>
      <w:r w:rsidR="001265FF">
        <w:rPr>
          <w:rFonts w:ascii="Palatino Linotype" w:hAnsi="Palatino Linotype" w:eastAsia="Palatino Linotype" w:cs="Times New Roman"/>
          <w:kern w:val="0"/>
          <w14:ligatures w14:val="none"/>
        </w:rPr>
        <w:t>This approach</w:t>
      </w:r>
      <w:r w:rsidR="00E31035">
        <w:rPr>
          <w:rFonts w:ascii="Palatino Linotype" w:hAnsi="Palatino Linotype" w:eastAsia="Palatino Linotype" w:cs="Times New Roman"/>
          <w:kern w:val="0"/>
          <w14:ligatures w14:val="none"/>
        </w:rPr>
        <w:t xml:space="preserve"> ensures that Energy Division has access to the complete dataset necessary to develop and validate the econometric models, while preserving public</w:t>
      </w:r>
      <w:r w:rsidR="005C494E">
        <w:rPr>
          <w:rFonts w:ascii="Palatino Linotype" w:hAnsi="Palatino Linotype" w:eastAsia="Palatino Linotype" w:cs="Times New Roman"/>
          <w:kern w:val="0"/>
          <w14:ligatures w14:val="none"/>
        </w:rPr>
        <w:t xml:space="preserve"> access to the underlying data itself</w:t>
      </w:r>
      <w:r w:rsidR="0010044B">
        <w:rPr>
          <w:rFonts w:ascii="Palatino Linotype" w:hAnsi="Palatino Linotype" w:eastAsia="Palatino Linotype" w:cs="Times New Roman"/>
          <w:kern w:val="0"/>
          <w14:ligatures w14:val="none"/>
        </w:rPr>
        <w:t xml:space="preserve"> to the maximum extent consistent with customer privacy</w:t>
      </w:r>
      <w:r w:rsidR="005C494E">
        <w:rPr>
          <w:rFonts w:ascii="Palatino Linotype" w:hAnsi="Palatino Linotype" w:eastAsia="Palatino Linotype" w:cs="Times New Roman"/>
          <w:kern w:val="0"/>
          <w14:ligatures w14:val="none"/>
        </w:rPr>
        <w:t xml:space="preserve">. </w:t>
      </w:r>
      <w:r w:rsidRPr="00D64187">
        <w:rPr>
          <w:rFonts w:ascii="Palatino Linotype" w:hAnsi="Palatino Linotype" w:eastAsia="Palatino Linotype" w:cs="Times New Roman"/>
          <w:kern w:val="0"/>
          <w14:ligatures w14:val="none"/>
        </w:rPr>
        <w:t xml:space="preserve">The Commission finds this treatment appropriate because circuit-level enrollment data for programs such as CARE, FERA, Medical Baseline </w:t>
      </w:r>
      <w:r w:rsidR="0019464E">
        <w:rPr>
          <w:rFonts w:ascii="Palatino Linotype" w:hAnsi="Palatino Linotype" w:eastAsia="Palatino Linotype" w:cs="Times New Roman"/>
          <w:kern w:val="0"/>
          <w14:ligatures w14:val="none"/>
        </w:rPr>
        <w:t xml:space="preserve">and Tribal designations </w:t>
      </w:r>
      <w:r w:rsidRPr="00D64187">
        <w:rPr>
          <w:rFonts w:ascii="Palatino Linotype" w:hAnsi="Palatino Linotype" w:eastAsia="Palatino Linotype" w:cs="Times New Roman"/>
          <w:kern w:val="0"/>
          <w14:ligatures w14:val="none"/>
        </w:rPr>
        <w:t xml:space="preserve">could, on circuits serving small numbers of customers, </w:t>
      </w:r>
      <w:r w:rsidR="00B539DD">
        <w:rPr>
          <w:rFonts w:ascii="Palatino Linotype" w:hAnsi="Palatino Linotype" w:eastAsia="Palatino Linotype" w:cs="Times New Roman"/>
          <w:kern w:val="0"/>
          <w14:ligatures w14:val="none"/>
        </w:rPr>
        <w:t xml:space="preserve">potentially </w:t>
      </w:r>
      <w:r w:rsidRPr="00D64187">
        <w:rPr>
          <w:rFonts w:ascii="Palatino Linotype" w:hAnsi="Palatino Linotype" w:eastAsia="Palatino Linotype" w:cs="Times New Roman"/>
          <w:kern w:val="0"/>
          <w14:ligatures w14:val="none"/>
        </w:rPr>
        <w:t xml:space="preserve">disclose the enrollment status of individual customers. The Commission notes that not all required fields implicate customer privacy; for example, the percentage of customers located within a DAC-designated </w:t>
      </w:r>
      <w:r w:rsidR="00843310">
        <w:rPr>
          <w:rFonts w:ascii="Palatino Linotype" w:hAnsi="Palatino Linotype" w:eastAsia="Palatino Linotype" w:cs="Times New Roman"/>
          <w:kern w:val="0"/>
          <w14:ligatures w14:val="none"/>
        </w:rPr>
        <w:t xml:space="preserve">(SB 535) </w:t>
      </w:r>
      <w:r w:rsidRPr="00D64187">
        <w:rPr>
          <w:rFonts w:ascii="Palatino Linotype" w:hAnsi="Palatino Linotype" w:eastAsia="Palatino Linotype" w:cs="Times New Roman"/>
          <w:kern w:val="0"/>
          <w14:ligatures w14:val="none"/>
        </w:rPr>
        <w:t>census tract derives from publicly available designations</w:t>
      </w:r>
      <w:r w:rsidR="00E24147">
        <w:rPr>
          <w:rFonts w:ascii="Palatino Linotype" w:hAnsi="Palatino Linotype" w:eastAsia="Palatino Linotype" w:cs="Times New Roman"/>
          <w:kern w:val="0"/>
          <w14:ligatures w14:val="none"/>
        </w:rPr>
        <w:t>, and such fields shall remain unredacted in the public version</w:t>
      </w:r>
      <w:r w:rsidRPr="00D64187">
        <w:rPr>
          <w:rFonts w:ascii="Palatino Linotype" w:hAnsi="Palatino Linotype" w:eastAsia="Palatino Linotype" w:cs="Times New Roman"/>
          <w:kern w:val="0"/>
          <w14:ligatures w14:val="none"/>
        </w:rPr>
        <w:t>.</w:t>
      </w:r>
    </w:p>
    <w:p w:rsidR="0066059E" w:rsidP="00D64187" w:rsidRDefault="00D64187" w14:paraId="1369D32B" w14:textId="77777777">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t xml:space="preserve">Confidential treatment of the input data does not diminish the public transparency of the equity metrics framework. The annual </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Equity Metrics </w:t>
      </w:r>
      <w:r w:rsidR="005420DE">
        <w:rPr>
          <w:rFonts w:ascii="Palatino Linotype" w:hAnsi="Palatino Linotype" w:eastAsia="Palatino Linotype" w:cs="Times New Roman"/>
          <w:kern w:val="0"/>
          <w14:ligatures w14:val="none"/>
        </w:rPr>
        <w:t xml:space="preserve">in DPEP </w:t>
      </w:r>
      <w:r w:rsidRPr="00D64187">
        <w:rPr>
          <w:rFonts w:ascii="Palatino Linotype" w:hAnsi="Palatino Linotype" w:eastAsia="Palatino Linotype" w:cs="Times New Roman"/>
          <w:kern w:val="0"/>
          <w14:ligatures w14:val="none"/>
        </w:rPr>
        <w:t>Report</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shall</w:t>
      </w:r>
      <w:r w:rsidRPr="00D64187">
        <w:rPr>
          <w:rFonts w:ascii="Palatino Linotype" w:hAnsi="Palatino Linotype" w:eastAsia="Palatino Linotype" w:cs="Times New Roman"/>
          <w:kern w:val="0"/>
          <w14:ligatures w14:val="none"/>
        </w:rPr>
        <w:t xml:space="preserve"> present aggregated model results, including estimated coefficients, standard errors, </w:t>
      </w:r>
      <w:r w:rsidRPr="00D64187">
        <w:rPr>
          <w:rFonts w:ascii="Palatino Linotype" w:hAnsi="Palatino Linotype" w:eastAsia="Palatino Linotype" w:cs="Times New Roman"/>
          <w:kern w:val="0"/>
          <w14:ligatures w14:val="none"/>
        </w:rPr>
        <w:lastRenderedPageBreak/>
        <w:t xml:space="preserve">statistical significance, model diagnostics, and narrative interpretation, and will not contain customer-identifiable information. Energy Division shall publish the annual </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Equity Metrics </w:t>
      </w:r>
      <w:r w:rsidR="005420DE">
        <w:rPr>
          <w:rFonts w:ascii="Palatino Linotype" w:hAnsi="Palatino Linotype" w:eastAsia="Palatino Linotype" w:cs="Times New Roman"/>
          <w:kern w:val="0"/>
          <w14:ligatures w14:val="none"/>
        </w:rPr>
        <w:t xml:space="preserve">in DPEP </w:t>
      </w:r>
      <w:r w:rsidRPr="00D64187">
        <w:rPr>
          <w:rFonts w:ascii="Palatino Linotype" w:hAnsi="Palatino Linotype" w:eastAsia="Palatino Linotype" w:cs="Times New Roman"/>
          <w:kern w:val="0"/>
          <w14:ligatures w14:val="none"/>
        </w:rPr>
        <w:t>Report</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 without confidential designations. This structure is consistent with the reporting approach described in AL 5498-E et al., which placed underlying data in confidential appendices while presenting regression results publicly, and it preserves the Report's role as the public vehicle for evaluating equity outcomes in the DPEP, consistent with Section </w:t>
      </w:r>
      <w:r w:rsidR="00CC61BE">
        <w:rPr>
          <w:rFonts w:ascii="Palatino Linotype" w:hAnsi="Palatino Linotype" w:eastAsia="Palatino Linotype" w:cs="Times New Roman"/>
          <w:kern w:val="0"/>
          <w14:ligatures w14:val="none"/>
        </w:rPr>
        <w:t>6.2</w:t>
      </w:r>
      <w:r w:rsidRPr="00D64187">
        <w:rPr>
          <w:rFonts w:ascii="Palatino Linotype" w:hAnsi="Palatino Linotype" w:eastAsia="Palatino Linotype" w:cs="Times New Roman"/>
          <w:kern w:val="0"/>
          <w14:ligatures w14:val="none"/>
        </w:rPr>
        <w:t xml:space="preserve"> of this Resolution. Confidential input data shall remain available to Commission staff for purposes of model development, validation, and reporting.</w:t>
      </w:r>
    </w:p>
    <w:p w:rsidR="008D530C" w:rsidP="00633753" w:rsidRDefault="008D530C" w14:paraId="5DD6D649"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15E79B2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Pr="00A15F75" w:rsidR="00A15F75" w:rsidP="00A15F75" w:rsidRDefault="00A15F75" w14:paraId="713882A1" w14:textId="77777777">
      <w:pPr>
        <w:spacing w:after="0" w:line="240" w:lineRule="auto"/>
        <w:rPr>
          <w:rFonts w:ascii="Palatino Linotype" w:hAnsi="Palatino Linotype" w:eastAsia="Palatino Linotype" w:cs="Times New Roman"/>
          <w:kern w:val="0"/>
          <w14:ligatures w14:val="none"/>
        </w:rPr>
      </w:pPr>
      <w:bookmarkStart w:name="_Hlk943272" w:id="1"/>
      <w:r w:rsidRPr="00A15F75">
        <w:rPr>
          <w:rFonts w:ascii="Palatino Linotype" w:hAnsi="Palatino Linotype" w:eastAsia="Palatino Linotype" w:cs="Times New Roman"/>
          <w:kern w:val="0"/>
          <w14:ligatures w14:val="non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p>
    <w:p w:rsidR="00A15F75" w:rsidP="00A15F75" w:rsidRDefault="00A15F75" w14:paraId="1FF85BAB" w14:textId="43485E33">
      <w:pPr>
        <w:spacing w:after="0" w:line="240" w:lineRule="auto"/>
      </w:pPr>
      <w:r w:rsidRPr="00A15F75">
        <w:rPr>
          <w:rFonts w:ascii="Palatino Linotype" w:hAnsi="Palatino Linotype" w:eastAsia="Palatino Linotype" w:cs="Times New Roman"/>
          <w:kern w:val="0"/>
          <w14:ligatures w14:val="none"/>
        </w:rPr>
        <w:t xml:space="preserve">The 30-day review and 20-day comment period for the draft of this resolution was neither waived nor reduced. Accordingly, this draft resolution was mailed to parties for comments </w:t>
      </w:r>
      <w:r w:rsidR="00B92FDF">
        <w:rPr>
          <w:rFonts w:ascii="Palatino Linotype" w:hAnsi="Palatino Linotype" w:eastAsia="Palatino Linotype" w:cs="Times New Roman"/>
          <w:kern w:val="0"/>
          <w14:ligatures w14:val="none"/>
        </w:rPr>
        <w:t xml:space="preserve">on </w:t>
      </w:r>
      <w:r w:rsidR="00D16B0C">
        <w:rPr>
          <w:rFonts w:ascii="Palatino Linotype" w:hAnsi="Palatino Linotype" w:eastAsia="Palatino Linotype" w:cs="Times New Roman"/>
          <w:kern w:val="0"/>
          <w14:ligatures w14:val="none"/>
        </w:rPr>
        <w:t xml:space="preserve">August </w:t>
      </w:r>
      <w:r w:rsidR="0090159F">
        <w:rPr>
          <w:rFonts w:ascii="Palatino Linotype" w:hAnsi="Palatino Linotype" w:eastAsia="Palatino Linotype" w:cs="Times New Roman"/>
          <w:kern w:val="0"/>
          <w14:ligatures w14:val="none"/>
        </w:rPr>
        <w:t xml:space="preserve">12, 2026. </w:t>
      </w:r>
    </w:p>
    <w:p w:rsidR="10A63D6A" w:rsidP="10A63D6A" w:rsidRDefault="10A63D6A" w14:paraId="03B3C996" w14:textId="72325158">
      <w:pPr>
        <w:spacing w:after="0" w:line="240" w:lineRule="auto"/>
        <w:rPr>
          <w:rFonts w:ascii="Palatino Linotype" w:hAnsi="Palatino Linotype" w:eastAsia="Palatino Linotype" w:cs="Times New Roman"/>
        </w:rPr>
      </w:pPr>
    </w:p>
    <w:p w:rsidR="00336BF3" w:rsidP="10A63D6A" w:rsidRDefault="001160F5" w14:paraId="4040AC19" w14:textId="6FD922BC">
      <w:pPr>
        <w:spacing w:after="0" w:line="240" w:lineRule="auto"/>
        <w:rPr>
          <w:rFonts w:ascii="Palatino Linotype" w:hAnsi="Palatino Linotype" w:eastAsia="Palatino Linotype" w:cs="Times New Roman"/>
        </w:rPr>
      </w:pPr>
      <w:r w:rsidRPr="0A6EB4AB">
        <w:rPr>
          <w:rFonts w:ascii="Palatino Linotype" w:hAnsi="Palatino Linotype" w:eastAsia="Palatino Linotype" w:cs="Times New Roman"/>
        </w:rPr>
        <w:t xml:space="preserve">On </w:t>
      </w:r>
      <w:r w:rsidRPr="0A6EB4AB" w:rsidR="00C80AA0">
        <w:rPr>
          <w:rFonts w:ascii="Palatino Linotype" w:hAnsi="Palatino Linotype" w:eastAsia="Palatino Linotype" w:cs="Times New Roman"/>
        </w:rPr>
        <w:t>September 1</w:t>
      </w:r>
      <w:r w:rsidRPr="0A6EB4AB" w:rsidR="0075202B">
        <w:rPr>
          <w:rFonts w:ascii="Palatino Linotype" w:hAnsi="Palatino Linotype" w:eastAsia="Palatino Linotype" w:cs="Times New Roman"/>
        </w:rPr>
        <w:t xml:space="preserve">, 2026, </w:t>
      </w:r>
      <w:r w:rsidRPr="0A6EB4AB" w:rsidR="00AF6377">
        <w:rPr>
          <w:rFonts w:ascii="Palatino Linotype" w:hAnsi="Palatino Linotype" w:eastAsia="Palatino Linotype" w:cs="Times New Roman"/>
        </w:rPr>
        <w:t>the joint IOUs (</w:t>
      </w:r>
      <w:r w:rsidRPr="0A6EB4AB" w:rsidR="00994C8B">
        <w:rPr>
          <w:rFonts w:ascii="Palatino Linotype" w:hAnsi="Palatino Linotype" w:eastAsia="Palatino Linotype" w:cs="Times New Roman"/>
        </w:rPr>
        <w:t>Pacific Gas and Electric - PG&amp;E, Southern California Edison - SCE, San Diego Gas and Electric - SDG&amp;E</w:t>
      </w:r>
      <w:r w:rsidRPr="0A6EB4AB" w:rsidR="00AF6377">
        <w:rPr>
          <w:rFonts w:ascii="Palatino Linotype" w:hAnsi="Palatino Linotype" w:eastAsia="Palatino Linotype" w:cs="Times New Roman"/>
        </w:rPr>
        <w:t>)</w:t>
      </w:r>
      <w:r w:rsidRPr="0A6EB4AB" w:rsidR="00994C8B">
        <w:rPr>
          <w:rFonts w:ascii="Palatino Linotype" w:hAnsi="Palatino Linotype" w:eastAsia="Palatino Linotype" w:cs="Times New Roman"/>
        </w:rPr>
        <w:t xml:space="preserve"> and</w:t>
      </w:r>
      <w:r w:rsidRPr="0A6EB4AB" w:rsidR="001E554A">
        <w:rPr>
          <w:rFonts w:ascii="Palatino Linotype" w:hAnsi="Palatino Linotype" w:eastAsia="Palatino Linotype" w:cs="Times New Roman"/>
        </w:rPr>
        <w:t xml:space="preserve"> Center for Accessible Technology (</w:t>
      </w:r>
      <w:proofErr w:type="spellStart"/>
      <w:r w:rsidRPr="0A6EB4AB" w:rsidR="001E554A">
        <w:rPr>
          <w:rFonts w:ascii="Palatino Linotype" w:hAnsi="Palatino Linotype" w:eastAsia="Palatino Linotype" w:cs="Times New Roman"/>
        </w:rPr>
        <w:t>CforAT</w:t>
      </w:r>
      <w:proofErr w:type="spellEnd"/>
      <w:r w:rsidRPr="0A6EB4AB" w:rsidR="001E554A">
        <w:rPr>
          <w:rFonts w:ascii="Palatino Linotype" w:hAnsi="Palatino Linotype" w:eastAsia="Palatino Linotype" w:cs="Times New Roman"/>
        </w:rPr>
        <w:t xml:space="preserve">) </w:t>
      </w:r>
      <w:r w:rsidRPr="0A6EB4AB" w:rsidR="00BD7802">
        <w:rPr>
          <w:rFonts w:ascii="Palatino Linotype" w:hAnsi="Palatino Linotype" w:eastAsia="Palatino Linotype" w:cs="Times New Roman"/>
        </w:rPr>
        <w:t>filed timely comments on this resolution.</w:t>
      </w:r>
      <w:r w:rsidRPr="0A6EB4AB" w:rsidR="00994C8B">
        <w:rPr>
          <w:rFonts w:ascii="Palatino Linotype" w:hAnsi="Palatino Linotype" w:eastAsia="Palatino Linotype" w:cs="Times New Roman"/>
        </w:rPr>
        <w:t xml:space="preserve"> </w:t>
      </w:r>
      <w:r w:rsidRPr="0A6EB4AB" w:rsidR="00336BF3">
        <w:rPr>
          <w:rFonts w:ascii="Palatino Linotype" w:hAnsi="Palatino Linotype" w:eastAsia="Palatino Linotype" w:cs="Times New Roman"/>
        </w:rPr>
        <w:t xml:space="preserve">Two </w:t>
      </w:r>
      <w:r w:rsidRPr="0A6EB4AB" w:rsidR="00480079">
        <w:rPr>
          <w:rFonts w:ascii="Palatino Linotype" w:hAnsi="Palatino Linotype" w:eastAsia="Palatino Linotype" w:cs="Times New Roman"/>
        </w:rPr>
        <w:t>parties also filed reply comments on September 9, 2026</w:t>
      </w:r>
      <w:r w:rsidRPr="0A6EB4AB" w:rsidR="00334DE5">
        <w:rPr>
          <w:rFonts w:ascii="Palatino Linotype" w:hAnsi="Palatino Linotype" w:eastAsia="Palatino Linotype" w:cs="Times New Roman"/>
        </w:rPr>
        <w:t xml:space="preserve">: </w:t>
      </w:r>
      <w:r w:rsidRPr="0A6EB4AB" w:rsidR="00436FFC">
        <w:rPr>
          <w:rFonts w:ascii="Palatino Linotype" w:hAnsi="Palatino Linotype" w:eastAsia="Palatino Linotype" w:cs="Times New Roman"/>
        </w:rPr>
        <w:t>SDG&amp;E</w:t>
      </w:r>
      <w:r w:rsidRPr="0A6EB4AB" w:rsidR="00334DE5">
        <w:rPr>
          <w:rFonts w:ascii="Palatino Linotype" w:hAnsi="Palatino Linotype" w:eastAsia="Palatino Linotype" w:cs="Times New Roman"/>
        </w:rPr>
        <w:t xml:space="preserve"> </w:t>
      </w:r>
      <w:r w:rsidRPr="0A6EB4AB" w:rsidR="007547D4">
        <w:rPr>
          <w:rFonts w:ascii="Palatino Linotype" w:hAnsi="Palatino Linotype" w:eastAsia="Palatino Linotype" w:cs="Times New Roman"/>
        </w:rPr>
        <w:t xml:space="preserve">and </w:t>
      </w:r>
      <w:r w:rsidRPr="0A6EB4AB" w:rsidR="00334DE5">
        <w:rPr>
          <w:rFonts w:ascii="Palatino Linotype" w:hAnsi="Palatino Linotype" w:eastAsia="Palatino Linotype" w:cs="Times New Roman"/>
        </w:rPr>
        <w:t>PG</w:t>
      </w:r>
      <w:r w:rsidRPr="0A6EB4AB" w:rsidR="006F0FB8">
        <w:rPr>
          <w:rFonts w:ascii="Palatino Linotype" w:hAnsi="Palatino Linotype" w:eastAsia="Palatino Linotype" w:cs="Times New Roman"/>
        </w:rPr>
        <w:t>&amp;</w:t>
      </w:r>
      <w:r w:rsidRPr="0A6EB4AB" w:rsidR="007547D4">
        <w:rPr>
          <w:rFonts w:ascii="Palatino Linotype" w:hAnsi="Palatino Linotype" w:eastAsia="Palatino Linotype" w:cs="Times New Roman"/>
        </w:rPr>
        <w:t>E</w:t>
      </w:r>
      <w:r w:rsidRPr="0A6EB4AB" w:rsidR="00480079">
        <w:rPr>
          <w:rFonts w:ascii="Palatino Linotype" w:hAnsi="Palatino Linotype" w:eastAsia="Palatino Linotype" w:cs="Times New Roman"/>
        </w:rPr>
        <w:t>.</w:t>
      </w:r>
    </w:p>
    <w:p w:rsidR="0A6EB4AB" w:rsidP="0A6EB4AB" w:rsidRDefault="0A6EB4AB" w14:paraId="04F8DC7C" w14:textId="4D1DC903">
      <w:pPr>
        <w:spacing w:after="0" w:line="240" w:lineRule="auto"/>
        <w:rPr>
          <w:rFonts w:ascii="Palatino Linotype" w:hAnsi="Palatino Linotype" w:eastAsia="Palatino Linotype" w:cs="Times New Roman"/>
        </w:rPr>
      </w:pPr>
    </w:p>
    <w:p w:rsidR="00E10432" w:rsidP="10A63D6A" w:rsidRDefault="00336BF3" w14:paraId="4210BC8D" w14:textId="01D2D469">
      <w:pPr>
        <w:spacing w:after="0" w:line="240" w:lineRule="auto"/>
        <w:rPr>
          <w:rFonts w:ascii="Palatino Linotype" w:hAnsi="Palatino Linotype" w:eastAsia="Palatino Linotype" w:cs="Times New Roman"/>
          <w:kern w:val="0"/>
          <w14:ligatures w14:val="none"/>
        </w:rPr>
      </w:pPr>
      <w:r w:rsidRPr="0A6EB4AB">
        <w:rPr>
          <w:rFonts w:ascii="Palatino Linotype" w:hAnsi="Palatino Linotype" w:eastAsia="Palatino Linotype" w:cs="Times New Roman"/>
        </w:rPr>
        <w:t>The Joint IOUs</w:t>
      </w:r>
      <w:r w:rsidRPr="0A6EB4AB" w:rsidR="00521CCA">
        <w:rPr>
          <w:rFonts w:ascii="Palatino Linotype" w:hAnsi="Palatino Linotype" w:eastAsia="Palatino Linotype" w:cs="Times New Roman"/>
        </w:rPr>
        <w:t xml:space="preserve"> </w:t>
      </w:r>
      <w:r w:rsidRPr="0A6EB4AB" w:rsidR="00D44638">
        <w:rPr>
          <w:rFonts w:ascii="Palatino Linotype" w:hAnsi="Palatino Linotype" w:eastAsia="Palatino Linotype" w:cs="Times New Roman"/>
        </w:rPr>
        <w:t xml:space="preserve">object to the regression model approach </w:t>
      </w:r>
      <w:r w:rsidRPr="0A6EB4AB" w:rsidR="00D65625">
        <w:rPr>
          <w:rFonts w:ascii="Palatino Linotype" w:hAnsi="Palatino Linotype" w:eastAsia="Palatino Linotype" w:cs="Times New Roman"/>
        </w:rPr>
        <w:t xml:space="preserve">perceiving it </w:t>
      </w:r>
      <w:r w:rsidRPr="0A6EB4AB" w:rsidR="00D44638">
        <w:rPr>
          <w:rFonts w:ascii="Palatino Linotype" w:hAnsi="Palatino Linotype" w:eastAsia="Palatino Linotype" w:cs="Times New Roman"/>
        </w:rPr>
        <w:t>as</w:t>
      </w:r>
      <w:r w:rsidRPr="0A6EB4AB" w:rsidR="00AB3C40">
        <w:rPr>
          <w:rFonts w:ascii="Palatino Linotype" w:hAnsi="Palatino Linotype" w:eastAsia="Palatino Linotype" w:cs="Times New Roman"/>
        </w:rPr>
        <w:t xml:space="preserve"> </w:t>
      </w:r>
      <w:r w:rsidRPr="0A6EB4AB" w:rsidR="00C9425F">
        <w:rPr>
          <w:rFonts w:ascii="Palatino Linotype" w:hAnsi="Palatino Linotype" w:eastAsia="Palatino Linotype" w:cs="Times New Roman"/>
        </w:rPr>
        <w:t>exceed</w:t>
      </w:r>
      <w:r w:rsidRPr="0A6EB4AB" w:rsidR="00AB3C40">
        <w:rPr>
          <w:rFonts w:ascii="Palatino Linotype" w:hAnsi="Palatino Linotype" w:eastAsia="Palatino Linotype" w:cs="Times New Roman"/>
        </w:rPr>
        <w:t xml:space="preserve">ing scope and deviating from the collaborative framework mandated in </w:t>
      </w:r>
      <w:r w:rsidRPr="0A6EB4AB" w:rsidR="00A6070C">
        <w:rPr>
          <w:rFonts w:ascii="Palatino Linotype" w:hAnsi="Palatino Linotype" w:eastAsia="Palatino Linotype" w:cs="Times New Roman"/>
        </w:rPr>
        <w:t>D.24-10-030</w:t>
      </w:r>
      <w:r w:rsidRPr="0A6EB4AB" w:rsidR="0054517F">
        <w:rPr>
          <w:rFonts w:ascii="Palatino Linotype" w:hAnsi="Palatino Linotype" w:eastAsia="Palatino Linotype" w:cs="Times New Roman"/>
        </w:rPr>
        <w:t xml:space="preserve">. The IOUs request </w:t>
      </w:r>
      <w:r w:rsidRPr="0A6EB4AB" w:rsidR="00501011">
        <w:rPr>
          <w:rFonts w:ascii="Palatino Linotype" w:hAnsi="Palatino Linotype" w:eastAsia="Palatino Linotype" w:cs="Times New Roman"/>
        </w:rPr>
        <w:t>formal utility technical review before publication</w:t>
      </w:r>
      <w:r w:rsidRPr="0A6EB4AB" w:rsidR="5D2D9A99">
        <w:rPr>
          <w:rFonts w:ascii="Palatino Linotype" w:hAnsi="Palatino Linotype" w:eastAsia="Palatino Linotype" w:cs="Times New Roman"/>
        </w:rPr>
        <w:t xml:space="preserve"> </w:t>
      </w:r>
      <w:r w:rsidR="003626F9">
        <w:rPr>
          <w:rFonts w:ascii="Palatino Linotype" w:hAnsi="Palatino Linotype" w:eastAsia="Palatino Linotype" w:cs="Times New Roman"/>
        </w:rPr>
        <w:t xml:space="preserve">of the official </w:t>
      </w:r>
      <w:r w:rsidR="00687EB7">
        <w:rPr>
          <w:rFonts w:ascii="Palatino Linotype" w:hAnsi="Palatino Linotype" w:eastAsia="Palatino Linotype" w:cs="Times New Roman"/>
        </w:rPr>
        <w:t>“Equity Metrics in DPEP Report</w:t>
      </w:r>
      <w:r w:rsidR="006E675E">
        <w:rPr>
          <w:rFonts w:ascii="Palatino Linotype" w:hAnsi="Palatino Linotype" w:eastAsia="Palatino Linotype" w:cs="Times New Roman"/>
        </w:rPr>
        <w:t>.</w:t>
      </w:r>
      <w:r w:rsidR="00687EB7">
        <w:rPr>
          <w:rFonts w:ascii="Palatino Linotype" w:hAnsi="Palatino Linotype" w:eastAsia="Palatino Linotype" w:cs="Times New Roman"/>
        </w:rPr>
        <w:t>”</w:t>
      </w:r>
      <w:r w:rsidR="006E675E">
        <w:rPr>
          <w:rFonts w:ascii="Palatino Linotype" w:hAnsi="Palatino Linotype" w:eastAsia="Palatino Linotype" w:cs="Times New Roman"/>
        </w:rPr>
        <w:t xml:space="preserve"> </w:t>
      </w:r>
      <w:r w:rsidRPr="0A6EB4AB" w:rsidR="4A62C963">
        <w:rPr>
          <w:rFonts w:ascii="Palatino Linotype" w:hAnsi="Palatino Linotype" w:eastAsia="Palatino Linotype" w:cs="Times New Roman"/>
        </w:rPr>
        <w:t>C</w:t>
      </w:r>
      <w:r w:rsidRPr="0A6EB4AB" w:rsidR="00033036">
        <w:rPr>
          <w:rFonts w:ascii="Palatino Linotype" w:hAnsi="Palatino Linotype" w:eastAsia="Palatino Linotype" w:cs="Times New Roman"/>
        </w:rPr>
        <w:t>ommission decli</w:t>
      </w:r>
      <w:r w:rsidRPr="0A6EB4AB" w:rsidR="00591BFC">
        <w:rPr>
          <w:rFonts w:ascii="Palatino Linotype" w:hAnsi="Palatino Linotype" w:eastAsia="Palatino Linotype" w:cs="Times New Roman"/>
        </w:rPr>
        <w:t>n</w:t>
      </w:r>
      <w:r w:rsidRPr="0A6EB4AB" w:rsidR="00CC2711">
        <w:rPr>
          <w:rFonts w:ascii="Palatino Linotype" w:hAnsi="Palatino Linotype" w:eastAsia="Palatino Linotype" w:cs="Times New Roman"/>
        </w:rPr>
        <w:t xml:space="preserve">es </w:t>
      </w:r>
      <w:r w:rsidRPr="0A6EB4AB" w:rsidR="00473295">
        <w:rPr>
          <w:rFonts w:ascii="Palatino Linotype" w:hAnsi="Palatino Linotype" w:eastAsia="Palatino Linotype" w:cs="Times New Roman"/>
        </w:rPr>
        <w:t>the proposed modification</w:t>
      </w:r>
      <w:r w:rsidRPr="0A6EB4AB" w:rsidR="00423DC5">
        <w:rPr>
          <w:rFonts w:ascii="Palatino Linotype" w:hAnsi="Palatino Linotype" w:eastAsia="Palatino Linotype" w:cs="Times New Roman"/>
        </w:rPr>
        <w:t xml:space="preserve">. The IOUs </w:t>
      </w:r>
      <w:r w:rsidRPr="0A6EB4AB" w:rsidR="00DC3152">
        <w:rPr>
          <w:rFonts w:ascii="Palatino Linotype" w:hAnsi="Palatino Linotype" w:eastAsia="Palatino Linotype" w:cs="Times New Roman"/>
        </w:rPr>
        <w:t>proposed the regression models in the</w:t>
      </w:r>
      <w:r w:rsidRPr="0A6EB4AB" w:rsidR="004016AF">
        <w:rPr>
          <w:rFonts w:ascii="Palatino Linotype" w:hAnsi="Palatino Linotype" w:eastAsia="Palatino Linotype" w:cs="Times New Roman"/>
        </w:rPr>
        <w:t xml:space="preserve"> original filing of the Tier 3 Advice Letter for Equity Metrics in </w:t>
      </w:r>
      <w:r w:rsidRPr="0A6EB4AB" w:rsidR="00622D67">
        <w:rPr>
          <w:rFonts w:ascii="Palatino Linotype" w:hAnsi="Palatino Linotype" w:eastAsia="Palatino Linotype" w:cs="Times New Roman"/>
        </w:rPr>
        <w:t>March of 2025 and</w:t>
      </w:r>
      <w:r w:rsidRPr="0A6EB4AB" w:rsidR="74C7F1AE">
        <w:rPr>
          <w:rFonts w:ascii="Palatino Linotype" w:hAnsi="Palatino Linotype" w:eastAsia="Palatino Linotype" w:cs="Times New Roman"/>
        </w:rPr>
        <w:t xml:space="preserve"> </w:t>
      </w:r>
      <w:r w:rsidRPr="0A6EB4AB" w:rsidR="00804B5C">
        <w:rPr>
          <w:rFonts w:ascii="Palatino Linotype" w:hAnsi="Palatino Linotype" w:eastAsia="Palatino Linotype" w:cs="Times New Roman"/>
        </w:rPr>
        <w:t xml:space="preserve">defended </w:t>
      </w:r>
      <w:r w:rsidRPr="0A6EB4AB" w:rsidR="008C0A8D">
        <w:rPr>
          <w:rFonts w:ascii="Palatino Linotype" w:hAnsi="Palatino Linotype" w:eastAsia="Palatino Linotype" w:cs="Times New Roman"/>
        </w:rPr>
        <w:t>the approach in the</w:t>
      </w:r>
      <w:r w:rsidR="006A3A23">
        <w:rPr>
          <w:rFonts w:ascii="Palatino Linotype" w:hAnsi="Palatino Linotype" w:eastAsia="Palatino Linotype" w:cs="Times New Roman"/>
        </w:rPr>
        <w:t>ir</w:t>
      </w:r>
      <w:r w:rsidRPr="0A6EB4AB" w:rsidR="008C0A8D">
        <w:rPr>
          <w:rFonts w:ascii="Palatino Linotype" w:hAnsi="Palatino Linotype" w:eastAsia="Palatino Linotype" w:cs="Times New Roman"/>
        </w:rPr>
        <w:t xml:space="preserve"> </w:t>
      </w:r>
      <w:r w:rsidRPr="0A6EB4AB" w:rsidR="0014514A">
        <w:rPr>
          <w:rFonts w:ascii="Palatino Linotype" w:hAnsi="Palatino Linotype" w:eastAsia="Palatino Linotype" w:cs="Times New Roman"/>
        </w:rPr>
        <w:t>respective reply comments in April of 2025</w:t>
      </w:r>
      <w:r w:rsidRPr="0A6EB4AB" w:rsidR="0015432A">
        <w:rPr>
          <w:rFonts w:ascii="Palatino Linotype" w:hAnsi="Palatino Linotype" w:eastAsia="Palatino Linotype" w:cs="Times New Roman"/>
        </w:rPr>
        <w:t xml:space="preserve">. This </w:t>
      </w:r>
      <w:r w:rsidRPr="0A6EB4AB" w:rsidR="00176CF2">
        <w:rPr>
          <w:rFonts w:ascii="Palatino Linotype" w:hAnsi="Palatino Linotype" w:eastAsia="Palatino Linotype" w:cs="Times New Roman"/>
        </w:rPr>
        <w:t xml:space="preserve">resolution adopts this framework with technical refinements and standardized Energy Division implementation. A collaborative framework is already operational through regular </w:t>
      </w:r>
      <w:r w:rsidR="009F5229">
        <w:rPr>
          <w:rFonts w:ascii="Palatino Linotype" w:hAnsi="Palatino Linotype" w:eastAsia="Palatino Linotype" w:cs="Times New Roman"/>
        </w:rPr>
        <w:t>consultat</w:t>
      </w:r>
      <w:r w:rsidR="00DD4C6F">
        <w:rPr>
          <w:rFonts w:ascii="Palatino Linotype" w:hAnsi="Palatino Linotype" w:eastAsia="Palatino Linotype" w:cs="Times New Roman"/>
        </w:rPr>
        <w:t>ive</w:t>
      </w:r>
      <w:r w:rsidRPr="0A6EB4AB" w:rsidR="00C63034">
        <w:rPr>
          <w:rFonts w:ascii="Palatino Linotype" w:hAnsi="Palatino Linotype" w:eastAsia="Palatino Linotype" w:cs="Times New Roman"/>
        </w:rPr>
        <w:t xml:space="preserve"> sessions</w:t>
      </w:r>
      <w:r w:rsidR="009352C9">
        <w:rPr>
          <w:rFonts w:ascii="Palatino Linotype" w:hAnsi="Palatino Linotype" w:eastAsia="Palatino Linotype" w:cs="Times New Roman"/>
        </w:rPr>
        <w:t>.</w:t>
      </w:r>
    </w:p>
    <w:p w:rsidR="00E10432" w:rsidP="10A63D6A" w:rsidRDefault="00E10432" w14:paraId="28D800A8" w14:textId="77777777">
      <w:pPr>
        <w:spacing w:after="0" w:line="240" w:lineRule="auto"/>
        <w:rPr>
          <w:rFonts w:ascii="Palatino Linotype" w:hAnsi="Palatino Linotype" w:eastAsia="Palatino Linotype" w:cs="Times New Roman"/>
          <w:kern w:val="0"/>
          <w14:ligatures w14:val="none"/>
        </w:rPr>
      </w:pPr>
    </w:p>
    <w:p w:rsidR="00580AE2" w:rsidP="10A63D6A" w:rsidRDefault="004C3077" w14:paraId="7AD114F4" w14:textId="1AFB31E3">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rPr>
        <w:lastRenderedPageBreak/>
        <w:t>T</w:t>
      </w:r>
      <w:r w:rsidRPr="615839F1" w:rsidR="00F3346B">
        <w:rPr>
          <w:rFonts w:ascii="Palatino Linotype" w:hAnsi="Palatino Linotype" w:eastAsia="Palatino Linotype" w:cs="Times New Roman"/>
        </w:rPr>
        <w:t>he Joint IOUs</w:t>
      </w:r>
      <w:r w:rsidRPr="615839F1" w:rsidR="00B9648B">
        <w:rPr>
          <w:rFonts w:ascii="Palatino Linotype" w:hAnsi="Palatino Linotype" w:eastAsia="Palatino Linotype" w:cs="Times New Roman"/>
        </w:rPr>
        <w:t xml:space="preserve"> </w:t>
      </w:r>
      <w:r w:rsidRPr="615839F1" w:rsidR="00216A2C">
        <w:rPr>
          <w:rFonts w:ascii="Palatino Linotype" w:hAnsi="Palatino Linotype" w:eastAsia="Palatino Linotype" w:cs="Times New Roman"/>
        </w:rPr>
        <w:t>request explicit adoption of Professor Duncan Callaway’s definition of equitable access</w:t>
      </w:r>
      <w:r w:rsidRPr="615839F1" w:rsidR="00E8181B">
        <w:rPr>
          <w:rFonts w:ascii="Palatino Linotype" w:hAnsi="Palatino Linotype" w:eastAsia="Palatino Linotype" w:cs="Times New Roman"/>
        </w:rPr>
        <w:t xml:space="preserve">. The </w:t>
      </w:r>
      <w:r w:rsidRPr="615839F1" w:rsidR="008113A6">
        <w:rPr>
          <w:rFonts w:ascii="Palatino Linotype" w:hAnsi="Palatino Linotype" w:eastAsia="Palatino Linotype" w:cs="Times New Roman"/>
        </w:rPr>
        <w:t>C</w:t>
      </w:r>
      <w:r w:rsidRPr="615839F1" w:rsidR="00E8181B">
        <w:rPr>
          <w:rFonts w:ascii="Palatino Linotype" w:hAnsi="Palatino Linotype" w:eastAsia="Palatino Linotype" w:cs="Times New Roman"/>
        </w:rPr>
        <w:t xml:space="preserve">ommission adopts </w:t>
      </w:r>
      <w:r w:rsidRPr="615839F1" w:rsidR="00C42590">
        <w:rPr>
          <w:rFonts w:ascii="Palatino Linotype" w:hAnsi="Palatino Linotype" w:eastAsia="Palatino Linotype" w:cs="Times New Roman"/>
        </w:rPr>
        <w:t>the Callaway</w:t>
      </w:r>
      <w:r w:rsidRPr="615839F1" w:rsidR="00441EDB">
        <w:rPr>
          <w:rFonts w:ascii="Palatino Linotype" w:hAnsi="Palatino Linotype" w:eastAsia="Palatino Linotype" w:cs="Times New Roman"/>
        </w:rPr>
        <w:t xml:space="preserve"> definition</w:t>
      </w:r>
      <w:r w:rsidRPr="615839F1" w:rsidR="00B34235">
        <w:rPr>
          <w:rFonts w:ascii="Palatino Linotype" w:hAnsi="Palatino Linotype" w:eastAsia="Palatino Linotype" w:cs="Times New Roman"/>
        </w:rPr>
        <w:t xml:space="preserve"> to establish what equitable access means in distribution planning</w:t>
      </w:r>
      <w:r w:rsidRPr="615839F1" w:rsidR="00B53CDE">
        <w:rPr>
          <w:rFonts w:ascii="Palatino Linotype" w:hAnsi="Palatino Linotype" w:eastAsia="Palatino Linotype" w:cs="Times New Roman"/>
        </w:rPr>
        <w:t>,</w:t>
      </w:r>
      <w:r w:rsidRPr="615839F1" w:rsidR="00EF5E39">
        <w:rPr>
          <w:rFonts w:ascii="Palatino Linotype" w:hAnsi="Palatino Linotype" w:eastAsia="Palatino Linotype" w:cs="Times New Roman"/>
        </w:rPr>
        <w:t xml:space="preserve"> as detailed in section </w:t>
      </w:r>
      <w:r w:rsidRPr="615839F1" w:rsidR="00A842DF">
        <w:rPr>
          <w:rFonts w:ascii="Palatino Linotype" w:hAnsi="Palatino Linotype" w:eastAsia="Palatino Linotype" w:cs="Times New Roman"/>
        </w:rPr>
        <w:t>6.1 of this resolution</w:t>
      </w:r>
      <w:r w:rsidRPr="615839F1" w:rsidR="00856A10">
        <w:rPr>
          <w:rFonts w:ascii="Palatino Linotype" w:hAnsi="Palatino Linotype" w:eastAsia="Palatino Linotype" w:cs="Times New Roman"/>
        </w:rPr>
        <w:t xml:space="preserve">. </w:t>
      </w:r>
      <w:r w:rsidRPr="615839F1" w:rsidR="00776266">
        <w:rPr>
          <w:rFonts w:ascii="Palatino Linotype" w:hAnsi="Palatino Linotype" w:eastAsia="Palatino Linotype" w:cs="Times New Roman"/>
        </w:rPr>
        <w:t xml:space="preserve">The commission clarifies that this definition does not </w:t>
      </w:r>
      <w:r w:rsidRPr="615839F1" w:rsidR="008C6788">
        <w:rPr>
          <w:rFonts w:ascii="Palatino Linotype" w:hAnsi="Palatino Linotype" w:eastAsia="Palatino Linotype" w:cs="Times New Roman"/>
        </w:rPr>
        <w:t xml:space="preserve">modify the utility planning process, as equity metrics </w:t>
      </w:r>
      <w:r w:rsidRPr="615839F1" w:rsidR="00105793">
        <w:rPr>
          <w:rFonts w:ascii="Palatino Linotype" w:hAnsi="Palatino Linotype" w:eastAsia="Palatino Linotype" w:cs="Times New Roman"/>
        </w:rPr>
        <w:t>are evaluation tools and not planning criteria.</w:t>
      </w:r>
    </w:p>
    <w:p w:rsidR="00580AE2" w:rsidP="10A63D6A" w:rsidRDefault="00580AE2" w14:paraId="2D40E0F1" w14:textId="77777777">
      <w:pPr>
        <w:spacing w:after="0" w:line="240" w:lineRule="auto"/>
        <w:rPr>
          <w:rFonts w:ascii="Palatino Linotype" w:hAnsi="Palatino Linotype" w:eastAsia="Palatino Linotype" w:cs="Times New Roman"/>
          <w:kern w:val="0"/>
          <w14:ligatures w14:val="none"/>
        </w:rPr>
      </w:pPr>
    </w:p>
    <w:p w:rsidR="00B9648B" w:rsidP="10A63D6A" w:rsidRDefault="00A63DE6" w14:paraId="12AE95D2" w14:textId="281FEA4C">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The Joint IOUs request a pre-publication utility technical review</w:t>
      </w:r>
      <w:r w:rsidR="00DF2BD0">
        <w:rPr>
          <w:rFonts w:ascii="Palatino Linotype" w:hAnsi="Palatino Linotype" w:eastAsia="Palatino Linotype" w:cs="Times New Roman"/>
          <w:kern w:val="0"/>
          <w14:ligatures w14:val="none"/>
        </w:rPr>
        <w:t xml:space="preserve">, explaining that utilities possess essential </w:t>
      </w:r>
      <w:r w:rsidR="00EF7917">
        <w:rPr>
          <w:rFonts w:ascii="Palatino Linotype" w:hAnsi="Palatino Linotype" w:eastAsia="Palatino Linotype" w:cs="Times New Roman"/>
          <w:kern w:val="0"/>
          <w14:ligatures w14:val="none"/>
        </w:rPr>
        <w:t>understanding</w:t>
      </w:r>
      <w:r>
        <w:rPr>
          <w:rFonts w:ascii="Palatino Linotype" w:hAnsi="Palatino Linotype" w:eastAsia="Palatino Linotype" w:cs="Times New Roman"/>
          <w:kern w:val="0"/>
          <w14:ligatures w14:val="none"/>
        </w:rPr>
        <w:t xml:space="preserve"> </w:t>
      </w:r>
      <w:r w:rsidR="00083B91">
        <w:rPr>
          <w:rFonts w:ascii="Palatino Linotype" w:hAnsi="Palatino Linotype" w:eastAsia="Palatino Linotype" w:cs="Times New Roman"/>
          <w:kern w:val="0"/>
          <w14:ligatures w14:val="none"/>
        </w:rPr>
        <w:t xml:space="preserve">of the </w:t>
      </w:r>
      <w:r>
        <w:rPr>
          <w:rFonts w:ascii="Palatino Linotype" w:hAnsi="Palatino Linotype" w:eastAsia="Palatino Linotype" w:cs="Times New Roman"/>
          <w:kern w:val="0"/>
          <w14:ligatures w14:val="none"/>
        </w:rPr>
        <w:t>data quality and system specifications</w:t>
      </w:r>
      <w:r w:rsidR="00EF6209">
        <w:rPr>
          <w:rFonts w:ascii="Palatino Linotype" w:hAnsi="Palatino Linotype" w:eastAsia="Palatino Linotype" w:cs="Times New Roman"/>
          <w:kern w:val="0"/>
          <w14:ligatures w14:val="none"/>
        </w:rPr>
        <w:t>. PG&amp;E strengthens this position in their reply comments</w:t>
      </w:r>
      <w:r w:rsidR="00951EEC">
        <w:rPr>
          <w:rFonts w:ascii="Palatino Linotype" w:hAnsi="Palatino Linotype" w:eastAsia="Palatino Linotype" w:cs="Times New Roman"/>
          <w:kern w:val="0"/>
          <w14:ligatures w14:val="none"/>
        </w:rPr>
        <w:t xml:space="preserve"> (September </w:t>
      </w:r>
      <w:r w:rsidR="007E558B">
        <w:rPr>
          <w:rFonts w:ascii="Palatino Linotype" w:hAnsi="Palatino Linotype" w:eastAsia="Palatino Linotype" w:cs="Times New Roman"/>
          <w:kern w:val="0"/>
          <w14:ligatures w14:val="none"/>
        </w:rPr>
        <w:t>9</w:t>
      </w:r>
      <w:r w:rsidR="002C5617">
        <w:rPr>
          <w:rFonts w:ascii="Palatino Linotype" w:hAnsi="Palatino Linotype" w:eastAsia="Palatino Linotype" w:cs="Times New Roman"/>
          <w:kern w:val="0"/>
          <w14:ligatures w14:val="none"/>
        </w:rPr>
        <w:t>,</w:t>
      </w:r>
      <w:r w:rsidR="00807E8E">
        <w:rPr>
          <w:rFonts w:ascii="Palatino Linotype" w:hAnsi="Palatino Linotype" w:eastAsia="Palatino Linotype" w:cs="Times New Roman"/>
          <w:kern w:val="0"/>
          <w14:ligatures w14:val="none"/>
        </w:rPr>
        <w:t xml:space="preserve"> 2026)</w:t>
      </w:r>
      <w:r w:rsidR="00C34661">
        <w:rPr>
          <w:rFonts w:ascii="Palatino Linotype" w:hAnsi="Palatino Linotype" w:eastAsia="Palatino Linotype" w:cs="Times New Roman"/>
          <w:kern w:val="0"/>
          <w14:ligatures w14:val="none"/>
        </w:rPr>
        <w:t xml:space="preserve">, requesting </w:t>
      </w:r>
      <w:r w:rsidR="00725B5B">
        <w:rPr>
          <w:rFonts w:ascii="Palatino Linotype" w:hAnsi="Palatino Linotype" w:eastAsia="Palatino Linotype" w:cs="Times New Roman"/>
          <w:kern w:val="0"/>
          <w14:ligatures w14:val="none"/>
        </w:rPr>
        <w:t xml:space="preserve">circulation of a draft report and validation </w:t>
      </w:r>
      <w:r w:rsidR="00787D3C">
        <w:rPr>
          <w:rFonts w:ascii="Palatino Linotype" w:hAnsi="Palatino Linotype" w:eastAsia="Palatino Linotype" w:cs="Times New Roman"/>
          <w:kern w:val="0"/>
          <w14:ligatures w14:val="none"/>
        </w:rPr>
        <w:t xml:space="preserve">opportunity before publication. Energy </w:t>
      </w:r>
      <w:r w:rsidR="00DD7812">
        <w:rPr>
          <w:rFonts w:ascii="Palatino Linotype" w:hAnsi="Palatino Linotype" w:eastAsia="Palatino Linotype" w:cs="Times New Roman"/>
          <w:kern w:val="0"/>
          <w14:ligatures w14:val="none"/>
        </w:rPr>
        <w:t>Division’s</w:t>
      </w:r>
      <w:r w:rsidR="00B60EE0">
        <w:rPr>
          <w:rFonts w:ascii="Palatino Linotype" w:hAnsi="Palatino Linotype" w:eastAsia="Palatino Linotype" w:cs="Times New Roman"/>
          <w:kern w:val="0"/>
          <w14:ligatures w14:val="none"/>
        </w:rPr>
        <w:t xml:space="preserve"> on</w:t>
      </w:r>
      <w:r w:rsidR="002E1624">
        <w:rPr>
          <w:rFonts w:ascii="Palatino Linotype" w:hAnsi="Palatino Linotype" w:eastAsia="Palatino Linotype" w:cs="Times New Roman"/>
          <w:kern w:val="0"/>
          <w14:ligatures w14:val="none"/>
        </w:rPr>
        <w:t xml:space="preserve">going coordination with utilities </w:t>
      </w:r>
      <w:r w:rsidR="00E653BB">
        <w:rPr>
          <w:rFonts w:ascii="Palatino Linotype" w:hAnsi="Palatino Linotype" w:eastAsia="Palatino Linotype" w:cs="Times New Roman"/>
          <w:kern w:val="0"/>
          <w14:ligatures w14:val="none"/>
        </w:rPr>
        <w:t xml:space="preserve">through </w:t>
      </w:r>
      <w:r w:rsidR="00E86B58">
        <w:rPr>
          <w:rFonts w:ascii="Palatino Linotype" w:hAnsi="Palatino Linotype" w:eastAsia="Palatino Linotype" w:cs="Times New Roman"/>
          <w:kern w:val="0"/>
          <w14:ligatures w14:val="none"/>
        </w:rPr>
        <w:t>data submission processes</w:t>
      </w:r>
      <w:r w:rsidR="00D74E01">
        <w:rPr>
          <w:rFonts w:ascii="Palatino Linotype" w:hAnsi="Palatino Linotype" w:eastAsia="Palatino Linotype" w:cs="Times New Roman"/>
          <w:kern w:val="0"/>
          <w14:ligatures w14:val="none"/>
        </w:rPr>
        <w:t xml:space="preserve"> creates </w:t>
      </w:r>
      <w:r w:rsidR="00D90B50">
        <w:rPr>
          <w:rFonts w:ascii="Palatino Linotype" w:hAnsi="Palatino Linotype" w:eastAsia="Palatino Linotype" w:cs="Times New Roman"/>
          <w:kern w:val="0"/>
          <w14:ligatures w14:val="none"/>
        </w:rPr>
        <w:t xml:space="preserve">opportunity for continuous </w:t>
      </w:r>
      <w:r w:rsidR="00696E92">
        <w:rPr>
          <w:rFonts w:ascii="Palatino Linotype" w:hAnsi="Palatino Linotype" w:eastAsia="Palatino Linotype" w:cs="Times New Roman"/>
          <w:kern w:val="0"/>
          <w14:ligatures w14:val="none"/>
        </w:rPr>
        <w:t>technical input</w:t>
      </w:r>
      <w:r w:rsidR="005100FD">
        <w:rPr>
          <w:rFonts w:ascii="Palatino Linotype" w:hAnsi="Palatino Linotype" w:eastAsia="Palatino Linotype" w:cs="Times New Roman"/>
          <w:kern w:val="0"/>
          <w14:ligatures w14:val="none"/>
        </w:rPr>
        <w:t xml:space="preserve"> and clarification</w:t>
      </w:r>
      <w:r w:rsidR="005D769B">
        <w:rPr>
          <w:rFonts w:ascii="Palatino Linotype" w:hAnsi="Palatino Linotype" w:eastAsia="Palatino Linotype" w:cs="Times New Roman"/>
          <w:kern w:val="0"/>
          <w14:ligatures w14:val="none"/>
        </w:rPr>
        <w:t>. The Commission maintains the current structure</w:t>
      </w:r>
      <w:r w:rsidR="00EB1A06">
        <w:rPr>
          <w:rFonts w:ascii="Palatino Linotype" w:hAnsi="Palatino Linotype" w:eastAsia="Palatino Linotype" w:cs="Times New Roman"/>
          <w:kern w:val="0"/>
          <w14:ligatures w14:val="none"/>
        </w:rPr>
        <w:t xml:space="preserve"> which already provides sufficient opportunity for collaborative feedback</w:t>
      </w:r>
      <w:r w:rsidR="00411DC8">
        <w:rPr>
          <w:rFonts w:ascii="Palatino Linotype" w:hAnsi="Palatino Linotype" w:eastAsia="Palatino Linotype" w:cs="Times New Roman"/>
          <w:kern w:val="0"/>
          <w14:ligatures w14:val="none"/>
        </w:rPr>
        <w:t>.</w:t>
      </w:r>
      <w:r w:rsidR="00E86B58">
        <w:rPr>
          <w:rFonts w:ascii="Palatino Linotype" w:hAnsi="Palatino Linotype" w:eastAsia="Palatino Linotype" w:cs="Times New Roman"/>
          <w:kern w:val="0"/>
          <w14:ligatures w14:val="none"/>
        </w:rPr>
        <w:t xml:space="preserve"> </w:t>
      </w:r>
      <w:r w:rsidR="002C5617">
        <w:rPr>
          <w:rFonts w:ascii="Palatino Linotype" w:hAnsi="Palatino Linotype" w:eastAsia="Palatino Linotype" w:cs="Times New Roman"/>
          <w:kern w:val="0"/>
          <w14:ligatures w14:val="none"/>
        </w:rPr>
        <w:t xml:space="preserve"> </w:t>
      </w:r>
      <w:r w:rsidR="00BA66D9">
        <w:rPr>
          <w:rFonts w:ascii="Palatino Linotype" w:hAnsi="Palatino Linotype" w:eastAsia="Palatino Linotype" w:cs="Times New Roman"/>
          <w:kern w:val="0"/>
          <w14:ligatures w14:val="none"/>
        </w:rPr>
        <w:t xml:space="preserve"> </w:t>
      </w:r>
      <w:r w:rsidR="00B53CDE">
        <w:rPr>
          <w:rFonts w:ascii="Palatino Linotype" w:hAnsi="Palatino Linotype" w:eastAsia="Palatino Linotype" w:cs="Times New Roman"/>
          <w:kern w:val="0"/>
          <w14:ligatures w14:val="none"/>
        </w:rPr>
        <w:t xml:space="preserve"> </w:t>
      </w:r>
      <w:r w:rsidR="00216A2C">
        <w:rPr>
          <w:rFonts w:ascii="Palatino Linotype" w:hAnsi="Palatino Linotype" w:eastAsia="Palatino Linotype" w:cs="Times New Roman"/>
          <w:kern w:val="0"/>
          <w14:ligatures w14:val="none"/>
        </w:rPr>
        <w:t xml:space="preserve"> </w:t>
      </w:r>
    </w:p>
    <w:p w:rsidR="00216A2C" w:rsidP="10A63D6A" w:rsidRDefault="00216A2C" w14:paraId="25B115A5" w14:textId="77777777">
      <w:pPr>
        <w:spacing w:after="0" w:line="240" w:lineRule="auto"/>
        <w:rPr>
          <w:rFonts w:ascii="Palatino Linotype" w:hAnsi="Palatino Linotype" w:eastAsia="Palatino Linotype" w:cs="Times New Roman"/>
          <w:kern w:val="0"/>
          <w14:ligatures w14:val="none"/>
        </w:rPr>
      </w:pPr>
    </w:p>
    <w:p w:rsidR="008379B4" w:rsidP="10A63D6A" w:rsidRDefault="00E10432" w14:paraId="5C3D9AB3" w14:textId="312799FE">
      <w:pPr>
        <w:spacing w:after="0" w:line="240" w:lineRule="auto"/>
        <w:rPr>
          <w:rFonts w:ascii="Palatino Linotype" w:hAnsi="Palatino Linotype" w:eastAsia="Palatino Linotype" w:cs="Times New Roman"/>
          <w:kern w:val="0"/>
          <w14:ligatures w14:val="none"/>
        </w:rPr>
      </w:pPr>
      <w:r w:rsidRPr="2DF6E471">
        <w:rPr>
          <w:rFonts w:ascii="Palatino Linotype" w:hAnsi="Palatino Linotype" w:eastAsia="Palatino Linotype" w:cs="Times New Roman"/>
        </w:rPr>
        <w:t xml:space="preserve">The Utilities </w:t>
      </w:r>
      <w:r w:rsidRPr="2DF6E471" w:rsidR="00A11541">
        <w:rPr>
          <w:rFonts w:ascii="Palatino Linotype" w:hAnsi="Palatino Linotype" w:eastAsia="Palatino Linotype" w:cs="Times New Roman"/>
        </w:rPr>
        <w:t xml:space="preserve">commented that Attachment A requires </w:t>
      </w:r>
      <w:r w:rsidRPr="2DF6E471" w:rsidR="00E77793">
        <w:rPr>
          <w:rFonts w:ascii="Palatino Linotype" w:hAnsi="Palatino Linotype" w:eastAsia="Palatino Linotype" w:cs="Times New Roman"/>
        </w:rPr>
        <w:t xml:space="preserve">undefined, or unnecessary data fields and </w:t>
      </w:r>
      <w:r w:rsidRPr="2DF6E471" w:rsidR="00B703B2">
        <w:rPr>
          <w:rFonts w:ascii="Palatino Linotype" w:hAnsi="Palatino Linotype" w:eastAsia="Palatino Linotype" w:cs="Times New Roman"/>
        </w:rPr>
        <w:t xml:space="preserve">request field -by-field review. </w:t>
      </w:r>
      <w:r w:rsidRPr="0169F0C8" w:rsidR="178A2924">
        <w:rPr>
          <w:rFonts w:ascii="Palatino Linotype" w:hAnsi="Palatino Linotype" w:eastAsia="Palatino Linotype" w:cs="Times New Roman"/>
        </w:rPr>
        <w:t xml:space="preserve">They </w:t>
      </w:r>
      <w:r w:rsidRPr="0169F0C8" w:rsidR="28261246">
        <w:rPr>
          <w:rFonts w:ascii="Palatino Linotype" w:hAnsi="Palatino Linotype" w:eastAsia="Palatino Linotype" w:cs="Times New Roman"/>
        </w:rPr>
        <w:t>contend</w:t>
      </w:r>
      <w:r w:rsidRPr="2DF6E471" w:rsidR="00B703B2">
        <w:rPr>
          <w:rFonts w:ascii="Palatino Linotype" w:hAnsi="Palatino Linotype" w:eastAsia="Palatino Linotype" w:cs="Times New Roman"/>
        </w:rPr>
        <w:t xml:space="preserve"> that the October 16, 2026, submission deadline is infeasible because </w:t>
      </w:r>
      <w:r w:rsidRPr="2DF6E471" w:rsidR="006B688F">
        <w:rPr>
          <w:rFonts w:ascii="Palatino Linotype" w:hAnsi="Palatino Linotype" w:eastAsia="Palatino Linotype" w:cs="Times New Roman"/>
        </w:rPr>
        <w:t>2026-2027 DPEP data is unavailable</w:t>
      </w:r>
      <w:r w:rsidRPr="2DF6E471" w:rsidR="00F83E19">
        <w:rPr>
          <w:rFonts w:ascii="Palatino Linotype" w:hAnsi="Palatino Linotype" w:eastAsia="Palatino Linotype" w:cs="Times New Roman"/>
        </w:rPr>
        <w:t xml:space="preserve"> until August of 2027 GNA/DUPR filings. SDG&amp;E provides specific timeline proof in repl</w:t>
      </w:r>
      <w:r w:rsidRPr="2DF6E471" w:rsidR="00362042">
        <w:rPr>
          <w:rFonts w:ascii="Palatino Linotype" w:hAnsi="Palatino Linotype" w:eastAsia="Palatino Linotype" w:cs="Times New Roman"/>
        </w:rPr>
        <w:t>y</w:t>
      </w:r>
      <w:r w:rsidRPr="2DF6E471" w:rsidR="000E431A">
        <w:rPr>
          <w:rFonts w:ascii="Palatino Linotype" w:hAnsi="Palatino Linotype" w:eastAsia="Palatino Linotype" w:cs="Times New Roman"/>
        </w:rPr>
        <w:t xml:space="preserve">, demonstrating the reporting deadlines conflict with data availability. </w:t>
      </w:r>
      <w:r w:rsidRPr="2DF6E471" w:rsidR="00327F8D">
        <w:rPr>
          <w:rFonts w:ascii="Palatino Linotype" w:hAnsi="Palatino Linotype" w:eastAsia="Palatino Linotype" w:cs="Times New Roman"/>
        </w:rPr>
        <w:t xml:space="preserve">Energy Division </w:t>
      </w:r>
      <w:r w:rsidRPr="2DF6E471" w:rsidR="0092548C">
        <w:rPr>
          <w:rFonts w:ascii="Palatino Linotype" w:hAnsi="Palatino Linotype" w:eastAsia="Palatino Linotype" w:cs="Times New Roman"/>
        </w:rPr>
        <w:t>has confirmed each variable has a data dictionary definition</w:t>
      </w:r>
      <w:r w:rsidRPr="2DF6E471" w:rsidR="00846DA3">
        <w:rPr>
          <w:rFonts w:ascii="Palatino Linotype" w:hAnsi="Palatino Linotype" w:eastAsia="Palatino Linotype" w:cs="Times New Roman"/>
        </w:rPr>
        <w:t xml:space="preserve">, and operational clarifications will be addressed through ongoing ED-IOU communication. </w:t>
      </w:r>
      <w:r w:rsidRPr="2DF6E471" w:rsidR="000E431A">
        <w:rPr>
          <w:rFonts w:ascii="Palatino Linotype" w:hAnsi="Palatino Linotype" w:eastAsia="Palatino Linotype" w:cs="Times New Roman"/>
        </w:rPr>
        <w:t>The commission</w:t>
      </w:r>
      <w:r w:rsidRPr="2DF6E471" w:rsidR="00FD0E3A">
        <w:rPr>
          <w:rFonts w:ascii="Palatino Linotype" w:hAnsi="Palatino Linotype" w:eastAsia="Palatino Linotype" w:cs="Times New Roman"/>
        </w:rPr>
        <w:t xml:space="preserve"> has</w:t>
      </w:r>
      <w:r w:rsidRPr="2DF6E471" w:rsidR="00C76831">
        <w:rPr>
          <w:rFonts w:ascii="Palatino Linotype" w:hAnsi="Palatino Linotype" w:eastAsia="Palatino Linotype" w:cs="Times New Roman"/>
        </w:rPr>
        <w:t xml:space="preserve"> revise</w:t>
      </w:r>
      <w:r w:rsidRPr="2DF6E471" w:rsidR="003317C6">
        <w:rPr>
          <w:rFonts w:ascii="Palatino Linotype" w:hAnsi="Palatino Linotype" w:eastAsia="Palatino Linotype" w:cs="Times New Roman"/>
        </w:rPr>
        <w:t>d</w:t>
      </w:r>
      <w:r w:rsidRPr="2DF6E471" w:rsidR="00560001">
        <w:rPr>
          <w:rFonts w:ascii="Palatino Linotype" w:hAnsi="Palatino Linotype" w:eastAsia="Palatino Linotype" w:cs="Times New Roman"/>
        </w:rPr>
        <w:t xml:space="preserve"> the</w:t>
      </w:r>
      <w:r w:rsidRPr="2DF6E471" w:rsidR="00846DA3">
        <w:rPr>
          <w:rFonts w:ascii="Palatino Linotype" w:hAnsi="Palatino Linotype" w:eastAsia="Palatino Linotype" w:cs="Times New Roman"/>
        </w:rPr>
        <w:t xml:space="preserve"> data submission</w:t>
      </w:r>
      <w:r w:rsidRPr="2DF6E471" w:rsidR="00560001">
        <w:rPr>
          <w:rFonts w:ascii="Palatino Linotype" w:hAnsi="Palatino Linotype" w:eastAsia="Palatino Linotype" w:cs="Times New Roman"/>
        </w:rPr>
        <w:t xml:space="preserve"> timeline and </w:t>
      </w:r>
      <w:r w:rsidRPr="2DF6E471" w:rsidR="00E80AEE">
        <w:rPr>
          <w:rFonts w:ascii="Palatino Linotype" w:hAnsi="Palatino Linotype" w:eastAsia="Palatino Linotype" w:cs="Times New Roman"/>
        </w:rPr>
        <w:t xml:space="preserve">modified it </w:t>
      </w:r>
      <w:r w:rsidRPr="2DF6E471" w:rsidR="0074362F">
        <w:rPr>
          <w:rFonts w:ascii="Palatino Linotype" w:hAnsi="Palatino Linotype" w:eastAsia="Palatino Linotype" w:cs="Times New Roman"/>
        </w:rPr>
        <w:t>to align with the DPEP and GNA/DUPR cycles</w:t>
      </w:r>
      <w:r w:rsidRPr="2DF6E471" w:rsidR="00712F2E">
        <w:rPr>
          <w:rFonts w:ascii="Palatino Linotype" w:hAnsi="Palatino Linotype" w:eastAsia="Palatino Linotype" w:cs="Times New Roman"/>
        </w:rPr>
        <w:t xml:space="preserve">. These timeline revisions and phased data submission schedule have been added </w:t>
      </w:r>
      <w:r w:rsidRPr="2DF6E471" w:rsidR="0047468D">
        <w:rPr>
          <w:rFonts w:ascii="Palatino Linotype" w:hAnsi="Palatino Linotype" w:eastAsia="Palatino Linotype" w:cs="Times New Roman"/>
        </w:rPr>
        <w:t>to</w:t>
      </w:r>
      <w:r w:rsidRPr="2DF6E471" w:rsidR="005C283D">
        <w:rPr>
          <w:rFonts w:ascii="Palatino Linotype" w:hAnsi="Palatino Linotype" w:eastAsia="Palatino Linotype" w:cs="Times New Roman"/>
        </w:rPr>
        <w:t xml:space="preserve"> the respective </w:t>
      </w:r>
      <w:r w:rsidRPr="2DF6E471" w:rsidR="007645D7">
        <w:rPr>
          <w:rFonts w:ascii="Palatino Linotype" w:hAnsi="Palatino Linotype" w:eastAsia="Palatino Linotype" w:cs="Times New Roman"/>
        </w:rPr>
        <w:t>section (7.3 Reporting Timeline)</w:t>
      </w:r>
      <w:r w:rsidRPr="2DF6E471" w:rsidR="00705B68">
        <w:rPr>
          <w:rFonts w:ascii="Palatino Linotype" w:hAnsi="Palatino Linotype" w:eastAsia="Palatino Linotype" w:cs="Times New Roman"/>
        </w:rPr>
        <w:t xml:space="preserve">. The commission is adopting a phased data submission </w:t>
      </w:r>
      <w:r w:rsidRPr="2DF6E471" w:rsidR="004B1EFA">
        <w:rPr>
          <w:rFonts w:ascii="Palatino Linotype" w:hAnsi="Palatino Linotype" w:eastAsia="Palatino Linotype" w:cs="Times New Roman"/>
        </w:rPr>
        <w:t xml:space="preserve">to address </w:t>
      </w:r>
      <w:r w:rsidRPr="2DF6E471" w:rsidR="00CE5AF7">
        <w:rPr>
          <w:rFonts w:ascii="Palatino Linotype" w:hAnsi="Palatino Linotype" w:eastAsia="Palatino Linotype" w:cs="Times New Roman"/>
        </w:rPr>
        <w:t xml:space="preserve">the IOUs’ concerns on </w:t>
      </w:r>
      <w:r w:rsidRPr="2DF6E471" w:rsidR="0054368D">
        <w:rPr>
          <w:rFonts w:ascii="Palatino Linotype" w:hAnsi="Palatino Linotype" w:eastAsia="Palatino Linotype" w:cs="Times New Roman"/>
        </w:rPr>
        <w:t xml:space="preserve">data </w:t>
      </w:r>
      <w:r w:rsidRPr="2DF6E471" w:rsidR="00B9648B">
        <w:rPr>
          <w:rFonts w:ascii="Palatino Linotype" w:hAnsi="Palatino Linotype" w:eastAsia="Palatino Linotype" w:cs="Times New Roman"/>
        </w:rPr>
        <w:t>compilation and collection processes.</w:t>
      </w:r>
    </w:p>
    <w:p w:rsidR="008379B4" w:rsidP="10A63D6A" w:rsidRDefault="008379B4" w14:paraId="28C2413D" w14:textId="77777777">
      <w:pPr>
        <w:spacing w:after="0" w:line="240" w:lineRule="auto"/>
        <w:rPr>
          <w:rFonts w:ascii="Palatino Linotype" w:hAnsi="Palatino Linotype" w:eastAsia="Palatino Linotype" w:cs="Times New Roman"/>
          <w:kern w:val="0"/>
          <w14:ligatures w14:val="none"/>
        </w:rPr>
      </w:pPr>
    </w:p>
    <w:p w:rsidR="00385427" w:rsidP="10A63D6A" w:rsidRDefault="008379B4" w14:paraId="6A371E4E" w14:textId="17556D43">
      <w:pPr>
        <w:spacing w:after="0" w:line="240" w:lineRule="auto"/>
        <w:rPr>
          <w:rFonts w:ascii="Palatino Linotype" w:hAnsi="Palatino Linotype" w:eastAsia="Palatino Linotype" w:cs="Times New Roman"/>
          <w:kern w:val="0"/>
          <w14:ligatures w14:val="none"/>
        </w:rPr>
      </w:pPr>
      <w:r w:rsidRPr="0E36FBB0">
        <w:rPr>
          <w:rFonts w:ascii="Palatino Linotype" w:hAnsi="Palatino Linotype" w:eastAsia="Palatino Linotype" w:cs="Times New Roman"/>
        </w:rPr>
        <w:t>Utilities argue that 2019-2025 historical data</w:t>
      </w:r>
      <w:r w:rsidRPr="3C57B1A9" w:rsidR="65199828">
        <w:rPr>
          <w:rFonts w:ascii="Palatino Linotype" w:hAnsi="Palatino Linotype" w:eastAsia="Palatino Linotype" w:cs="Times New Roman"/>
        </w:rPr>
        <w:t xml:space="preserve"> </w:t>
      </w:r>
      <w:proofErr w:type="gramStart"/>
      <w:r w:rsidRPr="660375F5" w:rsidR="65199828">
        <w:rPr>
          <w:rFonts w:ascii="Palatino Linotype" w:hAnsi="Palatino Linotype" w:eastAsia="Palatino Linotype" w:cs="Times New Roman"/>
        </w:rPr>
        <w:t>requires</w:t>
      </w:r>
      <w:proofErr w:type="gramEnd"/>
      <w:r w:rsidRPr="660375F5">
        <w:rPr>
          <w:rFonts w:ascii="Palatino Linotype" w:hAnsi="Palatino Linotype" w:eastAsia="Palatino Linotype" w:cs="Times New Roman"/>
        </w:rPr>
        <w:t xml:space="preserve"> </w:t>
      </w:r>
      <w:r w:rsidRPr="660375F5" w:rsidR="4B8157F5">
        <w:rPr>
          <w:rFonts w:ascii="Palatino Linotype" w:hAnsi="Palatino Linotype" w:eastAsia="Palatino Linotype" w:cs="Times New Roman"/>
        </w:rPr>
        <w:t>“</w:t>
      </w:r>
      <w:r w:rsidRPr="0E36FBB0">
        <w:rPr>
          <w:rFonts w:ascii="Palatino Linotype" w:hAnsi="Palatino Linotype" w:eastAsia="Palatino Linotype" w:cs="Times New Roman"/>
        </w:rPr>
        <w:t>reconstruction</w:t>
      </w:r>
      <w:r w:rsidRPr="660375F5" w:rsidR="561FFB0C">
        <w:rPr>
          <w:rFonts w:ascii="Palatino Linotype" w:hAnsi="Palatino Linotype" w:eastAsia="Palatino Linotype" w:cs="Times New Roman"/>
        </w:rPr>
        <w:t>”</w:t>
      </w:r>
      <w:r w:rsidRPr="0E36FBB0">
        <w:rPr>
          <w:rFonts w:ascii="Palatino Linotype" w:hAnsi="Palatino Linotype" w:eastAsia="Palatino Linotype" w:cs="Times New Roman"/>
        </w:rPr>
        <w:t xml:space="preserve"> </w:t>
      </w:r>
      <w:r w:rsidRPr="0B98D4AE" w:rsidR="561FFB0C">
        <w:rPr>
          <w:rFonts w:ascii="Palatino Linotype" w:hAnsi="Palatino Linotype" w:eastAsia="Palatino Linotype" w:cs="Times New Roman"/>
        </w:rPr>
        <w:t>which</w:t>
      </w:r>
      <w:r w:rsidRPr="0B98D4AE">
        <w:rPr>
          <w:rFonts w:ascii="Palatino Linotype" w:hAnsi="Palatino Linotype" w:eastAsia="Palatino Linotype" w:cs="Times New Roman"/>
        </w:rPr>
        <w:t xml:space="preserve"> </w:t>
      </w:r>
      <w:r w:rsidRPr="0E36FBB0">
        <w:rPr>
          <w:rFonts w:ascii="Palatino Linotype" w:hAnsi="Palatino Linotype" w:eastAsia="Palatino Linotype" w:cs="Times New Roman"/>
        </w:rPr>
        <w:t xml:space="preserve">exceeds </w:t>
      </w:r>
      <w:r w:rsidR="00DC6CB1">
        <w:rPr>
          <w:rFonts w:ascii="Palatino Linotype" w:hAnsi="Palatino Linotype" w:eastAsia="Palatino Linotype" w:cs="Times New Roman"/>
        </w:rPr>
        <w:t xml:space="preserve">the established </w:t>
      </w:r>
      <w:r w:rsidRPr="0E36FBB0">
        <w:rPr>
          <w:rFonts w:ascii="Palatino Linotype" w:hAnsi="Palatino Linotype" w:eastAsia="Palatino Linotype" w:cs="Times New Roman"/>
        </w:rPr>
        <w:t>scope and requires unfeasible assumptions. SDG&amp;E</w:t>
      </w:r>
      <w:r w:rsidRPr="41F47E19">
        <w:rPr>
          <w:rFonts w:ascii="Palatino Linotype" w:hAnsi="Palatino Linotype" w:eastAsia="Palatino Linotype" w:cs="Times New Roman"/>
        </w:rPr>
        <w:t xml:space="preserve"> </w:t>
      </w:r>
      <w:r w:rsidRPr="41F47E19" w:rsidR="4C1092B1">
        <w:rPr>
          <w:rFonts w:ascii="Palatino Linotype" w:hAnsi="Palatino Linotype" w:eastAsia="Palatino Linotype" w:cs="Times New Roman"/>
        </w:rPr>
        <w:t>states</w:t>
      </w:r>
      <w:r w:rsidRPr="0E36FBB0">
        <w:rPr>
          <w:rFonts w:ascii="Palatino Linotype" w:hAnsi="Palatino Linotype" w:eastAsia="Palatino Linotype" w:cs="Times New Roman"/>
        </w:rPr>
        <w:t xml:space="preserve"> in reply comments </w:t>
      </w:r>
      <w:proofErr w:type="gramStart"/>
      <w:r w:rsidRPr="0E36FBB0">
        <w:rPr>
          <w:rFonts w:ascii="Palatino Linotype" w:hAnsi="Palatino Linotype" w:eastAsia="Palatino Linotype" w:cs="Times New Roman"/>
        </w:rPr>
        <w:t xml:space="preserve">that </w:t>
      </w:r>
      <w:r w:rsidRPr="0E36FBB0" w:rsidR="0085217E">
        <w:rPr>
          <w:rFonts w:ascii="Palatino Linotype" w:hAnsi="Palatino Linotype" w:eastAsia="Palatino Linotype" w:cs="Times New Roman"/>
        </w:rPr>
        <w:t xml:space="preserve"> model</w:t>
      </w:r>
      <w:proofErr w:type="gramEnd"/>
      <w:r w:rsidRPr="0E36FBB0" w:rsidR="0085217E">
        <w:rPr>
          <w:rFonts w:ascii="Palatino Linotype" w:hAnsi="Palatino Linotype" w:eastAsia="Palatino Linotype" w:cs="Times New Roman"/>
        </w:rPr>
        <w:t xml:space="preserve"> calibration should not require historical data. The Commission</w:t>
      </w:r>
      <w:r w:rsidRPr="0E36FBB0" w:rsidR="00BC3B4F">
        <w:rPr>
          <w:rFonts w:ascii="Palatino Linotype" w:hAnsi="Palatino Linotype" w:eastAsia="Palatino Linotype" w:cs="Times New Roman"/>
        </w:rPr>
        <w:t xml:space="preserve"> declines this position. Historical data is necessary to calibrate</w:t>
      </w:r>
      <w:r w:rsidRPr="0E36FBB0" w:rsidR="004F5974">
        <w:rPr>
          <w:rFonts w:ascii="Palatino Linotype" w:hAnsi="Palatino Linotype" w:eastAsia="Palatino Linotype" w:cs="Times New Roman"/>
        </w:rPr>
        <w:t xml:space="preserve"> stable parameter estimates for the main </w:t>
      </w:r>
      <w:r w:rsidRPr="0E36FBB0" w:rsidR="00EC0B96">
        <w:rPr>
          <w:rFonts w:ascii="Palatino Linotype" w:hAnsi="Palatino Linotype" w:eastAsia="Palatino Linotype" w:cs="Times New Roman"/>
        </w:rPr>
        <w:t>variables and to validate the consistency and robustness of regression coefficients across multiple time periods</w:t>
      </w:r>
      <w:r w:rsidRPr="0E36FBB0" w:rsidR="0070760D">
        <w:rPr>
          <w:rFonts w:ascii="Palatino Linotype" w:hAnsi="Palatino Linotype" w:eastAsia="Palatino Linotype" w:cs="Times New Roman"/>
        </w:rPr>
        <w:t xml:space="preserve">. Multi-period data </w:t>
      </w:r>
      <w:r w:rsidRPr="0E36FBB0" w:rsidR="00844523">
        <w:rPr>
          <w:rFonts w:ascii="Palatino Linotype" w:hAnsi="Palatino Linotype" w:eastAsia="Palatino Linotype" w:cs="Times New Roman"/>
        </w:rPr>
        <w:t>allows</w:t>
      </w:r>
      <w:r w:rsidRPr="0E36FBB0" w:rsidR="00B10FB6">
        <w:rPr>
          <w:rFonts w:ascii="Palatino Linotype" w:hAnsi="Palatino Linotype" w:eastAsia="Palatino Linotype" w:cs="Times New Roman"/>
        </w:rPr>
        <w:t xml:space="preserve"> assessment of the time-series properties and stationarity </w:t>
      </w:r>
      <w:r w:rsidRPr="0E36FBB0" w:rsidR="00AB5478">
        <w:rPr>
          <w:rFonts w:ascii="Palatino Linotype" w:hAnsi="Palatino Linotype" w:eastAsia="Palatino Linotype" w:cs="Times New Roman"/>
        </w:rPr>
        <w:t>of key variables.</w:t>
      </w:r>
      <w:r w:rsidRPr="12118670" w:rsidR="01BA502F">
        <w:rPr>
          <w:rFonts w:ascii="Palatino Linotype" w:hAnsi="Palatino Linotype" w:eastAsia="Palatino Linotype" w:cs="Times New Roman"/>
        </w:rPr>
        <w:t xml:space="preserve"> </w:t>
      </w:r>
      <w:r w:rsidRPr="57C71F48" w:rsidR="01BA502F">
        <w:rPr>
          <w:rFonts w:ascii="Palatino Linotype" w:hAnsi="Palatino Linotype" w:eastAsia="Palatino Linotype" w:cs="Times New Roman"/>
        </w:rPr>
        <w:t xml:space="preserve"> </w:t>
      </w:r>
      <w:r w:rsidRPr="1C6E4EA3" w:rsidR="01BA502F">
        <w:rPr>
          <w:rFonts w:ascii="Palatino Linotype" w:hAnsi="Palatino Linotype" w:eastAsia="Palatino Linotype" w:cs="Times New Roman"/>
        </w:rPr>
        <w:t xml:space="preserve">We also find the data requests to be reasonable </w:t>
      </w:r>
      <w:r w:rsidRPr="36B1B303" w:rsidR="01BA502F">
        <w:rPr>
          <w:rFonts w:ascii="Palatino Linotype" w:hAnsi="Palatino Linotype" w:eastAsia="Palatino Linotype" w:cs="Times New Roman"/>
        </w:rPr>
        <w:t xml:space="preserve">within </w:t>
      </w:r>
      <w:r w:rsidRPr="25273D16" w:rsidR="01BA502F">
        <w:rPr>
          <w:rFonts w:ascii="Palatino Linotype" w:hAnsi="Palatino Linotype" w:eastAsia="Palatino Linotype" w:cs="Times New Roman"/>
        </w:rPr>
        <w:t>scope.</w:t>
      </w:r>
    </w:p>
    <w:p w:rsidR="00DD4C6C" w:rsidP="10A63D6A" w:rsidRDefault="00DD4C6C" w14:paraId="03E6D7D1" w14:textId="77777777">
      <w:pPr>
        <w:spacing w:after="0" w:line="240" w:lineRule="auto"/>
        <w:rPr>
          <w:rFonts w:ascii="Palatino Linotype" w:hAnsi="Palatino Linotype" w:eastAsia="Palatino Linotype" w:cs="Times New Roman"/>
          <w:kern w:val="0"/>
          <w14:ligatures w14:val="none"/>
        </w:rPr>
      </w:pPr>
    </w:p>
    <w:p w:rsidR="00DD4C6C" w:rsidP="10A63D6A" w:rsidRDefault="00DD4C6C" w14:paraId="31C6CD43" w14:textId="65762394">
      <w:pPr>
        <w:spacing w:after="0" w:line="240" w:lineRule="auto"/>
        <w:rPr>
          <w:rFonts w:ascii="Palatino Linotype" w:hAnsi="Palatino Linotype" w:eastAsia="Palatino Linotype" w:cs="Times New Roman"/>
          <w:kern w:val="0"/>
          <w14:ligatures w14:val="none"/>
        </w:rPr>
      </w:pPr>
      <w:r w:rsidRPr="7EB257B0">
        <w:rPr>
          <w:rFonts w:ascii="Palatino Linotype" w:hAnsi="Palatino Linotype" w:eastAsia="Palatino Linotype" w:cs="Times New Roman"/>
        </w:rPr>
        <w:lastRenderedPageBreak/>
        <w:t xml:space="preserve">The Utilities claim the </w:t>
      </w:r>
      <w:r w:rsidRPr="73E56AD4" w:rsidR="2A471EEC">
        <w:rPr>
          <w:rFonts w:ascii="Palatino Linotype" w:hAnsi="Palatino Linotype" w:eastAsia="Palatino Linotype" w:cs="Times New Roman"/>
        </w:rPr>
        <w:t>cost of implementing</w:t>
      </w:r>
      <w:r w:rsidRPr="7EB257B0">
        <w:rPr>
          <w:rFonts w:ascii="Palatino Linotype" w:hAnsi="Palatino Linotype" w:eastAsia="Palatino Linotype" w:cs="Times New Roman"/>
        </w:rPr>
        <w:t xml:space="preserve"> the Draft </w:t>
      </w:r>
      <w:proofErr w:type="spellStart"/>
      <w:r w:rsidRPr="7EB257B0">
        <w:rPr>
          <w:rFonts w:ascii="Palatino Linotype" w:hAnsi="Palatino Linotype" w:eastAsia="Palatino Linotype" w:cs="Times New Roman"/>
        </w:rPr>
        <w:t>Resolution</w:t>
      </w:r>
      <w:r w:rsidRPr="73E56AD4">
        <w:rPr>
          <w:rFonts w:ascii="Palatino Linotype" w:hAnsi="Palatino Linotype" w:eastAsia="Palatino Linotype" w:cs="Times New Roman"/>
        </w:rPr>
        <w:t>exceed</w:t>
      </w:r>
      <w:r w:rsidRPr="73E56AD4" w:rsidR="2A98064A">
        <w:rPr>
          <w:rFonts w:ascii="Palatino Linotype" w:hAnsi="Palatino Linotype" w:eastAsia="Palatino Linotype" w:cs="Times New Roman"/>
        </w:rPr>
        <w:t>s</w:t>
      </w:r>
      <w:proofErr w:type="spellEnd"/>
      <w:r w:rsidRPr="7EB257B0">
        <w:rPr>
          <w:rFonts w:ascii="Palatino Linotype" w:hAnsi="Palatino Linotype" w:eastAsia="Palatino Linotype" w:cs="Times New Roman"/>
        </w:rPr>
        <w:t xml:space="preserve"> </w:t>
      </w:r>
      <w:proofErr w:type="spellStart"/>
      <w:r w:rsidRPr="7EB257B0">
        <w:rPr>
          <w:rFonts w:ascii="Palatino Linotype" w:hAnsi="Palatino Linotype" w:eastAsia="Palatino Linotype" w:cs="Times New Roman"/>
        </w:rPr>
        <w:t>theoriginal</w:t>
      </w:r>
      <w:proofErr w:type="spellEnd"/>
      <w:r w:rsidRPr="7EB257B0">
        <w:rPr>
          <w:rFonts w:ascii="Palatino Linotype" w:hAnsi="Palatino Linotype" w:eastAsia="Palatino Linotype" w:cs="Times New Roman"/>
        </w:rPr>
        <w:t xml:space="preserve"> </w:t>
      </w:r>
      <w:r w:rsidRPr="73E56AD4" w:rsidR="044251C7">
        <w:rPr>
          <w:rFonts w:ascii="Palatino Linotype" w:hAnsi="Palatino Linotype" w:eastAsia="Palatino Linotype" w:cs="Times New Roman"/>
        </w:rPr>
        <w:t xml:space="preserve">IOU </w:t>
      </w:r>
      <w:r w:rsidRPr="7EB257B0">
        <w:rPr>
          <w:rFonts w:ascii="Palatino Linotype" w:hAnsi="Palatino Linotype" w:eastAsia="Palatino Linotype" w:cs="Times New Roman"/>
        </w:rPr>
        <w:t>proposal and</w:t>
      </w:r>
      <w:r w:rsidRPr="73E56AD4">
        <w:rPr>
          <w:rFonts w:ascii="Palatino Linotype" w:hAnsi="Palatino Linotype" w:eastAsia="Palatino Linotype" w:cs="Times New Roman"/>
        </w:rPr>
        <w:t xml:space="preserve"> </w:t>
      </w:r>
      <w:r w:rsidRPr="73E56AD4" w:rsidR="2C1CB23D">
        <w:rPr>
          <w:rFonts w:ascii="Palatino Linotype" w:hAnsi="Palatino Linotype" w:eastAsia="Palatino Linotype" w:cs="Times New Roman"/>
        </w:rPr>
        <w:t>the IOUs</w:t>
      </w:r>
      <w:r w:rsidRPr="7EB257B0">
        <w:rPr>
          <w:rFonts w:ascii="Palatino Linotype" w:hAnsi="Palatino Linotype" w:eastAsia="Palatino Linotype" w:cs="Times New Roman"/>
        </w:rPr>
        <w:t xml:space="preserve"> </w:t>
      </w:r>
      <w:proofErr w:type="spellStart"/>
      <w:r w:rsidRPr="7EB257B0">
        <w:rPr>
          <w:rFonts w:ascii="Palatino Linotype" w:hAnsi="Palatino Linotype" w:eastAsia="Palatino Linotype" w:cs="Times New Roman"/>
        </w:rPr>
        <w:t>reuq</w:t>
      </w:r>
      <w:r w:rsidRPr="7EB257B0" w:rsidR="5DB5BAFF">
        <w:rPr>
          <w:rFonts w:ascii="Palatino Linotype" w:hAnsi="Palatino Linotype" w:eastAsia="Palatino Linotype" w:cs="Times New Roman"/>
        </w:rPr>
        <w:t>ues</w:t>
      </w:r>
      <w:r w:rsidRPr="7EB257B0">
        <w:rPr>
          <w:rFonts w:ascii="Palatino Linotype" w:hAnsi="Palatino Linotype" w:eastAsia="Palatino Linotype" w:cs="Times New Roman"/>
        </w:rPr>
        <w:t>t</w:t>
      </w:r>
      <w:proofErr w:type="spellEnd"/>
      <w:r w:rsidRPr="7EB257B0">
        <w:rPr>
          <w:rFonts w:ascii="Palatino Linotype" w:hAnsi="Palatino Linotype" w:eastAsia="Palatino Linotype" w:cs="Times New Roman"/>
        </w:rPr>
        <w:t xml:space="preserve"> authorization to recover incremental implementation costs</w:t>
      </w:r>
      <w:r w:rsidRPr="029BE0B5" w:rsidR="267D6A56">
        <w:rPr>
          <w:rFonts w:ascii="Palatino Linotype" w:hAnsi="Palatino Linotype" w:eastAsia="Palatino Linotype" w:cs="Times New Roman"/>
        </w:rPr>
        <w:t xml:space="preserve">.  </w:t>
      </w:r>
      <w:proofErr w:type="gramStart"/>
      <w:r w:rsidRPr="078C5F86" w:rsidR="267D6A56">
        <w:rPr>
          <w:rFonts w:ascii="Palatino Linotype" w:hAnsi="Palatino Linotype" w:eastAsia="Palatino Linotype" w:cs="Times New Roman"/>
        </w:rPr>
        <w:t>They IOUs</w:t>
      </w:r>
      <w:proofErr w:type="gramEnd"/>
      <w:r w:rsidRPr="078C5F86" w:rsidR="267D6A56">
        <w:rPr>
          <w:rFonts w:ascii="Palatino Linotype" w:hAnsi="Palatino Linotype" w:eastAsia="Palatino Linotype" w:cs="Times New Roman"/>
        </w:rPr>
        <w:t xml:space="preserve"> </w:t>
      </w:r>
      <w:r w:rsidRPr="09C9B80B">
        <w:rPr>
          <w:rFonts w:ascii="Palatino Linotype" w:hAnsi="Palatino Linotype" w:eastAsia="Palatino Linotype" w:cs="Times New Roman"/>
        </w:rPr>
        <w:t>argu</w:t>
      </w:r>
      <w:r w:rsidRPr="09C9B80B" w:rsidR="764C1DAE">
        <w:rPr>
          <w:rFonts w:ascii="Palatino Linotype" w:hAnsi="Palatino Linotype" w:eastAsia="Palatino Linotype" w:cs="Times New Roman"/>
        </w:rPr>
        <w:t>e</w:t>
      </w:r>
      <w:r w:rsidRPr="574B75AC" w:rsidR="764C1DAE">
        <w:rPr>
          <w:rFonts w:ascii="Palatino Linotype" w:hAnsi="Palatino Linotype" w:eastAsia="Palatino Linotype" w:cs="Times New Roman"/>
        </w:rPr>
        <w:t xml:space="preserve"> </w:t>
      </w:r>
      <w:r w:rsidRPr="50E8611C" w:rsidR="764C1DAE">
        <w:rPr>
          <w:rFonts w:ascii="Palatino Linotype" w:hAnsi="Palatino Linotype" w:eastAsia="Palatino Linotype" w:cs="Times New Roman"/>
        </w:rPr>
        <w:t>that organizing</w:t>
      </w:r>
      <w:r w:rsidRPr="5445F890" w:rsidR="764C1DAE">
        <w:rPr>
          <w:rFonts w:ascii="Palatino Linotype" w:hAnsi="Palatino Linotype" w:eastAsia="Palatino Linotype" w:cs="Times New Roman"/>
        </w:rPr>
        <w:t xml:space="preserve"> and formatting </w:t>
      </w:r>
      <w:r w:rsidRPr="0544D83F" w:rsidR="764C1DAE">
        <w:rPr>
          <w:rFonts w:ascii="Palatino Linotype" w:hAnsi="Palatino Linotype" w:eastAsia="Palatino Linotype" w:cs="Times New Roman"/>
        </w:rPr>
        <w:t>the</w:t>
      </w:r>
      <w:r w:rsidRPr="5445F890" w:rsidR="764C1DAE">
        <w:rPr>
          <w:rFonts w:ascii="Palatino Linotype" w:hAnsi="Palatino Linotype" w:eastAsia="Palatino Linotype" w:cs="Times New Roman"/>
        </w:rPr>
        <w:t xml:space="preserve"> existing data for reporting in the Attachment A </w:t>
      </w:r>
      <w:r w:rsidRPr="0544D83F" w:rsidR="764C1DAE">
        <w:rPr>
          <w:rFonts w:ascii="Palatino Linotype" w:hAnsi="Palatino Linotype" w:eastAsia="Palatino Linotype" w:cs="Times New Roman"/>
        </w:rPr>
        <w:t>format</w:t>
      </w:r>
      <w:r w:rsidRPr="7EB257B0">
        <w:rPr>
          <w:rFonts w:ascii="Palatino Linotype" w:hAnsi="Palatino Linotype" w:eastAsia="Palatino Linotype" w:cs="Times New Roman"/>
        </w:rPr>
        <w:t xml:space="preserve"> will require substantial effor</w:t>
      </w:r>
      <w:r w:rsidRPr="7EB257B0" w:rsidR="00FC5015">
        <w:rPr>
          <w:rFonts w:ascii="Palatino Linotype" w:hAnsi="Palatino Linotype" w:eastAsia="Palatino Linotype" w:cs="Times New Roman"/>
        </w:rPr>
        <w:t>t</w:t>
      </w:r>
      <w:r w:rsidRPr="78BCED74" w:rsidR="6A46C7F7">
        <w:rPr>
          <w:rFonts w:ascii="Palatino Linotype" w:hAnsi="Palatino Linotype" w:eastAsia="Palatino Linotype" w:cs="Times New Roman"/>
        </w:rPr>
        <w:t>.</w:t>
      </w:r>
      <w:r w:rsidRPr="7EB257B0" w:rsidR="0023532F">
        <w:rPr>
          <w:rFonts w:ascii="Palatino Linotype" w:hAnsi="Palatino Linotype" w:eastAsia="Palatino Linotype" w:cs="Times New Roman"/>
        </w:rPr>
        <w:t xml:space="preserve"> </w:t>
      </w:r>
      <w:r w:rsidRPr="26DCB5D8" w:rsidR="0023532F">
        <w:rPr>
          <w:rFonts w:ascii="Palatino Linotype" w:hAnsi="Palatino Linotype" w:eastAsia="Palatino Linotype" w:cs="Times New Roman"/>
        </w:rPr>
        <w:t>The Commission</w:t>
      </w:r>
      <w:r w:rsidRPr="26DCB5D8" w:rsidR="5ADADF19">
        <w:rPr>
          <w:rFonts w:ascii="Palatino Linotype" w:hAnsi="Palatino Linotype" w:eastAsia="Palatino Linotype" w:cs="Times New Roman"/>
        </w:rPr>
        <w:t xml:space="preserve"> believes the data requests are well within the normal scope of </w:t>
      </w:r>
      <w:r w:rsidRPr="559DAB04" w:rsidR="5ADADF19">
        <w:rPr>
          <w:rFonts w:ascii="Palatino Linotype" w:hAnsi="Palatino Linotype" w:eastAsia="Palatino Linotype" w:cs="Times New Roman"/>
        </w:rPr>
        <w:t xml:space="preserve">CPUC data </w:t>
      </w:r>
      <w:proofErr w:type="gramStart"/>
      <w:r w:rsidRPr="559DAB04" w:rsidR="5ADADF19">
        <w:rPr>
          <w:rFonts w:ascii="Palatino Linotype" w:hAnsi="Palatino Linotype" w:eastAsia="Palatino Linotype" w:cs="Times New Roman"/>
        </w:rPr>
        <w:t>requests</w:t>
      </w:r>
      <w:proofErr w:type="gramEnd"/>
      <w:r w:rsidRPr="559DAB04" w:rsidR="5ADADF19">
        <w:rPr>
          <w:rFonts w:ascii="Palatino Linotype" w:hAnsi="Palatino Linotype" w:eastAsia="Palatino Linotype" w:cs="Times New Roman"/>
        </w:rPr>
        <w:t xml:space="preserve"> and we </w:t>
      </w:r>
      <w:r w:rsidRPr="11C89794" w:rsidR="5ADADF19">
        <w:rPr>
          <w:rFonts w:ascii="Palatino Linotype" w:hAnsi="Palatino Linotype" w:eastAsia="Palatino Linotype" w:cs="Times New Roman"/>
        </w:rPr>
        <w:t xml:space="preserve">deny the request for </w:t>
      </w:r>
      <w:r w:rsidRPr="203AF4F0" w:rsidR="5ADADF19">
        <w:rPr>
          <w:rFonts w:ascii="Palatino Linotype" w:hAnsi="Palatino Linotype" w:eastAsia="Palatino Linotype" w:cs="Times New Roman"/>
        </w:rPr>
        <w:t>additional</w:t>
      </w:r>
      <w:r w:rsidRPr="7EB257B0" w:rsidR="0023532F">
        <w:rPr>
          <w:rFonts w:ascii="Palatino Linotype" w:hAnsi="Palatino Linotype" w:eastAsia="Palatino Linotype" w:cs="Times New Roman"/>
        </w:rPr>
        <w:t xml:space="preserve"> cost recovery authorization</w:t>
      </w:r>
      <w:r w:rsidRPr="0CB67F32" w:rsidR="2FD5238C">
        <w:rPr>
          <w:rFonts w:ascii="Palatino Linotype" w:hAnsi="Palatino Linotype" w:eastAsia="Palatino Linotype" w:cs="Times New Roman"/>
        </w:rPr>
        <w:t>.</w:t>
      </w:r>
      <w:r w:rsidRPr="7EB257B0" w:rsidR="00D55846">
        <w:rPr>
          <w:rFonts w:ascii="Palatino Linotype" w:hAnsi="Palatino Linotype" w:eastAsia="Palatino Linotype" w:cs="Times New Roman"/>
        </w:rPr>
        <w:t xml:space="preserve"> </w:t>
      </w:r>
    </w:p>
    <w:p w:rsidR="00385427" w:rsidP="10A63D6A" w:rsidRDefault="00385427" w14:paraId="2D4DBEE5" w14:textId="77777777">
      <w:pPr>
        <w:spacing w:after="0" w:line="240" w:lineRule="auto"/>
        <w:rPr>
          <w:rFonts w:ascii="Palatino Linotype" w:hAnsi="Palatino Linotype" w:eastAsia="Palatino Linotype" w:cs="Times New Roman"/>
          <w:kern w:val="0"/>
          <w14:ligatures w14:val="none"/>
        </w:rPr>
      </w:pPr>
    </w:p>
    <w:p w:rsidR="003C1B78" w:rsidP="00A15F75" w:rsidRDefault="00385427" w14:paraId="15E1684B" w14:textId="688E6D1C">
      <w:pPr>
        <w:spacing w:after="0" w:line="240" w:lineRule="auto"/>
        <w:rPr>
          <w:rFonts w:ascii="Palatino Linotype" w:hAnsi="Palatino Linotype" w:eastAsia="Palatino Linotype" w:cs="Times New Roman"/>
        </w:rPr>
      </w:pPr>
      <w:r w:rsidRPr="24EA12C8">
        <w:rPr>
          <w:rFonts w:ascii="Palatino Linotype" w:hAnsi="Palatino Linotype" w:eastAsia="Palatino Linotype" w:cs="Times New Roman"/>
        </w:rPr>
        <w:t xml:space="preserve">The Joint Utilities </w:t>
      </w:r>
      <w:r w:rsidRPr="24EA12C8" w:rsidR="0082208D">
        <w:rPr>
          <w:rFonts w:ascii="Palatino Linotype" w:hAnsi="Palatino Linotype" w:eastAsia="Palatino Linotype" w:cs="Times New Roman"/>
        </w:rPr>
        <w:t>request enhance</w:t>
      </w:r>
      <w:r w:rsidRPr="24EA12C8" w:rsidR="33CBDBC5">
        <w:rPr>
          <w:rFonts w:ascii="Palatino Linotype" w:hAnsi="Palatino Linotype" w:eastAsia="Palatino Linotype" w:cs="Times New Roman"/>
        </w:rPr>
        <w:t>d</w:t>
      </w:r>
      <w:r w:rsidRPr="24EA12C8" w:rsidR="0082208D">
        <w:rPr>
          <w:rFonts w:ascii="Palatino Linotype" w:hAnsi="Palatino Linotype" w:eastAsia="Palatino Linotype" w:cs="Times New Roman"/>
        </w:rPr>
        <w:t xml:space="preserve"> confidentiality protections and</w:t>
      </w:r>
      <w:r w:rsidRPr="24EA12C8" w:rsidR="00AB20DC">
        <w:rPr>
          <w:rFonts w:ascii="Palatino Linotype" w:hAnsi="Palatino Linotype" w:eastAsia="Palatino Linotype" w:cs="Times New Roman"/>
        </w:rPr>
        <w:t xml:space="preserve"> tribal review prior to publication for Tribal customer data, </w:t>
      </w:r>
      <w:r w:rsidRPr="24EA12C8" w:rsidR="009F0A84">
        <w:rPr>
          <w:rFonts w:ascii="Palatino Linotype" w:hAnsi="Palatino Linotype" w:eastAsia="Palatino Linotype" w:cs="Times New Roman"/>
        </w:rPr>
        <w:t>citing cultural and privacy concerns.</w:t>
      </w:r>
      <w:r w:rsidRPr="24EA12C8" w:rsidR="00540B38">
        <w:rPr>
          <w:rFonts w:ascii="Palatino Linotype" w:hAnsi="Palatino Linotype" w:eastAsia="Palatino Linotype" w:cs="Times New Roman"/>
        </w:rPr>
        <w:t xml:space="preserve"> </w:t>
      </w:r>
      <w:r w:rsidRPr="24EA12C8" w:rsidR="00DF607A">
        <w:rPr>
          <w:rFonts w:ascii="Palatino Linotype" w:hAnsi="Palatino Linotype" w:eastAsia="Palatino Linotype" w:cs="Times New Roman"/>
        </w:rPr>
        <w:t xml:space="preserve">Standard confidentiality protections already apply to all customer populations through redaction, aggregation, or existing </w:t>
      </w:r>
      <w:r w:rsidRPr="24EA12C8" w:rsidR="004A5C47">
        <w:rPr>
          <w:rFonts w:ascii="Palatino Linotype" w:hAnsi="Palatino Linotype" w:eastAsia="Palatino Linotype" w:cs="Times New Roman"/>
        </w:rPr>
        <w:t xml:space="preserve">confidential </w:t>
      </w:r>
      <w:r w:rsidRPr="24EA12C8" w:rsidR="0041132B">
        <w:rPr>
          <w:rFonts w:ascii="Palatino Linotype" w:hAnsi="Palatino Linotype" w:eastAsia="Palatino Linotype" w:cs="Times New Roman"/>
        </w:rPr>
        <w:t xml:space="preserve">protective orders, making separate Tribal confidentiality protections </w:t>
      </w:r>
      <w:r w:rsidRPr="24EA12C8" w:rsidR="00F2325B">
        <w:rPr>
          <w:rFonts w:ascii="Palatino Linotype" w:hAnsi="Palatino Linotype" w:eastAsia="Palatino Linotype" w:cs="Times New Roman"/>
        </w:rPr>
        <w:t xml:space="preserve">unnecessary. </w:t>
      </w:r>
      <w:r w:rsidRPr="24EA12C8" w:rsidR="00323B31">
        <w:rPr>
          <w:rFonts w:ascii="Palatino Linotype" w:hAnsi="Palatino Linotype" w:eastAsia="Palatino Linotype" w:cs="Times New Roman"/>
        </w:rPr>
        <w:t xml:space="preserve">Energy Division and the Commission do not intend to publish confidential data for any population, including Tribal customers. Tribal </w:t>
      </w:r>
      <w:r w:rsidRPr="24EA12C8" w:rsidR="009B5240">
        <w:rPr>
          <w:rFonts w:ascii="Palatino Linotype" w:hAnsi="Palatino Linotype" w:eastAsia="Palatino Linotype" w:cs="Times New Roman"/>
        </w:rPr>
        <w:t xml:space="preserve">data receives the same protection </w:t>
      </w:r>
      <w:r w:rsidRPr="24EA12C8" w:rsidR="008E14AA">
        <w:rPr>
          <w:rFonts w:ascii="Palatino Linotype" w:hAnsi="Palatino Linotype" w:eastAsia="Palatino Linotype" w:cs="Times New Roman"/>
        </w:rPr>
        <w:t>as all other equity-priority population data.</w:t>
      </w:r>
      <w:r w:rsidRPr="24EA12C8" w:rsidR="00EC6170">
        <w:rPr>
          <w:rFonts w:ascii="Palatino Linotype" w:hAnsi="Palatino Linotype" w:eastAsia="Palatino Linotype" w:cs="Times New Roman"/>
        </w:rPr>
        <w:t xml:space="preserve"> Hence, this request is declined.</w:t>
      </w:r>
      <w:r w:rsidRPr="24EA12C8" w:rsidR="000D02F2">
        <w:rPr>
          <w:rFonts w:ascii="Palatino Linotype" w:hAnsi="Palatino Linotype" w:eastAsia="Palatino Linotype" w:cs="Times New Roman"/>
        </w:rPr>
        <w:t xml:space="preserve"> </w:t>
      </w:r>
    </w:p>
    <w:p w:rsidRPr="00A15F75" w:rsidR="00436B30" w:rsidP="00436B30" w:rsidRDefault="00436B30" w14:paraId="77FBA4AB" w14:textId="77777777">
      <w:pPr>
        <w:spacing w:after="0" w:line="240" w:lineRule="auto"/>
        <w:rPr>
          <w:rFonts w:ascii="Palatino Linotype" w:hAnsi="Palatino Linotype" w:eastAsia="Palatino Linotype" w:cs="Times New Roman"/>
          <w:kern w:val="0"/>
          <w14:ligatures w14:val="none"/>
        </w:rPr>
      </w:pPr>
    </w:p>
    <w:bookmarkEnd w:id="1"/>
    <w:p w:rsidRPr="001942D0" w:rsidR="00A76F4A" w:rsidP="00436B30" w:rsidRDefault="00A76F4A" w14:paraId="036ACF6E" w14:textId="77777777">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2DACBF02">
        <w:rPr>
          <w:rFonts w:ascii="Palatino Linotype" w:hAnsi="Palatino Linotype" w:eastAsia="Palatino Linotype" w:cs="Times New Roman"/>
          <w:b/>
          <w:bCs/>
          <w:caps/>
          <w:kern w:val="28"/>
          <w:u w:val="single"/>
          <w14:ligatures w14:val="none"/>
        </w:rPr>
        <w:t xml:space="preserve">Findings </w:t>
      </w:r>
      <w:r w:rsidR="006C2477">
        <w:rPr>
          <w:rFonts w:ascii="Palatino Linotype" w:hAnsi="Palatino Linotype" w:eastAsia="Palatino Linotype" w:cs="Times New Roman"/>
          <w:b/>
          <w:bCs/>
          <w:caps/>
          <w:kern w:val="28"/>
          <w:u w:val="single"/>
          <w14:ligatures w14:val="none"/>
        </w:rPr>
        <w:t>and Conclusions</w:t>
      </w:r>
    </w:p>
    <w:p w:rsidRPr="00CF189E" w:rsidR="00CF189E" w:rsidP="00CF189E" w:rsidRDefault="00CF189E" w14:paraId="33A45BB2"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On October 23, 2024, the Commission issued Decision (D.) 24-10-030 in R.21-06-017, requiring the Joint Utilities to include metrics to track and evaluate equity in distribution plan reporting and to hold a workshop to further explore equity metrics and correlated variables.</w:t>
      </w:r>
    </w:p>
    <w:p w:rsidRPr="00CF189E" w:rsidR="00CF189E" w:rsidP="00CF189E" w:rsidRDefault="00CF189E" w14:paraId="435E8000"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Ordering Paragraph 25 of D.24-10-030 identified five equity metrics for exploration: (1) CARE/FERA enrollment; (2) </w:t>
      </w:r>
      <w:proofErr w:type="spellStart"/>
      <w:r w:rsidRPr="00CF189E">
        <w:rPr>
          <w:rFonts w:ascii="Palatino Linotype" w:hAnsi="Palatino Linotype"/>
        </w:rPr>
        <w:t>CalEnviroScreen</w:t>
      </w:r>
      <w:proofErr w:type="spellEnd"/>
      <w:r w:rsidRPr="00CF189E">
        <w:rPr>
          <w:rFonts w:ascii="Palatino Linotype" w:hAnsi="Palatino Linotype"/>
        </w:rPr>
        <w:t xml:space="preserve"> 4.0 Priority Populations percentile; (3) DAC status; (4) Tribal community status; and (5) Medical Baseline enrollment.</w:t>
      </w:r>
    </w:p>
    <w:p w:rsidRPr="00CF189E" w:rsidR="00CF189E" w:rsidP="00CF189E" w:rsidRDefault="007C6981" w14:paraId="1B614CA7"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Energy Division hosted</w:t>
      </w:r>
      <w:r w:rsidRPr="00CF189E" w:rsidR="00CF189E">
        <w:rPr>
          <w:rFonts w:ascii="Palatino Linotype" w:hAnsi="Palatino Linotype"/>
        </w:rPr>
        <w:t xml:space="preserve"> the required Equity Metrics Workshop on January 21, 2025, at which the Joint Utilities presented their proposed metrics and </w:t>
      </w:r>
      <w:r w:rsidR="00D83AD2">
        <w:rPr>
          <w:rFonts w:ascii="Palatino Linotype" w:hAnsi="Palatino Linotype"/>
        </w:rPr>
        <w:t xml:space="preserve">explored </w:t>
      </w:r>
      <w:r w:rsidRPr="00CF189E" w:rsidR="00CF189E">
        <w:rPr>
          <w:rFonts w:ascii="Palatino Linotype" w:hAnsi="Palatino Linotype"/>
        </w:rPr>
        <w:t>the five OP 25 metrics as directed by the Decision.</w:t>
      </w:r>
    </w:p>
    <w:p w:rsidRPr="00CF189E" w:rsidR="00CF189E" w:rsidP="00CF189E" w:rsidRDefault="00CF189E" w14:paraId="7EC67589"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On March 7, 2025, SCE, PG&amp;E, and SDG&amp;E jointly filed AL 5498-E et al. within the 45-day period required by OP 25, requesting approval of a final set of equity metrics to measure equity in distribution planning.</w:t>
      </w:r>
    </w:p>
    <w:p w:rsidRPr="00CF189E" w:rsidR="00CF189E" w:rsidP="00CF189E" w:rsidRDefault="00CF189E" w14:paraId="1E9804EE"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AL 5498-E et al. was timely protested on March 20, 2025, by Vote Solar/CBD, and on March 27, 2025, by the Joint CCAs and </w:t>
      </w:r>
      <w:proofErr w:type="spellStart"/>
      <w:r w:rsidRPr="00CF189E">
        <w:rPr>
          <w:rFonts w:ascii="Palatino Linotype" w:hAnsi="Palatino Linotype"/>
        </w:rPr>
        <w:t>CforAT</w:t>
      </w:r>
      <w:proofErr w:type="spellEnd"/>
      <w:r w:rsidRPr="00CF189E">
        <w:rPr>
          <w:rFonts w:ascii="Palatino Linotype" w:hAnsi="Palatino Linotype"/>
        </w:rPr>
        <w:t>.</w:t>
      </w:r>
    </w:p>
    <w:p w:rsidRPr="00CF189E" w:rsidR="00CF189E" w:rsidP="00CF189E" w:rsidRDefault="00CF189E" w14:paraId="4901D130"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SCE, on behalf of itself, PG&amp;E, and SDG&amp;E, filed joint reply comments to all protests on April 4, 2025.</w:t>
      </w:r>
    </w:p>
    <w:p w:rsidRPr="003F38A2" w:rsidR="00CF189E" w:rsidP="00CF189E" w:rsidRDefault="003F38A2" w14:paraId="65C2F727" w14:textId="77777777">
      <w:pPr>
        <w:pStyle w:val="SimpleNumberedList"/>
        <w:numPr>
          <w:ilvl w:val="0"/>
          <w:numId w:val="1"/>
        </w:numPr>
        <w:ind w:left="418" w:hanging="418"/>
        <w:contextualSpacing/>
        <w:rPr>
          <w:rFonts w:ascii="Palatino Linotype" w:hAnsi="Palatino Linotype"/>
        </w:rPr>
      </w:pPr>
      <w:r w:rsidRPr="003F38A2">
        <w:rPr>
          <w:rFonts w:ascii="Palatino Linotype" w:hAnsi="Palatino Linotype"/>
        </w:rPr>
        <w:t xml:space="preserve">In AL 5498-E et al., PG&amp;E and SCE jointly proposed two co-developed metrics, a 'Grid Access' metric and a 'Project Initiation' metric, using regression analysis with disaggregated customer-group counts (CARE, FERA, Medical Baseline, Tribal, and </w:t>
      </w:r>
      <w:r w:rsidRPr="003F38A2">
        <w:rPr>
          <w:rFonts w:ascii="Palatino Linotype" w:hAnsi="Palatino Linotype"/>
        </w:rPr>
        <w:lastRenderedPageBreak/>
        <w:t>DAC) as inputs, while SDG&amp;E separately proposed a 'Load Growth' metric and a 'Project Initiation' metric based on a binary DAC/non-DAC circuit classification using descriptive statistics. Both proposals differ from the five metrics identified in OP 25 of D.24-10-030</w:t>
      </w:r>
      <w:r w:rsidRPr="003F38A2" w:rsidR="00CF189E">
        <w:rPr>
          <w:rFonts w:ascii="Palatino Linotype" w:hAnsi="Palatino Linotype"/>
        </w:rPr>
        <w:t>.</w:t>
      </w:r>
    </w:p>
    <w:p w:rsidRPr="00CF189E" w:rsidR="00CF189E" w:rsidP="00CF189E" w:rsidRDefault="00CF189E" w14:paraId="03906F69"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OP 25 of D.24-10-030 directs the Joint Utilities to hold a workshop for further exploration of the </w:t>
      </w:r>
      <w:proofErr w:type="gramStart"/>
      <w:r w:rsidRPr="00CF189E">
        <w:rPr>
          <w:rFonts w:ascii="Palatino Linotype" w:hAnsi="Palatino Linotype"/>
        </w:rPr>
        <w:t>five equity</w:t>
      </w:r>
      <w:proofErr w:type="gramEnd"/>
      <w:r w:rsidRPr="00CF189E">
        <w:rPr>
          <w:rFonts w:ascii="Palatino Linotype" w:hAnsi="Palatino Linotype"/>
        </w:rPr>
        <w:t xml:space="preserve"> metrics and their correlated </w:t>
      </w:r>
      <w:r w:rsidRPr="00CF189E" w:rsidR="00977FA9">
        <w:rPr>
          <w:rFonts w:ascii="Palatino Linotype" w:hAnsi="Palatino Linotype"/>
        </w:rPr>
        <w:t>variables and</w:t>
      </w:r>
      <w:r w:rsidRPr="00CF189E">
        <w:rPr>
          <w:rFonts w:ascii="Palatino Linotype" w:hAnsi="Palatino Linotype"/>
        </w:rPr>
        <w:t xml:space="preserve"> does not mandate verbatim adoption of those metrics in the Tier 3 Advice Letter.</w:t>
      </w:r>
    </w:p>
    <w:p w:rsidRPr="00CF189E" w:rsidR="00CF189E" w:rsidP="00CF189E" w:rsidRDefault="00CF189E" w14:paraId="570EB342"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The Joint Utilities complied with the procedural requirements of OP 25 by holding the required workshop</w:t>
      </w:r>
      <w:r w:rsidR="00D25CE6">
        <w:rPr>
          <w:rFonts w:ascii="Palatino Linotype" w:hAnsi="Palatino Linotype"/>
        </w:rPr>
        <w:t xml:space="preserve">, considering the </w:t>
      </w:r>
      <w:r w:rsidR="00B23047">
        <w:rPr>
          <w:rFonts w:ascii="Palatino Linotype" w:hAnsi="Palatino Linotype"/>
        </w:rPr>
        <w:t>metrics</w:t>
      </w:r>
      <w:r w:rsidR="00006380">
        <w:rPr>
          <w:rFonts w:ascii="Palatino Linotype" w:hAnsi="Palatino Linotype"/>
        </w:rPr>
        <w:t xml:space="preserve"> indicated by the Commission</w:t>
      </w:r>
      <w:r w:rsidR="00B23047">
        <w:rPr>
          <w:rFonts w:ascii="Palatino Linotype" w:hAnsi="Palatino Linotype"/>
        </w:rPr>
        <w:t>,</w:t>
      </w:r>
      <w:r w:rsidRPr="00CF189E">
        <w:rPr>
          <w:rFonts w:ascii="Palatino Linotype" w:hAnsi="Palatino Linotype"/>
        </w:rPr>
        <w:t xml:space="preserve"> and submitting the required Tier 3 Advice Letter </w:t>
      </w:r>
      <w:r w:rsidR="009917DC">
        <w:rPr>
          <w:rFonts w:ascii="Palatino Linotype" w:hAnsi="Palatino Linotype"/>
        </w:rPr>
        <w:t xml:space="preserve">requesting approval of a final set of metrics </w:t>
      </w:r>
      <w:r w:rsidRPr="00CF189E">
        <w:rPr>
          <w:rFonts w:ascii="Palatino Linotype" w:hAnsi="Palatino Linotype"/>
        </w:rPr>
        <w:t>within the mandated timeframe.</w:t>
      </w:r>
    </w:p>
    <w:p w:rsidRPr="00CF189E" w:rsidR="00CF189E" w:rsidP="00CF189E" w:rsidRDefault="00CF189E" w14:paraId="69FFD9F1"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Joint Utilities' proposed metrics, as submitted, do not fully preserve the granularity and specificity of the five OP 25 metrics and require modifications to ensure cross-utility comparability </w:t>
      </w:r>
      <w:r w:rsidR="00E26FDF">
        <w:rPr>
          <w:rFonts w:ascii="Palatino Linotype" w:hAnsi="Palatino Linotype"/>
        </w:rPr>
        <w:t xml:space="preserve">and fulfilment </w:t>
      </w:r>
      <w:r w:rsidR="00A40748">
        <w:rPr>
          <w:rFonts w:ascii="Palatino Linotype" w:hAnsi="Palatino Linotype"/>
        </w:rPr>
        <w:t xml:space="preserve">of annual equity evaluation requirements directed in Decision </w:t>
      </w:r>
      <w:r w:rsidR="009F6A15">
        <w:rPr>
          <w:rFonts w:ascii="Palatino Linotype" w:hAnsi="Palatino Linotype"/>
        </w:rPr>
        <w:t>24-10</w:t>
      </w:r>
      <w:r w:rsidR="00D653A6">
        <w:rPr>
          <w:rFonts w:ascii="Palatino Linotype" w:hAnsi="Palatino Linotype"/>
        </w:rPr>
        <w:t>-030</w:t>
      </w:r>
      <w:r w:rsidRPr="00CF189E">
        <w:rPr>
          <w:rFonts w:ascii="Palatino Linotype" w:hAnsi="Palatino Linotype"/>
        </w:rPr>
        <w:t>.</w:t>
      </w:r>
    </w:p>
    <w:p w:rsidRPr="00CF189E" w:rsidR="00CF189E" w:rsidP="00F00F6E" w:rsidRDefault="00CF189E" w14:paraId="1758F321" w14:textId="77777777">
      <w:pPr>
        <w:pStyle w:val="SimpleNumberedList"/>
        <w:numPr>
          <w:ilvl w:val="0"/>
          <w:numId w:val="1"/>
        </w:numPr>
        <w:spacing w:after="0"/>
        <w:ind w:left="418" w:hanging="418"/>
        <w:contextualSpacing/>
        <w:rPr>
          <w:rFonts w:ascii="Palatino Linotype" w:hAnsi="Palatino Linotype"/>
        </w:rPr>
      </w:pPr>
      <w:r w:rsidRPr="00CF189E">
        <w:rPr>
          <w:rFonts w:ascii="Palatino Linotype" w:hAnsi="Palatino Linotype"/>
        </w:rPr>
        <w:t xml:space="preserve">Cross-utility comparability requires a standardized definition of each </w:t>
      </w:r>
      <w:r w:rsidR="005E2F86">
        <w:rPr>
          <w:rFonts w:ascii="Palatino Linotype" w:hAnsi="Palatino Linotype"/>
        </w:rPr>
        <w:br/>
      </w:r>
      <w:r w:rsidRPr="00CF189E">
        <w:rPr>
          <w:rFonts w:ascii="Palatino Linotype" w:hAnsi="Palatino Linotype"/>
        </w:rPr>
        <w:t>equity-priority population and a consistent analytical methodology applied uniformly across all three IOUs.</w:t>
      </w:r>
    </w:p>
    <w:p w:rsidRPr="00CF189E" w:rsidR="00561687" w:rsidP="00561687" w:rsidRDefault="00561687" w14:paraId="4A740723" w14:textId="77777777">
      <w:pPr>
        <w:pStyle w:val="ListParagraph"/>
        <w:numPr>
          <w:ilvl w:val="0"/>
          <w:numId w:val="1"/>
        </w:numPr>
        <w:spacing w:after="0" w:line="240" w:lineRule="auto"/>
        <w:rPr>
          <w:rFonts w:ascii="Palatino Linotype" w:hAnsi="Palatino Linotype" w:eastAsia="Palatino Linotype" w:cs="Times New Roman"/>
          <w:kern w:val="0"/>
          <w14:ligatures w14:val="none"/>
        </w:rPr>
      </w:pPr>
      <w:r w:rsidRPr="00CF189E">
        <w:rPr>
          <w:rFonts w:ascii="Palatino Linotype" w:hAnsi="Palatino Linotype" w:eastAsia="Palatino Linotype" w:cs="Times New Roman"/>
          <w:kern w:val="0"/>
          <w14:ligatures w14:val="none"/>
        </w:rPr>
        <w:t xml:space="preserve">The </w:t>
      </w:r>
      <w:proofErr w:type="gramStart"/>
      <w:r w:rsidRPr="00CF189E">
        <w:rPr>
          <w:rFonts w:ascii="Palatino Linotype" w:hAnsi="Palatino Linotype" w:eastAsia="Palatino Linotype" w:cs="Times New Roman"/>
          <w:kern w:val="0"/>
          <w14:ligatures w14:val="none"/>
        </w:rPr>
        <w:t>five equity</w:t>
      </w:r>
      <w:proofErr w:type="gramEnd"/>
      <w:r w:rsidRPr="00CF189E">
        <w:rPr>
          <w:rFonts w:ascii="Palatino Linotype" w:hAnsi="Palatino Linotype" w:eastAsia="Palatino Linotype" w:cs="Times New Roman"/>
          <w:kern w:val="0"/>
          <w14:ligatures w14:val="none"/>
        </w:rPr>
        <w:t xml:space="preserve"> metrics identified in OP 25 of D.24-10-030 and the metrics proposed by the Joint Utilities in AL 5498-E et al. together form the foundation for the equity metrics framework </w:t>
      </w:r>
      <w:r w:rsidR="00B74330">
        <w:rPr>
          <w:rFonts w:ascii="Palatino Linotype" w:hAnsi="Palatino Linotype" w:eastAsia="Palatino Linotype" w:cs="Times New Roman"/>
          <w:kern w:val="0"/>
          <w14:ligatures w14:val="none"/>
        </w:rPr>
        <w:t xml:space="preserve">modified and </w:t>
      </w:r>
      <w:r w:rsidRPr="00CF189E">
        <w:rPr>
          <w:rFonts w:ascii="Palatino Linotype" w:hAnsi="Palatino Linotype" w:eastAsia="Palatino Linotype" w:cs="Times New Roman"/>
          <w:kern w:val="0"/>
          <w14:ligatures w14:val="none"/>
        </w:rPr>
        <w:t>adopted in this Resolution.</w:t>
      </w:r>
    </w:p>
    <w:p w:rsidRPr="00CF189E" w:rsidR="00CF189E" w:rsidP="00CF189E" w:rsidRDefault="006B5F15" w14:paraId="6042B4DC" w14:textId="77777777">
      <w:pPr>
        <w:pStyle w:val="SimpleNumberedList"/>
        <w:numPr>
          <w:ilvl w:val="0"/>
          <w:numId w:val="1"/>
        </w:numPr>
        <w:ind w:left="418" w:hanging="418"/>
        <w:contextualSpacing/>
        <w:rPr>
          <w:rFonts w:ascii="Palatino Linotype" w:hAnsi="Palatino Linotype"/>
        </w:rPr>
      </w:pPr>
      <w:r>
        <w:rPr>
          <w:rFonts w:ascii="Palatino Linotype" w:hAnsi="Palatino Linotype"/>
        </w:rPr>
        <w:t>Each of t</w:t>
      </w:r>
      <w:r w:rsidRPr="00CF189E" w:rsidR="00CF189E">
        <w:rPr>
          <w:rFonts w:ascii="Palatino Linotype" w:hAnsi="Palatino Linotype"/>
        </w:rPr>
        <w:t xml:space="preserve">he five equity-priority populations </w:t>
      </w:r>
      <w:r w:rsidR="00CF189E">
        <w:rPr>
          <w:rFonts w:ascii="Palatino Linotype" w:hAnsi="Palatino Linotype"/>
        </w:rPr>
        <w:t>(</w:t>
      </w:r>
      <w:r w:rsidRPr="00CF189E" w:rsidR="00CF189E">
        <w:rPr>
          <w:rFonts w:ascii="Palatino Linotype" w:hAnsi="Palatino Linotype"/>
        </w:rPr>
        <w:t>CARE, FERA, Medical Baseline, Tribal, and DAC</w:t>
      </w:r>
      <w:r w:rsidR="00CF189E">
        <w:rPr>
          <w:rFonts w:ascii="Palatino Linotype" w:hAnsi="Palatino Linotype"/>
        </w:rPr>
        <w:t>)</w:t>
      </w:r>
      <w:r w:rsidRPr="00CF189E" w:rsidR="00CF189E">
        <w:rPr>
          <w:rFonts w:ascii="Palatino Linotype" w:hAnsi="Palatino Linotype"/>
        </w:rPr>
        <w:t xml:space="preserve"> </w:t>
      </w:r>
      <w:r>
        <w:rPr>
          <w:rFonts w:ascii="Palatino Linotype" w:hAnsi="Palatino Linotype"/>
        </w:rPr>
        <w:t>is</w:t>
      </w:r>
      <w:r w:rsidRPr="00CF189E">
        <w:rPr>
          <w:rFonts w:ascii="Palatino Linotype" w:hAnsi="Palatino Linotype"/>
        </w:rPr>
        <w:t xml:space="preserve"> </w:t>
      </w:r>
      <w:r w:rsidRPr="00CF189E" w:rsidR="00CF189E">
        <w:rPr>
          <w:rFonts w:ascii="Palatino Linotype" w:hAnsi="Palatino Linotype"/>
        </w:rPr>
        <w:t xml:space="preserve">analytically distinct and </w:t>
      </w:r>
      <w:proofErr w:type="gramStart"/>
      <w:r w:rsidRPr="00CF189E" w:rsidR="00CF189E">
        <w:rPr>
          <w:rFonts w:ascii="Palatino Linotype" w:hAnsi="Palatino Linotype"/>
        </w:rPr>
        <w:t>shall</w:t>
      </w:r>
      <w:proofErr w:type="gramEnd"/>
      <w:r w:rsidRPr="00CF189E" w:rsidR="00CF189E">
        <w:rPr>
          <w:rFonts w:ascii="Palatino Linotype" w:hAnsi="Palatino Linotype"/>
        </w:rPr>
        <w:t xml:space="preserve"> be tracked and reported independently.</w:t>
      </w:r>
    </w:p>
    <w:p w:rsidRPr="00CF189E" w:rsidR="00CF189E" w:rsidP="00CF189E" w:rsidRDefault="00CF189E" w14:paraId="7A215261"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DAC designation, based on census tract-level </w:t>
      </w:r>
      <w:proofErr w:type="spellStart"/>
      <w:r w:rsidRPr="00CF189E">
        <w:rPr>
          <w:rFonts w:ascii="Palatino Linotype" w:hAnsi="Palatino Linotype"/>
        </w:rPr>
        <w:t>CalEnviroScreen</w:t>
      </w:r>
      <w:proofErr w:type="spellEnd"/>
      <w:r w:rsidRPr="00CF189E">
        <w:rPr>
          <w:rFonts w:ascii="Palatino Linotype" w:hAnsi="Palatino Linotype"/>
        </w:rPr>
        <w:t xml:space="preserve"> 4.0 data under SB 535, is a </w:t>
      </w:r>
      <w:proofErr w:type="gramStart"/>
      <w:r w:rsidRPr="00CF189E">
        <w:rPr>
          <w:rFonts w:ascii="Palatino Linotype" w:hAnsi="Palatino Linotype"/>
        </w:rPr>
        <w:t>geographically-defined</w:t>
      </w:r>
      <w:proofErr w:type="gramEnd"/>
      <w:r w:rsidRPr="00CF189E">
        <w:rPr>
          <w:rFonts w:ascii="Palatino Linotype" w:hAnsi="Palatino Linotype"/>
        </w:rPr>
        <w:t xml:space="preserve"> classification that is conceptually and methodologically distinct from the program-based designations of CARE, FERA, Medical Baseline, and Tribal populations.</w:t>
      </w:r>
    </w:p>
    <w:p w:rsidR="00CF189E" w:rsidP="00CF189E" w:rsidRDefault="00CF189E" w14:paraId="6B625A1B"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Adding program-enrolled customers outside a DAC census tract to the DAC customer count conflates two different types of equity designations and risks inflating population estimates and double-counting individual customers who belong to more than one group.</w:t>
      </w:r>
    </w:p>
    <w:p w:rsidRPr="00CF189E" w:rsidR="00C43821" w:rsidP="00CF189E" w:rsidRDefault="006C7716" w14:paraId="3727BC37" w14:textId="77777777">
      <w:pPr>
        <w:pStyle w:val="SimpleNumberedList"/>
        <w:numPr>
          <w:ilvl w:val="0"/>
          <w:numId w:val="1"/>
        </w:numPr>
        <w:ind w:left="418" w:hanging="418"/>
        <w:contextualSpacing/>
        <w:rPr>
          <w:rFonts w:ascii="Palatino Linotype" w:hAnsi="Palatino Linotype"/>
        </w:rPr>
      </w:pPr>
      <w:r>
        <w:rPr>
          <w:rFonts w:ascii="Palatino Linotype" w:hAnsi="Palatino Linotype"/>
        </w:rPr>
        <w:t>It is reasonable that t</w:t>
      </w:r>
      <w:r w:rsidRPr="00C43821" w:rsidR="00C43821">
        <w:rPr>
          <w:rFonts w:ascii="Palatino Linotype" w:hAnsi="Palatino Linotype"/>
        </w:rPr>
        <w:t>he Medical Baseline customer group include</w:t>
      </w:r>
      <w:r w:rsidR="009A7F51">
        <w:rPr>
          <w:rFonts w:ascii="Palatino Linotype" w:hAnsi="Palatino Linotype"/>
        </w:rPr>
        <w:t>s</w:t>
      </w:r>
      <w:r w:rsidRPr="00C43821" w:rsidR="00C43821">
        <w:rPr>
          <w:rFonts w:ascii="Palatino Linotype" w:hAnsi="Palatino Linotype"/>
        </w:rPr>
        <w:t xml:space="preserve"> all customers enrolled in the Medical Baseline Program, as well as customers receiving an equivalent medical discount if enrolled </w:t>
      </w:r>
      <w:proofErr w:type="gramStart"/>
      <w:r w:rsidRPr="00C43821" w:rsidR="00C43821">
        <w:rPr>
          <w:rFonts w:ascii="Palatino Linotype" w:hAnsi="Palatino Linotype"/>
        </w:rPr>
        <w:t>in</w:t>
      </w:r>
      <w:proofErr w:type="gramEnd"/>
      <w:r w:rsidRPr="00C43821" w:rsidR="00C43821">
        <w:rPr>
          <w:rFonts w:ascii="Palatino Linotype" w:hAnsi="Palatino Linotype"/>
        </w:rPr>
        <w:t xml:space="preserve"> an opt-in rate that does not include tiers, consistent with OP 25 of D.24-10-030.</w:t>
      </w:r>
    </w:p>
    <w:p w:rsidR="00E369E6" w:rsidP="000A4A9B" w:rsidRDefault="00873BC3" w14:paraId="42419AD9" w14:textId="7B4B80D3">
      <w:pPr>
        <w:pStyle w:val="SimpleNumberedList"/>
        <w:numPr>
          <w:ilvl w:val="0"/>
          <w:numId w:val="1"/>
        </w:numPr>
        <w:ind w:left="418" w:hanging="418"/>
        <w:contextualSpacing/>
        <w:rPr>
          <w:rFonts w:ascii="Palatino Linotype" w:hAnsi="Palatino Linotype"/>
        </w:rPr>
      </w:pPr>
      <w:r w:rsidRPr="000A4A9B">
        <w:rPr>
          <w:rFonts w:ascii="Palatino Linotype" w:hAnsi="Palatino Linotype"/>
        </w:rPr>
        <w:t xml:space="preserve">It is reasonable that the Commission adopts the following definition of equitable access in distribution planning, based on the January 2025 Equity Metrics workshop presentation: </w:t>
      </w:r>
      <w:r w:rsidRPr="000A4A9B" w:rsidR="00160C43">
        <w:rPr>
          <w:rFonts w:ascii="Palatino Linotype" w:hAnsi="Palatino Linotype"/>
        </w:rPr>
        <w:t>“</w:t>
      </w:r>
      <w:r w:rsidRPr="000A4A9B">
        <w:rPr>
          <w:rFonts w:ascii="Palatino Linotype" w:hAnsi="Palatino Linotype"/>
        </w:rPr>
        <w:t xml:space="preserve">Equitable access </w:t>
      </w:r>
      <w:r w:rsidRPr="000A4A9B" w:rsidR="00B812C7">
        <w:rPr>
          <w:rFonts w:ascii="Palatino Linotype" w:hAnsi="Palatino Linotype"/>
        </w:rPr>
        <w:t xml:space="preserve">in distribution planning </w:t>
      </w:r>
      <w:r w:rsidRPr="000A4A9B">
        <w:rPr>
          <w:rFonts w:ascii="Palatino Linotype" w:hAnsi="Palatino Linotype"/>
        </w:rPr>
        <w:t xml:space="preserve">means that </w:t>
      </w:r>
      <w:r w:rsidRPr="000A4A9B" w:rsidR="002C0CBB">
        <w:rPr>
          <w:rFonts w:ascii="Palatino Linotype" w:hAnsi="Palatino Linotype"/>
        </w:rPr>
        <w:t xml:space="preserve">connection </w:t>
      </w:r>
      <w:r w:rsidRPr="000A4A9B">
        <w:rPr>
          <w:rFonts w:ascii="Palatino Linotype" w:hAnsi="Palatino Linotype"/>
        </w:rPr>
        <w:lastRenderedPageBreak/>
        <w:t xml:space="preserve">ability </w:t>
      </w:r>
      <w:r w:rsidRPr="000A4A9B" w:rsidR="00BB71E4">
        <w:rPr>
          <w:rFonts w:ascii="Palatino Linotype" w:hAnsi="Palatino Linotype"/>
        </w:rPr>
        <w:t xml:space="preserve">and </w:t>
      </w:r>
      <w:r w:rsidRPr="000A4A9B">
        <w:rPr>
          <w:rFonts w:ascii="Palatino Linotype" w:hAnsi="Palatino Linotype"/>
        </w:rPr>
        <w:t xml:space="preserve">time to wait for </w:t>
      </w:r>
      <w:r w:rsidRPr="000A4A9B" w:rsidR="00BB71E4">
        <w:rPr>
          <w:rFonts w:ascii="Palatino Linotype" w:hAnsi="Palatino Linotype"/>
        </w:rPr>
        <w:t xml:space="preserve">connection </w:t>
      </w:r>
      <w:r w:rsidRPr="000A4A9B" w:rsidR="00F45ACB">
        <w:rPr>
          <w:rFonts w:ascii="Palatino Linotype" w:hAnsi="Palatino Linotype"/>
        </w:rPr>
        <w:t>are</w:t>
      </w:r>
      <w:r w:rsidRPr="000A4A9B" w:rsidR="001C0C9A">
        <w:rPr>
          <w:rFonts w:ascii="Palatino Linotype" w:hAnsi="Palatino Linotype"/>
        </w:rPr>
        <w:t xml:space="preserve"> </w:t>
      </w:r>
      <w:r w:rsidRPr="000A4A9B">
        <w:rPr>
          <w:rFonts w:ascii="Palatino Linotype" w:hAnsi="Palatino Linotype"/>
        </w:rPr>
        <w:t>independent of race, ethnicity, income, linguistic isolation</w:t>
      </w:r>
      <w:r w:rsidR="003E00DE">
        <w:rPr>
          <w:rFonts w:ascii="Palatino Linotype" w:hAnsi="Palatino Linotype"/>
        </w:rPr>
        <w:t>,</w:t>
      </w:r>
      <w:r w:rsidR="00910C9B">
        <w:rPr>
          <w:rFonts w:ascii="Palatino Linotype" w:hAnsi="Palatino Linotype"/>
        </w:rPr>
        <w:t xml:space="preserve"> and other demographic criteria</w:t>
      </w:r>
      <w:r w:rsidRPr="000A4A9B">
        <w:rPr>
          <w:rFonts w:ascii="Palatino Linotype" w:hAnsi="Palatino Linotype"/>
        </w:rPr>
        <w:t xml:space="preserve">. Utilities must take </w:t>
      </w:r>
      <w:r w:rsidRPr="000A4A9B" w:rsidR="000462E0">
        <w:rPr>
          <w:rFonts w:ascii="Palatino Linotype" w:hAnsi="Palatino Linotype"/>
        </w:rPr>
        <w:t>measures</w:t>
      </w:r>
      <w:r w:rsidRPr="000A4A9B">
        <w:rPr>
          <w:rFonts w:ascii="Palatino Linotype" w:hAnsi="Palatino Linotype"/>
        </w:rPr>
        <w:t xml:space="preserve"> to respond to a range of future DER and load adoption scenarios </w:t>
      </w:r>
      <w:r w:rsidRPr="000A4A9B" w:rsidR="00982977">
        <w:rPr>
          <w:rFonts w:ascii="Palatino Linotype" w:hAnsi="Palatino Linotype"/>
        </w:rPr>
        <w:t>while</w:t>
      </w:r>
      <w:r w:rsidRPr="000A4A9B" w:rsidR="000462E0">
        <w:rPr>
          <w:rFonts w:ascii="Palatino Linotype" w:hAnsi="Palatino Linotype"/>
        </w:rPr>
        <w:t xml:space="preserve"> build</w:t>
      </w:r>
      <w:r w:rsidRPr="000A4A9B" w:rsidR="00982977">
        <w:rPr>
          <w:rFonts w:ascii="Palatino Linotype" w:hAnsi="Palatino Linotype"/>
        </w:rPr>
        <w:t>ing</w:t>
      </w:r>
      <w:r w:rsidRPr="000A4A9B" w:rsidR="000462E0">
        <w:rPr>
          <w:rFonts w:ascii="Palatino Linotype" w:hAnsi="Palatino Linotype"/>
        </w:rPr>
        <w:t xml:space="preserve"> new capacity consistently across all customer populations</w:t>
      </w:r>
      <w:r w:rsidRPr="000A4A9B" w:rsidR="006F508B">
        <w:rPr>
          <w:rFonts w:ascii="Palatino Linotype" w:hAnsi="Palatino Linotype"/>
        </w:rPr>
        <w:t>, as needs arise</w:t>
      </w:r>
      <w:r w:rsidRPr="000A4A9B" w:rsidR="003104FF">
        <w:rPr>
          <w:rFonts w:ascii="Palatino Linotype" w:hAnsi="Palatino Linotype"/>
        </w:rPr>
        <w:t xml:space="preserve">; </w:t>
      </w:r>
      <w:r w:rsidRPr="000A4A9B" w:rsidR="0057043B">
        <w:rPr>
          <w:rFonts w:ascii="Palatino Linotype" w:hAnsi="Palatino Linotype"/>
        </w:rPr>
        <w:t>this</w:t>
      </w:r>
      <w:r w:rsidRPr="000A4A9B" w:rsidR="003104FF">
        <w:rPr>
          <w:rFonts w:ascii="Palatino Linotype" w:hAnsi="Palatino Linotype"/>
        </w:rPr>
        <w:t xml:space="preserve"> does not </w:t>
      </w:r>
      <w:r w:rsidRPr="000A4A9B" w:rsidR="0057043B">
        <w:rPr>
          <w:rFonts w:ascii="Palatino Linotype" w:hAnsi="Palatino Linotype"/>
        </w:rPr>
        <w:t>mean</w:t>
      </w:r>
      <w:r w:rsidRPr="000A4A9B" w:rsidR="003104FF">
        <w:rPr>
          <w:rFonts w:ascii="Palatino Linotype" w:hAnsi="Palatino Linotype"/>
        </w:rPr>
        <w:t xml:space="preserve"> that all customers </w:t>
      </w:r>
      <w:r w:rsidRPr="000A4A9B" w:rsidR="001A0CFE">
        <w:rPr>
          <w:rFonts w:ascii="Palatino Linotype" w:hAnsi="Palatino Linotype"/>
        </w:rPr>
        <w:t>have</w:t>
      </w:r>
      <w:r w:rsidRPr="000A4A9B" w:rsidR="00CC1357">
        <w:rPr>
          <w:rFonts w:ascii="Palatino Linotype" w:hAnsi="Palatino Linotype"/>
        </w:rPr>
        <w:t xml:space="preserve"> </w:t>
      </w:r>
      <w:r w:rsidRPr="000A4A9B" w:rsidR="00F53BAB">
        <w:rPr>
          <w:rFonts w:ascii="Palatino Linotype" w:hAnsi="Palatino Linotype"/>
        </w:rPr>
        <w:t xml:space="preserve">access to </w:t>
      </w:r>
      <w:r w:rsidRPr="000A4A9B" w:rsidR="00EC7DE2">
        <w:rPr>
          <w:rFonts w:ascii="Palatino Linotype" w:hAnsi="Palatino Linotype"/>
        </w:rPr>
        <w:t>equal capacity</w:t>
      </w:r>
      <w:r w:rsidRPr="000A4A9B" w:rsidR="00011D82">
        <w:rPr>
          <w:rFonts w:ascii="Palatino Linotype" w:hAnsi="Palatino Linotype"/>
        </w:rPr>
        <w:t xml:space="preserve"> for new load</w:t>
      </w:r>
      <w:r w:rsidRPr="000A4A9B" w:rsidR="000462E0">
        <w:rPr>
          <w:rFonts w:ascii="Palatino Linotype" w:hAnsi="Palatino Linotype"/>
        </w:rPr>
        <w:t>.</w:t>
      </w:r>
      <w:r w:rsidRPr="000A4A9B" w:rsidR="005F49AB">
        <w:rPr>
          <w:rFonts w:ascii="Palatino Linotype" w:hAnsi="Palatino Linotype"/>
        </w:rPr>
        <w:t>”</w:t>
      </w:r>
      <w:r w:rsidRPr="000A4A9B" w:rsidR="000462E0">
        <w:rPr>
          <w:rFonts w:ascii="Palatino Linotype" w:hAnsi="Palatino Linotype"/>
        </w:rPr>
        <w:t xml:space="preserve"> </w:t>
      </w:r>
    </w:p>
    <w:p w:rsidRPr="000A4A9B" w:rsidR="00873BC3" w:rsidP="002D1F12" w:rsidRDefault="000462E0" w14:paraId="7ABDC5EC" w14:textId="0F9A7ED7">
      <w:pPr>
        <w:pStyle w:val="SimpleNumberedList"/>
        <w:numPr>
          <w:ilvl w:val="0"/>
          <w:numId w:val="1"/>
        </w:numPr>
        <w:ind w:left="418" w:hanging="418"/>
        <w:contextualSpacing/>
        <w:rPr>
          <w:rFonts w:ascii="Palatino Linotype" w:hAnsi="Palatino Linotype"/>
        </w:rPr>
      </w:pPr>
      <w:r w:rsidRPr="00E369E6">
        <w:rPr>
          <w:rFonts w:ascii="Palatino Linotype" w:hAnsi="Palatino Linotype"/>
        </w:rPr>
        <w:t>Th</w:t>
      </w:r>
      <w:r w:rsidR="00564F66">
        <w:rPr>
          <w:rFonts w:ascii="Palatino Linotype" w:hAnsi="Palatino Linotype"/>
        </w:rPr>
        <w:t>e</w:t>
      </w:r>
      <w:r w:rsidRPr="00E369E6">
        <w:rPr>
          <w:rFonts w:ascii="Palatino Linotype" w:hAnsi="Palatino Linotype"/>
        </w:rPr>
        <w:t xml:space="preserve"> de</w:t>
      </w:r>
      <w:r w:rsidRPr="000A4A9B">
        <w:rPr>
          <w:rFonts w:ascii="Palatino Linotype" w:hAnsi="Palatino Linotype"/>
        </w:rPr>
        <w:t xml:space="preserve">finition </w:t>
      </w:r>
      <w:r w:rsidR="00564F66">
        <w:rPr>
          <w:rFonts w:ascii="Palatino Linotype" w:hAnsi="Palatino Linotype"/>
        </w:rPr>
        <w:t xml:space="preserve">of </w:t>
      </w:r>
      <w:r w:rsidRPr="00E82E00" w:rsidR="00B1383A">
        <w:rPr>
          <w:rFonts w:ascii="Palatino Linotype" w:hAnsi="Palatino Linotype"/>
          <w:i/>
          <w:iCs/>
        </w:rPr>
        <w:t>Equity in Distribution Planning</w:t>
      </w:r>
      <w:r w:rsidR="00B1383A">
        <w:rPr>
          <w:rFonts w:ascii="Palatino Linotype" w:hAnsi="Palatino Linotype"/>
        </w:rPr>
        <w:t xml:space="preserve"> </w:t>
      </w:r>
      <w:r w:rsidR="00564F66">
        <w:rPr>
          <w:rFonts w:ascii="Palatino Linotype" w:hAnsi="Palatino Linotype"/>
        </w:rPr>
        <w:t xml:space="preserve">adopted in this resolution </w:t>
      </w:r>
      <w:r w:rsidRPr="000A4A9B">
        <w:rPr>
          <w:rFonts w:ascii="Palatino Linotype" w:hAnsi="Palatino Linotype"/>
        </w:rPr>
        <w:t>does not modify the utility planning process, as equity metrics are evaluation tools and not planning criteria.</w:t>
      </w:r>
    </w:p>
    <w:p w:rsidRPr="00CF189E" w:rsidR="00CF189E" w:rsidP="00CF189E" w:rsidRDefault="00CF189E" w14:paraId="0A6C4DF2" w14:textId="2148A3B9">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An Energy Division-led modeling framework best supports analytical consistency, cross-utility comparability, and transparency in the annual evaluation of equity in distribution planning.</w:t>
      </w:r>
    </w:p>
    <w:p w:rsidRPr="00CF189E" w:rsidR="00CF189E" w:rsidP="00CF189E" w:rsidRDefault="00CF189E" w14:paraId="77F6E6B9"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three econometric models adopted in this Resolution </w:t>
      </w:r>
      <w:r>
        <w:rPr>
          <w:rFonts w:ascii="Palatino Linotype" w:hAnsi="Palatino Linotype"/>
        </w:rPr>
        <w:t>(</w:t>
      </w:r>
      <w:r w:rsidR="005248EE">
        <w:rPr>
          <w:rFonts w:ascii="Palatino Linotype" w:hAnsi="Palatino Linotype"/>
        </w:rPr>
        <w:t>“</w:t>
      </w:r>
      <w:r w:rsidRPr="00CF189E">
        <w:rPr>
          <w:rFonts w:ascii="Palatino Linotype" w:hAnsi="Palatino Linotype"/>
        </w:rPr>
        <w:t>Load Growth</w:t>
      </w:r>
      <w:r w:rsidR="005248EE">
        <w:rPr>
          <w:rFonts w:ascii="Palatino Linotype" w:hAnsi="Palatino Linotype"/>
        </w:rPr>
        <w:t>”</w:t>
      </w:r>
      <w:r w:rsidRPr="00CF189E">
        <w:rPr>
          <w:rFonts w:ascii="Palatino Linotype" w:hAnsi="Palatino Linotype"/>
        </w:rPr>
        <w:t xml:space="preserve"> Multiple Linear Regression, </w:t>
      </w:r>
      <w:r w:rsidR="005248EE">
        <w:rPr>
          <w:rFonts w:ascii="Palatino Linotype" w:hAnsi="Palatino Linotype"/>
        </w:rPr>
        <w:t>“</w:t>
      </w:r>
      <w:r w:rsidRPr="00CF189E">
        <w:rPr>
          <w:rFonts w:ascii="Palatino Linotype" w:hAnsi="Palatino Linotype"/>
        </w:rPr>
        <w:t>Available Headroom</w:t>
      </w:r>
      <w:r w:rsidR="005248EE">
        <w:rPr>
          <w:rFonts w:ascii="Palatino Linotype" w:hAnsi="Palatino Linotype"/>
        </w:rPr>
        <w:t>”</w:t>
      </w:r>
      <w:r w:rsidRPr="00CF189E">
        <w:rPr>
          <w:rFonts w:ascii="Palatino Linotype" w:hAnsi="Palatino Linotype"/>
        </w:rPr>
        <w:t xml:space="preserve"> Multiple Linear Regression, and </w:t>
      </w:r>
      <w:r w:rsidR="005248EE">
        <w:rPr>
          <w:rFonts w:ascii="Palatino Linotype" w:hAnsi="Palatino Linotype"/>
        </w:rPr>
        <w:t>“</w:t>
      </w:r>
      <w:r w:rsidRPr="00CF189E">
        <w:rPr>
          <w:rFonts w:ascii="Palatino Linotype" w:hAnsi="Palatino Linotype"/>
        </w:rPr>
        <w:t>Project Initiation</w:t>
      </w:r>
      <w:r w:rsidR="005248EE">
        <w:rPr>
          <w:rFonts w:ascii="Palatino Linotype" w:hAnsi="Palatino Linotype"/>
        </w:rPr>
        <w:t>”</w:t>
      </w:r>
      <w:r w:rsidRPr="00CF189E">
        <w:rPr>
          <w:rFonts w:ascii="Palatino Linotype" w:hAnsi="Palatino Linotype"/>
        </w:rPr>
        <w:t xml:space="preserve"> Logistic Regression</w:t>
      </w:r>
      <w:r>
        <w:rPr>
          <w:rFonts w:ascii="Palatino Linotype" w:hAnsi="Palatino Linotype"/>
        </w:rPr>
        <w:t>)</w:t>
      </w:r>
      <w:r w:rsidRPr="00CF189E">
        <w:rPr>
          <w:rFonts w:ascii="Palatino Linotype" w:hAnsi="Palatino Linotype"/>
        </w:rPr>
        <w:t xml:space="preserve"> provide a robust and consistent framework for evaluating equity across the five equity-priority populations</w:t>
      </w:r>
      <w:r w:rsidR="007258E8">
        <w:rPr>
          <w:rFonts w:ascii="Palatino Linotype" w:hAnsi="Palatino Linotype"/>
        </w:rPr>
        <w:t xml:space="preserve"> and constitute a reasonable and </w:t>
      </w:r>
      <w:r w:rsidR="00ED5FC9">
        <w:rPr>
          <w:rFonts w:ascii="Palatino Linotype" w:hAnsi="Palatino Linotype"/>
        </w:rPr>
        <w:t>appropriate methodology</w:t>
      </w:r>
      <w:r w:rsidR="00144EE1">
        <w:rPr>
          <w:rFonts w:ascii="Palatino Linotype" w:hAnsi="Palatino Linotype"/>
        </w:rPr>
        <w:t xml:space="preserve">, consistent with </w:t>
      </w:r>
      <w:r w:rsidR="009B53C8">
        <w:rPr>
          <w:rFonts w:ascii="Palatino Linotype" w:hAnsi="Palatino Linotype"/>
        </w:rPr>
        <w:t>the intent of D.24-10-030</w:t>
      </w:r>
      <w:r w:rsidRPr="00CF189E">
        <w:rPr>
          <w:rFonts w:ascii="Palatino Linotype" w:hAnsi="Palatino Linotype"/>
        </w:rPr>
        <w:t>.</w:t>
      </w:r>
    </w:p>
    <w:p w:rsidR="00877A86" w:rsidP="00CF189E" w:rsidRDefault="00877A86" w14:paraId="55FE2EAF" w14:textId="77777777">
      <w:pPr>
        <w:pStyle w:val="SimpleNumberedList"/>
        <w:numPr>
          <w:ilvl w:val="0"/>
          <w:numId w:val="1"/>
        </w:numPr>
        <w:ind w:left="418" w:hanging="418"/>
        <w:contextualSpacing/>
        <w:rPr>
          <w:rFonts w:ascii="Palatino Linotype" w:hAnsi="Palatino Linotype"/>
        </w:rPr>
      </w:pPr>
      <w:r w:rsidRPr="00877A86">
        <w:rPr>
          <w:rFonts w:ascii="Palatino Linotype" w:hAnsi="Palatino Linotype"/>
        </w:rPr>
        <w:t xml:space="preserve">The econometric models adopted in this Resolution serve as screening tools to identify potential disparities </w:t>
      </w:r>
      <w:r w:rsidR="005E024E">
        <w:rPr>
          <w:rFonts w:ascii="Palatino Linotype" w:hAnsi="Palatino Linotype"/>
        </w:rPr>
        <w:t>in equ</w:t>
      </w:r>
      <w:r w:rsidR="00071283">
        <w:rPr>
          <w:rFonts w:ascii="Palatino Linotype" w:hAnsi="Palatino Linotype"/>
        </w:rPr>
        <w:t xml:space="preserve">ity outcomes </w:t>
      </w:r>
      <w:r w:rsidRPr="00877A86">
        <w:rPr>
          <w:rFonts w:ascii="Palatino Linotype" w:hAnsi="Palatino Linotype"/>
        </w:rPr>
        <w:t>warranting further review, and model results are not standalone determinations of inequity.</w:t>
      </w:r>
    </w:p>
    <w:p w:rsidR="008F3F03" w:rsidP="004C4CF8" w:rsidRDefault="00CF189E" w14:paraId="1351C392"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A logistic regression model is more appropriate than a linear regression model for the </w:t>
      </w:r>
      <w:r w:rsidR="00F42151">
        <w:rPr>
          <w:rFonts w:ascii="Palatino Linotype" w:hAnsi="Palatino Linotype"/>
        </w:rPr>
        <w:t>“</w:t>
      </w:r>
      <w:r w:rsidRPr="00CF189E">
        <w:rPr>
          <w:rFonts w:ascii="Palatino Linotype" w:hAnsi="Palatino Linotype"/>
        </w:rPr>
        <w:t>Project Initiation</w:t>
      </w:r>
      <w:r w:rsidR="00F42151">
        <w:rPr>
          <w:rFonts w:ascii="Palatino Linotype" w:hAnsi="Palatino Linotype"/>
        </w:rPr>
        <w:t>”</w:t>
      </w:r>
      <w:r w:rsidRPr="00CF189E">
        <w:rPr>
          <w:rFonts w:ascii="Palatino Linotype" w:hAnsi="Palatino Linotype"/>
        </w:rPr>
        <w:t xml:space="preserve"> metric because project initiation is a binary outcome and logistic regression produces more reliable probability estimates for such outcomes.</w:t>
      </w:r>
    </w:p>
    <w:p w:rsidR="008F3F03" w:rsidP="008F3F03" w:rsidRDefault="00726866" w14:paraId="42C88344" w14:textId="77777777">
      <w:pPr>
        <w:pStyle w:val="SimpleNumberedList"/>
        <w:numPr>
          <w:ilvl w:val="0"/>
          <w:numId w:val="1"/>
        </w:numPr>
        <w:ind w:left="418" w:hanging="418"/>
        <w:contextualSpacing/>
        <w:rPr>
          <w:rFonts w:ascii="Palatino Linotype" w:hAnsi="Palatino Linotype"/>
        </w:rPr>
      </w:pPr>
      <w:r w:rsidRPr="004C4CF8">
        <w:rPr>
          <w:rFonts w:ascii="Palatino Linotype" w:hAnsi="Palatino Linotype"/>
        </w:rPr>
        <w:t>It is reasonable</w:t>
      </w:r>
      <w:r w:rsidRPr="004C4CF8" w:rsidR="008377B1">
        <w:rPr>
          <w:rFonts w:ascii="Palatino Linotype" w:hAnsi="Palatino Linotype"/>
        </w:rPr>
        <w:t xml:space="preserve"> to require that ‘</w:t>
      </w:r>
      <w:r w:rsidRPr="004C4CF8" w:rsidR="00CF189E">
        <w:rPr>
          <w:rFonts w:ascii="Palatino Linotype" w:hAnsi="Palatino Linotype"/>
        </w:rPr>
        <w:t xml:space="preserve">Load </w:t>
      </w:r>
      <w:r w:rsidRPr="004C4CF8" w:rsidR="008377B1">
        <w:rPr>
          <w:rFonts w:ascii="Palatino Linotype" w:hAnsi="Palatino Linotype"/>
        </w:rPr>
        <w:t>G</w:t>
      </w:r>
      <w:r w:rsidRPr="004C4CF8" w:rsidR="00CF189E">
        <w:rPr>
          <w:rFonts w:ascii="Palatino Linotype" w:hAnsi="Palatino Linotype"/>
        </w:rPr>
        <w:t>rowth</w:t>
      </w:r>
      <w:r w:rsidRPr="004C4CF8" w:rsidR="008377B1">
        <w:rPr>
          <w:rFonts w:ascii="Palatino Linotype" w:hAnsi="Palatino Linotype"/>
        </w:rPr>
        <w:t>’</w:t>
      </w:r>
      <w:r w:rsidRPr="004C4CF8" w:rsidR="00CF189E">
        <w:rPr>
          <w:rFonts w:ascii="Palatino Linotype" w:hAnsi="Palatino Linotype"/>
        </w:rPr>
        <w:t xml:space="preserve"> and </w:t>
      </w:r>
      <w:r w:rsidRPr="004C4CF8" w:rsidR="008377B1">
        <w:rPr>
          <w:rFonts w:ascii="Palatino Linotype" w:hAnsi="Palatino Linotype"/>
        </w:rPr>
        <w:t>‘A</w:t>
      </w:r>
      <w:r w:rsidRPr="004C4CF8" w:rsidR="00CF189E">
        <w:rPr>
          <w:rFonts w:ascii="Palatino Linotype" w:hAnsi="Palatino Linotype"/>
        </w:rPr>
        <w:t xml:space="preserve">vailable </w:t>
      </w:r>
      <w:r w:rsidRPr="004C4CF8" w:rsidR="008377B1">
        <w:rPr>
          <w:rFonts w:ascii="Palatino Linotype" w:hAnsi="Palatino Linotype"/>
        </w:rPr>
        <w:t>H</w:t>
      </w:r>
      <w:r w:rsidRPr="004C4CF8" w:rsidR="00CF189E">
        <w:rPr>
          <w:rFonts w:ascii="Palatino Linotype" w:hAnsi="Palatino Linotype"/>
        </w:rPr>
        <w:t>eadroom</w:t>
      </w:r>
      <w:r w:rsidRPr="004C4CF8" w:rsidR="008377B1">
        <w:rPr>
          <w:rFonts w:ascii="Palatino Linotype" w:hAnsi="Palatino Linotype"/>
        </w:rPr>
        <w:t>’</w:t>
      </w:r>
      <w:r w:rsidRPr="004C4CF8" w:rsidR="00CF189E">
        <w:rPr>
          <w:rFonts w:ascii="Palatino Linotype" w:hAnsi="Palatino Linotype"/>
        </w:rPr>
        <w:t xml:space="preserve"> reporting reflect </w:t>
      </w:r>
      <w:proofErr w:type="gramStart"/>
      <w:r w:rsidRPr="004C4CF8" w:rsidR="00CF189E">
        <w:rPr>
          <w:rFonts w:ascii="Palatino Linotype" w:hAnsi="Palatino Linotype"/>
        </w:rPr>
        <w:t>forecasted</w:t>
      </w:r>
      <w:proofErr w:type="gramEnd"/>
      <w:r w:rsidRPr="004C4CF8" w:rsidR="00CF189E">
        <w:rPr>
          <w:rFonts w:ascii="Palatino Linotype" w:hAnsi="Palatino Linotype"/>
        </w:rPr>
        <w:t xml:space="preserve"> figures, </w:t>
      </w:r>
      <w:r w:rsidRPr="004C4CF8" w:rsidR="008F4027">
        <w:rPr>
          <w:rFonts w:ascii="Palatino Linotype" w:hAnsi="Palatino Linotype"/>
        </w:rPr>
        <w:t xml:space="preserve">given that </w:t>
      </w:r>
      <w:r w:rsidRPr="004C4CF8" w:rsidR="00CF189E">
        <w:rPr>
          <w:rFonts w:ascii="Palatino Linotype" w:hAnsi="Palatino Linotype"/>
        </w:rPr>
        <w:t xml:space="preserve">the purpose of the equity metrics </w:t>
      </w:r>
      <w:r w:rsidRPr="004C4CF8" w:rsidR="008F4027">
        <w:rPr>
          <w:rFonts w:ascii="Palatino Linotype" w:hAnsi="Palatino Linotype"/>
        </w:rPr>
        <w:t xml:space="preserve">in DPEP </w:t>
      </w:r>
      <w:r w:rsidRPr="004C4CF8" w:rsidR="00CF189E">
        <w:rPr>
          <w:rFonts w:ascii="Palatino Linotype" w:hAnsi="Palatino Linotype"/>
        </w:rPr>
        <w:t>framework</w:t>
      </w:r>
      <w:r w:rsidRPr="004C4CF8" w:rsidR="008F4027">
        <w:rPr>
          <w:rFonts w:ascii="Palatino Linotype" w:hAnsi="Palatino Linotype"/>
        </w:rPr>
        <w:t xml:space="preserve"> </w:t>
      </w:r>
      <w:r w:rsidRPr="004C4CF8" w:rsidR="00CF189E">
        <w:rPr>
          <w:rFonts w:ascii="Palatino Linotype" w:hAnsi="Palatino Linotype"/>
        </w:rPr>
        <w:t>is to evaluate the distribution planning process and not operational or post-planning performance.</w:t>
      </w:r>
    </w:p>
    <w:p w:rsidR="008F3F03" w:rsidP="008F3F03" w:rsidRDefault="00CF189E" w14:paraId="2160AFA1" w14:textId="77777777">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 xml:space="preserve">Because PG&amp;E and SCE incorporate planned investments into their Year 5 headroom </w:t>
      </w:r>
      <w:r w:rsidR="004C319A">
        <w:rPr>
          <w:rFonts w:ascii="Palatino Linotype" w:hAnsi="Palatino Linotype"/>
        </w:rPr>
        <w:t>calculations</w:t>
      </w:r>
      <w:r w:rsidR="008E68FE">
        <w:rPr>
          <w:rFonts w:ascii="Palatino Linotype" w:hAnsi="Palatino Linotype"/>
        </w:rPr>
        <w:t>,</w:t>
      </w:r>
      <w:r w:rsidR="00F73948">
        <w:rPr>
          <w:rFonts w:ascii="Palatino Linotype" w:hAnsi="Palatino Linotype"/>
        </w:rPr>
        <w:t xml:space="preserve"> </w:t>
      </w:r>
      <w:r w:rsidRPr="008F3F03">
        <w:rPr>
          <w:rFonts w:ascii="Palatino Linotype" w:hAnsi="Palatino Linotype"/>
        </w:rPr>
        <w:t xml:space="preserve">while SDG&amp;E's methodology may differ, </w:t>
      </w:r>
      <w:r w:rsidR="0066331D">
        <w:rPr>
          <w:rFonts w:ascii="Palatino Linotype" w:hAnsi="Palatino Linotype"/>
        </w:rPr>
        <w:t>any</w:t>
      </w:r>
      <w:r w:rsidRPr="008F3F03">
        <w:rPr>
          <w:rFonts w:ascii="Palatino Linotype" w:hAnsi="Palatino Linotype"/>
        </w:rPr>
        <w:t xml:space="preserve"> methodological differences in headroom calculation sh</w:t>
      </w:r>
      <w:r w:rsidR="00B47F0A">
        <w:rPr>
          <w:rFonts w:ascii="Palatino Linotype" w:hAnsi="Palatino Linotype"/>
        </w:rPr>
        <w:t>ould</w:t>
      </w:r>
      <w:r w:rsidR="00CB6E6E">
        <w:rPr>
          <w:rFonts w:ascii="Palatino Linotype" w:hAnsi="Palatino Linotype"/>
        </w:rPr>
        <w:t xml:space="preserve"> </w:t>
      </w:r>
      <w:r w:rsidRPr="008F3F03">
        <w:rPr>
          <w:rFonts w:ascii="Palatino Linotype" w:hAnsi="Palatino Linotype"/>
        </w:rPr>
        <w:t xml:space="preserve">be </w:t>
      </w:r>
      <w:r w:rsidR="00CA535F">
        <w:rPr>
          <w:rFonts w:ascii="Palatino Linotype" w:hAnsi="Palatino Linotype"/>
        </w:rPr>
        <w:t xml:space="preserve">clearly </w:t>
      </w:r>
      <w:r w:rsidRPr="008F3F03">
        <w:rPr>
          <w:rFonts w:ascii="Palatino Linotype" w:hAnsi="Palatino Linotype"/>
        </w:rPr>
        <w:t xml:space="preserve">documented and </w:t>
      </w:r>
      <w:r w:rsidR="00793F79">
        <w:rPr>
          <w:rFonts w:ascii="Palatino Linotype" w:hAnsi="Palatino Linotype"/>
        </w:rPr>
        <w:t>considered</w:t>
      </w:r>
      <w:r w:rsidR="007917C4">
        <w:rPr>
          <w:rFonts w:ascii="Palatino Linotype" w:hAnsi="Palatino Linotype"/>
        </w:rPr>
        <w:t xml:space="preserve"> when </w:t>
      </w:r>
      <w:r w:rsidRPr="008F3F03">
        <w:rPr>
          <w:rFonts w:ascii="Palatino Linotype" w:hAnsi="Palatino Linotype"/>
        </w:rPr>
        <w:t>interpret</w:t>
      </w:r>
      <w:r w:rsidR="009038E2">
        <w:rPr>
          <w:rFonts w:ascii="Palatino Linotype" w:hAnsi="Palatino Linotype"/>
        </w:rPr>
        <w:t>ing</w:t>
      </w:r>
      <w:r w:rsidRPr="008F3F03">
        <w:rPr>
          <w:rFonts w:ascii="Palatino Linotype" w:hAnsi="Palatino Linotype"/>
        </w:rPr>
        <w:t xml:space="preserve"> </w:t>
      </w:r>
      <w:r w:rsidR="003C63DD">
        <w:rPr>
          <w:rFonts w:ascii="Palatino Linotype" w:hAnsi="Palatino Linotype"/>
        </w:rPr>
        <w:t>the</w:t>
      </w:r>
      <w:r w:rsidR="00D8357B">
        <w:rPr>
          <w:rFonts w:ascii="Palatino Linotype" w:hAnsi="Palatino Linotype"/>
        </w:rPr>
        <w:t xml:space="preserve"> </w:t>
      </w:r>
      <w:r w:rsidRPr="008F3F03">
        <w:rPr>
          <w:rFonts w:ascii="Palatino Linotype" w:hAnsi="Palatino Linotype"/>
        </w:rPr>
        <w:t>model results.</w:t>
      </w:r>
    </w:p>
    <w:p w:rsidR="00A76EEC" w:rsidP="008F3F03" w:rsidRDefault="00C51A7C" w14:paraId="153E8ADC" w14:textId="77777777">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w:t>
      </w:r>
      <w:r w:rsidRPr="00310690" w:rsidR="00310690">
        <w:rPr>
          <w:rFonts w:ascii="Palatino Linotype" w:hAnsi="Palatino Linotype"/>
        </w:rPr>
        <w:t xml:space="preserve">t is reasonable to establish the required fields, definitions, and structure for </w:t>
      </w:r>
      <w:r w:rsidR="005E2F86">
        <w:rPr>
          <w:rFonts w:ascii="Palatino Linotype" w:hAnsi="Palatino Linotype"/>
        </w:rPr>
        <w:br/>
      </w:r>
      <w:r w:rsidRPr="00310690" w:rsidR="00310690">
        <w:rPr>
          <w:rFonts w:ascii="Palatino Linotype" w:hAnsi="Palatino Linotype"/>
        </w:rPr>
        <w:t>circuit-level and project-level submissions through a standardized data template, attached to this Resolution as Attachment A, to ensure consistency and comparability of the data submitted by the three IOUs.</w:t>
      </w:r>
    </w:p>
    <w:p w:rsidRPr="008F3F03" w:rsidR="00041577" w:rsidP="008F3F03" w:rsidRDefault="00041577" w14:paraId="1B61C575" w14:textId="77777777">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It</w:t>
      </w:r>
      <w:r w:rsidR="00D832AC">
        <w:rPr>
          <w:rFonts w:ascii="Palatino Linotype" w:hAnsi="Palatino Linotype"/>
        </w:rPr>
        <w:t xml:space="preserve"> is</w:t>
      </w:r>
      <w:r w:rsidRPr="008F3F03">
        <w:rPr>
          <w:rFonts w:ascii="Palatino Linotype" w:hAnsi="Palatino Linotype"/>
        </w:rPr>
        <w:t xml:space="preserve"> reasonable </w:t>
      </w:r>
      <w:r>
        <w:rPr>
          <w:rFonts w:ascii="Palatino Linotype" w:hAnsi="Palatino Linotype"/>
        </w:rPr>
        <w:t xml:space="preserve">to authorize </w:t>
      </w:r>
      <w:r w:rsidRPr="008F3F03">
        <w:rPr>
          <w:rFonts w:ascii="Palatino Linotype" w:hAnsi="Palatino Linotype"/>
        </w:rPr>
        <w:t xml:space="preserve">Energy Division to develop, implement, and annually report the results of the econometric models adopted in this Resolution; to modify the content requirements of the </w:t>
      </w:r>
      <w:r w:rsidRPr="00CF04FB">
        <w:rPr>
          <w:rFonts w:ascii="Palatino Linotype" w:hAnsi="Palatino Linotype"/>
        </w:rPr>
        <w:t>"Equity Metrics Statistics" appendices to the GNA and DUPR filings</w:t>
      </w:r>
      <w:r w:rsidRPr="008F3F03">
        <w:rPr>
          <w:rFonts w:ascii="Palatino Linotype" w:hAnsi="Palatino Linotype"/>
        </w:rPr>
        <w:t xml:space="preserve">, including data fields, definitions, and structure specified in </w:t>
      </w:r>
      <w:r w:rsidRPr="008F3F03">
        <w:rPr>
          <w:rFonts w:ascii="Palatino Linotype" w:hAnsi="Palatino Linotype"/>
        </w:rPr>
        <w:lastRenderedPageBreak/>
        <w:t xml:space="preserve">Attachment A; and to issue data requests to clarify, supplement, or refine </w:t>
      </w:r>
      <w:r w:rsidR="005E2F86">
        <w:rPr>
          <w:rFonts w:ascii="Palatino Linotype" w:hAnsi="Palatino Linotype"/>
        </w:rPr>
        <w:br/>
      </w:r>
      <w:r w:rsidRPr="008F3F03">
        <w:rPr>
          <w:rFonts w:ascii="Palatino Linotype" w:hAnsi="Palatino Linotype"/>
        </w:rPr>
        <w:t>IOU-submitted data in support of the annual modeling cycle</w:t>
      </w:r>
      <w:r>
        <w:rPr>
          <w:rFonts w:ascii="Palatino Linotype" w:hAnsi="Palatino Linotype"/>
        </w:rPr>
        <w:t>.</w:t>
      </w:r>
    </w:p>
    <w:p w:rsidR="008F3F03" w:rsidP="008F3F03" w:rsidRDefault="00731289" w14:paraId="10E0E170" w14:textId="77777777">
      <w:pPr>
        <w:pStyle w:val="SimpleNumberedList"/>
        <w:numPr>
          <w:ilvl w:val="0"/>
          <w:numId w:val="1"/>
        </w:numPr>
        <w:ind w:left="418" w:hanging="418"/>
        <w:contextualSpacing/>
        <w:rPr>
          <w:rFonts w:ascii="Palatino Linotype" w:hAnsi="Palatino Linotype"/>
        </w:rPr>
      </w:pPr>
      <w:r w:rsidRPr="00731289">
        <w:rPr>
          <w:rFonts w:ascii="Palatino Linotype" w:hAnsi="Palatino Linotype"/>
        </w:rPr>
        <w:t xml:space="preserve">Requiring IOUs to submit equity metrics input data as a separate appendix to their annual GNA filings, titled "Equity Metrics Statistics," and as part of their DUPR filings, is reasonable and consistent with the Commission's authority under </w:t>
      </w:r>
      <w:r w:rsidR="005E2F86">
        <w:rPr>
          <w:rFonts w:ascii="Palatino Linotype" w:hAnsi="Palatino Linotype"/>
        </w:rPr>
        <w:br/>
      </w:r>
      <w:r w:rsidRPr="00731289">
        <w:rPr>
          <w:rFonts w:ascii="Palatino Linotype" w:hAnsi="Palatino Linotype"/>
        </w:rPr>
        <w:t>D.24-10-030</w:t>
      </w:r>
      <w:r w:rsidR="00041577">
        <w:rPr>
          <w:rFonts w:ascii="Palatino Linotype" w:hAnsi="Palatino Linotype"/>
        </w:rPr>
        <w:t>.</w:t>
      </w:r>
    </w:p>
    <w:p w:rsidR="00415BCB" w:rsidP="008F3F03" w:rsidRDefault="00E03AF1" w14:paraId="509A4C52" w14:textId="09398F86">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It</w:t>
      </w:r>
      <w:r w:rsidR="00B131F2">
        <w:rPr>
          <w:rFonts w:ascii="Palatino Linotype" w:hAnsi="Palatino Linotype"/>
        </w:rPr>
        <w:t xml:space="preserve"> i</w:t>
      </w:r>
      <w:r w:rsidRPr="008F3F03">
        <w:rPr>
          <w:rFonts w:ascii="Palatino Linotype" w:hAnsi="Palatino Linotype"/>
        </w:rPr>
        <w:t xml:space="preserve">s reasonable for </w:t>
      </w:r>
      <w:r w:rsidR="00436B1F">
        <w:rPr>
          <w:rFonts w:ascii="Palatino Linotype" w:hAnsi="Palatino Linotype"/>
        </w:rPr>
        <w:t>the</w:t>
      </w:r>
      <w:r w:rsidRPr="008F3F03" w:rsidR="00CF189E">
        <w:rPr>
          <w:rFonts w:ascii="Palatino Linotype" w:hAnsi="Palatino Linotype"/>
        </w:rPr>
        <w:t xml:space="preserve"> first submission of equity metrics input data </w:t>
      </w:r>
      <w:r w:rsidR="00873BE2">
        <w:rPr>
          <w:rFonts w:ascii="Palatino Linotype" w:hAnsi="Palatino Linotype"/>
        </w:rPr>
        <w:t xml:space="preserve">to be </w:t>
      </w:r>
      <w:r w:rsidR="00415BCB">
        <w:rPr>
          <w:rFonts w:ascii="Palatino Linotype" w:hAnsi="Palatino Linotype"/>
        </w:rPr>
        <w:t xml:space="preserve">submitted in two phases: (1) the 2025-2026 GNA and DUPR data, filed on August 16, 2026, shall be reformatted and submitted in Attachment A format </w:t>
      </w:r>
      <w:r w:rsidRPr="008F3F03" w:rsidR="00CF189E">
        <w:rPr>
          <w:rFonts w:ascii="Palatino Linotype" w:hAnsi="Palatino Linotype"/>
        </w:rPr>
        <w:t xml:space="preserve">no later than </w:t>
      </w:r>
      <w:r w:rsidR="003E780C">
        <w:rPr>
          <w:rFonts w:ascii="Palatino Linotype" w:hAnsi="Palatino Linotype" w:eastAsia="Palatino Linotype"/>
        </w:rPr>
        <w:t>October 1</w:t>
      </w:r>
      <w:r w:rsidR="00BA36B9">
        <w:rPr>
          <w:rFonts w:ascii="Palatino Linotype" w:hAnsi="Palatino Linotype" w:eastAsia="Palatino Linotype"/>
        </w:rPr>
        <w:t>6</w:t>
      </w:r>
      <w:r w:rsidRPr="008F3F03" w:rsidR="00CF189E">
        <w:rPr>
          <w:rFonts w:ascii="Palatino Linotype" w:hAnsi="Palatino Linotype"/>
        </w:rPr>
        <w:t>, 2026</w:t>
      </w:r>
      <w:r w:rsidR="00415BCB">
        <w:rPr>
          <w:rFonts w:ascii="Palatino Linotype" w:hAnsi="Palatino Linotype"/>
        </w:rPr>
        <w:t>; and (2) historical equity metrics data for the period 2019 through 2025 shall be submitted in Attachment A format no later than December 31, 2026.</w:t>
      </w:r>
      <w:r w:rsidRPr="008F3F03" w:rsidR="00CF189E">
        <w:rPr>
          <w:rFonts w:ascii="Palatino Linotype" w:hAnsi="Palatino Linotype"/>
        </w:rPr>
        <w:t xml:space="preserve"> </w:t>
      </w:r>
      <w:r w:rsidR="00415BCB">
        <w:rPr>
          <w:rFonts w:ascii="Palatino Linotype" w:hAnsi="Palatino Linotype"/>
        </w:rPr>
        <w:t xml:space="preserve">This phased approach </w:t>
      </w:r>
      <w:r w:rsidRPr="008F3F03" w:rsidR="00CF189E">
        <w:rPr>
          <w:rFonts w:ascii="Palatino Linotype" w:hAnsi="Palatino Linotype"/>
        </w:rPr>
        <w:t>allow</w:t>
      </w:r>
      <w:r w:rsidR="00415BCB">
        <w:rPr>
          <w:rFonts w:ascii="Palatino Linotype" w:hAnsi="Palatino Linotype"/>
        </w:rPr>
        <w:t>s</w:t>
      </w:r>
      <w:r w:rsidRPr="008F3F03" w:rsidR="00CF189E">
        <w:rPr>
          <w:rFonts w:ascii="Palatino Linotype" w:hAnsi="Palatino Linotype"/>
        </w:rPr>
        <w:t xml:space="preserve"> Energy Division sufficient time to develop</w:t>
      </w:r>
      <w:r w:rsidR="00415BCB">
        <w:rPr>
          <w:rFonts w:ascii="Palatino Linotype" w:hAnsi="Palatino Linotype"/>
        </w:rPr>
        <w:t>, test,</w:t>
      </w:r>
      <w:r w:rsidRPr="008F3F03" w:rsidR="00CF189E">
        <w:rPr>
          <w:rFonts w:ascii="Palatino Linotype" w:hAnsi="Palatino Linotype"/>
        </w:rPr>
        <w:t xml:space="preserve"> and validate the </w:t>
      </w:r>
      <w:r w:rsidR="00415BCB">
        <w:rPr>
          <w:rFonts w:ascii="Palatino Linotype" w:hAnsi="Palatino Linotype"/>
        </w:rPr>
        <w:t xml:space="preserve">econometric </w:t>
      </w:r>
      <w:r w:rsidRPr="008F3F03" w:rsidR="00CF189E">
        <w:rPr>
          <w:rFonts w:ascii="Palatino Linotype" w:hAnsi="Palatino Linotype"/>
        </w:rPr>
        <w:t>models</w:t>
      </w:r>
      <w:r w:rsidR="00415BCB">
        <w:rPr>
          <w:rFonts w:ascii="Palatino Linotype" w:hAnsi="Palatino Linotype"/>
        </w:rPr>
        <w:t>.</w:t>
      </w:r>
      <w:r w:rsidRPr="008F3F03" w:rsidR="00CF189E">
        <w:rPr>
          <w:rFonts w:ascii="Palatino Linotype" w:hAnsi="Palatino Linotype"/>
        </w:rPr>
        <w:t xml:space="preserve"> </w:t>
      </w:r>
      <w:r w:rsidR="00415BCB">
        <w:rPr>
          <w:rFonts w:ascii="Palatino Linotype" w:hAnsi="Palatino Linotype"/>
        </w:rPr>
        <w:t xml:space="preserve">Energy Division shall use this compiled dataset to prepare a Draft </w:t>
      </w:r>
      <w:r w:rsidRPr="008F3F03" w:rsidR="00186F7C">
        <w:rPr>
          <w:rFonts w:ascii="Palatino Linotype" w:hAnsi="Palatino Linotype" w:eastAsia="Palatino Linotype"/>
        </w:rPr>
        <w:t>‘Equity Metrics in DPEP Report’</w:t>
      </w:r>
      <w:r w:rsidRPr="008F3F03" w:rsidR="00CF189E">
        <w:rPr>
          <w:rFonts w:ascii="Palatino Linotype" w:hAnsi="Palatino Linotype"/>
        </w:rPr>
        <w:t xml:space="preserve">, expected in the </w:t>
      </w:r>
      <w:r w:rsidRPr="008F3F03" w:rsidR="00803B67">
        <w:rPr>
          <w:rFonts w:ascii="Palatino Linotype" w:hAnsi="Palatino Linotype"/>
        </w:rPr>
        <w:t>third quarter</w:t>
      </w:r>
      <w:r w:rsidRPr="008F3F03" w:rsidR="00CF189E">
        <w:rPr>
          <w:rFonts w:ascii="Palatino Linotype" w:hAnsi="Palatino Linotype"/>
        </w:rPr>
        <w:t xml:space="preserve"> of 2027.</w:t>
      </w:r>
    </w:p>
    <w:p w:rsidRPr="008F3F03" w:rsidR="00CF189E" w:rsidP="008F3F03" w:rsidRDefault="0057366A" w14:paraId="1E35478D" w14:textId="1C22DD5A">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w:t>
      </w:r>
      <w:r w:rsidR="003C249E">
        <w:rPr>
          <w:rFonts w:ascii="Palatino Linotype" w:hAnsi="Palatino Linotype"/>
        </w:rPr>
        <w:t xml:space="preserve">t is likewise reasonable </w:t>
      </w:r>
      <w:r w:rsidR="00D83507">
        <w:rPr>
          <w:rFonts w:ascii="Palatino Linotype" w:hAnsi="Palatino Linotype"/>
        </w:rPr>
        <w:t xml:space="preserve">to require that </w:t>
      </w:r>
      <w:r w:rsidR="00415BCB">
        <w:rPr>
          <w:rFonts w:ascii="Palatino Linotype" w:hAnsi="Palatino Linotype"/>
        </w:rPr>
        <w:t xml:space="preserve">the first official ‘Equity Metrics in DPEP Report’ be published in Q1 of 2028, </w:t>
      </w:r>
      <w:r w:rsidR="00F86E25">
        <w:rPr>
          <w:rFonts w:ascii="Palatino Linotype" w:hAnsi="Palatino Linotype"/>
        </w:rPr>
        <w:t>taking as basis</w:t>
      </w:r>
      <w:r w:rsidR="00415BCB">
        <w:rPr>
          <w:rFonts w:ascii="Palatino Linotype" w:hAnsi="Palatino Linotype"/>
        </w:rPr>
        <w:t xml:space="preserve"> data from the 2026-2027 DPEP cycle. The 2026-2027 GNA and DUPR data, to be filed </w:t>
      </w:r>
      <w:r w:rsidR="00F86E25">
        <w:rPr>
          <w:rFonts w:ascii="Palatino Linotype" w:hAnsi="Palatino Linotype"/>
        </w:rPr>
        <w:t>on</w:t>
      </w:r>
      <w:r w:rsidR="00415BCB">
        <w:rPr>
          <w:rFonts w:ascii="Palatino Linotype" w:hAnsi="Palatino Linotype"/>
        </w:rPr>
        <w:t xml:space="preserve"> August 16, 2027, shall be submitted in Attachment A format as part of the regular GNA/DUPR filings</w:t>
      </w:r>
      <w:r w:rsidR="00F86E25">
        <w:rPr>
          <w:rFonts w:ascii="Palatino Linotype" w:hAnsi="Palatino Linotype"/>
        </w:rPr>
        <w:t>.</w:t>
      </w:r>
      <w:r w:rsidR="00415BCB">
        <w:rPr>
          <w:rFonts w:ascii="Palatino Linotype" w:hAnsi="Palatino Linotype"/>
        </w:rPr>
        <w:t xml:space="preserve"> </w:t>
      </w:r>
      <w:r w:rsidR="00F86E25">
        <w:rPr>
          <w:rFonts w:ascii="Palatino Linotype" w:hAnsi="Palatino Linotype"/>
        </w:rPr>
        <w:t>I</w:t>
      </w:r>
      <w:r w:rsidRPr="008F3F03">
        <w:rPr>
          <w:rFonts w:ascii="Palatino Linotype" w:hAnsi="Palatino Linotype"/>
        </w:rPr>
        <w:t>n subsequent years</w:t>
      </w:r>
      <w:r w:rsidRPr="008F3F03" w:rsidR="00D71E53">
        <w:rPr>
          <w:rFonts w:ascii="Palatino Linotype" w:hAnsi="Palatino Linotype"/>
        </w:rPr>
        <w:t xml:space="preserve">, equity metrics input data </w:t>
      </w:r>
      <w:r w:rsidR="00F86E25">
        <w:rPr>
          <w:rFonts w:ascii="Palatino Linotype" w:hAnsi="Palatino Linotype"/>
        </w:rPr>
        <w:t xml:space="preserve">shall </w:t>
      </w:r>
      <w:r w:rsidRPr="008F3F03" w:rsidR="00D71E53">
        <w:rPr>
          <w:rFonts w:ascii="Palatino Linotype" w:hAnsi="Palatino Linotype"/>
        </w:rPr>
        <w:t>be submitted as part of the IOU</w:t>
      </w:r>
      <w:r w:rsidRPr="008F3F03" w:rsidR="00971F87">
        <w:rPr>
          <w:rFonts w:ascii="Palatino Linotype" w:hAnsi="Palatino Linotype"/>
        </w:rPr>
        <w:t>s’ regular GNA and DUPR filings, on the same schedule as those filings</w:t>
      </w:r>
      <w:r w:rsidR="00415BCB">
        <w:rPr>
          <w:rFonts w:ascii="Palatino Linotype" w:hAnsi="Palatino Linotype"/>
        </w:rPr>
        <w:t>, with results published annually in Q1 of the following calendar year</w:t>
      </w:r>
      <w:r w:rsidRPr="008F3F03" w:rsidR="00971F87">
        <w:rPr>
          <w:rFonts w:ascii="Palatino Linotype" w:hAnsi="Palatino Linotype"/>
        </w:rPr>
        <w:t>.</w:t>
      </w:r>
    </w:p>
    <w:p w:rsidRPr="00CF189E" w:rsidR="001E7318" w:rsidP="00CF189E" w:rsidRDefault="001E7318" w14:paraId="7D06B918" w14:textId="00929307">
      <w:pPr>
        <w:pStyle w:val="SimpleNumberedList"/>
        <w:numPr>
          <w:ilvl w:val="0"/>
          <w:numId w:val="1"/>
        </w:numPr>
        <w:ind w:left="418" w:hanging="418"/>
        <w:contextualSpacing/>
        <w:rPr>
          <w:rFonts w:ascii="Palatino Linotype" w:hAnsi="Palatino Linotype"/>
        </w:rPr>
      </w:pPr>
      <w:r w:rsidRPr="001E7318">
        <w:rPr>
          <w:rFonts w:ascii="Palatino Linotype" w:hAnsi="Palatino Linotype"/>
        </w:rPr>
        <w:t>The ICA maps and IOU data portals are designed to support DER siting and interconnection and are not the appropriate vehicle for communicating equity outcomes to the public and stakeholders. The annual 'Equity Metrics in DPEP Report,' to be published by Energy Division in the first quarter of each calendar year beginning in 202</w:t>
      </w:r>
      <w:r w:rsidR="00873BC3">
        <w:rPr>
          <w:rFonts w:ascii="Palatino Linotype" w:hAnsi="Palatino Linotype"/>
        </w:rPr>
        <w:t>8</w:t>
      </w:r>
      <w:r w:rsidRPr="001E7318">
        <w:rPr>
          <w:rFonts w:ascii="Palatino Linotype" w:hAnsi="Palatino Linotype"/>
        </w:rPr>
        <w:t>, is the appropriate vehicle for publicly reporting equity outcomes in distribution planning</w:t>
      </w:r>
      <w:r>
        <w:rPr>
          <w:rFonts w:ascii="Palatino Linotype" w:hAnsi="Palatino Linotype"/>
        </w:rPr>
        <w:t>.</w:t>
      </w:r>
    </w:p>
    <w:p w:rsidRPr="008F3F03" w:rsidR="00BB40CA" w:rsidP="008F3F03" w:rsidRDefault="003E4940" w14:paraId="05F7DBDD" w14:textId="77777777">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Circuit-level enrollment data for programs such as CARE, FERA, and Medical Baseline could</w:t>
      </w:r>
      <w:r w:rsidR="004211FE">
        <w:rPr>
          <w:rFonts w:ascii="Palatino Linotype" w:hAnsi="Palatino Linotype"/>
        </w:rPr>
        <w:t xml:space="preserve"> potentially</w:t>
      </w:r>
      <w:r w:rsidRPr="008F3F03">
        <w:rPr>
          <w:rFonts w:ascii="Palatino Linotype" w:hAnsi="Palatino Linotype"/>
        </w:rPr>
        <w:t>, on circuits serving small numbers of customers,</w:t>
      </w:r>
      <w:r w:rsidR="009E54D7">
        <w:rPr>
          <w:rFonts w:ascii="Palatino Linotype" w:hAnsi="Palatino Linotype"/>
        </w:rPr>
        <w:t xml:space="preserve"> </w:t>
      </w:r>
      <w:r w:rsidRPr="008F3F03">
        <w:rPr>
          <w:rFonts w:ascii="Palatino Linotype" w:hAnsi="Palatino Linotype"/>
        </w:rPr>
        <w:t xml:space="preserve">disclose </w:t>
      </w:r>
      <w:r w:rsidRPr="008F3F03" w:rsidR="00394888">
        <w:rPr>
          <w:rFonts w:ascii="Palatino Linotype" w:hAnsi="Palatino Linotype"/>
        </w:rPr>
        <w:t>confidential customer</w:t>
      </w:r>
      <w:r w:rsidRPr="008F3F03" w:rsidR="611FF7EC">
        <w:rPr>
          <w:rFonts w:ascii="Palatino Linotype" w:hAnsi="Palatino Linotype"/>
        </w:rPr>
        <w:t xml:space="preserve"> data</w:t>
      </w:r>
      <w:r w:rsidRPr="008F3F03">
        <w:rPr>
          <w:rFonts w:ascii="Palatino Linotype" w:hAnsi="Palatino Linotype"/>
        </w:rPr>
        <w:t xml:space="preserve">. </w:t>
      </w:r>
    </w:p>
    <w:p w:rsidRPr="004B7013" w:rsidR="00897CD7" w:rsidP="00A420C2" w:rsidRDefault="002D593F" w14:paraId="10BA506E" w14:textId="77777777">
      <w:pPr>
        <w:pStyle w:val="SimpleNumberedList"/>
        <w:numPr>
          <w:ilvl w:val="0"/>
          <w:numId w:val="1"/>
        </w:numPr>
        <w:ind w:left="418" w:hanging="418"/>
        <w:contextualSpacing/>
        <w:rPr>
          <w:rFonts w:ascii="Palatino Linotype" w:hAnsi="Palatino Linotype"/>
        </w:rPr>
      </w:pPr>
      <w:r>
        <w:rPr>
          <w:rFonts w:ascii="Palatino Linotype" w:hAnsi="Palatino Linotype" w:eastAsia="Palatino Linotype"/>
        </w:rPr>
        <w:t>It</w:t>
      </w:r>
      <w:r w:rsidR="004A7BFA">
        <w:rPr>
          <w:rFonts w:ascii="Palatino Linotype" w:hAnsi="Palatino Linotype" w:eastAsia="Palatino Linotype"/>
        </w:rPr>
        <w:t xml:space="preserve"> is</w:t>
      </w:r>
      <w:r>
        <w:rPr>
          <w:rFonts w:ascii="Palatino Linotype" w:hAnsi="Palatino Linotype" w:eastAsia="Palatino Linotype"/>
        </w:rPr>
        <w:t xml:space="preserve"> reasonable </w:t>
      </w:r>
      <w:r w:rsidR="007B4719">
        <w:rPr>
          <w:rFonts w:ascii="Palatino Linotype" w:hAnsi="Palatino Linotype" w:eastAsia="Palatino Linotype"/>
        </w:rPr>
        <w:t xml:space="preserve">to </w:t>
      </w:r>
      <w:r w:rsidR="004B3F6A">
        <w:rPr>
          <w:rFonts w:ascii="Palatino Linotype" w:hAnsi="Palatino Linotype" w:eastAsia="Palatino Linotype"/>
        </w:rPr>
        <w:t>allow</w:t>
      </w:r>
      <w:r w:rsidRPr="00A420C2" w:rsidR="00550767">
        <w:rPr>
          <w:rFonts w:ascii="Palatino Linotype" w:hAnsi="Palatino Linotype" w:eastAsia="Palatino Linotype"/>
        </w:rPr>
        <w:t xml:space="preserve"> the IOUs to designate equity metrics input data submitted in the GNA Equity Metrics Statistics appendix and in the DUPR as confidential, to the extent the data would reveal customer-specific information, consistent with Public Utilities Code Section 583, General Order 66-D, and the 15/15 Rule adopted in Ordering Paragraph 31 of D.24-10-030. </w:t>
      </w:r>
      <w:r w:rsidRPr="00BB26F0" w:rsidR="00BB26F0">
        <w:rPr>
          <w:rFonts w:ascii="Palatino Linotype" w:hAnsi="Palatino Linotype" w:eastAsia="Palatino Linotype"/>
        </w:rPr>
        <w:t xml:space="preserve">It is likewise reasonable to require the IOUs to serve, for each annual submission, both a complete </w:t>
      </w:r>
      <w:r w:rsidR="00533B14">
        <w:rPr>
          <w:rFonts w:ascii="Palatino Linotype" w:hAnsi="Palatino Linotype" w:eastAsia="Palatino Linotype"/>
        </w:rPr>
        <w:t xml:space="preserve">unredacted </w:t>
      </w:r>
      <w:r w:rsidRPr="00BB26F0" w:rsidR="00BB26F0">
        <w:rPr>
          <w:rFonts w:ascii="Palatino Linotype" w:hAnsi="Palatino Linotype" w:eastAsia="Palatino Linotype"/>
        </w:rPr>
        <w:t xml:space="preserve">confidential version of the equity metrics input data for Energy Division's use in model development, validation, and reporting, and a </w:t>
      </w:r>
      <w:r w:rsidR="00533B14">
        <w:rPr>
          <w:rFonts w:ascii="Palatino Linotype" w:hAnsi="Palatino Linotype" w:eastAsia="Palatino Linotype"/>
        </w:rPr>
        <w:t xml:space="preserve">partially </w:t>
      </w:r>
      <w:r w:rsidRPr="00BB26F0" w:rsidR="00BB26F0">
        <w:rPr>
          <w:rFonts w:ascii="Palatino Linotype" w:hAnsi="Palatino Linotype" w:eastAsia="Palatino Linotype"/>
        </w:rPr>
        <w:t xml:space="preserve">redacted public version </w:t>
      </w:r>
      <w:r w:rsidRPr="00BB26F0" w:rsidR="00BB26F0">
        <w:rPr>
          <w:rFonts w:ascii="Palatino Linotype" w:hAnsi="Palatino Linotype" w:eastAsia="Palatino Linotype"/>
        </w:rPr>
        <w:lastRenderedPageBreak/>
        <w:t>submitted with the public GNA and DUPR filings, because this approach protects customer privacy while preserving public access to the non-confidential portions of the data.</w:t>
      </w:r>
      <w:r w:rsidR="00BB26F0">
        <w:rPr>
          <w:rFonts w:ascii="Palatino Linotype" w:hAnsi="Palatino Linotype" w:eastAsia="Palatino Linotype"/>
        </w:rPr>
        <w:t xml:space="preserve"> </w:t>
      </w:r>
      <w:r w:rsidRPr="00A420C2" w:rsidR="00550767">
        <w:rPr>
          <w:rFonts w:ascii="Palatino Linotype" w:hAnsi="Palatino Linotype" w:eastAsia="Palatino Linotype"/>
        </w:rPr>
        <w:t xml:space="preserve">Publication of the annual </w:t>
      </w:r>
      <w:r w:rsidRPr="00A420C2" w:rsidR="00186F7C">
        <w:rPr>
          <w:rFonts w:ascii="Palatino Linotype" w:hAnsi="Palatino Linotype" w:eastAsia="Palatino Linotype"/>
        </w:rPr>
        <w:t>‘Equity Metrics in DPEP Report</w:t>
      </w:r>
      <w:r w:rsidR="00170E25">
        <w:rPr>
          <w:rFonts w:ascii="Palatino Linotype" w:hAnsi="Palatino Linotype" w:eastAsia="Palatino Linotype"/>
        </w:rPr>
        <w:t>,</w:t>
      </w:r>
      <w:r w:rsidRPr="00A420C2" w:rsidR="00186F7C">
        <w:rPr>
          <w:rFonts w:ascii="Palatino Linotype" w:hAnsi="Palatino Linotype" w:eastAsia="Palatino Linotype"/>
        </w:rPr>
        <w:t>’</w:t>
      </w:r>
      <w:r w:rsidRPr="00A420C2" w:rsidR="00550767">
        <w:rPr>
          <w:rFonts w:ascii="Palatino Linotype" w:hAnsi="Palatino Linotype" w:eastAsia="Palatino Linotype"/>
        </w:rPr>
        <w:t xml:space="preserve"> which presents aggregated model results and contains no customer-identifiable information, does not disclose confidential information</w:t>
      </w:r>
      <w:r w:rsidR="00A420C2">
        <w:rPr>
          <w:rFonts w:ascii="Palatino Linotype" w:hAnsi="Palatino Linotype" w:eastAsia="Palatino Linotype"/>
        </w:rPr>
        <w:t xml:space="preserve">, </w:t>
      </w:r>
      <w:r w:rsidRPr="00A420C2" w:rsidR="00A420C2">
        <w:rPr>
          <w:rFonts w:ascii="Palatino Linotype" w:hAnsi="Palatino Linotype" w:eastAsia="Palatino Linotype"/>
        </w:rPr>
        <w:t>and confidential treatment of input data therefore does not diminish the public transparency of the equity metrics framework</w:t>
      </w:r>
      <w:r w:rsidRPr="00A420C2" w:rsidR="00550767">
        <w:rPr>
          <w:rFonts w:ascii="Palatino Linotype" w:hAnsi="Palatino Linotype" w:eastAsia="Palatino Linotype"/>
        </w:rPr>
        <w:t>.</w:t>
      </w:r>
      <w:r w:rsidR="00D701DE">
        <w:rPr>
          <w:rFonts w:ascii="Palatino Linotype" w:hAnsi="Palatino Linotype" w:eastAsia="Palatino Linotype"/>
        </w:rPr>
        <w:t xml:space="preserve"> </w:t>
      </w:r>
    </w:p>
    <w:p w:rsidRPr="00436B30" w:rsidR="00A76F4A" w:rsidP="00A420C2" w:rsidRDefault="00CF189E" w14:paraId="56AC46B4" w14:textId="77777777">
      <w:pPr>
        <w:pStyle w:val="SimpleNumberedList"/>
        <w:numPr>
          <w:ilvl w:val="0"/>
          <w:numId w:val="1"/>
        </w:numPr>
        <w:ind w:left="418" w:hanging="418"/>
        <w:contextualSpacing/>
        <w:rPr>
          <w:rFonts w:ascii="Palatino Linotype" w:hAnsi="Palatino Linotype"/>
        </w:rPr>
      </w:pPr>
      <w:r w:rsidRPr="00A420C2">
        <w:rPr>
          <w:rFonts w:ascii="Palatino Linotype" w:hAnsi="Palatino Linotype" w:eastAsia="Palatino Linotype"/>
        </w:rPr>
        <w:t xml:space="preserve">This Resolution is consistent with </w:t>
      </w:r>
      <w:r w:rsidR="005F1C67">
        <w:rPr>
          <w:rFonts w:ascii="Palatino Linotype" w:hAnsi="Palatino Linotype" w:eastAsia="Palatino Linotype"/>
        </w:rPr>
        <w:t xml:space="preserve">Decision 24-10-030’s direction for utilities to track and annually evaluate </w:t>
      </w:r>
      <w:r w:rsidR="008E31B7">
        <w:rPr>
          <w:rFonts w:ascii="Palatino Linotype" w:hAnsi="Palatino Linotype" w:eastAsia="Palatino Linotype"/>
        </w:rPr>
        <w:t xml:space="preserve">equity </w:t>
      </w:r>
      <w:r w:rsidR="005F1C67">
        <w:rPr>
          <w:rFonts w:ascii="Palatino Linotype" w:hAnsi="Palatino Linotype" w:eastAsia="Palatino Linotype"/>
        </w:rPr>
        <w:t>in distribution plannin</w:t>
      </w:r>
      <w:r w:rsidR="00E429C2">
        <w:rPr>
          <w:rFonts w:ascii="Palatino Linotype" w:hAnsi="Palatino Linotype" w:eastAsia="Palatino Linotype"/>
        </w:rPr>
        <w:t>g</w:t>
      </w:r>
      <w:r w:rsidR="004B6329">
        <w:rPr>
          <w:rFonts w:ascii="Palatino Linotype" w:hAnsi="Palatino Linotype" w:eastAsia="Palatino Linotype"/>
        </w:rPr>
        <w:t>, enabling</w:t>
      </w:r>
      <w:r w:rsidR="00CA59F9">
        <w:rPr>
          <w:rFonts w:ascii="Palatino Linotype" w:hAnsi="Palatino Linotype" w:eastAsia="Palatino Linotype"/>
        </w:rPr>
        <w:t xml:space="preserve"> the Commission to monitor </w:t>
      </w:r>
      <w:r w:rsidR="00712AC4">
        <w:rPr>
          <w:rFonts w:ascii="Palatino Linotype" w:hAnsi="Palatino Linotype" w:eastAsia="Palatino Linotype"/>
        </w:rPr>
        <w:t xml:space="preserve">how distribution planning investments and outcomes </w:t>
      </w:r>
      <w:r w:rsidR="00141D7D">
        <w:rPr>
          <w:rFonts w:ascii="Palatino Linotype" w:hAnsi="Palatino Linotype" w:eastAsia="Palatino Linotype"/>
        </w:rPr>
        <w:t>impact</w:t>
      </w:r>
      <w:r w:rsidR="00FB28D0">
        <w:rPr>
          <w:rFonts w:ascii="Palatino Linotype" w:hAnsi="Palatino Linotype" w:eastAsia="Palatino Linotype"/>
        </w:rPr>
        <w:t xml:space="preserve"> historically</w:t>
      </w:r>
      <w:r w:rsidR="004608DE">
        <w:rPr>
          <w:rFonts w:ascii="Palatino Linotype" w:hAnsi="Palatino Linotype" w:eastAsia="Palatino Linotype"/>
        </w:rPr>
        <w:t xml:space="preserve"> at-risk communities</w:t>
      </w:r>
      <w:r w:rsidRPr="00A420C2">
        <w:rPr>
          <w:rFonts w:ascii="Palatino Linotype" w:hAnsi="Palatino Linotype" w:eastAsia="Palatino Linotype"/>
        </w:rPr>
        <w:t>.</w:t>
      </w:r>
    </w:p>
    <w:p w:rsidRPr="00A420C2" w:rsidR="00436B30" w:rsidP="00436B30" w:rsidRDefault="00436B30" w14:paraId="6296049B" w14:textId="77777777">
      <w:pPr>
        <w:pStyle w:val="SimpleNumberedList"/>
        <w:numPr>
          <w:ilvl w:val="0"/>
          <w:numId w:val="0"/>
        </w:numPr>
        <w:ind w:left="418"/>
        <w:contextualSpacing/>
        <w:rPr>
          <w:rFonts w:ascii="Palatino Linotype" w:hAnsi="Palatino Linotype"/>
        </w:rPr>
      </w:pPr>
    </w:p>
    <w:p w:rsidRPr="001942D0" w:rsidR="00EC5240" w:rsidP="00EC5240" w:rsidRDefault="00EC5240" w14:paraId="2A2150D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Therefore</w:t>
      </w:r>
      <w:r>
        <w:rPr>
          <w:rFonts w:ascii="Palatino Linotype" w:hAnsi="Palatino Linotype" w:eastAsia="Palatino Linotype" w:cs="Times New Roman"/>
          <w:b/>
          <w:caps/>
          <w:kern w:val="28"/>
          <w:u w:val="single"/>
          <w14:ligatures w14:val="none"/>
        </w:rPr>
        <w:t>,</w:t>
      </w:r>
      <w:r w:rsidRPr="001942D0">
        <w:rPr>
          <w:rFonts w:ascii="Palatino Linotype" w:hAnsi="Palatino Linotype" w:eastAsia="Palatino Linotype" w:cs="Times New Roman"/>
          <w:b/>
          <w:caps/>
          <w:kern w:val="28"/>
          <w:u w:val="single"/>
          <w14:ligatures w14:val="none"/>
        </w:rPr>
        <w:t xml:space="preserve"> it is ordered that:</w:t>
      </w:r>
    </w:p>
    <w:p w:rsidRPr="00DD31FF" w:rsidR="00DD31FF" w:rsidP="00DD31FF" w:rsidRDefault="00DD31FF" w14:paraId="5B262B34"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Southern California Edison Company Advice Letter 5498-E, Pacific Gas and Electric Company Advice Letter 7530-E, and San Diego Gas &amp; Electric Company Advice Letter 4617-E are </w:t>
      </w:r>
      <w:r w:rsidRPr="00DD31FF" w:rsidR="5F472AB5">
        <w:rPr>
          <w:rFonts w:ascii="Palatino Linotype" w:hAnsi="Palatino Linotype" w:eastAsia="Palatino Linotype" w:cs="Times New Roman"/>
          <w:snapToGrid w:val="0"/>
          <w:kern w:val="0"/>
          <w14:ligatures w14:val="none"/>
        </w:rPr>
        <w:t>approved</w:t>
      </w:r>
      <w:r w:rsidRPr="00DD31FF">
        <w:rPr>
          <w:rFonts w:ascii="Palatino Linotype" w:hAnsi="Palatino Linotype" w:eastAsia="Palatino Linotype" w:cs="Times New Roman"/>
          <w:snapToGrid w:val="0"/>
          <w:kern w:val="0"/>
          <w14:ligatures w14:val="none"/>
        </w:rPr>
        <w:t xml:space="preserve"> with modifications as described in this Resolution.</w:t>
      </w:r>
    </w:p>
    <w:p w:rsidRPr="00DD31FF" w:rsidR="00DD31FF" w:rsidP="00DD31FF" w:rsidRDefault="00DD31FF" w14:paraId="62545C74"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The </w:t>
      </w:r>
      <w:r w:rsidR="00884AF0">
        <w:rPr>
          <w:rFonts w:ascii="Palatino Linotype" w:hAnsi="Palatino Linotype" w:eastAsia="Palatino Linotype" w:cs="Times New Roman"/>
          <w:snapToGrid w:val="0"/>
          <w:kern w:val="0"/>
          <w14:ligatures w14:val="none"/>
        </w:rPr>
        <w:t>Investor</w:t>
      </w:r>
      <w:r w:rsidR="0017529F">
        <w:rPr>
          <w:rFonts w:ascii="Palatino Linotype" w:hAnsi="Palatino Linotype" w:eastAsia="Palatino Linotype" w:cs="Times New Roman"/>
          <w:snapToGrid w:val="0"/>
          <w:kern w:val="0"/>
          <w14:ligatures w14:val="none"/>
        </w:rPr>
        <w:t>-</w:t>
      </w:r>
      <w:r w:rsidR="00884AF0">
        <w:rPr>
          <w:rFonts w:ascii="Palatino Linotype" w:hAnsi="Palatino Linotype" w:eastAsia="Palatino Linotype" w:cs="Times New Roman"/>
          <w:snapToGrid w:val="0"/>
          <w:kern w:val="0"/>
          <w14:ligatures w14:val="none"/>
        </w:rPr>
        <w:t xml:space="preserve">Owned Utilities </w:t>
      </w:r>
      <w:r w:rsidR="009B32CA">
        <w:rPr>
          <w:rFonts w:ascii="Palatino Linotype" w:hAnsi="Palatino Linotype" w:eastAsia="Palatino Linotype" w:cs="Times New Roman"/>
          <w:snapToGrid w:val="0"/>
          <w:kern w:val="0"/>
          <w14:ligatures w14:val="none"/>
        </w:rPr>
        <w:t xml:space="preserve">shall incorporate the </w:t>
      </w:r>
      <w:r w:rsidRPr="00DD31FF">
        <w:rPr>
          <w:rFonts w:ascii="Palatino Linotype" w:hAnsi="Palatino Linotype" w:eastAsia="Palatino Linotype" w:cs="Times New Roman"/>
          <w:snapToGrid w:val="0"/>
          <w:kern w:val="0"/>
          <w14:ligatures w14:val="none"/>
        </w:rPr>
        <w:t>five equity-priority populations identified in Ordering Paragraph 25 of Decision 24-10-030</w:t>
      </w:r>
      <w:r>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CARE enrollment, FERA enrollment, Medical Baseline enrollment, Tribal community status, and Disadvantaged Community (DAC) status based on </w:t>
      </w:r>
      <w:proofErr w:type="spellStart"/>
      <w:r w:rsidRPr="00DD31FF">
        <w:rPr>
          <w:rFonts w:ascii="Palatino Linotype" w:hAnsi="Palatino Linotype" w:eastAsia="Palatino Linotype" w:cs="Times New Roman"/>
          <w:snapToGrid w:val="0"/>
          <w:kern w:val="0"/>
          <w14:ligatures w14:val="none"/>
        </w:rPr>
        <w:t>CalEnviroScreen</w:t>
      </w:r>
      <w:proofErr w:type="spellEnd"/>
      <w:r w:rsidRPr="00DD31FF">
        <w:rPr>
          <w:rFonts w:ascii="Palatino Linotype" w:hAnsi="Palatino Linotype" w:eastAsia="Palatino Linotype" w:cs="Times New Roman"/>
          <w:snapToGrid w:val="0"/>
          <w:kern w:val="0"/>
          <w14:ligatures w14:val="none"/>
        </w:rPr>
        <w:t xml:space="preserve"> 4.0 under SB 535</w:t>
      </w:r>
      <w:r>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w:t>
      </w:r>
      <w:r w:rsidR="000477CC">
        <w:rPr>
          <w:rFonts w:ascii="Palatino Linotype" w:hAnsi="Palatino Linotype" w:eastAsia="Palatino Linotype" w:cs="Times New Roman"/>
          <w:snapToGrid w:val="0"/>
          <w:kern w:val="0"/>
          <w14:ligatures w14:val="none"/>
        </w:rPr>
        <w:t xml:space="preserve">to </w:t>
      </w:r>
      <w:r w:rsidRPr="00DD31FF">
        <w:rPr>
          <w:rFonts w:ascii="Palatino Linotype" w:hAnsi="Palatino Linotype" w:eastAsia="Palatino Linotype" w:cs="Times New Roman"/>
          <w:snapToGrid w:val="0"/>
          <w:kern w:val="0"/>
          <w14:ligatures w14:val="none"/>
        </w:rPr>
        <w:t>serve as independent variables in the equity metrics framework adopted in this Resolution and shall be tracked and reported independently.</w:t>
      </w:r>
    </w:p>
    <w:p w:rsidRPr="00DD31FF" w:rsidR="00DD31FF" w:rsidP="00DD31FF" w:rsidRDefault="0081591F" w14:paraId="596BC3ED"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81591F">
        <w:rPr>
          <w:rFonts w:ascii="Palatino Linotype" w:hAnsi="Palatino Linotype" w:eastAsia="Palatino Linotype" w:cs="Times New Roman"/>
          <w:snapToGrid w:val="0"/>
          <w:kern w:val="0"/>
          <w14:ligatures w14:val="none"/>
        </w:rPr>
        <w:t xml:space="preserve">Investor-Owned Utilities shall not combine, aggregate, or add any of the five </w:t>
      </w:r>
      <w:r w:rsidR="005E2F86">
        <w:rPr>
          <w:rFonts w:ascii="Palatino Linotype" w:hAnsi="Palatino Linotype" w:eastAsia="Palatino Linotype" w:cs="Times New Roman"/>
          <w:snapToGrid w:val="0"/>
          <w:kern w:val="0"/>
          <w14:ligatures w14:val="none"/>
        </w:rPr>
        <w:br/>
      </w:r>
      <w:r w:rsidRPr="0081591F">
        <w:rPr>
          <w:rFonts w:ascii="Palatino Linotype" w:hAnsi="Palatino Linotype" w:eastAsia="Palatino Linotype" w:cs="Times New Roman"/>
          <w:snapToGrid w:val="0"/>
          <w:kern w:val="0"/>
          <w14:ligatures w14:val="none"/>
        </w:rPr>
        <w:t xml:space="preserve">equity-priority populations identified in Ordering Paragraph 25 of Decision </w:t>
      </w:r>
      <w:r w:rsidR="005E2F86">
        <w:rPr>
          <w:rFonts w:ascii="Palatino Linotype" w:hAnsi="Palatino Linotype" w:eastAsia="Palatino Linotype" w:cs="Times New Roman"/>
          <w:snapToGrid w:val="0"/>
          <w:kern w:val="0"/>
          <w14:ligatures w14:val="none"/>
        </w:rPr>
        <w:br/>
      </w:r>
      <w:r w:rsidRPr="0081591F">
        <w:rPr>
          <w:rFonts w:ascii="Palatino Linotype" w:hAnsi="Palatino Linotype" w:eastAsia="Palatino Linotype" w:cs="Times New Roman"/>
          <w:snapToGrid w:val="0"/>
          <w:kern w:val="0"/>
          <w14:ligatures w14:val="none"/>
        </w:rPr>
        <w:t>24-10-030 with each other for purposes of the equity metrics framework adopted in this Resolution.</w:t>
      </w:r>
      <w:r w:rsidR="00E32613">
        <w:rPr>
          <w:rFonts w:ascii="Palatino Linotype" w:hAnsi="Palatino Linotype" w:eastAsia="Palatino Linotype" w:cs="Times New Roman"/>
          <w:snapToGrid w:val="0"/>
          <w:kern w:val="0"/>
          <w14:ligatures w14:val="none"/>
        </w:rPr>
        <w:t xml:space="preserve"> In particular, t</w:t>
      </w:r>
      <w:r w:rsidRPr="00DD31FF" w:rsidR="00B15886">
        <w:rPr>
          <w:rFonts w:ascii="Palatino Linotype" w:hAnsi="Palatino Linotype" w:eastAsia="Palatino Linotype" w:cs="Times New Roman"/>
          <w:snapToGrid w:val="0"/>
          <w:kern w:val="0"/>
          <w14:ligatures w14:val="none"/>
        </w:rPr>
        <w:t xml:space="preserve">he </w:t>
      </w:r>
      <w:r w:rsidR="00E32613">
        <w:rPr>
          <w:rFonts w:ascii="Palatino Linotype" w:hAnsi="Palatino Linotype" w:eastAsia="Palatino Linotype" w:cs="Times New Roman"/>
          <w:snapToGrid w:val="0"/>
          <w:kern w:val="0"/>
          <w14:ligatures w14:val="none"/>
        </w:rPr>
        <w:t xml:space="preserve">IOUs </w:t>
      </w:r>
      <w:r w:rsidR="00B15886">
        <w:rPr>
          <w:rFonts w:ascii="Palatino Linotype" w:hAnsi="Palatino Linotype" w:eastAsia="Palatino Linotype" w:cs="Times New Roman"/>
          <w:snapToGrid w:val="0"/>
          <w:kern w:val="0"/>
          <w14:ligatures w14:val="none"/>
        </w:rPr>
        <w:t xml:space="preserve">shall </w:t>
      </w:r>
      <w:r w:rsidR="00DE2483">
        <w:rPr>
          <w:rFonts w:ascii="Palatino Linotype" w:hAnsi="Palatino Linotype" w:eastAsia="Palatino Linotype" w:cs="Times New Roman"/>
          <w:snapToGrid w:val="0"/>
          <w:kern w:val="0"/>
          <w14:ligatures w14:val="none"/>
        </w:rPr>
        <w:t xml:space="preserve">not combine or add to the </w:t>
      </w:r>
      <w:r w:rsidRPr="00DD31FF" w:rsidR="00147AEB">
        <w:rPr>
          <w:rFonts w:ascii="Palatino Linotype" w:hAnsi="Palatino Linotype" w:eastAsia="Palatino Linotype" w:cs="Times New Roman"/>
          <w:snapToGrid w:val="0"/>
          <w:kern w:val="0"/>
          <w14:ligatures w14:val="none"/>
        </w:rPr>
        <w:t xml:space="preserve">to the counts of customers enrolled in CARE, FERA, </w:t>
      </w:r>
      <w:r w:rsidR="00147AEB">
        <w:rPr>
          <w:rFonts w:ascii="Palatino Linotype" w:hAnsi="Palatino Linotype" w:eastAsia="Palatino Linotype" w:cs="Times New Roman"/>
          <w:snapToGrid w:val="0"/>
          <w:kern w:val="0"/>
          <w14:ligatures w14:val="none"/>
        </w:rPr>
        <w:t xml:space="preserve">or </w:t>
      </w:r>
      <w:r w:rsidRPr="00DD31FF" w:rsidR="00147AEB">
        <w:rPr>
          <w:rFonts w:ascii="Palatino Linotype" w:hAnsi="Palatino Linotype" w:eastAsia="Palatino Linotype" w:cs="Times New Roman"/>
          <w:snapToGrid w:val="0"/>
          <w:kern w:val="0"/>
          <w14:ligatures w14:val="none"/>
        </w:rPr>
        <w:t>Medical Baseline</w:t>
      </w:r>
      <w:r w:rsidR="00147AEB">
        <w:rPr>
          <w:rFonts w:ascii="Palatino Linotype" w:hAnsi="Palatino Linotype" w:eastAsia="Palatino Linotype" w:cs="Times New Roman"/>
          <w:snapToGrid w:val="0"/>
          <w:kern w:val="0"/>
          <w14:ligatures w14:val="none"/>
        </w:rPr>
        <w:t xml:space="preserve"> programs</w:t>
      </w:r>
      <w:r w:rsidRPr="00DD31FF" w:rsidR="00147AEB">
        <w:rPr>
          <w:rFonts w:ascii="Palatino Linotype" w:hAnsi="Palatino Linotype" w:eastAsia="Palatino Linotype" w:cs="Times New Roman"/>
          <w:snapToGrid w:val="0"/>
          <w:kern w:val="0"/>
          <w14:ligatures w14:val="none"/>
        </w:rPr>
        <w:t xml:space="preserve">, or </w:t>
      </w:r>
      <w:r w:rsidR="00147AEB">
        <w:rPr>
          <w:rFonts w:ascii="Palatino Linotype" w:hAnsi="Palatino Linotype" w:eastAsia="Palatino Linotype" w:cs="Times New Roman"/>
          <w:snapToGrid w:val="0"/>
          <w:kern w:val="0"/>
          <w14:ligatures w14:val="none"/>
        </w:rPr>
        <w:t xml:space="preserve">customers who are residing on </w:t>
      </w:r>
      <w:r w:rsidRPr="00DD31FF" w:rsidR="00147AEB">
        <w:rPr>
          <w:rFonts w:ascii="Palatino Linotype" w:hAnsi="Palatino Linotype" w:eastAsia="Palatino Linotype" w:cs="Times New Roman"/>
          <w:snapToGrid w:val="0"/>
          <w:kern w:val="0"/>
          <w14:ligatures w14:val="none"/>
        </w:rPr>
        <w:t>Tribal</w:t>
      </w:r>
      <w:r w:rsidR="00147AEB">
        <w:rPr>
          <w:rFonts w:ascii="Palatino Linotype" w:hAnsi="Palatino Linotype" w:eastAsia="Palatino Linotype" w:cs="Times New Roman"/>
          <w:snapToGrid w:val="0"/>
          <w:kern w:val="0"/>
          <w14:ligatures w14:val="none"/>
        </w:rPr>
        <w:t xml:space="preserve"> trust lands or located within a tribal community, any</w:t>
      </w:r>
      <w:r w:rsidR="005441CE">
        <w:rPr>
          <w:rFonts w:ascii="Palatino Linotype" w:hAnsi="Palatino Linotype" w:eastAsia="Palatino Linotype" w:cs="Times New Roman"/>
          <w:snapToGrid w:val="0"/>
          <w:kern w:val="0"/>
          <w14:ligatures w14:val="none"/>
        </w:rPr>
        <w:t xml:space="preserve"> customers identified</w:t>
      </w:r>
      <w:r w:rsidR="006F327E">
        <w:rPr>
          <w:rFonts w:ascii="Palatino Linotype" w:hAnsi="Palatino Linotype" w:eastAsia="Palatino Linotype" w:cs="Times New Roman"/>
          <w:snapToGrid w:val="0"/>
          <w:kern w:val="0"/>
          <w14:ligatures w14:val="none"/>
        </w:rPr>
        <w:t xml:space="preserve"> as </w:t>
      </w:r>
      <w:r w:rsidR="00FC51B6">
        <w:rPr>
          <w:rFonts w:ascii="Palatino Linotype" w:hAnsi="Palatino Linotype" w:eastAsia="Palatino Linotype" w:cs="Times New Roman"/>
          <w:snapToGrid w:val="0"/>
          <w:kern w:val="0"/>
          <w14:ligatures w14:val="none"/>
        </w:rPr>
        <w:t>Disadvantaged C</w:t>
      </w:r>
      <w:r w:rsidR="001C7964">
        <w:rPr>
          <w:rFonts w:ascii="Palatino Linotype" w:hAnsi="Palatino Linotype" w:eastAsia="Palatino Linotype" w:cs="Times New Roman"/>
          <w:snapToGrid w:val="0"/>
          <w:kern w:val="0"/>
          <w14:ligatures w14:val="none"/>
        </w:rPr>
        <w:t xml:space="preserve">ommunities based on census tract-level </w:t>
      </w:r>
      <w:proofErr w:type="spellStart"/>
      <w:r w:rsidRPr="00DD31FF" w:rsidR="00DD31FF">
        <w:rPr>
          <w:rFonts w:ascii="Palatino Linotype" w:hAnsi="Palatino Linotype" w:eastAsia="Palatino Linotype" w:cs="Times New Roman"/>
          <w:snapToGrid w:val="0"/>
          <w:kern w:val="0"/>
          <w14:ligatures w14:val="none"/>
        </w:rPr>
        <w:t>CalEnviroScreen</w:t>
      </w:r>
      <w:proofErr w:type="spellEnd"/>
      <w:r w:rsidRPr="00DD31FF" w:rsidR="00DD31FF">
        <w:rPr>
          <w:rFonts w:ascii="Palatino Linotype" w:hAnsi="Palatino Linotype" w:eastAsia="Palatino Linotype" w:cs="Times New Roman"/>
          <w:snapToGrid w:val="0"/>
          <w:kern w:val="0"/>
          <w14:ligatures w14:val="none"/>
        </w:rPr>
        <w:t xml:space="preserve"> 4.0 data under SB 535.</w:t>
      </w:r>
    </w:p>
    <w:p w:rsidRPr="004C3BBE" w:rsidR="00DD31FF" w:rsidP="00DD31FF" w:rsidRDefault="00D55DC9" w14:paraId="1648499F" w14:textId="77777777">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Investor-O</w:t>
      </w:r>
      <w:r w:rsidR="00EC55FB">
        <w:rPr>
          <w:rFonts w:ascii="Palatino Linotype" w:hAnsi="Palatino Linotype" w:eastAsia="Palatino Linotype" w:cs="Times New Roman"/>
          <w:snapToGrid w:val="0"/>
          <w:kern w:val="0"/>
          <w14:ligatures w14:val="none"/>
        </w:rPr>
        <w:t>wned Utilities shall identify</w:t>
      </w:r>
      <w:r w:rsidR="00151C0A">
        <w:rPr>
          <w:rFonts w:ascii="Palatino Linotype" w:hAnsi="Palatino Linotype" w:eastAsia="Palatino Linotype" w:cs="Times New Roman"/>
          <w:snapToGrid w:val="0"/>
          <w:kern w:val="0"/>
          <w14:ligatures w14:val="none"/>
        </w:rPr>
        <w:t xml:space="preserve"> in</w:t>
      </w:r>
      <w:r w:rsidR="00EC55FB">
        <w:rPr>
          <w:rFonts w:ascii="Palatino Linotype" w:hAnsi="Palatino Linotype" w:eastAsia="Palatino Linotype" w:cs="Times New Roman"/>
          <w:snapToGrid w:val="0"/>
          <w:kern w:val="0"/>
          <w14:ligatures w14:val="none"/>
        </w:rPr>
        <w:t xml:space="preserve"> t</w:t>
      </w:r>
      <w:r w:rsidRPr="004C3BBE" w:rsidR="00DD31FF">
        <w:rPr>
          <w:rFonts w:ascii="Palatino Linotype" w:hAnsi="Palatino Linotype" w:eastAsia="Palatino Linotype" w:cs="Times New Roman"/>
          <w:snapToGrid w:val="0"/>
          <w:kern w:val="0"/>
          <w14:ligatures w14:val="none"/>
        </w:rPr>
        <w:t>he Medical Baseline customer group all customers enrolled in the Medical Baseline Program, as well as customers receiving an equivalent medical discount if enrolled in an opt-in rate that does not include tiers, consistent with Ordering Paragraph 25 of Decision 24-10-030</w:t>
      </w:r>
      <w:r w:rsidR="00C73E84">
        <w:rPr>
          <w:rFonts w:ascii="Palatino Linotype" w:hAnsi="Palatino Linotype" w:eastAsia="Palatino Linotype" w:cs="Times New Roman"/>
          <w:snapToGrid w:val="0"/>
          <w:kern w:val="0"/>
          <w14:ligatures w14:val="none"/>
        </w:rPr>
        <w:t>, for the purpose of the equity metrics framework adopted in this Resolution</w:t>
      </w:r>
      <w:r w:rsidRPr="004C3BBE" w:rsidR="00DD31FF">
        <w:rPr>
          <w:rFonts w:ascii="Palatino Linotype" w:hAnsi="Palatino Linotype" w:eastAsia="Palatino Linotype" w:cs="Times New Roman"/>
          <w:snapToGrid w:val="0"/>
          <w:kern w:val="0"/>
          <w14:ligatures w14:val="none"/>
        </w:rPr>
        <w:t>.</w:t>
      </w:r>
    </w:p>
    <w:p w:rsidRPr="00DD31FF" w:rsidR="00DD31FF" w:rsidP="00DD31FF" w:rsidRDefault="00DD31FF" w14:paraId="6E3D092A" w14:textId="5F357585">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shall develop and implement an econometric modeling framework consisting of three models for evaluating equity across the five equity-priority </w:t>
      </w:r>
      <w:r w:rsidRPr="00DD31FF">
        <w:rPr>
          <w:rFonts w:ascii="Palatino Linotype" w:hAnsi="Palatino Linotype" w:eastAsia="Palatino Linotype" w:cs="Times New Roman"/>
          <w:snapToGrid w:val="0"/>
          <w:kern w:val="0"/>
          <w14:ligatures w14:val="none"/>
        </w:rPr>
        <w:lastRenderedPageBreak/>
        <w:t xml:space="preserve">populations: (1) a </w:t>
      </w:r>
      <w:r w:rsidR="00A83684">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Load Growth</w:t>
      </w:r>
      <w:r w:rsidR="00A83684">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Multiple Linear Regression at the circuit level; </w:t>
      </w:r>
      <w:r w:rsidR="008C2194">
        <w:rPr>
          <w:rFonts w:ascii="Palatino Linotype" w:hAnsi="Palatino Linotype" w:eastAsia="Palatino Linotype" w:cs="Times New Roman"/>
          <w:snapToGrid w:val="0"/>
          <w:kern w:val="0"/>
          <w14:ligatures w14:val="none"/>
        </w:rPr>
        <w:br/>
      </w:r>
      <w:r w:rsidRPr="00DD31FF">
        <w:rPr>
          <w:rFonts w:ascii="Palatino Linotype" w:hAnsi="Palatino Linotype" w:eastAsia="Palatino Linotype" w:cs="Times New Roman"/>
          <w:snapToGrid w:val="0"/>
          <w:kern w:val="0"/>
          <w14:ligatures w14:val="none"/>
        </w:rPr>
        <w:t xml:space="preserve">(2) an </w:t>
      </w:r>
      <w:r w:rsidR="00A31291">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Available Headroom</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Multiple Linear Regression at the circuit level; and </w:t>
      </w:r>
      <w:r w:rsidR="008C2194">
        <w:rPr>
          <w:rFonts w:ascii="Palatino Linotype" w:hAnsi="Palatino Linotype" w:eastAsia="Palatino Linotype" w:cs="Times New Roman"/>
          <w:snapToGrid w:val="0"/>
          <w:kern w:val="0"/>
          <w14:ligatures w14:val="none"/>
        </w:rPr>
        <w:br/>
      </w:r>
      <w:r w:rsidRPr="00DD31FF">
        <w:rPr>
          <w:rFonts w:ascii="Palatino Linotype" w:hAnsi="Palatino Linotype" w:eastAsia="Palatino Linotype" w:cs="Times New Roman"/>
          <w:snapToGrid w:val="0"/>
          <w:kern w:val="0"/>
          <w14:ligatures w14:val="none"/>
        </w:rPr>
        <w:t xml:space="preserve">(3) a </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Project Initiation</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Logistic Regression at the project level, </w:t>
      </w:r>
      <w:r w:rsidRPr="00251110" w:rsidR="00251110">
        <w:rPr>
          <w:rFonts w:ascii="Palatino Linotype" w:hAnsi="Palatino Linotype" w:eastAsia="Palatino Linotype" w:cs="Times New Roman"/>
          <w:snapToGrid w:val="0"/>
          <w:kern w:val="0"/>
          <w14:ligatures w14:val="none"/>
        </w:rPr>
        <w:t>or other statistically appropriate specifications selected by Energy Division,</w:t>
      </w:r>
      <w:r w:rsidR="00251110">
        <w:rPr>
          <w:rFonts w:ascii="Palatino Linotype" w:hAnsi="Palatino Linotype" w:eastAsia="Palatino Linotype" w:cs="Times New Roman"/>
          <w:snapToGrid w:val="0"/>
          <w:kern w:val="0"/>
          <w14:ligatures w14:val="none"/>
        </w:rPr>
        <w:t xml:space="preserve"> </w:t>
      </w:r>
      <w:r w:rsidRPr="00DD31FF">
        <w:rPr>
          <w:rFonts w:ascii="Palatino Linotype" w:hAnsi="Palatino Linotype" w:eastAsia="Palatino Linotype" w:cs="Times New Roman"/>
          <w:snapToGrid w:val="0"/>
          <w:kern w:val="0"/>
          <w14:ligatures w14:val="none"/>
        </w:rPr>
        <w:t>as described in the Discussion section of this Resolution.</w:t>
      </w:r>
    </w:p>
    <w:p w:rsidRPr="00DD31FF" w:rsidR="00DD31FF" w:rsidP="00DD31FF" w:rsidRDefault="00DD31FF" w14:paraId="36957723"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shall publish an annual </w:t>
      </w:r>
      <w:r w:rsidR="002454C0">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Equity Metrics in the Distribution Planning and Execution Process Report</w:t>
      </w:r>
      <w:r w:rsidR="002454C0">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presenting the results of the econometric models described in Ordering Paragraph 5, including estimated coefficients, standard errors, p-values, goodness-of-fit statistics, model diagnostics, and a narrative summary of results and interpretation for all three Investor-Owned Utilities.</w:t>
      </w:r>
    </w:p>
    <w:p w:rsidRPr="00DD31FF" w:rsidR="00DD31FF" w:rsidP="00DD31FF" w:rsidRDefault="00EB68E0" w14:paraId="1F083C54" w14:textId="20EA6A5A">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A draft</w:t>
      </w:r>
      <w:r w:rsidRPr="00DD31FF" w:rsidR="00DD31FF">
        <w:rPr>
          <w:rFonts w:ascii="Palatino Linotype" w:hAnsi="Palatino Linotype" w:eastAsia="Palatino Linotype" w:cs="Times New Roman"/>
          <w:snapToGrid w:val="0"/>
          <w:kern w:val="0"/>
          <w14:ligatures w14:val="none"/>
        </w:rPr>
        <w:t xml:space="preserve"> Equity Metrics in the Distribution Planning and Execution Process </w:t>
      </w:r>
      <w:r w:rsidRPr="00DD31FF" w:rsidR="00D766E5">
        <w:rPr>
          <w:rFonts w:ascii="Palatino Linotype" w:hAnsi="Palatino Linotype" w:eastAsia="Palatino Linotype" w:cs="Times New Roman"/>
          <w:snapToGrid w:val="0"/>
          <w:kern w:val="0"/>
          <w14:ligatures w14:val="none"/>
        </w:rPr>
        <w:t>Report</w:t>
      </w:r>
      <w:r w:rsidR="00060991">
        <w:rPr>
          <w:rFonts w:ascii="Palatino Linotype" w:hAnsi="Palatino Linotype" w:eastAsia="Palatino Linotype" w:cs="Times New Roman"/>
          <w:snapToGrid w:val="0"/>
          <w:kern w:val="0"/>
          <w14:ligatures w14:val="none"/>
        </w:rPr>
        <w:t xml:space="preserve"> </w:t>
      </w:r>
      <w:r w:rsidR="005943D7">
        <w:rPr>
          <w:rFonts w:ascii="Palatino Linotype" w:hAnsi="Palatino Linotype" w:eastAsia="Palatino Linotype" w:cs="Times New Roman"/>
          <w:snapToGrid w:val="0"/>
          <w:kern w:val="0"/>
          <w14:ligatures w14:val="none"/>
        </w:rPr>
        <w:t xml:space="preserve">shall </w:t>
      </w:r>
      <w:r w:rsidRPr="00DD31FF" w:rsidR="00DD31FF">
        <w:rPr>
          <w:rFonts w:ascii="Palatino Linotype" w:hAnsi="Palatino Linotype" w:eastAsia="Palatino Linotype" w:cs="Times New Roman"/>
          <w:snapToGrid w:val="0"/>
          <w:kern w:val="0"/>
          <w14:ligatures w14:val="none"/>
        </w:rPr>
        <w:t xml:space="preserve">be delivered in the </w:t>
      </w:r>
      <w:r w:rsidR="000442A2">
        <w:rPr>
          <w:rFonts w:ascii="Palatino Linotype" w:hAnsi="Palatino Linotype" w:eastAsia="Palatino Linotype" w:cs="Times New Roman"/>
          <w:snapToGrid w:val="0"/>
          <w:kern w:val="0"/>
          <w14:ligatures w14:val="none"/>
        </w:rPr>
        <w:t>third</w:t>
      </w:r>
      <w:r w:rsidRPr="00DD31FF" w:rsidR="00DD31FF">
        <w:rPr>
          <w:rFonts w:ascii="Palatino Linotype" w:hAnsi="Palatino Linotype" w:eastAsia="Palatino Linotype" w:cs="Times New Roman"/>
          <w:snapToGrid w:val="0"/>
          <w:kern w:val="0"/>
          <w14:ligatures w14:val="none"/>
        </w:rPr>
        <w:t xml:space="preserve"> </w:t>
      </w:r>
      <w:r w:rsidR="003C26AD">
        <w:rPr>
          <w:rFonts w:ascii="Palatino Linotype" w:hAnsi="Palatino Linotype" w:eastAsia="Palatino Linotype" w:cs="Times New Roman"/>
          <w:snapToGrid w:val="0"/>
          <w:kern w:val="0"/>
          <w14:ligatures w14:val="none"/>
        </w:rPr>
        <w:t>quarter</w:t>
      </w:r>
      <w:r w:rsidRPr="00DD31FF" w:rsidR="003C26AD">
        <w:rPr>
          <w:rFonts w:ascii="Palatino Linotype" w:hAnsi="Palatino Linotype" w:eastAsia="Palatino Linotype" w:cs="Times New Roman"/>
          <w:snapToGrid w:val="0"/>
          <w:kern w:val="0"/>
          <w14:ligatures w14:val="none"/>
        </w:rPr>
        <w:t xml:space="preserve"> </w:t>
      </w:r>
      <w:r w:rsidRPr="00DD31FF" w:rsidR="00DD31FF">
        <w:rPr>
          <w:rFonts w:ascii="Palatino Linotype" w:hAnsi="Palatino Linotype" w:eastAsia="Palatino Linotype" w:cs="Times New Roman"/>
          <w:snapToGrid w:val="0"/>
          <w:kern w:val="0"/>
          <w14:ligatures w14:val="none"/>
        </w:rPr>
        <w:t>of 2027</w:t>
      </w:r>
      <w:r>
        <w:rPr>
          <w:rFonts w:ascii="Palatino Linotype" w:hAnsi="Palatino Linotype" w:eastAsia="Palatino Linotype" w:cs="Times New Roman"/>
          <w:snapToGrid w:val="0"/>
          <w:kern w:val="0"/>
          <w14:ligatures w14:val="none"/>
        </w:rPr>
        <w:t xml:space="preserve"> based on the October 16, </w:t>
      </w:r>
      <w:proofErr w:type="gramStart"/>
      <w:r>
        <w:rPr>
          <w:rFonts w:ascii="Palatino Linotype" w:hAnsi="Palatino Linotype" w:eastAsia="Palatino Linotype" w:cs="Times New Roman"/>
          <w:snapToGrid w:val="0"/>
          <w:kern w:val="0"/>
          <w14:ligatures w14:val="none"/>
        </w:rPr>
        <w:t>2026</w:t>
      </w:r>
      <w:proofErr w:type="gramEnd"/>
      <w:r>
        <w:rPr>
          <w:rFonts w:ascii="Palatino Linotype" w:hAnsi="Palatino Linotype" w:eastAsia="Palatino Linotype" w:cs="Times New Roman"/>
          <w:snapToGrid w:val="0"/>
          <w:kern w:val="0"/>
          <w14:ligatures w14:val="none"/>
        </w:rPr>
        <w:t xml:space="preserve"> and December 31, </w:t>
      </w:r>
      <w:proofErr w:type="gramStart"/>
      <w:r>
        <w:rPr>
          <w:rFonts w:ascii="Palatino Linotype" w:hAnsi="Palatino Linotype" w:eastAsia="Palatino Linotype" w:cs="Times New Roman"/>
          <w:snapToGrid w:val="0"/>
          <w:kern w:val="0"/>
          <w14:ligatures w14:val="none"/>
        </w:rPr>
        <w:t>2026</w:t>
      </w:r>
      <w:proofErr w:type="gramEnd"/>
      <w:r>
        <w:rPr>
          <w:rFonts w:ascii="Palatino Linotype" w:hAnsi="Palatino Linotype" w:eastAsia="Palatino Linotype" w:cs="Times New Roman"/>
          <w:snapToGrid w:val="0"/>
          <w:kern w:val="0"/>
          <w14:ligatures w14:val="none"/>
        </w:rPr>
        <w:t xml:space="preserve"> data submissions</w:t>
      </w:r>
      <w:r w:rsidRPr="00DD31FF" w:rsidR="00DD31FF">
        <w:rPr>
          <w:rFonts w:ascii="Palatino Linotype" w:hAnsi="Palatino Linotype" w:eastAsia="Palatino Linotype" w:cs="Times New Roman"/>
          <w:snapToGrid w:val="0"/>
          <w:kern w:val="0"/>
          <w14:ligatures w14:val="none"/>
        </w:rPr>
        <w:t xml:space="preserve">. </w:t>
      </w:r>
      <w:r>
        <w:rPr>
          <w:rFonts w:ascii="Palatino Linotype" w:hAnsi="Palatino Linotype" w:eastAsia="Palatino Linotype" w:cs="Times New Roman"/>
          <w:snapToGrid w:val="0"/>
          <w:kern w:val="0"/>
          <w14:ligatures w14:val="none"/>
        </w:rPr>
        <w:t xml:space="preserve">The first official Equity Metrics in DPEP Report shall be published in the first quarter of 2028, reflecting data from the </w:t>
      </w:r>
      <w:r w:rsidR="008C2194">
        <w:rPr>
          <w:rFonts w:ascii="Palatino Linotype" w:hAnsi="Palatino Linotype" w:eastAsia="Palatino Linotype" w:cs="Times New Roman"/>
          <w:snapToGrid w:val="0"/>
          <w:kern w:val="0"/>
          <w14:ligatures w14:val="none"/>
        </w:rPr>
        <w:br/>
      </w:r>
      <w:r>
        <w:rPr>
          <w:rFonts w:ascii="Palatino Linotype" w:hAnsi="Palatino Linotype" w:eastAsia="Palatino Linotype" w:cs="Times New Roman"/>
          <w:snapToGrid w:val="0"/>
          <w:kern w:val="0"/>
          <w14:ligatures w14:val="none"/>
        </w:rPr>
        <w:t xml:space="preserve">2026-2027 DPEP cycle (2026-2027 GNA and DUPR filings submitted </w:t>
      </w:r>
      <w:proofErr w:type="gramStart"/>
      <w:r>
        <w:rPr>
          <w:rFonts w:ascii="Palatino Linotype" w:hAnsi="Palatino Linotype" w:eastAsia="Palatino Linotype" w:cs="Times New Roman"/>
          <w:snapToGrid w:val="0"/>
          <w:kern w:val="0"/>
          <w14:ligatures w14:val="none"/>
        </w:rPr>
        <w:t>in</w:t>
      </w:r>
      <w:proofErr w:type="gramEnd"/>
      <w:r>
        <w:rPr>
          <w:rFonts w:ascii="Palatino Linotype" w:hAnsi="Palatino Linotype" w:eastAsia="Palatino Linotype" w:cs="Times New Roman"/>
          <w:snapToGrid w:val="0"/>
          <w:kern w:val="0"/>
          <w14:ligatures w14:val="none"/>
        </w:rPr>
        <w:t xml:space="preserve"> August 16 of 2027). </w:t>
      </w:r>
      <w:r w:rsidRPr="00DD31FF" w:rsidR="00DD31FF">
        <w:rPr>
          <w:rFonts w:ascii="Palatino Linotype" w:hAnsi="Palatino Linotype" w:eastAsia="Palatino Linotype" w:cs="Times New Roman"/>
          <w:snapToGrid w:val="0"/>
          <w:kern w:val="0"/>
          <w14:ligatures w14:val="none"/>
        </w:rPr>
        <w:t xml:space="preserve">In subsequent years,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DD31FF" w:rsidR="00DD31FF">
        <w:rPr>
          <w:rFonts w:ascii="Palatino Linotype" w:hAnsi="Palatino Linotype" w:eastAsia="Palatino Linotype" w:cs="Times New Roman"/>
          <w:snapToGrid w:val="0"/>
          <w:kern w:val="0"/>
          <w14:ligatures w14:val="none"/>
        </w:rPr>
        <w:t xml:space="preserve"> shall be published in the first quarter of each calendar year, reflecting data from the prior year's Distribution Planning and Execution Process cycle.</w:t>
      </w:r>
    </w:p>
    <w:p w:rsidRPr="00DD31FF" w:rsidR="00DD31FF" w:rsidP="00DD31FF" w:rsidRDefault="00DD31FF" w14:paraId="19FF285A"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Pacific Gas and Electric Company, Southern California Edison Company, and San Diego Gas &amp; Electric Company shall submit equity metrics input data annually as a separate appendix to their Grid Needs Assessment </w:t>
      </w:r>
      <w:r w:rsidR="008B7487">
        <w:rPr>
          <w:rFonts w:ascii="Palatino Linotype" w:hAnsi="Palatino Linotype" w:eastAsia="Palatino Linotype" w:cs="Times New Roman"/>
          <w:snapToGrid w:val="0"/>
          <w:kern w:val="0"/>
          <w14:ligatures w14:val="none"/>
        </w:rPr>
        <w:t xml:space="preserve">(GNA) </w:t>
      </w:r>
      <w:r w:rsidRPr="00DD31FF">
        <w:rPr>
          <w:rFonts w:ascii="Palatino Linotype" w:hAnsi="Palatino Linotype" w:eastAsia="Palatino Linotype" w:cs="Times New Roman"/>
          <w:snapToGrid w:val="0"/>
          <w:kern w:val="0"/>
          <w14:ligatures w14:val="none"/>
        </w:rPr>
        <w:t xml:space="preserve">filing, and as part of their Distribution Upgrade Project Report </w:t>
      </w:r>
      <w:r w:rsidR="00C3659C">
        <w:rPr>
          <w:rFonts w:ascii="Palatino Linotype" w:hAnsi="Palatino Linotype" w:eastAsia="Palatino Linotype" w:cs="Times New Roman"/>
          <w:snapToGrid w:val="0"/>
          <w:kern w:val="0"/>
          <w14:ligatures w14:val="none"/>
        </w:rPr>
        <w:t xml:space="preserve">(DUPR) </w:t>
      </w:r>
      <w:r w:rsidRPr="00DD31FF">
        <w:rPr>
          <w:rFonts w:ascii="Palatino Linotype" w:hAnsi="Palatino Linotype" w:eastAsia="Palatino Linotype" w:cs="Times New Roman"/>
          <w:snapToGrid w:val="0"/>
          <w:kern w:val="0"/>
          <w14:ligatures w14:val="none"/>
        </w:rPr>
        <w:t xml:space="preserve">filing, </w:t>
      </w:r>
      <w:r w:rsidR="00F55DB9">
        <w:rPr>
          <w:rFonts w:ascii="Palatino Linotype" w:hAnsi="Palatino Linotype" w:eastAsia="Palatino Linotype" w:cs="Times New Roman"/>
          <w:snapToGrid w:val="0"/>
          <w:kern w:val="0"/>
          <w14:ligatures w14:val="none"/>
        </w:rPr>
        <w:t xml:space="preserve">each </w:t>
      </w:r>
      <w:r w:rsidR="000D3DCB">
        <w:rPr>
          <w:rFonts w:ascii="Palatino Linotype" w:hAnsi="Palatino Linotype" w:eastAsia="Palatino Linotype" w:cs="Times New Roman"/>
          <w:snapToGrid w:val="0"/>
          <w:kern w:val="0"/>
          <w14:ligatures w14:val="none"/>
        </w:rPr>
        <w:t>titled “</w:t>
      </w:r>
      <w:r w:rsidR="00C13FF3">
        <w:rPr>
          <w:rFonts w:ascii="Palatino Linotype" w:hAnsi="Palatino Linotype" w:eastAsia="Palatino Linotype" w:cs="Times New Roman"/>
          <w:snapToGrid w:val="0"/>
          <w:kern w:val="0"/>
          <w14:ligatures w14:val="none"/>
        </w:rPr>
        <w:t>Equity Metric Statistics</w:t>
      </w:r>
      <w:r w:rsidR="000D3DCB">
        <w:rPr>
          <w:rFonts w:ascii="Palatino Linotype" w:hAnsi="Palatino Linotype" w:eastAsia="Palatino Linotype" w:cs="Times New Roman"/>
          <w:snapToGrid w:val="0"/>
          <w:kern w:val="0"/>
          <w14:ligatures w14:val="none"/>
        </w:rPr>
        <w:t>”</w:t>
      </w:r>
      <w:r w:rsidR="00373D5A">
        <w:rPr>
          <w:rFonts w:ascii="Palatino Linotype" w:hAnsi="Palatino Linotype" w:eastAsia="Palatino Linotype" w:cs="Times New Roman"/>
          <w:snapToGrid w:val="0"/>
          <w:kern w:val="0"/>
          <w14:ligatures w14:val="none"/>
        </w:rPr>
        <w:t xml:space="preserve"> in their respective submission of a circuit level and project level data</w:t>
      </w:r>
      <w:r w:rsidR="00FB2BC0">
        <w:rPr>
          <w:rFonts w:ascii="Palatino Linotype" w:hAnsi="Palatino Linotype" w:eastAsia="Palatino Linotype" w:cs="Times New Roman"/>
          <w:snapToGrid w:val="0"/>
          <w:kern w:val="0"/>
          <w14:ligatures w14:val="none"/>
        </w:rPr>
        <w:t>,</w:t>
      </w:r>
      <w:r w:rsidR="00FB28F5">
        <w:rPr>
          <w:rFonts w:ascii="Palatino Linotype" w:hAnsi="Palatino Linotype" w:eastAsia="Palatino Linotype" w:cs="Times New Roman"/>
          <w:snapToGrid w:val="0"/>
          <w:kern w:val="0"/>
          <w14:ligatures w14:val="none"/>
        </w:rPr>
        <w:t xml:space="preserve"> </w:t>
      </w:r>
      <w:r w:rsidRPr="00DD31FF">
        <w:rPr>
          <w:rFonts w:ascii="Palatino Linotype" w:hAnsi="Palatino Linotype" w:eastAsia="Palatino Linotype" w:cs="Times New Roman"/>
          <w:snapToGrid w:val="0"/>
          <w:kern w:val="0"/>
          <w14:ligatures w14:val="none"/>
        </w:rPr>
        <w:t>consistent with the data fields, definitions, and structure specified in Attachment A to this Resolution</w:t>
      </w:r>
      <w:r w:rsidR="00912F1E">
        <w:rPr>
          <w:rFonts w:ascii="Palatino Linotype" w:hAnsi="Palatino Linotype" w:eastAsia="Palatino Linotype" w:cs="Times New Roman"/>
          <w:snapToGrid w:val="0"/>
          <w:kern w:val="0"/>
          <w14:ligatures w14:val="none"/>
        </w:rPr>
        <w:t xml:space="preserve"> </w:t>
      </w:r>
      <w:r w:rsidRPr="00912F1E" w:rsidR="00912F1E">
        <w:rPr>
          <w:rFonts w:ascii="Palatino Linotype" w:hAnsi="Palatino Linotype" w:eastAsia="Palatino Linotype" w:cs="Times New Roman"/>
          <w:snapToGrid w:val="0"/>
          <w:kern w:val="0"/>
          <w14:ligatures w14:val="none"/>
        </w:rPr>
        <w:t xml:space="preserve">(circuit-level data in the </w:t>
      </w:r>
      <w:proofErr w:type="spellStart"/>
      <w:r w:rsidRPr="00912F1E" w:rsidR="00912F1E">
        <w:rPr>
          <w:rFonts w:ascii="Palatino Linotype" w:hAnsi="Palatino Linotype" w:eastAsia="Palatino Linotype" w:cs="Times New Roman"/>
          <w:snapToGrid w:val="0"/>
          <w:kern w:val="0"/>
          <w14:ligatures w14:val="none"/>
        </w:rPr>
        <w:t>Circuit_Data</w:t>
      </w:r>
      <w:proofErr w:type="spellEnd"/>
      <w:r w:rsidRPr="00912F1E" w:rsidR="00912F1E">
        <w:rPr>
          <w:rFonts w:ascii="Palatino Linotype" w:hAnsi="Palatino Linotype" w:eastAsia="Palatino Linotype" w:cs="Times New Roman"/>
          <w:snapToGrid w:val="0"/>
          <w:kern w:val="0"/>
          <w14:ligatures w14:val="none"/>
        </w:rPr>
        <w:t xml:space="preserve"> tab for the GNA appendix; project-level data in the </w:t>
      </w:r>
      <w:proofErr w:type="spellStart"/>
      <w:r w:rsidRPr="00912F1E" w:rsidR="00912F1E">
        <w:rPr>
          <w:rFonts w:ascii="Palatino Linotype" w:hAnsi="Palatino Linotype" w:eastAsia="Palatino Linotype" w:cs="Times New Roman"/>
          <w:snapToGrid w:val="0"/>
          <w:kern w:val="0"/>
          <w14:ligatures w14:val="none"/>
        </w:rPr>
        <w:t>Project_Data</w:t>
      </w:r>
      <w:proofErr w:type="spellEnd"/>
      <w:r w:rsidRPr="00912F1E" w:rsidR="00912F1E">
        <w:rPr>
          <w:rFonts w:ascii="Palatino Linotype" w:hAnsi="Palatino Linotype" w:eastAsia="Palatino Linotype" w:cs="Times New Roman"/>
          <w:snapToGrid w:val="0"/>
          <w:kern w:val="0"/>
          <w14:ligatures w14:val="none"/>
        </w:rPr>
        <w:t xml:space="preserve"> tab for the DUPR appendix). These appendices shall be additional to the existing material submitted in those filings.</w:t>
      </w:r>
    </w:p>
    <w:p w:rsidRPr="00DD31FF" w:rsidR="00DD31FF" w:rsidP="00DD31FF" w:rsidRDefault="00220ADA" w14:paraId="6CBBC342" w14:textId="22FBFE69">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P</w:t>
      </w:r>
      <w:r w:rsidRPr="00DD31FF" w:rsidR="00711C4B">
        <w:rPr>
          <w:rFonts w:ascii="Palatino Linotype" w:hAnsi="Palatino Linotype" w:eastAsia="Palatino Linotype" w:cs="Times New Roman"/>
          <w:snapToGrid w:val="0"/>
          <w:kern w:val="0"/>
          <w14:ligatures w14:val="none"/>
        </w:rPr>
        <w:t>ursuant to Ordering Paragraph 8</w:t>
      </w:r>
      <w:r>
        <w:rPr>
          <w:rFonts w:ascii="Palatino Linotype" w:hAnsi="Palatino Linotype" w:eastAsia="Palatino Linotype" w:cs="Times New Roman"/>
          <w:snapToGrid w:val="0"/>
          <w:kern w:val="0"/>
          <w14:ligatures w14:val="none"/>
        </w:rPr>
        <w:t>, t</w:t>
      </w:r>
      <w:r w:rsidRPr="00DD31FF" w:rsidR="00DD31FF">
        <w:rPr>
          <w:rFonts w:ascii="Palatino Linotype" w:hAnsi="Palatino Linotype" w:eastAsia="Palatino Linotype" w:cs="Times New Roman"/>
          <w:snapToGrid w:val="0"/>
          <w:kern w:val="0"/>
          <w14:ligatures w14:val="none"/>
        </w:rPr>
        <w:t xml:space="preserve">he </w:t>
      </w:r>
      <w:r w:rsidR="00EB68E0">
        <w:rPr>
          <w:rFonts w:ascii="Palatino Linotype" w:hAnsi="Palatino Linotype" w:eastAsia="Palatino Linotype" w:cs="Times New Roman"/>
          <w:snapToGrid w:val="0"/>
          <w:kern w:val="0"/>
          <w14:ligatures w14:val="none"/>
        </w:rPr>
        <w:t xml:space="preserve">initial </w:t>
      </w:r>
      <w:r w:rsidRPr="00DD31FF" w:rsidR="00DD31FF">
        <w:rPr>
          <w:rFonts w:ascii="Palatino Linotype" w:hAnsi="Palatino Linotype" w:eastAsia="Palatino Linotype" w:cs="Times New Roman"/>
          <w:snapToGrid w:val="0"/>
          <w:kern w:val="0"/>
          <w14:ligatures w14:val="none"/>
        </w:rPr>
        <w:t xml:space="preserve">submission of equity metrics input data shall be </w:t>
      </w:r>
      <w:r w:rsidR="00EB68E0">
        <w:rPr>
          <w:rFonts w:ascii="Palatino Linotype" w:hAnsi="Palatino Linotype" w:eastAsia="Palatino Linotype" w:cs="Times New Roman"/>
          <w:snapToGrid w:val="0"/>
          <w:kern w:val="0"/>
          <w14:ligatures w14:val="none"/>
        </w:rPr>
        <w:t xml:space="preserve">executed in two phases: (1) The 2025-2056 GNA and DUPR data, </w:t>
      </w:r>
      <w:r w:rsidR="00B02E13">
        <w:rPr>
          <w:rFonts w:ascii="Palatino Linotype" w:hAnsi="Palatino Linotype" w:eastAsia="Palatino Linotype" w:cs="Times New Roman"/>
          <w:snapToGrid w:val="0"/>
          <w:kern w:val="0"/>
          <w14:ligatures w14:val="none"/>
        </w:rPr>
        <w:t>shall be formatted and submitted in Attachment A format</w:t>
      </w:r>
      <w:r w:rsidRPr="00DD31FF" w:rsidR="00DD31FF">
        <w:rPr>
          <w:rFonts w:ascii="Palatino Linotype" w:hAnsi="Palatino Linotype" w:eastAsia="Palatino Linotype" w:cs="Times New Roman"/>
          <w:snapToGrid w:val="0"/>
          <w:kern w:val="0"/>
          <w14:ligatures w14:val="none"/>
        </w:rPr>
        <w:t xml:space="preserve"> no later than </w:t>
      </w:r>
      <w:r w:rsidR="009E4CE9">
        <w:rPr>
          <w:rFonts w:ascii="Palatino Linotype" w:hAnsi="Palatino Linotype" w:eastAsia="Palatino Linotype" w:cs="Times New Roman"/>
          <w:kern w:val="0"/>
          <w14:ligatures w14:val="none"/>
        </w:rPr>
        <w:t>October 1</w:t>
      </w:r>
      <w:r w:rsidR="009E4CE9">
        <w:rPr>
          <w:rFonts w:ascii="Palatino Linotype" w:hAnsi="Palatino Linotype" w:eastAsia="Palatino Linotype"/>
        </w:rPr>
        <w:t>6</w:t>
      </w:r>
      <w:r w:rsidRPr="00DD31FF" w:rsidR="00DD31FF">
        <w:rPr>
          <w:rFonts w:ascii="Palatino Linotype" w:hAnsi="Palatino Linotype" w:eastAsia="Palatino Linotype" w:cs="Times New Roman"/>
          <w:snapToGrid w:val="0"/>
          <w:kern w:val="0"/>
          <w14:ligatures w14:val="none"/>
        </w:rPr>
        <w:t>, 2026</w:t>
      </w:r>
      <w:r w:rsidR="00B02E13">
        <w:rPr>
          <w:rFonts w:ascii="Palatino Linotype" w:hAnsi="Palatino Linotype" w:eastAsia="Palatino Linotype" w:cs="Times New Roman"/>
          <w:snapToGrid w:val="0"/>
          <w:kern w:val="0"/>
          <w14:ligatures w14:val="none"/>
        </w:rPr>
        <w:t>. (2) Historical equity metrics data filed in the GNA and DUPR (Previously DDOR) in the period 2019 through 2025 shall be submitted in Attachment A format no later than December 31, 2026.</w:t>
      </w:r>
      <w:r w:rsidRPr="00DD31FF" w:rsidR="00DD31FF">
        <w:rPr>
          <w:rFonts w:ascii="Palatino Linotype" w:hAnsi="Palatino Linotype" w:eastAsia="Palatino Linotype" w:cs="Times New Roman"/>
          <w:snapToGrid w:val="0"/>
          <w:kern w:val="0"/>
          <w14:ligatures w14:val="none"/>
        </w:rPr>
        <w:t xml:space="preserve"> </w:t>
      </w:r>
      <w:r w:rsidR="00B02E13">
        <w:rPr>
          <w:rFonts w:ascii="Palatino Linotype" w:hAnsi="Palatino Linotype" w:eastAsia="Palatino Linotype" w:cs="Times New Roman"/>
          <w:snapToGrid w:val="0"/>
          <w:kern w:val="0"/>
          <w14:ligatures w14:val="none"/>
        </w:rPr>
        <w:t>Both submissions</w:t>
      </w:r>
      <w:r w:rsidRPr="00DD31FF" w:rsidR="00DD31FF">
        <w:rPr>
          <w:rFonts w:ascii="Palatino Linotype" w:hAnsi="Palatino Linotype" w:eastAsia="Palatino Linotype" w:cs="Times New Roman"/>
          <w:snapToGrid w:val="0"/>
          <w:kern w:val="0"/>
          <w14:ligatures w14:val="none"/>
        </w:rPr>
        <w:t xml:space="preserve"> shall reflect</w:t>
      </w:r>
      <w:r w:rsidR="00016B61">
        <w:rPr>
          <w:rFonts w:ascii="Palatino Linotype" w:hAnsi="Palatino Linotype" w:eastAsia="Palatino Linotype" w:cs="Times New Roman"/>
          <w:snapToGrid w:val="0"/>
          <w:kern w:val="0"/>
          <w14:ligatures w14:val="none"/>
        </w:rPr>
        <w:t xml:space="preserve"> </w:t>
      </w:r>
      <w:r w:rsidR="006509C2">
        <w:rPr>
          <w:rFonts w:ascii="Palatino Linotype" w:hAnsi="Palatino Linotype" w:eastAsia="Palatino Linotype" w:cs="Times New Roman"/>
          <w:snapToGrid w:val="0"/>
          <w:kern w:val="0"/>
          <w14:ligatures w14:val="none"/>
        </w:rPr>
        <w:t xml:space="preserve">the data fields </w:t>
      </w:r>
      <w:r w:rsidR="009B4DA9">
        <w:rPr>
          <w:rFonts w:ascii="Palatino Linotype" w:hAnsi="Palatino Linotype" w:eastAsia="Palatino Linotype" w:cs="Times New Roman"/>
          <w:snapToGrid w:val="0"/>
          <w:kern w:val="0"/>
          <w14:ligatures w14:val="none"/>
        </w:rPr>
        <w:t xml:space="preserve">and </w:t>
      </w:r>
      <w:proofErr w:type="gramStart"/>
      <w:r w:rsidR="009B4DA9">
        <w:rPr>
          <w:rFonts w:ascii="Palatino Linotype" w:hAnsi="Palatino Linotype" w:eastAsia="Palatino Linotype" w:cs="Times New Roman"/>
          <w:snapToGrid w:val="0"/>
          <w:kern w:val="0"/>
          <w14:ligatures w14:val="none"/>
        </w:rPr>
        <w:t>structured</w:t>
      </w:r>
      <w:proofErr w:type="gramEnd"/>
      <w:r w:rsidR="009B4DA9">
        <w:rPr>
          <w:rFonts w:ascii="Palatino Linotype" w:hAnsi="Palatino Linotype" w:eastAsia="Palatino Linotype" w:cs="Times New Roman"/>
          <w:snapToGrid w:val="0"/>
          <w:kern w:val="0"/>
          <w14:ligatures w14:val="none"/>
        </w:rPr>
        <w:t xml:space="preserve"> specified</w:t>
      </w:r>
      <w:r w:rsidR="00AC3CA6">
        <w:rPr>
          <w:rFonts w:ascii="Palatino Linotype" w:hAnsi="Palatino Linotype" w:eastAsia="Palatino Linotype" w:cs="Times New Roman"/>
          <w:snapToGrid w:val="0"/>
          <w:kern w:val="0"/>
          <w14:ligatures w14:val="none"/>
        </w:rPr>
        <w:t xml:space="preserve"> in Attachment A </w:t>
      </w:r>
      <w:r w:rsidR="00FF088B">
        <w:rPr>
          <w:rFonts w:ascii="Palatino Linotype" w:hAnsi="Palatino Linotype" w:eastAsia="Palatino Linotype" w:cs="Times New Roman"/>
          <w:snapToGrid w:val="0"/>
          <w:kern w:val="0"/>
          <w14:ligatures w14:val="none"/>
        </w:rPr>
        <w:t>to this Resolution</w:t>
      </w:r>
      <w:r w:rsidRPr="00DD31FF" w:rsidR="00DD31FF">
        <w:rPr>
          <w:rFonts w:ascii="Palatino Linotype" w:hAnsi="Palatino Linotype" w:eastAsia="Palatino Linotype" w:cs="Times New Roman"/>
          <w:snapToGrid w:val="0"/>
          <w:kern w:val="0"/>
          <w14:ligatures w14:val="none"/>
        </w:rPr>
        <w:t>, to the extent available, the forecasted data previously reported in past GNA and DUPR filings for the period</w:t>
      </w:r>
      <w:r w:rsidR="00B02E13">
        <w:rPr>
          <w:rFonts w:ascii="Palatino Linotype" w:hAnsi="Palatino Linotype" w:eastAsia="Palatino Linotype" w:cs="Times New Roman"/>
          <w:snapToGrid w:val="0"/>
          <w:kern w:val="0"/>
          <w14:ligatures w14:val="none"/>
        </w:rPr>
        <w:t>s covered. This phased approach allows Energy Division to develop, test and validate the econometric models using both historical and recent GNA/DUPR data.</w:t>
      </w:r>
    </w:p>
    <w:p w:rsidRPr="00DD31FF" w:rsidR="00DD31FF" w:rsidP="00DD31FF" w:rsidRDefault="00303383" w14:paraId="7A3EAE83" w14:textId="32BAB645">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lastRenderedPageBreak/>
        <w:t>S</w:t>
      </w:r>
      <w:r w:rsidR="00563D39">
        <w:rPr>
          <w:rFonts w:ascii="Palatino Linotype" w:hAnsi="Palatino Linotype" w:eastAsia="Palatino Linotype" w:cs="Times New Roman"/>
          <w:snapToGrid w:val="0"/>
          <w:kern w:val="0"/>
          <w14:ligatures w14:val="none"/>
        </w:rPr>
        <w:t>tarting</w:t>
      </w:r>
      <w:r w:rsidR="003C44AA">
        <w:rPr>
          <w:rFonts w:ascii="Palatino Linotype" w:hAnsi="Palatino Linotype" w:eastAsia="Palatino Linotype" w:cs="Times New Roman"/>
          <w:snapToGrid w:val="0"/>
          <w:kern w:val="0"/>
          <w14:ligatures w14:val="none"/>
        </w:rPr>
        <w:t xml:space="preserve"> </w:t>
      </w:r>
      <w:r w:rsidR="00B02E13">
        <w:rPr>
          <w:rFonts w:ascii="Palatino Linotype" w:hAnsi="Palatino Linotype" w:eastAsia="Palatino Linotype" w:cs="Times New Roman"/>
          <w:snapToGrid w:val="0"/>
          <w:kern w:val="0"/>
          <w14:ligatures w14:val="none"/>
        </w:rPr>
        <w:t>with the 2026-</w:t>
      </w:r>
      <w:r w:rsidR="00563D39">
        <w:rPr>
          <w:rFonts w:ascii="Palatino Linotype" w:hAnsi="Palatino Linotype" w:eastAsia="Palatino Linotype" w:cs="Times New Roman"/>
          <w:snapToGrid w:val="0"/>
          <w:kern w:val="0"/>
          <w14:ligatures w14:val="none"/>
        </w:rPr>
        <w:t>2027</w:t>
      </w:r>
      <w:r w:rsidR="00B02E13">
        <w:rPr>
          <w:rFonts w:ascii="Palatino Linotype" w:hAnsi="Palatino Linotype" w:eastAsia="Palatino Linotype" w:cs="Times New Roman"/>
          <w:snapToGrid w:val="0"/>
          <w:kern w:val="0"/>
          <w14:ligatures w14:val="none"/>
        </w:rPr>
        <w:t xml:space="preserve"> GNA/DUPR</w:t>
      </w:r>
      <w:r w:rsidRPr="00DD31FF" w:rsidR="00DD31FF">
        <w:rPr>
          <w:rFonts w:ascii="Palatino Linotype" w:hAnsi="Palatino Linotype" w:eastAsia="Palatino Linotype" w:cs="Times New Roman"/>
          <w:snapToGrid w:val="0"/>
          <w:kern w:val="0"/>
          <w14:ligatures w14:val="none"/>
        </w:rPr>
        <w:t>,</w:t>
      </w:r>
      <w:r w:rsidR="00647DC9">
        <w:rPr>
          <w:rFonts w:ascii="Palatino Linotype" w:hAnsi="Palatino Linotype" w:eastAsia="Palatino Linotype" w:cs="Times New Roman"/>
          <w:snapToGrid w:val="0"/>
          <w:kern w:val="0"/>
          <w14:ligatures w14:val="none"/>
        </w:rPr>
        <w:t xml:space="preserve"> and each subsequent year,</w:t>
      </w:r>
      <w:r w:rsidRPr="00DD31FF" w:rsidR="00DD31FF">
        <w:rPr>
          <w:rFonts w:ascii="Palatino Linotype" w:hAnsi="Palatino Linotype" w:eastAsia="Palatino Linotype" w:cs="Times New Roman"/>
          <w:snapToGrid w:val="0"/>
          <w:kern w:val="0"/>
          <w14:ligatures w14:val="none"/>
        </w:rPr>
        <w:t xml:space="preserve"> equity metrics input data</w:t>
      </w:r>
      <w:r w:rsidR="00F25CBB">
        <w:rPr>
          <w:rFonts w:ascii="Palatino Linotype" w:hAnsi="Palatino Linotype" w:eastAsia="Palatino Linotype" w:cs="Times New Roman"/>
          <w:snapToGrid w:val="0"/>
          <w:kern w:val="0"/>
          <w14:ligatures w14:val="none"/>
        </w:rPr>
        <w:t>, consistent with Attachment A to this Resolution</w:t>
      </w:r>
      <w:r w:rsidR="00F27762">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 xml:space="preserve"> shall be submitted on the same schedule as the Investor-Owned Utilities' regular Grid Needs Assessment </w:t>
      </w:r>
      <w:r w:rsidR="006356C8">
        <w:rPr>
          <w:rFonts w:ascii="Palatino Linotype" w:hAnsi="Palatino Linotype" w:eastAsia="Palatino Linotype" w:cs="Times New Roman"/>
          <w:snapToGrid w:val="0"/>
          <w:kern w:val="0"/>
          <w14:ligatures w14:val="none"/>
        </w:rPr>
        <w:t xml:space="preserve">(GNA) </w:t>
      </w:r>
      <w:r w:rsidRPr="00DD31FF" w:rsidR="00DD31FF">
        <w:rPr>
          <w:rFonts w:ascii="Palatino Linotype" w:hAnsi="Palatino Linotype" w:eastAsia="Palatino Linotype" w:cs="Times New Roman"/>
          <w:snapToGrid w:val="0"/>
          <w:kern w:val="0"/>
          <w14:ligatures w14:val="none"/>
        </w:rPr>
        <w:t xml:space="preserve">and Distribution Upgrade Project Report </w:t>
      </w:r>
      <w:r w:rsidR="006356C8">
        <w:rPr>
          <w:rFonts w:ascii="Palatino Linotype" w:hAnsi="Palatino Linotype" w:eastAsia="Palatino Linotype" w:cs="Times New Roman"/>
          <w:snapToGrid w:val="0"/>
          <w:kern w:val="0"/>
          <w14:ligatures w14:val="none"/>
        </w:rPr>
        <w:t xml:space="preserve">(DUPR) </w:t>
      </w:r>
      <w:r w:rsidRPr="00DD31FF" w:rsidR="00DD31FF">
        <w:rPr>
          <w:rFonts w:ascii="Palatino Linotype" w:hAnsi="Palatino Linotype" w:eastAsia="Palatino Linotype" w:cs="Times New Roman"/>
          <w:snapToGrid w:val="0"/>
          <w:kern w:val="0"/>
          <w14:ligatures w14:val="none"/>
        </w:rPr>
        <w:t xml:space="preserve">filings, covering the same </w:t>
      </w:r>
      <w:r w:rsidR="004056DA">
        <w:rPr>
          <w:rFonts w:ascii="Palatino Linotype" w:hAnsi="Palatino Linotype" w:eastAsia="Palatino Linotype" w:cs="Times New Roman"/>
          <w:snapToGrid w:val="0"/>
          <w:kern w:val="0"/>
          <w14:ligatures w14:val="none"/>
        </w:rPr>
        <w:t xml:space="preserve">reporting </w:t>
      </w:r>
      <w:r w:rsidRPr="00DD31FF" w:rsidR="00DD31FF">
        <w:rPr>
          <w:rFonts w:ascii="Palatino Linotype" w:hAnsi="Palatino Linotype" w:eastAsia="Palatino Linotype" w:cs="Times New Roman"/>
          <w:snapToGrid w:val="0"/>
          <w:kern w:val="0"/>
          <w14:ligatures w14:val="none"/>
        </w:rPr>
        <w:t xml:space="preserve">years and planning horizon as </w:t>
      </w:r>
      <w:r w:rsidR="004056DA">
        <w:rPr>
          <w:rFonts w:ascii="Palatino Linotype" w:hAnsi="Palatino Linotype" w:eastAsia="Palatino Linotype" w:cs="Times New Roman"/>
          <w:snapToGrid w:val="0"/>
          <w:kern w:val="0"/>
          <w14:ligatures w14:val="none"/>
        </w:rPr>
        <w:t>the GNA and DUPR filings</w:t>
      </w:r>
      <w:r w:rsidR="004252D7">
        <w:rPr>
          <w:rFonts w:ascii="Palatino Linotype" w:hAnsi="Palatino Linotype" w:eastAsia="Palatino Linotype" w:cs="Times New Roman"/>
          <w:snapToGrid w:val="0"/>
          <w:kern w:val="0"/>
          <w14:ligatures w14:val="none"/>
        </w:rPr>
        <w:t xml:space="preserve"> it accompanies, such that the period covered </w:t>
      </w:r>
      <w:r w:rsidR="0009261B">
        <w:rPr>
          <w:rFonts w:ascii="Palatino Linotype" w:hAnsi="Palatino Linotype" w:eastAsia="Palatino Linotype" w:cs="Times New Roman"/>
          <w:snapToGrid w:val="0"/>
          <w:kern w:val="0"/>
          <w14:ligatures w14:val="none"/>
        </w:rPr>
        <w:t>advances each year with the annual distribution planning cycle</w:t>
      </w:r>
      <w:r w:rsidRPr="00DD31FF" w:rsidR="00DD31FF">
        <w:rPr>
          <w:rFonts w:ascii="Palatino Linotype" w:hAnsi="Palatino Linotype" w:eastAsia="Palatino Linotype" w:cs="Times New Roman"/>
          <w:snapToGrid w:val="0"/>
          <w:kern w:val="0"/>
          <w14:ligatures w14:val="none"/>
        </w:rPr>
        <w:t>.</w:t>
      </w:r>
      <w:r w:rsidR="00C42F85">
        <w:rPr>
          <w:rFonts w:ascii="Palatino Linotype" w:hAnsi="Palatino Linotype" w:eastAsia="Palatino Linotype" w:cs="Times New Roman"/>
          <w:snapToGrid w:val="0"/>
          <w:kern w:val="0"/>
          <w14:ligatures w14:val="none"/>
        </w:rPr>
        <w:t xml:space="preserve"> </w:t>
      </w:r>
    </w:p>
    <w:p w:rsidRPr="00DD31FF" w:rsidR="00DD31FF" w:rsidP="00DD31FF" w:rsidRDefault="00520966" w14:paraId="51B9DB63" w14:textId="582C290D">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For each annual submission, all forecasted and planned </w:t>
      </w:r>
      <w:r w:rsidRPr="00DD31FF" w:rsidR="00DD31FF">
        <w:rPr>
          <w:rFonts w:ascii="Palatino Linotype" w:hAnsi="Palatino Linotype" w:eastAsia="Palatino Linotype" w:cs="Times New Roman"/>
          <w:snapToGrid w:val="0"/>
          <w:kern w:val="0"/>
          <w14:ligatures w14:val="none"/>
        </w:rPr>
        <w:t xml:space="preserve">data pursuant to Ordering Paragraph 8 </w:t>
      </w:r>
      <w:r w:rsidR="00EC7B34">
        <w:rPr>
          <w:rFonts w:ascii="Palatino Linotype" w:hAnsi="Palatino Linotype" w:eastAsia="Palatino Linotype" w:cs="Times New Roman"/>
          <w:snapToGrid w:val="0"/>
          <w:kern w:val="0"/>
          <w14:ligatures w14:val="none"/>
        </w:rPr>
        <w:t xml:space="preserve">and the data fields specified in Attachment A </w:t>
      </w:r>
      <w:r w:rsidRPr="00DD31FF" w:rsidR="00DD31FF">
        <w:rPr>
          <w:rFonts w:ascii="Palatino Linotype" w:hAnsi="Palatino Linotype" w:eastAsia="Palatino Linotype" w:cs="Times New Roman"/>
          <w:snapToGrid w:val="0"/>
          <w:kern w:val="0"/>
          <w14:ligatures w14:val="none"/>
        </w:rPr>
        <w:t xml:space="preserve">shall reflect forecasted figures </w:t>
      </w:r>
      <w:r w:rsidRPr="00C34CCF" w:rsidR="00C34CCF">
        <w:rPr>
          <w:rFonts w:ascii="Palatino Linotype" w:hAnsi="Palatino Linotype" w:eastAsia="Palatino Linotype" w:cs="Times New Roman"/>
          <w:snapToGrid w:val="0"/>
          <w:kern w:val="0"/>
          <w14:ligatures w14:val="none"/>
        </w:rPr>
        <w:t>developed in the distribution planning cycle underlying the GNA and DUPR filings with which the data are submitted</w:t>
      </w:r>
      <w:r w:rsidR="00E61132">
        <w:rPr>
          <w:rFonts w:ascii="Palatino Linotype" w:hAnsi="Palatino Linotype" w:eastAsia="Palatino Linotype" w:cs="Times New Roman"/>
          <w:snapToGrid w:val="0"/>
          <w:kern w:val="0"/>
          <w14:ligatures w14:val="none"/>
        </w:rPr>
        <w:t>.</w:t>
      </w:r>
      <w:r w:rsidRPr="00C34CCF" w:rsidR="00C34CCF">
        <w:rPr>
          <w:rFonts w:ascii="Palatino Linotype" w:hAnsi="Palatino Linotype" w:eastAsia="Palatino Linotype" w:cs="Times New Roman"/>
          <w:snapToGrid w:val="0"/>
          <w:kern w:val="0"/>
          <w14:ligatures w14:val="none"/>
        </w:rPr>
        <w:t xml:space="preserve"> </w:t>
      </w:r>
      <w:r w:rsidRPr="004E1FB7" w:rsidR="004E1FB7">
        <w:rPr>
          <w:rFonts w:ascii="Palatino Linotype" w:hAnsi="Palatino Linotype" w:eastAsia="Palatino Linotype" w:cs="Times New Roman"/>
          <w:snapToGrid w:val="0"/>
          <w:kern w:val="0"/>
          <w14:ligatures w14:val="none"/>
        </w:rPr>
        <w:t>For example, the equity metrics input data accompanying an IOU's 202</w:t>
      </w:r>
      <w:r w:rsidR="00651660">
        <w:rPr>
          <w:rFonts w:ascii="Palatino Linotype" w:hAnsi="Palatino Linotype" w:eastAsia="Palatino Linotype" w:cs="Times New Roman"/>
          <w:snapToGrid w:val="0"/>
          <w:kern w:val="0"/>
          <w14:ligatures w14:val="none"/>
        </w:rPr>
        <w:t>7</w:t>
      </w:r>
      <w:r w:rsidRPr="004E1FB7" w:rsidR="004E1FB7">
        <w:rPr>
          <w:rFonts w:ascii="Palatino Linotype" w:hAnsi="Palatino Linotype" w:eastAsia="Palatino Linotype" w:cs="Times New Roman"/>
          <w:snapToGrid w:val="0"/>
          <w:kern w:val="0"/>
          <w14:ligatures w14:val="none"/>
        </w:rPr>
        <w:t xml:space="preserve"> GNA filing shall reflect the circuit-level forecasted peak load, forecasted load growth, and Year 1 and Year 5 available headroom figures developed in the 202</w:t>
      </w:r>
      <w:r w:rsidR="007A2789">
        <w:rPr>
          <w:rFonts w:ascii="Palatino Linotype" w:hAnsi="Palatino Linotype" w:eastAsia="Palatino Linotype" w:cs="Times New Roman"/>
          <w:snapToGrid w:val="0"/>
          <w:kern w:val="0"/>
          <w14:ligatures w14:val="none"/>
        </w:rPr>
        <w:t>6</w:t>
      </w:r>
      <w:r w:rsidRPr="004E1FB7" w:rsidR="004E1FB7">
        <w:rPr>
          <w:rFonts w:ascii="Palatino Linotype" w:hAnsi="Palatino Linotype" w:eastAsia="Palatino Linotype" w:cs="Times New Roman"/>
          <w:snapToGrid w:val="0"/>
          <w:kern w:val="0"/>
          <w14:ligatures w14:val="none"/>
        </w:rPr>
        <w:t>–202</w:t>
      </w:r>
      <w:r w:rsidR="007A2789">
        <w:rPr>
          <w:rFonts w:ascii="Palatino Linotype" w:hAnsi="Palatino Linotype" w:eastAsia="Palatino Linotype" w:cs="Times New Roman"/>
          <w:snapToGrid w:val="0"/>
          <w:kern w:val="0"/>
          <w14:ligatures w14:val="none"/>
        </w:rPr>
        <w:t>7</w:t>
      </w:r>
      <w:r w:rsidRPr="004E1FB7" w:rsidR="004E1FB7">
        <w:rPr>
          <w:rFonts w:ascii="Palatino Linotype" w:hAnsi="Palatino Linotype" w:eastAsia="Palatino Linotype" w:cs="Times New Roman"/>
          <w:snapToGrid w:val="0"/>
          <w:kern w:val="0"/>
          <w14:ligatures w14:val="none"/>
        </w:rPr>
        <w:t xml:space="preserve"> planning cycl</w:t>
      </w:r>
      <w:r w:rsidR="00EA0611">
        <w:rPr>
          <w:rFonts w:ascii="Palatino Linotype" w:hAnsi="Palatino Linotype" w:eastAsia="Palatino Linotype" w:cs="Times New Roman"/>
          <w:snapToGrid w:val="0"/>
          <w:kern w:val="0"/>
          <w14:ligatures w14:val="none"/>
        </w:rPr>
        <w:t>e</w:t>
      </w:r>
      <w:r w:rsidRPr="004E1FB7" w:rsidR="004E1FB7">
        <w:rPr>
          <w:rFonts w:ascii="Palatino Linotype" w:hAnsi="Palatino Linotype" w:eastAsia="Palatino Linotype" w:cs="Times New Roman"/>
          <w:snapToGrid w:val="0"/>
          <w:kern w:val="0"/>
          <w14:ligatures w14:val="none"/>
        </w:rPr>
        <w:t xml:space="preserve">, and covering that cycle's forecast horizon. </w:t>
      </w:r>
      <w:r w:rsidRPr="00530D5D" w:rsidR="00530D5D">
        <w:rPr>
          <w:rFonts w:ascii="Palatino Linotype" w:hAnsi="Palatino Linotype" w:eastAsia="Palatino Linotype" w:cs="Times New Roman"/>
          <w:snapToGrid w:val="0"/>
          <w:kern w:val="0"/>
          <w14:ligatures w14:val="none"/>
        </w:rPr>
        <w:t>The initial submission is the sole exception, as it necessarily compiles forecast and planned data previously reported in past GNA and DUPR filings for the 2019–202</w:t>
      </w:r>
      <w:r w:rsidR="00651660">
        <w:rPr>
          <w:rFonts w:ascii="Palatino Linotype" w:hAnsi="Palatino Linotype" w:eastAsia="Palatino Linotype" w:cs="Times New Roman"/>
          <w:snapToGrid w:val="0"/>
          <w:kern w:val="0"/>
          <w14:ligatures w14:val="none"/>
        </w:rPr>
        <w:t>6</w:t>
      </w:r>
      <w:r w:rsidRPr="00530D5D" w:rsidR="00530D5D">
        <w:rPr>
          <w:rFonts w:ascii="Palatino Linotype" w:hAnsi="Palatino Linotype" w:eastAsia="Palatino Linotype" w:cs="Times New Roman"/>
          <w:snapToGrid w:val="0"/>
          <w:kern w:val="0"/>
          <w14:ligatures w14:val="none"/>
        </w:rPr>
        <w:t xml:space="preserve"> period</w:t>
      </w:r>
      <w:r w:rsidRPr="004E1FB7" w:rsidR="004E1FB7">
        <w:rPr>
          <w:rFonts w:ascii="Palatino Linotype" w:hAnsi="Palatino Linotype" w:eastAsia="Palatino Linotype" w:cs="Times New Roman"/>
          <w:snapToGrid w:val="0"/>
          <w:kern w:val="0"/>
          <w14:ligatures w14:val="none"/>
        </w:rPr>
        <w:t>. This requirement is consistent with the purpose of the equity metrics framework, which is to evaluate the distribution planning process and not operational or post-planning performance.</w:t>
      </w:r>
      <w:r w:rsidR="00132D8E">
        <w:rPr>
          <w:rFonts w:ascii="Palatino Linotype" w:hAnsi="Palatino Linotype" w:eastAsia="Palatino Linotype" w:cs="Times New Roman"/>
          <w:snapToGrid w:val="0"/>
          <w:kern w:val="0"/>
          <w14:ligatures w14:val="none"/>
        </w:rPr>
        <w:t xml:space="preserve"> </w:t>
      </w:r>
    </w:p>
    <w:p w:rsidR="00442157" w:rsidP="00DD31FF" w:rsidRDefault="0098209C" w14:paraId="62225249" w14:textId="77777777">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For each annual submission, </w:t>
      </w:r>
      <w:r w:rsidRPr="00C71B57">
        <w:rPr>
          <w:rFonts w:ascii="Palatino Linotype" w:hAnsi="Palatino Linotype" w:eastAsia="Palatino Linotype" w:cs="Times New Roman"/>
          <w:snapToGrid w:val="0"/>
          <w:kern w:val="0"/>
          <w14:ligatures w14:val="none"/>
        </w:rPr>
        <w:t>Pacific Gas and Electric Company, Southern California Edison Company, and San Diego Gas &amp; Electric Company</w:t>
      </w:r>
      <w:r>
        <w:rPr>
          <w:rFonts w:ascii="Palatino Linotype" w:hAnsi="Palatino Linotype" w:eastAsia="Palatino Linotype" w:cs="Times New Roman"/>
          <w:snapToGrid w:val="0"/>
          <w:kern w:val="0"/>
          <w14:ligatures w14:val="none"/>
        </w:rPr>
        <w:t xml:space="preserve"> shall serve two versions of the equity metrics input data: (1) a complete, unredacted confidential version, submitted to Energy Division for purposes of model development, validation, and reporting; and (2) a public version, with confidential information redacted consistent with the designations </w:t>
      </w:r>
      <w:r w:rsidRPr="00671CAB">
        <w:rPr>
          <w:rFonts w:ascii="Palatino Linotype" w:hAnsi="Palatino Linotype" w:eastAsia="Palatino Linotype" w:cs="Times New Roman"/>
          <w:snapToGrid w:val="0"/>
          <w:kern w:val="0"/>
          <w14:ligatures w14:val="none"/>
        </w:rPr>
        <w:t>supported under this Ordering Paragraph</w:t>
      </w:r>
      <w:r>
        <w:rPr>
          <w:rFonts w:ascii="Palatino Linotype" w:hAnsi="Palatino Linotype" w:eastAsia="Palatino Linotype" w:cs="Times New Roman"/>
          <w:snapToGrid w:val="0"/>
          <w:kern w:val="0"/>
          <w14:ligatures w14:val="none"/>
        </w:rPr>
        <w:t>, submitted with the public GNA and DUPR filings.</w:t>
      </w:r>
      <w:r w:rsidRPr="0008583B">
        <w:t xml:space="preserve"> </w:t>
      </w:r>
      <w:r w:rsidR="00BC07BF">
        <w:rPr>
          <w:rFonts w:ascii="Palatino Linotype" w:hAnsi="Palatino Linotype" w:eastAsia="Palatino Linotype" w:cs="Times New Roman"/>
          <w:snapToGrid w:val="0"/>
          <w:kern w:val="0"/>
          <w14:ligatures w14:val="none"/>
        </w:rPr>
        <w:t>In the public version, the IOUs</w:t>
      </w:r>
      <w:r w:rsidRPr="00C71B57" w:rsidR="00C71B57">
        <w:rPr>
          <w:rFonts w:ascii="Palatino Linotype" w:hAnsi="Palatino Linotype" w:eastAsia="Palatino Linotype" w:cs="Times New Roman"/>
          <w:snapToGrid w:val="0"/>
          <w:kern w:val="0"/>
          <w14:ligatures w14:val="none"/>
        </w:rPr>
        <w:t xml:space="preserve"> may </w:t>
      </w:r>
      <w:r w:rsidR="008B036C">
        <w:rPr>
          <w:rFonts w:ascii="Palatino Linotype" w:hAnsi="Palatino Linotype" w:eastAsia="Palatino Linotype" w:cs="Times New Roman"/>
          <w:snapToGrid w:val="0"/>
          <w:kern w:val="0"/>
          <w14:ligatures w14:val="none"/>
        </w:rPr>
        <w:t xml:space="preserve">redact </w:t>
      </w:r>
      <w:r w:rsidRPr="00C71B57" w:rsidR="00C71B57">
        <w:rPr>
          <w:rFonts w:ascii="Palatino Linotype" w:hAnsi="Palatino Linotype" w:eastAsia="Palatino Linotype" w:cs="Times New Roman"/>
          <w:snapToGrid w:val="0"/>
          <w:kern w:val="0"/>
          <w14:ligatures w14:val="none"/>
        </w:rPr>
        <w:t xml:space="preserve">equity metrics input data as confidential, to the extent the data would reveal </w:t>
      </w:r>
      <w:r w:rsidR="005E2F86">
        <w:rPr>
          <w:rFonts w:ascii="Palatino Linotype" w:hAnsi="Palatino Linotype" w:eastAsia="Palatino Linotype" w:cs="Times New Roman"/>
          <w:snapToGrid w:val="0"/>
          <w:kern w:val="0"/>
          <w14:ligatures w14:val="none"/>
        </w:rPr>
        <w:br/>
      </w:r>
      <w:r w:rsidRPr="00C71B57" w:rsidR="00C71B57">
        <w:rPr>
          <w:rFonts w:ascii="Palatino Linotype" w:hAnsi="Palatino Linotype" w:eastAsia="Palatino Linotype" w:cs="Times New Roman"/>
          <w:snapToGrid w:val="0"/>
          <w:kern w:val="0"/>
          <w14:ligatures w14:val="none"/>
        </w:rPr>
        <w:t>customer-specific information protected under Public Utilities Code Section 8380, Civil Code Section 1798 et seq., or D.14-05-016, and shall support any such designation consistent with Public Utilities Code Section 583, General Order 66-D, and the 15/15 Rule adopted in Ordering Paragraph 31 of Decision 24-10-030.</w:t>
      </w:r>
      <w:r w:rsidR="00814167">
        <w:rPr>
          <w:rFonts w:ascii="Palatino Linotype" w:hAnsi="Palatino Linotype" w:eastAsia="Palatino Linotype" w:cs="Times New Roman"/>
          <w:snapToGrid w:val="0"/>
          <w:kern w:val="0"/>
          <w14:ligatures w14:val="none"/>
        </w:rPr>
        <w:t xml:space="preserve"> </w:t>
      </w:r>
      <w:r w:rsidRPr="0008583B" w:rsidR="0008583B">
        <w:rPr>
          <w:rFonts w:ascii="Palatino Linotype" w:hAnsi="Palatino Linotype" w:eastAsia="Palatino Linotype" w:cs="Times New Roman"/>
          <w:snapToGrid w:val="0"/>
          <w:kern w:val="0"/>
          <w14:ligatures w14:val="none"/>
        </w:rPr>
        <w:t>The annual Equity Metrics Report shall be published as an entirely public document and shall not contain any information designated as confidential under this Ordering Paragraph.</w:t>
      </w:r>
      <w:r w:rsidR="0008583B">
        <w:rPr>
          <w:rFonts w:ascii="Palatino Linotype" w:hAnsi="Palatino Linotype" w:eastAsia="Palatino Linotype" w:cs="Times New Roman"/>
          <w:snapToGrid w:val="0"/>
          <w:kern w:val="0"/>
          <w14:ligatures w14:val="none"/>
        </w:rPr>
        <w:t xml:space="preserve"> </w:t>
      </w:r>
      <w:r w:rsidR="006373B4">
        <w:rPr>
          <w:rFonts w:ascii="Palatino Linotype" w:hAnsi="Palatino Linotype" w:eastAsia="Palatino Linotype" w:cs="Times New Roman"/>
          <w:snapToGrid w:val="0"/>
          <w:kern w:val="0"/>
          <w14:ligatures w14:val="none"/>
        </w:rPr>
        <w:t xml:space="preserve"> </w:t>
      </w:r>
      <w:r w:rsidRPr="00C71B57" w:rsidR="00C71B57">
        <w:rPr>
          <w:rFonts w:ascii="Palatino Linotype" w:hAnsi="Palatino Linotype" w:eastAsia="Palatino Linotype" w:cs="Times New Roman"/>
          <w:snapToGrid w:val="0"/>
          <w:kern w:val="0"/>
          <w14:ligatures w14:val="none"/>
        </w:rPr>
        <w:t xml:space="preserve"> </w:t>
      </w:r>
    </w:p>
    <w:p w:rsidRPr="00FF1031" w:rsidR="00551FFA" w:rsidP="00FF1031" w:rsidRDefault="00F00F6E" w14:paraId="59BB94E2"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FF1031">
        <w:rPr>
          <w:rFonts w:ascii="Palatino Linotype" w:hAnsi="Palatino Linotype" w:eastAsia="Palatino Linotype" w:cs="Times New Roman"/>
        </w:rPr>
        <w:t xml:space="preserve">Energy Division is authorized to modify the content requirements of the "Equity Metrics Statistics" appendices to the GNA and DUPR filings, including the data fields, definitions, and structure specified in Attachment A to this Resolution, as needed to support the annual modeling cycle and the equity metrics framework </w:t>
      </w:r>
      <w:r w:rsidRPr="00FF1031">
        <w:rPr>
          <w:rFonts w:ascii="Palatino Linotype" w:hAnsi="Palatino Linotype" w:eastAsia="Palatino Linotype" w:cs="Times New Roman"/>
        </w:rPr>
        <w:lastRenderedPageBreak/>
        <w:t xml:space="preserve">adopted in this Resolution. </w:t>
      </w:r>
      <w:r w:rsidR="002C2C70">
        <w:rPr>
          <w:rFonts w:ascii="Palatino Linotype" w:hAnsi="Palatino Linotype" w:eastAsia="Palatino Linotype" w:cs="Times New Roman"/>
        </w:rPr>
        <w:t xml:space="preserve">Starting in 2027, </w:t>
      </w:r>
      <w:r w:rsidRPr="00FF1031">
        <w:rPr>
          <w:rFonts w:ascii="Palatino Linotype" w:hAnsi="Palatino Linotype" w:eastAsia="Palatino Linotype" w:cs="Times New Roman"/>
        </w:rPr>
        <w:t>Energy Division shall serve any modified version of Attachment A on the Investor-Owned Utilities</w:t>
      </w:r>
      <w:r w:rsidR="00122AAC">
        <w:rPr>
          <w:rFonts w:ascii="Palatino Linotype" w:hAnsi="Palatino Linotype" w:eastAsia="Palatino Linotype" w:cs="Times New Roman"/>
        </w:rPr>
        <w:t xml:space="preserve"> </w:t>
      </w:r>
      <w:r w:rsidRPr="00122AAC" w:rsidR="00122AAC">
        <w:rPr>
          <w:rFonts w:ascii="Palatino Linotype" w:hAnsi="Palatino Linotype" w:eastAsia="Palatino Linotype" w:cs="Times New Roman"/>
        </w:rPr>
        <w:t>and to the service list of this proceeding</w:t>
      </w:r>
      <w:r w:rsidR="00A746AB">
        <w:rPr>
          <w:rFonts w:ascii="Palatino Linotype" w:hAnsi="Palatino Linotype" w:eastAsia="Palatino Linotype" w:cs="Times New Roman"/>
        </w:rPr>
        <w:t xml:space="preserve"> (R.21-06-017) and any successor proceeding</w:t>
      </w:r>
      <w:r w:rsidRPr="00FF1031">
        <w:rPr>
          <w:rFonts w:ascii="Palatino Linotype" w:hAnsi="Palatino Linotype" w:eastAsia="Palatino Linotype" w:cs="Times New Roman"/>
        </w:rPr>
        <w:t xml:space="preserve"> no later than </w:t>
      </w:r>
      <w:r w:rsidR="005E2F86">
        <w:rPr>
          <w:rFonts w:ascii="Palatino Linotype" w:hAnsi="Palatino Linotype" w:eastAsia="Palatino Linotype" w:cs="Times New Roman"/>
        </w:rPr>
        <w:br/>
      </w:r>
      <w:r w:rsidRPr="00FF1031">
        <w:rPr>
          <w:rFonts w:ascii="Palatino Linotype" w:hAnsi="Palatino Linotype" w:eastAsia="Palatino Linotype" w:cs="Times New Roman"/>
        </w:rPr>
        <w:t>90 days before the applicable GNA or DUPR filing deadline</w:t>
      </w:r>
      <w:r w:rsidR="00AF3ADF">
        <w:rPr>
          <w:rFonts w:ascii="Palatino Linotype" w:hAnsi="Palatino Linotype" w:eastAsia="Palatino Linotype" w:cs="Times New Roman"/>
        </w:rPr>
        <w:t>.</w:t>
      </w:r>
      <w:r w:rsidR="00532CB4">
        <w:rPr>
          <w:rFonts w:ascii="Palatino Linotype" w:hAnsi="Palatino Linotype" w:eastAsia="Palatino Linotype" w:cs="Times New Roman"/>
        </w:rPr>
        <w:t xml:space="preserve"> </w:t>
      </w:r>
      <w:r w:rsidRPr="00FF1031" w:rsidR="34B552BB">
        <w:rPr>
          <w:rFonts w:ascii="Palatino Linotype" w:hAnsi="Palatino Linotype" w:eastAsia="Palatino Linotype" w:cs="Times New Roman"/>
        </w:rPr>
        <w:t>For the first submission of the “Equity Metrics Statistics” the IO</w:t>
      </w:r>
      <w:r w:rsidRPr="00FF1031" w:rsidR="63141EBA">
        <w:rPr>
          <w:rFonts w:ascii="Palatino Linotype" w:hAnsi="Palatino Linotype" w:eastAsia="Palatino Linotype" w:cs="Times New Roman"/>
        </w:rPr>
        <w:t xml:space="preserve">Us must submit the data consistent with the final adopted </w:t>
      </w:r>
      <w:r w:rsidR="007F6C24">
        <w:rPr>
          <w:rFonts w:ascii="Palatino Linotype" w:hAnsi="Palatino Linotype" w:eastAsia="Palatino Linotype" w:cs="Times New Roman"/>
        </w:rPr>
        <w:t>Attachment</w:t>
      </w:r>
      <w:r w:rsidRPr="00FF1031" w:rsidR="247088C3">
        <w:rPr>
          <w:rFonts w:ascii="Palatino Linotype" w:hAnsi="Palatino Linotype" w:eastAsia="Palatino Linotype" w:cs="Times New Roman"/>
        </w:rPr>
        <w:t xml:space="preserve"> A in the Resolution by </w:t>
      </w:r>
      <w:r w:rsidR="009E4CE9">
        <w:rPr>
          <w:rFonts w:ascii="Palatino Linotype" w:hAnsi="Palatino Linotype" w:eastAsia="Palatino Linotype" w:cs="Times New Roman"/>
          <w:kern w:val="0"/>
          <w14:ligatures w14:val="none"/>
        </w:rPr>
        <w:t>October 1</w:t>
      </w:r>
      <w:r w:rsidR="009E4CE9">
        <w:rPr>
          <w:rFonts w:ascii="Palatino Linotype" w:hAnsi="Palatino Linotype" w:eastAsia="Palatino Linotype"/>
        </w:rPr>
        <w:t>6</w:t>
      </w:r>
      <w:r w:rsidRPr="00FF1031" w:rsidR="247088C3">
        <w:rPr>
          <w:rFonts w:ascii="Palatino Linotype" w:hAnsi="Palatino Linotype" w:eastAsia="Palatino Linotype" w:cs="Times New Roman"/>
        </w:rPr>
        <w:t>, 2026.</w:t>
      </w:r>
    </w:p>
    <w:p w:rsidRPr="002D1F12" w:rsidR="00DD31FF" w:rsidP="00DD31FF" w:rsidRDefault="00DD31FF" w14:paraId="0C4B7E31" w14:textId="77777777">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w:t>
      </w:r>
      <w:r w:rsidR="00F64189">
        <w:rPr>
          <w:rFonts w:ascii="Palatino Linotype" w:hAnsi="Palatino Linotype" w:eastAsia="Palatino Linotype" w:cs="Times New Roman"/>
          <w:snapToGrid w:val="0"/>
          <w:kern w:val="0"/>
          <w14:ligatures w14:val="none"/>
        </w:rPr>
        <w:t xml:space="preserve">is authorized </w:t>
      </w:r>
      <w:r w:rsidRPr="00DD31FF">
        <w:rPr>
          <w:rFonts w:ascii="Palatino Linotype" w:hAnsi="Palatino Linotype" w:eastAsia="Palatino Linotype" w:cs="Times New Roman"/>
          <w:snapToGrid w:val="0"/>
          <w:kern w:val="0"/>
          <w14:ligatures w14:val="none"/>
        </w:rPr>
        <w:t xml:space="preserve">to refine the econometric models described in Ordering Paragraph 5 as data quality and understanding of the equity metrics framework evolve over </w:t>
      </w:r>
      <w:r w:rsidRPr="00DD31FF" w:rsidR="006356C8">
        <w:rPr>
          <w:rFonts w:ascii="Palatino Linotype" w:hAnsi="Palatino Linotype" w:eastAsia="Palatino Linotype" w:cs="Times New Roman"/>
          <w:snapToGrid w:val="0"/>
          <w:kern w:val="0"/>
          <w14:ligatures w14:val="none"/>
        </w:rPr>
        <w:t>time and</w:t>
      </w:r>
      <w:r w:rsidRPr="00DD31FF">
        <w:rPr>
          <w:rFonts w:ascii="Palatino Linotype" w:hAnsi="Palatino Linotype" w:eastAsia="Palatino Linotype" w:cs="Times New Roman"/>
          <w:snapToGrid w:val="0"/>
          <w:kern w:val="0"/>
          <w14:ligatures w14:val="none"/>
        </w:rPr>
        <w:t xml:space="preserve"> shall document any methodological updates in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AC02C0">
        <w:rPr>
          <w:rFonts w:ascii="Palatino Linotype" w:hAnsi="Palatino Linotype" w:eastAsia="Palatino Linotype" w:cs="Times New Roman"/>
          <w:kern w:val="0"/>
          <w14:ligatures w14:val="none"/>
        </w:rPr>
        <w:t>.</w:t>
      </w:r>
      <w:r w:rsidR="00186F7C">
        <w:rPr>
          <w:rFonts w:ascii="Palatino Linotype" w:hAnsi="Palatino Linotype" w:eastAsia="Palatino Linotype" w:cs="Times New Roman"/>
          <w:kern w:val="0"/>
          <w14:ligatures w14:val="none"/>
        </w:rPr>
        <w:t>’</w:t>
      </w:r>
    </w:p>
    <w:p w:rsidR="00954189" w:rsidP="00DD31FF" w:rsidRDefault="00872695" w14:paraId="4C1C7CA9" w14:textId="5C8BC488">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kern w:val="0"/>
          <w14:ligatures w14:val="none"/>
        </w:rPr>
        <w:t xml:space="preserve">The Executive Director of Energy Division is authorized to adjust the reporting </w:t>
      </w:r>
      <w:r w:rsidR="000111CC">
        <w:rPr>
          <w:rFonts w:ascii="Palatino Linotype" w:hAnsi="Palatino Linotype" w:eastAsia="Palatino Linotype" w:cs="Times New Roman"/>
          <w:kern w:val="0"/>
          <w14:ligatures w14:val="none"/>
        </w:rPr>
        <w:t>and publication</w:t>
      </w:r>
      <w:r w:rsidR="00F80300">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cadence</w:t>
      </w:r>
      <w:r w:rsidR="000111CC">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of the Equity Metrics in the</w:t>
      </w:r>
      <w:r w:rsidR="000A3440">
        <w:rPr>
          <w:rFonts w:ascii="Palatino Linotype" w:hAnsi="Palatino Linotype" w:eastAsia="Palatino Linotype" w:cs="Times New Roman"/>
          <w:kern w:val="0"/>
          <w14:ligatures w14:val="none"/>
        </w:rPr>
        <w:t xml:space="preserve"> Distribution Planning and Execution Process Report</w:t>
      </w:r>
      <w:r w:rsidR="005368C1">
        <w:rPr>
          <w:rFonts w:ascii="Palatino Linotype" w:hAnsi="Palatino Linotype" w:eastAsia="Palatino Linotype" w:cs="Times New Roman"/>
          <w:kern w:val="0"/>
          <w14:ligatures w14:val="none"/>
        </w:rPr>
        <w:t xml:space="preserve"> </w:t>
      </w:r>
      <w:r w:rsidRPr="005368C1" w:rsidR="005368C1">
        <w:rPr>
          <w:rFonts w:ascii="Palatino Linotype" w:hAnsi="Palatino Linotype" w:eastAsia="Palatino Linotype" w:cs="Times New Roman"/>
          <w:kern w:val="0"/>
          <w14:ligatures w14:val="none"/>
        </w:rPr>
        <w:t>from annual to biannual or longer intervals</w:t>
      </w:r>
      <w:r w:rsidR="00102804">
        <w:rPr>
          <w:rFonts w:ascii="Palatino Linotype" w:hAnsi="Palatino Linotype" w:eastAsia="Palatino Linotype" w:cs="Times New Roman"/>
          <w:kern w:val="0"/>
          <w14:ligatures w14:val="none"/>
        </w:rPr>
        <w:t>, provided th</w:t>
      </w:r>
      <w:r w:rsidR="0089580A">
        <w:rPr>
          <w:rFonts w:ascii="Palatino Linotype" w:hAnsi="Palatino Linotype" w:eastAsia="Palatino Linotype" w:cs="Times New Roman"/>
          <w:kern w:val="0"/>
          <w14:ligatures w14:val="none"/>
        </w:rPr>
        <w:t xml:space="preserve">at the Executive Director documents </w:t>
      </w:r>
      <w:r w:rsidR="009C78E1">
        <w:rPr>
          <w:rFonts w:ascii="Palatino Linotype" w:hAnsi="Palatino Linotype" w:eastAsia="Palatino Linotype" w:cs="Times New Roman"/>
          <w:kern w:val="0"/>
          <w14:ligatures w14:val="none"/>
        </w:rPr>
        <w:t>the justification for such modification and provides notice to the Commission and service list prior to implementation.</w:t>
      </w:r>
    </w:p>
    <w:p w:rsidRPr="00DD31FF" w:rsidR="00DD31FF" w:rsidP="00DD31FF" w:rsidRDefault="00DD31FF" w14:paraId="4734DA58" w14:textId="77777777">
      <w:pPr>
        <w:spacing w:after="0" w:line="240" w:lineRule="auto"/>
        <w:rPr>
          <w:rFonts w:ascii="Palatino Linotype" w:hAnsi="Palatino Linotype" w:eastAsia="Palatino Linotype" w:cs="Times New Roman"/>
          <w:snapToGrid w:val="0"/>
          <w:kern w:val="0"/>
          <w14:ligatures w14:val="none"/>
        </w:rPr>
      </w:pPr>
    </w:p>
    <w:p w:rsidR="002E0A73" w:rsidP="00DD31FF" w:rsidRDefault="00DD31FF" w14:paraId="51A932D1" w14:textId="77777777">
      <w:p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This Resolution is effective today.</w:t>
      </w:r>
    </w:p>
    <w:p w:rsidRPr="001942D0" w:rsidR="00A76F4A" w:rsidP="00A76F4A" w:rsidRDefault="00A76F4A" w14:paraId="630F5563" w14:textId="77777777">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51493D" w:rsidR="00A76F4A" w:rsidP="00A76F4A" w:rsidRDefault="00A76F4A" w14:paraId="5E4BB285" w14:textId="77777777">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005E2F86">
        <w:rPr>
          <w:rFonts w:ascii="Palatino Linotype" w:hAnsi="Palatino Linotype"/>
        </w:rPr>
        <w:t>September 17, 2026</w:t>
      </w:r>
      <w:r w:rsidRPr="005E2F86">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4B8EF7B2" w:rsidRDefault="542AC687" w14:paraId="190C8650" w14:textId="77777777">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t xml:space="preserve">Commissioner Signature blocks to be added </w:t>
      </w:r>
    </w:p>
    <w:p w:rsidRPr="001942D0" w:rsidR="00A76F4A" w:rsidP="4B8EF7B2" w:rsidRDefault="542AC687" w14:paraId="1089776B" w14:textId="77777777">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t>upon adoption of the resolution</w:t>
      </w:r>
    </w:p>
    <w:p w:rsidRPr="001942D0" w:rsidR="00A76F4A" w:rsidP="00A76F4A" w:rsidRDefault="00A76F4A" w14:paraId="04B6FADF"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AC2FCEC"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5E2F86" w:rsidRDefault="00A76F4A" w14:paraId="256DE79E" w14:textId="3041ACC5">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Dated</w:t>
      </w:r>
      <w:r w:rsidR="005E2F86">
        <w:rPr>
          <w:rFonts w:ascii="Palatino Linotype" w:hAnsi="Palatino Linotype" w:eastAsia="Palatino Linotype" w:cs="Times New Roman"/>
        </w:rPr>
        <w:t xml:space="preserve"> </w:t>
      </w:r>
      <w:r w:rsidR="005E2F86">
        <w:rPr>
          <w:rFonts w:ascii="Palatino Linotype" w:hAnsi="Palatino Linotype"/>
        </w:rPr>
        <w:t>September 17, 2026</w:t>
      </w:r>
      <w:r w:rsidRPr="005E2F86">
        <w:rPr>
          <w:rFonts w:ascii="Palatino Linotype" w:hAnsi="Palatino Linotype" w:eastAsia="Palatino Linotype" w:cs="Times New Roman"/>
        </w:rPr>
        <w:t xml:space="preserve">, </w:t>
      </w:r>
      <w:r w:rsidRPr="005E2F86">
        <w:rPr>
          <w:rFonts w:ascii="Palatino Linotype" w:hAnsi="Palatino Linotype"/>
        </w:rPr>
        <w:t xml:space="preserve">at </w:t>
      </w:r>
      <w:r w:rsidRPr="005E2F86" w:rsidR="005E2F86">
        <w:rPr>
          <w:rFonts w:ascii="Palatino Linotype" w:hAnsi="Palatino Linotype"/>
        </w:rPr>
        <w:t>San Marcos</w:t>
      </w:r>
      <w:r w:rsidRPr="00921E87">
        <w:rPr>
          <w:rFonts w:ascii="Palatino Linotype" w:hAnsi="Palatino Linotype" w:eastAsia="Palatino Linotype" w:cs="Times New Roman"/>
        </w:rPr>
        <w:t>, California</w:t>
      </w:r>
      <w:r w:rsidRPr="6C0ADE60" w:rsidR="1953FEF5">
        <w:rPr>
          <w:rFonts w:ascii="Palatino Linotype" w:hAnsi="Palatino Linotype" w:eastAsia="Palatino Linotype" w:cs="Times New Roman"/>
        </w:rPr>
        <w:t xml:space="preserve"> </w:t>
      </w:r>
    </w:p>
    <w:p w:rsidR="00A76F4A" w:rsidP="00A76F4A" w:rsidRDefault="00A76F4A" w14:paraId="045B51DF" w14:textId="77777777">
      <w:pPr>
        <w:keepNext/>
        <w:spacing w:after="0" w:line="240" w:lineRule="auto"/>
        <w:rPr>
          <w:rFonts w:ascii="Palatino Linotype" w:hAnsi="Palatino Linotype" w:eastAsia="Palatino Linotype" w:cs="Times New Roman"/>
        </w:rPr>
      </w:pPr>
    </w:p>
    <w:sectPr w:rsidR="00A76F4A" w:rsidSect="00750E92">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
      <w:r>
        <w:t xml:space="preserve"/>
      </w:r>
    </w:p>
    <w:p>
      <w:r>
        <w:t xml:space="preserve">Attachment 1: </w:t>
      </w:r>
    </w:p>
    <w:p>
      <w:hyperlink w:history="true" r:id="Rb5bdb5989c034339">
        <w:r w:rsidRPr="00CB1292">
          <w:rPr>
            <w:rStyle w:val="Hyperlink"/>
            <w:color w:val="2E74B5" w:themeColor="accent1" w:themeShade="BF"/>
            <w:u w:val="single"/>
          </w:rPr>
          <w:t>E-5480 Draft Agenda Resolution (SCE AL 5498-E, PG&amp;E AL 7530-E, SDG&amp;E AL 4617-E)(Redline)</w:t>
        </w:r>
      </w:hyperlink>
    </w:p>
    <w:p>
      <w:r>
        <w:t xml:space="preserve"/>
      </w:r>
    </w:p>
    <w:p>
      <w:r>
        <w:t xml:space="preserve">Attachment 2: </w:t>
      </w:r>
    </w:p>
    <w:p>
      <w:hyperlink w:history="true" r:id="Ra89dc136a8a44805">
        <w:r w:rsidRPr="00CB1292">
          <w:rPr>
            <w:rStyle w:val="Hyperlink"/>
            <w:color w:val="2E74B5" w:themeColor="accent1" w:themeShade="BF"/>
            <w:u w:val="single"/>
          </w:rPr>
          <w:t>E-5480 Attachment A - Equity Metrics Data Template</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73D3D" w14:textId="77777777" w:rsidR="00124AFA" w:rsidRDefault="00124AFA" w:rsidP="00A76F4A">
      <w:pPr>
        <w:spacing w:after="0" w:line="240" w:lineRule="auto"/>
      </w:pPr>
      <w:r>
        <w:separator/>
      </w:r>
    </w:p>
  </w:endnote>
  <w:endnote w:type="continuationSeparator" w:id="0">
    <w:p w14:paraId="6D600704" w14:textId="77777777" w:rsidR="00124AFA" w:rsidRDefault="00124AFA" w:rsidP="00A76F4A">
      <w:pPr>
        <w:spacing w:after="0" w:line="240" w:lineRule="auto"/>
      </w:pPr>
      <w:r>
        <w:continuationSeparator/>
      </w:r>
    </w:p>
  </w:endnote>
  <w:endnote w:type="continuationNotice" w:id="1">
    <w:p w14:paraId="6FF5EE73" w14:textId="77777777" w:rsidR="00124AFA" w:rsidRDefault="00124A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roman"/>
    <w:pitch w:val="variable"/>
    <w:sig w:usb0="20000A87" w:usb1="08000000" w:usb2="00000008" w:usb3="00000000" w:csb0="00000105"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7A3D41BF" w14:textId="77777777"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1C9E665C" w14:textId="1E100437" w:rsidR="004A7A4C" w:rsidRPr="004A7A4C" w:rsidRDefault="001A4E9F" w:rsidP="004A7A4C">
        <w:pPr>
          <w:pStyle w:val="Footer"/>
          <w:rPr>
            <w:rFonts w:ascii="Palatino Linotype" w:hAnsi="Palatino Linotype"/>
          </w:rPr>
        </w:pPr>
        <w:r w:rsidRPr="001A4E9F">
          <w:rPr>
            <w:rFonts w:ascii="Tahoma" w:hAnsi="Tahoma" w:cs="Tahoma"/>
            <w:sz w:val="18"/>
          </w:rPr>
          <w:t>619318911</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2038" w14:textId="77777777" w:rsidR="00124AFA" w:rsidRDefault="00124AFA" w:rsidP="00A76F4A">
      <w:pPr>
        <w:spacing w:after="0" w:line="240" w:lineRule="auto"/>
      </w:pPr>
      <w:r>
        <w:separator/>
      </w:r>
    </w:p>
  </w:footnote>
  <w:footnote w:type="continuationSeparator" w:id="0">
    <w:p w14:paraId="155C8091" w14:textId="77777777" w:rsidR="00124AFA" w:rsidRDefault="00124AFA" w:rsidP="00A76F4A">
      <w:pPr>
        <w:spacing w:after="0" w:line="240" w:lineRule="auto"/>
      </w:pPr>
      <w:r>
        <w:continuationSeparator/>
      </w:r>
    </w:p>
  </w:footnote>
  <w:footnote w:type="continuationNotice" w:id="1">
    <w:p w14:paraId="24F78999" w14:textId="77777777" w:rsidR="00124AFA" w:rsidRDefault="00124AFA">
      <w:pPr>
        <w:spacing w:after="0" w:line="240" w:lineRule="auto"/>
      </w:pPr>
    </w:p>
  </w:footnote>
  <w:footnote w:id="2">
    <w:p w14:paraId="2C0E6144" w14:textId="77777777" w:rsidR="00FC7B2F" w:rsidRPr="00FC7B2F" w:rsidRDefault="00FC7B2F">
      <w:pPr>
        <w:pStyle w:val="FootnoteText"/>
        <w:rPr>
          <w:rFonts w:ascii="Palatino Linotype" w:hAnsi="Palatino Linotype"/>
        </w:rPr>
      </w:pPr>
      <w:r w:rsidRPr="00FC7B2F">
        <w:rPr>
          <w:rStyle w:val="FootnoteReference"/>
          <w:rFonts w:ascii="Palatino Linotype" w:hAnsi="Palatino Linotype"/>
        </w:rPr>
        <w:footnoteRef/>
      </w:r>
      <w:r w:rsidRPr="00FC7B2F">
        <w:rPr>
          <w:rFonts w:ascii="Palatino Linotype" w:hAnsi="Palatino Linotype"/>
        </w:rPr>
        <w:t xml:space="preserve"> SB 535 (De Leon, Chapter 830, Statutes of 2012)</w:t>
      </w:r>
    </w:p>
  </w:footnote>
  <w:footnote w:id="3">
    <w:p w14:paraId="3EB63B41" w14:textId="77777777" w:rsidR="00C402BE" w:rsidRPr="00AD1D98" w:rsidRDefault="00C402BE">
      <w:pPr>
        <w:pStyle w:val="FootnoteText"/>
        <w:rPr>
          <w:rFonts w:ascii="Palatino Linotype" w:hAnsi="Palatino Linotype"/>
        </w:rPr>
      </w:pPr>
      <w:r w:rsidRPr="00165EB0">
        <w:rPr>
          <w:rStyle w:val="FootnoteReference"/>
          <w:rFonts w:ascii="Palatino Linotype" w:hAnsi="Palatino Linotype"/>
        </w:rPr>
        <w:footnoteRef/>
      </w:r>
      <w:r w:rsidRPr="00AD1D98">
        <w:rPr>
          <w:rFonts w:ascii="Palatino Linotype" w:hAnsi="Palatino Linotype"/>
        </w:rPr>
        <w:t xml:space="preserve"> </w:t>
      </w:r>
      <w:r w:rsidR="00165EB0" w:rsidRPr="00AD1D98">
        <w:rPr>
          <w:rFonts w:ascii="Palatino Linotype" w:hAnsi="Palatino Linotype"/>
        </w:rPr>
        <w:t>Joint CCAs Protest to AL 5498-E et al., pp. 1–2, 8.</w:t>
      </w:r>
    </w:p>
  </w:footnote>
  <w:footnote w:id="4">
    <w:p w14:paraId="700C0660" w14:textId="77777777" w:rsidR="002E2F79" w:rsidRPr="002E2F79" w:rsidRDefault="002E2F79">
      <w:pPr>
        <w:pStyle w:val="FootnoteText"/>
        <w:rPr>
          <w:rFonts w:ascii="Palatino Linotype" w:hAnsi="Palatino Linotype"/>
        </w:rPr>
      </w:pPr>
      <w:r>
        <w:rPr>
          <w:rStyle w:val="FootnoteReference"/>
        </w:rPr>
        <w:footnoteRef/>
      </w:r>
      <w:r>
        <w:t xml:space="preserve"> </w:t>
      </w:r>
      <w:r w:rsidRPr="002E2F79">
        <w:rPr>
          <w:rFonts w:ascii="Palatino Linotype" w:hAnsi="Palatino Linotype"/>
        </w:rPr>
        <w:t>Vote Solar/CBD Protest to AL 5498-E et al., p. 2.</w:t>
      </w:r>
    </w:p>
  </w:footnote>
  <w:footnote w:id="5">
    <w:p w14:paraId="185D81F2" w14:textId="77777777" w:rsidR="00084DA5" w:rsidRPr="00797EF8" w:rsidRDefault="00084DA5">
      <w:pPr>
        <w:pStyle w:val="FootnoteText"/>
        <w:rPr>
          <w:rFonts w:ascii="Palatino Linotype" w:hAnsi="Palatino Linotype"/>
        </w:rPr>
      </w:pPr>
      <w:r w:rsidRPr="00797EF8">
        <w:rPr>
          <w:rStyle w:val="FootnoteReference"/>
          <w:rFonts w:ascii="Palatino Linotype" w:hAnsi="Palatino Linotype"/>
        </w:rPr>
        <w:footnoteRef/>
      </w:r>
      <w:r w:rsidRPr="00797EF8">
        <w:rPr>
          <w:rFonts w:ascii="Palatino Linotype" w:hAnsi="Palatino Linotype"/>
        </w:rPr>
        <w:t xml:space="preserve"> Joint IOU Reply to Protests of AL 5498-E et al., pp. 2–3.</w:t>
      </w:r>
    </w:p>
  </w:footnote>
  <w:footnote w:id="6">
    <w:p w14:paraId="564ED823" w14:textId="77777777" w:rsidR="003F75A6" w:rsidRPr="00E126BD" w:rsidRDefault="003F75A6">
      <w:pPr>
        <w:pStyle w:val="FootnoteText"/>
        <w:rPr>
          <w:rFonts w:ascii="Palatino Linotype" w:hAnsi="Palatino Linotype"/>
        </w:rPr>
      </w:pPr>
      <w:r w:rsidRPr="00797EF8">
        <w:rPr>
          <w:rStyle w:val="FootnoteReference"/>
          <w:rFonts w:ascii="Palatino Linotype" w:hAnsi="Palatino Linotype"/>
        </w:rPr>
        <w:footnoteRef/>
      </w:r>
      <w:r w:rsidRPr="00797EF8">
        <w:rPr>
          <w:rFonts w:ascii="Palatino Linotype" w:hAnsi="Palatino Linotype"/>
        </w:rPr>
        <w:t xml:space="preserve"> </w:t>
      </w:r>
      <w:r w:rsidR="00797EF8" w:rsidRPr="00797EF8">
        <w:rPr>
          <w:rFonts w:ascii="Palatino Linotype" w:hAnsi="Palatino Linotype"/>
        </w:rPr>
        <w:t xml:space="preserve">Joint </w:t>
      </w:r>
      <w:r w:rsidR="00797EF8" w:rsidRPr="00E126BD">
        <w:rPr>
          <w:rFonts w:ascii="Palatino Linotype" w:hAnsi="Palatino Linotype"/>
        </w:rPr>
        <w:t>CCAs Protest to AL 5498-E et al., pp. 4–5.</w:t>
      </w:r>
    </w:p>
  </w:footnote>
  <w:footnote w:id="7">
    <w:p w14:paraId="29C68B89" w14:textId="77777777" w:rsidR="00E126BD" w:rsidRDefault="00E126BD">
      <w:pPr>
        <w:pStyle w:val="FootnoteText"/>
      </w:pPr>
      <w:r w:rsidRPr="00E126BD">
        <w:rPr>
          <w:rStyle w:val="FootnoteReference"/>
          <w:rFonts w:ascii="Palatino Linotype" w:hAnsi="Palatino Linotype"/>
        </w:rPr>
        <w:footnoteRef/>
      </w:r>
      <w:r w:rsidRPr="00E126BD">
        <w:rPr>
          <w:rFonts w:ascii="Palatino Linotype" w:hAnsi="Palatino Linotype"/>
        </w:rPr>
        <w:t xml:space="preserve"> </w:t>
      </w:r>
      <w:proofErr w:type="spellStart"/>
      <w:r w:rsidRPr="00E126BD">
        <w:rPr>
          <w:rFonts w:ascii="Palatino Linotype" w:hAnsi="Palatino Linotype"/>
        </w:rPr>
        <w:t>CforAT</w:t>
      </w:r>
      <w:proofErr w:type="spellEnd"/>
      <w:r w:rsidRPr="00E126BD">
        <w:rPr>
          <w:rFonts w:ascii="Palatino Linotype" w:hAnsi="Palatino Linotype"/>
        </w:rPr>
        <w:t xml:space="preserve"> Protest to AL 5498-E et al., pp. 2–4.</w:t>
      </w:r>
    </w:p>
  </w:footnote>
  <w:footnote w:id="8">
    <w:p w14:paraId="40E3D1EC" w14:textId="77777777" w:rsidR="00C95EA7" w:rsidRPr="00A36FA8" w:rsidRDefault="00C95EA7">
      <w:pPr>
        <w:pStyle w:val="FootnoteText"/>
        <w:rPr>
          <w:rFonts w:ascii="Palatino Linotype" w:hAnsi="Palatino Linotype"/>
        </w:rPr>
      </w:pPr>
      <w:r w:rsidRPr="00A36FA8">
        <w:rPr>
          <w:rStyle w:val="FootnoteReference"/>
          <w:rFonts w:ascii="Palatino Linotype" w:hAnsi="Palatino Linotype"/>
        </w:rPr>
        <w:footnoteRef/>
      </w:r>
      <w:r w:rsidRPr="00A36FA8">
        <w:rPr>
          <w:rFonts w:ascii="Palatino Linotype" w:hAnsi="Palatino Linotype"/>
        </w:rPr>
        <w:t xml:space="preserve"> Joint IOU Reply to Protests of AL 5498-E et al., pp. 3–4, 7.</w:t>
      </w:r>
    </w:p>
  </w:footnote>
  <w:footnote w:id="9">
    <w:p w14:paraId="7EF92BB0" w14:textId="77777777" w:rsidR="007612AF" w:rsidRPr="00A36FA8" w:rsidRDefault="007612AF">
      <w:pPr>
        <w:pStyle w:val="FootnoteText"/>
        <w:rPr>
          <w:rFonts w:ascii="Palatino Linotype" w:hAnsi="Palatino Linotype"/>
        </w:rPr>
      </w:pPr>
      <w:r w:rsidRPr="00A36FA8">
        <w:rPr>
          <w:rStyle w:val="FootnoteReference"/>
          <w:rFonts w:ascii="Palatino Linotype" w:hAnsi="Palatino Linotype"/>
        </w:rPr>
        <w:footnoteRef/>
      </w:r>
      <w:r w:rsidRPr="00A36FA8">
        <w:rPr>
          <w:rFonts w:ascii="Palatino Linotype" w:hAnsi="Palatino Linotype"/>
        </w:rPr>
        <w:t xml:space="preserve"> Joint CCAs Protest to AL 5498-E et al., pp. 3–4, 7.</w:t>
      </w:r>
    </w:p>
  </w:footnote>
  <w:footnote w:id="10">
    <w:p w14:paraId="380E00CA" w14:textId="77777777" w:rsidR="00A36FA8" w:rsidRPr="00B85CBF" w:rsidRDefault="00A36FA8">
      <w:pPr>
        <w:pStyle w:val="FootnoteText"/>
        <w:rPr>
          <w:rFonts w:ascii="Palatino Linotype" w:hAnsi="Palatino Linotype"/>
        </w:rPr>
      </w:pPr>
      <w:r w:rsidRPr="00B85CBF">
        <w:rPr>
          <w:rStyle w:val="FootnoteReference"/>
          <w:rFonts w:ascii="Palatino Linotype" w:hAnsi="Palatino Linotype"/>
        </w:rPr>
        <w:footnoteRef/>
      </w:r>
      <w:r w:rsidRPr="00B85CBF">
        <w:rPr>
          <w:rFonts w:ascii="Palatino Linotype" w:hAnsi="Palatino Linotype"/>
        </w:rPr>
        <w:t xml:space="preserve"> Joint IOU Reply to Protests of AL 5498-E et al., pp. 9–10.</w:t>
      </w:r>
    </w:p>
  </w:footnote>
  <w:footnote w:id="11">
    <w:p w14:paraId="0C4116FC" w14:textId="77777777" w:rsidR="0053567B" w:rsidRDefault="0053567B">
      <w:pPr>
        <w:pStyle w:val="FootnoteText"/>
      </w:pPr>
      <w:r w:rsidRPr="00B85CBF">
        <w:rPr>
          <w:rStyle w:val="FootnoteReference"/>
          <w:rFonts w:ascii="Palatino Linotype" w:hAnsi="Palatino Linotype"/>
        </w:rPr>
        <w:footnoteRef/>
      </w:r>
      <w:r w:rsidRPr="00B85CBF">
        <w:rPr>
          <w:rFonts w:ascii="Palatino Linotype" w:hAnsi="Palatino Linotype"/>
        </w:rPr>
        <w:t xml:space="preserve"> Vote Solar/CBD Protest to AL 5498-E et al., p. 2.</w:t>
      </w:r>
    </w:p>
  </w:footnote>
  <w:footnote w:id="12">
    <w:p w14:paraId="381B6D9B" w14:textId="77777777" w:rsidR="00B85CBF" w:rsidRPr="006D2730" w:rsidRDefault="00B85CBF">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 5.</w:t>
      </w:r>
    </w:p>
  </w:footnote>
  <w:footnote w:id="13">
    <w:p w14:paraId="0F48A5A8" w14:textId="77777777" w:rsidR="00801CC7" w:rsidRPr="006D2730" w:rsidRDefault="00801CC7">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Vote Solar/CBD Protest to AL 5498-E et al., pp. 4–5.</w:t>
      </w:r>
    </w:p>
  </w:footnote>
  <w:footnote w:id="14">
    <w:p w14:paraId="7107E968" w14:textId="77777777" w:rsidR="00C31B55" w:rsidRPr="006D2730" w:rsidRDefault="00C31B55">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pp. 8–9.</w:t>
      </w:r>
    </w:p>
  </w:footnote>
  <w:footnote w:id="15">
    <w:p w14:paraId="579230A4" w14:textId="77777777" w:rsidR="0069741C" w:rsidRPr="006D2730" w:rsidRDefault="0069741C">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Vote Solar/CBD Protest to AL 5498-E et al., p. 3.</w:t>
      </w:r>
    </w:p>
  </w:footnote>
  <w:footnote w:id="16">
    <w:p w14:paraId="1E60F925" w14:textId="77777777" w:rsidR="006D2730" w:rsidRDefault="006D2730">
      <w:pPr>
        <w:pStyle w:val="FootnoteText"/>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pp. 7–8.</w:t>
      </w:r>
    </w:p>
  </w:footnote>
  <w:footnote w:id="17">
    <w:p w14:paraId="0942B3B2" w14:textId="77777777" w:rsidR="00353ACA" w:rsidRPr="00DA47B1" w:rsidRDefault="00353ACA">
      <w:pPr>
        <w:pStyle w:val="FootnoteText"/>
        <w:rPr>
          <w:rFonts w:ascii="Palatino Linotype" w:hAnsi="Palatino Linotype"/>
        </w:rPr>
      </w:pPr>
      <w:r w:rsidRPr="00DA47B1">
        <w:rPr>
          <w:rStyle w:val="FootnoteReference"/>
          <w:rFonts w:ascii="Palatino Linotype" w:hAnsi="Palatino Linotype"/>
        </w:rPr>
        <w:footnoteRef/>
      </w:r>
      <w:r w:rsidRPr="00DA47B1">
        <w:rPr>
          <w:rFonts w:ascii="Palatino Linotype" w:hAnsi="Palatino Linotype"/>
        </w:rPr>
        <w:t xml:space="preserve"> Joint IOU Reply to Protests of AL 5498-E et al., p. 8.</w:t>
      </w:r>
    </w:p>
  </w:footnote>
  <w:footnote w:id="18">
    <w:p w14:paraId="5EF4706E" w14:textId="77777777" w:rsidR="00CD14F3" w:rsidRPr="00DA47B1" w:rsidRDefault="00CD14F3">
      <w:pPr>
        <w:pStyle w:val="FootnoteText"/>
        <w:rPr>
          <w:rFonts w:ascii="Palatino Linotype" w:hAnsi="Palatino Linotype"/>
        </w:rPr>
      </w:pPr>
      <w:r w:rsidRPr="00DA47B1">
        <w:rPr>
          <w:rStyle w:val="FootnoteReference"/>
          <w:rFonts w:ascii="Palatino Linotype" w:hAnsi="Palatino Linotype"/>
        </w:rPr>
        <w:footnoteRef/>
      </w:r>
      <w:r w:rsidRPr="00DA47B1">
        <w:rPr>
          <w:rFonts w:ascii="Palatino Linotype" w:hAnsi="Palatino Linotype"/>
        </w:rPr>
        <w:t xml:space="preserve"> </w:t>
      </w:r>
      <w:proofErr w:type="spellStart"/>
      <w:r w:rsidRPr="00DA47B1">
        <w:rPr>
          <w:rFonts w:ascii="Palatino Linotype" w:hAnsi="Palatino Linotype"/>
        </w:rPr>
        <w:t>CforAT</w:t>
      </w:r>
      <w:proofErr w:type="spellEnd"/>
      <w:r w:rsidRPr="00DA47B1">
        <w:rPr>
          <w:rFonts w:ascii="Palatino Linotype" w:hAnsi="Palatino Linotype"/>
        </w:rPr>
        <w:t xml:space="preserve"> Protest to AL 5498-E et al., pp. 4–5.</w:t>
      </w:r>
    </w:p>
  </w:footnote>
  <w:footnote w:id="19">
    <w:p w14:paraId="628A11B6" w14:textId="77777777" w:rsidR="00DA47B1" w:rsidRDefault="00DA47B1">
      <w:pPr>
        <w:pStyle w:val="FootnoteText"/>
      </w:pPr>
      <w:r w:rsidRPr="00DA47B1">
        <w:rPr>
          <w:rStyle w:val="FootnoteReference"/>
          <w:rFonts w:ascii="Palatino Linotype" w:hAnsi="Palatino Linotype"/>
        </w:rPr>
        <w:footnoteRef/>
      </w:r>
      <w:r w:rsidRPr="00DA47B1">
        <w:rPr>
          <w:rFonts w:ascii="Palatino Linotype" w:hAnsi="Palatino Linotype"/>
        </w:rPr>
        <w:t xml:space="preserve"> Joint IOU Reply to Protests of AL 5498-E et al., p. 5.</w:t>
      </w:r>
    </w:p>
  </w:footnote>
  <w:footnote w:id="20">
    <w:p w14:paraId="7746DA83" w14:textId="6E10A513" w:rsidR="006328D1" w:rsidRPr="004B34AD" w:rsidRDefault="006328D1">
      <w:pPr>
        <w:pStyle w:val="FootnoteText"/>
        <w:rPr>
          <w:rFonts w:ascii="Palatino Linotype" w:hAnsi="Palatino Linotype"/>
        </w:rPr>
      </w:pPr>
      <w:r w:rsidRPr="004B34AD">
        <w:rPr>
          <w:rStyle w:val="FootnoteReference"/>
          <w:rFonts w:ascii="Palatino Linotype" w:hAnsi="Palatino Linotype"/>
        </w:rPr>
        <w:footnoteRef/>
      </w:r>
      <w:r w:rsidRPr="004B34AD">
        <w:rPr>
          <w:rFonts w:ascii="Palatino Linotype" w:hAnsi="Palatino Linotype"/>
        </w:rPr>
        <w:t xml:space="preserve"> Vote Solar &amp; Center for Biological Diversity. (2025, March 20). Protest to joint investor-owned utilities request for approval of final set of equity metrics to measure equity in distribution planning [Protest to SCE AL 5498-E, PG&amp;E AL 7530-E, SDG&amp;E AL 4617-E]. California Public Utilities Commission, Rulemaking 21-06-017.</w:t>
      </w:r>
      <w:r w:rsidR="00E75B5F">
        <w:rPr>
          <w:rFonts w:ascii="Palatino Linotype" w:hAnsi="Palatino Linotype"/>
        </w:rPr>
        <w:t xml:space="preserve"> Page 4.</w:t>
      </w:r>
    </w:p>
  </w:footnote>
  <w:footnote w:id="21">
    <w:p w14:paraId="65D66694" w14:textId="68FBC112" w:rsidR="0064075C" w:rsidRDefault="0064075C">
      <w:pPr>
        <w:pStyle w:val="FootnoteText"/>
      </w:pPr>
      <w:r w:rsidRPr="004B34AD">
        <w:rPr>
          <w:rStyle w:val="FootnoteReference"/>
          <w:rFonts w:ascii="Palatino Linotype" w:hAnsi="Palatino Linotype"/>
        </w:rPr>
        <w:footnoteRef/>
      </w:r>
      <w:r w:rsidRPr="004B34AD">
        <w:rPr>
          <w:rFonts w:ascii="Palatino Linotype" w:hAnsi="Palatino Linotype"/>
        </w:rPr>
        <w:t xml:space="preserve"> </w:t>
      </w:r>
      <w:r w:rsidR="00560053" w:rsidRPr="004B34AD">
        <w:rPr>
          <w:rFonts w:ascii="Palatino Linotype" w:hAnsi="Palatino Linotype"/>
        </w:rPr>
        <w:t xml:space="preserve">PhD. </w:t>
      </w:r>
      <w:r w:rsidRPr="004B34AD">
        <w:rPr>
          <w:rFonts w:ascii="Palatino Linotype" w:hAnsi="Palatino Linotype"/>
        </w:rPr>
        <w:t>Duncan Callaway presentation</w:t>
      </w:r>
      <w:r w:rsidR="006328D1" w:rsidRPr="004B34AD">
        <w:rPr>
          <w:rFonts w:ascii="Palatino Linotype" w:hAnsi="Palatino Linotype"/>
        </w:rPr>
        <w:t>.</w:t>
      </w:r>
    </w:p>
  </w:footnote>
  <w:footnote w:id="22">
    <w:p w14:paraId="4240E65E" w14:textId="6B1A60F2" w:rsidR="00D74950" w:rsidRPr="004B34AD" w:rsidRDefault="00D74950">
      <w:pPr>
        <w:pStyle w:val="FootnoteText"/>
        <w:rPr>
          <w:rFonts w:ascii="Palatino Linotype" w:hAnsi="Palatino Linotype"/>
        </w:rPr>
      </w:pPr>
      <w:r w:rsidRPr="004B34AD">
        <w:rPr>
          <w:rStyle w:val="FootnoteReference"/>
          <w:rFonts w:ascii="Palatino Linotype" w:hAnsi="Palatino Linotype"/>
        </w:rPr>
        <w:footnoteRef/>
      </w:r>
      <w:r w:rsidRPr="004B34AD">
        <w:rPr>
          <w:rFonts w:ascii="Palatino Linotype" w:hAnsi="Palatino Linotype"/>
        </w:rPr>
        <w:t xml:space="preserve"> The Distribution Deferral Opportunity Report (DDOR) was renamed Distribution Project Upgrade Report (DUPR) in D.24-10-030.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B352" w14:textId="604E110F" w:rsidR="00A76F4A" w:rsidRDefault="56DF6A51" w:rsidP="00CA3D13">
    <w:pPr>
      <w:pStyle w:val="Header"/>
      <w:tabs>
        <w:tab w:val="clear" w:pos="9360"/>
        <w:tab w:val="right" w:pos="9000"/>
      </w:tabs>
      <w:rPr>
        <w:rFonts w:ascii="Palatino Linotype" w:hAnsi="Palatino Linotype"/>
      </w:rPr>
    </w:pPr>
    <w:r w:rsidRPr="56DF6A51">
      <w:rPr>
        <w:rFonts w:ascii="Palatino Linotype" w:hAnsi="Palatino Linotype"/>
      </w:rPr>
      <w:t>ED/Resolution</w:t>
    </w:r>
    <w:r w:rsidR="00B47BD4">
      <w:rPr>
        <w:rFonts w:ascii="Palatino Linotype" w:hAnsi="Palatino Linotype"/>
      </w:rPr>
      <w:t xml:space="preserve"> </w:t>
    </w:r>
    <w:r w:rsidR="00AF2A8B">
      <w:rPr>
        <w:rFonts w:ascii="Palatino Linotype" w:hAnsi="Palatino Linotype"/>
      </w:rPr>
      <w:t>E-</w:t>
    </w:r>
    <w:r w:rsidR="00B47BD4">
      <w:rPr>
        <w:rFonts w:ascii="Palatino Linotype" w:hAnsi="Palatino Linotype"/>
      </w:rPr>
      <w:t>5480</w:t>
    </w:r>
    <w:r w:rsidR="008213BB">
      <w:tab/>
    </w:r>
    <w:r w:rsidRPr="56DF6A51">
      <w:rPr>
        <w:rFonts w:ascii="Palatino Linotype" w:hAnsi="Palatino Linotype"/>
      </w:rPr>
      <w:t>DRAFT</w:t>
    </w:r>
    <w:r w:rsidR="008213BB">
      <w:tab/>
    </w:r>
    <w:r w:rsidR="009603A0" w:rsidRPr="009603A0">
      <w:rPr>
        <w:rFonts w:ascii="Palatino Linotype" w:hAnsi="Palatino Linotype"/>
      </w:rPr>
      <w:t xml:space="preserve">   </w:t>
    </w:r>
    <w:r w:rsidR="009603A0">
      <w:rPr>
        <w:rFonts w:ascii="Palatino Linotype" w:hAnsi="Palatino Linotype"/>
      </w:rPr>
      <w:t xml:space="preserve">    </w:t>
    </w:r>
    <w:r w:rsidR="009603A0" w:rsidRPr="009603A0">
      <w:rPr>
        <w:rFonts w:ascii="Palatino Linotype" w:hAnsi="Palatino Linotype"/>
      </w:rPr>
      <w:t xml:space="preserve"> September 17, 2026</w:t>
    </w:r>
  </w:p>
  <w:p w14:paraId="183A2F47" w14:textId="720FAECB" w:rsidR="008213BB" w:rsidRDefault="00B47BD4" w:rsidP="00CA3D13">
    <w:pPr>
      <w:pStyle w:val="Header"/>
      <w:rPr>
        <w:rFonts w:ascii="Palatino Linotype" w:hAnsi="Palatino Linotype"/>
      </w:rPr>
    </w:pPr>
    <w:r>
      <w:rPr>
        <w:rFonts w:ascii="Palatino Linotype" w:hAnsi="Palatino Linotype"/>
      </w:rPr>
      <w:t>SCE AL 5498-E, PG&amp;E</w:t>
    </w:r>
    <w:r w:rsidR="00AF2A8B">
      <w:rPr>
        <w:rFonts w:ascii="Palatino Linotype" w:hAnsi="Palatino Linotype"/>
      </w:rPr>
      <w:t xml:space="preserve"> AL</w:t>
    </w:r>
    <w:r>
      <w:rPr>
        <w:rFonts w:ascii="Palatino Linotype" w:hAnsi="Palatino Linotype"/>
      </w:rPr>
      <w:t xml:space="preserve"> 7530-E,</w:t>
    </w:r>
    <w:r w:rsidR="000F5ABA">
      <w:rPr>
        <w:rFonts w:ascii="Palatino Linotype" w:hAnsi="Palatino Linotype"/>
      </w:rPr>
      <w:t xml:space="preserve"> and</w:t>
    </w:r>
    <w:r>
      <w:rPr>
        <w:rFonts w:ascii="Palatino Linotype" w:hAnsi="Palatino Linotype"/>
      </w:rPr>
      <w:t xml:space="preserve"> SDG&amp;E AL 4617-E</w:t>
    </w:r>
    <w:r w:rsidR="00565F65">
      <w:rPr>
        <w:rFonts w:ascii="Palatino Linotype" w:hAnsi="Palatino Linotype"/>
      </w:rPr>
      <w:t>/</w:t>
    </w:r>
    <w:r>
      <w:rPr>
        <w:rFonts w:ascii="Palatino Linotype" w:hAnsi="Palatino Linotype"/>
      </w:rPr>
      <w:t>AGV</w:t>
    </w:r>
  </w:p>
  <w:p w14:paraId="0B348326" w14:textId="77777777" w:rsidR="00B47BD4" w:rsidRPr="002A1AD8" w:rsidRDefault="00B47BD4" w:rsidP="00AF2A8B">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027B" w14:textId="77777777" w:rsidR="00750E92" w:rsidRPr="00750E92" w:rsidRDefault="00750E92" w:rsidP="00750E92">
    <w:pPr>
      <w:pStyle w:val="Header"/>
      <w:jc w:val="center"/>
      <w:rPr>
        <w:rFonts w:ascii="Palatino Linotype" w:hAnsi="Palatino Linotype"/>
      </w:rPr>
    </w:pPr>
    <w:r w:rsidRPr="00750E92">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0643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772BA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0B2E6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B4C60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EED1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AAC8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5034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A6C2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3024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C47E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A168F"/>
    <w:multiLevelType w:val="hybridMultilevel"/>
    <w:tmpl w:val="3A4ABB3C"/>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F552A7"/>
    <w:multiLevelType w:val="hybridMultilevel"/>
    <w:tmpl w:val="2FC61236"/>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6B6301"/>
    <w:multiLevelType w:val="hybridMultilevel"/>
    <w:tmpl w:val="5914B34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106C23"/>
    <w:multiLevelType w:val="hybridMultilevel"/>
    <w:tmpl w:val="17D0F51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6F8414F"/>
    <w:multiLevelType w:val="hybridMultilevel"/>
    <w:tmpl w:val="2AB02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4258F1"/>
    <w:multiLevelType w:val="hybridMultilevel"/>
    <w:tmpl w:val="6FFA661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C86C71"/>
    <w:multiLevelType w:val="hybridMultilevel"/>
    <w:tmpl w:val="E0CC71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04300"/>
    <w:multiLevelType w:val="hybridMultilevel"/>
    <w:tmpl w:val="52B2E2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644189"/>
    <w:multiLevelType w:val="multilevel"/>
    <w:tmpl w:val="6B5888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7960332"/>
    <w:multiLevelType w:val="hybridMultilevel"/>
    <w:tmpl w:val="FFD07B7A"/>
    <w:lvl w:ilvl="0" w:tplc="062C06B4">
      <w:start w:val="1"/>
      <w:numFmt w:val="bullet"/>
      <w:lvlText w:val="•"/>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2"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231E99"/>
    <w:multiLevelType w:val="multilevel"/>
    <w:tmpl w:val="6E88BF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lvlText w:val="6.%3."/>
      <w:lvlJc w:val="left"/>
      <w:pPr>
        <w:ind w:left="720" w:hanging="3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26" w15:restartNumberingAfterBreak="0">
    <w:nsid w:val="72BA0F16"/>
    <w:multiLevelType w:val="hybridMultilevel"/>
    <w:tmpl w:val="E41814FA"/>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3757D6"/>
    <w:multiLevelType w:val="hybridMultilevel"/>
    <w:tmpl w:val="01B4BE5C"/>
    <w:lvl w:ilvl="0" w:tplc="0409000F">
      <w:start w:val="1"/>
      <w:numFmt w:val="decimal"/>
      <w:lvlText w:val="%1."/>
      <w:lvlJc w:val="left"/>
      <w:pPr>
        <w:ind w:left="720" w:hanging="360"/>
      </w:pPr>
      <w:rPr>
        <w:rFonts w:hint="default"/>
      </w:rPr>
    </w:lvl>
    <w:lvl w:ilvl="1" w:tplc="EFB219CC">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A20CD"/>
    <w:multiLevelType w:val="multilevel"/>
    <w:tmpl w:val="6B5888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44842790">
    <w:abstractNumId w:val="21"/>
  </w:num>
  <w:num w:numId="2" w16cid:durableId="1991593136">
    <w:abstractNumId w:val="14"/>
  </w:num>
  <w:num w:numId="3" w16cid:durableId="1754620235">
    <w:abstractNumId w:val="15"/>
  </w:num>
  <w:num w:numId="4" w16cid:durableId="969365539">
    <w:abstractNumId w:val="24"/>
  </w:num>
  <w:num w:numId="5" w16cid:durableId="468133998">
    <w:abstractNumId w:val="22"/>
  </w:num>
  <w:num w:numId="6" w16cid:durableId="426273653">
    <w:abstractNumId w:val="25"/>
  </w:num>
  <w:num w:numId="7" w16cid:durableId="1097601104">
    <w:abstractNumId w:val="28"/>
  </w:num>
  <w:num w:numId="8" w16cid:durableId="1448549724">
    <w:abstractNumId w:val="13"/>
  </w:num>
  <w:num w:numId="9" w16cid:durableId="985936134">
    <w:abstractNumId w:val="20"/>
  </w:num>
  <w:num w:numId="10" w16cid:durableId="1526361175">
    <w:abstractNumId w:val="11"/>
  </w:num>
  <w:num w:numId="11" w16cid:durableId="1147016275">
    <w:abstractNumId w:val="26"/>
  </w:num>
  <w:num w:numId="12" w16cid:durableId="1878662800">
    <w:abstractNumId w:val="27"/>
  </w:num>
  <w:num w:numId="13" w16cid:durableId="623999661">
    <w:abstractNumId w:val="10"/>
  </w:num>
  <w:num w:numId="14" w16cid:durableId="1581518542">
    <w:abstractNumId w:val="16"/>
  </w:num>
  <w:num w:numId="15" w16cid:durableId="74478744">
    <w:abstractNumId w:val="18"/>
  </w:num>
  <w:num w:numId="16" w16cid:durableId="1841852871">
    <w:abstractNumId w:val="17"/>
  </w:num>
  <w:num w:numId="17" w16cid:durableId="1846936870">
    <w:abstractNumId w:val="12"/>
  </w:num>
  <w:num w:numId="18" w16cid:durableId="443504437">
    <w:abstractNumId w:val="23"/>
  </w:num>
  <w:num w:numId="19" w16cid:durableId="1636640446">
    <w:abstractNumId w:val="19"/>
  </w:num>
  <w:num w:numId="20" w16cid:durableId="1625845304">
    <w:abstractNumId w:val="9"/>
  </w:num>
  <w:num w:numId="21" w16cid:durableId="548608167">
    <w:abstractNumId w:val="7"/>
  </w:num>
  <w:num w:numId="22" w16cid:durableId="1634945746">
    <w:abstractNumId w:val="6"/>
  </w:num>
  <w:num w:numId="23" w16cid:durableId="2023237430">
    <w:abstractNumId w:val="5"/>
  </w:num>
  <w:num w:numId="24" w16cid:durableId="1324433081">
    <w:abstractNumId w:val="4"/>
  </w:num>
  <w:num w:numId="25" w16cid:durableId="735543118">
    <w:abstractNumId w:val="8"/>
  </w:num>
  <w:num w:numId="26" w16cid:durableId="1862930736">
    <w:abstractNumId w:val="3"/>
  </w:num>
  <w:num w:numId="27" w16cid:durableId="558982636">
    <w:abstractNumId w:val="2"/>
  </w:num>
  <w:num w:numId="28" w16cid:durableId="587693960">
    <w:abstractNumId w:val="1"/>
  </w:num>
  <w:num w:numId="29" w16cid:durableId="400253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2FB"/>
    <w:rsid w:val="000005BC"/>
    <w:rsid w:val="0000074E"/>
    <w:rsid w:val="00000895"/>
    <w:rsid w:val="00000BDA"/>
    <w:rsid w:val="00001B5B"/>
    <w:rsid w:val="00001BC4"/>
    <w:rsid w:val="000044B6"/>
    <w:rsid w:val="00004A68"/>
    <w:rsid w:val="000057D4"/>
    <w:rsid w:val="00005A5E"/>
    <w:rsid w:val="00005FE6"/>
    <w:rsid w:val="00006225"/>
    <w:rsid w:val="00006380"/>
    <w:rsid w:val="000071AD"/>
    <w:rsid w:val="00007400"/>
    <w:rsid w:val="00007E77"/>
    <w:rsid w:val="00010493"/>
    <w:rsid w:val="000111CC"/>
    <w:rsid w:val="00011748"/>
    <w:rsid w:val="00011D82"/>
    <w:rsid w:val="00013B0E"/>
    <w:rsid w:val="00015E00"/>
    <w:rsid w:val="00016B61"/>
    <w:rsid w:val="000200F9"/>
    <w:rsid w:val="00020D06"/>
    <w:rsid w:val="000220EF"/>
    <w:rsid w:val="00023C4D"/>
    <w:rsid w:val="00024CE6"/>
    <w:rsid w:val="00024F42"/>
    <w:rsid w:val="00030C1F"/>
    <w:rsid w:val="00031010"/>
    <w:rsid w:val="00031341"/>
    <w:rsid w:val="000318B7"/>
    <w:rsid w:val="00032656"/>
    <w:rsid w:val="000327B7"/>
    <w:rsid w:val="00033036"/>
    <w:rsid w:val="0003398B"/>
    <w:rsid w:val="0003457F"/>
    <w:rsid w:val="00034AEB"/>
    <w:rsid w:val="00035A01"/>
    <w:rsid w:val="00037792"/>
    <w:rsid w:val="00037F77"/>
    <w:rsid w:val="00041257"/>
    <w:rsid w:val="00041577"/>
    <w:rsid w:val="00042043"/>
    <w:rsid w:val="00042B2A"/>
    <w:rsid w:val="000430CE"/>
    <w:rsid w:val="00043634"/>
    <w:rsid w:val="0004382A"/>
    <w:rsid w:val="000442A2"/>
    <w:rsid w:val="00045D25"/>
    <w:rsid w:val="000462E0"/>
    <w:rsid w:val="00046F83"/>
    <w:rsid w:val="000477CC"/>
    <w:rsid w:val="0004791F"/>
    <w:rsid w:val="00051731"/>
    <w:rsid w:val="00051AAB"/>
    <w:rsid w:val="00051EBF"/>
    <w:rsid w:val="00052D00"/>
    <w:rsid w:val="00052D26"/>
    <w:rsid w:val="00053A3E"/>
    <w:rsid w:val="000547D3"/>
    <w:rsid w:val="00054D11"/>
    <w:rsid w:val="00055488"/>
    <w:rsid w:val="00055828"/>
    <w:rsid w:val="000561F6"/>
    <w:rsid w:val="0005699E"/>
    <w:rsid w:val="00060991"/>
    <w:rsid w:val="00062BDC"/>
    <w:rsid w:val="00062E4C"/>
    <w:rsid w:val="000635B5"/>
    <w:rsid w:val="000637F6"/>
    <w:rsid w:val="000642FB"/>
    <w:rsid w:val="0006437F"/>
    <w:rsid w:val="000658EA"/>
    <w:rsid w:val="00065C77"/>
    <w:rsid w:val="00065EFC"/>
    <w:rsid w:val="00066F19"/>
    <w:rsid w:val="0006797E"/>
    <w:rsid w:val="0007060E"/>
    <w:rsid w:val="00071283"/>
    <w:rsid w:val="00072C19"/>
    <w:rsid w:val="00073A69"/>
    <w:rsid w:val="00073AA9"/>
    <w:rsid w:val="000740CE"/>
    <w:rsid w:val="0007441B"/>
    <w:rsid w:val="0007471E"/>
    <w:rsid w:val="00074E46"/>
    <w:rsid w:val="00080082"/>
    <w:rsid w:val="00081A55"/>
    <w:rsid w:val="00082166"/>
    <w:rsid w:val="00083156"/>
    <w:rsid w:val="000838F9"/>
    <w:rsid w:val="00083B28"/>
    <w:rsid w:val="00083B91"/>
    <w:rsid w:val="000842E8"/>
    <w:rsid w:val="000849B0"/>
    <w:rsid w:val="00084DA5"/>
    <w:rsid w:val="0008509F"/>
    <w:rsid w:val="0008583B"/>
    <w:rsid w:val="00085AC5"/>
    <w:rsid w:val="00085E7E"/>
    <w:rsid w:val="000905E2"/>
    <w:rsid w:val="000907CB"/>
    <w:rsid w:val="000910BA"/>
    <w:rsid w:val="0009261B"/>
    <w:rsid w:val="00092956"/>
    <w:rsid w:val="0009348F"/>
    <w:rsid w:val="00094EF8"/>
    <w:rsid w:val="0009531D"/>
    <w:rsid w:val="00096A1C"/>
    <w:rsid w:val="00097CDF"/>
    <w:rsid w:val="000A0C10"/>
    <w:rsid w:val="000A1692"/>
    <w:rsid w:val="000A3440"/>
    <w:rsid w:val="000A48D7"/>
    <w:rsid w:val="000A4A9B"/>
    <w:rsid w:val="000A50E2"/>
    <w:rsid w:val="000A510D"/>
    <w:rsid w:val="000A52C3"/>
    <w:rsid w:val="000A620B"/>
    <w:rsid w:val="000A65B0"/>
    <w:rsid w:val="000B06CA"/>
    <w:rsid w:val="000B0C88"/>
    <w:rsid w:val="000B13C9"/>
    <w:rsid w:val="000B1941"/>
    <w:rsid w:val="000B1B43"/>
    <w:rsid w:val="000B31D0"/>
    <w:rsid w:val="000B50B8"/>
    <w:rsid w:val="000B5352"/>
    <w:rsid w:val="000B7E3B"/>
    <w:rsid w:val="000C0674"/>
    <w:rsid w:val="000C09A8"/>
    <w:rsid w:val="000C10F9"/>
    <w:rsid w:val="000C16BD"/>
    <w:rsid w:val="000C2653"/>
    <w:rsid w:val="000C3AA8"/>
    <w:rsid w:val="000C3D9E"/>
    <w:rsid w:val="000D0096"/>
    <w:rsid w:val="000D02F2"/>
    <w:rsid w:val="000D1762"/>
    <w:rsid w:val="000D1B3B"/>
    <w:rsid w:val="000D2691"/>
    <w:rsid w:val="000D2DC9"/>
    <w:rsid w:val="000D300B"/>
    <w:rsid w:val="000D3194"/>
    <w:rsid w:val="000D3DCB"/>
    <w:rsid w:val="000D6CFE"/>
    <w:rsid w:val="000D6D1C"/>
    <w:rsid w:val="000E046F"/>
    <w:rsid w:val="000E0A4A"/>
    <w:rsid w:val="000E0D92"/>
    <w:rsid w:val="000E13F7"/>
    <w:rsid w:val="000E1523"/>
    <w:rsid w:val="000E15DE"/>
    <w:rsid w:val="000E1B23"/>
    <w:rsid w:val="000E1CDD"/>
    <w:rsid w:val="000E2D40"/>
    <w:rsid w:val="000E3EAD"/>
    <w:rsid w:val="000E431A"/>
    <w:rsid w:val="000E5032"/>
    <w:rsid w:val="000E5617"/>
    <w:rsid w:val="000E72FA"/>
    <w:rsid w:val="000E7425"/>
    <w:rsid w:val="000E7CD4"/>
    <w:rsid w:val="000F0092"/>
    <w:rsid w:val="000F2261"/>
    <w:rsid w:val="000F2935"/>
    <w:rsid w:val="000F3564"/>
    <w:rsid w:val="000F3CA9"/>
    <w:rsid w:val="000F4126"/>
    <w:rsid w:val="000F5ABA"/>
    <w:rsid w:val="000F7063"/>
    <w:rsid w:val="0010044B"/>
    <w:rsid w:val="00101AC3"/>
    <w:rsid w:val="00101B52"/>
    <w:rsid w:val="00101FFE"/>
    <w:rsid w:val="001025E7"/>
    <w:rsid w:val="00102804"/>
    <w:rsid w:val="00102842"/>
    <w:rsid w:val="00102DC5"/>
    <w:rsid w:val="00105793"/>
    <w:rsid w:val="00107083"/>
    <w:rsid w:val="00107978"/>
    <w:rsid w:val="00110A1F"/>
    <w:rsid w:val="00110F7B"/>
    <w:rsid w:val="001119D9"/>
    <w:rsid w:val="00111AF9"/>
    <w:rsid w:val="00114B92"/>
    <w:rsid w:val="00115218"/>
    <w:rsid w:val="00115C4B"/>
    <w:rsid w:val="001160F5"/>
    <w:rsid w:val="00116C9C"/>
    <w:rsid w:val="00122AAC"/>
    <w:rsid w:val="001232BE"/>
    <w:rsid w:val="00123327"/>
    <w:rsid w:val="00123F8C"/>
    <w:rsid w:val="00124AFA"/>
    <w:rsid w:val="00125589"/>
    <w:rsid w:val="00125C4F"/>
    <w:rsid w:val="00126169"/>
    <w:rsid w:val="001265FF"/>
    <w:rsid w:val="00126C83"/>
    <w:rsid w:val="00127EDF"/>
    <w:rsid w:val="001300EC"/>
    <w:rsid w:val="001309FA"/>
    <w:rsid w:val="00130DEB"/>
    <w:rsid w:val="001317EC"/>
    <w:rsid w:val="00132D8E"/>
    <w:rsid w:val="00132F86"/>
    <w:rsid w:val="001341E6"/>
    <w:rsid w:val="001343DD"/>
    <w:rsid w:val="001357B6"/>
    <w:rsid w:val="00136275"/>
    <w:rsid w:val="001363A5"/>
    <w:rsid w:val="00136A2A"/>
    <w:rsid w:val="001375EF"/>
    <w:rsid w:val="00140ACD"/>
    <w:rsid w:val="00140E7B"/>
    <w:rsid w:val="00141D7D"/>
    <w:rsid w:val="001427CA"/>
    <w:rsid w:val="00142A13"/>
    <w:rsid w:val="00142C65"/>
    <w:rsid w:val="001435B4"/>
    <w:rsid w:val="00144BA9"/>
    <w:rsid w:val="00144C5D"/>
    <w:rsid w:val="00144E64"/>
    <w:rsid w:val="00144EE1"/>
    <w:rsid w:val="0014514A"/>
    <w:rsid w:val="0014548A"/>
    <w:rsid w:val="00145C03"/>
    <w:rsid w:val="001469B1"/>
    <w:rsid w:val="00146E50"/>
    <w:rsid w:val="00147AEB"/>
    <w:rsid w:val="0015055F"/>
    <w:rsid w:val="00150E12"/>
    <w:rsid w:val="001519B2"/>
    <w:rsid w:val="00151C0A"/>
    <w:rsid w:val="00153DF5"/>
    <w:rsid w:val="00153E31"/>
    <w:rsid w:val="0015432A"/>
    <w:rsid w:val="00154BBD"/>
    <w:rsid w:val="001577ED"/>
    <w:rsid w:val="00160656"/>
    <w:rsid w:val="00160C43"/>
    <w:rsid w:val="00161217"/>
    <w:rsid w:val="0016289B"/>
    <w:rsid w:val="00162B27"/>
    <w:rsid w:val="00165183"/>
    <w:rsid w:val="001653FA"/>
    <w:rsid w:val="00165AE0"/>
    <w:rsid w:val="00165C12"/>
    <w:rsid w:val="00165EB0"/>
    <w:rsid w:val="00166A44"/>
    <w:rsid w:val="001675A8"/>
    <w:rsid w:val="001676E1"/>
    <w:rsid w:val="00167F0A"/>
    <w:rsid w:val="00167FA6"/>
    <w:rsid w:val="00170E25"/>
    <w:rsid w:val="0017185F"/>
    <w:rsid w:val="00171862"/>
    <w:rsid w:val="00171944"/>
    <w:rsid w:val="001727B9"/>
    <w:rsid w:val="00173A7E"/>
    <w:rsid w:val="00173BF0"/>
    <w:rsid w:val="00174647"/>
    <w:rsid w:val="00174C60"/>
    <w:rsid w:val="0017529F"/>
    <w:rsid w:val="001761EE"/>
    <w:rsid w:val="0017688D"/>
    <w:rsid w:val="00176CF2"/>
    <w:rsid w:val="00176D56"/>
    <w:rsid w:val="00176F12"/>
    <w:rsid w:val="00177DC7"/>
    <w:rsid w:val="0018011A"/>
    <w:rsid w:val="00180D65"/>
    <w:rsid w:val="00181261"/>
    <w:rsid w:val="0018288B"/>
    <w:rsid w:val="00182B78"/>
    <w:rsid w:val="00182C96"/>
    <w:rsid w:val="001841DE"/>
    <w:rsid w:val="001851E3"/>
    <w:rsid w:val="00185E05"/>
    <w:rsid w:val="0018643B"/>
    <w:rsid w:val="00186C2F"/>
    <w:rsid w:val="00186E27"/>
    <w:rsid w:val="00186F7C"/>
    <w:rsid w:val="0019166B"/>
    <w:rsid w:val="00191768"/>
    <w:rsid w:val="00193568"/>
    <w:rsid w:val="00194036"/>
    <w:rsid w:val="0019464E"/>
    <w:rsid w:val="0019581B"/>
    <w:rsid w:val="00195B27"/>
    <w:rsid w:val="00195D8C"/>
    <w:rsid w:val="00196A70"/>
    <w:rsid w:val="00196C7D"/>
    <w:rsid w:val="00196F04"/>
    <w:rsid w:val="00197021"/>
    <w:rsid w:val="00197537"/>
    <w:rsid w:val="001A0024"/>
    <w:rsid w:val="001A0CFE"/>
    <w:rsid w:val="001A1C69"/>
    <w:rsid w:val="001A34F7"/>
    <w:rsid w:val="001A3D15"/>
    <w:rsid w:val="001A46D6"/>
    <w:rsid w:val="001A4757"/>
    <w:rsid w:val="001A4DB0"/>
    <w:rsid w:val="001A4E9F"/>
    <w:rsid w:val="001A63D7"/>
    <w:rsid w:val="001B0337"/>
    <w:rsid w:val="001B10C9"/>
    <w:rsid w:val="001B133A"/>
    <w:rsid w:val="001B18BE"/>
    <w:rsid w:val="001B1D38"/>
    <w:rsid w:val="001B37EC"/>
    <w:rsid w:val="001B3BED"/>
    <w:rsid w:val="001B5FE8"/>
    <w:rsid w:val="001B67E8"/>
    <w:rsid w:val="001B73FC"/>
    <w:rsid w:val="001C0C9A"/>
    <w:rsid w:val="001C1511"/>
    <w:rsid w:val="001C1B18"/>
    <w:rsid w:val="001C2B06"/>
    <w:rsid w:val="001C2F80"/>
    <w:rsid w:val="001C35AB"/>
    <w:rsid w:val="001C40C6"/>
    <w:rsid w:val="001C4DAD"/>
    <w:rsid w:val="001C5B9E"/>
    <w:rsid w:val="001C5BD2"/>
    <w:rsid w:val="001C5D12"/>
    <w:rsid w:val="001C66C4"/>
    <w:rsid w:val="001C7964"/>
    <w:rsid w:val="001D0A50"/>
    <w:rsid w:val="001D10E1"/>
    <w:rsid w:val="001D3BE5"/>
    <w:rsid w:val="001D3C6F"/>
    <w:rsid w:val="001D4122"/>
    <w:rsid w:val="001D4288"/>
    <w:rsid w:val="001D516F"/>
    <w:rsid w:val="001D5799"/>
    <w:rsid w:val="001D65D3"/>
    <w:rsid w:val="001D6B1C"/>
    <w:rsid w:val="001D73DB"/>
    <w:rsid w:val="001E15FC"/>
    <w:rsid w:val="001E18C1"/>
    <w:rsid w:val="001E1906"/>
    <w:rsid w:val="001E23EB"/>
    <w:rsid w:val="001E29A5"/>
    <w:rsid w:val="001E2F3A"/>
    <w:rsid w:val="001E368C"/>
    <w:rsid w:val="001E554A"/>
    <w:rsid w:val="001E66E5"/>
    <w:rsid w:val="001E7318"/>
    <w:rsid w:val="001E7DDC"/>
    <w:rsid w:val="001F0F38"/>
    <w:rsid w:val="001F12D1"/>
    <w:rsid w:val="001F23F0"/>
    <w:rsid w:val="001F2EC4"/>
    <w:rsid w:val="001F3649"/>
    <w:rsid w:val="001F37E3"/>
    <w:rsid w:val="001F447B"/>
    <w:rsid w:val="001F582F"/>
    <w:rsid w:val="001F7373"/>
    <w:rsid w:val="00201A32"/>
    <w:rsid w:val="00201D75"/>
    <w:rsid w:val="0020333D"/>
    <w:rsid w:val="00204B1B"/>
    <w:rsid w:val="00205541"/>
    <w:rsid w:val="00207A14"/>
    <w:rsid w:val="00210A39"/>
    <w:rsid w:val="00210FD5"/>
    <w:rsid w:val="0021175E"/>
    <w:rsid w:val="002121EC"/>
    <w:rsid w:val="00213840"/>
    <w:rsid w:val="00216A2C"/>
    <w:rsid w:val="00216B33"/>
    <w:rsid w:val="00217F76"/>
    <w:rsid w:val="00220ADA"/>
    <w:rsid w:val="00220C0F"/>
    <w:rsid w:val="002215AD"/>
    <w:rsid w:val="00222579"/>
    <w:rsid w:val="00224A81"/>
    <w:rsid w:val="00225C05"/>
    <w:rsid w:val="00225FCE"/>
    <w:rsid w:val="00226A9B"/>
    <w:rsid w:val="0023006E"/>
    <w:rsid w:val="00230DE4"/>
    <w:rsid w:val="00233D1D"/>
    <w:rsid w:val="00234F76"/>
    <w:rsid w:val="0023532F"/>
    <w:rsid w:val="00237454"/>
    <w:rsid w:val="00237D6C"/>
    <w:rsid w:val="00240B78"/>
    <w:rsid w:val="00240BD3"/>
    <w:rsid w:val="002413A8"/>
    <w:rsid w:val="002414BB"/>
    <w:rsid w:val="002414E8"/>
    <w:rsid w:val="00241A11"/>
    <w:rsid w:val="00242AB2"/>
    <w:rsid w:val="00243C03"/>
    <w:rsid w:val="0024426B"/>
    <w:rsid w:val="0024454E"/>
    <w:rsid w:val="00244D25"/>
    <w:rsid w:val="002454C0"/>
    <w:rsid w:val="00245B75"/>
    <w:rsid w:val="0025088B"/>
    <w:rsid w:val="00251035"/>
    <w:rsid w:val="00251110"/>
    <w:rsid w:val="002513CC"/>
    <w:rsid w:val="002514A5"/>
    <w:rsid w:val="00251C2B"/>
    <w:rsid w:val="00253185"/>
    <w:rsid w:val="00260A24"/>
    <w:rsid w:val="00260B4D"/>
    <w:rsid w:val="00260DB3"/>
    <w:rsid w:val="002622BC"/>
    <w:rsid w:val="00263587"/>
    <w:rsid w:val="0026412D"/>
    <w:rsid w:val="00264A96"/>
    <w:rsid w:val="00264CE1"/>
    <w:rsid w:val="00265D5E"/>
    <w:rsid w:val="002675A0"/>
    <w:rsid w:val="00267F6D"/>
    <w:rsid w:val="00270C5F"/>
    <w:rsid w:val="002717DC"/>
    <w:rsid w:val="00271B84"/>
    <w:rsid w:val="002721CF"/>
    <w:rsid w:val="002729DA"/>
    <w:rsid w:val="00273114"/>
    <w:rsid w:val="002731EF"/>
    <w:rsid w:val="00273660"/>
    <w:rsid w:val="00273B9A"/>
    <w:rsid w:val="00273D71"/>
    <w:rsid w:val="00274034"/>
    <w:rsid w:val="00275081"/>
    <w:rsid w:val="00276796"/>
    <w:rsid w:val="00276EE4"/>
    <w:rsid w:val="00277751"/>
    <w:rsid w:val="00281217"/>
    <w:rsid w:val="002813DD"/>
    <w:rsid w:val="002822C1"/>
    <w:rsid w:val="0028258C"/>
    <w:rsid w:val="00283668"/>
    <w:rsid w:val="00284B8F"/>
    <w:rsid w:val="0028616E"/>
    <w:rsid w:val="00286800"/>
    <w:rsid w:val="00286B03"/>
    <w:rsid w:val="0028799D"/>
    <w:rsid w:val="00290A4A"/>
    <w:rsid w:val="00290D9A"/>
    <w:rsid w:val="002920C3"/>
    <w:rsid w:val="00294BC8"/>
    <w:rsid w:val="00295388"/>
    <w:rsid w:val="00295C74"/>
    <w:rsid w:val="002971DF"/>
    <w:rsid w:val="00297C6B"/>
    <w:rsid w:val="00297DC8"/>
    <w:rsid w:val="002A14C8"/>
    <w:rsid w:val="002A1E10"/>
    <w:rsid w:val="002A2358"/>
    <w:rsid w:val="002A5205"/>
    <w:rsid w:val="002A748B"/>
    <w:rsid w:val="002A7EDD"/>
    <w:rsid w:val="002B0034"/>
    <w:rsid w:val="002B0291"/>
    <w:rsid w:val="002B14E4"/>
    <w:rsid w:val="002B17FF"/>
    <w:rsid w:val="002B2E5B"/>
    <w:rsid w:val="002B3220"/>
    <w:rsid w:val="002B7EC3"/>
    <w:rsid w:val="002C0AB8"/>
    <w:rsid w:val="002C0CBB"/>
    <w:rsid w:val="002C0D84"/>
    <w:rsid w:val="002C13F2"/>
    <w:rsid w:val="002C17C8"/>
    <w:rsid w:val="002C2C70"/>
    <w:rsid w:val="002C3E29"/>
    <w:rsid w:val="002C5617"/>
    <w:rsid w:val="002C6531"/>
    <w:rsid w:val="002C6F96"/>
    <w:rsid w:val="002C7153"/>
    <w:rsid w:val="002C79A5"/>
    <w:rsid w:val="002C7A52"/>
    <w:rsid w:val="002C7A57"/>
    <w:rsid w:val="002C7F90"/>
    <w:rsid w:val="002D0D69"/>
    <w:rsid w:val="002D1E2F"/>
    <w:rsid w:val="002D1F12"/>
    <w:rsid w:val="002D2108"/>
    <w:rsid w:val="002D225F"/>
    <w:rsid w:val="002D4280"/>
    <w:rsid w:val="002D593F"/>
    <w:rsid w:val="002D59C5"/>
    <w:rsid w:val="002D7C91"/>
    <w:rsid w:val="002E06A1"/>
    <w:rsid w:val="002E0A73"/>
    <w:rsid w:val="002E0D48"/>
    <w:rsid w:val="002E1624"/>
    <w:rsid w:val="002E2F79"/>
    <w:rsid w:val="002E3EB5"/>
    <w:rsid w:val="002E43A8"/>
    <w:rsid w:val="002E49FE"/>
    <w:rsid w:val="002E53BA"/>
    <w:rsid w:val="002E5E3A"/>
    <w:rsid w:val="002E6698"/>
    <w:rsid w:val="002E6E68"/>
    <w:rsid w:val="002F0252"/>
    <w:rsid w:val="002F0DC4"/>
    <w:rsid w:val="002F18FB"/>
    <w:rsid w:val="002F2540"/>
    <w:rsid w:val="002F43A4"/>
    <w:rsid w:val="002F526F"/>
    <w:rsid w:val="002F52BB"/>
    <w:rsid w:val="002F5CD7"/>
    <w:rsid w:val="002F66CA"/>
    <w:rsid w:val="002F6927"/>
    <w:rsid w:val="003030EB"/>
    <w:rsid w:val="0030326A"/>
    <w:rsid w:val="00303383"/>
    <w:rsid w:val="0030354E"/>
    <w:rsid w:val="003036D9"/>
    <w:rsid w:val="0030373E"/>
    <w:rsid w:val="003037C8"/>
    <w:rsid w:val="00304570"/>
    <w:rsid w:val="00305BB8"/>
    <w:rsid w:val="00305C3A"/>
    <w:rsid w:val="00305CF6"/>
    <w:rsid w:val="00307CE4"/>
    <w:rsid w:val="003104FF"/>
    <w:rsid w:val="00310690"/>
    <w:rsid w:val="003107A7"/>
    <w:rsid w:val="0031116F"/>
    <w:rsid w:val="003115A1"/>
    <w:rsid w:val="0031194A"/>
    <w:rsid w:val="003125CA"/>
    <w:rsid w:val="0031281B"/>
    <w:rsid w:val="00312B18"/>
    <w:rsid w:val="0031383F"/>
    <w:rsid w:val="003141A9"/>
    <w:rsid w:val="00314AC0"/>
    <w:rsid w:val="00315F3F"/>
    <w:rsid w:val="0031665C"/>
    <w:rsid w:val="00321391"/>
    <w:rsid w:val="00321E86"/>
    <w:rsid w:val="00321F80"/>
    <w:rsid w:val="00322FE6"/>
    <w:rsid w:val="00323B31"/>
    <w:rsid w:val="00323DA1"/>
    <w:rsid w:val="00324208"/>
    <w:rsid w:val="003243DF"/>
    <w:rsid w:val="00325C37"/>
    <w:rsid w:val="00325CB1"/>
    <w:rsid w:val="00325CFD"/>
    <w:rsid w:val="00325E74"/>
    <w:rsid w:val="00327255"/>
    <w:rsid w:val="003277D2"/>
    <w:rsid w:val="00327F8D"/>
    <w:rsid w:val="003306B4"/>
    <w:rsid w:val="00330E57"/>
    <w:rsid w:val="003312AE"/>
    <w:rsid w:val="003317C6"/>
    <w:rsid w:val="00334DE5"/>
    <w:rsid w:val="0033610D"/>
    <w:rsid w:val="00336B94"/>
    <w:rsid w:val="00336BF3"/>
    <w:rsid w:val="00336C09"/>
    <w:rsid w:val="00341A75"/>
    <w:rsid w:val="00342279"/>
    <w:rsid w:val="0034279D"/>
    <w:rsid w:val="00343F68"/>
    <w:rsid w:val="0034424B"/>
    <w:rsid w:val="00344DEC"/>
    <w:rsid w:val="00344F37"/>
    <w:rsid w:val="003456DD"/>
    <w:rsid w:val="00347767"/>
    <w:rsid w:val="003477D3"/>
    <w:rsid w:val="00350853"/>
    <w:rsid w:val="00351780"/>
    <w:rsid w:val="00352178"/>
    <w:rsid w:val="00353ACA"/>
    <w:rsid w:val="003543A8"/>
    <w:rsid w:val="003603DD"/>
    <w:rsid w:val="003612AF"/>
    <w:rsid w:val="00361345"/>
    <w:rsid w:val="00361B70"/>
    <w:rsid w:val="00361C48"/>
    <w:rsid w:val="0036202B"/>
    <w:rsid w:val="00362042"/>
    <w:rsid w:val="003620FB"/>
    <w:rsid w:val="003626F9"/>
    <w:rsid w:val="00363073"/>
    <w:rsid w:val="003632BA"/>
    <w:rsid w:val="0036342B"/>
    <w:rsid w:val="0036355B"/>
    <w:rsid w:val="00364241"/>
    <w:rsid w:val="00364DCC"/>
    <w:rsid w:val="00364FB8"/>
    <w:rsid w:val="00365178"/>
    <w:rsid w:val="00367E80"/>
    <w:rsid w:val="00370045"/>
    <w:rsid w:val="00371634"/>
    <w:rsid w:val="00373150"/>
    <w:rsid w:val="00373AE7"/>
    <w:rsid w:val="00373CC1"/>
    <w:rsid w:val="00373D5A"/>
    <w:rsid w:val="00374698"/>
    <w:rsid w:val="00374EA0"/>
    <w:rsid w:val="0037531F"/>
    <w:rsid w:val="00376C36"/>
    <w:rsid w:val="003777FE"/>
    <w:rsid w:val="00377A33"/>
    <w:rsid w:val="00377E8B"/>
    <w:rsid w:val="003802B9"/>
    <w:rsid w:val="00380EF9"/>
    <w:rsid w:val="003810F7"/>
    <w:rsid w:val="00381227"/>
    <w:rsid w:val="00381F24"/>
    <w:rsid w:val="00381FA0"/>
    <w:rsid w:val="003821E0"/>
    <w:rsid w:val="00382964"/>
    <w:rsid w:val="0038502B"/>
    <w:rsid w:val="0038535B"/>
    <w:rsid w:val="00385427"/>
    <w:rsid w:val="0038543D"/>
    <w:rsid w:val="00386BC6"/>
    <w:rsid w:val="0038730E"/>
    <w:rsid w:val="00387FB1"/>
    <w:rsid w:val="00390768"/>
    <w:rsid w:val="003910E6"/>
    <w:rsid w:val="00391693"/>
    <w:rsid w:val="00391A23"/>
    <w:rsid w:val="00391BA8"/>
    <w:rsid w:val="00392A92"/>
    <w:rsid w:val="00392CEB"/>
    <w:rsid w:val="003935FE"/>
    <w:rsid w:val="003942AA"/>
    <w:rsid w:val="00394450"/>
    <w:rsid w:val="003945A1"/>
    <w:rsid w:val="003947A0"/>
    <w:rsid w:val="00394888"/>
    <w:rsid w:val="003972C9"/>
    <w:rsid w:val="003A01DA"/>
    <w:rsid w:val="003A0515"/>
    <w:rsid w:val="003A1C96"/>
    <w:rsid w:val="003A1D6D"/>
    <w:rsid w:val="003A2038"/>
    <w:rsid w:val="003A231E"/>
    <w:rsid w:val="003A2E1B"/>
    <w:rsid w:val="003A2F9B"/>
    <w:rsid w:val="003A35F1"/>
    <w:rsid w:val="003A4BBD"/>
    <w:rsid w:val="003A52D7"/>
    <w:rsid w:val="003A596E"/>
    <w:rsid w:val="003A59A5"/>
    <w:rsid w:val="003A5F31"/>
    <w:rsid w:val="003A6000"/>
    <w:rsid w:val="003A67FB"/>
    <w:rsid w:val="003B0334"/>
    <w:rsid w:val="003B063D"/>
    <w:rsid w:val="003B10CC"/>
    <w:rsid w:val="003B1344"/>
    <w:rsid w:val="003B23DC"/>
    <w:rsid w:val="003B32E5"/>
    <w:rsid w:val="003B35AC"/>
    <w:rsid w:val="003B42EF"/>
    <w:rsid w:val="003B5C3A"/>
    <w:rsid w:val="003B753C"/>
    <w:rsid w:val="003C0521"/>
    <w:rsid w:val="003C0FA6"/>
    <w:rsid w:val="003C10A2"/>
    <w:rsid w:val="003C1B78"/>
    <w:rsid w:val="003C1FDF"/>
    <w:rsid w:val="003C249E"/>
    <w:rsid w:val="003C255F"/>
    <w:rsid w:val="003C26AD"/>
    <w:rsid w:val="003C290C"/>
    <w:rsid w:val="003C2E9D"/>
    <w:rsid w:val="003C3179"/>
    <w:rsid w:val="003C3647"/>
    <w:rsid w:val="003C36F9"/>
    <w:rsid w:val="003C44AA"/>
    <w:rsid w:val="003C5CB4"/>
    <w:rsid w:val="003C63DD"/>
    <w:rsid w:val="003C649F"/>
    <w:rsid w:val="003C6C90"/>
    <w:rsid w:val="003C6F32"/>
    <w:rsid w:val="003D068F"/>
    <w:rsid w:val="003D082A"/>
    <w:rsid w:val="003D1820"/>
    <w:rsid w:val="003D1A43"/>
    <w:rsid w:val="003D1B55"/>
    <w:rsid w:val="003D2B88"/>
    <w:rsid w:val="003D2DA5"/>
    <w:rsid w:val="003D5383"/>
    <w:rsid w:val="003D7BC7"/>
    <w:rsid w:val="003D7BE9"/>
    <w:rsid w:val="003D7FD5"/>
    <w:rsid w:val="003E00DE"/>
    <w:rsid w:val="003E46B6"/>
    <w:rsid w:val="003E4940"/>
    <w:rsid w:val="003E522E"/>
    <w:rsid w:val="003E57C0"/>
    <w:rsid w:val="003E5D6E"/>
    <w:rsid w:val="003E5D98"/>
    <w:rsid w:val="003E68D3"/>
    <w:rsid w:val="003E75CA"/>
    <w:rsid w:val="003E780C"/>
    <w:rsid w:val="003F020E"/>
    <w:rsid w:val="003F029A"/>
    <w:rsid w:val="003F0B2C"/>
    <w:rsid w:val="003F0CAF"/>
    <w:rsid w:val="003F178F"/>
    <w:rsid w:val="003F1A5A"/>
    <w:rsid w:val="003F2D9F"/>
    <w:rsid w:val="003F3324"/>
    <w:rsid w:val="003F38A2"/>
    <w:rsid w:val="003F49BD"/>
    <w:rsid w:val="003F5B47"/>
    <w:rsid w:val="003F5E58"/>
    <w:rsid w:val="003F731A"/>
    <w:rsid w:val="003F7561"/>
    <w:rsid w:val="003F75A6"/>
    <w:rsid w:val="003F78D2"/>
    <w:rsid w:val="004003CB"/>
    <w:rsid w:val="00400D59"/>
    <w:rsid w:val="004016AF"/>
    <w:rsid w:val="0040191B"/>
    <w:rsid w:val="004029C0"/>
    <w:rsid w:val="00402F0D"/>
    <w:rsid w:val="004056DA"/>
    <w:rsid w:val="00405D99"/>
    <w:rsid w:val="00405EBA"/>
    <w:rsid w:val="00407575"/>
    <w:rsid w:val="0041132B"/>
    <w:rsid w:val="00411DC8"/>
    <w:rsid w:val="004122AF"/>
    <w:rsid w:val="00412E1D"/>
    <w:rsid w:val="004134F9"/>
    <w:rsid w:val="00414578"/>
    <w:rsid w:val="004146FF"/>
    <w:rsid w:val="00415BCB"/>
    <w:rsid w:val="00416126"/>
    <w:rsid w:val="0041671D"/>
    <w:rsid w:val="00420706"/>
    <w:rsid w:val="004211FE"/>
    <w:rsid w:val="004215D8"/>
    <w:rsid w:val="00422B7A"/>
    <w:rsid w:val="00422D28"/>
    <w:rsid w:val="00422DAC"/>
    <w:rsid w:val="00423013"/>
    <w:rsid w:val="00423A79"/>
    <w:rsid w:val="00423DC5"/>
    <w:rsid w:val="004241C4"/>
    <w:rsid w:val="00424C18"/>
    <w:rsid w:val="004252A3"/>
    <w:rsid w:val="004252D7"/>
    <w:rsid w:val="004255F8"/>
    <w:rsid w:val="00425C5E"/>
    <w:rsid w:val="00425E39"/>
    <w:rsid w:val="00426732"/>
    <w:rsid w:val="00431BE2"/>
    <w:rsid w:val="00431FFA"/>
    <w:rsid w:val="004322E6"/>
    <w:rsid w:val="0043283B"/>
    <w:rsid w:val="0043382A"/>
    <w:rsid w:val="00433C55"/>
    <w:rsid w:val="004342F0"/>
    <w:rsid w:val="0043447D"/>
    <w:rsid w:val="00434CB0"/>
    <w:rsid w:val="00434D27"/>
    <w:rsid w:val="0043637C"/>
    <w:rsid w:val="00436B1F"/>
    <w:rsid w:val="00436B30"/>
    <w:rsid w:val="00436E6A"/>
    <w:rsid w:val="00436FFC"/>
    <w:rsid w:val="004373B0"/>
    <w:rsid w:val="00437BA1"/>
    <w:rsid w:val="00440A9A"/>
    <w:rsid w:val="00441EDB"/>
    <w:rsid w:val="004420FB"/>
    <w:rsid w:val="00442157"/>
    <w:rsid w:val="0044293C"/>
    <w:rsid w:val="00443717"/>
    <w:rsid w:val="00443B4F"/>
    <w:rsid w:val="00443C18"/>
    <w:rsid w:val="00443FFB"/>
    <w:rsid w:val="00444C27"/>
    <w:rsid w:val="00444D7F"/>
    <w:rsid w:val="004451CC"/>
    <w:rsid w:val="004457DB"/>
    <w:rsid w:val="00445F26"/>
    <w:rsid w:val="004462B8"/>
    <w:rsid w:val="00446314"/>
    <w:rsid w:val="00447DA5"/>
    <w:rsid w:val="004509B8"/>
    <w:rsid w:val="00450C12"/>
    <w:rsid w:val="004516BE"/>
    <w:rsid w:val="004529B8"/>
    <w:rsid w:val="00453891"/>
    <w:rsid w:val="00453A89"/>
    <w:rsid w:val="004546E2"/>
    <w:rsid w:val="00456ECE"/>
    <w:rsid w:val="00457548"/>
    <w:rsid w:val="00460342"/>
    <w:rsid w:val="004608DE"/>
    <w:rsid w:val="00462A61"/>
    <w:rsid w:val="004648C4"/>
    <w:rsid w:val="00465B7E"/>
    <w:rsid w:val="004670F1"/>
    <w:rsid w:val="004713C8"/>
    <w:rsid w:val="00472807"/>
    <w:rsid w:val="00473295"/>
    <w:rsid w:val="00473945"/>
    <w:rsid w:val="0047468D"/>
    <w:rsid w:val="00474715"/>
    <w:rsid w:val="00474A47"/>
    <w:rsid w:val="00475FE6"/>
    <w:rsid w:val="0047661B"/>
    <w:rsid w:val="00476989"/>
    <w:rsid w:val="00476A22"/>
    <w:rsid w:val="00477B23"/>
    <w:rsid w:val="00477E3C"/>
    <w:rsid w:val="00480079"/>
    <w:rsid w:val="004822F4"/>
    <w:rsid w:val="00482E90"/>
    <w:rsid w:val="004839A8"/>
    <w:rsid w:val="0048423A"/>
    <w:rsid w:val="00484C6E"/>
    <w:rsid w:val="0048544A"/>
    <w:rsid w:val="004859F3"/>
    <w:rsid w:val="00485D56"/>
    <w:rsid w:val="004862A5"/>
    <w:rsid w:val="0049022B"/>
    <w:rsid w:val="00490E8B"/>
    <w:rsid w:val="0049159F"/>
    <w:rsid w:val="00491DAF"/>
    <w:rsid w:val="00492870"/>
    <w:rsid w:val="00492D59"/>
    <w:rsid w:val="004932B7"/>
    <w:rsid w:val="004946DF"/>
    <w:rsid w:val="00495A50"/>
    <w:rsid w:val="00495D3A"/>
    <w:rsid w:val="00497B50"/>
    <w:rsid w:val="00497E0B"/>
    <w:rsid w:val="00497E39"/>
    <w:rsid w:val="004A20F4"/>
    <w:rsid w:val="004A2321"/>
    <w:rsid w:val="004A23FD"/>
    <w:rsid w:val="004A35F6"/>
    <w:rsid w:val="004A409E"/>
    <w:rsid w:val="004A5C47"/>
    <w:rsid w:val="004A7656"/>
    <w:rsid w:val="004A7A4C"/>
    <w:rsid w:val="004A7BFA"/>
    <w:rsid w:val="004A7F26"/>
    <w:rsid w:val="004B0F59"/>
    <w:rsid w:val="004B11C0"/>
    <w:rsid w:val="004B12BD"/>
    <w:rsid w:val="004B1EFA"/>
    <w:rsid w:val="004B2C78"/>
    <w:rsid w:val="004B3003"/>
    <w:rsid w:val="004B34AD"/>
    <w:rsid w:val="004B3F6A"/>
    <w:rsid w:val="004B46AB"/>
    <w:rsid w:val="004B4875"/>
    <w:rsid w:val="004B6329"/>
    <w:rsid w:val="004B6B6B"/>
    <w:rsid w:val="004B6D11"/>
    <w:rsid w:val="004B7013"/>
    <w:rsid w:val="004B7275"/>
    <w:rsid w:val="004B753E"/>
    <w:rsid w:val="004B7838"/>
    <w:rsid w:val="004C107D"/>
    <w:rsid w:val="004C1108"/>
    <w:rsid w:val="004C24E6"/>
    <w:rsid w:val="004C3077"/>
    <w:rsid w:val="004C319A"/>
    <w:rsid w:val="004C3BBE"/>
    <w:rsid w:val="004C49D5"/>
    <w:rsid w:val="004C4CF8"/>
    <w:rsid w:val="004C52E6"/>
    <w:rsid w:val="004C789A"/>
    <w:rsid w:val="004C7C6D"/>
    <w:rsid w:val="004C7EC2"/>
    <w:rsid w:val="004C7F4A"/>
    <w:rsid w:val="004D0CBF"/>
    <w:rsid w:val="004D2228"/>
    <w:rsid w:val="004D2BF9"/>
    <w:rsid w:val="004D39FF"/>
    <w:rsid w:val="004D4343"/>
    <w:rsid w:val="004D606D"/>
    <w:rsid w:val="004D614B"/>
    <w:rsid w:val="004D6DB8"/>
    <w:rsid w:val="004D76E5"/>
    <w:rsid w:val="004D7815"/>
    <w:rsid w:val="004D7A21"/>
    <w:rsid w:val="004D7D7C"/>
    <w:rsid w:val="004D7FDE"/>
    <w:rsid w:val="004E029A"/>
    <w:rsid w:val="004E050B"/>
    <w:rsid w:val="004E1968"/>
    <w:rsid w:val="004E1FB7"/>
    <w:rsid w:val="004E21B0"/>
    <w:rsid w:val="004E2717"/>
    <w:rsid w:val="004E2BF7"/>
    <w:rsid w:val="004E2D47"/>
    <w:rsid w:val="004E45A9"/>
    <w:rsid w:val="004E55D4"/>
    <w:rsid w:val="004E57F3"/>
    <w:rsid w:val="004E5F07"/>
    <w:rsid w:val="004E5F3B"/>
    <w:rsid w:val="004E6AA1"/>
    <w:rsid w:val="004E74FB"/>
    <w:rsid w:val="004F029F"/>
    <w:rsid w:val="004F04AD"/>
    <w:rsid w:val="004F189A"/>
    <w:rsid w:val="004F199D"/>
    <w:rsid w:val="004F341C"/>
    <w:rsid w:val="004F3A0D"/>
    <w:rsid w:val="004F3A86"/>
    <w:rsid w:val="004F416C"/>
    <w:rsid w:val="004F492A"/>
    <w:rsid w:val="004F5974"/>
    <w:rsid w:val="004F6053"/>
    <w:rsid w:val="004F61CD"/>
    <w:rsid w:val="004F62F7"/>
    <w:rsid w:val="004F6803"/>
    <w:rsid w:val="004F6939"/>
    <w:rsid w:val="004F7221"/>
    <w:rsid w:val="004F74B7"/>
    <w:rsid w:val="004F75CB"/>
    <w:rsid w:val="005000C4"/>
    <w:rsid w:val="00501011"/>
    <w:rsid w:val="00502516"/>
    <w:rsid w:val="005031A7"/>
    <w:rsid w:val="005049BB"/>
    <w:rsid w:val="005056AC"/>
    <w:rsid w:val="00505985"/>
    <w:rsid w:val="0050764F"/>
    <w:rsid w:val="005100FD"/>
    <w:rsid w:val="00510206"/>
    <w:rsid w:val="00512B90"/>
    <w:rsid w:val="00514953"/>
    <w:rsid w:val="00514AB4"/>
    <w:rsid w:val="00515170"/>
    <w:rsid w:val="00515A7D"/>
    <w:rsid w:val="00515FC7"/>
    <w:rsid w:val="005164D8"/>
    <w:rsid w:val="00516789"/>
    <w:rsid w:val="00516ACB"/>
    <w:rsid w:val="00516C09"/>
    <w:rsid w:val="00516D45"/>
    <w:rsid w:val="00516DA1"/>
    <w:rsid w:val="0051749D"/>
    <w:rsid w:val="00517D52"/>
    <w:rsid w:val="0052016D"/>
    <w:rsid w:val="00520966"/>
    <w:rsid w:val="00520CA7"/>
    <w:rsid w:val="00520FCC"/>
    <w:rsid w:val="00521795"/>
    <w:rsid w:val="005218C7"/>
    <w:rsid w:val="00521CCA"/>
    <w:rsid w:val="00522240"/>
    <w:rsid w:val="005223DB"/>
    <w:rsid w:val="00523CDD"/>
    <w:rsid w:val="00523CF3"/>
    <w:rsid w:val="005244D7"/>
    <w:rsid w:val="00524754"/>
    <w:rsid w:val="005248EE"/>
    <w:rsid w:val="00524B64"/>
    <w:rsid w:val="00525F03"/>
    <w:rsid w:val="00527567"/>
    <w:rsid w:val="005303E8"/>
    <w:rsid w:val="00530C21"/>
    <w:rsid w:val="00530D5D"/>
    <w:rsid w:val="00532438"/>
    <w:rsid w:val="00532461"/>
    <w:rsid w:val="00532CB4"/>
    <w:rsid w:val="005332E6"/>
    <w:rsid w:val="0053385C"/>
    <w:rsid w:val="00533B14"/>
    <w:rsid w:val="00533D97"/>
    <w:rsid w:val="0053431F"/>
    <w:rsid w:val="00534C7B"/>
    <w:rsid w:val="0053567B"/>
    <w:rsid w:val="00536110"/>
    <w:rsid w:val="005368C1"/>
    <w:rsid w:val="00537803"/>
    <w:rsid w:val="005406F6"/>
    <w:rsid w:val="00540B38"/>
    <w:rsid w:val="00540C5C"/>
    <w:rsid w:val="005410F3"/>
    <w:rsid w:val="005420DE"/>
    <w:rsid w:val="0054368D"/>
    <w:rsid w:val="0054371B"/>
    <w:rsid w:val="00543E76"/>
    <w:rsid w:val="00544199"/>
    <w:rsid w:val="005441CE"/>
    <w:rsid w:val="00544A23"/>
    <w:rsid w:val="00544CFB"/>
    <w:rsid w:val="0054517F"/>
    <w:rsid w:val="00545E57"/>
    <w:rsid w:val="00546F6C"/>
    <w:rsid w:val="00547E66"/>
    <w:rsid w:val="005504BA"/>
    <w:rsid w:val="00550767"/>
    <w:rsid w:val="00551FFA"/>
    <w:rsid w:val="005527FA"/>
    <w:rsid w:val="00552E22"/>
    <w:rsid w:val="005540B8"/>
    <w:rsid w:val="00554AD0"/>
    <w:rsid w:val="00554F13"/>
    <w:rsid w:val="00555F30"/>
    <w:rsid w:val="005565E1"/>
    <w:rsid w:val="00557157"/>
    <w:rsid w:val="00560001"/>
    <w:rsid w:val="00560053"/>
    <w:rsid w:val="00560076"/>
    <w:rsid w:val="005607CC"/>
    <w:rsid w:val="00561687"/>
    <w:rsid w:val="00561DDC"/>
    <w:rsid w:val="0056208A"/>
    <w:rsid w:val="00562307"/>
    <w:rsid w:val="00562AEB"/>
    <w:rsid w:val="00563D39"/>
    <w:rsid w:val="005641CF"/>
    <w:rsid w:val="00564F66"/>
    <w:rsid w:val="0056536B"/>
    <w:rsid w:val="00565F65"/>
    <w:rsid w:val="0056609A"/>
    <w:rsid w:val="00566C0F"/>
    <w:rsid w:val="00567D1A"/>
    <w:rsid w:val="0057043B"/>
    <w:rsid w:val="005716B1"/>
    <w:rsid w:val="00571AE6"/>
    <w:rsid w:val="00572E16"/>
    <w:rsid w:val="0057302D"/>
    <w:rsid w:val="0057325C"/>
    <w:rsid w:val="0057366A"/>
    <w:rsid w:val="0057410A"/>
    <w:rsid w:val="0057478E"/>
    <w:rsid w:val="00575029"/>
    <w:rsid w:val="0057617B"/>
    <w:rsid w:val="00576308"/>
    <w:rsid w:val="005776C6"/>
    <w:rsid w:val="00580AE2"/>
    <w:rsid w:val="00581D34"/>
    <w:rsid w:val="00583782"/>
    <w:rsid w:val="005847A6"/>
    <w:rsid w:val="005855B2"/>
    <w:rsid w:val="00585A81"/>
    <w:rsid w:val="0058643B"/>
    <w:rsid w:val="00586CA8"/>
    <w:rsid w:val="00587B23"/>
    <w:rsid w:val="00590F6C"/>
    <w:rsid w:val="00591BFC"/>
    <w:rsid w:val="00592ED9"/>
    <w:rsid w:val="005943D7"/>
    <w:rsid w:val="00594D62"/>
    <w:rsid w:val="00595B19"/>
    <w:rsid w:val="00596DE8"/>
    <w:rsid w:val="00596FA6"/>
    <w:rsid w:val="00596FDF"/>
    <w:rsid w:val="005A0833"/>
    <w:rsid w:val="005A138B"/>
    <w:rsid w:val="005A222D"/>
    <w:rsid w:val="005A2945"/>
    <w:rsid w:val="005A3693"/>
    <w:rsid w:val="005A3809"/>
    <w:rsid w:val="005A3FF0"/>
    <w:rsid w:val="005A41F1"/>
    <w:rsid w:val="005A61A0"/>
    <w:rsid w:val="005A6961"/>
    <w:rsid w:val="005A6B83"/>
    <w:rsid w:val="005A72CA"/>
    <w:rsid w:val="005B2F53"/>
    <w:rsid w:val="005B3718"/>
    <w:rsid w:val="005B450D"/>
    <w:rsid w:val="005B4F39"/>
    <w:rsid w:val="005B60BB"/>
    <w:rsid w:val="005B6372"/>
    <w:rsid w:val="005B653A"/>
    <w:rsid w:val="005B6818"/>
    <w:rsid w:val="005C0DE4"/>
    <w:rsid w:val="005C283D"/>
    <w:rsid w:val="005C28C0"/>
    <w:rsid w:val="005C472A"/>
    <w:rsid w:val="005C4734"/>
    <w:rsid w:val="005C494E"/>
    <w:rsid w:val="005C5095"/>
    <w:rsid w:val="005C6141"/>
    <w:rsid w:val="005C6583"/>
    <w:rsid w:val="005C6824"/>
    <w:rsid w:val="005C78A6"/>
    <w:rsid w:val="005C794C"/>
    <w:rsid w:val="005C7B3D"/>
    <w:rsid w:val="005D36A8"/>
    <w:rsid w:val="005D3B93"/>
    <w:rsid w:val="005D6BF9"/>
    <w:rsid w:val="005D7028"/>
    <w:rsid w:val="005D769B"/>
    <w:rsid w:val="005E024E"/>
    <w:rsid w:val="005E085D"/>
    <w:rsid w:val="005E08ED"/>
    <w:rsid w:val="005E2A57"/>
    <w:rsid w:val="005E2B1C"/>
    <w:rsid w:val="005E2F86"/>
    <w:rsid w:val="005E3702"/>
    <w:rsid w:val="005E42E4"/>
    <w:rsid w:val="005E48DA"/>
    <w:rsid w:val="005E4D27"/>
    <w:rsid w:val="005F0332"/>
    <w:rsid w:val="005F0EB1"/>
    <w:rsid w:val="005F17E5"/>
    <w:rsid w:val="005F1C67"/>
    <w:rsid w:val="005F2AB0"/>
    <w:rsid w:val="005F3508"/>
    <w:rsid w:val="005F3F65"/>
    <w:rsid w:val="005F49AB"/>
    <w:rsid w:val="005F5C5E"/>
    <w:rsid w:val="005F5C90"/>
    <w:rsid w:val="005F5F96"/>
    <w:rsid w:val="005F6E7C"/>
    <w:rsid w:val="005F7254"/>
    <w:rsid w:val="005F75B8"/>
    <w:rsid w:val="005F7911"/>
    <w:rsid w:val="005F7A9B"/>
    <w:rsid w:val="006003BB"/>
    <w:rsid w:val="006006D9"/>
    <w:rsid w:val="006016AB"/>
    <w:rsid w:val="00601B14"/>
    <w:rsid w:val="00602A3F"/>
    <w:rsid w:val="006034D3"/>
    <w:rsid w:val="00603E67"/>
    <w:rsid w:val="00604279"/>
    <w:rsid w:val="006042EC"/>
    <w:rsid w:val="00605B12"/>
    <w:rsid w:val="00605C3E"/>
    <w:rsid w:val="006077B3"/>
    <w:rsid w:val="00607813"/>
    <w:rsid w:val="006079BA"/>
    <w:rsid w:val="00610878"/>
    <w:rsid w:val="00610AC6"/>
    <w:rsid w:val="0061175D"/>
    <w:rsid w:val="00611A1C"/>
    <w:rsid w:val="0061274F"/>
    <w:rsid w:val="00612DC2"/>
    <w:rsid w:val="006139B9"/>
    <w:rsid w:val="00614817"/>
    <w:rsid w:val="006150D7"/>
    <w:rsid w:val="006164C8"/>
    <w:rsid w:val="00616EF0"/>
    <w:rsid w:val="0061753D"/>
    <w:rsid w:val="006176A9"/>
    <w:rsid w:val="00622CC0"/>
    <w:rsid w:val="00622D67"/>
    <w:rsid w:val="00623176"/>
    <w:rsid w:val="006236E8"/>
    <w:rsid w:val="00625147"/>
    <w:rsid w:val="00625F8D"/>
    <w:rsid w:val="0062716A"/>
    <w:rsid w:val="0062718F"/>
    <w:rsid w:val="00627833"/>
    <w:rsid w:val="006278B8"/>
    <w:rsid w:val="00627EEC"/>
    <w:rsid w:val="00630A81"/>
    <w:rsid w:val="006316BC"/>
    <w:rsid w:val="006319D4"/>
    <w:rsid w:val="00631B79"/>
    <w:rsid w:val="006322AB"/>
    <w:rsid w:val="006328D1"/>
    <w:rsid w:val="00633715"/>
    <w:rsid w:val="00633753"/>
    <w:rsid w:val="006345DF"/>
    <w:rsid w:val="006356C8"/>
    <w:rsid w:val="00635A71"/>
    <w:rsid w:val="00635B99"/>
    <w:rsid w:val="006372BF"/>
    <w:rsid w:val="006373B4"/>
    <w:rsid w:val="0064075C"/>
    <w:rsid w:val="006413E6"/>
    <w:rsid w:val="0064197B"/>
    <w:rsid w:val="00641D55"/>
    <w:rsid w:val="006428C5"/>
    <w:rsid w:val="00642CC6"/>
    <w:rsid w:val="00642E69"/>
    <w:rsid w:val="006433EF"/>
    <w:rsid w:val="00643F21"/>
    <w:rsid w:val="00646ECE"/>
    <w:rsid w:val="00647DC9"/>
    <w:rsid w:val="006509C2"/>
    <w:rsid w:val="00650AD5"/>
    <w:rsid w:val="00651660"/>
    <w:rsid w:val="00652550"/>
    <w:rsid w:val="0065291A"/>
    <w:rsid w:val="00652F0C"/>
    <w:rsid w:val="006541BA"/>
    <w:rsid w:val="006562C1"/>
    <w:rsid w:val="0065630B"/>
    <w:rsid w:val="006563BB"/>
    <w:rsid w:val="006569E9"/>
    <w:rsid w:val="006572BE"/>
    <w:rsid w:val="00660446"/>
    <w:rsid w:val="0066059E"/>
    <w:rsid w:val="006624C7"/>
    <w:rsid w:val="0066331D"/>
    <w:rsid w:val="00663854"/>
    <w:rsid w:val="00663FA3"/>
    <w:rsid w:val="00664DFF"/>
    <w:rsid w:val="0066586B"/>
    <w:rsid w:val="00665CFB"/>
    <w:rsid w:val="00666561"/>
    <w:rsid w:val="0067083E"/>
    <w:rsid w:val="00670C32"/>
    <w:rsid w:val="00671A9E"/>
    <w:rsid w:val="00671BEF"/>
    <w:rsid w:val="00671C7D"/>
    <w:rsid w:val="00671CAB"/>
    <w:rsid w:val="006722EA"/>
    <w:rsid w:val="006728BE"/>
    <w:rsid w:val="00672F45"/>
    <w:rsid w:val="00674089"/>
    <w:rsid w:val="006756A9"/>
    <w:rsid w:val="00675C51"/>
    <w:rsid w:val="00676A11"/>
    <w:rsid w:val="00676AFB"/>
    <w:rsid w:val="00677A67"/>
    <w:rsid w:val="00677D79"/>
    <w:rsid w:val="0068058B"/>
    <w:rsid w:val="006807DC"/>
    <w:rsid w:val="00681376"/>
    <w:rsid w:val="00681D59"/>
    <w:rsid w:val="0068453E"/>
    <w:rsid w:val="00685E32"/>
    <w:rsid w:val="00686200"/>
    <w:rsid w:val="0068696B"/>
    <w:rsid w:val="00687958"/>
    <w:rsid w:val="00687EB7"/>
    <w:rsid w:val="00687F6A"/>
    <w:rsid w:val="00690CCF"/>
    <w:rsid w:val="00690DD4"/>
    <w:rsid w:val="00690EBA"/>
    <w:rsid w:val="00691202"/>
    <w:rsid w:val="00691B00"/>
    <w:rsid w:val="006920F2"/>
    <w:rsid w:val="00692524"/>
    <w:rsid w:val="00692F3C"/>
    <w:rsid w:val="006947BC"/>
    <w:rsid w:val="00696E92"/>
    <w:rsid w:val="0069741C"/>
    <w:rsid w:val="00697EAA"/>
    <w:rsid w:val="006A0975"/>
    <w:rsid w:val="006A1371"/>
    <w:rsid w:val="006A1F7A"/>
    <w:rsid w:val="006A275A"/>
    <w:rsid w:val="006A2937"/>
    <w:rsid w:val="006A3076"/>
    <w:rsid w:val="006A3A23"/>
    <w:rsid w:val="006A3B3F"/>
    <w:rsid w:val="006A3F70"/>
    <w:rsid w:val="006A538A"/>
    <w:rsid w:val="006A5FBF"/>
    <w:rsid w:val="006A631E"/>
    <w:rsid w:val="006A67FF"/>
    <w:rsid w:val="006A7DFA"/>
    <w:rsid w:val="006B0604"/>
    <w:rsid w:val="006B069B"/>
    <w:rsid w:val="006B0A4B"/>
    <w:rsid w:val="006B0C19"/>
    <w:rsid w:val="006B27FA"/>
    <w:rsid w:val="006B3695"/>
    <w:rsid w:val="006B442D"/>
    <w:rsid w:val="006B4C52"/>
    <w:rsid w:val="006B55CB"/>
    <w:rsid w:val="006B5F15"/>
    <w:rsid w:val="006B688F"/>
    <w:rsid w:val="006B68E5"/>
    <w:rsid w:val="006B6F29"/>
    <w:rsid w:val="006B702D"/>
    <w:rsid w:val="006B703B"/>
    <w:rsid w:val="006B7F20"/>
    <w:rsid w:val="006C019D"/>
    <w:rsid w:val="006C0486"/>
    <w:rsid w:val="006C080F"/>
    <w:rsid w:val="006C0D87"/>
    <w:rsid w:val="006C1BD1"/>
    <w:rsid w:val="006C2477"/>
    <w:rsid w:val="006C2C73"/>
    <w:rsid w:val="006C303C"/>
    <w:rsid w:val="006C361B"/>
    <w:rsid w:val="006C4B52"/>
    <w:rsid w:val="006C4D8F"/>
    <w:rsid w:val="006C56D3"/>
    <w:rsid w:val="006C5D65"/>
    <w:rsid w:val="006C6732"/>
    <w:rsid w:val="006C7716"/>
    <w:rsid w:val="006C7E55"/>
    <w:rsid w:val="006D04BD"/>
    <w:rsid w:val="006D04FE"/>
    <w:rsid w:val="006D0C75"/>
    <w:rsid w:val="006D0C90"/>
    <w:rsid w:val="006D169D"/>
    <w:rsid w:val="006D2730"/>
    <w:rsid w:val="006D2BFE"/>
    <w:rsid w:val="006D4786"/>
    <w:rsid w:val="006D681A"/>
    <w:rsid w:val="006D68E9"/>
    <w:rsid w:val="006D70C7"/>
    <w:rsid w:val="006E1C62"/>
    <w:rsid w:val="006E36C8"/>
    <w:rsid w:val="006E3922"/>
    <w:rsid w:val="006E3AAE"/>
    <w:rsid w:val="006E61E2"/>
    <w:rsid w:val="006E675E"/>
    <w:rsid w:val="006E7265"/>
    <w:rsid w:val="006E7607"/>
    <w:rsid w:val="006F0BB3"/>
    <w:rsid w:val="006F0FB8"/>
    <w:rsid w:val="006F19A9"/>
    <w:rsid w:val="006F233F"/>
    <w:rsid w:val="006F327E"/>
    <w:rsid w:val="006F4B1B"/>
    <w:rsid w:val="006F508B"/>
    <w:rsid w:val="006F576A"/>
    <w:rsid w:val="0070080C"/>
    <w:rsid w:val="00700C56"/>
    <w:rsid w:val="00700FD4"/>
    <w:rsid w:val="00701561"/>
    <w:rsid w:val="0070156C"/>
    <w:rsid w:val="00702AB3"/>
    <w:rsid w:val="00702C51"/>
    <w:rsid w:val="007038BD"/>
    <w:rsid w:val="00704273"/>
    <w:rsid w:val="007045F9"/>
    <w:rsid w:val="00705B68"/>
    <w:rsid w:val="00706379"/>
    <w:rsid w:val="00706445"/>
    <w:rsid w:val="00706887"/>
    <w:rsid w:val="00706997"/>
    <w:rsid w:val="00706BEB"/>
    <w:rsid w:val="00707421"/>
    <w:rsid w:val="0070760D"/>
    <w:rsid w:val="00707E1B"/>
    <w:rsid w:val="00710C65"/>
    <w:rsid w:val="00710E06"/>
    <w:rsid w:val="00711BFF"/>
    <w:rsid w:val="00711C4B"/>
    <w:rsid w:val="00712AC4"/>
    <w:rsid w:val="00712BC2"/>
    <w:rsid w:val="00712F2E"/>
    <w:rsid w:val="00712FD7"/>
    <w:rsid w:val="00716FB9"/>
    <w:rsid w:val="00717FDE"/>
    <w:rsid w:val="00720461"/>
    <w:rsid w:val="00721EF5"/>
    <w:rsid w:val="007224B4"/>
    <w:rsid w:val="00722D41"/>
    <w:rsid w:val="00723206"/>
    <w:rsid w:val="007236B3"/>
    <w:rsid w:val="007237AA"/>
    <w:rsid w:val="007238BA"/>
    <w:rsid w:val="00723DA6"/>
    <w:rsid w:val="00723E16"/>
    <w:rsid w:val="00723F50"/>
    <w:rsid w:val="0072522D"/>
    <w:rsid w:val="007258E8"/>
    <w:rsid w:val="00725B5B"/>
    <w:rsid w:val="00726866"/>
    <w:rsid w:val="00726A06"/>
    <w:rsid w:val="007271B2"/>
    <w:rsid w:val="00727D24"/>
    <w:rsid w:val="0073089A"/>
    <w:rsid w:val="00731289"/>
    <w:rsid w:val="00731E45"/>
    <w:rsid w:val="007331DB"/>
    <w:rsid w:val="007337DC"/>
    <w:rsid w:val="00734B93"/>
    <w:rsid w:val="007360C7"/>
    <w:rsid w:val="00737494"/>
    <w:rsid w:val="007404F4"/>
    <w:rsid w:val="007408CE"/>
    <w:rsid w:val="00740B6E"/>
    <w:rsid w:val="00740F61"/>
    <w:rsid w:val="00742BC7"/>
    <w:rsid w:val="0074362F"/>
    <w:rsid w:val="007437E9"/>
    <w:rsid w:val="00744166"/>
    <w:rsid w:val="00744AC0"/>
    <w:rsid w:val="00744E0E"/>
    <w:rsid w:val="00745553"/>
    <w:rsid w:val="0074631B"/>
    <w:rsid w:val="00746782"/>
    <w:rsid w:val="007472FD"/>
    <w:rsid w:val="00747B63"/>
    <w:rsid w:val="00747F5D"/>
    <w:rsid w:val="007507DE"/>
    <w:rsid w:val="00750C2E"/>
    <w:rsid w:val="00750E92"/>
    <w:rsid w:val="00750F2C"/>
    <w:rsid w:val="00750F2F"/>
    <w:rsid w:val="00751120"/>
    <w:rsid w:val="00751F74"/>
    <w:rsid w:val="0075202B"/>
    <w:rsid w:val="007532F4"/>
    <w:rsid w:val="00753982"/>
    <w:rsid w:val="00753AA3"/>
    <w:rsid w:val="00753FDF"/>
    <w:rsid w:val="007547D4"/>
    <w:rsid w:val="00754F12"/>
    <w:rsid w:val="007559C8"/>
    <w:rsid w:val="00755D8F"/>
    <w:rsid w:val="007563F2"/>
    <w:rsid w:val="0075641E"/>
    <w:rsid w:val="00756F0C"/>
    <w:rsid w:val="00756FD5"/>
    <w:rsid w:val="00757A06"/>
    <w:rsid w:val="00757C31"/>
    <w:rsid w:val="007608F6"/>
    <w:rsid w:val="007612AF"/>
    <w:rsid w:val="00762ACE"/>
    <w:rsid w:val="00763414"/>
    <w:rsid w:val="007634A1"/>
    <w:rsid w:val="00763BBE"/>
    <w:rsid w:val="007645AF"/>
    <w:rsid w:val="007645D7"/>
    <w:rsid w:val="0076534F"/>
    <w:rsid w:val="00767BF7"/>
    <w:rsid w:val="00767EE7"/>
    <w:rsid w:val="00767FA9"/>
    <w:rsid w:val="007708B1"/>
    <w:rsid w:val="00770929"/>
    <w:rsid w:val="00770A9E"/>
    <w:rsid w:val="0077169A"/>
    <w:rsid w:val="00771E21"/>
    <w:rsid w:val="00772A70"/>
    <w:rsid w:val="007742ED"/>
    <w:rsid w:val="0077453B"/>
    <w:rsid w:val="0077473D"/>
    <w:rsid w:val="00774F4F"/>
    <w:rsid w:val="00775108"/>
    <w:rsid w:val="00775E7F"/>
    <w:rsid w:val="00775F1F"/>
    <w:rsid w:val="00776266"/>
    <w:rsid w:val="00776AE7"/>
    <w:rsid w:val="00777462"/>
    <w:rsid w:val="00777546"/>
    <w:rsid w:val="007802AB"/>
    <w:rsid w:val="007802C4"/>
    <w:rsid w:val="007810C9"/>
    <w:rsid w:val="007814C8"/>
    <w:rsid w:val="00781DF8"/>
    <w:rsid w:val="00781EF4"/>
    <w:rsid w:val="007830BA"/>
    <w:rsid w:val="00783E01"/>
    <w:rsid w:val="00783FBE"/>
    <w:rsid w:val="00784794"/>
    <w:rsid w:val="00784F14"/>
    <w:rsid w:val="007851E5"/>
    <w:rsid w:val="00787D3C"/>
    <w:rsid w:val="007917C4"/>
    <w:rsid w:val="007933C3"/>
    <w:rsid w:val="00793528"/>
    <w:rsid w:val="00793EEB"/>
    <w:rsid w:val="00793F79"/>
    <w:rsid w:val="00794ABB"/>
    <w:rsid w:val="007951DC"/>
    <w:rsid w:val="00795249"/>
    <w:rsid w:val="00796304"/>
    <w:rsid w:val="00796D36"/>
    <w:rsid w:val="00796FF7"/>
    <w:rsid w:val="00797224"/>
    <w:rsid w:val="00797B5E"/>
    <w:rsid w:val="00797EF8"/>
    <w:rsid w:val="007A13B6"/>
    <w:rsid w:val="007A1A81"/>
    <w:rsid w:val="007A2789"/>
    <w:rsid w:val="007A4380"/>
    <w:rsid w:val="007A72A8"/>
    <w:rsid w:val="007A736B"/>
    <w:rsid w:val="007A7BAE"/>
    <w:rsid w:val="007A7D49"/>
    <w:rsid w:val="007B0009"/>
    <w:rsid w:val="007B0189"/>
    <w:rsid w:val="007B16F3"/>
    <w:rsid w:val="007B2400"/>
    <w:rsid w:val="007B29B9"/>
    <w:rsid w:val="007B3AFF"/>
    <w:rsid w:val="007B3BFB"/>
    <w:rsid w:val="007B4719"/>
    <w:rsid w:val="007B4C4D"/>
    <w:rsid w:val="007B70FD"/>
    <w:rsid w:val="007B7480"/>
    <w:rsid w:val="007C016A"/>
    <w:rsid w:val="007C050D"/>
    <w:rsid w:val="007C0830"/>
    <w:rsid w:val="007C1548"/>
    <w:rsid w:val="007C21D3"/>
    <w:rsid w:val="007C2550"/>
    <w:rsid w:val="007C38B8"/>
    <w:rsid w:val="007C43FA"/>
    <w:rsid w:val="007C46BF"/>
    <w:rsid w:val="007C5ACF"/>
    <w:rsid w:val="007C62A5"/>
    <w:rsid w:val="007C6981"/>
    <w:rsid w:val="007D006E"/>
    <w:rsid w:val="007D030A"/>
    <w:rsid w:val="007D0A36"/>
    <w:rsid w:val="007D0F8A"/>
    <w:rsid w:val="007D1251"/>
    <w:rsid w:val="007D3F27"/>
    <w:rsid w:val="007D48AB"/>
    <w:rsid w:val="007D55C9"/>
    <w:rsid w:val="007D700E"/>
    <w:rsid w:val="007D72D9"/>
    <w:rsid w:val="007E01CD"/>
    <w:rsid w:val="007E0E1F"/>
    <w:rsid w:val="007E0FB1"/>
    <w:rsid w:val="007E1790"/>
    <w:rsid w:val="007E1C60"/>
    <w:rsid w:val="007E26C5"/>
    <w:rsid w:val="007E2B46"/>
    <w:rsid w:val="007E36BD"/>
    <w:rsid w:val="007E4B82"/>
    <w:rsid w:val="007E5176"/>
    <w:rsid w:val="007E5452"/>
    <w:rsid w:val="007E558B"/>
    <w:rsid w:val="007E75FA"/>
    <w:rsid w:val="007E7F6D"/>
    <w:rsid w:val="007F0B17"/>
    <w:rsid w:val="007F15D0"/>
    <w:rsid w:val="007F15F8"/>
    <w:rsid w:val="007F197F"/>
    <w:rsid w:val="007F1CFF"/>
    <w:rsid w:val="007F212A"/>
    <w:rsid w:val="007F2552"/>
    <w:rsid w:val="007F335E"/>
    <w:rsid w:val="007F3FC9"/>
    <w:rsid w:val="007F416D"/>
    <w:rsid w:val="007F4706"/>
    <w:rsid w:val="007F6C24"/>
    <w:rsid w:val="007F7D27"/>
    <w:rsid w:val="0080047F"/>
    <w:rsid w:val="00800616"/>
    <w:rsid w:val="00801028"/>
    <w:rsid w:val="00801077"/>
    <w:rsid w:val="00801CC7"/>
    <w:rsid w:val="00802705"/>
    <w:rsid w:val="00803B67"/>
    <w:rsid w:val="00804B5C"/>
    <w:rsid w:val="00806AB3"/>
    <w:rsid w:val="00806CB4"/>
    <w:rsid w:val="00807E8E"/>
    <w:rsid w:val="008113A6"/>
    <w:rsid w:val="008119E4"/>
    <w:rsid w:val="00811ABC"/>
    <w:rsid w:val="008135CB"/>
    <w:rsid w:val="00813723"/>
    <w:rsid w:val="00813A9D"/>
    <w:rsid w:val="00813D75"/>
    <w:rsid w:val="00814167"/>
    <w:rsid w:val="0081517C"/>
    <w:rsid w:val="008154E9"/>
    <w:rsid w:val="008156B8"/>
    <w:rsid w:val="0081591F"/>
    <w:rsid w:val="00815D17"/>
    <w:rsid w:val="00815D3A"/>
    <w:rsid w:val="00816B62"/>
    <w:rsid w:val="008202AB"/>
    <w:rsid w:val="008213BB"/>
    <w:rsid w:val="00821E0A"/>
    <w:rsid w:val="00821FCB"/>
    <w:rsid w:val="0082208D"/>
    <w:rsid w:val="008223BA"/>
    <w:rsid w:val="00822885"/>
    <w:rsid w:val="00822C33"/>
    <w:rsid w:val="008247C0"/>
    <w:rsid w:val="00825101"/>
    <w:rsid w:val="0082713B"/>
    <w:rsid w:val="00827644"/>
    <w:rsid w:val="008276AB"/>
    <w:rsid w:val="0082777F"/>
    <w:rsid w:val="0083040E"/>
    <w:rsid w:val="0083079A"/>
    <w:rsid w:val="008328EA"/>
    <w:rsid w:val="00832DF6"/>
    <w:rsid w:val="00833A10"/>
    <w:rsid w:val="00833E19"/>
    <w:rsid w:val="00834260"/>
    <w:rsid w:val="00834886"/>
    <w:rsid w:val="008353EC"/>
    <w:rsid w:val="00835672"/>
    <w:rsid w:val="00836595"/>
    <w:rsid w:val="00836ADE"/>
    <w:rsid w:val="008375B0"/>
    <w:rsid w:val="008377B1"/>
    <w:rsid w:val="008379B4"/>
    <w:rsid w:val="00840863"/>
    <w:rsid w:val="008413BE"/>
    <w:rsid w:val="00841DCE"/>
    <w:rsid w:val="008428C2"/>
    <w:rsid w:val="00842C66"/>
    <w:rsid w:val="00842E51"/>
    <w:rsid w:val="00843310"/>
    <w:rsid w:val="00843EF7"/>
    <w:rsid w:val="00844523"/>
    <w:rsid w:val="00844E90"/>
    <w:rsid w:val="0084534C"/>
    <w:rsid w:val="008453C7"/>
    <w:rsid w:val="00846091"/>
    <w:rsid w:val="00846C8A"/>
    <w:rsid w:val="00846D7C"/>
    <w:rsid w:val="00846DA3"/>
    <w:rsid w:val="00847C7D"/>
    <w:rsid w:val="00850072"/>
    <w:rsid w:val="0085217E"/>
    <w:rsid w:val="0085277C"/>
    <w:rsid w:val="00852804"/>
    <w:rsid w:val="00852EB1"/>
    <w:rsid w:val="00853054"/>
    <w:rsid w:val="008534D9"/>
    <w:rsid w:val="00854162"/>
    <w:rsid w:val="008541AC"/>
    <w:rsid w:val="00854BE5"/>
    <w:rsid w:val="00856A10"/>
    <w:rsid w:val="00857E4C"/>
    <w:rsid w:val="00861842"/>
    <w:rsid w:val="0086210F"/>
    <w:rsid w:val="008629E0"/>
    <w:rsid w:val="00862CC1"/>
    <w:rsid w:val="00862DB8"/>
    <w:rsid w:val="00864052"/>
    <w:rsid w:val="0086500C"/>
    <w:rsid w:val="00865AC6"/>
    <w:rsid w:val="00865C91"/>
    <w:rsid w:val="008661FA"/>
    <w:rsid w:val="0086660A"/>
    <w:rsid w:val="00866A08"/>
    <w:rsid w:val="00867019"/>
    <w:rsid w:val="00872695"/>
    <w:rsid w:val="00873203"/>
    <w:rsid w:val="00873BC3"/>
    <w:rsid w:val="00873BE2"/>
    <w:rsid w:val="0087421D"/>
    <w:rsid w:val="00874986"/>
    <w:rsid w:val="00875A85"/>
    <w:rsid w:val="00875FAE"/>
    <w:rsid w:val="00876385"/>
    <w:rsid w:val="00876F44"/>
    <w:rsid w:val="008772F3"/>
    <w:rsid w:val="008777F4"/>
    <w:rsid w:val="00877A86"/>
    <w:rsid w:val="00880900"/>
    <w:rsid w:val="00880A8C"/>
    <w:rsid w:val="00881152"/>
    <w:rsid w:val="00881DE2"/>
    <w:rsid w:val="0088213B"/>
    <w:rsid w:val="00882971"/>
    <w:rsid w:val="00882B01"/>
    <w:rsid w:val="00882E8A"/>
    <w:rsid w:val="008836E7"/>
    <w:rsid w:val="00884775"/>
    <w:rsid w:val="00884AF0"/>
    <w:rsid w:val="008856AE"/>
    <w:rsid w:val="00885F6D"/>
    <w:rsid w:val="00887B65"/>
    <w:rsid w:val="0089161D"/>
    <w:rsid w:val="00893476"/>
    <w:rsid w:val="00893979"/>
    <w:rsid w:val="00893E7D"/>
    <w:rsid w:val="00893EDA"/>
    <w:rsid w:val="0089420D"/>
    <w:rsid w:val="0089505E"/>
    <w:rsid w:val="0089577C"/>
    <w:rsid w:val="0089580A"/>
    <w:rsid w:val="00895A75"/>
    <w:rsid w:val="00895FD6"/>
    <w:rsid w:val="0089611B"/>
    <w:rsid w:val="00896692"/>
    <w:rsid w:val="00896D6A"/>
    <w:rsid w:val="00897CD7"/>
    <w:rsid w:val="008A24AA"/>
    <w:rsid w:val="008A2F70"/>
    <w:rsid w:val="008A439F"/>
    <w:rsid w:val="008A4905"/>
    <w:rsid w:val="008A4E2A"/>
    <w:rsid w:val="008A4F71"/>
    <w:rsid w:val="008A6C69"/>
    <w:rsid w:val="008A7152"/>
    <w:rsid w:val="008A789D"/>
    <w:rsid w:val="008A7B5A"/>
    <w:rsid w:val="008A7C42"/>
    <w:rsid w:val="008B036C"/>
    <w:rsid w:val="008B103D"/>
    <w:rsid w:val="008B3A78"/>
    <w:rsid w:val="008B7487"/>
    <w:rsid w:val="008C0A8D"/>
    <w:rsid w:val="008C152D"/>
    <w:rsid w:val="008C20CC"/>
    <w:rsid w:val="008C2194"/>
    <w:rsid w:val="008C25B2"/>
    <w:rsid w:val="008C2C77"/>
    <w:rsid w:val="008C3367"/>
    <w:rsid w:val="008C3553"/>
    <w:rsid w:val="008C6418"/>
    <w:rsid w:val="008C6788"/>
    <w:rsid w:val="008C703A"/>
    <w:rsid w:val="008C7684"/>
    <w:rsid w:val="008C789E"/>
    <w:rsid w:val="008D071A"/>
    <w:rsid w:val="008D0EAB"/>
    <w:rsid w:val="008D1A6C"/>
    <w:rsid w:val="008D1CB8"/>
    <w:rsid w:val="008D29EB"/>
    <w:rsid w:val="008D33F9"/>
    <w:rsid w:val="008D3D5D"/>
    <w:rsid w:val="008D41EE"/>
    <w:rsid w:val="008D4557"/>
    <w:rsid w:val="008D530C"/>
    <w:rsid w:val="008D5696"/>
    <w:rsid w:val="008D5C71"/>
    <w:rsid w:val="008D79A8"/>
    <w:rsid w:val="008E05B0"/>
    <w:rsid w:val="008E14AA"/>
    <w:rsid w:val="008E31B7"/>
    <w:rsid w:val="008E3969"/>
    <w:rsid w:val="008E44E1"/>
    <w:rsid w:val="008E68FE"/>
    <w:rsid w:val="008E7075"/>
    <w:rsid w:val="008E7A30"/>
    <w:rsid w:val="008E7BD4"/>
    <w:rsid w:val="008E7E9B"/>
    <w:rsid w:val="008F1E3A"/>
    <w:rsid w:val="008F22F5"/>
    <w:rsid w:val="008F2D77"/>
    <w:rsid w:val="008F3E4E"/>
    <w:rsid w:val="008F3F03"/>
    <w:rsid w:val="008F4027"/>
    <w:rsid w:val="008F4464"/>
    <w:rsid w:val="008F51CE"/>
    <w:rsid w:val="008F60A7"/>
    <w:rsid w:val="008F6F54"/>
    <w:rsid w:val="008F74C5"/>
    <w:rsid w:val="00900837"/>
    <w:rsid w:val="00900BAF"/>
    <w:rsid w:val="00900D8F"/>
    <w:rsid w:val="00901473"/>
    <w:rsid w:val="0090159F"/>
    <w:rsid w:val="00903196"/>
    <w:rsid w:val="009038E2"/>
    <w:rsid w:val="00903F5A"/>
    <w:rsid w:val="009048C8"/>
    <w:rsid w:val="0090553C"/>
    <w:rsid w:val="00905546"/>
    <w:rsid w:val="00905796"/>
    <w:rsid w:val="0090651A"/>
    <w:rsid w:val="00907A10"/>
    <w:rsid w:val="00907B2C"/>
    <w:rsid w:val="009106B2"/>
    <w:rsid w:val="00910AAD"/>
    <w:rsid w:val="00910B3C"/>
    <w:rsid w:val="00910C9B"/>
    <w:rsid w:val="00910CE9"/>
    <w:rsid w:val="00911808"/>
    <w:rsid w:val="0091258E"/>
    <w:rsid w:val="00912F1E"/>
    <w:rsid w:val="00913F85"/>
    <w:rsid w:val="00914BE7"/>
    <w:rsid w:val="00916124"/>
    <w:rsid w:val="00916676"/>
    <w:rsid w:val="00916AF2"/>
    <w:rsid w:val="00917052"/>
    <w:rsid w:val="009171AE"/>
    <w:rsid w:val="00917C36"/>
    <w:rsid w:val="009216D7"/>
    <w:rsid w:val="009216DD"/>
    <w:rsid w:val="00921A85"/>
    <w:rsid w:val="00922222"/>
    <w:rsid w:val="009226EA"/>
    <w:rsid w:val="00924164"/>
    <w:rsid w:val="009241BB"/>
    <w:rsid w:val="0092548C"/>
    <w:rsid w:val="00926EAF"/>
    <w:rsid w:val="00927F8E"/>
    <w:rsid w:val="0093079B"/>
    <w:rsid w:val="00930B9B"/>
    <w:rsid w:val="00930F18"/>
    <w:rsid w:val="00932329"/>
    <w:rsid w:val="00932B85"/>
    <w:rsid w:val="00932E30"/>
    <w:rsid w:val="009345C1"/>
    <w:rsid w:val="009352C9"/>
    <w:rsid w:val="009366D5"/>
    <w:rsid w:val="00937EC1"/>
    <w:rsid w:val="00940646"/>
    <w:rsid w:val="00941773"/>
    <w:rsid w:val="0094196B"/>
    <w:rsid w:val="00942E83"/>
    <w:rsid w:val="009432EF"/>
    <w:rsid w:val="0094449D"/>
    <w:rsid w:val="009454A1"/>
    <w:rsid w:val="00945A63"/>
    <w:rsid w:val="00945F82"/>
    <w:rsid w:val="00945FB2"/>
    <w:rsid w:val="00950437"/>
    <w:rsid w:val="009512DB"/>
    <w:rsid w:val="00951B77"/>
    <w:rsid w:val="00951EEC"/>
    <w:rsid w:val="0095223D"/>
    <w:rsid w:val="00953DC5"/>
    <w:rsid w:val="00954189"/>
    <w:rsid w:val="009547F5"/>
    <w:rsid w:val="0095535D"/>
    <w:rsid w:val="00956DB0"/>
    <w:rsid w:val="009571AA"/>
    <w:rsid w:val="00957728"/>
    <w:rsid w:val="009603A0"/>
    <w:rsid w:val="00961952"/>
    <w:rsid w:val="009634F8"/>
    <w:rsid w:val="009640A9"/>
    <w:rsid w:val="00965983"/>
    <w:rsid w:val="00965BCD"/>
    <w:rsid w:val="0096650F"/>
    <w:rsid w:val="0096727C"/>
    <w:rsid w:val="00967C46"/>
    <w:rsid w:val="00970773"/>
    <w:rsid w:val="00970971"/>
    <w:rsid w:val="009711E7"/>
    <w:rsid w:val="00971BDC"/>
    <w:rsid w:val="00971E73"/>
    <w:rsid w:val="00971F87"/>
    <w:rsid w:val="009728B7"/>
    <w:rsid w:val="009729B5"/>
    <w:rsid w:val="00972CCC"/>
    <w:rsid w:val="00973BD4"/>
    <w:rsid w:val="009741D1"/>
    <w:rsid w:val="009747B7"/>
    <w:rsid w:val="00974D11"/>
    <w:rsid w:val="00975C5F"/>
    <w:rsid w:val="0097678E"/>
    <w:rsid w:val="00977687"/>
    <w:rsid w:val="00977FA9"/>
    <w:rsid w:val="00981775"/>
    <w:rsid w:val="00981F54"/>
    <w:rsid w:val="0098209C"/>
    <w:rsid w:val="00982977"/>
    <w:rsid w:val="0098384A"/>
    <w:rsid w:val="00983FAC"/>
    <w:rsid w:val="0098418A"/>
    <w:rsid w:val="00984C48"/>
    <w:rsid w:val="00984D7B"/>
    <w:rsid w:val="00984E12"/>
    <w:rsid w:val="00985B5C"/>
    <w:rsid w:val="009861AA"/>
    <w:rsid w:val="009864DA"/>
    <w:rsid w:val="00990B9F"/>
    <w:rsid w:val="00990D11"/>
    <w:rsid w:val="0099150C"/>
    <w:rsid w:val="009917DC"/>
    <w:rsid w:val="00993C3D"/>
    <w:rsid w:val="00993D32"/>
    <w:rsid w:val="00994C8B"/>
    <w:rsid w:val="009974A2"/>
    <w:rsid w:val="009A03B4"/>
    <w:rsid w:val="009A0C14"/>
    <w:rsid w:val="009A102D"/>
    <w:rsid w:val="009A1A65"/>
    <w:rsid w:val="009A1BCE"/>
    <w:rsid w:val="009A22BE"/>
    <w:rsid w:val="009A3012"/>
    <w:rsid w:val="009A4470"/>
    <w:rsid w:val="009A4513"/>
    <w:rsid w:val="009A4E3B"/>
    <w:rsid w:val="009A4F63"/>
    <w:rsid w:val="009A6447"/>
    <w:rsid w:val="009A67FA"/>
    <w:rsid w:val="009A777C"/>
    <w:rsid w:val="009A7F51"/>
    <w:rsid w:val="009B118E"/>
    <w:rsid w:val="009B32CA"/>
    <w:rsid w:val="009B32F2"/>
    <w:rsid w:val="009B4130"/>
    <w:rsid w:val="009B4DA9"/>
    <w:rsid w:val="009B50BD"/>
    <w:rsid w:val="009B5240"/>
    <w:rsid w:val="009B53C8"/>
    <w:rsid w:val="009B5657"/>
    <w:rsid w:val="009B5881"/>
    <w:rsid w:val="009B59FD"/>
    <w:rsid w:val="009B5F94"/>
    <w:rsid w:val="009B6942"/>
    <w:rsid w:val="009B69E2"/>
    <w:rsid w:val="009B6CCF"/>
    <w:rsid w:val="009B7818"/>
    <w:rsid w:val="009C1A17"/>
    <w:rsid w:val="009C1E62"/>
    <w:rsid w:val="009C246F"/>
    <w:rsid w:val="009C28AB"/>
    <w:rsid w:val="009C2D93"/>
    <w:rsid w:val="009C2FCC"/>
    <w:rsid w:val="009C55BE"/>
    <w:rsid w:val="009C5D39"/>
    <w:rsid w:val="009C6188"/>
    <w:rsid w:val="009C67AB"/>
    <w:rsid w:val="009C731C"/>
    <w:rsid w:val="009C7779"/>
    <w:rsid w:val="009C78E1"/>
    <w:rsid w:val="009D01E1"/>
    <w:rsid w:val="009D0716"/>
    <w:rsid w:val="009D128C"/>
    <w:rsid w:val="009D2040"/>
    <w:rsid w:val="009D219D"/>
    <w:rsid w:val="009D2298"/>
    <w:rsid w:val="009D26C0"/>
    <w:rsid w:val="009D34CF"/>
    <w:rsid w:val="009D3FDF"/>
    <w:rsid w:val="009D429F"/>
    <w:rsid w:val="009D541E"/>
    <w:rsid w:val="009D59E2"/>
    <w:rsid w:val="009D66B9"/>
    <w:rsid w:val="009D6D35"/>
    <w:rsid w:val="009D7AA5"/>
    <w:rsid w:val="009D7BB4"/>
    <w:rsid w:val="009E030A"/>
    <w:rsid w:val="009E03B2"/>
    <w:rsid w:val="009E07D9"/>
    <w:rsid w:val="009E0CE4"/>
    <w:rsid w:val="009E1989"/>
    <w:rsid w:val="009E1B98"/>
    <w:rsid w:val="009E1BD9"/>
    <w:rsid w:val="009E2292"/>
    <w:rsid w:val="009E2B6E"/>
    <w:rsid w:val="009E34EA"/>
    <w:rsid w:val="009E3843"/>
    <w:rsid w:val="009E4CE9"/>
    <w:rsid w:val="009E4DFC"/>
    <w:rsid w:val="009E527B"/>
    <w:rsid w:val="009E5431"/>
    <w:rsid w:val="009E54D7"/>
    <w:rsid w:val="009E5C2F"/>
    <w:rsid w:val="009E6A37"/>
    <w:rsid w:val="009E6A94"/>
    <w:rsid w:val="009E761A"/>
    <w:rsid w:val="009F0991"/>
    <w:rsid w:val="009F0A84"/>
    <w:rsid w:val="009F0B6A"/>
    <w:rsid w:val="009F1CC0"/>
    <w:rsid w:val="009F3A4D"/>
    <w:rsid w:val="009F5229"/>
    <w:rsid w:val="009F58CF"/>
    <w:rsid w:val="009F5A81"/>
    <w:rsid w:val="009F5C71"/>
    <w:rsid w:val="009F6383"/>
    <w:rsid w:val="009F6A15"/>
    <w:rsid w:val="009F7F22"/>
    <w:rsid w:val="00A00444"/>
    <w:rsid w:val="00A00BBE"/>
    <w:rsid w:val="00A00F18"/>
    <w:rsid w:val="00A01069"/>
    <w:rsid w:val="00A01CED"/>
    <w:rsid w:val="00A032AE"/>
    <w:rsid w:val="00A04271"/>
    <w:rsid w:val="00A04290"/>
    <w:rsid w:val="00A04AB8"/>
    <w:rsid w:val="00A05528"/>
    <w:rsid w:val="00A05EF8"/>
    <w:rsid w:val="00A06CCF"/>
    <w:rsid w:val="00A070F9"/>
    <w:rsid w:val="00A07971"/>
    <w:rsid w:val="00A079ED"/>
    <w:rsid w:val="00A10B49"/>
    <w:rsid w:val="00A11541"/>
    <w:rsid w:val="00A117A2"/>
    <w:rsid w:val="00A13013"/>
    <w:rsid w:val="00A1321E"/>
    <w:rsid w:val="00A13B67"/>
    <w:rsid w:val="00A13EE2"/>
    <w:rsid w:val="00A15F75"/>
    <w:rsid w:val="00A17B94"/>
    <w:rsid w:val="00A20CAE"/>
    <w:rsid w:val="00A20EDE"/>
    <w:rsid w:val="00A2199C"/>
    <w:rsid w:val="00A22280"/>
    <w:rsid w:val="00A229E9"/>
    <w:rsid w:val="00A22A44"/>
    <w:rsid w:val="00A2314A"/>
    <w:rsid w:val="00A2518A"/>
    <w:rsid w:val="00A2565A"/>
    <w:rsid w:val="00A2652F"/>
    <w:rsid w:val="00A276A1"/>
    <w:rsid w:val="00A27C06"/>
    <w:rsid w:val="00A302B1"/>
    <w:rsid w:val="00A306F7"/>
    <w:rsid w:val="00A30792"/>
    <w:rsid w:val="00A31291"/>
    <w:rsid w:val="00A33A61"/>
    <w:rsid w:val="00A3499B"/>
    <w:rsid w:val="00A35099"/>
    <w:rsid w:val="00A3687C"/>
    <w:rsid w:val="00A36FA8"/>
    <w:rsid w:val="00A37B1F"/>
    <w:rsid w:val="00A37CB0"/>
    <w:rsid w:val="00A37F0F"/>
    <w:rsid w:val="00A40748"/>
    <w:rsid w:val="00A4082C"/>
    <w:rsid w:val="00A413B7"/>
    <w:rsid w:val="00A41B1F"/>
    <w:rsid w:val="00A41EDC"/>
    <w:rsid w:val="00A420C2"/>
    <w:rsid w:val="00A429A5"/>
    <w:rsid w:val="00A439C7"/>
    <w:rsid w:val="00A44096"/>
    <w:rsid w:val="00A44ECD"/>
    <w:rsid w:val="00A44F72"/>
    <w:rsid w:val="00A475E4"/>
    <w:rsid w:val="00A47D67"/>
    <w:rsid w:val="00A50AD7"/>
    <w:rsid w:val="00A5148D"/>
    <w:rsid w:val="00A52AD4"/>
    <w:rsid w:val="00A54DC9"/>
    <w:rsid w:val="00A56579"/>
    <w:rsid w:val="00A57CCE"/>
    <w:rsid w:val="00A6070C"/>
    <w:rsid w:val="00A60AA6"/>
    <w:rsid w:val="00A60DF6"/>
    <w:rsid w:val="00A6170D"/>
    <w:rsid w:val="00A62168"/>
    <w:rsid w:val="00A625ED"/>
    <w:rsid w:val="00A62E43"/>
    <w:rsid w:val="00A63176"/>
    <w:rsid w:val="00A63954"/>
    <w:rsid w:val="00A63B66"/>
    <w:rsid w:val="00A63DE6"/>
    <w:rsid w:val="00A63ED4"/>
    <w:rsid w:val="00A64DC8"/>
    <w:rsid w:val="00A65C48"/>
    <w:rsid w:val="00A66B64"/>
    <w:rsid w:val="00A66D78"/>
    <w:rsid w:val="00A6721C"/>
    <w:rsid w:val="00A6733A"/>
    <w:rsid w:val="00A6751F"/>
    <w:rsid w:val="00A675E4"/>
    <w:rsid w:val="00A716BA"/>
    <w:rsid w:val="00A71EB1"/>
    <w:rsid w:val="00A72C40"/>
    <w:rsid w:val="00A730AE"/>
    <w:rsid w:val="00A741C0"/>
    <w:rsid w:val="00A745F0"/>
    <w:rsid w:val="00A746AB"/>
    <w:rsid w:val="00A7504C"/>
    <w:rsid w:val="00A756AC"/>
    <w:rsid w:val="00A76083"/>
    <w:rsid w:val="00A76EEC"/>
    <w:rsid w:val="00A76F4A"/>
    <w:rsid w:val="00A8137A"/>
    <w:rsid w:val="00A83684"/>
    <w:rsid w:val="00A83F0F"/>
    <w:rsid w:val="00A842DF"/>
    <w:rsid w:val="00A84F8A"/>
    <w:rsid w:val="00A86085"/>
    <w:rsid w:val="00A86464"/>
    <w:rsid w:val="00A866EA"/>
    <w:rsid w:val="00A86EF5"/>
    <w:rsid w:val="00A90924"/>
    <w:rsid w:val="00A90C44"/>
    <w:rsid w:val="00A9130B"/>
    <w:rsid w:val="00A91A76"/>
    <w:rsid w:val="00A92FC0"/>
    <w:rsid w:val="00A9347D"/>
    <w:rsid w:val="00A937E0"/>
    <w:rsid w:val="00A949CC"/>
    <w:rsid w:val="00A94CF7"/>
    <w:rsid w:val="00A9545C"/>
    <w:rsid w:val="00A956ED"/>
    <w:rsid w:val="00A958D5"/>
    <w:rsid w:val="00A95D4E"/>
    <w:rsid w:val="00A966E1"/>
    <w:rsid w:val="00A9698C"/>
    <w:rsid w:val="00A97294"/>
    <w:rsid w:val="00A97AD9"/>
    <w:rsid w:val="00A97B12"/>
    <w:rsid w:val="00A97EB7"/>
    <w:rsid w:val="00AA01B7"/>
    <w:rsid w:val="00AA023E"/>
    <w:rsid w:val="00AA0961"/>
    <w:rsid w:val="00AA0EDB"/>
    <w:rsid w:val="00AA1523"/>
    <w:rsid w:val="00AA20E2"/>
    <w:rsid w:val="00AA2596"/>
    <w:rsid w:val="00AA2B07"/>
    <w:rsid w:val="00AA36E0"/>
    <w:rsid w:val="00AA48C4"/>
    <w:rsid w:val="00AA52A7"/>
    <w:rsid w:val="00AB049E"/>
    <w:rsid w:val="00AB20DC"/>
    <w:rsid w:val="00AB27F8"/>
    <w:rsid w:val="00AB2C54"/>
    <w:rsid w:val="00AB3C27"/>
    <w:rsid w:val="00AB3C40"/>
    <w:rsid w:val="00AB440A"/>
    <w:rsid w:val="00AB4829"/>
    <w:rsid w:val="00AB4F7F"/>
    <w:rsid w:val="00AB5070"/>
    <w:rsid w:val="00AB535E"/>
    <w:rsid w:val="00AB5478"/>
    <w:rsid w:val="00AB55B7"/>
    <w:rsid w:val="00AB6155"/>
    <w:rsid w:val="00AB624B"/>
    <w:rsid w:val="00AB6735"/>
    <w:rsid w:val="00AB6873"/>
    <w:rsid w:val="00AB7276"/>
    <w:rsid w:val="00AB747D"/>
    <w:rsid w:val="00AC02C0"/>
    <w:rsid w:val="00AC07E8"/>
    <w:rsid w:val="00AC0C7D"/>
    <w:rsid w:val="00AC0D94"/>
    <w:rsid w:val="00AC131C"/>
    <w:rsid w:val="00AC18CC"/>
    <w:rsid w:val="00AC2747"/>
    <w:rsid w:val="00AC2E18"/>
    <w:rsid w:val="00AC3CA6"/>
    <w:rsid w:val="00AC41EF"/>
    <w:rsid w:val="00AC476B"/>
    <w:rsid w:val="00AC550E"/>
    <w:rsid w:val="00AC63E4"/>
    <w:rsid w:val="00AC7160"/>
    <w:rsid w:val="00AD0B5E"/>
    <w:rsid w:val="00AD1474"/>
    <w:rsid w:val="00AD1D98"/>
    <w:rsid w:val="00AD2927"/>
    <w:rsid w:val="00AD2EDC"/>
    <w:rsid w:val="00AD4BCF"/>
    <w:rsid w:val="00AD696F"/>
    <w:rsid w:val="00AD7668"/>
    <w:rsid w:val="00AD77DD"/>
    <w:rsid w:val="00AE0FD8"/>
    <w:rsid w:val="00AE1288"/>
    <w:rsid w:val="00AE266D"/>
    <w:rsid w:val="00AE2B29"/>
    <w:rsid w:val="00AE43E7"/>
    <w:rsid w:val="00AE5817"/>
    <w:rsid w:val="00AE643A"/>
    <w:rsid w:val="00AE6964"/>
    <w:rsid w:val="00AE6C16"/>
    <w:rsid w:val="00AE7E65"/>
    <w:rsid w:val="00AF0E13"/>
    <w:rsid w:val="00AF0E55"/>
    <w:rsid w:val="00AF1C88"/>
    <w:rsid w:val="00AF290D"/>
    <w:rsid w:val="00AF2A8B"/>
    <w:rsid w:val="00AF2E75"/>
    <w:rsid w:val="00AF3ADF"/>
    <w:rsid w:val="00AF4DFD"/>
    <w:rsid w:val="00AF5B48"/>
    <w:rsid w:val="00AF628A"/>
    <w:rsid w:val="00AF6377"/>
    <w:rsid w:val="00AF7255"/>
    <w:rsid w:val="00AF78D0"/>
    <w:rsid w:val="00B0033B"/>
    <w:rsid w:val="00B01D5C"/>
    <w:rsid w:val="00B02BC7"/>
    <w:rsid w:val="00B02E13"/>
    <w:rsid w:val="00B03C51"/>
    <w:rsid w:val="00B044A4"/>
    <w:rsid w:val="00B04ED0"/>
    <w:rsid w:val="00B05190"/>
    <w:rsid w:val="00B06800"/>
    <w:rsid w:val="00B06AC1"/>
    <w:rsid w:val="00B07DE0"/>
    <w:rsid w:val="00B10B62"/>
    <w:rsid w:val="00B10FB6"/>
    <w:rsid w:val="00B11845"/>
    <w:rsid w:val="00B119FF"/>
    <w:rsid w:val="00B122A4"/>
    <w:rsid w:val="00B131F2"/>
    <w:rsid w:val="00B1383A"/>
    <w:rsid w:val="00B13905"/>
    <w:rsid w:val="00B1424A"/>
    <w:rsid w:val="00B14A06"/>
    <w:rsid w:val="00B14B43"/>
    <w:rsid w:val="00B15886"/>
    <w:rsid w:val="00B15DC5"/>
    <w:rsid w:val="00B16346"/>
    <w:rsid w:val="00B166CF"/>
    <w:rsid w:val="00B17208"/>
    <w:rsid w:val="00B20C0B"/>
    <w:rsid w:val="00B23047"/>
    <w:rsid w:val="00B2426E"/>
    <w:rsid w:val="00B24D0E"/>
    <w:rsid w:val="00B24F7E"/>
    <w:rsid w:val="00B27948"/>
    <w:rsid w:val="00B30298"/>
    <w:rsid w:val="00B3056D"/>
    <w:rsid w:val="00B30B29"/>
    <w:rsid w:val="00B3183A"/>
    <w:rsid w:val="00B3317C"/>
    <w:rsid w:val="00B33AAF"/>
    <w:rsid w:val="00B34235"/>
    <w:rsid w:val="00B34C1B"/>
    <w:rsid w:val="00B355FE"/>
    <w:rsid w:val="00B35626"/>
    <w:rsid w:val="00B357F7"/>
    <w:rsid w:val="00B35AF3"/>
    <w:rsid w:val="00B37EBE"/>
    <w:rsid w:val="00B40973"/>
    <w:rsid w:val="00B413A7"/>
    <w:rsid w:val="00B42444"/>
    <w:rsid w:val="00B429C2"/>
    <w:rsid w:val="00B4484B"/>
    <w:rsid w:val="00B457C5"/>
    <w:rsid w:val="00B47BD4"/>
    <w:rsid w:val="00B47F0A"/>
    <w:rsid w:val="00B505FA"/>
    <w:rsid w:val="00B5061B"/>
    <w:rsid w:val="00B50B9F"/>
    <w:rsid w:val="00B51818"/>
    <w:rsid w:val="00B51AA7"/>
    <w:rsid w:val="00B539DD"/>
    <w:rsid w:val="00B53CDE"/>
    <w:rsid w:val="00B54A77"/>
    <w:rsid w:val="00B55AD7"/>
    <w:rsid w:val="00B56ABC"/>
    <w:rsid w:val="00B56CDA"/>
    <w:rsid w:val="00B60644"/>
    <w:rsid w:val="00B60EE0"/>
    <w:rsid w:val="00B61CAE"/>
    <w:rsid w:val="00B63025"/>
    <w:rsid w:val="00B64C0B"/>
    <w:rsid w:val="00B64D68"/>
    <w:rsid w:val="00B64FAE"/>
    <w:rsid w:val="00B65026"/>
    <w:rsid w:val="00B65159"/>
    <w:rsid w:val="00B65964"/>
    <w:rsid w:val="00B66F5F"/>
    <w:rsid w:val="00B703B2"/>
    <w:rsid w:val="00B7116B"/>
    <w:rsid w:val="00B713C6"/>
    <w:rsid w:val="00B72773"/>
    <w:rsid w:val="00B72A21"/>
    <w:rsid w:val="00B72B5F"/>
    <w:rsid w:val="00B74330"/>
    <w:rsid w:val="00B749E8"/>
    <w:rsid w:val="00B74A4D"/>
    <w:rsid w:val="00B764B1"/>
    <w:rsid w:val="00B767C4"/>
    <w:rsid w:val="00B8025A"/>
    <w:rsid w:val="00B80E3E"/>
    <w:rsid w:val="00B812C7"/>
    <w:rsid w:val="00B81F10"/>
    <w:rsid w:val="00B82336"/>
    <w:rsid w:val="00B82D3A"/>
    <w:rsid w:val="00B84411"/>
    <w:rsid w:val="00B85A5F"/>
    <w:rsid w:val="00B85CBF"/>
    <w:rsid w:val="00B90178"/>
    <w:rsid w:val="00B903F1"/>
    <w:rsid w:val="00B91AE4"/>
    <w:rsid w:val="00B91E98"/>
    <w:rsid w:val="00B92FDF"/>
    <w:rsid w:val="00B93A62"/>
    <w:rsid w:val="00B949AB"/>
    <w:rsid w:val="00B94C80"/>
    <w:rsid w:val="00B94E92"/>
    <w:rsid w:val="00B9648B"/>
    <w:rsid w:val="00B96528"/>
    <w:rsid w:val="00B968C8"/>
    <w:rsid w:val="00B9799B"/>
    <w:rsid w:val="00BA2965"/>
    <w:rsid w:val="00BA2A57"/>
    <w:rsid w:val="00BA2F6F"/>
    <w:rsid w:val="00BA30C6"/>
    <w:rsid w:val="00BA3286"/>
    <w:rsid w:val="00BA36B9"/>
    <w:rsid w:val="00BA3767"/>
    <w:rsid w:val="00BA3E57"/>
    <w:rsid w:val="00BA4DBE"/>
    <w:rsid w:val="00BA4DD4"/>
    <w:rsid w:val="00BA66C8"/>
    <w:rsid w:val="00BA66D9"/>
    <w:rsid w:val="00BA7C06"/>
    <w:rsid w:val="00BB01EC"/>
    <w:rsid w:val="00BB0361"/>
    <w:rsid w:val="00BB26F0"/>
    <w:rsid w:val="00BB2A37"/>
    <w:rsid w:val="00BB365E"/>
    <w:rsid w:val="00BB3BE3"/>
    <w:rsid w:val="00BB40CA"/>
    <w:rsid w:val="00BB4265"/>
    <w:rsid w:val="00BB67B5"/>
    <w:rsid w:val="00BB71E4"/>
    <w:rsid w:val="00BC07BF"/>
    <w:rsid w:val="00BC1019"/>
    <w:rsid w:val="00BC2F3C"/>
    <w:rsid w:val="00BC3AF8"/>
    <w:rsid w:val="00BC3B16"/>
    <w:rsid w:val="00BC3B4F"/>
    <w:rsid w:val="00BC5A55"/>
    <w:rsid w:val="00BC5D81"/>
    <w:rsid w:val="00BC78F8"/>
    <w:rsid w:val="00BD00A7"/>
    <w:rsid w:val="00BD081A"/>
    <w:rsid w:val="00BD21F6"/>
    <w:rsid w:val="00BD2673"/>
    <w:rsid w:val="00BD388F"/>
    <w:rsid w:val="00BD3ADD"/>
    <w:rsid w:val="00BD3B13"/>
    <w:rsid w:val="00BD4EE0"/>
    <w:rsid w:val="00BD6183"/>
    <w:rsid w:val="00BD6391"/>
    <w:rsid w:val="00BD67A4"/>
    <w:rsid w:val="00BD6F21"/>
    <w:rsid w:val="00BD7088"/>
    <w:rsid w:val="00BD7560"/>
    <w:rsid w:val="00BD7639"/>
    <w:rsid w:val="00BD7802"/>
    <w:rsid w:val="00BD7C3C"/>
    <w:rsid w:val="00BE06C0"/>
    <w:rsid w:val="00BE0EA7"/>
    <w:rsid w:val="00BE2083"/>
    <w:rsid w:val="00BE24A5"/>
    <w:rsid w:val="00BE2A29"/>
    <w:rsid w:val="00BE35C2"/>
    <w:rsid w:val="00BE43AC"/>
    <w:rsid w:val="00BE510B"/>
    <w:rsid w:val="00BE5907"/>
    <w:rsid w:val="00BE5FB5"/>
    <w:rsid w:val="00BE6359"/>
    <w:rsid w:val="00BE6C83"/>
    <w:rsid w:val="00BE7815"/>
    <w:rsid w:val="00BE7BA1"/>
    <w:rsid w:val="00BF19E3"/>
    <w:rsid w:val="00BF1BDB"/>
    <w:rsid w:val="00BF2576"/>
    <w:rsid w:val="00BF27A9"/>
    <w:rsid w:val="00BF361E"/>
    <w:rsid w:val="00BF374F"/>
    <w:rsid w:val="00BF43AD"/>
    <w:rsid w:val="00BF5568"/>
    <w:rsid w:val="00BF56DD"/>
    <w:rsid w:val="00BF5BC4"/>
    <w:rsid w:val="00BF71CC"/>
    <w:rsid w:val="00BF7269"/>
    <w:rsid w:val="00C0114C"/>
    <w:rsid w:val="00C01692"/>
    <w:rsid w:val="00C017EC"/>
    <w:rsid w:val="00C0274D"/>
    <w:rsid w:val="00C02F2B"/>
    <w:rsid w:val="00C0327E"/>
    <w:rsid w:val="00C032C7"/>
    <w:rsid w:val="00C04DF7"/>
    <w:rsid w:val="00C06746"/>
    <w:rsid w:val="00C0689C"/>
    <w:rsid w:val="00C07DE0"/>
    <w:rsid w:val="00C10132"/>
    <w:rsid w:val="00C11176"/>
    <w:rsid w:val="00C12860"/>
    <w:rsid w:val="00C12ED0"/>
    <w:rsid w:val="00C1385A"/>
    <w:rsid w:val="00C13FF3"/>
    <w:rsid w:val="00C14F74"/>
    <w:rsid w:val="00C16F16"/>
    <w:rsid w:val="00C175C1"/>
    <w:rsid w:val="00C17A00"/>
    <w:rsid w:val="00C17D24"/>
    <w:rsid w:val="00C17E0C"/>
    <w:rsid w:val="00C20B83"/>
    <w:rsid w:val="00C21FD6"/>
    <w:rsid w:val="00C225E4"/>
    <w:rsid w:val="00C23F96"/>
    <w:rsid w:val="00C2444B"/>
    <w:rsid w:val="00C251AC"/>
    <w:rsid w:val="00C25A1B"/>
    <w:rsid w:val="00C25B74"/>
    <w:rsid w:val="00C272D2"/>
    <w:rsid w:val="00C27338"/>
    <w:rsid w:val="00C319A6"/>
    <w:rsid w:val="00C319AD"/>
    <w:rsid w:val="00C31B55"/>
    <w:rsid w:val="00C31DE3"/>
    <w:rsid w:val="00C324E4"/>
    <w:rsid w:val="00C3301C"/>
    <w:rsid w:val="00C343E4"/>
    <w:rsid w:val="00C34661"/>
    <w:rsid w:val="00C34CCF"/>
    <w:rsid w:val="00C34F3B"/>
    <w:rsid w:val="00C3659C"/>
    <w:rsid w:val="00C36E43"/>
    <w:rsid w:val="00C37592"/>
    <w:rsid w:val="00C37E99"/>
    <w:rsid w:val="00C402BE"/>
    <w:rsid w:val="00C4042B"/>
    <w:rsid w:val="00C40ADA"/>
    <w:rsid w:val="00C41E5B"/>
    <w:rsid w:val="00C423BB"/>
    <w:rsid w:val="00C42590"/>
    <w:rsid w:val="00C42F85"/>
    <w:rsid w:val="00C43821"/>
    <w:rsid w:val="00C45C66"/>
    <w:rsid w:val="00C468D8"/>
    <w:rsid w:val="00C47808"/>
    <w:rsid w:val="00C47ED1"/>
    <w:rsid w:val="00C51A7C"/>
    <w:rsid w:val="00C52E69"/>
    <w:rsid w:val="00C52F3C"/>
    <w:rsid w:val="00C53430"/>
    <w:rsid w:val="00C5438D"/>
    <w:rsid w:val="00C54522"/>
    <w:rsid w:val="00C54F69"/>
    <w:rsid w:val="00C5518F"/>
    <w:rsid w:val="00C57228"/>
    <w:rsid w:val="00C5752B"/>
    <w:rsid w:val="00C60714"/>
    <w:rsid w:val="00C60C93"/>
    <w:rsid w:val="00C60DE0"/>
    <w:rsid w:val="00C61596"/>
    <w:rsid w:val="00C61AAA"/>
    <w:rsid w:val="00C63034"/>
    <w:rsid w:val="00C64866"/>
    <w:rsid w:val="00C64FB7"/>
    <w:rsid w:val="00C65253"/>
    <w:rsid w:val="00C653F9"/>
    <w:rsid w:val="00C65844"/>
    <w:rsid w:val="00C65F30"/>
    <w:rsid w:val="00C665E8"/>
    <w:rsid w:val="00C66717"/>
    <w:rsid w:val="00C67186"/>
    <w:rsid w:val="00C7071A"/>
    <w:rsid w:val="00C70A21"/>
    <w:rsid w:val="00C71B57"/>
    <w:rsid w:val="00C72102"/>
    <w:rsid w:val="00C729EE"/>
    <w:rsid w:val="00C7376C"/>
    <w:rsid w:val="00C73E84"/>
    <w:rsid w:val="00C741B1"/>
    <w:rsid w:val="00C747A6"/>
    <w:rsid w:val="00C76831"/>
    <w:rsid w:val="00C77638"/>
    <w:rsid w:val="00C80AA0"/>
    <w:rsid w:val="00C8175D"/>
    <w:rsid w:val="00C829C0"/>
    <w:rsid w:val="00C82D9C"/>
    <w:rsid w:val="00C84419"/>
    <w:rsid w:val="00C849D2"/>
    <w:rsid w:val="00C84F16"/>
    <w:rsid w:val="00C86608"/>
    <w:rsid w:val="00C9052D"/>
    <w:rsid w:val="00C90636"/>
    <w:rsid w:val="00C9090B"/>
    <w:rsid w:val="00C90936"/>
    <w:rsid w:val="00C921DF"/>
    <w:rsid w:val="00C9332B"/>
    <w:rsid w:val="00C9425F"/>
    <w:rsid w:val="00C9474E"/>
    <w:rsid w:val="00C953A8"/>
    <w:rsid w:val="00C95B86"/>
    <w:rsid w:val="00C95D9D"/>
    <w:rsid w:val="00C95EA7"/>
    <w:rsid w:val="00C9759D"/>
    <w:rsid w:val="00CA2179"/>
    <w:rsid w:val="00CA21D4"/>
    <w:rsid w:val="00CA2BD1"/>
    <w:rsid w:val="00CA35C4"/>
    <w:rsid w:val="00CA391C"/>
    <w:rsid w:val="00CA3D13"/>
    <w:rsid w:val="00CA407F"/>
    <w:rsid w:val="00CA43DA"/>
    <w:rsid w:val="00CA535F"/>
    <w:rsid w:val="00CA59F9"/>
    <w:rsid w:val="00CA66A7"/>
    <w:rsid w:val="00CA6EF2"/>
    <w:rsid w:val="00CB1AD6"/>
    <w:rsid w:val="00CB2A11"/>
    <w:rsid w:val="00CB45F0"/>
    <w:rsid w:val="00CB5143"/>
    <w:rsid w:val="00CB65C4"/>
    <w:rsid w:val="00CB6C07"/>
    <w:rsid w:val="00CB6E6E"/>
    <w:rsid w:val="00CB7955"/>
    <w:rsid w:val="00CC0055"/>
    <w:rsid w:val="00CC02F0"/>
    <w:rsid w:val="00CC0BB8"/>
    <w:rsid w:val="00CC11B2"/>
    <w:rsid w:val="00CC12CA"/>
    <w:rsid w:val="00CC1357"/>
    <w:rsid w:val="00CC2711"/>
    <w:rsid w:val="00CC328E"/>
    <w:rsid w:val="00CC3C95"/>
    <w:rsid w:val="00CC4091"/>
    <w:rsid w:val="00CC574E"/>
    <w:rsid w:val="00CC5BE2"/>
    <w:rsid w:val="00CC61BE"/>
    <w:rsid w:val="00CC679F"/>
    <w:rsid w:val="00CC6B43"/>
    <w:rsid w:val="00CC6E14"/>
    <w:rsid w:val="00CC733A"/>
    <w:rsid w:val="00CC753C"/>
    <w:rsid w:val="00CC7851"/>
    <w:rsid w:val="00CD000C"/>
    <w:rsid w:val="00CD0DB8"/>
    <w:rsid w:val="00CD14F3"/>
    <w:rsid w:val="00CD1F17"/>
    <w:rsid w:val="00CD2AD3"/>
    <w:rsid w:val="00CD3041"/>
    <w:rsid w:val="00CD33E7"/>
    <w:rsid w:val="00CD3890"/>
    <w:rsid w:val="00CD4C28"/>
    <w:rsid w:val="00CD4C8D"/>
    <w:rsid w:val="00CD7178"/>
    <w:rsid w:val="00CD7402"/>
    <w:rsid w:val="00CE0446"/>
    <w:rsid w:val="00CE1204"/>
    <w:rsid w:val="00CE13C6"/>
    <w:rsid w:val="00CE270A"/>
    <w:rsid w:val="00CE3745"/>
    <w:rsid w:val="00CE4EF7"/>
    <w:rsid w:val="00CE5AF7"/>
    <w:rsid w:val="00CE5CD5"/>
    <w:rsid w:val="00CE5E12"/>
    <w:rsid w:val="00CE6EA8"/>
    <w:rsid w:val="00CE7B8E"/>
    <w:rsid w:val="00CE7EF9"/>
    <w:rsid w:val="00CF04FB"/>
    <w:rsid w:val="00CF108A"/>
    <w:rsid w:val="00CF13D9"/>
    <w:rsid w:val="00CF189E"/>
    <w:rsid w:val="00CF3203"/>
    <w:rsid w:val="00CF3BB1"/>
    <w:rsid w:val="00CF41C0"/>
    <w:rsid w:val="00CF4BE1"/>
    <w:rsid w:val="00CF4E9C"/>
    <w:rsid w:val="00CF530F"/>
    <w:rsid w:val="00CF5852"/>
    <w:rsid w:val="00CF5CED"/>
    <w:rsid w:val="00CF6869"/>
    <w:rsid w:val="00CF6E44"/>
    <w:rsid w:val="00D0027B"/>
    <w:rsid w:val="00D009EE"/>
    <w:rsid w:val="00D00F13"/>
    <w:rsid w:val="00D01BB7"/>
    <w:rsid w:val="00D0250C"/>
    <w:rsid w:val="00D025CE"/>
    <w:rsid w:val="00D032CC"/>
    <w:rsid w:val="00D04659"/>
    <w:rsid w:val="00D04ECC"/>
    <w:rsid w:val="00D053AB"/>
    <w:rsid w:val="00D05DB9"/>
    <w:rsid w:val="00D061D1"/>
    <w:rsid w:val="00D07261"/>
    <w:rsid w:val="00D10A37"/>
    <w:rsid w:val="00D11609"/>
    <w:rsid w:val="00D14564"/>
    <w:rsid w:val="00D16114"/>
    <w:rsid w:val="00D16B0C"/>
    <w:rsid w:val="00D171B5"/>
    <w:rsid w:val="00D17E41"/>
    <w:rsid w:val="00D209DE"/>
    <w:rsid w:val="00D21A5D"/>
    <w:rsid w:val="00D21D77"/>
    <w:rsid w:val="00D222F1"/>
    <w:rsid w:val="00D232DD"/>
    <w:rsid w:val="00D2360A"/>
    <w:rsid w:val="00D25AFF"/>
    <w:rsid w:val="00D25CE6"/>
    <w:rsid w:val="00D26B61"/>
    <w:rsid w:val="00D26FF9"/>
    <w:rsid w:val="00D302DB"/>
    <w:rsid w:val="00D33B9A"/>
    <w:rsid w:val="00D351A3"/>
    <w:rsid w:val="00D357FD"/>
    <w:rsid w:val="00D36E86"/>
    <w:rsid w:val="00D3728D"/>
    <w:rsid w:val="00D40D36"/>
    <w:rsid w:val="00D41825"/>
    <w:rsid w:val="00D44544"/>
    <w:rsid w:val="00D44638"/>
    <w:rsid w:val="00D446EF"/>
    <w:rsid w:val="00D448EF"/>
    <w:rsid w:val="00D461A7"/>
    <w:rsid w:val="00D505D8"/>
    <w:rsid w:val="00D516F3"/>
    <w:rsid w:val="00D520A3"/>
    <w:rsid w:val="00D5242F"/>
    <w:rsid w:val="00D52C8D"/>
    <w:rsid w:val="00D53566"/>
    <w:rsid w:val="00D5381D"/>
    <w:rsid w:val="00D5530C"/>
    <w:rsid w:val="00D55846"/>
    <w:rsid w:val="00D5594D"/>
    <w:rsid w:val="00D55DC9"/>
    <w:rsid w:val="00D5741E"/>
    <w:rsid w:val="00D60838"/>
    <w:rsid w:val="00D60CDC"/>
    <w:rsid w:val="00D64187"/>
    <w:rsid w:val="00D64581"/>
    <w:rsid w:val="00D64C28"/>
    <w:rsid w:val="00D653A6"/>
    <w:rsid w:val="00D65625"/>
    <w:rsid w:val="00D66310"/>
    <w:rsid w:val="00D663F3"/>
    <w:rsid w:val="00D67195"/>
    <w:rsid w:val="00D67D81"/>
    <w:rsid w:val="00D701DE"/>
    <w:rsid w:val="00D70CF2"/>
    <w:rsid w:val="00D70EAF"/>
    <w:rsid w:val="00D7173C"/>
    <w:rsid w:val="00D71989"/>
    <w:rsid w:val="00D71E53"/>
    <w:rsid w:val="00D7232A"/>
    <w:rsid w:val="00D724DA"/>
    <w:rsid w:val="00D73526"/>
    <w:rsid w:val="00D74375"/>
    <w:rsid w:val="00D74421"/>
    <w:rsid w:val="00D7452A"/>
    <w:rsid w:val="00D74950"/>
    <w:rsid w:val="00D74A7B"/>
    <w:rsid w:val="00D74E01"/>
    <w:rsid w:val="00D74EC6"/>
    <w:rsid w:val="00D76580"/>
    <w:rsid w:val="00D766E5"/>
    <w:rsid w:val="00D76E8A"/>
    <w:rsid w:val="00D7737C"/>
    <w:rsid w:val="00D7758E"/>
    <w:rsid w:val="00D80B78"/>
    <w:rsid w:val="00D832AC"/>
    <w:rsid w:val="00D83507"/>
    <w:rsid w:val="00D8357B"/>
    <w:rsid w:val="00D83AD2"/>
    <w:rsid w:val="00D84867"/>
    <w:rsid w:val="00D8564A"/>
    <w:rsid w:val="00D865D3"/>
    <w:rsid w:val="00D87A96"/>
    <w:rsid w:val="00D9095C"/>
    <w:rsid w:val="00D90B50"/>
    <w:rsid w:val="00D933D2"/>
    <w:rsid w:val="00D934FB"/>
    <w:rsid w:val="00D94046"/>
    <w:rsid w:val="00D94765"/>
    <w:rsid w:val="00D94DE5"/>
    <w:rsid w:val="00D953A4"/>
    <w:rsid w:val="00D95D70"/>
    <w:rsid w:val="00D977ED"/>
    <w:rsid w:val="00DA0C65"/>
    <w:rsid w:val="00DA23CC"/>
    <w:rsid w:val="00DA47B1"/>
    <w:rsid w:val="00DA4DDF"/>
    <w:rsid w:val="00DA54E7"/>
    <w:rsid w:val="00DA5715"/>
    <w:rsid w:val="00DA7436"/>
    <w:rsid w:val="00DB10B0"/>
    <w:rsid w:val="00DB11FE"/>
    <w:rsid w:val="00DB13A9"/>
    <w:rsid w:val="00DB1533"/>
    <w:rsid w:val="00DB18FC"/>
    <w:rsid w:val="00DB1BEB"/>
    <w:rsid w:val="00DB30B0"/>
    <w:rsid w:val="00DB4541"/>
    <w:rsid w:val="00DB53C9"/>
    <w:rsid w:val="00DB7108"/>
    <w:rsid w:val="00DC0282"/>
    <w:rsid w:val="00DC138B"/>
    <w:rsid w:val="00DC2CE7"/>
    <w:rsid w:val="00DC2D7E"/>
    <w:rsid w:val="00DC2D8E"/>
    <w:rsid w:val="00DC3152"/>
    <w:rsid w:val="00DC32BF"/>
    <w:rsid w:val="00DC422E"/>
    <w:rsid w:val="00DC61E6"/>
    <w:rsid w:val="00DC6B72"/>
    <w:rsid w:val="00DC6CB1"/>
    <w:rsid w:val="00DC7A11"/>
    <w:rsid w:val="00DC7E4F"/>
    <w:rsid w:val="00DD2119"/>
    <w:rsid w:val="00DD31FF"/>
    <w:rsid w:val="00DD3981"/>
    <w:rsid w:val="00DD3A6C"/>
    <w:rsid w:val="00DD488D"/>
    <w:rsid w:val="00DD4C6C"/>
    <w:rsid w:val="00DD4C6F"/>
    <w:rsid w:val="00DD6388"/>
    <w:rsid w:val="00DD6397"/>
    <w:rsid w:val="00DD65AD"/>
    <w:rsid w:val="00DD6AEC"/>
    <w:rsid w:val="00DD7475"/>
    <w:rsid w:val="00DD7812"/>
    <w:rsid w:val="00DE0166"/>
    <w:rsid w:val="00DE13F5"/>
    <w:rsid w:val="00DE2483"/>
    <w:rsid w:val="00DE2B64"/>
    <w:rsid w:val="00DF0360"/>
    <w:rsid w:val="00DF0592"/>
    <w:rsid w:val="00DF0E35"/>
    <w:rsid w:val="00DF2073"/>
    <w:rsid w:val="00DF234A"/>
    <w:rsid w:val="00DF2BD0"/>
    <w:rsid w:val="00DF34ED"/>
    <w:rsid w:val="00DF3DC4"/>
    <w:rsid w:val="00DF42EC"/>
    <w:rsid w:val="00DF4366"/>
    <w:rsid w:val="00DF5AB2"/>
    <w:rsid w:val="00DF5C62"/>
    <w:rsid w:val="00DF607A"/>
    <w:rsid w:val="00E00F71"/>
    <w:rsid w:val="00E0168E"/>
    <w:rsid w:val="00E0273C"/>
    <w:rsid w:val="00E02EA2"/>
    <w:rsid w:val="00E03AF1"/>
    <w:rsid w:val="00E06064"/>
    <w:rsid w:val="00E10432"/>
    <w:rsid w:val="00E10458"/>
    <w:rsid w:val="00E117FA"/>
    <w:rsid w:val="00E121D6"/>
    <w:rsid w:val="00E126BD"/>
    <w:rsid w:val="00E12FC5"/>
    <w:rsid w:val="00E1398F"/>
    <w:rsid w:val="00E16BD0"/>
    <w:rsid w:val="00E16C01"/>
    <w:rsid w:val="00E175F2"/>
    <w:rsid w:val="00E17A27"/>
    <w:rsid w:val="00E203AB"/>
    <w:rsid w:val="00E2086C"/>
    <w:rsid w:val="00E22767"/>
    <w:rsid w:val="00E24147"/>
    <w:rsid w:val="00E24EAD"/>
    <w:rsid w:val="00E2579C"/>
    <w:rsid w:val="00E266E0"/>
    <w:rsid w:val="00E26CDE"/>
    <w:rsid w:val="00E26FDF"/>
    <w:rsid w:val="00E277CC"/>
    <w:rsid w:val="00E301D8"/>
    <w:rsid w:val="00E302BF"/>
    <w:rsid w:val="00E30F76"/>
    <w:rsid w:val="00E31035"/>
    <w:rsid w:val="00E32543"/>
    <w:rsid w:val="00E32613"/>
    <w:rsid w:val="00E332EE"/>
    <w:rsid w:val="00E3390D"/>
    <w:rsid w:val="00E34250"/>
    <w:rsid w:val="00E369E6"/>
    <w:rsid w:val="00E3736B"/>
    <w:rsid w:val="00E37BCF"/>
    <w:rsid w:val="00E4007F"/>
    <w:rsid w:val="00E40330"/>
    <w:rsid w:val="00E4050B"/>
    <w:rsid w:val="00E429C2"/>
    <w:rsid w:val="00E440C2"/>
    <w:rsid w:val="00E444EC"/>
    <w:rsid w:val="00E44800"/>
    <w:rsid w:val="00E44EF2"/>
    <w:rsid w:val="00E461B2"/>
    <w:rsid w:val="00E46A63"/>
    <w:rsid w:val="00E46C8A"/>
    <w:rsid w:val="00E4746D"/>
    <w:rsid w:val="00E47868"/>
    <w:rsid w:val="00E47C82"/>
    <w:rsid w:val="00E47FCA"/>
    <w:rsid w:val="00E51249"/>
    <w:rsid w:val="00E5403D"/>
    <w:rsid w:val="00E5429B"/>
    <w:rsid w:val="00E542A1"/>
    <w:rsid w:val="00E5561E"/>
    <w:rsid w:val="00E56560"/>
    <w:rsid w:val="00E57068"/>
    <w:rsid w:val="00E571BD"/>
    <w:rsid w:val="00E601EE"/>
    <w:rsid w:val="00E602C4"/>
    <w:rsid w:val="00E6089D"/>
    <w:rsid w:val="00E60952"/>
    <w:rsid w:val="00E60A03"/>
    <w:rsid w:val="00E61132"/>
    <w:rsid w:val="00E6116D"/>
    <w:rsid w:val="00E61A7D"/>
    <w:rsid w:val="00E61F46"/>
    <w:rsid w:val="00E630B6"/>
    <w:rsid w:val="00E63654"/>
    <w:rsid w:val="00E63720"/>
    <w:rsid w:val="00E63D90"/>
    <w:rsid w:val="00E646AF"/>
    <w:rsid w:val="00E64734"/>
    <w:rsid w:val="00E653BB"/>
    <w:rsid w:val="00E65A1C"/>
    <w:rsid w:val="00E65C4E"/>
    <w:rsid w:val="00E66392"/>
    <w:rsid w:val="00E71BD2"/>
    <w:rsid w:val="00E73B4F"/>
    <w:rsid w:val="00E73DFD"/>
    <w:rsid w:val="00E74750"/>
    <w:rsid w:val="00E757B7"/>
    <w:rsid w:val="00E75B5F"/>
    <w:rsid w:val="00E77568"/>
    <w:rsid w:val="00E77645"/>
    <w:rsid w:val="00E77793"/>
    <w:rsid w:val="00E80863"/>
    <w:rsid w:val="00E80AEE"/>
    <w:rsid w:val="00E80E70"/>
    <w:rsid w:val="00E8181B"/>
    <w:rsid w:val="00E81CC2"/>
    <w:rsid w:val="00E827BA"/>
    <w:rsid w:val="00E82AD9"/>
    <w:rsid w:val="00E82B0C"/>
    <w:rsid w:val="00E82E00"/>
    <w:rsid w:val="00E83169"/>
    <w:rsid w:val="00E83434"/>
    <w:rsid w:val="00E845B5"/>
    <w:rsid w:val="00E850B6"/>
    <w:rsid w:val="00E851DF"/>
    <w:rsid w:val="00E8541A"/>
    <w:rsid w:val="00E85707"/>
    <w:rsid w:val="00E8604B"/>
    <w:rsid w:val="00E866B1"/>
    <w:rsid w:val="00E86742"/>
    <w:rsid w:val="00E869EC"/>
    <w:rsid w:val="00E86B18"/>
    <w:rsid w:val="00E86B58"/>
    <w:rsid w:val="00E86D5B"/>
    <w:rsid w:val="00E86FFE"/>
    <w:rsid w:val="00E87507"/>
    <w:rsid w:val="00E87E50"/>
    <w:rsid w:val="00E9073F"/>
    <w:rsid w:val="00E90A1E"/>
    <w:rsid w:val="00E915C3"/>
    <w:rsid w:val="00E918F9"/>
    <w:rsid w:val="00E919F4"/>
    <w:rsid w:val="00E91CDF"/>
    <w:rsid w:val="00E95D17"/>
    <w:rsid w:val="00E96064"/>
    <w:rsid w:val="00E965FD"/>
    <w:rsid w:val="00E9666B"/>
    <w:rsid w:val="00E96AC3"/>
    <w:rsid w:val="00E97EDA"/>
    <w:rsid w:val="00EA0202"/>
    <w:rsid w:val="00EA0469"/>
    <w:rsid w:val="00EA0611"/>
    <w:rsid w:val="00EA0981"/>
    <w:rsid w:val="00EA2447"/>
    <w:rsid w:val="00EA27B0"/>
    <w:rsid w:val="00EA3D03"/>
    <w:rsid w:val="00EA476C"/>
    <w:rsid w:val="00EA4E52"/>
    <w:rsid w:val="00EA510A"/>
    <w:rsid w:val="00EA5AA8"/>
    <w:rsid w:val="00EA6392"/>
    <w:rsid w:val="00EA6BDF"/>
    <w:rsid w:val="00EA6E93"/>
    <w:rsid w:val="00EA7A50"/>
    <w:rsid w:val="00EA7D48"/>
    <w:rsid w:val="00EB00BD"/>
    <w:rsid w:val="00EB0682"/>
    <w:rsid w:val="00EB091E"/>
    <w:rsid w:val="00EB1A06"/>
    <w:rsid w:val="00EB1BAF"/>
    <w:rsid w:val="00EB1E7C"/>
    <w:rsid w:val="00EB2452"/>
    <w:rsid w:val="00EB39E2"/>
    <w:rsid w:val="00EB4269"/>
    <w:rsid w:val="00EB479A"/>
    <w:rsid w:val="00EB47A3"/>
    <w:rsid w:val="00EB487C"/>
    <w:rsid w:val="00EB68E0"/>
    <w:rsid w:val="00EB71DE"/>
    <w:rsid w:val="00EC088A"/>
    <w:rsid w:val="00EC0B96"/>
    <w:rsid w:val="00EC1345"/>
    <w:rsid w:val="00EC21B4"/>
    <w:rsid w:val="00EC2B8D"/>
    <w:rsid w:val="00EC3962"/>
    <w:rsid w:val="00EC3C45"/>
    <w:rsid w:val="00EC3D05"/>
    <w:rsid w:val="00EC3DD2"/>
    <w:rsid w:val="00EC4138"/>
    <w:rsid w:val="00EC431C"/>
    <w:rsid w:val="00EC4880"/>
    <w:rsid w:val="00EC4E4D"/>
    <w:rsid w:val="00EC5240"/>
    <w:rsid w:val="00EC55FB"/>
    <w:rsid w:val="00EC6170"/>
    <w:rsid w:val="00EC6389"/>
    <w:rsid w:val="00EC6556"/>
    <w:rsid w:val="00EC7B34"/>
    <w:rsid w:val="00EC7DE2"/>
    <w:rsid w:val="00ED0578"/>
    <w:rsid w:val="00ED19BE"/>
    <w:rsid w:val="00ED201C"/>
    <w:rsid w:val="00ED2E14"/>
    <w:rsid w:val="00ED38CC"/>
    <w:rsid w:val="00ED3A47"/>
    <w:rsid w:val="00ED3E6B"/>
    <w:rsid w:val="00ED4BE1"/>
    <w:rsid w:val="00ED582F"/>
    <w:rsid w:val="00ED5FC9"/>
    <w:rsid w:val="00ED6CA7"/>
    <w:rsid w:val="00ED7AC7"/>
    <w:rsid w:val="00EE0017"/>
    <w:rsid w:val="00EE09FC"/>
    <w:rsid w:val="00EE16B8"/>
    <w:rsid w:val="00EE20FB"/>
    <w:rsid w:val="00EE2F53"/>
    <w:rsid w:val="00EE537D"/>
    <w:rsid w:val="00EE62C6"/>
    <w:rsid w:val="00EE707F"/>
    <w:rsid w:val="00EE74DE"/>
    <w:rsid w:val="00EE7CB9"/>
    <w:rsid w:val="00EF0219"/>
    <w:rsid w:val="00EF0324"/>
    <w:rsid w:val="00EF090B"/>
    <w:rsid w:val="00EF1772"/>
    <w:rsid w:val="00EF265D"/>
    <w:rsid w:val="00EF297D"/>
    <w:rsid w:val="00EF3F6D"/>
    <w:rsid w:val="00EF40B6"/>
    <w:rsid w:val="00EF4B3B"/>
    <w:rsid w:val="00EF53A8"/>
    <w:rsid w:val="00EF5AB2"/>
    <w:rsid w:val="00EF5E39"/>
    <w:rsid w:val="00EF5E77"/>
    <w:rsid w:val="00EF5F30"/>
    <w:rsid w:val="00EF6209"/>
    <w:rsid w:val="00EF698A"/>
    <w:rsid w:val="00EF7917"/>
    <w:rsid w:val="00EF7DA0"/>
    <w:rsid w:val="00F0068D"/>
    <w:rsid w:val="00F00817"/>
    <w:rsid w:val="00F00F6E"/>
    <w:rsid w:val="00F00FAA"/>
    <w:rsid w:val="00F02344"/>
    <w:rsid w:val="00F03DDC"/>
    <w:rsid w:val="00F0445E"/>
    <w:rsid w:val="00F0497F"/>
    <w:rsid w:val="00F04ED6"/>
    <w:rsid w:val="00F05933"/>
    <w:rsid w:val="00F05D91"/>
    <w:rsid w:val="00F05DA5"/>
    <w:rsid w:val="00F06CF0"/>
    <w:rsid w:val="00F07710"/>
    <w:rsid w:val="00F07B10"/>
    <w:rsid w:val="00F10124"/>
    <w:rsid w:val="00F1334B"/>
    <w:rsid w:val="00F14F80"/>
    <w:rsid w:val="00F1543D"/>
    <w:rsid w:val="00F155AE"/>
    <w:rsid w:val="00F159D6"/>
    <w:rsid w:val="00F15D21"/>
    <w:rsid w:val="00F16FFA"/>
    <w:rsid w:val="00F171FD"/>
    <w:rsid w:val="00F1748B"/>
    <w:rsid w:val="00F17942"/>
    <w:rsid w:val="00F20592"/>
    <w:rsid w:val="00F2325B"/>
    <w:rsid w:val="00F24AEA"/>
    <w:rsid w:val="00F25CBB"/>
    <w:rsid w:val="00F27762"/>
    <w:rsid w:val="00F27E9B"/>
    <w:rsid w:val="00F30901"/>
    <w:rsid w:val="00F30D74"/>
    <w:rsid w:val="00F31BFF"/>
    <w:rsid w:val="00F3346B"/>
    <w:rsid w:val="00F33C30"/>
    <w:rsid w:val="00F35105"/>
    <w:rsid w:val="00F35721"/>
    <w:rsid w:val="00F35ACB"/>
    <w:rsid w:val="00F35ACD"/>
    <w:rsid w:val="00F3760B"/>
    <w:rsid w:val="00F37AC9"/>
    <w:rsid w:val="00F40545"/>
    <w:rsid w:val="00F41987"/>
    <w:rsid w:val="00F41BFD"/>
    <w:rsid w:val="00F42151"/>
    <w:rsid w:val="00F4295F"/>
    <w:rsid w:val="00F42E56"/>
    <w:rsid w:val="00F43C4A"/>
    <w:rsid w:val="00F43F37"/>
    <w:rsid w:val="00F44EC9"/>
    <w:rsid w:val="00F455CA"/>
    <w:rsid w:val="00F45639"/>
    <w:rsid w:val="00F4581B"/>
    <w:rsid w:val="00F45ACB"/>
    <w:rsid w:val="00F46D66"/>
    <w:rsid w:val="00F470B0"/>
    <w:rsid w:val="00F50BC8"/>
    <w:rsid w:val="00F51008"/>
    <w:rsid w:val="00F5138B"/>
    <w:rsid w:val="00F514DD"/>
    <w:rsid w:val="00F515DB"/>
    <w:rsid w:val="00F53895"/>
    <w:rsid w:val="00F53BAB"/>
    <w:rsid w:val="00F55DB9"/>
    <w:rsid w:val="00F55F86"/>
    <w:rsid w:val="00F55FE1"/>
    <w:rsid w:val="00F571D8"/>
    <w:rsid w:val="00F61E77"/>
    <w:rsid w:val="00F63533"/>
    <w:rsid w:val="00F637C6"/>
    <w:rsid w:val="00F63BD2"/>
    <w:rsid w:val="00F64189"/>
    <w:rsid w:val="00F65A85"/>
    <w:rsid w:val="00F67261"/>
    <w:rsid w:val="00F67362"/>
    <w:rsid w:val="00F70647"/>
    <w:rsid w:val="00F709C8"/>
    <w:rsid w:val="00F70EF1"/>
    <w:rsid w:val="00F71446"/>
    <w:rsid w:val="00F7150E"/>
    <w:rsid w:val="00F73265"/>
    <w:rsid w:val="00F73948"/>
    <w:rsid w:val="00F73FC2"/>
    <w:rsid w:val="00F7423B"/>
    <w:rsid w:val="00F751D4"/>
    <w:rsid w:val="00F751E3"/>
    <w:rsid w:val="00F75EE6"/>
    <w:rsid w:val="00F7645D"/>
    <w:rsid w:val="00F76B1F"/>
    <w:rsid w:val="00F76B37"/>
    <w:rsid w:val="00F77140"/>
    <w:rsid w:val="00F77E14"/>
    <w:rsid w:val="00F80300"/>
    <w:rsid w:val="00F81359"/>
    <w:rsid w:val="00F815C3"/>
    <w:rsid w:val="00F81689"/>
    <w:rsid w:val="00F81ED4"/>
    <w:rsid w:val="00F831A0"/>
    <w:rsid w:val="00F83E19"/>
    <w:rsid w:val="00F86222"/>
    <w:rsid w:val="00F86E25"/>
    <w:rsid w:val="00F87002"/>
    <w:rsid w:val="00F871AB"/>
    <w:rsid w:val="00F87638"/>
    <w:rsid w:val="00F87D2F"/>
    <w:rsid w:val="00F9040E"/>
    <w:rsid w:val="00F911EC"/>
    <w:rsid w:val="00F91CB6"/>
    <w:rsid w:val="00F941BA"/>
    <w:rsid w:val="00F94DB4"/>
    <w:rsid w:val="00F94DDD"/>
    <w:rsid w:val="00F9677D"/>
    <w:rsid w:val="00F96AFF"/>
    <w:rsid w:val="00F96B29"/>
    <w:rsid w:val="00F97799"/>
    <w:rsid w:val="00F97F58"/>
    <w:rsid w:val="00FA10CA"/>
    <w:rsid w:val="00FA228B"/>
    <w:rsid w:val="00FA28C4"/>
    <w:rsid w:val="00FA2D88"/>
    <w:rsid w:val="00FA2F97"/>
    <w:rsid w:val="00FA3624"/>
    <w:rsid w:val="00FA44E6"/>
    <w:rsid w:val="00FA497A"/>
    <w:rsid w:val="00FA4A2B"/>
    <w:rsid w:val="00FA592F"/>
    <w:rsid w:val="00FA645E"/>
    <w:rsid w:val="00FA6B2D"/>
    <w:rsid w:val="00FB1108"/>
    <w:rsid w:val="00FB1846"/>
    <w:rsid w:val="00FB1941"/>
    <w:rsid w:val="00FB1A4F"/>
    <w:rsid w:val="00FB25C2"/>
    <w:rsid w:val="00FB28D0"/>
    <w:rsid w:val="00FB28F5"/>
    <w:rsid w:val="00FB2BC0"/>
    <w:rsid w:val="00FB31A7"/>
    <w:rsid w:val="00FB37E8"/>
    <w:rsid w:val="00FB4E9D"/>
    <w:rsid w:val="00FB5314"/>
    <w:rsid w:val="00FB57E7"/>
    <w:rsid w:val="00FB5A15"/>
    <w:rsid w:val="00FB6DEF"/>
    <w:rsid w:val="00FB7942"/>
    <w:rsid w:val="00FB7C7C"/>
    <w:rsid w:val="00FC3700"/>
    <w:rsid w:val="00FC3B56"/>
    <w:rsid w:val="00FC4189"/>
    <w:rsid w:val="00FC5015"/>
    <w:rsid w:val="00FC51B6"/>
    <w:rsid w:val="00FC52BC"/>
    <w:rsid w:val="00FC67E0"/>
    <w:rsid w:val="00FC7B2F"/>
    <w:rsid w:val="00FD0E3A"/>
    <w:rsid w:val="00FD3DD1"/>
    <w:rsid w:val="00FD4931"/>
    <w:rsid w:val="00FD558A"/>
    <w:rsid w:val="00FD5C30"/>
    <w:rsid w:val="00FD6B3D"/>
    <w:rsid w:val="00FD6CAA"/>
    <w:rsid w:val="00FD6F4F"/>
    <w:rsid w:val="00FD7E85"/>
    <w:rsid w:val="00FE1A50"/>
    <w:rsid w:val="00FE2184"/>
    <w:rsid w:val="00FE29DB"/>
    <w:rsid w:val="00FE345E"/>
    <w:rsid w:val="00FE3C2D"/>
    <w:rsid w:val="00FE6343"/>
    <w:rsid w:val="00FE64CD"/>
    <w:rsid w:val="00FE682E"/>
    <w:rsid w:val="00FE6B48"/>
    <w:rsid w:val="00FE6D16"/>
    <w:rsid w:val="00FE750E"/>
    <w:rsid w:val="00FF04DA"/>
    <w:rsid w:val="00FF0564"/>
    <w:rsid w:val="00FF081D"/>
    <w:rsid w:val="00FF088B"/>
    <w:rsid w:val="00FF1031"/>
    <w:rsid w:val="00FF1430"/>
    <w:rsid w:val="00FF158A"/>
    <w:rsid w:val="00FF196A"/>
    <w:rsid w:val="00FF2C8B"/>
    <w:rsid w:val="00FF3A29"/>
    <w:rsid w:val="00FF46E5"/>
    <w:rsid w:val="00FF5227"/>
    <w:rsid w:val="00FF5752"/>
    <w:rsid w:val="00FF59AA"/>
    <w:rsid w:val="00FF5C2B"/>
    <w:rsid w:val="00FF61A3"/>
    <w:rsid w:val="00FF6582"/>
    <w:rsid w:val="00FF786D"/>
    <w:rsid w:val="0169F0C8"/>
    <w:rsid w:val="01BA502F"/>
    <w:rsid w:val="0240389F"/>
    <w:rsid w:val="0260F825"/>
    <w:rsid w:val="029BE0B5"/>
    <w:rsid w:val="02BF32B0"/>
    <w:rsid w:val="02F830FF"/>
    <w:rsid w:val="034AC273"/>
    <w:rsid w:val="0364DB36"/>
    <w:rsid w:val="0372274F"/>
    <w:rsid w:val="039B89F3"/>
    <w:rsid w:val="044251C7"/>
    <w:rsid w:val="04D7C6D5"/>
    <w:rsid w:val="0544D83F"/>
    <w:rsid w:val="058FD0EB"/>
    <w:rsid w:val="063811E2"/>
    <w:rsid w:val="0644E615"/>
    <w:rsid w:val="067FC2B7"/>
    <w:rsid w:val="06D76D7D"/>
    <w:rsid w:val="078C5F86"/>
    <w:rsid w:val="07B4BB84"/>
    <w:rsid w:val="0835F15E"/>
    <w:rsid w:val="099B2303"/>
    <w:rsid w:val="09C9B80B"/>
    <w:rsid w:val="0A034450"/>
    <w:rsid w:val="0A6EB4AB"/>
    <w:rsid w:val="0B5BBED6"/>
    <w:rsid w:val="0B738828"/>
    <w:rsid w:val="0B98D4AE"/>
    <w:rsid w:val="0C3DBFF6"/>
    <w:rsid w:val="0CB67F32"/>
    <w:rsid w:val="0D62F954"/>
    <w:rsid w:val="0D882A7F"/>
    <w:rsid w:val="0DCB71EE"/>
    <w:rsid w:val="0E33B96B"/>
    <w:rsid w:val="0E36FBB0"/>
    <w:rsid w:val="0F2C64F2"/>
    <w:rsid w:val="0F9D3A0A"/>
    <w:rsid w:val="10A63D6A"/>
    <w:rsid w:val="11C89794"/>
    <w:rsid w:val="12118670"/>
    <w:rsid w:val="125E048F"/>
    <w:rsid w:val="1281FC29"/>
    <w:rsid w:val="14678D82"/>
    <w:rsid w:val="154AAE97"/>
    <w:rsid w:val="15EAC16D"/>
    <w:rsid w:val="163EAE6F"/>
    <w:rsid w:val="16A250F0"/>
    <w:rsid w:val="16DA5DED"/>
    <w:rsid w:val="16FF4DF8"/>
    <w:rsid w:val="176F3D14"/>
    <w:rsid w:val="178A2924"/>
    <w:rsid w:val="17CEB714"/>
    <w:rsid w:val="184F129F"/>
    <w:rsid w:val="18761EF4"/>
    <w:rsid w:val="18AC8890"/>
    <w:rsid w:val="18BB596E"/>
    <w:rsid w:val="191EB2B3"/>
    <w:rsid w:val="1953FEF5"/>
    <w:rsid w:val="19E30805"/>
    <w:rsid w:val="1ACB84B8"/>
    <w:rsid w:val="1B2AA6C9"/>
    <w:rsid w:val="1B440F6A"/>
    <w:rsid w:val="1C01B9FE"/>
    <w:rsid w:val="1C0A7A5F"/>
    <w:rsid w:val="1C6E4EA3"/>
    <w:rsid w:val="1C8262CC"/>
    <w:rsid w:val="1E7EB67B"/>
    <w:rsid w:val="1EC8B2CA"/>
    <w:rsid w:val="1F6D8B4B"/>
    <w:rsid w:val="203AF4F0"/>
    <w:rsid w:val="21613A64"/>
    <w:rsid w:val="219163CC"/>
    <w:rsid w:val="224879A8"/>
    <w:rsid w:val="22728806"/>
    <w:rsid w:val="2306320F"/>
    <w:rsid w:val="23158C2F"/>
    <w:rsid w:val="247088C3"/>
    <w:rsid w:val="24EA12C8"/>
    <w:rsid w:val="251370F6"/>
    <w:rsid w:val="25273D16"/>
    <w:rsid w:val="267D6A56"/>
    <w:rsid w:val="26DCB5D8"/>
    <w:rsid w:val="278D3F7A"/>
    <w:rsid w:val="27F4C1DF"/>
    <w:rsid w:val="2822B74D"/>
    <w:rsid w:val="28261246"/>
    <w:rsid w:val="2844599C"/>
    <w:rsid w:val="28609174"/>
    <w:rsid w:val="28A4DF4A"/>
    <w:rsid w:val="28DF9D0E"/>
    <w:rsid w:val="29EF6ADB"/>
    <w:rsid w:val="2A25AD7D"/>
    <w:rsid w:val="2A471EEC"/>
    <w:rsid w:val="2A67E6DF"/>
    <w:rsid w:val="2A98064A"/>
    <w:rsid w:val="2B589D14"/>
    <w:rsid w:val="2BCBE24E"/>
    <w:rsid w:val="2C091177"/>
    <w:rsid w:val="2C1CB23D"/>
    <w:rsid w:val="2C4509C3"/>
    <w:rsid w:val="2C6C479F"/>
    <w:rsid w:val="2CAF9038"/>
    <w:rsid w:val="2D1D5993"/>
    <w:rsid w:val="2D3BBF30"/>
    <w:rsid w:val="2DACBF02"/>
    <w:rsid w:val="2DF6E471"/>
    <w:rsid w:val="2FC3283F"/>
    <w:rsid w:val="2FD5238C"/>
    <w:rsid w:val="3013EC60"/>
    <w:rsid w:val="30D3E865"/>
    <w:rsid w:val="318414A0"/>
    <w:rsid w:val="33166013"/>
    <w:rsid w:val="335628A0"/>
    <w:rsid w:val="33CBDBC5"/>
    <w:rsid w:val="34078A0A"/>
    <w:rsid w:val="3446F75D"/>
    <w:rsid w:val="344D9397"/>
    <w:rsid w:val="34B552BB"/>
    <w:rsid w:val="34EC28C1"/>
    <w:rsid w:val="35412B59"/>
    <w:rsid w:val="36AB7F1D"/>
    <w:rsid w:val="36B1B303"/>
    <w:rsid w:val="36D6D6C4"/>
    <w:rsid w:val="3717EFEF"/>
    <w:rsid w:val="374FC2CF"/>
    <w:rsid w:val="390E74D9"/>
    <w:rsid w:val="39221A37"/>
    <w:rsid w:val="396AABAF"/>
    <w:rsid w:val="3A481C48"/>
    <w:rsid w:val="3A94E0CA"/>
    <w:rsid w:val="3AF04B46"/>
    <w:rsid w:val="3B0F2C8B"/>
    <w:rsid w:val="3BDDAB01"/>
    <w:rsid w:val="3C56BD00"/>
    <w:rsid w:val="3C57B1A9"/>
    <w:rsid w:val="3C5A4AF5"/>
    <w:rsid w:val="3CB424E2"/>
    <w:rsid w:val="3CE46149"/>
    <w:rsid w:val="3D7DC9CD"/>
    <w:rsid w:val="3F5021C4"/>
    <w:rsid w:val="402C6421"/>
    <w:rsid w:val="41300B60"/>
    <w:rsid w:val="41F47E19"/>
    <w:rsid w:val="42CA9495"/>
    <w:rsid w:val="4330C1A3"/>
    <w:rsid w:val="437A9A96"/>
    <w:rsid w:val="440958D5"/>
    <w:rsid w:val="4449BF04"/>
    <w:rsid w:val="446291DE"/>
    <w:rsid w:val="44CEAF45"/>
    <w:rsid w:val="45451CD5"/>
    <w:rsid w:val="457F19C8"/>
    <w:rsid w:val="45C736D3"/>
    <w:rsid w:val="45F8291D"/>
    <w:rsid w:val="4877B0C9"/>
    <w:rsid w:val="498EC6A1"/>
    <w:rsid w:val="4A62C963"/>
    <w:rsid w:val="4A6B4528"/>
    <w:rsid w:val="4B01C0E6"/>
    <w:rsid w:val="4B418B7A"/>
    <w:rsid w:val="4B8157F5"/>
    <w:rsid w:val="4B8EF7B2"/>
    <w:rsid w:val="4C1092B1"/>
    <w:rsid w:val="4CA767EC"/>
    <w:rsid w:val="4E0874D2"/>
    <w:rsid w:val="4E36FAC1"/>
    <w:rsid w:val="4E440FE5"/>
    <w:rsid w:val="4E79D703"/>
    <w:rsid w:val="4EEBF768"/>
    <w:rsid w:val="4EF6046A"/>
    <w:rsid w:val="4FE71580"/>
    <w:rsid w:val="5022B7A1"/>
    <w:rsid w:val="50B2FC1B"/>
    <w:rsid w:val="50E8611C"/>
    <w:rsid w:val="5133E578"/>
    <w:rsid w:val="51349E33"/>
    <w:rsid w:val="52DEB908"/>
    <w:rsid w:val="532A924F"/>
    <w:rsid w:val="53BEAFFF"/>
    <w:rsid w:val="53F08BA3"/>
    <w:rsid w:val="542AC687"/>
    <w:rsid w:val="5445F890"/>
    <w:rsid w:val="547C91BF"/>
    <w:rsid w:val="559DAB04"/>
    <w:rsid w:val="55D2B04B"/>
    <w:rsid w:val="561FFB0C"/>
    <w:rsid w:val="566562D3"/>
    <w:rsid w:val="5696BD83"/>
    <w:rsid w:val="56DF6A51"/>
    <w:rsid w:val="574B75AC"/>
    <w:rsid w:val="57C71F48"/>
    <w:rsid w:val="57FA75AC"/>
    <w:rsid w:val="58EACB15"/>
    <w:rsid w:val="591BA29F"/>
    <w:rsid w:val="5ADADF19"/>
    <w:rsid w:val="5B92B696"/>
    <w:rsid w:val="5D2D9A99"/>
    <w:rsid w:val="5DB5BAFF"/>
    <w:rsid w:val="5DC3B09F"/>
    <w:rsid w:val="5DEF23EE"/>
    <w:rsid w:val="5EA0F447"/>
    <w:rsid w:val="5EA28E3A"/>
    <w:rsid w:val="5F472AB5"/>
    <w:rsid w:val="6079DBB9"/>
    <w:rsid w:val="60D718A8"/>
    <w:rsid w:val="611FF7EC"/>
    <w:rsid w:val="615839F1"/>
    <w:rsid w:val="615D4FEF"/>
    <w:rsid w:val="62718D94"/>
    <w:rsid w:val="62AD94ED"/>
    <w:rsid w:val="62DC2823"/>
    <w:rsid w:val="63141EBA"/>
    <w:rsid w:val="63210316"/>
    <w:rsid w:val="64CC7009"/>
    <w:rsid w:val="65199828"/>
    <w:rsid w:val="6577223E"/>
    <w:rsid w:val="65AD90E0"/>
    <w:rsid w:val="660375F5"/>
    <w:rsid w:val="66BDF34D"/>
    <w:rsid w:val="68643F33"/>
    <w:rsid w:val="69EB1901"/>
    <w:rsid w:val="6A46C7F7"/>
    <w:rsid w:val="6A65169A"/>
    <w:rsid w:val="6A90FA32"/>
    <w:rsid w:val="6B62402A"/>
    <w:rsid w:val="6BBDA59F"/>
    <w:rsid w:val="6BDA7631"/>
    <w:rsid w:val="6C05B4CA"/>
    <w:rsid w:val="6C0ADE60"/>
    <w:rsid w:val="6C66EEC8"/>
    <w:rsid w:val="6CC67ED7"/>
    <w:rsid w:val="6CF61583"/>
    <w:rsid w:val="6D73E458"/>
    <w:rsid w:val="6DE92958"/>
    <w:rsid w:val="6E037F51"/>
    <w:rsid w:val="6EFCD3C9"/>
    <w:rsid w:val="6FE4E1D6"/>
    <w:rsid w:val="70746DE5"/>
    <w:rsid w:val="71CE8A15"/>
    <w:rsid w:val="73E56AD4"/>
    <w:rsid w:val="74C7F1AE"/>
    <w:rsid w:val="74D560DD"/>
    <w:rsid w:val="75693A6C"/>
    <w:rsid w:val="75776592"/>
    <w:rsid w:val="75C40DF6"/>
    <w:rsid w:val="764C1DAE"/>
    <w:rsid w:val="77255C70"/>
    <w:rsid w:val="77F5734E"/>
    <w:rsid w:val="78BCED74"/>
    <w:rsid w:val="79A3EC57"/>
    <w:rsid w:val="7A61597E"/>
    <w:rsid w:val="7ADCD0B9"/>
    <w:rsid w:val="7B52A530"/>
    <w:rsid w:val="7BBE2AEE"/>
    <w:rsid w:val="7BD4A6A0"/>
    <w:rsid w:val="7C80EE56"/>
    <w:rsid w:val="7D0FAABD"/>
    <w:rsid w:val="7D236CB7"/>
    <w:rsid w:val="7E5887C1"/>
    <w:rsid w:val="7E7B0BC7"/>
    <w:rsid w:val="7EB257B0"/>
    <w:rsid w:val="7EFF9191"/>
    <w:rsid w:val="7F31B547"/>
    <w:rsid w:val="7F872E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49CF"/>
  <w15:chartTrackingRefBased/>
  <w15:docId w15:val="{976A04F2-CF02-4103-9EB6-9696E6046A1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FootnoteText">
    <w:name w:val="footnote text"/>
    <w:basedOn w:val="Normal"/>
    <w:link w:val="FootnoteTextChar"/>
    <w:uiPriority w:val="99"/>
    <w:semiHidden/>
    <w:unhideWhenUsed/>
    <w:rsid w:val="006407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75C"/>
    <w:rPr>
      <w:sz w:val="20"/>
      <w:szCs w:val="20"/>
    </w:rPr>
  </w:style>
  <w:style w:type="character" w:styleId="FootnoteReference">
    <w:name w:val="footnote reference"/>
    <w:basedOn w:val="DefaultParagraphFont"/>
    <w:uiPriority w:val="99"/>
    <w:semiHidden/>
    <w:unhideWhenUsed/>
    <w:rsid w:val="0064075C"/>
    <w:rPr>
      <w:vertAlign w:val="superscript"/>
    </w:rPr>
  </w:style>
  <w:style w:type="character" w:styleId="PlaceholderText">
    <w:name w:val="Placeholder Text"/>
    <w:basedOn w:val="DefaultParagraphFont"/>
    <w:uiPriority w:val="99"/>
    <w:semiHidden/>
    <w:rsid w:val="00B01D5C"/>
    <w:rPr>
      <w:color w:val="666666"/>
    </w:rPr>
  </w:style>
  <w:style w:type="paragraph" w:styleId="NormalWeb">
    <w:name w:val="Normal (Web)"/>
    <w:basedOn w:val="Normal"/>
    <w:uiPriority w:val="99"/>
    <w:semiHidden/>
    <w:unhideWhenUsed/>
    <w:rsid w:val="00B01D5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FF46E5"/>
    <w:pPr>
      <w:spacing w:after="0" w:line="240" w:lineRule="auto"/>
    </w:pPr>
  </w:style>
  <w:style w:type="paragraph" w:styleId="EndnoteText">
    <w:name w:val="endnote text"/>
    <w:basedOn w:val="Normal"/>
    <w:link w:val="EndnoteTextChar"/>
    <w:uiPriority w:val="99"/>
    <w:semiHidden/>
    <w:unhideWhenUsed/>
    <w:rsid w:val="00084D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DA5"/>
    <w:rPr>
      <w:sz w:val="20"/>
      <w:szCs w:val="20"/>
    </w:rPr>
  </w:style>
  <w:style w:type="character" w:styleId="EndnoteReference">
    <w:name w:val="endnote reference"/>
    <w:basedOn w:val="DefaultParagraphFont"/>
    <w:uiPriority w:val="99"/>
    <w:semiHidden/>
    <w:unhideWhenUsed/>
    <w:rsid w:val="00084DA5"/>
    <w:rPr>
      <w:vertAlign w:val="superscript"/>
    </w:rPr>
  </w:style>
  <w:style w:type="character" w:styleId="Mention">
    <w:name w:val="Mention"/>
    <w:basedOn w:val="DefaultParagraphFont"/>
    <w:uiPriority w:val="99"/>
    <w:unhideWhenUsed/>
    <w:rsid w:val="00BD2673"/>
    <w:rPr>
      <w:color w:val="2B579A"/>
      <w:shd w:val="clear" w:color="auto" w:fill="E1DFDD"/>
    </w:rPr>
  </w:style>
  <w:style w:type="paragraph" w:styleId="BalloonText">
    <w:name w:val="Balloon Text"/>
    <w:basedOn w:val="Normal"/>
    <w:link w:val="BalloonTextChar"/>
    <w:uiPriority w:val="99"/>
    <w:semiHidden/>
    <w:unhideWhenUsed/>
    <w:rsid w:val="004F4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16C"/>
    <w:rPr>
      <w:rFonts w:ascii="Segoe UI" w:hAnsi="Segoe UI" w:cs="Segoe UI"/>
      <w:sz w:val="18"/>
      <w:szCs w:val="18"/>
    </w:rPr>
  </w:style>
  <w:style w:type="paragraph" w:styleId="Bibliography">
    <w:name w:val="Bibliography"/>
    <w:basedOn w:val="Normal"/>
    <w:next w:val="Normal"/>
    <w:uiPriority w:val="37"/>
    <w:semiHidden/>
    <w:unhideWhenUsed/>
    <w:rsid w:val="004F416C"/>
  </w:style>
  <w:style w:type="paragraph" w:styleId="BlockText">
    <w:name w:val="Block Text"/>
    <w:basedOn w:val="Normal"/>
    <w:uiPriority w:val="99"/>
    <w:semiHidden/>
    <w:unhideWhenUsed/>
    <w:rsid w:val="004F416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4F416C"/>
    <w:pPr>
      <w:spacing w:after="120"/>
    </w:pPr>
  </w:style>
  <w:style w:type="character" w:customStyle="1" w:styleId="BodyTextChar">
    <w:name w:val="Body Text Char"/>
    <w:basedOn w:val="DefaultParagraphFont"/>
    <w:link w:val="BodyText"/>
    <w:uiPriority w:val="99"/>
    <w:semiHidden/>
    <w:rsid w:val="004F416C"/>
  </w:style>
  <w:style w:type="paragraph" w:styleId="BodyText2">
    <w:name w:val="Body Text 2"/>
    <w:basedOn w:val="Normal"/>
    <w:link w:val="BodyText2Char"/>
    <w:uiPriority w:val="99"/>
    <w:semiHidden/>
    <w:unhideWhenUsed/>
    <w:rsid w:val="004F416C"/>
    <w:pPr>
      <w:spacing w:after="120" w:line="480" w:lineRule="auto"/>
    </w:pPr>
  </w:style>
  <w:style w:type="character" w:customStyle="1" w:styleId="BodyText2Char">
    <w:name w:val="Body Text 2 Char"/>
    <w:basedOn w:val="DefaultParagraphFont"/>
    <w:link w:val="BodyText2"/>
    <w:uiPriority w:val="99"/>
    <w:semiHidden/>
    <w:rsid w:val="004F416C"/>
  </w:style>
  <w:style w:type="paragraph" w:styleId="BodyText3">
    <w:name w:val="Body Text 3"/>
    <w:basedOn w:val="Normal"/>
    <w:link w:val="BodyText3Char"/>
    <w:uiPriority w:val="99"/>
    <w:semiHidden/>
    <w:unhideWhenUsed/>
    <w:rsid w:val="004F416C"/>
    <w:pPr>
      <w:spacing w:after="120"/>
    </w:pPr>
    <w:rPr>
      <w:sz w:val="16"/>
      <w:szCs w:val="16"/>
    </w:rPr>
  </w:style>
  <w:style w:type="character" w:customStyle="1" w:styleId="BodyText3Char">
    <w:name w:val="Body Text 3 Char"/>
    <w:basedOn w:val="DefaultParagraphFont"/>
    <w:link w:val="BodyText3"/>
    <w:uiPriority w:val="99"/>
    <w:semiHidden/>
    <w:rsid w:val="004F416C"/>
    <w:rPr>
      <w:sz w:val="16"/>
      <w:szCs w:val="16"/>
    </w:rPr>
  </w:style>
  <w:style w:type="paragraph" w:styleId="BodyTextFirstIndent">
    <w:name w:val="Body Text First Indent"/>
    <w:basedOn w:val="BodyText"/>
    <w:link w:val="BodyTextFirstIndentChar"/>
    <w:uiPriority w:val="99"/>
    <w:semiHidden/>
    <w:unhideWhenUsed/>
    <w:rsid w:val="004F416C"/>
    <w:pPr>
      <w:spacing w:after="160"/>
      <w:ind w:firstLine="360"/>
    </w:pPr>
  </w:style>
  <w:style w:type="character" w:customStyle="1" w:styleId="BodyTextFirstIndentChar">
    <w:name w:val="Body Text First Indent Char"/>
    <w:basedOn w:val="BodyTextChar"/>
    <w:link w:val="BodyTextFirstIndent"/>
    <w:uiPriority w:val="99"/>
    <w:semiHidden/>
    <w:rsid w:val="004F416C"/>
  </w:style>
  <w:style w:type="paragraph" w:styleId="BodyTextIndent">
    <w:name w:val="Body Text Indent"/>
    <w:basedOn w:val="Normal"/>
    <w:link w:val="BodyTextIndentChar"/>
    <w:uiPriority w:val="99"/>
    <w:semiHidden/>
    <w:unhideWhenUsed/>
    <w:rsid w:val="004F416C"/>
    <w:pPr>
      <w:spacing w:after="120"/>
      <w:ind w:left="360"/>
    </w:pPr>
  </w:style>
  <w:style w:type="character" w:customStyle="1" w:styleId="BodyTextIndentChar">
    <w:name w:val="Body Text Indent Char"/>
    <w:basedOn w:val="DefaultParagraphFont"/>
    <w:link w:val="BodyTextIndent"/>
    <w:uiPriority w:val="99"/>
    <w:semiHidden/>
    <w:rsid w:val="004F416C"/>
  </w:style>
  <w:style w:type="paragraph" w:styleId="BodyTextFirstIndent2">
    <w:name w:val="Body Text First Indent 2"/>
    <w:basedOn w:val="BodyTextIndent"/>
    <w:link w:val="BodyTextFirstIndent2Char"/>
    <w:uiPriority w:val="99"/>
    <w:semiHidden/>
    <w:unhideWhenUsed/>
    <w:rsid w:val="004F416C"/>
    <w:pPr>
      <w:spacing w:after="160"/>
      <w:ind w:firstLine="360"/>
    </w:pPr>
  </w:style>
  <w:style w:type="character" w:customStyle="1" w:styleId="BodyTextFirstIndent2Char">
    <w:name w:val="Body Text First Indent 2 Char"/>
    <w:basedOn w:val="BodyTextIndentChar"/>
    <w:link w:val="BodyTextFirstIndent2"/>
    <w:uiPriority w:val="99"/>
    <w:semiHidden/>
    <w:rsid w:val="004F416C"/>
  </w:style>
  <w:style w:type="paragraph" w:styleId="BodyTextIndent2">
    <w:name w:val="Body Text Indent 2"/>
    <w:basedOn w:val="Normal"/>
    <w:link w:val="BodyTextIndent2Char"/>
    <w:uiPriority w:val="99"/>
    <w:semiHidden/>
    <w:unhideWhenUsed/>
    <w:rsid w:val="004F416C"/>
    <w:pPr>
      <w:spacing w:after="120" w:line="480" w:lineRule="auto"/>
      <w:ind w:left="360"/>
    </w:pPr>
  </w:style>
  <w:style w:type="character" w:customStyle="1" w:styleId="BodyTextIndent2Char">
    <w:name w:val="Body Text Indent 2 Char"/>
    <w:basedOn w:val="DefaultParagraphFont"/>
    <w:link w:val="BodyTextIndent2"/>
    <w:uiPriority w:val="99"/>
    <w:semiHidden/>
    <w:rsid w:val="004F416C"/>
  </w:style>
  <w:style w:type="paragraph" w:styleId="BodyTextIndent3">
    <w:name w:val="Body Text Indent 3"/>
    <w:basedOn w:val="Normal"/>
    <w:link w:val="BodyTextIndent3Char"/>
    <w:uiPriority w:val="99"/>
    <w:semiHidden/>
    <w:unhideWhenUsed/>
    <w:rsid w:val="004F416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F416C"/>
    <w:rPr>
      <w:sz w:val="16"/>
      <w:szCs w:val="16"/>
    </w:rPr>
  </w:style>
  <w:style w:type="paragraph" w:styleId="Caption">
    <w:name w:val="caption"/>
    <w:basedOn w:val="Normal"/>
    <w:next w:val="Normal"/>
    <w:uiPriority w:val="35"/>
    <w:semiHidden/>
    <w:unhideWhenUsed/>
    <w:qFormat/>
    <w:rsid w:val="004F416C"/>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4F416C"/>
    <w:pPr>
      <w:spacing w:after="0" w:line="240" w:lineRule="auto"/>
      <w:ind w:left="4320"/>
    </w:pPr>
  </w:style>
  <w:style w:type="character" w:customStyle="1" w:styleId="ClosingChar">
    <w:name w:val="Closing Char"/>
    <w:basedOn w:val="DefaultParagraphFont"/>
    <w:link w:val="Closing"/>
    <w:uiPriority w:val="99"/>
    <w:semiHidden/>
    <w:rsid w:val="004F416C"/>
  </w:style>
  <w:style w:type="paragraph" w:styleId="Date">
    <w:name w:val="Date"/>
    <w:basedOn w:val="Normal"/>
    <w:next w:val="Normal"/>
    <w:link w:val="DateChar"/>
    <w:uiPriority w:val="99"/>
    <w:semiHidden/>
    <w:unhideWhenUsed/>
    <w:rsid w:val="004F416C"/>
  </w:style>
  <w:style w:type="character" w:customStyle="1" w:styleId="DateChar">
    <w:name w:val="Date Char"/>
    <w:basedOn w:val="DefaultParagraphFont"/>
    <w:link w:val="Date"/>
    <w:uiPriority w:val="99"/>
    <w:semiHidden/>
    <w:rsid w:val="004F416C"/>
  </w:style>
  <w:style w:type="paragraph" w:styleId="DocumentMap">
    <w:name w:val="Document Map"/>
    <w:basedOn w:val="Normal"/>
    <w:link w:val="DocumentMapChar"/>
    <w:uiPriority w:val="99"/>
    <w:semiHidden/>
    <w:unhideWhenUsed/>
    <w:rsid w:val="004F416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F416C"/>
    <w:rPr>
      <w:rFonts w:ascii="Segoe UI" w:hAnsi="Segoe UI" w:cs="Segoe UI"/>
      <w:sz w:val="16"/>
      <w:szCs w:val="16"/>
    </w:rPr>
  </w:style>
  <w:style w:type="paragraph" w:styleId="E-mailSignature">
    <w:name w:val="E-mail Signature"/>
    <w:basedOn w:val="Normal"/>
    <w:link w:val="E-mailSignatureChar"/>
    <w:uiPriority w:val="99"/>
    <w:semiHidden/>
    <w:unhideWhenUsed/>
    <w:rsid w:val="004F416C"/>
    <w:pPr>
      <w:spacing w:after="0" w:line="240" w:lineRule="auto"/>
    </w:pPr>
  </w:style>
  <w:style w:type="character" w:customStyle="1" w:styleId="E-mailSignatureChar">
    <w:name w:val="E-mail Signature Char"/>
    <w:basedOn w:val="DefaultParagraphFont"/>
    <w:link w:val="E-mailSignature"/>
    <w:uiPriority w:val="99"/>
    <w:semiHidden/>
    <w:rsid w:val="004F416C"/>
  </w:style>
  <w:style w:type="paragraph" w:styleId="EnvelopeAddress">
    <w:name w:val="envelope address"/>
    <w:basedOn w:val="Normal"/>
    <w:uiPriority w:val="99"/>
    <w:semiHidden/>
    <w:unhideWhenUsed/>
    <w:rsid w:val="004F416C"/>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F416C"/>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4F416C"/>
    <w:pPr>
      <w:spacing w:after="0" w:line="240" w:lineRule="auto"/>
    </w:pPr>
    <w:rPr>
      <w:i/>
      <w:iCs/>
    </w:rPr>
  </w:style>
  <w:style w:type="character" w:customStyle="1" w:styleId="HTMLAddressChar">
    <w:name w:val="HTML Address Char"/>
    <w:basedOn w:val="DefaultParagraphFont"/>
    <w:link w:val="HTMLAddress"/>
    <w:uiPriority w:val="99"/>
    <w:semiHidden/>
    <w:rsid w:val="004F416C"/>
    <w:rPr>
      <w:i/>
      <w:iCs/>
    </w:rPr>
  </w:style>
  <w:style w:type="paragraph" w:styleId="HTMLPreformatted">
    <w:name w:val="HTML Preformatted"/>
    <w:basedOn w:val="Normal"/>
    <w:link w:val="HTMLPreformattedChar"/>
    <w:uiPriority w:val="99"/>
    <w:semiHidden/>
    <w:unhideWhenUsed/>
    <w:rsid w:val="004F416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416C"/>
    <w:rPr>
      <w:rFonts w:ascii="Consolas" w:hAnsi="Consolas"/>
      <w:sz w:val="20"/>
      <w:szCs w:val="20"/>
    </w:rPr>
  </w:style>
  <w:style w:type="paragraph" w:styleId="Index1">
    <w:name w:val="index 1"/>
    <w:basedOn w:val="Normal"/>
    <w:next w:val="Normal"/>
    <w:autoRedefine/>
    <w:uiPriority w:val="99"/>
    <w:semiHidden/>
    <w:unhideWhenUsed/>
    <w:rsid w:val="004F416C"/>
    <w:pPr>
      <w:spacing w:after="0" w:line="240" w:lineRule="auto"/>
      <w:ind w:left="240" w:hanging="240"/>
    </w:pPr>
  </w:style>
  <w:style w:type="paragraph" w:styleId="Index2">
    <w:name w:val="index 2"/>
    <w:basedOn w:val="Normal"/>
    <w:next w:val="Normal"/>
    <w:autoRedefine/>
    <w:uiPriority w:val="99"/>
    <w:semiHidden/>
    <w:unhideWhenUsed/>
    <w:rsid w:val="004F416C"/>
    <w:pPr>
      <w:spacing w:after="0" w:line="240" w:lineRule="auto"/>
      <w:ind w:left="480" w:hanging="240"/>
    </w:pPr>
  </w:style>
  <w:style w:type="paragraph" w:styleId="Index3">
    <w:name w:val="index 3"/>
    <w:basedOn w:val="Normal"/>
    <w:next w:val="Normal"/>
    <w:autoRedefine/>
    <w:uiPriority w:val="99"/>
    <w:semiHidden/>
    <w:unhideWhenUsed/>
    <w:rsid w:val="004F416C"/>
    <w:pPr>
      <w:spacing w:after="0" w:line="240" w:lineRule="auto"/>
      <w:ind w:left="720" w:hanging="240"/>
    </w:pPr>
  </w:style>
  <w:style w:type="paragraph" w:styleId="Index4">
    <w:name w:val="index 4"/>
    <w:basedOn w:val="Normal"/>
    <w:next w:val="Normal"/>
    <w:autoRedefine/>
    <w:uiPriority w:val="99"/>
    <w:semiHidden/>
    <w:unhideWhenUsed/>
    <w:rsid w:val="004F416C"/>
    <w:pPr>
      <w:spacing w:after="0" w:line="240" w:lineRule="auto"/>
      <w:ind w:left="960" w:hanging="240"/>
    </w:pPr>
  </w:style>
  <w:style w:type="paragraph" w:styleId="Index5">
    <w:name w:val="index 5"/>
    <w:basedOn w:val="Normal"/>
    <w:next w:val="Normal"/>
    <w:autoRedefine/>
    <w:uiPriority w:val="99"/>
    <w:semiHidden/>
    <w:unhideWhenUsed/>
    <w:rsid w:val="004F416C"/>
    <w:pPr>
      <w:spacing w:after="0" w:line="240" w:lineRule="auto"/>
      <w:ind w:left="1200" w:hanging="240"/>
    </w:pPr>
  </w:style>
  <w:style w:type="paragraph" w:styleId="Index6">
    <w:name w:val="index 6"/>
    <w:basedOn w:val="Normal"/>
    <w:next w:val="Normal"/>
    <w:autoRedefine/>
    <w:uiPriority w:val="99"/>
    <w:semiHidden/>
    <w:unhideWhenUsed/>
    <w:rsid w:val="004F416C"/>
    <w:pPr>
      <w:spacing w:after="0" w:line="240" w:lineRule="auto"/>
      <w:ind w:left="1440" w:hanging="240"/>
    </w:pPr>
  </w:style>
  <w:style w:type="paragraph" w:styleId="Index7">
    <w:name w:val="index 7"/>
    <w:basedOn w:val="Normal"/>
    <w:next w:val="Normal"/>
    <w:autoRedefine/>
    <w:uiPriority w:val="99"/>
    <w:semiHidden/>
    <w:unhideWhenUsed/>
    <w:rsid w:val="004F416C"/>
    <w:pPr>
      <w:spacing w:after="0" w:line="240" w:lineRule="auto"/>
      <w:ind w:left="1680" w:hanging="240"/>
    </w:pPr>
  </w:style>
  <w:style w:type="paragraph" w:styleId="Index8">
    <w:name w:val="index 8"/>
    <w:basedOn w:val="Normal"/>
    <w:next w:val="Normal"/>
    <w:autoRedefine/>
    <w:uiPriority w:val="99"/>
    <w:semiHidden/>
    <w:unhideWhenUsed/>
    <w:rsid w:val="004F416C"/>
    <w:pPr>
      <w:spacing w:after="0" w:line="240" w:lineRule="auto"/>
      <w:ind w:left="1920" w:hanging="240"/>
    </w:pPr>
  </w:style>
  <w:style w:type="paragraph" w:styleId="Index9">
    <w:name w:val="index 9"/>
    <w:basedOn w:val="Normal"/>
    <w:next w:val="Normal"/>
    <w:autoRedefine/>
    <w:uiPriority w:val="99"/>
    <w:semiHidden/>
    <w:unhideWhenUsed/>
    <w:rsid w:val="004F416C"/>
    <w:pPr>
      <w:spacing w:after="0" w:line="240" w:lineRule="auto"/>
      <w:ind w:left="2160" w:hanging="240"/>
    </w:pPr>
  </w:style>
  <w:style w:type="paragraph" w:styleId="IndexHeading">
    <w:name w:val="index heading"/>
    <w:basedOn w:val="Normal"/>
    <w:next w:val="Index1"/>
    <w:uiPriority w:val="99"/>
    <w:semiHidden/>
    <w:unhideWhenUsed/>
    <w:rsid w:val="004F416C"/>
    <w:rPr>
      <w:rFonts w:asciiTheme="majorHAnsi" w:eastAsiaTheme="majorEastAsia" w:hAnsiTheme="majorHAnsi" w:cstheme="majorBidi"/>
      <w:b/>
      <w:bCs/>
    </w:rPr>
  </w:style>
  <w:style w:type="paragraph" w:styleId="List">
    <w:name w:val="List"/>
    <w:basedOn w:val="Normal"/>
    <w:uiPriority w:val="99"/>
    <w:semiHidden/>
    <w:unhideWhenUsed/>
    <w:rsid w:val="004F416C"/>
    <w:pPr>
      <w:ind w:left="360" w:hanging="360"/>
      <w:contextualSpacing/>
    </w:pPr>
  </w:style>
  <w:style w:type="paragraph" w:styleId="List2">
    <w:name w:val="List 2"/>
    <w:basedOn w:val="Normal"/>
    <w:uiPriority w:val="99"/>
    <w:semiHidden/>
    <w:unhideWhenUsed/>
    <w:rsid w:val="004F416C"/>
    <w:pPr>
      <w:ind w:left="720" w:hanging="360"/>
      <w:contextualSpacing/>
    </w:pPr>
  </w:style>
  <w:style w:type="paragraph" w:styleId="List3">
    <w:name w:val="List 3"/>
    <w:basedOn w:val="Normal"/>
    <w:uiPriority w:val="99"/>
    <w:semiHidden/>
    <w:unhideWhenUsed/>
    <w:rsid w:val="004F416C"/>
    <w:pPr>
      <w:ind w:left="1080" w:hanging="360"/>
      <w:contextualSpacing/>
    </w:pPr>
  </w:style>
  <w:style w:type="paragraph" w:styleId="List4">
    <w:name w:val="List 4"/>
    <w:basedOn w:val="Normal"/>
    <w:uiPriority w:val="99"/>
    <w:semiHidden/>
    <w:unhideWhenUsed/>
    <w:rsid w:val="004F416C"/>
    <w:pPr>
      <w:ind w:left="1440" w:hanging="360"/>
      <w:contextualSpacing/>
    </w:pPr>
  </w:style>
  <w:style w:type="paragraph" w:styleId="List5">
    <w:name w:val="List 5"/>
    <w:basedOn w:val="Normal"/>
    <w:uiPriority w:val="99"/>
    <w:semiHidden/>
    <w:unhideWhenUsed/>
    <w:rsid w:val="004F416C"/>
    <w:pPr>
      <w:ind w:left="1800" w:hanging="360"/>
      <w:contextualSpacing/>
    </w:pPr>
  </w:style>
  <w:style w:type="paragraph" w:styleId="ListBullet">
    <w:name w:val="List Bullet"/>
    <w:basedOn w:val="Normal"/>
    <w:uiPriority w:val="99"/>
    <w:semiHidden/>
    <w:unhideWhenUsed/>
    <w:rsid w:val="004F416C"/>
    <w:pPr>
      <w:numPr>
        <w:numId w:val="20"/>
      </w:numPr>
      <w:contextualSpacing/>
    </w:pPr>
  </w:style>
  <w:style w:type="paragraph" w:styleId="ListBullet2">
    <w:name w:val="List Bullet 2"/>
    <w:basedOn w:val="Normal"/>
    <w:uiPriority w:val="99"/>
    <w:semiHidden/>
    <w:unhideWhenUsed/>
    <w:rsid w:val="004F416C"/>
    <w:pPr>
      <w:numPr>
        <w:numId w:val="21"/>
      </w:numPr>
      <w:contextualSpacing/>
    </w:pPr>
  </w:style>
  <w:style w:type="paragraph" w:styleId="ListBullet3">
    <w:name w:val="List Bullet 3"/>
    <w:basedOn w:val="Normal"/>
    <w:uiPriority w:val="99"/>
    <w:semiHidden/>
    <w:unhideWhenUsed/>
    <w:rsid w:val="004F416C"/>
    <w:pPr>
      <w:numPr>
        <w:numId w:val="22"/>
      </w:numPr>
      <w:contextualSpacing/>
    </w:pPr>
  </w:style>
  <w:style w:type="paragraph" w:styleId="ListBullet4">
    <w:name w:val="List Bullet 4"/>
    <w:basedOn w:val="Normal"/>
    <w:uiPriority w:val="99"/>
    <w:semiHidden/>
    <w:unhideWhenUsed/>
    <w:rsid w:val="004F416C"/>
    <w:pPr>
      <w:numPr>
        <w:numId w:val="23"/>
      </w:numPr>
      <w:contextualSpacing/>
    </w:pPr>
  </w:style>
  <w:style w:type="paragraph" w:styleId="ListBullet5">
    <w:name w:val="List Bullet 5"/>
    <w:basedOn w:val="Normal"/>
    <w:uiPriority w:val="99"/>
    <w:semiHidden/>
    <w:unhideWhenUsed/>
    <w:rsid w:val="004F416C"/>
    <w:pPr>
      <w:numPr>
        <w:numId w:val="24"/>
      </w:numPr>
      <w:contextualSpacing/>
    </w:pPr>
  </w:style>
  <w:style w:type="paragraph" w:styleId="ListContinue">
    <w:name w:val="List Continue"/>
    <w:basedOn w:val="Normal"/>
    <w:uiPriority w:val="99"/>
    <w:semiHidden/>
    <w:unhideWhenUsed/>
    <w:rsid w:val="004F416C"/>
    <w:pPr>
      <w:spacing w:after="120"/>
      <w:ind w:left="360"/>
      <w:contextualSpacing/>
    </w:pPr>
  </w:style>
  <w:style w:type="paragraph" w:styleId="ListContinue2">
    <w:name w:val="List Continue 2"/>
    <w:basedOn w:val="Normal"/>
    <w:uiPriority w:val="99"/>
    <w:semiHidden/>
    <w:unhideWhenUsed/>
    <w:rsid w:val="004F416C"/>
    <w:pPr>
      <w:spacing w:after="120"/>
      <w:ind w:left="720"/>
      <w:contextualSpacing/>
    </w:pPr>
  </w:style>
  <w:style w:type="paragraph" w:styleId="ListContinue3">
    <w:name w:val="List Continue 3"/>
    <w:basedOn w:val="Normal"/>
    <w:uiPriority w:val="99"/>
    <w:semiHidden/>
    <w:unhideWhenUsed/>
    <w:rsid w:val="004F416C"/>
    <w:pPr>
      <w:spacing w:after="120"/>
      <w:ind w:left="1080"/>
      <w:contextualSpacing/>
    </w:pPr>
  </w:style>
  <w:style w:type="paragraph" w:styleId="ListContinue4">
    <w:name w:val="List Continue 4"/>
    <w:basedOn w:val="Normal"/>
    <w:uiPriority w:val="99"/>
    <w:semiHidden/>
    <w:unhideWhenUsed/>
    <w:rsid w:val="004F416C"/>
    <w:pPr>
      <w:spacing w:after="120"/>
      <w:ind w:left="1440"/>
      <w:contextualSpacing/>
    </w:pPr>
  </w:style>
  <w:style w:type="paragraph" w:styleId="ListContinue5">
    <w:name w:val="List Continue 5"/>
    <w:basedOn w:val="Normal"/>
    <w:uiPriority w:val="99"/>
    <w:semiHidden/>
    <w:unhideWhenUsed/>
    <w:rsid w:val="004F416C"/>
    <w:pPr>
      <w:spacing w:after="120"/>
      <w:ind w:left="1800"/>
      <w:contextualSpacing/>
    </w:pPr>
  </w:style>
  <w:style w:type="paragraph" w:styleId="ListNumber">
    <w:name w:val="List Number"/>
    <w:basedOn w:val="Normal"/>
    <w:uiPriority w:val="99"/>
    <w:semiHidden/>
    <w:unhideWhenUsed/>
    <w:rsid w:val="004F416C"/>
    <w:pPr>
      <w:numPr>
        <w:numId w:val="25"/>
      </w:numPr>
      <w:contextualSpacing/>
    </w:pPr>
  </w:style>
  <w:style w:type="paragraph" w:styleId="ListNumber2">
    <w:name w:val="List Number 2"/>
    <w:basedOn w:val="Normal"/>
    <w:uiPriority w:val="99"/>
    <w:semiHidden/>
    <w:unhideWhenUsed/>
    <w:rsid w:val="004F416C"/>
    <w:pPr>
      <w:numPr>
        <w:numId w:val="26"/>
      </w:numPr>
      <w:contextualSpacing/>
    </w:pPr>
  </w:style>
  <w:style w:type="paragraph" w:styleId="ListNumber3">
    <w:name w:val="List Number 3"/>
    <w:basedOn w:val="Normal"/>
    <w:uiPriority w:val="99"/>
    <w:semiHidden/>
    <w:unhideWhenUsed/>
    <w:rsid w:val="004F416C"/>
    <w:pPr>
      <w:numPr>
        <w:numId w:val="27"/>
      </w:numPr>
      <w:contextualSpacing/>
    </w:pPr>
  </w:style>
  <w:style w:type="paragraph" w:styleId="ListNumber4">
    <w:name w:val="List Number 4"/>
    <w:basedOn w:val="Normal"/>
    <w:uiPriority w:val="99"/>
    <w:semiHidden/>
    <w:unhideWhenUsed/>
    <w:rsid w:val="004F416C"/>
    <w:pPr>
      <w:numPr>
        <w:numId w:val="28"/>
      </w:numPr>
      <w:contextualSpacing/>
    </w:pPr>
  </w:style>
  <w:style w:type="paragraph" w:styleId="ListNumber5">
    <w:name w:val="List Number 5"/>
    <w:basedOn w:val="Normal"/>
    <w:uiPriority w:val="99"/>
    <w:semiHidden/>
    <w:unhideWhenUsed/>
    <w:rsid w:val="004F416C"/>
    <w:pPr>
      <w:numPr>
        <w:numId w:val="29"/>
      </w:numPr>
      <w:contextualSpacing/>
    </w:pPr>
  </w:style>
  <w:style w:type="paragraph" w:styleId="MacroText">
    <w:name w:val="macro"/>
    <w:link w:val="MacroTextChar"/>
    <w:uiPriority w:val="99"/>
    <w:semiHidden/>
    <w:unhideWhenUsed/>
    <w:rsid w:val="004F416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F416C"/>
    <w:rPr>
      <w:rFonts w:ascii="Consolas" w:hAnsi="Consolas"/>
      <w:sz w:val="20"/>
      <w:szCs w:val="20"/>
    </w:rPr>
  </w:style>
  <w:style w:type="paragraph" w:styleId="MessageHeader">
    <w:name w:val="Message Header"/>
    <w:basedOn w:val="Normal"/>
    <w:link w:val="MessageHeaderChar"/>
    <w:uiPriority w:val="99"/>
    <w:semiHidden/>
    <w:unhideWhenUsed/>
    <w:rsid w:val="004F416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F416C"/>
    <w:rPr>
      <w:rFonts w:asciiTheme="majorHAnsi" w:eastAsiaTheme="majorEastAsia" w:hAnsiTheme="majorHAnsi" w:cstheme="majorBidi"/>
      <w:shd w:val="pct20" w:color="auto" w:fill="auto"/>
    </w:rPr>
  </w:style>
  <w:style w:type="paragraph" w:styleId="NoSpacing">
    <w:name w:val="No Spacing"/>
    <w:uiPriority w:val="1"/>
    <w:qFormat/>
    <w:rsid w:val="004F416C"/>
    <w:pPr>
      <w:spacing w:after="0" w:line="240" w:lineRule="auto"/>
    </w:pPr>
  </w:style>
  <w:style w:type="paragraph" w:styleId="NormalIndent">
    <w:name w:val="Normal Indent"/>
    <w:basedOn w:val="Normal"/>
    <w:uiPriority w:val="99"/>
    <w:semiHidden/>
    <w:unhideWhenUsed/>
    <w:rsid w:val="004F416C"/>
    <w:pPr>
      <w:ind w:left="720"/>
    </w:pPr>
  </w:style>
  <w:style w:type="paragraph" w:styleId="NoteHeading">
    <w:name w:val="Note Heading"/>
    <w:basedOn w:val="Normal"/>
    <w:next w:val="Normal"/>
    <w:link w:val="NoteHeadingChar"/>
    <w:uiPriority w:val="99"/>
    <w:semiHidden/>
    <w:unhideWhenUsed/>
    <w:rsid w:val="004F416C"/>
    <w:pPr>
      <w:spacing w:after="0" w:line="240" w:lineRule="auto"/>
    </w:pPr>
  </w:style>
  <w:style w:type="character" w:customStyle="1" w:styleId="NoteHeadingChar">
    <w:name w:val="Note Heading Char"/>
    <w:basedOn w:val="DefaultParagraphFont"/>
    <w:link w:val="NoteHeading"/>
    <w:uiPriority w:val="99"/>
    <w:semiHidden/>
    <w:rsid w:val="004F416C"/>
  </w:style>
  <w:style w:type="paragraph" w:styleId="PlainText">
    <w:name w:val="Plain Text"/>
    <w:basedOn w:val="Normal"/>
    <w:link w:val="PlainTextChar"/>
    <w:uiPriority w:val="99"/>
    <w:semiHidden/>
    <w:unhideWhenUsed/>
    <w:rsid w:val="004F416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F416C"/>
    <w:rPr>
      <w:rFonts w:ascii="Consolas" w:hAnsi="Consolas"/>
      <w:sz w:val="21"/>
      <w:szCs w:val="21"/>
    </w:rPr>
  </w:style>
  <w:style w:type="paragraph" w:styleId="Salutation">
    <w:name w:val="Salutation"/>
    <w:basedOn w:val="Normal"/>
    <w:next w:val="Normal"/>
    <w:link w:val="SalutationChar"/>
    <w:uiPriority w:val="99"/>
    <w:semiHidden/>
    <w:unhideWhenUsed/>
    <w:rsid w:val="004F416C"/>
  </w:style>
  <w:style w:type="character" w:customStyle="1" w:styleId="SalutationChar">
    <w:name w:val="Salutation Char"/>
    <w:basedOn w:val="DefaultParagraphFont"/>
    <w:link w:val="Salutation"/>
    <w:uiPriority w:val="99"/>
    <w:semiHidden/>
    <w:rsid w:val="004F416C"/>
  </w:style>
  <w:style w:type="paragraph" w:styleId="Signature">
    <w:name w:val="Signature"/>
    <w:basedOn w:val="Normal"/>
    <w:link w:val="SignatureChar"/>
    <w:uiPriority w:val="99"/>
    <w:semiHidden/>
    <w:unhideWhenUsed/>
    <w:rsid w:val="004F416C"/>
    <w:pPr>
      <w:spacing w:after="0" w:line="240" w:lineRule="auto"/>
      <w:ind w:left="4320"/>
    </w:pPr>
  </w:style>
  <w:style w:type="character" w:customStyle="1" w:styleId="SignatureChar">
    <w:name w:val="Signature Char"/>
    <w:basedOn w:val="DefaultParagraphFont"/>
    <w:link w:val="Signature"/>
    <w:uiPriority w:val="99"/>
    <w:semiHidden/>
    <w:rsid w:val="004F416C"/>
  </w:style>
  <w:style w:type="paragraph" w:styleId="TableofAuthorities">
    <w:name w:val="table of authorities"/>
    <w:basedOn w:val="Normal"/>
    <w:next w:val="Normal"/>
    <w:uiPriority w:val="99"/>
    <w:semiHidden/>
    <w:unhideWhenUsed/>
    <w:rsid w:val="004F416C"/>
    <w:pPr>
      <w:spacing w:after="0"/>
      <w:ind w:left="240" w:hanging="240"/>
    </w:pPr>
  </w:style>
  <w:style w:type="paragraph" w:styleId="TableofFigures">
    <w:name w:val="table of figures"/>
    <w:basedOn w:val="Normal"/>
    <w:next w:val="Normal"/>
    <w:uiPriority w:val="99"/>
    <w:semiHidden/>
    <w:unhideWhenUsed/>
    <w:rsid w:val="004F416C"/>
    <w:pPr>
      <w:spacing w:after="0"/>
    </w:pPr>
  </w:style>
  <w:style w:type="paragraph" w:styleId="TOAHeading">
    <w:name w:val="toa heading"/>
    <w:basedOn w:val="Normal"/>
    <w:next w:val="Normal"/>
    <w:uiPriority w:val="99"/>
    <w:semiHidden/>
    <w:unhideWhenUsed/>
    <w:rsid w:val="004F416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4F416C"/>
    <w:pPr>
      <w:spacing w:after="100"/>
    </w:pPr>
  </w:style>
  <w:style w:type="paragraph" w:styleId="TOC2">
    <w:name w:val="toc 2"/>
    <w:basedOn w:val="Normal"/>
    <w:next w:val="Normal"/>
    <w:autoRedefine/>
    <w:uiPriority w:val="39"/>
    <w:semiHidden/>
    <w:unhideWhenUsed/>
    <w:rsid w:val="004F416C"/>
    <w:pPr>
      <w:spacing w:after="100"/>
      <w:ind w:left="240"/>
    </w:pPr>
  </w:style>
  <w:style w:type="paragraph" w:styleId="TOC3">
    <w:name w:val="toc 3"/>
    <w:basedOn w:val="Normal"/>
    <w:next w:val="Normal"/>
    <w:autoRedefine/>
    <w:uiPriority w:val="39"/>
    <w:semiHidden/>
    <w:unhideWhenUsed/>
    <w:rsid w:val="004F416C"/>
    <w:pPr>
      <w:spacing w:after="100"/>
      <w:ind w:left="480"/>
    </w:pPr>
  </w:style>
  <w:style w:type="paragraph" w:styleId="TOC4">
    <w:name w:val="toc 4"/>
    <w:basedOn w:val="Normal"/>
    <w:next w:val="Normal"/>
    <w:autoRedefine/>
    <w:uiPriority w:val="39"/>
    <w:semiHidden/>
    <w:unhideWhenUsed/>
    <w:rsid w:val="004F416C"/>
    <w:pPr>
      <w:spacing w:after="100"/>
      <w:ind w:left="720"/>
    </w:pPr>
  </w:style>
  <w:style w:type="paragraph" w:styleId="TOC5">
    <w:name w:val="toc 5"/>
    <w:basedOn w:val="Normal"/>
    <w:next w:val="Normal"/>
    <w:autoRedefine/>
    <w:uiPriority w:val="39"/>
    <w:semiHidden/>
    <w:unhideWhenUsed/>
    <w:rsid w:val="004F416C"/>
    <w:pPr>
      <w:spacing w:after="100"/>
      <w:ind w:left="960"/>
    </w:pPr>
  </w:style>
  <w:style w:type="paragraph" w:styleId="TOC6">
    <w:name w:val="toc 6"/>
    <w:basedOn w:val="Normal"/>
    <w:next w:val="Normal"/>
    <w:autoRedefine/>
    <w:uiPriority w:val="39"/>
    <w:semiHidden/>
    <w:unhideWhenUsed/>
    <w:rsid w:val="004F416C"/>
    <w:pPr>
      <w:spacing w:after="100"/>
      <w:ind w:left="1200"/>
    </w:pPr>
  </w:style>
  <w:style w:type="paragraph" w:styleId="TOC7">
    <w:name w:val="toc 7"/>
    <w:basedOn w:val="Normal"/>
    <w:next w:val="Normal"/>
    <w:autoRedefine/>
    <w:uiPriority w:val="39"/>
    <w:semiHidden/>
    <w:unhideWhenUsed/>
    <w:rsid w:val="004F416C"/>
    <w:pPr>
      <w:spacing w:after="100"/>
      <w:ind w:left="1440"/>
    </w:pPr>
  </w:style>
  <w:style w:type="paragraph" w:styleId="TOC8">
    <w:name w:val="toc 8"/>
    <w:basedOn w:val="Normal"/>
    <w:next w:val="Normal"/>
    <w:autoRedefine/>
    <w:uiPriority w:val="39"/>
    <w:semiHidden/>
    <w:unhideWhenUsed/>
    <w:rsid w:val="004F416C"/>
    <w:pPr>
      <w:spacing w:after="100"/>
      <w:ind w:left="1680"/>
    </w:pPr>
  </w:style>
  <w:style w:type="paragraph" w:styleId="TOC9">
    <w:name w:val="toc 9"/>
    <w:basedOn w:val="Normal"/>
    <w:next w:val="Normal"/>
    <w:autoRedefine/>
    <w:uiPriority w:val="39"/>
    <w:semiHidden/>
    <w:unhideWhenUsed/>
    <w:rsid w:val="004F416C"/>
    <w:pPr>
      <w:spacing w:after="100"/>
      <w:ind w:left="1920"/>
    </w:pPr>
  </w:style>
  <w:style w:type="paragraph" w:styleId="TOCHeading">
    <w:name w:val="TOC Heading"/>
    <w:basedOn w:val="Heading1"/>
    <w:next w:val="Normal"/>
    <w:uiPriority w:val="39"/>
    <w:semiHidden/>
    <w:unhideWhenUsed/>
    <w:qFormat/>
    <w:rsid w:val="004F416C"/>
    <w:pPr>
      <w:spacing w:before="240" w:after="0"/>
      <w:outlineLvl w:val="9"/>
    </w:pPr>
    <w:rPr>
      <w:sz w:val="32"/>
      <w:szCs w:val="32"/>
    </w:rPr>
  </w:style>
  <w:style w:type="table" w:styleId="TableGrid">
    <w:name w:val="Table Grid"/>
    <w:basedOn w:val="TableNormal"/>
    <w:uiPriority w:val="39"/>
    <w:rsid w:val="00474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74A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9/K469/619469758.pdf" TargetMode="External" Id="Rb5bdb5989c034339" /><Relationship Type="http://schemas.openxmlformats.org/officeDocument/2006/relationships/hyperlink" Target="https://docs.cpuc.ca.gov/PublishedDocs/Published/G000/M619/K354/619354440.xlsx" TargetMode="External" Id="Ra89dc136a8a448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Link to a Document" ma:contentTypeID="0x01010A00C6AB6DC5AF700B418530758C9C3EFA01" ma:contentTypeVersion="0" ma:contentTypeDescription="Create a link to a document in a different location." ma:contentTypeScope="" ma:versionID="77e4b1fa4df5cdc2e4f45e2029a54553">
  <xsd:schema xmlns:xsd="http://www.w3.org/2001/XMLSchema" xmlns:xs="http://www.w3.org/2001/XMLSchema" xmlns:p="http://schemas.microsoft.com/office/2006/metadata/properties" targetNamespace="http://schemas.microsoft.com/office/2006/metadata/properties" ma:root="true" ma:fieldsID="6bad3dcb7fd24591bbec63e9d7060c8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BB7EB67D-D535-4CB1-A9E1-1DC602AC54E4}">
  <ds:schemaRefs>
    <ds:schemaRef ds:uri="http://schemas.openxmlformats.org/officeDocument/2006/bibliography"/>
  </ds:schemaRefs>
</ds:datastoreItem>
</file>

<file path=customXml/itemProps4.xml><?xml version="1.0" encoding="utf-8"?>
<ds:datastoreItem xmlns:ds="http://schemas.openxmlformats.org/officeDocument/2006/customXml" ds:itemID="{60C0A470-FBAE-4886-9EE6-0DA4D1D69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32</ap:Pages>
  <ap:Words>11540</ap:Words>
  <ap:Characters>65780</ap:Characters>
  <ap:Application>Microsoft Office Word</ap:Application>
  <ap:DocSecurity>0</ap:DocSecurity>
  <ap:Lines>548</ap:Lines>
  <ap:Paragraphs>154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77166</ap:CharactersWithSpaces>
  <ap:SharedDoc>false</ap:SharedDoc>
  <ap:HLinks>
    <vt:vector baseType="variant" size="6">
      <vt:variant>
        <vt:i4>7274552</vt:i4>
      </vt:variant>
      <vt:variant>
        <vt:i4>0</vt:i4>
      </vt:variant>
      <vt:variant>
        <vt:i4>0</vt:i4>
      </vt:variant>
      <vt:variant>
        <vt:i4>5</vt:i4>
      </vt:variant>
      <vt:variant>
        <vt:lpwstr>https://docs.cpuc.ca.gov/PublishedDocs/Published/G000/M614/K607/614607320.xlsx</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2026-07-27T21:17:00Z</cp:lastPrinted>
  <dcterms:created xsi:type="dcterms:W3CDTF">2026-09-15T12:08:56Z</dcterms:created>
  <dcterms:modified xsi:type="dcterms:W3CDTF">2026-09-15T12:08:56Z</dcterms:modified>
</cp:coreProperties>
</file>