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100C" w:rsidR="00B60421" w:rsidP="007E0FEE" w:rsidRDefault="00AC035B" w14:paraId="3FE4E857" w14:textId="1BD819CD">
      <w:pPr>
        <w:tabs>
          <w:tab w:val="center" w:pos="4680"/>
          <w:tab w:val="right" w:pos="9360"/>
        </w:tabs>
        <w:spacing w:line="240" w:lineRule="auto"/>
        <w:ind w:firstLine="0"/>
        <w:rPr>
          <w:b/>
          <w:sz w:val="24"/>
          <w:szCs w:val="24"/>
        </w:rPr>
      </w:pPr>
      <w:r>
        <w:t>ALJ</w:t>
      </w:r>
      <w:r w:rsidR="00DA7B5D">
        <w:t>/</w:t>
      </w:r>
      <w:r>
        <w:t>EF1</w:t>
      </w:r>
      <w:r w:rsidR="00DA7B5D">
        <w:t>/</w:t>
      </w:r>
      <w:r>
        <w:t>DJG/JOR/</w:t>
      </w:r>
      <w:proofErr w:type="spellStart"/>
      <w:r>
        <w:t>vhj</w:t>
      </w:r>
      <w:proofErr w:type="spellEnd"/>
      <w:r w:rsidR="007E0FEE">
        <w:tab/>
      </w:r>
      <w:r w:rsidR="00DA7B5D">
        <w:rPr>
          <w:rFonts w:ascii="Arial" w:hAnsi="Arial" w:cs="Arial"/>
          <w:b/>
          <w:sz w:val="32"/>
          <w:szCs w:val="32"/>
        </w:rPr>
        <w:t>PROPOSED DECISION</w:t>
      </w:r>
      <w:r w:rsidR="00D2100C">
        <w:rPr>
          <w:rFonts w:ascii="Arial" w:hAnsi="Arial" w:cs="Arial"/>
          <w:b/>
          <w:sz w:val="32"/>
          <w:szCs w:val="32"/>
        </w:rPr>
        <w:t xml:space="preserve"> </w:t>
      </w:r>
      <w:r w:rsidR="00D2100C">
        <w:rPr>
          <w:rFonts w:ascii="Arial" w:hAnsi="Arial" w:cs="Arial"/>
          <w:b/>
          <w:sz w:val="32"/>
          <w:szCs w:val="32"/>
        </w:rPr>
        <w:tab/>
      </w:r>
      <w:r w:rsidRPr="00D2100C" w:rsidR="00DA7B5D">
        <w:rPr>
          <w:b/>
          <w:sz w:val="24"/>
          <w:szCs w:val="24"/>
        </w:rPr>
        <w:t>Agenda ID #</w:t>
      </w:r>
      <w:r w:rsidRPr="00D2100C" w:rsidR="00194A84">
        <w:rPr>
          <w:b/>
          <w:sz w:val="24"/>
          <w:szCs w:val="24"/>
        </w:rPr>
        <w:t>24426</w:t>
      </w:r>
      <w:r w:rsidRPr="00D2100C" w:rsidR="00D2100C">
        <w:rPr>
          <w:b/>
          <w:sz w:val="24"/>
          <w:szCs w:val="24"/>
        </w:rPr>
        <w:t>(Rev. 1)</w:t>
      </w:r>
    </w:p>
    <w:p w:rsidR="00DA7B5D" w:rsidP="00632207" w:rsidRDefault="0077563B" w14:paraId="4BB221A1" w14:textId="3A66EB69">
      <w:pPr>
        <w:spacing w:line="240" w:lineRule="auto"/>
        <w:jc w:val="right"/>
        <w:rPr>
          <w:b/>
        </w:rPr>
      </w:pPr>
      <w:r>
        <w:rPr>
          <w:b/>
        </w:rPr>
        <w:t>Ratesetting</w:t>
      </w:r>
    </w:p>
    <w:p w:rsidRPr="00EE4315" w:rsidR="00D2100C" w:rsidP="00632207" w:rsidRDefault="00D2100C" w14:paraId="7BD6E67A" w14:textId="0F49C7B7">
      <w:pPr>
        <w:spacing w:line="240" w:lineRule="auto"/>
        <w:jc w:val="right"/>
        <w:rPr>
          <w:b/>
        </w:rPr>
      </w:pPr>
      <w:r>
        <w:rPr>
          <w:b/>
        </w:rPr>
        <w:t>10/8/2026 Item</w:t>
      </w:r>
      <w:r w:rsidR="009A5224">
        <w:rPr>
          <w:b/>
        </w:rPr>
        <w:t xml:space="preserve"> </w:t>
      </w:r>
      <w:r>
        <w:rPr>
          <w:b/>
        </w:rPr>
        <w:t>#</w:t>
      </w:r>
      <w:r w:rsidR="004A5BEF">
        <w:rPr>
          <w:b/>
        </w:rPr>
        <w:t>9</w:t>
      </w:r>
    </w:p>
    <w:p w:rsidR="00DA7B5D" w:rsidP="008F0116" w:rsidRDefault="00DA7B5D" w14:paraId="0BC1056B" w14:textId="77777777">
      <w:pPr>
        <w:ind w:firstLine="0"/>
      </w:pPr>
    </w:p>
    <w:p w:rsidRPr="006F6DC9" w:rsidR="00DA7B5D" w:rsidP="0098655A" w:rsidRDefault="00DA7B5D" w14:paraId="06F98AE1" w14:textId="76BBC865">
      <w:pPr>
        <w:ind w:left="1080" w:hanging="1080"/>
        <w:rPr>
          <w:b/>
          <w:bCs/>
          <w:u w:val="single"/>
        </w:rPr>
      </w:pPr>
      <w:r>
        <w:t>Decision</w:t>
      </w:r>
      <w:r w:rsidRPr="00AC035B">
        <w:rPr>
          <w:b/>
          <w:bCs/>
        </w:rPr>
        <w:t xml:space="preserve"> </w:t>
      </w:r>
      <w:r w:rsidRPr="006F6DC9" w:rsidR="00AC035B">
        <w:rPr>
          <w:b/>
          <w:bCs/>
          <w:u w:val="single"/>
        </w:rPr>
        <w:t>PROPOSED DECISION OF ALJ FOX</w:t>
      </w:r>
      <w:r w:rsidR="006F6DC9">
        <w:rPr>
          <w:b/>
          <w:bCs/>
          <w:u w:val="single"/>
        </w:rPr>
        <w:t>, ALJ GRUEN, and ALJ LARSEN</w:t>
      </w:r>
      <w:r w:rsidRPr="006F6DC9" w:rsidR="00AC035B">
        <w:rPr>
          <w:b/>
          <w:bCs/>
          <w:u w:val="single"/>
        </w:rPr>
        <w:t xml:space="preserve"> (Mailed</w:t>
      </w:r>
      <w:r w:rsidR="006F6DC9">
        <w:rPr>
          <w:b/>
          <w:bCs/>
          <w:u w:val="single"/>
        </w:rPr>
        <w:t xml:space="preserve"> </w:t>
      </w:r>
      <w:r w:rsidR="00CA36C2">
        <w:rPr>
          <w:b/>
          <w:bCs/>
          <w:u w:val="single"/>
        </w:rPr>
        <w:t>8/04/2026</w:t>
      </w:r>
      <w:r w:rsidRPr="006F6DC9" w:rsidR="00AC035B">
        <w:rPr>
          <w:b/>
          <w:bCs/>
          <w:u w:val="single"/>
        </w:rPr>
        <w:t>)</w:t>
      </w:r>
    </w:p>
    <w:p w:rsidR="00DA7B5D" w:rsidP="00AC035B" w:rsidRDefault="00DA7B5D" w14:paraId="2E518546" w14:textId="77777777">
      <w:pPr>
        <w:spacing w:line="240" w:lineRule="auto"/>
        <w:ind w:firstLine="0"/>
        <w:rPr>
          <w:u w:val="single"/>
        </w:rPr>
      </w:pPr>
    </w:p>
    <w:p w:rsidR="00AC035B" w:rsidP="00AC035B" w:rsidRDefault="00AC035B" w14:paraId="033394F6" w14:textId="77777777">
      <w:pPr>
        <w:spacing w:line="240" w:lineRule="auto"/>
        <w:ind w:firstLine="0"/>
        <w:rPr>
          <w:u w:val="single"/>
        </w:rPr>
      </w:pPr>
    </w:p>
    <w:p w:rsidR="00DA7B5D" w:rsidP="00BB0243" w:rsidRDefault="00DA7B5D" w14:paraId="0872965D"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AC035B" w:rsidP="008F0116" w:rsidRDefault="00AC035B" w14:paraId="1626DD8C"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F215F1" w:rsidTr="00F215F1" w14:paraId="1A9A60D8" w14:textId="77777777">
        <w:trPr>
          <w:jc w:val="center"/>
        </w:trPr>
        <w:tc>
          <w:tcPr>
            <w:tcW w:w="4680" w:type="dxa"/>
            <w:tcBorders>
              <w:top w:val="nil"/>
              <w:left w:val="nil"/>
              <w:bottom w:val="single" w:color="auto" w:sz="4" w:space="0"/>
              <w:right w:val="single" w:color="auto" w:sz="4" w:space="0"/>
            </w:tcBorders>
          </w:tcPr>
          <w:p w:rsidRPr="00DA7B5D" w:rsidR="00F215F1" w:rsidP="00F215F1" w:rsidRDefault="00F215F1" w14:paraId="0ED3C02F" w14:textId="5844FC62">
            <w:pPr>
              <w:spacing w:line="240" w:lineRule="auto"/>
              <w:ind w:firstLine="0"/>
              <w:rPr>
                <w:rFonts w:cs="Arial"/>
                <w:szCs w:val="26"/>
              </w:rPr>
            </w:pPr>
            <w:r w:rsidRPr="001B0AFE">
              <w:rPr>
                <w:rFonts w:cs="Arial"/>
                <w:szCs w:val="26"/>
              </w:rPr>
              <w:t>Application of Pacific Gas and Electric Company for Authority, Among Other Things, to Increase Rates and Charges for Electric and Gas Service Effective on January 1, 2027. (U 39 M)</w:t>
            </w:r>
            <w:r w:rsidR="00AC035B">
              <w:rPr>
                <w:rFonts w:cs="Arial"/>
                <w:szCs w:val="26"/>
              </w:rPr>
              <w:t>.</w:t>
            </w:r>
            <w:r w:rsidRPr="00DA7B5D">
              <w:rPr>
                <w:rFonts w:cs="Arial"/>
                <w:szCs w:val="26"/>
              </w:rPr>
              <w:br/>
            </w:r>
          </w:p>
        </w:tc>
        <w:tc>
          <w:tcPr>
            <w:tcW w:w="4680" w:type="dxa"/>
            <w:tcBorders>
              <w:top w:val="nil"/>
              <w:left w:val="single" w:color="auto" w:sz="4" w:space="0"/>
              <w:bottom w:val="nil"/>
              <w:right w:val="nil"/>
            </w:tcBorders>
            <w:vAlign w:val="center"/>
          </w:tcPr>
          <w:p w:rsidRPr="00DA7B5D" w:rsidR="00F215F1" w:rsidP="00F215F1" w:rsidRDefault="00F215F1" w14:paraId="6C808C7C" w14:textId="1449DEA2">
            <w:pPr>
              <w:spacing w:line="240" w:lineRule="auto"/>
              <w:ind w:firstLine="0"/>
              <w:jc w:val="center"/>
              <w:rPr>
                <w:rFonts w:cs="Arial"/>
                <w:szCs w:val="26"/>
              </w:rPr>
            </w:pPr>
            <w:r>
              <w:rPr>
                <w:rFonts w:cs="Arial"/>
                <w:szCs w:val="26"/>
              </w:rPr>
              <w:t xml:space="preserve">Application </w:t>
            </w:r>
            <w:r w:rsidRPr="00730B8D">
              <w:rPr>
                <w:rFonts w:cs="Arial"/>
                <w:szCs w:val="26"/>
              </w:rPr>
              <w:t>25</w:t>
            </w:r>
            <w:r>
              <w:rPr>
                <w:rFonts w:cs="Arial"/>
                <w:szCs w:val="26"/>
              </w:rPr>
              <w:t>-</w:t>
            </w:r>
            <w:r w:rsidRPr="00730B8D">
              <w:rPr>
                <w:rFonts w:cs="Arial"/>
                <w:szCs w:val="26"/>
              </w:rPr>
              <w:t>05</w:t>
            </w:r>
            <w:r>
              <w:rPr>
                <w:rFonts w:cs="Arial"/>
                <w:szCs w:val="26"/>
              </w:rPr>
              <w:t>-</w:t>
            </w:r>
            <w:r w:rsidRPr="00730B8D">
              <w:rPr>
                <w:rFonts w:cs="Arial"/>
                <w:szCs w:val="26"/>
              </w:rPr>
              <w:t>009</w:t>
            </w:r>
          </w:p>
        </w:tc>
      </w:tr>
    </w:tbl>
    <w:p w:rsidR="00DA7B5D" w:rsidP="008F0116" w:rsidRDefault="00DA7B5D" w14:paraId="2F81F23F" w14:textId="77777777">
      <w:pPr>
        <w:spacing w:line="240" w:lineRule="auto"/>
        <w:ind w:firstLine="0"/>
        <w:rPr>
          <w:rFonts w:ascii="Arial" w:hAnsi="Arial" w:cs="Arial"/>
          <w:sz w:val="24"/>
          <w:szCs w:val="24"/>
        </w:rPr>
      </w:pPr>
    </w:p>
    <w:p w:rsidR="00DA7B5D" w:rsidP="008F0116" w:rsidRDefault="00DA7B5D" w14:paraId="27372212" w14:textId="77777777">
      <w:pPr>
        <w:spacing w:line="240" w:lineRule="auto"/>
        <w:ind w:firstLine="0"/>
        <w:rPr>
          <w:rFonts w:ascii="Arial" w:hAnsi="Arial" w:cs="Arial"/>
          <w:sz w:val="24"/>
          <w:szCs w:val="24"/>
        </w:rPr>
      </w:pPr>
    </w:p>
    <w:p w:rsidR="0098655A" w:rsidP="00D82A43" w:rsidRDefault="00F215F1" w14:paraId="22688C00" w14:textId="070C971B">
      <w:pPr>
        <w:pStyle w:val="Main"/>
        <w:spacing w:after="240"/>
      </w:pPr>
      <w:r w:rsidRPr="00F215F1">
        <w:t xml:space="preserve">DECISION GRANTING PACIFIC GAS AND ELECTRIC COMPANY’S MOTION TO </w:t>
      </w:r>
      <w:r w:rsidR="00FE655F">
        <w:t xml:space="preserve">Track </w:t>
      </w:r>
      <w:r w:rsidRPr="00F215F1">
        <w:t>REVENUE REQUIREMENTS EFFECTIVE JANUARY 1, 2027</w:t>
      </w:r>
    </w:p>
    <w:p w:rsidR="005A148C" w:rsidP="005A148C" w:rsidRDefault="005A148C" w14:paraId="1FCFA775" w14:textId="77777777">
      <w:pPr>
        <w:pStyle w:val="Dummy"/>
      </w:pPr>
      <w:bookmarkStart w:name="_Toc8123714" w:id="0"/>
      <w:bookmarkStart w:name="_Toc234826792" w:id="1"/>
      <w:r>
        <w:t>Summary</w:t>
      </w:r>
      <w:bookmarkEnd w:id="0"/>
      <w:bookmarkEnd w:id="1"/>
    </w:p>
    <w:p w:rsidR="0073353F" w:rsidP="006E6574" w:rsidRDefault="00F215F1" w14:paraId="364499F2" w14:textId="5B149CEB">
      <w:pPr>
        <w:pStyle w:val="Standard"/>
      </w:pPr>
      <w:r>
        <w:t xml:space="preserve">This decision </w:t>
      </w:r>
      <w:r w:rsidRPr="006454F7">
        <w:rPr>
          <w:color w:val="000000" w:themeColor="text1"/>
        </w:rPr>
        <w:t xml:space="preserve">grants Pacific Gas and Electric Company’s January 12, 2026 motion for an order to </w:t>
      </w:r>
      <w:r w:rsidR="000B74CE">
        <w:rPr>
          <w:color w:val="000000" w:themeColor="text1"/>
        </w:rPr>
        <w:t xml:space="preserve">have ratemaking mechanisms that track new revenue requirements, </w:t>
      </w:r>
      <w:r w:rsidRPr="006454F7">
        <w:rPr>
          <w:color w:val="000000" w:themeColor="text1"/>
        </w:rPr>
        <w:t>effective January 1, 2027.</w:t>
      </w:r>
    </w:p>
    <w:p w:rsidRPr="00121089" w:rsidR="005A148C" w:rsidP="00A55ACD" w:rsidRDefault="002C7FE9" w14:paraId="00D29D41" w14:textId="77777777">
      <w:pPr>
        <w:pStyle w:val="Heading1"/>
        <w:numPr>
          <w:ilvl w:val="0"/>
          <w:numId w:val="1"/>
        </w:numPr>
      </w:pPr>
      <w:bookmarkStart w:name="_Toc8123715" w:id="2"/>
      <w:bookmarkStart w:name="_Toc234826793" w:id="3"/>
      <w:r w:rsidRPr="00121089">
        <w:t>Background</w:t>
      </w:r>
      <w:bookmarkEnd w:id="2"/>
      <w:bookmarkEnd w:id="3"/>
    </w:p>
    <w:p w:rsidRPr="00F215F1" w:rsidR="00F215F1" w:rsidP="00F215F1" w:rsidRDefault="00F215F1" w14:paraId="45B492FE" w14:textId="3EDF01DE">
      <w:pPr>
        <w:pStyle w:val="Standard"/>
      </w:pPr>
      <w:bookmarkStart w:name="_Toc8123716" w:id="4"/>
      <w:r w:rsidRPr="00F215F1">
        <w:t>Pacific Gas and Electric Company (PG&amp;E) filed the instant Application for its Test Yea</w:t>
      </w:r>
      <w:r w:rsidR="00726DA4">
        <w:t>r</w:t>
      </w:r>
      <w:r w:rsidRPr="00F215F1">
        <w:t xml:space="preserve"> 2027 General Rate Case (GRC) and served supporting testimony on May 15, 2025. This Application requests authorization to increase gas distribution, transmission and storage, electric distribution, and generation base revenue requirements effective January 1, 2027. </w:t>
      </w:r>
    </w:p>
    <w:p w:rsidRPr="00F215F1" w:rsidR="00F215F1" w:rsidP="00F215F1" w:rsidRDefault="00F215F1" w14:paraId="3B77EECB" w14:textId="48F2F7B8">
      <w:pPr>
        <w:pStyle w:val="Standard"/>
      </w:pPr>
      <w:r w:rsidRPr="00F215F1">
        <w:lastRenderedPageBreak/>
        <w:t xml:space="preserve">The </w:t>
      </w:r>
      <w:r w:rsidR="002B4EB1">
        <w:t xml:space="preserve">Assigned Commissioner’s </w:t>
      </w:r>
      <w:r w:rsidRPr="00F215F1">
        <w:t xml:space="preserve">Scoping Memo and Ruling for this Application, filed July 31, 2025, established a </w:t>
      </w:r>
      <w:r w:rsidR="00AE179F">
        <w:t xml:space="preserve">tentative </w:t>
      </w:r>
      <w:r w:rsidR="00726DA4">
        <w:t>May</w:t>
      </w:r>
      <w:r w:rsidRPr="00F215F1">
        <w:t xml:space="preserve"> 2027 date for a Phase 1 decision in this proceeding.</w:t>
      </w:r>
      <w:r w:rsidRPr="00F215F1">
        <w:rPr>
          <w:rStyle w:val="FootnoteReference"/>
        </w:rPr>
        <w:footnoteReference w:id="2"/>
      </w:r>
    </w:p>
    <w:p w:rsidRPr="00F215F1" w:rsidR="00F215F1" w:rsidP="00F215F1" w:rsidRDefault="00F215F1" w14:paraId="0310B765" w14:textId="31017924">
      <w:pPr>
        <w:pStyle w:val="Standard"/>
      </w:pPr>
      <w:r w:rsidRPr="00F215F1">
        <w:t xml:space="preserve">On January 12, 2026, PG&amp;E filed a motion </w:t>
      </w:r>
      <w:proofErr w:type="gramStart"/>
      <w:r w:rsidRPr="00F215F1">
        <w:t>for</w:t>
      </w:r>
      <w:proofErr w:type="gramEnd"/>
      <w:r w:rsidRPr="00F215F1">
        <w:t xml:space="preserve"> </w:t>
      </w:r>
      <w:proofErr w:type="gramStart"/>
      <w:r w:rsidRPr="00F215F1">
        <w:t>an order</w:t>
      </w:r>
      <w:proofErr w:type="gramEnd"/>
      <w:r w:rsidRPr="00F215F1">
        <w:t xml:space="preserve"> to make new revenue requirements and associated ratemaking mechanisms effective January 1, 2027 (Motion)</w:t>
      </w:r>
      <w:r w:rsidR="00F274F8">
        <w:t>,</w:t>
      </w:r>
      <w:r w:rsidRPr="00F215F1">
        <w:t xml:space="preserve"> even if the Commission issues a decision after that date. This Motion was uncontested.</w:t>
      </w:r>
    </w:p>
    <w:p w:rsidRPr="00F215F1" w:rsidR="00F215F1" w:rsidP="00AC035B" w:rsidRDefault="00F215F1" w14:paraId="64FE31FF" w14:textId="77777777">
      <w:pPr>
        <w:pStyle w:val="Heading1"/>
      </w:pPr>
      <w:bookmarkStart w:name="_Toc234826795" w:id="5"/>
      <w:bookmarkStart w:name="_Toc8123720" w:id="6"/>
      <w:bookmarkEnd w:id="4"/>
      <w:r w:rsidRPr="00F215F1">
        <w:t>PG&amp;E Request</w:t>
      </w:r>
      <w:bookmarkEnd w:id="5"/>
    </w:p>
    <w:p w:rsidRPr="00F215F1" w:rsidR="00F215F1" w:rsidP="00F215F1" w:rsidRDefault="002B4EB1" w14:paraId="06D0EECA" w14:textId="692A36F7">
      <w:pPr>
        <w:rPr>
          <w:color w:val="000000" w:themeColor="text1"/>
        </w:rPr>
      </w:pPr>
      <w:r>
        <w:t xml:space="preserve">In its Motion, </w:t>
      </w:r>
      <w:r w:rsidRPr="00F215F1" w:rsidR="00F215F1">
        <w:t>PG&amp;E note</w:t>
      </w:r>
      <w:r>
        <w:t>s</w:t>
      </w:r>
      <w:r w:rsidRPr="00F215F1" w:rsidR="00F215F1">
        <w:t xml:space="preserve"> that the adopted schedule for this proceeding calls for a Phase 1 decision after January 1, 2027. As a result, PG&amp;E </w:t>
      </w:r>
      <w:r w:rsidRPr="00F215F1">
        <w:t>state</w:t>
      </w:r>
      <w:r>
        <w:t>s</w:t>
      </w:r>
      <w:r w:rsidRPr="00F215F1">
        <w:t xml:space="preserve"> </w:t>
      </w:r>
      <w:r w:rsidRPr="00F215F1" w:rsidR="00F215F1">
        <w:t xml:space="preserve">that an order making new revenue requirements adopted by the Commission effective January 1, 2027 would be necessary to: </w:t>
      </w:r>
      <w:r>
        <w:t>(</w:t>
      </w:r>
      <w:r w:rsidRPr="00F215F1" w:rsidR="00F215F1">
        <w:t xml:space="preserve">1) leave ratepayers and shareholders relatively indifferent to the precise date that the final decision is adopted, </w:t>
      </w:r>
      <w:r>
        <w:t>(</w:t>
      </w:r>
      <w:r w:rsidRPr="00F215F1" w:rsidR="00F215F1">
        <w:t xml:space="preserve">2) reduce incentives for any party to achieve gains that could be realized through further </w:t>
      </w:r>
      <w:r w:rsidRPr="00F215F1" w:rsidR="00F215F1">
        <w:rPr>
          <w:color w:val="000000" w:themeColor="text1"/>
        </w:rPr>
        <w:t xml:space="preserve">delay in the effective date of the proceeding, and </w:t>
      </w:r>
      <w:r>
        <w:rPr>
          <w:color w:val="000000" w:themeColor="text1"/>
        </w:rPr>
        <w:t>(</w:t>
      </w:r>
      <w:r w:rsidRPr="00F215F1" w:rsidR="00F215F1">
        <w:rPr>
          <w:color w:val="000000" w:themeColor="text1"/>
        </w:rPr>
        <w:t>3) allow time for parties, the public, and the Commission to review and analyze the record.</w:t>
      </w:r>
      <w:r w:rsidRPr="00F215F1" w:rsidR="00F215F1">
        <w:rPr>
          <w:color w:val="000000" w:themeColor="text1"/>
          <w:vertAlign w:val="superscript"/>
        </w:rPr>
        <w:footnoteReference w:id="3"/>
      </w:r>
      <w:r w:rsidRPr="00F215F1" w:rsidR="00F215F1">
        <w:rPr>
          <w:color w:val="000000" w:themeColor="text1"/>
        </w:rPr>
        <w:t xml:space="preserve"> </w:t>
      </w:r>
    </w:p>
    <w:p w:rsidRPr="00F215F1" w:rsidR="00F215F1" w:rsidP="00F215F1" w:rsidRDefault="00F215F1" w14:paraId="1865651F" w14:textId="77777777">
      <w:pPr>
        <w:rPr>
          <w:color w:val="000000" w:themeColor="text1"/>
        </w:rPr>
      </w:pPr>
      <w:r w:rsidRPr="00F215F1">
        <w:rPr>
          <w:color w:val="000000" w:themeColor="text1"/>
        </w:rPr>
        <w:t>PG&amp;E’s request has three elements, described below.</w:t>
      </w:r>
    </w:p>
    <w:p w:rsidRPr="00F215F1" w:rsidR="00F215F1" w:rsidP="00AC035B" w:rsidRDefault="00F215F1" w14:paraId="04E51069" w14:textId="77777777">
      <w:pPr>
        <w:pStyle w:val="Heading2"/>
      </w:pPr>
      <w:bookmarkStart w:name="_Toc234826796" w:id="7"/>
      <w:r w:rsidRPr="00F215F1">
        <w:t>Effective Date</w:t>
      </w:r>
      <w:bookmarkEnd w:id="7"/>
      <w:r w:rsidRPr="00F215F1">
        <w:t xml:space="preserve"> </w:t>
      </w:r>
    </w:p>
    <w:p w:rsidRPr="00F215F1" w:rsidR="00F215F1" w:rsidP="00F215F1" w:rsidRDefault="00F215F1" w14:paraId="62B33DD2" w14:textId="2A98DA79">
      <w:pPr>
        <w:rPr>
          <w:color w:val="FF0000"/>
        </w:rPr>
      </w:pPr>
      <w:r w:rsidRPr="00F215F1">
        <w:rPr>
          <w:color w:val="000000" w:themeColor="text1"/>
        </w:rPr>
        <w:t>PG&amp;E state</w:t>
      </w:r>
      <w:r w:rsidR="002B4EB1">
        <w:rPr>
          <w:color w:val="000000" w:themeColor="text1"/>
        </w:rPr>
        <w:t>s</w:t>
      </w:r>
      <w:r w:rsidRPr="00F215F1">
        <w:rPr>
          <w:color w:val="000000" w:themeColor="text1"/>
        </w:rPr>
        <w:t xml:space="preserve"> that the establishment of a January 1, 2027 effective date in this proceeding would be consistent with each of PG&amp;E’s recent GRCs and with other similar proceedings.</w:t>
      </w:r>
      <w:r w:rsidRPr="00F215F1">
        <w:rPr>
          <w:color w:val="000000" w:themeColor="text1"/>
          <w:vertAlign w:val="superscript"/>
        </w:rPr>
        <w:footnoteReference w:id="4"/>
      </w:r>
      <w:r w:rsidRPr="00F215F1">
        <w:rPr>
          <w:color w:val="000000" w:themeColor="text1"/>
        </w:rPr>
        <w:t xml:space="preserve"> In addition, PG&amp;E </w:t>
      </w:r>
      <w:r w:rsidR="00D45729">
        <w:rPr>
          <w:color w:val="000000" w:themeColor="text1"/>
        </w:rPr>
        <w:t>states</w:t>
      </w:r>
      <w:r w:rsidRPr="00F215F1" w:rsidR="00D45729">
        <w:rPr>
          <w:color w:val="000000" w:themeColor="text1"/>
        </w:rPr>
        <w:t xml:space="preserve"> </w:t>
      </w:r>
      <w:r w:rsidRPr="00F215F1">
        <w:rPr>
          <w:color w:val="000000" w:themeColor="text1"/>
        </w:rPr>
        <w:t xml:space="preserve">that the relief sought in the Motion would be consistent with the Commission’s objective to ensure that </w:t>
      </w:r>
      <w:r w:rsidRPr="00F215F1">
        <w:lastRenderedPageBreak/>
        <w:t>affected parties are financially indifferent to the timing of the Commission’s final decision.</w:t>
      </w:r>
      <w:r w:rsidRPr="00F215F1">
        <w:rPr>
          <w:vertAlign w:val="superscript"/>
        </w:rPr>
        <w:footnoteReference w:id="5"/>
      </w:r>
      <w:r w:rsidRPr="00F215F1">
        <w:t xml:space="preserve"> PG&amp;E further </w:t>
      </w:r>
      <w:r w:rsidR="00D45729">
        <w:t>states</w:t>
      </w:r>
      <w:r w:rsidRPr="00F215F1" w:rsidR="00D45729">
        <w:t xml:space="preserve"> </w:t>
      </w:r>
      <w:r w:rsidRPr="00F215F1">
        <w:t>that approval of its request before the test year would avoid retroactive ratemaking, which is prohibited.</w:t>
      </w:r>
      <w:r w:rsidRPr="00F215F1">
        <w:rPr>
          <w:vertAlign w:val="superscript"/>
        </w:rPr>
        <w:footnoteReference w:id="6"/>
      </w:r>
      <w:r w:rsidRPr="00F215F1">
        <w:t xml:space="preserve"> </w:t>
      </w:r>
    </w:p>
    <w:p w:rsidRPr="00F215F1" w:rsidR="00F215F1" w:rsidP="00AC035B" w:rsidRDefault="00F215F1" w14:paraId="11578B8A" w14:textId="77777777">
      <w:pPr>
        <w:pStyle w:val="Heading2"/>
      </w:pPr>
      <w:bookmarkStart w:name="_Toc234826797" w:id="8"/>
      <w:r w:rsidRPr="00F215F1">
        <w:t>Interest Rate</w:t>
      </w:r>
      <w:bookmarkEnd w:id="8"/>
    </w:p>
    <w:p w:rsidRPr="00F215F1" w:rsidR="00F215F1" w:rsidP="00F215F1" w:rsidRDefault="00F215F1" w14:paraId="6690F656" w14:textId="61475C3B">
      <w:pPr>
        <w:rPr>
          <w:color w:val="000000" w:themeColor="text1"/>
        </w:rPr>
      </w:pPr>
      <w:r w:rsidRPr="00F215F1">
        <w:rPr>
          <w:color w:val="000000" w:themeColor="text1"/>
        </w:rPr>
        <w:t xml:space="preserve">PG&amp;E </w:t>
      </w:r>
      <w:r w:rsidRPr="00F215F1" w:rsidR="002B4EB1">
        <w:rPr>
          <w:color w:val="000000" w:themeColor="text1"/>
        </w:rPr>
        <w:t>request</w:t>
      </w:r>
      <w:r w:rsidR="002B4EB1">
        <w:rPr>
          <w:color w:val="000000" w:themeColor="text1"/>
        </w:rPr>
        <w:t>s</w:t>
      </w:r>
      <w:r w:rsidRPr="00F215F1" w:rsidR="002B4EB1">
        <w:rPr>
          <w:color w:val="000000" w:themeColor="text1"/>
        </w:rPr>
        <w:t xml:space="preserve"> </w:t>
      </w:r>
      <w:r w:rsidRPr="00F215F1">
        <w:rPr>
          <w:color w:val="000000" w:themeColor="text1"/>
        </w:rPr>
        <w:t>that the Commission issue an order that the adopted revenue requirements include interest, based on a Federal Reserve three-month commercial paper rate.</w:t>
      </w:r>
      <w:r w:rsidRPr="00F215F1">
        <w:rPr>
          <w:color w:val="000000" w:themeColor="text1"/>
          <w:vertAlign w:val="superscript"/>
        </w:rPr>
        <w:footnoteReference w:id="7"/>
      </w:r>
      <w:r w:rsidRPr="00F215F1">
        <w:rPr>
          <w:color w:val="000000" w:themeColor="text1"/>
        </w:rPr>
        <w:t xml:space="preserve"> PG&amp;E state</w:t>
      </w:r>
      <w:r w:rsidR="00312085">
        <w:rPr>
          <w:color w:val="000000" w:themeColor="text1"/>
        </w:rPr>
        <w:t>s</w:t>
      </w:r>
      <w:r w:rsidRPr="00F215F1">
        <w:rPr>
          <w:color w:val="000000" w:themeColor="text1"/>
        </w:rPr>
        <w:t xml:space="preserve"> that this would be consistent with the Commission’s decisions in other GRCs.</w:t>
      </w:r>
      <w:r w:rsidRPr="00F215F1">
        <w:rPr>
          <w:color w:val="000000" w:themeColor="text1"/>
          <w:vertAlign w:val="superscript"/>
        </w:rPr>
        <w:footnoteReference w:id="8"/>
      </w:r>
      <w:r w:rsidRPr="00F215F1">
        <w:rPr>
          <w:color w:val="000000" w:themeColor="text1"/>
        </w:rPr>
        <w:t xml:space="preserve">  </w:t>
      </w:r>
    </w:p>
    <w:p w:rsidRPr="00F215F1" w:rsidR="00F215F1" w:rsidP="00AC035B" w:rsidRDefault="00F215F1" w14:paraId="62472CD6" w14:textId="77777777">
      <w:pPr>
        <w:pStyle w:val="Heading2"/>
      </w:pPr>
      <w:bookmarkStart w:name="_Toc234826798" w:id="9"/>
      <w:r w:rsidRPr="00F215F1">
        <w:t>Memorandum Accounts</w:t>
      </w:r>
      <w:bookmarkEnd w:id="9"/>
      <w:r w:rsidRPr="00F215F1">
        <w:t xml:space="preserve"> </w:t>
      </w:r>
    </w:p>
    <w:p w:rsidRPr="00AF30A9" w:rsidR="00FA3E6C" w:rsidP="00FA3E6C" w:rsidRDefault="00FA3E6C" w14:paraId="34B699FE" w14:textId="77777777">
      <w:pPr>
        <w:pStyle w:val="Standard"/>
        <w:rPr>
          <w:color w:val="000000" w:themeColor="text1"/>
        </w:rPr>
      </w:pPr>
      <w:bookmarkStart w:name="_Toc234826799" w:id="10"/>
      <w:r w:rsidRPr="00AF30A9">
        <w:rPr>
          <w:color w:val="000000" w:themeColor="text1"/>
        </w:rPr>
        <w:t xml:space="preserve">PG&amp;E requests that the Commission authorize PG&amp;E to track existing revenue requirements, interest, and the new revenue requirement in three memorandum accounts: </w:t>
      </w:r>
    </w:p>
    <w:p w:rsidRPr="00AF30A9" w:rsidR="00FA3E6C" w:rsidP="00AC035B" w:rsidRDefault="00FA3E6C" w14:paraId="5C3E62F0" w14:textId="77777777">
      <w:pPr>
        <w:pStyle w:val="ListBullet"/>
        <w:ind w:right="1440"/>
        <w:rPr>
          <w:color w:val="000000" w:themeColor="text1"/>
        </w:rPr>
      </w:pPr>
      <w:r w:rsidRPr="00AF30A9">
        <w:rPr>
          <w:color w:val="000000" w:themeColor="text1"/>
        </w:rPr>
        <w:t xml:space="preserve">The General Rate Case </w:t>
      </w:r>
      <w:r>
        <w:rPr>
          <w:color w:val="000000" w:themeColor="text1"/>
        </w:rPr>
        <w:t xml:space="preserve">Gas Distribution </w:t>
      </w:r>
      <w:r w:rsidRPr="00AF30A9">
        <w:rPr>
          <w:color w:val="000000" w:themeColor="text1"/>
        </w:rPr>
        <w:t xml:space="preserve">Memorandum Account (GRCGDMA); </w:t>
      </w:r>
    </w:p>
    <w:p w:rsidRPr="00AF30A9" w:rsidR="00FA3E6C" w:rsidP="00AC035B" w:rsidRDefault="00FA3E6C" w14:paraId="60667DD5" w14:textId="77777777">
      <w:pPr>
        <w:pStyle w:val="ListBullet"/>
        <w:ind w:right="1440"/>
        <w:rPr>
          <w:color w:val="000000" w:themeColor="text1"/>
        </w:rPr>
      </w:pPr>
      <w:r w:rsidRPr="00AF30A9">
        <w:rPr>
          <w:color w:val="000000" w:themeColor="text1"/>
        </w:rPr>
        <w:t xml:space="preserve">The General Rate Case </w:t>
      </w:r>
      <w:r>
        <w:rPr>
          <w:color w:val="000000" w:themeColor="text1"/>
        </w:rPr>
        <w:t xml:space="preserve">Electric </w:t>
      </w:r>
      <w:r w:rsidRPr="00AF30A9">
        <w:rPr>
          <w:color w:val="000000" w:themeColor="text1"/>
        </w:rPr>
        <w:t xml:space="preserve">Memorandum Account (GRCEMA); and  </w:t>
      </w:r>
    </w:p>
    <w:p w:rsidRPr="00AF30A9" w:rsidR="00FA3E6C" w:rsidP="00AC035B" w:rsidRDefault="00FA3E6C" w14:paraId="56F63CC1" w14:textId="77777777">
      <w:pPr>
        <w:pStyle w:val="ListBullet"/>
        <w:ind w:right="1440"/>
        <w:rPr>
          <w:color w:val="000000" w:themeColor="text1"/>
        </w:rPr>
      </w:pPr>
      <w:r w:rsidRPr="00AF30A9">
        <w:rPr>
          <w:color w:val="000000" w:themeColor="text1"/>
        </w:rPr>
        <w:t>The General Rate Case Gas Transmission and Storage Memorandum Account (GRCGTSMA).</w:t>
      </w:r>
      <w:r w:rsidRPr="00AF30A9">
        <w:rPr>
          <w:rStyle w:val="FootnoteReference"/>
          <w:color w:val="000000" w:themeColor="text1"/>
        </w:rPr>
        <w:footnoteReference w:id="9"/>
      </w:r>
      <w:r w:rsidRPr="00AF30A9">
        <w:rPr>
          <w:color w:val="000000" w:themeColor="text1"/>
        </w:rPr>
        <w:t xml:space="preserve"> </w:t>
      </w:r>
    </w:p>
    <w:p w:rsidRPr="00AF30A9" w:rsidR="00FA3E6C" w:rsidP="00FA3E6C" w:rsidRDefault="00FA3E6C" w14:paraId="3F8592ED" w14:textId="538AC9E6">
      <w:pPr>
        <w:pStyle w:val="Standard"/>
        <w:rPr>
          <w:color w:val="000000" w:themeColor="text1"/>
        </w:rPr>
      </w:pPr>
      <w:r w:rsidRPr="00AF30A9">
        <w:rPr>
          <w:color w:val="000000" w:themeColor="text1"/>
        </w:rPr>
        <w:lastRenderedPageBreak/>
        <w:t xml:space="preserve">PG&amp;E </w:t>
      </w:r>
      <w:r w:rsidR="00D45729">
        <w:rPr>
          <w:color w:val="000000" w:themeColor="text1"/>
        </w:rPr>
        <w:t>states</w:t>
      </w:r>
      <w:r w:rsidRPr="00AF30A9" w:rsidR="00D45729">
        <w:rPr>
          <w:color w:val="000000" w:themeColor="text1"/>
        </w:rPr>
        <w:t xml:space="preserve"> </w:t>
      </w:r>
      <w:r w:rsidRPr="00AF30A9">
        <w:rPr>
          <w:color w:val="000000" w:themeColor="text1"/>
        </w:rPr>
        <w:t xml:space="preserve">that in its </w:t>
      </w:r>
      <w:r>
        <w:rPr>
          <w:color w:val="000000" w:themeColor="text1"/>
        </w:rPr>
        <w:t xml:space="preserve">Test Year </w:t>
      </w:r>
      <w:r w:rsidRPr="00AF30A9">
        <w:rPr>
          <w:color w:val="000000" w:themeColor="text1"/>
        </w:rPr>
        <w:t>2020 GRC, the Commission required PG&amp;E to establish memorandum accounts</w:t>
      </w:r>
      <w:r>
        <w:rPr>
          <w:color w:val="000000" w:themeColor="text1"/>
        </w:rPr>
        <w:t xml:space="preserve"> </w:t>
      </w:r>
      <w:r w:rsidRPr="00AF30A9">
        <w:rPr>
          <w:color w:val="000000" w:themeColor="text1"/>
        </w:rPr>
        <w:t>in its decision on PG&amp;E’s motion for a January 1, 2020 effective date.</w:t>
      </w:r>
      <w:r w:rsidRPr="00AF30A9">
        <w:rPr>
          <w:rStyle w:val="FootnoteReference"/>
          <w:color w:val="000000" w:themeColor="text1"/>
        </w:rPr>
        <w:footnoteReference w:id="10"/>
      </w:r>
      <w:r w:rsidRPr="00AF30A9">
        <w:rPr>
          <w:color w:val="000000" w:themeColor="text1"/>
        </w:rPr>
        <w:t xml:space="preserve">   </w:t>
      </w:r>
    </w:p>
    <w:p w:rsidRPr="00AF30A9" w:rsidR="00FA3E6C" w:rsidP="00FA3E6C" w:rsidRDefault="00FA3E6C" w14:paraId="02626DA3" w14:textId="05BE92D9">
      <w:pPr>
        <w:pStyle w:val="Standard"/>
        <w:rPr>
          <w:color w:val="000000" w:themeColor="text1"/>
        </w:rPr>
      </w:pPr>
      <w:r w:rsidRPr="00AF30A9">
        <w:rPr>
          <w:color w:val="000000" w:themeColor="text1"/>
        </w:rPr>
        <w:t xml:space="preserve">PG&amp;E </w:t>
      </w:r>
      <w:r>
        <w:rPr>
          <w:color w:val="000000" w:themeColor="text1"/>
        </w:rPr>
        <w:t>request</w:t>
      </w:r>
      <w:r w:rsidR="00312085">
        <w:rPr>
          <w:color w:val="000000" w:themeColor="text1"/>
        </w:rPr>
        <w:t>s</w:t>
      </w:r>
      <w:r w:rsidRPr="00AF30A9">
        <w:rPr>
          <w:color w:val="000000" w:themeColor="text1"/>
        </w:rPr>
        <w:t xml:space="preserve"> that the Commission again approve the GRCGDMA and GRCEMA to track any over- or under-collection in the gas distribution and electric distribution and generation revenue requirements, respectively, effective January 1, 2027.</w:t>
      </w:r>
      <w:r>
        <w:rPr>
          <w:rStyle w:val="FootnoteReference"/>
          <w:color w:val="000000" w:themeColor="text1"/>
        </w:rPr>
        <w:footnoteReference w:id="11"/>
      </w:r>
      <w:r w:rsidRPr="00AF30A9">
        <w:rPr>
          <w:color w:val="000000" w:themeColor="text1"/>
        </w:rPr>
        <w:t xml:space="preserve"> </w:t>
      </w:r>
    </w:p>
    <w:p w:rsidRPr="00AF30A9" w:rsidR="00FA3E6C" w:rsidP="00FA3E6C" w:rsidRDefault="00FA3E6C" w14:paraId="1514AA09" w14:textId="6081A988">
      <w:pPr>
        <w:pStyle w:val="Standard"/>
        <w:rPr>
          <w:color w:val="000000" w:themeColor="text1"/>
        </w:rPr>
      </w:pPr>
      <w:r w:rsidRPr="00AF30A9">
        <w:rPr>
          <w:color w:val="000000" w:themeColor="text1"/>
        </w:rPr>
        <w:t xml:space="preserve">PG&amp;E </w:t>
      </w:r>
      <w:r>
        <w:rPr>
          <w:color w:val="000000" w:themeColor="text1"/>
        </w:rPr>
        <w:t>also request</w:t>
      </w:r>
      <w:r w:rsidR="00312085">
        <w:rPr>
          <w:color w:val="000000" w:themeColor="text1"/>
        </w:rPr>
        <w:t>s</w:t>
      </w:r>
      <w:r w:rsidRPr="00AF30A9">
        <w:rPr>
          <w:color w:val="000000" w:themeColor="text1"/>
        </w:rPr>
        <w:t xml:space="preserve"> that the Commission authorize continued use of the GRCGTSMA to allow tracking of over- or under-collection</w:t>
      </w:r>
      <w:r>
        <w:rPr>
          <w:color w:val="000000" w:themeColor="text1"/>
        </w:rPr>
        <w:t>s</w:t>
      </w:r>
      <w:r w:rsidRPr="00AF30A9">
        <w:rPr>
          <w:color w:val="000000" w:themeColor="text1"/>
        </w:rPr>
        <w:t xml:space="preserve"> related to approved gas transmission and storage revenue requirements associated with any delayed implementation of this GRC.</w:t>
      </w:r>
      <w:r>
        <w:rPr>
          <w:rStyle w:val="FootnoteReference"/>
          <w:color w:val="000000" w:themeColor="text1"/>
        </w:rPr>
        <w:footnoteReference w:id="12"/>
      </w:r>
      <w:r w:rsidRPr="00AF30A9">
        <w:rPr>
          <w:color w:val="000000" w:themeColor="text1"/>
        </w:rPr>
        <w:t xml:space="preserve"> PG&amp;E </w:t>
      </w:r>
      <w:r w:rsidR="008447F6">
        <w:rPr>
          <w:color w:val="000000" w:themeColor="text1"/>
        </w:rPr>
        <w:t>states</w:t>
      </w:r>
      <w:r w:rsidRPr="00AF30A9" w:rsidR="008447F6">
        <w:rPr>
          <w:color w:val="000000" w:themeColor="text1"/>
        </w:rPr>
        <w:t xml:space="preserve"> </w:t>
      </w:r>
      <w:r w:rsidRPr="00AF30A9">
        <w:rPr>
          <w:color w:val="000000" w:themeColor="text1"/>
        </w:rPr>
        <w:t xml:space="preserve">that the Commission approved </w:t>
      </w:r>
      <w:r>
        <w:rPr>
          <w:color w:val="000000" w:themeColor="text1"/>
        </w:rPr>
        <w:t xml:space="preserve">the </w:t>
      </w:r>
      <w:r w:rsidRPr="00AF30A9">
        <w:rPr>
          <w:color w:val="000000" w:themeColor="text1"/>
        </w:rPr>
        <w:t>GRCGTSMA</w:t>
      </w:r>
      <w:r>
        <w:rPr>
          <w:color w:val="000000" w:themeColor="text1"/>
        </w:rPr>
        <w:t xml:space="preserve"> </w:t>
      </w:r>
      <w:r w:rsidRPr="00AF30A9">
        <w:rPr>
          <w:color w:val="000000" w:themeColor="text1"/>
        </w:rPr>
        <w:t>for this same purpose in multiple gas transmission and storage rate cases.</w:t>
      </w:r>
      <w:r w:rsidRPr="00AF30A9">
        <w:rPr>
          <w:rStyle w:val="FootnoteReference"/>
          <w:color w:val="000000" w:themeColor="text1"/>
        </w:rPr>
        <w:footnoteReference w:id="13"/>
      </w:r>
      <w:r w:rsidRPr="00AF30A9">
        <w:rPr>
          <w:color w:val="000000" w:themeColor="text1"/>
        </w:rPr>
        <w:t xml:space="preserve">  </w:t>
      </w:r>
    </w:p>
    <w:p w:rsidRPr="00AF30A9" w:rsidR="00FA3E6C" w:rsidP="00FA3E6C" w:rsidRDefault="00FA3E6C" w14:paraId="54CBC801" w14:textId="4646AEBF">
      <w:pPr>
        <w:pStyle w:val="Standard"/>
        <w:rPr>
          <w:color w:val="000000" w:themeColor="text1"/>
        </w:rPr>
      </w:pPr>
      <w:r w:rsidRPr="00AF30A9">
        <w:rPr>
          <w:color w:val="000000" w:themeColor="text1"/>
        </w:rPr>
        <w:t>If this motion is approved, PG&amp;E</w:t>
      </w:r>
      <w:r w:rsidR="006E66FF">
        <w:rPr>
          <w:color w:val="000000" w:themeColor="text1"/>
        </w:rPr>
        <w:t xml:space="preserve"> </w:t>
      </w:r>
      <w:r w:rsidRPr="00AF30A9" w:rsidR="006E66FF">
        <w:rPr>
          <w:color w:val="000000" w:themeColor="text1"/>
        </w:rPr>
        <w:t>propose</w:t>
      </w:r>
      <w:r w:rsidR="006E66FF">
        <w:rPr>
          <w:color w:val="000000" w:themeColor="text1"/>
        </w:rPr>
        <w:t>s</w:t>
      </w:r>
      <w:r w:rsidRPr="00AF30A9" w:rsidR="006E66FF">
        <w:rPr>
          <w:color w:val="000000" w:themeColor="text1"/>
        </w:rPr>
        <w:t xml:space="preserve"> </w:t>
      </w:r>
      <w:r w:rsidRPr="00AF30A9">
        <w:rPr>
          <w:color w:val="000000" w:themeColor="text1"/>
        </w:rPr>
        <w:t xml:space="preserve">to file any necessary changes to the preliminary statements for the GRCGDMA, GRCEMA, and GRCGTSMA by a Tier 1 </w:t>
      </w:r>
      <w:r w:rsidR="00F40CEF">
        <w:rPr>
          <w:color w:val="000000" w:themeColor="text1"/>
        </w:rPr>
        <w:t>A</w:t>
      </w:r>
      <w:r w:rsidRPr="00AF30A9">
        <w:rPr>
          <w:color w:val="000000" w:themeColor="text1"/>
        </w:rPr>
        <w:t xml:space="preserve">dvice </w:t>
      </w:r>
      <w:r w:rsidR="00F40CEF">
        <w:rPr>
          <w:color w:val="000000" w:themeColor="text1"/>
        </w:rPr>
        <w:t>L</w:t>
      </w:r>
      <w:r w:rsidRPr="00AF30A9">
        <w:rPr>
          <w:color w:val="000000" w:themeColor="text1"/>
        </w:rPr>
        <w:t>etter.</w:t>
      </w:r>
      <w:r w:rsidRPr="00AF30A9">
        <w:rPr>
          <w:rStyle w:val="FootnoteReference"/>
          <w:color w:val="000000" w:themeColor="text1"/>
        </w:rPr>
        <w:footnoteReference w:id="14"/>
      </w:r>
    </w:p>
    <w:p w:rsidR="005939A5" w:rsidP="005939A5" w:rsidRDefault="005939A5" w14:paraId="3C84ABB6" w14:textId="40393085">
      <w:pPr>
        <w:pStyle w:val="Heading1"/>
      </w:pPr>
      <w:r>
        <w:t>Discussion</w:t>
      </w:r>
      <w:bookmarkEnd w:id="10"/>
      <w:r>
        <w:t xml:space="preserve"> </w:t>
      </w:r>
      <w:bookmarkEnd w:id="6"/>
    </w:p>
    <w:p w:rsidRPr="007C755C" w:rsidR="0034097F" w:rsidP="0034097F" w:rsidRDefault="0034097F" w14:paraId="37CB24CE" w14:textId="6AC1AE25">
      <w:pPr>
        <w:keepNext/>
        <w:rPr>
          <w:color w:val="000000" w:themeColor="text1"/>
        </w:rPr>
      </w:pPr>
      <w:bookmarkStart w:name="_Toc234826800" w:id="11"/>
      <w:bookmarkStart w:name="_Toc8123721" w:id="12"/>
      <w:r w:rsidRPr="00AF30A9">
        <w:rPr>
          <w:color w:val="000000" w:themeColor="text1"/>
        </w:rPr>
        <w:t xml:space="preserve">We agree with PG&amp;E that granting this motion would leave ratepayers and shareholders relatively indifferent to </w:t>
      </w:r>
      <w:r w:rsidR="00312085">
        <w:rPr>
          <w:color w:val="000000" w:themeColor="text1"/>
        </w:rPr>
        <w:t xml:space="preserve">the </w:t>
      </w:r>
      <w:r w:rsidRPr="00AF30A9">
        <w:rPr>
          <w:color w:val="000000" w:themeColor="text1"/>
        </w:rPr>
        <w:t>Phase 1 decision date</w:t>
      </w:r>
      <w:r w:rsidR="00312085">
        <w:rPr>
          <w:color w:val="000000" w:themeColor="text1"/>
        </w:rPr>
        <w:t xml:space="preserve"> in this proceeding</w:t>
      </w:r>
      <w:r w:rsidRPr="00AF30A9">
        <w:rPr>
          <w:color w:val="000000" w:themeColor="text1"/>
        </w:rPr>
        <w:t xml:space="preserve">, reduce incentives for delay, and allow time to review and analyze </w:t>
      </w:r>
      <w:r w:rsidRPr="00AF30A9">
        <w:rPr>
          <w:color w:val="000000" w:themeColor="text1"/>
        </w:rPr>
        <w:lastRenderedPageBreak/>
        <w:t xml:space="preserve">the record. Revenue requirement memorandum accounts are routinely used in GRCs to achieve these </w:t>
      </w:r>
      <w:r w:rsidRPr="007C755C">
        <w:rPr>
          <w:color w:val="000000" w:themeColor="text1"/>
        </w:rPr>
        <w:t xml:space="preserve">goals. </w:t>
      </w:r>
    </w:p>
    <w:p w:rsidRPr="00101C26" w:rsidR="0034097F" w:rsidP="0034097F" w:rsidRDefault="0034097F" w14:paraId="074FD046" w14:textId="77777777">
      <w:pPr>
        <w:pStyle w:val="Standard"/>
        <w:rPr>
          <w:b/>
          <w:color w:val="000000" w:themeColor="text1"/>
        </w:rPr>
      </w:pPr>
      <w:r w:rsidRPr="00101C26">
        <w:rPr>
          <w:color w:val="000000" w:themeColor="text1"/>
        </w:rPr>
        <w:t>Granting this motion does not bind the Commission to grant PG&amp;E’s requested revenue requirement. Rather, granting the motion avoids potential retroactive ratemaking issues by preserving the Commission’s discretion to later authorize PG&amp;E to include in customer rates the delta between 2023 GRC authorized revenues and revenues authorized in the Phase 1 decision for this proceeding.</w:t>
      </w:r>
    </w:p>
    <w:p w:rsidR="005939A5" w:rsidP="005939A5" w:rsidRDefault="005939A5" w14:paraId="6C561658" w14:textId="77777777">
      <w:pPr>
        <w:pStyle w:val="Heading1"/>
      </w:pPr>
      <w:bookmarkStart w:name="_Toc8123723" w:id="13"/>
      <w:bookmarkStart w:name="_Toc234826802" w:id="14"/>
      <w:bookmarkEnd w:id="11"/>
      <w:bookmarkEnd w:id="12"/>
      <w:r>
        <w:t>Comments on Proposed Decision</w:t>
      </w:r>
      <w:bookmarkEnd w:id="13"/>
      <w:bookmarkEnd w:id="14"/>
    </w:p>
    <w:p w:rsidR="005939A5" w:rsidP="005C58FA" w:rsidRDefault="005C58FA" w14:paraId="5B1107D2" w14:textId="082EF434">
      <w:pPr>
        <w:pStyle w:val="Standard"/>
      </w:pPr>
      <w:r w:rsidRPr="00F215F1">
        <w:t xml:space="preserve">The proposed decision of </w:t>
      </w:r>
      <w:r w:rsidR="00312085">
        <w:t xml:space="preserve">Administrative Law Judges </w:t>
      </w:r>
      <w:r w:rsidRPr="00F215F1" w:rsidR="00F215F1">
        <w:t xml:space="preserve">Elizabeth Fox, Darryl Gruen, and John Larsen </w:t>
      </w:r>
      <w:r w:rsidRPr="00F215F1">
        <w:t>in this matter was mailed to the parties in accordance with Section 311 of</w:t>
      </w:r>
      <w:r>
        <w:t xml:space="preserve"> the Public Utilities Code and comments were allowed under Rule 14.3 of the Commission’s Rules of Practice and Procedure. </w:t>
      </w:r>
      <w:r w:rsidRPr="00483087" w:rsidR="00483087">
        <w:t>No party filed comments.</w:t>
      </w:r>
    </w:p>
    <w:p w:rsidR="005939A5" w:rsidP="005939A5" w:rsidRDefault="005939A5" w14:paraId="3765EF30" w14:textId="77777777">
      <w:pPr>
        <w:pStyle w:val="Heading1"/>
      </w:pPr>
      <w:bookmarkStart w:name="_Toc8123724" w:id="15"/>
      <w:bookmarkStart w:name="_Toc234826803" w:id="16"/>
      <w:r>
        <w:t>Assignment of Proceeding</w:t>
      </w:r>
      <w:bookmarkEnd w:id="15"/>
      <w:bookmarkEnd w:id="16"/>
    </w:p>
    <w:p w:rsidR="005939A5" w:rsidP="006E6574" w:rsidRDefault="00F215F1" w14:paraId="5C95CD7E" w14:textId="53460ADD">
      <w:pPr>
        <w:pStyle w:val="Standard"/>
      </w:pPr>
      <w:r>
        <w:t>Matthew Baker</w:t>
      </w:r>
      <w:r w:rsidR="005939A5">
        <w:t xml:space="preserve"> is the assigned Commissioner and </w:t>
      </w:r>
      <w:r w:rsidRPr="00F215F1">
        <w:t xml:space="preserve">Elizabeth Fox, Darryl Gruen, and John Larsen </w:t>
      </w:r>
      <w:r>
        <w:t xml:space="preserve">are </w:t>
      </w:r>
      <w:r w:rsidR="005939A5">
        <w:t>the assigned Administrative Law Judge</w:t>
      </w:r>
      <w:r>
        <w:t>s</w:t>
      </w:r>
      <w:r w:rsidR="005939A5">
        <w:t xml:space="preserve"> in this proceeding.</w:t>
      </w:r>
    </w:p>
    <w:p w:rsidR="005939A5" w:rsidP="005939A5" w:rsidRDefault="005939A5" w14:paraId="79F9386E" w14:textId="77777777">
      <w:pPr>
        <w:pStyle w:val="Dummy"/>
      </w:pPr>
      <w:bookmarkStart w:name="_Toc8123725" w:id="17"/>
      <w:bookmarkStart w:name="_Toc234826804" w:id="18"/>
      <w:r>
        <w:t>Findings of Fact</w:t>
      </w:r>
      <w:bookmarkEnd w:id="17"/>
      <w:bookmarkEnd w:id="18"/>
    </w:p>
    <w:p w:rsidRPr="00B91728" w:rsidR="006F4E62" w:rsidP="00D337EE" w:rsidRDefault="006F4E62" w14:paraId="4416E9A9" w14:textId="56B0B34A">
      <w:pPr>
        <w:pStyle w:val="CoL"/>
        <w:rPr>
          <w:color w:val="000000" w:themeColor="text1"/>
        </w:rPr>
      </w:pPr>
      <w:r w:rsidRPr="00B91728">
        <w:rPr>
          <w:color w:val="000000" w:themeColor="text1"/>
        </w:rPr>
        <w:t xml:space="preserve">In this </w:t>
      </w:r>
      <w:r w:rsidRPr="00D337EE">
        <w:rPr>
          <w:color w:val="000000" w:themeColor="text1"/>
        </w:rPr>
        <w:t>proceeding</w:t>
      </w:r>
      <w:r w:rsidRPr="00B91728">
        <w:rPr>
          <w:color w:val="000000" w:themeColor="text1"/>
        </w:rPr>
        <w:t>, PG&amp;E requests approval of its forecast GRC revenue requirement for implementation beginning January 1, 2027.</w:t>
      </w:r>
    </w:p>
    <w:p w:rsidRPr="00B91728" w:rsidR="006F4E62" w:rsidP="00D337EE" w:rsidRDefault="00580959" w14:paraId="581A4B2F" w14:textId="054CD794">
      <w:pPr>
        <w:pStyle w:val="CoL"/>
        <w:rPr>
          <w:color w:val="000000" w:themeColor="text1"/>
        </w:rPr>
      </w:pPr>
      <w:r>
        <w:rPr>
          <w:color w:val="000000" w:themeColor="text1"/>
        </w:rPr>
        <w:t>The</w:t>
      </w:r>
      <w:r w:rsidRPr="00B91728" w:rsidR="006F4E62">
        <w:rPr>
          <w:color w:val="000000" w:themeColor="text1"/>
        </w:rPr>
        <w:t xml:space="preserve"> current </w:t>
      </w:r>
      <w:r w:rsidR="00312085">
        <w:rPr>
          <w:color w:val="000000" w:themeColor="text1"/>
        </w:rPr>
        <w:t xml:space="preserve">proceeding </w:t>
      </w:r>
      <w:r w:rsidRPr="00B91728" w:rsidR="006F4E62">
        <w:rPr>
          <w:color w:val="000000" w:themeColor="text1"/>
        </w:rPr>
        <w:t>schedule</w:t>
      </w:r>
      <w:r w:rsidR="0011781C">
        <w:rPr>
          <w:color w:val="000000" w:themeColor="text1"/>
        </w:rPr>
        <w:t xml:space="preserve"> </w:t>
      </w:r>
      <w:r w:rsidR="00862D0D">
        <w:rPr>
          <w:color w:val="000000" w:themeColor="text1"/>
        </w:rPr>
        <w:t xml:space="preserve">provides </w:t>
      </w:r>
      <w:r w:rsidRPr="00B91728" w:rsidR="006F4E62">
        <w:rPr>
          <w:color w:val="000000" w:themeColor="text1"/>
        </w:rPr>
        <w:t>the effective date for a Commission decision regarding PG&amp;E’s GRC revenue requirement after January 1, 2027.</w:t>
      </w:r>
    </w:p>
    <w:p w:rsidRPr="00B91728" w:rsidR="008E6AE6" w:rsidP="00D337EE" w:rsidRDefault="00E2674D" w14:paraId="4AC3C4E1" w14:textId="1E1AE258">
      <w:pPr>
        <w:pStyle w:val="CoL"/>
        <w:rPr>
          <w:color w:val="000000" w:themeColor="text1"/>
        </w:rPr>
      </w:pPr>
      <w:r w:rsidRPr="00B91728">
        <w:rPr>
          <w:color w:val="000000" w:themeColor="text1"/>
        </w:rPr>
        <w:t xml:space="preserve">No party opposed </w:t>
      </w:r>
      <w:r w:rsidRPr="00B91728" w:rsidR="006F4E62">
        <w:rPr>
          <w:color w:val="000000" w:themeColor="text1"/>
        </w:rPr>
        <w:t>PG&amp;E’s request for the Commission to provide that PG&amp;E’s GRC revenue requirement for the 202</w:t>
      </w:r>
      <w:r w:rsidRPr="00B91728">
        <w:rPr>
          <w:color w:val="000000" w:themeColor="text1"/>
        </w:rPr>
        <w:t>7</w:t>
      </w:r>
      <w:r w:rsidRPr="00B91728" w:rsidR="006F4E62">
        <w:rPr>
          <w:color w:val="000000" w:themeColor="text1"/>
        </w:rPr>
        <w:t xml:space="preserve"> </w:t>
      </w:r>
      <w:r w:rsidRPr="00B91728" w:rsidR="00BF7F2D">
        <w:rPr>
          <w:color w:val="000000" w:themeColor="text1"/>
        </w:rPr>
        <w:t xml:space="preserve">Test Year </w:t>
      </w:r>
      <w:r w:rsidRPr="00B91728" w:rsidR="006F4E62">
        <w:rPr>
          <w:color w:val="000000" w:themeColor="text1"/>
        </w:rPr>
        <w:t xml:space="preserve">ultimately adopted by </w:t>
      </w:r>
      <w:r w:rsidRPr="00B91728" w:rsidR="006F4E62">
        <w:rPr>
          <w:color w:val="000000" w:themeColor="text1"/>
        </w:rPr>
        <w:lastRenderedPageBreak/>
        <w:t>the Commission be effective January 1, 202</w:t>
      </w:r>
      <w:r w:rsidRPr="00B91728">
        <w:rPr>
          <w:color w:val="000000" w:themeColor="text1"/>
        </w:rPr>
        <w:t>7</w:t>
      </w:r>
      <w:r w:rsidRPr="00B91728" w:rsidR="006F4E62">
        <w:rPr>
          <w:color w:val="000000" w:themeColor="text1"/>
        </w:rPr>
        <w:t>, even if the Commission issues its decision after that date.</w:t>
      </w:r>
    </w:p>
    <w:p w:rsidRPr="00D337EE" w:rsidR="001E3BBE" w:rsidP="00D337EE" w:rsidRDefault="00F40CEF" w14:paraId="54EB848C" w14:textId="29068CE8">
      <w:pPr>
        <w:pStyle w:val="CoL"/>
        <w:rPr>
          <w:color w:val="000000" w:themeColor="text1"/>
        </w:rPr>
      </w:pPr>
      <w:r>
        <w:rPr>
          <w:color w:val="000000" w:themeColor="text1"/>
        </w:rPr>
        <w:t>For</w:t>
      </w:r>
      <w:r w:rsidRPr="00B91728" w:rsidR="001E3BBE">
        <w:rPr>
          <w:color w:val="000000" w:themeColor="text1"/>
        </w:rPr>
        <w:t xml:space="preserve"> test year revenue requirement</w:t>
      </w:r>
      <w:r>
        <w:rPr>
          <w:color w:val="000000" w:themeColor="text1"/>
        </w:rPr>
        <w:t>s that were adopted</w:t>
      </w:r>
      <w:r w:rsidRPr="00B91728" w:rsidR="001E3BBE">
        <w:rPr>
          <w:color w:val="000000" w:themeColor="text1"/>
        </w:rPr>
        <w:t xml:space="preserve"> after January 1</w:t>
      </w:r>
      <w:r>
        <w:rPr>
          <w:color w:val="000000" w:themeColor="text1"/>
        </w:rPr>
        <w:t>, the Commission has historically included</w:t>
      </w:r>
      <w:r w:rsidRPr="00B91728" w:rsidR="001E3BBE">
        <w:rPr>
          <w:color w:val="000000" w:themeColor="text1"/>
        </w:rPr>
        <w:t xml:space="preserve"> the amount that would have been in effect dating back to January 1 in the calculation of the rate change.</w:t>
      </w:r>
    </w:p>
    <w:p w:rsidRPr="00B91728" w:rsidR="001E3BBE" w:rsidP="00D337EE" w:rsidRDefault="001E3BBE" w14:paraId="07143803" w14:textId="0C4ACB65">
      <w:pPr>
        <w:pStyle w:val="CoL"/>
        <w:rPr>
          <w:color w:val="000000" w:themeColor="text1"/>
        </w:rPr>
      </w:pPr>
      <w:r w:rsidRPr="00B91728">
        <w:rPr>
          <w:color w:val="000000" w:themeColor="text1"/>
        </w:rPr>
        <w:t>Adoption of PG&amp;E’s request leaves ratepayers and shareholders relatively indifferent to the date that the final decision is adopted, reduces incentives for delay, and allows sufficient time for review and analysis of the record.</w:t>
      </w:r>
    </w:p>
    <w:p w:rsidRPr="00B91728" w:rsidR="001E3BBE" w:rsidP="00D337EE" w:rsidRDefault="001E3BBE" w14:paraId="527AFD22" w14:textId="4F69237D">
      <w:pPr>
        <w:pStyle w:val="CoL"/>
        <w:rPr>
          <w:color w:val="000000" w:themeColor="text1"/>
        </w:rPr>
      </w:pPr>
      <w:r w:rsidRPr="00B91728">
        <w:rPr>
          <w:color w:val="000000" w:themeColor="text1"/>
        </w:rPr>
        <w:t>The memorandum accounts referred to as GRCGDMA, GRCEMA, and GRCGTSMA allow PG&amp;E to track and recover any over- or under-collection plus interest to safeguard ratepayer and shareholder indifference to the effective date of the Commission’s final decision adopting PG&amp;E’s authorized revenue requirements in this proceeding.</w:t>
      </w:r>
    </w:p>
    <w:p w:rsidR="005939A5" w:rsidP="005939A5" w:rsidRDefault="005939A5" w14:paraId="5364BF95" w14:textId="154D7E29">
      <w:pPr>
        <w:pStyle w:val="Dummy"/>
      </w:pPr>
      <w:bookmarkStart w:name="_Toc8123726" w:id="19"/>
      <w:bookmarkStart w:name="_Toc234826805" w:id="20"/>
      <w:r>
        <w:t>Conclusions of Law</w:t>
      </w:r>
      <w:bookmarkEnd w:id="19"/>
      <w:bookmarkEnd w:id="20"/>
    </w:p>
    <w:p w:rsidRPr="00F21814" w:rsidR="00725A6B" w:rsidP="00F21814" w:rsidRDefault="00725A6B" w14:paraId="738A3CF1" w14:textId="57B529F6">
      <w:pPr>
        <w:pStyle w:val="CoL"/>
        <w:numPr>
          <w:ilvl w:val="0"/>
          <w:numId w:val="19"/>
        </w:numPr>
        <w:rPr>
          <w:rFonts w:ascii="Times New Roman" w:hAnsi="Times New Roman"/>
          <w:color w:val="000000" w:themeColor="text1"/>
        </w:rPr>
      </w:pPr>
      <w:r w:rsidRPr="00F21814">
        <w:rPr>
          <w:color w:val="000000" w:themeColor="text1"/>
        </w:rPr>
        <w:t>PG&amp;E’s January 12, 2026 motion is reasonable and should be granted.</w:t>
      </w:r>
    </w:p>
    <w:p w:rsidRPr="00725A6B" w:rsidR="00725A6B" w:rsidP="00725A6B" w:rsidRDefault="00725A6B" w14:paraId="1950D6CD" w14:textId="27443B24">
      <w:pPr>
        <w:pStyle w:val="CoL"/>
        <w:rPr>
          <w:color w:val="000000" w:themeColor="text1"/>
        </w:rPr>
      </w:pPr>
      <w:r w:rsidRPr="00725A6B">
        <w:rPr>
          <w:color w:val="000000" w:themeColor="text1"/>
        </w:rPr>
        <w:t>The effective date of PG&amp;E</w:t>
      </w:r>
      <w:r w:rsidR="00B2207B">
        <w:rPr>
          <w:color w:val="000000" w:themeColor="text1"/>
        </w:rPr>
        <w:t>’</w:t>
      </w:r>
      <w:r w:rsidRPr="00725A6B">
        <w:rPr>
          <w:color w:val="000000" w:themeColor="text1"/>
        </w:rPr>
        <w:t xml:space="preserve">s 2027 GRC revenue requirement should be January 1, 2027, even if the </w:t>
      </w:r>
      <w:r w:rsidR="00F40CEF">
        <w:rPr>
          <w:color w:val="000000" w:themeColor="text1"/>
        </w:rPr>
        <w:t xml:space="preserve">final </w:t>
      </w:r>
      <w:r w:rsidRPr="00725A6B">
        <w:rPr>
          <w:color w:val="000000" w:themeColor="text1"/>
        </w:rPr>
        <w:t>Commission decision is adopted after that date.</w:t>
      </w:r>
    </w:p>
    <w:p w:rsidRPr="00725A6B" w:rsidR="00725A6B" w:rsidP="00725A6B" w:rsidRDefault="00725A6B" w14:paraId="26CD443E" w14:textId="0274843A">
      <w:pPr>
        <w:pStyle w:val="CoL"/>
        <w:rPr>
          <w:color w:val="000000" w:themeColor="text1"/>
        </w:rPr>
      </w:pPr>
      <w:r w:rsidRPr="00725A6B">
        <w:rPr>
          <w:color w:val="000000" w:themeColor="text1"/>
        </w:rPr>
        <w:t>It is reasonable that PG&amp;E be allowed to use its existing memorandum accounts, GRCGDMA, GRCEMA, and GRCGTSMA, to track and recover any over- or under-collection, plus interest.</w:t>
      </w:r>
    </w:p>
    <w:p w:rsidRPr="00725A6B" w:rsidR="00725A6B" w:rsidRDefault="00725A6B" w14:paraId="74EB725C" w14:textId="728D004F">
      <w:pPr>
        <w:pStyle w:val="CoL"/>
        <w:rPr>
          <w:color w:val="000000" w:themeColor="text1"/>
        </w:rPr>
      </w:pPr>
      <w:r w:rsidRPr="00725A6B">
        <w:rPr>
          <w:color w:val="000000" w:themeColor="text1"/>
        </w:rPr>
        <w:t xml:space="preserve">It is reasonable for PG&amp;E’s GRC revenue requirement for the 2027 </w:t>
      </w:r>
      <w:r w:rsidRPr="00B91728" w:rsidR="00BF7F2D">
        <w:rPr>
          <w:color w:val="000000" w:themeColor="text1"/>
        </w:rPr>
        <w:t xml:space="preserve">Test Year </w:t>
      </w:r>
      <w:r w:rsidRPr="00725A6B">
        <w:rPr>
          <w:color w:val="000000" w:themeColor="text1"/>
        </w:rPr>
        <w:t>to include a provision for interest based on the Federal Reserve three-month commercial paper rate, to the extent necessary to keep PG&amp;E and its ratepayers and shareholders indifferent to the precise timing of the final decision regarding the 2027 authorized revenue requirement.</w:t>
      </w:r>
    </w:p>
    <w:p w:rsidRPr="00725A6B" w:rsidR="00725A6B" w:rsidP="00725A6B" w:rsidRDefault="00725A6B" w14:paraId="078F1701" w14:textId="2FAFF714">
      <w:pPr>
        <w:pStyle w:val="CoL"/>
        <w:rPr>
          <w:color w:val="000000" w:themeColor="text1"/>
        </w:rPr>
      </w:pPr>
      <w:r w:rsidRPr="00725A6B">
        <w:rPr>
          <w:color w:val="000000" w:themeColor="text1"/>
        </w:rPr>
        <w:lastRenderedPageBreak/>
        <w:t>The authority granted herein for a January 1, 2027 effective date for the 2027 authorized revenue requirement does not bind the Commission to adopt PG&amp;E’s requested GRC revenue requirement or any portion thereof as such a determination can only be made upon development of a complete record, with full and fair consideration of the entire record by the Commission.</w:t>
      </w:r>
    </w:p>
    <w:p w:rsidR="00725A6B" w:rsidP="00725A6B" w:rsidRDefault="00725A6B" w14:paraId="17724447" w14:textId="21CDBA3D">
      <w:pPr>
        <w:pStyle w:val="CoL"/>
      </w:pPr>
      <w:r>
        <w:t>This proceeding should remain open.</w:t>
      </w:r>
    </w:p>
    <w:p w:rsidR="00BB0243" w:rsidP="000A6E05" w:rsidRDefault="005939A5" w14:paraId="0B54DB03" w14:textId="2132038C">
      <w:pPr>
        <w:pStyle w:val="Mainex"/>
      </w:pPr>
      <w:bookmarkStart w:name="_Toc234826806" w:id="21"/>
      <w:r>
        <w:t>O</w:t>
      </w:r>
      <w:r w:rsidR="00722850">
        <w:t>RDER</w:t>
      </w:r>
      <w:bookmarkEnd w:id="21"/>
    </w:p>
    <w:p w:rsidR="00BB0243" w:rsidP="000A6E05" w:rsidRDefault="00BB0243" w14:paraId="5162A694" w14:textId="77777777">
      <w:pPr>
        <w:keepNext/>
      </w:pPr>
      <w:r w:rsidRPr="00BB0243">
        <w:rPr>
          <w:b/>
        </w:rPr>
        <w:t>IT IS ORDERED</w:t>
      </w:r>
      <w:r>
        <w:t xml:space="preserve"> that:</w:t>
      </w:r>
    </w:p>
    <w:p w:rsidR="00730F3E" w:rsidP="00730F3E" w:rsidRDefault="00730F3E" w14:paraId="4C6EAC73" w14:textId="27746955">
      <w:pPr>
        <w:pStyle w:val="OP"/>
        <w:rPr>
          <w:rFonts w:ascii="Times New Roman" w:hAnsi="Times New Roman"/>
        </w:rPr>
      </w:pPr>
      <w:r>
        <w:t xml:space="preserve">The </w:t>
      </w:r>
      <w:r w:rsidRPr="006454F7">
        <w:rPr>
          <w:color w:val="000000" w:themeColor="text1"/>
        </w:rPr>
        <w:t xml:space="preserve">January 12, 2026 </w:t>
      </w:r>
      <w:r>
        <w:t>motion filed by Pacific Gas and Electric Company is granted as described herein.</w:t>
      </w:r>
    </w:p>
    <w:p w:rsidR="00730F3E" w:rsidP="00730F3E" w:rsidRDefault="00730F3E" w14:paraId="4CDA93F0" w14:textId="74EAF591">
      <w:pPr>
        <w:pStyle w:val="OP"/>
      </w:pPr>
      <w:r>
        <w:t xml:space="preserve">The effective date for </w:t>
      </w:r>
      <w:r w:rsidR="005E7F4C">
        <w:t xml:space="preserve">the revenue requirement the Commission adopts in </w:t>
      </w:r>
      <w:r>
        <w:t xml:space="preserve">Pacific Gas and Electric Company’s General Rate Case (GRC) for the 2027 </w:t>
      </w:r>
      <w:r w:rsidRPr="00B91728" w:rsidR="00BF7F2D">
        <w:rPr>
          <w:color w:val="000000" w:themeColor="text1"/>
        </w:rPr>
        <w:t xml:space="preserve">Test Year </w:t>
      </w:r>
      <w:r>
        <w:t>is January 1, 2027</w:t>
      </w:r>
      <w:r w:rsidR="009B2494">
        <w:t>,</w:t>
      </w:r>
      <w:r>
        <w:t xml:space="preserve"> even if the Commission adopts the final decision authorizing the 2027 GRC revenue requirement after that date.</w:t>
      </w:r>
    </w:p>
    <w:p w:rsidRPr="00702161" w:rsidR="00730F3E" w:rsidRDefault="00702161" w14:paraId="786A480F" w14:textId="624DC3DB">
      <w:pPr>
        <w:pStyle w:val="OP"/>
      </w:pPr>
      <w:r>
        <w:t>If</w:t>
      </w:r>
      <w:r w:rsidRPr="00702161">
        <w:t xml:space="preserve"> the Commission adopts a decision authorizing the 2027 revenue requirement after January 1, 2027</w:t>
      </w:r>
      <w:r>
        <w:t xml:space="preserve">, </w:t>
      </w:r>
      <w:r w:rsidRPr="00702161" w:rsidR="00730F3E">
        <w:t xml:space="preserve">Pacific Gas and Electric Company is authorized to use the </w:t>
      </w:r>
      <w:r w:rsidRPr="00702161" w:rsidR="00AF58D6">
        <w:t>General Rate Case Gas Distribution Memorandum Account</w:t>
      </w:r>
      <w:r w:rsidR="007E1B08">
        <w:t>,</w:t>
      </w:r>
      <w:r w:rsidRPr="00702161" w:rsidR="00AF58D6">
        <w:t xml:space="preserve"> </w:t>
      </w:r>
      <w:r w:rsidRPr="00702161">
        <w:t>t</w:t>
      </w:r>
      <w:r w:rsidRPr="00702161" w:rsidR="00AF58D6">
        <w:t>he General Rate Case Electric Memorandum Account</w:t>
      </w:r>
      <w:r w:rsidR="007E1B08">
        <w:t xml:space="preserve">, </w:t>
      </w:r>
      <w:r w:rsidRPr="00702161" w:rsidR="00AF58D6">
        <w:t xml:space="preserve">and </w:t>
      </w:r>
      <w:r w:rsidRPr="00702161">
        <w:t>t</w:t>
      </w:r>
      <w:r w:rsidRPr="00702161" w:rsidR="00AF58D6">
        <w:t>he General Rate Case Gas Transmission and Storage Memorandum Account</w:t>
      </w:r>
      <w:r w:rsidRPr="00702161">
        <w:t xml:space="preserve"> to</w:t>
      </w:r>
      <w:r w:rsidRPr="00702161" w:rsidR="00730F3E">
        <w:t xml:space="preserve"> track and recover any over-collection or under-collection</w:t>
      </w:r>
      <w:r w:rsidR="00595EE0">
        <w:t>.</w:t>
      </w:r>
      <w:r w:rsidRPr="00702161" w:rsidR="00730F3E">
        <w:t xml:space="preserve"> </w:t>
      </w:r>
    </w:p>
    <w:p w:rsidRPr="00AF58D6" w:rsidR="00AF58D6" w:rsidRDefault="00AF58D6" w14:paraId="36FC8FE5" w14:textId="3FFB7423">
      <w:pPr>
        <w:pStyle w:val="OP"/>
      </w:pPr>
      <w:r w:rsidRPr="00AF58D6">
        <w:t>Pacific Gas and Electric Company must file a Tier 1 Advice Letter within 14 days of the effective date of this decision to update its Tariff Preliminary Statement to reflect this decision.</w:t>
      </w:r>
    </w:p>
    <w:p w:rsidRPr="00AF58D6" w:rsidR="00730F3E" w:rsidP="00AF58D6" w:rsidRDefault="002B10D1" w14:paraId="689729AD" w14:textId="0D21CAA9">
      <w:pPr>
        <w:pStyle w:val="OP"/>
      </w:pPr>
      <w:r>
        <w:t xml:space="preserve">The Commission’s adopted </w:t>
      </w:r>
      <w:r w:rsidRPr="00AF58D6" w:rsidR="00AF58D6">
        <w:t xml:space="preserve">2027 General Rate Case (GRC) revenue requirement </w:t>
      </w:r>
      <w:r w:rsidR="001374BA">
        <w:t xml:space="preserve">for Pacific Gas and Electric Company (PG&amp;E) </w:t>
      </w:r>
      <w:r w:rsidRPr="00AF58D6" w:rsidR="00AF58D6">
        <w:t xml:space="preserve">shall include accrued interest covering the period starting on January 1, 2027, based on the applicable </w:t>
      </w:r>
      <w:r w:rsidRPr="00AF58D6" w:rsidR="00AF58D6">
        <w:lastRenderedPageBreak/>
        <w:t>three-month commercial paper rate published in the Federal Reserve Statistical Release H.15 or its successor, to the extent necessary to keep PG&amp;E, its ratepayers, shareholders, and other affected parties indifferent to the precise timing of the Commission’s final decision authorizing the 2027 GRC revenue requirement.</w:t>
      </w:r>
    </w:p>
    <w:p w:rsidRPr="00AF58D6" w:rsidR="00F6397D" w:rsidP="00B3087D" w:rsidRDefault="00E23CBB" w14:paraId="418D6E97" w14:textId="3693E656">
      <w:pPr>
        <w:pStyle w:val="OP"/>
      </w:pPr>
      <w:r w:rsidRPr="00AF58D6">
        <w:t xml:space="preserve">Application </w:t>
      </w:r>
      <w:r w:rsidRPr="00AF58D6" w:rsidR="00730F3E">
        <w:t>25-05-009</w:t>
      </w:r>
      <w:r w:rsidRPr="00AF58D6">
        <w:t xml:space="preserve"> </w:t>
      </w:r>
      <w:r w:rsidRPr="00AF58D6" w:rsidR="00F215F1">
        <w:t>remains open</w:t>
      </w:r>
      <w:r w:rsidRPr="00AF58D6">
        <w:t>.</w:t>
      </w:r>
    </w:p>
    <w:p w:rsidR="008F0116" w:rsidP="008F0116" w:rsidRDefault="008F0116" w14:paraId="69D866E0" w14:textId="77777777">
      <w:r>
        <w:t>This order is effective today.</w:t>
      </w:r>
    </w:p>
    <w:p w:rsidRPr="00714CF2" w:rsidR="00714CF2" w:rsidP="00816E05" w:rsidRDefault="008F0116" w14:paraId="2DEF9F47" w14:textId="437B7AD5">
      <w:r>
        <w:t xml:space="preserve">Dated </w:t>
      </w:r>
      <w:r>
        <w:rPr>
          <w:u w:val="single"/>
        </w:rPr>
        <w:tab/>
      </w:r>
      <w:r>
        <w:rPr>
          <w:u w:val="single"/>
        </w:rPr>
        <w:tab/>
      </w:r>
      <w:r>
        <w:rPr>
          <w:u w:val="single"/>
        </w:rPr>
        <w:tab/>
      </w:r>
      <w:r>
        <w:rPr>
          <w:u w:val="single"/>
        </w:rPr>
        <w:tab/>
      </w:r>
      <w:r>
        <w:rPr>
          <w:u w:val="single"/>
        </w:rPr>
        <w:tab/>
      </w:r>
      <w:r>
        <w:t xml:space="preserve">, at </w:t>
      </w:r>
      <w:r w:rsidR="00FF5531">
        <w:t>Sacramento</w:t>
      </w:r>
      <w:r>
        <w:t>, California</w:t>
      </w:r>
    </w:p>
    <w:sectPr w:rsidRPr="00714CF2" w:rsidR="00714CF2" w:rsidSect="00D37816">
      <w:headerReference w:type="default" r:id="rId11"/>
      <w:footerReference w:type="default" r:id="rId12"/>
      <w:headerReference w:type="first" r:id="rId13"/>
      <w:footerReference w:type="first" r:id="rId14"/>
      <w:pgSz w:w="12240" w:h="15840"/>
      <w:pgMar w:top="1728" w:right="1440" w:bottom="1440" w:left="1440" w:header="720" w:footer="720" w:gutter="0"/>
      <w:pgNumType w:fmt="numberInDash" w:start="1"/>
      <w:cols w:space="720"/>
      <w:titlePg/>
      <w:docGrid w:linePitch="360"/>
    </w:sectPr>
    <w:p>
      <w:r>
        <w:t xml:space="preserve"/>
      </w:r>
    </w:p>
    <w:p>
      <w:r>
        <w:t xml:space="preserve">Attachment 1: </w:t>
      </w:r>
    </w:p>
    <w:p>
      <w:hyperlink w:history="true" r:id="Ra7438011fcda4d47">
        <w:r w:rsidRPr="00CB1292">
          <w:rPr>
            <w:rStyle w:val="Hyperlink"/>
            <w:color w:val="2E74B5" w:themeColor="accent1" w:themeShade="BF"/>
            <w:u w:val="single"/>
          </w:rPr>
          <w:t>REDLINE (Rev. 1) DECISION GRANTING PACIFIC GAS AND ELECTRIC COMPANY’S MOTION TO TRACK REVENUE REQUIREMENTS.pdf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782A" w14:textId="77777777" w:rsidR="002C6AD0" w:rsidRDefault="002C6AD0" w:rsidP="0098138E">
      <w:pPr>
        <w:spacing w:line="240" w:lineRule="auto"/>
      </w:pPr>
      <w:r>
        <w:separator/>
      </w:r>
    </w:p>
  </w:endnote>
  <w:endnote w:type="continuationSeparator" w:id="0">
    <w:p w14:paraId="39D92933" w14:textId="77777777" w:rsidR="002C6AD0" w:rsidRDefault="002C6AD0"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012009"/>
      <w:docPartObj>
        <w:docPartGallery w:val="Page Numbers (Bottom of Page)"/>
        <w:docPartUnique/>
      </w:docPartObj>
    </w:sdtPr>
    <w:sdtEndPr>
      <w:rPr>
        <w:noProof/>
      </w:rPr>
    </w:sdtEndPr>
    <w:sdtContent>
      <w:p w14:paraId="6D30801D" w14:textId="6C0D8F35" w:rsidR="00FD7F46" w:rsidRDefault="009B33DB" w:rsidP="005A5DEE">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47309"/>
      <w:docPartObj>
        <w:docPartGallery w:val="Page Numbers (Bottom of Page)"/>
        <w:docPartUnique/>
      </w:docPartObj>
    </w:sdtPr>
    <w:sdtEndPr>
      <w:rPr>
        <w:noProof/>
      </w:rPr>
    </w:sdtEndPr>
    <w:sdtContent>
      <w:p w14:paraId="5079F486" w14:textId="00A2A5F2" w:rsidR="00FD7F46" w:rsidRDefault="00D2100C" w:rsidP="00051AE1">
        <w:pPr>
          <w:pStyle w:val="Footer"/>
          <w:ind w:firstLine="0"/>
        </w:pPr>
        <w:r w:rsidRPr="00D2100C">
          <w:rPr>
            <w:sz w:val="16"/>
            <w:szCs w:val="16"/>
          </w:rPr>
          <w:t>619771665</w:t>
        </w:r>
        <w:r w:rsidR="00051AE1">
          <w:rPr>
            <w:sz w:val="16"/>
            <w:szCs w:val="16"/>
          </w:rPr>
          <w:tab/>
        </w:r>
        <w:r w:rsidR="00D37816">
          <w:fldChar w:fldCharType="begin"/>
        </w:r>
        <w:r w:rsidR="00D37816">
          <w:instrText xml:space="preserve"> PAGE   \* MERGEFORMAT </w:instrText>
        </w:r>
        <w:r w:rsidR="00D37816">
          <w:fldChar w:fldCharType="separate"/>
        </w:r>
        <w:r w:rsidR="00D37816">
          <w:rPr>
            <w:noProof/>
          </w:rPr>
          <w:t>2</w:t>
        </w:r>
        <w:r w:rsidR="00D3781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BA092" w14:textId="77777777" w:rsidR="002C6AD0" w:rsidRDefault="002C6AD0" w:rsidP="00DF58E7">
      <w:pPr>
        <w:spacing w:line="240" w:lineRule="auto"/>
        <w:ind w:firstLine="0"/>
      </w:pPr>
      <w:r>
        <w:separator/>
      </w:r>
    </w:p>
  </w:footnote>
  <w:footnote w:type="continuationSeparator" w:id="0">
    <w:p w14:paraId="31051A98" w14:textId="77777777" w:rsidR="002C6AD0" w:rsidRDefault="002C6AD0" w:rsidP="00DF58E7">
      <w:pPr>
        <w:spacing w:line="240" w:lineRule="auto"/>
        <w:ind w:firstLine="0"/>
      </w:pPr>
      <w:r>
        <w:continuationSeparator/>
      </w:r>
    </w:p>
  </w:footnote>
  <w:footnote w:type="continuationNotice" w:id="1">
    <w:p w14:paraId="6864B4C2" w14:textId="77777777" w:rsidR="002C6AD0" w:rsidRPr="00DF58E7" w:rsidRDefault="002C6AD0"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33584268" w14:textId="77777777" w:rsidR="00F215F1" w:rsidRDefault="00F215F1" w:rsidP="00F215F1">
      <w:pPr>
        <w:pStyle w:val="FootnoteText"/>
      </w:pPr>
      <w:r>
        <w:rPr>
          <w:rStyle w:val="FootnoteReference"/>
        </w:rPr>
        <w:footnoteRef/>
      </w:r>
      <w:r>
        <w:t xml:space="preserve"> Scoping Memo and Ruling at 19.</w:t>
      </w:r>
    </w:p>
  </w:footnote>
  <w:footnote w:id="3">
    <w:p w14:paraId="70DDBD9B" w14:textId="77777777" w:rsidR="00F215F1" w:rsidRPr="00EA4343" w:rsidRDefault="00F215F1" w:rsidP="00F215F1">
      <w:pPr>
        <w:pStyle w:val="FootnoteText"/>
        <w:rPr>
          <w:color w:val="000000" w:themeColor="text1"/>
        </w:rPr>
      </w:pPr>
      <w:r w:rsidRPr="00EA4343">
        <w:rPr>
          <w:rStyle w:val="FootnoteReference"/>
          <w:color w:val="000000" w:themeColor="text1"/>
        </w:rPr>
        <w:footnoteRef/>
      </w:r>
      <w:r w:rsidRPr="00EA4343">
        <w:rPr>
          <w:color w:val="000000" w:themeColor="text1"/>
        </w:rPr>
        <w:t xml:space="preserve"> Motion at 1.</w:t>
      </w:r>
    </w:p>
  </w:footnote>
  <w:footnote w:id="4">
    <w:p w14:paraId="05BFE2D7" w14:textId="77777777" w:rsidR="00F215F1" w:rsidRPr="00EA4343" w:rsidRDefault="00F215F1" w:rsidP="00F215F1">
      <w:pPr>
        <w:pStyle w:val="FootnoteText"/>
        <w:rPr>
          <w:color w:val="000000" w:themeColor="text1"/>
        </w:rPr>
      </w:pPr>
      <w:r w:rsidRPr="00EA4343">
        <w:rPr>
          <w:rStyle w:val="FootnoteReference"/>
          <w:color w:val="000000" w:themeColor="text1"/>
        </w:rPr>
        <w:footnoteRef/>
      </w:r>
      <w:r w:rsidRPr="00EA4343">
        <w:rPr>
          <w:color w:val="000000" w:themeColor="text1"/>
        </w:rPr>
        <w:t xml:space="preserve"> Motion at 3, citing Decision (D.) 19-11-004 at 6, Findings of Fact (FOF) 7 and 8; D.22-06-033, at 6, FOF 6; D.03-05-076 at 6.  </w:t>
      </w:r>
    </w:p>
  </w:footnote>
  <w:footnote w:id="5">
    <w:p w14:paraId="2D6E0B94"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w:t>
      </w:r>
      <w:r w:rsidRPr="00735765">
        <w:rPr>
          <w:color w:val="000000" w:themeColor="text1"/>
          <w:lang w:val="da-DK"/>
        </w:rPr>
        <w:t>Motion at 3, citing D.13-04-023 at 3; D.03-05-076 at 5-6; D.19-11-004 at 6, FOF 7, 8; D.22-06-033 at 6, FOF 6.</w:t>
      </w:r>
    </w:p>
  </w:footnote>
  <w:footnote w:id="6">
    <w:p w14:paraId="71BEEC74"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w:t>
      </w:r>
      <w:r w:rsidRPr="00735765">
        <w:rPr>
          <w:color w:val="000000" w:themeColor="text1"/>
          <w:lang w:val="da-DK"/>
        </w:rPr>
        <w:t xml:space="preserve">Motion </w:t>
      </w:r>
      <w:r w:rsidRPr="00735765">
        <w:rPr>
          <w:color w:val="000000" w:themeColor="text1"/>
          <w:lang w:val="da-DK"/>
        </w:rPr>
        <w:t xml:space="preserve">at 3, citing D.03-05-076 at 6.  </w:t>
      </w:r>
    </w:p>
  </w:footnote>
  <w:footnote w:id="7">
    <w:p w14:paraId="4482071D"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w:t>
      </w:r>
      <w:r w:rsidRPr="00735765">
        <w:rPr>
          <w:color w:val="000000" w:themeColor="text1"/>
          <w:lang w:val="da-DK"/>
        </w:rPr>
        <w:t xml:space="preserve">Motion </w:t>
      </w:r>
      <w:r w:rsidRPr="00735765">
        <w:rPr>
          <w:color w:val="000000" w:themeColor="text1"/>
          <w:lang w:val="da-DK"/>
        </w:rPr>
        <w:t>at 3-4.</w:t>
      </w:r>
    </w:p>
  </w:footnote>
  <w:footnote w:id="8">
    <w:p w14:paraId="4B57CFCE"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w:t>
      </w:r>
      <w:r w:rsidRPr="00735765">
        <w:rPr>
          <w:color w:val="000000" w:themeColor="text1"/>
          <w:lang w:val="da-DK"/>
        </w:rPr>
        <w:t xml:space="preserve">Motion </w:t>
      </w:r>
      <w:r w:rsidRPr="00735765">
        <w:rPr>
          <w:color w:val="000000" w:themeColor="text1"/>
          <w:lang w:val="da-DK"/>
        </w:rPr>
        <w:t>at 4, citing D.16-03-009 at 6, OP 3; D.19-11-004 at 4, 7-8, OP 2; and D.22-06-033 at 8, OP 5.</w:t>
      </w:r>
    </w:p>
  </w:footnote>
  <w:footnote w:id="9">
    <w:p w14:paraId="28B74784" w14:textId="77777777" w:rsidR="00FA3E6C" w:rsidRPr="00662ED9" w:rsidRDefault="00FA3E6C" w:rsidP="00FA3E6C">
      <w:pPr>
        <w:pStyle w:val="FootnoteText"/>
        <w:rPr>
          <w:color w:val="000000" w:themeColor="text1"/>
        </w:rPr>
      </w:pPr>
      <w:r w:rsidRPr="00662ED9">
        <w:rPr>
          <w:rStyle w:val="FootnoteReference"/>
          <w:color w:val="000000" w:themeColor="text1"/>
        </w:rPr>
        <w:footnoteRef/>
      </w:r>
      <w:r w:rsidRPr="00662ED9">
        <w:rPr>
          <w:color w:val="000000" w:themeColor="text1"/>
        </w:rPr>
        <w:t xml:space="preserve"> Motion at 4.</w:t>
      </w:r>
      <w:r>
        <w:rPr>
          <w:color w:val="000000" w:themeColor="text1"/>
        </w:rPr>
        <w:t xml:space="preserve"> PG&amp;E notes that the </w:t>
      </w:r>
      <w:r w:rsidRPr="00AF30A9">
        <w:rPr>
          <w:color w:val="000000" w:themeColor="text1"/>
        </w:rPr>
        <w:t>GRCGTSMA</w:t>
      </w:r>
      <w:r w:rsidRPr="00774F10">
        <w:rPr>
          <w:color w:val="000000" w:themeColor="text1"/>
        </w:rPr>
        <w:t xml:space="preserve"> was originally named the Gas Transmission &amp; Storage Memorandum Account (GTSMA). Advice Letter 4628-G/6641-E changed the account’s name to GRCGTSMA. </w:t>
      </w:r>
    </w:p>
  </w:footnote>
  <w:footnote w:id="10">
    <w:p w14:paraId="1A3F68AC" w14:textId="77777777" w:rsidR="00FA3E6C" w:rsidRDefault="00FA3E6C" w:rsidP="00FA3E6C">
      <w:pPr>
        <w:pStyle w:val="FootnoteText"/>
      </w:pPr>
      <w:r w:rsidRPr="00662ED9">
        <w:rPr>
          <w:rStyle w:val="FootnoteReference"/>
          <w:color w:val="000000" w:themeColor="text1"/>
        </w:rPr>
        <w:footnoteRef/>
      </w:r>
      <w:r w:rsidRPr="00662ED9">
        <w:rPr>
          <w:color w:val="000000" w:themeColor="text1"/>
        </w:rPr>
        <w:t xml:space="preserve"> Motion at 4, citing D.19-11-004 at 7-8, OPs 1 and 2.</w:t>
      </w:r>
    </w:p>
  </w:footnote>
  <w:footnote w:id="11">
    <w:p w14:paraId="0D9F6089" w14:textId="77777777" w:rsidR="00FA3E6C" w:rsidRDefault="00FA3E6C" w:rsidP="00FA3E6C">
      <w:pPr>
        <w:pStyle w:val="FootnoteText"/>
      </w:pPr>
      <w:r>
        <w:rPr>
          <w:rStyle w:val="FootnoteReference"/>
        </w:rPr>
        <w:footnoteRef/>
      </w:r>
      <w:r>
        <w:t xml:space="preserve"> Motion at 5.</w:t>
      </w:r>
    </w:p>
  </w:footnote>
  <w:footnote w:id="12">
    <w:p w14:paraId="36471746" w14:textId="77777777" w:rsidR="00FA3E6C" w:rsidRDefault="00FA3E6C" w:rsidP="00FA3E6C">
      <w:pPr>
        <w:pStyle w:val="FootnoteText"/>
      </w:pPr>
      <w:r>
        <w:rPr>
          <w:rStyle w:val="FootnoteReference"/>
        </w:rPr>
        <w:footnoteRef/>
      </w:r>
      <w:r>
        <w:t xml:space="preserve"> Motion at 5.</w:t>
      </w:r>
    </w:p>
  </w:footnote>
  <w:footnote w:id="13">
    <w:p w14:paraId="6054B869" w14:textId="77777777" w:rsidR="00FA3E6C" w:rsidRDefault="00FA3E6C" w:rsidP="00FA3E6C">
      <w:pPr>
        <w:pStyle w:val="FootnoteText"/>
      </w:pPr>
      <w:r>
        <w:rPr>
          <w:rStyle w:val="FootnoteReference"/>
        </w:rPr>
        <w:footnoteRef/>
      </w:r>
      <w:r>
        <w:t xml:space="preserve"> </w:t>
      </w:r>
      <w:r w:rsidRPr="00C75802">
        <w:rPr>
          <w:color w:val="000000" w:themeColor="text1"/>
        </w:rPr>
        <w:t>Motion at 5, citing D.19-09-025 at 292-293; D.16-06-056 at 12-13 and 395-396; and D.14-06-012 at 8, OP 4.</w:t>
      </w:r>
    </w:p>
  </w:footnote>
  <w:footnote w:id="14">
    <w:p w14:paraId="2D338823" w14:textId="77777777" w:rsidR="00FA3E6C" w:rsidRDefault="00FA3E6C" w:rsidP="00FA3E6C">
      <w:pPr>
        <w:pStyle w:val="FootnoteText"/>
      </w:pPr>
      <w:r w:rsidRPr="00C75802">
        <w:rPr>
          <w:rStyle w:val="FootnoteReference"/>
          <w:color w:val="000000" w:themeColor="text1"/>
        </w:rPr>
        <w:footnoteRef/>
      </w:r>
      <w:r w:rsidRPr="00C75802">
        <w:rPr>
          <w:color w:val="000000" w:themeColor="text1"/>
        </w:rPr>
        <w:t xml:space="preserve"> </w:t>
      </w:r>
      <w:r>
        <w:rPr>
          <w:color w:val="000000" w:themeColor="text1"/>
        </w:rPr>
        <w:t>Motion at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DA7D" w14:textId="681BC131" w:rsidR="00FE2351" w:rsidRPr="00AC3F8E" w:rsidRDefault="00AC035B" w:rsidP="00EE4315">
    <w:pPr>
      <w:pStyle w:val="Header"/>
      <w:tabs>
        <w:tab w:val="clear" w:pos="4680"/>
      </w:tabs>
      <w:ind w:firstLine="0"/>
      <w:rPr>
        <w:rFonts w:ascii="Arial" w:hAnsi="Arial" w:cs="Arial"/>
        <w:b/>
      </w:rPr>
    </w:pPr>
    <w:r>
      <w:t>A.25-05-</w:t>
    </w:r>
    <w:proofErr w:type="gramStart"/>
    <w:r>
      <w:t>009  ALJ</w:t>
    </w:r>
    <w:proofErr w:type="gramEnd"/>
    <w:r>
      <w:t>/EF1/DJG/JOR/</w:t>
    </w:r>
    <w:proofErr w:type="spellStart"/>
    <w:r>
      <w:t>vhj</w:t>
    </w:r>
    <w:proofErr w:type="spellEnd"/>
    <w:r w:rsidR="00FE2351">
      <w:tab/>
    </w:r>
    <w:r w:rsidR="00FE2351" w:rsidRPr="00760E38">
      <w:rPr>
        <w:rFonts w:cs="Arial"/>
        <w:b/>
      </w:rPr>
      <w:t>PROPOSED DECISION</w:t>
    </w:r>
    <w:r w:rsidR="00D2100C" w:rsidRPr="00760E38">
      <w:rPr>
        <w:rFonts w:cs="Arial"/>
        <w:b/>
      </w:rPr>
      <w:t xml:space="preserve"> (Rev. 1)</w:t>
    </w:r>
  </w:p>
  <w:p w14:paraId="2CCD76F4" w14:textId="77777777" w:rsidR="00AC035B" w:rsidRPr="00B3087D" w:rsidRDefault="00AC035B" w:rsidP="00B3087D">
    <w:pPr>
      <w:pStyle w:val="Header"/>
      <w:tabs>
        <w:tab w:val="clear" w:pos="4680"/>
      </w:tabs>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B625" w14:textId="227AFEA3" w:rsidR="00FD7F46" w:rsidRPr="00D37816" w:rsidRDefault="00FD7F46" w:rsidP="00D37816">
    <w:pPr>
      <w:pStyle w:val="Header"/>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3EC7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9D042D7"/>
    <w:multiLevelType w:val="multilevel"/>
    <w:tmpl w:val="18F4A5AC"/>
    <w:numStyleLink w:val="FoFCoLOP"/>
  </w:abstractNum>
  <w:abstractNum w:abstractNumId="11" w15:restartNumberingAfterBreak="0">
    <w:nsid w:val="5A9E2171"/>
    <w:multiLevelType w:val="multilevel"/>
    <w:tmpl w:val="3C526EDE"/>
    <w:numStyleLink w:val="Headings"/>
  </w:abstractNum>
  <w:abstractNum w:abstractNumId="12" w15:restartNumberingAfterBreak="0">
    <w:nsid w:val="61A25780"/>
    <w:multiLevelType w:val="multilevel"/>
    <w:tmpl w:val="3C526EDE"/>
    <w:numStyleLink w:val="Headings"/>
  </w:abstractNum>
  <w:abstractNum w:abstractNumId="13"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9A0AFE"/>
    <w:multiLevelType w:val="multilevel"/>
    <w:tmpl w:val="18F4A5AC"/>
    <w:numStyleLink w:val="FoFCoLOP"/>
  </w:abstractNum>
  <w:num w:numId="1" w16cid:durableId="1354526949">
    <w:abstractNumId w:val="11"/>
  </w:num>
  <w:num w:numId="2" w16cid:durableId="140774137">
    <w:abstractNumId w:val="1"/>
  </w:num>
  <w:num w:numId="3" w16cid:durableId="1898543446">
    <w:abstractNumId w:val="10"/>
  </w:num>
  <w:num w:numId="4" w16cid:durableId="701521005">
    <w:abstractNumId w:val="2"/>
  </w:num>
  <w:num w:numId="5" w16cid:durableId="2017029027">
    <w:abstractNumId w:val="14"/>
  </w:num>
  <w:num w:numId="6" w16cid:durableId="973756952">
    <w:abstractNumId w:val="9"/>
  </w:num>
  <w:num w:numId="7" w16cid:durableId="827667741">
    <w:abstractNumId w:val="5"/>
  </w:num>
  <w:num w:numId="8" w16cid:durableId="1760327020">
    <w:abstractNumId w:val="13"/>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8"/>
  </w:num>
  <w:num w:numId="15" w16cid:durableId="1714382259">
    <w:abstractNumId w:val="12"/>
  </w:num>
  <w:num w:numId="16" w16cid:durableId="548107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2"/>
  </w:num>
  <w:num w:numId="18" w16cid:durableId="1873154882">
    <w:abstractNumId w:val="2"/>
  </w:num>
  <w:num w:numId="19" w16cid:durableId="6121739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F1"/>
    <w:rsid w:val="00000F6A"/>
    <w:rsid w:val="00007ED2"/>
    <w:rsid w:val="000235A5"/>
    <w:rsid w:val="00026235"/>
    <w:rsid w:val="000304D2"/>
    <w:rsid w:val="00051AE1"/>
    <w:rsid w:val="00065C68"/>
    <w:rsid w:val="0006685E"/>
    <w:rsid w:val="0006722A"/>
    <w:rsid w:val="0006755F"/>
    <w:rsid w:val="0007115A"/>
    <w:rsid w:val="000820AC"/>
    <w:rsid w:val="00086B7A"/>
    <w:rsid w:val="000908E7"/>
    <w:rsid w:val="000973C8"/>
    <w:rsid w:val="000A2AA9"/>
    <w:rsid w:val="000A56F2"/>
    <w:rsid w:val="000A6E05"/>
    <w:rsid w:val="000B12FA"/>
    <w:rsid w:val="000B5EED"/>
    <w:rsid w:val="000B74CE"/>
    <w:rsid w:val="000C08BF"/>
    <w:rsid w:val="000C3B9A"/>
    <w:rsid w:val="000D25A8"/>
    <w:rsid w:val="000E063F"/>
    <w:rsid w:val="000E1E6C"/>
    <w:rsid w:val="000E270A"/>
    <w:rsid w:val="000E4C53"/>
    <w:rsid w:val="000E6C6C"/>
    <w:rsid w:val="000F48C6"/>
    <w:rsid w:val="000F649B"/>
    <w:rsid w:val="0011781C"/>
    <w:rsid w:val="00121089"/>
    <w:rsid w:val="00132B45"/>
    <w:rsid w:val="00133B1E"/>
    <w:rsid w:val="001374BA"/>
    <w:rsid w:val="00150914"/>
    <w:rsid w:val="001529C1"/>
    <w:rsid w:val="00162DEE"/>
    <w:rsid w:val="00184A8F"/>
    <w:rsid w:val="001932A8"/>
    <w:rsid w:val="00194A84"/>
    <w:rsid w:val="001B7291"/>
    <w:rsid w:val="001C363F"/>
    <w:rsid w:val="001D740B"/>
    <w:rsid w:val="001E23F8"/>
    <w:rsid w:val="001E2A62"/>
    <w:rsid w:val="001E3BBE"/>
    <w:rsid w:val="001F2819"/>
    <w:rsid w:val="001F62C2"/>
    <w:rsid w:val="00204186"/>
    <w:rsid w:val="002043EC"/>
    <w:rsid w:val="002235CE"/>
    <w:rsid w:val="002341B4"/>
    <w:rsid w:val="002369F3"/>
    <w:rsid w:val="00240FE9"/>
    <w:rsid w:val="00241834"/>
    <w:rsid w:val="00243DC0"/>
    <w:rsid w:val="00247477"/>
    <w:rsid w:val="00254FCA"/>
    <w:rsid w:val="00270440"/>
    <w:rsid w:val="00273606"/>
    <w:rsid w:val="00284D8D"/>
    <w:rsid w:val="00287BC5"/>
    <w:rsid w:val="00293DEE"/>
    <w:rsid w:val="002A0B5D"/>
    <w:rsid w:val="002A7B74"/>
    <w:rsid w:val="002B10D1"/>
    <w:rsid w:val="002B3DFD"/>
    <w:rsid w:val="002B4EB1"/>
    <w:rsid w:val="002C6AD0"/>
    <w:rsid w:val="002C7FE9"/>
    <w:rsid w:val="002D0DC5"/>
    <w:rsid w:val="002D4C50"/>
    <w:rsid w:val="002D4EFD"/>
    <w:rsid w:val="00312085"/>
    <w:rsid w:val="003147AE"/>
    <w:rsid w:val="0031499A"/>
    <w:rsid w:val="00314C8F"/>
    <w:rsid w:val="00315A97"/>
    <w:rsid w:val="00316071"/>
    <w:rsid w:val="0034097F"/>
    <w:rsid w:val="00343E5C"/>
    <w:rsid w:val="00344FB8"/>
    <w:rsid w:val="0034663D"/>
    <w:rsid w:val="0036017B"/>
    <w:rsid w:val="00362755"/>
    <w:rsid w:val="00373B93"/>
    <w:rsid w:val="00375D3A"/>
    <w:rsid w:val="00380CD1"/>
    <w:rsid w:val="003978AD"/>
    <w:rsid w:val="003A02CA"/>
    <w:rsid w:val="003A38F0"/>
    <w:rsid w:val="003C4A8E"/>
    <w:rsid w:val="003D158A"/>
    <w:rsid w:val="003F069A"/>
    <w:rsid w:val="003F1013"/>
    <w:rsid w:val="003F4329"/>
    <w:rsid w:val="003F5443"/>
    <w:rsid w:val="00412261"/>
    <w:rsid w:val="00412534"/>
    <w:rsid w:val="00412C83"/>
    <w:rsid w:val="00417FA6"/>
    <w:rsid w:val="004200DC"/>
    <w:rsid w:val="00426014"/>
    <w:rsid w:val="0044617E"/>
    <w:rsid w:val="0046078B"/>
    <w:rsid w:val="00460B7D"/>
    <w:rsid w:val="004779CE"/>
    <w:rsid w:val="00480CB0"/>
    <w:rsid w:val="00483087"/>
    <w:rsid w:val="00483603"/>
    <w:rsid w:val="004A1EAD"/>
    <w:rsid w:val="004A47BE"/>
    <w:rsid w:val="004A5BEF"/>
    <w:rsid w:val="004B34EA"/>
    <w:rsid w:val="004B5494"/>
    <w:rsid w:val="004C11D7"/>
    <w:rsid w:val="004C7A2B"/>
    <w:rsid w:val="004C7D3A"/>
    <w:rsid w:val="004D7878"/>
    <w:rsid w:val="004F60CA"/>
    <w:rsid w:val="005018A8"/>
    <w:rsid w:val="00505A39"/>
    <w:rsid w:val="005240BF"/>
    <w:rsid w:val="00533A6E"/>
    <w:rsid w:val="00554D0E"/>
    <w:rsid w:val="00572C66"/>
    <w:rsid w:val="00580959"/>
    <w:rsid w:val="00585388"/>
    <w:rsid w:val="00585390"/>
    <w:rsid w:val="005939A5"/>
    <w:rsid w:val="00595EE0"/>
    <w:rsid w:val="00596240"/>
    <w:rsid w:val="005A148C"/>
    <w:rsid w:val="005A5DEE"/>
    <w:rsid w:val="005C38D8"/>
    <w:rsid w:val="005C58FA"/>
    <w:rsid w:val="005E0FE3"/>
    <w:rsid w:val="005E7F4C"/>
    <w:rsid w:val="00603238"/>
    <w:rsid w:val="0060668A"/>
    <w:rsid w:val="006142D6"/>
    <w:rsid w:val="00632207"/>
    <w:rsid w:val="0063395F"/>
    <w:rsid w:val="006340B3"/>
    <w:rsid w:val="0063491C"/>
    <w:rsid w:val="00641A5C"/>
    <w:rsid w:val="0065385D"/>
    <w:rsid w:val="00661AFE"/>
    <w:rsid w:val="00680F19"/>
    <w:rsid w:val="00683B2C"/>
    <w:rsid w:val="00695139"/>
    <w:rsid w:val="006B03B1"/>
    <w:rsid w:val="006B3898"/>
    <w:rsid w:val="006B431A"/>
    <w:rsid w:val="006C1F10"/>
    <w:rsid w:val="006C6633"/>
    <w:rsid w:val="006E5E28"/>
    <w:rsid w:val="006E6574"/>
    <w:rsid w:val="006E66FF"/>
    <w:rsid w:val="006F44A6"/>
    <w:rsid w:val="006F4E62"/>
    <w:rsid w:val="006F6DC9"/>
    <w:rsid w:val="00702161"/>
    <w:rsid w:val="00714CF2"/>
    <w:rsid w:val="007156B9"/>
    <w:rsid w:val="00720817"/>
    <w:rsid w:val="00722850"/>
    <w:rsid w:val="007247EF"/>
    <w:rsid w:val="00725A6B"/>
    <w:rsid w:val="00726DA4"/>
    <w:rsid w:val="00730F3E"/>
    <w:rsid w:val="0073353F"/>
    <w:rsid w:val="00735765"/>
    <w:rsid w:val="00735A91"/>
    <w:rsid w:val="00736712"/>
    <w:rsid w:val="00742E45"/>
    <w:rsid w:val="007447AF"/>
    <w:rsid w:val="00750816"/>
    <w:rsid w:val="00760E38"/>
    <w:rsid w:val="00762431"/>
    <w:rsid w:val="007657C1"/>
    <w:rsid w:val="0077563B"/>
    <w:rsid w:val="0077755F"/>
    <w:rsid w:val="007800DC"/>
    <w:rsid w:val="00792474"/>
    <w:rsid w:val="007A3820"/>
    <w:rsid w:val="007A406D"/>
    <w:rsid w:val="007A4D2A"/>
    <w:rsid w:val="007A62B0"/>
    <w:rsid w:val="007B189C"/>
    <w:rsid w:val="007B581A"/>
    <w:rsid w:val="007C435B"/>
    <w:rsid w:val="007C5A0C"/>
    <w:rsid w:val="007E0FEE"/>
    <w:rsid w:val="007E1B08"/>
    <w:rsid w:val="007F2017"/>
    <w:rsid w:val="007F3E91"/>
    <w:rsid w:val="00801E5F"/>
    <w:rsid w:val="0080390E"/>
    <w:rsid w:val="008159CF"/>
    <w:rsid w:val="00816E05"/>
    <w:rsid w:val="00820050"/>
    <w:rsid w:val="008240C8"/>
    <w:rsid w:val="00824F90"/>
    <w:rsid w:val="008339BB"/>
    <w:rsid w:val="008447F6"/>
    <w:rsid w:val="00862D0D"/>
    <w:rsid w:val="00863EDC"/>
    <w:rsid w:val="0086419A"/>
    <w:rsid w:val="0087023B"/>
    <w:rsid w:val="0087196E"/>
    <w:rsid w:val="00884EE6"/>
    <w:rsid w:val="00887133"/>
    <w:rsid w:val="00897B98"/>
    <w:rsid w:val="008A08BF"/>
    <w:rsid w:val="008A179F"/>
    <w:rsid w:val="008B0864"/>
    <w:rsid w:val="008B175A"/>
    <w:rsid w:val="008B6AF4"/>
    <w:rsid w:val="008C3CB7"/>
    <w:rsid w:val="008C7413"/>
    <w:rsid w:val="008D16B7"/>
    <w:rsid w:val="008D311B"/>
    <w:rsid w:val="008E6AE6"/>
    <w:rsid w:val="008F0116"/>
    <w:rsid w:val="008F143D"/>
    <w:rsid w:val="009015A3"/>
    <w:rsid w:val="00916571"/>
    <w:rsid w:val="00916AC0"/>
    <w:rsid w:val="00931D02"/>
    <w:rsid w:val="00932865"/>
    <w:rsid w:val="009376D3"/>
    <w:rsid w:val="00947D38"/>
    <w:rsid w:val="00953DDE"/>
    <w:rsid w:val="00964122"/>
    <w:rsid w:val="0098138E"/>
    <w:rsid w:val="0098655A"/>
    <w:rsid w:val="009920D3"/>
    <w:rsid w:val="009A4AA6"/>
    <w:rsid w:val="009A5224"/>
    <w:rsid w:val="009A6E36"/>
    <w:rsid w:val="009B2494"/>
    <w:rsid w:val="009B33DB"/>
    <w:rsid w:val="009D2473"/>
    <w:rsid w:val="009E6052"/>
    <w:rsid w:val="009E7C7F"/>
    <w:rsid w:val="00A12CB6"/>
    <w:rsid w:val="00A17CE0"/>
    <w:rsid w:val="00A23D48"/>
    <w:rsid w:val="00A42306"/>
    <w:rsid w:val="00A44E8D"/>
    <w:rsid w:val="00A46A96"/>
    <w:rsid w:val="00A46EA8"/>
    <w:rsid w:val="00A55ACD"/>
    <w:rsid w:val="00A57FCC"/>
    <w:rsid w:val="00A740B3"/>
    <w:rsid w:val="00A85D27"/>
    <w:rsid w:val="00AA55F5"/>
    <w:rsid w:val="00AB7875"/>
    <w:rsid w:val="00AC035B"/>
    <w:rsid w:val="00AC137F"/>
    <w:rsid w:val="00AC3F8E"/>
    <w:rsid w:val="00AC68EE"/>
    <w:rsid w:val="00AD213D"/>
    <w:rsid w:val="00AE179F"/>
    <w:rsid w:val="00AF49E4"/>
    <w:rsid w:val="00AF58D6"/>
    <w:rsid w:val="00B01F7E"/>
    <w:rsid w:val="00B16C2A"/>
    <w:rsid w:val="00B2207B"/>
    <w:rsid w:val="00B3087D"/>
    <w:rsid w:val="00B34794"/>
    <w:rsid w:val="00B42555"/>
    <w:rsid w:val="00B5183E"/>
    <w:rsid w:val="00B548AF"/>
    <w:rsid w:val="00B60421"/>
    <w:rsid w:val="00B7473B"/>
    <w:rsid w:val="00B7591F"/>
    <w:rsid w:val="00B81EB6"/>
    <w:rsid w:val="00B91728"/>
    <w:rsid w:val="00B91A32"/>
    <w:rsid w:val="00BB0243"/>
    <w:rsid w:val="00BC63F2"/>
    <w:rsid w:val="00BD6624"/>
    <w:rsid w:val="00BE5D4D"/>
    <w:rsid w:val="00BE72E3"/>
    <w:rsid w:val="00BF7F2D"/>
    <w:rsid w:val="00C10B5F"/>
    <w:rsid w:val="00C13016"/>
    <w:rsid w:val="00C2194B"/>
    <w:rsid w:val="00C21BFE"/>
    <w:rsid w:val="00C4470E"/>
    <w:rsid w:val="00C50F4F"/>
    <w:rsid w:val="00C82D96"/>
    <w:rsid w:val="00C878D5"/>
    <w:rsid w:val="00C9033B"/>
    <w:rsid w:val="00C913A1"/>
    <w:rsid w:val="00CA36C2"/>
    <w:rsid w:val="00CA3E38"/>
    <w:rsid w:val="00CC6A99"/>
    <w:rsid w:val="00CE1335"/>
    <w:rsid w:val="00CE435B"/>
    <w:rsid w:val="00D00AA3"/>
    <w:rsid w:val="00D0504E"/>
    <w:rsid w:val="00D07F73"/>
    <w:rsid w:val="00D14844"/>
    <w:rsid w:val="00D2041C"/>
    <w:rsid w:val="00D2100C"/>
    <w:rsid w:val="00D25ADE"/>
    <w:rsid w:val="00D30EDF"/>
    <w:rsid w:val="00D31DC0"/>
    <w:rsid w:val="00D337EE"/>
    <w:rsid w:val="00D37816"/>
    <w:rsid w:val="00D43297"/>
    <w:rsid w:val="00D44DB6"/>
    <w:rsid w:val="00D45729"/>
    <w:rsid w:val="00D50119"/>
    <w:rsid w:val="00D644CB"/>
    <w:rsid w:val="00D73914"/>
    <w:rsid w:val="00D82A43"/>
    <w:rsid w:val="00D8686C"/>
    <w:rsid w:val="00D92845"/>
    <w:rsid w:val="00DA7B5D"/>
    <w:rsid w:val="00DD31F5"/>
    <w:rsid w:val="00DE1232"/>
    <w:rsid w:val="00DE3A8D"/>
    <w:rsid w:val="00DF58E7"/>
    <w:rsid w:val="00DF660D"/>
    <w:rsid w:val="00E11876"/>
    <w:rsid w:val="00E23CBB"/>
    <w:rsid w:val="00E2674D"/>
    <w:rsid w:val="00E37B59"/>
    <w:rsid w:val="00E42B32"/>
    <w:rsid w:val="00E43398"/>
    <w:rsid w:val="00E47FF5"/>
    <w:rsid w:val="00E53438"/>
    <w:rsid w:val="00E549A4"/>
    <w:rsid w:val="00E57B99"/>
    <w:rsid w:val="00E70345"/>
    <w:rsid w:val="00E725FC"/>
    <w:rsid w:val="00E95282"/>
    <w:rsid w:val="00EA36C6"/>
    <w:rsid w:val="00EB5C59"/>
    <w:rsid w:val="00EB6925"/>
    <w:rsid w:val="00EC30F9"/>
    <w:rsid w:val="00ED5725"/>
    <w:rsid w:val="00ED7031"/>
    <w:rsid w:val="00EE3060"/>
    <w:rsid w:val="00EE4315"/>
    <w:rsid w:val="00EF6925"/>
    <w:rsid w:val="00F11136"/>
    <w:rsid w:val="00F12118"/>
    <w:rsid w:val="00F16EA2"/>
    <w:rsid w:val="00F215F1"/>
    <w:rsid w:val="00F21814"/>
    <w:rsid w:val="00F26ED3"/>
    <w:rsid w:val="00F274F8"/>
    <w:rsid w:val="00F31855"/>
    <w:rsid w:val="00F40CEF"/>
    <w:rsid w:val="00F5247E"/>
    <w:rsid w:val="00F56D9E"/>
    <w:rsid w:val="00F62B7A"/>
    <w:rsid w:val="00F63119"/>
    <w:rsid w:val="00F6397D"/>
    <w:rsid w:val="00F649AA"/>
    <w:rsid w:val="00F66B7F"/>
    <w:rsid w:val="00F7293E"/>
    <w:rsid w:val="00F72CCC"/>
    <w:rsid w:val="00F76650"/>
    <w:rsid w:val="00F90B67"/>
    <w:rsid w:val="00F9187B"/>
    <w:rsid w:val="00F92385"/>
    <w:rsid w:val="00F92FE8"/>
    <w:rsid w:val="00FA1B4F"/>
    <w:rsid w:val="00FA3E6C"/>
    <w:rsid w:val="00FB12B7"/>
    <w:rsid w:val="00FC47F9"/>
    <w:rsid w:val="00FD644B"/>
    <w:rsid w:val="00FD7F46"/>
    <w:rsid w:val="00FE0B1D"/>
    <w:rsid w:val="00FE2351"/>
    <w:rsid w:val="00FE337D"/>
    <w:rsid w:val="00FE5580"/>
    <w:rsid w:val="00FE655F"/>
    <w:rsid w:val="00FE6808"/>
    <w:rsid w:val="00FF110C"/>
    <w:rsid w:val="00FF221F"/>
    <w:rsid w:val="00FF5531"/>
    <w:rsid w:val="21E37B76"/>
    <w:rsid w:val="220577B6"/>
    <w:rsid w:val="2C20544D"/>
    <w:rsid w:val="2EAB29D4"/>
    <w:rsid w:val="3FD5A4AC"/>
    <w:rsid w:val="4F684509"/>
    <w:rsid w:val="6B4A4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06265"/>
  <w15:chartTrackingRefBased/>
  <w15:docId w15:val="{FC43E70D-0395-4B87-B7DB-4DDC7247F89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F215F1"/>
    <w:rPr>
      <w:sz w:val="16"/>
      <w:szCs w:val="16"/>
    </w:rPr>
  </w:style>
  <w:style w:type="paragraph" w:styleId="CommentText">
    <w:name w:val="annotation text"/>
    <w:basedOn w:val="Normal"/>
    <w:link w:val="CommentTextChar"/>
    <w:uiPriority w:val="99"/>
    <w:unhideWhenUsed/>
    <w:rsid w:val="00F215F1"/>
    <w:pPr>
      <w:spacing w:line="240" w:lineRule="auto"/>
    </w:pPr>
    <w:rPr>
      <w:sz w:val="20"/>
      <w:szCs w:val="20"/>
    </w:rPr>
  </w:style>
  <w:style w:type="character" w:customStyle="1" w:styleId="CommentTextChar">
    <w:name w:val="Comment Text Char"/>
    <w:basedOn w:val="DefaultParagraphFont"/>
    <w:link w:val="CommentText"/>
    <w:uiPriority w:val="99"/>
    <w:rsid w:val="00F215F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F215F1"/>
    <w:rPr>
      <w:b/>
      <w:bCs/>
    </w:rPr>
  </w:style>
  <w:style w:type="character" w:customStyle="1" w:styleId="CommentSubjectChar">
    <w:name w:val="Comment Subject Char"/>
    <w:basedOn w:val="CommentTextChar"/>
    <w:link w:val="CommentSubject"/>
    <w:uiPriority w:val="99"/>
    <w:semiHidden/>
    <w:rsid w:val="00F215F1"/>
    <w:rPr>
      <w:rFonts w:ascii="Book Antiqua" w:hAnsi="Book Antiqua"/>
      <w:b/>
      <w:bCs/>
      <w:sz w:val="20"/>
      <w:szCs w:val="20"/>
    </w:rPr>
  </w:style>
  <w:style w:type="paragraph" w:styleId="NormalWeb">
    <w:name w:val="Normal (Web)"/>
    <w:basedOn w:val="Normal"/>
    <w:uiPriority w:val="99"/>
    <w:semiHidden/>
    <w:unhideWhenUsed/>
    <w:rsid w:val="001E3BBE"/>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2/K143/622143955.pdf" TargetMode="External" Id="Ra7438011fcda4d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Props1.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8</ap:Pages>
  <ap:Words>1467</ap:Words>
  <ap:Characters>8363</ap:Characters>
  <ap:Application>Microsoft Office Word</ap:Application>
  <ap:DocSecurity>0</ap:DocSecurity>
  <ap:Lines>69</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9811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2026-10-05T10:39:42Z</dcterms:created>
  <dcterms:modified xsi:type="dcterms:W3CDTF">2026-10-05T10:39:42Z</dcterms:modified>
</cp:coreProperties>
</file>