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200B3" w:rsidR="00AE0C88" w:rsidP="00245EA2" w:rsidRDefault="002D7EA5" w14:paraId="6F689164" w14:textId="0DD9B5E3">
      <w:pPr>
        <w:pStyle w:val="Textbody"/>
        <w:tabs>
          <w:tab w:val="clear" w:pos="5040"/>
          <w:tab w:val="left" w:pos="2880"/>
        </w:tabs>
        <w:ind w:firstLine="0"/>
        <w:rPr>
          <w:u w:val="single"/>
        </w:rPr>
      </w:pPr>
      <w:r w:rsidRPr="00B200B3">
        <w:t>Decision</w:t>
      </w:r>
      <w:r w:rsidR="007441B7">
        <w:t xml:space="preserve"> 26-09-074</w:t>
      </w:r>
      <w:r w:rsidR="007441B7">
        <w:tab/>
        <w:t>September 17, 2026</w:t>
      </w:r>
    </w:p>
    <w:p w:rsidR="004905C7" w:rsidP="00245EA2" w:rsidRDefault="004905C7" w14:paraId="218A4C35" w14:textId="4FEB0D67">
      <w:pPr>
        <w:pStyle w:val="BriefTitle"/>
        <w:jc w:val="left"/>
        <w:rPr>
          <w:b w:val="0"/>
          <w:bCs/>
        </w:rPr>
      </w:pPr>
    </w:p>
    <w:p w:rsidRPr="00E775D9" w:rsidR="004905C7" w:rsidP="004905C7" w:rsidRDefault="004905C7" w14:paraId="60DFD056" w14:textId="20E61F7C">
      <w:pPr>
        <w:pStyle w:val="BriefHeading"/>
        <w:rPr>
          <w:sz w:val="26"/>
        </w:rPr>
      </w:pPr>
      <w:r w:rsidRPr="00E775D9">
        <w:rPr>
          <w:sz w:val="26"/>
        </w:rPr>
        <w:t>Before The Public Utilities Commission Of The State Of California</w:t>
      </w:r>
    </w:p>
    <w:p w:rsidR="004905C7" w:rsidP="003A1134" w:rsidRDefault="004905C7" w14:paraId="37528BD3" w14:textId="77777777">
      <w:pPr>
        <w:pStyle w:val="BriefHeading"/>
        <w:jc w:val="left"/>
        <w:rPr>
          <w:sz w:val="26"/>
        </w:rPr>
      </w:pPr>
    </w:p>
    <w:p w:rsidRPr="00B200B3" w:rsidR="00D615E2" w:rsidP="003A1134" w:rsidRDefault="00D615E2" w14:paraId="7A94C724" w14:textId="77777777">
      <w:pPr>
        <w:pStyle w:val="BriefHeading"/>
        <w:jc w:val="left"/>
        <w:rPr>
          <w:sz w:val="26"/>
        </w:rPr>
      </w:pPr>
    </w:p>
    <w:tbl>
      <w:tblPr>
        <w:tblW w:w="8857" w:type="dxa"/>
        <w:tblInd w:w="-115" w:type="dxa"/>
        <w:tblLayout w:type="fixed"/>
        <w:tblCellMar>
          <w:left w:w="10" w:type="dxa"/>
          <w:right w:w="10" w:type="dxa"/>
        </w:tblCellMar>
        <w:tblLook w:val="04A0" w:firstRow="1" w:lastRow="0" w:firstColumn="1" w:lastColumn="0" w:noHBand="0" w:noVBand="1"/>
      </w:tblPr>
      <w:tblGrid>
        <w:gridCol w:w="4885"/>
        <w:gridCol w:w="3972"/>
      </w:tblGrid>
      <w:tr w:rsidRPr="00B200B3" w:rsidR="004905C7" w:rsidTr="00F27603" w14:paraId="496CC324" w14:textId="77777777">
        <w:tc>
          <w:tcPr>
            <w:tcW w:w="4885" w:type="dxa"/>
            <w:tcBorders>
              <w:bottom w:val="single" w:color="auto" w:sz="4" w:space="0"/>
              <w:right w:val="single" w:color="00000A" w:sz="6" w:space="0"/>
            </w:tcBorders>
            <w:tcMar>
              <w:top w:w="0" w:type="dxa"/>
              <w:left w:w="115" w:type="dxa"/>
              <w:bottom w:w="0" w:type="dxa"/>
              <w:right w:w="108" w:type="dxa"/>
            </w:tcMar>
          </w:tcPr>
          <w:p w:rsidRPr="00B200B3" w:rsidR="004905C7" w:rsidP="00F27603" w:rsidRDefault="00E95E06" w14:paraId="142C0676" w14:textId="632ACA36">
            <w:pPr>
              <w:pStyle w:val="Standard"/>
              <w:tabs>
                <w:tab w:val="clear" w:pos="5040"/>
              </w:tabs>
              <w:overflowPunct w:val="0"/>
              <w:spacing w:after="120"/>
              <w:textAlignment w:val="auto"/>
            </w:pPr>
            <w:r>
              <w:t xml:space="preserve">Appeal of </w:t>
            </w:r>
            <w:r w:rsidR="00FB6975">
              <w:t>City of San Jos</w:t>
            </w:r>
            <w:r w:rsidRPr="00C75B41" w:rsidR="00C75B41">
              <w:t>é</w:t>
            </w:r>
            <w:r w:rsidR="00FB6975">
              <w:t xml:space="preserve">, Administrator </w:t>
            </w:r>
            <w:r w:rsidR="004B7B97">
              <w:br/>
            </w:r>
            <w:r w:rsidR="00FB6975">
              <w:t>of San Jos</w:t>
            </w:r>
            <w:r w:rsidRPr="00C75B41" w:rsidR="00C75B41">
              <w:t>é</w:t>
            </w:r>
            <w:r w:rsidR="00FB6975">
              <w:t xml:space="preserve"> Clean Energy from Citation No. E-4195</w:t>
            </w:r>
            <w:r w:rsidR="001869D5">
              <w:t>-0052</w:t>
            </w:r>
            <w:r w:rsidR="00946502">
              <w:t xml:space="preserve"> issued on February 27, </w:t>
            </w:r>
            <w:proofErr w:type="gramStart"/>
            <w:r w:rsidR="00946502">
              <w:t>2019</w:t>
            </w:r>
            <w:proofErr w:type="gramEnd"/>
            <w:r w:rsidR="00946502">
              <w:t xml:space="preserve"> by Consumer Protection and Enforcement Division.</w:t>
            </w:r>
            <w:r w:rsidRPr="00B200B3" w:rsidR="004905C7">
              <w:fldChar w:fldCharType="begin"/>
            </w:r>
            <w:r w:rsidRPr="00B200B3" w:rsidR="004905C7">
              <w:instrText xml:space="preserve"> FILLIN "Enter the caption for this decision.  If there is more than one case, separate with hard returns." </w:instrText>
            </w:r>
            <w:r w:rsidRPr="00B200B3" w:rsidR="004905C7">
              <w:fldChar w:fldCharType="end"/>
            </w:r>
          </w:p>
        </w:tc>
        <w:tc>
          <w:tcPr>
            <w:tcW w:w="3972" w:type="dxa"/>
            <w:tcBorders>
              <w:left w:val="single" w:color="00000A" w:sz="6" w:space="0"/>
            </w:tcBorders>
            <w:tcMar>
              <w:top w:w="0" w:type="dxa"/>
              <w:left w:w="115" w:type="dxa"/>
              <w:bottom w:w="0" w:type="dxa"/>
              <w:right w:w="108" w:type="dxa"/>
            </w:tcMar>
          </w:tcPr>
          <w:p w:rsidR="004905C7" w:rsidP="00245EA2" w:rsidRDefault="004905C7" w14:paraId="78008BFE" w14:textId="6E0EF1D5">
            <w:pPr>
              <w:pStyle w:val="Standard"/>
              <w:tabs>
                <w:tab w:val="clear" w:pos="5040"/>
              </w:tabs>
              <w:overflowPunct w:val="0"/>
              <w:textAlignment w:val="auto"/>
            </w:pPr>
          </w:p>
          <w:p w:rsidRPr="00B200B3" w:rsidR="00C31959" w:rsidP="00480B28" w:rsidRDefault="007F5140" w14:paraId="7832A18E" w14:textId="46F97B34">
            <w:pPr>
              <w:pStyle w:val="Standard"/>
              <w:tabs>
                <w:tab w:val="clear" w:pos="5040"/>
              </w:tabs>
              <w:overflowPunct w:val="0"/>
              <w:jc w:val="center"/>
              <w:textAlignment w:val="auto"/>
            </w:pPr>
            <w:r>
              <w:t>K.19-03-024</w:t>
            </w:r>
          </w:p>
        </w:tc>
      </w:tr>
    </w:tbl>
    <w:p w:rsidRPr="00480B28" w:rsidR="00525516" w:rsidP="00480B28" w:rsidRDefault="00525516" w14:paraId="4CF3C624" w14:textId="77777777">
      <w:pPr>
        <w:pStyle w:val="BriefTitle"/>
        <w:jc w:val="left"/>
        <w:rPr>
          <w:b w:val="0"/>
          <w:bCs/>
        </w:rPr>
      </w:pPr>
    </w:p>
    <w:p w:rsidR="00F27603" w:rsidP="009F22D8" w:rsidRDefault="00CB4073" w14:paraId="14A9D4E9" w14:textId="3185BE93">
      <w:pPr>
        <w:pStyle w:val="BriefTitle"/>
        <w:rPr>
          <w:u w:val="single"/>
        </w:rPr>
      </w:pPr>
      <w:r w:rsidRPr="001275C0">
        <w:rPr>
          <w:u w:val="single"/>
        </w:rPr>
        <w:t xml:space="preserve">ORDER </w:t>
      </w:r>
      <w:r w:rsidR="001E139D">
        <w:rPr>
          <w:u w:val="single"/>
        </w:rPr>
        <w:t xml:space="preserve">MODIFYING </w:t>
      </w:r>
      <w:r w:rsidR="00B9770C">
        <w:rPr>
          <w:u w:val="single"/>
        </w:rPr>
        <w:t>Resolution ALJ-488</w:t>
      </w:r>
      <w:r w:rsidR="001E139D">
        <w:rPr>
          <w:u w:val="single"/>
        </w:rPr>
        <w:t xml:space="preserve"> </w:t>
      </w:r>
      <w:r w:rsidR="00042A02">
        <w:rPr>
          <w:u w:val="single"/>
        </w:rPr>
        <w:t>AND</w:t>
      </w:r>
    </w:p>
    <w:p w:rsidRPr="005918F0" w:rsidR="004905C7" w:rsidP="009F22D8" w:rsidRDefault="00B9770C" w14:paraId="0F4068FB" w14:textId="696382F3">
      <w:pPr>
        <w:pStyle w:val="BriefTitle"/>
        <w:rPr>
          <w:u w:val="single"/>
        </w:rPr>
      </w:pPr>
      <w:r>
        <w:rPr>
          <w:u w:val="single"/>
        </w:rPr>
        <w:t>DENYING</w:t>
      </w:r>
      <w:r w:rsidR="009F22D8">
        <w:rPr>
          <w:u w:val="single"/>
        </w:rPr>
        <w:t xml:space="preserve"> REHEARING</w:t>
      </w:r>
      <w:r>
        <w:rPr>
          <w:u w:val="single"/>
        </w:rPr>
        <w:t>, as modified</w:t>
      </w:r>
    </w:p>
    <w:p w:rsidR="00AE0C88" w:rsidP="004104F6" w:rsidRDefault="00AE0C88" w14:paraId="51E80191" w14:textId="3BD68D2F">
      <w:pPr>
        <w:pStyle w:val="BriefTitle"/>
        <w:jc w:val="left"/>
        <w:rPr>
          <w:b w:val="0"/>
          <w:bCs/>
          <w:u w:val="single"/>
        </w:rPr>
      </w:pPr>
      <w:bookmarkStart w:name="_Toc370798909" w:id="0"/>
      <w:bookmarkEnd w:id="0"/>
    </w:p>
    <w:p w:rsidRPr="00B200B3" w:rsidR="00AE0C88" w:rsidP="00A5477E" w:rsidRDefault="004104F6" w14:paraId="4C90E9DF" w14:textId="77777777">
      <w:pPr>
        <w:pStyle w:val="Heading1"/>
      </w:pPr>
      <w:r w:rsidRPr="00B200B3">
        <w:t>SUMMARY</w:t>
      </w:r>
    </w:p>
    <w:p w:rsidR="0027229D" w:rsidP="00D15495" w:rsidRDefault="490B4CD2" w14:paraId="0050B61D" w14:textId="39660C3C">
      <w:pPr>
        <w:pStyle w:val="BodyText10"/>
        <w:tabs>
          <w:tab w:val="clear" w:pos="5040"/>
        </w:tabs>
        <w:ind w:firstLine="1440"/>
      </w:pPr>
      <w:r w:rsidRPr="00B200B3">
        <w:t xml:space="preserve">This </w:t>
      </w:r>
      <w:r w:rsidRPr="00B200B3" w:rsidR="68E272FB">
        <w:t>Order</w:t>
      </w:r>
      <w:r w:rsidRPr="00B200B3">
        <w:t xml:space="preserve"> addresses the application for rehearing of </w:t>
      </w:r>
      <w:r w:rsidR="1CACFC3F">
        <w:t>Resolution ALJ-488</w:t>
      </w:r>
      <w:r w:rsidR="21F1C2F0">
        <w:t xml:space="preserve">, </w:t>
      </w:r>
      <w:r w:rsidRPr="3C9CA78C" w:rsidR="21F1C2F0">
        <w:rPr>
          <w:i/>
          <w:iCs/>
        </w:rPr>
        <w:t>Resolves K.19-03-024, City of San Jos</w:t>
      </w:r>
      <w:r w:rsidRPr="3C9CA78C" w:rsidR="4FF791A4">
        <w:rPr>
          <w:i/>
          <w:iCs/>
        </w:rPr>
        <w:t>é</w:t>
      </w:r>
      <w:r w:rsidRPr="3C9CA78C" w:rsidR="21F1C2F0">
        <w:rPr>
          <w:i/>
          <w:iCs/>
        </w:rPr>
        <w:t>, Administrator of San Jos</w:t>
      </w:r>
      <w:r w:rsidRPr="3C9CA78C" w:rsidR="4FF791A4">
        <w:rPr>
          <w:i/>
          <w:iCs/>
        </w:rPr>
        <w:t>é</w:t>
      </w:r>
      <w:r w:rsidRPr="3C9CA78C" w:rsidR="21F1C2F0">
        <w:rPr>
          <w:i/>
          <w:iCs/>
        </w:rPr>
        <w:t xml:space="preserve"> Clean Energy to Citation E-4195</w:t>
      </w:r>
      <w:r w:rsidR="21F1C2F0">
        <w:t xml:space="preserve"> (2026) </w:t>
      </w:r>
      <w:r w:rsidR="7BC48845">
        <w:t>(</w:t>
      </w:r>
      <w:r w:rsidR="1CACFC3F">
        <w:t>Resolution</w:t>
      </w:r>
      <w:r w:rsidR="7BC48845">
        <w:t>)</w:t>
      </w:r>
      <w:r w:rsidR="00836305">
        <w:rPr>
          <w:rStyle w:val="FootnoteReference"/>
        </w:rPr>
        <w:footnoteReference w:id="2"/>
      </w:r>
      <w:r w:rsidRPr="00B200B3">
        <w:t xml:space="preserve"> filed by</w:t>
      </w:r>
      <w:r w:rsidR="2F067F0D">
        <w:t xml:space="preserve"> </w:t>
      </w:r>
      <w:r w:rsidRPr="3C9CA78C" w:rsidR="51CF9292">
        <w:t>City o</w:t>
      </w:r>
      <w:r w:rsidRPr="3C9CA78C" w:rsidR="771E6A78">
        <w:t>f San Jos</w:t>
      </w:r>
      <w:r w:rsidRPr="3C9CA78C" w:rsidR="039E1793">
        <w:t>é</w:t>
      </w:r>
      <w:r w:rsidR="771E6A78">
        <w:rPr>
          <w:bCs/>
        </w:rPr>
        <w:t xml:space="preserve">, </w:t>
      </w:r>
      <w:r w:rsidRPr="3C9CA78C" w:rsidR="771E6A78">
        <w:t>Administrator of San Jos</w:t>
      </w:r>
      <w:r w:rsidRPr="3C9CA78C" w:rsidR="3DE9286A">
        <w:t>é</w:t>
      </w:r>
      <w:r w:rsidRPr="3C9CA78C" w:rsidR="771E6A78">
        <w:t xml:space="preserve"> Clean Energy</w:t>
      </w:r>
      <w:r w:rsidRPr="00B40880" w:rsidR="63FAA0B7">
        <w:rPr>
          <w:bCs/>
        </w:rPr>
        <w:t xml:space="preserve"> (</w:t>
      </w:r>
      <w:r w:rsidRPr="3C9CA78C" w:rsidR="771E6A78">
        <w:t>San Jose</w:t>
      </w:r>
      <w:r w:rsidR="771E6A78">
        <w:t xml:space="preserve"> or SJCE</w:t>
      </w:r>
      <w:r w:rsidRPr="00B40880" w:rsidR="63FAA0B7">
        <w:rPr>
          <w:bCs/>
        </w:rPr>
        <w:t>)</w:t>
      </w:r>
      <w:r w:rsidR="78FF54F1">
        <w:t>.</w:t>
      </w:r>
      <w:r w:rsidR="771E6A78">
        <w:t xml:space="preserve">  </w:t>
      </w:r>
      <w:r w:rsidRPr="000E0B0C" w:rsidR="4E8533CD">
        <w:t xml:space="preserve">In the </w:t>
      </w:r>
      <w:r w:rsidR="59D604D3">
        <w:t>R</w:t>
      </w:r>
      <w:r w:rsidRPr="000E0B0C" w:rsidR="4E8533CD">
        <w:t>esolution, we denied San Jose</w:t>
      </w:r>
      <w:r w:rsidR="687D1031">
        <w:t>’</w:t>
      </w:r>
      <w:r w:rsidRPr="000E0B0C" w:rsidR="4E8533CD">
        <w:t xml:space="preserve">s appeal of </w:t>
      </w:r>
      <w:r w:rsidR="687D1031">
        <w:t>C</w:t>
      </w:r>
      <w:r w:rsidRPr="000E0B0C" w:rsidR="4E8533CD">
        <w:t>itation E-4195</w:t>
      </w:r>
      <w:r w:rsidR="4A4EE42D">
        <w:t>-0052</w:t>
      </w:r>
      <w:r w:rsidR="687D1031">
        <w:t xml:space="preserve"> (Citation) </w:t>
      </w:r>
      <w:r w:rsidRPr="0009030F" w:rsidR="687D1031">
        <w:t>issued by the Commission</w:t>
      </w:r>
      <w:r w:rsidR="687D1031">
        <w:t>’</w:t>
      </w:r>
      <w:r w:rsidRPr="0009030F" w:rsidR="687D1031">
        <w:t>s Consumer Protection and Enforcement Division (CPED)</w:t>
      </w:r>
      <w:r w:rsidRPr="000E0B0C" w:rsidR="4E8533CD">
        <w:t>.</w:t>
      </w:r>
      <w:r w:rsidR="687D1031">
        <w:t xml:space="preserve">  </w:t>
      </w:r>
      <w:r w:rsidRPr="003D7055" w:rsidR="0D56E52A">
        <w:t>CP</w:t>
      </w:r>
      <w:r w:rsidR="0D56E52A">
        <w:t>E</w:t>
      </w:r>
      <w:r w:rsidRPr="003D7055" w:rsidR="0D56E52A">
        <w:t>D cited and fined San Jose $6,791,154.40 for failing to procure sufficient resource adequacy (RA) to meet its 2019 system RA requirements for July and September, and its flexible RA requirements for July, September, and October.</w:t>
      </w:r>
      <w:r w:rsidR="124A30B6">
        <w:t xml:space="preserve">  </w:t>
      </w:r>
    </w:p>
    <w:p w:rsidR="000C2441" w:rsidP="003C06BA" w:rsidRDefault="00053083" w14:paraId="4EFB0B4C" w14:textId="6667DADC">
      <w:pPr>
        <w:pStyle w:val="BodyText10"/>
        <w:ind w:firstLine="1440"/>
      </w:pPr>
      <w:r w:rsidRPr="00053083">
        <w:t xml:space="preserve">San Jose timely filed an application for </w:t>
      </w:r>
      <w:r w:rsidR="00FC10F4">
        <w:t>re</w:t>
      </w:r>
      <w:r w:rsidRPr="00053083">
        <w:t>hearing alleging we erred by:</w:t>
      </w:r>
      <w:r>
        <w:t xml:space="preserve">  (1)</w:t>
      </w:r>
      <w:r w:rsidR="00A162D8">
        <w:t> </w:t>
      </w:r>
      <w:r>
        <w:t>f</w:t>
      </w:r>
      <w:r w:rsidRPr="00053083">
        <w:t xml:space="preserve">ailing to proceed in a manner required by law </w:t>
      </w:r>
      <w:r>
        <w:t>in not applying</w:t>
      </w:r>
      <w:r w:rsidRPr="00053083">
        <w:t xml:space="preserve"> the</w:t>
      </w:r>
      <w:r w:rsidR="00A017C4">
        <w:t xml:space="preserve"> </w:t>
      </w:r>
      <w:r w:rsidRPr="00A017C4" w:rsidR="00A017C4">
        <w:t>D</w:t>
      </w:r>
      <w:r w:rsidR="00A017C4">
        <w:t>ecision (D</w:t>
      </w:r>
      <w:r w:rsidRPr="00A017C4" w:rsidR="00A017C4">
        <w:t>.</w:t>
      </w:r>
      <w:r w:rsidR="00A017C4">
        <w:t>)</w:t>
      </w:r>
      <w:r w:rsidR="00A162D8">
        <w:t> </w:t>
      </w:r>
      <w:r w:rsidRPr="00A017C4" w:rsidR="00A017C4">
        <w:t>98</w:t>
      </w:r>
      <w:r w:rsidRPr="00A017C4" w:rsidR="00A017C4">
        <w:noBreakHyphen/>
        <w:t>12</w:t>
      </w:r>
      <w:r w:rsidRPr="00A017C4" w:rsidR="00A017C4">
        <w:noBreakHyphen/>
        <w:t>075</w:t>
      </w:r>
      <w:r w:rsidR="0059064F">
        <w:rPr>
          <w:rStyle w:val="FootnoteReference"/>
        </w:rPr>
        <w:footnoteReference w:id="3"/>
      </w:r>
      <w:r w:rsidRPr="00053083">
        <w:t xml:space="preserve"> five-factor test to consider mitigation of the penalty</w:t>
      </w:r>
      <w:r w:rsidR="00A017C4">
        <w:t>; (2) i</w:t>
      </w:r>
      <w:r w:rsidRPr="00053083">
        <w:t xml:space="preserve">ncorrectly </w:t>
      </w:r>
      <w:r w:rsidRPr="00053083">
        <w:lastRenderedPageBreak/>
        <w:t>assigning to San Jose the burden of proof as to the five-factor test</w:t>
      </w:r>
      <w:r w:rsidR="00A017C4">
        <w:t>; (3) a</w:t>
      </w:r>
      <w:r w:rsidRPr="00053083">
        <w:t>busing our discretion by failing to consider the five factors in assessing San Jose's penalty on appeal</w:t>
      </w:r>
      <w:r w:rsidR="00A017C4">
        <w:t>; (4) f</w:t>
      </w:r>
      <w:r w:rsidRPr="00053083">
        <w:t>ailing to comply with Public Utilities Code Section 1705 by not making the requisite findings as to the five-factor test</w:t>
      </w:r>
      <w:r w:rsidR="00A017C4">
        <w:t>; and, (5) f</w:t>
      </w:r>
      <w:r w:rsidRPr="00053083">
        <w:t>ailing to properly consider the evidence San Jose submitted into the record during their rehearing proceeding.</w:t>
      </w:r>
    </w:p>
    <w:p w:rsidRPr="00B200B3" w:rsidR="003A450B" w:rsidP="00D643C0" w:rsidRDefault="004104F6" w14:paraId="12B8F6B6" w14:textId="5E874A2E">
      <w:pPr>
        <w:spacing w:line="360" w:lineRule="auto"/>
        <w:ind w:firstLine="1440"/>
      </w:pPr>
      <w:r w:rsidRPr="00B200B3">
        <w:t xml:space="preserve">We have carefully considered </w:t>
      </w:r>
      <w:r w:rsidR="005119B4">
        <w:t xml:space="preserve">all </w:t>
      </w:r>
      <w:r w:rsidR="00E524C7">
        <w:t xml:space="preserve">of </w:t>
      </w:r>
      <w:r w:rsidRPr="00B200B3">
        <w:t xml:space="preserve">the </w:t>
      </w:r>
      <w:r w:rsidR="00CF755F">
        <w:t>allegations</w:t>
      </w:r>
      <w:r w:rsidRPr="00B200B3" w:rsidR="00CF755F">
        <w:t xml:space="preserve"> </w:t>
      </w:r>
      <w:r w:rsidR="005119B4">
        <w:t>presented by the rehearing applicant</w:t>
      </w:r>
      <w:r w:rsidR="006630F9">
        <w:t xml:space="preserve"> </w:t>
      </w:r>
      <w:r w:rsidRPr="00F84044" w:rsidR="006630F9">
        <w:t>and</w:t>
      </w:r>
      <w:r w:rsidRPr="00F84044" w:rsidR="009D3043">
        <w:t xml:space="preserve"> </w:t>
      </w:r>
      <w:r w:rsidRPr="00F84044" w:rsidR="009C3D07">
        <w:t>conclude</w:t>
      </w:r>
      <w:r w:rsidRPr="00F84044" w:rsidR="009D3043">
        <w:t xml:space="preserve"> that certain modifications </w:t>
      </w:r>
      <w:r w:rsidRPr="00F84044" w:rsidR="006630F9">
        <w:t>of</w:t>
      </w:r>
      <w:r w:rsidRPr="00F84044" w:rsidR="009D3043">
        <w:t xml:space="preserve"> the </w:t>
      </w:r>
      <w:r w:rsidR="003C06BA">
        <w:t>Resolution</w:t>
      </w:r>
      <w:r w:rsidRPr="00F84044" w:rsidR="009D3043">
        <w:t xml:space="preserve"> are warranted to clarify our </w:t>
      </w:r>
      <w:r w:rsidR="003C06BA">
        <w:t xml:space="preserve">reasoning as to the </w:t>
      </w:r>
      <w:r w:rsidR="00D35E82">
        <w:t>five-factor</w:t>
      </w:r>
      <w:r w:rsidR="003C06BA">
        <w:t xml:space="preserve"> test</w:t>
      </w:r>
      <w:r w:rsidRPr="00F84044" w:rsidR="00552CAA">
        <w:t>.</w:t>
      </w:r>
      <w:r w:rsidRPr="00F84044" w:rsidR="00E361E4">
        <w:t xml:space="preserve">  </w:t>
      </w:r>
      <w:r w:rsidR="00D35E82">
        <w:t>Following these modification</w:t>
      </w:r>
      <w:r w:rsidR="002C04B6">
        <w:t>s, we deny rehearing of the Resolution, as modified</w:t>
      </w:r>
      <w:r w:rsidRPr="00F84044" w:rsidR="009D3043">
        <w:t>.</w:t>
      </w:r>
    </w:p>
    <w:p w:rsidRPr="000822CC" w:rsidR="00BB4777" w:rsidP="00A5477E" w:rsidRDefault="00373C9A" w14:paraId="7F442D8C" w14:textId="19EC1862">
      <w:pPr>
        <w:pStyle w:val="Heading1"/>
      </w:pPr>
      <w:r w:rsidRPr="000822CC">
        <w:t>BACKGROUND</w:t>
      </w:r>
    </w:p>
    <w:p w:rsidR="00B332AE" w:rsidP="00B332AE" w:rsidRDefault="00B332AE" w14:paraId="50591D1B" w14:textId="4E7CF9FD">
      <w:pPr>
        <w:pStyle w:val="Textbody"/>
        <w:ind w:firstLine="1440"/>
      </w:pPr>
      <w:r>
        <w:t>On February 27, 2019, CPED issued Citation E</w:t>
      </w:r>
      <w:r w:rsidR="00FC28F2">
        <w:t>-</w:t>
      </w:r>
      <w:r>
        <w:t>4195</w:t>
      </w:r>
      <w:r w:rsidR="00FC28F2">
        <w:t>-</w:t>
      </w:r>
      <w:r>
        <w:t>0052</w:t>
      </w:r>
      <w:r w:rsidR="00FC28F2">
        <w:t xml:space="preserve">, </w:t>
      </w:r>
      <w:r>
        <w:t>assess</w:t>
      </w:r>
      <w:r w:rsidR="00FC28F2">
        <w:t>ing</w:t>
      </w:r>
      <w:r>
        <w:t xml:space="preserve"> a penalty of $6,791,155.40.  San Jose filed a Notice of Appeal on March 29, 2019.</w:t>
      </w:r>
    </w:p>
    <w:p w:rsidR="00B332AE" w:rsidP="00B332AE" w:rsidRDefault="00B332AE" w14:paraId="05BE698E" w14:textId="77777777">
      <w:pPr>
        <w:pStyle w:val="Textbody"/>
        <w:ind w:firstLine="1440"/>
      </w:pPr>
      <w:r>
        <w:t>A Notice of Citation Appeal Hearing was issued for April 29, 2019, but at San Jose’s request, the assigned Administrative Law Judge (ALJ) converted the scheduled evidentiary hearing into a prehearing conference (PHC).  Following the PHC, the assigned ALJ issued rulings identifying issues to be addressed, and on October 14, 2019, a Scoping Memo directed the parties to brief several threshold legal and factual matters before any evidentiary hearings could proceed.</w:t>
      </w:r>
    </w:p>
    <w:p w:rsidR="00B332AE" w:rsidP="00B332AE" w:rsidRDefault="00B332AE" w14:paraId="74E430C5" w14:textId="51A1F031">
      <w:pPr>
        <w:pStyle w:val="Textbody"/>
        <w:ind w:firstLine="1440"/>
      </w:pPr>
      <w:r>
        <w:t xml:space="preserve">In March 2020, </w:t>
      </w:r>
      <w:r w:rsidR="009724FC">
        <w:t>San Jose’s appeal was reassigned to a new</w:t>
      </w:r>
      <w:r>
        <w:t xml:space="preserve"> ALJ.  On April 17, 2020, the new ALJ issued a ruling finding that evidentiary hearings were unnecessary because, even assuming San Jose’s asserted facts were true, San Jose had neither shown impossibility of compliance with its RA obligations nor established mitigating circumstances that would warrant reducing the penalty.  San Jose’s subsequent Motion for Reconsideration was denied, and on September 18, 2020, the Commission issued Resolution ALJ</w:t>
      </w:r>
      <w:r w:rsidR="00052E97">
        <w:t>-</w:t>
      </w:r>
      <w:r>
        <w:t>382</w:t>
      </w:r>
      <w:r w:rsidR="00BD624F">
        <w:t xml:space="preserve">, </w:t>
      </w:r>
      <w:r w:rsidRPr="005813C6" w:rsidR="00BD624F">
        <w:rPr>
          <w:i/>
          <w:iCs/>
        </w:rPr>
        <w:t>Resolves the Appeal K.19-03-024 of Citation No. E-4195 by San</w:t>
      </w:r>
      <w:r w:rsidR="00A162D8">
        <w:rPr>
          <w:i/>
          <w:iCs/>
        </w:rPr>
        <w:t> </w:t>
      </w:r>
      <w:r w:rsidRPr="005813C6" w:rsidR="00BF0E95">
        <w:rPr>
          <w:i/>
          <w:iCs/>
        </w:rPr>
        <w:t>Jose</w:t>
      </w:r>
      <w:r w:rsidRPr="005813C6" w:rsidR="00BD624F">
        <w:rPr>
          <w:i/>
          <w:iCs/>
        </w:rPr>
        <w:t xml:space="preserve"> Clean Energy</w:t>
      </w:r>
      <w:r w:rsidR="00BD624F">
        <w:t xml:space="preserve"> (2020)</w:t>
      </w:r>
      <w:r>
        <w:t xml:space="preserve"> denying San Jose’s appeal.</w:t>
      </w:r>
    </w:p>
    <w:p w:rsidR="00B332AE" w:rsidP="00B332AE" w:rsidRDefault="00B332AE" w14:paraId="712FDAA4" w14:textId="1F01CA95">
      <w:pPr>
        <w:pStyle w:val="Textbody"/>
        <w:ind w:firstLine="1440"/>
      </w:pPr>
      <w:r>
        <w:lastRenderedPageBreak/>
        <w:t>San Jose timely applied for rehearing of Resolution ALJ</w:t>
      </w:r>
      <w:r w:rsidR="00052E97">
        <w:t>-</w:t>
      </w:r>
      <w:r>
        <w:t>382.  On December 16, 2021, the Commission issued D.21</w:t>
      </w:r>
      <w:r w:rsidR="00915B01">
        <w:t>-</w:t>
      </w:r>
      <w:r>
        <w:t>12</w:t>
      </w:r>
      <w:r w:rsidR="00915B01">
        <w:t>-</w:t>
      </w:r>
      <w:r>
        <w:t>066, vacating Resolution ALJ</w:t>
      </w:r>
      <w:r w:rsidR="00915B01">
        <w:t>-</w:t>
      </w:r>
      <w:r>
        <w:t>382 and granting rehearing “to give SJCE the opportunity to prove its assertion, that had it accepted the offers that were subsequently withdrawn while SJCE was vetting their terms, it still would have had a deficiency that could not have been filled because there was no other system or flexible RA available.”  (</w:t>
      </w:r>
      <w:r w:rsidRPr="00915B01">
        <w:rPr>
          <w:i/>
          <w:iCs/>
        </w:rPr>
        <w:t>Order Granting Rehearing of Resolution ALJ-382 and Vacating Resolution</w:t>
      </w:r>
      <w:r>
        <w:t xml:space="preserve"> (Dec. 17, 2021) [D.21-12-066], p. 6.)</w:t>
      </w:r>
      <w:r w:rsidR="00B53915">
        <w:rPr>
          <w:rStyle w:val="FootnoteReference"/>
        </w:rPr>
        <w:footnoteReference w:id="4"/>
      </w:r>
      <w:r>
        <w:t xml:space="preserve">  D.21-12-066 also stated that “[i]n addition, SJCE shall have an opportunity to present evidence to address the penalty factors such as the entity’s financial resources.”  (</w:t>
      </w:r>
      <w:r w:rsidRPr="00915B01">
        <w:rPr>
          <w:i/>
          <w:iCs/>
        </w:rPr>
        <w:t>Ibid</w:t>
      </w:r>
      <w:r>
        <w:t>.)</w:t>
      </w:r>
    </w:p>
    <w:p w:rsidR="00B332AE" w:rsidP="00B332AE" w:rsidRDefault="00B332AE" w14:paraId="53E3C721" w14:textId="6505898F">
      <w:pPr>
        <w:pStyle w:val="Textbody"/>
        <w:ind w:firstLine="1440"/>
      </w:pPr>
      <w:r>
        <w:t>The matter was reassigned on December 6, 2024.  A ruling issued on January 15, 2025, set evidentiary hearings to begin on April 22, 2025.  Shortly before the scheduled hearings, CPED filed a Motion to Strike certain San Jose’s exhibits; that motion was denied on April 22, 2025.  After the ruling, San Jose and CPED jointly requested to forgo evidentiary hearings and instead resolve the matter based solely on the written evidentiary record.  The assigned ALJ granted this request and set a briefing schedule.  Parties submitted opening briefs on May 30, 2025, and reply briefs on June 20, 2025.</w:t>
      </w:r>
    </w:p>
    <w:p w:rsidRPr="00AA629D" w:rsidR="00AA629D" w:rsidP="00B332AE" w:rsidRDefault="00B332AE" w14:paraId="740A37EE" w14:textId="06E4189E">
      <w:pPr>
        <w:pStyle w:val="Textbody"/>
        <w:tabs>
          <w:tab w:val="clear" w:pos="5040"/>
        </w:tabs>
        <w:ind w:firstLine="1440"/>
      </w:pPr>
      <w:r>
        <w:t xml:space="preserve">Once briefing was completed, the Commission issued Resolution ALJ-488, dismissing San Jose’s appeal, upholding Citation E-4196-0052, and affirming the $6,791,155.40 penalty in full.  The Resolution explained that D.21-12-066 “granted rehearing on a narrow issue:  whether San Jose could prove its assertion that even if it had accepted offers that were later withdrawn while under review, it still would have had a deficiency that could not have been cured because no other system or flexible RA was available.”  </w:t>
      </w:r>
      <w:r w:rsidR="00DF3798">
        <w:t xml:space="preserve">(Resolution ALJ-488, p. 1.)  </w:t>
      </w:r>
      <w:r>
        <w:t>The Resolution concluded that, having been given the opportunity to do so, “SJCE failed to make this showing.”  (</w:t>
      </w:r>
      <w:r w:rsidRPr="005813C6" w:rsidR="00DF3798">
        <w:rPr>
          <w:i/>
          <w:iCs/>
        </w:rPr>
        <w:t>Ibid</w:t>
      </w:r>
      <w:r>
        <w:t>.)</w:t>
      </w:r>
      <w:r w:rsidR="0073366A">
        <w:t xml:space="preserve"> </w:t>
      </w:r>
    </w:p>
    <w:p w:rsidRPr="00A5477E" w:rsidR="008A5D64" w:rsidP="00A5477E" w:rsidRDefault="00A5477E" w14:paraId="42B93CE4" w14:textId="2F1958D8">
      <w:pPr>
        <w:pStyle w:val="Heading1"/>
      </w:pPr>
      <w:r w:rsidRPr="00A5477E">
        <w:lastRenderedPageBreak/>
        <w:t>Discussion</w:t>
      </w:r>
    </w:p>
    <w:p w:rsidR="00864499" w:rsidP="004A360C" w:rsidRDefault="002F6240" w14:paraId="146006B1" w14:textId="702DE0A3">
      <w:pPr>
        <w:pStyle w:val="Heading2"/>
      </w:pPr>
      <w:r>
        <w:t xml:space="preserve">We clarify </w:t>
      </w:r>
      <w:r w:rsidR="001527DC">
        <w:t xml:space="preserve">the </w:t>
      </w:r>
      <w:r w:rsidR="009A1711">
        <w:t>scope of rehearing under D.21-12-066</w:t>
      </w:r>
      <w:r w:rsidRPr="00864499" w:rsidR="00864499">
        <w:t>.</w:t>
      </w:r>
    </w:p>
    <w:p w:rsidR="00003751" w:rsidP="00003751" w:rsidRDefault="00003751" w14:paraId="611270D9" w14:textId="26D2B389">
      <w:pPr>
        <w:pStyle w:val="Textbody"/>
        <w:ind w:firstLine="1440"/>
      </w:pPr>
      <w:r>
        <w:t>San Jose</w:t>
      </w:r>
      <w:r w:rsidR="00F144E7">
        <w:t xml:space="preserve"> alleges</w:t>
      </w:r>
      <w:r>
        <w:t xml:space="preserve"> that </w:t>
      </w:r>
      <w:r w:rsidR="006623F1">
        <w:t>we</w:t>
      </w:r>
      <w:r>
        <w:t xml:space="preserve"> failed to proceed in the manner required by law because the Resolution erroneously narrowed the scope of the rehearing proceeding to focus only on the impossibility defense.  (Rehg. App., pp. 2-4, 7-8.)  Specifically, that </w:t>
      </w:r>
      <w:r w:rsidR="006623F1">
        <w:t>we</w:t>
      </w:r>
      <w:r>
        <w:t xml:space="preserve"> erred in not applying the five penalty factors set forth in D.98</w:t>
      </w:r>
      <w:r w:rsidR="006623F1">
        <w:t>-</w:t>
      </w:r>
      <w:r>
        <w:t>12</w:t>
      </w:r>
      <w:r w:rsidR="006623F1">
        <w:t>-</w:t>
      </w:r>
      <w:r>
        <w:t xml:space="preserve">075, despite </w:t>
      </w:r>
      <w:r w:rsidR="007E5EAA">
        <w:br/>
      </w:r>
      <w:r>
        <w:t>D.21</w:t>
      </w:r>
      <w:r w:rsidR="006623F1">
        <w:t>-</w:t>
      </w:r>
      <w:r>
        <w:t>12</w:t>
      </w:r>
      <w:r w:rsidR="006623F1">
        <w:t>-</w:t>
      </w:r>
      <w:r>
        <w:t>066 granting rehearing so that San Jose could present evidence bearing on these factors.  (</w:t>
      </w:r>
      <w:r w:rsidRPr="006623F1">
        <w:rPr>
          <w:i/>
          <w:iCs/>
        </w:rPr>
        <w:t>Ibid</w:t>
      </w:r>
      <w:r>
        <w:t xml:space="preserve">.; see D.21-12-066, p. 6 [“In addition, SJCE shall have an opportunity to present evidence to address the penalty factors such as the entity’s financial resources.”]; see also Reporter’s Transcript (RT), Vol. 1, April 22, 2025, at 5:4; D.98-12-075.)    </w:t>
      </w:r>
    </w:p>
    <w:p w:rsidR="00003751" w:rsidP="00003751" w:rsidRDefault="00003751" w14:paraId="1B8023CE" w14:textId="4C87DA14">
      <w:pPr>
        <w:pStyle w:val="Textbody"/>
        <w:ind w:firstLine="1440"/>
      </w:pPr>
      <w:r>
        <w:t xml:space="preserve">The Resolution stated that rehearing was granted “solely to provide SJCE the opportunity to present evidence that, even if it had accepted withdrawn offers, SJCE still would have remained deficient because no other system or flexible Resource Adequacy (RA) was available.”  (Resolution ALJ-488, Finding and Conclusion 1; see also </w:t>
      </w:r>
      <w:r w:rsidRPr="005813C6" w:rsidR="002B4E22">
        <w:rPr>
          <w:i/>
          <w:iCs/>
        </w:rPr>
        <w:t>id.</w:t>
      </w:r>
      <w:r w:rsidR="002B4E22">
        <w:t xml:space="preserve"> at </w:t>
      </w:r>
      <w:r>
        <w:t xml:space="preserve">p. 4 [“The Commission granted rehearing to allow SJCE the opportunity to prove that, even with acceptance of withdrawn offers, it could not have achieved compliance because no other RA was available.”])  </w:t>
      </w:r>
    </w:p>
    <w:p w:rsidRPr="00864499" w:rsidR="00864499" w:rsidP="00003751" w:rsidRDefault="00003751" w14:paraId="28207590" w14:textId="535CD434">
      <w:pPr>
        <w:pStyle w:val="Textbody"/>
        <w:ind w:firstLine="1440"/>
      </w:pPr>
      <w:r>
        <w:t xml:space="preserve">San Jose is correct that D.21-12-066 permitted it to present evidence addressing the penalty factors.  Notably, San Jose does not contend that it was denied the opportunity to do so.  Nonetheless, Finding and Conclusion 1 </w:t>
      </w:r>
      <w:r w:rsidR="0030207E">
        <w:t>is</w:t>
      </w:r>
      <w:r>
        <w:t xml:space="preserve"> modified to remove reference to “solely.</w:t>
      </w:r>
      <w:r w:rsidR="0030207E">
        <w:t>”</w:t>
      </w:r>
    </w:p>
    <w:p w:rsidRPr="004F061B" w:rsidR="00197FF1" w:rsidP="004A360C" w:rsidRDefault="00210470" w14:paraId="07F32895" w14:textId="2B0D981B">
      <w:pPr>
        <w:pStyle w:val="Heading2"/>
      </w:pPr>
      <w:r>
        <w:rPr>
          <w:bCs/>
        </w:rPr>
        <w:t>We confirm</w:t>
      </w:r>
      <w:r w:rsidRPr="00210470">
        <w:rPr>
          <w:bCs/>
        </w:rPr>
        <w:t xml:space="preserve"> that D.98</w:t>
      </w:r>
      <w:r w:rsidRPr="00210470">
        <w:rPr>
          <w:bCs/>
        </w:rPr>
        <w:noBreakHyphen/>
        <w:t>12</w:t>
      </w:r>
      <w:r w:rsidRPr="00210470">
        <w:rPr>
          <w:bCs/>
        </w:rPr>
        <w:noBreakHyphen/>
        <w:t>075 does not place a burden of proof on any party.</w:t>
      </w:r>
    </w:p>
    <w:p w:rsidR="00D63EFE" w:rsidP="00D63EFE" w:rsidRDefault="00D63EFE" w14:paraId="5E023126" w14:textId="2261753A">
      <w:pPr>
        <w:pStyle w:val="BodyText10"/>
        <w:ind w:firstLine="1440"/>
      </w:pPr>
      <w:r>
        <w:t>San Jose further argues that the Resolution improperly placed the burden of demonstrating that mitigation of the penalty is warranted under the five-factor test on San</w:t>
      </w:r>
      <w:r w:rsidR="00A162D8">
        <w:t> </w:t>
      </w:r>
      <w:r>
        <w:t>Jose.  (Rehg. App., pp. 8-10.)  According to San Jose, this conflicts with recent Commission precedent clarifying that D.98-12-075 places no burden on any party and that mitigation is a separate inquiry surviving a failed affirmative defense.  (</w:t>
      </w:r>
      <w:r w:rsidRPr="00D63EFE">
        <w:rPr>
          <w:i/>
          <w:iCs/>
        </w:rPr>
        <w:t>Ibid</w:t>
      </w:r>
      <w:r>
        <w:t>.)  San</w:t>
      </w:r>
      <w:r w:rsidR="00A162D8">
        <w:t> </w:t>
      </w:r>
      <w:r>
        <w:t xml:space="preserve">Jose is </w:t>
      </w:r>
      <w:r w:rsidR="005A2A86">
        <w:t>in</w:t>
      </w:r>
      <w:r>
        <w:t>correct.</w:t>
      </w:r>
    </w:p>
    <w:p w:rsidR="00D63EFE" w:rsidP="00D63EFE" w:rsidRDefault="00D63EFE" w14:paraId="15245C18" w14:textId="786717C4">
      <w:pPr>
        <w:pStyle w:val="BodyText10"/>
        <w:ind w:firstLine="1440"/>
      </w:pPr>
      <w:r>
        <w:lastRenderedPageBreak/>
        <w:t xml:space="preserve">The Resolution </w:t>
      </w:r>
      <w:r w:rsidR="005A2A86">
        <w:t xml:space="preserve">explicitly </w:t>
      </w:r>
      <w:r>
        <w:t>placed the burden on San Jose to establish the impossibility defense.  The Resolution stated that “the burden was therefore on SJCE to demonstrate, by a preponderance of the evidence,” that (1) acceptance of withdrawn offers would not have cured the deficiency, and (2) no other RA existed.  (Resolution ALJ‑488, p. 3.)  The Resolution concluded that San Jose failed to meet this burden because RA resources were available and were declined or lost due to San Jose’s procurement choices and internal processes.  (</w:t>
      </w:r>
      <w:r w:rsidRPr="005813C6" w:rsidR="00D7645B">
        <w:rPr>
          <w:i/>
          <w:iCs/>
        </w:rPr>
        <w:t>Id</w:t>
      </w:r>
      <w:r w:rsidRPr="005813C6" w:rsidR="00B6414E">
        <w:rPr>
          <w:i/>
          <w:iCs/>
        </w:rPr>
        <w:t>.</w:t>
      </w:r>
      <w:r w:rsidR="00D7645B">
        <w:t xml:space="preserve"> at</w:t>
      </w:r>
      <w:r>
        <w:t xml:space="preserve"> pp. 3-5.)  The Resolution also indicated that the burden allocation was consistent with the narrow scope of rehearing set by D.21‑12‑066.  (</w:t>
      </w:r>
      <w:r w:rsidRPr="005813C6" w:rsidR="00B6414E">
        <w:rPr>
          <w:i/>
          <w:iCs/>
        </w:rPr>
        <w:t>Id.</w:t>
      </w:r>
      <w:r w:rsidR="00B6414E">
        <w:t xml:space="preserve"> at </w:t>
      </w:r>
      <w:r>
        <w:t>p. 3.)</w:t>
      </w:r>
    </w:p>
    <w:p w:rsidR="00D63EFE" w:rsidP="005566BC" w:rsidRDefault="00D63EFE" w14:paraId="7191FE64" w14:textId="2607A6B4">
      <w:pPr>
        <w:pStyle w:val="BodyText10"/>
        <w:ind w:firstLine="1440"/>
      </w:pPr>
      <w:r>
        <w:t xml:space="preserve">The Resolution properly required San Jose to carry the burden on the impossibility question.  (See </w:t>
      </w:r>
      <w:r w:rsidRPr="005566BC">
        <w:rPr>
          <w:i/>
          <w:iCs/>
        </w:rPr>
        <w:t>Oosten v. Hay Haulers Dairy Employees &amp; Helpers Union</w:t>
      </w:r>
      <w:r>
        <w:t xml:space="preserve"> (1955) 45 Cal.2d 784 [“Impossibility of performance is a defense and the burden of proof in establishing it rests on defendant.”]; see also Resolution E-4195, </w:t>
      </w:r>
      <w:r w:rsidRPr="005566BC">
        <w:rPr>
          <w:i/>
          <w:iCs/>
        </w:rPr>
        <w:t>Approval of a modification to the current citation program enforcing compliance with system and local Resource Adequacy filing requirements by Load-Serving Entities</w:t>
      </w:r>
      <w:r>
        <w:t xml:space="preserve"> (2008) Appendix A, Sec. 2.7.7</w:t>
      </w:r>
      <w:r w:rsidR="00A26CF4">
        <w:t>;</w:t>
      </w:r>
      <w:r>
        <w:t xml:space="preserve"> Resolution ALJ-377, </w:t>
      </w:r>
      <w:r w:rsidRPr="005566BC">
        <w:rPr>
          <w:i/>
          <w:iCs/>
        </w:rPr>
        <w:t>Modifies and Makes Permanent the Citation Appellate Rules and General Order 156 Appellate Rules</w:t>
      </w:r>
      <w:r>
        <w:t xml:space="preserve"> (2020) Appendix B, p. 27.)  San Jose does not dispute this accurate burden allocation.  (See Rehg. App., p. 9.)  </w:t>
      </w:r>
    </w:p>
    <w:p w:rsidR="00B245D2" w:rsidP="00B245D2" w:rsidRDefault="00D63EFE" w14:paraId="3F6EE859" w14:textId="79092AE4">
      <w:pPr>
        <w:pStyle w:val="BodyText10"/>
        <w:ind w:firstLine="1440"/>
      </w:pPr>
      <w:r>
        <w:t>D.21</w:t>
      </w:r>
      <w:r w:rsidR="005566BC">
        <w:t>-</w:t>
      </w:r>
      <w:r>
        <w:t>12</w:t>
      </w:r>
      <w:r w:rsidR="005566BC">
        <w:t>-</w:t>
      </w:r>
      <w:r>
        <w:t xml:space="preserve">066 granted San Jose an opportunity to present evidence on impossibility and the penalty factors, </w:t>
      </w:r>
      <w:r w:rsidR="006B1E17">
        <w:t xml:space="preserve">and </w:t>
      </w:r>
      <w:r>
        <w:t xml:space="preserve">it did not impose a party burden for </w:t>
      </w:r>
      <w:r w:rsidR="00164DCA">
        <w:t xml:space="preserve">any </w:t>
      </w:r>
      <w:r>
        <w:t xml:space="preserve">mitigation analysis </w:t>
      </w:r>
      <w:r w:rsidR="00164DCA">
        <w:t xml:space="preserve">the Commission may </w:t>
      </w:r>
      <w:r w:rsidR="00CF17AD">
        <w:t xml:space="preserve">consider </w:t>
      </w:r>
      <w:r>
        <w:t>under D.98</w:t>
      </w:r>
      <w:r w:rsidR="00113FB7">
        <w:t>-</w:t>
      </w:r>
      <w:r>
        <w:t>12</w:t>
      </w:r>
      <w:r w:rsidR="00113FB7">
        <w:t>-</w:t>
      </w:r>
      <w:r>
        <w:t>075.  (D.21</w:t>
      </w:r>
      <w:r w:rsidR="00113FB7">
        <w:t>-</w:t>
      </w:r>
      <w:r>
        <w:t>12</w:t>
      </w:r>
      <w:r w:rsidR="00113FB7">
        <w:t>-</w:t>
      </w:r>
      <w:r>
        <w:t xml:space="preserve">066, pp. 5-6; Rehg. App., p. 9.)  </w:t>
      </w:r>
      <w:r w:rsidR="003F6518">
        <w:t>T</w:t>
      </w:r>
      <w:r w:rsidR="00B245D2">
        <w:t xml:space="preserve">he Resolution also did not discuss what the burden is as to the five-factor penalty analysis or make any statements regarding San Jose bearing any burden of proof as to those factors.  </w:t>
      </w:r>
    </w:p>
    <w:p w:rsidRPr="00472358" w:rsidR="00E10134" w:rsidP="00B245D2" w:rsidRDefault="00B245D2" w14:paraId="1DB6874B" w14:textId="1CD4691D">
      <w:pPr>
        <w:pStyle w:val="BodyText10"/>
        <w:ind w:firstLine="1440"/>
      </w:pPr>
      <w:r>
        <w:t>Thus, San Jose’s argument that the Resolution applied the incorrect evidentiary burden is inaccurate and erroneous.</w:t>
      </w:r>
      <w:r w:rsidR="00D46DEA">
        <w:t xml:space="preserve">  </w:t>
      </w:r>
    </w:p>
    <w:p w:rsidR="007E1C57" w:rsidP="004A360C" w:rsidRDefault="00144844" w14:paraId="694D0912" w14:textId="42221E49">
      <w:pPr>
        <w:pStyle w:val="Heading2"/>
      </w:pPr>
      <w:r>
        <w:lastRenderedPageBreak/>
        <w:t>We</w:t>
      </w:r>
      <w:r w:rsidRPr="00144844">
        <w:t xml:space="preserve"> </w:t>
      </w:r>
      <w:r w:rsidR="000C5D3B">
        <w:t xml:space="preserve">modify the Resolution to clarify why </w:t>
      </w:r>
      <w:r w:rsidR="00202ECF">
        <w:t>consideration of the five-factor test was not warranted in this case</w:t>
      </w:r>
      <w:r w:rsidRPr="00E17F75" w:rsidR="00E17F75">
        <w:t>.</w:t>
      </w:r>
    </w:p>
    <w:p w:rsidR="00717C08" w:rsidP="00717C08" w:rsidRDefault="00717C08" w14:paraId="01A2F9FC" w14:textId="6FBF53C7">
      <w:pPr>
        <w:pStyle w:val="BodyText10"/>
        <w:ind w:firstLine="1440"/>
      </w:pPr>
      <w:r>
        <w:t xml:space="preserve">San Jose’s main allegation of legal error is that, despite D.21-12-066 stating that San Jose is allowed to present evidence on penalty mitigation, we abused </w:t>
      </w:r>
      <w:r w:rsidR="00FA50F3">
        <w:t>our</w:t>
      </w:r>
      <w:r>
        <w:t xml:space="preserve"> discretion by not evaluating D.98-12-075’s five penalty factors in the Resolution and by failing to engage with the evidence San Jose supplied on each factor.  (Rehg. App., pp. 12-13.)  San Jose contends that this omission contravenes mandatory Commission precedent and undermines the fairness of the penalty determination.  (</w:t>
      </w:r>
      <w:r w:rsidRPr="005813C6" w:rsidR="00204EE8">
        <w:rPr>
          <w:i/>
          <w:iCs/>
        </w:rPr>
        <w:t>Ibid</w:t>
      </w:r>
      <w:r>
        <w:t xml:space="preserve">.) </w:t>
      </w:r>
    </w:p>
    <w:p w:rsidR="00717C08" w:rsidP="00717C08" w:rsidRDefault="00FA50F3" w14:paraId="645CF0F7" w14:textId="3CEC6AD2">
      <w:pPr>
        <w:pStyle w:val="BodyText10"/>
        <w:ind w:firstLine="1440"/>
      </w:pPr>
      <w:r>
        <w:t>T</w:t>
      </w:r>
      <w:r w:rsidR="00717C08">
        <w:t>he Resolution briefly addressed “SJCE’s public entity status,” “SJCE’s large RA deficiency,” and San Jose’s subsequent 2020 citation in response to San Jose’s comments on the Draft Resolution, ultimately concluding that “even if all five principles set forth in D.98-12-075 were evaluated separately, the penalty would not have been subsequently reduced.”  (Resolution ALJ-488, p. 5.)  The Resolution also concluded that market scarcity or high prices do not amount to impossibility or a basis for lowering penalties.  (</w:t>
      </w:r>
      <w:r w:rsidRPr="005813C6" w:rsidR="003A6D24">
        <w:rPr>
          <w:i/>
          <w:iCs/>
        </w:rPr>
        <w:t>Id</w:t>
      </w:r>
      <w:r w:rsidR="003A6D24">
        <w:t>. at</w:t>
      </w:r>
      <w:r w:rsidR="00717C08">
        <w:t xml:space="preserve"> pp. 6-7.)  The Resolution did not evaluate each of the five factors against the evidence presented in the record.</w:t>
      </w:r>
    </w:p>
    <w:p w:rsidR="00717C08" w:rsidP="00717C08" w:rsidRDefault="00717C08" w14:paraId="5C952B51" w14:textId="7964D90B">
      <w:pPr>
        <w:pStyle w:val="BodyText10"/>
        <w:ind w:firstLine="1440"/>
      </w:pPr>
      <w:r>
        <w:t xml:space="preserve">D.21-12-066 primarily granted rehearing to allow San Jose “the opportunity to prove its assertion, that had it accepted the offers that were subsequently withdrawn while SJCE was vetting its terms, it still would have had a deficiency that could not have been filled because there was no other system or flexible RA available.”  (D.21-12-066, p. 6.)  This is because San Jose’s assertion of error in its prior rehearing </w:t>
      </w:r>
      <w:r w:rsidR="00D21C2E">
        <w:t xml:space="preserve">application </w:t>
      </w:r>
      <w:r>
        <w:t>was that “it was led to believe it would have an opportunity to present evidence relevant to its defense in evidentiary hearings but was then unexpectedly denied this opportunity,” resulting in a record “limited to only those facts laid out in its Notice of Appeal and briefings” and prejudice from “not being permitted to present facts favorable to its defense in evidentiary hearings.”  (D.21-12-066, p. 5.)  This error was corrected here</w:t>
      </w:r>
      <w:r w:rsidR="00A12580">
        <w:t xml:space="preserve">:  </w:t>
      </w:r>
      <w:r>
        <w:t>San Jose submitted prepared testimony (RT, Vol. 1 at 9:13-14, 11:5:7, 13:3-6, 14:6-10, 15:7-13; 27:15-20; 36:12-19)</w:t>
      </w:r>
      <w:r w:rsidR="00A12580">
        <w:t>;</w:t>
      </w:r>
      <w:r>
        <w:t xml:space="preserve"> the parties stipulated to the exhibit list and admission of the exhibits (</w:t>
      </w:r>
      <w:r w:rsidRPr="005813C6">
        <w:rPr>
          <w:i/>
          <w:iCs/>
        </w:rPr>
        <w:t>Id</w:t>
      </w:r>
      <w:r>
        <w:t>. at 48:19-51:3)</w:t>
      </w:r>
      <w:r w:rsidR="00A12580">
        <w:t>;</w:t>
      </w:r>
      <w:r>
        <w:t xml:space="preserve"> and</w:t>
      </w:r>
      <w:r w:rsidR="00A12580">
        <w:t>, the parties</w:t>
      </w:r>
      <w:r>
        <w:t xml:space="preserve"> stipulated to proceed without evidentiary </w:t>
      </w:r>
      <w:r>
        <w:lastRenderedPageBreak/>
        <w:t>hearings on the merits (</w:t>
      </w:r>
      <w:r w:rsidRPr="005813C6">
        <w:rPr>
          <w:i/>
          <w:iCs/>
        </w:rPr>
        <w:t>Id</w:t>
      </w:r>
      <w:r>
        <w:t>. at 44:5-14; see also Rehg. App., p. 5 [“SJCE acknowledged that they were waiving their right to a hearing and acknowledged that the matter would be resolved based on the written evidentiary record before the assigned ALJ.”]).</w:t>
      </w:r>
    </w:p>
    <w:p w:rsidR="00717C08" w:rsidP="00717C08" w:rsidRDefault="00717C08" w14:paraId="61ABA3D5" w14:textId="19D67ACE">
      <w:pPr>
        <w:pStyle w:val="BodyText10"/>
        <w:ind w:firstLine="1440"/>
      </w:pPr>
      <w:r>
        <w:t xml:space="preserve">As to the five-factor penalty test, D.21-12-066 granted San Jose “an opportunity to present evidence to address the penalty factors such as the entity’s financial resources.”  (D.21-12-066, p. 6.)  San Jose does not dispute that it was afforded the opportunity to do so on rehearing and parties fully briefed whether </w:t>
      </w:r>
      <w:r w:rsidR="00017B51">
        <w:t>we</w:t>
      </w:r>
      <w:r>
        <w:t xml:space="preserve"> should exercise </w:t>
      </w:r>
      <w:r w:rsidR="002F0C6D">
        <w:t>our</w:t>
      </w:r>
      <w:r>
        <w:t xml:space="preserve"> discretion to reduce San Jose’s citation.  (See May 30, 2025 </w:t>
      </w:r>
      <w:r w:rsidRPr="00017B51">
        <w:rPr>
          <w:i/>
          <w:iCs/>
        </w:rPr>
        <w:t>Opening Brief of the City of San Jos</w:t>
      </w:r>
      <w:r w:rsidRPr="00292EAF" w:rsidR="00576CAD">
        <w:rPr>
          <w:i/>
          <w:iCs/>
        </w:rPr>
        <w:t>é</w:t>
      </w:r>
      <w:r w:rsidRPr="00017B51">
        <w:rPr>
          <w:i/>
          <w:iCs/>
        </w:rPr>
        <w:t>, Administrator of San Jos</w:t>
      </w:r>
      <w:r w:rsidRPr="00292EAF" w:rsidR="00576CAD">
        <w:rPr>
          <w:i/>
          <w:iCs/>
        </w:rPr>
        <w:t>é</w:t>
      </w:r>
      <w:r w:rsidRPr="00017B51">
        <w:rPr>
          <w:i/>
          <w:iCs/>
        </w:rPr>
        <w:t xml:space="preserve"> Clean Energy</w:t>
      </w:r>
      <w:r>
        <w:t xml:space="preserve"> (San Jose OB)</w:t>
      </w:r>
      <w:r w:rsidR="00017B51">
        <w:t>;</w:t>
      </w:r>
      <w:r>
        <w:t xml:space="preserve"> May 30, 2025 </w:t>
      </w:r>
      <w:r w:rsidRPr="00017B51">
        <w:rPr>
          <w:i/>
          <w:iCs/>
        </w:rPr>
        <w:t>Opening Brief of the Consumer Protection and Enforcement Division</w:t>
      </w:r>
      <w:r>
        <w:t xml:space="preserve"> (CPED OB)</w:t>
      </w:r>
      <w:r w:rsidR="00017B51">
        <w:t>;</w:t>
      </w:r>
      <w:r>
        <w:t xml:space="preserve"> June 20, 2025 </w:t>
      </w:r>
      <w:r w:rsidRPr="00017B51">
        <w:rPr>
          <w:i/>
          <w:iCs/>
        </w:rPr>
        <w:t>Reply Brief of the City of San Jos</w:t>
      </w:r>
      <w:r w:rsidRPr="00292EAF" w:rsidR="004738BB">
        <w:rPr>
          <w:i/>
          <w:iCs/>
        </w:rPr>
        <w:t>é</w:t>
      </w:r>
      <w:r w:rsidRPr="00017B51">
        <w:rPr>
          <w:i/>
          <w:iCs/>
        </w:rPr>
        <w:t>, Administrator of San Jos</w:t>
      </w:r>
      <w:r w:rsidRPr="00292EAF" w:rsidR="004738BB">
        <w:rPr>
          <w:i/>
          <w:iCs/>
        </w:rPr>
        <w:t>é</w:t>
      </w:r>
      <w:r w:rsidRPr="00017B51">
        <w:rPr>
          <w:i/>
          <w:iCs/>
        </w:rPr>
        <w:t xml:space="preserve"> Clean Energy</w:t>
      </w:r>
      <w:r>
        <w:t xml:space="preserve"> (San Jose RB)</w:t>
      </w:r>
      <w:r w:rsidR="00017B51">
        <w:t>;</w:t>
      </w:r>
      <w:r>
        <w:t xml:space="preserve"> and June 20, 2025 </w:t>
      </w:r>
      <w:r w:rsidRPr="00017B51">
        <w:rPr>
          <w:i/>
          <w:iCs/>
        </w:rPr>
        <w:t>Reply Brief of the Consumer Protection and Enforcement Division</w:t>
      </w:r>
      <w:r>
        <w:t xml:space="preserve"> (CPED RB).)  San Jose’s position, instead, is that </w:t>
      </w:r>
      <w:r w:rsidR="00017F85">
        <w:t>we</w:t>
      </w:r>
      <w:r>
        <w:t xml:space="preserve"> “must apply the five-factor test to RA citation appeals.”  (Rehg. App., p. 12.)  </w:t>
      </w:r>
    </w:p>
    <w:p w:rsidR="00717C08" w:rsidP="00C8380B" w:rsidRDefault="00717C08" w14:paraId="24743939" w14:textId="7C3E61A3">
      <w:pPr>
        <w:pStyle w:val="BodyText10"/>
        <w:ind w:firstLine="1440"/>
      </w:pPr>
      <w:r>
        <w:t xml:space="preserve">This broad assertion—that </w:t>
      </w:r>
      <w:r w:rsidR="00017F85">
        <w:t>we are</w:t>
      </w:r>
      <w:r>
        <w:t xml:space="preserve"> required to apply the five factors—is incorrect.  Resolution E-4195 set out the schedule of penalties for violations of RA requirements.  San Jose’s fine was determined pursuant to that schedule.  (Citation No. </w:t>
      </w:r>
      <w:r w:rsidR="007E5EAA">
        <w:br/>
      </w:r>
      <w:r>
        <w:t>E-4195-0052.)  San Jose does not assert that CPED incorrectly calculated the fine.  (</w:t>
      </w:r>
      <w:r w:rsidR="002C280F">
        <w:t xml:space="preserve">See generally </w:t>
      </w:r>
      <w:r w:rsidR="00B236F1">
        <w:t>San Jose OB and San Jose RB</w:t>
      </w:r>
      <w:r>
        <w:t xml:space="preserve">.)  </w:t>
      </w:r>
    </w:p>
    <w:p w:rsidR="00717C08" w:rsidP="000070FD" w:rsidRDefault="00717C08" w14:paraId="1143367C" w14:textId="5AFCE3A9">
      <w:pPr>
        <w:pStyle w:val="BodyText10"/>
        <w:ind w:firstLine="1440"/>
      </w:pPr>
      <w:r>
        <w:t xml:space="preserve">Resolution E-4195 also states that “[i]n the event of an appeal, any remedy available may be imposed, and the remedy shall not be mandated by or limited to the Scheduled Penalty.”  (Resolution E-4195, Appendix A, p. 10.)  Taken together with </w:t>
      </w:r>
      <w:r w:rsidR="007E5EAA">
        <w:br/>
      </w:r>
      <w:r>
        <w:t>D.98-12-075’s five “principles [that] distill the essence of numerous Commission decisions concerning penalties in a wide range of cases</w:t>
      </w:r>
      <w:r w:rsidR="00D62775">
        <w:t>,</w:t>
      </w:r>
      <w:r>
        <w:t>” which can be used “as precedent in determining the level of penalty in the full range of Commission enforcement</w:t>
      </w:r>
      <w:r w:rsidR="00D82902">
        <w:t xml:space="preserve"> </w:t>
      </w:r>
      <w:r>
        <w:t xml:space="preserve">proceedings…” (D.98-12-075, p. 34), </w:t>
      </w:r>
      <w:r w:rsidR="00EE6386">
        <w:t>we have</w:t>
      </w:r>
      <w:r>
        <w:t xml:space="preserve"> recognized </w:t>
      </w:r>
      <w:r w:rsidR="00EE6386">
        <w:t>our</w:t>
      </w:r>
      <w:r>
        <w:t xml:space="preserve"> discretion to apply the five-factor penalty test set forth in D.98-12-075 to RA citation appeals.  (</w:t>
      </w:r>
      <w:r w:rsidRPr="00D82902">
        <w:rPr>
          <w:i/>
          <w:iCs/>
        </w:rPr>
        <w:t>Order Granting Rehearing and Modifying Resolution ALJ-463</w:t>
      </w:r>
      <w:r>
        <w:t xml:space="preserve"> (April 25, 2025) [D.25-04-043], p. 5, fn. 5; see also Resolution ALJ-424, </w:t>
      </w:r>
      <w:r w:rsidRPr="00D82902">
        <w:rPr>
          <w:i/>
          <w:iCs/>
        </w:rPr>
        <w:t xml:space="preserve">Resolves the Appeal K.21-08-001 of Citation </w:t>
      </w:r>
      <w:r w:rsidR="007E5EAA">
        <w:rPr>
          <w:i/>
          <w:iCs/>
        </w:rPr>
        <w:br/>
      </w:r>
      <w:r w:rsidRPr="00D82902">
        <w:rPr>
          <w:i/>
          <w:iCs/>
        </w:rPr>
        <w:lastRenderedPageBreak/>
        <w:t>E-4195-100 by Commercial Energy</w:t>
      </w:r>
      <w:r>
        <w:t xml:space="preserve"> (2022) pp. 9-10; Resolution ALJ-394, </w:t>
      </w:r>
      <w:r w:rsidRPr="00D82902">
        <w:rPr>
          <w:i/>
          <w:iCs/>
        </w:rPr>
        <w:t xml:space="preserve">Resolves </w:t>
      </w:r>
      <w:r w:rsidR="007E5EAA">
        <w:rPr>
          <w:i/>
          <w:iCs/>
        </w:rPr>
        <w:br/>
      </w:r>
      <w:r w:rsidRPr="00D82902">
        <w:rPr>
          <w:i/>
          <w:iCs/>
        </w:rPr>
        <w:t>K.20-05-006, the Appeal of Clean Power Alliance of Southern California from Citation No. E-4195-82</w:t>
      </w:r>
      <w:r>
        <w:t xml:space="preserve"> (2021).)  </w:t>
      </w:r>
    </w:p>
    <w:p w:rsidR="00717C08" w:rsidP="00717C08" w:rsidRDefault="00717C08" w14:paraId="5A8DF582" w14:textId="30C702C8">
      <w:pPr>
        <w:pStyle w:val="BodyText10"/>
        <w:ind w:firstLine="1440"/>
      </w:pPr>
      <w:r>
        <w:t xml:space="preserve">However, while D.25-04-043 acknowledged </w:t>
      </w:r>
      <w:r w:rsidR="00EE6386">
        <w:t>our</w:t>
      </w:r>
      <w:r>
        <w:t xml:space="preserve"> ability to exercise discretion to apply the five-factor test—and D.21-12-066 </w:t>
      </w:r>
      <w:r w:rsidR="00FD108A">
        <w:t>permitted</w:t>
      </w:r>
      <w:r w:rsidR="000802E2">
        <w:t xml:space="preserve"> San Jose </w:t>
      </w:r>
      <w:r w:rsidR="00C83B8A">
        <w:t>to present evidence on the</w:t>
      </w:r>
      <w:r w:rsidR="008E00CD">
        <w:t xml:space="preserve"> five factors</w:t>
      </w:r>
      <w:r w:rsidR="004C0043">
        <w:t xml:space="preserve"> on rehearing</w:t>
      </w:r>
      <w:r>
        <w:t xml:space="preserve">—there is no Commission precedent mandating the application of the five factors in RA appeal proceedings.  Despite asserting that the Resolution’s failure “to evaluate the five penalty factors constitutes a failure to proceed in a manner required by law,” San Jose does not specify what law or precedent is violated.  (Rehg. App., p. 12.)  D.25-04-043, on which San Jose relies extensively, does not require </w:t>
      </w:r>
      <w:r w:rsidR="008D4849">
        <w:t>us</w:t>
      </w:r>
      <w:r>
        <w:t xml:space="preserve"> to apply the five-factor test in every RA citation appeal but rather acknowledges the importance of the “unique facts in the record” of each matter.  (D.25-04-043, p. 5.)  </w:t>
      </w:r>
    </w:p>
    <w:p w:rsidRPr="00A96328" w:rsidR="00745ED4" w:rsidP="00717C08" w:rsidRDefault="00004753" w14:paraId="1C77C74B" w14:textId="7DC28CA0">
      <w:pPr>
        <w:pStyle w:val="BodyText10"/>
        <w:ind w:firstLine="1440"/>
      </w:pPr>
      <w:r>
        <w:t>W</w:t>
      </w:r>
      <w:r w:rsidR="00717C08">
        <w:t xml:space="preserve">hile the Resolution did not fail to proceed in a manner required by law, </w:t>
      </w:r>
      <w:r w:rsidR="008D4849">
        <w:t xml:space="preserve">we modify </w:t>
      </w:r>
      <w:r w:rsidR="00717C08">
        <w:t xml:space="preserve">the Resolution </w:t>
      </w:r>
      <w:r w:rsidR="008D4849">
        <w:t>to clarify</w:t>
      </w:r>
      <w:r w:rsidR="00717C08">
        <w:t xml:space="preserve"> why </w:t>
      </w:r>
      <w:r w:rsidR="008D4849">
        <w:t>we</w:t>
      </w:r>
      <w:r w:rsidR="00717C08">
        <w:t xml:space="preserve"> chose not to exercise </w:t>
      </w:r>
      <w:r w:rsidR="00B94683">
        <w:t>our</w:t>
      </w:r>
      <w:r w:rsidR="00717C08">
        <w:t xml:space="preserve"> discretion </w:t>
      </w:r>
      <w:r w:rsidR="00386259">
        <w:t>to</w:t>
      </w:r>
      <w:r w:rsidR="00164C50">
        <w:t xml:space="preserve"> </w:t>
      </w:r>
      <w:r w:rsidR="00717C08">
        <w:t>apply the five factors in this case</w:t>
      </w:r>
      <w:r w:rsidR="008D4849">
        <w:t>.</w:t>
      </w:r>
      <w:r w:rsidR="00717C08">
        <w:t xml:space="preserve">  </w:t>
      </w:r>
      <w:r w:rsidR="008D4849">
        <w:t xml:space="preserve">Specifically, </w:t>
      </w:r>
      <w:r w:rsidR="00FE265F">
        <w:t xml:space="preserve">we did not deem application of the five-factor test and consideration of penalty mitigation warranted </w:t>
      </w:r>
      <w:r w:rsidR="0026687F">
        <w:t>here</w:t>
      </w:r>
      <w:r w:rsidR="005061EB">
        <w:t xml:space="preserve"> </w:t>
      </w:r>
      <w:r w:rsidR="00FE265F">
        <w:t xml:space="preserve">because </w:t>
      </w:r>
      <w:r w:rsidR="008A21DA">
        <w:t xml:space="preserve">San Jose </w:t>
      </w:r>
      <w:r w:rsidR="00717C08">
        <w:t>failed “to prove its assertion, that had it accepted the offers that were subsequently withdrawn while SJCE was vetting their terms, it still would have had a deficiency that could not have been filled because there was no other system or flexible RA available,”</w:t>
      </w:r>
      <w:r w:rsidR="00FE265F">
        <w:t xml:space="preserve"> which was the primary issue on rehearing</w:t>
      </w:r>
      <w:r w:rsidR="00717C08">
        <w:t>.</w:t>
      </w:r>
    </w:p>
    <w:p w:rsidR="007E1C57" w:rsidP="004A360C" w:rsidRDefault="00E11D95" w14:paraId="03B81DA9" w14:textId="28E154F9">
      <w:pPr>
        <w:pStyle w:val="Heading2"/>
      </w:pPr>
      <w:r w:rsidRPr="00E11D95">
        <w:rPr>
          <w:bCs/>
        </w:rPr>
        <w:t>The Resolution</w:t>
      </w:r>
      <w:r w:rsidR="002F4EB0">
        <w:rPr>
          <w:bCs/>
        </w:rPr>
        <w:t>, as modified,</w:t>
      </w:r>
      <w:r w:rsidRPr="00E11D95">
        <w:rPr>
          <w:bCs/>
        </w:rPr>
        <w:t xml:space="preserve"> does not need to state separate findings of fact as to the five-factor test</w:t>
      </w:r>
      <w:r w:rsidRPr="001D3EC2" w:rsidR="001D3EC2">
        <w:t>.</w:t>
      </w:r>
    </w:p>
    <w:p w:rsidR="0084629C" w:rsidP="0084629C" w:rsidRDefault="0084629C" w14:paraId="4420A9B6" w14:textId="5B969E2D">
      <w:pPr>
        <w:pStyle w:val="BodyText10"/>
        <w:ind w:firstLine="1440"/>
      </w:pPr>
      <w:r>
        <w:t xml:space="preserve">San Jose further alleges that the Resolution failed to separately state findings of fact and conclusions of law on all material issues as required by </w:t>
      </w:r>
      <w:r w:rsidR="00A738DC">
        <w:t xml:space="preserve">Public Utilities Code </w:t>
      </w:r>
      <w:r>
        <w:t>section 1705.  (Rehg. App., pp. 13–14.)  Specifically, San Jose argues that the Resolution omits findings regarding each of the five penalty factors, despite San</w:t>
      </w:r>
      <w:r w:rsidR="00A162D8">
        <w:t> </w:t>
      </w:r>
      <w:r>
        <w:t>Jose’s evidence addressing them.  (</w:t>
      </w:r>
      <w:r w:rsidRPr="00DA72AC">
        <w:rPr>
          <w:i/>
          <w:iCs/>
        </w:rPr>
        <w:t>Ibid</w:t>
      </w:r>
      <w:r>
        <w:t>.)  San Jose asserts that the absence of such findings prevents meaningful review and violates statutory mandates for Commission decisions. (</w:t>
      </w:r>
      <w:r w:rsidRPr="00DA72AC">
        <w:rPr>
          <w:i/>
          <w:iCs/>
        </w:rPr>
        <w:t>Ibid</w:t>
      </w:r>
      <w:r>
        <w:t xml:space="preserve">.)  </w:t>
      </w:r>
    </w:p>
    <w:p w:rsidR="0084629C" w:rsidP="0084629C" w:rsidRDefault="0084629C" w14:paraId="341B8FBF" w14:textId="7A6A4BE4">
      <w:pPr>
        <w:pStyle w:val="BodyText10"/>
        <w:ind w:firstLine="1440"/>
      </w:pPr>
      <w:r>
        <w:lastRenderedPageBreak/>
        <w:t>The Resolution provided findings related to San Jose’s procurement strategy, RA market availability, and San Jose’s internal risk review delays.  (Resolution ALJ</w:t>
      </w:r>
      <w:r w:rsidR="00DA72AC">
        <w:t>-</w:t>
      </w:r>
      <w:r>
        <w:t xml:space="preserve">488, pp. 6–7.)  </w:t>
      </w:r>
      <w:r w:rsidR="003E58CF">
        <w:t>T</w:t>
      </w:r>
      <w:r>
        <w:t>he Resolution did not include individualized findings for each of the five D.98</w:t>
      </w:r>
      <w:r w:rsidR="00DA72AC">
        <w:t>-</w:t>
      </w:r>
      <w:r>
        <w:t>12</w:t>
      </w:r>
      <w:r w:rsidR="00DA72AC">
        <w:t>-</w:t>
      </w:r>
      <w:r>
        <w:t xml:space="preserve">075 penalty factors.  (See </w:t>
      </w:r>
      <w:r w:rsidRPr="00DA72AC">
        <w:rPr>
          <w:i/>
          <w:iCs/>
        </w:rPr>
        <w:t>ibid</w:t>
      </w:r>
      <w:r>
        <w:t xml:space="preserve">.)  Instead, the Resolution stated that the penalty would not change even if </w:t>
      </w:r>
      <w:r w:rsidR="00DA72AC">
        <w:t>we</w:t>
      </w:r>
      <w:r>
        <w:t xml:space="preserve"> evaluated all five principles separately.  (</w:t>
      </w:r>
      <w:r w:rsidRPr="005813C6" w:rsidR="00E33DA3">
        <w:rPr>
          <w:i/>
          <w:iCs/>
        </w:rPr>
        <w:t>Id.</w:t>
      </w:r>
      <w:r w:rsidR="00E33DA3">
        <w:t xml:space="preserve"> at</w:t>
      </w:r>
      <w:r>
        <w:t xml:space="preserve"> p. 6.)</w:t>
      </w:r>
    </w:p>
    <w:p w:rsidR="0084629C" w:rsidP="0084629C" w:rsidRDefault="0084629C" w14:paraId="20666A0E" w14:textId="5AAF8652">
      <w:pPr>
        <w:pStyle w:val="BodyText10"/>
        <w:ind w:firstLine="1440"/>
      </w:pPr>
      <w:r>
        <w:t xml:space="preserve">Section 1705 requires </w:t>
      </w:r>
      <w:r w:rsidR="003E58CF">
        <w:t>our</w:t>
      </w:r>
      <w:r>
        <w:t xml:space="preserve"> decision</w:t>
      </w:r>
      <w:r w:rsidR="003E58CF">
        <w:t>s</w:t>
      </w:r>
      <w:r>
        <w:t xml:space="preserve"> to contain “separately stated, findings of fact and conclusions of law by the commission on all issues material to the… decision.”  “Every issue that must be resolved to reach </w:t>
      </w:r>
      <w:r w:rsidR="00C1660B">
        <w:t>[the</w:t>
      </w:r>
      <w:r w:rsidR="00165263">
        <w:t>]</w:t>
      </w:r>
      <w:r>
        <w:t xml:space="preserve"> ultimate finding is ‘material to the order or decision.’”  (</w:t>
      </w:r>
      <w:r w:rsidRPr="00D064B5">
        <w:rPr>
          <w:i/>
          <w:iCs/>
        </w:rPr>
        <w:t>Cal. Motor Transp. Co. v. Public Utilities Com.</w:t>
      </w:r>
      <w:r>
        <w:t xml:space="preserve"> (1963) 59</w:t>
      </w:r>
      <w:r w:rsidR="00A162D8">
        <w:t> </w:t>
      </w:r>
      <w:r>
        <w:t>Cal.2d 270, 273.)  Courts have held “[i]t is within the [Commission’s] discretion to determine what factors are material to its decision based on the issues before it.”  (</w:t>
      </w:r>
      <w:r w:rsidRPr="00D064B5">
        <w:rPr>
          <w:i/>
          <w:iCs/>
        </w:rPr>
        <w:t>Clean Energy Fuels Corp. v. Public Utilities Com.</w:t>
      </w:r>
      <w:r>
        <w:t xml:space="preserve"> (2014) 227 Cal.App.4th 641, 659.)  The Commission’s findings and conclusions are sufficient if they provide “a statement which will allow </w:t>
      </w:r>
      <w:r w:rsidR="007A50D1">
        <w:t>[</w:t>
      </w:r>
      <w:r w:rsidR="00026EE9">
        <w:t>the</w:t>
      </w:r>
      <w:r w:rsidR="007A50D1">
        <w:t xml:space="preserve"> court]</w:t>
      </w:r>
      <w:r>
        <w:t xml:space="preserve"> a meaningful opportunity to ascertain the principles and facts relied upon by the [Commission] in reaching its decision.”  (</w:t>
      </w:r>
      <w:r w:rsidRPr="00D064B5">
        <w:rPr>
          <w:i/>
          <w:iCs/>
        </w:rPr>
        <w:t>Toward Utility Rate Normalization v. Public Utilities Com.</w:t>
      </w:r>
      <w:r>
        <w:t xml:space="preserve"> (1978) 22 Cal.3d 529, 540.)  In other words, “a complete summary of all proceedings and evidence leading to the decision” is not required.  (</w:t>
      </w:r>
      <w:r w:rsidRPr="000A38D4">
        <w:rPr>
          <w:i/>
          <w:iCs/>
        </w:rPr>
        <w:t>Ibid</w:t>
      </w:r>
      <w:r>
        <w:t>.)</w:t>
      </w:r>
    </w:p>
    <w:p w:rsidR="007E1C57" w:rsidP="0084629C" w:rsidRDefault="000A38D4" w14:paraId="465247DC" w14:textId="134AB676">
      <w:pPr>
        <w:pStyle w:val="BodyText10"/>
        <w:ind w:firstLine="1440"/>
      </w:pPr>
      <w:r>
        <w:t>As discussed above</w:t>
      </w:r>
      <w:r w:rsidR="0084629C">
        <w:t>,</w:t>
      </w:r>
      <w:r>
        <w:t xml:space="preserve"> we are not required to consider </w:t>
      </w:r>
      <w:r w:rsidR="001A00F1">
        <w:t xml:space="preserve">the five-factor test in RA citation appeals and we were not required to consider penalty mitigation in light of San Jose’s failure to establish its affirmative defense of impossibility.  </w:t>
      </w:r>
      <w:r w:rsidR="00741129">
        <w:t>T</w:t>
      </w:r>
      <w:r w:rsidR="001A00F1">
        <w:t>he five-factor test was not a material issue</w:t>
      </w:r>
      <w:r w:rsidR="00741129">
        <w:t xml:space="preserve"> necessitating resolution and separate findings.  </w:t>
      </w:r>
      <w:r w:rsidR="000E0023">
        <w:t>As discussed above, w</w:t>
      </w:r>
      <w:r w:rsidR="00741129">
        <w:t>e modify</w:t>
      </w:r>
      <w:r w:rsidR="0084629C">
        <w:t xml:space="preserve"> the Resolution </w:t>
      </w:r>
      <w:r w:rsidR="00B67D05">
        <w:t>to clarify</w:t>
      </w:r>
      <w:r w:rsidR="0084629C">
        <w:t xml:space="preserve"> that </w:t>
      </w:r>
      <w:r w:rsidR="00B67D05">
        <w:t>we</w:t>
      </w:r>
      <w:r w:rsidR="0084629C">
        <w:t xml:space="preserve"> did </w:t>
      </w:r>
      <w:r w:rsidR="00334EC0">
        <w:t xml:space="preserve">not </w:t>
      </w:r>
      <w:r w:rsidR="00B67D05">
        <w:t>deem application of the five-factor test and consideration of penalty mitigation warranted given</w:t>
      </w:r>
      <w:r w:rsidR="0084629C">
        <w:t xml:space="preserve"> San Jose’s failure to prove its primary assertion on rehearing.</w:t>
      </w:r>
    </w:p>
    <w:p w:rsidR="007E1C57" w:rsidP="004A360C" w:rsidRDefault="008504DB" w14:paraId="45C7C1E1" w14:textId="775A273F">
      <w:pPr>
        <w:pStyle w:val="Heading2"/>
      </w:pPr>
      <w:r w:rsidRPr="008504DB">
        <w:rPr>
          <w:bCs/>
        </w:rPr>
        <w:t>The Resolution did not mischaracterize or ignore the admitted evidence.</w:t>
      </w:r>
    </w:p>
    <w:p w:rsidR="00885618" w:rsidP="00885618" w:rsidRDefault="00885618" w14:paraId="4F6E0483" w14:textId="20829C0C">
      <w:pPr>
        <w:pStyle w:val="TextAAAA"/>
      </w:pPr>
      <w:r>
        <w:t xml:space="preserve">San Jose further asserts that the Resolution mischaracterized the evidentiary record by stating that San Jose introduced only minimal new evidence.  (Rehg. App., pp. 10–12.)  San Jose contends that it introduced 105 exhibits, along with sworn </w:t>
      </w:r>
      <w:r>
        <w:lastRenderedPageBreak/>
        <w:t>testimony addressing market conditions, efforts to procure RA, financial impacts, and penalty mitigation.  (</w:t>
      </w:r>
      <w:r w:rsidRPr="00885618">
        <w:rPr>
          <w:i/>
          <w:iCs/>
        </w:rPr>
        <w:t>Ibid</w:t>
      </w:r>
      <w:r>
        <w:t>.)  San Jose alleges that we ignored this evidence, failed to consider it under the five‑factor test, and relied instead on an incomplete and inaccurate factual narrative. (</w:t>
      </w:r>
      <w:r w:rsidRPr="00885618">
        <w:rPr>
          <w:i/>
          <w:iCs/>
        </w:rPr>
        <w:t>Ibid</w:t>
      </w:r>
      <w:r>
        <w:t>.)</w:t>
      </w:r>
    </w:p>
    <w:p w:rsidR="00885618" w:rsidP="00885618" w:rsidRDefault="00885618" w14:paraId="4AB007A1" w14:textId="7830AE45">
      <w:pPr>
        <w:pStyle w:val="TextAAAA"/>
      </w:pPr>
      <w:r>
        <w:t xml:space="preserve">The Resolution indeed stated that “SJCE introduced minimal new evidence that was not previously introduced into the record.” </w:t>
      </w:r>
      <w:r w:rsidR="00260E5A">
        <w:t xml:space="preserve"> </w:t>
      </w:r>
      <w:r>
        <w:t>(Resolution ALJ‑488, p. 4.)  The Resolution also noted that San Jose’s direct testimony focused on organizational structure rather than the narrow rehearing question.  (</w:t>
      </w:r>
      <w:r w:rsidRPr="00B83FE0">
        <w:rPr>
          <w:i/>
          <w:iCs/>
        </w:rPr>
        <w:t>Ibid</w:t>
      </w:r>
      <w:r>
        <w:t>.)  The Resolution emphasized that San Jose voluntarily waived evidentiary hearings and declined opportunities to cross‑examine CPED witnesses, resulting in a limited record appropriate to the narrow scope of rehearing.  (</w:t>
      </w:r>
      <w:r w:rsidRPr="00B83FE0">
        <w:rPr>
          <w:i/>
          <w:iCs/>
        </w:rPr>
        <w:t>Ibid</w:t>
      </w:r>
      <w:r>
        <w:t>.)  Based on the written record, the Resolution concluded that San Jose’s evidence did not establish impossibility or the absence of available RA.  (</w:t>
      </w:r>
      <w:r w:rsidR="00B83FE0">
        <w:rPr>
          <w:i/>
          <w:iCs/>
        </w:rPr>
        <w:t>Id</w:t>
      </w:r>
      <w:r w:rsidR="00B83FE0">
        <w:t>.</w:t>
      </w:r>
      <w:r w:rsidR="0038027F">
        <w:t xml:space="preserve"> at</w:t>
      </w:r>
      <w:r>
        <w:t xml:space="preserve"> pp. 4–5.)</w:t>
      </w:r>
    </w:p>
    <w:p w:rsidR="00885618" w:rsidP="00885618" w:rsidRDefault="001D006F" w14:paraId="5E2196DC" w14:textId="2EB7E1FE">
      <w:pPr>
        <w:pStyle w:val="TextAAAA"/>
      </w:pPr>
      <w:r>
        <w:t>We</w:t>
      </w:r>
      <w:r w:rsidR="00885618">
        <w:t xml:space="preserve"> did not err. </w:t>
      </w:r>
      <w:r w:rsidR="008416D1">
        <w:t xml:space="preserve"> </w:t>
      </w:r>
      <w:r w:rsidR="00885618">
        <w:t>San Jose’s allegation conflates volume with novelty.  San</w:t>
      </w:r>
      <w:r w:rsidR="00A162D8">
        <w:t> </w:t>
      </w:r>
      <w:r w:rsidR="00885618">
        <w:t xml:space="preserve">Jose is correct as to the quantity and composition of its submitted evidence and testimony.  (Rehg. App., pp. 10-12.)  But the relevant exhibits, such as the July 2018 </w:t>
      </w:r>
      <w:r w:rsidR="00994966">
        <w:t>Request for Offers</w:t>
      </w:r>
      <w:r w:rsidR="00885618">
        <w:t xml:space="preserve">, the </w:t>
      </w:r>
      <w:r w:rsidR="00994966">
        <w:t>Pacific Gas &amp; Electric Company a</w:t>
      </w:r>
      <w:r w:rsidR="00885618">
        <w:t xml:space="preserve">nd </w:t>
      </w:r>
      <w:r w:rsidR="00781C3C">
        <w:t>Peninsula Clean Energy</w:t>
      </w:r>
      <w:r w:rsidR="00885618">
        <w:t xml:space="preserve"> correspondence, and the </w:t>
      </w:r>
      <w:r w:rsidR="005A1C9B">
        <w:t>Risk Oversight Committee</w:t>
      </w:r>
      <w:r w:rsidR="00830892">
        <w:t xml:space="preserve"> (ROC)</w:t>
      </w:r>
      <w:r w:rsidR="00885618">
        <w:t xml:space="preserve"> governance materials, are dated 2018 and 2019 and reflect events that occurred, and were presumably known to San</w:t>
      </w:r>
      <w:r w:rsidR="00A162D8">
        <w:t> </w:t>
      </w:r>
      <w:r w:rsidR="00885618">
        <w:t xml:space="preserve">Jose, at the time of the original citation and its first appeal.  </w:t>
      </w:r>
      <w:r w:rsidRPr="0046486B" w:rsidR="00885618">
        <w:rPr>
          <w:lang w:val="es-ES"/>
        </w:rPr>
        <w:t xml:space="preserve">(Ex. SJCE-24; </w:t>
      </w:r>
      <w:r w:rsidR="00A162D8">
        <w:rPr>
          <w:lang w:val="es-ES"/>
        </w:rPr>
        <w:br/>
      </w:r>
      <w:r w:rsidRPr="0046486B" w:rsidR="00885618">
        <w:rPr>
          <w:lang w:val="es-ES"/>
        </w:rPr>
        <w:t xml:space="preserve">Ex. SJCE-28; Ex. SJCE-34; Ex. SJCE-56; Ex. SJCE-55.)  </w:t>
      </w:r>
      <w:r w:rsidR="00885618">
        <w:t>The 2025 testimony from Ms.</w:t>
      </w:r>
      <w:r w:rsidR="00A162D8">
        <w:t> </w:t>
      </w:r>
      <w:r w:rsidR="00885618">
        <w:t>Solé and Mr. Zimmer functioned largely to narrate and characterize that pre-existing documentary record rather than to supply new facts.  (Ex. SJCE-108, ¶ 29; Ex. SJCE-24 [e-mails of Aug. 3, 6, and 9, 2018].)  Formally entering 105 exhibits into the rehearing record is not the same as introducing new evidence, and San Jose does not distinguish between the two.</w:t>
      </w:r>
    </w:p>
    <w:p w:rsidR="00885618" w:rsidP="00885618" w:rsidRDefault="00885618" w14:paraId="49A55AED" w14:textId="2930B79B">
      <w:pPr>
        <w:pStyle w:val="TextAAAA"/>
      </w:pPr>
      <w:r>
        <w:t xml:space="preserve">The Resolution’s other findings are also consistent with the record reviewed above.  Ms. Solé’s testimony devotes its opening sections to San Jose’s organizational structure, the Municipal Code’s procurement provisions, and the formation and governance of the ROC before reaching the procurement narrative itself.  (Ex. SJCE-108, </w:t>
      </w:r>
      <w:r>
        <w:lastRenderedPageBreak/>
        <w:t>¶¶ 18-22.)  That structural emphasis supports the Resolution’s observation that San Jose’s direct testimony “focused on organizational structure rather than the narrow rehearing question.”  (Resolution ALJ-488, p. 4.)  The narrow question on which rehearing was granted was whether San Jose would still have had a deficiency had it accepted the withdrawn offers while vetting their terms.  (D.21-12-066, p. 7.)  Most of San Jose’s evidentiary submission</w:t>
      </w:r>
      <w:r w:rsidR="00F41DB1">
        <w:t>s</w:t>
      </w:r>
      <w:r>
        <w:t>, including the ratepayer-vulnerability statistics and the reserve-covenant testimony addressed under the financial-resources factor above, bear on penalty mitigation generally rather than on that specific counterfactual, and San Jose’s decision to waive evidentiary hearings and decline cross-examination of CPED’s witnesses left that evidence, along with CPED’s, untested.  (See Resolution ALJ-488, p. 4.)</w:t>
      </w:r>
    </w:p>
    <w:p w:rsidRPr="009A0FE7" w:rsidR="009A0FE7" w:rsidP="008123F0" w:rsidRDefault="00885618" w14:paraId="1D663462" w14:textId="7E9A9210">
      <w:pPr>
        <w:pStyle w:val="TextAAAA"/>
      </w:pPr>
      <w:r>
        <w:t xml:space="preserve">On this record, San Jose’s allegation that </w:t>
      </w:r>
      <w:r w:rsidR="008123F0">
        <w:t>we</w:t>
      </w:r>
      <w:r>
        <w:t xml:space="preserve"> ignored or mischaracterized its evidence is not well supported.  The Resolution’s characterization distinguished between the quantity of material San Jose </w:t>
      </w:r>
      <w:r w:rsidR="00467E67">
        <w:t xml:space="preserve">submitted </w:t>
      </w:r>
      <w:r>
        <w:t xml:space="preserve">and the quantity that bore new facts on the specific question rehearing was granted to resolve, and in that regard, </w:t>
      </w:r>
      <w:r w:rsidR="008123F0">
        <w:t>we</w:t>
      </w:r>
      <w:r>
        <w:t xml:space="preserve"> did not err.</w:t>
      </w:r>
    </w:p>
    <w:p w:rsidRPr="00B200B3" w:rsidR="00AE0C88" w:rsidP="00A5477E" w:rsidRDefault="004104F6" w14:paraId="381AFEA3" w14:textId="77777777">
      <w:pPr>
        <w:pStyle w:val="Heading1"/>
      </w:pPr>
      <w:r w:rsidRPr="00B200B3">
        <w:t>CONCLUSION</w:t>
      </w:r>
    </w:p>
    <w:p w:rsidRPr="00B200B3" w:rsidR="00662316" w:rsidP="006C1722" w:rsidRDefault="00662316" w14:paraId="13D0C527" w14:textId="472BF8B2">
      <w:pPr>
        <w:pStyle w:val="TextAAAA"/>
      </w:pPr>
      <w:r w:rsidRPr="00E20DB5">
        <w:t xml:space="preserve">For the reasons stated above, good cause has </w:t>
      </w:r>
      <w:r w:rsidR="00034509">
        <w:t xml:space="preserve">not </w:t>
      </w:r>
      <w:r w:rsidRPr="00E20DB5">
        <w:t xml:space="preserve">been demonstrated to </w:t>
      </w:r>
      <w:r w:rsidR="008123F0">
        <w:t>grant rehearing</w:t>
      </w:r>
      <w:r w:rsidRPr="00E20DB5">
        <w:t>.</w:t>
      </w:r>
      <w:r w:rsidR="00491331">
        <w:t xml:space="preserve">  We will modify the </w:t>
      </w:r>
      <w:r w:rsidR="008123F0">
        <w:t>Resolution</w:t>
      </w:r>
      <w:r w:rsidR="00491331">
        <w:t xml:space="preserve"> as discussed above</w:t>
      </w:r>
      <w:r w:rsidR="008123F0">
        <w:t>.  Rehearing of the Resolution, as modified, is denied.</w:t>
      </w:r>
    </w:p>
    <w:p w:rsidRPr="008B05F4" w:rsidR="00AE0C88" w:rsidP="006C38A7" w:rsidRDefault="004104F6" w14:paraId="595F1934" w14:textId="7B83E8F8">
      <w:pPr>
        <w:pStyle w:val="Standard"/>
        <w:tabs>
          <w:tab w:val="clear" w:pos="5040"/>
        </w:tabs>
        <w:overflowPunct w:val="0"/>
        <w:spacing w:line="360" w:lineRule="auto"/>
        <w:ind w:firstLine="1440"/>
        <w:textAlignment w:val="auto"/>
      </w:pPr>
      <w:r w:rsidRPr="00B200B3">
        <w:rPr>
          <w:b/>
        </w:rPr>
        <w:t>THEREFORE, IT IS ORDERED</w:t>
      </w:r>
      <w:r w:rsidRPr="00B200B3">
        <w:t xml:space="preserve"> that:</w:t>
      </w:r>
    </w:p>
    <w:p w:rsidRPr="0078387F" w:rsidR="00B80269" w:rsidP="00B80269" w:rsidRDefault="00B80269" w14:paraId="5822E010" w14:textId="0AE2598A">
      <w:pPr>
        <w:pStyle w:val="Standard"/>
        <w:numPr>
          <w:ilvl w:val="0"/>
          <w:numId w:val="24"/>
        </w:numPr>
        <w:tabs>
          <w:tab w:val="clear" w:pos="5040"/>
          <w:tab w:val="left" w:pos="1350"/>
        </w:tabs>
        <w:overflowPunct w:val="0"/>
        <w:spacing w:line="360" w:lineRule="auto"/>
        <w:ind w:left="0" w:firstLine="720"/>
      </w:pPr>
      <w:r>
        <w:t xml:space="preserve">The </w:t>
      </w:r>
      <w:r w:rsidR="00A47D98">
        <w:t>last</w:t>
      </w:r>
      <w:r>
        <w:t xml:space="preserve"> paragraph on p</w:t>
      </w:r>
      <w:r w:rsidR="00F855D7">
        <w:t>age</w:t>
      </w:r>
      <w:r>
        <w:t xml:space="preserve"> </w:t>
      </w:r>
      <w:r w:rsidR="00A47D98">
        <w:t>5</w:t>
      </w:r>
      <w:r>
        <w:t xml:space="preserve"> </w:t>
      </w:r>
      <w:r w:rsidRPr="0078387F">
        <w:t xml:space="preserve">of </w:t>
      </w:r>
      <w:r w:rsidR="00A47D98">
        <w:t>Resolution ALJ-488</w:t>
      </w:r>
      <w:r w:rsidR="00F855D7">
        <w:t xml:space="preserve"> continuing on page 6</w:t>
      </w:r>
      <w:r>
        <w:t>, which begins: “</w:t>
      </w:r>
      <w:r w:rsidR="00A47D98">
        <w:t>SJCE also asserts that the penalty factors</w:t>
      </w:r>
      <w:r>
        <w:t>…,”</w:t>
      </w:r>
      <w:r w:rsidRPr="0078387F">
        <w:t xml:space="preserve"> is modified as follows</w:t>
      </w:r>
      <w:r w:rsidR="00A934A5">
        <w:t xml:space="preserve"> (</w:t>
      </w:r>
      <w:r w:rsidR="00914BCA">
        <w:t>with deletions in strikethrough and additions underline</w:t>
      </w:r>
      <w:r w:rsidR="003A7D7E">
        <w:t>d</w:t>
      </w:r>
      <w:r w:rsidR="00914BCA">
        <w:t>)</w:t>
      </w:r>
      <w:r w:rsidRPr="0078387F">
        <w:t>:</w:t>
      </w:r>
    </w:p>
    <w:p w:rsidR="00B80269" w:rsidP="005813C6" w:rsidRDefault="003F5866" w14:paraId="0B3782A3" w14:textId="3F934B8B">
      <w:pPr>
        <w:pStyle w:val="Standard"/>
        <w:overflowPunct w:val="0"/>
        <w:spacing w:after="120"/>
        <w:ind w:left="2160" w:right="1440"/>
      </w:pPr>
      <w:r w:rsidRPr="003F5866">
        <w:t>SJCE also asserts that the penalty factors such as an entity’s financial resources set forth in Decision (D.) 98-12-075 were not adequately considered. Among other things, SJCE</w:t>
      </w:r>
      <w:r>
        <w:t xml:space="preserve"> </w:t>
      </w:r>
      <w:r w:rsidRPr="003F5866">
        <w:t xml:space="preserve">argues in this proceeding that its public entity status should be considered as a factor for a penalty reduction. SJCE’s public entity status is not relevant. The penalty amount is commensurate with SJCE’s large RA deficiency and the simple fact that SJCE is a public entity cannot be a basis for a reduction of the penalty. Another issue that must be </w:t>
      </w:r>
      <w:r w:rsidRPr="003F5866">
        <w:lastRenderedPageBreak/>
        <w:t xml:space="preserve">considered is how lowering a penalty amount would achieve the objective of deterrence. Lowering a penalty amount could have a direct impact on future compliance. Additionally, it is noted that SJCE was cited a subsequent time in 2020 for failing to meet its 2020 year-ahead RA. </w:t>
      </w:r>
      <w:r w:rsidRPr="002D5BAA">
        <w:rPr>
          <w:strike/>
        </w:rPr>
        <w:t>Accordingly, even if all five principles set forth in D.98-12-075 were evaluated separately, the penalty would not have been subsequently reduced</w:t>
      </w:r>
      <w:r w:rsidRPr="003F5866">
        <w:t>.</w:t>
      </w:r>
      <w:r w:rsidR="002D5BAA">
        <w:t xml:space="preserve">  </w:t>
      </w:r>
      <w:r w:rsidRPr="00945AAD" w:rsidR="002D5BAA">
        <w:rPr>
          <w:u w:val="single"/>
        </w:rPr>
        <w:t xml:space="preserve">Regardless, </w:t>
      </w:r>
      <w:r w:rsidRPr="00945AAD" w:rsidR="00945AAD">
        <w:rPr>
          <w:u w:val="single"/>
        </w:rPr>
        <w:t xml:space="preserve">based on the present record and </w:t>
      </w:r>
      <w:r w:rsidRPr="00945AAD" w:rsidR="002D5BAA">
        <w:rPr>
          <w:u w:val="single"/>
        </w:rPr>
        <w:t>because</w:t>
      </w:r>
      <w:r w:rsidRPr="00945AAD" w:rsidR="00BF3059">
        <w:rPr>
          <w:u w:val="single"/>
        </w:rPr>
        <w:t xml:space="preserve"> San Jose failed </w:t>
      </w:r>
      <w:r w:rsidR="0097786D">
        <w:rPr>
          <w:u w:val="single"/>
        </w:rPr>
        <w:t>“</w:t>
      </w:r>
      <w:r w:rsidRPr="00945AAD" w:rsidR="00BF3059">
        <w:rPr>
          <w:u w:val="single"/>
        </w:rPr>
        <w:t>to prove its assertion, that had it accepted the offers that were subsequently withdrawn while SJCE was vetting their terms, it still would have had a deficiency that could not have been filled because there was no other system or flexible RA available,</w:t>
      </w:r>
      <w:r w:rsidR="006260E6">
        <w:rPr>
          <w:u w:val="single"/>
        </w:rPr>
        <w:t>”</w:t>
      </w:r>
      <w:r w:rsidRPr="00945AAD" w:rsidR="00BF3059">
        <w:rPr>
          <w:u w:val="single"/>
        </w:rPr>
        <w:t xml:space="preserve"> application of the five-factor test and consideration of penalty mitigation </w:t>
      </w:r>
      <w:r w:rsidRPr="00945AAD" w:rsidR="00886CDB">
        <w:rPr>
          <w:u w:val="single"/>
        </w:rPr>
        <w:t xml:space="preserve">is not </w:t>
      </w:r>
      <w:r w:rsidRPr="00945AAD" w:rsidR="00BF3059">
        <w:rPr>
          <w:u w:val="single"/>
        </w:rPr>
        <w:t>warranted</w:t>
      </w:r>
      <w:r w:rsidR="00BA6BF1">
        <w:rPr>
          <w:u w:val="single"/>
        </w:rPr>
        <w:t xml:space="preserve"> in this case</w:t>
      </w:r>
      <w:r w:rsidRPr="00945AAD" w:rsidR="00BF3059">
        <w:rPr>
          <w:u w:val="single"/>
        </w:rPr>
        <w:t>.</w:t>
      </w:r>
    </w:p>
    <w:p w:rsidR="00CC5FCD" w:rsidP="00F03730" w:rsidRDefault="007733EF" w14:paraId="5075B6D6" w14:textId="10C5E805">
      <w:pPr>
        <w:pStyle w:val="Standard"/>
        <w:numPr>
          <w:ilvl w:val="0"/>
          <w:numId w:val="24"/>
        </w:numPr>
        <w:tabs>
          <w:tab w:val="clear" w:pos="5040"/>
          <w:tab w:val="left" w:pos="1440"/>
        </w:tabs>
        <w:overflowPunct w:val="0"/>
        <w:spacing w:line="360" w:lineRule="auto"/>
        <w:ind w:left="0" w:firstLine="720"/>
      </w:pPr>
      <w:r>
        <w:t xml:space="preserve">Finding </w:t>
      </w:r>
      <w:r w:rsidR="00B27B83">
        <w:t xml:space="preserve">and Conclusion </w:t>
      </w:r>
      <w:r w:rsidR="004D61DD">
        <w:t>1</w:t>
      </w:r>
      <w:r w:rsidR="0010506F">
        <w:t xml:space="preserve"> </w:t>
      </w:r>
      <w:r w:rsidRPr="0078387F" w:rsidR="0010506F">
        <w:t xml:space="preserve">of </w:t>
      </w:r>
      <w:r w:rsidR="004D61DD">
        <w:t>Resolution ALJ-488</w:t>
      </w:r>
      <w:r>
        <w:t xml:space="preserve"> is modified as follows</w:t>
      </w:r>
      <w:r w:rsidR="009C0269">
        <w:t xml:space="preserve"> (with deletion in strikethrough)</w:t>
      </w:r>
      <w:r>
        <w:t xml:space="preserve">: </w:t>
      </w:r>
    </w:p>
    <w:p w:rsidR="007733EF" w:rsidP="005813C6" w:rsidRDefault="00A07927" w14:paraId="05759AFB" w14:textId="4D170529">
      <w:pPr>
        <w:pStyle w:val="Standard"/>
        <w:overflowPunct w:val="0"/>
        <w:spacing w:after="120"/>
        <w:ind w:left="2160" w:right="1440"/>
      </w:pPr>
      <w:r w:rsidRPr="00A07927">
        <w:t xml:space="preserve">D.21-12-066 granted rehearing </w:t>
      </w:r>
      <w:r w:rsidRPr="00A07927">
        <w:rPr>
          <w:strike/>
        </w:rPr>
        <w:t xml:space="preserve">solely </w:t>
      </w:r>
      <w:r w:rsidRPr="00A07927">
        <w:t>to provide SJCE the opportunity to present evidence that, even if it had accepted withdrawn offers, SJCE still would have remained deficient because no other system or flexible Resource Adequacy (RA) was available</w:t>
      </w:r>
      <w:r w:rsidRPr="00805891" w:rsidR="00403F7B">
        <w:t>.</w:t>
      </w:r>
    </w:p>
    <w:p w:rsidRPr="000716FB" w:rsidR="00414876" w:rsidP="006C38A7" w:rsidRDefault="004056ED" w14:paraId="0B39A6DD" w14:textId="50FB4744">
      <w:pPr>
        <w:pStyle w:val="Standard"/>
        <w:numPr>
          <w:ilvl w:val="0"/>
          <w:numId w:val="24"/>
        </w:numPr>
        <w:tabs>
          <w:tab w:val="clear" w:pos="5040"/>
          <w:tab w:val="left" w:pos="1440"/>
        </w:tabs>
        <w:overflowPunct w:val="0"/>
        <w:spacing w:line="360" w:lineRule="auto"/>
        <w:ind w:left="0" w:firstLine="720"/>
      </w:pPr>
      <w:r w:rsidRPr="000716FB">
        <w:t xml:space="preserve">Rehearing of </w:t>
      </w:r>
      <w:r w:rsidR="006B1CDE">
        <w:t>Resolution ALJ-488</w:t>
      </w:r>
      <w:r w:rsidRPr="000716FB" w:rsidR="00E3091E">
        <w:t>, as modified,</w:t>
      </w:r>
      <w:r w:rsidRPr="000716FB">
        <w:t xml:space="preserve"> is </w:t>
      </w:r>
      <w:r w:rsidR="00E4503C">
        <w:t>denied</w:t>
      </w:r>
      <w:r w:rsidRPr="000716FB">
        <w:t>.</w:t>
      </w:r>
    </w:p>
    <w:p w:rsidRPr="004E4232" w:rsidR="00535AE0" w:rsidP="006C38A7" w:rsidRDefault="00535AE0" w14:paraId="17DB698A" w14:textId="78D3C0C2">
      <w:pPr>
        <w:pStyle w:val="Standard"/>
        <w:numPr>
          <w:ilvl w:val="0"/>
          <w:numId w:val="24"/>
        </w:numPr>
        <w:tabs>
          <w:tab w:val="clear" w:pos="5040"/>
          <w:tab w:val="left" w:pos="1440"/>
        </w:tabs>
        <w:overflowPunct w:val="0"/>
        <w:spacing w:line="360" w:lineRule="auto"/>
        <w:ind w:left="0" w:firstLine="720"/>
      </w:pPr>
      <w:r w:rsidRPr="0078387F">
        <w:t xml:space="preserve">This proceeding, </w:t>
      </w:r>
      <w:r w:rsidR="00E4503C">
        <w:t>K.19-</w:t>
      </w:r>
      <w:r w:rsidR="00C36E30">
        <w:t>03-024</w:t>
      </w:r>
      <w:r w:rsidRPr="0078387F">
        <w:t xml:space="preserve">, </w:t>
      </w:r>
      <w:r w:rsidR="00C36E30">
        <w:t>is closed</w:t>
      </w:r>
      <w:r w:rsidRPr="0078387F">
        <w:t>.</w:t>
      </w:r>
    </w:p>
    <w:p w:rsidRPr="00B200B3" w:rsidR="00AE0C88" w:rsidP="006C38A7" w:rsidRDefault="004104F6" w14:paraId="2911F793" w14:textId="06951D2D">
      <w:pPr>
        <w:pStyle w:val="Standard"/>
        <w:tabs>
          <w:tab w:val="clear" w:pos="5040"/>
        </w:tabs>
        <w:overflowPunct w:val="0"/>
        <w:spacing w:line="360" w:lineRule="auto"/>
        <w:ind w:left="1440"/>
        <w:textAlignment w:val="auto"/>
      </w:pPr>
      <w:r w:rsidRPr="00B200B3">
        <w:t>This order is effective today.</w:t>
      </w:r>
    </w:p>
    <w:p w:rsidR="002B4582" w:rsidP="006C38A7" w:rsidRDefault="004104F6" w14:paraId="121ABD4F" w14:textId="1F00662A">
      <w:pPr>
        <w:pStyle w:val="Standard"/>
        <w:tabs>
          <w:tab w:val="clear" w:pos="5040"/>
        </w:tabs>
        <w:overflowPunct w:val="0"/>
        <w:spacing w:line="360" w:lineRule="auto"/>
        <w:ind w:left="1440"/>
        <w:textAlignment w:val="auto"/>
      </w:pPr>
      <w:r w:rsidRPr="00B200B3">
        <w:t>Dated</w:t>
      </w:r>
      <w:r w:rsidRPr="00B200B3" w:rsidR="00257926">
        <w:t xml:space="preserve"> </w:t>
      </w:r>
      <w:r w:rsidR="007441B7">
        <w:t>September 17</w:t>
      </w:r>
      <w:r w:rsidRPr="00B200B3" w:rsidR="00257926">
        <w:t>, 202</w:t>
      </w:r>
      <w:r w:rsidR="00107A49">
        <w:t>6</w:t>
      </w:r>
      <w:r w:rsidRPr="00B200B3">
        <w:t xml:space="preserve">, at </w:t>
      </w:r>
      <w:r w:rsidR="00A9742B">
        <w:t xml:space="preserve">San </w:t>
      </w:r>
      <w:r w:rsidR="00C85A4A">
        <w:t>Marcos</w:t>
      </w:r>
      <w:r w:rsidRPr="00B200B3">
        <w:t>, California</w:t>
      </w:r>
      <w:r w:rsidR="006C38A7">
        <w:t>.</w:t>
      </w:r>
    </w:p>
    <w:p w:rsidR="007441B7" w:rsidP="006C38A7" w:rsidRDefault="007441B7" w14:paraId="65906294" w14:textId="77777777">
      <w:pPr>
        <w:pStyle w:val="Standard"/>
        <w:tabs>
          <w:tab w:val="clear" w:pos="5040"/>
        </w:tabs>
        <w:overflowPunct w:val="0"/>
        <w:spacing w:line="360" w:lineRule="auto"/>
        <w:ind w:left="1440"/>
        <w:textAlignment w:val="auto"/>
      </w:pPr>
    </w:p>
    <w:p w:rsidRPr="00FD7623" w:rsidR="007441B7" w:rsidP="007441B7" w:rsidRDefault="007441B7" w14:paraId="429C8754" w14:textId="77777777">
      <w:pPr>
        <w:pStyle w:val="standard0"/>
        <w:spacing w:line="240" w:lineRule="auto"/>
        <w:ind w:left="5760" w:firstLine="0"/>
        <w:rPr>
          <w:rFonts w:ascii="Times New Roman" w:hAnsi="Times New Roman"/>
        </w:rPr>
      </w:pPr>
      <w:bookmarkStart w:name="_Hlk61602525" w:id="1"/>
      <w:r w:rsidRPr="00FD7623">
        <w:rPr>
          <w:rFonts w:ascii="Times New Roman" w:hAnsi="Times New Roman"/>
        </w:rPr>
        <w:t>JOHN J.D. REYNOLDS</w:t>
      </w:r>
    </w:p>
    <w:p w:rsidRPr="002B6448" w:rsidR="007441B7" w:rsidP="007441B7" w:rsidRDefault="007441B7" w14:paraId="0A00730B" w14:textId="77777777">
      <w:pPr>
        <w:pStyle w:val="standard0"/>
        <w:spacing w:line="240" w:lineRule="auto"/>
        <w:ind w:left="5760" w:firstLine="1530"/>
        <w:rPr>
          <w:rFonts w:ascii="Times New Roman" w:hAnsi="Times New Roman"/>
        </w:rPr>
      </w:pPr>
      <w:r w:rsidRPr="002B6448">
        <w:rPr>
          <w:rFonts w:ascii="Times New Roman" w:hAnsi="Times New Roman"/>
        </w:rPr>
        <w:t>President</w:t>
      </w:r>
    </w:p>
    <w:p w:rsidRPr="002B6448" w:rsidR="007441B7" w:rsidP="007441B7" w:rsidRDefault="007441B7" w14:paraId="4E4A1216" w14:textId="77777777">
      <w:pPr>
        <w:pStyle w:val="standard0"/>
        <w:tabs>
          <w:tab w:val="left" w:pos="8220"/>
        </w:tabs>
        <w:spacing w:line="240" w:lineRule="auto"/>
        <w:ind w:left="5760" w:firstLine="0"/>
        <w:rPr>
          <w:rFonts w:ascii="Times New Roman" w:hAnsi="Times New Roman"/>
        </w:rPr>
      </w:pPr>
      <w:r w:rsidRPr="002B6448">
        <w:rPr>
          <w:rFonts w:ascii="Times New Roman" w:hAnsi="Times New Roman"/>
        </w:rPr>
        <w:t>DARCIE L. HOUCK</w:t>
      </w:r>
    </w:p>
    <w:p w:rsidR="007441B7" w:rsidP="007441B7" w:rsidRDefault="007441B7" w14:paraId="0AA4AC77" w14:textId="77777777">
      <w:pPr>
        <w:pStyle w:val="standard0"/>
        <w:spacing w:line="240" w:lineRule="auto"/>
        <w:ind w:left="5760" w:firstLine="0"/>
        <w:rPr>
          <w:rFonts w:ascii="Times New Roman" w:hAnsi="Times New Roman"/>
        </w:rPr>
      </w:pPr>
      <w:r w:rsidRPr="002B6448">
        <w:rPr>
          <w:rFonts w:ascii="Times New Roman" w:hAnsi="Times New Roman"/>
        </w:rPr>
        <w:t>KAREN DOUGLAS</w:t>
      </w:r>
    </w:p>
    <w:p w:rsidR="007441B7" w:rsidP="007441B7" w:rsidRDefault="007441B7" w14:paraId="6A78F5DE" w14:textId="77777777">
      <w:pPr>
        <w:pStyle w:val="standard0"/>
        <w:spacing w:line="240" w:lineRule="auto"/>
        <w:ind w:left="5760" w:firstLine="0"/>
        <w:rPr>
          <w:rFonts w:ascii="Times New Roman" w:hAnsi="Times New Roman"/>
        </w:rPr>
      </w:pPr>
      <w:r>
        <w:rPr>
          <w:rFonts w:ascii="Times New Roman" w:hAnsi="Times New Roman"/>
        </w:rPr>
        <w:t>MATTHEW BAKER</w:t>
      </w:r>
    </w:p>
    <w:p w:rsidRPr="002B6448" w:rsidR="007441B7" w:rsidP="007441B7" w:rsidRDefault="007441B7" w14:paraId="3D7D3F08" w14:textId="77777777">
      <w:pPr>
        <w:pStyle w:val="standard0"/>
        <w:spacing w:line="240" w:lineRule="auto"/>
        <w:ind w:left="5760" w:firstLine="0"/>
        <w:rPr>
          <w:rFonts w:ascii="Times New Roman" w:hAnsi="Times New Roman"/>
        </w:rPr>
      </w:pPr>
      <w:r>
        <w:rPr>
          <w:rFonts w:ascii="Times New Roman" w:hAnsi="Times New Roman"/>
        </w:rPr>
        <w:t>CHRISTINE HARADA</w:t>
      </w:r>
    </w:p>
    <w:p w:rsidRPr="002B6448" w:rsidR="007441B7" w:rsidP="007441B7" w:rsidRDefault="007441B7" w14:paraId="08E7F9A4" w14:textId="77777777">
      <w:pPr>
        <w:pStyle w:val="Footer"/>
        <w:tabs>
          <w:tab w:val="clear" w:pos="4320"/>
          <w:tab w:val="clear" w:pos="8640"/>
        </w:tabs>
        <w:ind w:left="5760" w:firstLine="720"/>
      </w:pPr>
      <w:r w:rsidRPr="002B6448">
        <w:t>Commissioners</w:t>
      </w:r>
      <w:bookmarkEnd w:id="1"/>
    </w:p>
    <w:p w:rsidRPr="002B4582" w:rsidR="007441B7" w:rsidP="006C38A7" w:rsidRDefault="007441B7" w14:paraId="20CF0FC4" w14:textId="77777777">
      <w:pPr>
        <w:pStyle w:val="Standard"/>
        <w:tabs>
          <w:tab w:val="clear" w:pos="5040"/>
        </w:tabs>
        <w:overflowPunct w:val="0"/>
        <w:spacing w:line="360" w:lineRule="auto"/>
        <w:ind w:left="1440"/>
        <w:textAlignment w:val="auto"/>
      </w:pPr>
    </w:p>
    <w:sectPr w:rsidRPr="002B4582" w:rsidR="007441B7" w:rsidSect="0048609F">
      <w:headerReference w:type="default" r:id="rId8"/>
      <w:footerReference w:type="default" r:id="rId9"/>
      <w:headerReference w:type="first" r:id="rId10"/>
      <w:footerReference w:type="first" r:id="rId11"/>
      <w:pgSz w:w="12240" w:h="15840" w:code="1"/>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BE9444" w14:textId="77777777" w:rsidR="00FC4016" w:rsidRDefault="00FC4016">
      <w:r>
        <w:separator/>
      </w:r>
    </w:p>
  </w:endnote>
  <w:endnote w:type="continuationSeparator" w:id="0">
    <w:p w14:paraId="548A0E37" w14:textId="77777777" w:rsidR="00FC4016" w:rsidRDefault="00FC4016">
      <w:r>
        <w:continuationSeparator/>
      </w:r>
    </w:p>
  </w:endnote>
  <w:endnote w:type="continuationNotice" w:id="1">
    <w:p w14:paraId="55339DD8" w14:textId="77777777" w:rsidR="00FC4016" w:rsidRDefault="00FC40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Palatino">
    <w:altName w:val="Palatino Linotype"/>
    <w:charset w:val="00"/>
    <w:family w:val="auto"/>
    <w:pitch w:val="variable"/>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Helvetica">
    <w:panose1 w:val="020B0604020202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AF227" w14:textId="33D0A471" w:rsidR="00B80320" w:rsidRDefault="00B80320" w:rsidP="00B80320">
    <w:pPr>
      <w:pStyle w:val="Footer"/>
      <w:tabs>
        <w:tab w:val="clear" w:pos="8640"/>
      </w:tabs>
    </w:pPr>
    <w:r>
      <w:rPr>
        <w:sz w:val="20"/>
        <w:szCs w:val="20"/>
      </w:rPr>
      <w:tab/>
    </w:r>
    <w:r w:rsidRPr="00B80320">
      <w:rPr>
        <w:sz w:val="24"/>
        <w:szCs w:val="24"/>
      </w:rPr>
      <w:fldChar w:fldCharType="begin"/>
    </w:r>
    <w:r w:rsidRPr="00B80320">
      <w:rPr>
        <w:sz w:val="24"/>
        <w:szCs w:val="24"/>
      </w:rPr>
      <w:instrText xml:space="preserve"> PAGE   \* MERGEFORMAT </w:instrText>
    </w:r>
    <w:r w:rsidRPr="00B80320">
      <w:rPr>
        <w:sz w:val="24"/>
        <w:szCs w:val="24"/>
      </w:rPr>
      <w:fldChar w:fldCharType="separate"/>
    </w:r>
    <w:r w:rsidRPr="00B80320">
      <w:rPr>
        <w:noProof/>
        <w:sz w:val="24"/>
        <w:szCs w:val="24"/>
      </w:rPr>
      <w:t>1</w:t>
    </w:r>
    <w:r w:rsidRPr="00B80320">
      <w:rPr>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E01DE" w14:textId="6B3D76A5" w:rsidR="00593FB5" w:rsidRPr="00B80320" w:rsidRDefault="007441B7" w:rsidP="00245EA2">
    <w:pPr>
      <w:pStyle w:val="Footer"/>
      <w:tabs>
        <w:tab w:val="clear" w:pos="8640"/>
      </w:tabs>
      <w:rPr>
        <w:sz w:val="20"/>
        <w:szCs w:val="20"/>
      </w:rPr>
    </w:pPr>
    <w:r w:rsidRPr="007441B7">
      <w:rPr>
        <w:sz w:val="20"/>
        <w:szCs w:val="20"/>
      </w:rPr>
      <w:t>620274839</w:t>
    </w:r>
    <w:r w:rsidR="00593FB5" w:rsidRPr="00B80320">
      <w:rPr>
        <w:sz w:val="20"/>
        <w:szCs w:val="20"/>
      </w:rPr>
      <w:tab/>
    </w:r>
    <w:r w:rsidR="00B80320" w:rsidRPr="00B80320">
      <w:rPr>
        <w:sz w:val="24"/>
        <w:szCs w:val="24"/>
      </w:rPr>
      <w:fldChar w:fldCharType="begin"/>
    </w:r>
    <w:r w:rsidR="00B80320" w:rsidRPr="00B80320">
      <w:rPr>
        <w:sz w:val="24"/>
        <w:szCs w:val="24"/>
      </w:rPr>
      <w:instrText xml:space="preserve"> PAGE   \* MERGEFORMAT </w:instrText>
    </w:r>
    <w:r w:rsidR="00B80320" w:rsidRPr="00B80320">
      <w:rPr>
        <w:sz w:val="24"/>
        <w:szCs w:val="24"/>
      </w:rPr>
      <w:fldChar w:fldCharType="separate"/>
    </w:r>
    <w:r w:rsidR="00B80320" w:rsidRPr="00B80320">
      <w:rPr>
        <w:noProof/>
        <w:sz w:val="24"/>
        <w:szCs w:val="24"/>
      </w:rPr>
      <w:t>1</w:t>
    </w:r>
    <w:r w:rsidR="00B80320" w:rsidRPr="00B80320">
      <w:rPr>
        <w:noProo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71F969" w14:textId="77777777" w:rsidR="00FC4016" w:rsidRDefault="00FC4016" w:rsidP="00245EA2">
      <w:pPr>
        <w:spacing w:after="60"/>
      </w:pPr>
      <w:r>
        <w:rPr>
          <w:color w:val="000000"/>
        </w:rPr>
        <w:separator/>
      </w:r>
    </w:p>
  </w:footnote>
  <w:footnote w:type="continuationSeparator" w:id="0">
    <w:p w14:paraId="6B7CF1C9" w14:textId="77777777" w:rsidR="00FC4016" w:rsidRDefault="00FC4016">
      <w:r>
        <w:continuationSeparator/>
      </w:r>
    </w:p>
  </w:footnote>
  <w:footnote w:type="continuationNotice" w:id="1">
    <w:p w14:paraId="4F5D7B1D" w14:textId="77777777" w:rsidR="00FC4016" w:rsidRDefault="00FC4016"/>
  </w:footnote>
  <w:footnote w:id="2">
    <w:p w14:paraId="4290C311" w14:textId="2A58365E" w:rsidR="00836305" w:rsidRPr="007E5EAA" w:rsidRDefault="00836305" w:rsidP="007E5EAA">
      <w:pPr>
        <w:pStyle w:val="FootnoteText"/>
        <w:spacing w:line="260" w:lineRule="exact"/>
        <w:rPr>
          <w:sz w:val="26"/>
        </w:rPr>
      </w:pPr>
      <w:r w:rsidRPr="007E5EAA">
        <w:rPr>
          <w:rStyle w:val="FootnoteReference"/>
          <w:sz w:val="26"/>
        </w:rPr>
        <w:footnoteRef/>
      </w:r>
      <w:r w:rsidRPr="007E5EAA">
        <w:rPr>
          <w:sz w:val="26"/>
        </w:rPr>
        <w:t xml:space="preserve"> </w:t>
      </w:r>
      <w:r w:rsidR="000F1697" w:rsidRPr="007E5EAA">
        <w:rPr>
          <w:sz w:val="26"/>
        </w:rPr>
        <w:t xml:space="preserve">Unless otherwise noted, citations to Commission Resolutions issued since July 1, 2000 are to the official pdf versions, which are available on the Commission’s website at: </w:t>
      </w:r>
      <w:hyperlink r:id="rId1" w:history="1">
        <w:r w:rsidR="000F1697" w:rsidRPr="007E5EAA">
          <w:rPr>
            <w:rStyle w:val="Hyperlink"/>
            <w:sz w:val="26"/>
          </w:rPr>
          <w:t>https://docs.cpuc.ca.gov/ResolutionSearchForm.aspx.</w:t>
        </w:r>
      </w:hyperlink>
    </w:p>
  </w:footnote>
  <w:footnote w:id="3">
    <w:p w14:paraId="35614A34" w14:textId="40CD7DB5" w:rsidR="0059064F" w:rsidRPr="007E5EAA" w:rsidRDefault="0059064F" w:rsidP="007E5EAA">
      <w:pPr>
        <w:pStyle w:val="FootnoteText"/>
        <w:spacing w:line="260" w:lineRule="exact"/>
        <w:rPr>
          <w:sz w:val="26"/>
        </w:rPr>
      </w:pPr>
      <w:r w:rsidRPr="007E5EAA">
        <w:rPr>
          <w:rStyle w:val="FootnoteReference"/>
          <w:sz w:val="26"/>
        </w:rPr>
        <w:footnoteRef/>
      </w:r>
      <w:r w:rsidRPr="007E5EAA">
        <w:rPr>
          <w:sz w:val="26"/>
        </w:rPr>
        <w:t xml:space="preserve"> </w:t>
      </w:r>
      <w:r w:rsidRPr="007E5EAA">
        <w:rPr>
          <w:i/>
          <w:iCs/>
          <w:sz w:val="26"/>
        </w:rPr>
        <w:t>Rulemaking to Establish Rules for Enforcement of the Standards of Conduct Governing Relationships Between Energy Utilities and Their Affiliates Adopted by the Commission in Decision 97-12-088</w:t>
      </w:r>
      <w:r w:rsidRPr="007E5EAA">
        <w:rPr>
          <w:sz w:val="26"/>
        </w:rPr>
        <w:t xml:space="preserve"> (1998) [D.98-12-075].  This decision is available at: </w:t>
      </w:r>
      <w:hyperlink r:id="rId2" w:history="1">
        <w:r w:rsidR="00EC784F" w:rsidRPr="007E5EAA">
          <w:rPr>
            <w:rStyle w:val="Hyperlink"/>
            <w:sz w:val="26"/>
          </w:rPr>
          <w:t>https://files.cpuc.ca.gov/gopher-data/decisions/D9812075.pdf</w:t>
        </w:r>
      </w:hyperlink>
    </w:p>
  </w:footnote>
  <w:footnote w:id="4">
    <w:p w14:paraId="22C57153" w14:textId="52D3EA39" w:rsidR="00B53915" w:rsidRPr="007E5EAA" w:rsidRDefault="00B53915" w:rsidP="007E5EAA">
      <w:pPr>
        <w:pStyle w:val="FootnoteText"/>
        <w:spacing w:line="260" w:lineRule="exact"/>
        <w:rPr>
          <w:sz w:val="26"/>
        </w:rPr>
      </w:pPr>
      <w:r w:rsidRPr="007E5EAA">
        <w:rPr>
          <w:rStyle w:val="FootnoteReference"/>
          <w:sz w:val="26"/>
        </w:rPr>
        <w:footnoteRef/>
      </w:r>
      <w:r w:rsidRPr="007E5EAA">
        <w:rPr>
          <w:sz w:val="26"/>
        </w:rPr>
        <w:t xml:space="preserve"> </w:t>
      </w:r>
      <w:r w:rsidR="00015878" w:rsidRPr="007E5EAA">
        <w:rPr>
          <w:sz w:val="26"/>
        </w:rPr>
        <w:t xml:space="preserve">Unless otherwise noted, citations to Commission Decisions issued since July 1, 2000 are to the official pdf versions, which are available on the Commission’s website at: </w:t>
      </w:r>
      <w:hyperlink r:id="rId3" w:history="1">
        <w:r w:rsidR="00015878" w:rsidRPr="007E5EAA">
          <w:rPr>
            <w:rStyle w:val="Hyperlink"/>
            <w:sz w:val="26"/>
          </w:rPr>
          <w:t>http://docs.cpuc.ca.gov/DecisionsSearchForm.aspx</w:t>
        </w:r>
      </w:hyperlink>
      <w:r w:rsidR="00015878" w:rsidRPr="007E5EAA">
        <w:rPr>
          <w:sz w:val="2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27224" w14:textId="36BCAEA0" w:rsidR="006C38A7" w:rsidRDefault="00D82902">
    <w:pPr>
      <w:pStyle w:val="Header"/>
    </w:pPr>
    <w:r>
      <w:t>K.</w:t>
    </w:r>
    <w:r w:rsidR="000759B4">
      <w:t>19-03-024</w:t>
    </w:r>
    <w:r w:rsidR="006C38A7">
      <w:tab/>
      <w:t>L/</w:t>
    </w:r>
    <w:proofErr w:type="spellStart"/>
    <w:r w:rsidR="00AC69F6">
      <w:t>rbg</w:t>
    </w:r>
    <w:proofErr w:type="spell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88E92" w14:textId="214AAE7A" w:rsidR="00E3111B" w:rsidRDefault="006C38A7" w:rsidP="00A162D8">
    <w:pPr>
      <w:pStyle w:val="Header"/>
      <w:tabs>
        <w:tab w:val="clear" w:pos="8640"/>
        <w:tab w:val="right" w:pos="9360"/>
      </w:tabs>
      <w:rPr>
        <w:b/>
        <w:bCs/>
      </w:rPr>
    </w:pPr>
    <w:r w:rsidRPr="00FF1279">
      <w:t>L/</w:t>
    </w:r>
    <w:proofErr w:type="spellStart"/>
    <w:r w:rsidR="00A162D8">
      <w:t>rbg</w:t>
    </w:r>
    <w:proofErr w:type="spellEnd"/>
    <w:r w:rsidRPr="00FF1279">
      <w:tab/>
    </w:r>
    <w:r w:rsidR="00E3111B" w:rsidRPr="00FF1279">
      <w:rPr>
        <w:sz w:val="22"/>
        <w:szCs w:val="22"/>
      </w:rPr>
      <w:tab/>
    </w:r>
    <w:r w:rsidR="007441B7">
      <w:rPr>
        <w:b/>
        <w:bCs/>
      </w:rPr>
      <w:t>Date of Issuance</w:t>
    </w:r>
  </w:p>
  <w:p w14:paraId="26F52EB7" w14:textId="7C9DE426" w:rsidR="007441B7" w:rsidRPr="00FF1279" w:rsidRDefault="007441B7" w:rsidP="00A162D8">
    <w:pPr>
      <w:pStyle w:val="Header"/>
      <w:tabs>
        <w:tab w:val="clear" w:pos="8640"/>
        <w:tab w:val="right" w:pos="9360"/>
      </w:tabs>
      <w:rPr>
        <w:b/>
        <w:bCs/>
      </w:rPr>
    </w:pPr>
    <w:r>
      <w:rPr>
        <w:b/>
        <w:bCs/>
      </w:rPr>
      <w:tab/>
    </w:r>
    <w:r>
      <w:rPr>
        <w:b/>
        <w:bCs/>
      </w:rPr>
      <w:tab/>
      <w:t>September 21, 2026</w:t>
    </w:r>
  </w:p>
  <w:p w14:paraId="7AE86448" w14:textId="2A225B38" w:rsidR="00B73964" w:rsidRPr="00FF1279" w:rsidRDefault="00B73964" w:rsidP="0085596A">
    <w:pPr>
      <w:pStyle w:val="Header"/>
      <w:tabs>
        <w:tab w:val="clear" w:pos="4320"/>
        <w:tab w:val="clear" w:pos="8640"/>
        <w:tab w:val="left" w:pos="612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EA308C0"/>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3BB0E5D"/>
    <w:multiLevelType w:val="multilevel"/>
    <w:tmpl w:val="7154FF3C"/>
    <w:styleLink w:val="Outline"/>
    <w:lvl w:ilvl="0">
      <w:start w:val="1"/>
      <w:numFmt w:val="upperRoman"/>
      <w:lvlText w:val="%1."/>
      <w:lvlJc w:val="left"/>
      <w:pPr>
        <w:ind w:left="720" w:hanging="720"/>
      </w:pPr>
    </w:lvl>
    <w:lvl w:ilvl="1">
      <w:start w:val="1"/>
      <w:numFmt w:val="upperLetter"/>
      <w:lvlText w:val="%2."/>
      <w:lvlJc w:val="left"/>
      <w:pPr>
        <w:ind w:left="2160" w:hanging="720"/>
      </w:pPr>
    </w:lvl>
    <w:lvl w:ilvl="2">
      <w:start w:val="1"/>
      <w:numFmt w:val="decimal"/>
      <w:lvlText w:val="%3."/>
      <w:lvlJc w:val="left"/>
      <w:pPr>
        <w:ind w:left="2160" w:hanging="720"/>
      </w:pPr>
    </w:lvl>
    <w:lvl w:ilvl="3">
      <w:start w:val="1"/>
      <w:numFmt w:val="lowerLetter"/>
      <w:lvlText w:val="%4)"/>
      <w:lvlJc w:val="left"/>
      <w:pPr>
        <w:ind w:left="2970" w:hanging="720"/>
      </w:pPr>
    </w:lvl>
    <w:lvl w:ilvl="4">
      <w:start w:val="1"/>
      <w:numFmt w:val="decimal"/>
      <w:lvlText w:val="(%5)"/>
      <w:lvlJc w:val="left"/>
      <w:pPr>
        <w:ind w:left="288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2" w15:restartNumberingAfterBreak="0">
    <w:nsid w:val="140A6B7E"/>
    <w:multiLevelType w:val="multilevel"/>
    <w:tmpl w:val="FB98A2E4"/>
    <w:styleLink w:val="WWNum4"/>
    <w:lvl w:ilvl="0">
      <w:numFmt w:val="bullet"/>
      <w:lvlText w:val=""/>
      <w:lvlJc w:val="left"/>
      <w:pPr>
        <w:ind w:left="720" w:hanging="360"/>
      </w:p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3" w15:restartNumberingAfterBreak="0">
    <w:nsid w:val="16990FD8"/>
    <w:multiLevelType w:val="hybridMultilevel"/>
    <w:tmpl w:val="F8325D4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8BD4EC3"/>
    <w:multiLevelType w:val="hybridMultilevel"/>
    <w:tmpl w:val="90F0CC08"/>
    <w:lvl w:ilvl="0" w:tplc="E3E42BA2">
      <w:start w:val="1"/>
      <w:numFmt w:val="decimal"/>
      <w:lvlText w:val="%1."/>
      <w:lvlJc w:val="left"/>
      <w:pPr>
        <w:ind w:left="144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167038"/>
    <w:multiLevelType w:val="multilevel"/>
    <w:tmpl w:val="EB027156"/>
    <w:styleLink w:val="NoList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6" w15:restartNumberingAfterBreak="0">
    <w:nsid w:val="1EB66CB1"/>
    <w:multiLevelType w:val="hybridMultilevel"/>
    <w:tmpl w:val="377048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C043E63"/>
    <w:multiLevelType w:val="multilevel"/>
    <w:tmpl w:val="56848E86"/>
    <w:styleLink w:val="WWOutlineListStyle"/>
    <w:lvl w:ilvl="0">
      <w:start w:val="1"/>
      <w:numFmt w:val="upperRoman"/>
      <w:lvlText w:val="%1."/>
      <w:lvlJc w:val="left"/>
      <w:pPr>
        <w:ind w:left="720" w:hanging="720"/>
      </w:pPr>
    </w:lvl>
    <w:lvl w:ilvl="1">
      <w:start w:val="1"/>
      <w:numFmt w:val="upperLetter"/>
      <w:lvlText w:val="%2."/>
      <w:lvlJc w:val="left"/>
      <w:pPr>
        <w:ind w:left="2160" w:hanging="720"/>
      </w:pPr>
    </w:lvl>
    <w:lvl w:ilvl="2">
      <w:start w:val="1"/>
      <w:numFmt w:val="decimal"/>
      <w:lvlText w:val="%3."/>
      <w:lvlJc w:val="left"/>
      <w:pPr>
        <w:ind w:left="2160" w:hanging="720"/>
      </w:pPr>
    </w:lvl>
    <w:lvl w:ilvl="3">
      <w:start w:val="1"/>
      <w:numFmt w:val="lowerLetter"/>
      <w:lvlText w:val="%4)"/>
      <w:lvlJc w:val="left"/>
      <w:pPr>
        <w:ind w:left="2970" w:hanging="720"/>
      </w:pPr>
    </w:lvl>
    <w:lvl w:ilvl="4">
      <w:start w:val="1"/>
      <w:numFmt w:val="decimal"/>
      <w:lvlText w:val="(%5)"/>
      <w:lvlJc w:val="left"/>
      <w:pPr>
        <w:ind w:left="288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8" w15:restartNumberingAfterBreak="0">
    <w:nsid w:val="32BE723F"/>
    <w:multiLevelType w:val="hybridMultilevel"/>
    <w:tmpl w:val="48B80E2A"/>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15:restartNumberingAfterBreak="0">
    <w:nsid w:val="33A162F2"/>
    <w:multiLevelType w:val="multilevel"/>
    <w:tmpl w:val="33E2E004"/>
    <w:styleLink w:val="WWNum1"/>
    <w:lvl w:ilvl="0">
      <w:start w:val="1"/>
      <w:numFmt w:val="upperRoman"/>
      <w:lvlText w:val="%1."/>
      <w:lvlJc w:val="left"/>
      <w:pPr>
        <w:ind w:left="720" w:hanging="720"/>
      </w:pPr>
    </w:lvl>
    <w:lvl w:ilvl="1">
      <w:start w:val="1"/>
      <w:numFmt w:val="upperLetter"/>
      <w:lvlText w:val="%2."/>
      <w:lvlJc w:val="left"/>
      <w:pPr>
        <w:ind w:left="2160" w:hanging="720"/>
      </w:pPr>
    </w:lvl>
    <w:lvl w:ilvl="2">
      <w:start w:val="1"/>
      <w:numFmt w:val="decimal"/>
      <w:lvlText w:val="%3."/>
      <w:lvlJc w:val="left"/>
      <w:pPr>
        <w:ind w:left="2160" w:hanging="720"/>
      </w:pPr>
    </w:lvl>
    <w:lvl w:ilvl="3">
      <w:start w:val="1"/>
      <w:numFmt w:val="lowerLetter"/>
      <w:lvlText w:val="%4)"/>
      <w:lvlJc w:val="left"/>
      <w:pPr>
        <w:ind w:left="2970" w:hanging="720"/>
      </w:pPr>
    </w:lvl>
    <w:lvl w:ilvl="4">
      <w:start w:val="1"/>
      <w:numFmt w:val="decimal"/>
      <w:lvlText w:val="(%5)"/>
      <w:lvlJc w:val="left"/>
      <w:pPr>
        <w:ind w:left="288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0" w15:restartNumberingAfterBreak="0">
    <w:nsid w:val="39E4249C"/>
    <w:multiLevelType w:val="multilevel"/>
    <w:tmpl w:val="548853F2"/>
    <w:styleLink w:val="WWNum6"/>
    <w:lvl w:ilvl="0">
      <w:start w:val="5"/>
      <w:numFmt w:val="lowerLetter"/>
      <w:lvlText w:val="%1."/>
      <w:lvlJc w:val="left"/>
      <w:pPr>
        <w:ind w:left="2520" w:hanging="360"/>
      </w:pPr>
    </w:lvl>
    <w:lvl w:ilvl="1">
      <w:start w:val="1"/>
      <w:numFmt w:val="lowerLetter"/>
      <w:lvlText w:val="%2."/>
      <w:lvlJc w:val="left"/>
      <w:pPr>
        <w:ind w:left="3240" w:hanging="360"/>
      </w:pPr>
    </w:lvl>
    <w:lvl w:ilvl="2">
      <w:start w:val="1"/>
      <w:numFmt w:val="lowerRoman"/>
      <w:lvlText w:val="%3."/>
      <w:lvlJc w:val="right"/>
      <w:pPr>
        <w:ind w:left="3960" w:hanging="180"/>
      </w:pPr>
    </w:lvl>
    <w:lvl w:ilvl="3">
      <w:start w:val="1"/>
      <w:numFmt w:val="decimal"/>
      <w:lvlText w:val="%4."/>
      <w:lvlJc w:val="left"/>
      <w:pPr>
        <w:ind w:left="4680" w:hanging="360"/>
      </w:pPr>
    </w:lvl>
    <w:lvl w:ilvl="4">
      <w:start w:val="1"/>
      <w:numFmt w:val="lowerLetter"/>
      <w:lvlText w:val="%5."/>
      <w:lvlJc w:val="left"/>
      <w:pPr>
        <w:ind w:left="5400" w:hanging="360"/>
      </w:pPr>
    </w:lvl>
    <w:lvl w:ilvl="5">
      <w:start w:val="1"/>
      <w:numFmt w:val="lowerRoman"/>
      <w:lvlText w:val="%6."/>
      <w:lvlJc w:val="right"/>
      <w:pPr>
        <w:ind w:left="6120" w:hanging="180"/>
      </w:pPr>
    </w:lvl>
    <w:lvl w:ilvl="6">
      <w:start w:val="1"/>
      <w:numFmt w:val="decimal"/>
      <w:lvlText w:val="%7."/>
      <w:lvlJc w:val="left"/>
      <w:pPr>
        <w:ind w:left="6840" w:hanging="360"/>
      </w:pPr>
    </w:lvl>
    <w:lvl w:ilvl="7">
      <w:start w:val="1"/>
      <w:numFmt w:val="lowerLetter"/>
      <w:lvlText w:val="%8."/>
      <w:lvlJc w:val="left"/>
      <w:pPr>
        <w:ind w:left="7560" w:hanging="360"/>
      </w:pPr>
    </w:lvl>
    <w:lvl w:ilvl="8">
      <w:start w:val="1"/>
      <w:numFmt w:val="lowerRoman"/>
      <w:lvlText w:val="%9."/>
      <w:lvlJc w:val="right"/>
      <w:pPr>
        <w:ind w:left="8280" w:hanging="180"/>
      </w:pPr>
    </w:lvl>
  </w:abstractNum>
  <w:abstractNum w:abstractNumId="11" w15:restartNumberingAfterBreak="0">
    <w:nsid w:val="3A951AFB"/>
    <w:multiLevelType w:val="hybridMultilevel"/>
    <w:tmpl w:val="B08468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153E4C"/>
    <w:multiLevelType w:val="multilevel"/>
    <w:tmpl w:val="3D5AF6A2"/>
    <w:styleLink w:val="WWNum3"/>
    <w:lvl w:ilvl="0">
      <w:numFmt w:val="bullet"/>
      <w:lvlText w:val=""/>
      <w:lvlJc w:val="left"/>
      <w:pPr>
        <w:ind w:left="720" w:hanging="360"/>
      </w:p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13" w15:restartNumberingAfterBreak="0">
    <w:nsid w:val="3CB10A84"/>
    <w:multiLevelType w:val="multilevel"/>
    <w:tmpl w:val="1526DBD8"/>
    <w:styleLink w:val="WWNum2"/>
    <w:lvl w:ilvl="0">
      <w:start w:val="1"/>
      <w:numFmt w:val="lowerLetter"/>
      <w:lvlText w:val="%1."/>
      <w:lvlJc w:val="left"/>
      <w:pPr>
        <w:ind w:left="2520" w:hanging="360"/>
      </w:pPr>
    </w:lvl>
    <w:lvl w:ilvl="1">
      <w:start w:val="1"/>
      <w:numFmt w:val="lowerLetter"/>
      <w:lvlText w:val="%2."/>
      <w:lvlJc w:val="left"/>
      <w:pPr>
        <w:ind w:left="3240" w:hanging="360"/>
      </w:pPr>
    </w:lvl>
    <w:lvl w:ilvl="2">
      <w:start w:val="1"/>
      <w:numFmt w:val="lowerRoman"/>
      <w:lvlText w:val="%3."/>
      <w:lvlJc w:val="right"/>
      <w:pPr>
        <w:ind w:left="3960" w:hanging="180"/>
      </w:pPr>
    </w:lvl>
    <w:lvl w:ilvl="3">
      <w:start w:val="1"/>
      <w:numFmt w:val="decimal"/>
      <w:lvlText w:val="%4."/>
      <w:lvlJc w:val="left"/>
      <w:pPr>
        <w:ind w:left="4680" w:hanging="360"/>
      </w:pPr>
    </w:lvl>
    <w:lvl w:ilvl="4">
      <w:start w:val="1"/>
      <w:numFmt w:val="lowerLetter"/>
      <w:lvlText w:val="%5."/>
      <w:lvlJc w:val="left"/>
      <w:pPr>
        <w:ind w:left="5400" w:hanging="360"/>
      </w:pPr>
    </w:lvl>
    <w:lvl w:ilvl="5">
      <w:start w:val="1"/>
      <w:numFmt w:val="lowerRoman"/>
      <w:lvlText w:val="%6."/>
      <w:lvlJc w:val="right"/>
      <w:pPr>
        <w:ind w:left="6120" w:hanging="180"/>
      </w:pPr>
    </w:lvl>
    <w:lvl w:ilvl="6">
      <w:start w:val="1"/>
      <w:numFmt w:val="decimal"/>
      <w:lvlText w:val="%7."/>
      <w:lvlJc w:val="left"/>
      <w:pPr>
        <w:ind w:left="6840" w:hanging="360"/>
      </w:pPr>
    </w:lvl>
    <w:lvl w:ilvl="7">
      <w:start w:val="1"/>
      <w:numFmt w:val="lowerLetter"/>
      <w:lvlText w:val="%8."/>
      <w:lvlJc w:val="left"/>
      <w:pPr>
        <w:ind w:left="7560" w:hanging="360"/>
      </w:pPr>
    </w:lvl>
    <w:lvl w:ilvl="8">
      <w:start w:val="1"/>
      <w:numFmt w:val="lowerRoman"/>
      <w:lvlText w:val="%9."/>
      <w:lvlJc w:val="right"/>
      <w:pPr>
        <w:ind w:left="8280" w:hanging="180"/>
      </w:pPr>
    </w:lvl>
  </w:abstractNum>
  <w:abstractNum w:abstractNumId="14" w15:restartNumberingAfterBreak="0">
    <w:nsid w:val="3CB81E21"/>
    <w:multiLevelType w:val="multilevel"/>
    <w:tmpl w:val="0A06EC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EA27D08"/>
    <w:multiLevelType w:val="multilevel"/>
    <w:tmpl w:val="C80E5B06"/>
    <w:styleLink w:val="WWOutlineListStyle1"/>
    <w:lvl w:ilvl="0">
      <w:start w:val="1"/>
      <w:numFmt w:val="upperRoman"/>
      <w:lvlText w:val="%1."/>
      <w:lvlJc w:val="left"/>
      <w:pPr>
        <w:ind w:left="720" w:hanging="720"/>
      </w:pPr>
    </w:lvl>
    <w:lvl w:ilvl="1">
      <w:start w:val="1"/>
      <w:numFmt w:val="upperLetter"/>
      <w:lvlText w:val="%2."/>
      <w:lvlJc w:val="left"/>
      <w:pPr>
        <w:ind w:left="2160" w:hanging="720"/>
      </w:pPr>
    </w:lvl>
    <w:lvl w:ilvl="2">
      <w:start w:val="1"/>
      <w:numFmt w:val="decimal"/>
      <w:lvlText w:val="%3."/>
      <w:lvlJc w:val="left"/>
      <w:pPr>
        <w:ind w:left="2160" w:hanging="720"/>
      </w:pPr>
    </w:lvl>
    <w:lvl w:ilvl="3">
      <w:start w:val="1"/>
      <w:numFmt w:val="lowerLetter"/>
      <w:lvlText w:val="%4)"/>
      <w:lvlJc w:val="left"/>
      <w:pPr>
        <w:ind w:left="2970" w:hanging="720"/>
      </w:pPr>
    </w:lvl>
    <w:lvl w:ilvl="4">
      <w:start w:val="1"/>
      <w:numFmt w:val="decimal"/>
      <w:lvlText w:val="(%5)"/>
      <w:lvlJc w:val="left"/>
      <w:pPr>
        <w:ind w:left="288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6" w15:restartNumberingAfterBreak="0">
    <w:nsid w:val="502900BC"/>
    <w:multiLevelType w:val="hybridMultilevel"/>
    <w:tmpl w:val="5060FFA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B30CF3"/>
    <w:multiLevelType w:val="hybridMultilevel"/>
    <w:tmpl w:val="C090CD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8E29C5"/>
    <w:multiLevelType w:val="hybridMultilevel"/>
    <w:tmpl w:val="66D0A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A720678"/>
    <w:multiLevelType w:val="multilevel"/>
    <w:tmpl w:val="AE1E30DA"/>
    <w:styleLink w:val="WWNum5"/>
    <w:lvl w:ilvl="0">
      <w:start w:val="6"/>
      <w:numFmt w:val="lowerLetter"/>
      <w:lvlText w:val="%1."/>
      <w:lvlJc w:val="left"/>
      <w:pPr>
        <w:ind w:left="2520" w:hanging="360"/>
      </w:pPr>
    </w:lvl>
    <w:lvl w:ilvl="1">
      <w:start w:val="1"/>
      <w:numFmt w:val="lowerLetter"/>
      <w:lvlText w:val="%2."/>
      <w:lvlJc w:val="left"/>
      <w:pPr>
        <w:ind w:left="3240" w:hanging="360"/>
      </w:pPr>
    </w:lvl>
    <w:lvl w:ilvl="2">
      <w:start w:val="1"/>
      <w:numFmt w:val="lowerRoman"/>
      <w:lvlText w:val="%3."/>
      <w:lvlJc w:val="right"/>
      <w:pPr>
        <w:ind w:left="3960" w:hanging="180"/>
      </w:pPr>
    </w:lvl>
    <w:lvl w:ilvl="3">
      <w:start w:val="1"/>
      <w:numFmt w:val="decimal"/>
      <w:lvlText w:val="%4."/>
      <w:lvlJc w:val="left"/>
      <w:pPr>
        <w:ind w:left="4680" w:hanging="360"/>
      </w:pPr>
    </w:lvl>
    <w:lvl w:ilvl="4">
      <w:start w:val="1"/>
      <w:numFmt w:val="lowerLetter"/>
      <w:lvlText w:val="%5."/>
      <w:lvlJc w:val="left"/>
      <w:pPr>
        <w:ind w:left="5400" w:hanging="360"/>
      </w:pPr>
    </w:lvl>
    <w:lvl w:ilvl="5">
      <w:start w:val="1"/>
      <w:numFmt w:val="lowerRoman"/>
      <w:lvlText w:val="%6."/>
      <w:lvlJc w:val="right"/>
      <w:pPr>
        <w:ind w:left="6120" w:hanging="180"/>
      </w:pPr>
    </w:lvl>
    <w:lvl w:ilvl="6">
      <w:start w:val="1"/>
      <w:numFmt w:val="decimal"/>
      <w:lvlText w:val="%7."/>
      <w:lvlJc w:val="left"/>
      <w:pPr>
        <w:ind w:left="6840" w:hanging="360"/>
      </w:pPr>
    </w:lvl>
    <w:lvl w:ilvl="7">
      <w:start w:val="1"/>
      <w:numFmt w:val="lowerLetter"/>
      <w:lvlText w:val="%8."/>
      <w:lvlJc w:val="left"/>
      <w:pPr>
        <w:ind w:left="7560" w:hanging="360"/>
      </w:pPr>
    </w:lvl>
    <w:lvl w:ilvl="8">
      <w:start w:val="1"/>
      <w:numFmt w:val="lowerRoman"/>
      <w:lvlText w:val="%9."/>
      <w:lvlJc w:val="right"/>
      <w:pPr>
        <w:ind w:left="8280" w:hanging="180"/>
      </w:pPr>
    </w:lvl>
  </w:abstractNum>
  <w:abstractNum w:abstractNumId="20" w15:restartNumberingAfterBreak="0">
    <w:nsid w:val="61F66016"/>
    <w:multiLevelType w:val="multilevel"/>
    <w:tmpl w:val="D6A898B0"/>
    <w:styleLink w:val="WWNum7"/>
    <w:lvl w:ilvl="0">
      <w:start w:val="1"/>
      <w:numFmt w:val="lowerLetter"/>
      <w:lvlText w:val="(%1)"/>
      <w:lvlJc w:val="left"/>
      <w:pPr>
        <w:ind w:left="1260" w:hanging="360"/>
      </w:pPr>
    </w:lvl>
    <w:lvl w:ilvl="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21" w15:restartNumberingAfterBreak="0">
    <w:nsid w:val="64665957"/>
    <w:multiLevelType w:val="multilevel"/>
    <w:tmpl w:val="D3FABE4C"/>
    <w:styleLink w:val="WWOutlineListStyle2"/>
    <w:lvl w:ilvl="0">
      <w:start w:val="1"/>
      <w:numFmt w:val="upperRoman"/>
      <w:pStyle w:val="Heading1"/>
      <w:lvlText w:val="%1."/>
      <w:lvlJc w:val="left"/>
      <w:pPr>
        <w:ind w:left="720" w:hanging="720"/>
      </w:pPr>
    </w:lvl>
    <w:lvl w:ilvl="1">
      <w:start w:val="1"/>
      <w:numFmt w:val="upperLetter"/>
      <w:pStyle w:val="Heading2"/>
      <w:lvlText w:val="%2."/>
      <w:lvlJc w:val="left"/>
      <w:pPr>
        <w:ind w:left="2160" w:hanging="720"/>
      </w:pPr>
    </w:lvl>
    <w:lvl w:ilvl="2">
      <w:start w:val="1"/>
      <w:numFmt w:val="decimal"/>
      <w:pStyle w:val="Heading3"/>
      <w:lvlText w:val="%3."/>
      <w:lvlJc w:val="left"/>
      <w:pPr>
        <w:ind w:left="2160" w:hanging="720"/>
      </w:pPr>
    </w:lvl>
    <w:lvl w:ilvl="3">
      <w:start w:val="1"/>
      <w:numFmt w:val="lowerLetter"/>
      <w:pStyle w:val="Heading4"/>
      <w:lvlText w:val="%4)"/>
      <w:lvlJc w:val="left"/>
      <w:pPr>
        <w:ind w:left="2970" w:hanging="720"/>
      </w:pPr>
    </w:lvl>
    <w:lvl w:ilvl="4">
      <w:start w:val="1"/>
      <w:numFmt w:val="decimal"/>
      <w:pStyle w:val="Heading5"/>
      <w:lvlText w:val="(%5)"/>
      <w:lvlJc w:val="left"/>
      <w:pPr>
        <w:ind w:left="2880" w:hanging="720"/>
      </w:pPr>
    </w:lvl>
    <w:lvl w:ilvl="5">
      <w:start w:val="1"/>
      <w:numFmt w:val="lowerLetter"/>
      <w:pStyle w:val="Heading6"/>
      <w:lvlText w:val="(%6)"/>
      <w:lvlJc w:val="left"/>
      <w:pPr>
        <w:ind w:left="4320" w:hanging="720"/>
      </w:pPr>
    </w:lvl>
    <w:lvl w:ilvl="6">
      <w:start w:val="1"/>
      <w:numFmt w:val="lowerRoman"/>
      <w:pStyle w:val="Heading7"/>
      <w:lvlText w:val="(%7)"/>
      <w:lvlJc w:val="left"/>
      <w:pPr>
        <w:ind w:left="5040" w:hanging="720"/>
      </w:pPr>
    </w:lvl>
    <w:lvl w:ilvl="7">
      <w:start w:val="1"/>
      <w:numFmt w:val="lowerLetter"/>
      <w:pStyle w:val="Heading8"/>
      <w:lvlText w:val="(%8)"/>
      <w:lvlJc w:val="left"/>
      <w:pPr>
        <w:ind w:left="5760" w:hanging="720"/>
      </w:pPr>
    </w:lvl>
    <w:lvl w:ilvl="8">
      <w:start w:val="1"/>
      <w:numFmt w:val="lowerRoman"/>
      <w:pStyle w:val="Heading9"/>
      <w:lvlText w:val="(%9)"/>
      <w:lvlJc w:val="left"/>
      <w:pPr>
        <w:ind w:left="6480" w:hanging="720"/>
      </w:pPr>
    </w:lvl>
  </w:abstractNum>
  <w:abstractNum w:abstractNumId="22" w15:restartNumberingAfterBreak="0">
    <w:nsid w:val="6F282EB0"/>
    <w:multiLevelType w:val="multilevel"/>
    <w:tmpl w:val="847E49E4"/>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34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15:restartNumberingAfterBreak="0">
    <w:nsid w:val="74523A6B"/>
    <w:multiLevelType w:val="hybridMultilevel"/>
    <w:tmpl w:val="A5BC8F9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4EB2BAC"/>
    <w:multiLevelType w:val="multilevel"/>
    <w:tmpl w:val="0409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5" w15:restartNumberingAfterBreak="0">
    <w:nsid w:val="782911B2"/>
    <w:multiLevelType w:val="hybridMultilevel"/>
    <w:tmpl w:val="FAAC5B66"/>
    <w:lvl w:ilvl="0" w:tplc="8536D06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17325990">
    <w:abstractNumId w:val="21"/>
  </w:num>
  <w:num w:numId="2" w16cid:durableId="1636834477">
    <w:abstractNumId w:val="15"/>
  </w:num>
  <w:num w:numId="3" w16cid:durableId="997999689">
    <w:abstractNumId w:val="7"/>
  </w:num>
  <w:num w:numId="4" w16cid:durableId="573584826">
    <w:abstractNumId w:val="1"/>
  </w:num>
  <w:num w:numId="5" w16cid:durableId="171073472">
    <w:abstractNumId w:val="5"/>
  </w:num>
  <w:num w:numId="6" w16cid:durableId="1577201575">
    <w:abstractNumId w:val="9"/>
  </w:num>
  <w:num w:numId="7" w16cid:durableId="1440644843">
    <w:abstractNumId w:val="13"/>
  </w:num>
  <w:num w:numId="8" w16cid:durableId="292059959">
    <w:abstractNumId w:val="12"/>
  </w:num>
  <w:num w:numId="9" w16cid:durableId="1473133342">
    <w:abstractNumId w:val="2"/>
  </w:num>
  <w:num w:numId="10" w16cid:durableId="1143546763">
    <w:abstractNumId w:val="19"/>
  </w:num>
  <w:num w:numId="11" w16cid:durableId="1070078669">
    <w:abstractNumId w:val="10"/>
  </w:num>
  <w:num w:numId="12" w16cid:durableId="1744333113">
    <w:abstractNumId w:val="20"/>
  </w:num>
  <w:num w:numId="13" w16cid:durableId="1641114274">
    <w:abstractNumId w:val="21"/>
  </w:num>
  <w:num w:numId="14" w16cid:durableId="1368483644">
    <w:abstractNumId w:val="11"/>
  </w:num>
  <w:num w:numId="15" w16cid:durableId="957300318">
    <w:abstractNumId w:val="16"/>
  </w:num>
  <w:num w:numId="16" w16cid:durableId="1794473686">
    <w:abstractNumId w:val="21"/>
  </w:num>
  <w:num w:numId="17" w16cid:durableId="1232154216">
    <w:abstractNumId w:val="21"/>
  </w:num>
  <w:num w:numId="18" w16cid:durableId="287904097">
    <w:abstractNumId w:val="21"/>
  </w:num>
  <w:num w:numId="19" w16cid:durableId="548105868">
    <w:abstractNumId w:val="21"/>
  </w:num>
  <w:num w:numId="20" w16cid:durableId="1639722436">
    <w:abstractNumId w:val="17"/>
  </w:num>
  <w:num w:numId="21" w16cid:durableId="954022970">
    <w:abstractNumId w:val="25"/>
  </w:num>
  <w:num w:numId="22" w16cid:durableId="310645903">
    <w:abstractNumId w:val="24"/>
  </w:num>
  <w:num w:numId="23" w16cid:durableId="124204432">
    <w:abstractNumId w:val="3"/>
  </w:num>
  <w:num w:numId="24" w16cid:durableId="1975284977">
    <w:abstractNumId w:val="4"/>
  </w:num>
  <w:num w:numId="25" w16cid:durableId="547299137">
    <w:abstractNumId w:val="8"/>
  </w:num>
  <w:num w:numId="26" w16cid:durableId="262418125">
    <w:abstractNumId w:val="6"/>
  </w:num>
  <w:num w:numId="27" w16cid:durableId="582687970">
    <w:abstractNumId w:val="18"/>
  </w:num>
  <w:num w:numId="28" w16cid:durableId="1725371433">
    <w:abstractNumId w:val="23"/>
  </w:num>
  <w:num w:numId="29" w16cid:durableId="10623659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86555425">
    <w:abstractNumId w:val="22"/>
  </w:num>
  <w:num w:numId="31" w16cid:durableId="434061370">
    <w:abstractNumId w:val="14"/>
  </w:num>
  <w:num w:numId="32" w16cid:durableId="6347176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0C88"/>
    <w:rsid w:val="0000000F"/>
    <w:rsid w:val="00000CF8"/>
    <w:rsid w:val="00000DF3"/>
    <w:rsid w:val="00001232"/>
    <w:rsid w:val="00001408"/>
    <w:rsid w:val="000019A1"/>
    <w:rsid w:val="00001AB6"/>
    <w:rsid w:val="00001BB4"/>
    <w:rsid w:val="00001BB7"/>
    <w:rsid w:val="00001D56"/>
    <w:rsid w:val="00001DAB"/>
    <w:rsid w:val="00002146"/>
    <w:rsid w:val="0000216D"/>
    <w:rsid w:val="00002259"/>
    <w:rsid w:val="000026F8"/>
    <w:rsid w:val="00003751"/>
    <w:rsid w:val="00003965"/>
    <w:rsid w:val="00003D19"/>
    <w:rsid w:val="00003F3C"/>
    <w:rsid w:val="00003F75"/>
    <w:rsid w:val="00004753"/>
    <w:rsid w:val="00004B7C"/>
    <w:rsid w:val="00004F66"/>
    <w:rsid w:val="00005372"/>
    <w:rsid w:val="00005540"/>
    <w:rsid w:val="00005635"/>
    <w:rsid w:val="000057A5"/>
    <w:rsid w:val="00005C8B"/>
    <w:rsid w:val="00005CED"/>
    <w:rsid w:val="000062AA"/>
    <w:rsid w:val="000062FF"/>
    <w:rsid w:val="0000646A"/>
    <w:rsid w:val="0000650C"/>
    <w:rsid w:val="00006731"/>
    <w:rsid w:val="0000674C"/>
    <w:rsid w:val="00006A6D"/>
    <w:rsid w:val="00006BC8"/>
    <w:rsid w:val="00006C00"/>
    <w:rsid w:val="000070FD"/>
    <w:rsid w:val="000071E3"/>
    <w:rsid w:val="000076C9"/>
    <w:rsid w:val="000076E6"/>
    <w:rsid w:val="000077A6"/>
    <w:rsid w:val="00010008"/>
    <w:rsid w:val="00010330"/>
    <w:rsid w:val="0001038F"/>
    <w:rsid w:val="0001063F"/>
    <w:rsid w:val="00010654"/>
    <w:rsid w:val="00010BE6"/>
    <w:rsid w:val="00010D47"/>
    <w:rsid w:val="00010D93"/>
    <w:rsid w:val="00010F1C"/>
    <w:rsid w:val="0001141D"/>
    <w:rsid w:val="00011643"/>
    <w:rsid w:val="000119D6"/>
    <w:rsid w:val="00011D37"/>
    <w:rsid w:val="0001200E"/>
    <w:rsid w:val="00012053"/>
    <w:rsid w:val="000120D7"/>
    <w:rsid w:val="000122B1"/>
    <w:rsid w:val="000123E6"/>
    <w:rsid w:val="00012552"/>
    <w:rsid w:val="00012A0E"/>
    <w:rsid w:val="00012B11"/>
    <w:rsid w:val="00012BCB"/>
    <w:rsid w:val="000131E8"/>
    <w:rsid w:val="000138EE"/>
    <w:rsid w:val="00013942"/>
    <w:rsid w:val="00013A6C"/>
    <w:rsid w:val="000141CA"/>
    <w:rsid w:val="000143E5"/>
    <w:rsid w:val="00014EB8"/>
    <w:rsid w:val="00014F05"/>
    <w:rsid w:val="000151EA"/>
    <w:rsid w:val="00015260"/>
    <w:rsid w:val="000152E1"/>
    <w:rsid w:val="000154E0"/>
    <w:rsid w:val="00015878"/>
    <w:rsid w:val="000158FB"/>
    <w:rsid w:val="00015A15"/>
    <w:rsid w:val="0001628B"/>
    <w:rsid w:val="000163A2"/>
    <w:rsid w:val="000169BD"/>
    <w:rsid w:val="000172D3"/>
    <w:rsid w:val="00017482"/>
    <w:rsid w:val="00017AB9"/>
    <w:rsid w:val="00017B51"/>
    <w:rsid w:val="00017D16"/>
    <w:rsid w:val="00017F85"/>
    <w:rsid w:val="00017FD2"/>
    <w:rsid w:val="00020047"/>
    <w:rsid w:val="00020200"/>
    <w:rsid w:val="00020342"/>
    <w:rsid w:val="00020846"/>
    <w:rsid w:val="0002093B"/>
    <w:rsid w:val="00020D2C"/>
    <w:rsid w:val="00020F04"/>
    <w:rsid w:val="00020FBC"/>
    <w:rsid w:val="000211C3"/>
    <w:rsid w:val="00021375"/>
    <w:rsid w:val="0002150D"/>
    <w:rsid w:val="000215CD"/>
    <w:rsid w:val="0002181E"/>
    <w:rsid w:val="000218E6"/>
    <w:rsid w:val="0002194F"/>
    <w:rsid w:val="00021A48"/>
    <w:rsid w:val="00021B47"/>
    <w:rsid w:val="00021C4C"/>
    <w:rsid w:val="00021D0B"/>
    <w:rsid w:val="00021EEA"/>
    <w:rsid w:val="0002203B"/>
    <w:rsid w:val="000220B0"/>
    <w:rsid w:val="00022369"/>
    <w:rsid w:val="000225C6"/>
    <w:rsid w:val="000226DB"/>
    <w:rsid w:val="00022C85"/>
    <w:rsid w:val="00022DCE"/>
    <w:rsid w:val="00022F50"/>
    <w:rsid w:val="000234CF"/>
    <w:rsid w:val="000236C2"/>
    <w:rsid w:val="000237A5"/>
    <w:rsid w:val="00023888"/>
    <w:rsid w:val="00023F06"/>
    <w:rsid w:val="00024437"/>
    <w:rsid w:val="0002458B"/>
    <w:rsid w:val="000245F4"/>
    <w:rsid w:val="0002460F"/>
    <w:rsid w:val="0002529B"/>
    <w:rsid w:val="000252E7"/>
    <w:rsid w:val="00025C71"/>
    <w:rsid w:val="00025CAB"/>
    <w:rsid w:val="000263CF"/>
    <w:rsid w:val="0002691C"/>
    <w:rsid w:val="00026B12"/>
    <w:rsid w:val="00026BFE"/>
    <w:rsid w:val="00026EE9"/>
    <w:rsid w:val="00026FD1"/>
    <w:rsid w:val="0002720F"/>
    <w:rsid w:val="00027338"/>
    <w:rsid w:val="000273E4"/>
    <w:rsid w:val="0002742B"/>
    <w:rsid w:val="000276A2"/>
    <w:rsid w:val="00027B7B"/>
    <w:rsid w:val="00027C6B"/>
    <w:rsid w:val="00027C92"/>
    <w:rsid w:val="00030391"/>
    <w:rsid w:val="00030547"/>
    <w:rsid w:val="00030590"/>
    <w:rsid w:val="00030593"/>
    <w:rsid w:val="000308FB"/>
    <w:rsid w:val="00030D1D"/>
    <w:rsid w:val="000310B9"/>
    <w:rsid w:val="000312D1"/>
    <w:rsid w:val="000313CD"/>
    <w:rsid w:val="00031815"/>
    <w:rsid w:val="00031C1A"/>
    <w:rsid w:val="00031C28"/>
    <w:rsid w:val="00031E30"/>
    <w:rsid w:val="000322EA"/>
    <w:rsid w:val="0003258A"/>
    <w:rsid w:val="0003292C"/>
    <w:rsid w:val="000329BC"/>
    <w:rsid w:val="00032C87"/>
    <w:rsid w:val="00032C9E"/>
    <w:rsid w:val="00033385"/>
    <w:rsid w:val="0003397D"/>
    <w:rsid w:val="00033A1E"/>
    <w:rsid w:val="00033D24"/>
    <w:rsid w:val="00033D29"/>
    <w:rsid w:val="00034021"/>
    <w:rsid w:val="00034089"/>
    <w:rsid w:val="00034310"/>
    <w:rsid w:val="000343BE"/>
    <w:rsid w:val="00034445"/>
    <w:rsid w:val="00034509"/>
    <w:rsid w:val="00034732"/>
    <w:rsid w:val="000347EF"/>
    <w:rsid w:val="00034C62"/>
    <w:rsid w:val="00034F0E"/>
    <w:rsid w:val="00035216"/>
    <w:rsid w:val="00035429"/>
    <w:rsid w:val="000356E1"/>
    <w:rsid w:val="000358E4"/>
    <w:rsid w:val="00035909"/>
    <w:rsid w:val="00035AFA"/>
    <w:rsid w:val="00036348"/>
    <w:rsid w:val="000363B2"/>
    <w:rsid w:val="00036A7D"/>
    <w:rsid w:val="00036E64"/>
    <w:rsid w:val="000374E4"/>
    <w:rsid w:val="0003765D"/>
    <w:rsid w:val="000378EE"/>
    <w:rsid w:val="00037C1D"/>
    <w:rsid w:val="00037DEF"/>
    <w:rsid w:val="00037F48"/>
    <w:rsid w:val="000400C3"/>
    <w:rsid w:val="0004147C"/>
    <w:rsid w:val="000414CE"/>
    <w:rsid w:val="000414EC"/>
    <w:rsid w:val="0004178C"/>
    <w:rsid w:val="00042406"/>
    <w:rsid w:val="00042A02"/>
    <w:rsid w:val="00042C73"/>
    <w:rsid w:val="00043829"/>
    <w:rsid w:val="00043948"/>
    <w:rsid w:val="00043A7B"/>
    <w:rsid w:val="000441D6"/>
    <w:rsid w:val="00044506"/>
    <w:rsid w:val="0004480F"/>
    <w:rsid w:val="000449D6"/>
    <w:rsid w:val="00044AD3"/>
    <w:rsid w:val="00044AD6"/>
    <w:rsid w:val="00044C69"/>
    <w:rsid w:val="00044C93"/>
    <w:rsid w:val="00044FCC"/>
    <w:rsid w:val="000454E3"/>
    <w:rsid w:val="00045E1E"/>
    <w:rsid w:val="00045E32"/>
    <w:rsid w:val="00045FC2"/>
    <w:rsid w:val="00046015"/>
    <w:rsid w:val="0004615F"/>
    <w:rsid w:val="00046A8C"/>
    <w:rsid w:val="000472EF"/>
    <w:rsid w:val="000475C8"/>
    <w:rsid w:val="0004797B"/>
    <w:rsid w:val="00047C30"/>
    <w:rsid w:val="00047CBE"/>
    <w:rsid w:val="0005013C"/>
    <w:rsid w:val="00050372"/>
    <w:rsid w:val="00050540"/>
    <w:rsid w:val="00050A97"/>
    <w:rsid w:val="00050E87"/>
    <w:rsid w:val="000510D7"/>
    <w:rsid w:val="000511EE"/>
    <w:rsid w:val="000511F8"/>
    <w:rsid w:val="0005125F"/>
    <w:rsid w:val="00051655"/>
    <w:rsid w:val="000517B0"/>
    <w:rsid w:val="00051867"/>
    <w:rsid w:val="00051E3B"/>
    <w:rsid w:val="00052115"/>
    <w:rsid w:val="00052857"/>
    <w:rsid w:val="00052E97"/>
    <w:rsid w:val="00053083"/>
    <w:rsid w:val="0005309B"/>
    <w:rsid w:val="00053196"/>
    <w:rsid w:val="00053480"/>
    <w:rsid w:val="00053741"/>
    <w:rsid w:val="00053BDB"/>
    <w:rsid w:val="00054BA3"/>
    <w:rsid w:val="0005513F"/>
    <w:rsid w:val="0005549E"/>
    <w:rsid w:val="00055684"/>
    <w:rsid w:val="00055CE2"/>
    <w:rsid w:val="00055F50"/>
    <w:rsid w:val="00055FC4"/>
    <w:rsid w:val="00056051"/>
    <w:rsid w:val="00056265"/>
    <w:rsid w:val="000562B8"/>
    <w:rsid w:val="00056399"/>
    <w:rsid w:val="0005641A"/>
    <w:rsid w:val="0005697B"/>
    <w:rsid w:val="00056A15"/>
    <w:rsid w:val="00057306"/>
    <w:rsid w:val="0005749A"/>
    <w:rsid w:val="00057A10"/>
    <w:rsid w:val="00057E1C"/>
    <w:rsid w:val="0006074A"/>
    <w:rsid w:val="0006078D"/>
    <w:rsid w:val="0006086A"/>
    <w:rsid w:val="00060BC4"/>
    <w:rsid w:val="00060ECC"/>
    <w:rsid w:val="00060F0D"/>
    <w:rsid w:val="0006127B"/>
    <w:rsid w:val="000613AA"/>
    <w:rsid w:val="000619E6"/>
    <w:rsid w:val="00061EAA"/>
    <w:rsid w:val="000627A1"/>
    <w:rsid w:val="00062A00"/>
    <w:rsid w:val="00062CA3"/>
    <w:rsid w:val="00062FBB"/>
    <w:rsid w:val="000630DD"/>
    <w:rsid w:val="00063119"/>
    <w:rsid w:val="0006349D"/>
    <w:rsid w:val="00063861"/>
    <w:rsid w:val="00064898"/>
    <w:rsid w:val="000648F9"/>
    <w:rsid w:val="00064927"/>
    <w:rsid w:val="00064A71"/>
    <w:rsid w:val="00064CF5"/>
    <w:rsid w:val="000651BE"/>
    <w:rsid w:val="00065E53"/>
    <w:rsid w:val="00066B83"/>
    <w:rsid w:val="00067270"/>
    <w:rsid w:val="000673B5"/>
    <w:rsid w:val="000673B9"/>
    <w:rsid w:val="00070010"/>
    <w:rsid w:val="00070A9F"/>
    <w:rsid w:val="0007100D"/>
    <w:rsid w:val="00071481"/>
    <w:rsid w:val="00071690"/>
    <w:rsid w:val="000716FB"/>
    <w:rsid w:val="00071C5F"/>
    <w:rsid w:val="00071CC8"/>
    <w:rsid w:val="000722CB"/>
    <w:rsid w:val="0007232B"/>
    <w:rsid w:val="0007242F"/>
    <w:rsid w:val="000724F6"/>
    <w:rsid w:val="0007268C"/>
    <w:rsid w:val="0007274D"/>
    <w:rsid w:val="00072B1E"/>
    <w:rsid w:val="00072B69"/>
    <w:rsid w:val="00072F99"/>
    <w:rsid w:val="0007321B"/>
    <w:rsid w:val="0007358B"/>
    <w:rsid w:val="000735A1"/>
    <w:rsid w:val="00073F57"/>
    <w:rsid w:val="00074016"/>
    <w:rsid w:val="0007410B"/>
    <w:rsid w:val="000742D4"/>
    <w:rsid w:val="00074570"/>
    <w:rsid w:val="00074597"/>
    <w:rsid w:val="000747B1"/>
    <w:rsid w:val="0007482A"/>
    <w:rsid w:val="000749F0"/>
    <w:rsid w:val="0007520E"/>
    <w:rsid w:val="00075219"/>
    <w:rsid w:val="000757CD"/>
    <w:rsid w:val="000759B4"/>
    <w:rsid w:val="00075F83"/>
    <w:rsid w:val="00076835"/>
    <w:rsid w:val="00077359"/>
    <w:rsid w:val="00077DAF"/>
    <w:rsid w:val="00077F6F"/>
    <w:rsid w:val="000802E2"/>
    <w:rsid w:val="00080A09"/>
    <w:rsid w:val="00080CB7"/>
    <w:rsid w:val="00080E04"/>
    <w:rsid w:val="00080E60"/>
    <w:rsid w:val="0008152B"/>
    <w:rsid w:val="00081732"/>
    <w:rsid w:val="00081826"/>
    <w:rsid w:val="00081B03"/>
    <w:rsid w:val="00081F5A"/>
    <w:rsid w:val="000822CC"/>
    <w:rsid w:val="000827FC"/>
    <w:rsid w:val="00082B83"/>
    <w:rsid w:val="00082D46"/>
    <w:rsid w:val="000831E6"/>
    <w:rsid w:val="000832B5"/>
    <w:rsid w:val="00083560"/>
    <w:rsid w:val="00083A1E"/>
    <w:rsid w:val="00083C09"/>
    <w:rsid w:val="00083D3F"/>
    <w:rsid w:val="000845A4"/>
    <w:rsid w:val="000845E6"/>
    <w:rsid w:val="00084629"/>
    <w:rsid w:val="00084738"/>
    <w:rsid w:val="00084C0A"/>
    <w:rsid w:val="000851B4"/>
    <w:rsid w:val="0008556B"/>
    <w:rsid w:val="0008589E"/>
    <w:rsid w:val="00085DC4"/>
    <w:rsid w:val="00085E03"/>
    <w:rsid w:val="00085FBC"/>
    <w:rsid w:val="0008616A"/>
    <w:rsid w:val="0008684E"/>
    <w:rsid w:val="00086AB9"/>
    <w:rsid w:val="00087010"/>
    <w:rsid w:val="00087C04"/>
    <w:rsid w:val="00087C67"/>
    <w:rsid w:val="00087ED9"/>
    <w:rsid w:val="00087F27"/>
    <w:rsid w:val="0009030F"/>
    <w:rsid w:val="00090411"/>
    <w:rsid w:val="000904F0"/>
    <w:rsid w:val="000907B7"/>
    <w:rsid w:val="000908AD"/>
    <w:rsid w:val="00090C4E"/>
    <w:rsid w:val="00090D9B"/>
    <w:rsid w:val="00090EA9"/>
    <w:rsid w:val="00090EFC"/>
    <w:rsid w:val="0009165E"/>
    <w:rsid w:val="0009196D"/>
    <w:rsid w:val="00091DB9"/>
    <w:rsid w:val="00091FAC"/>
    <w:rsid w:val="00092117"/>
    <w:rsid w:val="000922E6"/>
    <w:rsid w:val="00092C5B"/>
    <w:rsid w:val="00092E3F"/>
    <w:rsid w:val="00093567"/>
    <w:rsid w:val="000936EF"/>
    <w:rsid w:val="000938B5"/>
    <w:rsid w:val="0009393C"/>
    <w:rsid w:val="00093947"/>
    <w:rsid w:val="00093C80"/>
    <w:rsid w:val="00093FE7"/>
    <w:rsid w:val="000941AE"/>
    <w:rsid w:val="000943E1"/>
    <w:rsid w:val="00094468"/>
    <w:rsid w:val="00094813"/>
    <w:rsid w:val="00095313"/>
    <w:rsid w:val="000956B2"/>
    <w:rsid w:val="00095DA0"/>
    <w:rsid w:val="00096114"/>
    <w:rsid w:val="0009627F"/>
    <w:rsid w:val="000962FF"/>
    <w:rsid w:val="000966F7"/>
    <w:rsid w:val="00096933"/>
    <w:rsid w:val="00096AA9"/>
    <w:rsid w:val="00096C93"/>
    <w:rsid w:val="0009736F"/>
    <w:rsid w:val="000975C4"/>
    <w:rsid w:val="00097793"/>
    <w:rsid w:val="000A0204"/>
    <w:rsid w:val="000A05CB"/>
    <w:rsid w:val="000A0601"/>
    <w:rsid w:val="000A0C13"/>
    <w:rsid w:val="000A0D57"/>
    <w:rsid w:val="000A0DC8"/>
    <w:rsid w:val="000A0EAD"/>
    <w:rsid w:val="000A1758"/>
    <w:rsid w:val="000A1BE5"/>
    <w:rsid w:val="000A1C76"/>
    <w:rsid w:val="000A1DB1"/>
    <w:rsid w:val="000A1DF9"/>
    <w:rsid w:val="000A2038"/>
    <w:rsid w:val="000A20B6"/>
    <w:rsid w:val="000A276E"/>
    <w:rsid w:val="000A2906"/>
    <w:rsid w:val="000A2BC3"/>
    <w:rsid w:val="000A2C31"/>
    <w:rsid w:val="000A2E1D"/>
    <w:rsid w:val="000A3006"/>
    <w:rsid w:val="000A3122"/>
    <w:rsid w:val="000A31F8"/>
    <w:rsid w:val="000A3600"/>
    <w:rsid w:val="000A38D4"/>
    <w:rsid w:val="000A3A1E"/>
    <w:rsid w:val="000A3A4A"/>
    <w:rsid w:val="000A3D5C"/>
    <w:rsid w:val="000A4D99"/>
    <w:rsid w:val="000A4FAA"/>
    <w:rsid w:val="000A5221"/>
    <w:rsid w:val="000A5406"/>
    <w:rsid w:val="000A5710"/>
    <w:rsid w:val="000A57C5"/>
    <w:rsid w:val="000A57CB"/>
    <w:rsid w:val="000A593F"/>
    <w:rsid w:val="000A5E6D"/>
    <w:rsid w:val="000A5F87"/>
    <w:rsid w:val="000A6508"/>
    <w:rsid w:val="000A6E50"/>
    <w:rsid w:val="000A72C3"/>
    <w:rsid w:val="000A76B7"/>
    <w:rsid w:val="000A7740"/>
    <w:rsid w:val="000A77A7"/>
    <w:rsid w:val="000A7A65"/>
    <w:rsid w:val="000A7E8A"/>
    <w:rsid w:val="000B07BD"/>
    <w:rsid w:val="000B07F1"/>
    <w:rsid w:val="000B0A7E"/>
    <w:rsid w:val="000B0CE0"/>
    <w:rsid w:val="000B0ED2"/>
    <w:rsid w:val="000B1297"/>
    <w:rsid w:val="000B140A"/>
    <w:rsid w:val="000B16FD"/>
    <w:rsid w:val="000B1AD1"/>
    <w:rsid w:val="000B1E7A"/>
    <w:rsid w:val="000B215B"/>
    <w:rsid w:val="000B230E"/>
    <w:rsid w:val="000B252A"/>
    <w:rsid w:val="000B25E1"/>
    <w:rsid w:val="000B278F"/>
    <w:rsid w:val="000B2C9F"/>
    <w:rsid w:val="000B2D61"/>
    <w:rsid w:val="000B31B2"/>
    <w:rsid w:val="000B36B3"/>
    <w:rsid w:val="000B3AD3"/>
    <w:rsid w:val="000B3CA1"/>
    <w:rsid w:val="000B3F6F"/>
    <w:rsid w:val="000B4071"/>
    <w:rsid w:val="000B4116"/>
    <w:rsid w:val="000B4268"/>
    <w:rsid w:val="000B4420"/>
    <w:rsid w:val="000B457A"/>
    <w:rsid w:val="000B4970"/>
    <w:rsid w:val="000B5302"/>
    <w:rsid w:val="000B53CA"/>
    <w:rsid w:val="000B5677"/>
    <w:rsid w:val="000B576D"/>
    <w:rsid w:val="000B57F4"/>
    <w:rsid w:val="000B5F5A"/>
    <w:rsid w:val="000B608A"/>
    <w:rsid w:val="000B670C"/>
    <w:rsid w:val="000B67BA"/>
    <w:rsid w:val="000B6B8A"/>
    <w:rsid w:val="000B6DB2"/>
    <w:rsid w:val="000B6E74"/>
    <w:rsid w:val="000B7038"/>
    <w:rsid w:val="000B725B"/>
    <w:rsid w:val="000B737B"/>
    <w:rsid w:val="000B75E7"/>
    <w:rsid w:val="000B77BC"/>
    <w:rsid w:val="000B77F1"/>
    <w:rsid w:val="000C01C5"/>
    <w:rsid w:val="000C0323"/>
    <w:rsid w:val="000C03FB"/>
    <w:rsid w:val="000C0738"/>
    <w:rsid w:val="000C0ACF"/>
    <w:rsid w:val="000C1559"/>
    <w:rsid w:val="000C1680"/>
    <w:rsid w:val="000C1721"/>
    <w:rsid w:val="000C1933"/>
    <w:rsid w:val="000C1987"/>
    <w:rsid w:val="000C1A1F"/>
    <w:rsid w:val="000C1B19"/>
    <w:rsid w:val="000C1BDA"/>
    <w:rsid w:val="000C1C9E"/>
    <w:rsid w:val="000C21AA"/>
    <w:rsid w:val="000C2441"/>
    <w:rsid w:val="000C271F"/>
    <w:rsid w:val="000C28EC"/>
    <w:rsid w:val="000C2A0F"/>
    <w:rsid w:val="000C2F25"/>
    <w:rsid w:val="000C3337"/>
    <w:rsid w:val="000C35C2"/>
    <w:rsid w:val="000C3677"/>
    <w:rsid w:val="000C425D"/>
    <w:rsid w:val="000C4765"/>
    <w:rsid w:val="000C4A37"/>
    <w:rsid w:val="000C4BE3"/>
    <w:rsid w:val="000C4C59"/>
    <w:rsid w:val="000C5069"/>
    <w:rsid w:val="000C53A2"/>
    <w:rsid w:val="000C5487"/>
    <w:rsid w:val="000C5D3B"/>
    <w:rsid w:val="000C6004"/>
    <w:rsid w:val="000C602F"/>
    <w:rsid w:val="000C65E9"/>
    <w:rsid w:val="000C6D85"/>
    <w:rsid w:val="000C6D87"/>
    <w:rsid w:val="000C6F51"/>
    <w:rsid w:val="000C717A"/>
    <w:rsid w:val="000C7298"/>
    <w:rsid w:val="000C760D"/>
    <w:rsid w:val="000C7BF6"/>
    <w:rsid w:val="000C7C53"/>
    <w:rsid w:val="000C7F37"/>
    <w:rsid w:val="000D0B95"/>
    <w:rsid w:val="000D0BE8"/>
    <w:rsid w:val="000D0D2B"/>
    <w:rsid w:val="000D1017"/>
    <w:rsid w:val="000D12D8"/>
    <w:rsid w:val="000D15E1"/>
    <w:rsid w:val="000D1A66"/>
    <w:rsid w:val="000D1CFF"/>
    <w:rsid w:val="000D1E94"/>
    <w:rsid w:val="000D2472"/>
    <w:rsid w:val="000D2A36"/>
    <w:rsid w:val="000D2C98"/>
    <w:rsid w:val="000D2DB9"/>
    <w:rsid w:val="000D2EC3"/>
    <w:rsid w:val="000D2FD6"/>
    <w:rsid w:val="000D335D"/>
    <w:rsid w:val="000D3381"/>
    <w:rsid w:val="000D360F"/>
    <w:rsid w:val="000D397F"/>
    <w:rsid w:val="000D3B02"/>
    <w:rsid w:val="000D3F62"/>
    <w:rsid w:val="000D416B"/>
    <w:rsid w:val="000D48E4"/>
    <w:rsid w:val="000D4E06"/>
    <w:rsid w:val="000D5167"/>
    <w:rsid w:val="000D5330"/>
    <w:rsid w:val="000D55D5"/>
    <w:rsid w:val="000D5A6B"/>
    <w:rsid w:val="000D5CED"/>
    <w:rsid w:val="000D5E3D"/>
    <w:rsid w:val="000D6192"/>
    <w:rsid w:val="000D653F"/>
    <w:rsid w:val="000D6605"/>
    <w:rsid w:val="000D682C"/>
    <w:rsid w:val="000D6AED"/>
    <w:rsid w:val="000D7004"/>
    <w:rsid w:val="000E0023"/>
    <w:rsid w:val="000E0059"/>
    <w:rsid w:val="000E02BF"/>
    <w:rsid w:val="000E0590"/>
    <w:rsid w:val="000E063B"/>
    <w:rsid w:val="000E071F"/>
    <w:rsid w:val="000E08BA"/>
    <w:rsid w:val="000E0B0C"/>
    <w:rsid w:val="000E107A"/>
    <w:rsid w:val="000E126E"/>
    <w:rsid w:val="000E131F"/>
    <w:rsid w:val="000E1552"/>
    <w:rsid w:val="000E172B"/>
    <w:rsid w:val="000E1870"/>
    <w:rsid w:val="000E1FB0"/>
    <w:rsid w:val="000E2559"/>
    <w:rsid w:val="000E29BA"/>
    <w:rsid w:val="000E2A48"/>
    <w:rsid w:val="000E2A86"/>
    <w:rsid w:val="000E2BB9"/>
    <w:rsid w:val="000E2E18"/>
    <w:rsid w:val="000E2FB0"/>
    <w:rsid w:val="000E318A"/>
    <w:rsid w:val="000E393A"/>
    <w:rsid w:val="000E39DC"/>
    <w:rsid w:val="000E3CAA"/>
    <w:rsid w:val="000E3F98"/>
    <w:rsid w:val="000E4899"/>
    <w:rsid w:val="000E4D5B"/>
    <w:rsid w:val="000E4E3B"/>
    <w:rsid w:val="000E5029"/>
    <w:rsid w:val="000E5877"/>
    <w:rsid w:val="000E5988"/>
    <w:rsid w:val="000E5B1C"/>
    <w:rsid w:val="000E5BF5"/>
    <w:rsid w:val="000E5D18"/>
    <w:rsid w:val="000E6105"/>
    <w:rsid w:val="000E6168"/>
    <w:rsid w:val="000E6394"/>
    <w:rsid w:val="000E6850"/>
    <w:rsid w:val="000E6B82"/>
    <w:rsid w:val="000E6BB3"/>
    <w:rsid w:val="000E6BF7"/>
    <w:rsid w:val="000E702A"/>
    <w:rsid w:val="000E73B4"/>
    <w:rsid w:val="000E7467"/>
    <w:rsid w:val="000E75FA"/>
    <w:rsid w:val="000E772C"/>
    <w:rsid w:val="000E77C8"/>
    <w:rsid w:val="000E7A11"/>
    <w:rsid w:val="000E7A6F"/>
    <w:rsid w:val="000E7BC1"/>
    <w:rsid w:val="000F011D"/>
    <w:rsid w:val="000F02A4"/>
    <w:rsid w:val="000F12FB"/>
    <w:rsid w:val="000F13CF"/>
    <w:rsid w:val="000F1550"/>
    <w:rsid w:val="000F1697"/>
    <w:rsid w:val="000F1C90"/>
    <w:rsid w:val="000F20CE"/>
    <w:rsid w:val="000F2144"/>
    <w:rsid w:val="000F21EA"/>
    <w:rsid w:val="000F2342"/>
    <w:rsid w:val="000F254F"/>
    <w:rsid w:val="000F2B9B"/>
    <w:rsid w:val="000F2C88"/>
    <w:rsid w:val="000F30AC"/>
    <w:rsid w:val="000F3173"/>
    <w:rsid w:val="000F3279"/>
    <w:rsid w:val="000F354E"/>
    <w:rsid w:val="000F3570"/>
    <w:rsid w:val="000F3CBB"/>
    <w:rsid w:val="000F4708"/>
    <w:rsid w:val="000F482F"/>
    <w:rsid w:val="000F4A11"/>
    <w:rsid w:val="000F4BFC"/>
    <w:rsid w:val="000F53F7"/>
    <w:rsid w:val="000F54DF"/>
    <w:rsid w:val="000F56FC"/>
    <w:rsid w:val="000F5ABA"/>
    <w:rsid w:val="000F678E"/>
    <w:rsid w:val="000F6877"/>
    <w:rsid w:val="000F6C0D"/>
    <w:rsid w:val="000F7232"/>
    <w:rsid w:val="000F72A0"/>
    <w:rsid w:val="000F7396"/>
    <w:rsid w:val="000F73F0"/>
    <w:rsid w:val="000F7BCC"/>
    <w:rsid w:val="000F7D6B"/>
    <w:rsid w:val="00100020"/>
    <w:rsid w:val="00100104"/>
    <w:rsid w:val="00100148"/>
    <w:rsid w:val="001002D9"/>
    <w:rsid w:val="001006CC"/>
    <w:rsid w:val="00100781"/>
    <w:rsid w:val="001009BC"/>
    <w:rsid w:val="001018FB"/>
    <w:rsid w:val="0010190D"/>
    <w:rsid w:val="00101A2D"/>
    <w:rsid w:val="00101B63"/>
    <w:rsid w:val="00101C18"/>
    <w:rsid w:val="00101C99"/>
    <w:rsid w:val="001025BA"/>
    <w:rsid w:val="0010316D"/>
    <w:rsid w:val="00103320"/>
    <w:rsid w:val="00103347"/>
    <w:rsid w:val="0010384F"/>
    <w:rsid w:val="00103CAD"/>
    <w:rsid w:val="00104043"/>
    <w:rsid w:val="0010432E"/>
    <w:rsid w:val="00104371"/>
    <w:rsid w:val="001043DB"/>
    <w:rsid w:val="001046B2"/>
    <w:rsid w:val="001047DC"/>
    <w:rsid w:val="00104E8C"/>
    <w:rsid w:val="0010506F"/>
    <w:rsid w:val="00105197"/>
    <w:rsid w:val="001052B0"/>
    <w:rsid w:val="001053A5"/>
    <w:rsid w:val="0010577C"/>
    <w:rsid w:val="0010609F"/>
    <w:rsid w:val="001061C7"/>
    <w:rsid w:val="001061CB"/>
    <w:rsid w:val="00106228"/>
    <w:rsid w:val="001064B5"/>
    <w:rsid w:val="0010665E"/>
    <w:rsid w:val="00106800"/>
    <w:rsid w:val="00106ACD"/>
    <w:rsid w:val="00106B8C"/>
    <w:rsid w:val="00106D3D"/>
    <w:rsid w:val="001072BA"/>
    <w:rsid w:val="0010764D"/>
    <w:rsid w:val="001076C3"/>
    <w:rsid w:val="0010774C"/>
    <w:rsid w:val="00107A49"/>
    <w:rsid w:val="00107B1A"/>
    <w:rsid w:val="00107E17"/>
    <w:rsid w:val="00110494"/>
    <w:rsid w:val="001106CB"/>
    <w:rsid w:val="001108F0"/>
    <w:rsid w:val="001109AD"/>
    <w:rsid w:val="00110A28"/>
    <w:rsid w:val="00110ED3"/>
    <w:rsid w:val="00110FE1"/>
    <w:rsid w:val="0011100D"/>
    <w:rsid w:val="00111189"/>
    <w:rsid w:val="00111207"/>
    <w:rsid w:val="00111292"/>
    <w:rsid w:val="00111423"/>
    <w:rsid w:val="00111CA2"/>
    <w:rsid w:val="00111D49"/>
    <w:rsid w:val="00112188"/>
    <w:rsid w:val="00112265"/>
    <w:rsid w:val="00112829"/>
    <w:rsid w:val="001130E2"/>
    <w:rsid w:val="001133C5"/>
    <w:rsid w:val="00113602"/>
    <w:rsid w:val="0011360D"/>
    <w:rsid w:val="00113662"/>
    <w:rsid w:val="00113A5B"/>
    <w:rsid w:val="00113AFD"/>
    <w:rsid w:val="00113B16"/>
    <w:rsid w:val="00113B50"/>
    <w:rsid w:val="00113EE4"/>
    <w:rsid w:val="00113FB7"/>
    <w:rsid w:val="00114012"/>
    <w:rsid w:val="0011419B"/>
    <w:rsid w:val="001144C0"/>
    <w:rsid w:val="001144DE"/>
    <w:rsid w:val="001146CC"/>
    <w:rsid w:val="001146D6"/>
    <w:rsid w:val="001147CB"/>
    <w:rsid w:val="0011500F"/>
    <w:rsid w:val="001156AE"/>
    <w:rsid w:val="00115C0D"/>
    <w:rsid w:val="00115D71"/>
    <w:rsid w:val="00115DEB"/>
    <w:rsid w:val="0011637F"/>
    <w:rsid w:val="001164D1"/>
    <w:rsid w:val="0011654E"/>
    <w:rsid w:val="001166AB"/>
    <w:rsid w:val="00116BB8"/>
    <w:rsid w:val="00116EFC"/>
    <w:rsid w:val="00117011"/>
    <w:rsid w:val="00117152"/>
    <w:rsid w:val="001171C6"/>
    <w:rsid w:val="001174C7"/>
    <w:rsid w:val="001176CF"/>
    <w:rsid w:val="00117929"/>
    <w:rsid w:val="00117952"/>
    <w:rsid w:val="001179C3"/>
    <w:rsid w:val="00117D1C"/>
    <w:rsid w:val="00117EB8"/>
    <w:rsid w:val="001208F7"/>
    <w:rsid w:val="0012092C"/>
    <w:rsid w:val="0012093E"/>
    <w:rsid w:val="00121170"/>
    <w:rsid w:val="001211BE"/>
    <w:rsid w:val="001217EF"/>
    <w:rsid w:val="00121ADA"/>
    <w:rsid w:val="00121DAA"/>
    <w:rsid w:val="00121DD6"/>
    <w:rsid w:val="00121DDE"/>
    <w:rsid w:val="001222B5"/>
    <w:rsid w:val="00122591"/>
    <w:rsid w:val="001226E5"/>
    <w:rsid w:val="001228AF"/>
    <w:rsid w:val="00122919"/>
    <w:rsid w:val="00122B8B"/>
    <w:rsid w:val="00122D98"/>
    <w:rsid w:val="00122E1A"/>
    <w:rsid w:val="00123098"/>
    <w:rsid w:val="00123803"/>
    <w:rsid w:val="0012396E"/>
    <w:rsid w:val="00124588"/>
    <w:rsid w:val="0012466E"/>
    <w:rsid w:val="00124E42"/>
    <w:rsid w:val="0012508D"/>
    <w:rsid w:val="00125955"/>
    <w:rsid w:val="00125BC1"/>
    <w:rsid w:val="00125FFE"/>
    <w:rsid w:val="0012606A"/>
    <w:rsid w:val="00126A18"/>
    <w:rsid w:val="00126AAC"/>
    <w:rsid w:val="00127005"/>
    <w:rsid w:val="001273E3"/>
    <w:rsid w:val="001276A2"/>
    <w:rsid w:val="0012795A"/>
    <w:rsid w:val="00130126"/>
    <w:rsid w:val="001304A3"/>
    <w:rsid w:val="00130799"/>
    <w:rsid w:val="001309D4"/>
    <w:rsid w:val="00130E07"/>
    <w:rsid w:val="00130F1C"/>
    <w:rsid w:val="00131356"/>
    <w:rsid w:val="0013159F"/>
    <w:rsid w:val="001315B2"/>
    <w:rsid w:val="001317D8"/>
    <w:rsid w:val="00131E04"/>
    <w:rsid w:val="00131E9A"/>
    <w:rsid w:val="00131F88"/>
    <w:rsid w:val="0013205E"/>
    <w:rsid w:val="00132254"/>
    <w:rsid w:val="001329D2"/>
    <w:rsid w:val="00133023"/>
    <w:rsid w:val="00133035"/>
    <w:rsid w:val="001337C0"/>
    <w:rsid w:val="00133847"/>
    <w:rsid w:val="001342C3"/>
    <w:rsid w:val="001345F6"/>
    <w:rsid w:val="0013472B"/>
    <w:rsid w:val="00134853"/>
    <w:rsid w:val="00134FF3"/>
    <w:rsid w:val="00135165"/>
    <w:rsid w:val="00135288"/>
    <w:rsid w:val="0013550E"/>
    <w:rsid w:val="00135544"/>
    <w:rsid w:val="0013578D"/>
    <w:rsid w:val="00135917"/>
    <w:rsid w:val="00135983"/>
    <w:rsid w:val="00136396"/>
    <w:rsid w:val="00136AED"/>
    <w:rsid w:val="00136AF7"/>
    <w:rsid w:val="00136B74"/>
    <w:rsid w:val="00136D44"/>
    <w:rsid w:val="001375AA"/>
    <w:rsid w:val="00137606"/>
    <w:rsid w:val="00137B40"/>
    <w:rsid w:val="00137F95"/>
    <w:rsid w:val="00140554"/>
    <w:rsid w:val="0014071B"/>
    <w:rsid w:val="00140914"/>
    <w:rsid w:val="0014097B"/>
    <w:rsid w:val="00140A1B"/>
    <w:rsid w:val="00140D92"/>
    <w:rsid w:val="001410AC"/>
    <w:rsid w:val="001412F3"/>
    <w:rsid w:val="001416A4"/>
    <w:rsid w:val="0014190B"/>
    <w:rsid w:val="00141A23"/>
    <w:rsid w:val="00141A65"/>
    <w:rsid w:val="001420BC"/>
    <w:rsid w:val="001420BF"/>
    <w:rsid w:val="00142381"/>
    <w:rsid w:val="0014246A"/>
    <w:rsid w:val="0014254B"/>
    <w:rsid w:val="0014265D"/>
    <w:rsid w:val="001426AF"/>
    <w:rsid w:val="00142748"/>
    <w:rsid w:val="00142A24"/>
    <w:rsid w:val="00142B25"/>
    <w:rsid w:val="00142FC1"/>
    <w:rsid w:val="0014395A"/>
    <w:rsid w:val="0014413B"/>
    <w:rsid w:val="001441DF"/>
    <w:rsid w:val="0014443A"/>
    <w:rsid w:val="00144844"/>
    <w:rsid w:val="00144940"/>
    <w:rsid w:val="001449E2"/>
    <w:rsid w:val="00144BC1"/>
    <w:rsid w:val="00144E7D"/>
    <w:rsid w:val="00145048"/>
    <w:rsid w:val="00146114"/>
    <w:rsid w:val="00146928"/>
    <w:rsid w:val="00146CB3"/>
    <w:rsid w:val="001472D8"/>
    <w:rsid w:val="00147656"/>
    <w:rsid w:val="001476B0"/>
    <w:rsid w:val="00150259"/>
    <w:rsid w:val="00150385"/>
    <w:rsid w:val="001507F9"/>
    <w:rsid w:val="0015092B"/>
    <w:rsid w:val="00151160"/>
    <w:rsid w:val="001511FA"/>
    <w:rsid w:val="001516FA"/>
    <w:rsid w:val="001519BF"/>
    <w:rsid w:val="00151C8D"/>
    <w:rsid w:val="00151DA4"/>
    <w:rsid w:val="00151ECA"/>
    <w:rsid w:val="0015200B"/>
    <w:rsid w:val="00152738"/>
    <w:rsid w:val="001527DC"/>
    <w:rsid w:val="00152AAD"/>
    <w:rsid w:val="00153420"/>
    <w:rsid w:val="0015381B"/>
    <w:rsid w:val="001539FD"/>
    <w:rsid w:val="00153C47"/>
    <w:rsid w:val="00153C7B"/>
    <w:rsid w:val="00154492"/>
    <w:rsid w:val="00155101"/>
    <w:rsid w:val="0015512F"/>
    <w:rsid w:val="00155150"/>
    <w:rsid w:val="00155B0D"/>
    <w:rsid w:val="00155B61"/>
    <w:rsid w:val="00155BFA"/>
    <w:rsid w:val="00156000"/>
    <w:rsid w:val="001567B1"/>
    <w:rsid w:val="00156B18"/>
    <w:rsid w:val="00156B1F"/>
    <w:rsid w:val="00156D3A"/>
    <w:rsid w:val="00156D51"/>
    <w:rsid w:val="00157440"/>
    <w:rsid w:val="00157584"/>
    <w:rsid w:val="00157629"/>
    <w:rsid w:val="00157687"/>
    <w:rsid w:val="00157ACC"/>
    <w:rsid w:val="00157CAC"/>
    <w:rsid w:val="001601B8"/>
    <w:rsid w:val="00160550"/>
    <w:rsid w:val="00160740"/>
    <w:rsid w:val="00160AC8"/>
    <w:rsid w:val="00160C0C"/>
    <w:rsid w:val="00160D66"/>
    <w:rsid w:val="00160F44"/>
    <w:rsid w:val="00161674"/>
    <w:rsid w:val="00161C31"/>
    <w:rsid w:val="00161C52"/>
    <w:rsid w:val="0016234E"/>
    <w:rsid w:val="0016259B"/>
    <w:rsid w:val="0016293F"/>
    <w:rsid w:val="00162B1E"/>
    <w:rsid w:val="0016306D"/>
    <w:rsid w:val="0016346C"/>
    <w:rsid w:val="001635D0"/>
    <w:rsid w:val="00163C10"/>
    <w:rsid w:val="00163E26"/>
    <w:rsid w:val="001641D4"/>
    <w:rsid w:val="001641DD"/>
    <w:rsid w:val="00164403"/>
    <w:rsid w:val="00164BB1"/>
    <w:rsid w:val="00164C50"/>
    <w:rsid w:val="00164DCA"/>
    <w:rsid w:val="00164F0F"/>
    <w:rsid w:val="00165263"/>
    <w:rsid w:val="00165839"/>
    <w:rsid w:val="0016594A"/>
    <w:rsid w:val="00165E42"/>
    <w:rsid w:val="00165FB8"/>
    <w:rsid w:val="0016623E"/>
    <w:rsid w:val="00166317"/>
    <w:rsid w:val="00166330"/>
    <w:rsid w:val="00166B33"/>
    <w:rsid w:val="00166B52"/>
    <w:rsid w:val="00166FB4"/>
    <w:rsid w:val="001670A8"/>
    <w:rsid w:val="00167274"/>
    <w:rsid w:val="00167711"/>
    <w:rsid w:val="001678EF"/>
    <w:rsid w:val="0016795A"/>
    <w:rsid w:val="00167CF3"/>
    <w:rsid w:val="00167FA9"/>
    <w:rsid w:val="0017032A"/>
    <w:rsid w:val="0017053F"/>
    <w:rsid w:val="00170AF7"/>
    <w:rsid w:val="00170D06"/>
    <w:rsid w:val="00170E2E"/>
    <w:rsid w:val="00170F73"/>
    <w:rsid w:val="001714FC"/>
    <w:rsid w:val="00171944"/>
    <w:rsid w:val="00171E34"/>
    <w:rsid w:val="00172323"/>
    <w:rsid w:val="001725ED"/>
    <w:rsid w:val="00172629"/>
    <w:rsid w:val="00172CCD"/>
    <w:rsid w:val="00172CE3"/>
    <w:rsid w:val="001734BA"/>
    <w:rsid w:val="001735B7"/>
    <w:rsid w:val="00173F59"/>
    <w:rsid w:val="00173F66"/>
    <w:rsid w:val="00173FFA"/>
    <w:rsid w:val="0017506F"/>
    <w:rsid w:val="00175CD1"/>
    <w:rsid w:val="00175FCE"/>
    <w:rsid w:val="001761B9"/>
    <w:rsid w:val="00176681"/>
    <w:rsid w:val="00176B09"/>
    <w:rsid w:val="001774C5"/>
    <w:rsid w:val="001774E6"/>
    <w:rsid w:val="00177CE0"/>
    <w:rsid w:val="00177CF2"/>
    <w:rsid w:val="00180148"/>
    <w:rsid w:val="0018027D"/>
    <w:rsid w:val="001803F2"/>
    <w:rsid w:val="001805AF"/>
    <w:rsid w:val="001809D8"/>
    <w:rsid w:val="00180AC8"/>
    <w:rsid w:val="00180C61"/>
    <w:rsid w:val="00180EF5"/>
    <w:rsid w:val="0018122E"/>
    <w:rsid w:val="00181244"/>
    <w:rsid w:val="00181736"/>
    <w:rsid w:val="00181C29"/>
    <w:rsid w:val="00182782"/>
    <w:rsid w:val="00182ACC"/>
    <w:rsid w:val="00182CB6"/>
    <w:rsid w:val="001832C4"/>
    <w:rsid w:val="00183464"/>
    <w:rsid w:val="00183B0F"/>
    <w:rsid w:val="00183CCA"/>
    <w:rsid w:val="00183FE1"/>
    <w:rsid w:val="00184830"/>
    <w:rsid w:val="00184898"/>
    <w:rsid w:val="00184B2A"/>
    <w:rsid w:val="00184FB9"/>
    <w:rsid w:val="00184FEF"/>
    <w:rsid w:val="001850DD"/>
    <w:rsid w:val="001853F5"/>
    <w:rsid w:val="00185724"/>
    <w:rsid w:val="00185744"/>
    <w:rsid w:val="00185B2A"/>
    <w:rsid w:val="00185B8D"/>
    <w:rsid w:val="00185F19"/>
    <w:rsid w:val="0018620F"/>
    <w:rsid w:val="001866BF"/>
    <w:rsid w:val="001869D5"/>
    <w:rsid w:val="00186DF1"/>
    <w:rsid w:val="00186F02"/>
    <w:rsid w:val="0018706C"/>
    <w:rsid w:val="0018725A"/>
    <w:rsid w:val="001879F5"/>
    <w:rsid w:val="00187DCC"/>
    <w:rsid w:val="001904CA"/>
    <w:rsid w:val="001904CD"/>
    <w:rsid w:val="0019054F"/>
    <w:rsid w:val="00190C1A"/>
    <w:rsid w:val="00190D23"/>
    <w:rsid w:val="00190FD0"/>
    <w:rsid w:val="00191062"/>
    <w:rsid w:val="0019108A"/>
    <w:rsid w:val="00191109"/>
    <w:rsid w:val="00191359"/>
    <w:rsid w:val="00191362"/>
    <w:rsid w:val="001914BB"/>
    <w:rsid w:val="00191659"/>
    <w:rsid w:val="001918FD"/>
    <w:rsid w:val="001919D4"/>
    <w:rsid w:val="00191A95"/>
    <w:rsid w:val="00191D2B"/>
    <w:rsid w:val="00192077"/>
    <w:rsid w:val="001922DF"/>
    <w:rsid w:val="00192581"/>
    <w:rsid w:val="00192607"/>
    <w:rsid w:val="0019285F"/>
    <w:rsid w:val="00192B9F"/>
    <w:rsid w:val="001932AD"/>
    <w:rsid w:val="001932B2"/>
    <w:rsid w:val="001937B8"/>
    <w:rsid w:val="00194C9A"/>
    <w:rsid w:val="00194D29"/>
    <w:rsid w:val="001953BF"/>
    <w:rsid w:val="00195640"/>
    <w:rsid w:val="001958CF"/>
    <w:rsid w:val="00195BCB"/>
    <w:rsid w:val="00195C62"/>
    <w:rsid w:val="001960DF"/>
    <w:rsid w:val="001961E4"/>
    <w:rsid w:val="001965CA"/>
    <w:rsid w:val="001967B7"/>
    <w:rsid w:val="00196816"/>
    <w:rsid w:val="0019686B"/>
    <w:rsid w:val="001968DC"/>
    <w:rsid w:val="00197128"/>
    <w:rsid w:val="00197137"/>
    <w:rsid w:val="001972CC"/>
    <w:rsid w:val="00197448"/>
    <w:rsid w:val="00197503"/>
    <w:rsid w:val="00197DFE"/>
    <w:rsid w:val="00197FF1"/>
    <w:rsid w:val="001A00D4"/>
    <w:rsid w:val="001A00F1"/>
    <w:rsid w:val="001A0944"/>
    <w:rsid w:val="001A09DB"/>
    <w:rsid w:val="001A0E4A"/>
    <w:rsid w:val="001A1268"/>
    <w:rsid w:val="001A147E"/>
    <w:rsid w:val="001A16B7"/>
    <w:rsid w:val="001A193E"/>
    <w:rsid w:val="001A1FCA"/>
    <w:rsid w:val="001A1FD0"/>
    <w:rsid w:val="001A2027"/>
    <w:rsid w:val="001A21FA"/>
    <w:rsid w:val="001A2472"/>
    <w:rsid w:val="001A2E5E"/>
    <w:rsid w:val="001A2EDE"/>
    <w:rsid w:val="001A34E6"/>
    <w:rsid w:val="001A3E38"/>
    <w:rsid w:val="001A3F3A"/>
    <w:rsid w:val="001A3F4D"/>
    <w:rsid w:val="001A4516"/>
    <w:rsid w:val="001A4957"/>
    <w:rsid w:val="001A4A58"/>
    <w:rsid w:val="001A4AC0"/>
    <w:rsid w:val="001A4D94"/>
    <w:rsid w:val="001A544C"/>
    <w:rsid w:val="001A57A2"/>
    <w:rsid w:val="001A5B4A"/>
    <w:rsid w:val="001A5CFB"/>
    <w:rsid w:val="001A6030"/>
    <w:rsid w:val="001A6098"/>
    <w:rsid w:val="001A6248"/>
    <w:rsid w:val="001A6811"/>
    <w:rsid w:val="001A6B78"/>
    <w:rsid w:val="001A6DDD"/>
    <w:rsid w:val="001A6FD9"/>
    <w:rsid w:val="001A7473"/>
    <w:rsid w:val="001A7858"/>
    <w:rsid w:val="001A7978"/>
    <w:rsid w:val="001A7A02"/>
    <w:rsid w:val="001A7A11"/>
    <w:rsid w:val="001A7ACF"/>
    <w:rsid w:val="001A7B80"/>
    <w:rsid w:val="001A7FEC"/>
    <w:rsid w:val="001B0283"/>
    <w:rsid w:val="001B0900"/>
    <w:rsid w:val="001B0F53"/>
    <w:rsid w:val="001B10FA"/>
    <w:rsid w:val="001B11A3"/>
    <w:rsid w:val="001B1925"/>
    <w:rsid w:val="001B1B5A"/>
    <w:rsid w:val="001B1DF7"/>
    <w:rsid w:val="001B1E2E"/>
    <w:rsid w:val="001B1E4A"/>
    <w:rsid w:val="001B1FB2"/>
    <w:rsid w:val="001B2644"/>
    <w:rsid w:val="001B26BB"/>
    <w:rsid w:val="001B27A8"/>
    <w:rsid w:val="001B2BC8"/>
    <w:rsid w:val="001B2DED"/>
    <w:rsid w:val="001B2F30"/>
    <w:rsid w:val="001B2FAF"/>
    <w:rsid w:val="001B3160"/>
    <w:rsid w:val="001B354D"/>
    <w:rsid w:val="001B3ABF"/>
    <w:rsid w:val="001B3C4E"/>
    <w:rsid w:val="001B42DE"/>
    <w:rsid w:val="001B440B"/>
    <w:rsid w:val="001B4528"/>
    <w:rsid w:val="001B46C4"/>
    <w:rsid w:val="001B477E"/>
    <w:rsid w:val="001B48A4"/>
    <w:rsid w:val="001B4BF8"/>
    <w:rsid w:val="001B4C39"/>
    <w:rsid w:val="001B4C47"/>
    <w:rsid w:val="001B575D"/>
    <w:rsid w:val="001B60A3"/>
    <w:rsid w:val="001B624C"/>
    <w:rsid w:val="001B652E"/>
    <w:rsid w:val="001B6A1F"/>
    <w:rsid w:val="001B7243"/>
    <w:rsid w:val="001B7380"/>
    <w:rsid w:val="001B7400"/>
    <w:rsid w:val="001B76E7"/>
    <w:rsid w:val="001B77AE"/>
    <w:rsid w:val="001B7CBB"/>
    <w:rsid w:val="001B7D7E"/>
    <w:rsid w:val="001C018E"/>
    <w:rsid w:val="001C08EC"/>
    <w:rsid w:val="001C0F73"/>
    <w:rsid w:val="001C1656"/>
    <w:rsid w:val="001C177D"/>
    <w:rsid w:val="001C1818"/>
    <w:rsid w:val="001C2263"/>
    <w:rsid w:val="001C22FF"/>
    <w:rsid w:val="001C23B7"/>
    <w:rsid w:val="001C2422"/>
    <w:rsid w:val="001C244C"/>
    <w:rsid w:val="001C2586"/>
    <w:rsid w:val="001C355C"/>
    <w:rsid w:val="001C36C7"/>
    <w:rsid w:val="001C37AA"/>
    <w:rsid w:val="001C38D2"/>
    <w:rsid w:val="001C3CDA"/>
    <w:rsid w:val="001C3DE3"/>
    <w:rsid w:val="001C4A10"/>
    <w:rsid w:val="001C4B42"/>
    <w:rsid w:val="001C4BC5"/>
    <w:rsid w:val="001C4BEB"/>
    <w:rsid w:val="001C5116"/>
    <w:rsid w:val="001C5297"/>
    <w:rsid w:val="001C5676"/>
    <w:rsid w:val="001C57C4"/>
    <w:rsid w:val="001C5801"/>
    <w:rsid w:val="001C5882"/>
    <w:rsid w:val="001C5999"/>
    <w:rsid w:val="001C5A69"/>
    <w:rsid w:val="001C5B19"/>
    <w:rsid w:val="001C5B51"/>
    <w:rsid w:val="001C6B58"/>
    <w:rsid w:val="001C6FEF"/>
    <w:rsid w:val="001C72D5"/>
    <w:rsid w:val="001C738D"/>
    <w:rsid w:val="001C743A"/>
    <w:rsid w:val="001C749E"/>
    <w:rsid w:val="001C7A22"/>
    <w:rsid w:val="001C7B9D"/>
    <w:rsid w:val="001C7BF7"/>
    <w:rsid w:val="001C7E70"/>
    <w:rsid w:val="001D006F"/>
    <w:rsid w:val="001D0129"/>
    <w:rsid w:val="001D06EE"/>
    <w:rsid w:val="001D0774"/>
    <w:rsid w:val="001D0BDD"/>
    <w:rsid w:val="001D0ED3"/>
    <w:rsid w:val="001D1165"/>
    <w:rsid w:val="001D12CC"/>
    <w:rsid w:val="001D1397"/>
    <w:rsid w:val="001D13F7"/>
    <w:rsid w:val="001D1BF1"/>
    <w:rsid w:val="001D1E35"/>
    <w:rsid w:val="001D2200"/>
    <w:rsid w:val="001D2551"/>
    <w:rsid w:val="001D2668"/>
    <w:rsid w:val="001D2CD2"/>
    <w:rsid w:val="001D314A"/>
    <w:rsid w:val="001D3321"/>
    <w:rsid w:val="001D3A91"/>
    <w:rsid w:val="001D3D4A"/>
    <w:rsid w:val="001D3D64"/>
    <w:rsid w:val="001D3E9F"/>
    <w:rsid w:val="001D3EC2"/>
    <w:rsid w:val="001D4129"/>
    <w:rsid w:val="001D41F3"/>
    <w:rsid w:val="001D4503"/>
    <w:rsid w:val="001D45A4"/>
    <w:rsid w:val="001D4ABB"/>
    <w:rsid w:val="001D50F4"/>
    <w:rsid w:val="001D5B0C"/>
    <w:rsid w:val="001D5E9E"/>
    <w:rsid w:val="001D5EA5"/>
    <w:rsid w:val="001D6014"/>
    <w:rsid w:val="001D61E2"/>
    <w:rsid w:val="001D640C"/>
    <w:rsid w:val="001D6455"/>
    <w:rsid w:val="001D67D4"/>
    <w:rsid w:val="001D6881"/>
    <w:rsid w:val="001D69FA"/>
    <w:rsid w:val="001D6D3D"/>
    <w:rsid w:val="001D71AF"/>
    <w:rsid w:val="001D78B9"/>
    <w:rsid w:val="001D7ED3"/>
    <w:rsid w:val="001E0041"/>
    <w:rsid w:val="001E0476"/>
    <w:rsid w:val="001E0728"/>
    <w:rsid w:val="001E0CD3"/>
    <w:rsid w:val="001E0D35"/>
    <w:rsid w:val="001E0FE5"/>
    <w:rsid w:val="001E139D"/>
    <w:rsid w:val="001E19D3"/>
    <w:rsid w:val="001E1DDF"/>
    <w:rsid w:val="001E1F07"/>
    <w:rsid w:val="001E1FEA"/>
    <w:rsid w:val="001E20D4"/>
    <w:rsid w:val="001E20E1"/>
    <w:rsid w:val="001E26C0"/>
    <w:rsid w:val="001E2983"/>
    <w:rsid w:val="001E2D33"/>
    <w:rsid w:val="001E2EF6"/>
    <w:rsid w:val="001E30C2"/>
    <w:rsid w:val="001E318A"/>
    <w:rsid w:val="001E318D"/>
    <w:rsid w:val="001E3247"/>
    <w:rsid w:val="001E364E"/>
    <w:rsid w:val="001E3A2A"/>
    <w:rsid w:val="001E3EBC"/>
    <w:rsid w:val="001E42F0"/>
    <w:rsid w:val="001E457D"/>
    <w:rsid w:val="001E45F5"/>
    <w:rsid w:val="001E479D"/>
    <w:rsid w:val="001E4CEA"/>
    <w:rsid w:val="001E4DCB"/>
    <w:rsid w:val="001E502C"/>
    <w:rsid w:val="001E5030"/>
    <w:rsid w:val="001E515C"/>
    <w:rsid w:val="001E54E2"/>
    <w:rsid w:val="001E553B"/>
    <w:rsid w:val="001E5CC1"/>
    <w:rsid w:val="001E648D"/>
    <w:rsid w:val="001E65DD"/>
    <w:rsid w:val="001E6930"/>
    <w:rsid w:val="001E6DE8"/>
    <w:rsid w:val="001E6DF0"/>
    <w:rsid w:val="001E7746"/>
    <w:rsid w:val="001E7A84"/>
    <w:rsid w:val="001F00A2"/>
    <w:rsid w:val="001F00B4"/>
    <w:rsid w:val="001F0AB5"/>
    <w:rsid w:val="001F0FBC"/>
    <w:rsid w:val="001F1279"/>
    <w:rsid w:val="001F1307"/>
    <w:rsid w:val="001F154E"/>
    <w:rsid w:val="001F1A3F"/>
    <w:rsid w:val="001F1F95"/>
    <w:rsid w:val="001F21D6"/>
    <w:rsid w:val="001F271F"/>
    <w:rsid w:val="001F273C"/>
    <w:rsid w:val="001F286A"/>
    <w:rsid w:val="001F29C1"/>
    <w:rsid w:val="001F2B16"/>
    <w:rsid w:val="001F2C3C"/>
    <w:rsid w:val="001F328D"/>
    <w:rsid w:val="001F34D6"/>
    <w:rsid w:val="001F3B13"/>
    <w:rsid w:val="001F3DEC"/>
    <w:rsid w:val="001F44D3"/>
    <w:rsid w:val="001F5398"/>
    <w:rsid w:val="001F5942"/>
    <w:rsid w:val="001F5B29"/>
    <w:rsid w:val="001F5BB9"/>
    <w:rsid w:val="001F5EF1"/>
    <w:rsid w:val="001F6354"/>
    <w:rsid w:val="001F64EA"/>
    <w:rsid w:val="001F681B"/>
    <w:rsid w:val="001F6BBB"/>
    <w:rsid w:val="001F6CE0"/>
    <w:rsid w:val="001F7272"/>
    <w:rsid w:val="001F74E2"/>
    <w:rsid w:val="001F7A8D"/>
    <w:rsid w:val="001F7CDA"/>
    <w:rsid w:val="00200244"/>
    <w:rsid w:val="002003ED"/>
    <w:rsid w:val="00200ECD"/>
    <w:rsid w:val="00200FA4"/>
    <w:rsid w:val="00200FDA"/>
    <w:rsid w:val="00201194"/>
    <w:rsid w:val="002011A3"/>
    <w:rsid w:val="00201267"/>
    <w:rsid w:val="0020161A"/>
    <w:rsid w:val="00201FF2"/>
    <w:rsid w:val="002020BF"/>
    <w:rsid w:val="00202369"/>
    <w:rsid w:val="00202713"/>
    <w:rsid w:val="00202CEE"/>
    <w:rsid w:val="00202ECF"/>
    <w:rsid w:val="002032A8"/>
    <w:rsid w:val="002032EF"/>
    <w:rsid w:val="00203961"/>
    <w:rsid w:val="00203A02"/>
    <w:rsid w:val="00203A36"/>
    <w:rsid w:val="00204671"/>
    <w:rsid w:val="00204D0F"/>
    <w:rsid w:val="00204EE8"/>
    <w:rsid w:val="00205331"/>
    <w:rsid w:val="002053B2"/>
    <w:rsid w:val="002059EF"/>
    <w:rsid w:val="00206125"/>
    <w:rsid w:val="00206352"/>
    <w:rsid w:val="0020635A"/>
    <w:rsid w:val="00206395"/>
    <w:rsid w:val="002063A4"/>
    <w:rsid w:val="002065C0"/>
    <w:rsid w:val="002067F8"/>
    <w:rsid w:val="00206B9A"/>
    <w:rsid w:val="00206BF9"/>
    <w:rsid w:val="00207096"/>
    <w:rsid w:val="002070E0"/>
    <w:rsid w:val="0020747A"/>
    <w:rsid w:val="0020778F"/>
    <w:rsid w:val="002079DF"/>
    <w:rsid w:val="00210023"/>
    <w:rsid w:val="0021017D"/>
    <w:rsid w:val="00210470"/>
    <w:rsid w:val="00210547"/>
    <w:rsid w:val="00210A98"/>
    <w:rsid w:val="00210BD2"/>
    <w:rsid w:val="00210F5A"/>
    <w:rsid w:val="00211091"/>
    <w:rsid w:val="002112E5"/>
    <w:rsid w:val="002113CF"/>
    <w:rsid w:val="002115DA"/>
    <w:rsid w:val="00211655"/>
    <w:rsid w:val="00211FBE"/>
    <w:rsid w:val="00212199"/>
    <w:rsid w:val="002122BC"/>
    <w:rsid w:val="002124A0"/>
    <w:rsid w:val="00212BA8"/>
    <w:rsid w:val="00212E0B"/>
    <w:rsid w:val="00212EB6"/>
    <w:rsid w:val="00213734"/>
    <w:rsid w:val="00213968"/>
    <w:rsid w:val="00213BBC"/>
    <w:rsid w:val="00214F02"/>
    <w:rsid w:val="00214FB0"/>
    <w:rsid w:val="002152AC"/>
    <w:rsid w:val="00215AE1"/>
    <w:rsid w:val="00215CCD"/>
    <w:rsid w:val="00216096"/>
    <w:rsid w:val="00216594"/>
    <w:rsid w:val="00216CC9"/>
    <w:rsid w:val="002170BF"/>
    <w:rsid w:val="00217334"/>
    <w:rsid w:val="002174F3"/>
    <w:rsid w:val="002177C1"/>
    <w:rsid w:val="00217A44"/>
    <w:rsid w:val="00217C91"/>
    <w:rsid w:val="00220156"/>
    <w:rsid w:val="002202A7"/>
    <w:rsid w:val="00220744"/>
    <w:rsid w:val="00220756"/>
    <w:rsid w:val="00220BA6"/>
    <w:rsid w:val="00220E61"/>
    <w:rsid w:val="00221034"/>
    <w:rsid w:val="00221094"/>
    <w:rsid w:val="002214D0"/>
    <w:rsid w:val="002225BB"/>
    <w:rsid w:val="0022292C"/>
    <w:rsid w:val="0022301C"/>
    <w:rsid w:val="00223122"/>
    <w:rsid w:val="0022368E"/>
    <w:rsid w:val="002236FA"/>
    <w:rsid w:val="00224101"/>
    <w:rsid w:val="002242E0"/>
    <w:rsid w:val="002246CB"/>
    <w:rsid w:val="00224BA5"/>
    <w:rsid w:val="00224D44"/>
    <w:rsid w:val="00224ED3"/>
    <w:rsid w:val="00224F6F"/>
    <w:rsid w:val="002251FC"/>
    <w:rsid w:val="002258A9"/>
    <w:rsid w:val="002260F2"/>
    <w:rsid w:val="00226144"/>
    <w:rsid w:val="00226492"/>
    <w:rsid w:val="002265FA"/>
    <w:rsid w:val="00226CE0"/>
    <w:rsid w:val="00226E7C"/>
    <w:rsid w:val="00226EEF"/>
    <w:rsid w:val="00227661"/>
    <w:rsid w:val="00227983"/>
    <w:rsid w:val="00230755"/>
    <w:rsid w:val="00230962"/>
    <w:rsid w:val="00230F24"/>
    <w:rsid w:val="00231017"/>
    <w:rsid w:val="00231106"/>
    <w:rsid w:val="00231158"/>
    <w:rsid w:val="002318C7"/>
    <w:rsid w:val="00231B52"/>
    <w:rsid w:val="00231EBA"/>
    <w:rsid w:val="002322F2"/>
    <w:rsid w:val="002324D8"/>
    <w:rsid w:val="00232533"/>
    <w:rsid w:val="00232566"/>
    <w:rsid w:val="00232A0E"/>
    <w:rsid w:val="00232ADD"/>
    <w:rsid w:val="00232B79"/>
    <w:rsid w:val="00232D0B"/>
    <w:rsid w:val="00232E92"/>
    <w:rsid w:val="0023340C"/>
    <w:rsid w:val="0023385E"/>
    <w:rsid w:val="00233D22"/>
    <w:rsid w:val="00233E6B"/>
    <w:rsid w:val="00233EDD"/>
    <w:rsid w:val="0023414A"/>
    <w:rsid w:val="00234404"/>
    <w:rsid w:val="00234406"/>
    <w:rsid w:val="00234827"/>
    <w:rsid w:val="002354E4"/>
    <w:rsid w:val="00235528"/>
    <w:rsid w:val="00235CCC"/>
    <w:rsid w:val="002360F4"/>
    <w:rsid w:val="00236545"/>
    <w:rsid w:val="002366C9"/>
    <w:rsid w:val="00236F7C"/>
    <w:rsid w:val="0023705A"/>
    <w:rsid w:val="002370A6"/>
    <w:rsid w:val="00237487"/>
    <w:rsid w:val="0023764A"/>
    <w:rsid w:val="00240217"/>
    <w:rsid w:val="00240304"/>
    <w:rsid w:val="002404EA"/>
    <w:rsid w:val="00240992"/>
    <w:rsid w:val="00240B1E"/>
    <w:rsid w:val="00240BD1"/>
    <w:rsid w:val="00241124"/>
    <w:rsid w:val="00241418"/>
    <w:rsid w:val="00241959"/>
    <w:rsid w:val="00241C58"/>
    <w:rsid w:val="00241EED"/>
    <w:rsid w:val="00241FE0"/>
    <w:rsid w:val="00242233"/>
    <w:rsid w:val="002423F1"/>
    <w:rsid w:val="00242A8B"/>
    <w:rsid w:val="00242F00"/>
    <w:rsid w:val="00243F9D"/>
    <w:rsid w:val="002440B9"/>
    <w:rsid w:val="002442E1"/>
    <w:rsid w:val="00244679"/>
    <w:rsid w:val="00244B5B"/>
    <w:rsid w:val="00244E5E"/>
    <w:rsid w:val="00244F2F"/>
    <w:rsid w:val="00244FF5"/>
    <w:rsid w:val="00245397"/>
    <w:rsid w:val="00245479"/>
    <w:rsid w:val="00245A25"/>
    <w:rsid w:val="00245EA2"/>
    <w:rsid w:val="002465DB"/>
    <w:rsid w:val="00246744"/>
    <w:rsid w:val="00246A66"/>
    <w:rsid w:val="00246CBD"/>
    <w:rsid w:val="002471B4"/>
    <w:rsid w:val="002477EB"/>
    <w:rsid w:val="002502C1"/>
    <w:rsid w:val="00250992"/>
    <w:rsid w:val="00250BB7"/>
    <w:rsid w:val="00250D75"/>
    <w:rsid w:val="00250D83"/>
    <w:rsid w:val="00250F85"/>
    <w:rsid w:val="00251296"/>
    <w:rsid w:val="002518AA"/>
    <w:rsid w:val="00251CCC"/>
    <w:rsid w:val="00251E67"/>
    <w:rsid w:val="00251F81"/>
    <w:rsid w:val="00252053"/>
    <w:rsid w:val="0025232F"/>
    <w:rsid w:val="0025234F"/>
    <w:rsid w:val="00252996"/>
    <w:rsid w:val="002529BE"/>
    <w:rsid w:val="00252C6B"/>
    <w:rsid w:val="00252D35"/>
    <w:rsid w:val="00252ED7"/>
    <w:rsid w:val="00252F4B"/>
    <w:rsid w:val="002530D6"/>
    <w:rsid w:val="00253151"/>
    <w:rsid w:val="00253632"/>
    <w:rsid w:val="0025378F"/>
    <w:rsid w:val="002537C7"/>
    <w:rsid w:val="00253AB4"/>
    <w:rsid w:val="00254177"/>
    <w:rsid w:val="00254FA4"/>
    <w:rsid w:val="002551FB"/>
    <w:rsid w:val="0025565D"/>
    <w:rsid w:val="002557DA"/>
    <w:rsid w:val="00255D1C"/>
    <w:rsid w:val="00255F22"/>
    <w:rsid w:val="0025633A"/>
    <w:rsid w:val="00256856"/>
    <w:rsid w:val="002569C0"/>
    <w:rsid w:val="00256E7D"/>
    <w:rsid w:val="00257882"/>
    <w:rsid w:val="00257926"/>
    <w:rsid w:val="0026020E"/>
    <w:rsid w:val="0026040E"/>
    <w:rsid w:val="002609A3"/>
    <w:rsid w:val="00260C66"/>
    <w:rsid w:val="00260DCB"/>
    <w:rsid w:val="00260E5A"/>
    <w:rsid w:val="00261427"/>
    <w:rsid w:val="002615CD"/>
    <w:rsid w:val="00261D1A"/>
    <w:rsid w:val="002623D2"/>
    <w:rsid w:val="002625AB"/>
    <w:rsid w:val="002626A8"/>
    <w:rsid w:val="00262F60"/>
    <w:rsid w:val="0026371D"/>
    <w:rsid w:val="00263CEC"/>
    <w:rsid w:val="00263EDF"/>
    <w:rsid w:val="00264604"/>
    <w:rsid w:val="0026479E"/>
    <w:rsid w:val="00264989"/>
    <w:rsid w:val="00264B38"/>
    <w:rsid w:val="00264B6A"/>
    <w:rsid w:val="00264D48"/>
    <w:rsid w:val="00264DBF"/>
    <w:rsid w:val="00264FEB"/>
    <w:rsid w:val="0026508D"/>
    <w:rsid w:val="002650CF"/>
    <w:rsid w:val="0026522F"/>
    <w:rsid w:val="00265802"/>
    <w:rsid w:val="00265F2C"/>
    <w:rsid w:val="00265FAD"/>
    <w:rsid w:val="0026603F"/>
    <w:rsid w:val="002660B7"/>
    <w:rsid w:val="00266177"/>
    <w:rsid w:val="0026652B"/>
    <w:rsid w:val="0026687F"/>
    <w:rsid w:val="00266959"/>
    <w:rsid w:val="00266F92"/>
    <w:rsid w:val="00267355"/>
    <w:rsid w:val="00267E48"/>
    <w:rsid w:val="00270036"/>
    <w:rsid w:val="002703D6"/>
    <w:rsid w:val="00270522"/>
    <w:rsid w:val="00270A82"/>
    <w:rsid w:val="00270AF1"/>
    <w:rsid w:val="00270BEA"/>
    <w:rsid w:val="00270D47"/>
    <w:rsid w:val="00270EF2"/>
    <w:rsid w:val="002714E8"/>
    <w:rsid w:val="0027160D"/>
    <w:rsid w:val="00271883"/>
    <w:rsid w:val="00272132"/>
    <w:rsid w:val="0027229D"/>
    <w:rsid w:val="00272314"/>
    <w:rsid w:val="00272724"/>
    <w:rsid w:val="00272CFC"/>
    <w:rsid w:val="00273044"/>
    <w:rsid w:val="002730ED"/>
    <w:rsid w:val="00273EB2"/>
    <w:rsid w:val="00274235"/>
    <w:rsid w:val="002745F3"/>
    <w:rsid w:val="00274733"/>
    <w:rsid w:val="00274F1F"/>
    <w:rsid w:val="00275347"/>
    <w:rsid w:val="002753A9"/>
    <w:rsid w:val="0027572D"/>
    <w:rsid w:val="002758A8"/>
    <w:rsid w:val="00275C49"/>
    <w:rsid w:val="00275DE8"/>
    <w:rsid w:val="002760DC"/>
    <w:rsid w:val="0027658F"/>
    <w:rsid w:val="002765A1"/>
    <w:rsid w:val="00276C32"/>
    <w:rsid w:val="00276CFB"/>
    <w:rsid w:val="00276F4C"/>
    <w:rsid w:val="00277659"/>
    <w:rsid w:val="0027774F"/>
    <w:rsid w:val="00277D31"/>
    <w:rsid w:val="00277E56"/>
    <w:rsid w:val="002800EC"/>
    <w:rsid w:val="00280411"/>
    <w:rsid w:val="00280968"/>
    <w:rsid w:val="00280D52"/>
    <w:rsid w:val="00280EAA"/>
    <w:rsid w:val="00281136"/>
    <w:rsid w:val="002818D9"/>
    <w:rsid w:val="00281A83"/>
    <w:rsid w:val="0028259D"/>
    <w:rsid w:val="002829B9"/>
    <w:rsid w:val="00282A4F"/>
    <w:rsid w:val="00282BB9"/>
    <w:rsid w:val="00282E99"/>
    <w:rsid w:val="00282FE2"/>
    <w:rsid w:val="002833D7"/>
    <w:rsid w:val="002837B2"/>
    <w:rsid w:val="002839B0"/>
    <w:rsid w:val="00283C96"/>
    <w:rsid w:val="00284186"/>
    <w:rsid w:val="0028439F"/>
    <w:rsid w:val="002846C7"/>
    <w:rsid w:val="0028472F"/>
    <w:rsid w:val="00284B44"/>
    <w:rsid w:val="00284F1A"/>
    <w:rsid w:val="002852B9"/>
    <w:rsid w:val="0028539D"/>
    <w:rsid w:val="002854FF"/>
    <w:rsid w:val="0028579E"/>
    <w:rsid w:val="00285824"/>
    <w:rsid w:val="00285B77"/>
    <w:rsid w:val="00285BFE"/>
    <w:rsid w:val="002865EE"/>
    <w:rsid w:val="00286C4F"/>
    <w:rsid w:val="00286E13"/>
    <w:rsid w:val="00286E89"/>
    <w:rsid w:val="00287050"/>
    <w:rsid w:val="002871F1"/>
    <w:rsid w:val="002874B8"/>
    <w:rsid w:val="002874CF"/>
    <w:rsid w:val="00287831"/>
    <w:rsid w:val="00287A4C"/>
    <w:rsid w:val="00287C47"/>
    <w:rsid w:val="00290394"/>
    <w:rsid w:val="00290982"/>
    <w:rsid w:val="00290B32"/>
    <w:rsid w:val="002911B9"/>
    <w:rsid w:val="0029130B"/>
    <w:rsid w:val="00291593"/>
    <w:rsid w:val="0029160D"/>
    <w:rsid w:val="00292043"/>
    <w:rsid w:val="00292377"/>
    <w:rsid w:val="00292904"/>
    <w:rsid w:val="00292A14"/>
    <w:rsid w:val="00292DEE"/>
    <w:rsid w:val="00292EAF"/>
    <w:rsid w:val="0029328C"/>
    <w:rsid w:val="00293422"/>
    <w:rsid w:val="002938A7"/>
    <w:rsid w:val="00293E31"/>
    <w:rsid w:val="00294117"/>
    <w:rsid w:val="002944E6"/>
    <w:rsid w:val="00294623"/>
    <w:rsid w:val="0029471B"/>
    <w:rsid w:val="00294A41"/>
    <w:rsid w:val="00294B24"/>
    <w:rsid w:val="00294C2D"/>
    <w:rsid w:val="00294D26"/>
    <w:rsid w:val="00294EBE"/>
    <w:rsid w:val="00294F31"/>
    <w:rsid w:val="002951DD"/>
    <w:rsid w:val="00295A7A"/>
    <w:rsid w:val="00295FAF"/>
    <w:rsid w:val="00296A39"/>
    <w:rsid w:val="00297DEB"/>
    <w:rsid w:val="002A062E"/>
    <w:rsid w:val="002A100E"/>
    <w:rsid w:val="002A1223"/>
    <w:rsid w:val="002A155F"/>
    <w:rsid w:val="002A1707"/>
    <w:rsid w:val="002A1726"/>
    <w:rsid w:val="002A1EF5"/>
    <w:rsid w:val="002A2114"/>
    <w:rsid w:val="002A299E"/>
    <w:rsid w:val="002A2B21"/>
    <w:rsid w:val="002A2BC2"/>
    <w:rsid w:val="002A2C49"/>
    <w:rsid w:val="002A37A9"/>
    <w:rsid w:val="002A3A27"/>
    <w:rsid w:val="002A4132"/>
    <w:rsid w:val="002A4885"/>
    <w:rsid w:val="002A49C2"/>
    <w:rsid w:val="002A4AF7"/>
    <w:rsid w:val="002A4B68"/>
    <w:rsid w:val="002A51E1"/>
    <w:rsid w:val="002A539A"/>
    <w:rsid w:val="002A54D2"/>
    <w:rsid w:val="002A59F0"/>
    <w:rsid w:val="002A5B22"/>
    <w:rsid w:val="002A5C22"/>
    <w:rsid w:val="002A6127"/>
    <w:rsid w:val="002A63D0"/>
    <w:rsid w:val="002A64F4"/>
    <w:rsid w:val="002A6616"/>
    <w:rsid w:val="002A6707"/>
    <w:rsid w:val="002A6A16"/>
    <w:rsid w:val="002A6BE9"/>
    <w:rsid w:val="002A6D3F"/>
    <w:rsid w:val="002A6FBA"/>
    <w:rsid w:val="002A70F5"/>
    <w:rsid w:val="002A7119"/>
    <w:rsid w:val="002A7160"/>
    <w:rsid w:val="002A763D"/>
    <w:rsid w:val="002A7A8A"/>
    <w:rsid w:val="002A7DF1"/>
    <w:rsid w:val="002A7E26"/>
    <w:rsid w:val="002B0045"/>
    <w:rsid w:val="002B039D"/>
    <w:rsid w:val="002B11AD"/>
    <w:rsid w:val="002B13B5"/>
    <w:rsid w:val="002B1804"/>
    <w:rsid w:val="002B1999"/>
    <w:rsid w:val="002B1B8B"/>
    <w:rsid w:val="002B1CDC"/>
    <w:rsid w:val="002B264D"/>
    <w:rsid w:val="002B2B40"/>
    <w:rsid w:val="002B2CF3"/>
    <w:rsid w:val="002B3009"/>
    <w:rsid w:val="002B30F6"/>
    <w:rsid w:val="002B328A"/>
    <w:rsid w:val="002B361A"/>
    <w:rsid w:val="002B3797"/>
    <w:rsid w:val="002B380D"/>
    <w:rsid w:val="002B3AE5"/>
    <w:rsid w:val="002B3D05"/>
    <w:rsid w:val="002B4331"/>
    <w:rsid w:val="002B4537"/>
    <w:rsid w:val="002B4582"/>
    <w:rsid w:val="002B4A5D"/>
    <w:rsid w:val="002B4E22"/>
    <w:rsid w:val="002B523D"/>
    <w:rsid w:val="002B6018"/>
    <w:rsid w:val="002B62CE"/>
    <w:rsid w:val="002B62D2"/>
    <w:rsid w:val="002B6EC3"/>
    <w:rsid w:val="002B7370"/>
    <w:rsid w:val="002B7692"/>
    <w:rsid w:val="002C02DE"/>
    <w:rsid w:val="002C04B6"/>
    <w:rsid w:val="002C06C7"/>
    <w:rsid w:val="002C0819"/>
    <w:rsid w:val="002C0AFD"/>
    <w:rsid w:val="002C1137"/>
    <w:rsid w:val="002C143E"/>
    <w:rsid w:val="002C16D5"/>
    <w:rsid w:val="002C1CEF"/>
    <w:rsid w:val="002C2003"/>
    <w:rsid w:val="002C213A"/>
    <w:rsid w:val="002C2335"/>
    <w:rsid w:val="002C234D"/>
    <w:rsid w:val="002C23FE"/>
    <w:rsid w:val="002C280F"/>
    <w:rsid w:val="002C2A39"/>
    <w:rsid w:val="002C3190"/>
    <w:rsid w:val="002C3482"/>
    <w:rsid w:val="002C3821"/>
    <w:rsid w:val="002C3DC7"/>
    <w:rsid w:val="002C4636"/>
    <w:rsid w:val="002C4696"/>
    <w:rsid w:val="002C476E"/>
    <w:rsid w:val="002C4877"/>
    <w:rsid w:val="002C497D"/>
    <w:rsid w:val="002C4F6C"/>
    <w:rsid w:val="002C514F"/>
    <w:rsid w:val="002C52BD"/>
    <w:rsid w:val="002C537C"/>
    <w:rsid w:val="002C5634"/>
    <w:rsid w:val="002C5684"/>
    <w:rsid w:val="002C5EA4"/>
    <w:rsid w:val="002C64D8"/>
    <w:rsid w:val="002C663C"/>
    <w:rsid w:val="002C668B"/>
    <w:rsid w:val="002C6847"/>
    <w:rsid w:val="002C6B9F"/>
    <w:rsid w:val="002C79E2"/>
    <w:rsid w:val="002C7D06"/>
    <w:rsid w:val="002D044C"/>
    <w:rsid w:val="002D08E8"/>
    <w:rsid w:val="002D09FD"/>
    <w:rsid w:val="002D0B77"/>
    <w:rsid w:val="002D0D18"/>
    <w:rsid w:val="002D0D3A"/>
    <w:rsid w:val="002D0FC9"/>
    <w:rsid w:val="002D104D"/>
    <w:rsid w:val="002D12F9"/>
    <w:rsid w:val="002D149B"/>
    <w:rsid w:val="002D2129"/>
    <w:rsid w:val="002D21DE"/>
    <w:rsid w:val="002D2249"/>
    <w:rsid w:val="002D258E"/>
    <w:rsid w:val="002D2697"/>
    <w:rsid w:val="002D2BE8"/>
    <w:rsid w:val="002D2E73"/>
    <w:rsid w:val="002D2EB0"/>
    <w:rsid w:val="002D33D9"/>
    <w:rsid w:val="002D35AF"/>
    <w:rsid w:val="002D36BC"/>
    <w:rsid w:val="002D405E"/>
    <w:rsid w:val="002D424C"/>
    <w:rsid w:val="002D44A9"/>
    <w:rsid w:val="002D481B"/>
    <w:rsid w:val="002D4BEF"/>
    <w:rsid w:val="002D4FDB"/>
    <w:rsid w:val="002D53E3"/>
    <w:rsid w:val="002D5638"/>
    <w:rsid w:val="002D5AAB"/>
    <w:rsid w:val="002D5BAA"/>
    <w:rsid w:val="002D5F94"/>
    <w:rsid w:val="002D6812"/>
    <w:rsid w:val="002D6A37"/>
    <w:rsid w:val="002D6DE7"/>
    <w:rsid w:val="002D6E72"/>
    <w:rsid w:val="002D7405"/>
    <w:rsid w:val="002D75A9"/>
    <w:rsid w:val="002D783D"/>
    <w:rsid w:val="002D78C2"/>
    <w:rsid w:val="002D7CFB"/>
    <w:rsid w:val="002D7D21"/>
    <w:rsid w:val="002D7E33"/>
    <w:rsid w:val="002D7EA5"/>
    <w:rsid w:val="002D7F36"/>
    <w:rsid w:val="002E0112"/>
    <w:rsid w:val="002E0293"/>
    <w:rsid w:val="002E0407"/>
    <w:rsid w:val="002E0685"/>
    <w:rsid w:val="002E07B4"/>
    <w:rsid w:val="002E07BC"/>
    <w:rsid w:val="002E07CC"/>
    <w:rsid w:val="002E0F36"/>
    <w:rsid w:val="002E16AC"/>
    <w:rsid w:val="002E18CD"/>
    <w:rsid w:val="002E1A8B"/>
    <w:rsid w:val="002E1E69"/>
    <w:rsid w:val="002E237F"/>
    <w:rsid w:val="002E3F42"/>
    <w:rsid w:val="002E429B"/>
    <w:rsid w:val="002E4A91"/>
    <w:rsid w:val="002E4D91"/>
    <w:rsid w:val="002E50DF"/>
    <w:rsid w:val="002E51AB"/>
    <w:rsid w:val="002E52DF"/>
    <w:rsid w:val="002E552A"/>
    <w:rsid w:val="002E598B"/>
    <w:rsid w:val="002E59ED"/>
    <w:rsid w:val="002E5B34"/>
    <w:rsid w:val="002E60CC"/>
    <w:rsid w:val="002E6234"/>
    <w:rsid w:val="002E6804"/>
    <w:rsid w:val="002E6BF3"/>
    <w:rsid w:val="002E70B5"/>
    <w:rsid w:val="002E7250"/>
    <w:rsid w:val="002E7E7F"/>
    <w:rsid w:val="002F0478"/>
    <w:rsid w:val="002F0A02"/>
    <w:rsid w:val="002F0BDC"/>
    <w:rsid w:val="002F0C11"/>
    <w:rsid w:val="002F0C6D"/>
    <w:rsid w:val="002F0E03"/>
    <w:rsid w:val="002F16EE"/>
    <w:rsid w:val="002F1796"/>
    <w:rsid w:val="002F24C4"/>
    <w:rsid w:val="002F2608"/>
    <w:rsid w:val="002F2AA6"/>
    <w:rsid w:val="002F2F64"/>
    <w:rsid w:val="002F3747"/>
    <w:rsid w:val="002F3BEC"/>
    <w:rsid w:val="002F3DD5"/>
    <w:rsid w:val="002F3ECA"/>
    <w:rsid w:val="002F3FC8"/>
    <w:rsid w:val="002F44B5"/>
    <w:rsid w:val="002F45A8"/>
    <w:rsid w:val="002F45CE"/>
    <w:rsid w:val="002F4612"/>
    <w:rsid w:val="002F47F1"/>
    <w:rsid w:val="002F4BEA"/>
    <w:rsid w:val="002F4CB8"/>
    <w:rsid w:val="002F4CEE"/>
    <w:rsid w:val="002F4EB0"/>
    <w:rsid w:val="002F4F82"/>
    <w:rsid w:val="002F5113"/>
    <w:rsid w:val="002F51F7"/>
    <w:rsid w:val="002F533A"/>
    <w:rsid w:val="002F5345"/>
    <w:rsid w:val="002F547B"/>
    <w:rsid w:val="002F58D3"/>
    <w:rsid w:val="002F5DF3"/>
    <w:rsid w:val="002F5F43"/>
    <w:rsid w:val="002F60C5"/>
    <w:rsid w:val="002F6240"/>
    <w:rsid w:val="002F6248"/>
    <w:rsid w:val="002F6FF2"/>
    <w:rsid w:val="002F7003"/>
    <w:rsid w:val="002F78B4"/>
    <w:rsid w:val="002F78FD"/>
    <w:rsid w:val="002F796F"/>
    <w:rsid w:val="00300511"/>
    <w:rsid w:val="00300B39"/>
    <w:rsid w:val="00300D1A"/>
    <w:rsid w:val="0030155E"/>
    <w:rsid w:val="00301A89"/>
    <w:rsid w:val="00301B18"/>
    <w:rsid w:val="0030207E"/>
    <w:rsid w:val="00302175"/>
    <w:rsid w:val="003021DB"/>
    <w:rsid w:val="0030259F"/>
    <w:rsid w:val="003026D4"/>
    <w:rsid w:val="00303198"/>
    <w:rsid w:val="00303240"/>
    <w:rsid w:val="0030349A"/>
    <w:rsid w:val="00303597"/>
    <w:rsid w:val="00303717"/>
    <w:rsid w:val="00303BF8"/>
    <w:rsid w:val="00304023"/>
    <w:rsid w:val="003042FA"/>
    <w:rsid w:val="00304561"/>
    <w:rsid w:val="00304A75"/>
    <w:rsid w:val="00304D9F"/>
    <w:rsid w:val="00304EB5"/>
    <w:rsid w:val="003050A6"/>
    <w:rsid w:val="0030546C"/>
    <w:rsid w:val="00305704"/>
    <w:rsid w:val="00305714"/>
    <w:rsid w:val="003057CD"/>
    <w:rsid w:val="00305978"/>
    <w:rsid w:val="00305997"/>
    <w:rsid w:val="00305AD8"/>
    <w:rsid w:val="00305B95"/>
    <w:rsid w:val="003063D7"/>
    <w:rsid w:val="003064FA"/>
    <w:rsid w:val="003065A0"/>
    <w:rsid w:val="00306659"/>
    <w:rsid w:val="00306742"/>
    <w:rsid w:val="00306758"/>
    <w:rsid w:val="003067D1"/>
    <w:rsid w:val="00306B08"/>
    <w:rsid w:val="00306BA7"/>
    <w:rsid w:val="003073A2"/>
    <w:rsid w:val="00307478"/>
    <w:rsid w:val="003077A2"/>
    <w:rsid w:val="00307ADC"/>
    <w:rsid w:val="00307C04"/>
    <w:rsid w:val="0031078A"/>
    <w:rsid w:val="0031092C"/>
    <w:rsid w:val="00310B83"/>
    <w:rsid w:val="00310C6E"/>
    <w:rsid w:val="00310DEE"/>
    <w:rsid w:val="00310F85"/>
    <w:rsid w:val="003116E6"/>
    <w:rsid w:val="003117BE"/>
    <w:rsid w:val="003119AB"/>
    <w:rsid w:val="00311A65"/>
    <w:rsid w:val="003125B0"/>
    <w:rsid w:val="00312742"/>
    <w:rsid w:val="00312A22"/>
    <w:rsid w:val="003130A4"/>
    <w:rsid w:val="003134EC"/>
    <w:rsid w:val="00313828"/>
    <w:rsid w:val="00313DC0"/>
    <w:rsid w:val="003141C1"/>
    <w:rsid w:val="003142F5"/>
    <w:rsid w:val="0031496C"/>
    <w:rsid w:val="00314AE9"/>
    <w:rsid w:val="00314D64"/>
    <w:rsid w:val="00314E6D"/>
    <w:rsid w:val="00314F57"/>
    <w:rsid w:val="0031515E"/>
    <w:rsid w:val="0031527D"/>
    <w:rsid w:val="0031533F"/>
    <w:rsid w:val="00315752"/>
    <w:rsid w:val="003168D7"/>
    <w:rsid w:val="003168F0"/>
    <w:rsid w:val="00317451"/>
    <w:rsid w:val="003175B8"/>
    <w:rsid w:val="0031766A"/>
    <w:rsid w:val="003177E9"/>
    <w:rsid w:val="00317971"/>
    <w:rsid w:val="00317AD3"/>
    <w:rsid w:val="00317E90"/>
    <w:rsid w:val="00317FF8"/>
    <w:rsid w:val="00320207"/>
    <w:rsid w:val="00320835"/>
    <w:rsid w:val="0032102B"/>
    <w:rsid w:val="00321348"/>
    <w:rsid w:val="00321372"/>
    <w:rsid w:val="00321E60"/>
    <w:rsid w:val="00321ED8"/>
    <w:rsid w:val="00322249"/>
    <w:rsid w:val="003222CB"/>
    <w:rsid w:val="00322695"/>
    <w:rsid w:val="00322CB3"/>
    <w:rsid w:val="00323001"/>
    <w:rsid w:val="0032304A"/>
    <w:rsid w:val="00323192"/>
    <w:rsid w:val="003232A8"/>
    <w:rsid w:val="003237DF"/>
    <w:rsid w:val="00324420"/>
    <w:rsid w:val="0032493E"/>
    <w:rsid w:val="00324B42"/>
    <w:rsid w:val="00324B70"/>
    <w:rsid w:val="0032512C"/>
    <w:rsid w:val="00325219"/>
    <w:rsid w:val="003253B4"/>
    <w:rsid w:val="003254EC"/>
    <w:rsid w:val="00325733"/>
    <w:rsid w:val="00325937"/>
    <w:rsid w:val="00325AA7"/>
    <w:rsid w:val="003265C0"/>
    <w:rsid w:val="00326EDB"/>
    <w:rsid w:val="00327365"/>
    <w:rsid w:val="00327A85"/>
    <w:rsid w:val="003302AC"/>
    <w:rsid w:val="0033041A"/>
    <w:rsid w:val="00330495"/>
    <w:rsid w:val="003305E4"/>
    <w:rsid w:val="00330733"/>
    <w:rsid w:val="0033079D"/>
    <w:rsid w:val="00330990"/>
    <w:rsid w:val="003309E0"/>
    <w:rsid w:val="00330A01"/>
    <w:rsid w:val="00330C9E"/>
    <w:rsid w:val="003314A2"/>
    <w:rsid w:val="00331B8F"/>
    <w:rsid w:val="00331C17"/>
    <w:rsid w:val="00332092"/>
    <w:rsid w:val="00332158"/>
    <w:rsid w:val="00332B9E"/>
    <w:rsid w:val="00332E04"/>
    <w:rsid w:val="00332ED2"/>
    <w:rsid w:val="003336EA"/>
    <w:rsid w:val="0033378F"/>
    <w:rsid w:val="003339C2"/>
    <w:rsid w:val="00333A52"/>
    <w:rsid w:val="00333B34"/>
    <w:rsid w:val="00333F6A"/>
    <w:rsid w:val="0033416A"/>
    <w:rsid w:val="00334278"/>
    <w:rsid w:val="003345F0"/>
    <w:rsid w:val="003346A8"/>
    <w:rsid w:val="003347EE"/>
    <w:rsid w:val="003349CB"/>
    <w:rsid w:val="00334A09"/>
    <w:rsid w:val="00334D38"/>
    <w:rsid w:val="00334EC0"/>
    <w:rsid w:val="00335171"/>
    <w:rsid w:val="003351BC"/>
    <w:rsid w:val="00335B1C"/>
    <w:rsid w:val="00335D4F"/>
    <w:rsid w:val="003360CB"/>
    <w:rsid w:val="00336150"/>
    <w:rsid w:val="00336A8D"/>
    <w:rsid w:val="00337117"/>
    <w:rsid w:val="00337159"/>
    <w:rsid w:val="00337323"/>
    <w:rsid w:val="003374A9"/>
    <w:rsid w:val="003376DF"/>
    <w:rsid w:val="003377E0"/>
    <w:rsid w:val="003378DA"/>
    <w:rsid w:val="00337D15"/>
    <w:rsid w:val="00337E78"/>
    <w:rsid w:val="00337F47"/>
    <w:rsid w:val="003403D4"/>
    <w:rsid w:val="0034073D"/>
    <w:rsid w:val="00340751"/>
    <w:rsid w:val="0034081B"/>
    <w:rsid w:val="00340A0D"/>
    <w:rsid w:val="00340F8C"/>
    <w:rsid w:val="00341027"/>
    <w:rsid w:val="0034115D"/>
    <w:rsid w:val="00341243"/>
    <w:rsid w:val="00341327"/>
    <w:rsid w:val="0034186C"/>
    <w:rsid w:val="0034191B"/>
    <w:rsid w:val="00341D62"/>
    <w:rsid w:val="00341E9D"/>
    <w:rsid w:val="00341F1F"/>
    <w:rsid w:val="00342016"/>
    <w:rsid w:val="0034232F"/>
    <w:rsid w:val="00342415"/>
    <w:rsid w:val="003425ED"/>
    <w:rsid w:val="003426C5"/>
    <w:rsid w:val="003426CA"/>
    <w:rsid w:val="003427A6"/>
    <w:rsid w:val="003429F9"/>
    <w:rsid w:val="00342D10"/>
    <w:rsid w:val="00342F1E"/>
    <w:rsid w:val="003431B4"/>
    <w:rsid w:val="00343295"/>
    <w:rsid w:val="003432B6"/>
    <w:rsid w:val="0034383D"/>
    <w:rsid w:val="00343ADF"/>
    <w:rsid w:val="003443A6"/>
    <w:rsid w:val="00344469"/>
    <w:rsid w:val="003445B0"/>
    <w:rsid w:val="003445D7"/>
    <w:rsid w:val="003446C2"/>
    <w:rsid w:val="0034487C"/>
    <w:rsid w:val="00344881"/>
    <w:rsid w:val="00344A13"/>
    <w:rsid w:val="00344D57"/>
    <w:rsid w:val="00344FDD"/>
    <w:rsid w:val="0034527E"/>
    <w:rsid w:val="00345EF9"/>
    <w:rsid w:val="00346233"/>
    <w:rsid w:val="0034637E"/>
    <w:rsid w:val="00346441"/>
    <w:rsid w:val="003465B7"/>
    <w:rsid w:val="00346C7F"/>
    <w:rsid w:val="00346EC4"/>
    <w:rsid w:val="00347085"/>
    <w:rsid w:val="00347105"/>
    <w:rsid w:val="00347224"/>
    <w:rsid w:val="003473A0"/>
    <w:rsid w:val="0034764C"/>
    <w:rsid w:val="00347984"/>
    <w:rsid w:val="00347C80"/>
    <w:rsid w:val="00347D87"/>
    <w:rsid w:val="00347D96"/>
    <w:rsid w:val="00347DD5"/>
    <w:rsid w:val="00347E98"/>
    <w:rsid w:val="00350980"/>
    <w:rsid w:val="00350A0E"/>
    <w:rsid w:val="0035121C"/>
    <w:rsid w:val="00351393"/>
    <w:rsid w:val="003514F9"/>
    <w:rsid w:val="0035177F"/>
    <w:rsid w:val="00351813"/>
    <w:rsid w:val="003518DA"/>
    <w:rsid w:val="00351B06"/>
    <w:rsid w:val="00351BB5"/>
    <w:rsid w:val="00351EF8"/>
    <w:rsid w:val="00352374"/>
    <w:rsid w:val="003523A8"/>
    <w:rsid w:val="003524D8"/>
    <w:rsid w:val="00352C85"/>
    <w:rsid w:val="00352F37"/>
    <w:rsid w:val="003532CD"/>
    <w:rsid w:val="003535B4"/>
    <w:rsid w:val="003539F0"/>
    <w:rsid w:val="00353FF5"/>
    <w:rsid w:val="00353FFC"/>
    <w:rsid w:val="00354065"/>
    <w:rsid w:val="003542AE"/>
    <w:rsid w:val="00354533"/>
    <w:rsid w:val="003547A8"/>
    <w:rsid w:val="00354804"/>
    <w:rsid w:val="00354C71"/>
    <w:rsid w:val="00354CDE"/>
    <w:rsid w:val="00354E66"/>
    <w:rsid w:val="00354E77"/>
    <w:rsid w:val="00354F88"/>
    <w:rsid w:val="00355128"/>
    <w:rsid w:val="003557FD"/>
    <w:rsid w:val="003558C9"/>
    <w:rsid w:val="00355A30"/>
    <w:rsid w:val="00355CDA"/>
    <w:rsid w:val="00355D79"/>
    <w:rsid w:val="00355E90"/>
    <w:rsid w:val="00356080"/>
    <w:rsid w:val="0035620C"/>
    <w:rsid w:val="0035645B"/>
    <w:rsid w:val="003565CD"/>
    <w:rsid w:val="003576E2"/>
    <w:rsid w:val="0035777F"/>
    <w:rsid w:val="00357B1F"/>
    <w:rsid w:val="00360931"/>
    <w:rsid w:val="00360E32"/>
    <w:rsid w:val="00360F41"/>
    <w:rsid w:val="003611F5"/>
    <w:rsid w:val="00361245"/>
    <w:rsid w:val="003615CF"/>
    <w:rsid w:val="00361709"/>
    <w:rsid w:val="003618EC"/>
    <w:rsid w:val="00362323"/>
    <w:rsid w:val="00362479"/>
    <w:rsid w:val="003624B7"/>
    <w:rsid w:val="00362820"/>
    <w:rsid w:val="00362880"/>
    <w:rsid w:val="00362E36"/>
    <w:rsid w:val="003631A8"/>
    <w:rsid w:val="00363215"/>
    <w:rsid w:val="003635AA"/>
    <w:rsid w:val="003638B4"/>
    <w:rsid w:val="00363C9F"/>
    <w:rsid w:val="00363CF7"/>
    <w:rsid w:val="00363F29"/>
    <w:rsid w:val="003640A7"/>
    <w:rsid w:val="00364AE3"/>
    <w:rsid w:val="00364C66"/>
    <w:rsid w:val="003654F2"/>
    <w:rsid w:val="003658CE"/>
    <w:rsid w:val="00365902"/>
    <w:rsid w:val="00365F1E"/>
    <w:rsid w:val="0036601F"/>
    <w:rsid w:val="00366026"/>
    <w:rsid w:val="003663E5"/>
    <w:rsid w:val="003667C0"/>
    <w:rsid w:val="00366A2A"/>
    <w:rsid w:val="003672E4"/>
    <w:rsid w:val="003675A5"/>
    <w:rsid w:val="003700A9"/>
    <w:rsid w:val="0037047D"/>
    <w:rsid w:val="003704AE"/>
    <w:rsid w:val="0037058B"/>
    <w:rsid w:val="003706C4"/>
    <w:rsid w:val="00370A80"/>
    <w:rsid w:val="00370B44"/>
    <w:rsid w:val="00371396"/>
    <w:rsid w:val="003713E1"/>
    <w:rsid w:val="003716CA"/>
    <w:rsid w:val="00371EE5"/>
    <w:rsid w:val="00372536"/>
    <w:rsid w:val="003725A4"/>
    <w:rsid w:val="003727C2"/>
    <w:rsid w:val="00372941"/>
    <w:rsid w:val="00372C0F"/>
    <w:rsid w:val="00372D96"/>
    <w:rsid w:val="00372FA5"/>
    <w:rsid w:val="0037301D"/>
    <w:rsid w:val="0037328C"/>
    <w:rsid w:val="00373329"/>
    <w:rsid w:val="00373BF7"/>
    <w:rsid w:val="00373C9A"/>
    <w:rsid w:val="00374593"/>
    <w:rsid w:val="003745C3"/>
    <w:rsid w:val="00374614"/>
    <w:rsid w:val="0037481C"/>
    <w:rsid w:val="003748A8"/>
    <w:rsid w:val="00374C62"/>
    <w:rsid w:val="00374D09"/>
    <w:rsid w:val="0037517A"/>
    <w:rsid w:val="00375279"/>
    <w:rsid w:val="00375429"/>
    <w:rsid w:val="003755BC"/>
    <w:rsid w:val="00375A74"/>
    <w:rsid w:val="00375AAF"/>
    <w:rsid w:val="00375CC6"/>
    <w:rsid w:val="003762B4"/>
    <w:rsid w:val="00376895"/>
    <w:rsid w:val="0037689B"/>
    <w:rsid w:val="003769DE"/>
    <w:rsid w:val="00376B4C"/>
    <w:rsid w:val="00376BDA"/>
    <w:rsid w:val="00376FDC"/>
    <w:rsid w:val="00377184"/>
    <w:rsid w:val="00377427"/>
    <w:rsid w:val="00377B9B"/>
    <w:rsid w:val="00380064"/>
    <w:rsid w:val="00380256"/>
    <w:rsid w:val="0038027F"/>
    <w:rsid w:val="003804CE"/>
    <w:rsid w:val="00380530"/>
    <w:rsid w:val="0038057B"/>
    <w:rsid w:val="0038064A"/>
    <w:rsid w:val="0038082F"/>
    <w:rsid w:val="00380F4E"/>
    <w:rsid w:val="00381AE3"/>
    <w:rsid w:val="00381ED3"/>
    <w:rsid w:val="00382133"/>
    <w:rsid w:val="003821C9"/>
    <w:rsid w:val="0038233F"/>
    <w:rsid w:val="00382546"/>
    <w:rsid w:val="00382582"/>
    <w:rsid w:val="00382680"/>
    <w:rsid w:val="00382AB3"/>
    <w:rsid w:val="00382EC8"/>
    <w:rsid w:val="00382F03"/>
    <w:rsid w:val="00382FFF"/>
    <w:rsid w:val="00383492"/>
    <w:rsid w:val="00383611"/>
    <w:rsid w:val="00383D81"/>
    <w:rsid w:val="00383DF1"/>
    <w:rsid w:val="00383E7A"/>
    <w:rsid w:val="0038400F"/>
    <w:rsid w:val="003843C1"/>
    <w:rsid w:val="003843F7"/>
    <w:rsid w:val="00384770"/>
    <w:rsid w:val="00384905"/>
    <w:rsid w:val="00384D3C"/>
    <w:rsid w:val="0038528E"/>
    <w:rsid w:val="00385649"/>
    <w:rsid w:val="00385B8C"/>
    <w:rsid w:val="00385DCC"/>
    <w:rsid w:val="00385E27"/>
    <w:rsid w:val="00386259"/>
    <w:rsid w:val="00386924"/>
    <w:rsid w:val="00386CED"/>
    <w:rsid w:val="00386D48"/>
    <w:rsid w:val="00386EF0"/>
    <w:rsid w:val="0038713E"/>
    <w:rsid w:val="00387375"/>
    <w:rsid w:val="003877AE"/>
    <w:rsid w:val="00387A09"/>
    <w:rsid w:val="00387A30"/>
    <w:rsid w:val="00387C70"/>
    <w:rsid w:val="00387F32"/>
    <w:rsid w:val="00387FBC"/>
    <w:rsid w:val="00390261"/>
    <w:rsid w:val="003902CB"/>
    <w:rsid w:val="0039035D"/>
    <w:rsid w:val="00390448"/>
    <w:rsid w:val="00390677"/>
    <w:rsid w:val="00390768"/>
    <w:rsid w:val="003907CF"/>
    <w:rsid w:val="00390C91"/>
    <w:rsid w:val="00390CE6"/>
    <w:rsid w:val="00390D00"/>
    <w:rsid w:val="00390D76"/>
    <w:rsid w:val="0039103A"/>
    <w:rsid w:val="003913DD"/>
    <w:rsid w:val="0039164A"/>
    <w:rsid w:val="00391796"/>
    <w:rsid w:val="00391878"/>
    <w:rsid w:val="00391EE1"/>
    <w:rsid w:val="00392055"/>
    <w:rsid w:val="003920F1"/>
    <w:rsid w:val="0039296E"/>
    <w:rsid w:val="00392B6B"/>
    <w:rsid w:val="00392E24"/>
    <w:rsid w:val="00392E4B"/>
    <w:rsid w:val="00392EAE"/>
    <w:rsid w:val="0039368E"/>
    <w:rsid w:val="0039371F"/>
    <w:rsid w:val="00393965"/>
    <w:rsid w:val="00393B47"/>
    <w:rsid w:val="00393B8A"/>
    <w:rsid w:val="00393C4E"/>
    <w:rsid w:val="00393CAE"/>
    <w:rsid w:val="00393D35"/>
    <w:rsid w:val="0039460A"/>
    <w:rsid w:val="00394904"/>
    <w:rsid w:val="00394F7B"/>
    <w:rsid w:val="00395211"/>
    <w:rsid w:val="003957CA"/>
    <w:rsid w:val="0039587C"/>
    <w:rsid w:val="00395CAB"/>
    <w:rsid w:val="00395D6E"/>
    <w:rsid w:val="0039600C"/>
    <w:rsid w:val="00396143"/>
    <w:rsid w:val="00396B15"/>
    <w:rsid w:val="00396D22"/>
    <w:rsid w:val="003973A9"/>
    <w:rsid w:val="00397494"/>
    <w:rsid w:val="003978B5"/>
    <w:rsid w:val="00397971"/>
    <w:rsid w:val="00397AD3"/>
    <w:rsid w:val="003A0514"/>
    <w:rsid w:val="003A08A4"/>
    <w:rsid w:val="003A0AD6"/>
    <w:rsid w:val="003A0BCC"/>
    <w:rsid w:val="003A111E"/>
    <w:rsid w:val="003A1134"/>
    <w:rsid w:val="003A16C6"/>
    <w:rsid w:val="003A2140"/>
    <w:rsid w:val="003A22E5"/>
    <w:rsid w:val="003A251B"/>
    <w:rsid w:val="003A272B"/>
    <w:rsid w:val="003A2A9F"/>
    <w:rsid w:val="003A309F"/>
    <w:rsid w:val="003A314B"/>
    <w:rsid w:val="003A3170"/>
    <w:rsid w:val="003A33EF"/>
    <w:rsid w:val="003A35E5"/>
    <w:rsid w:val="003A364E"/>
    <w:rsid w:val="003A3999"/>
    <w:rsid w:val="003A450B"/>
    <w:rsid w:val="003A4D5D"/>
    <w:rsid w:val="003A4E29"/>
    <w:rsid w:val="003A5045"/>
    <w:rsid w:val="003A513B"/>
    <w:rsid w:val="003A5454"/>
    <w:rsid w:val="003A5C70"/>
    <w:rsid w:val="003A61D4"/>
    <w:rsid w:val="003A6A8A"/>
    <w:rsid w:val="003A6C11"/>
    <w:rsid w:val="003A6C5A"/>
    <w:rsid w:val="003A6D24"/>
    <w:rsid w:val="003A7193"/>
    <w:rsid w:val="003A728C"/>
    <w:rsid w:val="003A7322"/>
    <w:rsid w:val="003A74AA"/>
    <w:rsid w:val="003A7D42"/>
    <w:rsid w:val="003A7D7E"/>
    <w:rsid w:val="003A7D9D"/>
    <w:rsid w:val="003A7E39"/>
    <w:rsid w:val="003A7F6F"/>
    <w:rsid w:val="003B0306"/>
    <w:rsid w:val="003B0426"/>
    <w:rsid w:val="003B052C"/>
    <w:rsid w:val="003B0DEF"/>
    <w:rsid w:val="003B108E"/>
    <w:rsid w:val="003B14BB"/>
    <w:rsid w:val="003B15A4"/>
    <w:rsid w:val="003B1B1D"/>
    <w:rsid w:val="003B1CD9"/>
    <w:rsid w:val="003B2419"/>
    <w:rsid w:val="003B29DB"/>
    <w:rsid w:val="003B2DAE"/>
    <w:rsid w:val="003B334F"/>
    <w:rsid w:val="003B33B4"/>
    <w:rsid w:val="003B34DF"/>
    <w:rsid w:val="003B371C"/>
    <w:rsid w:val="003B3742"/>
    <w:rsid w:val="003B3881"/>
    <w:rsid w:val="003B3AF8"/>
    <w:rsid w:val="003B3B77"/>
    <w:rsid w:val="003B4018"/>
    <w:rsid w:val="003B4545"/>
    <w:rsid w:val="003B484F"/>
    <w:rsid w:val="003B48D0"/>
    <w:rsid w:val="003B5017"/>
    <w:rsid w:val="003B549D"/>
    <w:rsid w:val="003B55C8"/>
    <w:rsid w:val="003B5D6B"/>
    <w:rsid w:val="003B5DFC"/>
    <w:rsid w:val="003B5FA3"/>
    <w:rsid w:val="003B6151"/>
    <w:rsid w:val="003B64A5"/>
    <w:rsid w:val="003B6554"/>
    <w:rsid w:val="003B664C"/>
    <w:rsid w:val="003B67B5"/>
    <w:rsid w:val="003B68B8"/>
    <w:rsid w:val="003B6BA5"/>
    <w:rsid w:val="003B6BEF"/>
    <w:rsid w:val="003B6ED6"/>
    <w:rsid w:val="003B6F1D"/>
    <w:rsid w:val="003B6FBC"/>
    <w:rsid w:val="003B70DC"/>
    <w:rsid w:val="003B7839"/>
    <w:rsid w:val="003B7B52"/>
    <w:rsid w:val="003B7E38"/>
    <w:rsid w:val="003C00DF"/>
    <w:rsid w:val="003C04DE"/>
    <w:rsid w:val="003C04F3"/>
    <w:rsid w:val="003C06B4"/>
    <w:rsid w:val="003C06BA"/>
    <w:rsid w:val="003C06E2"/>
    <w:rsid w:val="003C086E"/>
    <w:rsid w:val="003C1833"/>
    <w:rsid w:val="003C1C1E"/>
    <w:rsid w:val="003C1DD1"/>
    <w:rsid w:val="003C1F5C"/>
    <w:rsid w:val="003C23F0"/>
    <w:rsid w:val="003C29A1"/>
    <w:rsid w:val="003C2B7C"/>
    <w:rsid w:val="003C2C28"/>
    <w:rsid w:val="003C2FA9"/>
    <w:rsid w:val="003C39CF"/>
    <w:rsid w:val="003C3E7E"/>
    <w:rsid w:val="003C3ECC"/>
    <w:rsid w:val="003C43E1"/>
    <w:rsid w:val="003C47C2"/>
    <w:rsid w:val="003C4873"/>
    <w:rsid w:val="003C4C5B"/>
    <w:rsid w:val="003C53B2"/>
    <w:rsid w:val="003C5626"/>
    <w:rsid w:val="003C577C"/>
    <w:rsid w:val="003C5E1E"/>
    <w:rsid w:val="003C6410"/>
    <w:rsid w:val="003C67E4"/>
    <w:rsid w:val="003C6A72"/>
    <w:rsid w:val="003C6DD2"/>
    <w:rsid w:val="003C6E70"/>
    <w:rsid w:val="003C6ED4"/>
    <w:rsid w:val="003C7476"/>
    <w:rsid w:val="003C7CEE"/>
    <w:rsid w:val="003D028B"/>
    <w:rsid w:val="003D03AE"/>
    <w:rsid w:val="003D06A8"/>
    <w:rsid w:val="003D090C"/>
    <w:rsid w:val="003D128F"/>
    <w:rsid w:val="003D13ED"/>
    <w:rsid w:val="003D1748"/>
    <w:rsid w:val="003D18E3"/>
    <w:rsid w:val="003D2029"/>
    <w:rsid w:val="003D257E"/>
    <w:rsid w:val="003D287A"/>
    <w:rsid w:val="003D3593"/>
    <w:rsid w:val="003D3994"/>
    <w:rsid w:val="003D3A91"/>
    <w:rsid w:val="003D4138"/>
    <w:rsid w:val="003D4165"/>
    <w:rsid w:val="003D4BD3"/>
    <w:rsid w:val="003D4C7C"/>
    <w:rsid w:val="003D51FF"/>
    <w:rsid w:val="003D5B6F"/>
    <w:rsid w:val="003D5CC5"/>
    <w:rsid w:val="003D5E5A"/>
    <w:rsid w:val="003D5E5D"/>
    <w:rsid w:val="003D5F84"/>
    <w:rsid w:val="003D69EF"/>
    <w:rsid w:val="003D6B04"/>
    <w:rsid w:val="003D6D51"/>
    <w:rsid w:val="003D6F27"/>
    <w:rsid w:val="003D6FCD"/>
    <w:rsid w:val="003D701D"/>
    <w:rsid w:val="003D7055"/>
    <w:rsid w:val="003D7303"/>
    <w:rsid w:val="003D7317"/>
    <w:rsid w:val="003D76FA"/>
    <w:rsid w:val="003D7D52"/>
    <w:rsid w:val="003D7EB8"/>
    <w:rsid w:val="003E0622"/>
    <w:rsid w:val="003E0624"/>
    <w:rsid w:val="003E0C8F"/>
    <w:rsid w:val="003E0D70"/>
    <w:rsid w:val="003E18BB"/>
    <w:rsid w:val="003E1B00"/>
    <w:rsid w:val="003E1B51"/>
    <w:rsid w:val="003E1CA0"/>
    <w:rsid w:val="003E1E2A"/>
    <w:rsid w:val="003E2081"/>
    <w:rsid w:val="003E269A"/>
    <w:rsid w:val="003E286B"/>
    <w:rsid w:val="003E2A89"/>
    <w:rsid w:val="003E312A"/>
    <w:rsid w:val="003E31A4"/>
    <w:rsid w:val="003E334E"/>
    <w:rsid w:val="003E37FA"/>
    <w:rsid w:val="003E390A"/>
    <w:rsid w:val="003E40A5"/>
    <w:rsid w:val="003E4404"/>
    <w:rsid w:val="003E45ED"/>
    <w:rsid w:val="003E46E8"/>
    <w:rsid w:val="003E475D"/>
    <w:rsid w:val="003E4858"/>
    <w:rsid w:val="003E4991"/>
    <w:rsid w:val="003E4C0C"/>
    <w:rsid w:val="003E4F15"/>
    <w:rsid w:val="003E4FE3"/>
    <w:rsid w:val="003E58CF"/>
    <w:rsid w:val="003E59E9"/>
    <w:rsid w:val="003E5C99"/>
    <w:rsid w:val="003E5FFA"/>
    <w:rsid w:val="003E611E"/>
    <w:rsid w:val="003E6820"/>
    <w:rsid w:val="003E6AD1"/>
    <w:rsid w:val="003E6B67"/>
    <w:rsid w:val="003E6DC4"/>
    <w:rsid w:val="003E6F96"/>
    <w:rsid w:val="003E74C0"/>
    <w:rsid w:val="003E75AB"/>
    <w:rsid w:val="003E7619"/>
    <w:rsid w:val="003E7713"/>
    <w:rsid w:val="003F0DB0"/>
    <w:rsid w:val="003F109F"/>
    <w:rsid w:val="003F12D6"/>
    <w:rsid w:val="003F1690"/>
    <w:rsid w:val="003F18E2"/>
    <w:rsid w:val="003F1A72"/>
    <w:rsid w:val="003F1F87"/>
    <w:rsid w:val="003F239B"/>
    <w:rsid w:val="003F2B41"/>
    <w:rsid w:val="003F2E43"/>
    <w:rsid w:val="003F30C7"/>
    <w:rsid w:val="003F37A1"/>
    <w:rsid w:val="003F3AB7"/>
    <w:rsid w:val="003F40D5"/>
    <w:rsid w:val="003F430F"/>
    <w:rsid w:val="003F44A2"/>
    <w:rsid w:val="003F455F"/>
    <w:rsid w:val="003F48DC"/>
    <w:rsid w:val="003F4A29"/>
    <w:rsid w:val="003F4B31"/>
    <w:rsid w:val="003F4F9B"/>
    <w:rsid w:val="003F5020"/>
    <w:rsid w:val="003F5093"/>
    <w:rsid w:val="003F5387"/>
    <w:rsid w:val="003F567B"/>
    <w:rsid w:val="003F5866"/>
    <w:rsid w:val="003F60F0"/>
    <w:rsid w:val="003F6256"/>
    <w:rsid w:val="003F626B"/>
    <w:rsid w:val="003F6278"/>
    <w:rsid w:val="003F6518"/>
    <w:rsid w:val="003F67AA"/>
    <w:rsid w:val="003F6833"/>
    <w:rsid w:val="003F6AAA"/>
    <w:rsid w:val="003F6E24"/>
    <w:rsid w:val="003F7196"/>
    <w:rsid w:val="003F731B"/>
    <w:rsid w:val="003F7546"/>
    <w:rsid w:val="003F7DD6"/>
    <w:rsid w:val="003F7FDB"/>
    <w:rsid w:val="00400026"/>
    <w:rsid w:val="00400217"/>
    <w:rsid w:val="00400257"/>
    <w:rsid w:val="00400320"/>
    <w:rsid w:val="004008C9"/>
    <w:rsid w:val="00400B43"/>
    <w:rsid w:val="00400E51"/>
    <w:rsid w:val="00401056"/>
    <w:rsid w:val="0040113F"/>
    <w:rsid w:val="0040123D"/>
    <w:rsid w:val="00401492"/>
    <w:rsid w:val="0040162E"/>
    <w:rsid w:val="00401A33"/>
    <w:rsid w:val="00401BD8"/>
    <w:rsid w:val="00401D2F"/>
    <w:rsid w:val="00401D3B"/>
    <w:rsid w:val="00401E8E"/>
    <w:rsid w:val="00401F97"/>
    <w:rsid w:val="004022C9"/>
    <w:rsid w:val="004029C3"/>
    <w:rsid w:val="00402A80"/>
    <w:rsid w:val="00403A34"/>
    <w:rsid w:val="00403A53"/>
    <w:rsid w:val="00403F7B"/>
    <w:rsid w:val="004040AC"/>
    <w:rsid w:val="004049CB"/>
    <w:rsid w:val="00404ACB"/>
    <w:rsid w:val="0040519B"/>
    <w:rsid w:val="004054EF"/>
    <w:rsid w:val="004056B0"/>
    <w:rsid w:val="004056ED"/>
    <w:rsid w:val="00405D8B"/>
    <w:rsid w:val="00405E33"/>
    <w:rsid w:val="00406182"/>
    <w:rsid w:val="00406314"/>
    <w:rsid w:val="00407435"/>
    <w:rsid w:val="00407635"/>
    <w:rsid w:val="004077AB"/>
    <w:rsid w:val="0040780F"/>
    <w:rsid w:val="0040795A"/>
    <w:rsid w:val="00407B72"/>
    <w:rsid w:val="00407FF8"/>
    <w:rsid w:val="00410159"/>
    <w:rsid w:val="004104E8"/>
    <w:rsid w:val="004104F6"/>
    <w:rsid w:val="004104FF"/>
    <w:rsid w:val="00410617"/>
    <w:rsid w:val="004106BD"/>
    <w:rsid w:val="00410BCD"/>
    <w:rsid w:val="00411105"/>
    <w:rsid w:val="004112D1"/>
    <w:rsid w:val="004118D3"/>
    <w:rsid w:val="00411B39"/>
    <w:rsid w:val="00412075"/>
    <w:rsid w:val="00412E50"/>
    <w:rsid w:val="00413326"/>
    <w:rsid w:val="004135D6"/>
    <w:rsid w:val="00413A8A"/>
    <w:rsid w:val="00413B1A"/>
    <w:rsid w:val="00413B6B"/>
    <w:rsid w:val="00413BF2"/>
    <w:rsid w:val="00413CA5"/>
    <w:rsid w:val="0041410E"/>
    <w:rsid w:val="004141A7"/>
    <w:rsid w:val="00414236"/>
    <w:rsid w:val="00414322"/>
    <w:rsid w:val="00414727"/>
    <w:rsid w:val="00414876"/>
    <w:rsid w:val="00414B13"/>
    <w:rsid w:val="00415101"/>
    <w:rsid w:val="00415CEB"/>
    <w:rsid w:val="0041600A"/>
    <w:rsid w:val="00416249"/>
    <w:rsid w:val="004165E0"/>
    <w:rsid w:val="00416B71"/>
    <w:rsid w:val="00416EC7"/>
    <w:rsid w:val="0041722D"/>
    <w:rsid w:val="00417347"/>
    <w:rsid w:val="004203A2"/>
    <w:rsid w:val="004206AE"/>
    <w:rsid w:val="00420B40"/>
    <w:rsid w:val="00420B4E"/>
    <w:rsid w:val="00420D21"/>
    <w:rsid w:val="004211FA"/>
    <w:rsid w:val="004212D7"/>
    <w:rsid w:val="004214FF"/>
    <w:rsid w:val="004217D1"/>
    <w:rsid w:val="004218DE"/>
    <w:rsid w:val="00421922"/>
    <w:rsid w:val="00421C0E"/>
    <w:rsid w:val="0042210D"/>
    <w:rsid w:val="00422691"/>
    <w:rsid w:val="00422DFA"/>
    <w:rsid w:val="00423122"/>
    <w:rsid w:val="0042314F"/>
    <w:rsid w:val="004231C0"/>
    <w:rsid w:val="00423856"/>
    <w:rsid w:val="00423AD9"/>
    <w:rsid w:val="004242FB"/>
    <w:rsid w:val="00424370"/>
    <w:rsid w:val="004243BB"/>
    <w:rsid w:val="004247DC"/>
    <w:rsid w:val="0042485B"/>
    <w:rsid w:val="00424B5A"/>
    <w:rsid w:val="00424FC3"/>
    <w:rsid w:val="004251FB"/>
    <w:rsid w:val="0042554D"/>
    <w:rsid w:val="00425817"/>
    <w:rsid w:val="0042585B"/>
    <w:rsid w:val="00425F7D"/>
    <w:rsid w:val="00425FC5"/>
    <w:rsid w:val="004260BA"/>
    <w:rsid w:val="004260D2"/>
    <w:rsid w:val="004260D9"/>
    <w:rsid w:val="00426491"/>
    <w:rsid w:val="004269E3"/>
    <w:rsid w:val="00426CD4"/>
    <w:rsid w:val="00426D9C"/>
    <w:rsid w:val="00426ECD"/>
    <w:rsid w:val="004275FC"/>
    <w:rsid w:val="00427854"/>
    <w:rsid w:val="00427967"/>
    <w:rsid w:val="00427A2D"/>
    <w:rsid w:val="00427CB5"/>
    <w:rsid w:val="00427FC2"/>
    <w:rsid w:val="00427FF0"/>
    <w:rsid w:val="004302CA"/>
    <w:rsid w:val="004302D8"/>
    <w:rsid w:val="004308FA"/>
    <w:rsid w:val="004312FC"/>
    <w:rsid w:val="004314DE"/>
    <w:rsid w:val="00431AD4"/>
    <w:rsid w:val="00431C8E"/>
    <w:rsid w:val="00431E6E"/>
    <w:rsid w:val="00431F12"/>
    <w:rsid w:val="004320F6"/>
    <w:rsid w:val="00432928"/>
    <w:rsid w:val="00433198"/>
    <w:rsid w:val="00433E7F"/>
    <w:rsid w:val="004340F7"/>
    <w:rsid w:val="00434B0A"/>
    <w:rsid w:val="00434B42"/>
    <w:rsid w:val="00434C4E"/>
    <w:rsid w:val="00434D8A"/>
    <w:rsid w:val="00435061"/>
    <w:rsid w:val="00435173"/>
    <w:rsid w:val="004351A4"/>
    <w:rsid w:val="00435257"/>
    <w:rsid w:val="0043536B"/>
    <w:rsid w:val="0043547F"/>
    <w:rsid w:val="00435A00"/>
    <w:rsid w:val="0043631E"/>
    <w:rsid w:val="004369E5"/>
    <w:rsid w:val="00436A9C"/>
    <w:rsid w:val="00436E01"/>
    <w:rsid w:val="00437411"/>
    <w:rsid w:val="00437E71"/>
    <w:rsid w:val="00437F4E"/>
    <w:rsid w:val="004400CE"/>
    <w:rsid w:val="0044062A"/>
    <w:rsid w:val="00440931"/>
    <w:rsid w:val="00440A29"/>
    <w:rsid w:val="00440DBB"/>
    <w:rsid w:val="00440E32"/>
    <w:rsid w:val="00440FF9"/>
    <w:rsid w:val="0044120F"/>
    <w:rsid w:val="0044180F"/>
    <w:rsid w:val="00441991"/>
    <w:rsid w:val="00441B3F"/>
    <w:rsid w:val="0044245E"/>
    <w:rsid w:val="004425C8"/>
    <w:rsid w:val="00442C1E"/>
    <w:rsid w:val="00442D3C"/>
    <w:rsid w:val="00443363"/>
    <w:rsid w:val="004434B9"/>
    <w:rsid w:val="00443717"/>
    <w:rsid w:val="00443898"/>
    <w:rsid w:val="00443AD2"/>
    <w:rsid w:val="00443B96"/>
    <w:rsid w:val="00443E9B"/>
    <w:rsid w:val="004442D8"/>
    <w:rsid w:val="004443F7"/>
    <w:rsid w:val="004449F3"/>
    <w:rsid w:val="00444C0F"/>
    <w:rsid w:val="004450FA"/>
    <w:rsid w:val="00445421"/>
    <w:rsid w:val="0044584B"/>
    <w:rsid w:val="004459BF"/>
    <w:rsid w:val="00445A63"/>
    <w:rsid w:val="00445AC8"/>
    <w:rsid w:val="00445D73"/>
    <w:rsid w:val="00445EBB"/>
    <w:rsid w:val="0044646E"/>
    <w:rsid w:val="00446571"/>
    <w:rsid w:val="004466AD"/>
    <w:rsid w:val="00446F18"/>
    <w:rsid w:val="0044707B"/>
    <w:rsid w:val="004470D1"/>
    <w:rsid w:val="004471BB"/>
    <w:rsid w:val="004471CC"/>
    <w:rsid w:val="00447473"/>
    <w:rsid w:val="00447AB2"/>
    <w:rsid w:val="00447BBA"/>
    <w:rsid w:val="00447F1A"/>
    <w:rsid w:val="00450018"/>
    <w:rsid w:val="00450420"/>
    <w:rsid w:val="0045043E"/>
    <w:rsid w:val="00450C30"/>
    <w:rsid w:val="00451228"/>
    <w:rsid w:val="004513DC"/>
    <w:rsid w:val="00451559"/>
    <w:rsid w:val="00451888"/>
    <w:rsid w:val="00451AA9"/>
    <w:rsid w:val="00451B5E"/>
    <w:rsid w:val="0045228F"/>
    <w:rsid w:val="004522D8"/>
    <w:rsid w:val="00452760"/>
    <w:rsid w:val="00452D62"/>
    <w:rsid w:val="00452D8A"/>
    <w:rsid w:val="004532FE"/>
    <w:rsid w:val="00453891"/>
    <w:rsid w:val="00453AAA"/>
    <w:rsid w:val="00453B1E"/>
    <w:rsid w:val="00453E98"/>
    <w:rsid w:val="00454B7F"/>
    <w:rsid w:val="00454C29"/>
    <w:rsid w:val="00454CD8"/>
    <w:rsid w:val="004557B5"/>
    <w:rsid w:val="00455AB9"/>
    <w:rsid w:val="00455EFD"/>
    <w:rsid w:val="00456038"/>
    <w:rsid w:val="004561BC"/>
    <w:rsid w:val="00456347"/>
    <w:rsid w:val="0045661D"/>
    <w:rsid w:val="00456657"/>
    <w:rsid w:val="00456ABB"/>
    <w:rsid w:val="00456EB5"/>
    <w:rsid w:val="00457462"/>
    <w:rsid w:val="004575B1"/>
    <w:rsid w:val="00457833"/>
    <w:rsid w:val="00457D62"/>
    <w:rsid w:val="00457E72"/>
    <w:rsid w:val="0046001A"/>
    <w:rsid w:val="00460546"/>
    <w:rsid w:val="00460B25"/>
    <w:rsid w:val="00460E6A"/>
    <w:rsid w:val="00461364"/>
    <w:rsid w:val="0046180F"/>
    <w:rsid w:val="00461888"/>
    <w:rsid w:val="00461BC9"/>
    <w:rsid w:val="0046251B"/>
    <w:rsid w:val="00462994"/>
    <w:rsid w:val="004629B9"/>
    <w:rsid w:val="00462A64"/>
    <w:rsid w:val="00462B3E"/>
    <w:rsid w:val="00462C13"/>
    <w:rsid w:val="00462FED"/>
    <w:rsid w:val="00463786"/>
    <w:rsid w:val="004639E1"/>
    <w:rsid w:val="00463AD2"/>
    <w:rsid w:val="00463C41"/>
    <w:rsid w:val="00463DDE"/>
    <w:rsid w:val="00463EEC"/>
    <w:rsid w:val="004647C5"/>
    <w:rsid w:val="0046486B"/>
    <w:rsid w:val="00464C21"/>
    <w:rsid w:val="00464D71"/>
    <w:rsid w:val="00464FD7"/>
    <w:rsid w:val="00465280"/>
    <w:rsid w:val="00465425"/>
    <w:rsid w:val="004656D2"/>
    <w:rsid w:val="00466144"/>
    <w:rsid w:val="004662CD"/>
    <w:rsid w:val="0046669F"/>
    <w:rsid w:val="004672F8"/>
    <w:rsid w:val="0046796C"/>
    <w:rsid w:val="00467A53"/>
    <w:rsid w:val="00467E67"/>
    <w:rsid w:val="00467FA0"/>
    <w:rsid w:val="004702CA"/>
    <w:rsid w:val="004702E8"/>
    <w:rsid w:val="004703E6"/>
    <w:rsid w:val="00471863"/>
    <w:rsid w:val="00471AAF"/>
    <w:rsid w:val="00472358"/>
    <w:rsid w:val="004728B5"/>
    <w:rsid w:val="0047291B"/>
    <w:rsid w:val="00472B8E"/>
    <w:rsid w:val="00472C33"/>
    <w:rsid w:val="00472DBC"/>
    <w:rsid w:val="0047312A"/>
    <w:rsid w:val="004738BB"/>
    <w:rsid w:val="00473AAA"/>
    <w:rsid w:val="00473BAA"/>
    <w:rsid w:val="0047447E"/>
    <w:rsid w:val="004745E5"/>
    <w:rsid w:val="00474F69"/>
    <w:rsid w:val="00475A5E"/>
    <w:rsid w:val="00475EB8"/>
    <w:rsid w:val="004763E6"/>
    <w:rsid w:val="0047668C"/>
    <w:rsid w:val="00476AA3"/>
    <w:rsid w:val="00476CC1"/>
    <w:rsid w:val="0047721E"/>
    <w:rsid w:val="00477630"/>
    <w:rsid w:val="004777E8"/>
    <w:rsid w:val="004778F8"/>
    <w:rsid w:val="00480104"/>
    <w:rsid w:val="004802B6"/>
    <w:rsid w:val="004806DF"/>
    <w:rsid w:val="00480AEF"/>
    <w:rsid w:val="00480B28"/>
    <w:rsid w:val="004811F8"/>
    <w:rsid w:val="00481687"/>
    <w:rsid w:val="0048174C"/>
    <w:rsid w:val="0048219B"/>
    <w:rsid w:val="00482279"/>
    <w:rsid w:val="00482292"/>
    <w:rsid w:val="00483071"/>
    <w:rsid w:val="004832EF"/>
    <w:rsid w:val="00483675"/>
    <w:rsid w:val="00484033"/>
    <w:rsid w:val="0048406D"/>
    <w:rsid w:val="00484B4C"/>
    <w:rsid w:val="00484D93"/>
    <w:rsid w:val="00484E49"/>
    <w:rsid w:val="00485223"/>
    <w:rsid w:val="00485230"/>
    <w:rsid w:val="00485F77"/>
    <w:rsid w:val="0048609F"/>
    <w:rsid w:val="004863BA"/>
    <w:rsid w:val="00486693"/>
    <w:rsid w:val="00486C8A"/>
    <w:rsid w:val="00486DE6"/>
    <w:rsid w:val="00486F33"/>
    <w:rsid w:val="00486F6A"/>
    <w:rsid w:val="00487079"/>
    <w:rsid w:val="004875C8"/>
    <w:rsid w:val="00487B87"/>
    <w:rsid w:val="0049009B"/>
    <w:rsid w:val="004904D1"/>
    <w:rsid w:val="004905C7"/>
    <w:rsid w:val="004905D7"/>
    <w:rsid w:val="00490849"/>
    <w:rsid w:val="004908D5"/>
    <w:rsid w:val="00491331"/>
    <w:rsid w:val="00491870"/>
    <w:rsid w:val="004919E3"/>
    <w:rsid w:val="00491B80"/>
    <w:rsid w:val="00491CEB"/>
    <w:rsid w:val="00491F47"/>
    <w:rsid w:val="004920DA"/>
    <w:rsid w:val="00492105"/>
    <w:rsid w:val="00492200"/>
    <w:rsid w:val="0049220F"/>
    <w:rsid w:val="00492332"/>
    <w:rsid w:val="00492525"/>
    <w:rsid w:val="0049258E"/>
    <w:rsid w:val="00492697"/>
    <w:rsid w:val="00492791"/>
    <w:rsid w:val="00492CFC"/>
    <w:rsid w:val="00492EDB"/>
    <w:rsid w:val="00492FB8"/>
    <w:rsid w:val="00493328"/>
    <w:rsid w:val="0049361D"/>
    <w:rsid w:val="00493B0C"/>
    <w:rsid w:val="00494070"/>
    <w:rsid w:val="0049413C"/>
    <w:rsid w:val="0049444B"/>
    <w:rsid w:val="004946BA"/>
    <w:rsid w:val="00494A44"/>
    <w:rsid w:val="00494A7B"/>
    <w:rsid w:val="00494D60"/>
    <w:rsid w:val="00494F91"/>
    <w:rsid w:val="0049505C"/>
    <w:rsid w:val="004961E1"/>
    <w:rsid w:val="00496263"/>
    <w:rsid w:val="00496A6D"/>
    <w:rsid w:val="00496D62"/>
    <w:rsid w:val="00497E3A"/>
    <w:rsid w:val="004A01EE"/>
    <w:rsid w:val="004A02B9"/>
    <w:rsid w:val="004A038D"/>
    <w:rsid w:val="004A0577"/>
    <w:rsid w:val="004A092F"/>
    <w:rsid w:val="004A0A92"/>
    <w:rsid w:val="004A0B37"/>
    <w:rsid w:val="004A0DAB"/>
    <w:rsid w:val="004A0FC9"/>
    <w:rsid w:val="004A1962"/>
    <w:rsid w:val="004A19D0"/>
    <w:rsid w:val="004A2337"/>
    <w:rsid w:val="004A271A"/>
    <w:rsid w:val="004A276F"/>
    <w:rsid w:val="004A2912"/>
    <w:rsid w:val="004A29C4"/>
    <w:rsid w:val="004A2B09"/>
    <w:rsid w:val="004A360C"/>
    <w:rsid w:val="004A3794"/>
    <w:rsid w:val="004A3DB5"/>
    <w:rsid w:val="004A4586"/>
    <w:rsid w:val="004A4AF7"/>
    <w:rsid w:val="004A4BD5"/>
    <w:rsid w:val="004A4E10"/>
    <w:rsid w:val="004A4E28"/>
    <w:rsid w:val="004A5191"/>
    <w:rsid w:val="004A5F37"/>
    <w:rsid w:val="004A6055"/>
    <w:rsid w:val="004A6066"/>
    <w:rsid w:val="004A65CE"/>
    <w:rsid w:val="004A66F9"/>
    <w:rsid w:val="004A68E3"/>
    <w:rsid w:val="004A6924"/>
    <w:rsid w:val="004A6969"/>
    <w:rsid w:val="004A6AC3"/>
    <w:rsid w:val="004A6D38"/>
    <w:rsid w:val="004A6D8E"/>
    <w:rsid w:val="004A714E"/>
    <w:rsid w:val="004A78D8"/>
    <w:rsid w:val="004B0AE3"/>
    <w:rsid w:val="004B0CBD"/>
    <w:rsid w:val="004B10C0"/>
    <w:rsid w:val="004B117B"/>
    <w:rsid w:val="004B15A8"/>
    <w:rsid w:val="004B16C6"/>
    <w:rsid w:val="004B1745"/>
    <w:rsid w:val="004B1B56"/>
    <w:rsid w:val="004B1DB8"/>
    <w:rsid w:val="004B2007"/>
    <w:rsid w:val="004B20AD"/>
    <w:rsid w:val="004B2224"/>
    <w:rsid w:val="004B28A9"/>
    <w:rsid w:val="004B2EBE"/>
    <w:rsid w:val="004B2FEF"/>
    <w:rsid w:val="004B301A"/>
    <w:rsid w:val="004B3278"/>
    <w:rsid w:val="004B3554"/>
    <w:rsid w:val="004B37D9"/>
    <w:rsid w:val="004B38A9"/>
    <w:rsid w:val="004B40AE"/>
    <w:rsid w:val="004B4EBE"/>
    <w:rsid w:val="004B518F"/>
    <w:rsid w:val="004B5630"/>
    <w:rsid w:val="004B5C66"/>
    <w:rsid w:val="004B5D8D"/>
    <w:rsid w:val="004B62D6"/>
    <w:rsid w:val="004B6448"/>
    <w:rsid w:val="004B6667"/>
    <w:rsid w:val="004B701D"/>
    <w:rsid w:val="004B731C"/>
    <w:rsid w:val="004B79CC"/>
    <w:rsid w:val="004B7B97"/>
    <w:rsid w:val="004B7EB2"/>
    <w:rsid w:val="004C0043"/>
    <w:rsid w:val="004C0181"/>
    <w:rsid w:val="004C084B"/>
    <w:rsid w:val="004C0897"/>
    <w:rsid w:val="004C0B9B"/>
    <w:rsid w:val="004C0D43"/>
    <w:rsid w:val="004C0DC1"/>
    <w:rsid w:val="004C0E0D"/>
    <w:rsid w:val="004C0F58"/>
    <w:rsid w:val="004C110D"/>
    <w:rsid w:val="004C1283"/>
    <w:rsid w:val="004C1448"/>
    <w:rsid w:val="004C1642"/>
    <w:rsid w:val="004C176F"/>
    <w:rsid w:val="004C17CD"/>
    <w:rsid w:val="004C19EE"/>
    <w:rsid w:val="004C1D19"/>
    <w:rsid w:val="004C2268"/>
    <w:rsid w:val="004C22D9"/>
    <w:rsid w:val="004C2400"/>
    <w:rsid w:val="004C26B1"/>
    <w:rsid w:val="004C2D6C"/>
    <w:rsid w:val="004C3ABA"/>
    <w:rsid w:val="004C3DB6"/>
    <w:rsid w:val="004C432E"/>
    <w:rsid w:val="004C451E"/>
    <w:rsid w:val="004C4854"/>
    <w:rsid w:val="004C4E42"/>
    <w:rsid w:val="004C4F32"/>
    <w:rsid w:val="004C4FA3"/>
    <w:rsid w:val="004C518C"/>
    <w:rsid w:val="004C51B3"/>
    <w:rsid w:val="004C5201"/>
    <w:rsid w:val="004C539A"/>
    <w:rsid w:val="004C56C2"/>
    <w:rsid w:val="004C5920"/>
    <w:rsid w:val="004C5924"/>
    <w:rsid w:val="004C5A2A"/>
    <w:rsid w:val="004C5B01"/>
    <w:rsid w:val="004C5D6E"/>
    <w:rsid w:val="004C6890"/>
    <w:rsid w:val="004C6AEA"/>
    <w:rsid w:val="004C768A"/>
    <w:rsid w:val="004C78FC"/>
    <w:rsid w:val="004C79AF"/>
    <w:rsid w:val="004C7A05"/>
    <w:rsid w:val="004C7D21"/>
    <w:rsid w:val="004C7E9C"/>
    <w:rsid w:val="004D01CA"/>
    <w:rsid w:val="004D01D3"/>
    <w:rsid w:val="004D07D2"/>
    <w:rsid w:val="004D0CE3"/>
    <w:rsid w:val="004D0E75"/>
    <w:rsid w:val="004D0FEE"/>
    <w:rsid w:val="004D168E"/>
    <w:rsid w:val="004D17F6"/>
    <w:rsid w:val="004D1992"/>
    <w:rsid w:val="004D1BF2"/>
    <w:rsid w:val="004D1E7E"/>
    <w:rsid w:val="004D204F"/>
    <w:rsid w:val="004D23AF"/>
    <w:rsid w:val="004D25D8"/>
    <w:rsid w:val="004D2721"/>
    <w:rsid w:val="004D2AAF"/>
    <w:rsid w:val="004D2DED"/>
    <w:rsid w:val="004D3078"/>
    <w:rsid w:val="004D350A"/>
    <w:rsid w:val="004D3838"/>
    <w:rsid w:val="004D3A0F"/>
    <w:rsid w:val="004D4061"/>
    <w:rsid w:val="004D48A8"/>
    <w:rsid w:val="004D490C"/>
    <w:rsid w:val="004D4AF6"/>
    <w:rsid w:val="004D4D3D"/>
    <w:rsid w:val="004D4F01"/>
    <w:rsid w:val="004D5190"/>
    <w:rsid w:val="004D535C"/>
    <w:rsid w:val="004D5365"/>
    <w:rsid w:val="004D616A"/>
    <w:rsid w:val="004D61DD"/>
    <w:rsid w:val="004D621A"/>
    <w:rsid w:val="004D6624"/>
    <w:rsid w:val="004D66A0"/>
    <w:rsid w:val="004D694C"/>
    <w:rsid w:val="004D6BDB"/>
    <w:rsid w:val="004D6C17"/>
    <w:rsid w:val="004D6F41"/>
    <w:rsid w:val="004D71EE"/>
    <w:rsid w:val="004D797D"/>
    <w:rsid w:val="004D7C1F"/>
    <w:rsid w:val="004D7C59"/>
    <w:rsid w:val="004D7F82"/>
    <w:rsid w:val="004D7FCE"/>
    <w:rsid w:val="004E0285"/>
    <w:rsid w:val="004E02A7"/>
    <w:rsid w:val="004E02ED"/>
    <w:rsid w:val="004E0325"/>
    <w:rsid w:val="004E0A56"/>
    <w:rsid w:val="004E0D99"/>
    <w:rsid w:val="004E10C1"/>
    <w:rsid w:val="004E11AD"/>
    <w:rsid w:val="004E131A"/>
    <w:rsid w:val="004E19B2"/>
    <w:rsid w:val="004E1A5C"/>
    <w:rsid w:val="004E1E78"/>
    <w:rsid w:val="004E2140"/>
    <w:rsid w:val="004E21D0"/>
    <w:rsid w:val="004E2413"/>
    <w:rsid w:val="004E2442"/>
    <w:rsid w:val="004E24C7"/>
    <w:rsid w:val="004E2542"/>
    <w:rsid w:val="004E276D"/>
    <w:rsid w:val="004E2823"/>
    <w:rsid w:val="004E2BB5"/>
    <w:rsid w:val="004E2E3E"/>
    <w:rsid w:val="004E3C9A"/>
    <w:rsid w:val="004E3E08"/>
    <w:rsid w:val="004E40F4"/>
    <w:rsid w:val="004E4232"/>
    <w:rsid w:val="004E4388"/>
    <w:rsid w:val="004E440C"/>
    <w:rsid w:val="004E4585"/>
    <w:rsid w:val="004E4BEB"/>
    <w:rsid w:val="004E4C84"/>
    <w:rsid w:val="004E4DEF"/>
    <w:rsid w:val="004E4F2C"/>
    <w:rsid w:val="004E4FA8"/>
    <w:rsid w:val="004E50EF"/>
    <w:rsid w:val="004E5339"/>
    <w:rsid w:val="004E5355"/>
    <w:rsid w:val="004E537F"/>
    <w:rsid w:val="004E54BF"/>
    <w:rsid w:val="004E54CB"/>
    <w:rsid w:val="004E6444"/>
    <w:rsid w:val="004E65EF"/>
    <w:rsid w:val="004E6EE7"/>
    <w:rsid w:val="004E6F0F"/>
    <w:rsid w:val="004E733C"/>
    <w:rsid w:val="004E7394"/>
    <w:rsid w:val="004E7816"/>
    <w:rsid w:val="004E7AB0"/>
    <w:rsid w:val="004E7B51"/>
    <w:rsid w:val="004E7F32"/>
    <w:rsid w:val="004E7F43"/>
    <w:rsid w:val="004F0216"/>
    <w:rsid w:val="004F04FB"/>
    <w:rsid w:val="004F061B"/>
    <w:rsid w:val="004F070A"/>
    <w:rsid w:val="004F0D40"/>
    <w:rsid w:val="004F1F1A"/>
    <w:rsid w:val="004F2F8A"/>
    <w:rsid w:val="004F2FF6"/>
    <w:rsid w:val="004F30C9"/>
    <w:rsid w:val="004F3631"/>
    <w:rsid w:val="004F3752"/>
    <w:rsid w:val="004F3977"/>
    <w:rsid w:val="004F3AD7"/>
    <w:rsid w:val="004F42EE"/>
    <w:rsid w:val="004F441F"/>
    <w:rsid w:val="004F4E39"/>
    <w:rsid w:val="004F5103"/>
    <w:rsid w:val="004F5D79"/>
    <w:rsid w:val="004F60CB"/>
    <w:rsid w:val="004F6147"/>
    <w:rsid w:val="004F6529"/>
    <w:rsid w:val="004F684E"/>
    <w:rsid w:val="004F6CDE"/>
    <w:rsid w:val="004F7219"/>
    <w:rsid w:val="004F76E2"/>
    <w:rsid w:val="004F77D4"/>
    <w:rsid w:val="00500099"/>
    <w:rsid w:val="0050011B"/>
    <w:rsid w:val="0050011F"/>
    <w:rsid w:val="005001D4"/>
    <w:rsid w:val="00500B28"/>
    <w:rsid w:val="00500D1F"/>
    <w:rsid w:val="00500D22"/>
    <w:rsid w:val="00500E23"/>
    <w:rsid w:val="00500F66"/>
    <w:rsid w:val="00501540"/>
    <w:rsid w:val="0050173F"/>
    <w:rsid w:val="00501753"/>
    <w:rsid w:val="00501B53"/>
    <w:rsid w:val="00501F11"/>
    <w:rsid w:val="0050207D"/>
    <w:rsid w:val="00502351"/>
    <w:rsid w:val="005028D0"/>
    <w:rsid w:val="005028F5"/>
    <w:rsid w:val="0050326B"/>
    <w:rsid w:val="00503284"/>
    <w:rsid w:val="0050330A"/>
    <w:rsid w:val="00503337"/>
    <w:rsid w:val="00503412"/>
    <w:rsid w:val="0050341E"/>
    <w:rsid w:val="005035B3"/>
    <w:rsid w:val="00503730"/>
    <w:rsid w:val="00503855"/>
    <w:rsid w:val="00503F3D"/>
    <w:rsid w:val="005041F8"/>
    <w:rsid w:val="00504218"/>
    <w:rsid w:val="005044AB"/>
    <w:rsid w:val="0050472B"/>
    <w:rsid w:val="0050491A"/>
    <w:rsid w:val="00504E3A"/>
    <w:rsid w:val="005051E4"/>
    <w:rsid w:val="005059D7"/>
    <w:rsid w:val="00505B14"/>
    <w:rsid w:val="00505BF9"/>
    <w:rsid w:val="00505C4F"/>
    <w:rsid w:val="00505ED8"/>
    <w:rsid w:val="005061EB"/>
    <w:rsid w:val="00506399"/>
    <w:rsid w:val="00506531"/>
    <w:rsid w:val="005066C1"/>
    <w:rsid w:val="0050683B"/>
    <w:rsid w:val="0050684C"/>
    <w:rsid w:val="00506D46"/>
    <w:rsid w:val="00506EF6"/>
    <w:rsid w:val="0051021E"/>
    <w:rsid w:val="005104A2"/>
    <w:rsid w:val="00510D6D"/>
    <w:rsid w:val="00510EAB"/>
    <w:rsid w:val="00511077"/>
    <w:rsid w:val="005112AB"/>
    <w:rsid w:val="005113AA"/>
    <w:rsid w:val="005117D6"/>
    <w:rsid w:val="005119B4"/>
    <w:rsid w:val="005121F3"/>
    <w:rsid w:val="00512933"/>
    <w:rsid w:val="00512B03"/>
    <w:rsid w:val="00512E6C"/>
    <w:rsid w:val="00512FCA"/>
    <w:rsid w:val="005134FF"/>
    <w:rsid w:val="00513CE1"/>
    <w:rsid w:val="00513EBF"/>
    <w:rsid w:val="00513EDC"/>
    <w:rsid w:val="0051449D"/>
    <w:rsid w:val="0051469D"/>
    <w:rsid w:val="00514B69"/>
    <w:rsid w:val="00514C9E"/>
    <w:rsid w:val="00514E4F"/>
    <w:rsid w:val="005150BF"/>
    <w:rsid w:val="005151EA"/>
    <w:rsid w:val="0051560D"/>
    <w:rsid w:val="0051580F"/>
    <w:rsid w:val="0051601E"/>
    <w:rsid w:val="0051605F"/>
    <w:rsid w:val="00516B37"/>
    <w:rsid w:val="00516CAB"/>
    <w:rsid w:val="00516D9C"/>
    <w:rsid w:val="00516DD6"/>
    <w:rsid w:val="00516FB7"/>
    <w:rsid w:val="00517625"/>
    <w:rsid w:val="00517F1D"/>
    <w:rsid w:val="005204C7"/>
    <w:rsid w:val="00521282"/>
    <w:rsid w:val="0052132F"/>
    <w:rsid w:val="0052215B"/>
    <w:rsid w:val="005224FB"/>
    <w:rsid w:val="005225FC"/>
    <w:rsid w:val="0052261A"/>
    <w:rsid w:val="00522950"/>
    <w:rsid w:val="00522C41"/>
    <w:rsid w:val="00522C69"/>
    <w:rsid w:val="00522F12"/>
    <w:rsid w:val="0052388C"/>
    <w:rsid w:val="005239E3"/>
    <w:rsid w:val="00523A9E"/>
    <w:rsid w:val="00523AAD"/>
    <w:rsid w:val="00523F71"/>
    <w:rsid w:val="00524342"/>
    <w:rsid w:val="005244BE"/>
    <w:rsid w:val="00524936"/>
    <w:rsid w:val="0052494A"/>
    <w:rsid w:val="00524CFD"/>
    <w:rsid w:val="00525001"/>
    <w:rsid w:val="00525137"/>
    <w:rsid w:val="00525172"/>
    <w:rsid w:val="0052537A"/>
    <w:rsid w:val="00525516"/>
    <w:rsid w:val="00525973"/>
    <w:rsid w:val="00525C2F"/>
    <w:rsid w:val="0052635F"/>
    <w:rsid w:val="00526434"/>
    <w:rsid w:val="00526878"/>
    <w:rsid w:val="00526894"/>
    <w:rsid w:val="00526C83"/>
    <w:rsid w:val="00527190"/>
    <w:rsid w:val="005271B9"/>
    <w:rsid w:val="005272E0"/>
    <w:rsid w:val="00527410"/>
    <w:rsid w:val="00527B60"/>
    <w:rsid w:val="00527F85"/>
    <w:rsid w:val="00530340"/>
    <w:rsid w:val="00530404"/>
    <w:rsid w:val="005306C6"/>
    <w:rsid w:val="005309EA"/>
    <w:rsid w:val="00530C29"/>
    <w:rsid w:val="005312FD"/>
    <w:rsid w:val="0053173F"/>
    <w:rsid w:val="00531801"/>
    <w:rsid w:val="005319F1"/>
    <w:rsid w:val="00531ABD"/>
    <w:rsid w:val="00531B2E"/>
    <w:rsid w:val="005327B7"/>
    <w:rsid w:val="00532A6C"/>
    <w:rsid w:val="00532DDE"/>
    <w:rsid w:val="00532F8F"/>
    <w:rsid w:val="00532FB6"/>
    <w:rsid w:val="00533012"/>
    <w:rsid w:val="00533615"/>
    <w:rsid w:val="00533627"/>
    <w:rsid w:val="0053362E"/>
    <w:rsid w:val="00533DE9"/>
    <w:rsid w:val="0053406B"/>
    <w:rsid w:val="00534472"/>
    <w:rsid w:val="00534807"/>
    <w:rsid w:val="00534816"/>
    <w:rsid w:val="0053497A"/>
    <w:rsid w:val="00534BCE"/>
    <w:rsid w:val="00534E19"/>
    <w:rsid w:val="00535629"/>
    <w:rsid w:val="0053573E"/>
    <w:rsid w:val="00535AE0"/>
    <w:rsid w:val="00535BA4"/>
    <w:rsid w:val="0053657E"/>
    <w:rsid w:val="00536AEF"/>
    <w:rsid w:val="00536B45"/>
    <w:rsid w:val="00536C87"/>
    <w:rsid w:val="00536CCB"/>
    <w:rsid w:val="00536E0A"/>
    <w:rsid w:val="00537246"/>
    <w:rsid w:val="005373AB"/>
    <w:rsid w:val="005376A4"/>
    <w:rsid w:val="00537990"/>
    <w:rsid w:val="00537B01"/>
    <w:rsid w:val="00540209"/>
    <w:rsid w:val="00540613"/>
    <w:rsid w:val="00540DED"/>
    <w:rsid w:val="00540E27"/>
    <w:rsid w:val="005410E8"/>
    <w:rsid w:val="00541287"/>
    <w:rsid w:val="0054201B"/>
    <w:rsid w:val="005423C2"/>
    <w:rsid w:val="00542821"/>
    <w:rsid w:val="00542C96"/>
    <w:rsid w:val="00542E6A"/>
    <w:rsid w:val="00543018"/>
    <w:rsid w:val="005433B8"/>
    <w:rsid w:val="00543837"/>
    <w:rsid w:val="005439B2"/>
    <w:rsid w:val="00543A1D"/>
    <w:rsid w:val="00543C4C"/>
    <w:rsid w:val="005446A8"/>
    <w:rsid w:val="00544BB8"/>
    <w:rsid w:val="00544DEC"/>
    <w:rsid w:val="00544EE3"/>
    <w:rsid w:val="00545059"/>
    <w:rsid w:val="005450F9"/>
    <w:rsid w:val="0054520E"/>
    <w:rsid w:val="00545559"/>
    <w:rsid w:val="00545AD4"/>
    <w:rsid w:val="00545CBF"/>
    <w:rsid w:val="00546195"/>
    <w:rsid w:val="0054673A"/>
    <w:rsid w:val="005467D6"/>
    <w:rsid w:val="00546B80"/>
    <w:rsid w:val="00546ED0"/>
    <w:rsid w:val="00546F2D"/>
    <w:rsid w:val="00547251"/>
    <w:rsid w:val="005476E7"/>
    <w:rsid w:val="0054773B"/>
    <w:rsid w:val="00547AA2"/>
    <w:rsid w:val="00550533"/>
    <w:rsid w:val="005507A8"/>
    <w:rsid w:val="00550939"/>
    <w:rsid w:val="005509AE"/>
    <w:rsid w:val="00550AC5"/>
    <w:rsid w:val="00550B1C"/>
    <w:rsid w:val="00550E50"/>
    <w:rsid w:val="0055139D"/>
    <w:rsid w:val="005513A5"/>
    <w:rsid w:val="00551FF1"/>
    <w:rsid w:val="0055292F"/>
    <w:rsid w:val="00552975"/>
    <w:rsid w:val="00552C85"/>
    <w:rsid w:val="00552CAA"/>
    <w:rsid w:val="00553651"/>
    <w:rsid w:val="00553859"/>
    <w:rsid w:val="005538F0"/>
    <w:rsid w:val="005539E4"/>
    <w:rsid w:val="00553CCA"/>
    <w:rsid w:val="005543E3"/>
    <w:rsid w:val="005544C0"/>
    <w:rsid w:val="00554525"/>
    <w:rsid w:val="005551A4"/>
    <w:rsid w:val="005557B4"/>
    <w:rsid w:val="00555BAF"/>
    <w:rsid w:val="00556132"/>
    <w:rsid w:val="00556462"/>
    <w:rsid w:val="00556575"/>
    <w:rsid w:val="005566BC"/>
    <w:rsid w:val="0055697E"/>
    <w:rsid w:val="00556D1E"/>
    <w:rsid w:val="005573B3"/>
    <w:rsid w:val="005576F8"/>
    <w:rsid w:val="0055797A"/>
    <w:rsid w:val="0056006D"/>
    <w:rsid w:val="00560090"/>
    <w:rsid w:val="00560380"/>
    <w:rsid w:val="0056073A"/>
    <w:rsid w:val="0056100E"/>
    <w:rsid w:val="005610C9"/>
    <w:rsid w:val="005615A5"/>
    <w:rsid w:val="005618D2"/>
    <w:rsid w:val="005619BA"/>
    <w:rsid w:val="005619CB"/>
    <w:rsid w:val="00561A40"/>
    <w:rsid w:val="00561A62"/>
    <w:rsid w:val="00561ADA"/>
    <w:rsid w:val="00561D55"/>
    <w:rsid w:val="00561FA0"/>
    <w:rsid w:val="005621C6"/>
    <w:rsid w:val="005621F5"/>
    <w:rsid w:val="00562920"/>
    <w:rsid w:val="0056331A"/>
    <w:rsid w:val="00563829"/>
    <w:rsid w:val="00563A6C"/>
    <w:rsid w:val="00563D50"/>
    <w:rsid w:val="0056420E"/>
    <w:rsid w:val="0056445D"/>
    <w:rsid w:val="00564522"/>
    <w:rsid w:val="005645A7"/>
    <w:rsid w:val="00564986"/>
    <w:rsid w:val="00564D61"/>
    <w:rsid w:val="00564F78"/>
    <w:rsid w:val="005652ED"/>
    <w:rsid w:val="00565BE6"/>
    <w:rsid w:val="00565FDF"/>
    <w:rsid w:val="0056638A"/>
    <w:rsid w:val="0056640C"/>
    <w:rsid w:val="00566550"/>
    <w:rsid w:val="00566605"/>
    <w:rsid w:val="0056732D"/>
    <w:rsid w:val="00567367"/>
    <w:rsid w:val="005701C8"/>
    <w:rsid w:val="005701EA"/>
    <w:rsid w:val="005709DE"/>
    <w:rsid w:val="00570A52"/>
    <w:rsid w:val="0057140A"/>
    <w:rsid w:val="00571B9E"/>
    <w:rsid w:val="005724E3"/>
    <w:rsid w:val="005727AE"/>
    <w:rsid w:val="00572AEA"/>
    <w:rsid w:val="00572BF4"/>
    <w:rsid w:val="005735BC"/>
    <w:rsid w:val="00573665"/>
    <w:rsid w:val="00573C60"/>
    <w:rsid w:val="00573D4D"/>
    <w:rsid w:val="00573F93"/>
    <w:rsid w:val="005741E4"/>
    <w:rsid w:val="005745A1"/>
    <w:rsid w:val="005746CB"/>
    <w:rsid w:val="00575ADD"/>
    <w:rsid w:val="00575DD7"/>
    <w:rsid w:val="00576204"/>
    <w:rsid w:val="00576281"/>
    <w:rsid w:val="00576CAD"/>
    <w:rsid w:val="00576F82"/>
    <w:rsid w:val="00576FBB"/>
    <w:rsid w:val="005772D6"/>
    <w:rsid w:val="0057734A"/>
    <w:rsid w:val="00577582"/>
    <w:rsid w:val="00577602"/>
    <w:rsid w:val="00577714"/>
    <w:rsid w:val="00577D9C"/>
    <w:rsid w:val="00577F97"/>
    <w:rsid w:val="00580219"/>
    <w:rsid w:val="0058027B"/>
    <w:rsid w:val="005805D1"/>
    <w:rsid w:val="005805D4"/>
    <w:rsid w:val="005806D1"/>
    <w:rsid w:val="005807B1"/>
    <w:rsid w:val="005807ED"/>
    <w:rsid w:val="00580821"/>
    <w:rsid w:val="00580E0F"/>
    <w:rsid w:val="00580E31"/>
    <w:rsid w:val="005813C6"/>
    <w:rsid w:val="005815D4"/>
    <w:rsid w:val="0058194A"/>
    <w:rsid w:val="00581999"/>
    <w:rsid w:val="00581A2A"/>
    <w:rsid w:val="00581BB1"/>
    <w:rsid w:val="00582442"/>
    <w:rsid w:val="005824A9"/>
    <w:rsid w:val="00582521"/>
    <w:rsid w:val="005829BA"/>
    <w:rsid w:val="005829DC"/>
    <w:rsid w:val="00582A79"/>
    <w:rsid w:val="0058323F"/>
    <w:rsid w:val="0058361C"/>
    <w:rsid w:val="00583668"/>
    <w:rsid w:val="005838B1"/>
    <w:rsid w:val="0058443B"/>
    <w:rsid w:val="0058460E"/>
    <w:rsid w:val="00584697"/>
    <w:rsid w:val="005847E6"/>
    <w:rsid w:val="00584984"/>
    <w:rsid w:val="00584E3C"/>
    <w:rsid w:val="00585560"/>
    <w:rsid w:val="00585C13"/>
    <w:rsid w:val="00586284"/>
    <w:rsid w:val="005864D2"/>
    <w:rsid w:val="005864F3"/>
    <w:rsid w:val="00586A81"/>
    <w:rsid w:val="00586E3F"/>
    <w:rsid w:val="00587451"/>
    <w:rsid w:val="00587BB1"/>
    <w:rsid w:val="00587CB6"/>
    <w:rsid w:val="00587EC4"/>
    <w:rsid w:val="00587EF2"/>
    <w:rsid w:val="0059064F"/>
    <w:rsid w:val="005908C7"/>
    <w:rsid w:val="005909AE"/>
    <w:rsid w:val="00590BD6"/>
    <w:rsid w:val="0059149A"/>
    <w:rsid w:val="005918F0"/>
    <w:rsid w:val="00591CB5"/>
    <w:rsid w:val="005923B9"/>
    <w:rsid w:val="00592A28"/>
    <w:rsid w:val="00592A85"/>
    <w:rsid w:val="00593849"/>
    <w:rsid w:val="00593D28"/>
    <w:rsid w:val="00593EAE"/>
    <w:rsid w:val="00593F5A"/>
    <w:rsid w:val="00593FB5"/>
    <w:rsid w:val="005940BA"/>
    <w:rsid w:val="00594802"/>
    <w:rsid w:val="00594F00"/>
    <w:rsid w:val="0059522B"/>
    <w:rsid w:val="0059525E"/>
    <w:rsid w:val="00595687"/>
    <w:rsid w:val="00595788"/>
    <w:rsid w:val="00595F5B"/>
    <w:rsid w:val="00596CD2"/>
    <w:rsid w:val="005970C6"/>
    <w:rsid w:val="00597154"/>
    <w:rsid w:val="005974B8"/>
    <w:rsid w:val="00597750"/>
    <w:rsid w:val="005978E6"/>
    <w:rsid w:val="00597A58"/>
    <w:rsid w:val="00597A6B"/>
    <w:rsid w:val="00597E83"/>
    <w:rsid w:val="00597E8C"/>
    <w:rsid w:val="00597F90"/>
    <w:rsid w:val="005A0676"/>
    <w:rsid w:val="005A0CEF"/>
    <w:rsid w:val="005A12D9"/>
    <w:rsid w:val="005A1555"/>
    <w:rsid w:val="005A1C9B"/>
    <w:rsid w:val="005A1E54"/>
    <w:rsid w:val="005A1EF7"/>
    <w:rsid w:val="005A1F89"/>
    <w:rsid w:val="005A1FA0"/>
    <w:rsid w:val="005A2090"/>
    <w:rsid w:val="005A26E6"/>
    <w:rsid w:val="005A276A"/>
    <w:rsid w:val="005A2A86"/>
    <w:rsid w:val="005A2C3E"/>
    <w:rsid w:val="005A2CEC"/>
    <w:rsid w:val="005A2D8C"/>
    <w:rsid w:val="005A2DD3"/>
    <w:rsid w:val="005A2FA8"/>
    <w:rsid w:val="005A3620"/>
    <w:rsid w:val="005A3A82"/>
    <w:rsid w:val="005A3B6C"/>
    <w:rsid w:val="005A3F67"/>
    <w:rsid w:val="005A41F5"/>
    <w:rsid w:val="005A459F"/>
    <w:rsid w:val="005A47B9"/>
    <w:rsid w:val="005A48C6"/>
    <w:rsid w:val="005A4BE5"/>
    <w:rsid w:val="005A4D9E"/>
    <w:rsid w:val="005A520C"/>
    <w:rsid w:val="005A59BE"/>
    <w:rsid w:val="005A5E21"/>
    <w:rsid w:val="005A61DF"/>
    <w:rsid w:val="005A62FE"/>
    <w:rsid w:val="005A63B8"/>
    <w:rsid w:val="005A6412"/>
    <w:rsid w:val="005A6D52"/>
    <w:rsid w:val="005A700B"/>
    <w:rsid w:val="005A70AF"/>
    <w:rsid w:val="005A7468"/>
    <w:rsid w:val="005A7717"/>
    <w:rsid w:val="005A7A42"/>
    <w:rsid w:val="005A7AAB"/>
    <w:rsid w:val="005A7B75"/>
    <w:rsid w:val="005A7CC3"/>
    <w:rsid w:val="005B001E"/>
    <w:rsid w:val="005B00F7"/>
    <w:rsid w:val="005B022E"/>
    <w:rsid w:val="005B0348"/>
    <w:rsid w:val="005B0487"/>
    <w:rsid w:val="005B0529"/>
    <w:rsid w:val="005B0691"/>
    <w:rsid w:val="005B088C"/>
    <w:rsid w:val="005B0912"/>
    <w:rsid w:val="005B09AF"/>
    <w:rsid w:val="005B0C67"/>
    <w:rsid w:val="005B0C97"/>
    <w:rsid w:val="005B0C9D"/>
    <w:rsid w:val="005B0F57"/>
    <w:rsid w:val="005B11F8"/>
    <w:rsid w:val="005B18AB"/>
    <w:rsid w:val="005B18C4"/>
    <w:rsid w:val="005B1CBD"/>
    <w:rsid w:val="005B2596"/>
    <w:rsid w:val="005B2C56"/>
    <w:rsid w:val="005B2C62"/>
    <w:rsid w:val="005B2EBE"/>
    <w:rsid w:val="005B307B"/>
    <w:rsid w:val="005B3BF2"/>
    <w:rsid w:val="005B3C1D"/>
    <w:rsid w:val="005B3D01"/>
    <w:rsid w:val="005B4209"/>
    <w:rsid w:val="005B42C2"/>
    <w:rsid w:val="005B462C"/>
    <w:rsid w:val="005B4A39"/>
    <w:rsid w:val="005B4F90"/>
    <w:rsid w:val="005B50FC"/>
    <w:rsid w:val="005B59B6"/>
    <w:rsid w:val="005B61D8"/>
    <w:rsid w:val="005B6290"/>
    <w:rsid w:val="005B7002"/>
    <w:rsid w:val="005B71A6"/>
    <w:rsid w:val="005B72B5"/>
    <w:rsid w:val="005B77CA"/>
    <w:rsid w:val="005B7835"/>
    <w:rsid w:val="005B7D65"/>
    <w:rsid w:val="005B7F9E"/>
    <w:rsid w:val="005C0077"/>
    <w:rsid w:val="005C01A8"/>
    <w:rsid w:val="005C050C"/>
    <w:rsid w:val="005C06B4"/>
    <w:rsid w:val="005C072A"/>
    <w:rsid w:val="005C091C"/>
    <w:rsid w:val="005C0F9A"/>
    <w:rsid w:val="005C0FE7"/>
    <w:rsid w:val="005C125F"/>
    <w:rsid w:val="005C17BD"/>
    <w:rsid w:val="005C1CB7"/>
    <w:rsid w:val="005C1DFF"/>
    <w:rsid w:val="005C1EB5"/>
    <w:rsid w:val="005C2D1E"/>
    <w:rsid w:val="005C2E81"/>
    <w:rsid w:val="005C2EAD"/>
    <w:rsid w:val="005C37D2"/>
    <w:rsid w:val="005C3E65"/>
    <w:rsid w:val="005C414D"/>
    <w:rsid w:val="005C42E6"/>
    <w:rsid w:val="005C4A79"/>
    <w:rsid w:val="005C4E34"/>
    <w:rsid w:val="005C54DB"/>
    <w:rsid w:val="005C57BF"/>
    <w:rsid w:val="005C59C7"/>
    <w:rsid w:val="005C5A77"/>
    <w:rsid w:val="005C5AA8"/>
    <w:rsid w:val="005C5CF8"/>
    <w:rsid w:val="005C5EB0"/>
    <w:rsid w:val="005C6CCE"/>
    <w:rsid w:val="005C7395"/>
    <w:rsid w:val="005C7694"/>
    <w:rsid w:val="005C7C2D"/>
    <w:rsid w:val="005C7ED3"/>
    <w:rsid w:val="005D0022"/>
    <w:rsid w:val="005D0956"/>
    <w:rsid w:val="005D09D4"/>
    <w:rsid w:val="005D0BBE"/>
    <w:rsid w:val="005D104D"/>
    <w:rsid w:val="005D10AA"/>
    <w:rsid w:val="005D1108"/>
    <w:rsid w:val="005D125E"/>
    <w:rsid w:val="005D16B2"/>
    <w:rsid w:val="005D199B"/>
    <w:rsid w:val="005D1BB4"/>
    <w:rsid w:val="005D1CE4"/>
    <w:rsid w:val="005D2892"/>
    <w:rsid w:val="005D29D0"/>
    <w:rsid w:val="005D2D12"/>
    <w:rsid w:val="005D3EE5"/>
    <w:rsid w:val="005D40BF"/>
    <w:rsid w:val="005D4805"/>
    <w:rsid w:val="005D4B65"/>
    <w:rsid w:val="005D4E4E"/>
    <w:rsid w:val="005D4F8B"/>
    <w:rsid w:val="005D5532"/>
    <w:rsid w:val="005D5A45"/>
    <w:rsid w:val="005D634F"/>
    <w:rsid w:val="005D677D"/>
    <w:rsid w:val="005D6A01"/>
    <w:rsid w:val="005D717F"/>
    <w:rsid w:val="005D748A"/>
    <w:rsid w:val="005D761F"/>
    <w:rsid w:val="005D766F"/>
    <w:rsid w:val="005D79DF"/>
    <w:rsid w:val="005D7D7E"/>
    <w:rsid w:val="005E02CA"/>
    <w:rsid w:val="005E1084"/>
    <w:rsid w:val="005E1205"/>
    <w:rsid w:val="005E1271"/>
    <w:rsid w:val="005E143E"/>
    <w:rsid w:val="005E160F"/>
    <w:rsid w:val="005E1E06"/>
    <w:rsid w:val="005E20AB"/>
    <w:rsid w:val="005E20C6"/>
    <w:rsid w:val="005E2258"/>
    <w:rsid w:val="005E24BB"/>
    <w:rsid w:val="005E2587"/>
    <w:rsid w:val="005E29A8"/>
    <w:rsid w:val="005E2A71"/>
    <w:rsid w:val="005E2C1A"/>
    <w:rsid w:val="005E2E84"/>
    <w:rsid w:val="005E304E"/>
    <w:rsid w:val="005E39BE"/>
    <w:rsid w:val="005E3CFA"/>
    <w:rsid w:val="005E4ABC"/>
    <w:rsid w:val="005E4AC6"/>
    <w:rsid w:val="005E4B3F"/>
    <w:rsid w:val="005E4BA9"/>
    <w:rsid w:val="005E5072"/>
    <w:rsid w:val="005E50DD"/>
    <w:rsid w:val="005E566C"/>
    <w:rsid w:val="005E566E"/>
    <w:rsid w:val="005E56F5"/>
    <w:rsid w:val="005E57E2"/>
    <w:rsid w:val="005E5A70"/>
    <w:rsid w:val="005E5FDA"/>
    <w:rsid w:val="005E622A"/>
    <w:rsid w:val="005E6384"/>
    <w:rsid w:val="005E6483"/>
    <w:rsid w:val="005E65B2"/>
    <w:rsid w:val="005E666E"/>
    <w:rsid w:val="005E67BD"/>
    <w:rsid w:val="005E68CD"/>
    <w:rsid w:val="005E7179"/>
    <w:rsid w:val="005E783D"/>
    <w:rsid w:val="005E7D8C"/>
    <w:rsid w:val="005F074C"/>
    <w:rsid w:val="005F0BD0"/>
    <w:rsid w:val="005F0F0B"/>
    <w:rsid w:val="005F165F"/>
    <w:rsid w:val="005F17E6"/>
    <w:rsid w:val="005F1925"/>
    <w:rsid w:val="005F1F5C"/>
    <w:rsid w:val="005F235C"/>
    <w:rsid w:val="005F246B"/>
    <w:rsid w:val="005F2AB0"/>
    <w:rsid w:val="005F2B24"/>
    <w:rsid w:val="005F2B81"/>
    <w:rsid w:val="005F2D10"/>
    <w:rsid w:val="005F2DAE"/>
    <w:rsid w:val="005F2FAA"/>
    <w:rsid w:val="005F3800"/>
    <w:rsid w:val="005F38E1"/>
    <w:rsid w:val="005F393A"/>
    <w:rsid w:val="005F3A89"/>
    <w:rsid w:val="005F3A9E"/>
    <w:rsid w:val="005F3AA8"/>
    <w:rsid w:val="005F426F"/>
    <w:rsid w:val="005F4461"/>
    <w:rsid w:val="005F45C4"/>
    <w:rsid w:val="005F4634"/>
    <w:rsid w:val="005F4A0F"/>
    <w:rsid w:val="005F4F70"/>
    <w:rsid w:val="005F5348"/>
    <w:rsid w:val="005F5B19"/>
    <w:rsid w:val="005F5D12"/>
    <w:rsid w:val="005F5E8B"/>
    <w:rsid w:val="005F5FAB"/>
    <w:rsid w:val="005F6634"/>
    <w:rsid w:val="005F6B7F"/>
    <w:rsid w:val="005F6C3F"/>
    <w:rsid w:val="005F6EEA"/>
    <w:rsid w:val="005F6F70"/>
    <w:rsid w:val="005F7001"/>
    <w:rsid w:val="005F7332"/>
    <w:rsid w:val="005F7AFB"/>
    <w:rsid w:val="00600040"/>
    <w:rsid w:val="006001E0"/>
    <w:rsid w:val="006001E5"/>
    <w:rsid w:val="006002C9"/>
    <w:rsid w:val="0060034E"/>
    <w:rsid w:val="00601A2F"/>
    <w:rsid w:val="00601A51"/>
    <w:rsid w:val="00601D28"/>
    <w:rsid w:val="00601F74"/>
    <w:rsid w:val="0060238A"/>
    <w:rsid w:val="006023F5"/>
    <w:rsid w:val="006024EF"/>
    <w:rsid w:val="00602759"/>
    <w:rsid w:val="0060299F"/>
    <w:rsid w:val="00603563"/>
    <w:rsid w:val="0060374A"/>
    <w:rsid w:val="00603C67"/>
    <w:rsid w:val="0060407F"/>
    <w:rsid w:val="00604109"/>
    <w:rsid w:val="00604157"/>
    <w:rsid w:val="006042B7"/>
    <w:rsid w:val="006046E8"/>
    <w:rsid w:val="006048C5"/>
    <w:rsid w:val="00605105"/>
    <w:rsid w:val="00605ADE"/>
    <w:rsid w:val="00605F7D"/>
    <w:rsid w:val="00606445"/>
    <w:rsid w:val="0060661A"/>
    <w:rsid w:val="00606783"/>
    <w:rsid w:val="00606B75"/>
    <w:rsid w:val="00606D1D"/>
    <w:rsid w:val="00606FA6"/>
    <w:rsid w:val="00607222"/>
    <w:rsid w:val="00607443"/>
    <w:rsid w:val="006074A5"/>
    <w:rsid w:val="006074F0"/>
    <w:rsid w:val="006077E1"/>
    <w:rsid w:val="00607895"/>
    <w:rsid w:val="00607A6F"/>
    <w:rsid w:val="00607BA4"/>
    <w:rsid w:val="00607C2F"/>
    <w:rsid w:val="00610607"/>
    <w:rsid w:val="00610E02"/>
    <w:rsid w:val="00610F58"/>
    <w:rsid w:val="00610F69"/>
    <w:rsid w:val="006110D9"/>
    <w:rsid w:val="006114E9"/>
    <w:rsid w:val="006119C9"/>
    <w:rsid w:val="00611C44"/>
    <w:rsid w:val="00611D78"/>
    <w:rsid w:val="00612245"/>
    <w:rsid w:val="006123CC"/>
    <w:rsid w:val="00612524"/>
    <w:rsid w:val="006125FD"/>
    <w:rsid w:val="00612A9C"/>
    <w:rsid w:val="00612D83"/>
    <w:rsid w:val="00612FD5"/>
    <w:rsid w:val="00613156"/>
    <w:rsid w:val="006137A9"/>
    <w:rsid w:val="006139E8"/>
    <w:rsid w:val="00613F80"/>
    <w:rsid w:val="006141AF"/>
    <w:rsid w:val="00614349"/>
    <w:rsid w:val="00614377"/>
    <w:rsid w:val="00614744"/>
    <w:rsid w:val="00614825"/>
    <w:rsid w:val="0061490A"/>
    <w:rsid w:val="00614AB0"/>
    <w:rsid w:val="00614DC5"/>
    <w:rsid w:val="00614F43"/>
    <w:rsid w:val="00615100"/>
    <w:rsid w:val="00615144"/>
    <w:rsid w:val="0061529F"/>
    <w:rsid w:val="006153F4"/>
    <w:rsid w:val="00615410"/>
    <w:rsid w:val="00615509"/>
    <w:rsid w:val="00615C5A"/>
    <w:rsid w:val="00615DAD"/>
    <w:rsid w:val="00615E36"/>
    <w:rsid w:val="00616419"/>
    <w:rsid w:val="006166A9"/>
    <w:rsid w:val="006166B8"/>
    <w:rsid w:val="0061698D"/>
    <w:rsid w:val="0061705E"/>
    <w:rsid w:val="006172A5"/>
    <w:rsid w:val="00617395"/>
    <w:rsid w:val="006174D1"/>
    <w:rsid w:val="00617BA4"/>
    <w:rsid w:val="006200A5"/>
    <w:rsid w:val="006201A4"/>
    <w:rsid w:val="00620A2D"/>
    <w:rsid w:val="00620EBC"/>
    <w:rsid w:val="00621546"/>
    <w:rsid w:val="006215D2"/>
    <w:rsid w:val="00621896"/>
    <w:rsid w:val="006218D0"/>
    <w:rsid w:val="00621D53"/>
    <w:rsid w:val="006223D0"/>
    <w:rsid w:val="00622647"/>
    <w:rsid w:val="00622AD3"/>
    <w:rsid w:val="00622D1F"/>
    <w:rsid w:val="00622F26"/>
    <w:rsid w:val="00622FD7"/>
    <w:rsid w:val="0062307B"/>
    <w:rsid w:val="006231F3"/>
    <w:rsid w:val="006232C0"/>
    <w:rsid w:val="0062340F"/>
    <w:rsid w:val="00623A6E"/>
    <w:rsid w:val="00623AD0"/>
    <w:rsid w:val="00623BD4"/>
    <w:rsid w:val="00623BF5"/>
    <w:rsid w:val="00624024"/>
    <w:rsid w:val="00624226"/>
    <w:rsid w:val="00624231"/>
    <w:rsid w:val="00624346"/>
    <w:rsid w:val="00624365"/>
    <w:rsid w:val="006245C6"/>
    <w:rsid w:val="0062477E"/>
    <w:rsid w:val="00624B8C"/>
    <w:rsid w:val="006250C7"/>
    <w:rsid w:val="006250E6"/>
    <w:rsid w:val="00625447"/>
    <w:rsid w:val="00625CEB"/>
    <w:rsid w:val="00625CF1"/>
    <w:rsid w:val="00625DAC"/>
    <w:rsid w:val="00625E76"/>
    <w:rsid w:val="00625F03"/>
    <w:rsid w:val="00625FF8"/>
    <w:rsid w:val="006260E6"/>
    <w:rsid w:val="006268FB"/>
    <w:rsid w:val="00626B7E"/>
    <w:rsid w:val="00626FB9"/>
    <w:rsid w:val="00627584"/>
    <w:rsid w:val="00627738"/>
    <w:rsid w:val="00627802"/>
    <w:rsid w:val="00627A91"/>
    <w:rsid w:val="00627C90"/>
    <w:rsid w:val="00627EB3"/>
    <w:rsid w:val="0063005F"/>
    <w:rsid w:val="0063010F"/>
    <w:rsid w:val="00630234"/>
    <w:rsid w:val="00630766"/>
    <w:rsid w:val="006309F4"/>
    <w:rsid w:val="00630A0E"/>
    <w:rsid w:val="00630ABC"/>
    <w:rsid w:val="00630CDF"/>
    <w:rsid w:val="00630CF2"/>
    <w:rsid w:val="00630EEE"/>
    <w:rsid w:val="006310E4"/>
    <w:rsid w:val="006312A0"/>
    <w:rsid w:val="00631514"/>
    <w:rsid w:val="00631872"/>
    <w:rsid w:val="00631DBA"/>
    <w:rsid w:val="0063238E"/>
    <w:rsid w:val="006325AF"/>
    <w:rsid w:val="00632963"/>
    <w:rsid w:val="006335BB"/>
    <w:rsid w:val="00633EC7"/>
    <w:rsid w:val="0063406A"/>
    <w:rsid w:val="0063421C"/>
    <w:rsid w:val="0063424C"/>
    <w:rsid w:val="006343D9"/>
    <w:rsid w:val="00634816"/>
    <w:rsid w:val="00634FCF"/>
    <w:rsid w:val="006351F1"/>
    <w:rsid w:val="006356C7"/>
    <w:rsid w:val="0063588A"/>
    <w:rsid w:val="00635B89"/>
    <w:rsid w:val="00635E1B"/>
    <w:rsid w:val="00635FAA"/>
    <w:rsid w:val="00636572"/>
    <w:rsid w:val="00636580"/>
    <w:rsid w:val="006365C7"/>
    <w:rsid w:val="00636C66"/>
    <w:rsid w:val="00636E9D"/>
    <w:rsid w:val="00637355"/>
    <w:rsid w:val="006377F7"/>
    <w:rsid w:val="006379A9"/>
    <w:rsid w:val="00637AB4"/>
    <w:rsid w:val="00637C01"/>
    <w:rsid w:val="00637DA5"/>
    <w:rsid w:val="00640711"/>
    <w:rsid w:val="00640825"/>
    <w:rsid w:val="0064090B"/>
    <w:rsid w:val="006411AA"/>
    <w:rsid w:val="006412B2"/>
    <w:rsid w:val="006416FD"/>
    <w:rsid w:val="0064192E"/>
    <w:rsid w:val="00641A83"/>
    <w:rsid w:val="00641B0F"/>
    <w:rsid w:val="0064208F"/>
    <w:rsid w:val="0064212B"/>
    <w:rsid w:val="00642547"/>
    <w:rsid w:val="00642956"/>
    <w:rsid w:val="006429CA"/>
    <w:rsid w:val="00642B7C"/>
    <w:rsid w:val="00642EDD"/>
    <w:rsid w:val="006435D4"/>
    <w:rsid w:val="00643BBD"/>
    <w:rsid w:val="00643C1F"/>
    <w:rsid w:val="00643EB9"/>
    <w:rsid w:val="00644057"/>
    <w:rsid w:val="006446DB"/>
    <w:rsid w:val="00644853"/>
    <w:rsid w:val="00644F90"/>
    <w:rsid w:val="0064539F"/>
    <w:rsid w:val="006459A8"/>
    <w:rsid w:val="00645BDC"/>
    <w:rsid w:val="00645D9C"/>
    <w:rsid w:val="00645EBC"/>
    <w:rsid w:val="00645F62"/>
    <w:rsid w:val="006461B0"/>
    <w:rsid w:val="006463CF"/>
    <w:rsid w:val="00646643"/>
    <w:rsid w:val="0064675E"/>
    <w:rsid w:val="00646A75"/>
    <w:rsid w:val="00646CE0"/>
    <w:rsid w:val="006474E5"/>
    <w:rsid w:val="00647C71"/>
    <w:rsid w:val="00647DBA"/>
    <w:rsid w:val="00647F4E"/>
    <w:rsid w:val="00650CA2"/>
    <w:rsid w:val="00650D34"/>
    <w:rsid w:val="00650EB9"/>
    <w:rsid w:val="0065115B"/>
    <w:rsid w:val="0065125B"/>
    <w:rsid w:val="0065150F"/>
    <w:rsid w:val="0065162B"/>
    <w:rsid w:val="0065165F"/>
    <w:rsid w:val="00651B7E"/>
    <w:rsid w:val="00651CE8"/>
    <w:rsid w:val="006526CC"/>
    <w:rsid w:val="006526D5"/>
    <w:rsid w:val="006529D6"/>
    <w:rsid w:val="00652FA6"/>
    <w:rsid w:val="006530FB"/>
    <w:rsid w:val="00653630"/>
    <w:rsid w:val="00653C0C"/>
    <w:rsid w:val="00653E5F"/>
    <w:rsid w:val="0065400F"/>
    <w:rsid w:val="0065487B"/>
    <w:rsid w:val="00654B26"/>
    <w:rsid w:val="00654CBB"/>
    <w:rsid w:val="00654DC6"/>
    <w:rsid w:val="00655066"/>
    <w:rsid w:val="0065559A"/>
    <w:rsid w:val="00655D85"/>
    <w:rsid w:val="00655E1E"/>
    <w:rsid w:val="00655FD7"/>
    <w:rsid w:val="006561AE"/>
    <w:rsid w:val="00656685"/>
    <w:rsid w:val="00656AD1"/>
    <w:rsid w:val="00656CA0"/>
    <w:rsid w:val="00657606"/>
    <w:rsid w:val="00657811"/>
    <w:rsid w:val="0065783F"/>
    <w:rsid w:val="00657866"/>
    <w:rsid w:val="006579CB"/>
    <w:rsid w:val="00657CF0"/>
    <w:rsid w:val="00657CFD"/>
    <w:rsid w:val="00657FE1"/>
    <w:rsid w:val="006600AB"/>
    <w:rsid w:val="006600CB"/>
    <w:rsid w:val="0066029A"/>
    <w:rsid w:val="006603B7"/>
    <w:rsid w:val="0066043B"/>
    <w:rsid w:val="00660535"/>
    <w:rsid w:val="00660860"/>
    <w:rsid w:val="006608BF"/>
    <w:rsid w:val="00660A30"/>
    <w:rsid w:val="00660C5C"/>
    <w:rsid w:val="00660EA3"/>
    <w:rsid w:val="00660F88"/>
    <w:rsid w:val="0066108D"/>
    <w:rsid w:val="00661133"/>
    <w:rsid w:val="006612C5"/>
    <w:rsid w:val="0066130C"/>
    <w:rsid w:val="00661411"/>
    <w:rsid w:val="00661C14"/>
    <w:rsid w:val="00661C37"/>
    <w:rsid w:val="00661CDC"/>
    <w:rsid w:val="00661ED9"/>
    <w:rsid w:val="006620F4"/>
    <w:rsid w:val="0066214A"/>
    <w:rsid w:val="00662316"/>
    <w:rsid w:val="006623F1"/>
    <w:rsid w:val="00662A6D"/>
    <w:rsid w:val="00662AD9"/>
    <w:rsid w:val="00662E86"/>
    <w:rsid w:val="00662F7C"/>
    <w:rsid w:val="006630F9"/>
    <w:rsid w:val="00663150"/>
    <w:rsid w:val="006632F3"/>
    <w:rsid w:val="00663592"/>
    <w:rsid w:val="00663856"/>
    <w:rsid w:val="00663B71"/>
    <w:rsid w:val="00663C78"/>
    <w:rsid w:val="00663E60"/>
    <w:rsid w:val="00664050"/>
    <w:rsid w:val="00664319"/>
    <w:rsid w:val="00664662"/>
    <w:rsid w:val="00664B65"/>
    <w:rsid w:val="00664BA0"/>
    <w:rsid w:val="00664FF5"/>
    <w:rsid w:val="00665165"/>
    <w:rsid w:val="00665314"/>
    <w:rsid w:val="00665557"/>
    <w:rsid w:val="00665FC8"/>
    <w:rsid w:val="00666B73"/>
    <w:rsid w:val="00666DEA"/>
    <w:rsid w:val="00667071"/>
    <w:rsid w:val="00667241"/>
    <w:rsid w:val="0067007A"/>
    <w:rsid w:val="006702BE"/>
    <w:rsid w:val="00670A6E"/>
    <w:rsid w:val="00670BA7"/>
    <w:rsid w:val="00670C24"/>
    <w:rsid w:val="00670C6C"/>
    <w:rsid w:val="00670CF8"/>
    <w:rsid w:val="00670D03"/>
    <w:rsid w:val="00670F6D"/>
    <w:rsid w:val="00671093"/>
    <w:rsid w:val="006710C3"/>
    <w:rsid w:val="00671272"/>
    <w:rsid w:val="006716C3"/>
    <w:rsid w:val="0067193E"/>
    <w:rsid w:val="00671A6C"/>
    <w:rsid w:val="0067244E"/>
    <w:rsid w:val="006725FE"/>
    <w:rsid w:val="00672636"/>
    <w:rsid w:val="00672699"/>
    <w:rsid w:val="00672A20"/>
    <w:rsid w:val="00672DAB"/>
    <w:rsid w:val="0067323F"/>
    <w:rsid w:val="00673894"/>
    <w:rsid w:val="00673ED2"/>
    <w:rsid w:val="006745A3"/>
    <w:rsid w:val="00675C04"/>
    <w:rsid w:val="00675E82"/>
    <w:rsid w:val="00675F6B"/>
    <w:rsid w:val="006762F6"/>
    <w:rsid w:val="00676665"/>
    <w:rsid w:val="00676784"/>
    <w:rsid w:val="00676812"/>
    <w:rsid w:val="00676E0D"/>
    <w:rsid w:val="00677100"/>
    <w:rsid w:val="00677426"/>
    <w:rsid w:val="00677540"/>
    <w:rsid w:val="00680B3E"/>
    <w:rsid w:val="00680D8C"/>
    <w:rsid w:val="00680F75"/>
    <w:rsid w:val="00681968"/>
    <w:rsid w:val="006819EE"/>
    <w:rsid w:val="00681BB2"/>
    <w:rsid w:val="00681DC6"/>
    <w:rsid w:val="00682041"/>
    <w:rsid w:val="00682772"/>
    <w:rsid w:val="00682A91"/>
    <w:rsid w:val="00682BCB"/>
    <w:rsid w:val="00682ECC"/>
    <w:rsid w:val="00682F8F"/>
    <w:rsid w:val="00683494"/>
    <w:rsid w:val="00683ADF"/>
    <w:rsid w:val="00683FBE"/>
    <w:rsid w:val="00683FC2"/>
    <w:rsid w:val="00683FF5"/>
    <w:rsid w:val="00684110"/>
    <w:rsid w:val="006849AF"/>
    <w:rsid w:val="00684B1A"/>
    <w:rsid w:val="00684C8D"/>
    <w:rsid w:val="00684D14"/>
    <w:rsid w:val="00684EA5"/>
    <w:rsid w:val="006852FD"/>
    <w:rsid w:val="00685517"/>
    <w:rsid w:val="00685897"/>
    <w:rsid w:val="00685DBD"/>
    <w:rsid w:val="00685F42"/>
    <w:rsid w:val="006868B8"/>
    <w:rsid w:val="006868DD"/>
    <w:rsid w:val="00686958"/>
    <w:rsid w:val="006869FF"/>
    <w:rsid w:val="00686BCA"/>
    <w:rsid w:val="00686FEE"/>
    <w:rsid w:val="0068702E"/>
    <w:rsid w:val="00687174"/>
    <w:rsid w:val="00687813"/>
    <w:rsid w:val="00687A6D"/>
    <w:rsid w:val="00690501"/>
    <w:rsid w:val="00690520"/>
    <w:rsid w:val="00690B1F"/>
    <w:rsid w:val="00690C20"/>
    <w:rsid w:val="00691326"/>
    <w:rsid w:val="0069184E"/>
    <w:rsid w:val="0069197F"/>
    <w:rsid w:val="0069201E"/>
    <w:rsid w:val="0069216C"/>
    <w:rsid w:val="006922B1"/>
    <w:rsid w:val="0069240D"/>
    <w:rsid w:val="0069247F"/>
    <w:rsid w:val="006934FE"/>
    <w:rsid w:val="00693584"/>
    <w:rsid w:val="00693717"/>
    <w:rsid w:val="006938BC"/>
    <w:rsid w:val="00693CCC"/>
    <w:rsid w:val="00693D29"/>
    <w:rsid w:val="00693E79"/>
    <w:rsid w:val="00693EB3"/>
    <w:rsid w:val="00694245"/>
    <w:rsid w:val="0069460B"/>
    <w:rsid w:val="00694E33"/>
    <w:rsid w:val="00694E5B"/>
    <w:rsid w:val="006952B8"/>
    <w:rsid w:val="006953DF"/>
    <w:rsid w:val="00695CC9"/>
    <w:rsid w:val="00695EED"/>
    <w:rsid w:val="00696580"/>
    <w:rsid w:val="0069667F"/>
    <w:rsid w:val="0069668D"/>
    <w:rsid w:val="006966CC"/>
    <w:rsid w:val="00696AF2"/>
    <w:rsid w:val="00696E31"/>
    <w:rsid w:val="00696FA3"/>
    <w:rsid w:val="0069725C"/>
    <w:rsid w:val="00697760"/>
    <w:rsid w:val="00697F7E"/>
    <w:rsid w:val="006A06B2"/>
    <w:rsid w:val="006A076B"/>
    <w:rsid w:val="006A0A47"/>
    <w:rsid w:val="006A0B17"/>
    <w:rsid w:val="006A0EA5"/>
    <w:rsid w:val="006A0EE0"/>
    <w:rsid w:val="006A0F51"/>
    <w:rsid w:val="006A14AF"/>
    <w:rsid w:val="006A1786"/>
    <w:rsid w:val="006A17DF"/>
    <w:rsid w:val="006A184D"/>
    <w:rsid w:val="006A1B02"/>
    <w:rsid w:val="006A1B24"/>
    <w:rsid w:val="006A1B7D"/>
    <w:rsid w:val="006A2153"/>
    <w:rsid w:val="006A2263"/>
    <w:rsid w:val="006A231B"/>
    <w:rsid w:val="006A29E1"/>
    <w:rsid w:val="006A2BD3"/>
    <w:rsid w:val="006A2D3B"/>
    <w:rsid w:val="006A37B7"/>
    <w:rsid w:val="006A3C47"/>
    <w:rsid w:val="006A4473"/>
    <w:rsid w:val="006A4759"/>
    <w:rsid w:val="006A4798"/>
    <w:rsid w:val="006A487C"/>
    <w:rsid w:val="006A4A7D"/>
    <w:rsid w:val="006A4EF6"/>
    <w:rsid w:val="006A54A2"/>
    <w:rsid w:val="006A5565"/>
    <w:rsid w:val="006A5E2B"/>
    <w:rsid w:val="006A5FB5"/>
    <w:rsid w:val="006A60DF"/>
    <w:rsid w:val="006A6585"/>
    <w:rsid w:val="006A6974"/>
    <w:rsid w:val="006A69F2"/>
    <w:rsid w:val="006A7316"/>
    <w:rsid w:val="006A7818"/>
    <w:rsid w:val="006B0207"/>
    <w:rsid w:val="006B0990"/>
    <w:rsid w:val="006B10EE"/>
    <w:rsid w:val="006B11C2"/>
    <w:rsid w:val="006B1630"/>
    <w:rsid w:val="006B1CDE"/>
    <w:rsid w:val="006B1E17"/>
    <w:rsid w:val="006B1F6B"/>
    <w:rsid w:val="006B2120"/>
    <w:rsid w:val="006B23E0"/>
    <w:rsid w:val="006B2991"/>
    <w:rsid w:val="006B2B9E"/>
    <w:rsid w:val="006B2BB2"/>
    <w:rsid w:val="006B2EB9"/>
    <w:rsid w:val="006B36B3"/>
    <w:rsid w:val="006B3C23"/>
    <w:rsid w:val="006B43A2"/>
    <w:rsid w:val="006B46E6"/>
    <w:rsid w:val="006B49D1"/>
    <w:rsid w:val="006B4D1C"/>
    <w:rsid w:val="006B5792"/>
    <w:rsid w:val="006B5981"/>
    <w:rsid w:val="006B59B3"/>
    <w:rsid w:val="006B5D6B"/>
    <w:rsid w:val="006B5D94"/>
    <w:rsid w:val="006B63F4"/>
    <w:rsid w:val="006B6584"/>
    <w:rsid w:val="006B6FCD"/>
    <w:rsid w:val="006B71D3"/>
    <w:rsid w:val="006B7773"/>
    <w:rsid w:val="006B77F7"/>
    <w:rsid w:val="006B78BC"/>
    <w:rsid w:val="006B78BF"/>
    <w:rsid w:val="006B78E7"/>
    <w:rsid w:val="006B79F1"/>
    <w:rsid w:val="006B7A32"/>
    <w:rsid w:val="006C0733"/>
    <w:rsid w:val="006C084F"/>
    <w:rsid w:val="006C09A7"/>
    <w:rsid w:val="006C0BBB"/>
    <w:rsid w:val="006C1423"/>
    <w:rsid w:val="006C1722"/>
    <w:rsid w:val="006C18B5"/>
    <w:rsid w:val="006C1E48"/>
    <w:rsid w:val="006C1E4A"/>
    <w:rsid w:val="006C1EA5"/>
    <w:rsid w:val="006C21C2"/>
    <w:rsid w:val="006C2215"/>
    <w:rsid w:val="006C23BB"/>
    <w:rsid w:val="006C2C7D"/>
    <w:rsid w:val="006C38A7"/>
    <w:rsid w:val="006C39C1"/>
    <w:rsid w:val="006C3D5C"/>
    <w:rsid w:val="006C4C54"/>
    <w:rsid w:val="006C4C57"/>
    <w:rsid w:val="006C4C98"/>
    <w:rsid w:val="006C55CE"/>
    <w:rsid w:val="006C5B21"/>
    <w:rsid w:val="006C5D49"/>
    <w:rsid w:val="006C5DE6"/>
    <w:rsid w:val="006C5EB6"/>
    <w:rsid w:val="006C5ED4"/>
    <w:rsid w:val="006C5F72"/>
    <w:rsid w:val="006C5FE8"/>
    <w:rsid w:val="006C62F3"/>
    <w:rsid w:val="006C639B"/>
    <w:rsid w:val="006C7760"/>
    <w:rsid w:val="006C7DB1"/>
    <w:rsid w:val="006C7E89"/>
    <w:rsid w:val="006C7F54"/>
    <w:rsid w:val="006C7F89"/>
    <w:rsid w:val="006D0041"/>
    <w:rsid w:val="006D00F4"/>
    <w:rsid w:val="006D03FA"/>
    <w:rsid w:val="006D04AA"/>
    <w:rsid w:val="006D07D5"/>
    <w:rsid w:val="006D0942"/>
    <w:rsid w:val="006D0BB1"/>
    <w:rsid w:val="006D0D77"/>
    <w:rsid w:val="006D122E"/>
    <w:rsid w:val="006D12E3"/>
    <w:rsid w:val="006D143D"/>
    <w:rsid w:val="006D150C"/>
    <w:rsid w:val="006D162D"/>
    <w:rsid w:val="006D28DD"/>
    <w:rsid w:val="006D2931"/>
    <w:rsid w:val="006D2EF0"/>
    <w:rsid w:val="006D2F1C"/>
    <w:rsid w:val="006D353C"/>
    <w:rsid w:val="006D3AD2"/>
    <w:rsid w:val="006D3CEE"/>
    <w:rsid w:val="006D408F"/>
    <w:rsid w:val="006D4104"/>
    <w:rsid w:val="006D44E2"/>
    <w:rsid w:val="006D464D"/>
    <w:rsid w:val="006D46C6"/>
    <w:rsid w:val="006D4B66"/>
    <w:rsid w:val="006D4C6E"/>
    <w:rsid w:val="006D4D08"/>
    <w:rsid w:val="006D4E93"/>
    <w:rsid w:val="006D5371"/>
    <w:rsid w:val="006D5768"/>
    <w:rsid w:val="006D61F5"/>
    <w:rsid w:val="006D6670"/>
    <w:rsid w:val="006D6E90"/>
    <w:rsid w:val="006D703A"/>
    <w:rsid w:val="006D7067"/>
    <w:rsid w:val="006D7589"/>
    <w:rsid w:val="006D7776"/>
    <w:rsid w:val="006D798E"/>
    <w:rsid w:val="006E026F"/>
    <w:rsid w:val="006E0522"/>
    <w:rsid w:val="006E0857"/>
    <w:rsid w:val="006E0CE3"/>
    <w:rsid w:val="006E0D8F"/>
    <w:rsid w:val="006E0E10"/>
    <w:rsid w:val="006E0E8E"/>
    <w:rsid w:val="006E10A4"/>
    <w:rsid w:val="006E11DA"/>
    <w:rsid w:val="006E19F6"/>
    <w:rsid w:val="006E20A9"/>
    <w:rsid w:val="006E2122"/>
    <w:rsid w:val="006E2693"/>
    <w:rsid w:val="006E2CFD"/>
    <w:rsid w:val="006E2D16"/>
    <w:rsid w:val="006E2F48"/>
    <w:rsid w:val="006E300E"/>
    <w:rsid w:val="006E3D82"/>
    <w:rsid w:val="006E5078"/>
    <w:rsid w:val="006E590D"/>
    <w:rsid w:val="006E5AE2"/>
    <w:rsid w:val="006E5EB2"/>
    <w:rsid w:val="006E617F"/>
    <w:rsid w:val="006E626D"/>
    <w:rsid w:val="006E66D3"/>
    <w:rsid w:val="006E699D"/>
    <w:rsid w:val="006E6A38"/>
    <w:rsid w:val="006E6ACA"/>
    <w:rsid w:val="006E6F3E"/>
    <w:rsid w:val="006E6F5E"/>
    <w:rsid w:val="006E76B8"/>
    <w:rsid w:val="006E7E37"/>
    <w:rsid w:val="006E7EBD"/>
    <w:rsid w:val="006F0008"/>
    <w:rsid w:val="006F01B7"/>
    <w:rsid w:val="006F0917"/>
    <w:rsid w:val="006F10F1"/>
    <w:rsid w:val="006F14CD"/>
    <w:rsid w:val="006F1541"/>
    <w:rsid w:val="006F159B"/>
    <w:rsid w:val="006F1790"/>
    <w:rsid w:val="006F17D8"/>
    <w:rsid w:val="006F1F02"/>
    <w:rsid w:val="006F1FBC"/>
    <w:rsid w:val="006F2440"/>
    <w:rsid w:val="006F2ABB"/>
    <w:rsid w:val="006F2FBF"/>
    <w:rsid w:val="006F3144"/>
    <w:rsid w:val="006F340B"/>
    <w:rsid w:val="006F3BCE"/>
    <w:rsid w:val="006F3FC4"/>
    <w:rsid w:val="006F40FA"/>
    <w:rsid w:val="006F412F"/>
    <w:rsid w:val="006F42D7"/>
    <w:rsid w:val="006F47DC"/>
    <w:rsid w:val="006F4919"/>
    <w:rsid w:val="006F56E5"/>
    <w:rsid w:val="006F5760"/>
    <w:rsid w:val="006F58A9"/>
    <w:rsid w:val="006F5AE2"/>
    <w:rsid w:val="006F61CA"/>
    <w:rsid w:val="006F633D"/>
    <w:rsid w:val="006F639F"/>
    <w:rsid w:val="006F66A0"/>
    <w:rsid w:val="006F6862"/>
    <w:rsid w:val="006F68FC"/>
    <w:rsid w:val="006F6B03"/>
    <w:rsid w:val="006F6F7A"/>
    <w:rsid w:val="006F7193"/>
    <w:rsid w:val="006F7402"/>
    <w:rsid w:val="006F753F"/>
    <w:rsid w:val="006F766C"/>
    <w:rsid w:val="006F7780"/>
    <w:rsid w:val="006F7907"/>
    <w:rsid w:val="006F7991"/>
    <w:rsid w:val="006F7A62"/>
    <w:rsid w:val="006F7B34"/>
    <w:rsid w:val="006F7CD6"/>
    <w:rsid w:val="00700760"/>
    <w:rsid w:val="00700A21"/>
    <w:rsid w:val="00700C24"/>
    <w:rsid w:val="00700CFC"/>
    <w:rsid w:val="00700E35"/>
    <w:rsid w:val="00700F14"/>
    <w:rsid w:val="00701062"/>
    <w:rsid w:val="00701597"/>
    <w:rsid w:val="007016B6"/>
    <w:rsid w:val="007018E2"/>
    <w:rsid w:val="00701939"/>
    <w:rsid w:val="00701E4E"/>
    <w:rsid w:val="00702054"/>
    <w:rsid w:val="0070224B"/>
    <w:rsid w:val="007022D9"/>
    <w:rsid w:val="007028F9"/>
    <w:rsid w:val="00703017"/>
    <w:rsid w:val="00703392"/>
    <w:rsid w:val="007033A4"/>
    <w:rsid w:val="007038CB"/>
    <w:rsid w:val="007046D2"/>
    <w:rsid w:val="007049DF"/>
    <w:rsid w:val="007051BC"/>
    <w:rsid w:val="0070559A"/>
    <w:rsid w:val="0070568F"/>
    <w:rsid w:val="007057F6"/>
    <w:rsid w:val="00705E00"/>
    <w:rsid w:val="0070619A"/>
    <w:rsid w:val="0070620F"/>
    <w:rsid w:val="0070626C"/>
    <w:rsid w:val="007062A0"/>
    <w:rsid w:val="007067C7"/>
    <w:rsid w:val="00706AA8"/>
    <w:rsid w:val="00706C04"/>
    <w:rsid w:val="00706D6E"/>
    <w:rsid w:val="0070709E"/>
    <w:rsid w:val="00707227"/>
    <w:rsid w:val="00707501"/>
    <w:rsid w:val="0070756A"/>
    <w:rsid w:val="007075B0"/>
    <w:rsid w:val="00707BCF"/>
    <w:rsid w:val="007100BF"/>
    <w:rsid w:val="0071011D"/>
    <w:rsid w:val="007107BF"/>
    <w:rsid w:val="00710FA8"/>
    <w:rsid w:val="00711262"/>
    <w:rsid w:val="00711630"/>
    <w:rsid w:val="00711B05"/>
    <w:rsid w:val="00712062"/>
    <w:rsid w:val="007122DA"/>
    <w:rsid w:val="00712304"/>
    <w:rsid w:val="007124CB"/>
    <w:rsid w:val="0071262F"/>
    <w:rsid w:val="007126B5"/>
    <w:rsid w:val="007126E1"/>
    <w:rsid w:val="007128B3"/>
    <w:rsid w:val="00712E18"/>
    <w:rsid w:val="00712E86"/>
    <w:rsid w:val="0071378A"/>
    <w:rsid w:val="00713CC7"/>
    <w:rsid w:val="00713E01"/>
    <w:rsid w:val="007145AB"/>
    <w:rsid w:val="0071461A"/>
    <w:rsid w:val="007146B9"/>
    <w:rsid w:val="0071473F"/>
    <w:rsid w:val="007149D6"/>
    <w:rsid w:val="00714A98"/>
    <w:rsid w:val="00714BE7"/>
    <w:rsid w:val="00714E5F"/>
    <w:rsid w:val="00714E69"/>
    <w:rsid w:val="007154A3"/>
    <w:rsid w:val="007154D3"/>
    <w:rsid w:val="00715616"/>
    <w:rsid w:val="00715BA3"/>
    <w:rsid w:val="00715E3F"/>
    <w:rsid w:val="00716158"/>
    <w:rsid w:val="007162F6"/>
    <w:rsid w:val="007168C3"/>
    <w:rsid w:val="00716AEF"/>
    <w:rsid w:val="00716B3E"/>
    <w:rsid w:val="00716EB0"/>
    <w:rsid w:val="00717868"/>
    <w:rsid w:val="007179EC"/>
    <w:rsid w:val="00717C08"/>
    <w:rsid w:val="0072000C"/>
    <w:rsid w:val="007201D2"/>
    <w:rsid w:val="007202FA"/>
    <w:rsid w:val="0072032B"/>
    <w:rsid w:val="00720407"/>
    <w:rsid w:val="0072045F"/>
    <w:rsid w:val="007209AA"/>
    <w:rsid w:val="00720D86"/>
    <w:rsid w:val="00720E7F"/>
    <w:rsid w:val="007212A5"/>
    <w:rsid w:val="00721303"/>
    <w:rsid w:val="0072148E"/>
    <w:rsid w:val="0072172D"/>
    <w:rsid w:val="00721A10"/>
    <w:rsid w:val="00721C3D"/>
    <w:rsid w:val="00722913"/>
    <w:rsid w:val="007229CC"/>
    <w:rsid w:val="00722A54"/>
    <w:rsid w:val="00722CAC"/>
    <w:rsid w:val="00722D24"/>
    <w:rsid w:val="00722D67"/>
    <w:rsid w:val="0072364C"/>
    <w:rsid w:val="007236C2"/>
    <w:rsid w:val="0072378F"/>
    <w:rsid w:val="00723D34"/>
    <w:rsid w:val="00723E22"/>
    <w:rsid w:val="0072437F"/>
    <w:rsid w:val="00724AA4"/>
    <w:rsid w:val="007250E9"/>
    <w:rsid w:val="007253B7"/>
    <w:rsid w:val="00725E12"/>
    <w:rsid w:val="00725E41"/>
    <w:rsid w:val="00725F57"/>
    <w:rsid w:val="0072606B"/>
    <w:rsid w:val="00726691"/>
    <w:rsid w:val="007266A2"/>
    <w:rsid w:val="007268B0"/>
    <w:rsid w:val="007269B6"/>
    <w:rsid w:val="00726E6C"/>
    <w:rsid w:val="007273D7"/>
    <w:rsid w:val="00727B40"/>
    <w:rsid w:val="00730AB4"/>
    <w:rsid w:val="00730BA2"/>
    <w:rsid w:val="00730CDF"/>
    <w:rsid w:val="00731296"/>
    <w:rsid w:val="00731358"/>
    <w:rsid w:val="00731981"/>
    <w:rsid w:val="0073204E"/>
    <w:rsid w:val="0073206A"/>
    <w:rsid w:val="00732675"/>
    <w:rsid w:val="007326DA"/>
    <w:rsid w:val="00732803"/>
    <w:rsid w:val="00732A84"/>
    <w:rsid w:val="0073303B"/>
    <w:rsid w:val="007332C1"/>
    <w:rsid w:val="0073366A"/>
    <w:rsid w:val="00733AB2"/>
    <w:rsid w:val="007345A1"/>
    <w:rsid w:val="007345DD"/>
    <w:rsid w:val="00734BE3"/>
    <w:rsid w:val="00734F3A"/>
    <w:rsid w:val="00734F56"/>
    <w:rsid w:val="0073500B"/>
    <w:rsid w:val="00735199"/>
    <w:rsid w:val="007352C1"/>
    <w:rsid w:val="00735455"/>
    <w:rsid w:val="00735E80"/>
    <w:rsid w:val="0073602C"/>
    <w:rsid w:val="007360B4"/>
    <w:rsid w:val="00736573"/>
    <w:rsid w:val="00736589"/>
    <w:rsid w:val="007368DC"/>
    <w:rsid w:val="00736A4F"/>
    <w:rsid w:val="00736C0F"/>
    <w:rsid w:val="00736D4E"/>
    <w:rsid w:val="0073704A"/>
    <w:rsid w:val="007374FA"/>
    <w:rsid w:val="007376E0"/>
    <w:rsid w:val="0073783E"/>
    <w:rsid w:val="00737990"/>
    <w:rsid w:val="00737A85"/>
    <w:rsid w:val="00737C93"/>
    <w:rsid w:val="00737CD1"/>
    <w:rsid w:val="00740448"/>
    <w:rsid w:val="00740845"/>
    <w:rsid w:val="00740A7C"/>
    <w:rsid w:val="00740BCA"/>
    <w:rsid w:val="00740CAF"/>
    <w:rsid w:val="00741087"/>
    <w:rsid w:val="00741129"/>
    <w:rsid w:val="007417AC"/>
    <w:rsid w:val="00741B76"/>
    <w:rsid w:val="00742074"/>
    <w:rsid w:val="0074276C"/>
    <w:rsid w:val="00742B03"/>
    <w:rsid w:val="00743579"/>
    <w:rsid w:val="0074386D"/>
    <w:rsid w:val="00743BA5"/>
    <w:rsid w:val="00743C41"/>
    <w:rsid w:val="007441B7"/>
    <w:rsid w:val="007441FF"/>
    <w:rsid w:val="00744293"/>
    <w:rsid w:val="0074481B"/>
    <w:rsid w:val="00744A55"/>
    <w:rsid w:val="00744A82"/>
    <w:rsid w:val="00744EFB"/>
    <w:rsid w:val="00745122"/>
    <w:rsid w:val="007454FE"/>
    <w:rsid w:val="00745B82"/>
    <w:rsid w:val="00745DB3"/>
    <w:rsid w:val="00745E01"/>
    <w:rsid w:val="00745ED4"/>
    <w:rsid w:val="007461D9"/>
    <w:rsid w:val="007469B4"/>
    <w:rsid w:val="00746DCD"/>
    <w:rsid w:val="00746F84"/>
    <w:rsid w:val="007475DF"/>
    <w:rsid w:val="0074794F"/>
    <w:rsid w:val="00747F1C"/>
    <w:rsid w:val="007501CF"/>
    <w:rsid w:val="00750C48"/>
    <w:rsid w:val="00750E98"/>
    <w:rsid w:val="00750FCA"/>
    <w:rsid w:val="0075149A"/>
    <w:rsid w:val="00751754"/>
    <w:rsid w:val="00751BD4"/>
    <w:rsid w:val="00751C13"/>
    <w:rsid w:val="00751E39"/>
    <w:rsid w:val="00752161"/>
    <w:rsid w:val="00752200"/>
    <w:rsid w:val="007522FB"/>
    <w:rsid w:val="0075272E"/>
    <w:rsid w:val="00752BFB"/>
    <w:rsid w:val="00752D66"/>
    <w:rsid w:val="00752D93"/>
    <w:rsid w:val="00752E42"/>
    <w:rsid w:val="00753173"/>
    <w:rsid w:val="007534B4"/>
    <w:rsid w:val="0075362B"/>
    <w:rsid w:val="0075399F"/>
    <w:rsid w:val="0075418E"/>
    <w:rsid w:val="0075427F"/>
    <w:rsid w:val="00754404"/>
    <w:rsid w:val="00754475"/>
    <w:rsid w:val="007544A2"/>
    <w:rsid w:val="00754AB7"/>
    <w:rsid w:val="007550B4"/>
    <w:rsid w:val="00755191"/>
    <w:rsid w:val="0075538E"/>
    <w:rsid w:val="00755C0C"/>
    <w:rsid w:val="00756312"/>
    <w:rsid w:val="00756421"/>
    <w:rsid w:val="00756758"/>
    <w:rsid w:val="00756DC6"/>
    <w:rsid w:val="00756F2F"/>
    <w:rsid w:val="00757B0E"/>
    <w:rsid w:val="0076009B"/>
    <w:rsid w:val="007600EC"/>
    <w:rsid w:val="0076010C"/>
    <w:rsid w:val="007605B0"/>
    <w:rsid w:val="00760A2A"/>
    <w:rsid w:val="00760D17"/>
    <w:rsid w:val="00760D71"/>
    <w:rsid w:val="00761237"/>
    <w:rsid w:val="00761B8B"/>
    <w:rsid w:val="00762357"/>
    <w:rsid w:val="007624C0"/>
    <w:rsid w:val="00762998"/>
    <w:rsid w:val="00762BC9"/>
    <w:rsid w:val="00763849"/>
    <w:rsid w:val="00763895"/>
    <w:rsid w:val="00763ABC"/>
    <w:rsid w:val="00763E38"/>
    <w:rsid w:val="00763F88"/>
    <w:rsid w:val="00764145"/>
    <w:rsid w:val="0076419B"/>
    <w:rsid w:val="007644D1"/>
    <w:rsid w:val="00764868"/>
    <w:rsid w:val="007648F7"/>
    <w:rsid w:val="00764D4C"/>
    <w:rsid w:val="00764DED"/>
    <w:rsid w:val="00765380"/>
    <w:rsid w:val="00765497"/>
    <w:rsid w:val="00765AC6"/>
    <w:rsid w:val="00765BD5"/>
    <w:rsid w:val="00766151"/>
    <w:rsid w:val="0076652D"/>
    <w:rsid w:val="0076677D"/>
    <w:rsid w:val="0076681A"/>
    <w:rsid w:val="00766BC2"/>
    <w:rsid w:val="00766CB1"/>
    <w:rsid w:val="00766D4E"/>
    <w:rsid w:val="00766F28"/>
    <w:rsid w:val="007670B7"/>
    <w:rsid w:val="0076711C"/>
    <w:rsid w:val="007672D5"/>
    <w:rsid w:val="007678BD"/>
    <w:rsid w:val="00767938"/>
    <w:rsid w:val="007679BF"/>
    <w:rsid w:val="00770988"/>
    <w:rsid w:val="0077165D"/>
    <w:rsid w:val="0077181E"/>
    <w:rsid w:val="00771D1D"/>
    <w:rsid w:val="007728F0"/>
    <w:rsid w:val="00772CD6"/>
    <w:rsid w:val="00773271"/>
    <w:rsid w:val="00773344"/>
    <w:rsid w:val="00773384"/>
    <w:rsid w:val="007733EF"/>
    <w:rsid w:val="0077353C"/>
    <w:rsid w:val="00773959"/>
    <w:rsid w:val="007739D1"/>
    <w:rsid w:val="00773B8E"/>
    <w:rsid w:val="00774090"/>
    <w:rsid w:val="0077413A"/>
    <w:rsid w:val="00774503"/>
    <w:rsid w:val="00774582"/>
    <w:rsid w:val="0077474B"/>
    <w:rsid w:val="00774874"/>
    <w:rsid w:val="007749BC"/>
    <w:rsid w:val="00774D3F"/>
    <w:rsid w:val="00774E05"/>
    <w:rsid w:val="00775637"/>
    <w:rsid w:val="00775A6F"/>
    <w:rsid w:val="00776463"/>
    <w:rsid w:val="00776D24"/>
    <w:rsid w:val="00776D7B"/>
    <w:rsid w:val="00776FBD"/>
    <w:rsid w:val="00777301"/>
    <w:rsid w:val="00777575"/>
    <w:rsid w:val="00777668"/>
    <w:rsid w:val="007776A2"/>
    <w:rsid w:val="0077794C"/>
    <w:rsid w:val="0077795E"/>
    <w:rsid w:val="00777C2C"/>
    <w:rsid w:val="00777EEA"/>
    <w:rsid w:val="00780293"/>
    <w:rsid w:val="007803AD"/>
    <w:rsid w:val="00780493"/>
    <w:rsid w:val="007806ED"/>
    <w:rsid w:val="00780F96"/>
    <w:rsid w:val="0078150B"/>
    <w:rsid w:val="0078167F"/>
    <w:rsid w:val="007816A0"/>
    <w:rsid w:val="00781C3C"/>
    <w:rsid w:val="0078267C"/>
    <w:rsid w:val="0078294D"/>
    <w:rsid w:val="00782BFB"/>
    <w:rsid w:val="00782EB6"/>
    <w:rsid w:val="0078306F"/>
    <w:rsid w:val="007833C0"/>
    <w:rsid w:val="00783515"/>
    <w:rsid w:val="0078387F"/>
    <w:rsid w:val="007839A4"/>
    <w:rsid w:val="00784423"/>
    <w:rsid w:val="00784485"/>
    <w:rsid w:val="0078451F"/>
    <w:rsid w:val="00784763"/>
    <w:rsid w:val="00784E5E"/>
    <w:rsid w:val="00784F96"/>
    <w:rsid w:val="00785899"/>
    <w:rsid w:val="0078666D"/>
    <w:rsid w:val="0078685C"/>
    <w:rsid w:val="00786867"/>
    <w:rsid w:val="0078697E"/>
    <w:rsid w:val="00786F3E"/>
    <w:rsid w:val="007876E6"/>
    <w:rsid w:val="0078771B"/>
    <w:rsid w:val="00787772"/>
    <w:rsid w:val="00787875"/>
    <w:rsid w:val="00787B14"/>
    <w:rsid w:val="0079025A"/>
    <w:rsid w:val="0079053D"/>
    <w:rsid w:val="00790621"/>
    <w:rsid w:val="007906DF"/>
    <w:rsid w:val="007907CD"/>
    <w:rsid w:val="00790A64"/>
    <w:rsid w:val="00790B25"/>
    <w:rsid w:val="00790B7C"/>
    <w:rsid w:val="00790B8C"/>
    <w:rsid w:val="007910BB"/>
    <w:rsid w:val="00791164"/>
    <w:rsid w:val="0079151B"/>
    <w:rsid w:val="00791808"/>
    <w:rsid w:val="00791B46"/>
    <w:rsid w:val="00791C54"/>
    <w:rsid w:val="00791D53"/>
    <w:rsid w:val="00791FE7"/>
    <w:rsid w:val="00792598"/>
    <w:rsid w:val="00792791"/>
    <w:rsid w:val="00792F25"/>
    <w:rsid w:val="00793297"/>
    <w:rsid w:val="0079337C"/>
    <w:rsid w:val="0079402E"/>
    <w:rsid w:val="007943B3"/>
    <w:rsid w:val="0079457F"/>
    <w:rsid w:val="00794642"/>
    <w:rsid w:val="007946CE"/>
    <w:rsid w:val="007949EC"/>
    <w:rsid w:val="00794EE9"/>
    <w:rsid w:val="00795123"/>
    <w:rsid w:val="0079520B"/>
    <w:rsid w:val="00795291"/>
    <w:rsid w:val="0079542E"/>
    <w:rsid w:val="007955E8"/>
    <w:rsid w:val="0079586D"/>
    <w:rsid w:val="007959CA"/>
    <w:rsid w:val="0079609B"/>
    <w:rsid w:val="00796225"/>
    <w:rsid w:val="00796277"/>
    <w:rsid w:val="00796311"/>
    <w:rsid w:val="007968DE"/>
    <w:rsid w:val="00796BC6"/>
    <w:rsid w:val="00796E02"/>
    <w:rsid w:val="00796E8D"/>
    <w:rsid w:val="00797579"/>
    <w:rsid w:val="007979E3"/>
    <w:rsid w:val="007A0307"/>
    <w:rsid w:val="007A04C6"/>
    <w:rsid w:val="007A0A02"/>
    <w:rsid w:val="007A0BC6"/>
    <w:rsid w:val="007A0F0C"/>
    <w:rsid w:val="007A14A8"/>
    <w:rsid w:val="007A1981"/>
    <w:rsid w:val="007A1E88"/>
    <w:rsid w:val="007A2055"/>
    <w:rsid w:val="007A2206"/>
    <w:rsid w:val="007A27E7"/>
    <w:rsid w:val="007A2856"/>
    <w:rsid w:val="007A2B10"/>
    <w:rsid w:val="007A2CC1"/>
    <w:rsid w:val="007A2EB4"/>
    <w:rsid w:val="007A3151"/>
    <w:rsid w:val="007A3A44"/>
    <w:rsid w:val="007A3A4E"/>
    <w:rsid w:val="007A3D8C"/>
    <w:rsid w:val="007A468D"/>
    <w:rsid w:val="007A4B28"/>
    <w:rsid w:val="007A4E53"/>
    <w:rsid w:val="007A50D1"/>
    <w:rsid w:val="007A54EC"/>
    <w:rsid w:val="007A5726"/>
    <w:rsid w:val="007A575C"/>
    <w:rsid w:val="007A5DB4"/>
    <w:rsid w:val="007A5F34"/>
    <w:rsid w:val="007A61DB"/>
    <w:rsid w:val="007A622E"/>
    <w:rsid w:val="007A63FA"/>
    <w:rsid w:val="007A661E"/>
    <w:rsid w:val="007A6841"/>
    <w:rsid w:val="007A6DCB"/>
    <w:rsid w:val="007A732C"/>
    <w:rsid w:val="007A736D"/>
    <w:rsid w:val="007A7491"/>
    <w:rsid w:val="007A76A6"/>
    <w:rsid w:val="007A77E9"/>
    <w:rsid w:val="007A7850"/>
    <w:rsid w:val="007A7F30"/>
    <w:rsid w:val="007B026A"/>
    <w:rsid w:val="007B02FE"/>
    <w:rsid w:val="007B054B"/>
    <w:rsid w:val="007B05F5"/>
    <w:rsid w:val="007B0883"/>
    <w:rsid w:val="007B09F3"/>
    <w:rsid w:val="007B0EE4"/>
    <w:rsid w:val="007B1CF2"/>
    <w:rsid w:val="007B1DE5"/>
    <w:rsid w:val="007B1E9E"/>
    <w:rsid w:val="007B20A5"/>
    <w:rsid w:val="007B237F"/>
    <w:rsid w:val="007B25BB"/>
    <w:rsid w:val="007B2826"/>
    <w:rsid w:val="007B2C37"/>
    <w:rsid w:val="007B3969"/>
    <w:rsid w:val="007B3A58"/>
    <w:rsid w:val="007B3B8E"/>
    <w:rsid w:val="007B3C28"/>
    <w:rsid w:val="007B4245"/>
    <w:rsid w:val="007B4427"/>
    <w:rsid w:val="007B4474"/>
    <w:rsid w:val="007B4B81"/>
    <w:rsid w:val="007B4C50"/>
    <w:rsid w:val="007B4CC2"/>
    <w:rsid w:val="007B4E3A"/>
    <w:rsid w:val="007B4ED4"/>
    <w:rsid w:val="007B5241"/>
    <w:rsid w:val="007B5F44"/>
    <w:rsid w:val="007B60D7"/>
    <w:rsid w:val="007B6F95"/>
    <w:rsid w:val="007B7228"/>
    <w:rsid w:val="007B799D"/>
    <w:rsid w:val="007B7A4F"/>
    <w:rsid w:val="007C04C1"/>
    <w:rsid w:val="007C0AE6"/>
    <w:rsid w:val="007C131D"/>
    <w:rsid w:val="007C1719"/>
    <w:rsid w:val="007C196C"/>
    <w:rsid w:val="007C1C0B"/>
    <w:rsid w:val="007C1C39"/>
    <w:rsid w:val="007C219E"/>
    <w:rsid w:val="007C2233"/>
    <w:rsid w:val="007C224B"/>
    <w:rsid w:val="007C29C3"/>
    <w:rsid w:val="007C2A3C"/>
    <w:rsid w:val="007C2BE4"/>
    <w:rsid w:val="007C2F1D"/>
    <w:rsid w:val="007C374A"/>
    <w:rsid w:val="007C3794"/>
    <w:rsid w:val="007C3FFA"/>
    <w:rsid w:val="007C40AF"/>
    <w:rsid w:val="007C4319"/>
    <w:rsid w:val="007C45E6"/>
    <w:rsid w:val="007C4AD1"/>
    <w:rsid w:val="007C4D4F"/>
    <w:rsid w:val="007C506C"/>
    <w:rsid w:val="007C5072"/>
    <w:rsid w:val="007C50A2"/>
    <w:rsid w:val="007C51A0"/>
    <w:rsid w:val="007C52DE"/>
    <w:rsid w:val="007C53C5"/>
    <w:rsid w:val="007C5938"/>
    <w:rsid w:val="007C5C55"/>
    <w:rsid w:val="007C5DC8"/>
    <w:rsid w:val="007C5F36"/>
    <w:rsid w:val="007C6345"/>
    <w:rsid w:val="007C66CB"/>
    <w:rsid w:val="007C6782"/>
    <w:rsid w:val="007C6A5E"/>
    <w:rsid w:val="007C6C64"/>
    <w:rsid w:val="007C7147"/>
    <w:rsid w:val="007C71BD"/>
    <w:rsid w:val="007C7348"/>
    <w:rsid w:val="007C7575"/>
    <w:rsid w:val="007C7983"/>
    <w:rsid w:val="007D0037"/>
    <w:rsid w:val="007D08DD"/>
    <w:rsid w:val="007D0D97"/>
    <w:rsid w:val="007D145C"/>
    <w:rsid w:val="007D1909"/>
    <w:rsid w:val="007D1A75"/>
    <w:rsid w:val="007D24D0"/>
    <w:rsid w:val="007D276B"/>
    <w:rsid w:val="007D2D4A"/>
    <w:rsid w:val="007D3054"/>
    <w:rsid w:val="007D3126"/>
    <w:rsid w:val="007D32CF"/>
    <w:rsid w:val="007D3AC2"/>
    <w:rsid w:val="007D3AF8"/>
    <w:rsid w:val="007D3D9D"/>
    <w:rsid w:val="007D3EFE"/>
    <w:rsid w:val="007D41CA"/>
    <w:rsid w:val="007D4E46"/>
    <w:rsid w:val="007D4F9D"/>
    <w:rsid w:val="007D57FE"/>
    <w:rsid w:val="007D5A07"/>
    <w:rsid w:val="007D5A3A"/>
    <w:rsid w:val="007D5A98"/>
    <w:rsid w:val="007D5F0B"/>
    <w:rsid w:val="007D6198"/>
    <w:rsid w:val="007D6541"/>
    <w:rsid w:val="007D6548"/>
    <w:rsid w:val="007D65CF"/>
    <w:rsid w:val="007D668C"/>
    <w:rsid w:val="007D68E2"/>
    <w:rsid w:val="007D6B08"/>
    <w:rsid w:val="007D6BA1"/>
    <w:rsid w:val="007D6BF0"/>
    <w:rsid w:val="007D6C6C"/>
    <w:rsid w:val="007D7312"/>
    <w:rsid w:val="007D7570"/>
    <w:rsid w:val="007D788F"/>
    <w:rsid w:val="007D7BDA"/>
    <w:rsid w:val="007E0463"/>
    <w:rsid w:val="007E04E7"/>
    <w:rsid w:val="007E092A"/>
    <w:rsid w:val="007E0B5C"/>
    <w:rsid w:val="007E1006"/>
    <w:rsid w:val="007E1387"/>
    <w:rsid w:val="007E147D"/>
    <w:rsid w:val="007E17D4"/>
    <w:rsid w:val="007E1C57"/>
    <w:rsid w:val="007E234D"/>
    <w:rsid w:val="007E25E7"/>
    <w:rsid w:val="007E2C96"/>
    <w:rsid w:val="007E2CAA"/>
    <w:rsid w:val="007E2CBC"/>
    <w:rsid w:val="007E33BA"/>
    <w:rsid w:val="007E34AC"/>
    <w:rsid w:val="007E37C5"/>
    <w:rsid w:val="007E3800"/>
    <w:rsid w:val="007E3820"/>
    <w:rsid w:val="007E3BF0"/>
    <w:rsid w:val="007E3C55"/>
    <w:rsid w:val="007E3D40"/>
    <w:rsid w:val="007E3FB7"/>
    <w:rsid w:val="007E401E"/>
    <w:rsid w:val="007E43C7"/>
    <w:rsid w:val="007E4C0B"/>
    <w:rsid w:val="007E4F5F"/>
    <w:rsid w:val="007E53CF"/>
    <w:rsid w:val="007E55AE"/>
    <w:rsid w:val="007E563D"/>
    <w:rsid w:val="007E5931"/>
    <w:rsid w:val="007E5D74"/>
    <w:rsid w:val="007E5E38"/>
    <w:rsid w:val="007E5EAA"/>
    <w:rsid w:val="007E675D"/>
    <w:rsid w:val="007E687B"/>
    <w:rsid w:val="007E6A32"/>
    <w:rsid w:val="007E6B23"/>
    <w:rsid w:val="007E6EEA"/>
    <w:rsid w:val="007E6F13"/>
    <w:rsid w:val="007E7513"/>
    <w:rsid w:val="007E793B"/>
    <w:rsid w:val="007E79EF"/>
    <w:rsid w:val="007E7EFE"/>
    <w:rsid w:val="007F055C"/>
    <w:rsid w:val="007F080F"/>
    <w:rsid w:val="007F081D"/>
    <w:rsid w:val="007F0955"/>
    <w:rsid w:val="007F0C8C"/>
    <w:rsid w:val="007F0F5C"/>
    <w:rsid w:val="007F1139"/>
    <w:rsid w:val="007F12B9"/>
    <w:rsid w:val="007F1B2E"/>
    <w:rsid w:val="007F1D19"/>
    <w:rsid w:val="007F21B8"/>
    <w:rsid w:val="007F24C5"/>
    <w:rsid w:val="007F2EEB"/>
    <w:rsid w:val="007F2EFD"/>
    <w:rsid w:val="007F32AF"/>
    <w:rsid w:val="007F3481"/>
    <w:rsid w:val="007F35AB"/>
    <w:rsid w:val="007F3B49"/>
    <w:rsid w:val="007F4473"/>
    <w:rsid w:val="007F45A3"/>
    <w:rsid w:val="007F491A"/>
    <w:rsid w:val="007F4DD1"/>
    <w:rsid w:val="007F4FD5"/>
    <w:rsid w:val="007F5140"/>
    <w:rsid w:val="007F5486"/>
    <w:rsid w:val="007F562F"/>
    <w:rsid w:val="007F5F7C"/>
    <w:rsid w:val="007F5FEE"/>
    <w:rsid w:val="007F615F"/>
    <w:rsid w:val="007F61D3"/>
    <w:rsid w:val="007F684B"/>
    <w:rsid w:val="007F6EBD"/>
    <w:rsid w:val="007F7279"/>
    <w:rsid w:val="007F743E"/>
    <w:rsid w:val="007F781E"/>
    <w:rsid w:val="007F7897"/>
    <w:rsid w:val="007F7FF0"/>
    <w:rsid w:val="0080040A"/>
    <w:rsid w:val="00800C6A"/>
    <w:rsid w:val="00801426"/>
    <w:rsid w:val="008016BE"/>
    <w:rsid w:val="008018F5"/>
    <w:rsid w:val="00801B10"/>
    <w:rsid w:val="00801B16"/>
    <w:rsid w:val="00801F4F"/>
    <w:rsid w:val="00802720"/>
    <w:rsid w:val="00802E8E"/>
    <w:rsid w:val="008032C9"/>
    <w:rsid w:val="00803501"/>
    <w:rsid w:val="008037A8"/>
    <w:rsid w:val="008038C1"/>
    <w:rsid w:val="00803FD4"/>
    <w:rsid w:val="008042C7"/>
    <w:rsid w:val="00805170"/>
    <w:rsid w:val="00805B63"/>
    <w:rsid w:val="00806050"/>
    <w:rsid w:val="008060AA"/>
    <w:rsid w:val="00806418"/>
    <w:rsid w:val="008068DD"/>
    <w:rsid w:val="00806EA3"/>
    <w:rsid w:val="00806F96"/>
    <w:rsid w:val="00806FCE"/>
    <w:rsid w:val="008071ED"/>
    <w:rsid w:val="008075C3"/>
    <w:rsid w:val="00807F4A"/>
    <w:rsid w:val="00807FD3"/>
    <w:rsid w:val="008102B8"/>
    <w:rsid w:val="00810488"/>
    <w:rsid w:val="008104DC"/>
    <w:rsid w:val="00810760"/>
    <w:rsid w:val="008108AE"/>
    <w:rsid w:val="00810A25"/>
    <w:rsid w:val="00810E9E"/>
    <w:rsid w:val="0081100B"/>
    <w:rsid w:val="00811124"/>
    <w:rsid w:val="00811453"/>
    <w:rsid w:val="008114AC"/>
    <w:rsid w:val="0081207F"/>
    <w:rsid w:val="00812116"/>
    <w:rsid w:val="008121C6"/>
    <w:rsid w:val="00812242"/>
    <w:rsid w:val="0081229F"/>
    <w:rsid w:val="008123F0"/>
    <w:rsid w:val="008125C9"/>
    <w:rsid w:val="00813122"/>
    <w:rsid w:val="00813246"/>
    <w:rsid w:val="0081386F"/>
    <w:rsid w:val="00813A93"/>
    <w:rsid w:val="00813B45"/>
    <w:rsid w:val="00813D80"/>
    <w:rsid w:val="008144D2"/>
    <w:rsid w:val="00814CA2"/>
    <w:rsid w:val="00814D47"/>
    <w:rsid w:val="00815143"/>
    <w:rsid w:val="008151CF"/>
    <w:rsid w:val="00815425"/>
    <w:rsid w:val="008159DF"/>
    <w:rsid w:val="00815F92"/>
    <w:rsid w:val="00816201"/>
    <w:rsid w:val="00816876"/>
    <w:rsid w:val="00816A3E"/>
    <w:rsid w:val="00816D2D"/>
    <w:rsid w:val="00816D81"/>
    <w:rsid w:val="00816DF8"/>
    <w:rsid w:val="00817747"/>
    <w:rsid w:val="008177FF"/>
    <w:rsid w:val="00817FC5"/>
    <w:rsid w:val="00820039"/>
    <w:rsid w:val="00820275"/>
    <w:rsid w:val="0082030E"/>
    <w:rsid w:val="00820F3B"/>
    <w:rsid w:val="00821441"/>
    <w:rsid w:val="008217D9"/>
    <w:rsid w:val="00821B46"/>
    <w:rsid w:val="00822357"/>
    <w:rsid w:val="00822812"/>
    <w:rsid w:val="00822868"/>
    <w:rsid w:val="00822B04"/>
    <w:rsid w:val="00822B94"/>
    <w:rsid w:val="00822BD9"/>
    <w:rsid w:val="008234AA"/>
    <w:rsid w:val="008234CC"/>
    <w:rsid w:val="00824064"/>
    <w:rsid w:val="008241A4"/>
    <w:rsid w:val="00824229"/>
    <w:rsid w:val="008243D1"/>
    <w:rsid w:val="008250F3"/>
    <w:rsid w:val="00825104"/>
    <w:rsid w:val="008255B5"/>
    <w:rsid w:val="008260D6"/>
    <w:rsid w:val="0082632D"/>
    <w:rsid w:val="00826D35"/>
    <w:rsid w:val="00826EF8"/>
    <w:rsid w:val="00827078"/>
    <w:rsid w:val="008273BE"/>
    <w:rsid w:val="0082746F"/>
    <w:rsid w:val="008274C9"/>
    <w:rsid w:val="00827517"/>
    <w:rsid w:val="0082772B"/>
    <w:rsid w:val="00827910"/>
    <w:rsid w:val="008279B8"/>
    <w:rsid w:val="00827B52"/>
    <w:rsid w:val="0083017F"/>
    <w:rsid w:val="00830360"/>
    <w:rsid w:val="008305E1"/>
    <w:rsid w:val="00830848"/>
    <w:rsid w:val="00830892"/>
    <w:rsid w:val="00830999"/>
    <w:rsid w:val="00830F32"/>
    <w:rsid w:val="008310C2"/>
    <w:rsid w:val="008311F3"/>
    <w:rsid w:val="008313B1"/>
    <w:rsid w:val="008314DA"/>
    <w:rsid w:val="0083164B"/>
    <w:rsid w:val="0083272F"/>
    <w:rsid w:val="00832832"/>
    <w:rsid w:val="0083370A"/>
    <w:rsid w:val="0083392E"/>
    <w:rsid w:val="00833A39"/>
    <w:rsid w:val="00833C46"/>
    <w:rsid w:val="00833E92"/>
    <w:rsid w:val="00834021"/>
    <w:rsid w:val="008341E5"/>
    <w:rsid w:val="008342CA"/>
    <w:rsid w:val="00834605"/>
    <w:rsid w:val="00834737"/>
    <w:rsid w:val="00834DFC"/>
    <w:rsid w:val="00835219"/>
    <w:rsid w:val="008352DE"/>
    <w:rsid w:val="008353BE"/>
    <w:rsid w:val="008355D6"/>
    <w:rsid w:val="0083573F"/>
    <w:rsid w:val="00835759"/>
    <w:rsid w:val="00835B43"/>
    <w:rsid w:val="008361BB"/>
    <w:rsid w:val="00836305"/>
    <w:rsid w:val="00836435"/>
    <w:rsid w:val="0083646C"/>
    <w:rsid w:val="00836534"/>
    <w:rsid w:val="008366AC"/>
    <w:rsid w:val="008368C0"/>
    <w:rsid w:val="00837127"/>
    <w:rsid w:val="0083736B"/>
    <w:rsid w:val="00837387"/>
    <w:rsid w:val="00837557"/>
    <w:rsid w:val="00837A88"/>
    <w:rsid w:val="00837D6B"/>
    <w:rsid w:val="00837E4F"/>
    <w:rsid w:val="008402B5"/>
    <w:rsid w:val="0084058F"/>
    <w:rsid w:val="0084080F"/>
    <w:rsid w:val="008408AF"/>
    <w:rsid w:val="008408FC"/>
    <w:rsid w:val="008409C4"/>
    <w:rsid w:val="00840B69"/>
    <w:rsid w:val="00840E44"/>
    <w:rsid w:val="00840F34"/>
    <w:rsid w:val="008416D1"/>
    <w:rsid w:val="0084197D"/>
    <w:rsid w:val="00841A72"/>
    <w:rsid w:val="00841B97"/>
    <w:rsid w:val="00841E38"/>
    <w:rsid w:val="00842280"/>
    <w:rsid w:val="008423F9"/>
    <w:rsid w:val="008426E6"/>
    <w:rsid w:val="00842877"/>
    <w:rsid w:val="008429A0"/>
    <w:rsid w:val="00842B0B"/>
    <w:rsid w:val="00842E5D"/>
    <w:rsid w:val="00842F94"/>
    <w:rsid w:val="00843170"/>
    <w:rsid w:val="008437BB"/>
    <w:rsid w:val="00843DBF"/>
    <w:rsid w:val="00843F80"/>
    <w:rsid w:val="0084412F"/>
    <w:rsid w:val="008443FC"/>
    <w:rsid w:val="0084453B"/>
    <w:rsid w:val="008446DF"/>
    <w:rsid w:val="0084502B"/>
    <w:rsid w:val="008455DF"/>
    <w:rsid w:val="00845903"/>
    <w:rsid w:val="00845CD5"/>
    <w:rsid w:val="00845D7F"/>
    <w:rsid w:val="008460E0"/>
    <w:rsid w:val="00846155"/>
    <w:rsid w:val="0084629C"/>
    <w:rsid w:val="00846983"/>
    <w:rsid w:val="008469EC"/>
    <w:rsid w:val="00846BB4"/>
    <w:rsid w:val="00847001"/>
    <w:rsid w:val="00847581"/>
    <w:rsid w:val="0084774D"/>
    <w:rsid w:val="008477D6"/>
    <w:rsid w:val="00847868"/>
    <w:rsid w:val="008478CB"/>
    <w:rsid w:val="0085006F"/>
    <w:rsid w:val="008502F2"/>
    <w:rsid w:val="00850339"/>
    <w:rsid w:val="008504DB"/>
    <w:rsid w:val="00851274"/>
    <w:rsid w:val="008513C0"/>
    <w:rsid w:val="00851481"/>
    <w:rsid w:val="0085194B"/>
    <w:rsid w:val="0085194C"/>
    <w:rsid w:val="00851E28"/>
    <w:rsid w:val="0085254C"/>
    <w:rsid w:val="00852592"/>
    <w:rsid w:val="00852751"/>
    <w:rsid w:val="00852839"/>
    <w:rsid w:val="00852F70"/>
    <w:rsid w:val="00853163"/>
    <w:rsid w:val="008535A3"/>
    <w:rsid w:val="008535B4"/>
    <w:rsid w:val="00853B59"/>
    <w:rsid w:val="00853D3A"/>
    <w:rsid w:val="00854184"/>
    <w:rsid w:val="00854E5D"/>
    <w:rsid w:val="00855444"/>
    <w:rsid w:val="008555A2"/>
    <w:rsid w:val="0085590C"/>
    <w:rsid w:val="0085596A"/>
    <w:rsid w:val="00855A41"/>
    <w:rsid w:val="00855AB8"/>
    <w:rsid w:val="00855AEF"/>
    <w:rsid w:val="00855B25"/>
    <w:rsid w:val="00855E28"/>
    <w:rsid w:val="00855F06"/>
    <w:rsid w:val="00855F14"/>
    <w:rsid w:val="008564A9"/>
    <w:rsid w:val="00856877"/>
    <w:rsid w:val="008571CB"/>
    <w:rsid w:val="00857490"/>
    <w:rsid w:val="00857496"/>
    <w:rsid w:val="008574FC"/>
    <w:rsid w:val="008576C7"/>
    <w:rsid w:val="0085775E"/>
    <w:rsid w:val="00857BEA"/>
    <w:rsid w:val="00857CE4"/>
    <w:rsid w:val="008600DF"/>
    <w:rsid w:val="008601E1"/>
    <w:rsid w:val="00860976"/>
    <w:rsid w:val="00860ED2"/>
    <w:rsid w:val="00861DBD"/>
    <w:rsid w:val="00861EED"/>
    <w:rsid w:val="0086227B"/>
    <w:rsid w:val="008622BA"/>
    <w:rsid w:val="008622D4"/>
    <w:rsid w:val="00862463"/>
    <w:rsid w:val="00862BF1"/>
    <w:rsid w:val="008632BD"/>
    <w:rsid w:val="0086348D"/>
    <w:rsid w:val="008634AD"/>
    <w:rsid w:val="0086355A"/>
    <w:rsid w:val="00863EC6"/>
    <w:rsid w:val="00864347"/>
    <w:rsid w:val="00864499"/>
    <w:rsid w:val="00864545"/>
    <w:rsid w:val="00864656"/>
    <w:rsid w:val="00864F88"/>
    <w:rsid w:val="00865061"/>
    <w:rsid w:val="008654CA"/>
    <w:rsid w:val="00865558"/>
    <w:rsid w:val="00865619"/>
    <w:rsid w:val="00865AD1"/>
    <w:rsid w:val="00866233"/>
    <w:rsid w:val="00866C16"/>
    <w:rsid w:val="00866D4D"/>
    <w:rsid w:val="00867162"/>
    <w:rsid w:val="00867163"/>
    <w:rsid w:val="0086755B"/>
    <w:rsid w:val="008675CF"/>
    <w:rsid w:val="0086761D"/>
    <w:rsid w:val="008701D8"/>
    <w:rsid w:val="0087048A"/>
    <w:rsid w:val="0087049B"/>
    <w:rsid w:val="00870742"/>
    <w:rsid w:val="0087078A"/>
    <w:rsid w:val="00870E1A"/>
    <w:rsid w:val="00871389"/>
    <w:rsid w:val="0087154F"/>
    <w:rsid w:val="008716A2"/>
    <w:rsid w:val="0087192F"/>
    <w:rsid w:val="008719C2"/>
    <w:rsid w:val="00871D39"/>
    <w:rsid w:val="00872630"/>
    <w:rsid w:val="008726C0"/>
    <w:rsid w:val="008726C8"/>
    <w:rsid w:val="00872E6C"/>
    <w:rsid w:val="00872F25"/>
    <w:rsid w:val="0087338E"/>
    <w:rsid w:val="00873563"/>
    <w:rsid w:val="00873801"/>
    <w:rsid w:val="0087399D"/>
    <w:rsid w:val="00873CF2"/>
    <w:rsid w:val="008741D3"/>
    <w:rsid w:val="008743A6"/>
    <w:rsid w:val="00874695"/>
    <w:rsid w:val="0087476B"/>
    <w:rsid w:val="00874B05"/>
    <w:rsid w:val="00874B76"/>
    <w:rsid w:val="0087500F"/>
    <w:rsid w:val="00875785"/>
    <w:rsid w:val="0087592F"/>
    <w:rsid w:val="00875D00"/>
    <w:rsid w:val="00875E62"/>
    <w:rsid w:val="00876EE7"/>
    <w:rsid w:val="0087709F"/>
    <w:rsid w:val="008774FB"/>
    <w:rsid w:val="00877DCF"/>
    <w:rsid w:val="008805CF"/>
    <w:rsid w:val="008809ED"/>
    <w:rsid w:val="00881199"/>
    <w:rsid w:val="00881316"/>
    <w:rsid w:val="0088153B"/>
    <w:rsid w:val="008815DE"/>
    <w:rsid w:val="00881925"/>
    <w:rsid w:val="0088249C"/>
    <w:rsid w:val="0088255E"/>
    <w:rsid w:val="008827FD"/>
    <w:rsid w:val="00882AA8"/>
    <w:rsid w:val="00882BCF"/>
    <w:rsid w:val="00882CF2"/>
    <w:rsid w:val="00882E95"/>
    <w:rsid w:val="00882FD8"/>
    <w:rsid w:val="00882FE5"/>
    <w:rsid w:val="008830C6"/>
    <w:rsid w:val="0088340D"/>
    <w:rsid w:val="0088393D"/>
    <w:rsid w:val="00883FA2"/>
    <w:rsid w:val="00884162"/>
    <w:rsid w:val="00884264"/>
    <w:rsid w:val="008846BD"/>
    <w:rsid w:val="00884EC5"/>
    <w:rsid w:val="0088559D"/>
    <w:rsid w:val="00885618"/>
    <w:rsid w:val="0088585D"/>
    <w:rsid w:val="00885C21"/>
    <w:rsid w:val="00886135"/>
    <w:rsid w:val="00886304"/>
    <w:rsid w:val="0088683D"/>
    <w:rsid w:val="00886998"/>
    <w:rsid w:val="00886A47"/>
    <w:rsid w:val="00886B63"/>
    <w:rsid w:val="00886CDB"/>
    <w:rsid w:val="0088704F"/>
    <w:rsid w:val="0088716A"/>
    <w:rsid w:val="00887279"/>
    <w:rsid w:val="00887459"/>
    <w:rsid w:val="008874A8"/>
    <w:rsid w:val="00887ABA"/>
    <w:rsid w:val="00887C58"/>
    <w:rsid w:val="00887E65"/>
    <w:rsid w:val="00887FA2"/>
    <w:rsid w:val="00890119"/>
    <w:rsid w:val="008903B7"/>
    <w:rsid w:val="008905C7"/>
    <w:rsid w:val="00890ACB"/>
    <w:rsid w:val="00890BBB"/>
    <w:rsid w:val="0089175D"/>
    <w:rsid w:val="008917C4"/>
    <w:rsid w:val="00891A62"/>
    <w:rsid w:val="00891F2C"/>
    <w:rsid w:val="0089257A"/>
    <w:rsid w:val="0089269B"/>
    <w:rsid w:val="0089272B"/>
    <w:rsid w:val="00892760"/>
    <w:rsid w:val="008927FF"/>
    <w:rsid w:val="00892B10"/>
    <w:rsid w:val="0089342C"/>
    <w:rsid w:val="00893B46"/>
    <w:rsid w:val="008942E8"/>
    <w:rsid w:val="0089495F"/>
    <w:rsid w:val="00894E2F"/>
    <w:rsid w:val="0089519A"/>
    <w:rsid w:val="008951AC"/>
    <w:rsid w:val="008951EC"/>
    <w:rsid w:val="00895351"/>
    <w:rsid w:val="008956D5"/>
    <w:rsid w:val="00895B0F"/>
    <w:rsid w:val="008965B1"/>
    <w:rsid w:val="00896D47"/>
    <w:rsid w:val="0089715A"/>
    <w:rsid w:val="0089726E"/>
    <w:rsid w:val="008972FC"/>
    <w:rsid w:val="00897B16"/>
    <w:rsid w:val="008A005E"/>
    <w:rsid w:val="008A0460"/>
    <w:rsid w:val="008A063B"/>
    <w:rsid w:val="008A0DFF"/>
    <w:rsid w:val="008A0E42"/>
    <w:rsid w:val="008A0F12"/>
    <w:rsid w:val="008A107F"/>
    <w:rsid w:val="008A15C2"/>
    <w:rsid w:val="008A21DA"/>
    <w:rsid w:val="008A26ED"/>
    <w:rsid w:val="008A2778"/>
    <w:rsid w:val="008A2963"/>
    <w:rsid w:val="008A2AFA"/>
    <w:rsid w:val="008A3030"/>
    <w:rsid w:val="008A326A"/>
    <w:rsid w:val="008A333C"/>
    <w:rsid w:val="008A3485"/>
    <w:rsid w:val="008A37A6"/>
    <w:rsid w:val="008A3F61"/>
    <w:rsid w:val="008A4545"/>
    <w:rsid w:val="008A4B31"/>
    <w:rsid w:val="008A50A6"/>
    <w:rsid w:val="008A51A5"/>
    <w:rsid w:val="008A51D6"/>
    <w:rsid w:val="008A5533"/>
    <w:rsid w:val="008A5589"/>
    <w:rsid w:val="008A5AB9"/>
    <w:rsid w:val="008A5D64"/>
    <w:rsid w:val="008A5E6D"/>
    <w:rsid w:val="008A6BD9"/>
    <w:rsid w:val="008A743D"/>
    <w:rsid w:val="008A7692"/>
    <w:rsid w:val="008A79D7"/>
    <w:rsid w:val="008A7C9F"/>
    <w:rsid w:val="008A7E3E"/>
    <w:rsid w:val="008B014B"/>
    <w:rsid w:val="008B0324"/>
    <w:rsid w:val="008B049F"/>
    <w:rsid w:val="008B05F4"/>
    <w:rsid w:val="008B11C1"/>
    <w:rsid w:val="008B1520"/>
    <w:rsid w:val="008B1875"/>
    <w:rsid w:val="008B193B"/>
    <w:rsid w:val="008B1A1C"/>
    <w:rsid w:val="008B1EBC"/>
    <w:rsid w:val="008B273D"/>
    <w:rsid w:val="008B2A00"/>
    <w:rsid w:val="008B2B27"/>
    <w:rsid w:val="008B2E74"/>
    <w:rsid w:val="008B35FD"/>
    <w:rsid w:val="008B36E2"/>
    <w:rsid w:val="008B3BC3"/>
    <w:rsid w:val="008B3CFE"/>
    <w:rsid w:val="008B3E49"/>
    <w:rsid w:val="008B40D5"/>
    <w:rsid w:val="008B4A4A"/>
    <w:rsid w:val="008B4AD0"/>
    <w:rsid w:val="008B4B2A"/>
    <w:rsid w:val="008B4BA0"/>
    <w:rsid w:val="008B4C04"/>
    <w:rsid w:val="008B4E06"/>
    <w:rsid w:val="008B4E20"/>
    <w:rsid w:val="008B4E50"/>
    <w:rsid w:val="008B4FDA"/>
    <w:rsid w:val="008B5190"/>
    <w:rsid w:val="008B5BB6"/>
    <w:rsid w:val="008B735C"/>
    <w:rsid w:val="008B7685"/>
    <w:rsid w:val="008C0281"/>
    <w:rsid w:val="008C0D0C"/>
    <w:rsid w:val="008C0D40"/>
    <w:rsid w:val="008C1308"/>
    <w:rsid w:val="008C13AE"/>
    <w:rsid w:val="008C167C"/>
    <w:rsid w:val="008C1728"/>
    <w:rsid w:val="008C17E0"/>
    <w:rsid w:val="008C187D"/>
    <w:rsid w:val="008C18C6"/>
    <w:rsid w:val="008C19DE"/>
    <w:rsid w:val="008C1FBC"/>
    <w:rsid w:val="008C2478"/>
    <w:rsid w:val="008C2AC6"/>
    <w:rsid w:val="008C2C1A"/>
    <w:rsid w:val="008C2E67"/>
    <w:rsid w:val="008C3998"/>
    <w:rsid w:val="008C3A64"/>
    <w:rsid w:val="008C3C80"/>
    <w:rsid w:val="008C3ECB"/>
    <w:rsid w:val="008C40D2"/>
    <w:rsid w:val="008C4243"/>
    <w:rsid w:val="008C4753"/>
    <w:rsid w:val="008C47BB"/>
    <w:rsid w:val="008C49E5"/>
    <w:rsid w:val="008C4BB2"/>
    <w:rsid w:val="008C500A"/>
    <w:rsid w:val="008C51F7"/>
    <w:rsid w:val="008C5651"/>
    <w:rsid w:val="008C5A1E"/>
    <w:rsid w:val="008C5CD0"/>
    <w:rsid w:val="008C670B"/>
    <w:rsid w:val="008C67F5"/>
    <w:rsid w:val="008C6DEE"/>
    <w:rsid w:val="008C73B9"/>
    <w:rsid w:val="008C788F"/>
    <w:rsid w:val="008C7992"/>
    <w:rsid w:val="008C7DE4"/>
    <w:rsid w:val="008D03D6"/>
    <w:rsid w:val="008D06C5"/>
    <w:rsid w:val="008D0758"/>
    <w:rsid w:val="008D101D"/>
    <w:rsid w:val="008D1A15"/>
    <w:rsid w:val="008D1B87"/>
    <w:rsid w:val="008D2354"/>
    <w:rsid w:val="008D288C"/>
    <w:rsid w:val="008D2A8D"/>
    <w:rsid w:val="008D2E2F"/>
    <w:rsid w:val="008D300C"/>
    <w:rsid w:val="008D358A"/>
    <w:rsid w:val="008D3900"/>
    <w:rsid w:val="008D3A4F"/>
    <w:rsid w:val="008D3B43"/>
    <w:rsid w:val="008D3FEA"/>
    <w:rsid w:val="008D4369"/>
    <w:rsid w:val="008D46F2"/>
    <w:rsid w:val="008D4761"/>
    <w:rsid w:val="008D4849"/>
    <w:rsid w:val="008D4A70"/>
    <w:rsid w:val="008D4A97"/>
    <w:rsid w:val="008D4B54"/>
    <w:rsid w:val="008D4D6F"/>
    <w:rsid w:val="008D5149"/>
    <w:rsid w:val="008D54D9"/>
    <w:rsid w:val="008D56A2"/>
    <w:rsid w:val="008D59FA"/>
    <w:rsid w:val="008D5A05"/>
    <w:rsid w:val="008D61DB"/>
    <w:rsid w:val="008D63A7"/>
    <w:rsid w:val="008D6BDB"/>
    <w:rsid w:val="008D6DB6"/>
    <w:rsid w:val="008D6EBE"/>
    <w:rsid w:val="008D72E2"/>
    <w:rsid w:val="008D7952"/>
    <w:rsid w:val="008D7EB7"/>
    <w:rsid w:val="008E00CD"/>
    <w:rsid w:val="008E0FA9"/>
    <w:rsid w:val="008E191E"/>
    <w:rsid w:val="008E1C07"/>
    <w:rsid w:val="008E1C19"/>
    <w:rsid w:val="008E1F51"/>
    <w:rsid w:val="008E2139"/>
    <w:rsid w:val="008E2874"/>
    <w:rsid w:val="008E2938"/>
    <w:rsid w:val="008E2A63"/>
    <w:rsid w:val="008E2B2C"/>
    <w:rsid w:val="008E2BB6"/>
    <w:rsid w:val="008E2C80"/>
    <w:rsid w:val="008E2D07"/>
    <w:rsid w:val="008E2DA8"/>
    <w:rsid w:val="008E2EC1"/>
    <w:rsid w:val="008E3061"/>
    <w:rsid w:val="008E30A5"/>
    <w:rsid w:val="008E339E"/>
    <w:rsid w:val="008E3617"/>
    <w:rsid w:val="008E3786"/>
    <w:rsid w:val="008E3A48"/>
    <w:rsid w:val="008E3D09"/>
    <w:rsid w:val="008E3DDF"/>
    <w:rsid w:val="008E4253"/>
    <w:rsid w:val="008E43D2"/>
    <w:rsid w:val="008E4A3A"/>
    <w:rsid w:val="008E4B20"/>
    <w:rsid w:val="008E5658"/>
    <w:rsid w:val="008E56BC"/>
    <w:rsid w:val="008E5987"/>
    <w:rsid w:val="008E59F5"/>
    <w:rsid w:val="008E5DD7"/>
    <w:rsid w:val="008E60F9"/>
    <w:rsid w:val="008E6231"/>
    <w:rsid w:val="008E64AE"/>
    <w:rsid w:val="008E64EA"/>
    <w:rsid w:val="008E66CF"/>
    <w:rsid w:val="008E69A1"/>
    <w:rsid w:val="008E6FBB"/>
    <w:rsid w:val="008E726C"/>
    <w:rsid w:val="008E740A"/>
    <w:rsid w:val="008E76B6"/>
    <w:rsid w:val="008E797E"/>
    <w:rsid w:val="008E7F61"/>
    <w:rsid w:val="008F005B"/>
    <w:rsid w:val="008F0668"/>
    <w:rsid w:val="008F0C54"/>
    <w:rsid w:val="008F19A8"/>
    <w:rsid w:val="008F1D57"/>
    <w:rsid w:val="008F20D1"/>
    <w:rsid w:val="008F21A3"/>
    <w:rsid w:val="008F2321"/>
    <w:rsid w:val="008F2B92"/>
    <w:rsid w:val="008F2C53"/>
    <w:rsid w:val="008F2CDC"/>
    <w:rsid w:val="008F3472"/>
    <w:rsid w:val="008F3874"/>
    <w:rsid w:val="008F3901"/>
    <w:rsid w:val="008F3AE2"/>
    <w:rsid w:val="008F3E11"/>
    <w:rsid w:val="008F42EF"/>
    <w:rsid w:val="008F4514"/>
    <w:rsid w:val="008F456A"/>
    <w:rsid w:val="008F53B6"/>
    <w:rsid w:val="008F569E"/>
    <w:rsid w:val="008F5CA5"/>
    <w:rsid w:val="008F5CEA"/>
    <w:rsid w:val="008F5D75"/>
    <w:rsid w:val="008F5FAD"/>
    <w:rsid w:val="008F62BC"/>
    <w:rsid w:val="008F653F"/>
    <w:rsid w:val="008F6983"/>
    <w:rsid w:val="008F6ECD"/>
    <w:rsid w:val="008F6FAE"/>
    <w:rsid w:val="008F7035"/>
    <w:rsid w:val="008F7375"/>
    <w:rsid w:val="008F793E"/>
    <w:rsid w:val="008F7CAE"/>
    <w:rsid w:val="008F7E86"/>
    <w:rsid w:val="008F7F15"/>
    <w:rsid w:val="009002A1"/>
    <w:rsid w:val="009003D9"/>
    <w:rsid w:val="00900582"/>
    <w:rsid w:val="009008A4"/>
    <w:rsid w:val="0090099B"/>
    <w:rsid w:val="009009A1"/>
    <w:rsid w:val="00901253"/>
    <w:rsid w:val="00901340"/>
    <w:rsid w:val="009016E6"/>
    <w:rsid w:val="00901794"/>
    <w:rsid w:val="00902ADF"/>
    <w:rsid w:val="00902AEB"/>
    <w:rsid w:val="00902B83"/>
    <w:rsid w:val="00902E30"/>
    <w:rsid w:val="00902EAA"/>
    <w:rsid w:val="00903582"/>
    <w:rsid w:val="009035A4"/>
    <w:rsid w:val="00903602"/>
    <w:rsid w:val="00903B66"/>
    <w:rsid w:val="00904102"/>
    <w:rsid w:val="009041B7"/>
    <w:rsid w:val="00904FF6"/>
    <w:rsid w:val="009052D4"/>
    <w:rsid w:val="00905835"/>
    <w:rsid w:val="009059B1"/>
    <w:rsid w:val="00905C46"/>
    <w:rsid w:val="00905C86"/>
    <w:rsid w:val="00905DD4"/>
    <w:rsid w:val="0090647B"/>
    <w:rsid w:val="009066BD"/>
    <w:rsid w:val="00906963"/>
    <w:rsid w:val="00907183"/>
    <w:rsid w:val="0090779F"/>
    <w:rsid w:val="00907AEA"/>
    <w:rsid w:val="00907B97"/>
    <w:rsid w:val="00910E38"/>
    <w:rsid w:val="00910EA1"/>
    <w:rsid w:val="00911590"/>
    <w:rsid w:val="00911716"/>
    <w:rsid w:val="0091183D"/>
    <w:rsid w:val="00911CCD"/>
    <w:rsid w:val="00911F56"/>
    <w:rsid w:val="00912171"/>
    <w:rsid w:val="00912230"/>
    <w:rsid w:val="00912375"/>
    <w:rsid w:val="009124EE"/>
    <w:rsid w:val="00912BD3"/>
    <w:rsid w:val="009132BF"/>
    <w:rsid w:val="00913662"/>
    <w:rsid w:val="00913762"/>
    <w:rsid w:val="0091376A"/>
    <w:rsid w:val="00913904"/>
    <w:rsid w:val="00913C07"/>
    <w:rsid w:val="00914005"/>
    <w:rsid w:val="0091446B"/>
    <w:rsid w:val="00914BCA"/>
    <w:rsid w:val="00914C58"/>
    <w:rsid w:val="00915035"/>
    <w:rsid w:val="0091536C"/>
    <w:rsid w:val="00915396"/>
    <w:rsid w:val="009153B4"/>
    <w:rsid w:val="0091543D"/>
    <w:rsid w:val="009155EB"/>
    <w:rsid w:val="009156C2"/>
    <w:rsid w:val="009159B9"/>
    <w:rsid w:val="00915B01"/>
    <w:rsid w:val="00915D82"/>
    <w:rsid w:val="00915FD0"/>
    <w:rsid w:val="00915FF1"/>
    <w:rsid w:val="009161FF"/>
    <w:rsid w:val="009162D0"/>
    <w:rsid w:val="00916470"/>
    <w:rsid w:val="00916A1E"/>
    <w:rsid w:val="00916BCD"/>
    <w:rsid w:val="0091746B"/>
    <w:rsid w:val="009178B7"/>
    <w:rsid w:val="0091797D"/>
    <w:rsid w:val="009179BB"/>
    <w:rsid w:val="00917B4C"/>
    <w:rsid w:val="009200A7"/>
    <w:rsid w:val="0092076D"/>
    <w:rsid w:val="00920789"/>
    <w:rsid w:val="00920E57"/>
    <w:rsid w:val="00920EEA"/>
    <w:rsid w:val="00921051"/>
    <w:rsid w:val="009211BD"/>
    <w:rsid w:val="0092128C"/>
    <w:rsid w:val="00921475"/>
    <w:rsid w:val="00921B30"/>
    <w:rsid w:val="00921F05"/>
    <w:rsid w:val="00922A3C"/>
    <w:rsid w:val="00922F66"/>
    <w:rsid w:val="00923098"/>
    <w:rsid w:val="00923134"/>
    <w:rsid w:val="009235D4"/>
    <w:rsid w:val="00923924"/>
    <w:rsid w:val="00923B62"/>
    <w:rsid w:val="00924360"/>
    <w:rsid w:val="00924B10"/>
    <w:rsid w:val="00924E8A"/>
    <w:rsid w:val="00925331"/>
    <w:rsid w:val="009256F9"/>
    <w:rsid w:val="00925706"/>
    <w:rsid w:val="009258D7"/>
    <w:rsid w:val="009259AA"/>
    <w:rsid w:val="00925BAF"/>
    <w:rsid w:val="00925C12"/>
    <w:rsid w:val="00925F1F"/>
    <w:rsid w:val="00926525"/>
    <w:rsid w:val="00926633"/>
    <w:rsid w:val="009269F5"/>
    <w:rsid w:val="00926A81"/>
    <w:rsid w:val="00926AAE"/>
    <w:rsid w:val="00926DA3"/>
    <w:rsid w:val="009270D9"/>
    <w:rsid w:val="00927690"/>
    <w:rsid w:val="009276DA"/>
    <w:rsid w:val="00927FC4"/>
    <w:rsid w:val="00930080"/>
    <w:rsid w:val="009302CE"/>
    <w:rsid w:val="009305C8"/>
    <w:rsid w:val="00930852"/>
    <w:rsid w:val="00930973"/>
    <w:rsid w:val="009309FA"/>
    <w:rsid w:val="00930A4D"/>
    <w:rsid w:val="00930AA0"/>
    <w:rsid w:val="00930CEE"/>
    <w:rsid w:val="009310FE"/>
    <w:rsid w:val="0093112B"/>
    <w:rsid w:val="00931435"/>
    <w:rsid w:val="00931967"/>
    <w:rsid w:val="00931C8D"/>
    <w:rsid w:val="0093206A"/>
    <w:rsid w:val="0093249F"/>
    <w:rsid w:val="009324C2"/>
    <w:rsid w:val="009324C9"/>
    <w:rsid w:val="00932ABD"/>
    <w:rsid w:val="00932C2B"/>
    <w:rsid w:val="00932CC2"/>
    <w:rsid w:val="00932FEB"/>
    <w:rsid w:val="009331F1"/>
    <w:rsid w:val="00933214"/>
    <w:rsid w:val="009338CB"/>
    <w:rsid w:val="009340BA"/>
    <w:rsid w:val="009341ED"/>
    <w:rsid w:val="009344B7"/>
    <w:rsid w:val="00934710"/>
    <w:rsid w:val="0093497F"/>
    <w:rsid w:val="00934C3D"/>
    <w:rsid w:val="00934D02"/>
    <w:rsid w:val="00935464"/>
    <w:rsid w:val="00935478"/>
    <w:rsid w:val="009356AF"/>
    <w:rsid w:val="00935CAE"/>
    <w:rsid w:val="00935FA6"/>
    <w:rsid w:val="00936084"/>
    <w:rsid w:val="009360B6"/>
    <w:rsid w:val="00936200"/>
    <w:rsid w:val="0093627C"/>
    <w:rsid w:val="009364E9"/>
    <w:rsid w:val="009365D3"/>
    <w:rsid w:val="009371BF"/>
    <w:rsid w:val="00937514"/>
    <w:rsid w:val="0093758F"/>
    <w:rsid w:val="00937733"/>
    <w:rsid w:val="009378AC"/>
    <w:rsid w:val="009378EF"/>
    <w:rsid w:val="00937BB4"/>
    <w:rsid w:val="00937C3A"/>
    <w:rsid w:val="00937F5C"/>
    <w:rsid w:val="00940501"/>
    <w:rsid w:val="00940503"/>
    <w:rsid w:val="00940642"/>
    <w:rsid w:val="00940E85"/>
    <w:rsid w:val="00941409"/>
    <w:rsid w:val="009419F5"/>
    <w:rsid w:val="00941C5C"/>
    <w:rsid w:val="00941CCC"/>
    <w:rsid w:val="00941D08"/>
    <w:rsid w:val="00941D94"/>
    <w:rsid w:val="00941DD7"/>
    <w:rsid w:val="00942BBC"/>
    <w:rsid w:val="00942F2C"/>
    <w:rsid w:val="00943568"/>
    <w:rsid w:val="009436A4"/>
    <w:rsid w:val="0094384E"/>
    <w:rsid w:val="0094492A"/>
    <w:rsid w:val="00944C4C"/>
    <w:rsid w:val="00944CA1"/>
    <w:rsid w:val="00944D1E"/>
    <w:rsid w:val="00944EAA"/>
    <w:rsid w:val="00944F1F"/>
    <w:rsid w:val="0094584E"/>
    <w:rsid w:val="00945AAD"/>
    <w:rsid w:val="009462F5"/>
    <w:rsid w:val="00946502"/>
    <w:rsid w:val="009465EF"/>
    <w:rsid w:val="009466E7"/>
    <w:rsid w:val="00946D24"/>
    <w:rsid w:val="0094706F"/>
    <w:rsid w:val="0094718C"/>
    <w:rsid w:val="00947447"/>
    <w:rsid w:val="00947850"/>
    <w:rsid w:val="00947C28"/>
    <w:rsid w:val="0095023C"/>
    <w:rsid w:val="00950500"/>
    <w:rsid w:val="009506F8"/>
    <w:rsid w:val="00950B45"/>
    <w:rsid w:val="00950CA8"/>
    <w:rsid w:val="0095103A"/>
    <w:rsid w:val="0095113E"/>
    <w:rsid w:val="009511C9"/>
    <w:rsid w:val="00951232"/>
    <w:rsid w:val="00951379"/>
    <w:rsid w:val="0095162E"/>
    <w:rsid w:val="009518E6"/>
    <w:rsid w:val="00951C8A"/>
    <w:rsid w:val="00951E1A"/>
    <w:rsid w:val="00951F4E"/>
    <w:rsid w:val="009527C6"/>
    <w:rsid w:val="00952FE6"/>
    <w:rsid w:val="00953028"/>
    <w:rsid w:val="00953318"/>
    <w:rsid w:val="00953947"/>
    <w:rsid w:val="00953DB6"/>
    <w:rsid w:val="00953E26"/>
    <w:rsid w:val="00953F0D"/>
    <w:rsid w:val="00954301"/>
    <w:rsid w:val="00954533"/>
    <w:rsid w:val="00954583"/>
    <w:rsid w:val="0095465B"/>
    <w:rsid w:val="0095477F"/>
    <w:rsid w:val="00954E88"/>
    <w:rsid w:val="00955201"/>
    <w:rsid w:val="009556AE"/>
    <w:rsid w:val="009556EA"/>
    <w:rsid w:val="00955DD8"/>
    <w:rsid w:val="00955EA6"/>
    <w:rsid w:val="00955FEA"/>
    <w:rsid w:val="00956086"/>
    <w:rsid w:val="009560EC"/>
    <w:rsid w:val="00956630"/>
    <w:rsid w:val="0095675A"/>
    <w:rsid w:val="00956B02"/>
    <w:rsid w:val="00956C0D"/>
    <w:rsid w:val="00957162"/>
    <w:rsid w:val="009573D8"/>
    <w:rsid w:val="0095796E"/>
    <w:rsid w:val="00957E99"/>
    <w:rsid w:val="00960000"/>
    <w:rsid w:val="009606CE"/>
    <w:rsid w:val="00960AC4"/>
    <w:rsid w:val="009610BD"/>
    <w:rsid w:val="00961A5A"/>
    <w:rsid w:val="00962393"/>
    <w:rsid w:val="009623B2"/>
    <w:rsid w:val="009624DD"/>
    <w:rsid w:val="00962A76"/>
    <w:rsid w:val="00962D53"/>
    <w:rsid w:val="009630F7"/>
    <w:rsid w:val="009638B5"/>
    <w:rsid w:val="00963A61"/>
    <w:rsid w:val="00963B52"/>
    <w:rsid w:val="009640E8"/>
    <w:rsid w:val="00964820"/>
    <w:rsid w:val="00964E4F"/>
    <w:rsid w:val="00965074"/>
    <w:rsid w:val="009651F6"/>
    <w:rsid w:val="009654DD"/>
    <w:rsid w:val="009659E0"/>
    <w:rsid w:val="009660F3"/>
    <w:rsid w:val="0096613E"/>
    <w:rsid w:val="00966429"/>
    <w:rsid w:val="009665E8"/>
    <w:rsid w:val="00966BD0"/>
    <w:rsid w:val="00966C72"/>
    <w:rsid w:val="00966F93"/>
    <w:rsid w:val="009670C0"/>
    <w:rsid w:val="0096780D"/>
    <w:rsid w:val="00967A13"/>
    <w:rsid w:val="0097019F"/>
    <w:rsid w:val="009702C2"/>
    <w:rsid w:val="009703A2"/>
    <w:rsid w:val="009707CA"/>
    <w:rsid w:val="00970EC1"/>
    <w:rsid w:val="00971115"/>
    <w:rsid w:val="00971445"/>
    <w:rsid w:val="00971508"/>
    <w:rsid w:val="009719EC"/>
    <w:rsid w:val="00971C48"/>
    <w:rsid w:val="009724FC"/>
    <w:rsid w:val="00972FC4"/>
    <w:rsid w:val="00973212"/>
    <w:rsid w:val="00973291"/>
    <w:rsid w:val="0097341F"/>
    <w:rsid w:val="00973478"/>
    <w:rsid w:val="00973FA9"/>
    <w:rsid w:val="00973FC5"/>
    <w:rsid w:val="0097446F"/>
    <w:rsid w:val="00974540"/>
    <w:rsid w:val="00974822"/>
    <w:rsid w:val="00974850"/>
    <w:rsid w:val="00974D1B"/>
    <w:rsid w:val="00975265"/>
    <w:rsid w:val="00975472"/>
    <w:rsid w:val="00975588"/>
    <w:rsid w:val="009758DB"/>
    <w:rsid w:val="0097590C"/>
    <w:rsid w:val="00976385"/>
    <w:rsid w:val="009763D7"/>
    <w:rsid w:val="009769A4"/>
    <w:rsid w:val="00977414"/>
    <w:rsid w:val="009775A8"/>
    <w:rsid w:val="0097786D"/>
    <w:rsid w:val="00977F74"/>
    <w:rsid w:val="009801F8"/>
    <w:rsid w:val="00980486"/>
    <w:rsid w:val="00980657"/>
    <w:rsid w:val="00980E90"/>
    <w:rsid w:val="009810C7"/>
    <w:rsid w:val="00981B3B"/>
    <w:rsid w:val="00981C00"/>
    <w:rsid w:val="00982073"/>
    <w:rsid w:val="0098214D"/>
    <w:rsid w:val="00982483"/>
    <w:rsid w:val="0098272E"/>
    <w:rsid w:val="00982EE1"/>
    <w:rsid w:val="0098303D"/>
    <w:rsid w:val="009832C1"/>
    <w:rsid w:val="009833D2"/>
    <w:rsid w:val="00983497"/>
    <w:rsid w:val="009835D6"/>
    <w:rsid w:val="00983904"/>
    <w:rsid w:val="00983D02"/>
    <w:rsid w:val="009840A7"/>
    <w:rsid w:val="009843F7"/>
    <w:rsid w:val="00984732"/>
    <w:rsid w:val="00984AA6"/>
    <w:rsid w:val="00984E48"/>
    <w:rsid w:val="00984F87"/>
    <w:rsid w:val="009851D9"/>
    <w:rsid w:val="00985257"/>
    <w:rsid w:val="0098536D"/>
    <w:rsid w:val="00985587"/>
    <w:rsid w:val="0098566A"/>
    <w:rsid w:val="009859F6"/>
    <w:rsid w:val="00985C13"/>
    <w:rsid w:val="00985CA2"/>
    <w:rsid w:val="00985DAA"/>
    <w:rsid w:val="00985DED"/>
    <w:rsid w:val="0098605F"/>
    <w:rsid w:val="00986BC9"/>
    <w:rsid w:val="00987152"/>
    <w:rsid w:val="00987374"/>
    <w:rsid w:val="00987457"/>
    <w:rsid w:val="00987648"/>
    <w:rsid w:val="00987757"/>
    <w:rsid w:val="009878F5"/>
    <w:rsid w:val="00987B39"/>
    <w:rsid w:val="00987CA5"/>
    <w:rsid w:val="009903B2"/>
    <w:rsid w:val="00990665"/>
    <w:rsid w:val="00990760"/>
    <w:rsid w:val="00990777"/>
    <w:rsid w:val="0099080B"/>
    <w:rsid w:val="009908D7"/>
    <w:rsid w:val="00990A66"/>
    <w:rsid w:val="00990DB7"/>
    <w:rsid w:val="00990EDE"/>
    <w:rsid w:val="00991A03"/>
    <w:rsid w:val="00991B3F"/>
    <w:rsid w:val="00991D2F"/>
    <w:rsid w:val="009920B2"/>
    <w:rsid w:val="00992544"/>
    <w:rsid w:val="009929A9"/>
    <w:rsid w:val="00992FDB"/>
    <w:rsid w:val="00993716"/>
    <w:rsid w:val="00993931"/>
    <w:rsid w:val="00993F18"/>
    <w:rsid w:val="00994551"/>
    <w:rsid w:val="009945B9"/>
    <w:rsid w:val="0099476E"/>
    <w:rsid w:val="00994966"/>
    <w:rsid w:val="009949FF"/>
    <w:rsid w:val="009951B7"/>
    <w:rsid w:val="0099543B"/>
    <w:rsid w:val="00995E73"/>
    <w:rsid w:val="009962A1"/>
    <w:rsid w:val="009963DE"/>
    <w:rsid w:val="009966B7"/>
    <w:rsid w:val="00996818"/>
    <w:rsid w:val="00996854"/>
    <w:rsid w:val="00997022"/>
    <w:rsid w:val="00997669"/>
    <w:rsid w:val="009978D3"/>
    <w:rsid w:val="00997D35"/>
    <w:rsid w:val="009A003F"/>
    <w:rsid w:val="009A01BC"/>
    <w:rsid w:val="009A067F"/>
    <w:rsid w:val="009A0A74"/>
    <w:rsid w:val="009A0FE7"/>
    <w:rsid w:val="009A1095"/>
    <w:rsid w:val="009A154F"/>
    <w:rsid w:val="009A1557"/>
    <w:rsid w:val="009A1711"/>
    <w:rsid w:val="009A19A1"/>
    <w:rsid w:val="009A1E11"/>
    <w:rsid w:val="009A1EB6"/>
    <w:rsid w:val="009A24B0"/>
    <w:rsid w:val="009A273D"/>
    <w:rsid w:val="009A2942"/>
    <w:rsid w:val="009A29A5"/>
    <w:rsid w:val="009A2A47"/>
    <w:rsid w:val="009A33DA"/>
    <w:rsid w:val="009A3572"/>
    <w:rsid w:val="009A3960"/>
    <w:rsid w:val="009A4447"/>
    <w:rsid w:val="009A44DA"/>
    <w:rsid w:val="009A472A"/>
    <w:rsid w:val="009A4857"/>
    <w:rsid w:val="009A4B03"/>
    <w:rsid w:val="009A4B25"/>
    <w:rsid w:val="009A5735"/>
    <w:rsid w:val="009A5782"/>
    <w:rsid w:val="009A585F"/>
    <w:rsid w:val="009A592A"/>
    <w:rsid w:val="009A5A8C"/>
    <w:rsid w:val="009A5E0C"/>
    <w:rsid w:val="009A5EC1"/>
    <w:rsid w:val="009A5FF4"/>
    <w:rsid w:val="009A634D"/>
    <w:rsid w:val="009A639C"/>
    <w:rsid w:val="009A64AB"/>
    <w:rsid w:val="009A6521"/>
    <w:rsid w:val="009A6842"/>
    <w:rsid w:val="009A68A0"/>
    <w:rsid w:val="009A6AD3"/>
    <w:rsid w:val="009A6EB2"/>
    <w:rsid w:val="009A7E06"/>
    <w:rsid w:val="009A7EEC"/>
    <w:rsid w:val="009A7F14"/>
    <w:rsid w:val="009A7F58"/>
    <w:rsid w:val="009B01C7"/>
    <w:rsid w:val="009B028A"/>
    <w:rsid w:val="009B0700"/>
    <w:rsid w:val="009B0854"/>
    <w:rsid w:val="009B0EFF"/>
    <w:rsid w:val="009B131C"/>
    <w:rsid w:val="009B1D48"/>
    <w:rsid w:val="009B1E90"/>
    <w:rsid w:val="009B1F3D"/>
    <w:rsid w:val="009B1FB0"/>
    <w:rsid w:val="009B24A1"/>
    <w:rsid w:val="009B27C4"/>
    <w:rsid w:val="009B2839"/>
    <w:rsid w:val="009B34D6"/>
    <w:rsid w:val="009B3C45"/>
    <w:rsid w:val="009B3CAE"/>
    <w:rsid w:val="009B3E01"/>
    <w:rsid w:val="009B3FF3"/>
    <w:rsid w:val="009B425F"/>
    <w:rsid w:val="009B49EB"/>
    <w:rsid w:val="009B50A8"/>
    <w:rsid w:val="009B5705"/>
    <w:rsid w:val="009B58B3"/>
    <w:rsid w:val="009B5CFF"/>
    <w:rsid w:val="009B6F70"/>
    <w:rsid w:val="009B701A"/>
    <w:rsid w:val="009B7362"/>
    <w:rsid w:val="009B7615"/>
    <w:rsid w:val="009B7B5C"/>
    <w:rsid w:val="009B7C37"/>
    <w:rsid w:val="009B7CD7"/>
    <w:rsid w:val="009C01E7"/>
    <w:rsid w:val="009C0269"/>
    <w:rsid w:val="009C03E5"/>
    <w:rsid w:val="009C066B"/>
    <w:rsid w:val="009C0818"/>
    <w:rsid w:val="009C12A6"/>
    <w:rsid w:val="009C12C8"/>
    <w:rsid w:val="009C1307"/>
    <w:rsid w:val="009C136C"/>
    <w:rsid w:val="009C18EE"/>
    <w:rsid w:val="009C195F"/>
    <w:rsid w:val="009C1984"/>
    <w:rsid w:val="009C1FB5"/>
    <w:rsid w:val="009C1FE9"/>
    <w:rsid w:val="009C2443"/>
    <w:rsid w:val="009C30BB"/>
    <w:rsid w:val="009C34EB"/>
    <w:rsid w:val="009C3567"/>
    <w:rsid w:val="009C366A"/>
    <w:rsid w:val="009C3D07"/>
    <w:rsid w:val="009C3E84"/>
    <w:rsid w:val="009C3E8F"/>
    <w:rsid w:val="009C3F0B"/>
    <w:rsid w:val="009C3F81"/>
    <w:rsid w:val="009C400B"/>
    <w:rsid w:val="009C4039"/>
    <w:rsid w:val="009C412B"/>
    <w:rsid w:val="009C413E"/>
    <w:rsid w:val="009C41FE"/>
    <w:rsid w:val="009C47DD"/>
    <w:rsid w:val="009C48FC"/>
    <w:rsid w:val="009C4EAE"/>
    <w:rsid w:val="009C58D4"/>
    <w:rsid w:val="009C5A26"/>
    <w:rsid w:val="009C5C35"/>
    <w:rsid w:val="009C5FB3"/>
    <w:rsid w:val="009C6063"/>
    <w:rsid w:val="009C60E8"/>
    <w:rsid w:val="009C6123"/>
    <w:rsid w:val="009C677E"/>
    <w:rsid w:val="009C6CE3"/>
    <w:rsid w:val="009C6EAC"/>
    <w:rsid w:val="009C70A3"/>
    <w:rsid w:val="009C795E"/>
    <w:rsid w:val="009C7A28"/>
    <w:rsid w:val="009C7EC7"/>
    <w:rsid w:val="009C7EF3"/>
    <w:rsid w:val="009D0065"/>
    <w:rsid w:val="009D03EC"/>
    <w:rsid w:val="009D0426"/>
    <w:rsid w:val="009D069B"/>
    <w:rsid w:val="009D09AC"/>
    <w:rsid w:val="009D0C61"/>
    <w:rsid w:val="009D0EC7"/>
    <w:rsid w:val="009D0EE3"/>
    <w:rsid w:val="009D0FED"/>
    <w:rsid w:val="009D1234"/>
    <w:rsid w:val="009D12C8"/>
    <w:rsid w:val="009D18C2"/>
    <w:rsid w:val="009D254C"/>
    <w:rsid w:val="009D2765"/>
    <w:rsid w:val="009D28EB"/>
    <w:rsid w:val="009D2CB6"/>
    <w:rsid w:val="009D3043"/>
    <w:rsid w:val="009D32CE"/>
    <w:rsid w:val="009D3429"/>
    <w:rsid w:val="009D35B5"/>
    <w:rsid w:val="009D3BE0"/>
    <w:rsid w:val="009D3C91"/>
    <w:rsid w:val="009D3FA3"/>
    <w:rsid w:val="009D4020"/>
    <w:rsid w:val="009D48A2"/>
    <w:rsid w:val="009D4D82"/>
    <w:rsid w:val="009D4E08"/>
    <w:rsid w:val="009D504D"/>
    <w:rsid w:val="009D5355"/>
    <w:rsid w:val="009D5709"/>
    <w:rsid w:val="009D5B6D"/>
    <w:rsid w:val="009D5C11"/>
    <w:rsid w:val="009D6255"/>
    <w:rsid w:val="009D6CEC"/>
    <w:rsid w:val="009D7267"/>
    <w:rsid w:val="009D7B64"/>
    <w:rsid w:val="009D7ED5"/>
    <w:rsid w:val="009D7F2E"/>
    <w:rsid w:val="009E0797"/>
    <w:rsid w:val="009E09EE"/>
    <w:rsid w:val="009E0DAF"/>
    <w:rsid w:val="009E0E63"/>
    <w:rsid w:val="009E1034"/>
    <w:rsid w:val="009E12D9"/>
    <w:rsid w:val="009E1493"/>
    <w:rsid w:val="009E1867"/>
    <w:rsid w:val="009E18FC"/>
    <w:rsid w:val="009E2391"/>
    <w:rsid w:val="009E25A5"/>
    <w:rsid w:val="009E27BF"/>
    <w:rsid w:val="009E27E9"/>
    <w:rsid w:val="009E2C9E"/>
    <w:rsid w:val="009E2EE6"/>
    <w:rsid w:val="009E31D9"/>
    <w:rsid w:val="009E32D4"/>
    <w:rsid w:val="009E357C"/>
    <w:rsid w:val="009E3B2E"/>
    <w:rsid w:val="009E3BA0"/>
    <w:rsid w:val="009E4504"/>
    <w:rsid w:val="009E46B7"/>
    <w:rsid w:val="009E4BC4"/>
    <w:rsid w:val="009E4EAF"/>
    <w:rsid w:val="009E4F79"/>
    <w:rsid w:val="009E557A"/>
    <w:rsid w:val="009E5FE4"/>
    <w:rsid w:val="009E642E"/>
    <w:rsid w:val="009E670C"/>
    <w:rsid w:val="009E6EC6"/>
    <w:rsid w:val="009E6EC7"/>
    <w:rsid w:val="009E745F"/>
    <w:rsid w:val="009E76E7"/>
    <w:rsid w:val="009E7875"/>
    <w:rsid w:val="009E788C"/>
    <w:rsid w:val="009E78F1"/>
    <w:rsid w:val="009E78FA"/>
    <w:rsid w:val="009E7904"/>
    <w:rsid w:val="009E7B4D"/>
    <w:rsid w:val="009E7EA3"/>
    <w:rsid w:val="009F006B"/>
    <w:rsid w:val="009F0582"/>
    <w:rsid w:val="009F0B22"/>
    <w:rsid w:val="009F0BA4"/>
    <w:rsid w:val="009F15A5"/>
    <w:rsid w:val="009F1F81"/>
    <w:rsid w:val="009F20EB"/>
    <w:rsid w:val="009F22D8"/>
    <w:rsid w:val="009F284F"/>
    <w:rsid w:val="009F2BD5"/>
    <w:rsid w:val="009F2DB4"/>
    <w:rsid w:val="009F30C4"/>
    <w:rsid w:val="009F37E0"/>
    <w:rsid w:val="009F43A6"/>
    <w:rsid w:val="009F43C5"/>
    <w:rsid w:val="009F4618"/>
    <w:rsid w:val="009F46C6"/>
    <w:rsid w:val="009F4896"/>
    <w:rsid w:val="009F4E21"/>
    <w:rsid w:val="009F4E4D"/>
    <w:rsid w:val="009F4E92"/>
    <w:rsid w:val="009F579C"/>
    <w:rsid w:val="009F5836"/>
    <w:rsid w:val="009F5E4D"/>
    <w:rsid w:val="009F5F55"/>
    <w:rsid w:val="009F63F2"/>
    <w:rsid w:val="009F688B"/>
    <w:rsid w:val="009F6B1E"/>
    <w:rsid w:val="009F6CC0"/>
    <w:rsid w:val="009F6CFA"/>
    <w:rsid w:val="009F799B"/>
    <w:rsid w:val="009F7EB1"/>
    <w:rsid w:val="009F7FEB"/>
    <w:rsid w:val="00A00004"/>
    <w:rsid w:val="00A0012C"/>
    <w:rsid w:val="00A00256"/>
    <w:rsid w:val="00A00C8E"/>
    <w:rsid w:val="00A00E8A"/>
    <w:rsid w:val="00A01478"/>
    <w:rsid w:val="00A0167A"/>
    <w:rsid w:val="00A01730"/>
    <w:rsid w:val="00A017C4"/>
    <w:rsid w:val="00A01B06"/>
    <w:rsid w:val="00A01B19"/>
    <w:rsid w:val="00A01D23"/>
    <w:rsid w:val="00A020EA"/>
    <w:rsid w:val="00A023EF"/>
    <w:rsid w:val="00A02AA7"/>
    <w:rsid w:val="00A02AB7"/>
    <w:rsid w:val="00A0322F"/>
    <w:rsid w:val="00A03487"/>
    <w:rsid w:val="00A03897"/>
    <w:rsid w:val="00A038B0"/>
    <w:rsid w:val="00A0393E"/>
    <w:rsid w:val="00A03963"/>
    <w:rsid w:val="00A03A85"/>
    <w:rsid w:val="00A04071"/>
    <w:rsid w:val="00A0477E"/>
    <w:rsid w:val="00A04B1E"/>
    <w:rsid w:val="00A04D61"/>
    <w:rsid w:val="00A051BA"/>
    <w:rsid w:val="00A057CA"/>
    <w:rsid w:val="00A05CE6"/>
    <w:rsid w:val="00A05DD6"/>
    <w:rsid w:val="00A05FFD"/>
    <w:rsid w:val="00A062D7"/>
    <w:rsid w:val="00A062E6"/>
    <w:rsid w:val="00A063A2"/>
    <w:rsid w:val="00A067BA"/>
    <w:rsid w:val="00A06A5F"/>
    <w:rsid w:val="00A06CDE"/>
    <w:rsid w:val="00A06D3E"/>
    <w:rsid w:val="00A070A8"/>
    <w:rsid w:val="00A070DA"/>
    <w:rsid w:val="00A07348"/>
    <w:rsid w:val="00A075FA"/>
    <w:rsid w:val="00A07927"/>
    <w:rsid w:val="00A07C41"/>
    <w:rsid w:val="00A105F5"/>
    <w:rsid w:val="00A1064B"/>
    <w:rsid w:val="00A10911"/>
    <w:rsid w:val="00A1098F"/>
    <w:rsid w:val="00A10BCB"/>
    <w:rsid w:val="00A111B9"/>
    <w:rsid w:val="00A1125C"/>
    <w:rsid w:val="00A115A2"/>
    <w:rsid w:val="00A1193F"/>
    <w:rsid w:val="00A11D4C"/>
    <w:rsid w:val="00A1208A"/>
    <w:rsid w:val="00A12315"/>
    <w:rsid w:val="00A12580"/>
    <w:rsid w:val="00A127D4"/>
    <w:rsid w:val="00A1291B"/>
    <w:rsid w:val="00A12942"/>
    <w:rsid w:val="00A129BA"/>
    <w:rsid w:val="00A12C5D"/>
    <w:rsid w:val="00A12CD2"/>
    <w:rsid w:val="00A1397A"/>
    <w:rsid w:val="00A13E42"/>
    <w:rsid w:val="00A144D6"/>
    <w:rsid w:val="00A144F6"/>
    <w:rsid w:val="00A1466D"/>
    <w:rsid w:val="00A14BB8"/>
    <w:rsid w:val="00A14C77"/>
    <w:rsid w:val="00A14CD7"/>
    <w:rsid w:val="00A14E15"/>
    <w:rsid w:val="00A1523C"/>
    <w:rsid w:val="00A1586C"/>
    <w:rsid w:val="00A15B98"/>
    <w:rsid w:val="00A15C9B"/>
    <w:rsid w:val="00A15F67"/>
    <w:rsid w:val="00A162D8"/>
    <w:rsid w:val="00A163B0"/>
    <w:rsid w:val="00A167E4"/>
    <w:rsid w:val="00A16CC5"/>
    <w:rsid w:val="00A16F1C"/>
    <w:rsid w:val="00A17A2F"/>
    <w:rsid w:val="00A17D56"/>
    <w:rsid w:val="00A17DCB"/>
    <w:rsid w:val="00A17F98"/>
    <w:rsid w:val="00A200C6"/>
    <w:rsid w:val="00A204A9"/>
    <w:rsid w:val="00A209A6"/>
    <w:rsid w:val="00A210B4"/>
    <w:rsid w:val="00A21445"/>
    <w:rsid w:val="00A218E2"/>
    <w:rsid w:val="00A21B6F"/>
    <w:rsid w:val="00A21BF3"/>
    <w:rsid w:val="00A21C82"/>
    <w:rsid w:val="00A21D8D"/>
    <w:rsid w:val="00A221DD"/>
    <w:rsid w:val="00A225DD"/>
    <w:rsid w:val="00A22C2C"/>
    <w:rsid w:val="00A22D7C"/>
    <w:rsid w:val="00A23168"/>
    <w:rsid w:val="00A2363C"/>
    <w:rsid w:val="00A23D81"/>
    <w:rsid w:val="00A240B1"/>
    <w:rsid w:val="00A2459D"/>
    <w:rsid w:val="00A246B2"/>
    <w:rsid w:val="00A246FE"/>
    <w:rsid w:val="00A248BA"/>
    <w:rsid w:val="00A24DF6"/>
    <w:rsid w:val="00A2517A"/>
    <w:rsid w:val="00A25758"/>
    <w:rsid w:val="00A25784"/>
    <w:rsid w:val="00A25AA8"/>
    <w:rsid w:val="00A25BBA"/>
    <w:rsid w:val="00A25DDA"/>
    <w:rsid w:val="00A25EC3"/>
    <w:rsid w:val="00A25FA9"/>
    <w:rsid w:val="00A26146"/>
    <w:rsid w:val="00A26148"/>
    <w:rsid w:val="00A26442"/>
    <w:rsid w:val="00A2648B"/>
    <w:rsid w:val="00A26602"/>
    <w:rsid w:val="00A266C8"/>
    <w:rsid w:val="00A26915"/>
    <w:rsid w:val="00A26CF4"/>
    <w:rsid w:val="00A26DDB"/>
    <w:rsid w:val="00A27291"/>
    <w:rsid w:val="00A27673"/>
    <w:rsid w:val="00A27817"/>
    <w:rsid w:val="00A30665"/>
    <w:rsid w:val="00A3087E"/>
    <w:rsid w:val="00A30D59"/>
    <w:rsid w:val="00A30FCC"/>
    <w:rsid w:val="00A31012"/>
    <w:rsid w:val="00A314F0"/>
    <w:rsid w:val="00A31736"/>
    <w:rsid w:val="00A31B0D"/>
    <w:rsid w:val="00A31BE4"/>
    <w:rsid w:val="00A31FA9"/>
    <w:rsid w:val="00A32627"/>
    <w:rsid w:val="00A32686"/>
    <w:rsid w:val="00A328D5"/>
    <w:rsid w:val="00A32A1D"/>
    <w:rsid w:val="00A32F74"/>
    <w:rsid w:val="00A33031"/>
    <w:rsid w:val="00A332F0"/>
    <w:rsid w:val="00A33D07"/>
    <w:rsid w:val="00A33E03"/>
    <w:rsid w:val="00A3406E"/>
    <w:rsid w:val="00A34524"/>
    <w:rsid w:val="00A34680"/>
    <w:rsid w:val="00A34817"/>
    <w:rsid w:val="00A34E41"/>
    <w:rsid w:val="00A35107"/>
    <w:rsid w:val="00A35217"/>
    <w:rsid w:val="00A3551A"/>
    <w:rsid w:val="00A355CD"/>
    <w:rsid w:val="00A35689"/>
    <w:rsid w:val="00A357B4"/>
    <w:rsid w:val="00A3585A"/>
    <w:rsid w:val="00A35EE7"/>
    <w:rsid w:val="00A36332"/>
    <w:rsid w:val="00A36425"/>
    <w:rsid w:val="00A36970"/>
    <w:rsid w:val="00A3699A"/>
    <w:rsid w:val="00A36E09"/>
    <w:rsid w:val="00A378F9"/>
    <w:rsid w:val="00A37910"/>
    <w:rsid w:val="00A37B61"/>
    <w:rsid w:val="00A40134"/>
    <w:rsid w:val="00A402BB"/>
    <w:rsid w:val="00A4070C"/>
    <w:rsid w:val="00A40717"/>
    <w:rsid w:val="00A40A6C"/>
    <w:rsid w:val="00A412DB"/>
    <w:rsid w:val="00A415C2"/>
    <w:rsid w:val="00A41B32"/>
    <w:rsid w:val="00A42004"/>
    <w:rsid w:val="00A4255C"/>
    <w:rsid w:val="00A42CCD"/>
    <w:rsid w:val="00A43082"/>
    <w:rsid w:val="00A43379"/>
    <w:rsid w:val="00A43505"/>
    <w:rsid w:val="00A441D6"/>
    <w:rsid w:val="00A4474E"/>
    <w:rsid w:val="00A447D1"/>
    <w:rsid w:val="00A44F5C"/>
    <w:rsid w:val="00A45DC3"/>
    <w:rsid w:val="00A46177"/>
    <w:rsid w:val="00A4628E"/>
    <w:rsid w:val="00A46403"/>
    <w:rsid w:val="00A46435"/>
    <w:rsid w:val="00A464F2"/>
    <w:rsid w:val="00A46614"/>
    <w:rsid w:val="00A46BC7"/>
    <w:rsid w:val="00A4705B"/>
    <w:rsid w:val="00A47221"/>
    <w:rsid w:val="00A476F8"/>
    <w:rsid w:val="00A47BB0"/>
    <w:rsid w:val="00A47D98"/>
    <w:rsid w:val="00A50BDD"/>
    <w:rsid w:val="00A51013"/>
    <w:rsid w:val="00A51B0C"/>
    <w:rsid w:val="00A51F73"/>
    <w:rsid w:val="00A52073"/>
    <w:rsid w:val="00A520B0"/>
    <w:rsid w:val="00A521B4"/>
    <w:rsid w:val="00A525F9"/>
    <w:rsid w:val="00A52A14"/>
    <w:rsid w:val="00A52DEF"/>
    <w:rsid w:val="00A52F84"/>
    <w:rsid w:val="00A53248"/>
    <w:rsid w:val="00A53809"/>
    <w:rsid w:val="00A540EF"/>
    <w:rsid w:val="00A54158"/>
    <w:rsid w:val="00A54373"/>
    <w:rsid w:val="00A543D7"/>
    <w:rsid w:val="00A544D0"/>
    <w:rsid w:val="00A5477E"/>
    <w:rsid w:val="00A549BD"/>
    <w:rsid w:val="00A54C96"/>
    <w:rsid w:val="00A54E13"/>
    <w:rsid w:val="00A55170"/>
    <w:rsid w:val="00A5541D"/>
    <w:rsid w:val="00A55640"/>
    <w:rsid w:val="00A55995"/>
    <w:rsid w:val="00A55B1C"/>
    <w:rsid w:val="00A55C10"/>
    <w:rsid w:val="00A55C5B"/>
    <w:rsid w:val="00A55DD4"/>
    <w:rsid w:val="00A560A8"/>
    <w:rsid w:val="00A56402"/>
    <w:rsid w:val="00A56669"/>
    <w:rsid w:val="00A56705"/>
    <w:rsid w:val="00A56898"/>
    <w:rsid w:val="00A56B3C"/>
    <w:rsid w:val="00A5759F"/>
    <w:rsid w:val="00A57B0F"/>
    <w:rsid w:val="00A57E9E"/>
    <w:rsid w:val="00A57EB7"/>
    <w:rsid w:val="00A6021B"/>
    <w:rsid w:val="00A6106A"/>
    <w:rsid w:val="00A61202"/>
    <w:rsid w:val="00A612F3"/>
    <w:rsid w:val="00A614D0"/>
    <w:rsid w:val="00A61B43"/>
    <w:rsid w:val="00A620CE"/>
    <w:rsid w:val="00A6221C"/>
    <w:rsid w:val="00A623D8"/>
    <w:rsid w:val="00A62647"/>
    <w:rsid w:val="00A6280A"/>
    <w:rsid w:val="00A62CC0"/>
    <w:rsid w:val="00A62E66"/>
    <w:rsid w:val="00A6316E"/>
    <w:rsid w:val="00A631A7"/>
    <w:rsid w:val="00A63501"/>
    <w:rsid w:val="00A6362D"/>
    <w:rsid w:val="00A6381F"/>
    <w:rsid w:val="00A639E6"/>
    <w:rsid w:val="00A63D73"/>
    <w:rsid w:val="00A64099"/>
    <w:rsid w:val="00A64877"/>
    <w:rsid w:val="00A64940"/>
    <w:rsid w:val="00A649D3"/>
    <w:rsid w:val="00A64B11"/>
    <w:rsid w:val="00A64D64"/>
    <w:rsid w:val="00A65249"/>
    <w:rsid w:val="00A6527F"/>
    <w:rsid w:val="00A65B9A"/>
    <w:rsid w:val="00A65D7F"/>
    <w:rsid w:val="00A6630B"/>
    <w:rsid w:val="00A664C4"/>
    <w:rsid w:val="00A66584"/>
    <w:rsid w:val="00A666A4"/>
    <w:rsid w:val="00A66A4B"/>
    <w:rsid w:val="00A66CB1"/>
    <w:rsid w:val="00A66D2C"/>
    <w:rsid w:val="00A66E38"/>
    <w:rsid w:val="00A67265"/>
    <w:rsid w:val="00A67CC2"/>
    <w:rsid w:val="00A67CF0"/>
    <w:rsid w:val="00A700D3"/>
    <w:rsid w:val="00A70168"/>
    <w:rsid w:val="00A703A6"/>
    <w:rsid w:val="00A7071B"/>
    <w:rsid w:val="00A70976"/>
    <w:rsid w:val="00A716B8"/>
    <w:rsid w:val="00A7220D"/>
    <w:rsid w:val="00A723CE"/>
    <w:rsid w:val="00A72554"/>
    <w:rsid w:val="00A72655"/>
    <w:rsid w:val="00A728CF"/>
    <w:rsid w:val="00A733CB"/>
    <w:rsid w:val="00A73600"/>
    <w:rsid w:val="00A738DC"/>
    <w:rsid w:val="00A73B34"/>
    <w:rsid w:val="00A73D2E"/>
    <w:rsid w:val="00A73E53"/>
    <w:rsid w:val="00A742BC"/>
    <w:rsid w:val="00A743DB"/>
    <w:rsid w:val="00A7454B"/>
    <w:rsid w:val="00A74BE3"/>
    <w:rsid w:val="00A7512E"/>
    <w:rsid w:val="00A75550"/>
    <w:rsid w:val="00A75869"/>
    <w:rsid w:val="00A758FD"/>
    <w:rsid w:val="00A759C1"/>
    <w:rsid w:val="00A7667A"/>
    <w:rsid w:val="00A768CC"/>
    <w:rsid w:val="00A76A09"/>
    <w:rsid w:val="00A77425"/>
    <w:rsid w:val="00A776B6"/>
    <w:rsid w:val="00A7780A"/>
    <w:rsid w:val="00A77DA8"/>
    <w:rsid w:val="00A800E4"/>
    <w:rsid w:val="00A8014F"/>
    <w:rsid w:val="00A801A9"/>
    <w:rsid w:val="00A805D2"/>
    <w:rsid w:val="00A80658"/>
    <w:rsid w:val="00A812EF"/>
    <w:rsid w:val="00A812F7"/>
    <w:rsid w:val="00A81517"/>
    <w:rsid w:val="00A829B3"/>
    <w:rsid w:val="00A82F4E"/>
    <w:rsid w:val="00A830FC"/>
    <w:rsid w:val="00A83452"/>
    <w:rsid w:val="00A83E46"/>
    <w:rsid w:val="00A83E85"/>
    <w:rsid w:val="00A843B1"/>
    <w:rsid w:val="00A845DF"/>
    <w:rsid w:val="00A8490C"/>
    <w:rsid w:val="00A84B70"/>
    <w:rsid w:val="00A8533B"/>
    <w:rsid w:val="00A853AF"/>
    <w:rsid w:val="00A85458"/>
    <w:rsid w:val="00A85E05"/>
    <w:rsid w:val="00A86223"/>
    <w:rsid w:val="00A86241"/>
    <w:rsid w:val="00A86338"/>
    <w:rsid w:val="00A864F5"/>
    <w:rsid w:val="00A869C3"/>
    <w:rsid w:val="00A86BCC"/>
    <w:rsid w:val="00A86CD3"/>
    <w:rsid w:val="00A86DC5"/>
    <w:rsid w:val="00A87111"/>
    <w:rsid w:val="00A8714A"/>
    <w:rsid w:val="00A878E9"/>
    <w:rsid w:val="00A901CB"/>
    <w:rsid w:val="00A90757"/>
    <w:rsid w:val="00A90927"/>
    <w:rsid w:val="00A90A7E"/>
    <w:rsid w:val="00A90AD5"/>
    <w:rsid w:val="00A90C4B"/>
    <w:rsid w:val="00A90C6B"/>
    <w:rsid w:val="00A90CA2"/>
    <w:rsid w:val="00A90E27"/>
    <w:rsid w:val="00A91066"/>
    <w:rsid w:val="00A915E0"/>
    <w:rsid w:val="00A91AD4"/>
    <w:rsid w:val="00A923FA"/>
    <w:rsid w:val="00A924D5"/>
    <w:rsid w:val="00A925CB"/>
    <w:rsid w:val="00A928DA"/>
    <w:rsid w:val="00A92A74"/>
    <w:rsid w:val="00A92DB7"/>
    <w:rsid w:val="00A93178"/>
    <w:rsid w:val="00A93222"/>
    <w:rsid w:val="00A933DF"/>
    <w:rsid w:val="00A934A5"/>
    <w:rsid w:val="00A93593"/>
    <w:rsid w:val="00A9374D"/>
    <w:rsid w:val="00A9378E"/>
    <w:rsid w:val="00A937DC"/>
    <w:rsid w:val="00A93A4C"/>
    <w:rsid w:val="00A93F0C"/>
    <w:rsid w:val="00A94407"/>
    <w:rsid w:val="00A94725"/>
    <w:rsid w:val="00A94731"/>
    <w:rsid w:val="00A94BA7"/>
    <w:rsid w:val="00A94ED8"/>
    <w:rsid w:val="00A95092"/>
    <w:rsid w:val="00A95163"/>
    <w:rsid w:val="00A95769"/>
    <w:rsid w:val="00A957A7"/>
    <w:rsid w:val="00A959DA"/>
    <w:rsid w:val="00A95A36"/>
    <w:rsid w:val="00A95B41"/>
    <w:rsid w:val="00A95D7C"/>
    <w:rsid w:val="00A962C6"/>
    <w:rsid w:val="00A96570"/>
    <w:rsid w:val="00A96A99"/>
    <w:rsid w:val="00A96D5E"/>
    <w:rsid w:val="00A97105"/>
    <w:rsid w:val="00A97282"/>
    <w:rsid w:val="00A9742B"/>
    <w:rsid w:val="00AA0124"/>
    <w:rsid w:val="00AA042C"/>
    <w:rsid w:val="00AA0D47"/>
    <w:rsid w:val="00AA0ED6"/>
    <w:rsid w:val="00AA1078"/>
    <w:rsid w:val="00AA1214"/>
    <w:rsid w:val="00AA12B6"/>
    <w:rsid w:val="00AA13A8"/>
    <w:rsid w:val="00AA18EB"/>
    <w:rsid w:val="00AA191B"/>
    <w:rsid w:val="00AA194B"/>
    <w:rsid w:val="00AA1C3A"/>
    <w:rsid w:val="00AA214F"/>
    <w:rsid w:val="00AA239D"/>
    <w:rsid w:val="00AA2496"/>
    <w:rsid w:val="00AA25B6"/>
    <w:rsid w:val="00AA2FC8"/>
    <w:rsid w:val="00AA32B1"/>
    <w:rsid w:val="00AA3502"/>
    <w:rsid w:val="00AA36AE"/>
    <w:rsid w:val="00AA3717"/>
    <w:rsid w:val="00AA43EA"/>
    <w:rsid w:val="00AA49A9"/>
    <w:rsid w:val="00AA4A3A"/>
    <w:rsid w:val="00AA4CD9"/>
    <w:rsid w:val="00AA50F9"/>
    <w:rsid w:val="00AA53D4"/>
    <w:rsid w:val="00AA5568"/>
    <w:rsid w:val="00AA5D52"/>
    <w:rsid w:val="00AA5DF7"/>
    <w:rsid w:val="00AA5FDF"/>
    <w:rsid w:val="00AA606B"/>
    <w:rsid w:val="00AA61EF"/>
    <w:rsid w:val="00AA629D"/>
    <w:rsid w:val="00AA62BF"/>
    <w:rsid w:val="00AA63DD"/>
    <w:rsid w:val="00AA6651"/>
    <w:rsid w:val="00AA677E"/>
    <w:rsid w:val="00AA6867"/>
    <w:rsid w:val="00AA697E"/>
    <w:rsid w:val="00AA6AA2"/>
    <w:rsid w:val="00AA6BA3"/>
    <w:rsid w:val="00AA6BBC"/>
    <w:rsid w:val="00AB016B"/>
    <w:rsid w:val="00AB0398"/>
    <w:rsid w:val="00AB085B"/>
    <w:rsid w:val="00AB0AFC"/>
    <w:rsid w:val="00AB0CBC"/>
    <w:rsid w:val="00AB0E86"/>
    <w:rsid w:val="00AB1ED9"/>
    <w:rsid w:val="00AB2536"/>
    <w:rsid w:val="00AB254A"/>
    <w:rsid w:val="00AB293C"/>
    <w:rsid w:val="00AB320F"/>
    <w:rsid w:val="00AB32B4"/>
    <w:rsid w:val="00AB337F"/>
    <w:rsid w:val="00AB347A"/>
    <w:rsid w:val="00AB36D0"/>
    <w:rsid w:val="00AB3E38"/>
    <w:rsid w:val="00AB406D"/>
    <w:rsid w:val="00AB41F9"/>
    <w:rsid w:val="00AB4213"/>
    <w:rsid w:val="00AB4A8D"/>
    <w:rsid w:val="00AB4CE8"/>
    <w:rsid w:val="00AB4F6A"/>
    <w:rsid w:val="00AB4F8E"/>
    <w:rsid w:val="00AB5015"/>
    <w:rsid w:val="00AB5091"/>
    <w:rsid w:val="00AB5370"/>
    <w:rsid w:val="00AB590F"/>
    <w:rsid w:val="00AB5948"/>
    <w:rsid w:val="00AB5ABB"/>
    <w:rsid w:val="00AB66BD"/>
    <w:rsid w:val="00AB6FA6"/>
    <w:rsid w:val="00AB7321"/>
    <w:rsid w:val="00AB7713"/>
    <w:rsid w:val="00AB7B3D"/>
    <w:rsid w:val="00AB7EE3"/>
    <w:rsid w:val="00AC04BF"/>
    <w:rsid w:val="00AC06AC"/>
    <w:rsid w:val="00AC06EA"/>
    <w:rsid w:val="00AC0779"/>
    <w:rsid w:val="00AC0E89"/>
    <w:rsid w:val="00AC1CBC"/>
    <w:rsid w:val="00AC1F50"/>
    <w:rsid w:val="00AC21FC"/>
    <w:rsid w:val="00AC25E5"/>
    <w:rsid w:val="00AC269C"/>
    <w:rsid w:val="00AC26AA"/>
    <w:rsid w:val="00AC28C5"/>
    <w:rsid w:val="00AC2A31"/>
    <w:rsid w:val="00AC2B83"/>
    <w:rsid w:val="00AC2CAA"/>
    <w:rsid w:val="00AC2CCB"/>
    <w:rsid w:val="00AC3E14"/>
    <w:rsid w:val="00AC4027"/>
    <w:rsid w:val="00AC42BD"/>
    <w:rsid w:val="00AC443F"/>
    <w:rsid w:val="00AC4479"/>
    <w:rsid w:val="00AC4A04"/>
    <w:rsid w:val="00AC50E6"/>
    <w:rsid w:val="00AC512D"/>
    <w:rsid w:val="00AC540A"/>
    <w:rsid w:val="00AC5E81"/>
    <w:rsid w:val="00AC6138"/>
    <w:rsid w:val="00AC643D"/>
    <w:rsid w:val="00AC6781"/>
    <w:rsid w:val="00AC69AB"/>
    <w:rsid w:val="00AC69F6"/>
    <w:rsid w:val="00AC6A71"/>
    <w:rsid w:val="00AC6C51"/>
    <w:rsid w:val="00AC7B25"/>
    <w:rsid w:val="00AC7DE3"/>
    <w:rsid w:val="00AD0182"/>
    <w:rsid w:val="00AD0499"/>
    <w:rsid w:val="00AD0569"/>
    <w:rsid w:val="00AD09A8"/>
    <w:rsid w:val="00AD0B2A"/>
    <w:rsid w:val="00AD0FE6"/>
    <w:rsid w:val="00AD109B"/>
    <w:rsid w:val="00AD11F8"/>
    <w:rsid w:val="00AD1312"/>
    <w:rsid w:val="00AD190C"/>
    <w:rsid w:val="00AD19A9"/>
    <w:rsid w:val="00AD1EAC"/>
    <w:rsid w:val="00AD2535"/>
    <w:rsid w:val="00AD2C3A"/>
    <w:rsid w:val="00AD2F92"/>
    <w:rsid w:val="00AD322F"/>
    <w:rsid w:val="00AD34B8"/>
    <w:rsid w:val="00AD36DD"/>
    <w:rsid w:val="00AD3B7D"/>
    <w:rsid w:val="00AD3BED"/>
    <w:rsid w:val="00AD3CCF"/>
    <w:rsid w:val="00AD4337"/>
    <w:rsid w:val="00AD4814"/>
    <w:rsid w:val="00AD482C"/>
    <w:rsid w:val="00AD495D"/>
    <w:rsid w:val="00AD4F9D"/>
    <w:rsid w:val="00AD50FE"/>
    <w:rsid w:val="00AD556B"/>
    <w:rsid w:val="00AD55E9"/>
    <w:rsid w:val="00AD5D53"/>
    <w:rsid w:val="00AD67A7"/>
    <w:rsid w:val="00AD6AE8"/>
    <w:rsid w:val="00AD6F72"/>
    <w:rsid w:val="00AD71B2"/>
    <w:rsid w:val="00AD731C"/>
    <w:rsid w:val="00AD7A36"/>
    <w:rsid w:val="00AE06FE"/>
    <w:rsid w:val="00AE0C88"/>
    <w:rsid w:val="00AE0E3E"/>
    <w:rsid w:val="00AE11C3"/>
    <w:rsid w:val="00AE162B"/>
    <w:rsid w:val="00AE1814"/>
    <w:rsid w:val="00AE1937"/>
    <w:rsid w:val="00AE1B41"/>
    <w:rsid w:val="00AE240B"/>
    <w:rsid w:val="00AE2595"/>
    <w:rsid w:val="00AE29D8"/>
    <w:rsid w:val="00AE3493"/>
    <w:rsid w:val="00AE3947"/>
    <w:rsid w:val="00AE39D5"/>
    <w:rsid w:val="00AE3E30"/>
    <w:rsid w:val="00AE4035"/>
    <w:rsid w:val="00AE4263"/>
    <w:rsid w:val="00AE469D"/>
    <w:rsid w:val="00AE4977"/>
    <w:rsid w:val="00AE4B18"/>
    <w:rsid w:val="00AE5221"/>
    <w:rsid w:val="00AE56DE"/>
    <w:rsid w:val="00AE5A47"/>
    <w:rsid w:val="00AE5A9D"/>
    <w:rsid w:val="00AE5EBB"/>
    <w:rsid w:val="00AE5F8C"/>
    <w:rsid w:val="00AE6292"/>
    <w:rsid w:val="00AE634E"/>
    <w:rsid w:val="00AE643C"/>
    <w:rsid w:val="00AE6655"/>
    <w:rsid w:val="00AE68BF"/>
    <w:rsid w:val="00AE69C8"/>
    <w:rsid w:val="00AE6C41"/>
    <w:rsid w:val="00AE6E88"/>
    <w:rsid w:val="00AE7245"/>
    <w:rsid w:val="00AE73C8"/>
    <w:rsid w:val="00AE7518"/>
    <w:rsid w:val="00AE75BB"/>
    <w:rsid w:val="00AE7642"/>
    <w:rsid w:val="00AE7765"/>
    <w:rsid w:val="00AE7887"/>
    <w:rsid w:val="00AE79CD"/>
    <w:rsid w:val="00AE7A56"/>
    <w:rsid w:val="00AE7E0A"/>
    <w:rsid w:val="00AE7E86"/>
    <w:rsid w:val="00AE7EB8"/>
    <w:rsid w:val="00AE7F1F"/>
    <w:rsid w:val="00AE7F30"/>
    <w:rsid w:val="00AE7F3C"/>
    <w:rsid w:val="00AE7FDB"/>
    <w:rsid w:val="00AF053E"/>
    <w:rsid w:val="00AF055A"/>
    <w:rsid w:val="00AF0A51"/>
    <w:rsid w:val="00AF1004"/>
    <w:rsid w:val="00AF119C"/>
    <w:rsid w:val="00AF12A3"/>
    <w:rsid w:val="00AF16C4"/>
    <w:rsid w:val="00AF195A"/>
    <w:rsid w:val="00AF1A37"/>
    <w:rsid w:val="00AF1C8F"/>
    <w:rsid w:val="00AF257C"/>
    <w:rsid w:val="00AF2D47"/>
    <w:rsid w:val="00AF2D77"/>
    <w:rsid w:val="00AF2F9B"/>
    <w:rsid w:val="00AF3387"/>
    <w:rsid w:val="00AF39DF"/>
    <w:rsid w:val="00AF3BD5"/>
    <w:rsid w:val="00AF3FF9"/>
    <w:rsid w:val="00AF41CF"/>
    <w:rsid w:val="00AF465C"/>
    <w:rsid w:val="00AF522C"/>
    <w:rsid w:val="00AF5B6E"/>
    <w:rsid w:val="00AF5E8A"/>
    <w:rsid w:val="00AF5F33"/>
    <w:rsid w:val="00AF5FBA"/>
    <w:rsid w:val="00AF64A8"/>
    <w:rsid w:val="00AF6686"/>
    <w:rsid w:val="00AF6738"/>
    <w:rsid w:val="00AF6A9A"/>
    <w:rsid w:val="00AF6BCC"/>
    <w:rsid w:val="00AF7174"/>
    <w:rsid w:val="00AF72EB"/>
    <w:rsid w:val="00AF77E1"/>
    <w:rsid w:val="00AF7E7E"/>
    <w:rsid w:val="00B00404"/>
    <w:rsid w:val="00B00EA2"/>
    <w:rsid w:val="00B010CC"/>
    <w:rsid w:val="00B017E4"/>
    <w:rsid w:val="00B01819"/>
    <w:rsid w:val="00B01AB8"/>
    <w:rsid w:val="00B01D40"/>
    <w:rsid w:val="00B01E2D"/>
    <w:rsid w:val="00B02B97"/>
    <w:rsid w:val="00B02C9F"/>
    <w:rsid w:val="00B02EC0"/>
    <w:rsid w:val="00B03055"/>
    <w:rsid w:val="00B03186"/>
    <w:rsid w:val="00B03616"/>
    <w:rsid w:val="00B03929"/>
    <w:rsid w:val="00B03D5F"/>
    <w:rsid w:val="00B03F8E"/>
    <w:rsid w:val="00B0410E"/>
    <w:rsid w:val="00B0413F"/>
    <w:rsid w:val="00B042FB"/>
    <w:rsid w:val="00B0470F"/>
    <w:rsid w:val="00B04CE2"/>
    <w:rsid w:val="00B04DE0"/>
    <w:rsid w:val="00B05150"/>
    <w:rsid w:val="00B05282"/>
    <w:rsid w:val="00B0534C"/>
    <w:rsid w:val="00B05A4E"/>
    <w:rsid w:val="00B05BB1"/>
    <w:rsid w:val="00B05C70"/>
    <w:rsid w:val="00B05F9C"/>
    <w:rsid w:val="00B0696B"/>
    <w:rsid w:val="00B069A8"/>
    <w:rsid w:val="00B07101"/>
    <w:rsid w:val="00B071C7"/>
    <w:rsid w:val="00B07206"/>
    <w:rsid w:val="00B072B3"/>
    <w:rsid w:val="00B07515"/>
    <w:rsid w:val="00B07551"/>
    <w:rsid w:val="00B0774C"/>
    <w:rsid w:val="00B07C32"/>
    <w:rsid w:val="00B07F31"/>
    <w:rsid w:val="00B1053D"/>
    <w:rsid w:val="00B10798"/>
    <w:rsid w:val="00B108E0"/>
    <w:rsid w:val="00B114E5"/>
    <w:rsid w:val="00B11606"/>
    <w:rsid w:val="00B1174E"/>
    <w:rsid w:val="00B11AEF"/>
    <w:rsid w:val="00B11C8C"/>
    <w:rsid w:val="00B11CF7"/>
    <w:rsid w:val="00B12644"/>
    <w:rsid w:val="00B12669"/>
    <w:rsid w:val="00B12868"/>
    <w:rsid w:val="00B12AD8"/>
    <w:rsid w:val="00B12B0E"/>
    <w:rsid w:val="00B12C76"/>
    <w:rsid w:val="00B12DEA"/>
    <w:rsid w:val="00B12E4C"/>
    <w:rsid w:val="00B12F66"/>
    <w:rsid w:val="00B136BD"/>
    <w:rsid w:val="00B13927"/>
    <w:rsid w:val="00B13A60"/>
    <w:rsid w:val="00B13B92"/>
    <w:rsid w:val="00B141B7"/>
    <w:rsid w:val="00B15AED"/>
    <w:rsid w:val="00B165AA"/>
    <w:rsid w:val="00B1665C"/>
    <w:rsid w:val="00B168BD"/>
    <w:rsid w:val="00B16BDC"/>
    <w:rsid w:val="00B16C83"/>
    <w:rsid w:val="00B16E5A"/>
    <w:rsid w:val="00B1739E"/>
    <w:rsid w:val="00B1768D"/>
    <w:rsid w:val="00B17B22"/>
    <w:rsid w:val="00B17D96"/>
    <w:rsid w:val="00B200B3"/>
    <w:rsid w:val="00B207EE"/>
    <w:rsid w:val="00B20A4E"/>
    <w:rsid w:val="00B20DBF"/>
    <w:rsid w:val="00B2115A"/>
    <w:rsid w:val="00B214AB"/>
    <w:rsid w:val="00B2163E"/>
    <w:rsid w:val="00B216FE"/>
    <w:rsid w:val="00B21795"/>
    <w:rsid w:val="00B21899"/>
    <w:rsid w:val="00B218F0"/>
    <w:rsid w:val="00B21911"/>
    <w:rsid w:val="00B21C52"/>
    <w:rsid w:val="00B2232B"/>
    <w:rsid w:val="00B2248E"/>
    <w:rsid w:val="00B22A9F"/>
    <w:rsid w:val="00B23118"/>
    <w:rsid w:val="00B2321F"/>
    <w:rsid w:val="00B233EB"/>
    <w:rsid w:val="00B2367B"/>
    <w:rsid w:val="00B236F1"/>
    <w:rsid w:val="00B23AD3"/>
    <w:rsid w:val="00B23CEB"/>
    <w:rsid w:val="00B23D12"/>
    <w:rsid w:val="00B23F53"/>
    <w:rsid w:val="00B241C7"/>
    <w:rsid w:val="00B2453D"/>
    <w:rsid w:val="00B245D2"/>
    <w:rsid w:val="00B24BFC"/>
    <w:rsid w:val="00B25106"/>
    <w:rsid w:val="00B25460"/>
    <w:rsid w:val="00B25560"/>
    <w:rsid w:val="00B2570B"/>
    <w:rsid w:val="00B25B3B"/>
    <w:rsid w:val="00B260F8"/>
    <w:rsid w:val="00B261E1"/>
    <w:rsid w:val="00B2642F"/>
    <w:rsid w:val="00B264FE"/>
    <w:rsid w:val="00B269F4"/>
    <w:rsid w:val="00B26C74"/>
    <w:rsid w:val="00B26F9D"/>
    <w:rsid w:val="00B27137"/>
    <w:rsid w:val="00B27851"/>
    <w:rsid w:val="00B279D2"/>
    <w:rsid w:val="00B27B38"/>
    <w:rsid w:val="00B27B83"/>
    <w:rsid w:val="00B27D5E"/>
    <w:rsid w:val="00B27FCC"/>
    <w:rsid w:val="00B30C55"/>
    <w:rsid w:val="00B30EBE"/>
    <w:rsid w:val="00B318B7"/>
    <w:rsid w:val="00B31F57"/>
    <w:rsid w:val="00B324F0"/>
    <w:rsid w:val="00B32723"/>
    <w:rsid w:val="00B32761"/>
    <w:rsid w:val="00B328AA"/>
    <w:rsid w:val="00B32995"/>
    <w:rsid w:val="00B329CF"/>
    <w:rsid w:val="00B32A04"/>
    <w:rsid w:val="00B32E5D"/>
    <w:rsid w:val="00B32F0D"/>
    <w:rsid w:val="00B331EE"/>
    <w:rsid w:val="00B332AE"/>
    <w:rsid w:val="00B338D9"/>
    <w:rsid w:val="00B34291"/>
    <w:rsid w:val="00B3439D"/>
    <w:rsid w:val="00B350E4"/>
    <w:rsid w:val="00B3518D"/>
    <w:rsid w:val="00B35301"/>
    <w:rsid w:val="00B35A1E"/>
    <w:rsid w:val="00B35DC9"/>
    <w:rsid w:val="00B360E1"/>
    <w:rsid w:val="00B362BD"/>
    <w:rsid w:val="00B366E3"/>
    <w:rsid w:val="00B36D6D"/>
    <w:rsid w:val="00B3701D"/>
    <w:rsid w:val="00B37E2A"/>
    <w:rsid w:val="00B4074D"/>
    <w:rsid w:val="00B407F4"/>
    <w:rsid w:val="00B40880"/>
    <w:rsid w:val="00B40918"/>
    <w:rsid w:val="00B40B46"/>
    <w:rsid w:val="00B40B99"/>
    <w:rsid w:val="00B40DB2"/>
    <w:rsid w:val="00B411D4"/>
    <w:rsid w:val="00B4121E"/>
    <w:rsid w:val="00B41DF5"/>
    <w:rsid w:val="00B41F6A"/>
    <w:rsid w:val="00B422DB"/>
    <w:rsid w:val="00B42360"/>
    <w:rsid w:val="00B4277D"/>
    <w:rsid w:val="00B4293E"/>
    <w:rsid w:val="00B43094"/>
    <w:rsid w:val="00B432DB"/>
    <w:rsid w:val="00B43869"/>
    <w:rsid w:val="00B43908"/>
    <w:rsid w:val="00B43AFC"/>
    <w:rsid w:val="00B44977"/>
    <w:rsid w:val="00B44B06"/>
    <w:rsid w:val="00B44D03"/>
    <w:rsid w:val="00B44E46"/>
    <w:rsid w:val="00B451C2"/>
    <w:rsid w:val="00B452B3"/>
    <w:rsid w:val="00B453DC"/>
    <w:rsid w:val="00B4542F"/>
    <w:rsid w:val="00B454CF"/>
    <w:rsid w:val="00B455E2"/>
    <w:rsid w:val="00B46203"/>
    <w:rsid w:val="00B4631F"/>
    <w:rsid w:val="00B465C6"/>
    <w:rsid w:val="00B4687A"/>
    <w:rsid w:val="00B46C7C"/>
    <w:rsid w:val="00B47542"/>
    <w:rsid w:val="00B47581"/>
    <w:rsid w:val="00B4779C"/>
    <w:rsid w:val="00B479B5"/>
    <w:rsid w:val="00B47B0A"/>
    <w:rsid w:val="00B5071D"/>
    <w:rsid w:val="00B5083C"/>
    <w:rsid w:val="00B50A09"/>
    <w:rsid w:val="00B50BBA"/>
    <w:rsid w:val="00B50D8C"/>
    <w:rsid w:val="00B51017"/>
    <w:rsid w:val="00B51027"/>
    <w:rsid w:val="00B51148"/>
    <w:rsid w:val="00B514A0"/>
    <w:rsid w:val="00B51806"/>
    <w:rsid w:val="00B527F3"/>
    <w:rsid w:val="00B52863"/>
    <w:rsid w:val="00B53122"/>
    <w:rsid w:val="00B53915"/>
    <w:rsid w:val="00B53C7F"/>
    <w:rsid w:val="00B53D48"/>
    <w:rsid w:val="00B54113"/>
    <w:rsid w:val="00B5494A"/>
    <w:rsid w:val="00B549B3"/>
    <w:rsid w:val="00B54B3D"/>
    <w:rsid w:val="00B54F6A"/>
    <w:rsid w:val="00B55552"/>
    <w:rsid w:val="00B55844"/>
    <w:rsid w:val="00B55A0B"/>
    <w:rsid w:val="00B55CE2"/>
    <w:rsid w:val="00B56039"/>
    <w:rsid w:val="00B560B6"/>
    <w:rsid w:val="00B5630B"/>
    <w:rsid w:val="00B564EF"/>
    <w:rsid w:val="00B569D3"/>
    <w:rsid w:val="00B56A16"/>
    <w:rsid w:val="00B56D21"/>
    <w:rsid w:val="00B56F05"/>
    <w:rsid w:val="00B570FA"/>
    <w:rsid w:val="00B576DD"/>
    <w:rsid w:val="00B57722"/>
    <w:rsid w:val="00B57B68"/>
    <w:rsid w:val="00B57E02"/>
    <w:rsid w:val="00B6060B"/>
    <w:rsid w:val="00B606A0"/>
    <w:rsid w:val="00B60C22"/>
    <w:rsid w:val="00B60E89"/>
    <w:rsid w:val="00B614E2"/>
    <w:rsid w:val="00B61DE7"/>
    <w:rsid w:val="00B61FEB"/>
    <w:rsid w:val="00B62877"/>
    <w:rsid w:val="00B62E9C"/>
    <w:rsid w:val="00B62F9A"/>
    <w:rsid w:val="00B632A6"/>
    <w:rsid w:val="00B63B83"/>
    <w:rsid w:val="00B63DA8"/>
    <w:rsid w:val="00B63FF9"/>
    <w:rsid w:val="00B6414E"/>
    <w:rsid w:val="00B64235"/>
    <w:rsid w:val="00B64268"/>
    <w:rsid w:val="00B6445B"/>
    <w:rsid w:val="00B6453C"/>
    <w:rsid w:val="00B647FE"/>
    <w:rsid w:val="00B64967"/>
    <w:rsid w:val="00B649D5"/>
    <w:rsid w:val="00B64F64"/>
    <w:rsid w:val="00B65683"/>
    <w:rsid w:val="00B6590D"/>
    <w:rsid w:val="00B65925"/>
    <w:rsid w:val="00B65949"/>
    <w:rsid w:val="00B65993"/>
    <w:rsid w:val="00B65A92"/>
    <w:rsid w:val="00B65BFE"/>
    <w:rsid w:val="00B6604E"/>
    <w:rsid w:val="00B66846"/>
    <w:rsid w:val="00B66A88"/>
    <w:rsid w:val="00B6700B"/>
    <w:rsid w:val="00B67701"/>
    <w:rsid w:val="00B679F8"/>
    <w:rsid w:val="00B67B30"/>
    <w:rsid w:val="00B67BA6"/>
    <w:rsid w:val="00B67D05"/>
    <w:rsid w:val="00B67EC6"/>
    <w:rsid w:val="00B67EE6"/>
    <w:rsid w:val="00B7062F"/>
    <w:rsid w:val="00B71485"/>
    <w:rsid w:val="00B715B4"/>
    <w:rsid w:val="00B715B5"/>
    <w:rsid w:val="00B71891"/>
    <w:rsid w:val="00B71926"/>
    <w:rsid w:val="00B71B2A"/>
    <w:rsid w:val="00B71B3E"/>
    <w:rsid w:val="00B71E2E"/>
    <w:rsid w:val="00B71FA9"/>
    <w:rsid w:val="00B7200A"/>
    <w:rsid w:val="00B72109"/>
    <w:rsid w:val="00B729A0"/>
    <w:rsid w:val="00B72AED"/>
    <w:rsid w:val="00B72CE2"/>
    <w:rsid w:val="00B72D79"/>
    <w:rsid w:val="00B72EA1"/>
    <w:rsid w:val="00B72FA5"/>
    <w:rsid w:val="00B7331A"/>
    <w:rsid w:val="00B73964"/>
    <w:rsid w:val="00B73D05"/>
    <w:rsid w:val="00B743C3"/>
    <w:rsid w:val="00B745BF"/>
    <w:rsid w:val="00B748CA"/>
    <w:rsid w:val="00B74DAC"/>
    <w:rsid w:val="00B74EE5"/>
    <w:rsid w:val="00B753BF"/>
    <w:rsid w:val="00B757B1"/>
    <w:rsid w:val="00B759FF"/>
    <w:rsid w:val="00B75B15"/>
    <w:rsid w:val="00B75DD3"/>
    <w:rsid w:val="00B761BA"/>
    <w:rsid w:val="00B7625B"/>
    <w:rsid w:val="00B763A2"/>
    <w:rsid w:val="00B76857"/>
    <w:rsid w:val="00B769A3"/>
    <w:rsid w:val="00B76BB1"/>
    <w:rsid w:val="00B77153"/>
    <w:rsid w:val="00B7754B"/>
    <w:rsid w:val="00B77912"/>
    <w:rsid w:val="00B77ABC"/>
    <w:rsid w:val="00B77BA0"/>
    <w:rsid w:val="00B77E5C"/>
    <w:rsid w:val="00B77FD9"/>
    <w:rsid w:val="00B80269"/>
    <w:rsid w:val="00B80320"/>
    <w:rsid w:val="00B803BA"/>
    <w:rsid w:val="00B81204"/>
    <w:rsid w:val="00B812B2"/>
    <w:rsid w:val="00B812BE"/>
    <w:rsid w:val="00B814AC"/>
    <w:rsid w:val="00B8189D"/>
    <w:rsid w:val="00B819E0"/>
    <w:rsid w:val="00B82186"/>
    <w:rsid w:val="00B82899"/>
    <w:rsid w:val="00B82A17"/>
    <w:rsid w:val="00B82AD2"/>
    <w:rsid w:val="00B833DA"/>
    <w:rsid w:val="00B83629"/>
    <w:rsid w:val="00B838EA"/>
    <w:rsid w:val="00B83945"/>
    <w:rsid w:val="00B83961"/>
    <w:rsid w:val="00B83FE0"/>
    <w:rsid w:val="00B846E3"/>
    <w:rsid w:val="00B84883"/>
    <w:rsid w:val="00B84B6E"/>
    <w:rsid w:val="00B85242"/>
    <w:rsid w:val="00B85267"/>
    <w:rsid w:val="00B85500"/>
    <w:rsid w:val="00B856B8"/>
    <w:rsid w:val="00B85E3F"/>
    <w:rsid w:val="00B85E4E"/>
    <w:rsid w:val="00B86214"/>
    <w:rsid w:val="00B86249"/>
    <w:rsid w:val="00B866BC"/>
    <w:rsid w:val="00B86754"/>
    <w:rsid w:val="00B8694C"/>
    <w:rsid w:val="00B86A10"/>
    <w:rsid w:val="00B86CF5"/>
    <w:rsid w:val="00B8707F"/>
    <w:rsid w:val="00B8756F"/>
    <w:rsid w:val="00B875EA"/>
    <w:rsid w:val="00B87D49"/>
    <w:rsid w:val="00B9043A"/>
    <w:rsid w:val="00B90670"/>
    <w:rsid w:val="00B90879"/>
    <w:rsid w:val="00B90A3E"/>
    <w:rsid w:val="00B90F62"/>
    <w:rsid w:val="00B912B3"/>
    <w:rsid w:val="00B91E41"/>
    <w:rsid w:val="00B92195"/>
    <w:rsid w:val="00B928D4"/>
    <w:rsid w:val="00B92BAE"/>
    <w:rsid w:val="00B92C7E"/>
    <w:rsid w:val="00B9370E"/>
    <w:rsid w:val="00B939ED"/>
    <w:rsid w:val="00B93B41"/>
    <w:rsid w:val="00B93F95"/>
    <w:rsid w:val="00B94209"/>
    <w:rsid w:val="00B94683"/>
    <w:rsid w:val="00B94764"/>
    <w:rsid w:val="00B94955"/>
    <w:rsid w:val="00B949CC"/>
    <w:rsid w:val="00B956FA"/>
    <w:rsid w:val="00B95808"/>
    <w:rsid w:val="00B95A87"/>
    <w:rsid w:val="00B95D90"/>
    <w:rsid w:val="00B95E2B"/>
    <w:rsid w:val="00B95EBB"/>
    <w:rsid w:val="00B96593"/>
    <w:rsid w:val="00B96612"/>
    <w:rsid w:val="00B9661D"/>
    <w:rsid w:val="00B969E7"/>
    <w:rsid w:val="00B96A35"/>
    <w:rsid w:val="00B9711F"/>
    <w:rsid w:val="00B97456"/>
    <w:rsid w:val="00B9770C"/>
    <w:rsid w:val="00B97E22"/>
    <w:rsid w:val="00B97E4A"/>
    <w:rsid w:val="00B97F56"/>
    <w:rsid w:val="00BA0126"/>
    <w:rsid w:val="00BA015D"/>
    <w:rsid w:val="00BA02E4"/>
    <w:rsid w:val="00BA07D6"/>
    <w:rsid w:val="00BA0A4C"/>
    <w:rsid w:val="00BA0B8C"/>
    <w:rsid w:val="00BA0DBE"/>
    <w:rsid w:val="00BA114E"/>
    <w:rsid w:val="00BA17B1"/>
    <w:rsid w:val="00BA200A"/>
    <w:rsid w:val="00BA2178"/>
    <w:rsid w:val="00BA2346"/>
    <w:rsid w:val="00BA2433"/>
    <w:rsid w:val="00BA2461"/>
    <w:rsid w:val="00BA2569"/>
    <w:rsid w:val="00BA2D24"/>
    <w:rsid w:val="00BA3BE6"/>
    <w:rsid w:val="00BA3F82"/>
    <w:rsid w:val="00BA43C4"/>
    <w:rsid w:val="00BA47DB"/>
    <w:rsid w:val="00BA47FB"/>
    <w:rsid w:val="00BA49E1"/>
    <w:rsid w:val="00BA4EF3"/>
    <w:rsid w:val="00BA5271"/>
    <w:rsid w:val="00BA5A29"/>
    <w:rsid w:val="00BA5C1C"/>
    <w:rsid w:val="00BA5CAB"/>
    <w:rsid w:val="00BA6992"/>
    <w:rsid w:val="00BA6A4C"/>
    <w:rsid w:val="00BA6BF1"/>
    <w:rsid w:val="00BA6C77"/>
    <w:rsid w:val="00BA6DF9"/>
    <w:rsid w:val="00BA6E5B"/>
    <w:rsid w:val="00BA7160"/>
    <w:rsid w:val="00BA7273"/>
    <w:rsid w:val="00BA735C"/>
    <w:rsid w:val="00BA771E"/>
    <w:rsid w:val="00BA7778"/>
    <w:rsid w:val="00BA79F6"/>
    <w:rsid w:val="00BA7BCE"/>
    <w:rsid w:val="00BB0018"/>
    <w:rsid w:val="00BB0663"/>
    <w:rsid w:val="00BB07EA"/>
    <w:rsid w:val="00BB17B0"/>
    <w:rsid w:val="00BB1AF8"/>
    <w:rsid w:val="00BB1CCD"/>
    <w:rsid w:val="00BB1CFD"/>
    <w:rsid w:val="00BB1F76"/>
    <w:rsid w:val="00BB25B8"/>
    <w:rsid w:val="00BB2631"/>
    <w:rsid w:val="00BB2667"/>
    <w:rsid w:val="00BB2846"/>
    <w:rsid w:val="00BB2907"/>
    <w:rsid w:val="00BB2B1C"/>
    <w:rsid w:val="00BB34AB"/>
    <w:rsid w:val="00BB36F1"/>
    <w:rsid w:val="00BB3B02"/>
    <w:rsid w:val="00BB3D1A"/>
    <w:rsid w:val="00BB404F"/>
    <w:rsid w:val="00BB4599"/>
    <w:rsid w:val="00BB46D9"/>
    <w:rsid w:val="00BB4777"/>
    <w:rsid w:val="00BB4C16"/>
    <w:rsid w:val="00BB4C46"/>
    <w:rsid w:val="00BB4D60"/>
    <w:rsid w:val="00BB507D"/>
    <w:rsid w:val="00BB5426"/>
    <w:rsid w:val="00BB5BF2"/>
    <w:rsid w:val="00BB60D0"/>
    <w:rsid w:val="00BB6412"/>
    <w:rsid w:val="00BB68A4"/>
    <w:rsid w:val="00BB68E3"/>
    <w:rsid w:val="00BB6D80"/>
    <w:rsid w:val="00BB6DB9"/>
    <w:rsid w:val="00BB7495"/>
    <w:rsid w:val="00BB7804"/>
    <w:rsid w:val="00BB7858"/>
    <w:rsid w:val="00BB7B63"/>
    <w:rsid w:val="00BB7FCE"/>
    <w:rsid w:val="00BC01BE"/>
    <w:rsid w:val="00BC0638"/>
    <w:rsid w:val="00BC09E1"/>
    <w:rsid w:val="00BC0ED9"/>
    <w:rsid w:val="00BC0EE6"/>
    <w:rsid w:val="00BC12F9"/>
    <w:rsid w:val="00BC1560"/>
    <w:rsid w:val="00BC1604"/>
    <w:rsid w:val="00BC17E2"/>
    <w:rsid w:val="00BC1C78"/>
    <w:rsid w:val="00BC22C1"/>
    <w:rsid w:val="00BC230F"/>
    <w:rsid w:val="00BC23F8"/>
    <w:rsid w:val="00BC350B"/>
    <w:rsid w:val="00BC3840"/>
    <w:rsid w:val="00BC3897"/>
    <w:rsid w:val="00BC3A40"/>
    <w:rsid w:val="00BC3A7B"/>
    <w:rsid w:val="00BC3E48"/>
    <w:rsid w:val="00BC46FB"/>
    <w:rsid w:val="00BC4811"/>
    <w:rsid w:val="00BC4A2B"/>
    <w:rsid w:val="00BC4C82"/>
    <w:rsid w:val="00BC4DE5"/>
    <w:rsid w:val="00BC4EA3"/>
    <w:rsid w:val="00BC52CE"/>
    <w:rsid w:val="00BC5487"/>
    <w:rsid w:val="00BC54DC"/>
    <w:rsid w:val="00BC57D8"/>
    <w:rsid w:val="00BC5830"/>
    <w:rsid w:val="00BC5D96"/>
    <w:rsid w:val="00BC5FAC"/>
    <w:rsid w:val="00BC6E65"/>
    <w:rsid w:val="00BC7525"/>
    <w:rsid w:val="00BC7A6A"/>
    <w:rsid w:val="00BC7CD6"/>
    <w:rsid w:val="00BD05D2"/>
    <w:rsid w:val="00BD0CEF"/>
    <w:rsid w:val="00BD1417"/>
    <w:rsid w:val="00BD1423"/>
    <w:rsid w:val="00BD15CE"/>
    <w:rsid w:val="00BD16B9"/>
    <w:rsid w:val="00BD1A3F"/>
    <w:rsid w:val="00BD1BA9"/>
    <w:rsid w:val="00BD2927"/>
    <w:rsid w:val="00BD2D0C"/>
    <w:rsid w:val="00BD3C23"/>
    <w:rsid w:val="00BD3FCD"/>
    <w:rsid w:val="00BD435C"/>
    <w:rsid w:val="00BD43B2"/>
    <w:rsid w:val="00BD4690"/>
    <w:rsid w:val="00BD4AB9"/>
    <w:rsid w:val="00BD4BFD"/>
    <w:rsid w:val="00BD4C39"/>
    <w:rsid w:val="00BD4F7E"/>
    <w:rsid w:val="00BD5184"/>
    <w:rsid w:val="00BD5368"/>
    <w:rsid w:val="00BD548D"/>
    <w:rsid w:val="00BD564A"/>
    <w:rsid w:val="00BD5795"/>
    <w:rsid w:val="00BD58D3"/>
    <w:rsid w:val="00BD5A0B"/>
    <w:rsid w:val="00BD624F"/>
    <w:rsid w:val="00BD689F"/>
    <w:rsid w:val="00BD6D24"/>
    <w:rsid w:val="00BD6F81"/>
    <w:rsid w:val="00BD75CA"/>
    <w:rsid w:val="00BD7E3F"/>
    <w:rsid w:val="00BD7E98"/>
    <w:rsid w:val="00BE0337"/>
    <w:rsid w:val="00BE06E0"/>
    <w:rsid w:val="00BE0961"/>
    <w:rsid w:val="00BE0B26"/>
    <w:rsid w:val="00BE0BFA"/>
    <w:rsid w:val="00BE0C68"/>
    <w:rsid w:val="00BE0CA9"/>
    <w:rsid w:val="00BE0DB1"/>
    <w:rsid w:val="00BE1076"/>
    <w:rsid w:val="00BE1369"/>
    <w:rsid w:val="00BE1491"/>
    <w:rsid w:val="00BE155D"/>
    <w:rsid w:val="00BE16DC"/>
    <w:rsid w:val="00BE1763"/>
    <w:rsid w:val="00BE1A3E"/>
    <w:rsid w:val="00BE1F91"/>
    <w:rsid w:val="00BE1FE2"/>
    <w:rsid w:val="00BE2028"/>
    <w:rsid w:val="00BE2140"/>
    <w:rsid w:val="00BE2167"/>
    <w:rsid w:val="00BE23D0"/>
    <w:rsid w:val="00BE2936"/>
    <w:rsid w:val="00BE2E03"/>
    <w:rsid w:val="00BE2E22"/>
    <w:rsid w:val="00BE31A2"/>
    <w:rsid w:val="00BE34B9"/>
    <w:rsid w:val="00BE374E"/>
    <w:rsid w:val="00BE3A04"/>
    <w:rsid w:val="00BE4342"/>
    <w:rsid w:val="00BE4668"/>
    <w:rsid w:val="00BE48D5"/>
    <w:rsid w:val="00BE4D7F"/>
    <w:rsid w:val="00BE5624"/>
    <w:rsid w:val="00BE57A5"/>
    <w:rsid w:val="00BE5FB8"/>
    <w:rsid w:val="00BE60E9"/>
    <w:rsid w:val="00BE6245"/>
    <w:rsid w:val="00BE634A"/>
    <w:rsid w:val="00BE6778"/>
    <w:rsid w:val="00BE689A"/>
    <w:rsid w:val="00BE6C36"/>
    <w:rsid w:val="00BE7096"/>
    <w:rsid w:val="00BE748D"/>
    <w:rsid w:val="00BE750E"/>
    <w:rsid w:val="00BE7821"/>
    <w:rsid w:val="00BE7AC1"/>
    <w:rsid w:val="00BE7AF8"/>
    <w:rsid w:val="00BE7CEC"/>
    <w:rsid w:val="00BF0136"/>
    <w:rsid w:val="00BF0D76"/>
    <w:rsid w:val="00BF0E95"/>
    <w:rsid w:val="00BF121F"/>
    <w:rsid w:val="00BF157D"/>
    <w:rsid w:val="00BF1A60"/>
    <w:rsid w:val="00BF1FC8"/>
    <w:rsid w:val="00BF22D9"/>
    <w:rsid w:val="00BF22DB"/>
    <w:rsid w:val="00BF2485"/>
    <w:rsid w:val="00BF25F8"/>
    <w:rsid w:val="00BF2664"/>
    <w:rsid w:val="00BF2760"/>
    <w:rsid w:val="00BF27D1"/>
    <w:rsid w:val="00BF291E"/>
    <w:rsid w:val="00BF2F0D"/>
    <w:rsid w:val="00BF3059"/>
    <w:rsid w:val="00BF3A32"/>
    <w:rsid w:val="00BF47A8"/>
    <w:rsid w:val="00BF4A9E"/>
    <w:rsid w:val="00BF5C86"/>
    <w:rsid w:val="00BF5F07"/>
    <w:rsid w:val="00BF6528"/>
    <w:rsid w:val="00BF6B49"/>
    <w:rsid w:val="00BF6D3B"/>
    <w:rsid w:val="00BF6F07"/>
    <w:rsid w:val="00BF705E"/>
    <w:rsid w:val="00BF70D2"/>
    <w:rsid w:val="00BF7131"/>
    <w:rsid w:val="00BF72C2"/>
    <w:rsid w:val="00BF7863"/>
    <w:rsid w:val="00BF7EEF"/>
    <w:rsid w:val="00C00206"/>
    <w:rsid w:val="00C00413"/>
    <w:rsid w:val="00C00789"/>
    <w:rsid w:val="00C00811"/>
    <w:rsid w:val="00C00F84"/>
    <w:rsid w:val="00C01873"/>
    <w:rsid w:val="00C01CFC"/>
    <w:rsid w:val="00C01E84"/>
    <w:rsid w:val="00C02076"/>
    <w:rsid w:val="00C02077"/>
    <w:rsid w:val="00C02203"/>
    <w:rsid w:val="00C023FF"/>
    <w:rsid w:val="00C02739"/>
    <w:rsid w:val="00C02954"/>
    <w:rsid w:val="00C02BE7"/>
    <w:rsid w:val="00C02DE5"/>
    <w:rsid w:val="00C030F8"/>
    <w:rsid w:val="00C03724"/>
    <w:rsid w:val="00C03897"/>
    <w:rsid w:val="00C03A38"/>
    <w:rsid w:val="00C03A53"/>
    <w:rsid w:val="00C043DA"/>
    <w:rsid w:val="00C044D4"/>
    <w:rsid w:val="00C04A0F"/>
    <w:rsid w:val="00C04A69"/>
    <w:rsid w:val="00C04DA8"/>
    <w:rsid w:val="00C04E1D"/>
    <w:rsid w:val="00C04EEA"/>
    <w:rsid w:val="00C04F0D"/>
    <w:rsid w:val="00C04F8D"/>
    <w:rsid w:val="00C05090"/>
    <w:rsid w:val="00C0550A"/>
    <w:rsid w:val="00C055B7"/>
    <w:rsid w:val="00C0585A"/>
    <w:rsid w:val="00C05D1A"/>
    <w:rsid w:val="00C06084"/>
    <w:rsid w:val="00C06349"/>
    <w:rsid w:val="00C06959"/>
    <w:rsid w:val="00C06B28"/>
    <w:rsid w:val="00C06BDB"/>
    <w:rsid w:val="00C06BFE"/>
    <w:rsid w:val="00C06D1B"/>
    <w:rsid w:val="00C06D6D"/>
    <w:rsid w:val="00C072FA"/>
    <w:rsid w:val="00C079A3"/>
    <w:rsid w:val="00C1004A"/>
    <w:rsid w:val="00C1038D"/>
    <w:rsid w:val="00C103A5"/>
    <w:rsid w:val="00C10419"/>
    <w:rsid w:val="00C10B80"/>
    <w:rsid w:val="00C10DB9"/>
    <w:rsid w:val="00C10F12"/>
    <w:rsid w:val="00C111B4"/>
    <w:rsid w:val="00C11498"/>
    <w:rsid w:val="00C11723"/>
    <w:rsid w:val="00C11793"/>
    <w:rsid w:val="00C11985"/>
    <w:rsid w:val="00C11BA4"/>
    <w:rsid w:val="00C11CEB"/>
    <w:rsid w:val="00C11F28"/>
    <w:rsid w:val="00C11FF1"/>
    <w:rsid w:val="00C1219F"/>
    <w:rsid w:val="00C1222B"/>
    <w:rsid w:val="00C12872"/>
    <w:rsid w:val="00C129F9"/>
    <w:rsid w:val="00C12BDB"/>
    <w:rsid w:val="00C134DD"/>
    <w:rsid w:val="00C1368E"/>
    <w:rsid w:val="00C139F2"/>
    <w:rsid w:val="00C13B5A"/>
    <w:rsid w:val="00C13BF0"/>
    <w:rsid w:val="00C142EC"/>
    <w:rsid w:val="00C14405"/>
    <w:rsid w:val="00C1449E"/>
    <w:rsid w:val="00C144B5"/>
    <w:rsid w:val="00C14B4A"/>
    <w:rsid w:val="00C14D58"/>
    <w:rsid w:val="00C14DED"/>
    <w:rsid w:val="00C14E4C"/>
    <w:rsid w:val="00C15108"/>
    <w:rsid w:val="00C151C5"/>
    <w:rsid w:val="00C15FBD"/>
    <w:rsid w:val="00C15FD7"/>
    <w:rsid w:val="00C160FC"/>
    <w:rsid w:val="00C1660B"/>
    <w:rsid w:val="00C169D2"/>
    <w:rsid w:val="00C16EC1"/>
    <w:rsid w:val="00C17723"/>
    <w:rsid w:val="00C177E0"/>
    <w:rsid w:val="00C177EB"/>
    <w:rsid w:val="00C17892"/>
    <w:rsid w:val="00C17A3D"/>
    <w:rsid w:val="00C17DEF"/>
    <w:rsid w:val="00C20040"/>
    <w:rsid w:val="00C21494"/>
    <w:rsid w:val="00C2167A"/>
    <w:rsid w:val="00C21ACE"/>
    <w:rsid w:val="00C21C6A"/>
    <w:rsid w:val="00C21F5D"/>
    <w:rsid w:val="00C2200F"/>
    <w:rsid w:val="00C2230A"/>
    <w:rsid w:val="00C225CC"/>
    <w:rsid w:val="00C2273A"/>
    <w:rsid w:val="00C22782"/>
    <w:rsid w:val="00C22950"/>
    <w:rsid w:val="00C2297B"/>
    <w:rsid w:val="00C22C3B"/>
    <w:rsid w:val="00C22C63"/>
    <w:rsid w:val="00C230B3"/>
    <w:rsid w:val="00C23207"/>
    <w:rsid w:val="00C23679"/>
    <w:rsid w:val="00C2390B"/>
    <w:rsid w:val="00C23955"/>
    <w:rsid w:val="00C2488A"/>
    <w:rsid w:val="00C25059"/>
    <w:rsid w:val="00C254AC"/>
    <w:rsid w:val="00C260A8"/>
    <w:rsid w:val="00C261F3"/>
    <w:rsid w:val="00C2631C"/>
    <w:rsid w:val="00C2651D"/>
    <w:rsid w:val="00C2679F"/>
    <w:rsid w:val="00C27845"/>
    <w:rsid w:val="00C3072F"/>
    <w:rsid w:val="00C308EA"/>
    <w:rsid w:val="00C31447"/>
    <w:rsid w:val="00C31959"/>
    <w:rsid w:val="00C31B1F"/>
    <w:rsid w:val="00C31FCF"/>
    <w:rsid w:val="00C32015"/>
    <w:rsid w:val="00C325DF"/>
    <w:rsid w:val="00C327D0"/>
    <w:rsid w:val="00C32C93"/>
    <w:rsid w:val="00C32DB9"/>
    <w:rsid w:val="00C32F99"/>
    <w:rsid w:val="00C331A0"/>
    <w:rsid w:val="00C33488"/>
    <w:rsid w:val="00C33C7E"/>
    <w:rsid w:val="00C34212"/>
    <w:rsid w:val="00C34386"/>
    <w:rsid w:val="00C343E5"/>
    <w:rsid w:val="00C3466E"/>
    <w:rsid w:val="00C34D64"/>
    <w:rsid w:val="00C34FAE"/>
    <w:rsid w:val="00C35082"/>
    <w:rsid w:val="00C35143"/>
    <w:rsid w:val="00C352D2"/>
    <w:rsid w:val="00C353F7"/>
    <w:rsid w:val="00C3545A"/>
    <w:rsid w:val="00C355F0"/>
    <w:rsid w:val="00C358C4"/>
    <w:rsid w:val="00C35F1B"/>
    <w:rsid w:val="00C36201"/>
    <w:rsid w:val="00C3629A"/>
    <w:rsid w:val="00C36672"/>
    <w:rsid w:val="00C366DA"/>
    <w:rsid w:val="00C368A8"/>
    <w:rsid w:val="00C36B1D"/>
    <w:rsid w:val="00C36B43"/>
    <w:rsid w:val="00C36BC1"/>
    <w:rsid w:val="00C36CFB"/>
    <w:rsid w:val="00C36E30"/>
    <w:rsid w:val="00C37956"/>
    <w:rsid w:val="00C3798B"/>
    <w:rsid w:val="00C37CAB"/>
    <w:rsid w:val="00C40280"/>
    <w:rsid w:val="00C4098A"/>
    <w:rsid w:val="00C40B0B"/>
    <w:rsid w:val="00C410C8"/>
    <w:rsid w:val="00C41505"/>
    <w:rsid w:val="00C42283"/>
    <w:rsid w:val="00C4273C"/>
    <w:rsid w:val="00C42A7E"/>
    <w:rsid w:val="00C42FDE"/>
    <w:rsid w:val="00C4311F"/>
    <w:rsid w:val="00C43323"/>
    <w:rsid w:val="00C435DB"/>
    <w:rsid w:val="00C43A89"/>
    <w:rsid w:val="00C43B20"/>
    <w:rsid w:val="00C44A9A"/>
    <w:rsid w:val="00C44C48"/>
    <w:rsid w:val="00C44D7D"/>
    <w:rsid w:val="00C451FC"/>
    <w:rsid w:val="00C457D0"/>
    <w:rsid w:val="00C459C0"/>
    <w:rsid w:val="00C46029"/>
    <w:rsid w:val="00C4617E"/>
    <w:rsid w:val="00C461D2"/>
    <w:rsid w:val="00C461D6"/>
    <w:rsid w:val="00C46213"/>
    <w:rsid w:val="00C46764"/>
    <w:rsid w:val="00C46CD1"/>
    <w:rsid w:val="00C46FB3"/>
    <w:rsid w:val="00C4733F"/>
    <w:rsid w:val="00C473D6"/>
    <w:rsid w:val="00C478C7"/>
    <w:rsid w:val="00C47AA3"/>
    <w:rsid w:val="00C47AD6"/>
    <w:rsid w:val="00C47C93"/>
    <w:rsid w:val="00C505DE"/>
    <w:rsid w:val="00C50892"/>
    <w:rsid w:val="00C51265"/>
    <w:rsid w:val="00C5156B"/>
    <w:rsid w:val="00C515E1"/>
    <w:rsid w:val="00C51F1E"/>
    <w:rsid w:val="00C5246D"/>
    <w:rsid w:val="00C5256B"/>
    <w:rsid w:val="00C5260A"/>
    <w:rsid w:val="00C52713"/>
    <w:rsid w:val="00C5276E"/>
    <w:rsid w:val="00C52A42"/>
    <w:rsid w:val="00C53079"/>
    <w:rsid w:val="00C531D3"/>
    <w:rsid w:val="00C5331B"/>
    <w:rsid w:val="00C533A0"/>
    <w:rsid w:val="00C5352F"/>
    <w:rsid w:val="00C53B67"/>
    <w:rsid w:val="00C53F0E"/>
    <w:rsid w:val="00C54251"/>
    <w:rsid w:val="00C54E03"/>
    <w:rsid w:val="00C55865"/>
    <w:rsid w:val="00C55E2D"/>
    <w:rsid w:val="00C562A5"/>
    <w:rsid w:val="00C5648B"/>
    <w:rsid w:val="00C569BD"/>
    <w:rsid w:val="00C57138"/>
    <w:rsid w:val="00C57A50"/>
    <w:rsid w:val="00C57B9B"/>
    <w:rsid w:val="00C57C75"/>
    <w:rsid w:val="00C604CD"/>
    <w:rsid w:val="00C608CF"/>
    <w:rsid w:val="00C6108F"/>
    <w:rsid w:val="00C61114"/>
    <w:rsid w:val="00C61546"/>
    <w:rsid w:val="00C61945"/>
    <w:rsid w:val="00C61DE4"/>
    <w:rsid w:val="00C629BD"/>
    <w:rsid w:val="00C62C47"/>
    <w:rsid w:val="00C63252"/>
    <w:rsid w:val="00C632BA"/>
    <w:rsid w:val="00C6352F"/>
    <w:rsid w:val="00C6389A"/>
    <w:rsid w:val="00C63F2C"/>
    <w:rsid w:val="00C645D2"/>
    <w:rsid w:val="00C64817"/>
    <w:rsid w:val="00C648F0"/>
    <w:rsid w:val="00C6497E"/>
    <w:rsid w:val="00C650C3"/>
    <w:rsid w:val="00C6514E"/>
    <w:rsid w:val="00C65214"/>
    <w:rsid w:val="00C65FF6"/>
    <w:rsid w:val="00C66488"/>
    <w:rsid w:val="00C664D7"/>
    <w:rsid w:val="00C66515"/>
    <w:rsid w:val="00C66710"/>
    <w:rsid w:val="00C66729"/>
    <w:rsid w:val="00C66A13"/>
    <w:rsid w:val="00C67779"/>
    <w:rsid w:val="00C6794D"/>
    <w:rsid w:val="00C67C93"/>
    <w:rsid w:val="00C67D14"/>
    <w:rsid w:val="00C702B4"/>
    <w:rsid w:val="00C70F23"/>
    <w:rsid w:val="00C70F61"/>
    <w:rsid w:val="00C7119C"/>
    <w:rsid w:val="00C711AE"/>
    <w:rsid w:val="00C7126C"/>
    <w:rsid w:val="00C71877"/>
    <w:rsid w:val="00C71FEC"/>
    <w:rsid w:val="00C72B4D"/>
    <w:rsid w:val="00C72F2F"/>
    <w:rsid w:val="00C734D4"/>
    <w:rsid w:val="00C73839"/>
    <w:rsid w:val="00C73FC1"/>
    <w:rsid w:val="00C7416B"/>
    <w:rsid w:val="00C742AC"/>
    <w:rsid w:val="00C7443C"/>
    <w:rsid w:val="00C745B3"/>
    <w:rsid w:val="00C746AF"/>
    <w:rsid w:val="00C7494A"/>
    <w:rsid w:val="00C74AB2"/>
    <w:rsid w:val="00C74DFE"/>
    <w:rsid w:val="00C7536F"/>
    <w:rsid w:val="00C75793"/>
    <w:rsid w:val="00C7589C"/>
    <w:rsid w:val="00C75B41"/>
    <w:rsid w:val="00C75B46"/>
    <w:rsid w:val="00C75BA0"/>
    <w:rsid w:val="00C75CBF"/>
    <w:rsid w:val="00C76007"/>
    <w:rsid w:val="00C763AC"/>
    <w:rsid w:val="00C763F8"/>
    <w:rsid w:val="00C7678F"/>
    <w:rsid w:val="00C76967"/>
    <w:rsid w:val="00C76ABD"/>
    <w:rsid w:val="00C76B53"/>
    <w:rsid w:val="00C77204"/>
    <w:rsid w:val="00C77357"/>
    <w:rsid w:val="00C7742F"/>
    <w:rsid w:val="00C80339"/>
    <w:rsid w:val="00C803BC"/>
    <w:rsid w:val="00C8086D"/>
    <w:rsid w:val="00C80D6D"/>
    <w:rsid w:val="00C80F9A"/>
    <w:rsid w:val="00C81001"/>
    <w:rsid w:val="00C8128C"/>
    <w:rsid w:val="00C81521"/>
    <w:rsid w:val="00C8196C"/>
    <w:rsid w:val="00C81AAA"/>
    <w:rsid w:val="00C81C58"/>
    <w:rsid w:val="00C82256"/>
    <w:rsid w:val="00C82566"/>
    <w:rsid w:val="00C82B3A"/>
    <w:rsid w:val="00C82B79"/>
    <w:rsid w:val="00C82CD8"/>
    <w:rsid w:val="00C82D24"/>
    <w:rsid w:val="00C83304"/>
    <w:rsid w:val="00C83770"/>
    <w:rsid w:val="00C83791"/>
    <w:rsid w:val="00C8380B"/>
    <w:rsid w:val="00C83910"/>
    <w:rsid w:val="00C83B8A"/>
    <w:rsid w:val="00C83FF5"/>
    <w:rsid w:val="00C840CE"/>
    <w:rsid w:val="00C84B58"/>
    <w:rsid w:val="00C84DF9"/>
    <w:rsid w:val="00C85035"/>
    <w:rsid w:val="00C85103"/>
    <w:rsid w:val="00C8578C"/>
    <w:rsid w:val="00C85A4A"/>
    <w:rsid w:val="00C870A7"/>
    <w:rsid w:val="00C87C30"/>
    <w:rsid w:val="00C87D9F"/>
    <w:rsid w:val="00C9013B"/>
    <w:rsid w:val="00C9023D"/>
    <w:rsid w:val="00C90CDE"/>
    <w:rsid w:val="00C913D5"/>
    <w:rsid w:val="00C91822"/>
    <w:rsid w:val="00C93733"/>
    <w:rsid w:val="00C93809"/>
    <w:rsid w:val="00C93AD5"/>
    <w:rsid w:val="00C93EC1"/>
    <w:rsid w:val="00C942BA"/>
    <w:rsid w:val="00C943F5"/>
    <w:rsid w:val="00C944E5"/>
    <w:rsid w:val="00C94822"/>
    <w:rsid w:val="00C94A67"/>
    <w:rsid w:val="00C94AF3"/>
    <w:rsid w:val="00C94CC5"/>
    <w:rsid w:val="00C950A2"/>
    <w:rsid w:val="00C955EB"/>
    <w:rsid w:val="00C957E2"/>
    <w:rsid w:val="00C9586D"/>
    <w:rsid w:val="00C95952"/>
    <w:rsid w:val="00C95ACD"/>
    <w:rsid w:val="00C95E2B"/>
    <w:rsid w:val="00C95EEB"/>
    <w:rsid w:val="00C9665A"/>
    <w:rsid w:val="00C9677B"/>
    <w:rsid w:val="00C973DC"/>
    <w:rsid w:val="00C9779E"/>
    <w:rsid w:val="00CA0559"/>
    <w:rsid w:val="00CA07D6"/>
    <w:rsid w:val="00CA090B"/>
    <w:rsid w:val="00CA0FBB"/>
    <w:rsid w:val="00CA107E"/>
    <w:rsid w:val="00CA10E1"/>
    <w:rsid w:val="00CA12F4"/>
    <w:rsid w:val="00CA144D"/>
    <w:rsid w:val="00CA17FF"/>
    <w:rsid w:val="00CA1D7D"/>
    <w:rsid w:val="00CA209E"/>
    <w:rsid w:val="00CA25B9"/>
    <w:rsid w:val="00CA29FB"/>
    <w:rsid w:val="00CA2DBF"/>
    <w:rsid w:val="00CA2F2F"/>
    <w:rsid w:val="00CA2F78"/>
    <w:rsid w:val="00CA3239"/>
    <w:rsid w:val="00CA385B"/>
    <w:rsid w:val="00CA39DA"/>
    <w:rsid w:val="00CA3DC2"/>
    <w:rsid w:val="00CA3F73"/>
    <w:rsid w:val="00CA47CF"/>
    <w:rsid w:val="00CA4967"/>
    <w:rsid w:val="00CA4FAD"/>
    <w:rsid w:val="00CA54B9"/>
    <w:rsid w:val="00CA5698"/>
    <w:rsid w:val="00CA5D22"/>
    <w:rsid w:val="00CA617D"/>
    <w:rsid w:val="00CA61AA"/>
    <w:rsid w:val="00CA62F2"/>
    <w:rsid w:val="00CA6367"/>
    <w:rsid w:val="00CA6776"/>
    <w:rsid w:val="00CA696B"/>
    <w:rsid w:val="00CA6FA7"/>
    <w:rsid w:val="00CA7525"/>
    <w:rsid w:val="00CA75AC"/>
    <w:rsid w:val="00CA7AB6"/>
    <w:rsid w:val="00CA7C0E"/>
    <w:rsid w:val="00CB0263"/>
    <w:rsid w:val="00CB02A9"/>
    <w:rsid w:val="00CB0399"/>
    <w:rsid w:val="00CB082B"/>
    <w:rsid w:val="00CB0933"/>
    <w:rsid w:val="00CB0FFA"/>
    <w:rsid w:val="00CB116D"/>
    <w:rsid w:val="00CB1203"/>
    <w:rsid w:val="00CB1753"/>
    <w:rsid w:val="00CB1762"/>
    <w:rsid w:val="00CB18BB"/>
    <w:rsid w:val="00CB1AC4"/>
    <w:rsid w:val="00CB1D5B"/>
    <w:rsid w:val="00CB204A"/>
    <w:rsid w:val="00CB2054"/>
    <w:rsid w:val="00CB22F2"/>
    <w:rsid w:val="00CB2846"/>
    <w:rsid w:val="00CB2EDC"/>
    <w:rsid w:val="00CB343A"/>
    <w:rsid w:val="00CB3CC1"/>
    <w:rsid w:val="00CB4073"/>
    <w:rsid w:val="00CB419A"/>
    <w:rsid w:val="00CB45A0"/>
    <w:rsid w:val="00CB45DA"/>
    <w:rsid w:val="00CB463C"/>
    <w:rsid w:val="00CB49B3"/>
    <w:rsid w:val="00CB568C"/>
    <w:rsid w:val="00CB587A"/>
    <w:rsid w:val="00CB5B73"/>
    <w:rsid w:val="00CB617D"/>
    <w:rsid w:val="00CB6691"/>
    <w:rsid w:val="00CB6AAA"/>
    <w:rsid w:val="00CB6DDA"/>
    <w:rsid w:val="00CB6DEE"/>
    <w:rsid w:val="00CB6FF8"/>
    <w:rsid w:val="00CB70D4"/>
    <w:rsid w:val="00CC0688"/>
    <w:rsid w:val="00CC0747"/>
    <w:rsid w:val="00CC0928"/>
    <w:rsid w:val="00CC0A61"/>
    <w:rsid w:val="00CC1099"/>
    <w:rsid w:val="00CC12E3"/>
    <w:rsid w:val="00CC1CBE"/>
    <w:rsid w:val="00CC1CC3"/>
    <w:rsid w:val="00CC1E22"/>
    <w:rsid w:val="00CC2B77"/>
    <w:rsid w:val="00CC2B83"/>
    <w:rsid w:val="00CC2E91"/>
    <w:rsid w:val="00CC35FB"/>
    <w:rsid w:val="00CC374B"/>
    <w:rsid w:val="00CC3917"/>
    <w:rsid w:val="00CC3D97"/>
    <w:rsid w:val="00CC3F83"/>
    <w:rsid w:val="00CC4E28"/>
    <w:rsid w:val="00CC4F3F"/>
    <w:rsid w:val="00CC50A7"/>
    <w:rsid w:val="00CC5482"/>
    <w:rsid w:val="00CC55D6"/>
    <w:rsid w:val="00CC56AA"/>
    <w:rsid w:val="00CC56CB"/>
    <w:rsid w:val="00CC5851"/>
    <w:rsid w:val="00CC5AA1"/>
    <w:rsid w:val="00CC5FCD"/>
    <w:rsid w:val="00CC632F"/>
    <w:rsid w:val="00CC63C6"/>
    <w:rsid w:val="00CC6B7B"/>
    <w:rsid w:val="00CC706A"/>
    <w:rsid w:val="00CC7724"/>
    <w:rsid w:val="00CC7726"/>
    <w:rsid w:val="00CC7A39"/>
    <w:rsid w:val="00CC7B56"/>
    <w:rsid w:val="00CC7CAD"/>
    <w:rsid w:val="00CD00C7"/>
    <w:rsid w:val="00CD036C"/>
    <w:rsid w:val="00CD058A"/>
    <w:rsid w:val="00CD0754"/>
    <w:rsid w:val="00CD07DF"/>
    <w:rsid w:val="00CD0839"/>
    <w:rsid w:val="00CD0C95"/>
    <w:rsid w:val="00CD103B"/>
    <w:rsid w:val="00CD178E"/>
    <w:rsid w:val="00CD1B0B"/>
    <w:rsid w:val="00CD1FD2"/>
    <w:rsid w:val="00CD2920"/>
    <w:rsid w:val="00CD2E2B"/>
    <w:rsid w:val="00CD30B6"/>
    <w:rsid w:val="00CD313C"/>
    <w:rsid w:val="00CD3495"/>
    <w:rsid w:val="00CD3BDB"/>
    <w:rsid w:val="00CD3C16"/>
    <w:rsid w:val="00CD3C8D"/>
    <w:rsid w:val="00CD3DBF"/>
    <w:rsid w:val="00CD3DE6"/>
    <w:rsid w:val="00CD3E19"/>
    <w:rsid w:val="00CD3FB1"/>
    <w:rsid w:val="00CD41A0"/>
    <w:rsid w:val="00CD43B1"/>
    <w:rsid w:val="00CD49DE"/>
    <w:rsid w:val="00CD4B8D"/>
    <w:rsid w:val="00CD4FF4"/>
    <w:rsid w:val="00CD5739"/>
    <w:rsid w:val="00CD5E36"/>
    <w:rsid w:val="00CD644B"/>
    <w:rsid w:val="00CD6932"/>
    <w:rsid w:val="00CD70BA"/>
    <w:rsid w:val="00CD7122"/>
    <w:rsid w:val="00CD7194"/>
    <w:rsid w:val="00CD71E7"/>
    <w:rsid w:val="00CD7BE7"/>
    <w:rsid w:val="00CD7E7F"/>
    <w:rsid w:val="00CE01C2"/>
    <w:rsid w:val="00CE041D"/>
    <w:rsid w:val="00CE06CD"/>
    <w:rsid w:val="00CE23E8"/>
    <w:rsid w:val="00CE26AC"/>
    <w:rsid w:val="00CE2F2A"/>
    <w:rsid w:val="00CE2FD9"/>
    <w:rsid w:val="00CE318E"/>
    <w:rsid w:val="00CE32AF"/>
    <w:rsid w:val="00CE36AE"/>
    <w:rsid w:val="00CE3750"/>
    <w:rsid w:val="00CE37F1"/>
    <w:rsid w:val="00CE38D5"/>
    <w:rsid w:val="00CE3F1F"/>
    <w:rsid w:val="00CE4028"/>
    <w:rsid w:val="00CE40BA"/>
    <w:rsid w:val="00CE4445"/>
    <w:rsid w:val="00CE48BF"/>
    <w:rsid w:val="00CE4A05"/>
    <w:rsid w:val="00CE4D8D"/>
    <w:rsid w:val="00CE4FAA"/>
    <w:rsid w:val="00CE515D"/>
    <w:rsid w:val="00CE549B"/>
    <w:rsid w:val="00CE5589"/>
    <w:rsid w:val="00CE5877"/>
    <w:rsid w:val="00CE5BA3"/>
    <w:rsid w:val="00CE5EC0"/>
    <w:rsid w:val="00CE6004"/>
    <w:rsid w:val="00CE61C8"/>
    <w:rsid w:val="00CE64FA"/>
    <w:rsid w:val="00CE6555"/>
    <w:rsid w:val="00CE6792"/>
    <w:rsid w:val="00CE69BA"/>
    <w:rsid w:val="00CE6BEB"/>
    <w:rsid w:val="00CE6C39"/>
    <w:rsid w:val="00CE6CA0"/>
    <w:rsid w:val="00CE6E30"/>
    <w:rsid w:val="00CE7280"/>
    <w:rsid w:val="00CE78B2"/>
    <w:rsid w:val="00CE7C5B"/>
    <w:rsid w:val="00CE7D88"/>
    <w:rsid w:val="00CE7F1D"/>
    <w:rsid w:val="00CF0181"/>
    <w:rsid w:val="00CF020F"/>
    <w:rsid w:val="00CF04BC"/>
    <w:rsid w:val="00CF0849"/>
    <w:rsid w:val="00CF08A3"/>
    <w:rsid w:val="00CF0A6E"/>
    <w:rsid w:val="00CF0B79"/>
    <w:rsid w:val="00CF11A4"/>
    <w:rsid w:val="00CF146A"/>
    <w:rsid w:val="00CF1540"/>
    <w:rsid w:val="00CF178C"/>
    <w:rsid w:val="00CF17AD"/>
    <w:rsid w:val="00CF1A21"/>
    <w:rsid w:val="00CF1D8C"/>
    <w:rsid w:val="00CF1FAA"/>
    <w:rsid w:val="00CF200B"/>
    <w:rsid w:val="00CF2BFD"/>
    <w:rsid w:val="00CF30D0"/>
    <w:rsid w:val="00CF320D"/>
    <w:rsid w:val="00CF3446"/>
    <w:rsid w:val="00CF3554"/>
    <w:rsid w:val="00CF38AC"/>
    <w:rsid w:val="00CF3A37"/>
    <w:rsid w:val="00CF3C0E"/>
    <w:rsid w:val="00CF41A7"/>
    <w:rsid w:val="00CF42C7"/>
    <w:rsid w:val="00CF4670"/>
    <w:rsid w:val="00CF5006"/>
    <w:rsid w:val="00CF5125"/>
    <w:rsid w:val="00CF52E9"/>
    <w:rsid w:val="00CF559D"/>
    <w:rsid w:val="00CF566F"/>
    <w:rsid w:val="00CF5B9B"/>
    <w:rsid w:val="00CF5CB8"/>
    <w:rsid w:val="00CF605F"/>
    <w:rsid w:val="00CF6280"/>
    <w:rsid w:val="00CF74D5"/>
    <w:rsid w:val="00CF755F"/>
    <w:rsid w:val="00CF7BD6"/>
    <w:rsid w:val="00CF7D88"/>
    <w:rsid w:val="00CF7DC2"/>
    <w:rsid w:val="00D00132"/>
    <w:rsid w:val="00D0023A"/>
    <w:rsid w:val="00D0033C"/>
    <w:rsid w:val="00D00A8D"/>
    <w:rsid w:val="00D00FB2"/>
    <w:rsid w:val="00D01059"/>
    <w:rsid w:val="00D010DA"/>
    <w:rsid w:val="00D010DF"/>
    <w:rsid w:val="00D01113"/>
    <w:rsid w:val="00D01541"/>
    <w:rsid w:val="00D015A4"/>
    <w:rsid w:val="00D01664"/>
    <w:rsid w:val="00D01675"/>
    <w:rsid w:val="00D019B4"/>
    <w:rsid w:val="00D01FC2"/>
    <w:rsid w:val="00D02041"/>
    <w:rsid w:val="00D02EF8"/>
    <w:rsid w:val="00D031DA"/>
    <w:rsid w:val="00D032CD"/>
    <w:rsid w:val="00D03850"/>
    <w:rsid w:val="00D03907"/>
    <w:rsid w:val="00D039E5"/>
    <w:rsid w:val="00D03CE9"/>
    <w:rsid w:val="00D042C5"/>
    <w:rsid w:val="00D048B4"/>
    <w:rsid w:val="00D04AA8"/>
    <w:rsid w:val="00D04B07"/>
    <w:rsid w:val="00D052B1"/>
    <w:rsid w:val="00D05398"/>
    <w:rsid w:val="00D0596F"/>
    <w:rsid w:val="00D05B23"/>
    <w:rsid w:val="00D0607A"/>
    <w:rsid w:val="00D063FD"/>
    <w:rsid w:val="00D064B5"/>
    <w:rsid w:val="00D064EB"/>
    <w:rsid w:val="00D0670E"/>
    <w:rsid w:val="00D06737"/>
    <w:rsid w:val="00D068F8"/>
    <w:rsid w:val="00D074B2"/>
    <w:rsid w:val="00D07540"/>
    <w:rsid w:val="00D07DE3"/>
    <w:rsid w:val="00D102D3"/>
    <w:rsid w:val="00D10893"/>
    <w:rsid w:val="00D10934"/>
    <w:rsid w:val="00D10F7A"/>
    <w:rsid w:val="00D11A20"/>
    <w:rsid w:val="00D11DBE"/>
    <w:rsid w:val="00D11F42"/>
    <w:rsid w:val="00D12052"/>
    <w:rsid w:val="00D127CE"/>
    <w:rsid w:val="00D13283"/>
    <w:rsid w:val="00D1340D"/>
    <w:rsid w:val="00D13493"/>
    <w:rsid w:val="00D135EB"/>
    <w:rsid w:val="00D13CB5"/>
    <w:rsid w:val="00D14493"/>
    <w:rsid w:val="00D14727"/>
    <w:rsid w:val="00D148E3"/>
    <w:rsid w:val="00D1495D"/>
    <w:rsid w:val="00D14994"/>
    <w:rsid w:val="00D14CE4"/>
    <w:rsid w:val="00D14DDF"/>
    <w:rsid w:val="00D14F01"/>
    <w:rsid w:val="00D15495"/>
    <w:rsid w:val="00D15641"/>
    <w:rsid w:val="00D15F47"/>
    <w:rsid w:val="00D16388"/>
    <w:rsid w:val="00D1687F"/>
    <w:rsid w:val="00D169A0"/>
    <w:rsid w:val="00D16C15"/>
    <w:rsid w:val="00D173B1"/>
    <w:rsid w:val="00D17593"/>
    <w:rsid w:val="00D20AD5"/>
    <w:rsid w:val="00D20D63"/>
    <w:rsid w:val="00D21393"/>
    <w:rsid w:val="00D21803"/>
    <w:rsid w:val="00D21876"/>
    <w:rsid w:val="00D21895"/>
    <w:rsid w:val="00D21AD1"/>
    <w:rsid w:val="00D21C2D"/>
    <w:rsid w:val="00D21C2E"/>
    <w:rsid w:val="00D21D0E"/>
    <w:rsid w:val="00D2214D"/>
    <w:rsid w:val="00D2289B"/>
    <w:rsid w:val="00D22900"/>
    <w:rsid w:val="00D229D6"/>
    <w:rsid w:val="00D22A76"/>
    <w:rsid w:val="00D237DD"/>
    <w:rsid w:val="00D23ECB"/>
    <w:rsid w:val="00D241B4"/>
    <w:rsid w:val="00D242F9"/>
    <w:rsid w:val="00D244D8"/>
    <w:rsid w:val="00D2467B"/>
    <w:rsid w:val="00D2490E"/>
    <w:rsid w:val="00D2525F"/>
    <w:rsid w:val="00D254AA"/>
    <w:rsid w:val="00D25567"/>
    <w:rsid w:val="00D25786"/>
    <w:rsid w:val="00D26103"/>
    <w:rsid w:val="00D26610"/>
    <w:rsid w:val="00D26DB3"/>
    <w:rsid w:val="00D26E1D"/>
    <w:rsid w:val="00D27D0C"/>
    <w:rsid w:val="00D27E85"/>
    <w:rsid w:val="00D304D1"/>
    <w:rsid w:val="00D30609"/>
    <w:rsid w:val="00D307B1"/>
    <w:rsid w:val="00D30939"/>
    <w:rsid w:val="00D309A2"/>
    <w:rsid w:val="00D30B24"/>
    <w:rsid w:val="00D3117E"/>
    <w:rsid w:val="00D312BB"/>
    <w:rsid w:val="00D312CE"/>
    <w:rsid w:val="00D31599"/>
    <w:rsid w:val="00D32010"/>
    <w:rsid w:val="00D329B0"/>
    <w:rsid w:val="00D329BB"/>
    <w:rsid w:val="00D32A72"/>
    <w:rsid w:val="00D32E5B"/>
    <w:rsid w:val="00D32E83"/>
    <w:rsid w:val="00D337CA"/>
    <w:rsid w:val="00D33888"/>
    <w:rsid w:val="00D33AB4"/>
    <w:rsid w:val="00D33C22"/>
    <w:rsid w:val="00D3434F"/>
    <w:rsid w:val="00D34838"/>
    <w:rsid w:val="00D34903"/>
    <w:rsid w:val="00D34A46"/>
    <w:rsid w:val="00D34A4D"/>
    <w:rsid w:val="00D34B1E"/>
    <w:rsid w:val="00D352BA"/>
    <w:rsid w:val="00D35888"/>
    <w:rsid w:val="00D35AD0"/>
    <w:rsid w:val="00D35B56"/>
    <w:rsid w:val="00D35CCE"/>
    <w:rsid w:val="00D35E82"/>
    <w:rsid w:val="00D36B03"/>
    <w:rsid w:val="00D36C54"/>
    <w:rsid w:val="00D36D1E"/>
    <w:rsid w:val="00D3754C"/>
    <w:rsid w:val="00D377BE"/>
    <w:rsid w:val="00D378A7"/>
    <w:rsid w:val="00D378ED"/>
    <w:rsid w:val="00D379F1"/>
    <w:rsid w:val="00D37DD2"/>
    <w:rsid w:val="00D4002E"/>
    <w:rsid w:val="00D401C8"/>
    <w:rsid w:val="00D401F9"/>
    <w:rsid w:val="00D405EA"/>
    <w:rsid w:val="00D40865"/>
    <w:rsid w:val="00D412D9"/>
    <w:rsid w:val="00D41343"/>
    <w:rsid w:val="00D4144D"/>
    <w:rsid w:val="00D4151A"/>
    <w:rsid w:val="00D416AE"/>
    <w:rsid w:val="00D41831"/>
    <w:rsid w:val="00D41BD7"/>
    <w:rsid w:val="00D41BF5"/>
    <w:rsid w:val="00D41CA7"/>
    <w:rsid w:val="00D41CBC"/>
    <w:rsid w:val="00D41E00"/>
    <w:rsid w:val="00D42211"/>
    <w:rsid w:val="00D426C9"/>
    <w:rsid w:val="00D42AC7"/>
    <w:rsid w:val="00D42B0F"/>
    <w:rsid w:val="00D42C9E"/>
    <w:rsid w:val="00D42FFF"/>
    <w:rsid w:val="00D43151"/>
    <w:rsid w:val="00D436A7"/>
    <w:rsid w:val="00D43E4E"/>
    <w:rsid w:val="00D440FF"/>
    <w:rsid w:val="00D442B4"/>
    <w:rsid w:val="00D44622"/>
    <w:rsid w:val="00D4489D"/>
    <w:rsid w:val="00D44A2D"/>
    <w:rsid w:val="00D44BF4"/>
    <w:rsid w:val="00D44E33"/>
    <w:rsid w:val="00D44F25"/>
    <w:rsid w:val="00D45025"/>
    <w:rsid w:val="00D450DC"/>
    <w:rsid w:val="00D45285"/>
    <w:rsid w:val="00D45467"/>
    <w:rsid w:val="00D45543"/>
    <w:rsid w:val="00D45C95"/>
    <w:rsid w:val="00D45C9A"/>
    <w:rsid w:val="00D45D3E"/>
    <w:rsid w:val="00D45E08"/>
    <w:rsid w:val="00D45E91"/>
    <w:rsid w:val="00D45FC5"/>
    <w:rsid w:val="00D46769"/>
    <w:rsid w:val="00D46BEE"/>
    <w:rsid w:val="00D46DEA"/>
    <w:rsid w:val="00D46EBB"/>
    <w:rsid w:val="00D47216"/>
    <w:rsid w:val="00D473BE"/>
    <w:rsid w:val="00D478B6"/>
    <w:rsid w:val="00D47B45"/>
    <w:rsid w:val="00D47C89"/>
    <w:rsid w:val="00D50208"/>
    <w:rsid w:val="00D50276"/>
    <w:rsid w:val="00D505F3"/>
    <w:rsid w:val="00D50909"/>
    <w:rsid w:val="00D509FF"/>
    <w:rsid w:val="00D50CA5"/>
    <w:rsid w:val="00D50DBA"/>
    <w:rsid w:val="00D515AE"/>
    <w:rsid w:val="00D51731"/>
    <w:rsid w:val="00D517B9"/>
    <w:rsid w:val="00D51995"/>
    <w:rsid w:val="00D524D4"/>
    <w:rsid w:val="00D5280F"/>
    <w:rsid w:val="00D53D49"/>
    <w:rsid w:val="00D53FF5"/>
    <w:rsid w:val="00D544D2"/>
    <w:rsid w:val="00D54AE4"/>
    <w:rsid w:val="00D54CE0"/>
    <w:rsid w:val="00D551B4"/>
    <w:rsid w:val="00D553EF"/>
    <w:rsid w:val="00D554D9"/>
    <w:rsid w:val="00D5574B"/>
    <w:rsid w:val="00D55C5E"/>
    <w:rsid w:val="00D55C66"/>
    <w:rsid w:val="00D55D7E"/>
    <w:rsid w:val="00D5670D"/>
    <w:rsid w:val="00D56986"/>
    <w:rsid w:val="00D56DFB"/>
    <w:rsid w:val="00D56E26"/>
    <w:rsid w:val="00D5706D"/>
    <w:rsid w:val="00D57668"/>
    <w:rsid w:val="00D57722"/>
    <w:rsid w:val="00D57B75"/>
    <w:rsid w:val="00D57CD4"/>
    <w:rsid w:val="00D602BB"/>
    <w:rsid w:val="00D608BA"/>
    <w:rsid w:val="00D60D45"/>
    <w:rsid w:val="00D61560"/>
    <w:rsid w:val="00D615E2"/>
    <w:rsid w:val="00D61733"/>
    <w:rsid w:val="00D61C1A"/>
    <w:rsid w:val="00D61CD4"/>
    <w:rsid w:val="00D62775"/>
    <w:rsid w:val="00D62845"/>
    <w:rsid w:val="00D62C2F"/>
    <w:rsid w:val="00D635D6"/>
    <w:rsid w:val="00D636AE"/>
    <w:rsid w:val="00D63723"/>
    <w:rsid w:val="00D6374E"/>
    <w:rsid w:val="00D63EFE"/>
    <w:rsid w:val="00D641BF"/>
    <w:rsid w:val="00D643C0"/>
    <w:rsid w:val="00D64454"/>
    <w:rsid w:val="00D6459F"/>
    <w:rsid w:val="00D64A37"/>
    <w:rsid w:val="00D64C98"/>
    <w:rsid w:val="00D64E40"/>
    <w:rsid w:val="00D64F4B"/>
    <w:rsid w:val="00D657F1"/>
    <w:rsid w:val="00D65803"/>
    <w:rsid w:val="00D65B0F"/>
    <w:rsid w:val="00D6624D"/>
    <w:rsid w:val="00D66365"/>
    <w:rsid w:val="00D66462"/>
    <w:rsid w:val="00D66504"/>
    <w:rsid w:val="00D66885"/>
    <w:rsid w:val="00D66A77"/>
    <w:rsid w:val="00D66CC7"/>
    <w:rsid w:val="00D66DD2"/>
    <w:rsid w:val="00D67216"/>
    <w:rsid w:val="00D6774F"/>
    <w:rsid w:val="00D67846"/>
    <w:rsid w:val="00D679BE"/>
    <w:rsid w:val="00D67D8B"/>
    <w:rsid w:val="00D67F2D"/>
    <w:rsid w:val="00D67FB3"/>
    <w:rsid w:val="00D70092"/>
    <w:rsid w:val="00D7038F"/>
    <w:rsid w:val="00D706CD"/>
    <w:rsid w:val="00D70958"/>
    <w:rsid w:val="00D70AFE"/>
    <w:rsid w:val="00D70EF5"/>
    <w:rsid w:val="00D711CB"/>
    <w:rsid w:val="00D717A4"/>
    <w:rsid w:val="00D71D69"/>
    <w:rsid w:val="00D71EA3"/>
    <w:rsid w:val="00D7212A"/>
    <w:rsid w:val="00D7231B"/>
    <w:rsid w:val="00D72428"/>
    <w:rsid w:val="00D728D7"/>
    <w:rsid w:val="00D72A7E"/>
    <w:rsid w:val="00D72C83"/>
    <w:rsid w:val="00D72D04"/>
    <w:rsid w:val="00D73142"/>
    <w:rsid w:val="00D736BC"/>
    <w:rsid w:val="00D73816"/>
    <w:rsid w:val="00D73DF4"/>
    <w:rsid w:val="00D73EE6"/>
    <w:rsid w:val="00D743EB"/>
    <w:rsid w:val="00D7443C"/>
    <w:rsid w:val="00D74596"/>
    <w:rsid w:val="00D74797"/>
    <w:rsid w:val="00D747EF"/>
    <w:rsid w:val="00D74C82"/>
    <w:rsid w:val="00D74EB8"/>
    <w:rsid w:val="00D75E54"/>
    <w:rsid w:val="00D75F9A"/>
    <w:rsid w:val="00D76036"/>
    <w:rsid w:val="00D762A9"/>
    <w:rsid w:val="00D7645B"/>
    <w:rsid w:val="00D764BB"/>
    <w:rsid w:val="00D7652B"/>
    <w:rsid w:val="00D76672"/>
    <w:rsid w:val="00D76908"/>
    <w:rsid w:val="00D76A9A"/>
    <w:rsid w:val="00D76C67"/>
    <w:rsid w:val="00D771A2"/>
    <w:rsid w:val="00D777D5"/>
    <w:rsid w:val="00D779FB"/>
    <w:rsid w:val="00D77D45"/>
    <w:rsid w:val="00D77F00"/>
    <w:rsid w:val="00D80202"/>
    <w:rsid w:val="00D80305"/>
    <w:rsid w:val="00D80500"/>
    <w:rsid w:val="00D805DE"/>
    <w:rsid w:val="00D807A7"/>
    <w:rsid w:val="00D807C5"/>
    <w:rsid w:val="00D8084E"/>
    <w:rsid w:val="00D80A88"/>
    <w:rsid w:val="00D80D21"/>
    <w:rsid w:val="00D81319"/>
    <w:rsid w:val="00D8163F"/>
    <w:rsid w:val="00D81799"/>
    <w:rsid w:val="00D8199E"/>
    <w:rsid w:val="00D81A3F"/>
    <w:rsid w:val="00D81A83"/>
    <w:rsid w:val="00D8218F"/>
    <w:rsid w:val="00D82273"/>
    <w:rsid w:val="00D824D4"/>
    <w:rsid w:val="00D82599"/>
    <w:rsid w:val="00D828D5"/>
    <w:rsid w:val="00D82902"/>
    <w:rsid w:val="00D8293E"/>
    <w:rsid w:val="00D82DAB"/>
    <w:rsid w:val="00D830CF"/>
    <w:rsid w:val="00D830E3"/>
    <w:rsid w:val="00D83170"/>
    <w:rsid w:val="00D833CF"/>
    <w:rsid w:val="00D83564"/>
    <w:rsid w:val="00D838E3"/>
    <w:rsid w:val="00D842FA"/>
    <w:rsid w:val="00D844EC"/>
    <w:rsid w:val="00D846ED"/>
    <w:rsid w:val="00D84812"/>
    <w:rsid w:val="00D84860"/>
    <w:rsid w:val="00D84C87"/>
    <w:rsid w:val="00D84F28"/>
    <w:rsid w:val="00D850E9"/>
    <w:rsid w:val="00D8537E"/>
    <w:rsid w:val="00D8644D"/>
    <w:rsid w:val="00D8674D"/>
    <w:rsid w:val="00D868FE"/>
    <w:rsid w:val="00D8695D"/>
    <w:rsid w:val="00D86993"/>
    <w:rsid w:val="00D86C59"/>
    <w:rsid w:val="00D86E0F"/>
    <w:rsid w:val="00D8702B"/>
    <w:rsid w:val="00D8703A"/>
    <w:rsid w:val="00D870EF"/>
    <w:rsid w:val="00D8719E"/>
    <w:rsid w:val="00D873A1"/>
    <w:rsid w:val="00D878DA"/>
    <w:rsid w:val="00D90084"/>
    <w:rsid w:val="00D906C2"/>
    <w:rsid w:val="00D90A3A"/>
    <w:rsid w:val="00D90A9A"/>
    <w:rsid w:val="00D90DBB"/>
    <w:rsid w:val="00D90F50"/>
    <w:rsid w:val="00D90F9F"/>
    <w:rsid w:val="00D910D5"/>
    <w:rsid w:val="00D91840"/>
    <w:rsid w:val="00D918DA"/>
    <w:rsid w:val="00D91E72"/>
    <w:rsid w:val="00D91F99"/>
    <w:rsid w:val="00D920F1"/>
    <w:rsid w:val="00D92451"/>
    <w:rsid w:val="00D9280A"/>
    <w:rsid w:val="00D92CE0"/>
    <w:rsid w:val="00D92CE8"/>
    <w:rsid w:val="00D92D8D"/>
    <w:rsid w:val="00D93033"/>
    <w:rsid w:val="00D932D6"/>
    <w:rsid w:val="00D940CC"/>
    <w:rsid w:val="00D9557C"/>
    <w:rsid w:val="00D95994"/>
    <w:rsid w:val="00D95C63"/>
    <w:rsid w:val="00D95CF8"/>
    <w:rsid w:val="00D96368"/>
    <w:rsid w:val="00D96452"/>
    <w:rsid w:val="00D964E0"/>
    <w:rsid w:val="00D96A2A"/>
    <w:rsid w:val="00D96D21"/>
    <w:rsid w:val="00D96F20"/>
    <w:rsid w:val="00D9761E"/>
    <w:rsid w:val="00D97684"/>
    <w:rsid w:val="00D97755"/>
    <w:rsid w:val="00D979A6"/>
    <w:rsid w:val="00D97AC7"/>
    <w:rsid w:val="00D97B23"/>
    <w:rsid w:val="00DA046B"/>
    <w:rsid w:val="00DA1062"/>
    <w:rsid w:val="00DA1C4F"/>
    <w:rsid w:val="00DA1C98"/>
    <w:rsid w:val="00DA1E47"/>
    <w:rsid w:val="00DA20B4"/>
    <w:rsid w:val="00DA2916"/>
    <w:rsid w:val="00DA294B"/>
    <w:rsid w:val="00DA2BE3"/>
    <w:rsid w:val="00DA2F2F"/>
    <w:rsid w:val="00DA3158"/>
    <w:rsid w:val="00DA4278"/>
    <w:rsid w:val="00DA4289"/>
    <w:rsid w:val="00DA45F3"/>
    <w:rsid w:val="00DA4B62"/>
    <w:rsid w:val="00DA4D2C"/>
    <w:rsid w:val="00DA5098"/>
    <w:rsid w:val="00DA5AB8"/>
    <w:rsid w:val="00DA5DA8"/>
    <w:rsid w:val="00DA5DD7"/>
    <w:rsid w:val="00DA5F1F"/>
    <w:rsid w:val="00DA6185"/>
    <w:rsid w:val="00DA6624"/>
    <w:rsid w:val="00DA67BA"/>
    <w:rsid w:val="00DA686D"/>
    <w:rsid w:val="00DA6F13"/>
    <w:rsid w:val="00DA72AC"/>
    <w:rsid w:val="00DA7D40"/>
    <w:rsid w:val="00DB003E"/>
    <w:rsid w:val="00DB0042"/>
    <w:rsid w:val="00DB071D"/>
    <w:rsid w:val="00DB0C15"/>
    <w:rsid w:val="00DB0FCA"/>
    <w:rsid w:val="00DB14AA"/>
    <w:rsid w:val="00DB193B"/>
    <w:rsid w:val="00DB19D7"/>
    <w:rsid w:val="00DB211C"/>
    <w:rsid w:val="00DB2487"/>
    <w:rsid w:val="00DB2B7E"/>
    <w:rsid w:val="00DB2F53"/>
    <w:rsid w:val="00DB36EC"/>
    <w:rsid w:val="00DB39C9"/>
    <w:rsid w:val="00DB3A66"/>
    <w:rsid w:val="00DB3BDB"/>
    <w:rsid w:val="00DB409B"/>
    <w:rsid w:val="00DB4325"/>
    <w:rsid w:val="00DB437B"/>
    <w:rsid w:val="00DB44F9"/>
    <w:rsid w:val="00DB45ED"/>
    <w:rsid w:val="00DB4676"/>
    <w:rsid w:val="00DB4744"/>
    <w:rsid w:val="00DB4FD8"/>
    <w:rsid w:val="00DB552E"/>
    <w:rsid w:val="00DB558A"/>
    <w:rsid w:val="00DB561E"/>
    <w:rsid w:val="00DB5626"/>
    <w:rsid w:val="00DB5C61"/>
    <w:rsid w:val="00DB5D30"/>
    <w:rsid w:val="00DB5E83"/>
    <w:rsid w:val="00DB5FA5"/>
    <w:rsid w:val="00DB64CF"/>
    <w:rsid w:val="00DB66FA"/>
    <w:rsid w:val="00DB67C2"/>
    <w:rsid w:val="00DB68FC"/>
    <w:rsid w:val="00DB697E"/>
    <w:rsid w:val="00DB6A7C"/>
    <w:rsid w:val="00DB6A87"/>
    <w:rsid w:val="00DB6D12"/>
    <w:rsid w:val="00DB7402"/>
    <w:rsid w:val="00DB7BEE"/>
    <w:rsid w:val="00DB7D52"/>
    <w:rsid w:val="00DB7F08"/>
    <w:rsid w:val="00DC00F7"/>
    <w:rsid w:val="00DC029C"/>
    <w:rsid w:val="00DC082E"/>
    <w:rsid w:val="00DC09BA"/>
    <w:rsid w:val="00DC0C1D"/>
    <w:rsid w:val="00DC1C18"/>
    <w:rsid w:val="00DC2036"/>
    <w:rsid w:val="00DC24B2"/>
    <w:rsid w:val="00DC25E3"/>
    <w:rsid w:val="00DC26C8"/>
    <w:rsid w:val="00DC2F56"/>
    <w:rsid w:val="00DC2FB2"/>
    <w:rsid w:val="00DC39CC"/>
    <w:rsid w:val="00DC3B75"/>
    <w:rsid w:val="00DC3E95"/>
    <w:rsid w:val="00DC3F7A"/>
    <w:rsid w:val="00DC4D6A"/>
    <w:rsid w:val="00DC4D8E"/>
    <w:rsid w:val="00DC4DF8"/>
    <w:rsid w:val="00DC4E3F"/>
    <w:rsid w:val="00DC56E2"/>
    <w:rsid w:val="00DC5861"/>
    <w:rsid w:val="00DC5943"/>
    <w:rsid w:val="00DC610F"/>
    <w:rsid w:val="00DC631A"/>
    <w:rsid w:val="00DC64E4"/>
    <w:rsid w:val="00DC6539"/>
    <w:rsid w:val="00DC669D"/>
    <w:rsid w:val="00DC6A55"/>
    <w:rsid w:val="00DC755D"/>
    <w:rsid w:val="00DC76F5"/>
    <w:rsid w:val="00DC7810"/>
    <w:rsid w:val="00DC7E35"/>
    <w:rsid w:val="00DD0234"/>
    <w:rsid w:val="00DD0975"/>
    <w:rsid w:val="00DD09CC"/>
    <w:rsid w:val="00DD175E"/>
    <w:rsid w:val="00DD1BCE"/>
    <w:rsid w:val="00DD1C77"/>
    <w:rsid w:val="00DD20DE"/>
    <w:rsid w:val="00DD240F"/>
    <w:rsid w:val="00DD275F"/>
    <w:rsid w:val="00DD2BD6"/>
    <w:rsid w:val="00DD2C3D"/>
    <w:rsid w:val="00DD2CAD"/>
    <w:rsid w:val="00DD33E6"/>
    <w:rsid w:val="00DD34ED"/>
    <w:rsid w:val="00DD3517"/>
    <w:rsid w:val="00DD3579"/>
    <w:rsid w:val="00DD381F"/>
    <w:rsid w:val="00DD39A6"/>
    <w:rsid w:val="00DD3E2F"/>
    <w:rsid w:val="00DD4672"/>
    <w:rsid w:val="00DD4AED"/>
    <w:rsid w:val="00DD51BB"/>
    <w:rsid w:val="00DD5FEE"/>
    <w:rsid w:val="00DD60AA"/>
    <w:rsid w:val="00DD62C3"/>
    <w:rsid w:val="00DD637B"/>
    <w:rsid w:val="00DD68AB"/>
    <w:rsid w:val="00DD6B0A"/>
    <w:rsid w:val="00DD6C61"/>
    <w:rsid w:val="00DD6DFE"/>
    <w:rsid w:val="00DD73B4"/>
    <w:rsid w:val="00DE016B"/>
    <w:rsid w:val="00DE03AA"/>
    <w:rsid w:val="00DE06EA"/>
    <w:rsid w:val="00DE0970"/>
    <w:rsid w:val="00DE0A64"/>
    <w:rsid w:val="00DE103F"/>
    <w:rsid w:val="00DE11D7"/>
    <w:rsid w:val="00DE1282"/>
    <w:rsid w:val="00DE141B"/>
    <w:rsid w:val="00DE195C"/>
    <w:rsid w:val="00DE1A96"/>
    <w:rsid w:val="00DE1C20"/>
    <w:rsid w:val="00DE1EEB"/>
    <w:rsid w:val="00DE1F37"/>
    <w:rsid w:val="00DE1FAB"/>
    <w:rsid w:val="00DE201C"/>
    <w:rsid w:val="00DE201E"/>
    <w:rsid w:val="00DE283E"/>
    <w:rsid w:val="00DE2AE6"/>
    <w:rsid w:val="00DE318A"/>
    <w:rsid w:val="00DE35F0"/>
    <w:rsid w:val="00DE3795"/>
    <w:rsid w:val="00DE405A"/>
    <w:rsid w:val="00DE42F6"/>
    <w:rsid w:val="00DE44FD"/>
    <w:rsid w:val="00DE4795"/>
    <w:rsid w:val="00DE4A0C"/>
    <w:rsid w:val="00DE4AD5"/>
    <w:rsid w:val="00DE4BF8"/>
    <w:rsid w:val="00DE4DED"/>
    <w:rsid w:val="00DE4E39"/>
    <w:rsid w:val="00DE510F"/>
    <w:rsid w:val="00DE5200"/>
    <w:rsid w:val="00DE5451"/>
    <w:rsid w:val="00DE55D0"/>
    <w:rsid w:val="00DE55FD"/>
    <w:rsid w:val="00DE56E2"/>
    <w:rsid w:val="00DE56E4"/>
    <w:rsid w:val="00DE5B5F"/>
    <w:rsid w:val="00DE5CCF"/>
    <w:rsid w:val="00DE6630"/>
    <w:rsid w:val="00DE6895"/>
    <w:rsid w:val="00DE7001"/>
    <w:rsid w:val="00DE7015"/>
    <w:rsid w:val="00DE7642"/>
    <w:rsid w:val="00DE7BE5"/>
    <w:rsid w:val="00DF0266"/>
    <w:rsid w:val="00DF0346"/>
    <w:rsid w:val="00DF0552"/>
    <w:rsid w:val="00DF0637"/>
    <w:rsid w:val="00DF10C6"/>
    <w:rsid w:val="00DF1D93"/>
    <w:rsid w:val="00DF2373"/>
    <w:rsid w:val="00DF2490"/>
    <w:rsid w:val="00DF2D41"/>
    <w:rsid w:val="00DF2E59"/>
    <w:rsid w:val="00DF3798"/>
    <w:rsid w:val="00DF3AA3"/>
    <w:rsid w:val="00DF47C4"/>
    <w:rsid w:val="00DF4BE3"/>
    <w:rsid w:val="00DF4EC7"/>
    <w:rsid w:val="00DF52D2"/>
    <w:rsid w:val="00DF5753"/>
    <w:rsid w:val="00DF575B"/>
    <w:rsid w:val="00DF5813"/>
    <w:rsid w:val="00DF58E1"/>
    <w:rsid w:val="00DF62CE"/>
    <w:rsid w:val="00DF6554"/>
    <w:rsid w:val="00DF65D1"/>
    <w:rsid w:val="00DF660D"/>
    <w:rsid w:val="00DF66A8"/>
    <w:rsid w:val="00DF6900"/>
    <w:rsid w:val="00DF6BAC"/>
    <w:rsid w:val="00DF6CC3"/>
    <w:rsid w:val="00DF7452"/>
    <w:rsid w:val="00DF74EC"/>
    <w:rsid w:val="00DF7516"/>
    <w:rsid w:val="00DF756E"/>
    <w:rsid w:val="00DF78CC"/>
    <w:rsid w:val="00DF7DC1"/>
    <w:rsid w:val="00E00B0D"/>
    <w:rsid w:val="00E00FD9"/>
    <w:rsid w:val="00E017C8"/>
    <w:rsid w:val="00E0203C"/>
    <w:rsid w:val="00E0235B"/>
    <w:rsid w:val="00E02FB7"/>
    <w:rsid w:val="00E03597"/>
    <w:rsid w:val="00E03869"/>
    <w:rsid w:val="00E03891"/>
    <w:rsid w:val="00E03C24"/>
    <w:rsid w:val="00E03CF1"/>
    <w:rsid w:val="00E0421F"/>
    <w:rsid w:val="00E04335"/>
    <w:rsid w:val="00E04696"/>
    <w:rsid w:val="00E046C8"/>
    <w:rsid w:val="00E04A9B"/>
    <w:rsid w:val="00E05412"/>
    <w:rsid w:val="00E054BC"/>
    <w:rsid w:val="00E05731"/>
    <w:rsid w:val="00E0576D"/>
    <w:rsid w:val="00E05844"/>
    <w:rsid w:val="00E05AC7"/>
    <w:rsid w:val="00E05D5A"/>
    <w:rsid w:val="00E05E33"/>
    <w:rsid w:val="00E060D2"/>
    <w:rsid w:val="00E061ED"/>
    <w:rsid w:val="00E06229"/>
    <w:rsid w:val="00E06468"/>
    <w:rsid w:val="00E07894"/>
    <w:rsid w:val="00E07CB8"/>
    <w:rsid w:val="00E10007"/>
    <w:rsid w:val="00E10134"/>
    <w:rsid w:val="00E101AF"/>
    <w:rsid w:val="00E1023F"/>
    <w:rsid w:val="00E10438"/>
    <w:rsid w:val="00E1062A"/>
    <w:rsid w:val="00E107E4"/>
    <w:rsid w:val="00E10870"/>
    <w:rsid w:val="00E1096C"/>
    <w:rsid w:val="00E10CA0"/>
    <w:rsid w:val="00E10E32"/>
    <w:rsid w:val="00E11B64"/>
    <w:rsid w:val="00E11BA3"/>
    <w:rsid w:val="00E11D95"/>
    <w:rsid w:val="00E11DD4"/>
    <w:rsid w:val="00E12ACD"/>
    <w:rsid w:val="00E12D6E"/>
    <w:rsid w:val="00E1301E"/>
    <w:rsid w:val="00E13159"/>
    <w:rsid w:val="00E13E44"/>
    <w:rsid w:val="00E140DE"/>
    <w:rsid w:val="00E140FE"/>
    <w:rsid w:val="00E1481D"/>
    <w:rsid w:val="00E14B3F"/>
    <w:rsid w:val="00E14C7E"/>
    <w:rsid w:val="00E14E0D"/>
    <w:rsid w:val="00E1508E"/>
    <w:rsid w:val="00E153BD"/>
    <w:rsid w:val="00E1541B"/>
    <w:rsid w:val="00E15528"/>
    <w:rsid w:val="00E15680"/>
    <w:rsid w:val="00E15761"/>
    <w:rsid w:val="00E15AAE"/>
    <w:rsid w:val="00E15B5D"/>
    <w:rsid w:val="00E15B6D"/>
    <w:rsid w:val="00E15CA7"/>
    <w:rsid w:val="00E1600F"/>
    <w:rsid w:val="00E160A7"/>
    <w:rsid w:val="00E1614F"/>
    <w:rsid w:val="00E16334"/>
    <w:rsid w:val="00E168F7"/>
    <w:rsid w:val="00E16B11"/>
    <w:rsid w:val="00E16B3E"/>
    <w:rsid w:val="00E16E90"/>
    <w:rsid w:val="00E16FCC"/>
    <w:rsid w:val="00E17067"/>
    <w:rsid w:val="00E17BF3"/>
    <w:rsid w:val="00E17CCB"/>
    <w:rsid w:val="00E17F75"/>
    <w:rsid w:val="00E2082A"/>
    <w:rsid w:val="00E21E62"/>
    <w:rsid w:val="00E2249F"/>
    <w:rsid w:val="00E2262F"/>
    <w:rsid w:val="00E2270B"/>
    <w:rsid w:val="00E22781"/>
    <w:rsid w:val="00E22B5E"/>
    <w:rsid w:val="00E22BF0"/>
    <w:rsid w:val="00E22C32"/>
    <w:rsid w:val="00E22C58"/>
    <w:rsid w:val="00E22E5D"/>
    <w:rsid w:val="00E22EA7"/>
    <w:rsid w:val="00E23324"/>
    <w:rsid w:val="00E23835"/>
    <w:rsid w:val="00E23EC3"/>
    <w:rsid w:val="00E24582"/>
    <w:rsid w:val="00E2473D"/>
    <w:rsid w:val="00E24A9B"/>
    <w:rsid w:val="00E25070"/>
    <w:rsid w:val="00E250AA"/>
    <w:rsid w:val="00E258A0"/>
    <w:rsid w:val="00E2592B"/>
    <w:rsid w:val="00E259AD"/>
    <w:rsid w:val="00E25A9C"/>
    <w:rsid w:val="00E25D23"/>
    <w:rsid w:val="00E25D45"/>
    <w:rsid w:val="00E260CE"/>
    <w:rsid w:val="00E26211"/>
    <w:rsid w:val="00E26422"/>
    <w:rsid w:val="00E26490"/>
    <w:rsid w:val="00E26A33"/>
    <w:rsid w:val="00E26BDF"/>
    <w:rsid w:val="00E26C98"/>
    <w:rsid w:val="00E27080"/>
    <w:rsid w:val="00E27084"/>
    <w:rsid w:val="00E272C0"/>
    <w:rsid w:val="00E27523"/>
    <w:rsid w:val="00E27A13"/>
    <w:rsid w:val="00E27D07"/>
    <w:rsid w:val="00E27DD1"/>
    <w:rsid w:val="00E30100"/>
    <w:rsid w:val="00E3036D"/>
    <w:rsid w:val="00E3091E"/>
    <w:rsid w:val="00E30C81"/>
    <w:rsid w:val="00E3111B"/>
    <w:rsid w:val="00E311AE"/>
    <w:rsid w:val="00E31854"/>
    <w:rsid w:val="00E31893"/>
    <w:rsid w:val="00E32305"/>
    <w:rsid w:val="00E32BAB"/>
    <w:rsid w:val="00E32D7B"/>
    <w:rsid w:val="00E32F3A"/>
    <w:rsid w:val="00E33278"/>
    <w:rsid w:val="00E335B3"/>
    <w:rsid w:val="00E33643"/>
    <w:rsid w:val="00E336EA"/>
    <w:rsid w:val="00E33821"/>
    <w:rsid w:val="00E33B80"/>
    <w:rsid w:val="00E33BD3"/>
    <w:rsid w:val="00E33DA3"/>
    <w:rsid w:val="00E33E2A"/>
    <w:rsid w:val="00E33FAD"/>
    <w:rsid w:val="00E343B3"/>
    <w:rsid w:val="00E3482A"/>
    <w:rsid w:val="00E34CC9"/>
    <w:rsid w:val="00E351A0"/>
    <w:rsid w:val="00E35B21"/>
    <w:rsid w:val="00E361E4"/>
    <w:rsid w:val="00E368C1"/>
    <w:rsid w:val="00E3695F"/>
    <w:rsid w:val="00E36E64"/>
    <w:rsid w:val="00E3731A"/>
    <w:rsid w:val="00E37338"/>
    <w:rsid w:val="00E373D5"/>
    <w:rsid w:val="00E37EBA"/>
    <w:rsid w:val="00E400F6"/>
    <w:rsid w:val="00E403B3"/>
    <w:rsid w:val="00E40402"/>
    <w:rsid w:val="00E40540"/>
    <w:rsid w:val="00E40692"/>
    <w:rsid w:val="00E40A5A"/>
    <w:rsid w:val="00E40E31"/>
    <w:rsid w:val="00E41118"/>
    <w:rsid w:val="00E4144C"/>
    <w:rsid w:val="00E416B2"/>
    <w:rsid w:val="00E41A34"/>
    <w:rsid w:val="00E41D55"/>
    <w:rsid w:val="00E427C2"/>
    <w:rsid w:val="00E429A2"/>
    <w:rsid w:val="00E43009"/>
    <w:rsid w:val="00E4308A"/>
    <w:rsid w:val="00E433D2"/>
    <w:rsid w:val="00E43739"/>
    <w:rsid w:val="00E437C5"/>
    <w:rsid w:val="00E43897"/>
    <w:rsid w:val="00E43B92"/>
    <w:rsid w:val="00E43E84"/>
    <w:rsid w:val="00E441A9"/>
    <w:rsid w:val="00E4426A"/>
    <w:rsid w:val="00E44485"/>
    <w:rsid w:val="00E44D15"/>
    <w:rsid w:val="00E4503C"/>
    <w:rsid w:val="00E450D8"/>
    <w:rsid w:val="00E454DC"/>
    <w:rsid w:val="00E45550"/>
    <w:rsid w:val="00E45DA4"/>
    <w:rsid w:val="00E45E9C"/>
    <w:rsid w:val="00E46258"/>
    <w:rsid w:val="00E465EC"/>
    <w:rsid w:val="00E46688"/>
    <w:rsid w:val="00E46788"/>
    <w:rsid w:val="00E46A48"/>
    <w:rsid w:val="00E46C20"/>
    <w:rsid w:val="00E46E11"/>
    <w:rsid w:val="00E4716A"/>
    <w:rsid w:val="00E4716F"/>
    <w:rsid w:val="00E4760B"/>
    <w:rsid w:val="00E47702"/>
    <w:rsid w:val="00E477CB"/>
    <w:rsid w:val="00E4782C"/>
    <w:rsid w:val="00E47886"/>
    <w:rsid w:val="00E47ADD"/>
    <w:rsid w:val="00E47BDE"/>
    <w:rsid w:val="00E47F87"/>
    <w:rsid w:val="00E5070B"/>
    <w:rsid w:val="00E50ED1"/>
    <w:rsid w:val="00E50F6E"/>
    <w:rsid w:val="00E51443"/>
    <w:rsid w:val="00E518A8"/>
    <w:rsid w:val="00E51F93"/>
    <w:rsid w:val="00E52085"/>
    <w:rsid w:val="00E5213D"/>
    <w:rsid w:val="00E52143"/>
    <w:rsid w:val="00E52188"/>
    <w:rsid w:val="00E524C7"/>
    <w:rsid w:val="00E524DD"/>
    <w:rsid w:val="00E52506"/>
    <w:rsid w:val="00E531ED"/>
    <w:rsid w:val="00E533CE"/>
    <w:rsid w:val="00E5340A"/>
    <w:rsid w:val="00E53C44"/>
    <w:rsid w:val="00E53D98"/>
    <w:rsid w:val="00E54157"/>
    <w:rsid w:val="00E543F6"/>
    <w:rsid w:val="00E547DA"/>
    <w:rsid w:val="00E55042"/>
    <w:rsid w:val="00E5507C"/>
    <w:rsid w:val="00E55426"/>
    <w:rsid w:val="00E5550F"/>
    <w:rsid w:val="00E556DF"/>
    <w:rsid w:val="00E55730"/>
    <w:rsid w:val="00E559B3"/>
    <w:rsid w:val="00E56275"/>
    <w:rsid w:val="00E562A8"/>
    <w:rsid w:val="00E562E0"/>
    <w:rsid w:val="00E564E1"/>
    <w:rsid w:val="00E56735"/>
    <w:rsid w:val="00E56B1C"/>
    <w:rsid w:val="00E56C35"/>
    <w:rsid w:val="00E56D0C"/>
    <w:rsid w:val="00E57045"/>
    <w:rsid w:val="00E57156"/>
    <w:rsid w:val="00E57A86"/>
    <w:rsid w:val="00E6031C"/>
    <w:rsid w:val="00E609AD"/>
    <w:rsid w:val="00E60C58"/>
    <w:rsid w:val="00E60E46"/>
    <w:rsid w:val="00E61002"/>
    <w:rsid w:val="00E6114C"/>
    <w:rsid w:val="00E6128D"/>
    <w:rsid w:val="00E61770"/>
    <w:rsid w:val="00E6177F"/>
    <w:rsid w:val="00E61B69"/>
    <w:rsid w:val="00E61B97"/>
    <w:rsid w:val="00E622C6"/>
    <w:rsid w:val="00E623F8"/>
    <w:rsid w:val="00E62943"/>
    <w:rsid w:val="00E62BB5"/>
    <w:rsid w:val="00E62F5A"/>
    <w:rsid w:val="00E6326E"/>
    <w:rsid w:val="00E633A9"/>
    <w:rsid w:val="00E63400"/>
    <w:rsid w:val="00E636E9"/>
    <w:rsid w:val="00E63E87"/>
    <w:rsid w:val="00E63F40"/>
    <w:rsid w:val="00E6462B"/>
    <w:rsid w:val="00E64D13"/>
    <w:rsid w:val="00E64E30"/>
    <w:rsid w:val="00E64EF0"/>
    <w:rsid w:val="00E6506B"/>
    <w:rsid w:val="00E651FD"/>
    <w:rsid w:val="00E652B4"/>
    <w:rsid w:val="00E653D2"/>
    <w:rsid w:val="00E65846"/>
    <w:rsid w:val="00E6609E"/>
    <w:rsid w:val="00E66155"/>
    <w:rsid w:val="00E66580"/>
    <w:rsid w:val="00E66B80"/>
    <w:rsid w:val="00E66FCF"/>
    <w:rsid w:val="00E6717C"/>
    <w:rsid w:val="00E6758C"/>
    <w:rsid w:val="00E67AF1"/>
    <w:rsid w:val="00E67B7A"/>
    <w:rsid w:val="00E67DC1"/>
    <w:rsid w:val="00E704F8"/>
    <w:rsid w:val="00E706CA"/>
    <w:rsid w:val="00E7074E"/>
    <w:rsid w:val="00E70BDA"/>
    <w:rsid w:val="00E70FDA"/>
    <w:rsid w:val="00E713E8"/>
    <w:rsid w:val="00E718C0"/>
    <w:rsid w:val="00E71AF4"/>
    <w:rsid w:val="00E71BB1"/>
    <w:rsid w:val="00E71F11"/>
    <w:rsid w:val="00E7240C"/>
    <w:rsid w:val="00E72924"/>
    <w:rsid w:val="00E72F30"/>
    <w:rsid w:val="00E73110"/>
    <w:rsid w:val="00E7357F"/>
    <w:rsid w:val="00E73634"/>
    <w:rsid w:val="00E739DB"/>
    <w:rsid w:val="00E73B54"/>
    <w:rsid w:val="00E7400F"/>
    <w:rsid w:val="00E741BF"/>
    <w:rsid w:val="00E74538"/>
    <w:rsid w:val="00E74662"/>
    <w:rsid w:val="00E74813"/>
    <w:rsid w:val="00E74BF5"/>
    <w:rsid w:val="00E750AD"/>
    <w:rsid w:val="00E7534B"/>
    <w:rsid w:val="00E753DF"/>
    <w:rsid w:val="00E761BE"/>
    <w:rsid w:val="00E767FD"/>
    <w:rsid w:val="00E76C9D"/>
    <w:rsid w:val="00E76D4A"/>
    <w:rsid w:val="00E76F47"/>
    <w:rsid w:val="00E771B5"/>
    <w:rsid w:val="00E7733C"/>
    <w:rsid w:val="00E775D9"/>
    <w:rsid w:val="00E77856"/>
    <w:rsid w:val="00E77B95"/>
    <w:rsid w:val="00E77D99"/>
    <w:rsid w:val="00E77F71"/>
    <w:rsid w:val="00E800B8"/>
    <w:rsid w:val="00E8073E"/>
    <w:rsid w:val="00E8116C"/>
    <w:rsid w:val="00E81662"/>
    <w:rsid w:val="00E817D9"/>
    <w:rsid w:val="00E81959"/>
    <w:rsid w:val="00E81C46"/>
    <w:rsid w:val="00E81DFF"/>
    <w:rsid w:val="00E81F4E"/>
    <w:rsid w:val="00E81F5F"/>
    <w:rsid w:val="00E824E1"/>
    <w:rsid w:val="00E82DD8"/>
    <w:rsid w:val="00E82EC4"/>
    <w:rsid w:val="00E830E7"/>
    <w:rsid w:val="00E831E3"/>
    <w:rsid w:val="00E83281"/>
    <w:rsid w:val="00E834DB"/>
    <w:rsid w:val="00E835CA"/>
    <w:rsid w:val="00E835CB"/>
    <w:rsid w:val="00E83844"/>
    <w:rsid w:val="00E83868"/>
    <w:rsid w:val="00E83D41"/>
    <w:rsid w:val="00E83D93"/>
    <w:rsid w:val="00E844E4"/>
    <w:rsid w:val="00E8463E"/>
    <w:rsid w:val="00E84910"/>
    <w:rsid w:val="00E8497B"/>
    <w:rsid w:val="00E84AA2"/>
    <w:rsid w:val="00E84EF5"/>
    <w:rsid w:val="00E84F65"/>
    <w:rsid w:val="00E85030"/>
    <w:rsid w:val="00E85562"/>
    <w:rsid w:val="00E85767"/>
    <w:rsid w:val="00E858BA"/>
    <w:rsid w:val="00E859E4"/>
    <w:rsid w:val="00E85FCD"/>
    <w:rsid w:val="00E86770"/>
    <w:rsid w:val="00E86C5C"/>
    <w:rsid w:val="00E876C7"/>
    <w:rsid w:val="00E87768"/>
    <w:rsid w:val="00E87A9B"/>
    <w:rsid w:val="00E87C1A"/>
    <w:rsid w:val="00E87C39"/>
    <w:rsid w:val="00E87D70"/>
    <w:rsid w:val="00E9011F"/>
    <w:rsid w:val="00E90723"/>
    <w:rsid w:val="00E90AF7"/>
    <w:rsid w:val="00E91308"/>
    <w:rsid w:val="00E917D4"/>
    <w:rsid w:val="00E91852"/>
    <w:rsid w:val="00E91ED9"/>
    <w:rsid w:val="00E92133"/>
    <w:rsid w:val="00E924CF"/>
    <w:rsid w:val="00E9357A"/>
    <w:rsid w:val="00E938DA"/>
    <w:rsid w:val="00E9390C"/>
    <w:rsid w:val="00E93CBD"/>
    <w:rsid w:val="00E942C7"/>
    <w:rsid w:val="00E94BCF"/>
    <w:rsid w:val="00E94F1C"/>
    <w:rsid w:val="00E9508F"/>
    <w:rsid w:val="00E95971"/>
    <w:rsid w:val="00E959F4"/>
    <w:rsid w:val="00E95E06"/>
    <w:rsid w:val="00E962CB"/>
    <w:rsid w:val="00E9632C"/>
    <w:rsid w:val="00E968B2"/>
    <w:rsid w:val="00E96959"/>
    <w:rsid w:val="00E96967"/>
    <w:rsid w:val="00E96B12"/>
    <w:rsid w:val="00E96E31"/>
    <w:rsid w:val="00E96E3C"/>
    <w:rsid w:val="00E97D3C"/>
    <w:rsid w:val="00EA0422"/>
    <w:rsid w:val="00EA09E8"/>
    <w:rsid w:val="00EA0A61"/>
    <w:rsid w:val="00EA0B23"/>
    <w:rsid w:val="00EA0B9E"/>
    <w:rsid w:val="00EA0C56"/>
    <w:rsid w:val="00EA0C9C"/>
    <w:rsid w:val="00EA0D8D"/>
    <w:rsid w:val="00EA1416"/>
    <w:rsid w:val="00EA142F"/>
    <w:rsid w:val="00EA1733"/>
    <w:rsid w:val="00EA17ED"/>
    <w:rsid w:val="00EA1B90"/>
    <w:rsid w:val="00EA1DD6"/>
    <w:rsid w:val="00EA2090"/>
    <w:rsid w:val="00EA241C"/>
    <w:rsid w:val="00EA244A"/>
    <w:rsid w:val="00EA2E3B"/>
    <w:rsid w:val="00EA30CF"/>
    <w:rsid w:val="00EA33A9"/>
    <w:rsid w:val="00EA33B7"/>
    <w:rsid w:val="00EA35E2"/>
    <w:rsid w:val="00EA36C9"/>
    <w:rsid w:val="00EA40D8"/>
    <w:rsid w:val="00EA45F4"/>
    <w:rsid w:val="00EA4AA4"/>
    <w:rsid w:val="00EA5193"/>
    <w:rsid w:val="00EA51E7"/>
    <w:rsid w:val="00EA5F1F"/>
    <w:rsid w:val="00EA5FAD"/>
    <w:rsid w:val="00EA6125"/>
    <w:rsid w:val="00EA64D4"/>
    <w:rsid w:val="00EA66F5"/>
    <w:rsid w:val="00EA6776"/>
    <w:rsid w:val="00EA6829"/>
    <w:rsid w:val="00EA71C9"/>
    <w:rsid w:val="00EA76E0"/>
    <w:rsid w:val="00EA7B1A"/>
    <w:rsid w:val="00EB0020"/>
    <w:rsid w:val="00EB0540"/>
    <w:rsid w:val="00EB0953"/>
    <w:rsid w:val="00EB0D34"/>
    <w:rsid w:val="00EB0EA1"/>
    <w:rsid w:val="00EB0FFD"/>
    <w:rsid w:val="00EB1236"/>
    <w:rsid w:val="00EB142F"/>
    <w:rsid w:val="00EB14FF"/>
    <w:rsid w:val="00EB180A"/>
    <w:rsid w:val="00EB1A49"/>
    <w:rsid w:val="00EB21D5"/>
    <w:rsid w:val="00EB223A"/>
    <w:rsid w:val="00EB2CB1"/>
    <w:rsid w:val="00EB306A"/>
    <w:rsid w:val="00EB34DB"/>
    <w:rsid w:val="00EB388F"/>
    <w:rsid w:val="00EB397E"/>
    <w:rsid w:val="00EB3A5A"/>
    <w:rsid w:val="00EB446E"/>
    <w:rsid w:val="00EB464A"/>
    <w:rsid w:val="00EB47C3"/>
    <w:rsid w:val="00EB485A"/>
    <w:rsid w:val="00EB4A96"/>
    <w:rsid w:val="00EB4B7B"/>
    <w:rsid w:val="00EB4C67"/>
    <w:rsid w:val="00EB4D1C"/>
    <w:rsid w:val="00EB5433"/>
    <w:rsid w:val="00EB5664"/>
    <w:rsid w:val="00EB5F3D"/>
    <w:rsid w:val="00EB5FCB"/>
    <w:rsid w:val="00EB603E"/>
    <w:rsid w:val="00EB605E"/>
    <w:rsid w:val="00EB617C"/>
    <w:rsid w:val="00EB6241"/>
    <w:rsid w:val="00EB63ED"/>
    <w:rsid w:val="00EB65C7"/>
    <w:rsid w:val="00EB663F"/>
    <w:rsid w:val="00EB69B8"/>
    <w:rsid w:val="00EB73C4"/>
    <w:rsid w:val="00EB7813"/>
    <w:rsid w:val="00EB7B1B"/>
    <w:rsid w:val="00EB7D6C"/>
    <w:rsid w:val="00EC02DD"/>
    <w:rsid w:val="00EC03CF"/>
    <w:rsid w:val="00EC0AC7"/>
    <w:rsid w:val="00EC0AFE"/>
    <w:rsid w:val="00EC0C84"/>
    <w:rsid w:val="00EC0D88"/>
    <w:rsid w:val="00EC107D"/>
    <w:rsid w:val="00EC1109"/>
    <w:rsid w:val="00EC13B6"/>
    <w:rsid w:val="00EC14F3"/>
    <w:rsid w:val="00EC19E4"/>
    <w:rsid w:val="00EC1EB2"/>
    <w:rsid w:val="00EC20BD"/>
    <w:rsid w:val="00EC21DB"/>
    <w:rsid w:val="00EC22DD"/>
    <w:rsid w:val="00EC25EC"/>
    <w:rsid w:val="00EC2955"/>
    <w:rsid w:val="00EC2A17"/>
    <w:rsid w:val="00EC2B30"/>
    <w:rsid w:val="00EC2BEE"/>
    <w:rsid w:val="00EC37DF"/>
    <w:rsid w:val="00EC3C5D"/>
    <w:rsid w:val="00EC3E4E"/>
    <w:rsid w:val="00EC40FA"/>
    <w:rsid w:val="00EC44A8"/>
    <w:rsid w:val="00EC4CC8"/>
    <w:rsid w:val="00EC4E4F"/>
    <w:rsid w:val="00EC50C1"/>
    <w:rsid w:val="00EC573C"/>
    <w:rsid w:val="00EC5A6E"/>
    <w:rsid w:val="00EC5AD8"/>
    <w:rsid w:val="00EC5E5D"/>
    <w:rsid w:val="00EC6907"/>
    <w:rsid w:val="00EC6D3B"/>
    <w:rsid w:val="00EC6D3E"/>
    <w:rsid w:val="00EC71A7"/>
    <w:rsid w:val="00EC7254"/>
    <w:rsid w:val="00EC784F"/>
    <w:rsid w:val="00EC7C95"/>
    <w:rsid w:val="00EC7D96"/>
    <w:rsid w:val="00ED090B"/>
    <w:rsid w:val="00ED0E47"/>
    <w:rsid w:val="00ED12F9"/>
    <w:rsid w:val="00ED14C8"/>
    <w:rsid w:val="00ED1A7B"/>
    <w:rsid w:val="00ED1F6B"/>
    <w:rsid w:val="00ED23FB"/>
    <w:rsid w:val="00ED2491"/>
    <w:rsid w:val="00ED2817"/>
    <w:rsid w:val="00ED2866"/>
    <w:rsid w:val="00ED2C14"/>
    <w:rsid w:val="00ED2F16"/>
    <w:rsid w:val="00ED3821"/>
    <w:rsid w:val="00ED3AEC"/>
    <w:rsid w:val="00ED3B34"/>
    <w:rsid w:val="00ED3F7F"/>
    <w:rsid w:val="00ED40D1"/>
    <w:rsid w:val="00ED417C"/>
    <w:rsid w:val="00ED41BE"/>
    <w:rsid w:val="00ED44EE"/>
    <w:rsid w:val="00ED454D"/>
    <w:rsid w:val="00ED46D8"/>
    <w:rsid w:val="00ED48E7"/>
    <w:rsid w:val="00ED4A34"/>
    <w:rsid w:val="00ED4A58"/>
    <w:rsid w:val="00ED4E61"/>
    <w:rsid w:val="00ED50C3"/>
    <w:rsid w:val="00ED5460"/>
    <w:rsid w:val="00ED55E9"/>
    <w:rsid w:val="00ED56A4"/>
    <w:rsid w:val="00ED5785"/>
    <w:rsid w:val="00ED61CE"/>
    <w:rsid w:val="00ED6311"/>
    <w:rsid w:val="00ED6E81"/>
    <w:rsid w:val="00ED7106"/>
    <w:rsid w:val="00ED718A"/>
    <w:rsid w:val="00ED7394"/>
    <w:rsid w:val="00ED750F"/>
    <w:rsid w:val="00ED75E1"/>
    <w:rsid w:val="00ED773F"/>
    <w:rsid w:val="00ED7807"/>
    <w:rsid w:val="00ED7974"/>
    <w:rsid w:val="00ED7990"/>
    <w:rsid w:val="00ED7B0A"/>
    <w:rsid w:val="00ED7CD7"/>
    <w:rsid w:val="00EE0145"/>
    <w:rsid w:val="00EE08E6"/>
    <w:rsid w:val="00EE0DA6"/>
    <w:rsid w:val="00EE101A"/>
    <w:rsid w:val="00EE108D"/>
    <w:rsid w:val="00EE1399"/>
    <w:rsid w:val="00EE17D6"/>
    <w:rsid w:val="00EE194F"/>
    <w:rsid w:val="00EE1F40"/>
    <w:rsid w:val="00EE22F2"/>
    <w:rsid w:val="00EE23D9"/>
    <w:rsid w:val="00EE2781"/>
    <w:rsid w:val="00EE315E"/>
    <w:rsid w:val="00EE33AA"/>
    <w:rsid w:val="00EE376A"/>
    <w:rsid w:val="00EE392F"/>
    <w:rsid w:val="00EE3CDD"/>
    <w:rsid w:val="00EE3E03"/>
    <w:rsid w:val="00EE4196"/>
    <w:rsid w:val="00EE41C2"/>
    <w:rsid w:val="00EE4D45"/>
    <w:rsid w:val="00EE4EC6"/>
    <w:rsid w:val="00EE508B"/>
    <w:rsid w:val="00EE553E"/>
    <w:rsid w:val="00EE6080"/>
    <w:rsid w:val="00EE62F8"/>
    <w:rsid w:val="00EE6386"/>
    <w:rsid w:val="00EE642C"/>
    <w:rsid w:val="00EE6696"/>
    <w:rsid w:val="00EE66F8"/>
    <w:rsid w:val="00EE6D2C"/>
    <w:rsid w:val="00EE6E15"/>
    <w:rsid w:val="00EE7130"/>
    <w:rsid w:val="00EE732A"/>
    <w:rsid w:val="00EE7420"/>
    <w:rsid w:val="00EE757F"/>
    <w:rsid w:val="00EE78A6"/>
    <w:rsid w:val="00EF0003"/>
    <w:rsid w:val="00EF03F9"/>
    <w:rsid w:val="00EF0410"/>
    <w:rsid w:val="00EF087B"/>
    <w:rsid w:val="00EF0AC7"/>
    <w:rsid w:val="00EF12EA"/>
    <w:rsid w:val="00EF1397"/>
    <w:rsid w:val="00EF19F7"/>
    <w:rsid w:val="00EF1C6B"/>
    <w:rsid w:val="00EF1DF7"/>
    <w:rsid w:val="00EF2022"/>
    <w:rsid w:val="00EF22B1"/>
    <w:rsid w:val="00EF24AD"/>
    <w:rsid w:val="00EF25CB"/>
    <w:rsid w:val="00EF2E2E"/>
    <w:rsid w:val="00EF30E7"/>
    <w:rsid w:val="00EF3173"/>
    <w:rsid w:val="00EF318C"/>
    <w:rsid w:val="00EF326D"/>
    <w:rsid w:val="00EF3290"/>
    <w:rsid w:val="00EF3BAD"/>
    <w:rsid w:val="00EF3C56"/>
    <w:rsid w:val="00EF466A"/>
    <w:rsid w:val="00EF487E"/>
    <w:rsid w:val="00EF4FE4"/>
    <w:rsid w:val="00EF51FE"/>
    <w:rsid w:val="00EF52A6"/>
    <w:rsid w:val="00EF54F7"/>
    <w:rsid w:val="00EF5C12"/>
    <w:rsid w:val="00EF63D5"/>
    <w:rsid w:val="00EF66C8"/>
    <w:rsid w:val="00EF67D7"/>
    <w:rsid w:val="00EF6B5C"/>
    <w:rsid w:val="00EF6C1E"/>
    <w:rsid w:val="00EF6D67"/>
    <w:rsid w:val="00EF7194"/>
    <w:rsid w:val="00EF7361"/>
    <w:rsid w:val="00EF7918"/>
    <w:rsid w:val="00EF7A8F"/>
    <w:rsid w:val="00EF7B6F"/>
    <w:rsid w:val="00EF7CF9"/>
    <w:rsid w:val="00F000D7"/>
    <w:rsid w:val="00F00482"/>
    <w:rsid w:val="00F00719"/>
    <w:rsid w:val="00F00B5B"/>
    <w:rsid w:val="00F00F73"/>
    <w:rsid w:val="00F012E0"/>
    <w:rsid w:val="00F0189E"/>
    <w:rsid w:val="00F01C77"/>
    <w:rsid w:val="00F01D5C"/>
    <w:rsid w:val="00F0204B"/>
    <w:rsid w:val="00F020D4"/>
    <w:rsid w:val="00F022C3"/>
    <w:rsid w:val="00F02DC2"/>
    <w:rsid w:val="00F02DD3"/>
    <w:rsid w:val="00F03275"/>
    <w:rsid w:val="00F0329C"/>
    <w:rsid w:val="00F0354A"/>
    <w:rsid w:val="00F03730"/>
    <w:rsid w:val="00F03990"/>
    <w:rsid w:val="00F03E6C"/>
    <w:rsid w:val="00F041AE"/>
    <w:rsid w:val="00F04494"/>
    <w:rsid w:val="00F047FC"/>
    <w:rsid w:val="00F0496D"/>
    <w:rsid w:val="00F04A20"/>
    <w:rsid w:val="00F04AB3"/>
    <w:rsid w:val="00F04DCF"/>
    <w:rsid w:val="00F05680"/>
    <w:rsid w:val="00F05819"/>
    <w:rsid w:val="00F05ACF"/>
    <w:rsid w:val="00F05BCE"/>
    <w:rsid w:val="00F06B71"/>
    <w:rsid w:val="00F06F11"/>
    <w:rsid w:val="00F07013"/>
    <w:rsid w:val="00F07D12"/>
    <w:rsid w:val="00F07DCB"/>
    <w:rsid w:val="00F07E93"/>
    <w:rsid w:val="00F10638"/>
    <w:rsid w:val="00F10AFE"/>
    <w:rsid w:val="00F10BA1"/>
    <w:rsid w:val="00F10BFE"/>
    <w:rsid w:val="00F10CA2"/>
    <w:rsid w:val="00F11588"/>
    <w:rsid w:val="00F11F34"/>
    <w:rsid w:val="00F11F9C"/>
    <w:rsid w:val="00F122C4"/>
    <w:rsid w:val="00F12685"/>
    <w:rsid w:val="00F126CC"/>
    <w:rsid w:val="00F12B6F"/>
    <w:rsid w:val="00F12BBB"/>
    <w:rsid w:val="00F12F88"/>
    <w:rsid w:val="00F13798"/>
    <w:rsid w:val="00F13817"/>
    <w:rsid w:val="00F13CA6"/>
    <w:rsid w:val="00F13CBE"/>
    <w:rsid w:val="00F13FDF"/>
    <w:rsid w:val="00F14043"/>
    <w:rsid w:val="00F14170"/>
    <w:rsid w:val="00F144E7"/>
    <w:rsid w:val="00F14518"/>
    <w:rsid w:val="00F14524"/>
    <w:rsid w:val="00F1465F"/>
    <w:rsid w:val="00F14924"/>
    <w:rsid w:val="00F14F77"/>
    <w:rsid w:val="00F157F7"/>
    <w:rsid w:val="00F15E9B"/>
    <w:rsid w:val="00F163AF"/>
    <w:rsid w:val="00F163C5"/>
    <w:rsid w:val="00F16671"/>
    <w:rsid w:val="00F166D3"/>
    <w:rsid w:val="00F166E1"/>
    <w:rsid w:val="00F169DE"/>
    <w:rsid w:val="00F16A6A"/>
    <w:rsid w:val="00F16ABC"/>
    <w:rsid w:val="00F16AFC"/>
    <w:rsid w:val="00F16BF7"/>
    <w:rsid w:val="00F16C04"/>
    <w:rsid w:val="00F17452"/>
    <w:rsid w:val="00F176E8"/>
    <w:rsid w:val="00F17726"/>
    <w:rsid w:val="00F179F6"/>
    <w:rsid w:val="00F17C6A"/>
    <w:rsid w:val="00F17DFB"/>
    <w:rsid w:val="00F17F1F"/>
    <w:rsid w:val="00F201A9"/>
    <w:rsid w:val="00F2063F"/>
    <w:rsid w:val="00F207CD"/>
    <w:rsid w:val="00F20D65"/>
    <w:rsid w:val="00F20DCB"/>
    <w:rsid w:val="00F211CC"/>
    <w:rsid w:val="00F21471"/>
    <w:rsid w:val="00F21511"/>
    <w:rsid w:val="00F21DB9"/>
    <w:rsid w:val="00F21F27"/>
    <w:rsid w:val="00F22423"/>
    <w:rsid w:val="00F22434"/>
    <w:rsid w:val="00F2248E"/>
    <w:rsid w:val="00F22923"/>
    <w:rsid w:val="00F23594"/>
    <w:rsid w:val="00F23D43"/>
    <w:rsid w:val="00F24322"/>
    <w:rsid w:val="00F2441F"/>
    <w:rsid w:val="00F2467C"/>
    <w:rsid w:val="00F24767"/>
    <w:rsid w:val="00F24B52"/>
    <w:rsid w:val="00F24FF9"/>
    <w:rsid w:val="00F25028"/>
    <w:rsid w:val="00F25161"/>
    <w:rsid w:val="00F2542B"/>
    <w:rsid w:val="00F254FE"/>
    <w:rsid w:val="00F2565B"/>
    <w:rsid w:val="00F256AE"/>
    <w:rsid w:val="00F2575F"/>
    <w:rsid w:val="00F257B3"/>
    <w:rsid w:val="00F25842"/>
    <w:rsid w:val="00F25C4C"/>
    <w:rsid w:val="00F25D8F"/>
    <w:rsid w:val="00F2609D"/>
    <w:rsid w:val="00F26191"/>
    <w:rsid w:val="00F2665D"/>
    <w:rsid w:val="00F266EB"/>
    <w:rsid w:val="00F268AF"/>
    <w:rsid w:val="00F26B21"/>
    <w:rsid w:val="00F26FF8"/>
    <w:rsid w:val="00F27149"/>
    <w:rsid w:val="00F2717C"/>
    <w:rsid w:val="00F27180"/>
    <w:rsid w:val="00F27603"/>
    <w:rsid w:val="00F2773F"/>
    <w:rsid w:val="00F27ACB"/>
    <w:rsid w:val="00F27AD2"/>
    <w:rsid w:val="00F3000A"/>
    <w:rsid w:val="00F3037E"/>
    <w:rsid w:val="00F3052E"/>
    <w:rsid w:val="00F30703"/>
    <w:rsid w:val="00F30A4B"/>
    <w:rsid w:val="00F30E9E"/>
    <w:rsid w:val="00F31466"/>
    <w:rsid w:val="00F3150A"/>
    <w:rsid w:val="00F31543"/>
    <w:rsid w:val="00F3170A"/>
    <w:rsid w:val="00F31E51"/>
    <w:rsid w:val="00F31F28"/>
    <w:rsid w:val="00F3216C"/>
    <w:rsid w:val="00F32337"/>
    <w:rsid w:val="00F3255C"/>
    <w:rsid w:val="00F3276C"/>
    <w:rsid w:val="00F327A6"/>
    <w:rsid w:val="00F32D60"/>
    <w:rsid w:val="00F32DB5"/>
    <w:rsid w:val="00F32E1E"/>
    <w:rsid w:val="00F32E24"/>
    <w:rsid w:val="00F330E0"/>
    <w:rsid w:val="00F33347"/>
    <w:rsid w:val="00F334D2"/>
    <w:rsid w:val="00F33535"/>
    <w:rsid w:val="00F33D96"/>
    <w:rsid w:val="00F33FB5"/>
    <w:rsid w:val="00F33FD7"/>
    <w:rsid w:val="00F33FE9"/>
    <w:rsid w:val="00F33FF1"/>
    <w:rsid w:val="00F34020"/>
    <w:rsid w:val="00F34278"/>
    <w:rsid w:val="00F34B5B"/>
    <w:rsid w:val="00F34FC0"/>
    <w:rsid w:val="00F3563B"/>
    <w:rsid w:val="00F35883"/>
    <w:rsid w:val="00F3643E"/>
    <w:rsid w:val="00F36512"/>
    <w:rsid w:val="00F3651B"/>
    <w:rsid w:val="00F36545"/>
    <w:rsid w:val="00F368A7"/>
    <w:rsid w:val="00F36C70"/>
    <w:rsid w:val="00F3703F"/>
    <w:rsid w:val="00F37098"/>
    <w:rsid w:val="00F372E9"/>
    <w:rsid w:val="00F372F5"/>
    <w:rsid w:val="00F374FF"/>
    <w:rsid w:val="00F37B1D"/>
    <w:rsid w:val="00F37C91"/>
    <w:rsid w:val="00F37D60"/>
    <w:rsid w:val="00F37E53"/>
    <w:rsid w:val="00F37F5C"/>
    <w:rsid w:val="00F40076"/>
    <w:rsid w:val="00F40159"/>
    <w:rsid w:val="00F40371"/>
    <w:rsid w:val="00F4041E"/>
    <w:rsid w:val="00F4047D"/>
    <w:rsid w:val="00F405B0"/>
    <w:rsid w:val="00F4090F"/>
    <w:rsid w:val="00F4092A"/>
    <w:rsid w:val="00F41448"/>
    <w:rsid w:val="00F415F3"/>
    <w:rsid w:val="00F41757"/>
    <w:rsid w:val="00F41D81"/>
    <w:rsid w:val="00F41DB1"/>
    <w:rsid w:val="00F42194"/>
    <w:rsid w:val="00F425E9"/>
    <w:rsid w:val="00F426E3"/>
    <w:rsid w:val="00F4276E"/>
    <w:rsid w:val="00F42D5D"/>
    <w:rsid w:val="00F4323A"/>
    <w:rsid w:val="00F432B0"/>
    <w:rsid w:val="00F43386"/>
    <w:rsid w:val="00F4397D"/>
    <w:rsid w:val="00F43BF3"/>
    <w:rsid w:val="00F4404D"/>
    <w:rsid w:val="00F4427B"/>
    <w:rsid w:val="00F44456"/>
    <w:rsid w:val="00F44599"/>
    <w:rsid w:val="00F4482F"/>
    <w:rsid w:val="00F44E79"/>
    <w:rsid w:val="00F45002"/>
    <w:rsid w:val="00F45049"/>
    <w:rsid w:val="00F46225"/>
    <w:rsid w:val="00F463D3"/>
    <w:rsid w:val="00F46424"/>
    <w:rsid w:val="00F467D0"/>
    <w:rsid w:val="00F4688E"/>
    <w:rsid w:val="00F4696E"/>
    <w:rsid w:val="00F46A22"/>
    <w:rsid w:val="00F47A2B"/>
    <w:rsid w:val="00F47E3B"/>
    <w:rsid w:val="00F47F9D"/>
    <w:rsid w:val="00F50711"/>
    <w:rsid w:val="00F5080E"/>
    <w:rsid w:val="00F50E3E"/>
    <w:rsid w:val="00F515BE"/>
    <w:rsid w:val="00F51B2A"/>
    <w:rsid w:val="00F51C7E"/>
    <w:rsid w:val="00F51EB5"/>
    <w:rsid w:val="00F52187"/>
    <w:rsid w:val="00F52371"/>
    <w:rsid w:val="00F525D3"/>
    <w:rsid w:val="00F52723"/>
    <w:rsid w:val="00F52733"/>
    <w:rsid w:val="00F52A36"/>
    <w:rsid w:val="00F52F6B"/>
    <w:rsid w:val="00F53456"/>
    <w:rsid w:val="00F53539"/>
    <w:rsid w:val="00F53595"/>
    <w:rsid w:val="00F53903"/>
    <w:rsid w:val="00F53A59"/>
    <w:rsid w:val="00F540D5"/>
    <w:rsid w:val="00F540EE"/>
    <w:rsid w:val="00F54184"/>
    <w:rsid w:val="00F5483B"/>
    <w:rsid w:val="00F54BC1"/>
    <w:rsid w:val="00F54C90"/>
    <w:rsid w:val="00F54D33"/>
    <w:rsid w:val="00F54EF5"/>
    <w:rsid w:val="00F55002"/>
    <w:rsid w:val="00F55C49"/>
    <w:rsid w:val="00F55E13"/>
    <w:rsid w:val="00F55FA8"/>
    <w:rsid w:val="00F5607E"/>
    <w:rsid w:val="00F564F2"/>
    <w:rsid w:val="00F5653B"/>
    <w:rsid w:val="00F572BF"/>
    <w:rsid w:val="00F57549"/>
    <w:rsid w:val="00F57658"/>
    <w:rsid w:val="00F57E3E"/>
    <w:rsid w:val="00F60136"/>
    <w:rsid w:val="00F601EC"/>
    <w:rsid w:val="00F603D6"/>
    <w:rsid w:val="00F60F26"/>
    <w:rsid w:val="00F61058"/>
    <w:rsid w:val="00F61362"/>
    <w:rsid w:val="00F619D6"/>
    <w:rsid w:val="00F61B63"/>
    <w:rsid w:val="00F61BAA"/>
    <w:rsid w:val="00F61BF8"/>
    <w:rsid w:val="00F61C77"/>
    <w:rsid w:val="00F61CF1"/>
    <w:rsid w:val="00F6237C"/>
    <w:rsid w:val="00F6264A"/>
    <w:rsid w:val="00F62744"/>
    <w:rsid w:val="00F6285A"/>
    <w:rsid w:val="00F62957"/>
    <w:rsid w:val="00F62BBE"/>
    <w:rsid w:val="00F62D3F"/>
    <w:rsid w:val="00F62E2C"/>
    <w:rsid w:val="00F62E73"/>
    <w:rsid w:val="00F62ED2"/>
    <w:rsid w:val="00F632D6"/>
    <w:rsid w:val="00F63335"/>
    <w:rsid w:val="00F637C4"/>
    <w:rsid w:val="00F63884"/>
    <w:rsid w:val="00F63B01"/>
    <w:rsid w:val="00F63B45"/>
    <w:rsid w:val="00F63D99"/>
    <w:rsid w:val="00F64A65"/>
    <w:rsid w:val="00F64AB2"/>
    <w:rsid w:val="00F64B14"/>
    <w:rsid w:val="00F64D28"/>
    <w:rsid w:val="00F65C98"/>
    <w:rsid w:val="00F65CBD"/>
    <w:rsid w:val="00F6609B"/>
    <w:rsid w:val="00F667A3"/>
    <w:rsid w:val="00F66914"/>
    <w:rsid w:val="00F66927"/>
    <w:rsid w:val="00F67147"/>
    <w:rsid w:val="00F674A2"/>
    <w:rsid w:val="00F67C0A"/>
    <w:rsid w:val="00F67E36"/>
    <w:rsid w:val="00F7052E"/>
    <w:rsid w:val="00F7081E"/>
    <w:rsid w:val="00F708BD"/>
    <w:rsid w:val="00F70C3F"/>
    <w:rsid w:val="00F71614"/>
    <w:rsid w:val="00F718EC"/>
    <w:rsid w:val="00F71ADD"/>
    <w:rsid w:val="00F727B5"/>
    <w:rsid w:val="00F72870"/>
    <w:rsid w:val="00F732C9"/>
    <w:rsid w:val="00F733BF"/>
    <w:rsid w:val="00F73C45"/>
    <w:rsid w:val="00F748F4"/>
    <w:rsid w:val="00F74C3B"/>
    <w:rsid w:val="00F74D27"/>
    <w:rsid w:val="00F75696"/>
    <w:rsid w:val="00F75854"/>
    <w:rsid w:val="00F75C45"/>
    <w:rsid w:val="00F760E1"/>
    <w:rsid w:val="00F76658"/>
    <w:rsid w:val="00F766A3"/>
    <w:rsid w:val="00F76B7A"/>
    <w:rsid w:val="00F76EBD"/>
    <w:rsid w:val="00F770BF"/>
    <w:rsid w:val="00F77232"/>
    <w:rsid w:val="00F772E1"/>
    <w:rsid w:val="00F776F9"/>
    <w:rsid w:val="00F8055D"/>
    <w:rsid w:val="00F80624"/>
    <w:rsid w:val="00F806FD"/>
    <w:rsid w:val="00F80AC3"/>
    <w:rsid w:val="00F80B10"/>
    <w:rsid w:val="00F80BCA"/>
    <w:rsid w:val="00F80F9B"/>
    <w:rsid w:val="00F810F8"/>
    <w:rsid w:val="00F81350"/>
    <w:rsid w:val="00F8183B"/>
    <w:rsid w:val="00F818FD"/>
    <w:rsid w:val="00F82079"/>
    <w:rsid w:val="00F826FC"/>
    <w:rsid w:val="00F828E9"/>
    <w:rsid w:val="00F82D4E"/>
    <w:rsid w:val="00F82D60"/>
    <w:rsid w:val="00F831CF"/>
    <w:rsid w:val="00F832D0"/>
    <w:rsid w:val="00F834A7"/>
    <w:rsid w:val="00F835C0"/>
    <w:rsid w:val="00F8380F"/>
    <w:rsid w:val="00F83910"/>
    <w:rsid w:val="00F84000"/>
    <w:rsid w:val="00F84044"/>
    <w:rsid w:val="00F8471E"/>
    <w:rsid w:val="00F84747"/>
    <w:rsid w:val="00F84968"/>
    <w:rsid w:val="00F849A4"/>
    <w:rsid w:val="00F84CF4"/>
    <w:rsid w:val="00F85115"/>
    <w:rsid w:val="00F851D9"/>
    <w:rsid w:val="00F853F9"/>
    <w:rsid w:val="00F855D7"/>
    <w:rsid w:val="00F85697"/>
    <w:rsid w:val="00F8585A"/>
    <w:rsid w:val="00F8592C"/>
    <w:rsid w:val="00F86682"/>
    <w:rsid w:val="00F86976"/>
    <w:rsid w:val="00F86E6B"/>
    <w:rsid w:val="00F86F32"/>
    <w:rsid w:val="00F87025"/>
    <w:rsid w:val="00F870DE"/>
    <w:rsid w:val="00F87111"/>
    <w:rsid w:val="00F87150"/>
    <w:rsid w:val="00F873B7"/>
    <w:rsid w:val="00F8741D"/>
    <w:rsid w:val="00F87549"/>
    <w:rsid w:val="00F875A1"/>
    <w:rsid w:val="00F87C50"/>
    <w:rsid w:val="00F87D88"/>
    <w:rsid w:val="00F90143"/>
    <w:rsid w:val="00F90379"/>
    <w:rsid w:val="00F906D9"/>
    <w:rsid w:val="00F90FC1"/>
    <w:rsid w:val="00F91065"/>
    <w:rsid w:val="00F911FA"/>
    <w:rsid w:val="00F91505"/>
    <w:rsid w:val="00F915B6"/>
    <w:rsid w:val="00F916F7"/>
    <w:rsid w:val="00F91981"/>
    <w:rsid w:val="00F92596"/>
    <w:rsid w:val="00F927B9"/>
    <w:rsid w:val="00F9324B"/>
    <w:rsid w:val="00F93250"/>
    <w:rsid w:val="00F932EB"/>
    <w:rsid w:val="00F93402"/>
    <w:rsid w:val="00F9357D"/>
    <w:rsid w:val="00F937B0"/>
    <w:rsid w:val="00F93CE7"/>
    <w:rsid w:val="00F93E47"/>
    <w:rsid w:val="00F94141"/>
    <w:rsid w:val="00F94168"/>
    <w:rsid w:val="00F94256"/>
    <w:rsid w:val="00F94380"/>
    <w:rsid w:val="00F946BF"/>
    <w:rsid w:val="00F9483B"/>
    <w:rsid w:val="00F94872"/>
    <w:rsid w:val="00F94A35"/>
    <w:rsid w:val="00F95096"/>
    <w:rsid w:val="00F95165"/>
    <w:rsid w:val="00F9543F"/>
    <w:rsid w:val="00F964E1"/>
    <w:rsid w:val="00F96507"/>
    <w:rsid w:val="00F96566"/>
    <w:rsid w:val="00F96B20"/>
    <w:rsid w:val="00F96C1B"/>
    <w:rsid w:val="00F974C6"/>
    <w:rsid w:val="00F97625"/>
    <w:rsid w:val="00F97884"/>
    <w:rsid w:val="00F979D5"/>
    <w:rsid w:val="00FA02EB"/>
    <w:rsid w:val="00FA050E"/>
    <w:rsid w:val="00FA0630"/>
    <w:rsid w:val="00FA0B9A"/>
    <w:rsid w:val="00FA0C77"/>
    <w:rsid w:val="00FA1563"/>
    <w:rsid w:val="00FA1750"/>
    <w:rsid w:val="00FA195C"/>
    <w:rsid w:val="00FA1C36"/>
    <w:rsid w:val="00FA1CAD"/>
    <w:rsid w:val="00FA1CF6"/>
    <w:rsid w:val="00FA1EB3"/>
    <w:rsid w:val="00FA1EFD"/>
    <w:rsid w:val="00FA2163"/>
    <w:rsid w:val="00FA21E9"/>
    <w:rsid w:val="00FA2216"/>
    <w:rsid w:val="00FA22C4"/>
    <w:rsid w:val="00FA2BE4"/>
    <w:rsid w:val="00FA2D62"/>
    <w:rsid w:val="00FA311A"/>
    <w:rsid w:val="00FA3A50"/>
    <w:rsid w:val="00FA3A85"/>
    <w:rsid w:val="00FA3CF5"/>
    <w:rsid w:val="00FA41BD"/>
    <w:rsid w:val="00FA4755"/>
    <w:rsid w:val="00FA4C5F"/>
    <w:rsid w:val="00FA4D68"/>
    <w:rsid w:val="00FA4E4A"/>
    <w:rsid w:val="00FA50F3"/>
    <w:rsid w:val="00FA5681"/>
    <w:rsid w:val="00FA59B3"/>
    <w:rsid w:val="00FA59E0"/>
    <w:rsid w:val="00FA6122"/>
    <w:rsid w:val="00FA6264"/>
    <w:rsid w:val="00FA62CA"/>
    <w:rsid w:val="00FA6E3A"/>
    <w:rsid w:val="00FA6F5F"/>
    <w:rsid w:val="00FA6F9D"/>
    <w:rsid w:val="00FA7237"/>
    <w:rsid w:val="00FA7518"/>
    <w:rsid w:val="00FA77A9"/>
    <w:rsid w:val="00FA7A34"/>
    <w:rsid w:val="00FA7BCB"/>
    <w:rsid w:val="00FA7CF6"/>
    <w:rsid w:val="00FB040F"/>
    <w:rsid w:val="00FB055B"/>
    <w:rsid w:val="00FB06F4"/>
    <w:rsid w:val="00FB071F"/>
    <w:rsid w:val="00FB0A1E"/>
    <w:rsid w:val="00FB0C64"/>
    <w:rsid w:val="00FB0E05"/>
    <w:rsid w:val="00FB0E1B"/>
    <w:rsid w:val="00FB1086"/>
    <w:rsid w:val="00FB1165"/>
    <w:rsid w:val="00FB1199"/>
    <w:rsid w:val="00FB1832"/>
    <w:rsid w:val="00FB18BE"/>
    <w:rsid w:val="00FB1B34"/>
    <w:rsid w:val="00FB1B67"/>
    <w:rsid w:val="00FB1EEC"/>
    <w:rsid w:val="00FB241F"/>
    <w:rsid w:val="00FB26BA"/>
    <w:rsid w:val="00FB29D6"/>
    <w:rsid w:val="00FB2BD2"/>
    <w:rsid w:val="00FB2DDB"/>
    <w:rsid w:val="00FB2F9F"/>
    <w:rsid w:val="00FB3682"/>
    <w:rsid w:val="00FB369C"/>
    <w:rsid w:val="00FB36C2"/>
    <w:rsid w:val="00FB39D2"/>
    <w:rsid w:val="00FB3ADB"/>
    <w:rsid w:val="00FB3AE6"/>
    <w:rsid w:val="00FB452C"/>
    <w:rsid w:val="00FB4C4D"/>
    <w:rsid w:val="00FB5419"/>
    <w:rsid w:val="00FB54C4"/>
    <w:rsid w:val="00FB5709"/>
    <w:rsid w:val="00FB5767"/>
    <w:rsid w:val="00FB5958"/>
    <w:rsid w:val="00FB59E7"/>
    <w:rsid w:val="00FB5B86"/>
    <w:rsid w:val="00FB5ED8"/>
    <w:rsid w:val="00FB6234"/>
    <w:rsid w:val="00FB6501"/>
    <w:rsid w:val="00FB654A"/>
    <w:rsid w:val="00FB6975"/>
    <w:rsid w:val="00FB6AF8"/>
    <w:rsid w:val="00FB6EC6"/>
    <w:rsid w:val="00FC0019"/>
    <w:rsid w:val="00FC00B3"/>
    <w:rsid w:val="00FC00FF"/>
    <w:rsid w:val="00FC0225"/>
    <w:rsid w:val="00FC088E"/>
    <w:rsid w:val="00FC09B7"/>
    <w:rsid w:val="00FC0DDA"/>
    <w:rsid w:val="00FC0E23"/>
    <w:rsid w:val="00FC0F53"/>
    <w:rsid w:val="00FC0FFB"/>
    <w:rsid w:val="00FC10F4"/>
    <w:rsid w:val="00FC1AA2"/>
    <w:rsid w:val="00FC1B2E"/>
    <w:rsid w:val="00FC1BE9"/>
    <w:rsid w:val="00FC1C30"/>
    <w:rsid w:val="00FC1F12"/>
    <w:rsid w:val="00FC2644"/>
    <w:rsid w:val="00FC28F2"/>
    <w:rsid w:val="00FC2EBA"/>
    <w:rsid w:val="00FC365B"/>
    <w:rsid w:val="00FC3DB7"/>
    <w:rsid w:val="00FC3E69"/>
    <w:rsid w:val="00FC4016"/>
    <w:rsid w:val="00FC453A"/>
    <w:rsid w:val="00FC4DDA"/>
    <w:rsid w:val="00FC5011"/>
    <w:rsid w:val="00FC5070"/>
    <w:rsid w:val="00FC521E"/>
    <w:rsid w:val="00FC5E96"/>
    <w:rsid w:val="00FC5F0A"/>
    <w:rsid w:val="00FC5F24"/>
    <w:rsid w:val="00FC6471"/>
    <w:rsid w:val="00FC647A"/>
    <w:rsid w:val="00FC6498"/>
    <w:rsid w:val="00FC65CB"/>
    <w:rsid w:val="00FC65D2"/>
    <w:rsid w:val="00FC6ADF"/>
    <w:rsid w:val="00FC6E4F"/>
    <w:rsid w:val="00FC712D"/>
    <w:rsid w:val="00FC747F"/>
    <w:rsid w:val="00FC7700"/>
    <w:rsid w:val="00FC7814"/>
    <w:rsid w:val="00FC7D28"/>
    <w:rsid w:val="00FD0798"/>
    <w:rsid w:val="00FD0E40"/>
    <w:rsid w:val="00FD108A"/>
    <w:rsid w:val="00FD114B"/>
    <w:rsid w:val="00FD15B8"/>
    <w:rsid w:val="00FD169E"/>
    <w:rsid w:val="00FD185D"/>
    <w:rsid w:val="00FD1DA9"/>
    <w:rsid w:val="00FD1ED5"/>
    <w:rsid w:val="00FD1FE8"/>
    <w:rsid w:val="00FD2104"/>
    <w:rsid w:val="00FD212A"/>
    <w:rsid w:val="00FD2299"/>
    <w:rsid w:val="00FD24A8"/>
    <w:rsid w:val="00FD2DA5"/>
    <w:rsid w:val="00FD2E0B"/>
    <w:rsid w:val="00FD300F"/>
    <w:rsid w:val="00FD3480"/>
    <w:rsid w:val="00FD37BE"/>
    <w:rsid w:val="00FD37ED"/>
    <w:rsid w:val="00FD38AC"/>
    <w:rsid w:val="00FD3B31"/>
    <w:rsid w:val="00FD3D21"/>
    <w:rsid w:val="00FD40EB"/>
    <w:rsid w:val="00FD4370"/>
    <w:rsid w:val="00FD44F1"/>
    <w:rsid w:val="00FD4537"/>
    <w:rsid w:val="00FD4601"/>
    <w:rsid w:val="00FD48F1"/>
    <w:rsid w:val="00FD49B5"/>
    <w:rsid w:val="00FD5289"/>
    <w:rsid w:val="00FD53B5"/>
    <w:rsid w:val="00FD590A"/>
    <w:rsid w:val="00FD5982"/>
    <w:rsid w:val="00FD5D0F"/>
    <w:rsid w:val="00FD5D46"/>
    <w:rsid w:val="00FD64E0"/>
    <w:rsid w:val="00FD64F8"/>
    <w:rsid w:val="00FD66ED"/>
    <w:rsid w:val="00FD6C3B"/>
    <w:rsid w:val="00FD6D27"/>
    <w:rsid w:val="00FD6D63"/>
    <w:rsid w:val="00FD79BC"/>
    <w:rsid w:val="00FD7C09"/>
    <w:rsid w:val="00FD7E12"/>
    <w:rsid w:val="00FE051D"/>
    <w:rsid w:val="00FE0654"/>
    <w:rsid w:val="00FE0877"/>
    <w:rsid w:val="00FE08E1"/>
    <w:rsid w:val="00FE0A13"/>
    <w:rsid w:val="00FE0AB9"/>
    <w:rsid w:val="00FE0CCD"/>
    <w:rsid w:val="00FE0F32"/>
    <w:rsid w:val="00FE0FD4"/>
    <w:rsid w:val="00FE1031"/>
    <w:rsid w:val="00FE1215"/>
    <w:rsid w:val="00FE12EC"/>
    <w:rsid w:val="00FE12F4"/>
    <w:rsid w:val="00FE13A8"/>
    <w:rsid w:val="00FE1792"/>
    <w:rsid w:val="00FE19F2"/>
    <w:rsid w:val="00FE1B7E"/>
    <w:rsid w:val="00FE1D09"/>
    <w:rsid w:val="00FE227F"/>
    <w:rsid w:val="00FE22AF"/>
    <w:rsid w:val="00FE239C"/>
    <w:rsid w:val="00FE24F8"/>
    <w:rsid w:val="00FE25BB"/>
    <w:rsid w:val="00FE265F"/>
    <w:rsid w:val="00FE2865"/>
    <w:rsid w:val="00FE31AC"/>
    <w:rsid w:val="00FE3785"/>
    <w:rsid w:val="00FE4248"/>
    <w:rsid w:val="00FE42E0"/>
    <w:rsid w:val="00FE44EC"/>
    <w:rsid w:val="00FE488A"/>
    <w:rsid w:val="00FE48DF"/>
    <w:rsid w:val="00FE537B"/>
    <w:rsid w:val="00FE58FA"/>
    <w:rsid w:val="00FE5F1F"/>
    <w:rsid w:val="00FE68F2"/>
    <w:rsid w:val="00FE6A4F"/>
    <w:rsid w:val="00FE6C4D"/>
    <w:rsid w:val="00FE6F64"/>
    <w:rsid w:val="00FE7112"/>
    <w:rsid w:val="00FE71EF"/>
    <w:rsid w:val="00FE7D8F"/>
    <w:rsid w:val="00FE7F1E"/>
    <w:rsid w:val="00FE7F2D"/>
    <w:rsid w:val="00FF01D1"/>
    <w:rsid w:val="00FF0303"/>
    <w:rsid w:val="00FF0F40"/>
    <w:rsid w:val="00FF1154"/>
    <w:rsid w:val="00FF1194"/>
    <w:rsid w:val="00FF1279"/>
    <w:rsid w:val="00FF1622"/>
    <w:rsid w:val="00FF189E"/>
    <w:rsid w:val="00FF1C39"/>
    <w:rsid w:val="00FF2032"/>
    <w:rsid w:val="00FF2249"/>
    <w:rsid w:val="00FF2A91"/>
    <w:rsid w:val="00FF2C2F"/>
    <w:rsid w:val="00FF2DCC"/>
    <w:rsid w:val="00FF3044"/>
    <w:rsid w:val="00FF3120"/>
    <w:rsid w:val="00FF3137"/>
    <w:rsid w:val="00FF33E3"/>
    <w:rsid w:val="00FF37AC"/>
    <w:rsid w:val="00FF3B20"/>
    <w:rsid w:val="00FF41E7"/>
    <w:rsid w:val="00FF42C5"/>
    <w:rsid w:val="00FF44B4"/>
    <w:rsid w:val="00FF454D"/>
    <w:rsid w:val="00FF45F1"/>
    <w:rsid w:val="00FF4E30"/>
    <w:rsid w:val="00FF4EC5"/>
    <w:rsid w:val="00FF4FB2"/>
    <w:rsid w:val="00FF5046"/>
    <w:rsid w:val="00FF5392"/>
    <w:rsid w:val="00FF5B57"/>
    <w:rsid w:val="00FF5C82"/>
    <w:rsid w:val="00FF5CDE"/>
    <w:rsid w:val="00FF5E7D"/>
    <w:rsid w:val="00FF5EBF"/>
    <w:rsid w:val="00FF604B"/>
    <w:rsid w:val="00FF6125"/>
    <w:rsid w:val="00FF6175"/>
    <w:rsid w:val="00FF64A0"/>
    <w:rsid w:val="00FF6F23"/>
    <w:rsid w:val="00FF71C7"/>
    <w:rsid w:val="00FF76F6"/>
    <w:rsid w:val="039E1793"/>
    <w:rsid w:val="0CA5C447"/>
    <w:rsid w:val="0D56E52A"/>
    <w:rsid w:val="124A30B6"/>
    <w:rsid w:val="1AE04C87"/>
    <w:rsid w:val="1CACFC3F"/>
    <w:rsid w:val="21F1C2F0"/>
    <w:rsid w:val="26AABA5D"/>
    <w:rsid w:val="2711C548"/>
    <w:rsid w:val="2716DCD8"/>
    <w:rsid w:val="2F067F0D"/>
    <w:rsid w:val="3C9CA78C"/>
    <w:rsid w:val="3DE9286A"/>
    <w:rsid w:val="490B4CD2"/>
    <w:rsid w:val="4A4EE42D"/>
    <w:rsid w:val="4BF798E4"/>
    <w:rsid w:val="4E8533CD"/>
    <w:rsid w:val="4FF791A4"/>
    <w:rsid w:val="50B92322"/>
    <w:rsid w:val="51898C01"/>
    <w:rsid w:val="51CF9292"/>
    <w:rsid w:val="5901A478"/>
    <w:rsid w:val="59D604D3"/>
    <w:rsid w:val="5E3ED17F"/>
    <w:rsid w:val="63FAA0B7"/>
    <w:rsid w:val="65D449B2"/>
    <w:rsid w:val="687D1031"/>
    <w:rsid w:val="68E272FB"/>
    <w:rsid w:val="6A1BDF1C"/>
    <w:rsid w:val="771E6A78"/>
    <w:rsid w:val="78FF54F1"/>
    <w:rsid w:val="7BC48845"/>
    <w:rsid w:val="7F50CF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4E0983"/>
  <w15:docId w15:val="{D44C7CB4-C21B-4BAD-BCB3-7FE1B6E9DF7A}"/>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kern w:val="3"/>
        <w:sz w:val="26"/>
        <w:szCs w:val="26"/>
        <w:lang w:val="en-US" w:eastAsia="en-US"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533B"/>
    <w:pPr>
      <w:suppressAutoHyphens/>
    </w:pPr>
  </w:style>
  <w:style w:type="paragraph" w:styleId="Heading1">
    <w:name w:val="heading 1"/>
    <w:basedOn w:val="Textbody"/>
    <w:next w:val="Textbody"/>
    <w:autoRedefine/>
    <w:qFormat/>
    <w:rsid w:val="00A5477E"/>
    <w:pPr>
      <w:keepNext/>
      <w:keepLines/>
      <w:numPr>
        <w:numId w:val="1"/>
      </w:numPr>
      <w:spacing w:before="120" w:after="120" w:line="240" w:lineRule="auto"/>
      <w:ind w:right="720"/>
      <w:outlineLvl w:val="0"/>
    </w:pPr>
    <w:rPr>
      <w:b/>
      <w:caps/>
    </w:rPr>
  </w:style>
  <w:style w:type="paragraph" w:styleId="Heading2">
    <w:name w:val="heading 2"/>
    <w:basedOn w:val="Textbody"/>
    <w:next w:val="Textbody"/>
    <w:autoRedefine/>
    <w:unhideWhenUsed/>
    <w:qFormat/>
    <w:rsid w:val="004A360C"/>
    <w:pPr>
      <w:keepNext/>
      <w:numPr>
        <w:ilvl w:val="1"/>
        <w:numId w:val="1"/>
      </w:numPr>
      <w:tabs>
        <w:tab w:val="clear" w:pos="5040"/>
      </w:tabs>
      <w:spacing w:before="120" w:after="120" w:line="240" w:lineRule="auto"/>
      <w:ind w:left="1440" w:right="1440"/>
      <w:outlineLvl w:val="1"/>
    </w:pPr>
    <w:rPr>
      <w:b/>
    </w:rPr>
  </w:style>
  <w:style w:type="paragraph" w:styleId="Heading3">
    <w:name w:val="heading 3"/>
    <w:basedOn w:val="Textbody"/>
    <w:next w:val="Textbody"/>
    <w:unhideWhenUsed/>
    <w:qFormat/>
    <w:pPr>
      <w:keepNext/>
      <w:numPr>
        <w:ilvl w:val="2"/>
        <w:numId w:val="1"/>
      </w:numPr>
      <w:spacing w:before="120" w:after="120" w:line="240" w:lineRule="auto"/>
      <w:ind w:right="1440"/>
      <w:outlineLvl w:val="2"/>
    </w:pPr>
    <w:rPr>
      <w:b/>
    </w:rPr>
  </w:style>
  <w:style w:type="paragraph" w:styleId="Heading4">
    <w:name w:val="heading 4"/>
    <w:basedOn w:val="Textbody"/>
    <w:next w:val="Textbody"/>
    <w:link w:val="Heading4Char"/>
    <w:unhideWhenUsed/>
    <w:qFormat/>
    <w:pPr>
      <w:keepNext/>
      <w:numPr>
        <w:ilvl w:val="3"/>
        <w:numId w:val="1"/>
      </w:numPr>
      <w:spacing w:line="240" w:lineRule="auto"/>
      <w:ind w:right="1440"/>
      <w:outlineLvl w:val="3"/>
    </w:pPr>
    <w:rPr>
      <w:b/>
    </w:rPr>
  </w:style>
  <w:style w:type="paragraph" w:styleId="Heading5">
    <w:name w:val="heading 5"/>
    <w:basedOn w:val="Standard"/>
    <w:next w:val="Standard"/>
    <w:unhideWhenUsed/>
    <w:qFormat/>
    <w:pPr>
      <w:numPr>
        <w:ilvl w:val="4"/>
        <w:numId w:val="1"/>
      </w:numPr>
      <w:spacing w:before="120" w:after="120"/>
      <w:outlineLvl w:val="4"/>
    </w:pPr>
    <w:rPr>
      <w:b/>
    </w:rPr>
  </w:style>
  <w:style w:type="paragraph" w:styleId="Heading6">
    <w:name w:val="heading 6"/>
    <w:basedOn w:val="Standard"/>
    <w:next w:val="Standard"/>
    <w:unhideWhenUsed/>
    <w:qFormat/>
    <w:pPr>
      <w:numPr>
        <w:ilvl w:val="5"/>
        <w:numId w:val="1"/>
      </w:numPr>
      <w:spacing w:before="240" w:after="60"/>
      <w:outlineLvl w:val="5"/>
    </w:pPr>
    <w:rPr>
      <w:b/>
    </w:rPr>
  </w:style>
  <w:style w:type="paragraph" w:styleId="Heading7">
    <w:name w:val="heading 7"/>
    <w:basedOn w:val="Standard"/>
    <w:next w:val="Standard"/>
    <w:autoRedefine/>
    <w:qFormat/>
    <w:pPr>
      <w:numPr>
        <w:ilvl w:val="6"/>
        <w:numId w:val="1"/>
      </w:numPr>
      <w:spacing w:before="240" w:after="60"/>
      <w:outlineLvl w:val="6"/>
    </w:pPr>
    <w:rPr>
      <w:b/>
    </w:rPr>
  </w:style>
  <w:style w:type="paragraph" w:styleId="Heading8">
    <w:name w:val="heading 8"/>
    <w:basedOn w:val="Standard"/>
    <w:next w:val="Standard"/>
    <w:autoRedefine/>
    <w:qFormat/>
    <w:pPr>
      <w:numPr>
        <w:ilvl w:val="7"/>
        <w:numId w:val="1"/>
      </w:numPr>
      <w:spacing w:before="240" w:after="60"/>
      <w:outlineLvl w:val="7"/>
    </w:pPr>
    <w:rPr>
      <w:b/>
    </w:rPr>
  </w:style>
  <w:style w:type="paragraph" w:styleId="Heading9">
    <w:name w:val="heading 9"/>
    <w:basedOn w:val="Standard"/>
    <w:next w:val="Standard"/>
    <w:autoRedefine/>
    <w:qFormat/>
    <w:pPr>
      <w:numPr>
        <w:ilvl w:val="8"/>
        <w:numId w:val="1"/>
      </w:numPr>
      <w:spacing w:before="240" w:after="60"/>
      <w:outlineLvl w:val="8"/>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2">
    <w:name w:val="WW_OutlineListStyle_2"/>
    <w:basedOn w:val="NoList"/>
    <w:pPr>
      <w:numPr>
        <w:numId w:val="1"/>
      </w:numPr>
    </w:pPr>
  </w:style>
  <w:style w:type="paragraph" w:customStyle="1" w:styleId="Standard">
    <w:name w:val="Standard"/>
    <w:qFormat/>
    <w:pPr>
      <w:widowControl/>
      <w:tabs>
        <w:tab w:val="right" w:pos="5040"/>
      </w:tabs>
      <w:suppressAutoHyphens/>
    </w:pPr>
  </w:style>
  <w:style w:type="paragraph" w:customStyle="1" w:styleId="Heading">
    <w:name w:val="Heading"/>
    <w:basedOn w:val="Standard"/>
    <w:next w:val="Textbody"/>
    <w:pPr>
      <w:keepNext/>
      <w:spacing w:before="240" w:after="120"/>
    </w:pPr>
    <w:rPr>
      <w:rFonts w:ascii="Liberation Sans" w:eastAsia="Microsoft YaHei" w:hAnsi="Liberation Sans" w:cs="Lucida Sans"/>
      <w:sz w:val="28"/>
      <w:szCs w:val="28"/>
    </w:rPr>
  </w:style>
  <w:style w:type="paragraph" w:customStyle="1" w:styleId="Textbody">
    <w:name w:val="Text body"/>
    <w:basedOn w:val="Standard"/>
    <w:pPr>
      <w:spacing w:line="360" w:lineRule="auto"/>
      <w:ind w:firstLine="720"/>
    </w:pPr>
  </w:style>
  <w:style w:type="paragraph" w:styleId="List">
    <w:name w:val="List"/>
    <w:basedOn w:val="Textbody"/>
    <w:rPr>
      <w:rFonts w:cs="Lucida Sans"/>
      <w:sz w:val="24"/>
    </w:rPr>
  </w:style>
  <w:style w:type="paragraph" w:styleId="Caption">
    <w:name w:val="caption"/>
    <w:basedOn w:val="Textbody"/>
    <w:pPr>
      <w:tabs>
        <w:tab w:val="left" w:pos="4320"/>
        <w:tab w:val="left" w:pos="5040"/>
      </w:tabs>
      <w:spacing w:line="240" w:lineRule="auto"/>
      <w:ind w:firstLine="0"/>
    </w:pPr>
  </w:style>
  <w:style w:type="paragraph" w:customStyle="1" w:styleId="Index">
    <w:name w:val="Index"/>
    <w:basedOn w:val="Standard"/>
    <w:pPr>
      <w:suppressLineNumbers/>
    </w:pPr>
    <w:rPr>
      <w:rFonts w:cs="Lucida Sans"/>
      <w:sz w:val="24"/>
    </w:rPr>
  </w:style>
  <w:style w:type="paragraph" w:styleId="FootnoteText">
    <w:name w:val="footnote text"/>
    <w:aliases w:val="Footnote text 12 pt,Footnote Text Char2 Char,Footnote Text Char Char Char,Footnote Text Char2 Char Char Char,Footnote Text Char Char Char Char Char,Footnote Text Char2 Char Char Char Char1 Char,Footnote Text Char2,Footnote Text Char Char"/>
    <w:basedOn w:val="Standard"/>
    <w:pPr>
      <w:widowControl w:val="0"/>
      <w:spacing w:after="120" w:line="240" w:lineRule="exact"/>
    </w:pPr>
    <w:rPr>
      <w:sz w:val="22"/>
    </w:rPr>
  </w:style>
  <w:style w:type="paragraph" w:styleId="Footer">
    <w:name w:val="footer"/>
    <w:basedOn w:val="Standard"/>
    <w:uiPriority w:val="99"/>
    <w:pPr>
      <w:tabs>
        <w:tab w:val="clear" w:pos="5040"/>
        <w:tab w:val="center" w:pos="4320"/>
        <w:tab w:val="right" w:pos="8640"/>
      </w:tabs>
    </w:pPr>
  </w:style>
  <w:style w:type="paragraph" w:customStyle="1" w:styleId="Contents1">
    <w:name w:val="Contents 1"/>
    <w:basedOn w:val="Standard"/>
    <w:next w:val="Standard"/>
    <w:autoRedefine/>
    <w:pPr>
      <w:keepNext/>
      <w:tabs>
        <w:tab w:val="clear" w:pos="5040"/>
        <w:tab w:val="right" w:leader="dot" w:pos="9360"/>
      </w:tabs>
      <w:spacing w:before="120" w:after="120"/>
      <w:ind w:left="720" w:right="1440" w:hanging="720"/>
    </w:pPr>
    <w:rPr>
      <w:caps/>
      <w:sz w:val="24"/>
    </w:rPr>
  </w:style>
  <w:style w:type="paragraph" w:customStyle="1" w:styleId="Contents2">
    <w:name w:val="Contents 2"/>
    <w:basedOn w:val="Standard"/>
    <w:next w:val="Standard"/>
    <w:autoRedefine/>
    <w:pPr>
      <w:tabs>
        <w:tab w:val="clear" w:pos="5040"/>
        <w:tab w:val="right" w:leader="dot" w:pos="9360"/>
      </w:tabs>
      <w:spacing w:after="120"/>
      <w:ind w:left="720" w:right="1440" w:hanging="288"/>
    </w:pPr>
    <w:rPr>
      <w:smallCaps/>
      <w:sz w:val="24"/>
    </w:rPr>
  </w:style>
  <w:style w:type="paragraph" w:customStyle="1" w:styleId="Contents3">
    <w:name w:val="Contents 3"/>
    <w:basedOn w:val="Standard"/>
    <w:next w:val="Standard"/>
    <w:autoRedefine/>
    <w:pPr>
      <w:tabs>
        <w:tab w:val="clear" w:pos="5040"/>
        <w:tab w:val="right" w:leader="dot" w:pos="9749"/>
      </w:tabs>
      <w:spacing w:after="120"/>
      <w:ind w:left="1109" w:right="1440" w:hanging="245"/>
    </w:pPr>
    <w:rPr>
      <w:sz w:val="24"/>
    </w:rPr>
  </w:style>
  <w:style w:type="paragraph" w:customStyle="1" w:styleId="Contents4">
    <w:name w:val="Contents 4"/>
    <w:basedOn w:val="Standard"/>
    <w:next w:val="Standard"/>
    <w:autoRedefine/>
    <w:pPr>
      <w:widowControl w:val="0"/>
      <w:tabs>
        <w:tab w:val="clear" w:pos="5040"/>
        <w:tab w:val="right" w:leader="dot" w:pos="10267"/>
      </w:tabs>
      <w:spacing w:after="120"/>
      <w:ind w:left="1627" w:right="1440" w:hanging="360"/>
    </w:pPr>
    <w:rPr>
      <w:sz w:val="24"/>
    </w:rPr>
  </w:style>
  <w:style w:type="paragraph" w:customStyle="1" w:styleId="Contents5">
    <w:name w:val="Contents 5"/>
    <w:basedOn w:val="Standard"/>
    <w:next w:val="Standard"/>
    <w:autoRedefine/>
    <w:pPr>
      <w:tabs>
        <w:tab w:val="clear" w:pos="5040"/>
        <w:tab w:val="right" w:leader="dot" w:pos="10620"/>
      </w:tabs>
      <w:spacing w:after="120"/>
      <w:ind w:left="1980" w:right="1440" w:hanging="360"/>
    </w:pPr>
    <w:rPr>
      <w:sz w:val="24"/>
    </w:rPr>
  </w:style>
  <w:style w:type="paragraph" w:customStyle="1" w:styleId="Contents6">
    <w:name w:val="Contents 6"/>
    <w:basedOn w:val="Standard"/>
    <w:next w:val="Standard"/>
    <w:autoRedefine/>
    <w:pPr>
      <w:tabs>
        <w:tab w:val="clear" w:pos="5040"/>
        <w:tab w:val="right" w:leader="dot" w:pos="10973"/>
      </w:tabs>
      <w:spacing w:after="120"/>
      <w:ind w:left="2333" w:right="1440" w:hanging="331"/>
    </w:pPr>
    <w:rPr>
      <w:sz w:val="24"/>
    </w:rPr>
  </w:style>
  <w:style w:type="paragraph" w:customStyle="1" w:styleId="Contents7">
    <w:name w:val="Contents 7"/>
    <w:basedOn w:val="Standard"/>
    <w:next w:val="Standard"/>
    <w:autoRedefine/>
    <w:pPr>
      <w:tabs>
        <w:tab w:val="clear" w:pos="5040"/>
        <w:tab w:val="right" w:leader="dot" w:pos="11347"/>
      </w:tabs>
      <w:spacing w:after="120"/>
      <w:ind w:left="2707" w:right="1440" w:hanging="360"/>
    </w:pPr>
    <w:rPr>
      <w:sz w:val="24"/>
    </w:rPr>
  </w:style>
  <w:style w:type="paragraph" w:customStyle="1" w:styleId="Contents8">
    <w:name w:val="Contents 8"/>
    <w:basedOn w:val="Standard"/>
    <w:next w:val="Standard"/>
    <w:autoRedefine/>
    <w:pPr>
      <w:tabs>
        <w:tab w:val="clear" w:pos="5040"/>
        <w:tab w:val="right" w:leader="dot" w:pos="11707"/>
      </w:tabs>
      <w:spacing w:after="120"/>
      <w:ind w:left="3067" w:right="1440" w:hanging="360"/>
    </w:pPr>
    <w:rPr>
      <w:sz w:val="24"/>
    </w:rPr>
  </w:style>
  <w:style w:type="paragraph" w:customStyle="1" w:styleId="Contents9">
    <w:name w:val="Contents 9"/>
    <w:basedOn w:val="Standard"/>
    <w:next w:val="Standard"/>
    <w:autoRedefine/>
    <w:pPr>
      <w:tabs>
        <w:tab w:val="clear" w:pos="5040"/>
        <w:tab w:val="right" w:leader="dot" w:pos="12067"/>
      </w:tabs>
      <w:spacing w:after="120"/>
      <w:ind w:left="3427" w:right="1440" w:hanging="360"/>
    </w:pPr>
    <w:rPr>
      <w:sz w:val="24"/>
    </w:rPr>
  </w:style>
  <w:style w:type="paragraph" w:customStyle="1" w:styleId="Quotation">
    <w:name w:val="Quotation"/>
    <w:basedOn w:val="Textbody"/>
    <w:next w:val="Textbody"/>
    <w:pPr>
      <w:spacing w:after="120" w:line="240" w:lineRule="auto"/>
      <w:ind w:left="1440" w:right="1440" w:firstLine="0"/>
    </w:pPr>
  </w:style>
  <w:style w:type="paragraph" w:customStyle="1" w:styleId="sub4">
    <w:name w:val="sub4"/>
    <w:basedOn w:val="Standard"/>
    <w:pPr>
      <w:tabs>
        <w:tab w:val="clear" w:pos="5040"/>
      </w:tabs>
      <w:ind w:firstLine="3600"/>
    </w:pPr>
    <w:rPr>
      <w:rFonts w:ascii="Palatino" w:eastAsia="Palatino" w:hAnsi="Palatino" w:cs="Palatino"/>
    </w:rPr>
  </w:style>
  <w:style w:type="paragraph" w:styleId="TOAHeading">
    <w:name w:val="toa heading"/>
    <w:basedOn w:val="Standard"/>
    <w:next w:val="Standard"/>
    <w:pPr>
      <w:spacing w:before="240" w:after="120"/>
    </w:pPr>
    <w:rPr>
      <w:b/>
      <w:smallCaps/>
    </w:rPr>
  </w:style>
  <w:style w:type="paragraph" w:customStyle="1" w:styleId="BriefHeading">
    <w:name w:val="Brief Heading"/>
    <w:basedOn w:val="Standard"/>
    <w:pPr>
      <w:jc w:val="center"/>
    </w:pPr>
    <w:rPr>
      <w:smallCaps/>
      <w:sz w:val="28"/>
    </w:rPr>
  </w:style>
  <w:style w:type="paragraph" w:styleId="Header">
    <w:name w:val="header"/>
    <w:basedOn w:val="Standard"/>
    <w:link w:val="HeaderChar"/>
    <w:uiPriority w:val="99"/>
    <w:pPr>
      <w:tabs>
        <w:tab w:val="clear" w:pos="5040"/>
        <w:tab w:val="center" w:pos="4320"/>
        <w:tab w:val="right" w:pos="8640"/>
      </w:tabs>
    </w:pPr>
  </w:style>
  <w:style w:type="paragraph" w:customStyle="1" w:styleId="BriefTitle">
    <w:name w:val="Brief Title"/>
    <w:basedOn w:val="Standard"/>
    <w:pPr>
      <w:jc w:val="center"/>
    </w:pPr>
    <w:rPr>
      <w:b/>
      <w:caps/>
    </w:rPr>
  </w:style>
  <w:style w:type="paragraph" w:customStyle="1" w:styleId="BodyText10">
    <w:name w:val="Body Text 10"/>
    <w:basedOn w:val="Textbody"/>
    <w:pPr>
      <w:overflowPunct w:val="0"/>
      <w:ind w:firstLine="1296"/>
      <w:textAlignment w:val="auto"/>
    </w:pPr>
  </w:style>
  <w:style w:type="paragraph" w:customStyle="1" w:styleId="BodyText6">
    <w:name w:val="Body Text 6"/>
    <w:basedOn w:val="Textbody"/>
    <w:autoRedefine/>
    <w:pPr>
      <w:tabs>
        <w:tab w:val="clear" w:pos="5040"/>
        <w:tab w:val="left" w:pos="4320"/>
      </w:tabs>
      <w:overflowPunct w:val="0"/>
      <w:ind w:left="2160" w:firstLine="0"/>
      <w:textAlignment w:val="auto"/>
    </w:pPr>
    <w:rPr>
      <w:b/>
      <w:color w:val="FF0000"/>
    </w:rPr>
  </w:style>
  <w:style w:type="paragraph" w:styleId="CommentText">
    <w:name w:val="annotation text"/>
    <w:basedOn w:val="Standard"/>
    <w:uiPriority w:val="99"/>
    <w:rPr>
      <w:sz w:val="20"/>
    </w:rPr>
  </w:style>
  <w:style w:type="paragraph" w:styleId="BalloonText">
    <w:name w:val="Balloon Text"/>
    <w:basedOn w:val="Standard"/>
    <w:rPr>
      <w:rFonts w:ascii="Tahoma" w:eastAsia="Tahoma" w:hAnsi="Tahoma" w:cs="Tahoma"/>
      <w:sz w:val="16"/>
      <w:szCs w:val="16"/>
    </w:rPr>
  </w:style>
  <w:style w:type="paragraph" w:customStyle="1" w:styleId="standard0">
    <w:name w:val="standard"/>
    <w:basedOn w:val="Standard"/>
    <w:pPr>
      <w:tabs>
        <w:tab w:val="clear" w:pos="5040"/>
      </w:tabs>
      <w:spacing w:line="360" w:lineRule="auto"/>
      <w:ind w:firstLine="720"/>
    </w:pPr>
    <w:rPr>
      <w:rFonts w:ascii="Palatino" w:eastAsia="Palatino" w:hAnsi="Palatino" w:cs="Palatino"/>
    </w:rPr>
  </w:style>
  <w:style w:type="paragraph" w:styleId="CommentSubject">
    <w:name w:val="annotation subject"/>
    <w:basedOn w:val="CommentText"/>
    <w:rPr>
      <w:b/>
      <w:bCs/>
    </w:rPr>
  </w:style>
  <w:style w:type="paragraph" w:customStyle="1" w:styleId="Default">
    <w:name w:val="Default"/>
    <w:pPr>
      <w:widowControl/>
      <w:suppressAutoHyphens/>
    </w:pPr>
    <w:rPr>
      <w:rFonts w:ascii="Book Antiqua" w:eastAsia="Book Antiqua" w:hAnsi="Book Antiqua" w:cs="Book Antiqua"/>
      <w:color w:val="000000"/>
    </w:rPr>
  </w:style>
  <w:style w:type="paragraph" w:customStyle="1" w:styleId="Textbodyindent">
    <w:name w:val="Text body indent"/>
    <w:basedOn w:val="Standard"/>
    <w:pPr>
      <w:spacing w:after="120"/>
      <w:ind w:left="360"/>
    </w:pPr>
  </w:style>
  <w:style w:type="paragraph" w:styleId="DocumentMap">
    <w:name w:val="Document Map"/>
    <w:basedOn w:val="Standard"/>
    <w:pPr>
      <w:shd w:val="clear" w:color="auto" w:fill="000080"/>
    </w:pPr>
    <w:rPr>
      <w:rFonts w:ascii="Tahoma" w:eastAsia="Tahoma" w:hAnsi="Tahoma" w:cs="Tahoma"/>
      <w:sz w:val="20"/>
    </w:rPr>
  </w:style>
  <w:style w:type="paragraph" w:customStyle="1" w:styleId="NormalPalatinoLinotype">
    <w:name w:val="Normal + Palatino Linotype"/>
    <w:basedOn w:val="Standard"/>
    <w:pPr>
      <w:tabs>
        <w:tab w:val="clear" w:pos="5040"/>
      </w:tabs>
      <w:overflowPunct w:val="0"/>
      <w:jc w:val="both"/>
      <w:textAlignment w:val="auto"/>
    </w:pPr>
    <w:rPr>
      <w:rFonts w:ascii="Palatino Linotype" w:eastAsia="Palatino Linotype" w:hAnsi="Palatino Linotype" w:cs="Palatino Linotype"/>
      <w:sz w:val="24"/>
    </w:rPr>
  </w:style>
  <w:style w:type="paragraph" w:styleId="NormalWeb">
    <w:name w:val="Normal (Web)"/>
    <w:basedOn w:val="Standard"/>
    <w:pPr>
      <w:tabs>
        <w:tab w:val="clear" w:pos="5040"/>
      </w:tabs>
      <w:overflowPunct w:val="0"/>
      <w:spacing w:before="280" w:after="280"/>
      <w:ind w:firstLine="300"/>
      <w:textAlignment w:val="auto"/>
    </w:pPr>
    <w:rPr>
      <w:sz w:val="24"/>
    </w:rPr>
  </w:style>
  <w:style w:type="paragraph" w:customStyle="1" w:styleId="part">
    <w:name w:val="part"/>
    <w:basedOn w:val="Standard"/>
    <w:pPr>
      <w:tabs>
        <w:tab w:val="clear" w:pos="5040"/>
      </w:tabs>
      <w:overflowPunct w:val="0"/>
      <w:spacing w:before="280" w:after="280"/>
      <w:textAlignment w:val="auto"/>
    </w:pPr>
    <w:rPr>
      <w:b/>
      <w:bCs/>
      <w:sz w:val="24"/>
    </w:rPr>
  </w:style>
  <w:style w:type="paragraph" w:styleId="EndnoteText">
    <w:name w:val="endnote text"/>
    <w:basedOn w:val="Standard"/>
    <w:rPr>
      <w:sz w:val="20"/>
    </w:rPr>
  </w:style>
  <w:style w:type="paragraph" w:styleId="HTMLPreformatted">
    <w:name w:val="HTML Preformatted"/>
    <w:basedOn w:val="Standard"/>
    <w:pPr>
      <w:tabs>
        <w:tab w:val="clear" w:pos="50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textAlignment w:val="auto"/>
    </w:pPr>
    <w:rPr>
      <w:rFonts w:ascii="Courier New" w:eastAsia="Courier New" w:hAnsi="Courier New" w:cs="Courier New"/>
      <w:sz w:val="20"/>
    </w:rPr>
  </w:style>
  <w:style w:type="paragraph" w:customStyle="1" w:styleId="main">
    <w:name w:val="main"/>
    <w:basedOn w:val="Standard"/>
    <w:pPr>
      <w:tabs>
        <w:tab w:val="clear" w:pos="5040"/>
      </w:tabs>
      <w:overflowPunct w:val="0"/>
      <w:jc w:val="center"/>
      <w:textAlignment w:val="auto"/>
    </w:pPr>
    <w:rPr>
      <w:rFonts w:ascii="Helvetica" w:eastAsia="Helvetica" w:hAnsi="Helvetica" w:cs="Helvetica"/>
      <w:b/>
    </w:rPr>
  </w:style>
  <w:style w:type="paragraph" w:styleId="ListParagraph">
    <w:name w:val="List Paragraph"/>
    <w:basedOn w:val="Standard"/>
    <w:uiPriority w:val="34"/>
    <w:qFormat/>
    <w:pPr>
      <w:ind w:left="720"/>
    </w:pPr>
  </w:style>
  <w:style w:type="paragraph" w:customStyle="1" w:styleId="Footnote">
    <w:name w:val="Footnote"/>
    <w:basedOn w:val="Standard"/>
  </w:style>
  <w:style w:type="character" w:styleId="FootnoteReference">
    <w:name w:val="footnote reference"/>
    <w:aliases w:val="o,fr,Style 3,o1,o2,o3,o4,o5,o6,o11,o21,o7,Style 8,Style 17,o + Times New Roman,Style 58,Style 12,(NECG) Footnote Reference,Appel note de bas de p,Style 124,Style 20,Style 13,fr1,fr2,fr3,Footnote Reference1"/>
    <w:qFormat/>
    <w:rPr>
      <w:rFonts w:ascii="Times New Roman" w:eastAsia="Times New Roman" w:hAnsi="Times New Roman" w:cs="Times New Roman"/>
      <w:b/>
      <w:position w:val="0"/>
      <w:sz w:val="28"/>
      <w:u w:val="single"/>
      <w:vertAlign w:val="superscript"/>
    </w:rPr>
  </w:style>
  <w:style w:type="character" w:customStyle="1" w:styleId="QuotationChar1">
    <w:name w:val="Quotation Char1"/>
    <w:rPr>
      <w:sz w:val="26"/>
      <w:lang w:val="en-US" w:eastAsia="en-US" w:bidi="ar-SA"/>
    </w:rPr>
  </w:style>
  <w:style w:type="character" w:styleId="CommentReference">
    <w:name w:val="annotation reference"/>
    <w:uiPriority w:val="99"/>
    <w:rPr>
      <w:sz w:val="16"/>
      <w:szCs w:val="16"/>
    </w:rPr>
  </w:style>
  <w:style w:type="character" w:customStyle="1" w:styleId="BodyTextChar1">
    <w:name w:val="Body Text Char1"/>
    <w:rPr>
      <w:sz w:val="26"/>
      <w:lang w:val="en-US" w:eastAsia="en-US" w:bidi="ar-SA"/>
    </w:rPr>
  </w:style>
  <w:style w:type="character" w:customStyle="1" w:styleId="BodyText10Char">
    <w:name w:val="Body Text 10 Char"/>
    <w:rPr>
      <w:sz w:val="26"/>
      <w:lang w:val="en-US" w:eastAsia="en-US" w:bidi="ar-SA"/>
    </w:rPr>
  </w:style>
  <w:style w:type="character" w:customStyle="1" w:styleId="FootnoteTextChar">
    <w:name w:val="Footnote Text Char"/>
    <w:aliases w:val="Footnote text 12 pt Char,Footnote Text Char2 Char Char,Footnote Text Char Char Char Char,Footnote Text Char2 Char Char Char Char,Footnote Text Char Char Char Char Char Char,Footnote Text Char2 Char Char Char Char1 Char Char"/>
    <w:rPr>
      <w:sz w:val="22"/>
      <w:lang w:val="en-US" w:eastAsia="en-US" w:bidi="ar-SA"/>
    </w:rPr>
  </w:style>
  <w:style w:type="character" w:customStyle="1" w:styleId="standardChar">
    <w:name w:val="standard Char"/>
    <w:rPr>
      <w:rFonts w:ascii="Palatino" w:eastAsia="Palatino" w:hAnsi="Palatino" w:cs="Palatino"/>
      <w:sz w:val="26"/>
      <w:lang w:val="en-US" w:eastAsia="en-US" w:bidi="ar-SA"/>
    </w:rPr>
  </w:style>
  <w:style w:type="character" w:customStyle="1" w:styleId="term1">
    <w:name w:val="term1"/>
    <w:rPr>
      <w:b/>
      <w:bCs/>
    </w:rPr>
  </w:style>
  <w:style w:type="character" w:customStyle="1" w:styleId="Internetlink">
    <w:name w:val="Internet link"/>
    <w:rPr>
      <w:color w:val="0000FF"/>
      <w:u w:val="single"/>
    </w:rPr>
  </w:style>
  <w:style w:type="character" w:customStyle="1" w:styleId="pmterms11">
    <w:name w:val="pmterms11"/>
    <w:rPr>
      <w:b/>
      <w:bCs/>
      <w:i w:val="0"/>
      <w:iCs w:val="0"/>
      <w:color w:val="000000"/>
    </w:rPr>
  </w:style>
  <w:style w:type="character" w:styleId="PageNumber">
    <w:name w:val="page number"/>
    <w:basedOn w:val="DefaultParagraphFont"/>
  </w:style>
  <w:style w:type="character" w:customStyle="1" w:styleId="BodyTextChar">
    <w:name w:val="Body Text Char"/>
    <w:rPr>
      <w:sz w:val="26"/>
      <w:lang w:val="en-US" w:eastAsia="en-US" w:bidi="ar-SA"/>
    </w:rPr>
  </w:style>
  <w:style w:type="character" w:customStyle="1" w:styleId="Heading2Char">
    <w:name w:val="Heading 2 Char"/>
    <w:rPr>
      <w:b/>
      <w:sz w:val="26"/>
    </w:rPr>
  </w:style>
  <w:style w:type="character" w:customStyle="1" w:styleId="BodyTextIndentChar">
    <w:name w:val="Body Text Indent Char"/>
    <w:rPr>
      <w:sz w:val="26"/>
    </w:rPr>
  </w:style>
  <w:style w:type="character" w:customStyle="1" w:styleId="DocumentMapChar">
    <w:name w:val="Document Map Char"/>
    <w:rPr>
      <w:rFonts w:ascii="Tahoma" w:eastAsia="Tahoma" w:hAnsi="Tahoma" w:cs="Tahoma"/>
      <w:shd w:val="clear" w:color="auto" w:fill="000080"/>
    </w:rPr>
  </w:style>
  <w:style w:type="character" w:customStyle="1" w:styleId="pmterms31">
    <w:name w:val="pmterms31"/>
    <w:rPr>
      <w:b/>
      <w:bCs/>
      <w:i w:val="0"/>
      <w:iCs w:val="0"/>
      <w:color w:val="000000"/>
    </w:rPr>
  </w:style>
  <w:style w:type="character" w:styleId="Emphasis">
    <w:name w:val="Emphasis"/>
    <w:uiPriority w:val="20"/>
    <w:qFormat/>
    <w:rPr>
      <w:i/>
      <w:iCs/>
    </w:rPr>
  </w:style>
  <w:style w:type="character" w:customStyle="1" w:styleId="NormalPalatinoLinotypeChar">
    <w:name w:val="Normal + Palatino Linotype Char"/>
    <w:rPr>
      <w:rFonts w:ascii="Palatino Linotype" w:eastAsia="Palatino Linotype" w:hAnsi="Palatino Linotype" w:cs="Palatino Linotype"/>
      <w:sz w:val="24"/>
      <w:szCs w:val="24"/>
    </w:rPr>
  </w:style>
  <w:style w:type="character" w:customStyle="1" w:styleId="enumbell1">
    <w:name w:val="enumbell1"/>
    <w:rPr>
      <w:b/>
      <w:bCs/>
    </w:rPr>
  </w:style>
  <w:style w:type="character" w:customStyle="1" w:styleId="ptext-18">
    <w:name w:val="ptext-18"/>
    <w:basedOn w:val="DefaultParagraphFont"/>
  </w:style>
  <w:style w:type="character" w:customStyle="1" w:styleId="div5head">
    <w:name w:val="div5head"/>
    <w:basedOn w:val="DefaultParagraphFont"/>
  </w:style>
  <w:style w:type="character" w:customStyle="1" w:styleId="EndnoteTextChar">
    <w:name w:val="Endnote Text Char"/>
    <w:basedOn w:val="DefaultParagraphFont"/>
  </w:style>
  <w:style w:type="character" w:styleId="EndnoteReference">
    <w:name w:val="endnote reference"/>
    <w:rPr>
      <w:position w:val="0"/>
      <w:vertAlign w:val="superscript"/>
    </w:rPr>
  </w:style>
  <w:style w:type="character" w:customStyle="1" w:styleId="HTMLPreformattedChar">
    <w:name w:val="HTML Preformatted Char"/>
    <w:rPr>
      <w:rFonts w:ascii="Courier New" w:eastAsia="Courier New" w:hAnsi="Courier New" w:cs="Courier New"/>
    </w:rPr>
  </w:style>
  <w:style w:type="character" w:customStyle="1" w:styleId="ColorfulGrid-Accent1Char">
    <w:name w:val="Colorful Grid - Accent 1 Char"/>
    <w:rPr>
      <w:i/>
      <w:iCs/>
      <w:color w:val="000000"/>
      <w:sz w:val="26"/>
    </w:rPr>
  </w:style>
  <w:style w:type="character" w:customStyle="1" w:styleId="Heading3Char">
    <w:name w:val="Heading 3 Char"/>
    <w:uiPriority w:val="9"/>
    <w:rPr>
      <w:b/>
      <w:sz w:val="26"/>
    </w:rPr>
  </w:style>
  <w:style w:type="character" w:customStyle="1" w:styleId="CommentTextChar">
    <w:name w:val="Comment Text Char"/>
    <w:uiPriority w:val="99"/>
  </w:style>
  <w:style w:type="character" w:customStyle="1" w:styleId="FooterChar">
    <w:name w:val="Footer Char"/>
    <w:basedOn w:val="DefaultParagraphFont"/>
    <w:uiPriority w:val="99"/>
    <w:rPr>
      <w:sz w:val="26"/>
    </w:rPr>
  </w:style>
  <w:style w:type="character" w:customStyle="1" w:styleId="ListLabel1">
    <w:name w:val="ListLabel 1"/>
    <w:rPr>
      <w:rFonts w:cs="Courier New"/>
    </w:rPr>
  </w:style>
  <w:style w:type="character" w:customStyle="1" w:styleId="ListLabel2">
    <w:name w:val="ListLabel 2"/>
    <w:rPr>
      <w:rFonts w:cs="Courier New"/>
    </w:rPr>
  </w:style>
  <w:style w:type="character" w:customStyle="1" w:styleId="ListLabel3">
    <w:name w:val="ListLabel 3"/>
    <w:rPr>
      <w:rFonts w:cs="Courier New"/>
    </w:rPr>
  </w:style>
  <w:style w:type="character" w:customStyle="1" w:styleId="ListLabel4">
    <w:name w:val="ListLabel 4"/>
    <w:rPr>
      <w:rFonts w:cs="Courier New"/>
    </w:rPr>
  </w:style>
  <w:style w:type="character" w:customStyle="1" w:styleId="ListLabel5">
    <w:name w:val="ListLabel 5"/>
    <w:rPr>
      <w:rFonts w:cs="Courier New"/>
    </w:rPr>
  </w:style>
  <w:style w:type="character" w:customStyle="1" w:styleId="ListLabel6">
    <w:name w:val="ListLabel 6"/>
    <w:rPr>
      <w:rFonts w:cs="Courier New"/>
    </w:rPr>
  </w:style>
  <w:style w:type="character" w:customStyle="1" w:styleId="FootnoteSymbol">
    <w:name w:val="Footnote Symbol"/>
  </w:style>
  <w:style w:type="character" w:customStyle="1" w:styleId="Footnoteanchor">
    <w:name w:val="Footnote anchor"/>
    <w:rPr>
      <w:position w:val="0"/>
      <w:vertAlign w:val="superscript"/>
    </w:rPr>
  </w:style>
  <w:style w:type="paragraph" w:styleId="BodyText">
    <w:name w:val="Body Text"/>
    <w:basedOn w:val="Normal"/>
    <w:pPr>
      <w:widowControl/>
      <w:spacing w:after="480"/>
      <w:textAlignment w:val="auto"/>
    </w:pPr>
    <w:rPr>
      <w:szCs w:val="20"/>
      <w:lang w:eastAsia="zh-CN"/>
    </w:rPr>
  </w:style>
  <w:style w:type="character" w:customStyle="1" w:styleId="BodyTextChar2">
    <w:name w:val="Body Text Char2"/>
    <w:basedOn w:val="DefaultParagraphFont"/>
    <w:rPr>
      <w:kern w:val="3"/>
      <w:szCs w:val="20"/>
      <w:lang w:eastAsia="zh-CN"/>
    </w:rPr>
  </w:style>
  <w:style w:type="numbering" w:customStyle="1" w:styleId="WWOutlineListStyle1">
    <w:name w:val="WW_OutlineListStyle_1"/>
    <w:basedOn w:val="NoList"/>
    <w:pPr>
      <w:numPr>
        <w:numId w:val="2"/>
      </w:numPr>
    </w:pPr>
  </w:style>
  <w:style w:type="numbering" w:customStyle="1" w:styleId="WWOutlineListStyle">
    <w:name w:val="WW_OutlineListStyle"/>
    <w:basedOn w:val="NoList"/>
    <w:pPr>
      <w:numPr>
        <w:numId w:val="3"/>
      </w:numPr>
    </w:pPr>
  </w:style>
  <w:style w:type="numbering" w:customStyle="1" w:styleId="Outline">
    <w:name w:val="Outline"/>
    <w:basedOn w:val="NoList"/>
    <w:pPr>
      <w:numPr>
        <w:numId w:val="4"/>
      </w:numPr>
    </w:pPr>
  </w:style>
  <w:style w:type="numbering" w:customStyle="1" w:styleId="NoList1">
    <w:name w:val="No List_1"/>
    <w:basedOn w:val="NoList"/>
    <w:pPr>
      <w:numPr>
        <w:numId w:val="5"/>
      </w:numPr>
    </w:pPr>
  </w:style>
  <w:style w:type="numbering" w:customStyle="1" w:styleId="WWNum1">
    <w:name w:val="WWNum1"/>
    <w:basedOn w:val="NoList"/>
    <w:pPr>
      <w:numPr>
        <w:numId w:val="6"/>
      </w:numPr>
    </w:pPr>
  </w:style>
  <w:style w:type="numbering" w:customStyle="1" w:styleId="WWNum2">
    <w:name w:val="WWNum2"/>
    <w:basedOn w:val="NoList"/>
    <w:pPr>
      <w:numPr>
        <w:numId w:val="7"/>
      </w:numPr>
    </w:pPr>
  </w:style>
  <w:style w:type="numbering" w:customStyle="1" w:styleId="WWNum3">
    <w:name w:val="WWNum3"/>
    <w:basedOn w:val="NoList"/>
    <w:pPr>
      <w:numPr>
        <w:numId w:val="8"/>
      </w:numPr>
    </w:pPr>
  </w:style>
  <w:style w:type="numbering" w:customStyle="1" w:styleId="WWNum4">
    <w:name w:val="WWNum4"/>
    <w:basedOn w:val="NoList"/>
    <w:pPr>
      <w:numPr>
        <w:numId w:val="9"/>
      </w:numPr>
    </w:pPr>
  </w:style>
  <w:style w:type="numbering" w:customStyle="1" w:styleId="WWNum5">
    <w:name w:val="WWNum5"/>
    <w:basedOn w:val="NoList"/>
    <w:pPr>
      <w:numPr>
        <w:numId w:val="10"/>
      </w:numPr>
    </w:pPr>
  </w:style>
  <w:style w:type="numbering" w:customStyle="1" w:styleId="WWNum6">
    <w:name w:val="WWNum6"/>
    <w:basedOn w:val="NoList"/>
    <w:pPr>
      <w:numPr>
        <w:numId w:val="11"/>
      </w:numPr>
    </w:pPr>
  </w:style>
  <w:style w:type="numbering" w:customStyle="1" w:styleId="WWNum7">
    <w:name w:val="WWNum7"/>
    <w:basedOn w:val="NoList"/>
    <w:pPr>
      <w:numPr>
        <w:numId w:val="12"/>
      </w:numPr>
    </w:pPr>
  </w:style>
  <w:style w:type="character" w:customStyle="1" w:styleId="cosearchterm">
    <w:name w:val="co_searchterm"/>
    <w:basedOn w:val="DefaultParagraphFont"/>
    <w:rsid w:val="00003F75"/>
  </w:style>
  <w:style w:type="character" w:customStyle="1" w:styleId="cohl">
    <w:name w:val="co_hl"/>
    <w:basedOn w:val="DefaultParagraphFont"/>
    <w:rsid w:val="0071011D"/>
  </w:style>
  <w:style w:type="character" w:customStyle="1" w:styleId="counderline">
    <w:name w:val="co_underline"/>
    <w:basedOn w:val="DefaultParagraphFont"/>
    <w:rsid w:val="00D56DFB"/>
  </w:style>
  <w:style w:type="character" w:styleId="Hyperlink">
    <w:name w:val="Hyperlink"/>
    <w:basedOn w:val="DefaultParagraphFont"/>
    <w:unhideWhenUsed/>
    <w:rsid w:val="00A90C4B"/>
    <w:rPr>
      <w:color w:val="0000FF"/>
      <w:u w:val="single"/>
    </w:rPr>
  </w:style>
  <w:style w:type="character" w:customStyle="1" w:styleId="FootnoteCharacters">
    <w:name w:val="Footnote Characters"/>
    <w:rsid w:val="00715BA3"/>
  </w:style>
  <w:style w:type="character" w:customStyle="1" w:styleId="wordphrase">
    <w:name w:val="wordphrase"/>
    <w:basedOn w:val="DefaultParagraphFont"/>
    <w:rsid w:val="00CD7122"/>
  </w:style>
  <w:style w:type="character" w:customStyle="1" w:styleId="WW8Num1z3">
    <w:name w:val="WW8Num1z3"/>
    <w:rsid w:val="000D48E4"/>
  </w:style>
  <w:style w:type="character" w:customStyle="1" w:styleId="WW8Num1z1">
    <w:name w:val="WW8Num1z1"/>
    <w:rsid w:val="006C4C98"/>
  </w:style>
  <w:style w:type="character" w:customStyle="1" w:styleId="cf01">
    <w:name w:val="cf01"/>
    <w:basedOn w:val="DefaultParagraphFont"/>
    <w:rsid w:val="007F743E"/>
    <w:rPr>
      <w:rFonts w:ascii="Segoe UI" w:hAnsi="Segoe UI" w:cs="Segoe UI" w:hint="default"/>
      <w:sz w:val="18"/>
      <w:szCs w:val="18"/>
    </w:rPr>
  </w:style>
  <w:style w:type="paragraph" w:customStyle="1" w:styleId="xmsonormal">
    <w:name w:val="x_msonormal"/>
    <w:basedOn w:val="Normal"/>
    <w:rsid w:val="00D6459F"/>
    <w:pPr>
      <w:widowControl/>
      <w:suppressAutoHyphens w:val="0"/>
      <w:autoSpaceDN/>
      <w:textAlignment w:val="auto"/>
    </w:pPr>
    <w:rPr>
      <w:rFonts w:ascii="Calibri" w:eastAsiaTheme="minorHAnsi" w:hAnsi="Calibri" w:cs="Calibri"/>
      <w:kern w:val="0"/>
      <w:sz w:val="22"/>
      <w:szCs w:val="22"/>
    </w:rPr>
  </w:style>
  <w:style w:type="paragraph" w:customStyle="1" w:styleId="pf0">
    <w:name w:val="pf0"/>
    <w:basedOn w:val="Normal"/>
    <w:rsid w:val="00C355F0"/>
    <w:pPr>
      <w:widowControl/>
      <w:suppressAutoHyphens w:val="0"/>
      <w:autoSpaceDN/>
      <w:spacing w:before="100" w:beforeAutospacing="1" w:after="100" w:afterAutospacing="1"/>
      <w:textAlignment w:val="auto"/>
    </w:pPr>
    <w:rPr>
      <w:kern w:val="0"/>
      <w:sz w:val="24"/>
    </w:rPr>
  </w:style>
  <w:style w:type="paragraph" w:styleId="Revision">
    <w:name w:val="Revision"/>
    <w:hidden/>
    <w:uiPriority w:val="99"/>
    <w:semiHidden/>
    <w:rsid w:val="00535BA4"/>
    <w:pPr>
      <w:widowControl/>
      <w:autoSpaceDN/>
      <w:textAlignment w:val="auto"/>
    </w:pPr>
  </w:style>
  <w:style w:type="character" w:styleId="UnresolvedMention">
    <w:name w:val="Unresolved Mention"/>
    <w:basedOn w:val="DefaultParagraphFont"/>
    <w:uiPriority w:val="99"/>
    <w:semiHidden/>
    <w:unhideWhenUsed/>
    <w:rsid w:val="00EC03CF"/>
    <w:rPr>
      <w:color w:val="605E5C"/>
      <w:shd w:val="clear" w:color="auto" w:fill="E1DFDD"/>
    </w:rPr>
  </w:style>
  <w:style w:type="character" w:customStyle="1" w:styleId="Heading4Char">
    <w:name w:val="Heading 4 Char"/>
    <w:basedOn w:val="DefaultParagraphFont"/>
    <w:link w:val="Heading4"/>
    <w:rsid w:val="007E1C57"/>
    <w:rPr>
      <w:b/>
    </w:rPr>
  </w:style>
  <w:style w:type="paragraph" w:customStyle="1" w:styleId="p1">
    <w:name w:val="p1"/>
    <w:basedOn w:val="Normal"/>
    <w:rsid w:val="007E1C57"/>
    <w:pPr>
      <w:widowControl/>
      <w:suppressAutoHyphens w:val="0"/>
      <w:autoSpaceDN/>
      <w:textAlignment w:val="auto"/>
    </w:pPr>
    <w:rPr>
      <w:rFonts w:ascii="Helvetica" w:hAnsi="Helvetica"/>
      <w:color w:val="000000"/>
      <w:kern w:val="0"/>
      <w:sz w:val="15"/>
      <w:szCs w:val="15"/>
    </w:rPr>
  </w:style>
  <w:style w:type="character" w:customStyle="1" w:styleId="s1">
    <w:name w:val="s1"/>
    <w:basedOn w:val="DefaultParagraphFont"/>
    <w:rsid w:val="007E1C57"/>
    <w:rPr>
      <w:color w:val="0B60C0"/>
    </w:rPr>
  </w:style>
  <w:style w:type="character" w:styleId="Mention">
    <w:name w:val="Mention"/>
    <w:basedOn w:val="DefaultParagraphFont"/>
    <w:uiPriority w:val="99"/>
    <w:unhideWhenUsed/>
    <w:rsid w:val="00607895"/>
    <w:rPr>
      <w:color w:val="2B579A"/>
      <w:shd w:val="clear" w:color="auto" w:fill="E1DFDD"/>
    </w:rPr>
  </w:style>
  <w:style w:type="paragraph" w:customStyle="1" w:styleId="TextAAAA">
    <w:name w:val="TextAAAA"/>
    <w:basedOn w:val="Normal"/>
    <w:qFormat/>
    <w:rsid w:val="00CD3C8D"/>
    <w:pPr>
      <w:spacing w:line="360" w:lineRule="auto"/>
      <w:ind w:firstLine="1440"/>
    </w:pPr>
  </w:style>
  <w:style w:type="character" w:customStyle="1" w:styleId="HeaderChar">
    <w:name w:val="Header Char"/>
    <w:link w:val="Header"/>
    <w:uiPriority w:val="99"/>
    <w:rsid w:val="00E311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9794402">
      <w:bodyDiv w:val="1"/>
      <w:marLeft w:val="0"/>
      <w:marRight w:val="0"/>
      <w:marTop w:val="0"/>
      <w:marBottom w:val="0"/>
      <w:divBdr>
        <w:top w:val="none" w:sz="0" w:space="0" w:color="auto"/>
        <w:left w:val="none" w:sz="0" w:space="0" w:color="auto"/>
        <w:bottom w:val="none" w:sz="0" w:space="0" w:color="auto"/>
        <w:right w:val="none" w:sz="0" w:space="0" w:color="auto"/>
      </w:divBdr>
      <w:divsChild>
        <w:div w:id="696856293">
          <w:marLeft w:val="0"/>
          <w:marRight w:val="0"/>
          <w:marTop w:val="0"/>
          <w:marBottom w:val="0"/>
          <w:divBdr>
            <w:top w:val="none" w:sz="0" w:space="0" w:color="auto"/>
            <w:left w:val="none" w:sz="0" w:space="0" w:color="auto"/>
            <w:bottom w:val="none" w:sz="0" w:space="0" w:color="auto"/>
            <w:right w:val="none" w:sz="0" w:space="0" w:color="auto"/>
          </w:divBdr>
        </w:div>
        <w:div w:id="1391080619">
          <w:marLeft w:val="0"/>
          <w:marRight w:val="0"/>
          <w:marTop w:val="0"/>
          <w:marBottom w:val="0"/>
          <w:divBdr>
            <w:top w:val="none" w:sz="0" w:space="0" w:color="auto"/>
            <w:left w:val="none" w:sz="0" w:space="0" w:color="auto"/>
            <w:bottom w:val="none" w:sz="0" w:space="0" w:color="auto"/>
            <w:right w:val="none" w:sz="0" w:space="0" w:color="auto"/>
          </w:divBdr>
          <w:divsChild>
            <w:div w:id="103155634">
              <w:marLeft w:val="0"/>
              <w:marRight w:val="0"/>
              <w:marTop w:val="0"/>
              <w:marBottom w:val="0"/>
              <w:divBdr>
                <w:top w:val="none" w:sz="0" w:space="0" w:color="auto"/>
                <w:left w:val="none" w:sz="0" w:space="0" w:color="auto"/>
                <w:bottom w:val="none" w:sz="0" w:space="0" w:color="auto"/>
                <w:right w:val="none" w:sz="0" w:space="0" w:color="auto"/>
              </w:divBdr>
              <w:divsChild>
                <w:div w:id="1230576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181488">
      <w:bodyDiv w:val="1"/>
      <w:marLeft w:val="0"/>
      <w:marRight w:val="0"/>
      <w:marTop w:val="0"/>
      <w:marBottom w:val="0"/>
      <w:divBdr>
        <w:top w:val="none" w:sz="0" w:space="0" w:color="auto"/>
        <w:left w:val="none" w:sz="0" w:space="0" w:color="auto"/>
        <w:bottom w:val="none" w:sz="0" w:space="0" w:color="auto"/>
        <w:right w:val="none" w:sz="0" w:space="0" w:color="auto"/>
      </w:divBdr>
    </w:div>
    <w:div w:id="980308710">
      <w:bodyDiv w:val="1"/>
      <w:marLeft w:val="0"/>
      <w:marRight w:val="0"/>
      <w:marTop w:val="0"/>
      <w:marBottom w:val="0"/>
      <w:divBdr>
        <w:top w:val="none" w:sz="0" w:space="0" w:color="auto"/>
        <w:left w:val="none" w:sz="0" w:space="0" w:color="auto"/>
        <w:bottom w:val="none" w:sz="0" w:space="0" w:color="auto"/>
        <w:right w:val="none" w:sz="0" w:space="0" w:color="auto"/>
      </w:divBdr>
    </w:div>
    <w:div w:id="1403140630">
      <w:bodyDiv w:val="1"/>
      <w:marLeft w:val="0"/>
      <w:marRight w:val="0"/>
      <w:marTop w:val="0"/>
      <w:marBottom w:val="0"/>
      <w:divBdr>
        <w:top w:val="none" w:sz="0" w:space="0" w:color="auto"/>
        <w:left w:val="none" w:sz="0" w:space="0" w:color="auto"/>
        <w:bottom w:val="none" w:sz="0" w:space="0" w:color="auto"/>
        <w:right w:val="none" w:sz="0" w:space="0" w:color="auto"/>
      </w:divBdr>
    </w:div>
    <w:div w:id="1492679658">
      <w:bodyDiv w:val="1"/>
      <w:marLeft w:val="0"/>
      <w:marRight w:val="0"/>
      <w:marTop w:val="0"/>
      <w:marBottom w:val="0"/>
      <w:divBdr>
        <w:top w:val="none" w:sz="0" w:space="0" w:color="auto"/>
        <w:left w:val="none" w:sz="0" w:space="0" w:color="auto"/>
        <w:bottom w:val="none" w:sz="0" w:space="0" w:color="auto"/>
        <w:right w:val="none" w:sz="0" w:space="0" w:color="auto"/>
      </w:divBdr>
    </w:div>
    <w:div w:id="1700661841">
      <w:bodyDiv w:val="1"/>
      <w:marLeft w:val="0"/>
      <w:marRight w:val="0"/>
      <w:marTop w:val="0"/>
      <w:marBottom w:val="0"/>
      <w:divBdr>
        <w:top w:val="none" w:sz="0" w:space="0" w:color="auto"/>
        <w:left w:val="none" w:sz="0" w:space="0" w:color="auto"/>
        <w:bottom w:val="none" w:sz="0" w:space="0" w:color="auto"/>
        <w:right w:val="none" w:sz="0" w:space="0" w:color="auto"/>
      </w:divBdr>
      <w:divsChild>
        <w:div w:id="1690910080">
          <w:marLeft w:val="0"/>
          <w:marRight w:val="0"/>
          <w:marTop w:val="0"/>
          <w:marBottom w:val="0"/>
          <w:divBdr>
            <w:top w:val="none" w:sz="0" w:space="0" w:color="auto"/>
            <w:left w:val="none" w:sz="0" w:space="0" w:color="auto"/>
            <w:bottom w:val="none" w:sz="0" w:space="0" w:color="auto"/>
            <w:right w:val="none" w:sz="0" w:space="0" w:color="auto"/>
          </w:divBdr>
        </w:div>
      </w:divsChild>
    </w:div>
    <w:div w:id="1870605662">
      <w:bodyDiv w:val="1"/>
      <w:marLeft w:val="0"/>
      <w:marRight w:val="0"/>
      <w:marTop w:val="0"/>
      <w:marBottom w:val="0"/>
      <w:divBdr>
        <w:top w:val="none" w:sz="0" w:space="0" w:color="auto"/>
        <w:left w:val="none" w:sz="0" w:space="0" w:color="auto"/>
        <w:bottom w:val="none" w:sz="0" w:space="0" w:color="auto"/>
        <w:right w:val="none" w:sz="0" w:space="0" w:color="auto"/>
      </w:divBdr>
    </w:div>
    <w:div w:id="1908801661">
      <w:bodyDiv w:val="1"/>
      <w:marLeft w:val="0"/>
      <w:marRight w:val="0"/>
      <w:marTop w:val="0"/>
      <w:marBottom w:val="0"/>
      <w:divBdr>
        <w:top w:val="none" w:sz="0" w:space="0" w:color="auto"/>
        <w:left w:val="none" w:sz="0" w:space="0" w:color="auto"/>
        <w:bottom w:val="none" w:sz="0" w:space="0" w:color="auto"/>
        <w:right w:val="none" w:sz="0" w:space="0" w:color="auto"/>
      </w:divBdr>
      <w:divsChild>
        <w:div w:id="195389654">
          <w:marLeft w:val="0"/>
          <w:marRight w:val="0"/>
          <w:marTop w:val="0"/>
          <w:marBottom w:val="0"/>
          <w:divBdr>
            <w:top w:val="none" w:sz="0" w:space="0" w:color="auto"/>
            <w:left w:val="none" w:sz="0" w:space="0" w:color="auto"/>
            <w:bottom w:val="none" w:sz="0" w:space="0" w:color="auto"/>
            <w:right w:val="none" w:sz="0" w:space="0" w:color="auto"/>
          </w:divBdr>
          <w:divsChild>
            <w:div w:id="139930337">
              <w:marLeft w:val="0"/>
              <w:marRight w:val="0"/>
              <w:marTop w:val="0"/>
              <w:marBottom w:val="0"/>
              <w:divBdr>
                <w:top w:val="none" w:sz="0" w:space="0" w:color="auto"/>
                <w:left w:val="none" w:sz="0" w:space="0" w:color="auto"/>
                <w:bottom w:val="none" w:sz="0" w:space="0" w:color="auto"/>
                <w:right w:val="none" w:sz="0" w:space="0" w:color="auto"/>
              </w:divBdr>
            </w:div>
          </w:divsChild>
        </w:div>
        <w:div w:id="241572655">
          <w:marLeft w:val="0"/>
          <w:marRight w:val="0"/>
          <w:marTop w:val="0"/>
          <w:marBottom w:val="0"/>
          <w:divBdr>
            <w:top w:val="none" w:sz="0" w:space="0" w:color="auto"/>
            <w:left w:val="none" w:sz="0" w:space="0" w:color="auto"/>
            <w:bottom w:val="none" w:sz="0" w:space="0" w:color="auto"/>
            <w:right w:val="none" w:sz="0" w:space="0" w:color="auto"/>
          </w:divBdr>
        </w:div>
        <w:div w:id="454099124">
          <w:marLeft w:val="0"/>
          <w:marRight w:val="0"/>
          <w:marTop w:val="0"/>
          <w:marBottom w:val="0"/>
          <w:divBdr>
            <w:top w:val="none" w:sz="0" w:space="0" w:color="auto"/>
            <w:left w:val="none" w:sz="0" w:space="0" w:color="auto"/>
            <w:bottom w:val="none" w:sz="0" w:space="0" w:color="auto"/>
            <w:right w:val="none" w:sz="0" w:space="0" w:color="auto"/>
          </w:divBdr>
          <w:divsChild>
            <w:div w:id="1888907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092417">
      <w:bodyDiv w:val="1"/>
      <w:marLeft w:val="0"/>
      <w:marRight w:val="0"/>
      <w:marTop w:val="0"/>
      <w:marBottom w:val="0"/>
      <w:divBdr>
        <w:top w:val="none" w:sz="0" w:space="0" w:color="auto"/>
        <w:left w:val="none" w:sz="0" w:space="0" w:color="auto"/>
        <w:bottom w:val="none" w:sz="0" w:space="0" w:color="auto"/>
        <w:right w:val="none" w:sz="0" w:space="0" w:color="auto"/>
      </w:divBdr>
      <w:divsChild>
        <w:div w:id="1687899771">
          <w:marLeft w:val="0"/>
          <w:marRight w:val="0"/>
          <w:marTop w:val="0"/>
          <w:marBottom w:val="0"/>
          <w:divBdr>
            <w:top w:val="none" w:sz="0" w:space="0" w:color="3D3D3D"/>
            <w:left w:val="none" w:sz="0" w:space="0" w:color="3D3D3D"/>
            <w:bottom w:val="none" w:sz="0" w:space="0" w:color="3D3D3D"/>
            <w:right w:val="none" w:sz="0" w:space="0" w:color="3D3D3D"/>
          </w:divBdr>
          <w:divsChild>
            <w:div w:id="1973320618">
              <w:marLeft w:val="0"/>
              <w:marRight w:val="0"/>
              <w:marTop w:val="0"/>
              <w:marBottom w:val="0"/>
              <w:divBdr>
                <w:top w:val="none" w:sz="0" w:space="0" w:color="3D3D3D"/>
                <w:left w:val="none" w:sz="0" w:space="0" w:color="3D3D3D"/>
                <w:bottom w:val="none" w:sz="0" w:space="0" w:color="3D3D3D"/>
                <w:right w:val="none" w:sz="0" w:space="0" w:color="3D3D3D"/>
              </w:divBdr>
            </w:div>
          </w:divsChild>
        </w:div>
      </w:divsChild>
    </w:div>
    <w:div w:id="2022735313">
      <w:bodyDiv w:val="1"/>
      <w:marLeft w:val="0"/>
      <w:marRight w:val="0"/>
      <w:marTop w:val="0"/>
      <w:marBottom w:val="0"/>
      <w:divBdr>
        <w:top w:val="none" w:sz="0" w:space="0" w:color="auto"/>
        <w:left w:val="none" w:sz="0" w:space="0" w:color="auto"/>
        <w:bottom w:val="none" w:sz="0" w:space="0" w:color="auto"/>
        <w:right w:val="none" w:sz="0" w:space="0" w:color="auto"/>
      </w:divBdr>
      <w:divsChild>
        <w:div w:id="1448086175">
          <w:marLeft w:val="0"/>
          <w:marRight w:val="0"/>
          <w:marTop w:val="0"/>
          <w:marBottom w:val="0"/>
          <w:divBdr>
            <w:top w:val="none" w:sz="0" w:space="0" w:color="auto"/>
            <w:left w:val="none" w:sz="0" w:space="0" w:color="auto"/>
            <w:bottom w:val="none" w:sz="0" w:space="0" w:color="auto"/>
            <w:right w:val="none" w:sz="0" w:space="0" w:color="auto"/>
          </w:divBdr>
        </w:div>
      </w:divsChild>
    </w:div>
    <w:div w:id="2031711482">
      <w:bodyDiv w:val="1"/>
      <w:marLeft w:val="0"/>
      <w:marRight w:val="0"/>
      <w:marTop w:val="0"/>
      <w:marBottom w:val="0"/>
      <w:divBdr>
        <w:top w:val="none" w:sz="0" w:space="0" w:color="auto"/>
        <w:left w:val="none" w:sz="0" w:space="0" w:color="auto"/>
        <w:bottom w:val="none" w:sz="0" w:space="0" w:color="auto"/>
        <w:right w:val="none" w:sz="0" w:space="0" w:color="auto"/>
      </w:divBdr>
      <w:divsChild>
        <w:div w:id="2023703740">
          <w:marLeft w:val="0"/>
          <w:marRight w:val="0"/>
          <w:marTop w:val="0"/>
          <w:marBottom w:val="0"/>
          <w:divBdr>
            <w:top w:val="none" w:sz="0" w:space="0" w:color="3D3D3D"/>
            <w:left w:val="none" w:sz="0" w:space="0" w:color="3D3D3D"/>
            <w:bottom w:val="none" w:sz="0" w:space="0" w:color="3D3D3D"/>
            <w:right w:val="none" w:sz="0" w:space="0" w:color="3D3D3D"/>
          </w:divBdr>
          <w:divsChild>
            <w:div w:id="1468353481">
              <w:marLeft w:val="0"/>
              <w:marRight w:val="0"/>
              <w:marTop w:val="0"/>
              <w:marBottom w:val="0"/>
              <w:divBdr>
                <w:top w:val="none" w:sz="0" w:space="0" w:color="3D3D3D"/>
                <w:left w:val="none" w:sz="0" w:space="0" w:color="3D3D3D"/>
                <w:bottom w:val="none" w:sz="0" w:space="0" w:color="3D3D3D"/>
                <w:right w:val="none" w:sz="0" w:space="0" w:color="3D3D3D"/>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docs.cpuc.ca.gov/DecisionsSearchForm.aspx" TargetMode="External"/><Relationship Id="rId2" Type="http://schemas.openxmlformats.org/officeDocument/2006/relationships/hyperlink" Target="https://files.cpuc.ca.gov/gopher-data/decisions/D9812075.pdf" TargetMode="External"/><Relationship Id="rId1" Type="http://schemas.openxmlformats.org/officeDocument/2006/relationships/hyperlink" Target="https://docs.cpuc.ca.gov/ResolutionSearchForm.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6FF0FE-A4A3-49A1-893E-76AF8A05CFA9}">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12</ap:Pages>
  <ap:Words>3707</ap:Words>
  <ap:Characters>21130</ap:Characters>
  <ap:Application>Microsoft Office Word</ap:Application>
  <ap:DocSecurity>0</ap:DocSecurity>
  <ap:Lines>176</ap:Lines>
  <ap:Paragraphs>49</ap:Paragraphs>
  <ap:ScaleCrop>false</ap:ScaleCrop>
  <ap:HeadingPairs>
    <vt:vector baseType="variant" size="2">
      <vt:variant>
        <vt:lpstr>Title</vt:lpstr>
      </vt:variant>
      <vt:variant>
        <vt:i4>1</vt:i4>
      </vt:variant>
    </vt:vector>
  </ap:HeadingPairs>
  <ap:TitlesOfParts>
    <vt:vector baseType="lpstr" size="1">
      <vt:lpstr>BEFORE THE PUBLIC UTILITIES COMMISSION OF THE STATE OF CALIFORNIA</vt:lpstr>
    </vt:vector>
  </ap:TitlesOfParts>
  <ap:Company/>
  <ap:LinksUpToDate>false</ap:LinksUpToDate>
  <ap:CharactersWithSpaces>24788</ap:CharactersWithSpaces>
  <ap:SharedDoc>false</ap:SharedDoc>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2025-06-01T21:40:00Z</cp:lastPrinted>
  <dcterms:created xsi:type="dcterms:W3CDTF">2026-09-21T14:29:36Z</dcterms:created>
  <dcterms:modified xsi:type="dcterms:W3CDTF">2026-09-21T14:29:36Z</dcterms:modified>
</cp:coreProperties>
</file>