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235E" w:rsidR="00B60421" w:rsidP="00B317A2" w:rsidRDefault="00CA235E" w14:paraId="007686CB" w14:textId="725D7154">
      <w:pPr>
        <w:tabs>
          <w:tab w:val="center" w:pos="4050"/>
          <w:tab w:val="right" w:pos="9360"/>
        </w:tabs>
        <w:spacing w:line="240" w:lineRule="auto"/>
        <w:ind w:firstLine="0"/>
      </w:pPr>
      <w:r>
        <w:t>ALJ/CJA</w:t>
      </w:r>
      <w:r w:rsidRPr="00CA235E" w:rsidR="00DA7B5D">
        <w:t>/</w:t>
      </w:r>
      <w:r>
        <w:t>nd3</w:t>
      </w:r>
      <w:r w:rsidR="00B317A2">
        <w:t>/sgu</w:t>
      </w:r>
      <w:r w:rsidRPr="00CA235E" w:rsidR="007E0FEE">
        <w:tab/>
      </w:r>
      <w:r w:rsidRPr="00CA235E" w:rsidR="00DA7B5D">
        <w:rPr>
          <w:rFonts w:cs="Arial"/>
          <w:b/>
          <w:szCs w:val="32"/>
        </w:rPr>
        <w:t>PROPOSED DECISION</w:t>
      </w:r>
      <w:r w:rsidRPr="00CA235E" w:rsidR="00DA7B5D">
        <w:tab/>
      </w:r>
      <w:r w:rsidRPr="00CA235E" w:rsidR="00DA7B5D">
        <w:rPr>
          <w:b/>
        </w:rPr>
        <w:t>Agenda ID #</w:t>
      </w:r>
      <w:r w:rsidRPr="00767705" w:rsidR="00767705">
        <w:rPr>
          <w:b/>
        </w:rPr>
        <w:t>24506</w:t>
      </w:r>
      <w:r w:rsidR="00B317A2">
        <w:rPr>
          <w:b/>
        </w:rPr>
        <w:t xml:space="preserve"> </w:t>
      </w:r>
      <w:r w:rsidR="004A44A5">
        <w:rPr>
          <w:b/>
        </w:rPr>
        <w:t>(REV. 1)</w:t>
      </w:r>
    </w:p>
    <w:p w:rsidR="00DA7B5D" w:rsidP="00632207" w:rsidRDefault="00CA235E" w14:paraId="5E1DD16B" w14:textId="58DC3E7B">
      <w:pPr>
        <w:spacing w:line="240" w:lineRule="auto"/>
        <w:jc w:val="right"/>
        <w:rPr>
          <w:b/>
        </w:rPr>
      </w:pPr>
      <w:r>
        <w:rPr>
          <w:b/>
        </w:rPr>
        <w:t>Ratesetting</w:t>
      </w:r>
    </w:p>
    <w:p w:rsidRPr="00EE4315" w:rsidR="00B317A2" w:rsidP="00632207" w:rsidRDefault="00B317A2" w14:paraId="43D93CB6" w14:textId="5B38EE88">
      <w:pPr>
        <w:spacing w:line="240" w:lineRule="auto"/>
        <w:jc w:val="right"/>
        <w:rPr>
          <w:b/>
        </w:rPr>
      </w:pPr>
      <w:r>
        <w:rPr>
          <w:b/>
        </w:rPr>
        <w:t>10/8/2026 Item #16</w:t>
      </w:r>
    </w:p>
    <w:p w:rsidR="00DA7B5D" w:rsidP="00784C0C" w:rsidRDefault="00DA7B5D" w14:paraId="38F7CE23" w14:textId="77777777">
      <w:pPr>
        <w:spacing w:line="240" w:lineRule="auto"/>
        <w:ind w:firstLine="0"/>
      </w:pPr>
    </w:p>
    <w:p w:rsidR="00784C0C" w:rsidP="00784C0C" w:rsidRDefault="00784C0C" w14:paraId="69B56021" w14:textId="77777777">
      <w:pPr>
        <w:spacing w:line="240" w:lineRule="auto"/>
        <w:ind w:firstLine="0"/>
      </w:pPr>
    </w:p>
    <w:p w:rsidRPr="00EE3060" w:rsidR="00DA7B5D" w:rsidP="00784C0C" w:rsidRDefault="00DA7B5D" w14:paraId="15ABF8F9" w14:textId="47D88399">
      <w:pPr>
        <w:spacing w:line="240" w:lineRule="auto"/>
        <w:ind w:firstLine="0"/>
      </w:pPr>
      <w:r>
        <w:t xml:space="preserve">Decision </w:t>
      </w:r>
      <w:r w:rsidRPr="008C033E" w:rsidR="00B66B76">
        <w:rPr>
          <w:b/>
          <w:bCs/>
          <w:u w:val="single"/>
        </w:rPr>
        <w:t xml:space="preserve">PROPOSED DECISION OF ALJ </w:t>
      </w:r>
      <w:r w:rsidR="004F0276">
        <w:rPr>
          <w:b/>
          <w:bCs/>
          <w:u w:val="single"/>
        </w:rPr>
        <w:t>CHANG</w:t>
      </w:r>
      <w:r w:rsidRPr="008C033E" w:rsidR="00B66B76">
        <w:rPr>
          <w:b/>
          <w:bCs/>
        </w:rPr>
        <w:t xml:space="preserve"> (</w:t>
      </w:r>
      <w:r w:rsidR="00B66B76">
        <w:rPr>
          <w:b/>
          <w:bCs/>
        </w:rPr>
        <w:t xml:space="preserve">Mailed </w:t>
      </w:r>
      <w:r w:rsidR="00767705">
        <w:rPr>
          <w:b/>
          <w:bCs/>
        </w:rPr>
        <w:t>9/4</w:t>
      </w:r>
      <w:r w:rsidR="00B66B76">
        <w:rPr>
          <w:b/>
          <w:bCs/>
        </w:rPr>
        <w:t>/2026</w:t>
      </w:r>
      <w:r w:rsidRPr="008C033E" w:rsidR="00B66B76">
        <w:rPr>
          <w:b/>
          <w:bCs/>
        </w:rPr>
        <w:t>)</w:t>
      </w:r>
    </w:p>
    <w:p w:rsidR="00DA7B5D" w:rsidP="00784C0C" w:rsidRDefault="00DA7B5D" w14:paraId="017B1D49" w14:textId="77777777">
      <w:pPr>
        <w:spacing w:line="240" w:lineRule="auto"/>
        <w:ind w:firstLine="0"/>
        <w:rPr>
          <w:u w:val="single"/>
        </w:rPr>
      </w:pPr>
    </w:p>
    <w:p w:rsidR="00784C0C" w:rsidP="00784C0C" w:rsidRDefault="00784C0C" w14:paraId="1CF47909" w14:textId="77777777">
      <w:pPr>
        <w:spacing w:line="240" w:lineRule="auto"/>
        <w:ind w:firstLine="0"/>
        <w:rPr>
          <w:u w:val="single"/>
        </w:rPr>
      </w:pPr>
    </w:p>
    <w:p w:rsidR="00DA7B5D" w:rsidP="00BB0243" w:rsidRDefault="00DA7B5D" w14:paraId="6B1F2F2A"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6616090"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C1D26A3" w14:textId="77777777">
        <w:trPr>
          <w:jc w:val="center"/>
        </w:trPr>
        <w:tc>
          <w:tcPr>
            <w:tcW w:w="5040" w:type="dxa"/>
            <w:tcBorders>
              <w:top w:val="nil"/>
              <w:left w:val="nil"/>
              <w:bottom w:val="single" w:color="auto" w:sz="4" w:space="0"/>
              <w:right w:val="single" w:color="auto" w:sz="4" w:space="0"/>
            </w:tcBorders>
          </w:tcPr>
          <w:p w:rsidR="00DA7B5D" w:rsidP="00C10B5F" w:rsidRDefault="007C5D45" w14:paraId="08344EFF" w14:textId="71A5DBE6">
            <w:pPr>
              <w:spacing w:line="240" w:lineRule="auto"/>
              <w:ind w:firstLine="0"/>
              <w:rPr>
                <w:rFonts w:cs="Arial"/>
                <w:szCs w:val="26"/>
              </w:rPr>
            </w:pPr>
            <w:r w:rsidRPr="007C5D45">
              <w:rPr>
                <w:rFonts w:cs="Arial"/>
                <w:szCs w:val="26"/>
              </w:rPr>
              <w:t>Order Instituting Rulemaking on Customer</w:t>
            </w:r>
            <w:r w:rsidR="00C54EC9">
              <w:rPr>
                <w:rFonts w:cs="Arial"/>
                <w:szCs w:val="26"/>
              </w:rPr>
              <w:noBreakHyphen/>
            </w:r>
            <w:r w:rsidRPr="007C5D45">
              <w:rPr>
                <w:rFonts w:cs="Arial"/>
                <w:szCs w:val="26"/>
              </w:rPr>
              <w:t>Generated Renewables for Priority Communities.</w:t>
            </w:r>
          </w:p>
          <w:p w:rsidRPr="00DA7B5D" w:rsidR="007C5D45" w:rsidP="00C10B5F" w:rsidRDefault="007C5D45" w14:paraId="00C22E89" w14:textId="20EC732C">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9A64DE" w14:paraId="347FF66B" w14:textId="3CF1BA57">
            <w:pPr>
              <w:spacing w:line="240" w:lineRule="auto"/>
              <w:ind w:firstLine="0"/>
              <w:jc w:val="center"/>
              <w:rPr>
                <w:rFonts w:cs="Arial"/>
                <w:szCs w:val="26"/>
              </w:rPr>
            </w:pPr>
            <w:r>
              <w:rPr>
                <w:rFonts w:cs="Arial"/>
                <w:szCs w:val="26"/>
              </w:rPr>
              <w:t>Rulemaking 25</w:t>
            </w:r>
            <w:r w:rsidR="00C54EC9">
              <w:rPr>
                <w:rFonts w:cs="Arial"/>
                <w:szCs w:val="26"/>
              </w:rPr>
              <w:noBreakHyphen/>
            </w:r>
            <w:r>
              <w:rPr>
                <w:rFonts w:cs="Arial"/>
                <w:szCs w:val="26"/>
              </w:rPr>
              <w:t>01</w:t>
            </w:r>
            <w:r w:rsidR="00C54EC9">
              <w:rPr>
                <w:rFonts w:cs="Arial"/>
                <w:szCs w:val="26"/>
              </w:rPr>
              <w:noBreakHyphen/>
            </w:r>
            <w:r>
              <w:rPr>
                <w:rFonts w:cs="Arial"/>
                <w:szCs w:val="26"/>
              </w:rPr>
              <w:t>005</w:t>
            </w:r>
          </w:p>
        </w:tc>
      </w:tr>
    </w:tbl>
    <w:p w:rsidR="00DA7B5D" w:rsidP="008F0116" w:rsidRDefault="00DA7B5D" w14:paraId="7560104B" w14:textId="77777777">
      <w:pPr>
        <w:spacing w:line="240" w:lineRule="auto"/>
        <w:ind w:firstLine="0"/>
        <w:rPr>
          <w:rFonts w:ascii="Arial" w:hAnsi="Arial" w:cs="Arial"/>
          <w:sz w:val="24"/>
          <w:szCs w:val="24"/>
        </w:rPr>
      </w:pPr>
    </w:p>
    <w:p w:rsidR="00DA7B5D" w:rsidP="008F0116" w:rsidRDefault="00DA7B5D" w14:paraId="015E03F9" w14:textId="77777777">
      <w:pPr>
        <w:spacing w:line="240" w:lineRule="auto"/>
        <w:ind w:firstLine="0"/>
        <w:rPr>
          <w:rFonts w:ascii="Arial" w:hAnsi="Arial" w:cs="Arial"/>
          <w:sz w:val="24"/>
          <w:szCs w:val="24"/>
        </w:rPr>
      </w:pPr>
    </w:p>
    <w:p w:rsidRPr="00380657" w:rsidR="00380657" w:rsidP="00380657" w:rsidRDefault="00380657" w14:paraId="2FB90C8D" w14:textId="1C5A3D20">
      <w:pPr>
        <w:pStyle w:val="Dummy"/>
        <w:jc w:val="center"/>
      </w:pPr>
      <w:r>
        <w:fldChar w:fldCharType="begin"/>
      </w:r>
      <w:r>
        <w:instrText xml:space="preserve"> REF Title \h </w:instrText>
      </w:r>
      <w:r>
        <w:fldChar w:fldCharType="separate"/>
      </w:r>
      <w:bookmarkStart w:name="_Toc242090696" w:id="0"/>
      <w:bookmarkStart w:name="_Toc236292530" w:id="1"/>
      <w:r w:rsidR="00767705">
        <w:t>DECISION MODIFYING THE DISADVANTAGED COMMUNITIES —</w:t>
      </w:r>
      <w:r w:rsidR="00767705">
        <w:br/>
        <w:t>SINGLE</w:t>
      </w:r>
      <w:r w:rsidR="00767705">
        <w:noBreakHyphen/>
        <w:t>FAMILY SOLAR HOMES PROGRAM</w:t>
      </w:r>
      <w:bookmarkEnd w:id="0"/>
      <w:bookmarkEnd w:id="1"/>
      <w:r>
        <w:fldChar w:fldCharType="end"/>
      </w:r>
    </w:p>
    <w:p w:rsidR="00CA235E" w:rsidP="00CA235E" w:rsidRDefault="00CA235E" w14:paraId="60816FAF" w14:textId="77777777"/>
    <w:p w:rsidR="00CA235E" w:rsidP="00CA235E" w:rsidRDefault="00CA235E" w14:paraId="7269257A" w14:textId="77777777"/>
    <w:p w:rsidRPr="00CA235E" w:rsidR="00CA235E" w:rsidP="00CA235E" w:rsidRDefault="00CA235E" w14:paraId="0ECB26ED" w14:textId="670F6540">
      <w:pPr>
        <w:sectPr w:rsidRPr="00CA235E" w:rsidR="00CA235E" w:rsidSect="000F5B72">
          <w:headerReference w:type="default" r:id="rId12"/>
          <w:footerReference w:type="default" r:id="rId13"/>
          <w:headerReference w:type="first" r:id="rId14"/>
          <w:footerReference w:type="first" r:id="rId15"/>
          <w:pgSz w:w="12240" w:h="15840"/>
          <w:pgMar w:top="1728" w:right="1440" w:bottom="1440" w:left="1440" w:header="720" w:footer="720" w:gutter="0"/>
          <w:pgNumType w:start="1"/>
          <w:cols w:space="720"/>
          <w:titlePg/>
          <w:docGrid w:linePitch="360"/>
        </w:sectPr>
      </w:pPr>
    </w:p>
    <w:p w:rsidRPr="001E2A62" w:rsidR="00D50119" w:rsidP="00A316B6" w:rsidRDefault="00D50119" w14:paraId="22A0FFCF" w14:textId="77777777">
      <w:pPr>
        <w:pStyle w:val="TOCHeading"/>
      </w:pPr>
      <w:r w:rsidRPr="001E2A62">
        <w:lastRenderedPageBreak/>
        <w:t>TABLE OF CONTENTS</w:t>
      </w:r>
    </w:p>
    <w:p w:rsidRPr="00D50119" w:rsidR="00D50119" w:rsidP="00A316B6" w:rsidRDefault="00D50119" w14:paraId="15825F89" w14:textId="77777777">
      <w:pPr>
        <w:tabs>
          <w:tab w:val="right" w:pos="9360"/>
        </w:tabs>
        <w:spacing w:line="240" w:lineRule="auto"/>
        <w:ind w:firstLine="0"/>
      </w:pPr>
      <w:r w:rsidRPr="00D50119">
        <w:rPr>
          <w:b/>
        </w:rPr>
        <w:t>Title</w:t>
      </w:r>
      <w:r>
        <w:tab/>
      </w:r>
      <w:r w:rsidRPr="00D50119">
        <w:rPr>
          <w:b/>
        </w:rPr>
        <w:t>Page</w:t>
      </w:r>
    </w:p>
    <w:sdt>
      <w:sdtPr>
        <w:id w:val="-1224440197"/>
        <w:docPartObj>
          <w:docPartGallery w:val="Table of Contents"/>
          <w:docPartUnique/>
        </w:docPartObj>
      </w:sdtPr>
      <w:sdtEndPr>
        <w:rPr>
          <w:b/>
          <w:bCs/>
          <w:noProof/>
        </w:rPr>
      </w:sdtEndPr>
      <w:sdtContent>
        <w:p w:rsidR="00B317A2" w:rsidRDefault="001F587E" w14:paraId="20C7C904" w14:textId="39B40733">
          <w:pPr>
            <w:pStyle w:val="TOC1"/>
            <w:tabs>
              <w:tab w:val="right" w:leader="dot" w:pos="9350"/>
            </w:tabs>
            <w:rPr>
              <w:rFonts w:asciiTheme="minorHAnsi" w:hAnsiTheme="minorHAnsi" w:cstheme="minorBidi"/>
              <w:noProof/>
              <w:kern w:val="2"/>
              <w:sz w:val="24"/>
              <w:szCs w:val="24"/>
              <w14:ligatures w14:val="standardContextual"/>
            </w:rPr>
          </w:pPr>
          <w:r>
            <w:rPr>
              <w:rFonts w:asciiTheme="minorHAnsi" w:hAnsiTheme="minorHAnsi"/>
              <w:sz w:val="22"/>
            </w:rPr>
            <w:fldChar w:fldCharType="begin"/>
          </w:r>
          <w:r>
            <w:rPr>
              <w:rFonts w:asciiTheme="minorHAnsi" w:hAnsiTheme="minorHAnsi"/>
              <w:sz w:val="22"/>
            </w:rPr>
            <w:instrText xml:space="preserve"> TOC \o "1-3" \h \z \t "Mainex,1" </w:instrText>
          </w:r>
          <w:r>
            <w:rPr>
              <w:rFonts w:asciiTheme="minorHAnsi" w:hAnsiTheme="minorHAnsi"/>
              <w:sz w:val="22"/>
            </w:rPr>
            <w:fldChar w:fldCharType="separate"/>
          </w:r>
          <w:hyperlink w:history="1" w:anchor="_Toc242090696">
            <w:r w:rsidRPr="000276CA" w:rsidR="00B317A2">
              <w:rPr>
                <w:rStyle w:val="Hyperlink"/>
                <w:noProof/>
              </w:rPr>
              <w:t>DECISION MODIFYING THE DISADVANTAGED COMMUNITIES — SINGLE</w:t>
            </w:r>
            <w:r w:rsidRPr="000276CA" w:rsidR="00B317A2">
              <w:rPr>
                <w:rStyle w:val="Hyperlink"/>
                <w:noProof/>
              </w:rPr>
              <w:noBreakHyphen/>
              <w:t>FAMILY SOLAR HOMES PROGRAM</w:t>
            </w:r>
            <w:r w:rsidR="00B317A2">
              <w:rPr>
                <w:noProof/>
                <w:webHidden/>
              </w:rPr>
              <w:tab/>
            </w:r>
            <w:r w:rsidR="00B317A2">
              <w:rPr>
                <w:noProof/>
                <w:webHidden/>
              </w:rPr>
              <w:fldChar w:fldCharType="begin"/>
            </w:r>
            <w:r w:rsidR="00B317A2">
              <w:rPr>
                <w:noProof/>
                <w:webHidden/>
              </w:rPr>
              <w:instrText xml:space="preserve"> PAGEREF _Toc242090696 \h </w:instrText>
            </w:r>
            <w:r w:rsidR="00B317A2">
              <w:rPr>
                <w:noProof/>
                <w:webHidden/>
              </w:rPr>
            </w:r>
            <w:r w:rsidR="00B317A2">
              <w:rPr>
                <w:noProof/>
                <w:webHidden/>
              </w:rPr>
              <w:fldChar w:fldCharType="separate"/>
            </w:r>
            <w:r w:rsidR="00B317A2">
              <w:rPr>
                <w:noProof/>
                <w:webHidden/>
              </w:rPr>
              <w:t>1</w:t>
            </w:r>
            <w:r w:rsidR="00B317A2">
              <w:rPr>
                <w:noProof/>
                <w:webHidden/>
              </w:rPr>
              <w:fldChar w:fldCharType="end"/>
            </w:r>
          </w:hyperlink>
        </w:p>
        <w:p w:rsidR="00B317A2" w:rsidRDefault="00B317A2" w14:paraId="2B776783" w14:textId="6E887883">
          <w:pPr>
            <w:pStyle w:val="TOC1"/>
            <w:tabs>
              <w:tab w:val="right" w:leader="dot" w:pos="9350"/>
            </w:tabs>
            <w:rPr>
              <w:rFonts w:asciiTheme="minorHAnsi" w:hAnsiTheme="minorHAnsi" w:cstheme="minorBidi"/>
              <w:noProof/>
              <w:kern w:val="2"/>
              <w:sz w:val="24"/>
              <w:szCs w:val="24"/>
              <w14:ligatures w14:val="standardContextual"/>
            </w:rPr>
          </w:pPr>
          <w:hyperlink w:history="1" w:anchor="_Toc242090697">
            <w:r w:rsidRPr="000276CA">
              <w:rPr>
                <w:rStyle w:val="Hyperlink"/>
                <w:noProof/>
              </w:rPr>
              <w:t>Summary</w:t>
            </w:r>
            <w:r>
              <w:rPr>
                <w:noProof/>
                <w:webHidden/>
              </w:rPr>
              <w:tab/>
            </w:r>
            <w:r>
              <w:rPr>
                <w:noProof/>
                <w:webHidden/>
              </w:rPr>
              <w:fldChar w:fldCharType="begin"/>
            </w:r>
            <w:r>
              <w:rPr>
                <w:noProof/>
                <w:webHidden/>
              </w:rPr>
              <w:instrText xml:space="preserve"> PAGEREF _Toc242090697 \h </w:instrText>
            </w:r>
            <w:r>
              <w:rPr>
                <w:noProof/>
                <w:webHidden/>
              </w:rPr>
            </w:r>
            <w:r>
              <w:rPr>
                <w:noProof/>
                <w:webHidden/>
              </w:rPr>
              <w:fldChar w:fldCharType="separate"/>
            </w:r>
            <w:r>
              <w:rPr>
                <w:noProof/>
                <w:webHidden/>
              </w:rPr>
              <w:t>2</w:t>
            </w:r>
            <w:r>
              <w:rPr>
                <w:noProof/>
                <w:webHidden/>
              </w:rPr>
              <w:fldChar w:fldCharType="end"/>
            </w:r>
          </w:hyperlink>
        </w:p>
        <w:p w:rsidR="00B317A2" w:rsidRDefault="00B317A2" w14:paraId="1ECAC3E4" w14:textId="605F0A6B">
          <w:pPr>
            <w:pStyle w:val="TOC1"/>
            <w:tabs>
              <w:tab w:val="right" w:leader="dot" w:pos="9350"/>
            </w:tabs>
            <w:rPr>
              <w:rFonts w:asciiTheme="minorHAnsi" w:hAnsiTheme="minorHAnsi" w:cstheme="minorBidi"/>
              <w:noProof/>
              <w:kern w:val="2"/>
              <w:sz w:val="24"/>
              <w:szCs w:val="24"/>
              <w14:ligatures w14:val="standardContextual"/>
            </w:rPr>
          </w:pPr>
          <w:hyperlink w:history="1" w:anchor="_Toc242090698">
            <w:r w:rsidRPr="000276CA">
              <w:rPr>
                <w:rStyle w:val="Hyperlink"/>
                <w:noProof/>
              </w:rPr>
              <w:t>1.</w:t>
            </w:r>
            <w:r>
              <w:rPr>
                <w:rFonts w:asciiTheme="minorHAnsi" w:hAnsiTheme="minorHAnsi" w:cstheme="minorBidi"/>
                <w:noProof/>
                <w:kern w:val="2"/>
                <w:sz w:val="24"/>
                <w:szCs w:val="24"/>
                <w14:ligatures w14:val="standardContextual"/>
              </w:rPr>
              <w:tab/>
            </w:r>
            <w:r w:rsidRPr="000276CA">
              <w:rPr>
                <w:rStyle w:val="Hyperlink"/>
                <w:noProof/>
              </w:rPr>
              <w:t>Background</w:t>
            </w:r>
            <w:r>
              <w:rPr>
                <w:noProof/>
                <w:webHidden/>
              </w:rPr>
              <w:tab/>
            </w:r>
            <w:r>
              <w:rPr>
                <w:noProof/>
                <w:webHidden/>
              </w:rPr>
              <w:fldChar w:fldCharType="begin"/>
            </w:r>
            <w:r>
              <w:rPr>
                <w:noProof/>
                <w:webHidden/>
              </w:rPr>
              <w:instrText xml:space="preserve"> PAGEREF _Toc242090698 \h </w:instrText>
            </w:r>
            <w:r>
              <w:rPr>
                <w:noProof/>
                <w:webHidden/>
              </w:rPr>
            </w:r>
            <w:r>
              <w:rPr>
                <w:noProof/>
                <w:webHidden/>
              </w:rPr>
              <w:fldChar w:fldCharType="separate"/>
            </w:r>
            <w:r>
              <w:rPr>
                <w:noProof/>
                <w:webHidden/>
              </w:rPr>
              <w:t>3</w:t>
            </w:r>
            <w:r>
              <w:rPr>
                <w:noProof/>
                <w:webHidden/>
              </w:rPr>
              <w:fldChar w:fldCharType="end"/>
            </w:r>
          </w:hyperlink>
        </w:p>
        <w:p w:rsidR="00B317A2" w:rsidRDefault="00B317A2" w14:paraId="63C9B740" w14:textId="0C8E8520">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090699">
            <w:r w:rsidRPr="000276CA">
              <w:rPr>
                <w:rStyle w:val="Hyperlink"/>
                <w:noProof/>
              </w:rPr>
              <w:t>1.1.</w:t>
            </w:r>
            <w:r>
              <w:rPr>
                <w:rFonts w:asciiTheme="minorHAnsi" w:hAnsiTheme="minorHAnsi" w:cstheme="minorBidi"/>
                <w:noProof/>
                <w:kern w:val="2"/>
                <w:sz w:val="24"/>
                <w:szCs w:val="24"/>
                <w14:ligatures w14:val="standardContextual"/>
              </w:rPr>
              <w:tab/>
            </w:r>
            <w:r w:rsidRPr="000276CA">
              <w:rPr>
                <w:rStyle w:val="Hyperlink"/>
                <w:noProof/>
              </w:rPr>
              <w:t>Procedural Background</w:t>
            </w:r>
            <w:r>
              <w:rPr>
                <w:noProof/>
                <w:webHidden/>
              </w:rPr>
              <w:tab/>
            </w:r>
            <w:r>
              <w:rPr>
                <w:noProof/>
                <w:webHidden/>
              </w:rPr>
              <w:fldChar w:fldCharType="begin"/>
            </w:r>
            <w:r>
              <w:rPr>
                <w:noProof/>
                <w:webHidden/>
              </w:rPr>
              <w:instrText xml:space="preserve"> PAGEREF _Toc242090699 \h </w:instrText>
            </w:r>
            <w:r>
              <w:rPr>
                <w:noProof/>
                <w:webHidden/>
              </w:rPr>
            </w:r>
            <w:r>
              <w:rPr>
                <w:noProof/>
                <w:webHidden/>
              </w:rPr>
              <w:fldChar w:fldCharType="separate"/>
            </w:r>
            <w:r>
              <w:rPr>
                <w:noProof/>
                <w:webHidden/>
              </w:rPr>
              <w:t>7</w:t>
            </w:r>
            <w:r>
              <w:rPr>
                <w:noProof/>
                <w:webHidden/>
              </w:rPr>
              <w:fldChar w:fldCharType="end"/>
            </w:r>
          </w:hyperlink>
        </w:p>
        <w:p w:rsidR="00B317A2" w:rsidRDefault="00B317A2" w14:paraId="4C87FFA5" w14:textId="579CAFC8">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090700">
            <w:r w:rsidRPr="000276CA">
              <w:rPr>
                <w:rStyle w:val="Hyperlink"/>
                <w:noProof/>
              </w:rPr>
              <w:t>1.2.</w:t>
            </w:r>
            <w:r>
              <w:rPr>
                <w:rFonts w:asciiTheme="minorHAnsi" w:hAnsiTheme="minorHAnsi" w:cstheme="minorBidi"/>
                <w:noProof/>
                <w:kern w:val="2"/>
                <w:sz w:val="24"/>
                <w:szCs w:val="24"/>
                <w14:ligatures w14:val="standardContextual"/>
              </w:rPr>
              <w:tab/>
            </w:r>
            <w:r w:rsidRPr="000276CA">
              <w:rPr>
                <w:rStyle w:val="Hyperlink"/>
                <w:noProof/>
              </w:rPr>
              <w:t>Submission Date</w:t>
            </w:r>
            <w:r>
              <w:rPr>
                <w:noProof/>
                <w:webHidden/>
              </w:rPr>
              <w:tab/>
            </w:r>
            <w:r>
              <w:rPr>
                <w:noProof/>
                <w:webHidden/>
              </w:rPr>
              <w:fldChar w:fldCharType="begin"/>
            </w:r>
            <w:r>
              <w:rPr>
                <w:noProof/>
                <w:webHidden/>
              </w:rPr>
              <w:instrText xml:space="preserve"> PAGEREF _Toc242090700 \h </w:instrText>
            </w:r>
            <w:r>
              <w:rPr>
                <w:noProof/>
                <w:webHidden/>
              </w:rPr>
            </w:r>
            <w:r>
              <w:rPr>
                <w:noProof/>
                <w:webHidden/>
              </w:rPr>
              <w:fldChar w:fldCharType="separate"/>
            </w:r>
            <w:r>
              <w:rPr>
                <w:noProof/>
                <w:webHidden/>
              </w:rPr>
              <w:t>8</w:t>
            </w:r>
            <w:r>
              <w:rPr>
                <w:noProof/>
                <w:webHidden/>
              </w:rPr>
              <w:fldChar w:fldCharType="end"/>
            </w:r>
          </w:hyperlink>
        </w:p>
        <w:p w:rsidR="00B317A2" w:rsidRDefault="00B317A2" w14:paraId="18673E47" w14:textId="5E239E85">
          <w:pPr>
            <w:pStyle w:val="TOC1"/>
            <w:tabs>
              <w:tab w:val="right" w:leader="dot" w:pos="9350"/>
            </w:tabs>
            <w:rPr>
              <w:rFonts w:asciiTheme="minorHAnsi" w:hAnsiTheme="minorHAnsi" w:cstheme="minorBidi"/>
              <w:noProof/>
              <w:kern w:val="2"/>
              <w:sz w:val="24"/>
              <w:szCs w:val="24"/>
              <w14:ligatures w14:val="standardContextual"/>
            </w:rPr>
          </w:pPr>
          <w:hyperlink w:history="1" w:anchor="_Toc242090701">
            <w:r w:rsidRPr="000276CA">
              <w:rPr>
                <w:rStyle w:val="Hyperlink"/>
                <w:noProof/>
              </w:rPr>
              <w:t>2.</w:t>
            </w:r>
            <w:r>
              <w:rPr>
                <w:rFonts w:asciiTheme="minorHAnsi" w:hAnsiTheme="minorHAnsi" w:cstheme="minorBidi"/>
                <w:noProof/>
                <w:kern w:val="2"/>
                <w:sz w:val="24"/>
                <w:szCs w:val="24"/>
                <w14:ligatures w14:val="standardContextual"/>
              </w:rPr>
              <w:tab/>
            </w:r>
            <w:r w:rsidRPr="000276CA">
              <w:rPr>
                <w:rStyle w:val="Hyperlink"/>
                <w:noProof/>
              </w:rPr>
              <w:t>Issues Before the Commission</w:t>
            </w:r>
            <w:r>
              <w:rPr>
                <w:noProof/>
                <w:webHidden/>
              </w:rPr>
              <w:tab/>
            </w:r>
            <w:r>
              <w:rPr>
                <w:noProof/>
                <w:webHidden/>
              </w:rPr>
              <w:fldChar w:fldCharType="begin"/>
            </w:r>
            <w:r>
              <w:rPr>
                <w:noProof/>
                <w:webHidden/>
              </w:rPr>
              <w:instrText xml:space="preserve"> PAGEREF _Toc242090701 \h </w:instrText>
            </w:r>
            <w:r>
              <w:rPr>
                <w:noProof/>
                <w:webHidden/>
              </w:rPr>
            </w:r>
            <w:r>
              <w:rPr>
                <w:noProof/>
                <w:webHidden/>
              </w:rPr>
              <w:fldChar w:fldCharType="separate"/>
            </w:r>
            <w:r>
              <w:rPr>
                <w:noProof/>
                <w:webHidden/>
              </w:rPr>
              <w:t>8</w:t>
            </w:r>
            <w:r>
              <w:rPr>
                <w:noProof/>
                <w:webHidden/>
              </w:rPr>
              <w:fldChar w:fldCharType="end"/>
            </w:r>
          </w:hyperlink>
        </w:p>
        <w:p w:rsidR="00B317A2" w:rsidRDefault="00B317A2" w14:paraId="4BCCDB65" w14:textId="6FC93257">
          <w:pPr>
            <w:pStyle w:val="TOC1"/>
            <w:tabs>
              <w:tab w:val="right" w:leader="dot" w:pos="9350"/>
            </w:tabs>
            <w:rPr>
              <w:rFonts w:asciiTheme="minorHAnsi" w:hAnsiTheme="minorHAnsi" w:cstheme="minorBidi"/>
              <w:noProof/>
              <w:kern w:val="2"/>
              <w:sz w:val="24"/>
              <w:szCs w:val="24"/>
              <w14:ligatures w14:val="standardContextual"/>
            </w:rPr>
          </w:pPr>
          <w:hyperlink w:history="1" w:anchor="_Toc242090702">
            <w:r w:rsidRPr="000276CA">
              <w:rPr>
                <w:rStyle w:val="Hyperlink"/>
                <w:noProof/>
              </w:rPr>
              <w:t>3.</w:t>
            </w:r>
            <w:r>
              <w:rPr>
                <w:rFonts w:asciiTheme="minorHAnsi" w:hAnsiTheme="minorHAnsi" w:cstheme="minorBidi"/>
                <w:noProof/>
                <w:kern w:val="2"/>
                <w:sz w:val="24"/>
                <w:szCs w:val="24"/>
                <w14:ligatures w14:val="standardContextual"/>
              </w:rPr>
              <w:tab/>
            </w:r>
            <w:r w:rsidRPr="000276CA">
              <w:rPr>
                <w:rStyle w:val="Hyperlink"/>
                <w:noProof/>
              </w:rPr>
              <w:t>Investor</w:t>
            </w:r>
            <w:r w:rsidRPr="000276CA">
              <w:rPr>
                <w:rStyle w:val="Hyperlink"/>
                <w:noProof/>
              </w:rPr>
              <w:noBreakHyphen/>
              <w:t>Owned Utilities’ Administration Budget</w:t>
            </w:r>
            <w:r>
              <w:rPr>
                <w:noProof/>
                <w:webHidden/>
              </w:rPr>
              <w:tab/>
            </w:r>
            <w:r>
              <w:rPr>
                <w:noProof/>
                <w:webHidden/>
              </w:rPr>
              <w:fldChar w:fldCharType="begin"/>
            </w:r>
            <w:r>
              <w:rPr>
                <w:noProof/>
                <w:webHidden/>
              </w:rPr>
              <w:instrText xml:space="preserve"> PAGEREF _Toc242090702 \h </w:instrText>
            </w:r>
            <w:r>
              <w:rPr>
                <w:noProof/>
                <w:webHidden/>
              </w:rPr>
            </w:r>
            <w:r>
              <w:rPr>
                <w:noProof/>
                <w:webHidden/>
              </w:rPr>
              <w:fldChar w:fldCharType="separate"/>
            </w:r>
            <w:r>
              <w:rPr>
                <w:noProof/>
                <w:webHidden/>
              </w:rPr>
              <w:t>10</w:t>
            </w:r>
            <w:r>
              <w:rPr>
                <w:noProof/>
                <w:webHidden/>
              </w:rPr>
              <w:fldChar w:fldCharType="end"/>
            </w:r>
          </w:hyperlink>
        </w:p>
        <w:p w:rsidR="00B317A2" w:rsidRDefault="00B317A2" w14:paraId="0D0994FA" w14:textId="6D5803D7">
          <w:pPr>
            <w:pStyle w:val="TOC2"/>
            <w:tabs>
              <w:tab w:val="left" w:pos="1123"/>
              <w:tab w:val="right" w:leader="dot" w:pos="9350"/>
            </w:tabs>
            <w:rPr>
              <w:rFonts w:asciiTheme="minorHAnsi" w:hAnsiTheme="minorHAnsi" w:cstheme="minorBidi"/>
              <w:noProof/>
              <w:kern w:val="2"/>
              <w:sz w:val="24"/>
              <w:szCs w:val="24"/>
              <w14:ligatures w14:val="standardContextual"/>
            </w:rPr>
          </w:pPr>
          <w:hyperlink w:history="1" w:anchor="_Toc242090703">
            <w:r w:rsidRPr="000276CA">
              <w:rPr>
                <w:rStyle w:val="Hyperlink"/>
                <w:noProof/>
              </w:rPr>
              <w:t>3.1.</w:t>
            </w:r>
            <w:r>
              <w:rPr>
                <w:rFonts w:asciiTheme="minorHAnsi" w:hAnsiTheme="minorHAnsi" w:cstheme="minorBidi"/>
                <w:noProof/>
                <w:kern w:val="2"/>
                <w:sz w:val="24"/>
                <w:szCs w:val="24"/>
                <w14:ligatures w14:val="standardContextual"/>
              </w:rPr>
              <w:tab/>
            </w:r>
            <w:r w:rsidRPr="000276CA">
              <w:rPr>
                <w:rStyle w:val="Hyperlink"/>
                <w:noProof/>
              </w:rPr>
              <w:t>Clarification of San Diego Gas &amp; Electric Company Annual Disadvantaged Communities — Single</w:t>
            </w:r>
            <w:r w:rsidRPr="000276CA">
              <w:rPr>
                <w:rStyle w:val="Hyperlink"/>
                <w:noProof/>
              </w:rPr>
              <w:noBreakHyphen/>
              <w:t>Family Solar Homes Funding Transfers</w:t>
            </w:r>
            <w:r>
              <w:rPr>
                <w:noProof/>
                <w:webHidden/>
              </w:rPr>
              <w:tab/>
            </w:r>
            <w:r>
              <w:rPr>
                <w:noProof/>
                <w:webHidden/>
              </w:rPr>
              <w:fldChar w:fldCharType="begin"/>
            </w:r>
            <w:r>
              <w:rPr>
                <w:noProof/>
                <w:webHidden/>
              </w:rPr>
              <w:instrText xml:space="preserve"> PAGEREF _Toc242090703 \h </w:instrText>
            </w:r>
            <w:r>
              <w:rPr>
                <w:noProof/>
                <w:webHidden/>
              </w:rPr>
            </w:r>
            <w:r>
              <w:rPr>
                <w:noProof/>
                <w:webHidden/>
              </w:rPr>
              <w:fldChar w:fldCharType="separate"/>
            </w:r>
            <w:r>
              <w:rPr>
                <w:noProof/>
                <w:webHidden/>
              </w:rPr>
              <w:t>15</w:t>
            </w:r>
            <w:r>
              <w:rPr>
                <w:noProof/>
                <w:webHidden/>
              </w:rPr>
              <w:fldChar w:fldCharType="end"/>
            </w:r>
          </w:hyperlink>
        </w:p>
        <w:p w:rsidR="00B317A2" w:rsidRDefault="00B317A2" w14:paraId="43A4E1C8" w14:textId="3D78B173">
          <w:pPr>
            <w:pStyle w:val="TOC1"/>
            <w:tabs>
              <w:tab w:val="right" w:leader="dot" w:pos="9350"/>
            </w:tabs>
            <w:rPr>
              <w:rFonts w:asciiTheme="minorHAnsi" w:hAnsiTheme="minorHAnsi" w:cstheme="minorBidi"/>
              <w:noProof/>
              <w:kern w:val="2"/>
              <w:sz w:val="24"/>
              <w:szCs w:val="24"/>
              <w14:ligatures w14:val="standardContextual"/>
            </w:rPr>
          </w:pPr>
          <w:hyperlink w:history="1" w:anchor="_Toc242090704">
            <w:r w:rsidRPr="000276CA">
              <w:rPr>
                <w:rStyle w:val="Hyperlink"/>
                <w:noProof/>
              </w:rPr>
              <w:t>4.</w:t>
            </w:r>
            <w:r>
              <w:rPr>
                <w:rFonts w:asciiTheme="minorHAnsi" w:hAnsiTheme="minorHAnsi" w:cstheme="minorBidi"/>
                <w:noProof/>
                <w:kern w:val="2"/>
                <w:sz w:val="24"/>
                <w:szCs w:val="24"/>
                <w14:ligatures w14:val="standardContextual"/>
              </w:rPr>
              <w:tab/>
            </w:r>
            <w:r w:rsidRPr="000276CA">
              <w:rPr>
                <w:rStyle w:val="Hyperlink"/>
                <w:noProof/>
              </w:rPr>
              <w:t>Reporting on External Funds</w:t>
            </w:r>
            <w:r>
              <w:rPr>
                <w:noProof/>
                <w:webHidden/>
              </w:rPr>
              <w:tab/>
            </w:r>
            <w:r>
              <w:rPr>
                <w:noProof/>
                <w:webHidden/>
              </w:rPr>
              <w:fldChar w:fldCharType="begin"/>
            </w:r>
            <w:r>
              <w:rPr>
                <w:noProof/>
                <w:webHidden/>
              </w:rPr>
              <w:instrText xml:space="preserve"> PAGEREF _Toc242090704 \h </w:instrText>
            </w:r>
            <w:r>
              <w:rPr>
                <w:noProof/>
                <w:webHidden/>
              </w:rPr>
            </w:r>
            <w:r>
              <w:rPr>
                <w:noProof/>
                <w:webHidden/>
              </w:rPr>
              <w:fldChar w:fldCharType="separate"/>
            </w:r>
            <w:r>
              <w:rPr>
                <w:noProof/>
                <w:webHidden/>
              </w:rPr>
              <w:t>17</w:t>
            </w:r>
            <w:r>
              <w:rPr>
                <w:noProof/>
                <w:webHidden/>
              </w:rPr>
              <w:fldChar w:fldCharType="end"/>
            </w:r>
          </w:hyperlink>
        </w:p>
        <w:p w:rsidR="00B317A2" w:rsidRDefault="00B317A2" w14:paraId="2776A0E1" w14:textId="5A77AF5F">
          <w:pPr>
            <w:pStyle w:val="TOC1"/>
            <w:tabs>
              <w:tab w:val="right" w:leader="dot" w:pos="9350"/>
            </w:tabs>
            <w:rPr>
              <w:rFonts w:asciiTheme="minorHAnsi" w:hAnsiTheme="minorHAnsi" w:cstheme="minorBidi"/>
              <w:noProof/>
              <w:kern w:val="2"/>
              <w:sz w:val="24"/>
              <w:szCs w:val="24"/>
              <w14:ligatures w14:val="standardContextual"/>
            </w:rPr>
          </w:pPr>
          <w:hyperlink w:history="1" w:anchor="_Toc242090705">
            <w:r w:rsidRPr="000276CA">
              <w:rPr>
                <w:rStyle w:val="Hyperlink"/>
                <w:noProof/>
              </w:rPr>
              <w:t>5.</w:t>
            </w:r>
            <w:r>
              <w:rPr>
                <w:rFonts w:asciiTheme="minorHAnsi" w:hAnsiTheme="minorHAnsi" w:cstheme="minorBidi"/>
                <w:noProof/>
                <w:kern w:val="2"/>
                <w:sz w:val="24"/>
                <w:szCs w:val="24"/>
                <w14:ligatures w14:val="standardContextual"/>
              </w:rPr>
              <w:tab/>
            </w:r>
            <w:r w:rsidRPr="000276CA">
              <w:rPr>
                <w:rStyle w:val="Hyperlink"/>
                <w:noProof/>
              </w:rPr>
              <w:t>Enrollment in Complementary Programs</w:t>
            </w:r>
            <w:r>
              <w:rPr>
                <w:noProof/>
                <w:webHidden/>
              </w:rPr>
              <w:tab/>
            </w:r>
            <w:r>
              <w:rPr>
                <w:noProof/>
                <w:webHidden/>
              </w:rPr>
              <w:fldChar w:fldCharType="begin"/>
            </w:r>
            <w:r>
              <w:rPr>
                <w:noProof/>
                <w:webHidden/>
              </w:rPr>
              <w:instrText xml:space="preserve"> PAGEREF _Toc242090705 \h </w:instrText>
            </w:r>
            <w:r>
              <w:rPr>
                <w:noProof/>
                <w:webHidden/>
              </w:rPr>
            </w:r>
            <w:r>
              <w:rPr>
                <w:noProof/>
                <w:webHidden/>
              </w:rPr>
              <w:fldChar w:fldCharType="separate"/>
            </w:r>
            <w:r>
              <w:rPr>
                <w:noProof/>
                <w:webHidden/>
              </w:rPr>
              <w:t>22</w:t>
            </w:r>
            <w:r>
              <w:rPr>
                <w:noProof/>
                <w:webHidden/>
              </w:rPr>
              <w:fldChar w:fldCharType="end"/>
            </w:r>
          </w:hyperlink>
        </w:p>
        <w:p w:rsidR="00B317A2" w:rsidRDefault="00B317A2" w14:paraId="0D06AECF" w14:textId="6DFC17E4">
          <w:pPr>
            <w:pStyle w:val="TOC1"/>
            <w:tabs>
              <w:tab w:val="right" w:leader="dot" w:pos="9350"/>
            </w:tabs>
            <w:rPr>
              <w:rFonts w:asciiTheme="minorHAnsi" w:hAnsiTheme="minorHAnsi" w:cstheme="minorBidi"/>
              <w:noProof/>
              <w:kern w:val="2"/>
              <w:sz w:val="24"/>
              <w:szCs w:val="24"/>
              <w14:ligatures w14:val="standardContextual"/>
            </w:rPr>
          </w:pPr>
          <w:hyperlink w:history="1" w:anchor="_Toc242090706">
            <w:r w:rsidRPr="000276CA">
              <w:rPr>
                <w:rStyle w:val="Hyperlink"/>
                <w:noProof/>
              </w:rPr>
              <w:t>6.</w:t>
            </w:r>
            <w:r>
              <w:rPr>
                <w:rFonts w:asciiTheme="minorHAnsi" w:hAnsiTheme="minorHAnsi" w:cstheme="minorBidi"/>
                <w:noProof/>
                <w:kern w:val="2"/>
                <w:sz w:val="24"/>
                <w:szCs w:val="24"/>
                <w14:ligatures w14:val="standardContextual"/>
              </w:rPr>
              <w:tab/>
            </w:r>
            <w:r w:rsidRPr="000276CA">
              <w:rPr>
                <w:rStyle w:val="Hyperlink"/>
                <w:noProof/>
              </w:rPr>
              <w:t>Use of the Expected Performance Based Buydown Calculator</w:t>
            </w:r>
            <w:r>
              <w:rPr>
                <w:noProof/>
                <w:webHidden/>
              </w:rPr>
              <w:tab/>
            </w:r>
            <w:r>
              <w:rPr>
                <w:noProof/>
                <w:webHidden/>
              </w:rPr>
              <w:fldChar w:fldCharType="begin"/>
            </w:r>
            <w:r>
              <w:rPr>
                <w:noProof/>
                <w:webHidden/>
              </w:rPr>
              <w:instrText xml:space="preserve"> PAGEREF _Toc242090706 \h </w:instrText>
            </w:r>
            <w:r>
              <w:rPr>
                <w:noProof/>
                <w:webHidden/>
              </w:rPr>
            </w:r>
            <w:r>
              <w:rPr>
                <w:noProof/>
                <w:webHidden/>
              </w:rPr>
              <w:fldChar w:fldCharType="separate"/>
            </w:r>
            <w:r>
              <w:rPr>
                <w:noProof/>
                <w:webHidden/>
              </w:rPr>
              <w:t>24</w:t>
            </w:r>
            <w:r>
              <w:rPr>
                <w:noProof/>
                <w:webHidden/>
              </w:rPr>
              <w:fldChar w:fldCharType="end"/>
            </w:r>
          </w:hyperlink>
        </w:p>
        <w:p w:rsidR="00B317A2" w:rsidRDefault="00B317A2" w14:paraId="546CF139" w14:textId="1B08E36A">
          <w:pPr>
            <w:pStyle w:val="TOC1"/>
            <w:tabs>
              <w:tab w:val="right" w:leader="dot" w:pos="9350"/>
            </w:tabs>
            <w:rPr>
              <w:rFonts w:asciiTheme="minorHAnsi" w:hAnsiTheme="minorHAnsi" w:cstheme="minorBidi"/>
              <w:noProof/>
              <w:kern w:val="2"/>
              <w:sz w:val="24"/>
              <w:szCs w:val="24"/>
              <w14:ligatures w14:val="standardContextual"/>
            </w:rPr>
          </w:pPr>
          <w:hyperlink w:history="1" w:anchor="_Toc242090707">
            <w:r w:rsidRPr="000276CA">
              <w:rPr>
                <w:rStyle w:val="Hyperlink"/>
                <w:noProof/>
              </w:rPr>
              <w:t>7.</w:t>
            </w:r>
            <w:r>
              <w:rPr>
                <w:rFonts w:asciiTheme="minorHAnsi" w:hAnsiTheme="minorHAnsi" w:cstheme="minorBidi"/>
                <w:noProof/>
                <w:kern w:val="2"/>
                <w:sz w:val="24"/>
                <w:szCs w:val="24"/>
                <w14:ligatures w14:val="standardContextual"/>
              </w:rPr>
              <w:tab/>
            </w:r>
            <w:r w:rsidRPr="000276CA">
              <w:rPr>
                <w:rStyle w:val="Hyperlink"/>
                <w:noProof/>
              </w:rPr>
              <w:t>Job Training and Workforce Development</w:t>
            </w:r>
            <w:r>
              <w:rPr>
                <w:noProof/>
                <w:webHidden/>
              </w:rPr>
              <w:tab/>
            </w:r>
            <w:r>
              <w:rPr>
                <w:noProof/>
                <w:webHidden/>
              </w:rPr>
              <w:fldChar w:fldCharType="begin"/>
            </w:r>
            <w:r>
              <w:rPr>
                <w:noProof/>
                <w:webHidden/>
              </w:rPr>
              <w:instrText xml:space="preserve"> PAGEREF _Toc242090707 \h </w:instrText>
            </w:r>
            <w:r>
              <w:rPr>
                <w:noProof/>
                <w:webHidden/>
              </w:rPr>
            </w:r>
            <w:r>
              <w:rPr>
                <w:noProof/>
                <w:webHidden/>
              </w:rPr>
              <w:fldChar w:fldCharType="separate"/>
            </w:r>
            <w:r>
              <w:rPr>
                <w:noProof/>
                <w:webHidden/>
              </w:rPr>
              <w:t>26</w:t>
            </w:r>
            <w:r>
              <w:rPr>
                <w:noProof/>
                <w:webHidden/>
              </w:rPr>
              <w:fldChar w:fldCharType="end"/>
            </w:r>
          </w:hyperlink>
        </w:p>
        <w:p w:rsidR="00B317A2" w:rsidRDefault="00B317A2" w14:paraId="726EF01F" w14:textId="5A7A6340">
          <w:pPr>
            <w:pStyle w:val="TOC1"/>
            <w:tabs>
              <w:tab w:val="right" w:leader="dot" w:pos="9350"/>
            </w:tabs>
            <w:rPr>
              <w:rFonts w:asciiTheme="minorHAnsi" w:hAnsiTheme="minorHAnsi" w:cstheme="minorBidi"/>
              <w:noProof/>
              <w:kern w:val="2"/>
              <w:sz w:val="24"/>
              <w:szCs w:val="24"/>
              <w14:ligatures w14:val="standardContextual"/>
            </w:rPr>
          </w:pPr>
          <w:hyperlink w:history="1" w:anchor="_Toc242090708">
            <w:r w:rsidRPr="000276CA">
              <w:rPr>
                <w:rStyle w:val="Hyperlink"/>
                <w:noProof/>
              </w:rPr>
              <w:t>8.</w:t>
            </w:r>
            <w:r>
              <w:rPr>
                <w:rFonts w:asciiTheme="minorHAnsi" w:hAnsiTheme="minorHAnsi" w:cstheme="minorBidi"/>
                <w:noProof/>
                <w:kern w:val="2"/>
                <w:sz w:val="24"/>
                <w:szCs w:val="24"/>
                <w14:ligatures w14:val="standardContextual"/>
              </w:rPr>
              <w:tab/>
            </w:r>
            <w:r w:rsidRPr="000276CA">
              <w:rPr>
                <w:rStyle w:val="Hyperlink"/>
                <w:noProof/>
              </w:rPr>
              <w:t>Battery Storage Incentives</w:t>
            </w:r>
            <w:r>
              <w:rPr>
                <w:noProof/>
                <w:webHidden/>
              </w:rPr>
              <w:tab/>
            </w:r>
            <w:r>
              <w:rPr>
                <w:noProof/>
                <w:webHidden/>
              </w:rPr>
              <w:fldChar w:fldCharType="begin"/>
            </w:r>
            <w:r>
              <w:rPr>
                <w:noProof/>
                <w:webHidden/>
              </w:rPr>
              <w:instrText xml:space="preserve"> PAGEREF _Toc242090708 \h </w:instrText>
            </w:r>
            <w:r>
              <w:rPr>
                <w:noProof/>
                <w:webHidden/>
              </w:rPr>
            </w:r>
            <w:r>
              <w:rPr>
                <w:noProof/>
                <w:webHidden/>
              </w:rPr>
              <w:fldChar w:fldCharType="separate"/>
            </w:r>
            <w:r>
              <w:rPr>
                <w:noProof/>
                <w:webHidden/>
              </w:rPr>
              <w:t>29</w:t>
            </w:r>
            <w:r>
              <w:rPr>
                <w:noProof/>
                <w:webHidden/>
              </w:rPr>
              <w:fldChar w:fldCharType="end"/>
            </w:r>
          </w:hyperlink>
        </w:p>
        <w:p w:rsidR="00B317A2" w:rsidRDefault="00B317A2" w14:paraId="24FEBBFE" w14:textId="0B65326D">
          <w:pPr>
            <w:pStyle w:val="TOC1"/>
            <w:tabs>
              <w:tab w:val="right" w:leader="dot" w:pos="9350"/>
            </w:tabs>
            <w:rPr>
              <w:rFonts w:asciiTheme="minorHAnsi" w:hAnsiTheme="minorHAnsi" w:cstheme="minorBidi"/>
              <w:noProof/>
              <w:kern w:val="2"/>
              <w:sz w:val="24"/>
              <w:szCs w:val="24"/>
              <w14:ligatures w14:val="standardContextual"/>
            </w:rPr>
          </w:pPr>
          <w:hyperlink w:history="1" w:anchor="_Toc242090709">
            <w:r w:rsidRPr="000276CA">
              <w:rPr>
                <w:rStyle w:val="Hyperlink"/>
                <w:noProof/>
              </w:rPr>
              <w:t>9.</w:t>
            </w:r>
            <w:r>
              <w:rPr>
                <w:rFonts w:asciiTheme="minorHAnsi" w:hAnsiTheme="minorHAnsi" w:cstheme="minorBidi"/>
                <w:noProof/>
                <w:kern w:val="2"/>
                <w:sz w:val="24"/>
                <w:szCs w:val="24"/>
                <w14:ligatures w14:val="standardContextual"/>
              </w:rPr>
              <w:tab/>
            </w:r>
            <w:r w:rsidRPr="000276CA">
              <w:rPr>
                <w:rStyle w:val="Hyperlink"/>
                <w:noProof/>
              </w:rPr>
              <w:t>Energy Efficiency Education</w:t>
            </w:r>
            <w:r>
              <w:rPr>
                <w:noProof/>
                <w:webHidden/>
              </w:rPr>
              <w:tab/>
            </w:r>
            <w:r>
              <w:rPr>
                <w:noProof/>
                <w:webHidden/>
              </w:rPr>
              <w:fldChar w:fldCharType="begin"/>
            </w:r>
            <w:r>
              <w:rPr>
                <w:noProof/>
                <w:webHidden/>
              </w:rPr>
              <w:instrText xml:space="preserve"> PAGEREF _Toc242090709 \h </w:instrText>
            </w:r>
            <w:r>
              <w:rPr>
                <w:noProof/>
                <w:webHidden/>
              </w:rPr>
            </w:r>
            <w:r>
              <w:rPr>
                <w:noProof/>
                <w:webHidden/>
              </w:rPr>
              <w:fldChar w:fldCharType="separate"/>
            </w:r>
            <w:r>
              <w:rPr>
                <w:noProof/>
                <w:webHidden/>
              </w:rPr>
              <w:t>31</w:t>
            </w:r>
            <w:r>
              <w:rPr>
                <w:noProof/>
                <w:webHidden/>
              </w:rPr>
              <w:fldChar w:fldCharType="end"/>
            </w:r>
          </w:hyperlink>
        </w:p>
        <w:p w:rsidR="00B317A2" w:rsidRDefault="00B317A2" w14:paraId="5B7EB3F2" w14:textId="38B24433">
          <w:pPr>
            <w:pStyle w:val="TOC1"/>
            <w:tabs>
              <w:tab w:val="right" w:leader="dot" w:pos="9350"/>
            </w:tabs>
            <w:rPr>
              <w:rFonts w:asciiTheme="minorHAnsi" w:hAnsiTheme="minorHAnsi" w:cstheme="minorBidi"/>
              <w:noProof/>
              <w:kern w:val="2"/>
              <w:sz w:val="24"/>
              <w:szCs w:val="24"/>
              <w14:ligatures w14:val="standardContextual"/>
            </w:rPr>
          </w:pPr>
          <w:hyperlink w:history="1" w:anchor="_Toc242090710">
            <w:r w:rsidRPr="000276CA">
              <w:rPr>
                <w:rStyle w:val="Hyperlink"/>
                <w:noProof/>
              </w:rPr>
              <w:t>10.</w:t>
            </w:r>
            <w:r>
              <w:rPr>
                <w:rFonts w:asciiTheme="minorHAnsi" w:hAnsiTheme="minorHAnsi" w:cstheme="minorBidi"/>
                <w:noProof/>
                <w:kern w:val="2"/>
                <w:sz w:val="24"/>
                <w:szCs w:val="24"/>
                <w14:ligatures w14:val="standardContextual"/>
              </w:rPr>
              <w:tab/>
            </w:r>
            <w:r w:rsidRPr="000276CA">
              <w:rPr>
                <w:rStyle w:val="Hyperlink"/>
                <w:noProof/>
              </w:rPr>
              <w:t>Meter Socket Adapters</w:t>
            </w:r>
            <w:r>
              <w:rPr>
                <w:noProof/>
                <w:webHidden/>
              </w:rPr>
              <w:tab/>
            </w:r>
            <w:r>
              <w:rPr>
                <w:noProof/>
                <w:webHidden/>
              </w:rPr>
              <w:fldChar w:fldCharType="begin"/>
            </w:r>
            <w:r>
              <w:rPr>
                <w:noProof/>
                <w:webHidden/>
              </w:rPr>
              <w:instrText xml:space="preserve"> PAGEREF _Toc242090710 \h </w:instrText>
            </w:r>
            <w:r>
              <w:rPr>
                <w:noProof/>
                <w:webHidden/>
              </w:rPr>
            </w:r>
            <w:r>
              <w:rPr>
                <w:noProof/>
                <w:webHidden/>
              </w:rPr>
              <w:fldChar w:fldCharType="separate"/>
            </w:r>
            <w:r>
              <w:rPr>
                <w:noProof/>
                <w:webHidden/>
              </w:rPr>
              <w:t>32</w:t>
            </w:r>
            <w:r>
              <w:rPr>
                <w:noProof/>
                <w:webHidden/>
              </w:rPr>
              <w:fldChar w:fldCharType="end"/>
            </w:r>
          </w:hyperlink>
        </w:p>
        <w:p w:rsidR="00B317A2" w:rsidRDefault="00B317A2" w14:paraId="26CA3F5B" w14:textId="554CF5C6">
          <w:pPr>
            <w:pStyle w:val="TOC1"/>
            <w:tabs>
              <w:tab w:val="right" w:leader="dot" w:pos="9350"/>
            </w:tabs>
            <w:rPr>
              <w:rFonts w:asciiTheme="minorHAnsi" w:hAnsiTheme="minorHAnsi" w:cstheme="minorBidi"/>
              <w:noProof/>
              <w:kern w:val="2"/>
              <w:sz w:val="24"/>
              <w:szCs w:val="24"/>
              <w14:ligatures w14:val="standardContextual"/>
            </w:rPr>
          </w:pPr>
          <w:hyperlink w:history="1" w:anchor="_Toc242090711">
            <w:r w:rsidRPr="000276CA">
              <w:rPr>
                <w:rStyle w:val="Hyperlink"/>
                <w:noProof/>
              </w:rPr>
              <w:t>11.</w:t>
            </w:r>
            <w:r>
              <w:rPr>
                <w:rFonts w:asciiTheme="minorHAnsi" w:hAnsiTheme="minorHAnsi" w:cstheme="minorBidi"/>
                <w:noProof/>
                <w:kern w:val="2"/>
                <w:sz w:val="24"/>
                <w:szCs w:val="24"/>
                <w14:ligatures w14:val="standardContextual"/>
              </w:rPr>
              <w:tab/>
            </w:r>
            <w:r w:rsidRPr="000276CA">
              <w:rPr>
                <w:rStyle w:val="Hyperlink"/>
                <w:noProof/>
              </w:rPr>
              <w:t>Summary of Public Comment</w:t>
            </w:r>
            <w:r>
              <w:rPr>
                <w:noProof/>
                <w:webHidden/>
              </w:rPr>
              <w:tab/>
            </w:r>
            <w:r>
              <w:rPr>
                <w:noProof/>
                <w:webHidden/>
              </w:rPr>
              <w:fldChar w:fldCharType="begin"/>
            </w:r>
            <w:r>
              <w:rPr>
                <w:noProof/>
                <w:webHidden/>
              </w:rPr>
              <w:instrText xml:space="preserve"> PAGEREF _Toc242090711 \h </w:instrText>
            </w:r>
            <w:r>
              <w:rPr>
                <w:noProof/>
                <w:webHidden/>
              </w:rPr>
            </w:r>
            <w:r>
              <w:rPr>
                <w:noProof/>
                <w:webHidden/>
              </w:rPr>
              <w:fldChar w:fldCharType="separate"/>
            </w:r>
            <w:r>
              <w:rPr>
                <w:noProof/>
                <w:webHidden/>
              </w:rPr>
              <w:t>33</w:t>
            </w:r>
            <w:r>
              <w:rPr>
                <w:noProof/>
                <w:webHidden/>
              </w:rPr>
              <w:fldChar w:fldCharType="end"/>
            </w:r>
          </w:hyperlink>
        </w:p>
        <w:p w:rsidR="00B317A2" w:rsidRDefault="00B317A2" w14:paraId="37ED43E0" w14:textId="5DCD8F11">
          <w:pPr>
            <w:pStyle w:val="TOC1"/>
            <w:tabs>
              <w:tab w:val="right" w:leader="dot" w:pos="9350"/>
            </w:tabs>
            <w:rPr>
              <w:rFonts w:asciiTheme="minorHAnsi" w:hAnsiTheme="minorHAnsi" w:cstheme="minorBidi"/>
              <w:noProof/>
              <w:kern w:val="2"/>
              <w:sz w:val="24"/>
              <w:szCs w:val="24"/>
              <w14:ligatures w14:val="standardContextual"/>
            </w:rPr>
          </w:pPr>
          <w:hyperlink w:history="1" w:anchor="_Toc242090712">
            <w:r w:rsidRPr="000276CA">
              <w:rPr>
                <w:rStyle w:val="Hyperlink"/>
                <w:noProof/>
              </w:rPr>
              <w:t>12.</w:t>
            </w:r>
            <w:r>
              <w:rPr>
                <w:rFonts w:asciiTheme="minorHAnsi" w:hAnsiTheme="minorHAnsi" w:cstheme="minorBidi"/>
                <w:noProof/>
                <w:kern w:val="2"/>
                <w:sz w:val="24"/>
                <w:szCs w:val="24"/>
                <w14:ligatures w14:val="standardContextual"/>
              </w:rPr>
              <w:tab/>
            </w:r>
            <w:r w:rsidRPr="000276CA">
              <w:rPr>
                <w:rStyle w:val="Hyperlink"/>
                <w:noProof/>
              </w:rPr>
              <w:t>Comments on Proposed Decision</w:t>
            </w:r>
            <w:r>
              <w:rPr>
                <w:noProof/>
                <w:webHidden/>
              </w:rPr>
              <w:tab/>
            </w:r>
            <w:r>
              <w:rPr>
                <w:noProof/>
                <w:webHidden/>
              </w:rPr>
              <w:fldChar w:fldCharType="begin"/>
            </w:r>
            <w:r>
              <w:rPr>
                <w:noProof/>
                <w:webHidden/>
              </w:rPr>
              <w:instrText xml:space="preserve"> PAGEREF _Toc242090712 \h </w:instrText>
            </w:r>
            <w:r>
              <w:rPr>
                <w:noProof/>
                <w:webHidden/>
              </w:rPr>
            </w:r>
            <w:r>
              <w:rPr>
                <w:noProof/>
                <w:webHidden/>
              </w:rPr>
              <w:fldChar w:fldCharType="separate"/>
            </w:r>
            <w:r>
              <w:rPr>
                <w:noProof/>
                <w:webHidden/>
              </w:rPr>
              <w:t>33</w:t>
            </w:r>
            <w:r>
              <w:rPr>
                <w:noProof/>
                <w:webHidden/>
              </w:rPr>
              <w:fldChar w:fldCharType="end"/>
            </w:r>
          </w:hyperlink>
        </w:p>
        <w:p w:rsidR="00B317A2" w:rsidRDefault="00B317A2" w14:paraId="2451BC99" w14:textId="53A1F609">
          <w:pPr>
            <w:pStyle w:val="TOC1"/>
            <w:tabs>
              <w:tab w:val="right" w:leader="dot" w:pos="9350"/>
            </w:tabs>
            <w:rPr>
              <w:rFonts w:asciiTheme="minorHAnsi" w:hAnsiTheme="minorHAnsi" w:cstheme="minorBidi"/>
              <w:noProof/>
              <w:kern w:val="2"/>
              <w:sz w:val="24"/>
              <w:szCs w:val="24"/>
              <w14:ligatures w14:val="standardContextual"/>
            </w:rPr>
          </w:pPr>
          <w:hyperlink w:history="1" w:anchor="_Toc242090713">
            <w:r w:rsidRPr="000276CA">
              <w:rPr>
                <w:rStyle w:val="Hyperlink"/>
                <w:noProof/>
              </w:rPr>
              <w:t>13.</w:t>
            </w:r>
            <w:r>
              <w:rPr>
                <w:rFonts w:asciiTheme="minorHAnsi" w:hAnsiTheme="minorHAnsi" w:cstheme="minorBidi"/>
                <w:noProof/>
                <w:kern w:val="2"/>
                <w:sz w:val="24"/>
                <w:szCs w:val="24"/>
                <w14:ligatures w14:val="standardContextual"/>
              </w:rPr>
              <w:tab/>
            </w:r>
            <w:r w:rsidRPr="000276CA">
              <w:rPr>
                <w:rStyle w:val="Hyperlink"/>
                <w:noProof/>
              </w:rPr>
              <w:t>Assignment of Proceeding</w:t>
            </w:r>
            <w:r>
              <w:rPr>
                <w:noProof/>
                <w:webHidden/>
              </w:rPr>
              <w:tab/>
            </w:r>
            <w:r>
              <w:rPr>
                <w:noProof/>
                <w:webHidden/>
              </w:rPr>
              <w:fldChar w:fldCharType="begin"/>
            </w:r>
            <w:r>
              <w:rPr>
                <w:noProof/>
                <w:webHidden/>
              </w:rPr>
              <w:instrText xml:space="preserve"> PAGEREF _Toc242090713 \h </w:instrText>
            </w:r>
            <w:r>
              <w:rPr>
                <w:noProof/>
                <w:webHidden/>
              </w:rPr>
            </w:r>
            <w:r>
              <w:rPr>
                <w:noProof/>
                <w:webHidden/>
              </w:rPr>
              <w:fldChar w:fldCharType="separate"/>
            </w:r>
            <w:r>
              <w:rPr>
                <w:noProof/>
                <w:webHidden/>
              </w:rPr>
              <w:t>37</w:t>
            </w:r>
            <w:r>
              <w:rPr>
                <w:noProof/>
                <w:webHidden/>
              </w:rPr>
              <w:fldChar w:fldCharType="end"/>
            </w:r>
          </w:hyperlink>
        </w:p>
        <w:p w:rsidR="00B317A2" w:rsidRDefault="00B317A2" w14:paraId="6EBCF359" w14:textId="5514887E">
          <w:pPr>
            <w:pStyle w:val="TOC1"/>
            <w:tabs>
              <w:tab w:val="right" w:leader="dot" w:pos="9350"/>
            </w:tabs>
            <w:rPr>
              <w:rFonts w:asciiTheme="minorHAnsi" w:hAnsiTheme="minorHAnsi" w:cstheme="minorBidi"/>
              <w:noProof/>
              <w:kern w:val="2"/>
              <w:sz w:val="24"/>
              <w:szCs w:val="24"/>
              <w14:ligatures w14:val="standardContextual"/>
            </w:rPr>
          </w:pPr>
          <w:hyperlink w:history="1" w:anchor="_Toc242090714">
            <w:r w:rsidRPr="000276CA">
              <w:rPr>
                <w:rStyle w:val="Hyperlink"/>
                <w:noProof/>
              </w:rPr>
              <w:t>Findings of Fact</w:t>
            </w:r>
            <w:r>
              <w:rPr>
                <w:noProof/>
                <w:webHidden/>
              </w:rPr>
              <w:tab/>
            </w:r>
            <w:r>
              <w:rPr>
                <w:noProof/>
                <w:webHidden/>
              </w:rPr>
              <w:fldChar w:fldCharType="begin"/>
            </w:r>
            <w:r>
              <w:rPr>
                <w:noProof/>
                <w:webHidden/>
              </w:rPr>
              <w:instrText xml:space="preserve"> PAGEREF _Toc242090714 \h </w:instrText>
            </w:r>
            <w:r>
              <w:rPr>
                <w:noProof/>
                <w:webHidden/>
              </w:rPr>
            </w:r>
            <w:r>
              <w:rPr>
                <w:noProof/>
                <w:webHidden/>
              </w:rPr>
              <w:fldChar w:fldCharType="separate"/>
            </w:r>
            <w:r>
              <w:rPr>
                <w:noProof/>
                <w:webHidden/>
              </w:rPr>
              <w:t>37</w:t>
            </w:r>
            <w:r>
              <w:rPr>
                <w:noProof/>
                <w:webHidden/>
              </w:rPr>
              <w:fldChar w:fldCharType="end"/>
            </w:r>
          </w:hyperlink>
        </w:p>
        <w:p w:rsidR="00B317A2" w:rsidRDefault="00B317A2" w14:paraId="61D09F42" w14:textId="1BABB06A">
          <w:pPr>
            <w:pStyle w:val="TOC1"/>
            <w:tabs>
              <w:tab w:val="right" w:leader="dot" w:pos="9350"/>
            </w:tabs>
            <w:rPr>
              <w:rFonts w:asciiTheme="minorHAnsi" w:hAnsiTheme="minorHAnsi" w:cstheme="minorBidi"/>
              <w:noProof/>
              <w:kern w:val="2"/>
              <w:sz w:val="24"/>
              <w:szCs w:val="24"/>
              <w14:ligatures w14:val="standardContextual"/>
            </w:rPr>
          </w:pPr>
          <w:hyperlink w:history="1" w:anchor="_Toc242090715">
            <w:r w:rsidRPr="000276CA">
              <w:rPr>
                <w:rStyle w:val="Hyperlink"/>
                <w:noProof/>
              </w:rPr>
              <w:t>Conclusions of Law</w:t>
            </w:r>
            <w:r>
              <w:rPr>
                <w:noProof/>
                <w:webHidden/>
              </w:rPr>
              <w:tab/>
            </w:r>
            <w:r>
              <w:rPr>
                <w:noProof/>
                <w:webHidden/>
              </w:rPr>
              <w:fldChar w:fldCharType="begin"/>
            </w:r>
            <w:r>
              <w:rPr>
                <w:noProof/>
                <w:webHidden/>
              </w:rPr>
              <w:instrText xml:space="preserve"> PAGEREF _Toc242090715 \h </w:instrText>
            </w:r>
            <w:r>
              <w:rPr>
                <w:noProof/>
                <w:webHidden/>
              </w:rPr>
            </w:r>
            <w:r>
              <w:rPr>
                <w:noProof/>
                <w:webHidden/>
              </w:rPr>
              <w:fldChar w:fldCharType="separate"/>
            </w:r>
            <w:r>
              <w:rPr>
                <w:noProof/>
                <w:webHidden/>
              </w:rPr>
              <w:t>40</w:t>
            </w:r>
            <w:r>
              <w:rPr>
                <w:noProof/>
                <w:webHidden/>
              </w:rPr>
              <w:fldChar w:fldCharType="end"/>
            </w:r>
          </w:hyperlink>
        </w:p>
        <w:p w:rsidR="00B317A2" w:rsidRDefault="00B317A2" w14:paraId="1B7A7F9F" w14:textId="7D6466BC">
          <w:pPr>
            <w:pStyle w:val="TOC1"/>
            <w:tabs>
              <w:tab w:val="right" w:leader="dot" w:pos="9350"/>
            </w:tabs>
            <w:rPr>
              <w:rFonts w:asciiTheme="minorHAnsi" w:hAnsiTheme="minorHAnsi" w:cstheme="minorBidi"/>
              <w:noProof/>
              <w:kern w:val="2"/>
              <w:sz w:val="24"/>
              <w:szCs w:val="24"/>
              <w14:ligatures w14:val="standardContextual"/>
            </w:rPr>
          </w:pPr>
          <w:hyperlink w:history="1" w:anchor="_Toc242090716">
            <w:r w:rsidRPr="000276CA">
              <w:rPr>
                <w:rStyle w:val="Hyperlink"/>
                <w:noProof/>
              </w:rPr>
              <w:t>ORDER</w:t>
            </w:r>
            <w:r>
              <w:rPr>
                <w:noProof/>
                <w:webHidden/>
              </w:rPr>
              <w:tab/>
            </w:r>
            <w:r>
              <w:rPr>
                <w:noProof/>
                <w:webHidden/>
              </w:rPr>
              <w:fldChar w:fldCharType="begin"/>
            </w:r>
            <w:r>
              <w:rPr>
                <w:noProof/>
                <w:webHidden/>
              </w:rPr>
              <w:instrText xml:space="preserve"> PAGEREF _Toc242090716 \h </w:instrText>
            </w:r>
            <w:r>
              <w:rPr>
                <w:noProof/>
                <w:webHidden/>
              </w:rPr>
            </w:r>
            <w:r>
              <w:rPr>
                <w:noProof/>
                <w:webHidden/>
              </w:rPr>
              <w:fldChar w:fldCharType="separate"/>
            </w:r>
            <w:r>
              <w:rPr>
                <w:noProof/>
                <w:webHidden/>
              </w:rPr>
              <w:t>42</w:t>
            </w:r>
            <w:r>
              <w:rPr>
                <w:noProof/>
                <w:webHidden/>
              </w:rPr>
              <w:fldChar w:fldCharType="end"/>
            </w:r>
          </w:hyperlink>
        </w:p>
        <w:p w:rsidR="00D82A43" w:rsidP="001F587E" w:rsidRDefault="001F587E" w14:paraId="5FBF7881" w14:textId="457EA5AB">
          <w:pPr>
            <w:pStyle w:val="TOC1"/>
            <w:tabs>
              <w:tab w:val="right" w:leader="dot" w:pos="9350"/>
            </w:tabs>
          </w:pPr>
          <w:r>
            <w:rPr>
              <w:rFonts w:asciiTheme="minorHAnsi" w:hAnsiTheme="minorHAnsi"/>
              <w:sz w:val="22"/>
            </w:rPr>
            <w:fldChar w:fldCharType="end"/>
          </w:r>
        </w:p>
      </w:sdtContent>
    </w:sdt>
    <w:p w:rsidRPr="0098655A" w:rsidR="0098655A" w:rsidP="0075262C" w:rsidRDefault="0075262C" w14:paraId="4F7EC92D" w14:textId="193645AB">
      <w:pPr>
        <w:tabs>
          <w:tab w:val="left" w:pos="1526"/>
        </w:tabs>
        <w:spacing w:line="240" w:lineRule="auto"/>
        <w:ind w:left="1858" w:hanging="1858"/>
        <w:rPr>
          <w:rFonts w:cs="Arial"/>
          <w:szCs w:val="26"/>
        </w:rPr>
      </w:pPr>
      <w:r>
        <w:t>Appendix</w:t>
      </w:r>
      <w:r w:rsidRPr="00284E11">
        <w:t xml:space="preserve"> A</w:t>
      </w:r>
      <w:r w:rsidRPr="00284E11">
        <w:tab/>
        <w:t>—</w:t>
      </w:r>
      <w:r w:rsidRPr="00284E11">
        <w:tab/>
      </w:r>
      <w:r w:rsidR="00943547">
        <w:t xml:space="preserve">Disadvantaged Communities — Single Family Solar Homes Handbook </w:t>
      </w:r>
      <w:r w:rsidR="00061E52">
        <w:rPr>
          <w:rFonts w:cs="Arial"/>
          <w:szCs w:val="26"/>
        </w:rPr>
        <w:t>Project Level Cost</w:t>
      </w:r>
    </w:p>
    <w:p w:rsidR="0098655A" w:rsidP="0075262C" w:rsidRDefault="0075262C" w14:paraId="4DF894CB" w14:textId="69EA9D6C">
      <w:pPr>
        <w:tabs>
          <w:tab w:val="left" w:pos="1526"/>
        </w:tabs>
        <w:spacing w:line="240" w:lineRule="auto"/>
        <w:ind w:left="1858" w:hanging="1858"/>
      </w:pPr>
      <w:r>
        <w:t>Appendix</w:t>
      </w:r>
      <w:r w:rsidRPr="00284E11">
        <w:t xml:space="preserve"> </w:t>
      </w:r>
      <w:r>
        <w:t>B</w:t>
      </w:r>
      <w:r w:rsidRPr="00284E11">
        <w:tab/>
        <w:t>—</w:t>
      </w:r>
      <w:r w:rsidRPr="00284E11">
        <w:tab/>
      </w:r>
      <w:r w:rsidR="008C14C9">
        <w:t>Disadvantaged Communities — Single Family Solar Homes</w:t>
      </w:r>
      <w:r w:rsidR="000303D0">
        <w:t xml:space="preserve"> Handbook</w:t>
      </w:r>
    </w:p>
    <w:p w:rsidRPr="0098655A" w:rsidR="00852FF0" w:rsidP="0075262C" w:rsidRDefault="00852FF0" w14:paraId="5BEF386D" w14:textId="6699FE2A">
      <w:pPr>
        <w:tabs>
          <w:tab w:val="left" w:pos="1526"/>
        </w:tabs>
        <w:spacing w:line="240" w:lineRule="auto"/>
        <w:ind w:left="1858" w:hanging="1858"/>
        <w:rPr>
          <w:rFonts w:cs="Arial"/>
          <w:szCs w:val="26"/>
        </w:rPr>
      </w:pPr>
      <w:r>
        <w:t>Appendix C</w:t>
      </w:r>
      <w:r w:rsidR="00513D2F">
        <w:tab/>
      </w:r>
      <w:r w:rsidRPr="00284E11">
        <w:t>—</w:t>
      </w:r>
      <w:r>
        <w:tab/>
      </w:r>
      <w:r w:rsidR="008C14C9">
        <w:t>Disadvantaged Communities — Single Family Solar Homes</w:t>
      </w:r>
      <w:r>
        <w:t xml:space="preserve"> Handbook (red</w:t>
      </w:r>
      <w:r w:rsidR="00C54EC9">
        <w:noBreakHyphen/>
      </w:r>
      <w:r>
        <w:t>lined)</w:t>
      </w:r>
    </w:p>
    <w:p w:rsidR="00D44DB6" w:rsidP="00D44DB6" w:rsidRDefault="00D44DB6" w14:paraId="121613CF" w14:textId="77777777">
      <w:pPr>
        <w:spacing w:line="240" w:lineRule="auto"/>
        <w:ind w:firstLine="0"/>
        <w:rPr>
          <w:rFonts w:cs="Arial"/>
          <w:szCs w:val="26"/>
        </w:rPr>
      </w:pPr>
    </w:p>
    <w:p w:rsidR="00D44DB6" w:rsidP="00D44DB6" w:rsidRDefault="00D44DB6" w14:paraId="7856F58F" w14:textId="77777777">
      <w:pPr>
        <w:spacing w:line="240" w:lineRule="auto"/>
        <w:ind w:firstLine="0"/>
        <w:rPr>
          <w:rFonts w:cs="Arial"/>
          <w:i/>
          <w:szCs w:val="26"/>
        </w:rPr>
      </w:pPr>
    </w:p>
    <w:p w:rsidRPr="00D44DB6" w:rsidR="00C1227E" w:rsidP="00D44DB6" w:rsidRDefault="00C1227E" w14:paraId="7402B6D3" w14:textId="5080B885">
      <w:pPr>
        <w:spacing w:line="240" w:lineRule="auto"/>
        <w:ind w:firstLine="0"/>
        <w:rPr>
          <w:rFonts w:cs="Arial"/>
          <w:i/>
          <w:szCs w:val="26"/>
        </w:rPr>
        <w:sectPr w:rsidRPr="00D44DB6" w:rsidR="00C1227E" w:rsidSect="00BD035F">
          <w:pgSz w:w="12240" w:h="15840"/>
          <w:pgMar w:top="1728" w:right="1440" w:bottom="1440" w:left="1440" w:header="720" w:footer="720" w:gutter="0"/>
          <w:pgNumType w:fmt="lowerRoman" w:start="1"/>
          <w:cols w:space="720"/>
          <w:docGrid w:linePitch="360"/>
        </w:sectPr>
      </w:pPr>
    </w:p>
    <w:p w:rsidR="0098655A" w:rsidP="001F587E" w:rsidRDefault="009A64DE" w14:paraId="272CB98F" w14:textId="3CF5A142">
      <w:pPr>
        <w:pStyle w:val="Main"/>
      </w:pPr>
      <w:bookmarkStart w:name="Title" w:id="2"/>
      <w:r>
        <w:lastRenderedPageBreak/>
        <w:t>DECISION MODIFYING THE DISADVANTAGED COMMUNITIES</w:t>
      </w:r>
      <w:r w:rsidR="00C54EC9">
        <w:t> —</w:t>
      </w:r>
      <w:r w:rsidR="001F587E">
        <w:br/>
      </w:r>
      <w:r>
        <w:t>SINGLE</w:t>
      </w:r>
      <w:r w:rsidR="00C54EC9">
        <w:noBreakHyphen/>
      </w:r>
      <w:r>
        <w:t>FAMILY SOLAR HOMES PROGRAM</w:t>
      </w:r>
      <w:bookmarkEnd w:id="2"/>
    </w:p>
    <w:p w:rsidRPr="001F587E" w:rsidR="001F587E" w:rsidP="001F587E" w:rsidRDefault="001F587E" w14:paraId="350477DE" w14:textId="77777777">
      <w:pPr>
        <w:pStyle w:val="Main"/>
      </w:pPr>
    </w:p>
    <w:p w:rsidR="005A148C" w:rsidP="00066B83" w:rsidRDefault="005A148C" w14:paraId="79D774FE" w14:textId="77777777">
      <w:pPr>
        <w:pStyle w:val="Dummy"/>
      </w:pPr>
      <w:bookmarkStart w:name="_Toc8123714" w:id="3"/>
      <w:bookmarkStart w:name="_Toc236292531" w:id="4"/>
      <w:bookmarkStart w:name="_Toc242090697" w:id="5"/>
      <w:r>
        <w:t>Summary</w:t>
      </w:r>
      <w:bookmarkEnd w:id="3"/>
      <w:bookmarkEnd w:id="4"/>
      <w:bookmarkEnd w:id="5"/>
    </w:p>
    <w:p w:rsidR="006D2B5F" w:rsidP="006E6574" w:rsidRDefault="005A148C" w14:paraId="37D892EF" w14:textId="3D2F1421">
      <w:pPr>
        <w:pStyle w:val="Standard"/>
      </w:pPr>
      <w:r>
        <w:t>Th</w:t>
      </w:r>
      <w:r w:rsidR="006D2B5F">
        <w:t>is decision modifies the Disadvantaged Communit</w:t>
      </w:r>
      <w:r w:rsidR="00657A98">
        <w:t>ies</w:t>
      </w:r>
      <w:r w:rsidR="00702947">
        <w:t xml:space="preserve"> — </w:t>
      </w:r>
      <w:r w:rsidR="006D2B5F">
        <w:t>Single</w:t>
      </w:r>
      <w:r w:rsidR="00C54EC9">
        <w:noBreakHyphen/>
      </w:r>
      <w:r w:rsidR="00657A98">
        <w:t>f</w:t>
      </w:r>
      <w:r w:rsidR="006D2B5F">
        <w:t>amily Solar Homes (DAC</w:t>
      </w:r>
      <w:r w:rsidR="00C54EC9">
        <w:noBreakHyphen/>
      </w:r>
      <w:r w:rsidR="006D2B5F">
        <w:t xml:space="preserve">SASH) program </w:t>
      </w:r>
      <w:r w:rsidR="00657A98">
        <w:t>to</w:t>
      </w:r>
      <w:r w:rsidR="00770AAD">
        <w:t xml:space="preserve"> </w:t>
      </w:r>
      <w:r w:rsidR="008F48C3">
        <w:t>adopt new budget reporting, administrative spending, and program</w:t>
      </w:r>
      <w:r w:rsidR="006A67E9">
        <w:t xml:space="preserve"> guidelines and</w:t>
      </w:r>
      <w:r w:rsidR="008F48C3">
        <w:t xml:space="preserve"> </w:t>
      </w:r>
      <w:r w:rsidR="006A67E9">
        <w:t>requirements</w:t>
      </w:r>
      <w:r w:rsidR="008F48C3">
        <w:t>. This decision specifically im</w:t>
      </w:r>
      <w:r w:rsidR="00770AAD">
        <w:t>plement</w:t>
      </w:r>
      <w:r w:rsidR="008F48C3">
        <w:t>s</w:t>
      </w:r>
      <w:r w:rsidR="00657A98">
        <w:t xml:space="preserve"> </w:t>
      </w:r>
      <w:r w:rsidR="006D2B5F">
        <w:t>the following changes:</w:t>
      </w:r>
    </w:p>
    <w:p w:rsidR="00024945" w:rsidP="003301F9" w:rsidRDefault="006D2B5F" w14:paraId="3D764807" w14:textId="04BC4A49">
      <w:pPr>
        <w:pStyle w:val="BlockQuoteH033"/>
        <w:numPr>
          <w:ilvl w:val="0"/>
          <w:numId w:val="114"/>
        </w:numPr>
        <w:ind w:left="1195" w:hanging="475"/>
        <w:rPr>
          <w:rFonts w:eastAsia="Cambria" w:cs="Cambria"/>
        </w:rPr>
      </w:pPr>
      <w:r>
        <w:t xml:space="preserve">Authorizes Pacific Gas and Electric Company, Southern California Edison Company, and </w:t>
      </w:r>
      <w:r w:rsidR="00820BD7">
        <w:t>San </w:t>
      </w:r>
      <w:r>
        <w:t>Diego Gas</w:t>
      </w:r>
      <w:r w:rsidR="00820BD7">
        <w:t xml:space="preserve"> &amp; </w:t>
      </w:r>
      <w:r>
        <w:t xml:space="preserve">Electric Company </w:t>
      </w:r>
      <w:r w:rsidR="00061E52">
        <w:t xml:space="preserve">(SDG&amp;E) </w:t>
      </w:r>
      <w:r w:rsidR="00A23EBF">
        <w:t>(</w:t>
      </w:r>
      <w:r>
        <w:t>collectively</w:t>
      </w:r>
      <w:r w:rsidR="00A23EBF">
        <w:t>,</w:t>
      </w:r>
      <w:r>
        <w:t xml:space="preserve"> the </w:t>
      </w:r>
      <w:r w:rsidR="001D3874">
        <w:t>investor</w:t>
      </w:r>
      <w:r w:rsidR="00C54EC9">
        <w:noBreakHyphen/>
      </w:r>
      <w:r w:rsidR="001D3874">
        <w:t xml:space="preserve">owned utilities </w:t>
      </w:r>
      <w:r>
        <w:t>(IOUs)</w:t>
      </w:r>
      <w:r w:rsidR="00A23EBF">
        <w:t>)</w:t>
      </w:r>
      <w:r>
        <w:t xml:space="preserve"> to</w:t>
      </w:r>
      <w:r w:rsidRPr="7149CF29">
        <w:rPr>
          <w:rFonts w:eastAsia="Cambria" w:cs="Cambria"/>
        </w:rPr>
        <w:t xml:space="preserve"> use available accrued interest funds in their DAC</w:t>
      </w:r>
      <w:r w:rsidR="00C54EC9">
        <w:rPr>
          <w:rFonts w:eastAsia="Cambria" w:cs="Cambria"/>
        </w:rPr>
        <w:noBreakHyphen/>
      </w:r>
      <w:r w:rsidRPr="7149CF29">
        <w:rPr>
          <w:rFonts w:eastAsia="Cambria" w:cs="Cambria"/>
        </w:rPr>
        <w:t xml:space="preserve">SASH program balancing accounts to </w:t>
      </w:r>
      <w:r w:rsidRPr="7149CF29" w:rsidR="006A67E9">
        <w:rPr>
          <w:rFonts w:eastAsia="Cambria" w:cs="Cambria"/>
        </w:rPr>
        <w:t>recover</w:t>
      </w:r>
      <w:r w:rsidRPr="7149CF29">
        <w:rPr>
          <w:rFonts w:eastAsia="Cambria" w:cs="Cambria"/>
        </w:rPr>
        <w:t xml:space="preserve"> </w:t>
      </w:r>
      <w:r w:rsidRPr="7149CF29" w:rsidR="00D50858">
        <w:rPr>
          <w:rFonts w:eastAsia="Cambria" w:cs="Cambria"/>
        </w:rPr>
        <w:t xml:space="preserve">future </w:t>
      </w:r>
      <w:r w:rsidRPr="7149CF29">
        <w:rPr>
          <w:rFonts w:eastAsia="Cambria" w:cs="Cambria"/>
        </w:rPr>
        <w:t xml:space="preserve">IOU </w:t>
      </w:r>
      <w:r w:rsidR="003868E2">
        <w:rPr>
          <w:rFonts w:eastAsia="Cambria" w:cs="Cambria"/>
        </w:rPr>
        <w:t>marketing</w:t>
      </w:r>
      <w:r w:rsidRPr="7149CF29">
        <w:rPr>
          <w:rFonts w:eastAsia="Cambria" w:cs="Cambria"/>
        </w:rPr>
        <w:t xml:space="preserve">, </w:t>
      </w:r>
      <w:r w:rsidR="003868E2">
        <w:rPr>
          <w:rFonts w:eastAsia="Cambria" w:cs="Cambria"/>
        </w:rPr>
        <w:t>e</w:t>
      </w:r>
      <w:r w:rsidRPr="7149CF29" w:rsidR="003868E2">
        <w:rPr>
          <w:rFonts w:eastAsia="Cambria" w:cs="Cambria"/>
        </w:rPr>
        <w:t>ducation</w:t>
      </w:r>
      <w:r w:rsidRPr="7149CF29">
        <w:rPr>
          <w:rFonts w:eastAsia="Cambria" w:cs="Cambria"/>
        </w:rPr>
        <w:t xml:space="preserve">, and </w:t>
      </w:r>
      <w:r w:rsidR="003868E2">
        <w:rPr>
          <w:rFonts w:eastAsia="Cambria" w:cs="Cambria"/>
        </w:rPr>
        <w:t>o</w:t>
      </w:r>
      <w:r w:rsidRPr="7149CF29" w:rsidR="003868E2">
        <w:rPr>
          <w:rFonts w:eastAsia="Cambria" w:cs="Cambria"/>
        </w:rPr>
        <w:t xml:space="preserve">utreach </w:t>
      </w:r>
      <w:r w:rsidR="006664A9">
        <w:rPr>
          <w:rFonts w:eastAsia="Cambria" w:cs="Cambria"/>
        </w:rPr>
        <w:t xml:space="preserve">(ME&amp;O) </w:t>
      </w:r>
      <w:r w:rsidRPr="7149CF29">
        <w:rPr>
          <w:rFonts w:eastAsia="Cambria" w:cs="Cambria"/>
        </w:rPr>
        <w:t xml:space="preserve">and administrative </w:t>
      </w:r>
      <w:r w:rsidRPr="7149CF29" w:rsidR="006A67E9">
        <w:rPr>
          <w:rFonts w:eastAsia="Cambria" w:cs="Cambria"/>
        </w:rPr>
        <w:t>expens</w:t>
      </w:r>
      <w:r w:rsidRPr="7149CF29">
        <w:rPr>
          <w:rFonts w:eastAsia="Cambria" w:cs="Cambria"/>
        </w:rPr>
        <w:t>es.</w:t>
      </w:r>
    </w:p>
    <w:p w:rsidR="0073353F" w:rsidP="003301F9" w:rsidRDefault="006D2B5F" w14:paraId="0C63A634" w14:textId="292661A2">
      <w:pPr>
        <w:pStyle w:val="BlockQuoteH033"/>
        <w:numPr>
          <w:ilvl w:val="0"/>
          <w:numId w:val="114"/>
        </w:numPr>
        <w:ind w:left="1195" w:hanging="475"/>
      </w:pPr>
      <w:r w:rsidRPr="61624AED">
        <w:rPr>
          <w:rFonts w:eastAsia="Cambria" w:cs="Cambria"/>
        </w:rPr>
        <w:t>Requires the IOUs to report the use of their respective accrued interest balances</w:t>
      </w:r>
      <w:r w:rsidR="006664A9">
        <w:rPr>
          <w:rFonts w:eastAsia="Cambria" w:cs="Cambria"/>
        </w:rPr>
        <w:t xml:space="preserve"> for DAC</w:t>
      </w:r>
      <w:r w:rsidR="00C54EC9">
        <w:rPr>
          <w:rFonts w:eastAsia="Cambria" w:cs="Cambria"/>
        </w:rPr>
        <w:noBreakHyphen/>
      </w:r>
      <w:r w:rsidR="006664A9">
        <w:rPr>
          <w:rFonts w:eastAsia="Cambria" w:cs="Cambria"/>
        </w:rPr>
        <w:t>SASH administrative and ME&amp;O expenses</w:t>
      </w:r>
      <w:r w:rsidRPr="61624AED">
        <w:rPr>
          <w:rFonts w:eastAsia="Cambria" w:cs="Cambria"/>
        </w:rPr>
        <w:t xml:space="preserve"> in the </w:t>
      </w:r>
      <w:r w:rsidR="00CD2EFE">
        <w:rPr>
          <w:rFonts w:eastAsia="Cambria" w:cs="Cambria"/>
        </w:rPr>
        <w:t>p</w:t>
      </w:r>
      <w:r w:rsidRPr="61624AED">
        <w:rPr>
          <w:rFonts w:eastAsia="Cambria" w:cs="Cambria"/>
        </w:rPr>
        <w:t xml:space="preserve">roposed </w:t>
      </w:r>
      <w:r w:rsidR="00CD2EFE">
        <w:rPr>
          <w:rFonts w:eastAsia="Cambria" w:cs="Cambria"/>
        </w:rPr>
        <w:t>a</w:t>
      </w:r>
      <w:r w:rsidRPr="61624AED">
        <w:rPr>
          <w:rFonts w:eastAsia="Cambria" w:cs="Cambria"/>
        </w:rPr>
        <w:t xml:space="preserve">nnual </w:t>
      </w:r>
      <w:r w:rsidR="00CD2EFE">
        <w:rPr>
          <w:rFonts w:eastAsia="Cambria" w:cs="Cambria"/>
        </w:rPr>
        <w:t>b</w:t>
      </w:r>
      <w:r w:rsidRPr="61624AED">
        <w:rPr>
          <w:rFonts w:eastAsia="Cambria" w:cs="Cambria"/>
        </w:rPr>
        <w:t xml:space="preserve">udget </w:t>
      </w:r>
      <w:r w:rsidR="00AA65F3">
        <w:rPr>
          <w:rFonts w:eastAsia="Cambria" w:cs="Cambria"/>
        </w:rPr>
        <w:t>a</w:t>
      </w:r>
      <w:r w:rsidRPr="61624AED">
        <w:rPr>
          <w:rFonts w:eastAsia="Cambria" w:cs="Cambria"/>
        </w:rPr>
        <w:t xml:space="preserve">dvice </w:t>
      </w:r>
      <w:r w:rsidR="00AA65F3">
        <w:rPr>
          <w:rFonts w:eastAsia="Cambria" w:cs="Cambria"/>
        </w:rPr>
        <w:t>l</w:t>
      </w:r>
      <w:r w:rsidRPr="61624AED">
        <w:rPr>
          <w:rFonts w:eastAsia="Cambria" w:cs="Cambria"/>
        </w:rPr>
        <w:t>etters directed out of Decisio</w:t>
      </w:r>
      <w:r w:rsidRPr="61624AED" w:rsidR="00657A98">
        <w:rPr>
          <w:rFonts w:eastAsia="Cambria" w:cs="Cambria"/>
        </w:rPr>
        <w:t>n</w:t>
      </w:r>
      <w:r w:rsidR="00DE4737">
        <w:rPr>
          <w:rFonts w:eastAsia="Cambria" w:cs="Cambria"/>
        </w:rPr>
        <w:t xml:space="preserve"> </w:t>
      </w:r>
      <w:r w:rsidR="006664A9">
        <w:rPr>
          <w:rFonts w:eastAsia="Cambria" w:cs="Cambria"/>
        </w:rPr>
        <w:t>(D.)</w:t>
      </w:r>
      <w:r w:rsidR="00DE4737">
        <w:rPr>
          <w:rFonts w:eastAsia="Cambria" w:cs="Cambria"/>
        </w:rPr>
        <w:t> </w:t>
      </w:r>
      <w:r w:rsidRPr="61624AED">
        <w:rPr>
          <w:rFonts w:eastAsia="Cambria" w:cs="Cambria"/>
        </w:rPr>
        <w:t>20</w:t>
      </w:r>
      <w:r w:rsidR="00C54EC9">
        <w:rPr>
          <w:rFonts w:eastAsia="Cambria" w:cs="Cambria"/>
        </w:rPr>
        <w:noBreakHyphen/>
      </w:r>
      <w:r w:rsidRPr="61624AED">
        <w:rPr>
          <w:rFonts w:eastAsia="Cambria" w:cs="Cambria"/>
        </w:rPr>
        <w:t>12</w:t>
      </w:r>
      <w:r w:rsidR="00C54EC9">
        <w:rPr>
          <w:rFonts w:eastAsia="Cambria" w:cs="Cambria"/>
        </w:rPr>
        <w:noBreakHyphen/>
      </w:r>
      <w:r w:rsidRPr="61624AED">
        <w:rPr>
          <w:rFonts w:eastAsia="Cambria" w:cs="Cambria"/>
        </w:rPr>
        <w:t xml:space="preserve">003 </w:t>
      </w:r>
      <w:r w:rsidR="005D0B95">
        <w:rPr>
          <w:rFonts w:eastAsia="Cambria" w:cs="Cambria"/>
        </w:rPr>
        <w:t>Ordering Paragraph 6</w:t>
      </w:r>
      <w:r>
        <w:t>.</w:t>
      </w:r>
    </w:p>
    <w:p w:rsidR="006664A9" w:rsidP="003301F9" w:rsidRDefault="006664A9" w14:paraId="6A102434" w14:textId="7C9B2AAA">
      <w:pPr>
        <w:pStyle w:val="BlockQuoteH033"/>
        <w:numPr>
          <w:ilvl w:val="0"/>
          <w:numId w:val="114"/>
        </w:numPr>
        <w:ind w:left="1195" w:hanging="475"/>
      </w:pPr>
      <w:r>
        <w:t>Authorizes the IOUs to seek recovery of their approved DAC</w:t>
      </w:r>
      <w:r w:rsidR="00C54EC9">
        <w:noBreakHyphen/>
      </w:r>
      <w:r>
        <w:t>SASH administrative and ME&amp;O expenses</w:t>
      </w:r>
      <w:r w:rsidR="006C5220">
        <w:t xml:space="preserve"> without a rate of return</w:t>
      </w:r>
      <w:r>
        <w:t xml:space="preserve"> through their annual Energy Resource and Recovery Account applications as ordered by D.20</w:t>
      </w:r>
      <w:r w:rsidR="00C54EC9">
        <w:noBreakHyphen/>
      </w:r>
      <w:r>
        <w:t>12</w:t>
      </w:r>
      <w:r w:rsidR="00C54EC9">
        <w:noBreakHyphen/>
      </w:r>
      <w:r>
        <w:t xml:space="preserve">003 </w:t>
      </w:r>
      <w:r w:rsidR="005D0B95">
        <w:t>Ordering Paragraph 7</w:t>
      </w:r>
      <w:r>
        <w:t>.</w:t>
      </w:r>
    </w:p>
    <w:p w:rsidR="002F0CEE" w:rsidP="003301F9" w:rsidRDefault="002F0CEE" w14:paraId="04252495" w14:textId="7968D366">
      <w:pPr>
        <w:pStyle w:val="BlockQuoteH033"/>
        <w:numPr>
          <w:ilvl w:val="0"/>
          <w:numId w:val="114"/>
        </w:numPr>
        <w:ind w:left="1195" w:hanging="475"/>
      </w:pPr>
      <w:r>
        <w:t>L</w:t>
      </w:r>
      <w:r w:rsidRPr="00480120">
        <w:t>imit</w:t>
      </w:r>
      <w:r>
        <w:t>s</w:t>
      </w:r>
      <w:r w:rsidRPr="00480120">
        <w:t xml:space="preserve"> annual transfers </w:t>
      </w:r>
      <w:r>
        <w:t xml:space="preserve">by SDG&amp;E </w:t>
      </w:r>
      <w:r w:rsidRPr="00480120">
        <w:t>into its DAC</w:t>
      </w:r>
      <w:r w:rsidR="00C54EC9">
        <w:noBreakHyphen/>
      </w:r>
      <w:r w:rsidRPr="00480120">
        <w:t xml:space="preserve">SASH Balancing Account </w:t>
      </w:r>
      <w:r w:rsidR="00A74E98">
        <w:t>to</w:t>
      </w:r>
      <w:r w:rsidRPr="00480120">
        <w:t xml:space="preserve"> its Commission</w:t>
      </w:r>
      <w:r w:rsidR="00C54EC9">
        <w:noBreakHyphen/>
      </w:r>
      <w:r w:rsidRPr="00480120">
        <w:t>authorized annual DAC</w:t>
      </w:r>
      <w:r w:rsidR="00C54EC9">
        <w:noBreakHyphen/>
      </w:r>
      <w:r w:rsidRPr="00480120">
        <w:t>SASH funding allocation</w:t>
      </w:r>
      <w:r>
        <w:t>.</w:t>
      </w:r>
    </w:p>
    <w:p w:rsidR="00494239" w:rsidP="003301F9" w:rsidRDefault="00AC7359" w14:paraId="328D8B83" w14:textId="3597E072">
      <w:pPr>
        <w:pStyle w:val="BlockQuoteH033"/>
        <w:numPr>
          <w:ilvl w:val="0"/>
          <w:numId w:val="114"/>
        </w:numPr>
        <w:ind w:left="1195" w:hanging="475"/>
      </w:pPr>
      <w:r>
        <w:t xml:space="preserve">Orders the Program Administrator (PA) to </w:t>
      </w:r>
      <w:r w:rsidRPr="7149CF29">
        <w:rPr>
          <w:rFonts w:eastAsia="Cambria" w:cs="Cambria"/>
        </w:rPr>
        <w:t>track, account for, and report all external funds used to support DAC</w:t>
      </w:r>
      <w:r w:rsidR="00C54EC9">
        <w:rPr>
          <w:rFonts w:eastAsia="Cambria" w:cs="Cambria"/>
        </w:rPr>
        <w:noBreakHyphen/>
      </w:r>
      <w:r w:rsidRPr="7149CF29">
        <w:rPr>
          <w:rFonts w:eastAsia="Cambria" w:cs="Cambria"/>
        </w:rPr>
        <w:t>SASH program activities at the project level and to include these costs in its DAC</w:t>
      </w:r>
      <w:r w:rsidR="00C54EC9">
        <w:rPr>
          <w:rFonts w:eastAsia="Cambria" w:cs="Cambria"/>
        </w:rPr>
        <w:noBreakHyphen/>
      </w:r>
      <w:r w:rsidRPr="7149CF29">
        <w:rPr>
          <w:rFonts w:eastAsia="Cambria" w:cs="Cambria"/>
        </w:rPr>
        <w:t xml:space="preserve">SASH </w:t>
      </w:r>
      <w:r w:rsidR="00934DAD">
        <w:rPr>
          <w:rFonts w:eastAsia="Cambria" w:cs="Cambria"/>
        </w:rPr>
        <w:t>s</w:t>
      </w:r>
      <w:r w:rsidRPr="7149CF29" w:rsidR="00934DAD">
        <w:rPr>
          <w:rFonts w:eastAsia="Cambria" w:cs="Cambria"/>
        </w:rPr>
        <w:t>emi</w:t>
      </w:r>
      <w:r w:rsidR="00C54EC9">
        <w:rPr>
          <w:rFonts w:eastAsia="Cambria" w:cs="Cambria"/>
        </w:rPr>
        <w:noBreakHyphen/>
      </w:r>
      <w:r w:rsidRPr="7149CF29">
        <w:rPr>
          <w:rFonts w:eastAsia="Cambria" w:cs="Cambria"/>
        </w:rPr>
        <w:t xml:space="preserve">annual </w:t>
      </w:r>
      <w:r w:rsidR="00934DAD">
        <w:rPr>
          <w:rFonts w:eastAsia="Cambria" w:cs="Cambria"/>
        </w:rPr>
        <w:t>r</w:t>
      </w:r>
      <w:r w:rsidRPr="7149CF29" w:rsidR="00934DAD">
        <w:rPr>
          <w:rFonts w:eastAsia="Cambria" w:cs="Cambria"/>
        </w:rPr>
        <w:t>eports</w:t>
      </w:r>
      <w:r w:rsidRPr="7149CF29">
        <w:rPr>
          <w:rFonts w:eastAsia="Cambria" w:cs="Cambria"/>
        </w:rPr>
        <w:t>.</w:t>
      </w:r>
    </w:p>
    <w:p w:rsidRPr="00494239" w:rsidR="00AC7359" w:rsidP="003301F9" w:rsidRDefault="00AC7359" w14:paraId="19D2E0D0" w14:textId="4AB4C848">
      <w:pPr>
        <w:pStyle w:val="BlockQuoteH033subH033"/>
        <w:numPr>
          <w:ilvl w:val="1"/>
          <w:numId w:val="114"/>
        </w:numPr>
        <w:ind w:left="1670" w:hanging="475"/>
      </w:pPr>
      <w:r>
        <w:t>Authorizes the PA</w:t>
      </w:r>
      <w:r w:rsidRPr="755E6C24">
        <w:t xml:space="preserve"> to use a one</w:t>
      </w:r>
      <w:r w:rsidR="00C54EC9">
        <w:noBreakHyphen/>
      </w:r>
      <w:r w:rsidRPr="755E6C24">
        <w:t>time allocation of $</w:t>
      </w:r>
      <w:r w:rsidR="00494239">
        <w:t>5</w:t>
      </w:r>
      <w:r w:rsidRPr="755E6C24">
        <w:t>0</w:t>
      </w:r>
      <w:r>
        <w:t>,000</w:t>
      </w:r>
      <w:r w:rsidRPr="755E6C24">
        <w:t xml:space="preserve"> of </w:t>
      </w:r>
      <w:r w:rsidRPr="003301F9">
        <w:rPr>
          <w:rFonts w:eastAsia="Cambria" w:cs="Cambria"/>
          <w:szCs w:val="26"/>
        </w:rPr>
        <w:t>the</w:t>
      </w:r>
      <w:r w:rsidRPr="755E6C24">
        <w:t xml:space="preserve"> remaining accrued interest </w:t>
      </w:r>
      <w:r>
        <w:t>in the IOUs</w:t>
      </w:r>
      <w:r w:rsidR="008230EB">
        <w:t>’</w:t>
      </w:r>
      <w:r>
        <w:t xml:space="preserve"> </w:t>
      </w:r>
      <w:r w:rsidRPr="00494239">
        <w:rPr>
          <w:rFonts w:eastAsia="Cambria" w:cs="Cambria"/>
          <w:szCs w:val="26"/>
        </w:rPr>
        <w:t>DAC</w:t>
      </w:r>
      <w:r w:rsidR="00C54EC9">
        <w:rPr>
          <w:rFonts w:eastAsia="Cambria" w:cs="Cambria"/>
          <w:szCs w:val="26"/>
        </w:rPr>
        <w:noBreakHyphen/>
      </w:r>
      <w:r w:rsidRPr="00494239">
        <w:rPr>
          <w:rFonts w:eastAsia="Cambria" w:cs="Cambria"/>
          <w:szCs w:val="26"/>
        </w:rPr>
        <w:t xml:space="preserve">SASH balancing accounts </w:t>
      </w:r>
      <w:r w:rsidRPr="755E6C24">
        <w:t xml:space="preserve">for targeted </w:t>
      </w:r>
      <w:r w:rsidRPr="755E6C24">
        <w:lastRenderedPageBreak/>
        <w:t xml:space="preserve">improvements to </w:t>
      </w:r>
      <w:r>
        <w:t>the PA</w:t>
      </w:r>
      <w:r w:rsidR="008230EB">
        <w:t>’</w:t>
      </w:r>
      <w:r w:rsidRPr="755E6C24">
        <w:t xml:space="preserve">s </w:t>
      </w:r>
      <w:r>
        <w:t>a</w:t>
      </w:r>
      <w:r w:rsidRPr="755E6C24">
        <w:t>dministrative budget activities</w:t>
      </w:r>
      <w:r>
        <w:t xml:space="preserve"> and </w:t>
      </w:r>
      <w:r w:rsidRPr="755E6C24">
        <w:t xml:space="preserve">to cover any incremental changes to facilitate </w:t>
      </w:r>
      <w:r>
        <w:t>the PA</w:t>
      </w:r>
      <w:r w:rsidR="008230EB">
        <w:t>’</w:t>
      </w:r>
      <w:r w:rsidRPr="755E6C24">
        <w:t xml:space="preserve">s reporting on </w:t>
      </w:r>
      <w:r>
        <w:t>external</w:t>
      </w:r>
      <w:r w:rsidRPr="755E6C24">
        <w:t xml:space="preserve"> funding and program participation outcomes. </w:t>
      </w:r>
      <w:r>
        <w:t>Orders the PA</w:t>
      </w:r>
      <w:r w:rsidR="00AD64A6">
        <w:t>,</w:t>
      </w:r>
      <w:r>
        <w:t xml:space="preserve"> w</w:t>
      </w:r>
      <w:r w:rsidRPr="755E6C24">
        <w:t xml:space="preserve">ithin </w:t>
      </w:r>
      <w:r w:rsidR="00345B5F">
        <w:t>90</w:t>
      </w:r>
      <w:r w:rsidR="0065601B">
        <w:t xml:space="preserve"> </w:t>
      </w:r>
      <w:r w:rsidRPr="755E6C24">
        <w:t xml:space="preserve">days of </w:t>
      </w:r>
      <w:r>
        <w:t xml:space="preserve">the </w:t>
      </w:r>
      <w:r w:rsidRPr="755E6C24">
        <w:t>issuance of th</w:t>
      </w:r>
      <w:r>
        <w:t>is</w:t>
      </w:r>
      <w:r w:rsidRPr="755E6C24">
        <w:t xml:space="preserve"> </w:t>
      </w:r>
      <w:r>
        <w:t>d</w:t>
      </w:r>
      <w:r w:rsidRPr="755E6C24">
        <w:t>ecision</w:t>
      </w:r>
      <w:r w:rsidR="00AD64A6">
        <w:t>,</w:t>
      </w:r>
      <w:r>
        <w:t xml:space="preserve"> to</w:t>
      </w:r>
      <w:r w:rsidRPr="755E6C24">
        <w:t xml:space="preserve"> file a </w:t>
      </w:r>
      <w:r w:rsidR="001C3D54">
        <w:t>Tier </w:t>
      </w:r>
      <w:r w:rsidRPr="755E6C24">
        <w:t xml:space="preserve">2 advice letter documenting its implementation plan </w:t>
      </w:r>
      <w:r w:rsidR="00534106">
        <w:t>for reporting on external DAC</w:t>
      </w:r>
      <w:r w:rsidR="00C54EC9">
        <w:noBreakHyphen/>
      </w:r>
      <w:r w:rsidR="00534106">
        <w:t xml:space="preserve">SASH funding </w:t>
      </w:r>
      <w:r w:rsidRPr="755E6C24">
        <w:t>with a budget and timeline</w:t>
      </w:r>
      <w:r>
        <w:t xml:space="preserve"> and to </w:t>
      </w:r>
      <w:r w:rsidRPr="755E6C24">
        <w:t xml:space="preserve">document the actual usage and implementation of these additional funds in its </w:t>
      </w:r>
      <w:r w:rsidR="00B72E11">
        <w:t>Quarter </w:t>
      </w:r>
      <w:r w:rsidRPr="755E6C24">
        <w:t>1</w:t>
      </w:r>
      <w:r w:rsidR="00C54EC9">
        <w:noBreakHyphen/>
      </w:r>
      <w:r w:rsidR="00B72E11">
        <w:t>Quarter </w:t>
      </w:r>
      <w:r w:rsidRPr="755E6C24">
        <w:t>2 2027 Semi</w:t>
      </w:r>
      <w:r w:rsidR="00C54EC9">
        <w:noBreakHyphen/>
      </w:r>
      <w:r>
        <w:t>a</w:t>
      </w:r>
      <w:r w:rsidRPr="755E6C24">
        <w:t>nnual Progress Report.</w:t>
      </w:r>
    </w:p>
    <w:p w:rsidR="00494239" w:rsidP="003301F9" w:rsidRDefault="00AC7359" w14:paraId="360E2E80" w14:textId="6E684614">
      <w:pPr>
        <w:pStyle w:val="BlockQuoteH033"/>
        <w:numPr>
          <w:ilvl w:val="0"/>
          <w:numId w:val="114"/>
        </w:numPr>
        <w:ind w:left="1195" w:hanging="475"/>
      </w:pPr>
      <w:r>
        <w:t>Directs the PA to track referrals and develop strategies to improve participation in related programs</w:t>
      </w:r>
      <w:r w:rsidR="0013264A">
        <w:t>,</w:t>
      </w:r>
      <w:r>
        <w:t xml:space="preserve"> such as California Alternative Rates for Energy, Energy Savings Assistance, and Medical Baseline.</w:t>
      </w:r>
    </w:p>
    <w:p w:rsidR="00293AFA" w:rsidP="003301F9" w:rsidRDefault="00293AFA" w14:paraId="0ADD0F16" w14:textId="61A51F1E">
      <w:pPr>
        <w:pStyle w:val="BlockQuoteH033"/>
        <w:numPr>
          <w:ilvl w:val="0"/>
          <w:numId w:val="114"/>
        </w:numPr>
        <w:ind w:left="1195" w:hanging="475"/>
      </w:pPr>
      <w:r>
        <w:t>Prohibits DAC</w:t>
      </w:r>
      <w:r w:rsidR="00C54EC9">
        <w:noBreakHyphen/>
      </w:r>
      <w:r>
        <w:t>SASH projects from receiving total project incentives from DAC</w:t>
      </w:r>
      <w:r w:rsidR="00C54EC9">
        <w:noBreakHyphen/>
      </w:r>
      <w:r>
        <w:t>SASH or any other complementary incentive programs in excess of project costs.</w:t>
      </w:r>
    </w:p>
    <w:p w:rsidR="00494239" w:rsidP="003301F9" w:rsidRDefault="00F944BA" w14:paraId="57A98650" w14:textId="386A43AF">
      <w:pPr>
        <w:pStyle w:val="BlockQuoteH033"/>
        <w:numPr>
          <w:ilvl w:val="0"/>
          <w:numId w:val="114"/>
        </w:numPr>
        <w:ind w:left="1195" w:hanging="475"/>
      </w:pPr>
      <w:r>
        <w:t xml:space="preserve">Confirms that the Expected Performance Based </w:t>
      </w:r>
      <w:r w:rsidR="00B72FF3">
        <w:t>Buyout Calculator should remain the primary tool for calculating DAC</w:t>
      </w:r>
      <w:r w:rsidR="00C54EC9">
        <w:noBreakHyphen/>
      </w:r>
      <w:r w:rsidR="00B72FF3">
        <w:t>SASH system sizes but authorizes the PA to propose different tools.</w:t>
      </w:r>
    </w:p>
    <w:p w:rsidR="00494239" w:rsidP="003301F9" w:rsidRDefault="00C018B5" w14:paraId="0CE403C0" w14:textId="00F7D6D5">
      <w:pPr>
        <w:pStyle w:val="BlockQuoteH033"/>
        <w:numPr>
          <w:ilvl w:val="0"/>
          <w:numId w:val="114"/>
        </w:numPr>
        <w:ind w:left="1195" w:hanging="475"/>
      </w:pPr>
      <w:r>
        <w:t>Removes job training</w:t>
      </w:r>
      <w:r w:rsidR="003A740D">
        <w:t>,</w:t>
      </w:r>
      <w:r w:rsidR="003959F9">
        <w:t xml:space="preserve"> workforce development</w:t>
      </w:r>
      <w:r w:rsidR="003A740D">
        <w:t>, and trainee hiring</w:t>
      </w:r>
      <w:r w:rsidR="003959F9">
        <w:t xml:space="preserve"> </w:t>
      </w:r>
      <w:r>
        <w:t>requirement</w:t>
      </w:r>
      <w:r w:rsidR="006A67E9">
        <w:t>s</w:t>
      </w:r>
      <w:r>
        <w:t xml:space="preserve"> from the DAC</w:t>
      </w:r>
      <w:r w:rsidR="00C54EC9">
        <w:noBreakHyphen/>
      </w:r>
      <w:r>
        <w:t>SASH Program Handbook.</w:t>
      </w:r>
    </w:p>
    <w:p w:rsidR="00494239" w:rsidP="003301F9" w:rsidRDefault="00572255" w14:paraId="172AA0DE" w14:textId="7CB18EA8">
      <w:pPr>
        <w:pStyle w:val="BlockQuoteH033"/>
        <w:numPr>
          <w:ilvl w:val="0"/>
          <w:numId w:val="114"/>
        </w:numPr>
        <w:ind w:left="1195" w:hanging="475"/>
      </w:pPr>
      <w:r>
        <w:t>Declines to expand the DAC</w:t>
      </w:r>
      <w:r w:rsidR="00C54EC9">
        <w:noBreakHyphen/>
      </w:r>
      <w:r>
        <w:t>SASH Program to include battery storage.</w:t>
      </w:r>
    </w:p>
    <w:p w:rsidR="00494239" w:rsidP="003301F9" w:rsidRDefault="003A740D" w14:paraId="135D786E" w14:textId="30129667">
      <w:pPr>
        <w:pStyle w:val="BlockQuoteH033"/>
        <w:numPr>
          <w:ilvl w:val="0"/>
          <w:numId w:val="114"/>
        </w:numPr>
        <w:ind w:left="1195" w:hanging="475"/>
      </w:pPr>
      <w:r>
        <w:t xml:space="preserve">Removes the requirement </w:t>
      </w:r>
      <w:r w:rsidR="006A67E9">
        <w:t>in the DAC</w:t>
      </w:r>
      <w:r w:rsidR="00C54EC9">
        <w:noBreakHyphen/>
      </w:r>
      <w:r w:rsidR="006A67E9">
        <w:t xml:space="preserve">SASH Program Handbook </w:t>
      </w:r>
      <w:r>
        <w:t>for the PA to offer energy efficiency education to DAC</w:t>
      </w:r>
      <w:r w:rsidR="00C54EC9">
        <w:noBreakHyphen/>
      </w:r>
      <w:r>
        <w:t>SASH applicants.</w:t>
      </w:r>
    </w:p>
    <w:p w:rsidRPr="00494239" w:rsidR="00C018B5" w:rsidP="003301F9" w:rsidRDefault="00C018B5" w14:paraId="5B61250A" w14:textId="2F7BB57A">
      <w:pPr>
        <w:pStyle w:val="BlockQuoteH033"/>
        <w:numPr>
          <w:ilvl w:val="0"/>
          <w:numId w:val="114"/>
        </w:numPr>
        <w:ind w:left="1195" w:hanging="475"/>
      </w:pPr>
      <w:r>
        <w:t>Includes meter socket adapters as eligibl</w:t>
      </w:r>
      <w:r w:rsidR="003959F9">
        <w:t>e</w:t>
      </w:r>
      <w:r>
        <w:t xml:space="preserve"> DAC</w:t>
      </w:r>
      <w:r w:rsidR="00C54EC9">
        <w:noBreakHyphen/>
      </w:r>
      <w:r>
        <w:t xml:space="preserve">SASH </w:t>
      </w:r>
      <w:r w:rsidR="003959F9">
        <w:t>equipment</w:t>
      </w:r>
      <w:r w:rsidR="006A67E9">
        <w:t xml:space="preserve"> in the DAC</w:t>
      </w:r>
      <w:r w:rsidR="00C54EC9">
        <w:noBreakHyphen/>
      </w:r>
      <w:r w:rsidR="006A67E9">
        <w:t>SASH Program Handbook</w:t>
      </w:r>
      <w:r>
        <w:t>.</w:t>
      </w:r>
    </w:p>
    <w:p w:rsidR="005A148C" w:rsidP="00436086" w:rsidRDefault="002C7FE9" w14:paraId="65EBCB04" w14:textId="77777777">
      <w:pPr>
        <w:pStyle w:val="Heading1"/>
      </w:pPr>
      <w:bookmarkStart w:name="_Toc8123715" w:id="6"/>
      <w:bookmarkStart w:name="_Toc236292532" w:id="7"/>
      <w:bookmarkStart w:name="_Toc242090698" w:id="8"/>
      <w:r w:rsidRPr="00121089">
        <w:t>Background</w:t>
      </w:r>
      <w:bookmarkEnd w:id="6"/>
      <w:bookmarkEnd w:id="7"/>
      <w:bookmarkEnd w:id="8"/>
    </w:p>
    <w:p w:rsidR="00024945" w:rsidP="006A0988" w:rsidRDefault="009A64DE" w14:paraId="4A1970E1" w14:textId="2742D33E">
      <w:pPr>
        <w:pStyle w:val="Standard"/>
      </w:pPr>
      <w:bookmarkStart w:name="_Toc8123716" w:id="9"/>
      <w:r w:rsidRPr="009A64DE">
        <w:t>Assembly Bill (AB)</w:t>
      </w:r>
      <w:r w:rsidR="004909A7">
        <w:t> </w:t>
      </w:r>
      <w:r w:rsidRPr="009A64DE">
        <w:t>327 (Perea</w:t>
      </w:r>
      <w:r>
        <w:t>)</w:t>
      </w:r>
      <w:r w:rsidR="006A0988">
        <w:t>,</w:t>
      </w:r>
      <w:r>
        <w:t xml:space="preserve"> S</w:t>
      </w:r>
      <w:r w:rsidR="004909A7">
        <w:t>tats. </w:t>
      </w:r>
      <w:r>
        <w:t xml:space="preserve">213, </w:t>
      </w:r>
      <w:r w:rsidR="004909A7">
        <w:t>ch. </w:t>
      </w:r>
      <w:r>
        <w:t>611</w:t>
      </w:r>
      <w:r w:rsidRPr="009A64DE">
        <w:t xml:space="preserve"> created California Public Utilities (</w:t>
      </w:r>
      <w:r w:rsidR="00485DB0">
        <w:t>Pub. Util.</w:t>
      </w:r>
      <w:r w:rsidRPr="009A64DE">
        <w:t xml:space="preserve">) Code </w:t>
      </w:r>
      <w:r w:rsidR="008E3F57">
        <w:t>Section</w:t>
      </w:r>
      <w:r w:rsidR="002F23D7">
        <w:t> </w:t>
      </w:r>
      <w:r w:rsidRPr="009A64DE">
        <w:t xml:space="preserve">2827.1(b)(1), which requires the Commission to </w:t>
      </w:r>
      <w:r w:rsidRPr="009A64DE">
        <w:lastRenderedPageBreak/>
        <w:t xml:space="preserve">ensure </w:t>
      </w:r>
      <w:r w:rsidR="008230EB">
        <w:t>“</w:t>
      </w:r>
      <w:r w:rsidRPr="009A64DE">
        <w:t>that customer</w:t>
      </w:r>
      <w:r w:rsidR="00C54EC9">
        <w:noBreakHyphen/>
      </w:r>
      <w:r w:rsidRPr="009A64DE">
        <w:t xml:space="preserve">sited renewable distribution generation continues to grow sustainably and include specific alternatives designed for growth among residential customers in disadvantaged </w:t>
      </w:r>
      <w:bookmarkEnd w:id="9"/>
      <w:r w:rsidRPr="009A64DE">
        <w:t>communities.</w:t>
      </w:r>
      <w:r w:rsidR="008230EB">
        <w:t>”</w:t>
      </w:r>
      <w:r>
        <w:rPr>
          <w:rStyle w:val="FootnoteReference"/>
        </w:rPr>
        <w:footnoteReference w:id="2"/>
      </w:r>
      <w:r w:rsidRPr="009A64DE">
        <w:t xml:space="preserve"> In furtherance of this direction, the Commission established the </w:t>
      </w:r>
      <w:r w:rsidR="006A0988">
        <w:t>Disadvantaged Communities</w:t>
      </w:r>
      <w:r w:rsidR="00B72E11">
        <w:t xml:space="preserve"> — </w:t>
      </w:r>
      <w:r w:rsidR="006A0988">
        <w:t>Single</w:t>
      </w:r>
      <w:r w:rsidR="00C54EC9">
        <w:noBreakHyphen/>
      </w:r>
      <w:r w:rsidR="003959F9">
        <w:t>f</w:t>
      </w:r>
      <w:r w:rsidR="006A0988">
        <w:t>amil</w:t>
      </w:r>
      <w:r w:rsidR="000F6540">
        <w:t>y</w:t>
      </w:r>
      <w:r w:rsidR="006A0988">
        <w:t xml:space="preserve"> Solar Homes (</w:t>
      </w:r>
      <w:r w:rsidRPr="009A64DE">
        <w:t>DAC</w:t>
      </w:r>
      <w:r w:rsidR="00C54EC9">
        <w:noBreakHyphen/>
      </w:r>
      <w:r w:rsidRPr="009A64DE">
        <w:t>SASH</w:t>
      </w:r>
      <w:r w:rsidR="006A0988">
        <w:t>)</w:t>
      </w:r>
      <w:r w:rsidRPr="009A64DE">
        <w:t xml:space="preserve"> program in Decision (D.)</w:t>
      </w:r>
      <w:r w:rsidR="003E2681">
        <w:t> </w:t>
      </w:r>
      <w:r w:rsidRPr="009A64DE">
        <w:t>18</w:t>
      </w:r>
      <w:r w:rsidR="00C54EC9">
        <w:noBreakHyphen/>
      </w:r>
      <w:r w:rsidRPr="009A64DE">
        <w:t>06</w:t>
      </w:r>
      <w:r w:rsidR="00C54EC9">
        <w:noBreakHyphen/>
      </w:r>
      <w:r w:rsidRPr="009A64DE">
        <w:t>027 to enable income</w:t>
      </w:r>
      <w:r w:rsidR="00C54EC9">
        <w:noBreakHyphen/>
      </w:r>
      <w:r w:rsidRPr="009A64DE">
        <w:t>qualified homeowners in disadvantaged communities (DACs) to receive rooftop solar installations with incentives and customer protections. DAC</w:t>
      </w:r>
      <w:r w:rsidR="00C54EC9">
        <w:noBreakHyphen/>
      </w:r>
      <w:r w:rsidRPr="009A64DE">
        <w:t>SASH has an annual budget of $10</w:t>
      </w:r>
      <w:r w:rsidR="003E2681">
        <w:t> million</w:t>
      </w:r>
      <w:r w:rsidRPr="009A64DE">
        <w:t xml:space="preserve">, which began on </w:t>
      </w:r>
      <w:r w:rsidR="008230EB">
        <w:t>January </w:t>
      </w:r>
      <w:r w:rsidRPr="009A64DE">
        <w:t>1, 2019. Greenhouse gas (GHG) allowance auction proceeds fund the budget, to the extent available.</w:t>
      </w:r>
      <w:r>
        <w:rPr>
          <w:rStyle w:val="FootnoteReference"/>
        </w:rPr>
        <w:footnoteReference w:id="3"/>
      </w:r>
      <w:r w:rsidRPr="009A64DE">
        <w:t xml:space="preserve"> If GHG allowance auction proceeds are insufficient for a given year, the remainder of the budget is collected from ratepayers through public purpose program </w:t>
      </w:r>
      <w:r w:rsidR="003959F9">
        <w:t xml:space="preserve">(PPP) </w:t>
      </w:r>
      <w:r w:rsidRPr="009A64DE">
        <w:t>funds.</w:t>
      </w:r>
      <w:r>
        <w:rPr>
          <w:rStyle w:val="FootnoteReference"/>
        </w:rPr>
        <w:footnoteReference w:id="4"/>
      </w:r>
    </w:p>
    <w:p w:rsidR="00B65092" w:rsidP="00B65092" w:rsidRDefault="6F71C4E5" w14:paraId="43A12816" w14:textId="2CE45F35">
      <w:pPr>
        <w:pStyle w:val="Standard"/>
      </w:pPr>
      <w:r>
        <w:t xml:space="preserve">A single </w:t>
      </w:r>
      <w:r w:rsidR="006C5220">
        <w:t>Program Administrator (</w:t>
      </w:r>
      <w:r>
        <w:t>PA</w:t>
      </w:r>
      <w:r w:rsidR="006C5220">
        <w:t>)</w:t>
      </w:r>
      <w:r>
        <w:t>, GRID Alternatives (GRID), currently administers</w:t>
      </w:r>
      <w:r w:rsidR="79554FA6">
        <w:t xml:space="preserve"> all aspects of</w:t>
      </w:r>
      <w:r>
        <w:t xml:space="preserve"> DAC</w:t>
      </w:r>
      <w:r w:rsidR="00C54EC9">
        <w:noBreakHyphen/>
      </w:r>
      <w:r>
        <w:t xml:space="preserve">SASH. </w:t>
      </w:r>
      <w:r w:rsidRPr="00494239" w:rsidR="01AA9513">
        <w:rPr>
          <w:rFonts w:eastAsia="Calibri"/>
          <w:szCs w:val="26"/>
        </w:rPr>
        <w:t xml:space="preserve">The </w:t>
      </w:r>
      <w:r w:rsidR="00494239">
        <w:rPr>
          <w:rFonts w:eastAsia="Calibri"/>
          <w:szCs w:val="26"/>
        </w:rPr>
        <w:t>PA</w:t>
      </w:r>
      <w:r w:rsidRPr="00494239" w:rsidR="01AA9513">
        <w:rPr>
          <w:rFonts w:eastAsia="Calibri"/>
          <w:szCs w:val="26"/>
        </w:rPr>
        <w:t xml:space="preserve"> is responsible for implementing and administering the DAC</w:t>
      </w:r>
      <w:r w:rsidR="00C54EC9">
        <w:rPr>
          <w:rFonts w:eastAsia="Calibri"/>
          <w:szCs w:val="26"/>
        </w:rPr>
        <w:noBreakHyphen/>
      </w:r>
      <w:r w:rsidRPr="00494239" w:rsidR="01AA9513">
        <w:rPr>
          <w:rFonts w:eastAsia="Calibri"/>
          <w:szCs w:val="26"/>
        </w:rPr>
        <w:t>SASH program statewide, including participant eligibility</w:t>
      </w:r>
      <w:r w:rsidR="00796658">
        <w:rPr>
          <w:rFonts w:eastAsia="Calibri"/>
          <w:szCs w:val="26"/>
        </w:rPr>
        <w:t xml:space="preserve"> sc</w:t>
      </w:r>
      <w:r w:rsidR="0017144D">
        <w:rPr>
          <w:rFonts w:eastAsia="Calibri"/>
          <w:szCs w:val="26"/>
        </w:rPr>
        <w:t>r</w:t>
      </w:r>
      <w:r w:rsidR="00796658">
        <w:rPr>
          <w:rFonts w:eastAsia="Calibri"/>
          <w:szCs w:val="26"/>
        </w:rPr>
        <w:t>eens</w:t>
      </w:r>
      <w:r w:rsidRPr="00494239" w:rsidR="01AA9513">
        <w:rPr>
          <w:rFonts w:eastAsia="Calibri"/>
          <w:szCs w:val="26"/>
        </w:rPr>
        <w:t>, project oversight, incentive administration, compliance, reporting, and coordination with the Commission</w:t>
      </w:r>
      <w:r w:rsidR="008230EB">
        <w:rPr>
          <w:rFonts w:eastAsia="Calibri"/>
          <w:szCs w:val="26"/>
        </w:rPr>
        <w:t>’</w:t>
      </w:r>
      <w:r w:rsidRPr="00494239" w:rsidR="01AA9513">
        <w:rPr>
          <w:rFonts w:eastAsia="Calibri"/>
          <w:szCs w:val="26"/>
        </w:rPr>
        <w:t>s Energy Division.</w:t>
      </w:r>
      <w:r w:rsidRPr="31B52016" w:rsidR="01AA9513">
        <w:rPr>
          <w:rFonts w:eastAsia="Calibri"/>
          <w:szCs w:val="26"/>
        </w:rPr>
        <w:t xml:space="preserve"> </w:t>
      </w:r>
      <w:r w:rsidR="000F4EFC">
        <w:t>The program budget</w:t>
      </w:r>
      <w:r>
        <w:t xml:space="preserve"> is allocated as follows: 10% for administration</w:t>
      </w:r>
      <w:r w:rsidR="3DAD6589">
        <w:t>;</w:t>
      </w:r>
      <w:r>
        <w:t xml:space="preserve"> 4% for marketing and outreach</w:t>
      </w:r>
      <w:r w:rsidR="3DAD6589">
        <w:t>;</w:t>
      </w:r>
      <w:r>
        <w:t xml:space="preserve"> 1% for program evaluation</w:t>
      </w:r>
      <w:r w:rsidR="3DAD6589">
        <w:t>;</w:t>
      </w:r>
      <w:r>
        <w:t xml:space="preserve"> and 85% for incentives. </w:t>
      </w:r>
      <w:r w:rsidR="00A35128">
        <w:t>AB </w:t>
      </w:r>
      <w:r>
        <w:t>1207 (Irwin)</w:t>
      </w:r>
      <w:r w:rsidR="77AE79A8">
        <w:t>,</w:t>
      </w:r>
      <w:r>
        <w:t xml:space="preserve"> S</w:t>
      </w:r>
      <w:r w:rsidR="004909A7">
        <w:t>tats. </w:t>
      </w:r>
      <w:r>
        <w:t xml:space="preserve">2025, </w:t>
      </w:r>
      <w:r w:rsidR="004909A7">
        <w:t>ch. </w:t>
      </w:r>
      <w:r>
        <w:t>117 was signed into law in September 2025, ending the requirement for electrical corporations to allocate 15% of revenues received from GHG allowances for clean energy and energy efficiency projects (including DAC</w:t>
      </w:r>
      <w:r w:rsidR="00C54EC9">
        <w:noBreakHyphen/>
      </w:r>
      <w:r>
        <w:t>SASH and DAC</w:t>
      </w:r>
      <w:r w:rsidR="00C54EC9">
        <w:noBreakHyphen/>
      </w:r>
      <w:r>
        <w:t xml:space="preserve">GT) beginning </w:t>
      </w:r>
      <w:r w:rsidR="008230EB">
        <w:t>July </w:t>
      </w:r>
      <w:r>
        <w:t xml:space="preserve">1, 2026. </w:t>
      </w:r>
      <w:r w:rsidR="3278D947">
        <w:t xml:space="preserve">After that date, </w:t>
      </w:r>
      <w:r w:rsidR="3278D947">
        <w:lastRenderedPageBreak/>
        <w:t>DAC</w:t>
      </w:r>
      <w:r w:rsidR="00C54EC9">
        <w:noBreakHyphen/>
      </w:r>
      <w:r w:rsidR="3278D947">
        <w:t xml:space="preserve">SASH funding </w:t>
      </w:r>
      <w:r w:rsidR="45800809">
        <w:t>is scheduled to</w:t>
      </w:r>
      <w:r w:rsidR="3278D947">
        <w:t xml:space="preserve"> come sole</w:t>
      </w:r>
      <w:r w:rsidR="77AE79A8">
        <w:t>l</w:t>
      </w:r>
      <w:r w:rsidR="3278D947">
        <w:t xml:space="preserve">y from </w:t>
      </w:r>
      <w:r w:rsidR="45800809">
        <w:t xml:space="preserve">PPP </w:t>
      </w:r>
      <w:r w:rsidR="3278D947">
        <w:t xml:space="preserve">funds until </w:t>
      </w:r>
      <w:r w:rsidR="2C4E7AF5">
        <w:t>the program</w:t>
      </w:r>
      <w:r w:rsidR="008230EB">
        <w:t>’</w:t>
      </w:r>
      <w:r w:rsidR="3278D947">
        <w:t xml:space="preserve">s </w:t>
      </w:r>
      <w:r w:rsidR="008230EB">
        <w:t>December </w:t>
      </w:r>
      <w:r w:rsidR="3278D947">
        <w:t>31, 2030 sunset date.</w:t>
      </w:r>
      <w:r w:rsidRPr="31B52016" w:rsidR="009A64DE">
        <w:rPr>
          <w:rStyle w:val="FootnoteReference"/>
        </w:rPr>
        <w:footnoteReference w:id="5"/>
      </w:r>
    </w:p>
    <w:p w:rsidR="00A336E0" w:rsidP="00A336E0" w:rsidRDefault="00A336E0" w14:paraId="4EEA6AF8" w14:textId="06C749DC">
      <w:pPr>
        <w:pStyle w:val="Standard"/>
      </w:pPr>
      <w:r>
        <w:t>C</w:t>
      </w:r>
      <w:r w:rsidRPr="00223E3B">
        <w:t>urrently the DAC</w:t>
      </w:r>
      <w:r w:rsidR="00C54EC9">
        <w:noBreakHyphen/>
      </w:r>
      <w:r w:rsidRPr="00223E3B">
        <w:t xml:space="preserve">SASH </w:t>
      </w:r>
      <w:r w:rsidR="006C5220">
        <w:t>PA</w:t>
      </w:r>
      <w:r w:rsidRPr="00223E3B">
        <w:t xml:space="preserve"> ensures participating homeowners can install solar at no cost. In accordance with D.18</w:t>
      </w:r>
      <w:r w:rsidR="00C54EC9">
        <w:noBreakHyphen/>
      </w:r>
      <w:r w:rsidRPr="00223E3B">
        <w:t>06</w:t>
      </w:r>
      <w:r w:rsidR="00C54EC9">
        <w:noBreakHyphen/>
      </w:r>
      <w:r w:rsidRPr="00223E3B">
        <w:t>027, the Commission</w:t>
      </w:r>
      <w:r>
        <w:t>’</w:t>
      </w:r>
      <w:r w:rsidRPr="00223E3B">
        <w:t>s staff selected a statewide DAC</w:t>
      </w:r>
      <w:r w:rsidR="00C54EC9">
        <w:noBreakHyphen/>
      </w:r>
      <w:r w:rsidRPr="00223E3B">
        <w:t xml:space="preserve">SASH PA via a competitive bidding process, </w:t>
      </w:r>
      <w:r>
        <w:t xml:space="preserve">with Southern California Edison Company (SCE) as the contract holder, </w:t>
      </w:r>
      <w:r w:rsidRPr="00223E3B">
        <w:t>and the program launched in September 2019.</w:t>
      </w:r>
      <w:r>
        <w:t xml:space="preserve"> </w:t>
      </w:r>
      <w:r w:rsidRPr="00223E3B">
        <w:t>D.20</w:t>
      </w:r>
      <w:r w:rsidR="00C54EC9">
        <w:noBreakHyphen/>
      </w:r>
      <w:r w:rsidRPr="00223E3B">
        <w:t>12</w:t>
      </w:r>
      <w:r w:rsidR="00C54EC9">
        <w:noBreakHyphen/>
      </w:r>
      <w:r w:rsidRPr="00223E3B">
        <w:t>003 modified DAC</w:t>
      </w:r>
      <w:r w:rsidR="00C54EC9">
        <w:noBreakHyphen/>
      </w:r>
      <w:r w:rsidRPr="00223E3B">
        <w:t>SASH program eligibility to include California Indian Country, provided directions to the DAC</w:t>
      </w:r>
      <w:r w:rsidR="00C54EC9">
        <w:noBreakHyphen/>
      </w:r>
      <w:r w:rsidRPr="00223E3B">
        <w:t xml:space="preserve">SASH PA and large </w:t>
      </w:r>
      <w:r>
        <w:t>investor</w:t>
      </w:r>
      <w:r w:rsidR="00C54EC9">
        <w:noBreakHyphen/>
      </w:r>
      <w:r>
        <w:t>owned utilities (</w:t>
      </w:r>
      <w:r w:rsidRPr="00223E3B">
        <w:t>IOUs</w:t>
      </w:r>
      <w:r>
        <w:t>)</w:t>
      </w:r>
      <w:r w:rsidRPr="00223E3B">
        <w:t xml:space="preserve"> to</w:t>
      </w:r>
      <w:r>
        <w:t xml:space="preserve"> </w:t>
      </w:r>
      <w:r w:rsidRPr="00223E3B">
        <w:t xml:space="preserve">enhance consumer outreach and education about the program, and allowed the large IOUs to be reimbursed for program administration costs. As of </w:t>
      </w:r>
      <w:r>
        <w:t>December</w:t>
      </w:r>
      <w:r w:rsidRPr="00223E3B">
        <w:t xml:space="preserve"> 2024, </w:t>
      </w:r>
      <w:r>
        <w:t>2,886</w:t>
      </w:r>
      <w:r w:rsidRPr="00223E3B">
        <w:t xml:space="preserve"> solar photovoltaic systems</w:t>
      </w:r>
      <w:r w:rsidR="00E03849">
        <w:t xml:space="preserve"> had</w:t>
      </w:r>
      <w:r>
        <w:t xml:space="preserve"> </w:t>
      </w:r>
      <w:r w:rsidRPr="00223E3B">
        <w:t>been installed and interconnected across the three large IOUs</w:t>
      </w:r>
      <w:r>
        <w:t>’</w:t>
      </w:r>
      <w:r w:rsidRPr="00223E3B">
        <w:t xml:space="preserve"> territories for low</w:t>
      </w:r>
      <w:r w:rsidR="00C54EC9">
        <w:noBreakHyphen/>
      </w:r>
      <w:r w:rsidRPr="00223E3B">
        <w:t xml:space="preserve">income customers in </w:t>
      </w:r>
      <w:r>
        <w:t>DACs using DAC</w:t>
      </w:r>
      <w:r w:rsidR="00C54EC9">
        <w:noBreakHyphen/>
      </w:r>
      <w:r>
        <w:t>SASH incentives</w:t>
      </w:r>
      <w:r w:rsidRPr="00223E3B">
        <w:t>.</w:t>
      </w:r>
      <w:r>
        <w:rPr>
          <w:rStyle w:val="FootnoteReference"/>
        </w:rPr>
        <w:footnoteReference w:id="6"/>
      </w:r>
      <w:r w:rsidRPr="00223E3B">
        <w:t xml:space="preserve"> These DAC</w:t>
      </w:r>
      <w:r w:rsidR="00C54EC9">
        <w:noBreakHyphen/>
      </w:r>
      <w:r w:rsidRPr="00223E3B">
        <w:t>SASH projects received a total of approximately $</w:t>
      </w:r>
      <w:r>
        <w:t>53.2 million</w:t>
      </w:r>
      <w:r w:rsidRPr="00223E3B">
        <w:t xml:space="preserve"> in incentives and represent </w:t>
      </w:r>
      <w:r>
        <w:t xml:space="preserve">more than 11.5 megawatts </w:t>
      </w:r>
      <w:r w:rsidRPr="00223E3B">
        <w:t>of solar capacity.</w:t>
      </w:r>
      <w:r>
        <w:rPr>
          <w:rStyle w:val="FootnoteReference"/>
        </w:rPr>
        <w:footnoteReference w:id="7"/>
      </w:r>
      <w:r w:rsidRPr="00223E3B">
        <w:t xml:space="preserve"> </w:t>
      </w:r>
      <w:r>
        <w:t xml:space="preserve">A survey conducted by Verdant Associates </w:t>
      </w:r>
      <w:r w:rsidR="0015023D">
        <w:t xml:space="preserve">(Verdant) </w:t>
      </w:r>
      <w:r>
        <w:t>of DAC</w:t>
      </w:r>
      <w:r w:rsidR="00C54EC9">
        <w:noBreakHyphen/>
      </w:r>
      <w:r>
        <w:t>SASH participants who had completed a project during the 2022</w:t>
      </w:r>
      <w:r w:rsidR="00C54EC9">
        <w:noBreakHyphen/>
      </w:r>
      <w:r>
        <w:t xml:space="preserve">2024 evaluation period found that 82% of respondents were also enrolled in the </w:t>
      </w:r>
      <w:r w:rsidRPr="00B001B9">
        <w:rPr>
          <w:szCs w:val="26"/>
        </w:rPr>
        <w:t>California Alternate Rates for Energy</w:t>
      </w:r>
      <w:r>
        <w:rPr>
          <w:szCs w:val="26"/>
        </w:rPr>
        <w:t xml:space="preserve"> (CARE) program,</w:t>
      </w:r>
      <w:r>
        <w:t xml:space="preserve"> 11% were also enrolled in </w:t>
      </w:r>
      <w:r>
        <w:rPr>
          <w:szCs w:val="26"/>
        </w:rPr>
        <w:t>Family Electric Rate Assistance (FERA) program</w:t>
      </w:r>
      <w:r>
        <w:t xml:space="preserve">, and 8% were also enrolled in </w:t>
      </w:r>
      <w:r w:rsidRPr="00223E3B">
        <w:t>the utilities</w:t>
      </w:r>
      <w:r>
        <w:t>’</w:t>
      </w:r>
      <w:r w:rsidRPr="00223E3B">
        <w:t xml:space="preserve"> Energy Savings Assistance (ESA) program, which offers </w:t>
      </w:r>
      <w:r>
        <w:lastRenderedPageBreak/>
        <w:t>qualifying</w:t>
      </w:r>
      <w:r w:rsidRPr="00223E3B">
        <w:t xml:space="preserve"> homeowners and renters energy</w:t>
      </w:r>
      <w:r w:rsidR="00C54EC9">
        <w:noBreakHyphen/>
      </w:r>
      <w:r w:rsidRPr="00223E3B">
        <w:t>saving home improvements</w:t>
      </w:r>
      <w:r>
        <w:t>,</w:t>
      </w:r>
      <w:r w:rsidRPr="00223E3B">
        <w:t xml:space="preserve"> such as </w:t>
      </w:r>
      <w:r>
        <w:t>weatherization measures</w:t>
      </w:r>
      <w:r w:rsidRPr="00223E3B">
        <w:t xml:space="preserve"> and energy efficient appliances.</w:t>
      </w:r>
      <w:r>
        <w:rPr>
          <w:rStyle w:val="FootnoteReference"/>
        </w:rPr>
        <w:footnoteReference w:id="8"/>
      </w:r>
    </w:p>
    <w:p w:rsidR="00070AB9" w:rsidP="006A0988" w:rsidRDefault="00070AB9" w14:paraId="060DD4E1" w14:textId="3E8C15A2">
      <w:pPr>
        <w:pStyle w:val="Standard"/>
      </w:pPr>
      <w:r>
        <w:t>T</w:t>
      </w:r>
      <w:r w:rsidRPr="00070AB9">
        <w:t>he Commission</w:t>
      </w:r>
      <w:r w:rsidR="008230EB">
        <w:t>’</w:t>
      </w:r>
      <w:r w:rsidRPr="00070AB9">
        <w:t>s staff manage a competitive bidding process to triennially evaluate the DAC</w:t>
      </w:r>
      <w:r w:rsidR="00C54EC9">
        <w:noBreakHyphen/>
      </w:r>
      <w:r w:rsidRPr="00070AB9">
        <w:t>SASH program</w:t>
      </w:r>
      <w:r w:rsidR="008230EB">
        <w:t>’</w:t>
      </w:r>
      <w:r w:rsidR="00DE40F6">
        <w:t>s performance and present estimates of the program</w:t>
      </w:r>
      <w:r w:rsidR="008230EB">
        <w:t>’</w:t>
      </w:r>
      <w:r w:rsidR="00DE40F6">
        <w:t>s energy, environmental, and economic impacts, cost</w:t>
      </w:r>
      <w:r w:rsidR="00C54EC9">
        <w:noBreakHyphen/>
      </w:r>
      <w:r w:rsidR="00DE40F6">
        <w:t>effectiveness, participating and non</w:t>
      </w:r>
      <w:r w:rsidR="00C54EC9">
        <w:noBreakHyphen/>
      </w:r>
      <w:r w:rsidR="00DE40F6">
        <w:t>participating customer experiences, and progress made by the DAC</w:t>
      </w:r>
      <w:r w:rsidR="00C54EC9">
        <w:noBreakHyphen/>
      </w:r>
      <w:r w:rsidR="00DE40F6">
        <w:t>SASH PA to implement recommendations from previous DAC</w:t>
      </w:r>
      <w:r w:rsidR="00C54EC9">
        <w:noBreakHyphen/>
      </w:r>
      <w:r w:rsidR="00DE40F6">
        <w:t>SASH evaluations</w:t>
      </w:r>
      <w:r w:rsidRPr="00070AB9">
        <w:t>.</w:t>
      </w:r>
      <w:r w:rsidR="00DE40F6">
        <w:rPr>
          <w:rStyle w:val="FootnoteReference"/>
        </w:rPr>
        <w:footnoteReference w:id="9"/>
      </w:r>
      <w:r w:rsidRPr="00070AB9">
        <w:t xml:space="preserve"> The final report of the </w:t>
      </w:r>
      <w:r w:rsidR="003959F9">
        <w:t>second</w:t>
      </w:r>
      <w:r w:rsidRPr="00070AB9">
        <w:t xml:space="preserve"> triennial evaluation was published in April 202</w:t>
      </w:r>
      <w:r w:rsidR="003959F9">
        <w:t>6</w:t>
      </w:r>
      <w:r w:rsidRPr="00070AB9">
        <w:t>.</w:t>
      </w:r>
    </w:p>
    <w:p w:rsidRPr="001C3D54" w:rsidR="00024945" w:rsidP="006E2EF9" w:rsidRDefault="00DE40F6" w14:paraId="6BB80B5D" w14:textId="42DB67EB">
      <w:pPr>
        <w:pStyle w:val="Standard"/>
      </w:pPr>
      <w:r>
        <w:t>D.18</w:t>
      </w:r>
      <w:r w:rsidR="00C54EC9">
        <w:noBreakHyphen/>
      </w:r>
      <w:r>
        <w:t>06</w:t>
      </w:r>
      <w:r w:rsidR="00C54EC9">
        <w:noBreakHyphen/>
      </w:r>
      <w:r>
        <w:t xml:space="preserve">027 also required the PA to submit </w:t>
      </w:r>
      <w:r w:rsidR="006D5C55">
        <w:t>S</w:t>
      </w:r>
      <w:r>
        <w:t>emi</w:t>
      </w:r>
      <w:r w:rsidR="00C54EC9">
        <w:noBreakHyphen/>
      </w:r>
      <w:r>
        <w:t xml:space="preserve">annual </w:t>
      </w:r>
      <w:r w:rsidR="006D5C55">
        <w:t>R</w:t>
      </w:r>
      <w:r>
        <w:t>eports to the director of Energy Division on the progress of the DAC</w:t>
      </w:r>
      <w:r w:rsidR="00C54EC9">
        <w:noBreakHyphen/>
      </w:r>
      <w:r>
        <w:t>SASH program including information on the number of applications received and accepted; the size, expected annual output, progress</w:t>
      </w:r>
      <w:r w:rsidR="0015023D">
        <w:t>,</w:t>
      </w:r>
      <w:r>
        <w:t xml:space="preserve"> and total system cost of installations; geographic areas served; incentive dollars paid by each utility; the installer used; applicant enrollment with the ESA</w:t>
      </w:r>
      <w:r w:rsidRPr="00F857D6" w:rsidR="00F857D6">
        <w:t xml:space="preserve"> </w:t>
      </w:r>
      <w:r w:rsidR="00A76F60">
        <w:t>p</w:t>
      </w:r>
      <w:r w:rsidR="00F857D6">
        <w:t>rogram</w:t>
      </w:r>
      <w:r>
        <w:t>; and administrative and marketing expenditures.</w:t>
      </w:r>
      <w:r>
        <w:rPr>
          <w:rStyle w:val="FootnoteReference"/>
        </w:rPr>
        <w:footnoteReference w:id="10"/>
      </w:r>
    </w:p>
    <w:p w:rsidR="00024945" w:rsidP="00B91D01" w:rsidRDefault="1D45B19C" w14:paraId="1AFB7E55" w14:textId="66FA6318">
      <w:pPr>
        <w:pStyle w:val="Standard"/>
      </w:pPr>
      <w:r>
        <w:t xml:space="preserve">Furthermore, </w:t>
      </w:r>
      <w:r w:rsidR="51B85174">
        <w:t>D.18</w:t>
      </w:r>
      <w:r w:rsidR="00C54EC9">
        <w:noBreakHyphen/>
      </w:r>
      <w:r w:rsidR="51B85174">
        <w:t>06</w:t>
      </w:r>
      <w:r w:rsidR="00C54EC9">
        <w:noBreakHyphen/>
      </w:r>
      <w:r w:rsidR="51B85174">
        <w:t xml:space="preserve">027 </w:t>
      </w:r>
      <w:r w:rsidR="1EC38C9D">
        <w:t xml:space="preserve">also </w:t>
      </w:r>
      <w:r w:rsidR="51B85174">
        <w:t>established the DAC</w:t>
      </w:r>
      <w:r w:rsidR="00C54EC9">
        <w:noBreakHyphen/>
      </w:r>
      <w:r w:rsidR="51B85174">
        <w:t>SASH Program Handbook and Program Implementation Plan (PIP) as the primary implementation documents governing administration of the program. Since the program</w:t>
      </w:r>
      <w:r w:rsidR="008230EB">
        <w:t>’</w:t>
      </w:r>
      <w:r w:rsidR="51B85174">
        <w:t>s inception, the Commission has approved several revisions to t</w:t>
      </w:r>
      <w:r w:rsidR="05A72CF0">
        <w:t>he Program Handbook</w:t>
      </w:r>
      <w:r w:rsidR="51B85174">
        <w:t xml:space="preserve"> through </w:t>
      </w:r>
      <w:r w:rsidR="001C3D54">
        <w:t>Tier </w:t>
      </w:r>
      <w:r w:rsidR="51B85174">
        <w:t xml:space="preserve">2 </w:t>
      </w:r>
      <w:r w:rsidR="00A76F60">
        <w:t>a</w:t>
      </w:r>
      <w:r w:rsidR="51B85174">
        <w:t xml:space="preserve">dvice </w:t>
      </w:r>
      <w:r w:rsidR="00A76F60">
        <w:t>l</w:t>
      </w:r>
      <w:r w:rsidR="51B85174">
        <w:t xml:space="preserve">etters to reflect program </w:t>
      </w:r>
      <w:r w:rsidR="51B85174">
        <w:lastRenderedPageBreak/>
        <w:t>modifications adopted by Commission decisions and operational improvements identified during implementation</w:t>
      </w:r>
      <w:r w:rsidR="00F825CB">
        <w:t>,</w:t>
      </w:r>
      <w:r w:rsidR="55F7DC5E">
        <w:t xml:space="preserve"> while the PIP has remained largely unchanged.</w:t>
      </w:r>
      <w:r w:rsidR="51B85174">
        <w:t xml:space="preserve"> This decision continues that established process by directing the </w:t>
      </w:r>
      <w:r w:rsidR="00A76F60">
        <w:t>PA</w:t>
      </w:r>
      <w:r w:rsidR="51B85174">
        <w:t xml:space="preserve"> </w:t>
      </w:r>
      <w:r w:rsidRPr="00B91D01" w:rsidR="51B85174">
        <w:t>to</w:t>
      </w:r>
      <w:r w:rsidRPr="00B91D01" w:rsidR="00023E88">
        <w:t xml:space="preserve"> adopt the latest version of the Program Handbook in </w:t>
      </w:r>
      <w:r w:rsidR="002E26D7">
        <w:t>Appendix </w:t>
      </w:r>
      <w:r w:rsidR="00852FF0">
        <w:t>C</w:t>
      </w:r>
      <w:r w:rsidRPr="00B91D01" w:rsidR="00023E88">
        <w:t xml:space="preserve"> and submit a </w:t>
      </w:r>
      <w:r w:rsidR="001C3D54">
        <w:t>Tier </w:t>
      </w:r>
      <w:r w:rsidRPr="00B91D01" w:rsidR="00023E88">
        <w:t>2 advice letter that incorporates the revisions adopted herein to the PIP.</w:t>
      </w:r>
    </w:p>
    <w:p w:rsidR="0063491C" w:rsidP="0063491C" w:rsidRDefault="0063491C" w14:paraId="4880D4CD" w14:textId="0E98E7A6">
      <w:pPr>
        <w:pStyle w:val="Heading2"/>
      </w:pPr>
      <w:bookmarkStart w:name="_Toc8123717" w:id="10"/>
      <w:bookmarkStart w:name="_Toc236292533" w:id="11"/>
      <w:bookmarkStart w:name="_Toc242090699" w:id="12"/>
      <w:r>
        <w:t>Procedural Background</w:t>
      </w:r>
      <w:bookmarkEnd w:id="10"/>
      <w:bookmarkEnd w:id="11"/>
      <w:bookmarkEnd w:id="12"/>
    </w:p>
    <w:p w:rsidR="00024945" w:rsidP="002268A8" w:rsidRDefault="002268A8" w14:paraId="1B764490" w14:textId="3AD75263">
      <w:pPr>
        <w:pStyle w:val="Standard"/>
      </w:pPr>
      <w:r>
        <w:t>The Commission opened R</w:t>
      </w:r>
      <w:r w:rsidR="00820180">
        <w:t>.</w:t>
      </w:r>
      <w:r>
        <w:t>25</w:t>
      </w:r>
      <w:r w:rsidR="00C54EC9">
        <w:noBreakHyphen/>
      </w:r>
      <w:r>
        <w:t>01</w:t>
      </w:r>
      <w:r w:rsidR="00C54EC9">
        <w:noBreakHyphen/>
      </w:r>
      <w:r>
        <w:t xml:space="preserve">005 on </w:t>
      </w:r>
      <w:r w:rsidR="008230EB">
        <w:t>January </w:t>
      </w:r>
      <w:r>
        <w:t xml:space="preserve">16, 2025 to </w:t>
      </w:r>
      <w:r w:rsidR="006A0988">
        <w:t xml:space="preserve">implement </w:t>
      </w:r>
      <w:r w:rsidR="005D44EA">
        <w:t>Senate Bill </w:t>
      </w:r>
      <w:r w:rsidR="006A0988">
        <w:t>355 (Eggman), S</w:t>
      </w:r>
      <w:r w:rsidR="004909A7">
        <w:t>tats. </w:t>
      </w:r>
      <w:r w:rsidR="006A0988">
        <w:t xml:space="preserve">2023, </w:t>
      </w:r>
      <w:r w:rsidR="004909A7">
        <w:t>ch. </w:t>
      </w:r>
      <w:r w:rsidR="006A0988">
        <w:t>393</w:t>
      </w:r>
      <w:r w:rsidR="00773C91">
        <w:t>;</w:t>
      </w:r>
      <w:r w:rsidR="00C44292">
        <w:t xml:space="preserve"> consider modifications to the </w:t>
      </w:r>
      <w:r w:rsidR="00F825CB">
        <w:t>Solar on Multifamily Affordable Housing</w:t>
      </w:r>
      <w:r w:rsidR="00C30154">
        <w:t xml:space="preserve"> and</w:t>
      </w:r>
      <w:r w:rsidR="00C44292">
        <w:t xml:space="preserve"> DAC</w:t>
      </w:r>
      <w:r w:rsidR="00C54EC9">
        <w:noBreakHyphen/>
      </w:r>
      <w:r w:rsidR="00C44292">
        <w:t>SASH</w:t>
      </w:r>
      <w:r w:rsidR="00C30154">
        <w:t xml:space="preserve"> programs</w:t>
      </w:r>
      <w:r w:rsidR="00773C91">
        <w:t>;</w:t>
      </w:r>
      <w:r w:rsidR="00C30154">
        <w:t xml:space="preserve"> </w:t>
      </w:r>
      <w:r w:rsidR="00C44292">
        <w:t>and</w:t>
      </w:r>
      <w:r w:rsidRPr="00C44292" w:rsidR="00C44292">
        <w:t xml:space="preserve"> consider modifications to and establish programmatic procedural oversight of Renewable Energy Self</w:t>
      </w:r>
      <w:r w:rsidR="00C54EC9">
        <w:noBreakHyphen/>
      </w:r>
      <w:r w:rsidRPr="00C44292" w:rsidR="00C44292">
        <w:t>Generation Bill Credit Transfer tariffs</w:t>
      </w:r>
      <w:r w:rsidR="00C44292">
        <w:t xml:space="preserve"> and</w:t>
      </w:r>
      <w:r w:rsidRPr="00C44292" w:rsidR="00C44292">
        <w:t xml:space="preserve"> several small </w:t>
      </w:r>
      <w:r w:rsidR="0015023D">
        <w:t xml:space="preserve">and </w:t>
      </w:r>
      <w:r w:rsidRPr="00C44292" w:rsidR="00C44292">
        <w:t>multi</w:t>
      </w:r>
      <w:r w:rsidR="00C54EC9">
        <w:noBreakHyphen/>
      </w:r>
      <w:r w:rsidRPr="00C44292" w:rsidR="00C44292">
        <w:t>jurisdictional utility solar programs and tariffs</w:t>
      </w:r>
      <w:r w:rsidR="00C44292">
        <w:t>.</w:t>
      </w:r>
    </w:p>
    <w:p w:rsidRPr="002268A8" w:rsidR="00C30154" w:rsidP="002268A8" w:rsidRDefault="00F825CB" w14:paraId="3545638D" w14:textId="6A8B3176">
      <w:pPr>
        <w:pStyle w:val="Standard"/>
      </w:pPr>
      <w:r>
        <w:t>The</w:t>
      </w:r>
      <w:r w:rsidR="00C30154">
        <w:t xml:space="preserve"> </w:t>
      </w:r>
      <w:r w:rsidR="00F9080A">
        <w:t>a</w:t>
      </w:r>
      <w:r w:rsidR="00C30154">
        <w:t>ssigned Commissioner</w:t>
      </w:r>
      <w:r w:rsidR="008230EB">
        <w:t>’</w:t>
      </w:r>
      <w:r w:rsidR="00C30154">
        <w:t xml:space="preserve">s Scoping Memo and Ruling was issued on </w:t>
      </w:r>
      <w:r w:rsidR="008230EB">
        <w:t>May </w:t>
      </w:r>
      <w:r w:rsidR="00C30154">
        <w:t>1, 2025 asking, among other questions, whether DAC</w:t>
      </w:r>
      <w:r w:rsidR="00C54EC9">
        <w:noBreakHyphen/>
      </w:r>
      <w:r w:rsidR="00C30154">
        <w:t>SASH should be modified and if so, how.</w:t>
      </w:r>
    </w:p>
    <w:p w:rsidR="00BC57B0" w:rsidP="006E6574" w:rsidRDefault="002825CB" w14:paraId="1F6C9C76" w14:textId="78D9FBEB">
      <w:pPr>
        <w:pStyle w:val="Standard"/>
      </w:pPr>
      <w:r>
        <w:t>An A</w:t>
      </w:r>
      <w:r w:rsidR="009806BB">
        <w:t xml:space="preserve">dministrative </w:t>
      </w:r>
      <w:r>
        <w:t>L</w:t>
      </w:r>
      <w:r w:rsidR="009806BB">
        <w:t xml:space="preserve">aw </w:t>
      </w:r>
      <w:r>
        <w:t>J</w:t>
      </w:r>
      <w:r w:rsidR="009806BB">
        <w:t>udge (ALJ)</w:t>
      </w:r>
      <w:r>
        <w:t xml:space="preserve"> ruling was issued on </w:t>
      </w:r>
      <w:r w:rsidR="008230EB">
        <w:t>January </w:t>
      </w:r>
      <w:r>
        <w:t>26, 2026</w:t>
      </w:r>
      <w:r w:rsidR="0056320D">
        <w:t xml:space="preserve"> (</w:t>
      </w:r>
      <w:r w:rsidR="008230EB">
        <w:t>January </w:t>
      </w:r>
      <w:r w:rsidR="0056320D">
        <w:t>26 Ruling)</w:t>
      </w:r>
      <w:r>
        <w:t xml:space="preserve"> seeking party comment</w:t>
      </w:r>
      <w:r w:rsidR="00BC57B0">
        <w:t>s</w:t>
      </w:r>
      <w:r>
        <w:t xml:space="preserve"> on potential DAC</w:t>
      </w:r>
      <w:r w:rsidR="00C54EC9">
        <w:noBreakHyphen/>
      </w:r>
      <w:r>
        <w:t>SASH</w:t>
      </w:r>
      <w:r w:rsidR="008322A2">
        <w:t xml:space="preserve"> program and handbook</w:t>
      </w:r>
      <w:r>
        <w:t xml:space="preserve"> modifications</w:t>
      </w:r>
      <w:r w:rsidR="008322A2">
        <w:t>.</w:t>
      </w:r>
    </w:p>
    <w:p w:rsidR="00024945" w:rsidP="007B7E35" w:rsidRDefault="0056320D" w14:paraId="2CE43BC4" w14:textId="3BFAD37E">
      <w:pPr>
        <w:pStyle w:val="Standard"/>
      </w:pPr>
      <w:r>
        <w:t xml:space="preserve">On </w:t>
      </w:r>
      <w:r w:rsidR="008230EB">
        <w:t>February </w:t>
      </w:r>
      <w:r>
        <w:t xml:space="preserve">25, 2026, </w:t>
      </w:r>
      <w:r w:rsidR="00820BD7">
        <w:t>San </w:t>
      </w:r>
      <w:r>
        <w:t>Diego Community Power (SDCP), California Solar</w:t>
      </w:r>
      <w:r w:rsidR="00820BD7">
        <w:t xml:space="preserve"> &amp; </w:t>
      </w:r>
      <w:r>
        <w:t>Storage Association (C</w:t>
      </w:r>
      <w:r w:rsidR="00A76F60">
        <w:t>AL</w:t>
      </w:r>
      <w:r>
        <w:t>SSA), SCE, the Public Advocates Office at the California Public Utilities Commission (</w:t>
      </w:r>
      <w:r w:rsidR="00086432">
        <w:t>Cal Advoc</w:t>
      </w:r>
      <w:r>
        <w:t xml:space="preserve">ates), </w:t>
      </w:r>
      <w:r w:rsidR="00820BD7">
        <w:t>San </w:t>
      </w:r>
      <w:r>
        <w:t>Diego Gas</w:t>
      </w:r>
      <w:r w:rsidR="00820BD7">
        <w:t xml:space="preserve"> &amp; </w:t>
      </w:r>
      <w:r>
        <w:t xml:space="preserve">Electric Company (SDG&amp;E), GRID, Pacific Gas and Electric Company (PG&amp;E), and Solar Energy Industry Association (SEIA) filed opening comments in response to the </w:t>
      </w:r>
      <w:r w:rsidR="008230EB">
        <w:t>January </w:t>
      </w:r>
      <w:r>
        <w:t xml:space="preserve">26 Ruling. On </w:t>
      </w:r>
      <w:r w:rsidR="008230EB">
        <w:t>March </w:t>
      </w:r>
      <w:r>
        <w:t xml:space="preserve">6, 2026, </w:t>
      </w:r>
      <w:r w:rsidR="009A7DE0">
        <w:t xml:space="preserve">the California Environmental Justice Alliance (CEJA) and the Center for Biological Diversity (CBD) filing jointly, </w:t>
      </w:r>
      <w:r>
        <w:t xml:space="preserve">the Energy Coalition, SCE, GRID, </w:t>
      </w:r>
      <w:r w:rsidR="00086432">
        <w:t>Cal Advoc</w:t>
      </w:r>
      <w:r>
        <w:t xml:space="preserve">ates, SDG&amp;E, Tribal Energy </w:t>
      </w:r>
      <w:r>
        <w:lastRenderedPageBreak/>
        <w:t xml:space="preserve">Alternatives (TEA), Sunrun, </w:t>
      </w:r>
      <w:r w:rsidR="009A7DE0">
        <w:t xml:space="preserve">and </w:t>
      </w:r>
      <w:r>
        <w:t>SEIA</w:t>
      </w:r>
      <w:r w:rsidR="009A7DE0">
        <w:t xml:space="preserve"> fi</w:t>
      </w:r>
      <w:r>
        <w:t xml:space="preserve">led </w:t>
      </w:r>
      <w:r w:rsidR="0033021B">
        <w:t>reply</w:t>
      </w:r>
      <w:r>
        <w:t xml:space="preserve"> comments to the </w:t>
      </w:r>
      <w:r w:rsidR="008230EB">
        <w:t>January </w:t>
      </w:r>
      <w:r>
        <w:t>26 Ruling.</w:t>
      </w:r>
      <w:r w:rsidR="00843649">
        <w:t xml:space="preserve"> Vote Solar filed reply comments to the </w:t>
      </w:r>
      <w:r w:rsidR="008230EB">
        <w:t>January </w:t>
      </w:r>
      <w:r w:rsidR="00843649">
        <w:t xml:space="preserve">26 Ruling on </w:t>
      </w:r>
      <w:r w:rsidR="008230EB">
        <w:t>March </w:t>
      </w:r>
      <w:r w:rsidR="00843649">
        <w:t xml:space="preserve">19, 2026 after a </w:t>
      </w:r>
      <w:r w:rsidR="008230EB">
        <w:t>March </w:t>
      </w:r>
      <w:r w:rsidR="00843649">
        <w:t>19, 2026 ALJ Ruling granted Vote Solar</w:t>
      </w:r>
      <w:r w:rsidR="008230EB">
        <w:t>’</w:t>
      </w:r>
      <w:r w:rsidR="00843649">
        <w:t xml:space="preserve">s motion </w:t>
      </w:r>
      <w:r w:rsidR="009A7DE0">
        <w:t xml:space="preserve">for the Commission </w:t>
      </w:r>
      <w:r w:rsidR="00843649">
        <w:t>to accept late</w:t>
      </w:r>
      <w:r w:rsidR="00C54EC9">
        <w:noBreakHyphen/>
      </w:r>
      <w:r w:rsidR="00843649">
        <w:t>filed reply comments.</w:t>
      </w:r>
    </w:p>
    <w:p w:rsidR="006E2EF9" w:rsidP="007B7E35" w:rsidRDefault="006E2EF9" w14:paraId="4C77FFAC" w14:textId="06CD60EF">
      <w:pPr>
        <w:pStyle w:val="Standard"/>
      </w:pPr>
      <w:r>
        <w:t>Several parties expressed concern about proposed Program Handbook edits</w:t>
      </w:r>
      <w:r w:rsidR="00D76BA0">
        <w:t xml:space="preserve"> issued with the </w:t>
      </w:r>
      <w:r w:rsidR="008230EB">
        <w:t>January </w:t>
      </w:r>
      <w:r w:rsidR="00D76BA0">
        <w:t>26 Ruling</w:t>
      </w:r>
      <w:r>
        <w:t xml:space="preserve"> that appeared to suggest the DAC</w:t>
      </w:r>
      <w:r w:rsidR="00C54EC9">
        <w:noBreakHyphen/>
      </w:r>
      <w:r>
        <w:t>SASH prog</w:t>
      </w:r>
      <w:r w:rsidR="00A17DBE">
        <w:t>r</w:t>
      </w:r>
      <w:r>
        <w:t xml:space="preserve">am would no longer collect funds after </w:t>
      </w:r>
      <w:r w:rsidR="008230EB">
        <w:t>June </w:t>
      </w:r>
      <w:r>
        <w:t>30, 2026.</w:t>
      </w:r>
      <w:r>
        <w:rPr>
          <w:rStyle w:val="FootnoteReference"/>
        </w:rPr>
        <w:footnoteReference w:id="11"/>
      </w:r>
      <w:r w:rsidR="00D76BA0">
        <w:t xml:space="preserve"> An ALJ Ruling issued on </w:t>
      </w:r>
      <w:r w:rsidR="008230EB">
        <w:t>April </w:t>
      </w:r>
      <w:r w:rsidR="00D76BA0">
        <w:t>2, 2026 corrected the red</w:t>
      </w:r>
      <w:r w:rsidR="00C54EC9">
        <w:noBreakHyphen/>
      </w:r>
      <w:r w:rsidR="00D76BA0">
        <w:t>lined Program Handbook to clarify that the C</w:t>
      </w:r>
      <w:r w:rsidR="00F825CB">
        <w:t>ommission</w:t>
      </w:r>
      <w:r w:rsidR="00D76BA0">
        <w:t xml:space="preserve"> authorized $10</w:t>
      </w:r>
      <w:r w:rsidR="003E2681">
        <w:t> million</w:t>
      </w:r>
      <w:r w:rsidR="00D76BA0">
        <w:t xml:space="preserve"> per year to be collected for DAC</w:t>
      </w:r>
      <w:r w:rsidR="00C54EC9">
        <w:noBreakHyphen/>
      </w:r>
      <w:r w:rsidR="00D76BA0">
        <w:t xml:space="preserve">SASH beginning on </w:t>
      </w:r>
      <w:r w:rsidR="008230EB">
        <w:t>January </w:t>
      </w:r>
      <w:r w:rsidR="00D76BA0">
        <w:t xml:space="preserve">1, 2019 until </w:t>
      </w:r>
      <w:r w:rsidR="008230EB">
        <w:t>December </w:t>
      </w:r>
      <w:r w:rsidR="00D76BA0">
        <w:t>31, 2030.</w:t>
      </w:r>
    </w:p>
    <w:p w:rsidR="00A379E5" w:rsidP="007B7E35" w:rsidRDefault="00A379E5" w14:paraId="430B4823" w14:textId="1E1F00D5">
      <w:pPr>
        <w:pStyle w:val="Standard"/>
      </w:pPr>
      <w:r>
        <w:t>On June</w:t>
      </w:r>
      <w:r w:rsidR="00C77BAF">
        <w:t> </w:t>
      </w:r>
      <w:r>
        <w:t xml:space="preserve">26, 2026, an ALJ Ruling provided notice and opportunity on taking official notice of the </w:t>
      </w:r>
      <w:r w:rsidRPr="0015023D">
        <w:t>April</w:t>
      </w:r>
      <w:r w:rsidR="00C77BAF">
        <w:t> </w:t>
      </w:r>
      <w:r w:rsidRPr="0015023D">
        <w:t xml:space="preserve">14, 2026 </w:t>
      </w:r>
      <w:r>
        <w:t xml:space="preserve">Verdant </w:t>
      </w:r>
      <w:r w:rsidRPr="0015023D">
        <w:t>DAC</w:t>
      </w:r>
      <w:r w:rsidR="00C54EC9">
        <w:noBreakHyphen/>
      </w:r>
      <w:r w:rsidRPr="0015023D">
        <w:t>SASH 2022</w:t>
      </w:r>
      <w:r w:rsidR="00C54EC9">
        <w:noBreakHyphen/>
      </w:r>
      <w:r w:rsidRPr="0015023D">
        <w:t>2024 Evaluation Report submitted to the C</w:t>
      </w:r>
      <w:r>
        <w:t>ommission.</w:t>
      </w:r>
    </w:p>
    <w:p w:rsidR="00683B2C" w:rsidP="00683B2C" w:rsidRDefault="00683B2C" w14:paraId="250016C2" w14:textId="77777777">
      <w:pPr>
        <w:pStyle w:val="Heading2"/>
      </w:pPr>
      <w:bookmarkStart w:name="_Toc236292534" w:id="13"/>
      <w:bookmarkStart w:name="_Toc242090700" w:id="14"/>
      <w:r>
        <w:t>Submission Date</w:t>
      </w:r>
      <w:bookmarkEnd w:id="13"/>
      <w:bookmarkEnd w:id="14"/>
    </w:p>
    <w:p w:rsidR="00024945" w:rsidP="006E6574" w:rsidRDefault="00683B2C" w14:paraId="00D068DB" w14:textId="479232BA">
      <w:pPr>
        <w:pStyle w:val="Standard"/>
      </w:pPr>
      <w:r w:rsidRPr="00FF0265">
        <w:t xml:space="preserve">This matter was submitted on </w:t>
      </w:r>
      <w:r w:rsidR="00A379E5">
        <w:t>June</w:t>
      </w:r>
      <w:r w:rsidR="0039513E">
        <w:t> </w:t>
      </w:r>
      <w:r w:rsidR="00A379E5">
        <w:t>26</w:t>
      </w:r>
      <w:r w:rsidR="007B7E35">
        <w:t>, 2026</w:t>
      </w:r>
      <w:r w:rsidRPr="00FF0265">
        <w:t xml:space="preserve"> upon </w:t>
      </w:r>
      <w:r w:rsidR="00A379E5">
        <w:t xml:space="preserve">issuance of the ALJ Ruling providing notice and opportunity on taking official </w:t>
      </w:r>
      <w:r w:rsidR="00DB448F">
        <w:t>notice</w:t>
      </w:r>
      <w:r w:rsidR="00A379E5">
        <w:t xml:space="preserve"> of the </w:t>
      </w:r>
      <w:r w:rsidRPr="0015023D" w:rsidR="00A379E5">
        <w:t>April</w:t>
      </w:r>
      <w:r w:rsidR="0039513E">
        <w:t> </w:t>
      </w:r>
      <w:r w:rsidRPr="0015023D" w:rsidR="00A379E5">
        <w:t xml:space="preserve">14, 2026 </w:t>
      </w:r>
      <w:r w:rsidR="00A379E5">
        <w:t xml:space="preserve">Verdant </w:t>
      </w:r>
      <w:r w:rsidRPr="0015023D" w:rsidR="00A379E5">
        <w:t>DAC</w:t>
      </w:r>
      <w:r w:rsidR="00C54EC9">
        <w:noBreakHyphen/>
      </w:r>
      <w:r w:rsidRPr="0015023D" w:rsidR="00A379E5">
        <w:t>SASH 2022</w:t>
      </w:r>
      <w:r w:rsidR="00C54EC9">
        <w:noBreakHyphen/>
      </w:r>
      <w:r w:rsidRPr="0015023D" w:rsidR="00A379E5">
        <w:t>2024 Evaluation Report submitted to the C</w:t>
      </w:r>
      <w:r w:rsidR="00A379E5">
        <w:t>ommission</w:t>
      </w:r>
      <w:r w:rsidR="007B7E35">
        <w:t>.</w:t>
      </w:r>
    </w:p>
    <w:p w:rsidR="005A148C" w:rsidP="005939A5" w:rsidRDefault="005939A5" w14:paraId="2C7A557C" w14:textId="4AD5A2B9">
      <w:pPr>
        <w:pStyle w:val="Heading1"/>
      </w:pPr>
      <w:bookmarkStart w:name="_Toc8123719" w:id="15"/>
      <w:bookmarkStart w:name="_Toc236292535" w:id="16"/>
      <w:bookmarkStart w:name="_Toc242090701" w:id="17"/>
      <w:r>
        <w:t xml:space="preserve">Issues Before the </w:t>
      </w:r>
      <w:bookmarkEnd w:id="15"/>
      <w:r w:rsidR="008A08BF">
        <w:t>Commission</w:t>
      </w:r>
      <w:bookmarkEnd w:id="16"/>
      <w:bookmarkEnd w:id="17"/>
    </w:p>
    <w:p w:rsidR="00024945" w:rsidP="008B3FB5" w:rsidRDefault="008B3FB5" w14:paraId="5288DD6B" w14:textId="713C79E5">
      <w:pPr>
        <w:pStyle w:val="Standard"/>
      </w:pPr>
      <w:r>
        <w:t>The Commission must consider whether to make any adjustments to the DAC</w:t>
      </w:r>
      <w:r w:rsidR="00C54EC9">
        <w:noBreakHyphen/>
      </w:r>
      <w:r>
        <w:t xml:space="preserve">SASH program </w:t>
      </w:r>
      <w:r w:rsidR="009A7DE0">
        <w:t>and prepare</w:t>
      </w:r>
      <w:r>
        <w:t xml:space="preserve"> for the program</w:t>
      </w:r>
      <w:r w:rsidR="008230EB">
        <w:t>’</w:t>
      </w:r>
      <w:r>
        <w:t xml:space="preserve">s </w:t>
      </w:r>
      <w:r w:rsidR="008230EB">
        <w:t>December </w:t>
      </w:r>
      <w:r>
        <w:t>31, 2030</w:t>
      </w:r>
      <w:r w:rsidR="009A7DE0">
        <w:t xml:space="preserve"> sunset</w:t>
      </w:r>
      <w:r>
        <w:t xml:space="preserve">. </w:t>
      </w:r>
      <w:r>
        <w:lastRenderedPageBreak/>
        <w:t xml:space="preserve">These </w:t>
      </w:r>
      <w:r w:rsidR="00BE4636">
        <w:t>issues</w:t>
      </w:r>
      <w:r w:rsidR="00A94009">
        <w:t xml:space="preserve"> </w:t>
      </w:r>
      <w:r>
        <w:t xml:space="preserve">are relevant to the </w:t>
      </w:r>
      <w:r w:rsidR="008230EB">
        <w:t>May </w:t>
      </w:r>
      <w:r w:rsidR="00B001B9">
        <w:t xml:space="preserve">1, 2025 </w:t>
      </w:r>
      <w:r>
        <w:t xml:space="preserve">Scoping Memo and Ruling </w:t>
      </w:r>
      <w:r w:rsidR="00B001B9">
        <w:t xml:space="preserve">and </w:t>
      </w:r>
      <w:r w:rsidR="00E114BA">
        <w:t xml:space="preserve">the following </w:t>
      </w:r>
      <w:r w:rsidR="008230EB">
        <w:t>January </w:t>
      </w:r>
      <w:r w:rsidR="00B001B9">
        <w:t xml:space="preserve">26 Ruling </w:t>
      </w:r>
      <w:r w:rsidR="002B1BC9">
        <w:t>questions</w:t>
      </w:r>
      <w:r>
        <w:t>:</w:t>
      </w:r>
    </w:p>
    <w:p w:rsidR="00B001B9" w:rsidP="00B239C8" w:rsidRDefault="00B001B9" w14:paraId="16B38D2E" w14:textId="533FA3C0">
      <w:pPr>
        <w:pStyle w:val="BlockQuoteH033"/>
        <w:numPr>
          <w:ilvl w:val="0"/>
          <w:numId w:val="23"/>
        </w:numPr>
        <w:ind w:left="1195" w:hanging="475"/>
      </w:pPr>
      <w:r w:rsidRPr="00B001B9">
        <w:t>Is the accrued interest</w:t>
      </w:r>
      <w:r w:rsidR="008322A2">
        <w:t xml:space="preserve"> collected in IOU</w:t>
      </w:r>
      <w:r w:rsidR="00380A2A">
        <w:t>s</w:t>
      </w:r>
      <w:r w:rsidR="008230EB">
        <w:t>’</w:t>
      </w:r>
      <w:r w:rsidR="008322A2">
        <w:t xml:space="preserve"> DAC</w:t>
      </w:r>
      <w:r w:rsidR="00C54EC9">
        <w:noBreakHyphen/>
      </w:r>
      <w:r w:rsidR="008322A2">
        <w:t>SASH balancing accounts</w:t>
      </w:r>
      <w:r w:rsidRPr="00B001B9">
        <w:t xml:space="preserve"> sufficient to cover the IOUs</w:t>
      </w:r>
      <w:r w:rsidR="008230EB">
        <w:t>’</w:t>
      </w:r>
      <w:r w:rsidRPr="00B001B9">
        <w:t xml:space="preserve"> and GRID</w:t>
      </w:r>
      <w:r w:rsidR="008230EB">
        <w:t>’</w:t>
      </w:r>
      <w:r w:rsidRPr="00B001B9">
        <w:t>s administrative costs for the duration of the program, or just the IOUs</w:t>
      </w:r>
      <w:r w:rsidR="008230EB">
        <w:t>’</w:t>
      </w:r>
      <w:r w:rsidRPr="00B001B9">
        <w:t xml:space="preserve"> administrative costs? Should </w:t>
      </w:r>
      <w:r w:rsidR="00905CC0">
        <w:t xml:space="preserve">the </w:t>
      </w:r>
      <w:r w:rsidRPr="00B001B9">
        <w:t>IOUs</w:t>
      </w:r>
      <w:r w:rsidR="008230EB">
        <w:t>’</w:t>
      </w:r>
      <w:r w:rsidRPr="00B001B9">
        <w:t xml:space="preserve"> and/or GRID</w:t>
      </w:r>
      <w:r w:rsidR="008230EB">
        <w:t>’</w:t>
      </w:r>
      <w:r w:rsidRPr="00B001B9">
        <w:t>s administrative costs be shifted to this source, or should the IOUs</w:t>
      </w:r>
      <w:r w:rsidR="008230EB">
        <w:t>’</w:t>
      </w:r>
      <w:r w:rsidRPr="00B001B9">
        <w:t xml:space="preserve"> and GRID</w:t>
      </w:r>
      <w:r w:rsidR="008230EB">
        <w:t>’</w:t>
      </w:r>
      <w:r w:rsidRPr="00B001B9">
        <w:t xml:space="preserve">s administration and </w:t>
      </w:r>
      <w:r w:rsidR="007031A1">
        <w:t>marketing, education and outreach (</w:t>
      </w:r>
      <w:r w:rsidRPr="00B001B9">
        <w:t>ME&amp;O</w:t>
      </w:r>
      <w:r w:rsidR="007031A1">
        <w:t>)</w:t>
      </w:r>
      <w:r w:rsidRPr="00B001B9">
        <w:t xml:space="preserve"> cost recovery be funded by allocating 10% of the program</w:t>
      </w:r>
      <w:r w:rsidR="008230EB">
        <w:t>’</w:t>
      </w:r>
      <w:r w:rsidRPr="00B001B9">
        <w:t>s total administration and ME&amp;O budget currently allocated to GRID</w:t>
      </w:r>
      <w:r w:rsidR="008322A2">
        <w:t>?</w:t>
      </w:r>
    </w:p>
    <w:p w:rsidR="00024945" w:rsidP="00B239C8" w:rsidRDefault="008322A2" w14:paraId="7C65D90A" w14:textId="77FD05C2">
      <w:pPr>
        <w:pStyle w:val="BlockQuoteH033"/>
        <w:numPr>
          <w:ilvl w:val="0"/>
          <w:numId w:val="23"/>
        </w:numPr>
        <w:ind w:left="1195" w:hanging="475"/>
        <w:rPr>
          <w:szCs w:val="26"/>
        </w:rPr>
      </w:pPr>
      <w:r>
        <w:rPr>
          <w:szCs w:val="26"/>
        </w:rPr>
        <w:t>S</w:t>
      </w:r>
      <w:r w:rsidR="00B001B9">
        <w:rPr>
          <w:szCs w:val="26"/>
        </w:rPr>
        <w:t>hould GRID be required to track and account for external (</w:t>
      </w:r>
      <w:r w:rsidR="00B001B9">
        <w:rPr>
          <w:i/>
          <w:iCs/>
          <w:szCs w:val="26"/>
        </w:rPr>
        <w:t>e.g.</w:t>
      </w:r>
      <w:r w:rsidR="00B001B9">
        <w:rPr>
          <w:szCs w:val="26"/>
        </w:rPr>
        <w:t>, philanthropic) funds used to support the DAC</w:t>
      </w:r>
      <w:r w:rsidR="00C54EC9">
        <w:rPr>
          <w:szCs w:val="26"/>
        </w:rPr>
        <w:noBreakHyphen/>
      </w:r>
      <w:r w:rsidR="00B001B9">
        <w:rPr>
          <w:szCs w:val="26"/>
        </w:rPr>
        <w:t>SASH program at the project level through covering administration, installation, job training, and/or other costs going forward? Should these costs be publicly reported in the DAC</w:t>
      </w:r>
      <w:r w:rsidR="00C54EC9">
        <w:rPr>
          <w:szCs w:val="26"/>
        </w:rPr>
        <w:noBreakHyphen/>
      </w:r>
      <w:r w:rsidR="00B001B9">
        <w:rPr>
          <w:szCs w:val="26"/>
        </w:rPr>
        <w:t xml:space="preserve">SASH </w:t>
      </w:r>
      <w:r w:rsidR="006D5C55">
        <w:rPr>
          <w:szCs w:val="26"/>
        </w:rPr>
        <w:t>S</w:t>
      </w:r>
      <w:r w:rsidR="00B001B9">
        <w:rPr>
          <w:szCs w:val="26"/>
        </w:rPr>
        <w:t>emi</w:t>
      </w:r>
      <w:r w:rsidR="00C54EC9">
        <w:rPr>
          <w:szCs w:val="26"/>
        </w:rPr>
        <w:noBreakHyphen/>
      </w:r>
      <w:r>
        <w:rPr>
          <w:szCs w:val="26"/>
        </w:rPr>
        <w:t>a</w:t>
      </w:r>
      <w:r w:rsidR="00B001B9">
        <w:rPr>
          <w:szCs w:val="26"/>
        </w:rPr>
        <w:t xml:space="preserve">nnual </w:t>
      </w:r>
      <w:r w:rsidR="006D5C55">
        <w:rPr>
          <w:szCs w:val="26"/>
        </w:rPr>
        <w:t>R</w:t>
      </w:r>
      <w:r w:rsidR="00B001B9">
        <w:rPr>
          <w:szCs w:val="26"/>
        </w:rPr>
        <w:t>eports or through some other means?</w:t>
      </w:r>
    </w:p>
    <w:p w:rsidR="00024945" w:rsidP="00B239C8" w:rsidRDefault="00B001B9" w14:paraId="5C1554DD" w14:textId="7661115A">
      <w:pPr>
        <w:pStyle w:val="BlockQuoteH033"/>
        <w:numPr>
          <w:ilvl w:val="0"/>
          <w:numId w:val="23"/>
        </w:numPr>
        <w:ind w:left="1195" w:hanging="475"/>
        <w:rPr>
          <w:szCs w:val="26"/>
        </w:rPr>
      </w:pPr>
      <w:r w:rsidRPr="00B001B9">
        <w:rPr>
          <w:szCs w:val="26"/>
        </w:rPr>
        <w:t>What changes or additional practices should the Commission consider to increase DAC</w:t>
      </w:r>
      <w:r w:rsidR="00C54EC9">
        <w:rPr>
          <w:szCs w:val="26"/>
        </w:rPr>
        <w:noBreakHyphen/>
      </w:r>
      <w:r w:rsidRPr="00B001B9">
        <w:rPr>
          <w:szCs w:val="26"/>
        </w:rPr>
        <w:t xml:space="preserve">SASH </w:t>
      </w:r>
      <w:r w:rsidR="00926323">
        <w:rPr>
          <w:szCs w:val="26"/>
        </w:rPr>
        <w:t>a</w:t>
      </w:r>
      <w:r w:rsidRPr="00B001B9">
        <w:rPr>
          <w:szCs w:val="26"/>
        </w:rPr>
        <w:t xml:space="preserve">pplicant enrollment in related </w:t>
      </w:r>
      <w:r w:rsidR="008322A2">
        <w:rPr>
          <w:szCs w:val="26"/>
        </w:rPr>
        <w:t xml:space="preserve">subsidy </w:t>
      </w:r>
      <w:r w:rsidRPr="00B001B9">
        <w:rPr>
          <w:szCs w:val="26"/>
        </w:rPr>
        <w:t>programs</w:t>
      </w:r>
      <w:r w:rsidR="008322A2">
        <w:rPr>
          <w:szCs w:val="26"/>
        </w:rPr>
        <w:t xml:space="preserve"> such as</w:t>
      </w:r>
      <w:r w:rsidRPr="00B001B9" w:rsidR="008322A2">
        <w:rPr>
          <w:szCs w:val="26"/>
        </w:rPr>
        <w:t xml:space="preserve"> </w:t>
      </w:r>
      <w:r w:rsidR="003F3ADA">
        <w:rPr>
          <w:szCs w:val="26"/>
        </w:rPr>
        <w:t>CARE</w:t>
      </w:r>
      <w:r w:rsidRPr="00B001B9" w:rsidR="008322A2">
        <w:rPr>
          <w:szCs w:val="26"/>
        </w:rPr>
        <w:t xml:space="preserve">, </w:t>
      </w:r>
      <w:r w:rsidR="006F25C7">
        <w:rPr>
          <w:szCs w:val="26"/>
        </w:rPr>
        <w:t>ESA</w:t>
      </w:r>
      <w:r w:rsidRPr="00B001B9" w:rsidR="008322A2">
        <w:rPr>
          <w:szCs w:val="26"/>
        </w:rPr>
        <w:t xml:space="preserve">, </w:t>
      </w:r>
      <w:r w:rsidR="0081758A">
        <w:rPr>
          <w:szCs w:val="26"/>
        </w:rPr>
        <w:t>FERA</w:t>
      </w:r>
      <w:r w:rsidR="00CF605A">
        <w:rPr>
          <w:szCs w:val="26"/>
        </w:rPr>
        <w:t xml:space="preserve">, and </w:t>
      </w:r>
      <w:r w:rsidRPr="00B001B9" w:rsidR="008322A2">
        <w:rPr>
          <w:szCs w:val="26"/>
        </w:rPr>
        <w:t xml:space="preserve">the Medical Baseline </w:t>
      </w:r>
      <w:r w:rsidR="00A6273E">
        <w:rPr>
          <w:szCs w:val="26"/>
        </w:rPr>
        <w:t>Program</w:t>
      </w:r>
      <w:r w:rsidRPr="00B001B9">
        <w:rPr>
          <w:szCs w:val="26"/>
        </w:rPr>
        <w:t>?</w:t>
      </w:r>
    </w:p>
    <w:p w:rsidRPr="00C111DF" w:rsidR="00C111DF" w:rsidP="00B239C8" w:rsidRDefault="00C111DF" w14:paraId="216A22E5" w14:textId="294DB885">
      <w:pPr>
        <w:pStyle w:val="BlockQuoteH033"/>
        <w:numPr>
          <w:ilvl w:val="0"/>
          <w:numId w:val="23"/>
        </w:numPr>
        <w:ind w:left="1195" w:hanging="475"/>
        <w:rPr>
          <w:szCs w:val="26"/>
        </w:rPr>
      </w:pPr>
      <w:r>
        <w:rPr>
          <w:szCs w:val="26"/>
        </w:rPr>
        <w:t>Should the DAC</w:t>
      </w:r>
      <w:r w:rsidR="00C54EC9">
        <w:rPr>
          <w:szCs w:val="26"/>
        </w:rPr>
        <w:noBreakHyphen/>
      </w:r>
      <w:r>
        <w:rPr>
          <w:szCs w:val="26"/>
        </w:rPr>
        <w:t>SASH program prohibit projects participating in multiple incentive programs from receiving total incentives that exceed the projects</w:t>
      </w:r>
      <w:r w:rsidR="008230EB">
        <w:rPr>
          <w:szCs w:val="26"/>
        </w:rPr>
        <w:t>’</w:t>
      </w:r>
      <w:r>
        <w:rPr>
          <w:szCs w:val="26"/>
        </w:rPr>
        <w:t xml:space="preserve"> costs?</w:t>
      </w:r>
    </w:p>
    <w:p w:rsidRPr="00C111DF" w:rsidR="00C111DF" w:rsidP="00B239C8" w:rsidRDefault="00C111DF" w14:paraId="169913E4" w14:textId="6572CAC9">
      <w:pPr>
        <w:pStyle w:val="BlockQuoteH033"/>
        <w:numPr>
          <w:ilvl w:val="0"/>
          <w:numId w:val="23"/>
        </w:numPr>
        <w:ind w:left="1195" w:hanging="475"/>
        <w:rPr>
          <w:szCs w:val="26"/>
        </w:rPr>
      </w:pPr>
      <w:r>
        <w:rPr>
          <w:szCs w:val="26"/>
        </w:rPr>
        <w:t>To calculate system sizes for DAC</w:t>
      </w:r>
      <w:r w:rsidR="00C54EC9">
        <w:rPr>
          <w:szCs w:val="26"/>
        </w:rPr>
        <w:noBreakHyphen/>
      </w:r>
      <w:r>
        <w:rPr>
          <w:szCs w:val="26"/>
        </w:rPr>
        <w:t xml:space="preserve">SASH program incentives, should the program </w:t>
      </w:r>
      <w:r w:rsidRPr="00B001B9">
        <w:rPr>
          <w:szCs w:val="26"/>
        </w:rPr>
        <w:t xml:space="preserve">continue to rely on the </w:t>
      </w:r>
      <w:r w:rsidR="005F2DCE">
        <w:rPr>
          <w:szCs w:val="26"/>
        </w:rPr>
        <w:t>Expected Performance Based Buyout (</w:t>
      </w:r>
      <w:r>
        <w:rPr>
          <w:szCs w:val="26"/>
        </w:rPr>
        <w:t>EPBB</w:t>
      </w:r>
      <w:r w:rsidR="005F2DCE">
        <w:rPr>
          <w:szCs w:val="26"/>
        </w:rPr>
        <w:t>)</w:t>
      </w:r>
      <w:r>
        <w:rPr>
          <w:szCs w:val="26"/>
        </w:rPr>
        <w:t xml:space="preserve"> </w:t>
      </w:r>
      <w:r w:rsidRPr="00B001B9">
        <w:rPr>
          <w:szCs w:val="26"/>
        </w:rPr>
        <w:t xml:space="preserve">calculator or other available tools? Should GRID be authorized to propose the use of different tools that may be available now or in the future via a </w:t>
      </w:r>
      <w:r w:rsidR="001C3D54">
        <w:rPr>
          <w:szCs w:val="26"/>
        </w:rPr>
        <w:t>Tier </w:t>
      </w:r>
      <w:r w:rsidRPr="00B001B9">
        <w:rPr>
          <w:szCs w:val="26"/>
        </w:rPr>
        <w:t>2 advice</w:t>
      </w:r>
      <w:r>
        <w:rPr>
          <w:szCs w:val="26"/>
        </w:rPr>
        <w:t xml:space="preserve"> letter?</w:t>
      </w:r>
    </w:p>
    <w:p w:rsidR="00B001B9" w:rsidP="00B239C8" w:rsidRDefault="00B001B9" w14:paraId="4FA13B2E" w14:textId="7A99B086">
      <w:pPr>
        <w:pStyle w:val="BlockQuoteH033"/>
        <w:numPr>
          <w:ilvl w:val="0"/>
          <w:numId w:val="23"/>
        </w:numPr>
        <w:ind w:left="1195" w:hanging="475"/>
        <w:rPr>
          <w:szCs w:val="26"/>
        </w:rPr>
      </w:pPr>
      <w:r>
        <w:rPr>
          <w:szCs w:val="26"/>
        </w:rPr>
        <w:t>Given that the solar market has matured and broadened into DACs and low</w:t>
      </w:r>
      <w:r w:rsidR="00C54EC9">
        <w:rPr>
          <w:szCs w:val="26"/>
        </w:rPr>
        <w:noBreakHyphen/>
      </w:r>
      <w:r>
        <w:rPr>
          <w:szCs w:val="26"/>
        </w:rPr>
        <w:t>income communities, is there still a need for job training and workforce development program requirements?</w:t>
      </w:r>
    </w:p>
    <w:p w:rsidR="00B001B9" w:rsidP="00B239C8" w:rsidRDefault="00B001B9" w14:paraId="10893F43" w14:textId="589ADF53">
      <w:pPr>
        <w:pStyle w:val="BlockQuoteH033"/>
        <w:numPr>
          <w:ilvl w:val="0"/>
          <w:numId w:val="23"/>
        </w:numPr>
        <w:ind w:left="1195" w:hanging="475"/>
        <w:rPr>
          <w:szCs w:val="26"/>
        </w:rPr>
      </w:pPr>
      <w:r>
        <w:rPr>
          <w:szCs w:val="26"/>
        </w:rPr>
        <w:lastRenderedPageBreak/>
        <w:t>Should any of the job task analysis categories listed on D.18</w:t>
      </w:r>
      <w:r w:rsidR="00C54EC9">
        <w:rPr>
          <w:szCs w:val="26"/>
        </w:rPr>
        <w:noBreakHyphen/>
      </w:r>
      <w:r>
        <w:rPr>
          <w:szCs w:val="26"/>
        </w:rPr>
        <w:t>06</w:t>
      </w:r>
      <w:r w:rsidR="00C54EC9">
        <w:rPr>
          <w:szCs w:val="26"/>
        </w:rPr>
        <w:noBreakHyphen/>
      </w:r>
      <w:r>
        <w:rPr>
          <w:szCs w:val="26"/>
        </w:rPr>
        <w:t>027</w:t>
      </w:r>
      <w:r w:rsidR="008230EB">
        <w:rPr>
          <w:szCs w:val="26"/>
        </w:rPr>
        <w:t>’</w:t>
      </w:r>
      <w:r>
        <w:rPr>
          <w:szCs w:val="26"/>
        </w:rPr>
        <w:t>s page</w:t>
      </w:r>
      <w:r w:rsidR="004D001A">
        <w:rPr>
          <w:szCs w:val="26"/>
        </w:rPr>
        <w:t> </w:t>
      </w:r>
      <w:r>
        <w:rPr>
          <w:szCs w:val="26"/>
        </w:rPr>
        <w:t>A</w:t>
      </w:r>
      <w:r w:rsidR="00C54EC9">
        <w:rPr>
          <w:szCs w:val="26"/>
        </w:rPr>
        <w:noBreakHyphen/>
      </w:r>
      <w:r>
        <w:rPr>
          <w:szCs w:val="26"/>
        </w:rPr>
        <w:t xml:space="preserve">10 be considered a </w:t>
      </w:r>
      <w:r w:rsidR="008230EB">
        <w:rPr>
          <w:szCs w:val="26"/>
        </w:rPr>
        <w:t>“</w:t>
      </w:r>
      <w:r>
        <w:rPr>
          <w:szCs w:val="26"/>
        </w:rPr>
        <w:t>high road</w:t>
      </w:r>
      <w:r w:rsidR="008230EB">
        <w:rPr>
          <w:szCs w:val="26"/>
        </w:rPr>
        <w:t>”</w:t>
      </w:r>
      <w:r>
        <w:rPr>
          <w:szCs w:val="26"/>
        </w:rPr>
        <w:t xml:space="preserve"> career path pursuant to Unemployment Insurance Code </w:t>
      </w:r>
      <w:r w:rsidR="00926323">
        <w:rPr>
          <w:szCs w:val="26"/>
        </w:rPr>
        <w:t>Section</w:t>
      </w:r>
      <w:r w:rsidR="002F23D7">
        <w:rPr>
          <w:szCs w:val="26"/>
        </w:rPr>
        <w:t> </w:t>
      </w:r>
      <w:r>
        <w:rPr>
          <w:szCs w:val="26"/>
        </w:rPr>
        <w:t>14005(r) and (s)?</w:t>
      </w:r>
    </w:p>
    <w:p w:rsidR="008322A2" w:rsidP="00B239C8" w:rsidRDefault="008322A2" w14:paraId="70DCAA81" w14:textId="792150EB">
      <w:pPr>
        <w:pStyle w:val="BlockQuoteH033"/>
        <w:numPr>
          <w:ilvl w:val="0"/>
          <w:numId w:val="23"/>
        </w:numPr>
        <w:ind w:left="1195" w:hanging="475"/>
        <w:rPr>
          <w:szCs w:val="26"/>
        </w:rPr>
      </w:pPr>
      <w:r>
        <w:rPr>
          <w:szCs w:val="26"/>
        </w:rPr>
        <w:t>Should the DAC</w:t>
      </w:r>
      <w:r w:rsidR="00C54EC9">
        <w:rPr>
          <w:szCs w:val="26"/>
        </w:rPr>
        <w:noBreakHyphen/>
      </w:r>
      <w:r>
        <w:rPr>
          <w:szCs w:val="26"/>
        </w:rPr>
        <w:t>SASH program no longer require GRID and sub</w:t>
      </w:r>
      <w:r w:rsidR="00C54EC9">
        <w:rPr>
          <w:szCs w:val="26"/>
        </w:rPr>
        <w:noBreakHyphen/>
      </w:r>
      <w:r>
        <w:rPr>
          <w:szCs w:val="26"/>
        </w:rPr>
        <w:t>contractors to hire people who have received job training through the DAC</w:t>
      </w:r>
      <w:r w:rsidR="00C54EC9">
        <w:rPr>
          <w:szCs w:val="26"/>
        </w:rPr>
        <w:noBreakHyphen/>
      </w:r>
      <w:r>
        <w:rPr>
          <w:szCs w:val="26"/>
        </w:rPr>
        <w:t>SASH program?</w:t>
      </w:r>
    </w:p>
    <w:p w:rsidRPr="00C111DF" w:rsidR="00C111DF" w:rsidP="00B239C8" w:rsidRDefault="00C111DF" w14:paraId="56C85F81" w14:textId="05C3D2D7">
      <w:pPr>
        <w:pStyle w:val="BlockQuoteH033"/>
        <w:numPr>
          <w:ilvl w:val="0"/>
          <w:numId w:val="23"/>
        </w:numPr>
        <w:ind w:left="1195" w:hanging="475"/>
        <w:rPr>
          <w:szCs w:val="26"/>
        </w:rPr>
      </w:pPr>
      <w:r>
        <w:rPr>
          <w:szCs w:val="26"/>
        </w:rPr>
        <w:t>Should the DAC</w:t>
      </w:r>
      <w:r w:rsidR="00C54EC9">
        <w:rPr>
          <w:szCs w:val="26"/>
        </w:rPr>
        <w:noBreakHyphen/>
      </w:r>
      <w:r>
        <w:rPr>
          <w:szCs w:val="26"/>
        </w:rPr>
        <w:t>SASH program incentive level be increased to incentivize batteries as proposed by the PA?</w:t>
      </w:r>
    </w:p>
    <w:p w:rsidR="008322A2" w:rsidP="00B239C8" w:rsidRDefault="008322A2" w14:paraId="224E00BF" w14:textId="6EF1E656">
      <w:pPr>
        <w:pStyle w:val="BlockQuoteH033"/>
        <w:numPr>
          <w:ilvl w:val="0"/>
          <w:numId w:val="23"/>
        </w:numPr>
        <w:ind w:left="1195" w:hanging="475"/>
        <w:rPr>
          <w:szCs w:val="26"/>
        </w:rPr>
      </w:pPr>
      <w:r>
        <w:rPr>
          <w:szCs w:val="26"/>
        </w:rPr>
        <w:t>Should the DAC</w:t>
      </w:r>
      <w:r w:rsidR="00C54EC9">
        <w:rPr>
          <w:szCs w:val="26"/>
        </w:rPr>
        <w:noBreakHyphen/>
      </w:r>
      <w:r>
        <w:rPr>
          <w:szCs w:val="26"/>
        </w:rPr>
        <w:t>SASH program eliminate requirements for GRID to provide energy efficiency education?</w:t>
      </w:r>
    </w:p>
    <w:p w:rsidR="00B001B9" w:rsidP="00B239C8" w:rsidRDefault="00251A67" w14:paraId="141F718B" w14:textId="18185268">
      <w:pPr>
        <w:pStyle w:val="BlockQuoteH033"/>
        <w:numPr>
          <w:ilvl w:val="0"/>
          <w:numId w:val="23"/>
        </w:numPr>
        <w:ind w:left="1195" w:hanging="475"/>
        <w:rPr>
          <w:szCs w:val="26"/>
        </w:rPr>
      </w:pPr>
      <w:r>
        <w:rPr>
          <w:szCs w:val="26"/>
        </w:rPr>
        <w:t xml:space="preserve">Should the Commission include meter socket </w:t>
      </w:r>
      <w:r w:rsidR="0033021B">
        <w:rPr>
          <w:szCs w:val="26"/>
        </w:rPr>
        <w:t>adapters</w:t>
      </w:r>
      <w:r>
        <w:rPr>
          <w:szCs w:val="26"/>
        </w:rPr>
        <w:t xml:space="preserve"> as eligible equipment in DAC</w:t>
      </w:r>
      <w:r w:rsidR="00C54EC9">
        <w:rPr>
          <w:szCs w:val="26"/>
        </w:rPr>
        <w:noBreakHyphen/>
      </w:r>
      <w:r>
        <w:rPr>
          <w:szCs w:val="26"/>
        </w:rPr>
        <w:t>SASH?</w:t>
      </w:r>
    </w:p>
    <w:p w:rsidR="00C073B5" w:rsidP="00C073B5" w:rsidRDefault="00865888" w14:paraId="5275615B" w14:textId="0F05A78F">
      <w:pPr>
        <w:pStyle w:val="Heading1"/>
      </w:pPr>
      <w:bookmarkStart w:name="_Toc236292536" w:id="18"/>
      <w:bookmarkStart w:name="_Toc242090702" w:id="19"/>
      <w:r w:rsidRPr="00865888">
        <w:t>Investor</w:t>
      </w:r>
      <w:r w:rsidR="00C54EC9">
        <w:noBreakHyphen/>
      </w:r>
      <w:r w:rsidRPr="00865888">
        <w:t>Owned Utilities</w:t>
      </w:r>
      <w:r w:rsidR="008230EB">
        <w:t>’</w:t>
      </w:r>
      <w:r w:rsidR="00B41B14">
        <w:t xml:space="preserve"> Administration Budget</w:t>
      </w:r>
      <w:bookmarkEnd w:id="18"/>
      <w:bookmarkEnd w:id="19"/>
    </w:p>
    <w:p w:rsidR="00024945" w:rsidP="00C073B5" w:rsidRDefault="00B41B14" w14:paraId="095F9ADF" w14:textId="14D69480">
      <w:pPr>
        <w:pStyle w:val="Standard"/>
      </w:pPr>
      <w:r>
        <w:t>D.18</w:t>
      </w:r>
      <w:r w:rsidR="00C54EC9">
        <w:noBreakHyphen/>
      </w:r>
      <w:r>
        <w:t>06</w:t>
      </w:r>
      <w:r w:rsidR="00C54EC9">
        <w:noBreakHyphen/>
      </w:r>
      <w:r>
        <w:t>027 established an annual $10</w:t>
      </w:r>
      <w:r w:rsidR="003E2681">
        <w:t> million</w:t>
      </w:r>
      <w:r>
        <w:t xml:space="preserve"> budget for DAC</w:t>
      </w:r>
      <w:r w:rsidR="00C54EC9">
        <w:noBreakHyphen/>
      </w:r>
      <w:r>
        <w:t>SASH to be collected by P</w:t>
      </w:r>
      <w:r w:rsidR="00DE36FD">
        <w:t>G&amp;E</w:t>
      </w:r>
      <w:r>
        <w:t xml:space="preserve">, SCE, </w:t>
      </w:r>
      <w:r w:rsidRPr="00756FAC">
        <w:t xml:space="preserve">and SDG&amp;E </w:t>
      </w:r>
      <w:r w:rsidRPr="00756FAC" w:rsidR="10DC3D24">
        <w:t xml:space="preserve">first through </w:t>
      </w:r>
      <w:r w:rsidRPr="00756FAC" w:rsidR="254DEBDC">
        <w:t>available</w:t>
      </w:r>
      <w:r w:rsidRPr="00756FAC">
        <w:t xml:space="preserve"> </w:t>
      </w:r>
      <w:r w:rsidRPr="004C0D3E" w:rsidR="004C0D3E">
        <w:t>GHG allowance auction proceeds</w:t>
      </w:r>
      <w:r w:rsidR="33124F90">
        <w:t xml:space="preserve">. </w:t>
      </w:r>
      <w:r w:rsidR="00DF08D2">
        <w:t xml:space="preserve">Should </w:t>
      </w:r>
      <w:r w:rsidRPr="0636AC8B" w:rsidR="33124F90">
        <w:t xml:space="preserve">such funds </w:t>
      </w:r>
      <w:r w:rsidR="00DF08D2">
        <w:t xml:space="preserve">be </w:t>
      </w:r>
      <w:r w:rsidRPr="0636AC8B" w:rsidR="33124F90">
        <w:t>exhausted, the DAC</w:t>
      </w:r>
      <w:r w:rsidR="00C54EC9">
        <w:noBreakHyphen/>
      </w:r>
      <w:r w:rsidRPr="0636AC8B" w:rsidR="33124F90">
        <w:t xml:space="preserve">SASH program will be funded through </w:t>
      </w:r>
      <w:r w:rsidR="00CF605A">
        <w:t>PPP</w:t>
      </w:r>
      <w:r w:rsidRPr="0636AC8B" w:rsidR="33124F90">
        <w:t xml:space="preserve"> funds through the conclusion of the program in 2030.</w:t>
      </w:r>
      <w:r w:rsidRPr="00756FAC">
        <w:rPr>
          <w:rStyle w:val="FootnoteReference"/>
        </w:rPr>
        <w:footnoteReference w:id="12"/>
      </w:r>
      <w:r w:rsidR="00CF605A">
        <w:t xml:space="preserve"> </w:t>
      </w:r>
      <w:r w:rsidR="00407EA6">
        <w:t>In D.18</w:t>
      </w:r>
      <w:r w:rsidR="00C54EC9">
        <w:noBreakHyphen/>
      </w:r>
      <w:r w:rsidR="00407EA6">
        <w:t>06</w:t>
      </w:r>
      <w:r w:rsidR="00C54EC9">
        <w:noBreakHyphen/>
      </w:r>
      <w:r w:rsidR="00407EA6">
        <w:t>027, the Commission</w:t>
      </w:r>
      <w:r w:rsidRPr="00756FAC">
        <w:t xml:space="preserve"> also allocated 10% of total </w:t>
      </w:r>
      <w:r w:rsidR="00CF605A">
        <w:t>collections</w:t>
      </w:r>
      <w:r w:rsidRPr="00756FAC">
        <w:t xml:space="preserve"> for administration</w:t>
      </w:r>
      <w:r>
        <w:t xml:space="preserve">, stating that </w:t>
      </w:r>
      <w:r w:rsidR="008230EB">
        <w:t>“</w:t>
      </w:r>
      <w:r>
        <w:t>the PA shall ensure that funding is allocated.</w:t>
      </w:r>
      <w:r w:rsidR="008230EB">
        <w:t>”</w:t>
      </w:r>
      <w:r>
        <w:rPr>
          <w:rStyle w:val="FootnoteReference"/>
        </w:rPr>
        <w:footnoteReference w:id="13"/>
      </w:r>
      <w:r w:rsidR="00CF605A">
        <w:t xml:space="preserve"> </w:t>
      </w:r>
      <w:r w:rsidR="009977E4">
        <w:t>D.20</w:t>
      </w:r>
      <w:r w:rsidR="00C54EC9">
        <w:noBreakHyphen/>
      </w:r>
      <w:r w:rsidR="009977E4">
        <w:t>12</w:t>
      </w:r>
      <w:r w:rsidR="00C54EC9">
        <w:noBreakHyphen/>
      </w:r>
      <w:r w:rsidR="009977E4">
        <w:t>003 authorized the IOUs to submit a</w:t>
      </w:r>
      <w:r w:rsidR="006D38CC">
        <w:t>n annual</w:t>
      </w:r>
      <w:r w:rsidR="009977E4">
        <w:t xml:space="preserve"> </w:t>
      </w:r>
      <w:r w:rsidR="001C3D54">
        <w:t>Tier </w:t>
      </w:r>
      <w:r w:rsidR="009977E4">
        <w:t xml:space="preserve">2 advice letter with their proposed budget </w:t>
      </w:r>
      <w:r w:rsidR="006D38CC">
        <w:t xml:space="preserve">starting in 2021 </w:t>
      </w:r>
      <w:r w:rsidR="009977E4">
        <w:t xml:space="preserve">for reasonable </w:t>
      </w:r>
      <w:r w:rsidR="00B029CD">
        <w:t xml:space="preserve">ME&amp;O and </w:t>
      </w:r>
      <w:r w:rsidR="0031452B">
        <w:t xml:space="preserve">administration </w:t>
      </w:r>
      <w:r w:rsidR="009977E4">
        <w:t>costs needed to support DAC</w:t>
      </w:r>
      <w:r w:rsidR="00C54EC9">
        <w:noBreakHyphen/>
      </w:r>
      <w:r w:rsidR="009977E4">
        <w:t>SASH.</w:t>
      </w:r>
    </w:p>
    <w:p w:rsidR="00024945" w:rsidP="00FB30C2" w:rsidRDefault="00FA5B1D" w14:paraId="2C862105" w14:textId="196A77EF">
      <w:pPr>
        <w:pStyle w:val="Standard"/>
      </w:pPr>
      <w:r>
        <w:t>GRID states that it has received and spent the entire 10% of annual DAC</w:t>
      </w:r>
      <w:r w:rsidR="00C54EC9">
        <w:noBreakHyphen/>
      </w:r>
      <w:r>
        <w:t>SASH funding allocated for administration in addition to the 4% of annual DAC</w:t>
      </w:r>
      <w:r w:rsidR="00C54EC9">
        <w:noBreakHyphen/>
      </w:r>
      <w:r>
        <w:t>SASH funding allocated for ME&amp;O.</w:t>
      </w:r>
      <w:r>
        <w:rPr>
          <w:rStyle w:val="FootnoteReference"/>
        </w:rPr>
        <w:footnoteReference w:id="14"/>
      </w:r>
      <w:r>
        <w:t xml:space="preserve"> </w:t>
      </w:r>
      <w:r w:rsidR="008159E5">
        <w:t xml:space="preserve">Based on responses to the </w:t>
      </w:r>
      <w:r w:rsidR="008230EB">
        <w:t>January </w:t>
      </w:r>
      <w:r w:rsidR="008159E5">
        <w:t xml:space="preserve">26 </w:t>
      </w:r>
      <w:r w:rsidR="008159E5">
        <w:lastRenderedPageBreak/>
        <w:t>Ruling, however, i</w:t>
      </w:r>
      <w:r w:rsidR="009977E4">
        <w:t>t is unclear how the IOUs ar</w:t>
      </w:r>
      <w:r w:rsidR="005A285E">
        <w:t>e</w:t>
      </w:r>
      <w:r w:rsidR="009977E4">
        <w:t xml:space="preserve"> </w:t>
      </w:r>
      <w:r w:rsidR="0032200D">
        <w:t xml:space="preserve">collectively </w:t>
      </w:r>
      <w:r w:rsidR="009977E4">
        <w:t>recovering their own DAC</w:t>
      </w:r>
      <w:r w:rsidR="00C54EC9">
        <w:noBreakHyphen/>
      </w:r>
      <w:r w:rsidR="009977E4">
        <w:t>SASH administrat</w:t>
      </w:r>
      <w:r w:rsidR="00DE36FD">
        <w:t>ive</w:t>
      </w:r>
      <w:r w:rsidR="009977E4">
        <w:t xml:space="preserve"> costs.</w:t>
      </w:r>
      <w:r w:rsidR="009977E4">
        <w:rPr>
          <w:rStyle w:val="FootnoteReference"/>
        </w:rPr>
        <w:footnoteReference w:id="15"/>
      </w:r>
      <w:r w:rsidR="009977E4">
        <w:t xml:space="preserve"> </w:t>
      </w:r>
      <w:r w:rsidRPr="0017144D" w:rsidR="00206048">
        <w:rPr>
          <w:rFonts w:cs="Arial"/>
          <w:szCs w:val="26"/>
        </w:rPr>
        <w:t>PG&amp;E states that its own DAC</w:t>
      </w:r>
      <w:r w:rsidR="00C54EC9">
        <w:rPr>
          <w:rFonts w:cs="Arial"/>
          <w:szCs w:val="26"/>
        </w:rPr>
        <w:noBreakHyphen/>
      </w:r>
      <w:r w:rsidRPr="0017144D" w:rsidR="00206048">
        <w:rPr>
          <w:rFonts w:cs="Arial"/>
          <w:szCs w:val="26"/>
        </w:rPr>
        <w:t>SASH administrative costs have historically been included within the program funds set aside for administration.</w:t>
      </w:r>
      <w:r w:rsidR="00206048">
        <w:rPr>
          <w:rStyle w:val="FootnoteReference"/>
        </w:rPr>
        <w:footnoteReference w:id="16"/>
      </w:r>
      <w:r w:rsidR="00206048">
        <w:t xml:space="preserve"> </w:t>
      </w:r>
      <w:r w:rsidRPr="0017144D" w:rsidR="00206048">
        <w:rPr>
          <w:rFonts w:cs="Arial"/>
          <w:szCs w:val="26"/>
        </w:rPr>
        <w:t>PG&amp;E submits annual advice letters seeking approval of its projected administrative budget and records its actual administrative expenses in the DAC</w:t>
      </w:r>
      <w:r w:rsidR="00C54EC9">
        <w:rPr>
          <w:rFonts w:cs="Arial"/>
          <w:szCs w:val="26"/>
        </w:rPr>
        <w:noBreakHyphen/>
      </w:r>
      <w:r w:rsidRPr="0017144D" w:rsidR="00206048">
        <w:rPr>
          <w:rFonts w:cs="Arial"/>
          <w:szCs w:val="26"/>
        </w:rPr>
        <w:t xml:space="preserve">SASH Balancing Account for review through its annual </w:t>
      </w:r>
      <w:r w:rsidR="00B0627A">
        <w:rPr>
          <w:rFonts w:cs="Arial"/>
          <w:szCs w:val="26"/>
        </w:rPr>
        <w:t>Energy Resource and Recovery Account (</w:t>
      </w:r>
      <w:r w:rsidRPr="0017144D" w:rsidR="00206048">
        <w:rPr>
          <w:rFonts w:cs="Arial"/>
          <w:szCs w:val="26"/>
        </w:rPr>
        <w:t>ERRA</w:t>
      </w:r>
      <w:r w:rsidR="00B0627A">
        <w:rPr>
          <w:rFonts w:cs="Arial"/>
          <w:szCs w:val="26"/>
        </w:rPr>
        <w:t>)</w:t>
      </w:r>
      <w:r w:rsidRPr="0017144D" w:rsidR="00206048">
        <w:rPr>
          <w:rFonts w:cs="Arial"/>
          <w:szCs w:val="26"/>
        </w:rPr>
        <w:t xml:space="preserve"> compliance proceedings</w:t>
      </w:r>
      <w:r w:rsidR="00206048">
        <w:rPr>
          <w:rFonts w:cs="Arial"/>
          <w:szCs w:val="26"/>
        </w:rPr>
        <w:t>.</w:t>
      </w:r>
      <w:r w:rsidR="00206048">
        <w:rPr>
          <w:rStyle w:val="FootnoteReference"/>
          <w:rFonts w:cs="Arial"/>
          <w:szCs w:val="26"/>
        </w:rPr>
        <w:footnoteReference w:id="17"/>
      </w:r>
      <w:r w:rsidR="007A54E4">
        <w:t xml:space="preserve"> PG&amp;E writes: </w:t>
      </w:r>
      <w:r w:rsidR="008230EB">
        <w:t>“</w:t>
      </w:r>
      <w:r w:rsidRPr="007A54E4" w:rsidR="007A54E4">
        <w:t>It is PG&amp;E</w:t>
      </w:r>
      <w:r w:rsidR="008230EB">
        <w:t>’</w:t>
      </w:r>
      <w:r w:rsidRPr="007A54E4" w:rsidR="007A54E4">
        <w:t>s understanding that for each historic year in which this process has been followed, PG&amp;E</w:t>
      </w:r>
      <w:r w:rsidR="008230EB">
        <w:t>’</w:t>
      </w:r>
      <w:r w:rsidRPr="007A54E4" w:rsidR="007A54E4">
        <w:t>s administrative costs were included as part of the 10% set aside of program funds for administration.</w:t>
      </w:r>
      <w:r w:rsidR="008230EB">
        <w:t>”</w:t>
      </w:r>
      <w:r w:rsidR="007A54E4">
        <w:rPr>
          <w:rStyle w:val="FootnoteReference"/>
        </w:rPr>
        <w:footnoteReference w:id="18"/>
      </w:r>
      <w:r w:rsidRPr="007A54E4" w:rsidR="007A54E4">
        <w:t xml:space="preserve"> </w:t>
      </w:r>
      <w:r w:rsidRPr="0017144D" w:rsidR="006C5220">
        <w:rPr>
          <w:rFonts w:cs="Arial"/>
          <w:color w:val="000000" w:themeColor="text1"/>
          <w:szCs w:val="26"/>
        </w:rPr>
        <w:t>SCE states that it reimburses the P</w:t>
      </w:r>
      <w:r w:rsidR="006C5220">
        <w:rPr>
          <w:rFonts w:cs="Arial"/>
          <w:color w:val="000000" w:themeColor="text1"/>
          <w:szCs w:val="26"/>
        </w:rPr>
        <w:t>A</w:t>
      </w:r>
      <w:r w:rsidRPr="0017144D" w:rsidR="006C5220">
        <w:rPr>
          <w:rFonts w:cs="Arial"/>
          <w:color w:val="000000" w:themeColor="text1"/>
          <w:szCs w:val="26"/>
        </w:rPr>
        <w:t>'s administrative costs from the DAC</w:t>
      </w:r>
      <w:r w:rsidR="00C54EC9">
        <w:rPr>
          <w:rFonts w:cs="Arial"/>
          <w:color w:val="000000" w:themeColor="text1"/>
          <w:szCs w:val="26"/>
        </w:rPr>
        <w:noBreakHyphen/>
      </w:r>
      <w:r w:rsidRPr="0017144D" w:rsidR="006C5220">
        <w:rPr>
          <w:rFonts w:cs="Arial"/>
          <w:color w:val="000000" w:themeColor="text1"/>
          <w:szCs w:val="26"/>
        </w:rPr>
        <w:t xml:space="preserve">SASH </w:t>
      </w:r>
      <w:r w:rsidR="00206048">
        <w:rPr>
          <w:rFonts w:cs="Arial"/>
          <w:color w:val="000000" w:themeColor="text1"/>
          <w:szCs w:val="26"/>
        </w:rPr>
        <w:t>ba</w:t>
      </w:r>
      <w:r w:rsidRPr="0017144D" w:rsidR="006C5220">
        <w:rPr>
          <w:rFonts w:cs="Arial"/>
          <w:color w:val="000000" w:themeColor="text1"/>
          <w:szCs w:val="26"/>
        </w:rPr>
        <w:t xml:space="preserve">lancing </w:t>
      </w:r>
      <w:r w:rsidR="00206048">
        <w:rPr>
          <w:rFonts w:cs="Arial"/>
          <w:color w:val="000000" w:themeColor="text1"/>
          <w:szCs w:val="26"/>
        </w:rPr>
        <w:t>a</w:t>
      </w:r>
      <w:r w:rsidRPr="0017144D" w:rsidR="006C5220">
        <w:rPr>
          <w:rFonts w:cs="Arial"/>
          <w:color w:val="000000" w:themeColor="text1"/>
          <w:szCs w:val="26"/>
        </w:rPr>
        <w:t>ccount but does not currently have approval to recover SCE's own administrative costs from that account.</w:t>
      </w:r>
      <w:r w:rsidR="00206048">
        <w:rPr>
          <w:rStyle w:val="FootnoteReference"/>
        </w:rPr>
        <w:footnoteReference w:id="19"/>
      </w:r>
      <w:r w:rsidRPr="0017144D" w:rsidR="006C5220">
        <w:rPr>
          <w:rFonts w:cs="Arial"/>
          <w:color w:val="000000" w:themeColor="text1"/>
          <w:szCs w:val="26"/>
        </w:rPr>
        <w:t xml:space="preserve"> Historical ERRA filings, however, </w:t>
      </w:r>
      <w:r w:rsidR="00A450B1">
        <w:rPr>
          <w:rFonts w:cs="Arial"/>
          <w:color w:val="000000" w:themeColor="text1"/>
          <w:szCs w:val="26"/>
        </w:rPr>
        <w:t xml:space="preserve">show </w:t>
      </w:r>
      <w:r w:rsidRPr="0017144D" w:rsidR="006C5220">
        <w:rPr>
          <w:rFonts w:cs="Arial"/>
          <w:color w:val="000000" w:themeColor="text1"/>
          <w:szCs w:val="26"/>
        </w:rPr>
        <w:t>that SCE recorded its own program</w:t>
      </w:r>
      <w:r w:rsidR="006C5220">
        <w:rPr>
          <w:rFonts w:cs="Arial"/>
          <w:color w:val="000000" w:themeColor="text1"/>
          <w:szCs w:val="26"/>
        </w:rPr>
        <w:t xml:space="preserve"> </w:t>
      </w:r>
      <w:r w:rsidRPr="0017144D" w:rsidR="006C5220">
        <w:rPr>
          <w:rFonts w:cs="Arial"/>
          <w:color w:val="000000" w:themeColor="text1"/>
          <w:szCs w:val="26"/>
        </w:rPr>
        <w:t>administration expenses in the DAC</w:t>
      </w:r>
      <w:r w:rsidR="00C54EC9">
        <w:rPr>
          <w:rFonts w:cs="Arial"/>
          <w:color w:val="000000" w:themeColor="text1"/>
          <w:szCs w:val="26"/>
        </w:rPr>
        <w:noBreakHyphen/>
      </w:r>
      <w:r w:rsidRPr="0017144D" w:rsidR="006C5220">
        <w:rPr>
          <w:rFonts w:cs="Arial"/>
          <w:color w:val="000000" w:themeColor="text1"/>
          <w:szCs w:val="26"/>
        </w:rPr>
        <w:t xml:space="preserve">SASH </w:t>
      </w:r>
      <w:r w:rsidR="00A450B1">
        <w:rPr>
          <w:rFonts w:cs="Arial"/>
          <w:color w:val="000000" w:themeColor="text1"/>
          <w:szCs w:val="26"/>
        </w:rPr>
        <w:t>b</w:t>
      </w:r>
      <w:r w:rsidRPr="0017144D" w:rsidR="006C5220">
        <w:rPr>
          <w:rFonts w:cs="Arial"/>
          <w:color w:val="000000" w:themeColor="text1"/>
          <w:szCs w:val="26"/>
        </w:rPr>
        <w:t xml:space="preserve">alancing </w:t>
      </w:r>
      <w:r w:rsidR="006C5220">
        <w:rPr>
          <w:rFonts w:cs="Arial"/>
          <w:color w:val="000000" w:themeColor="text1"/>
          <w:szCs w:val="26"/>
        </w:rPr>
        <w:t>a</w:t>
      </w:r>
      <w:r w:rsidRPr="0017144D" w:rsidR="006C5220">
        <w:rPr>
          <w:rFonts w:cs="Arial"/>
          <w:color w:val="000000" w:themeColor="text1"/>
          <w:szCs w:val="26"/>
        </w:rPr>
        <w:t>ccount separately from P</w:t>
      </w:r>
      <w:r w:rsidR="006C5220">
        <w:rPr>
          <w:rFonts w:cs="Arial"/>
          <w:color w:val="000000" w:themeColor="text1"/>
          <w:szCs w:val="26"/>
        </w:rPr>
        <w:t>A</w:t>
      </w:r>
      <w:r w:rsidRPr="0017144D" w:rsidR="006C5220">
        <w:rPr>
          <w:rFonts w:cs="Arial"/>
          <w:color w:val="000000" w:themeColor="text1"/>
          <w:szCs w:val="26"/>
        </w:rPr>
        <w:t xml:space="preserve"> costs through at least the 2024 record year.</w:t>
      </w:r>
      <w:r w:rsidR="006C5220">
        <w:rPr>
          <w:rStyle w:val="FootnoteReference"/>
          <w:rFonts w:cs="Arial"/>
          <w:color w:val="000000" w:themeColor="text1"/>
          <w:szCs w:val="26"/>
        </w:rPr>
        <w:footnoteReference w:id="20"/>
      </w:r>
      <w:r w:rsidRPr="005326D5" w:rsidR="006C5220">
        <w:t xml:space="preserve"> </w:t>
      </w:r>
      <w:r w:rsidR="006C5220">
        <w:t xml:space="preserve">SDG&amp;E states that </w:t>
      </w:r>
      <w:r w:rsidRPr="004E13E1" w:rsidR="006C5220">
        <w:rPr>
          <w:rFonts w:cs="Arial"/>
        </w:rPr>
        <w:t xml:space="preserve">IOU administrative budgets were not contemplated to </w:t>
      </w:r>
      <w:r w:rsidRPr="004E13E1" w:rsidR="006C5220">
        <w:rPr>
          <w:rFonts w:cs="Arial"/>
        </w:rPr>
        <w:lastRenderedPageBreak/>
        <w:t>be funded from the 10% of DAC</w:t>
      </w:r>
      <w:r w:rsidR="00C54EC9">
        <w:rPr>
          <w:rFonts w:cs="Arial"/>
        </w:rPr>
        <w:noBreakHyphen/>
      </w:r>
      <w:r w:rsidRPr="004E13E1" w:rsidR="006C5220">
        <w:rPr>
          <w:rFonts w:cs="Arial"/>
        </w:rPr>
        <w:t>SASH program funding allocated for administration.</w:t>
      </w:r>
      <w:r w:rsidR="006C5220">
        <w:rPr>
          <w:rStyle w:val="FootnoteReference"/>
        </w:rPr>
        <w:footnoteReference w:id="21"/>
      </w:r>
      <w:r w:rsidRPr="004E13E1" w:rsidR="006C5220">
        <w:rPr>
          <w:rFonts w:cs="Arial"/>
        </w:rPr>
        <w:t xml:space="preserve"> </w:t>
      </w:r>
      <w:r w:rsidRPr="00B72185" w:rsidR="00B72185">
        <w:rPr>
          <w:rFonts w:cs="Arial"/>
        </w:rPr>
        <w:t>Beginning in 2022, SDG&amp;E’s annual GHG revenue balancing account</w:t>
      </w:r>
      <w:r w:rsidR="00C54EC9">
        <w:rPr>
          <w:rFonts w:cs="Arial"/>
        </w:rPr>
        <w:noBreakHyphen/>
      </w:r>
      <w:r w:rsidRPr="00B72185" w:rsidR="00B72185">
        <w:rPr>
          <w:rFonts w:cs="Arial"/>
        </w:rPr>
        <w:t>to</w:t>
      </w:r>
      <w:r w:rsidR="00C54EC9">
        <w:rPr>
          <w:rFonts w:cs="Arial"/>
        </w:rPr>
        <w:noBreakHyphen/>
      </w:r>
      <w:r w:rsidRPr="00B72185" w:rsidR="00B72185">
        <w:rPr>
          <w:rFonts w:cs="Arial"/>
        </w:rPr>
        <w:t>DAC</w:t>
      </w:r>
      <w:r w:rsidR="00C54EC9">
        <w:rPr>
          <w:rFonts w:cs="Arial"/>
        </w:rPr>
        <w:noBreakHyphen/>
      </w:r>
      <w:r w:rsidRPr="00B72185" w:rsidR="00B72185">
        <w:rPr>
          <w:rFonts w:cs="Arial"/>
        </w:rPr>
        <w:t>SASH balancing account transfers included its approximately $1.03</w:t>
      </w:r>
      <w:r w:rsidR="005326D5">
        <w:rPr>
          <w:rFonts w:cs="Arial"/>
        </w:rPr>
        <w:t> </w:t>
      </w:r>
      <w:r w:rsidRPr="00B72185" w:rsidR="00B72185">
        <w:rPr>
          <w:rFonts w:cs="Arial"/>
        </w:rPr>
        <w:t>million annual program allocation plus amounts corresponding to its separately approved utility administrative budgets</w:t>
      </w:r>
      <w:r w:rsidR="00C35F3E">
        <w:rPr>
          <w:rFonts w:cs="Arial"/>
        </w:rPr>
        <w:t> </w:t>
      </w:r>
      <w:r w:rsidRPr="00B72185" w:rsidR="00B72185">
        <w:rPr>
          <w:rFonts w:cs="Arial"/>
        </w:rPr>
        <w:t>—</w:t>
      </w:r>
      <w:r w:rsidR="00C35F3E">
        <w:rPr>
          <w:rFonts w:cs="Arial"/>
        </w:rPr>
        <w:t xml:space="preserve"> </w:t>
      </w:r>
      <w:r w:rsidRPr="00B72185" w:rsidR="00B72185">
        <w:rPr>
          <w:rFonts w:cs="Arial"/>
        </w:rPr>
        <w:t>$60,000 in 2022</w:t>
      </w:r>
      <w:r w:rsidR="00C35F3E">
        <w:rPr>
          <w:rFonts w:cs="Arial"/>
        </w:rPr>
        <w:t>,</w:t>
      </w:r>
      <w:r w:rsidRPr="00B72185" w:rsidR="00B72185">
        <w:rPr>
          <w:rFonts w:cs="Arial"/>
        </w:rPr>
        <w:t xml:space="preserve"> $65,000 in 2023</w:t>
      </w:r>
      <w:r w:rsidR="000259F6">
        <w:rPr>
          <w:rFonts w:cs="Arial"/>
        </w:rPr>
        <w:t>,</w:t>
      </w:r>
      <w:r w:rsidRPr="00B72185" w:rsidR="00B72185">
        <w:rPr>
          <w:rFonts w:cs="Arial"/>
        </w:rPr>
        <w:t xml:space="preserve"> and </w:t>
      </w:r>
      <w:r w:rsidR="000259F6">
        <w:rPr>
          <w:rFonts w:cs="Arial"/>
        </w:rPr>
        <w:t xml:space="preserve">$65,000 in </w:t>
      </w:r>
      <w:r w:rsidRPr="00B72185" w:rsidR="00B72185">
        <w:rPr>
          <w:rFonts w:cs="Arial"/>
        </w:rPr>
        <w:t>2024. SDG&amp;E’s approved utility administrative budget for 2025 was also $65,000; however, the 2025 ERRA record does not reflect a corresponding transfer</w:t>
      </w:r>
      <w:r w:rsidRPr="00B72185" w:rsidR="006C5220">
        <w:rPr>
          <w:rFonts w:cs="Arial"/>
        </w:rPr>
        <w:t>. The 2021 record reflects only the $1.03</w:t>
      </w:r>
      <w:r w:rsidR="005326D5">
        <w:rPr>
          <w:rFonts w:cs="Arial"/>
        </w:rPr>
        <w:t> </w:t>
      </w:r>
      <w:r w:rsidRPr="00B72185" w:rsidR="006C5220">
        <w:rPr>
          <w:rFonts w:cs="Arial"/>
        </w:rPr>
        <w:t>million base transfer.</w:t>
      </w:r>
      <w:r w:rsidRPr="00B72185" w:rsidR="006C5220">
        <w:rPr>
          <w:rStyle w:val="FootnoteReference"/>
          <w:rFonts w:cs="Arial"/>
        </w:rPr>
        <w:footnoteReference w:id="22"/>
      </w:r>
      <w:r w:rsidRPr="00B72185" w:rsidR="006C5220">
        <w:rPr>
          <w:rFonts w:cs="Arial"/>
        </w:rPr>
        <w:t xml:space="preserve"> </w:t>
      </w:r>
      <w:r w:rsidRPr="00B72185" w:rsidR="009977E4">
        <w:t xml:space="preserve">SDG&amp;E states that the </w:t>
      </w:r>
      <w:r w:rsidRPr="00B72185" w:rsidR="008230EB">
        <w:t>“</w:t>
      </w:r>
      <w:r w:rsidRPr="00B72185" w:rsidR="009977E4">
        <w:t>IOU administrative budgets were not contemplated to be funded by the 10% program total administrative budget</w:t>
      </w:r>
      <w:r w:rsidRPr="00B72185" w:rsidR="00206048">
        <w:t>.</w:t>
      </w:r>
      <w:r w:rsidRPr="00B72185" w:rsidR="008230EB">
        <w:t>”</w:t>
      </w:r>
      <w:r w:rsidRPr="00B72185" w:rsidR="009977E4">
        <w:rPr>
          <w:rStyle w:val="FootnoteReference"/>
        </w:rPr>
        <w:footnoteReference w:id="23"/>
      </w:r>
    </w:p>
    <w:p w:rsidR="00FB30C2" w:rsidP="00C073B5" w:rsidRDefault="005A285E" w14:paraId="6E8339BF" w14:textId="0A52E28A">
      <w:pPr>
        <w:pStyle w:val="Standard"/>
      </w:pPr>
      <w:r>
        <w:t xml:space="preserve">The </w:t>
      </w:r>
      <w:r w:rsidR="008230EB">
        <w:t>January </w:t>
      </w:r>
      <w:r>
        <w:t xml:space="preserve">26 Ruling asked whether </w:t>
      </w:r>
      <w:r w:rsidR="003F4B19">
        <w:t>the IOUs should begin recovering their administrative costs through the accrued interest on their DAC</w:t>
      </w:r>
      <w:r w:rsidR="00C54EC9">
        <w:noBreakHyphen/>
      </w:r>
      <w:r w:rsidR="003F4B19">
        <w:t>SASH balancing accounts</w:t>
      </w:r>
      <w:r w:rsidR="007A54E4">
        <w:t xml:space="preserve"> or whether the IOUs should recover their administrative costs through the</w:t>
      </w:r>
      <w:r w:rsidR="00FB5522">
        <w:t xml:space="preserve"> 10%</w:t>
      </w:r>
      <w:r w:rsidR="007A54E4">
        <w:t xml:space="preserve"> program budget set aside for administrative costs</w:t>
      </w:r>
      <w:r w:rsidR="00FB5522">
        <w:t xml:space="preserve"> currently allocated to GRID</w:t>
      </w:r>
      <w:r w:rsidR="003F4B19">
        <w:t xml:space="preserve">. </w:t>
      </w:r>
      <w:r w:rsidR="00FB30C2">
        <w:t>The IOUs all stated that they had enough accrued interest in their DAC</w:t>
      </w:r>
      <w:r w:rsidR="00C54EC9">
        <w:noBreakHyphen/>
      </w:r>
      <w:r w:rsidR="00FB30C2">
        <w:t xml:space="preserve">SASH balancing accounts to cover administrative costs </w:t>
      </w:r>
      <w:r w:rsidR="00FB5522">
        <w:t xml:space="preserve">going forward </w:t>
      </w:r>
      <w:r w:rsidR="00FB30C2">
        <w:t>through the program</w:t>
      </w:r>
      <w:r w:rsidR="008230EB">
        <w:t>’</w:t>
      </w:r>
      <w:r w:rsidR="00FB30C2">
        <w:t>s 2030 sunset date.</w:t>
      </w:r>
      <w:r w:rsidR="00FB30C2">
        <w:rPr>
          <w:rStyle w:val="FootnoteReference"/>
        </w:rPr>
        <w:footnoteReference w:id="24"/>
      </w:r>
    </w:p>
    <w:p w:rsidRPr="00100E79" w:rsidR="00FB30C2" w:rsidP="00217B3B" w:rsidRDefault="00770C94" w14:paraId="0A741955" w14:textId="2BC0C236">
      <w:pPr>
        <w:pStyle w:val="TableTitleBody"/>
        <w:rPr>
          <w:b w:val="0"/>
          <w:bCs w:val="0"/>
        </w:rPr>
      </w:pPr>
      <w:r>
        <w:lastRenderedPageBreak/>
        <w:t>Table </w:t>
      </w:r>
      <w:r w:rsidRPr="00100E79" w:rsidR="00FB30C2">
        <w:t xml:space="preserve">1: Accrued Interest, Projected Remaining IOU Administrative Costs, and Available </w:t>
      </w:r>
      <w:r w:rsidR="00A766CB">
        <w:t>Accrued Interest</w:t>
      </w:r>
      <w:r w:rsidRPr="00100E79" w:rsidR="00FB30C2">
        <w:t xml:space="preserve"> Remaining Until Program Closure</w:t>
      </w:r>
      <w:r w:rsidRPr="00100E79" w:rsidR="00FB30C2">
        <w:rPr>
          <w:rStyle w:val="FootnoteReference"/>
          <w:sz w:val="24"/>
          <w:szCs w:val="24"/>
        </w:rPr>
        <w:footnoteReference w:id="25"/>
      </w:r>
    </w:p>
    <w:tbl>
      <w:tblPr>
        <w:tblStyle w:val="TableGrid"/>
        <w:tblW w:w="10555" w:type="dxa"/>
        <w:jc w:val="center"/>
        <w:tblLayout w:type="fixed"/>
        <w:tblCellMar>
          <w:top w:w="58" w:type="dxa"/>
          <w:bottom w:w="58" w:type="dxa"/>
        </w:tblCellMar>
        <w:tblLook w:val="06A0" w:firstRow="1" w:lastRow="0" w:firstColumn="1" w:lastColumn="0" w:noHBand="1" w:noVBand="1"/>
      </w:tblPr>
      <w:tblGrid>
        <w:gridCol w:w="1345"/>
        <w:gridCol w:w="2880"/>
        <w:gridCol w:w="3330"/>
        <w:gridCol w:w="3000"/>
      </w:tblGrid>
      <w:tr w:rsidRPr="00EF0920" w:rsidR="00FB30C2" w:rsidTr="00196E98" w14:paraId="4727610E" w14:textId="77777777">
        <w:trPr>
          <w:cantSplit/>
          <w:tblHeader/>
          <w:jc w:val="center"/>
        </w:trPr>
        <w:tc>
          <w:tcPr>
            <w:tcW w:w="1345" w:type="dxa"/>
            <w:vAlign w:val="bottom"/>
          </w:tcPr>
          <w:p w:rsidRPr="00EF0920" w:rsidR="00FB30C2" w:rsidP="00A41041" w:rsidRDefault="00FB30C2" w14:paraId="22FC7FE3" w14:textId="77777777">
            <w:pPr>
              <w:keepNext/>
              <w:spacing w:line="240" w:lineRule="auto"/>
              <w:ind w:firstLine="0"/>
              <w:contextualSpacing/>
              <w:jc w:val="center"/>
              <w:rPr>
                <w:b/>
                <w:bCs/>
              </w:rPr>
            </w:pPr>
            <w:r w:rsidRPr="00EF0920">
              <w:rPr>
                <w:rFonts w:eastAsia="Calibri" w:cs="Calibri"/>
                <w:b/>
                <w:bCs/>
                <w:color w:val="000000" w:themeColor="text1"/>
              </w:rPr>
              <w:t>IOU</w:t>
            </w:r>
          </w:p>
        </w:tc>
        <w:tc>
          <w:tcPr>
            <w:tcW w:w="2880" w:type="dxa"/>
            <w:vAlign w:val="bottom"/>
          </w:tcPr>
          <w:p w:rsidR="00CF35A3" w:rsidP="00A41041" w:rsidRDefault="00FB30C2" w14:paraId="2A58C177"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Accrued Interest from</w:t>
            </w:r>
          </w:p>
          <w:p w:rsidR="00CF35A3" w:rsidP="00A41041" w:rsidRDefault="00FB30C2" w14:paraId="5548CB18" w14:textId="09700ABE">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Program Start Date</w:t>
            </w:r>
          </w:p>
          <w:p w:rsidRPr="00EF0920" w:rsidR="00FB30C2" w:rsidP="00A41041" w:rsidRDefault="00FB30C2" w14:paraId="4BC2EF2C" w14:textId="57A5BE2A">
            <w:pPr>
              <w:keepNext/>
              <w:spacing w:line="240" w:lineRule="auto"/>
              <w:ind w:firstLine="0"/>
              <w:contextualSpacing/>
              <w:jc w:val="center"/>
              <w:rPr>
                <w:b/>
                <w:bCs/>
              </w:rPr>
            </w:pPr>
            <w:r w:rsidRPr="00EF0920">
              <w:rPr>
                <w:rFonts w:eastAsia="Calibri" w:cs="Calibri"/>
                <w:b/>
                <w:bCs/>
                <w:color w:val="000000" w:themeColor="text1"/>
              </w:rPr>
              <w:t>(2019</w:t>
            </w:r>
            <w:r w:rsidR="00C54EC9">
              <w:rPr>
                <w:rFonts w:eastAsia="Calibri" w:cs="Calibri"/>
                <w:b/>
                <w:bCs/>
                <w:color w:val="000000" w:themeColor="text1"/>
              </w:rPr>
              <w:noBreakHyphen/>
            </w:r>
            <w:r w:rsidRPr="00EF0920">
              <w:rPr>
                <w:rFonts w:eastAsia="Calibri" w:cs="Calibri"/>
                <w:b/>
                <w:bCs/>
                <w:color w:val="000000" w:themeColor="text1"/>
              </w:rPr>
              <w:t>Dec</w:t>
            </w:r>
            <w:r w:rsidR="002A7ACD">
              <w:rPr>
                <w:rFonts w:eastAsia="Calibri" w:cs="Calibri"/>
                <w:b/>
                <w:bCs/>
                <w:color w:val="000000" w:themeColor="text1"/>
              </w:rPr>
              <w:t>. </w:t>
            </w:r>
            <w:r w:rsidRPr="00EF0920">
              <w:rPr>
                <w:rFonts w:eastAsia="Calibri" w:cs="Calibri"/>
                <w:b/>
                <w:bCs/>
                <w:color w:val="000000" w:themeColor="text1"/>
              </w:rPr>
              <w:t>31, 2025)</w:t>
            </w:r>
          </w:p>
        </w:tc>
        <w:tc>
          <w:tcPr>
            <w:tcW w:w="3330" w:type="dxa"/>
            <w:vAlign w:val="bottom"/>
          </w:tcPr>
          <w:p w:rsidR="00196E98" w:rsidP="00A41041" w:rsidRDefault="06B4A8E0" w14:paraId="0A565E50"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Projected Remaining</w:t>
            </w:r>
          </w:p>
          <w:p w:rsidR="00196E98" w:rsidP="00A41041" w:rsidRDefault="06B4A8E0" w14:paraId="6795D6D1" w14:textId="29AA6E4E">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IOU Administrative Costs</w:t>
            </w:r>
          </w:p>
          <w:p w:rsidRPr="00EF0920" w:rsidR="00FB30C2" w:rsidP="00A41041" w:rsidRDefault="06B4A8E0" w14:paraId="105E3E4F" w14:textId="683580AA">
            <w:pPr>
              <w:keepNext/>
              <w:spacing w:line="240" w:lineRule="auto"/>
              <w:ind w:firstLine="0"/>
              <w:contextualSpacing/>
              <w:jc w:val="center"/>
              <w:rPr>
                <w:b/>
                <w:bCs/>
              </w:rPr>
            </w:pPr>
            <w:r w:rsidRPr="00EF0920">
              <w:rPr>
                <w:rFonts w:eastAsia="Calibri" w:cs="Calibri"/>
                <w:b/>
                <w:bCs/>
                <w:color w:val="000000" w:themeColor="text1"/>
              </w:rPr>
              <w:t>(</w:t>
            </w:r>
            <w:r w:rsidRPr="00EF0920" w:rsidR="000E10E0">
              <w:rPr>
                <w:rFonts w:eastAsia="Calibri" w:cs="Calibri"/>
                <w:b/>
                <w:bCs/>
                <w:color w:val="000000" w:themeColor="text1"/>
              </w:rPr>
              <w:t xml:space="preserve">2026 </w:t>
            </w:r>
            <w:r w:rsidRPr="00EF0920">
              <w:rPr>
                <w:rFonts w:eastAsia="Calibri" w:cs="Calibri"/>
                <w:b/>
                <w:bCs/>
                <w:color w:val="000000" w:themeColor="text1"/>
              </w:rPr>
              <w:t>Through 2030)</w:t>
            </w:r>
          </w:p>
        </w:tc>
        <w:tc>
          <w:tcPr>
            <w:tcW w:w="3000" w:type="dxa"/>
            <w:vAlign w:val="bottom"/>
          </w:tcPr>
          <w:p w:rsidR="00196E98" w:rsidP="00A41041" w:rsidRDefault="00FB30C2" w14:paraId="0392F2FA"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 xml:space="preserve">Available </w:t>
            </w:r>
            <w:r w:rsidRPr="00EF0920" w:rsidR="000045EC">
              <w:rPr>
                <w:rFonts w:eastAsia="Calibri" w:cs="Calibri"/>
                <w:b/>
                <w:bCs/>
                <w:color w:val="000000" w:themeColor="text1"/>
              </w:rPr>
              <w:t>Accrued</w:t>
            </w:r>
          </w:p>
          <w:p w:rsidR="00196E98" w:rsidP="00A41041" w:rsidRDefault="000045EC" w14:paraId="67B59E58" w14:textId="77777777">
            <w:pPr>
              <w:keepNext/>
              <w:spacing w:line="240" w:lineRule="auto"/>
              <w:ind w:firstLine="0"/>
              <w:contextualSpacing/>
              <w:jc w:val="center"/>
              <w:rPr>
                <w:rFonts w:eastAsia="Calibri" w:cs="Calibri"/>
                <w:b/>
                <w:bCs/>
                <w:color w:val="000000" w:themeColor="text1"/>
              </w:rPr>
            </w:pPr>
            <w:r w:rsidRPr="00EF0920">
              <w:rPr>
                <w:rFonts w:eastAsia="Calibri" w:cs="Calibri"/>
                <w:b/>
                <w:bCs/>
                <w:color w:val="000000" w:themeColor="text1"/>
              </w:rPr>
              <w:t>Interest</w:t>
            </w:r>
            <w:r w:rsidRPr="00EF0920" w:rsidR="00FB30C2">
              <w:rPr>
                <w:rFonts w:eastAsia="Calibri" w:cs="Calibri"/>
                <w:b/>
                <w:bCs/>
                <w:color w:val="000000" w:themeColor="text1"/>
              </w:rPr>
              <w:t xml:space="preserve"> Remaining</w:t>
            </w:r>
          </w:p>
          <w:p w:rsidRPr="00EF0920" w:rsidR="00FB30C2" w:rsidP="00A41041" w:rsidRDefault="00FB30C2" w14:paraId="0A890F94" w14:textId="486F0F95">
            <w:pPr>
              <w:keepNext/>
              <w:spacing w:line="240" w:lineRule="auto"/>
              <w:ind w:firstLine="0"/>
              <w:contextualSpacing/>
              <w:jc w:val="center"/>
              <w:rPr>
                <w:b/>
                <w:bCs/>
              </w:rPr>
            </w:pPr>
            <w:r w:rsidRPr="00EF0920">
              <w:rPr>
                <w:rFonts w:eastAsia="Calibri" w:cs="Calibri"/>
                <w:b/>
                <w:bCs/>
                <w:color w:val="000000" w:themeColor="text1"/>
              </w:rPr>
              <w:t>Until Program Closure</w:t>
            </w:r>
          </w:p>
        </w:tc>
      </w:tr>
      <w:tr w:rsidRPr="00EF0920" w:rsidR="00FB30C2" w:rsidTr="00196E98" w14:paraId="7B180B59" w14:textId="77777777">
        <w:trPr>
          <w:cantSplit/>
          <w:jc w:val="center"/>
        </w:trPr>
        <w:tc>
          <w:tcPr>
            <w:tcW w:w="1345" w:type="dxa"/>
          </w:tcPr>
          <w:p w:rsidRPr="00EF0920" w:rsidR="00FB30C2" w:rsidP="00EF0920" w:rsidRDefault="00FB30C2" w14:paraId="4CC32A15"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SDG&amp;E</w:t>
            </w:r>
          </w:p>
        </w:tc>
        <w:tc>
          <w:tcPr>
            <w:tcW w:w="2880" w:type="dxa"/>
          </w:tcPr>
          <w:p w:rsidRPr="00EF0920" w:rsidR="00FB30C2" w:rsidP="00EF0920" w:rsidRDefault="00FB30C2" w14:paraId="763232DB" w14:textId="3F75381E">
            <w:pPr>
              <w:spacing w:line="240" w:lineRule="auto"/>
              <w:ind w:firstLine="0"/>
              <w:contextualSpacing/>
              <w:jc w:val="right"/>
            </w:pPr>
            <w:r w:rsidRPr="00EF0920">
              <w:rPr>
                <w:rFonts w:eastAsia="Calibri" w:cs="Calibri"/>
                <w:color w:val="000000" w:themeColor="text1"/>
              </w:rPr>
              <w:t>$766,547</w:t>
            </w:r>
          </w:p>
        </w:tc>
        <w:tc>
          <w:tcPr>
            <w:tcW w:w="3330" w:type="dxa"/>
          </w:tcPr>
          <w:p w:rsidRPr="00EF0920" w:rsidR="00FB30C2" w:rsidP="00EF0920" w:rsidRDefault="00FB30C2" w14:paraId="7ED5E37B" w14:textId="0EF6A6C6">
            <w:pPr>
              <w:spacing w:line="240" w:lineRule="auto"/>
              <w:ind w:firstLine="0"/>
              <w:contextualSpacing/>
              <w:jc w:val="right"/>
            </w:pPr>
            <w:r w:rsidRPr="00EF0920">
              <w:rPr>
                <w:rFonts w:eastAsia="Calibri" w:cs="Calibri"/>
                <w:color w:val="000000" w:themeColor="text1"/>
              </w:rPr>
              <w:t>$306,850</w:t>
            </w:r>
          </w:p>
        </w:tc>
        <w:tc>
          <w:tcPr>
            <w:tcW w:w="3000" w:type="dxa"/>
          </w:tcPr>
          <w:p w:rsidRPr="00EF0920" w:rsidR="00FB30C2" w:rsidP="00EF0920" w:rsidRDefault="00FB30C2" w14:paraId="6E84E37C" w14:textId="2768C589">
            <w:pPr>
              <w:spacing w:line="240" w:lineRule="auto"/>
              <w:ind w:firstLine="0"/>
              <w:contextualSpacing/>
              <w:jc w:val="right"/>
            </w:pPr>
            <w:r w:rsidRPr="00EF0920">
              <w:rPr>
                <w:rFonts w:eastAsia="Calibri" w:cs="Calibri"/>
                <w:color w:val="000000" w:themeColor="text1"/>
              </w:rPr>
              <w:t>$459,697</w:t>
            </w:r>
          </w:p>
        </w:tc>
      </w:tr>
      <w:tr w:rsidRPr="00EF0920" w:rsidR="00FB30C2" w:rsidTr="00196E98" w14:paraId="344610B1" w14:textId="77777777">
        <w:trPr>
          <w:cantSplit/>
          <w:jc w:val="center"/>
        </w:trPr>
        <w:tc>
          <w:tcPr>
            <w:tcW w:w="1345" w:type="dxa"/>
          </w:tcPr>
          <w:p w:rsidRPr="00EF0920" w:rsidR="00FB30C2" w:rsidP="00EF0920" w:rsidRDefault="00FB30C2" w14:paraId="6478468C"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PG&amp;E</w:t>
            </w:r>
          </w:p>
        </w:tc>
        <w:tc>
          <w:tcPr>
            <w:tcW w:w="2880" w:type="dxa"/>
          </w:tcPr>
          <w:p w:rsidRPr="00EF0920" w:rsidR="00FB30C2" w:rsidP="00EF0920" w:rsidRDefault="00FB30C2" w14:paraId="75375461" w14:textId="796ED6CF">
            <w:pPr>
              <w:spacing w:line="240" w:lineRule="auto"/>
              <w:ind w:firstLine="0"/>
              <w:contextualSpacing/>
              <w:jc w:val="right"/>
            </w:pPr>
            <w:r w:rsidRPr="00EF0920">
              <w:rPr>
                <w:rFonts w:eastAsia="Calibri" w:cs="Calibri"/>
                <w:color w:val="000000" w:themeColor="text1"/>
              </w:rPr>
              <w:t>$794,483</w:t>
            </w:r>
          </w:p>
        </w:tc>
        <w:tc>
          <w:tcPr>
            <w:tcW w:w="3330" w:type="dxa"/>
          </w:tcPr>
          <w:p w:rsidRPr="00EF0920" w:rsidR="00FB30C2" w:rsidP="00EF0920" w:rsidRDefault="00FB30C2" w14:paraId="66AD002D" w14:textId="2C33AC53">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400</w:t>
            </w:r>
            <w:r w:rsidRPr="00EF0920">
              <w:rPr>
                <w:rFonts w:eastAsia="Calibri" w:cs="Calibri"/>
                <w:color w:val="000000" w:themeColor="text1"/>
              </w:rPr>
              <w:t>,000</w:t>
            </w:r>
          </w:p>
        </w:tc>
        <w:tc>
          <w:tcPr>
            <w:tcW w:w="3000" w:type="dxa"/>
          </w:tcPr>
          <w:p w:rsidRPr="00EF0920" w:rsidR="00FB30C2" w:rsidP="00EF0920" w:rsidRDefault="00FB30C2" w14:paraId="15ECB0C4" w14:textId="5566BFFF">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394</w:t>
            </w:r>
            <w:r w:rsidRPr="00EF0920">
              <w:rPr>
                <w:rFonts w:eastAsia="Calibri" w:cs="Calibri"/>
                <w:color w:val="000000" w:themeColor="text1"/>
              </w:rPr>
              <w:t>,483</w:t>
            </w:r>
          </w:p>
        </w:tc>
      </w:tr>
      <w:tr w:rsidRPr="00EF0920" w:rsidR="00FB30C2" w:rsidTr="00196E98" w14:paraId="0F1B1799" w14:textId="77777777">
        <w:trPr>
          <w:cantSplit/>
          <w:jc w:val="center"/>
        </w:trPr>
        <w:tc>
          <w:tcPr>
            <w:tcW w:w="1345" w:type="dxa"/>
          </w:tcPr>
          <w:p w:rsidRPr="00EF0920" w:rsidR="00FB30C2" w:rsidP="00EF0920" w:rsidRDefault="00FB30C2" w14:paraId="7EFB26B2"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SCE</w:t>
            </w:r>
          </w:p>
        </w:tc>
        <w:tc>
          <w:tcPr>
            <w:tcW w:w="2880" w:type="dxa"/>
          </w:tcPr>
          <w:p w:rsidRPr="00EF0920" w:rsidR="00FB30C2" w:rsidP="00EF0920" w:rsidRDefault="00FB30C2" w14:paraId="0408770D" w14:textId="61E07D4A">
            <w:pPr>
              <w:spacing w:line="240" w:lineRule="auto"/>
              <w:ind w:firstLine="0"/>
              <w:contextualSpacing/>
              <w:jc w:val="right"/>
            </w:pPr>
            <w:r w:rsidRPr="00EF0920">
              <w:rPr>
                <w:rFonts w:eastAsia="Calibri" w:cs="Calibri"/>
                <w:color w:val="000000" w:themeColor="text1"/>
              </w:rPr>
              <w:t>$2,026,764</w:t>
            </w:r>
          </w:p>
        </w:tc>
        <w:tc>
          <w:tcPr>
            <w:tcW w:w="3330" w:type="dxa"/>
          </w:tcPr>
          <w:p w:rsidRPr="00EF0920" w:rsidR="00FB30C2" w:rsidP="00EF0920" w:rsidRDefault="00FB30C2" w14:paraId="53CBCEEA" w14:textId="7C33700C">
            <w:pPr>
              <w:spacing w:line="240" w:lineRule="auto"/>
              <w:ind w:firstLine="0"/>
              <w:contextualSpacing/>
              <w:jc w:val="right"/>
              <w:rPr>
                <w:rFonts w:eastAsia="Calibri" w:cs="Calibri"/>
                <w:color w:val="000000" w:themeColor="text1"/>
              </w:rPr>
            </w:pPr>
            <w:r w:rsidRPr="00EF0920">
              <w:rPr>
                <w:rFonts w:eastAsia="Calibri" w:cs="Calibri"/>
                <w:color w:val="000000" w:themeColor="text1"/>
              </w:rPr>
              <w:t>$1,</w:t>
            </w:r>
            <w:r w:rsidRPr="00EF0920" w:rsidR="000E10E0">
              <w:rPr>
                <w:rFonts w:eastAsia="Calibri" w:cs="Calibri"/>
                <w:color w:val="000000" w:themeColor="text1"/>
              </w:rPr>
              <w:t>642</w:t>
            </w:r>
            <w:r w:rsidRPr="00EF0920">
              <w:rPr>
                <w:rFonts w:eastAsia="Calibri" w:cs="Calibri"/>
                <w:color w:val="000000" w:themeColor="text1"/>
              </w:rPr>
              <w:t>,</w:t>
            </w:r>
            <w:r w:rsidRPr="00EF0920" w:rsidR="000E10E0">
              <w:rPr>
                <w:rFonts w:eastAsia="Calibri" w:cs="Calibri"/>
                <w:color w:val="000000" w:themeColor="text1"/>
              </w:rPr>
              <w:t>153</w:t>
            </w:r>
          </w:p>
        </w:tc>
        <w:tc>
          <w:tcPr>
            <w:tcW w:w="3000" w:type="dxa"/>
          </w:tcPr>
          <w:p w:rsidRPr="00EF0920" w:rsidR="00FB30C2" w:rsidP="00EF0920" w:rsidRDefault="00FB30C2" w14:paraId="4CCDD2C1" w14:textId="5C5E7957">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384</w:t>
            </w:r>
            <w:r w:rsidRPr="00EF0920">
              <w:rPr>
                <w:rFonts w:eastAsia="Calibri" w:cs="Calibri"/>
                <w:color w:val="000000" w:themeColor="text1"/>
              </w:rPr>
              <w:t>,</w:t>
            </w:r>
            <w:r w:rsidRPr="00EF0920" w:rsidR="000E10E0">
              <w:rPr>
                <w:rFonts w:eastAsia="Calibri" w:cs="Calibri"/>
                <w:color w:val="000000" w:themeColor="text1"/>
              </w:rPr>
              <w:t>611</w:t>
            </w:r>
          </w:p>
        </w:tc>
      </w:tr>
      <w:tr w:rsidRPr="00EF0920" w:rsidR="00FB30C2" w:rsidTr="00196E98" w14:paraId="5DB7925A" w14:textId="77777777">
        <w:trPr>
          <w:cantSplit/>
          <w:jc w:val="center"/>
        </w:trPr>
        <w:tc>
          <w:tcPr>
            <w:tcW w:w="1345" w:type="dxa"/>
          </w:tcPr>
          <w:p w:rsidRPr="00EF0920" w:rsidR="00FB30C2" w:rsidP="00EF0920" w:rsidRDefault="00FB30C2" w14:paraId="1D650820" w14:textId="77777777">
            <w:pPr>
              <w:pStyle w:val="ListParagraph"/>
              <w:spacing w:after="0" w:line="240" w:lineRule="auto"/>
              <w:ind w:left="0"/>
              <w:rPr>
                <w:rFonts w:ascii="Book Antiqua" w:hAnsi="Book Antiqua" w:eastAsia="Cambria" w:cs="Cambria"/>
                <w:b/>
                <w:bCs/>
                <w:sz w:val="26"/>
                <w:szCs w:val="22"/>
              </w:rPr>
            </w:pPr>
            <w:r w:rsidRPr="00EF0920">
              <w:rPr>
                <w:rFonts w:ascii="Book Antiqua" w:hAnsi="Book Antiqua" w:eastAsia="Cambria" w:cs="Cambria"/>
                <w:b/>
                <w:bCs/>
                <w:sz w:val="26"/>
                <w:szCs w:val="22"/>
              </w:rPr>
              <w:t>Total</w:t>
            </w:r>
          </w:p>
        </w:tc>
        <w:tc>
          <w:tcPr>
            <w:tcW w:w="2880" w:type="dxa"/>
          </w:tcPr>
          <w:p w:rsidRPr="00EF0920" w:rsidR="00FB30C2" w:rsidP="00EF0920" w:rsidRDefault="00FB30C2" w14:paraId="47F5684D" w14:textId="2F61D78C">
            <w:pPr>
              <w:spacing w:line="240" w:lineRule="auto"/>
              <w:ind w:firstLine="0"/>
              <w:contextualSpacing/>
              <w:jc w:val="right"/>
            </w:pPr>
            <w:r w:rsidRPr="00EF0920">
              <w:rPr>
                <w:rFonts w:eastAsia="Calibri" w:cs="Calibri"/>
                <w:color w:val="000000" w:themeColor="text1"/>
              </w:rPr>
              <w:t>$3,587,794</w:t>
            </w:r>
          </w:p>
        </w:tc>
        <w:tc>
          <w:tcPr>
            <w:tcW w:w="3330" w:type="dxa"/>
          </w:tcPr>
          <w:p w:rsidRPr="00EF0920" w:rsidR="00FB30C2" w:rsidP="00EF0920" w:rsidRDefault="00FB30C2" w14:paraId="2CAF200D" w14:textId="5796E0A3">
            <w:pPr>
              <w:spacing w:line="240" w:lineRule="auto"/>
              <w:ind w:firstLine="0"/>
              <w:contextualSpacing/>
              <w:jc w:val="right"/>
            </w:pPr>
            <w:r w:rsidRPr="00EF0920">
              <w:rPr>
                <w:rFonts w:eastAsia="Calibri" w:cs="Calibri"/>
                <w:color w:val="000000" w:themeColor="text1"/>
              </w:rPr>
              <w:t>$</w:t>
            </w:r>
            <w:r w:rsidRPr="00EF0920" w:rsidR="000E10E0">
              <w:rPr>
                <w:rFonts w:eastAsia="Calibri" w:cs="Calibri"/>
                <w:color w:val="000000" w:themeColor="text1"/>
              </w:rPr>
              <w:t>2,349,003</w:t>
            </w:r>
          </w:p>
        </w:tc>
        <w:tc>
          <w:tcPr>
            <w:tcW w:w="3000" w:type="dxa"/>
          </w:tcPr>
          <w:p w:rsidRPr="00EF0920" w:rsidR="00FB30C2" w:rsidP="00EF0920" w:rsidRDefault="00FB30C2" w14:paraId="556D508A" w14:textId="5234B1B1">
            <w:pPr>
              <w:spacing w:line="240" w:lineRule="auto"/>
              <w:ind w:firstLine="0"/>
              <w:contextualSpacing/>
              <w:jc w:val="right"/>
            </w:pPr>
            <w:r w:rsidRPr="00EF0920">
              <w:rPr>
                <w:rFonts w:eastAsia="Calibri" w:cs="Calibri"/>
                <w:color w:val="000000" w:themeColor="text1"/>
              </w:rPr>
              <w:t>$1,</w:t>
            </w:r>
            <w:r w:rsidRPr="00EF0920" w:rsidR="000E10E0">
              <w:rPr>
                <w:rFonts w:eastAsia="Calibri" w:cs="Calibri"/>
                <w:color w:val="000000" w:themeColor="text1"/>
              </w:rPr>
              <w:t>238</w:t>
            </w:r>
            <w:r w:rsidRPr="00EF0920">
              <w:rPr>
                <w:rFonts w:eastAsia="Calibri" w:cs="Calibri"/>
                <w:color w:val="000000" w:themeColor="text1"/>
              </w:rPr>
              <w:t>,</w:t>
            </w:r>
            <w:r w:rsidRPr="00EF0920" w:rsidR="000E10E0">
              <w:rPr>
                <w:rFonts w:eastAsia="Calibri" w:cs="Calibri"/>
                <w:color w:val="000000" w:themeColor="text1"/>
              </w:rPr>
              <w:t>791</w:t>
            </w:r>
          </w:p>
        </w:tc>
      </w:tr>
    </w:tbl>
    <w:p w:rsidR="003338B8" w:rsidP="008D662F" w:rsidRDefault="003338B8" w14:paraId="3B32F22B" w14:textId="6A443049">
      <w:pPr>
        <w:pStyle w:val="StandardTableSub"/>
      </w:pPr>
      <w:r>
        <w:t>Additionally, advice letters filed by the IOUs with estimates of previous years</w:t>
      </w:r>
      <w:r w:rsidR="008230EB">
        <w:t>’</w:t>
      </w:r>
      <w:r>
        <w:t xml:space="preserve"> DAC</w:t>
      </w:r>
      <w:r w:rsidR="00C54EC9">
        <w:noBreakHyphen/>
      </w:r>
      <w:r>
        <w:t>SASH administrative budgets show that the IOUs will have enough accrued interest in their DAC</w:t>
      </w:r>
      <w:r w:rsidR="00C54EC9">
        <w:noBreakHyphen/>
      </w:r>
      <w:r>
        <w:t>SASH balancing accounts to recover their future DAC</w:t>
      </w:r>
      <w:r w:rsidR="00C54EC9">
        <w:noBreakHyphen/>
      </w:r>
      <w:r>
        <w:t>SASH administrative costs.</w:t>
      </w:r>
      <w:r>
        <w:rPr>
          <w:rStyle w:val="FootnoteReference"/>
        </w:rPr>
        <w:footnoteReference w:id="26"/>
      </w:r>
    </w:p>
    <w:p w:rsidR="005A285E" w:rsidP="00C073B5" w:rsidRDefault="003F4B19" w14:paraId="2D07D0E8" w14:textId="1421912A">
      <w:pPr>
        <w:pStyle w:val="Standard"/>
      </w:pPr>
      <w:r>
        <w:t xml:space="preserve">PG&amp;E, SCE, SDG&amp;E, and GRID all support </w:t>
      </w:r>
      <w:r w:rsidR="007A54E4">
        <w:t xml:space="preserve">the IOUs recovering their administrative costs through accrued interest on </w:t>
      </w:r>
      <w:r w:rsidR="00A766CB">
        <w:t xml:space="preserve">their </w:t>
      </w:r>
      <w:r w:rsidR="007A54E4">
        <w:t>DAC</w:t>
      </w:r>
      <w:r w:rsidR="00C54EC9">
        <w:noBreakHyphen/>
      </w:r>
      <w:r w:rsidR="007A54E4">
        <w:t>SASH balancing account funds</w:t>
      </w:r>
      <w:r w:rsidR="003338B8">
        <w:t>.</w:t>
      </w:r>
      <w:r w:rsidR="000045EC">
        <w:rPr>
          <w:rStyle w:val="FootnoteReference"/>
        </w:rPr>
        <w:footnoteReference w:id="27"/>
      </w:r>
      <w:r w:rsidR="003338B8">
        <w:t xml:space="preserve"> </w:t>
      </w:r>
      <w:r w:rsidR="007A54E4">
        <w:t xml:space="preserve">SDG&amp;E and GRID oppose </w:t>
      </w:r>
      <w:r w:rsidR="00A766CB">
        <w:t xml:space="preserve">allowing the IOUs to recover their administrative costs </w:t>
      </w:r>
      <w:r w:rsidR="003338B8">
        <w:t xml:space="preserve">through </w:t>
      </w:r>
      <w:r w:rsidR="00A766CB">
        <w:t>the program budget already allocated to GRID</w:t>
      </w:r>
      <w:r w:rsidR="003338B8">
        <w:t>,</w:t>
      </w:r>
      <w:r w:rsidR="007A54E4">
        <w:rPr>
          <w:rStyle w:val="FootnoteReference"/>
        </w:rPr>
        <w:footnoteReference w:id="28"/>
      </w:r>
      <w:r w:rsidR="003338B8">
        <w:t xml:space="preserve"> while</w:t>
      </w:r>
      <w:r w:rsidR="00EC4EC6">
        <w:t xml:space="preserve"> </w:t>
      </w:r>
      <w:r w:rsidR="008B11B3">
        <w:t>SCE</w:t>
      </w:r>
      <w:r w:rsidR="000045EC">
        <w:t xml:space="preserve"> </w:t>
      </w:r>
      <w:r w:rsidR="008B11B3">
        <w:t xml:space="preserve">supports the IOUs recovering their administrative and ME&amp;O costs </w:t>
      </w:r>
      <w:r w:rsidR="008B11B3">
        <w:lastRenderedPageBreak/>
        <w:t>through the program administrative budget allocated for GRID.</w:t>
      </w:r>
      <w:r w:rsidR="008B11B3">
        <w:rPr>
          <w:rStyle w:val="FootnoteReference"/>
        </w:rPr>
        <w:footnoteReference w:id="29"/>
      </w:r>
      <w:r w:rsidR="008B11B3">
        <w:t xml:space="preserve"> </w:t>
      </w:r>
      <w:r w:rsidR="00EC4EC6">
        <w:t>PG&amp;E does not comment on the proposal that IOU administrative costs be drawn from GRID</w:t>
      </w:r>
      <w:r w:rsidR="008230EB">
        <w:t>’</w:t>
      </w:r>
      <w:r w:rsidR="00EC4EC6">
        <w:t>s current administrative budget.</w:t>
      </w:r>
    </w:p>
    <w:p w:rsidR="00874960" w:rsidP="31B52016" w:rsidRDefault="1BF01AA8" w14:paraId="6D8EEB66" w14:textId="0CD2FA4A">
      <w:pPr>
        <w:pStyle w:val="Standard"/>
      </w:pPr>
      <w:r>
        <w:t xml:space="preserve">The Commission agrees with the IOUs and GRID that the IOUs should </w:t>
      </w:r>
      <w:r w:rsidR="277D416F">
        <w:t xml:space="preserve">be allowed to </w:t>
      </w:r>
      <w:r>
        <w:t>recover their DAC</w:t>
      </w:r>
      <w:r w:rsidR="00C54EC9">
        <w:noBreakHyphen/>
      </w:r>
      <w:r>
        <w:t>SASH administrati</w:t>
      </w:r>
      <w:r w:rsidR="277D416F">
        <w:t>ve</w:t>
      </w:r>
      <w:r>
        <w:t xml:space="preserve"> </w:t>
      </w:r>
      <w:r w:rsidR="708FBA00">
        <w:t xml:space="preserve">and ME&amp;O </w:t>
      </w:r>
      <w:r>
        <w:t>expenses</w:t>
      </w:r>
      <w:r w:rsidR="5C252E95">
        <w:t xml:space="preserve"> </w:t>
      </w:r>
      <w:r>
        <w:t xml:space="preserve">through the accrued interest </w:t>
      </w:r>
      <w:r w:rsidR="277D416F">
        <w:t>in</w:t>
      </w:r>
      <w:r>
        <w:t xml:space="preserve"> their DAC</w:t>
      </w:r>
      <w:r w:rsidR="00C54EC9">
        <w:noBreakHyphen/>
      </w:r>
      <w:r>
        <w:t>SASH balancing accounts</w:t>
      </w:r>
      <w:r w:rsidR="0D7AD515">
        <w:t>.</w:t>
      </w:r>
      <w:r w:rsidR="277D416F">
        <w:t xml:space="preserve"> </w:t>
      </w:r>
      <w:r w:rsidR="0D7AD515">
        <w:t>T</w:t>
      </w:r>
      <w:r>
        <w:t xml:space="preserve">he accrued interest </w:t>
      </w:r>
      <w:r w:rsidR="277D416F">
        <w:t>in the IOUs</w:t>
      </w:r>
      <w:r w:rsidR="008230EB">
        <w:t>’</w:t>
      </w:r>
      <w:r>
        <w:t xml:space="preserve"> DAC</w:t>
      </w:r>
      <w:r w:rsidR="00C54EC9">
        <w:noBreakHyphen/>
      </w:r>
      <w:r>
        <w:t xml:space="preserve">SASH balancing accounts have sufficient funds to cover </w:t>
      </w:r>
      <w:r w:rsidR="3B37E2EB">
        <w:t xml:space="preserve">both their future </w:t>
      </w:r>
      <w:r w:rsidR="277D416F">
        <w:t>a</w:t>
      </w:r>
      <w:r>
        <w:t xml:space="preserve">dministrative </w:t>
      </w:r>
      <w:r w:rsidR="3B37E2EB">
        <w:t xml:space="preserve">and ME&amp;O </w:t>
      </w:r>
      <w:r>
        <w:t>costs through 2030. Ordering the IOUs to recover administrati</w:t>
      </w:r>
      <w:r w:rsidR="708FBA00">
        <w:t>ve</w:t>
      </w:r>
      <w:r w:rsidR="530E1509">
        <w:t>,</w:t>
      </w:r>
      <w:r>
        <w:t xml:space="preserve"> </w:t>
      </w:r>
      <w:r w:rsidR="6CE33BBC">
        <w:t>as well as ME&amp;O costs</w:t>
      </w:r>
      <w:r w:rsidR="530E1509">
        <w:t>,</w:t>
      </w:r>
      <w:r w:rsidR="6CE33BBC">
        <w:t xml:space="preserve"> </w:t>
      </w:r>
      <w:r>
        <w:t xml:space="preserve">through accrued interest would implement a uniform cost recovery method for those </w:t>
      </w:r>
      <w:r w:rsidR="277D416F">
        <w:t xml:space="preserve">IOU </w:t>
      </w:r>
      <w:r>
        <w:t>administrati</w:t>
      </w:r>
      <w:r w:rsidR="277D416F">
        <w:t>ve</w:t>
      </w:r>
      <w:r>
        <w:t xml:space="preserve"> co</w:t>
      </w:r>
      <w:r w:rsidR="277D416F">
        <w:t>sts</w:t>
      </w:r>
      <w:r>
        <w:t xml:space="preserve">. </w:t>
      </w:r>
      <w:r w:rsidR="4DAE5B2F">
        <w:t>The accrued interest in the IOU balancing accounts also offer</w:t>
      </w:r>
      <w:r w:rsidR="000259F6">
        <w:t>s</w:t>
      </w:r>
      <w:r w:rsidR="4DAE5B2F">
        <w:t xml:space="preserve"> more available funding than the 10% of program </w:t>
      </w:r>
      <w:r w:rsidR="00854394">
        <w:t>collections</w:t>
      </w:r>
      <w:r w:rsidR="4DAE5B2F">
        <w:t xml:space="preserve"> currently allocated to GRID. </w:t>
      </w:r>
      <w:r w:rsidR="58B57004">
        <w:t>Because GRID</w:t>
      </w:r>
      <w:r w:rsidR="5C252E95">
        <w:t xml:space="preserve"> is already using the full amount of its annual DAC</w:t>
      </w:r>
      <w:r w:rsidR="00C54EC9">
        <w:noBreakHyphen/>
      </w:r>
      <w:r w:rsidR="5C252E95">
        <w:t>SASH program funds allocation</w:t>
      </w:r>
      <w:r w:rsidR="58B57004">
        <w:t>,</w:t>
      </w:r>
      <w:r w:rsidR="5B5570AE">
        <w:t xml:space="preserve"> d</w:t>
      </w:r>
      <w:r w:rsidR="5C252E95">
        <w:t>irecting a portion of those funds to the IOUs for their administrative and ME&amp;O expenses would draw needed funds away from GRID.</w:t>
      </w:r>
    </w:p>
    <w:p w:rsidR="00100E79" w:rsidP="31B52016" w:rsidRDefault="65F88744" w14:paraId="130C7ED3" w14:textId="617E87BA">
      <w:pPr>
        <w:pStyle w:val="Standard"/>
      </w:pPr>
      <w:r w:rsidRPr="31B52016">
        <w:t>The Commission</w:t>
      </w:r>
      <w:r w:rsidR="008230EB">
        <w:t>’</w:t>
      </w:r>
      <w:r w:rsidRPr="31B52016">
        <w:t>s authorization</w:t>
      </w:r>
      <w:r w:rsidR="00384C58">
        <w:t xml:space="preserve"> </w:t>
      </w:r>
      <w:r w:rsidR="00C85B7F">
        <w:t xml:space="preserve">for the IOUs to propose administrative and ME&amp;O </w:t>
      </w:r>
      <w:r w:rsidR="00A35C75">
        <w:t>costs</w:t>
      </w:r>
      <w:r w:rsidR="00954166">
        <w:t xml:space="preserve"> from 2026 and </w:t>
      </w:r>
      <w:r w:rsidR="00A379E5">
        <w:t>onward</w:t>
      </w:r>
      <w:r w:rsidRPr="31B52016">
        <w:t xml:space="preserve"> is limited to the </w:t>
      </w:r>
      <w:r w:rsidR="0F96CF0A">
        <w:t>projected remaining IOU administrative costs</w:t>
      </w:r>
      <w:r w:rsidRPr="31B52016">
        <w:t xml:space="preserve"> reflected in </w:t>
      </w:r>
      <w:r w:rsidR="00770C94">
        <w:t>Table </w:t>
      </w:r>
      <w:r w:rsidRPr="31B52016">
        <w:t>1. Each IOU shall recover DAC</w:t>
      </w:r>
      <w:r w:rsidR="00C54EC9">
        <w:noBreakHyphen/>
      </w:r>
      <w:r w:rsidRPr="31B52016">
        <w:t xml:space="preserve">SASH administrative and </w:t>
      </w:r>
      <w:r>
        <w:t>ME&amp;O</w:t>
      </w:r>
      <w:r w:rsidRPr="31B52016">
        <w:t xml:space="preserve"> expenses from its respective accrued interest balance and shall not recover amounts in excess of the</w:t>
      </w:r>
      <w:r w:rsidR="00FB08B7">
        <w:t xml:space="preserve"> </w:t>
      </w:r>
      <w:r w:rsidR="75A66BA0">
        <w:t>projected remaining IOU administrative costs</w:t>
      </w:r>
      <w:r w:rsidRPr="31B52016">
        <w:t xml:space="preserve"> in </w:t>
      </w:r>
      <w:r w:rsidR="0017494B">
        <w:t>Table</w:t>
      </w:r>
      <w:r w:rsidR="005021CF">
        <w:t> </w:t>
      </w:r>
      <w:r w:rsidR="0017494B">
        <w:t>1</w:t>
      </w:r>
      <w:r w:rsidRPr="31B52016">
        <w:t xml:space="preserve"> absent further Commission authorization.</w:t>
      </w:r>
      <w:r w:rsidR="00A42DB0">
        <w:t xml:space="preserve"> </w:t>
      </w:r>
      <w:r w:rsidR="1BF01AA8">
        <w:t>Accordingly, th</w:t>
      </w:r>
      <w:r w:rsidR="277D416F">
        <w:t>is decision orders th</w:t>
      </w:r>
      <w:r w:rsidR="1BF01AA8">
        <w:t>e IOUs to recover their</w:t>
      </w:r>
      <w:r w:rsidR="3B37E2EB">
        <w:t xml:space="preserve"> </w:t>
      </w:r>
      <w:r w:rsidR="7AD2AD44">
        <w:t xml:space="preserve">future </w:t>
      </w:r>
      <w:r w:rsidR="1BF01AA8">
        <w:t>DAC</w:t>
      </w:r>
      <w:r w:rsidR="00C54EC9">
        <w:noBreakHyphen/>
      </w:r>
      <w:r w:rsidR="1BF01AA8">
        <w:t>SASH administration</w:t>
      </w:r>
      <w:r w:rsidR="6CE33BBC">
        <w:t xml:space="preserve"> and ME&amp;O</w:t>
      </w:r>
      <w:r w:rsidR="1BF01AA8">
        <w:t xml:space="preserve"> expenses through accrued interest </w:t>
      </w:r>
      <w:r w:rsidR="277D416F">
        <w:t>i</w:t>
      </w:r>
      <w:r w:rsidR="1BF01AA8">
        <w:t xml:space="preserve">n their </w:t>
      </w:r>
      <w:r w:rsidR="1BF01AA8">
        <w:lastRenderedPageBreak/>
        <w:t>DAC</w:t>
      </w:r>
      <w:r w:rsidR="00C54EC9">
        <w:noBreakHyphen/>
      </w:r>
      <w:r w:rsidR="1BF01AA8">
        <w:t>SASH balancing accounts</w:t>
      </w:r>
      <w:r w:rsidR="708FBA00">
        <w:t xml:space="preserve"> through 2030</w:t>
      </w:r>
      <w:r w:rsidR="1BF01AA8">
        <w:t>.</w:t>
      </w:r>
      <w:r w:rsidR="27F17596">
        <w:t xml:space="preserve"> The decision orders the IOUs to </w:t>
      </w:r>
      <w:r w:rsidR="00C85B7F">
        <w:t xml:space="preserve">propose planned expenditures from </w:t>
      </w:r>
      <w:r w:rsidR="27F17596">
        <w:t>their respective accrued interest balances</w:t>
      </w:r>
      <w:r w:rsidR="003672FC">
        <w:t xml:space="preserve"> for </w:t>
      </w:r>
      <w:r w:rsidR="008240BC">
        <w:t xml:space="preserve">reasonable </w:t>
      </w:r>
      <w:r w:rsidR="003672FC">
        <w:t>DAC</w:t>
      </w:r>
      <w:r w:rsidR="00C54EC9">
        <w:noBreakHyphen/>
      </w:r>
      <w:r w:rsidR="003672FC">
        <w:t>SASH administration and ME&amp;O spending</w:t>
      </w:r>
      <w:r w:rsidR="27F17596">
        <w:t xml:space="preserve"> in the </w:t>
      </w:r>
      <w:r w:rsidR="00854394">
        <w:t>pr</w:t>
      </w:r>
      <w:r w:rsidR="27F17596">
        <w:t xml:space="preserve">oposed </w:t>
      </w:r>
      <w:r w:rsidR="00854394">
        <w:t>a</w:t>
      </w:r>
      <w:r w:rsidR="27F17596">
        <w:t xml:space="preserve">nnual </w:t>
      </w:r>
      <w:r w:rsidR="00854394">
        <w:t>b</w:t>
      </w:r>
      <w:r w:rsidR="27F17596">
        <w:t>udget advice letters directed out of D</w:t>
      </w:r>
      <w:r w:rsidR="6042FF71">
        <w:t>.</w:t>
      </w:r>
      <w:r w:rsidR="27F17596">
        <w:t>20</w:t>
      </w:r>
      <w:r w:rsidR="00C54EC9">
        <w:noBreakHyphen/>
      </w:r>
      <w:r w:rsidR="27F17596">
        <w:t>12</w:t>
      </w:r>
      <w:r w:rsidR="00C54EC9">
        <w:noBreakHyphen/>
      </w:r>
      <w:r w:rsidR="27F17596">
        <w:t xml:space="preserve">003 </w:t>
      </w:r>
      <w:r w:rsidR="005D0B95">
        <w:t>Ordering Paragraph 6</w:t>
      </w:r>
      <w:r w:rsidR="27F17596">
        <w:t>.</w:t>
      </w:r>
      <w:r w:rsidR="00431240">
        <w:t xml:space="preserve"> The IOUs can then seek recovery o</w:t>
      </w:r>
      <w:r w:rsidR="003672FC">
        <w:t xml:space="preserve">f that </w:t>
      </w:r>
      <w:r w:rsidR="00431240">
        <w:t xml:space="preserve">administrative and ME&amp;O </w:t>
      </w:r>
      <w:r w:rsidR="003672FC">
        <w:t>budget</w:t>
      </w:r>
      <w:r w:rsidR="00C85B7F">
        <w:t>, pending Commission approval,</w:t>
      </w:r>
      <w:r w:rsidR="003672FC">
        <w:t xml:space="preserve"> </w:t>
      </w:r>
      <w:r w:rsidR="008977F6">
        <w:t xml:space="preserve">without a rate of return </w:t>
      </w:r>
      <w:r w:rsidR="003672FC">
        <w:t>in</w:t>
      </w:r>
      <w:r w:rsidR="00431240">
        <w:t xml:space="preserve"> their ERRA applications</w:t>
      </w:r>
      <w:r w:rsidR="003672FC">
        <w:t xml:space="preserve"> as ordered by D.20</w:t>
      </w:r>
      <w:r w:rsidR="00C54EC9">
        <w:noBreakHyphen/>
      </w:r>
      <w:r w:rsidR="003672FC">
        <w:t>12</w:t>
      </w:r>
      <w:r w:rsidR="00C54EC9">
        <w:noBreakHyphen/>
      </w:r>
      <w:r w:rsidR="003672FC">
        <w:t xml:space="preserve">003 </w:t>
      </w:r>
      <w:r w:rsidR="005D0B95">
        <w:t>Ordering Paragraph 7</w:t>
      </w:r>
      <w:r w:rsidR="00431240">
        <w:t>.</w:t>
      </w:r>
    </w:p>
    <w:p w:rsidR="00480120" w:rsidP="0017144D" w:rsidRDefault="00480120" w14:paraId="23A9999A" w14:textId="38C1240A">
      <w:pPr>
        <w:pStyle w:val="Heading2"/>
      </w:pPr>
      <w:bookmarkStart w:name="_Toc242090703" w:id="20"/>
      <w:r w:rsidRPr="00480120">
        <w:t xml:space="preserve">Clarification of </w:t>
      </w:r>
      <w:r w:rsidRPr="009D5A16" w:rsidR="009D5A16">
        <w:t>San</w:t>
      </w:r>
      <w:r w:rsidR="009D5A16">
        <w:t> </w:t>
      </w:r>
      <w:r w:rsidRPr="009D5A16" w:rsidR="009D5A16">
        <w:t>Diego Gas</w:t>
      </w:r>
      <w:r w:rsidR="009D5A16">
        <w:t> </w:t>
      </w:r>
      <w:r w:rsidRPr="009D5A16" w:rsidR="009D5A16">
        <w:t>&amp; Electric Company</w:t>
      </w:r>
      <w:r w:rsidRPr="00480120">
        <w:t xml:space="preserve"> Annual </w:t>
      </w:r>
      <w:r w:rsidR="009D5A16">
        <w:t>Disadvantaged Communities — Single</w:t>
      </w:r>
      <w:r w:rsidR="00C54EC9">
        <w:noBreakHyphen/>
      </w:r>
      <w:r w:rsidR="005F5066">
        <w:t>F</w:t>
      </w:r>
      <w:r w:rsidR="009D5A16">
        <w:t>amily Solar Homes</w:t>
      </w:r>
      <w:r w:rsidRPr="00480120">
        <w:t xml:space="preserve"> Funding Transfers</w:t>
      </w:r>
      <w:bookmarkEnd w:id="20"/>
    </w:p>
    <w:p w:rsidR="00480120" w:rsidP="000E46F2" w:rsidRDefault="00480120" w14:paraId="409DE615" w14:textId="7DECB975">
      <w:pPr>
        <w:pStyle w:val="Standard"/>
      </w:pPr>
      <w:r w:rsidRPr="00480120">
        <w:t>The Commission authorized annual funding of $10</w:t>
      </w:r>
      <w:r w:rsidR="00AB2737">
        <w:t> million</w:t>
      </w:r>
      <w:r w:rsidRPr="00480120">
        <w:t xml:space="preserve"> for the DAC</w:t>
      </w:r>
      <w:r w:rsidR="00C54EC9">
        <w:noBreakHyphen/>
      </w:r>
      <w:r w:rsidRPr="00480120">
        <w:t>SASH Program beginning January</w:t>
      </w:r>
      <w:r w:rsidR="003C79ED">
        <w:t> </w:t>
      </w:r>
      <w:r w:rsidRPr="00480120">
        <w:t>1, 2019, through December</w:t>
      </w:r>
      <w:r w:rsidR="003C79ED">
        <w:t> </w:t>
      </w:r>
      <w:r w:rsidRPr="00480120">
        <w:t>31, 2030. Consistent with D</w:t>
      </w:r>
      <w:r>
        <w:t>.</w:t>
      </w:r>
      <w:r w:rsidRPr="00480120">
        <w:t>18</w:t>
      </w:r>
      <w:r w:rsidR="00C54EC9">
        <w:noBreakHyphen/>
      </w:r>
      <w:r w:rsidRPr="00480120">
        <w:t>06</w:t>
      </w:r>
      <w:r w:rsidR="00C54EC9">
        <w:noBreakHyphen/>
      </w:r>
      <w:r w:rsidRPr="00480120">
        <w:t>027, the Commission</w:t>
      </w:r>
      <w:r w:rsidR="00C54EC9">
        <w:noBreakHyphen/>
      </w:r>
      <w:r w:rsidRPr="00480120">
        <w:t>approved DAC</w:t>
      </w:r>
      <w:r w:rsidR="00C54EC9">
        <w:noBreakHyphen/>
      </w:r>
      <w:r w:rsidRPr="00480120">
        <w:t xml:space="preserve">SASH Program Handbook allocates annual program funding among the </w:t>
      </w:r>
      <w:r>
        <w:t>IOU</w:t>
      </w:r>
      <w:r w:rsidRPr="00480120">
        <w:t>s, with PG&amp;E responsible for 43.7</w:t>
      </w:r>
      <w:r w:rsidR="000E46F2">
        <w:t>%</w:t>
      </w:r>
      <w:r w:rsidRPr="00480120">
        <w:t>, SCE responsible for 46.0</w:t>
      </w:r>
      <w:r w:rsidR="000E46F2">
        <w:t>%</w:t>
      </w:r>
      <w:r w:rsidRPr="00480120">
        <w:t>, and SDG&amp;E responsible for 10.3</w:t>
      </w:r>
      <w:r w:rsidR="000E46F2">
        <w:t>%</w:t>
      </w:r>
      <w:r w:rsidRPr="00480120">
        <w:t xml:space="preserve"> of the annual program budget.</w:t>
      </w:r>
    </w:p>
    <w:p w:rsidR="00943021" w:rsidP="00480120" w:rsidRDefault="00480120" w14:paraId="22E333E6" w14:textId="595F7C42">
      <w:pPr>
        <w:pStyle w:val="Standard"/>
      </w:pPr>
      <w:r w:rsidRPr="00480120">
        <w:t>To better understand</w:t>
      </w:r>
      <w:r w:rsidR="000E46F2">
        <w:t xml:space="preserve"> the</w:t>
      </w:r>
      <w:r w:rsidRPr="00480120">
        <w:t xml:space="preserve"> implementation of these funding allocations, Energy Division reviewed SDG&amp;E's ERRA compliance filings and supporting DAC</w:t>
      </w:r>
      <w:r w:rsidR="00C54EC9">
        <w:noBreakHyphen/>
      </w:r>
      <w:r w:rsidRPr="00480120">
        <w:t>SASH Balancing Account records.</w:t>
      </w:r>
      <w:r w:rsidR="005159F9">
        <w:rPr>
          <w:rStyle w:val="FootnoteReference"/>
        </w:rPr>
        <w:footnoteReference w:id="30"/>
      </w:r>
      <w:r w:rsidRPr="00480120">
        <w:t xml:space="preserve"> </w:t>
      </w:r>
      <w:r w:rsidR="000E46F2">
        <w:t>Those records</w:t>
      </w:r>
      <w:r w:rsidRPr="000E46F2" w:rsidR="000E46F2">
        <w:t xml:space="preserve"> show</w:t>
      </w:r>
      <w:r w:rsidR="000E46F2">
        <w:t xml:space="preserve"> </w:t>
      </w:r>
      <w:r w:rsidRPr="000E46F2" w:rsidR="000E46F2">
        <w:t>two approximately $1.03</w:t>
      </w:r>
      <w:r w:rsidR="00AB2737">
        <w:t> million</w:t>
      </w:r>
      <w:r w:rsidRPr="000E46F2" w:rsidR="000E46F2">
        <w:t xml:space="preserve"> transfers from the G</w:t>
      </w:r>
      <w:r w:rsidR="000E46F2">
        <w:t>HG</w:t>
      </w:r>
      <w:r w:rsidRPr="000E46F2" w:rsidR="000E46F2">
        <w:t xml:space="preserve"> Revenue Balancing Account to the DAC</w:t>
      </w:r>
      <w:r w:rsidR="00C54EC9">
        <w:noBreakHyphen/>
      </w:r>
      <w:r w:rsidRPr="000E46F2" w:rsidR="000E46F2">
        <w:t>SASH Balancing Account during the 2021 record year. Beginning with the 2022 record year, SDG&amp;E transferred approximately $1.090</w:t>
      </w:r>
      <w:r w:rsidR="00AB2737">
        <w:t> million</w:t>
      </w:r>
      <w:r w:rsidRPr="000E46F2" w:rsidR="000E46F2">
        <w:t>, and subsequent filings reflect transfers of approximately $1.095</w:t>
      </w:r>
      <w:r w:rsidR="00AB2737">
        <w:t> million</w:t>
      </w:r>
      <w:r w:rsidRPr="000E46F2" w:rsidR="000E46F2">
        <w:t xml:space="preserve"> in 2023 and </w:t>
      </w:r>
      <w:r w:rsidR="00943021">
        <w:lastRenderedPageBreak/>
        <w:t>$1.095</w:t>
      </w:r>
      <w:r w:rsidR="00271A48">
        <w:t> million</w:t>
      </w:r>
      <w:r w:rsidR="00943021">
        <w:t xml:space="preserve"> in </w:t>
      </w:r>
      <w:r w:rsidRPr="000E46F2" w:rsidR="000E46F2">
        <w:t>2024</w:t>
      </w:r>
      <w:r w:rsidR="008240BC">
        <w:t>, in excess of the authorized $1.03 million in annual funding</w:t>
      </w:r>
      <w:r w:rsidR="000E46F2">
        <w:t>.</w:t>
      </w:r>
      <w:r w:rsidR="000E46F2">
        <w:rPr>
          <w:rStyle w:val="FootnoteReference"/>
        </w:rPr>
        <w:footnoteReference w:id="31"/>
      </w:r>
    </w:p>
    <w:p w:rsidR="00480120" w:rsidP="00480120" w:rsidRDefault="00480120" w14:paraId="766C47FB" w14:textId="12F93FD2">
      <w:pPr>
        <w:pStyle w:val="Standard"/>
      </w:pPr>
      <w:r w:rsidRPr="00480120">
        <w:t>The Commission observes that these transfer amounts generally correspond to SDG&amp;E</w:t>
      </w:r>
      <w:r w:rsidR="00354D90">
        <w:t>’</w:t>
      </w:r>
      <w:r w:rsidRPr="00480120">
        <w:t>s authorized DAC</w:t>
      </w:r>
      <w:r w:rsidR="00C54EC9">
        <w:noBreakHyphen/>
      </w:r>
      <w:r w:rsidRPr="00480120">
        <w:t>SASH administrative budgets for the applicable record years. However, neither the Commission</w:t>
      </w:r>
      <w:r w:rsidR="00C54EC9">
        <w:noBreakHyphen/>
      </w:r>
      <w:r w:rsidRPr="00480120">
        <w:t>approved Program Handbook nor prior Commission decisions expressly provide that SDG&amp;E</w:t>
      </w:r>
      <w:r w:rsidR="00354D90">
        <w:t>’</w:t>
      </w:r>
      <w:r w:rsidRPr="00480120">
        <w:t>s annual DAC</w:t>
      </w:r>
      <w:r w:rsidR="00C54EC9">
        <w:noBreakHyphen/>
      </w:r>
      <w:r w:rsidRPr="00480120">
        <w:t>SASH funding transfer may include amounts above its Commission</w:t>
      </w:r>
      <w:r w:rsidR="00C54EC9">
        <w:noBreakHyphen/>
      </w:r>
      <w:r w:rsidRPr="00480120">
        <w:t>approved annual allocation to reflect administrative budgets or other program costs.</w:t>
      </w:r>
    </w:p>
    <w:p w:rsidR="00AA3C7D" w:rsidP="00AA3C7D" w:rsidRDefault="00480120" w14:paraId="251F5FA0" w14:textId="4E29D079">
      <w:pPr>
        <w:pStyle w:val="Standard"/>
      </w:pPr>
      <w:r w:rsidRPr="00480120">
        <w:t>To provide clarity and ensure consistent administration of the DAC</w:t>
      </w:r>
      <w:r w:rsidR="00C54EC9">
        <w:noBreakHyphen/>
      </w:r>
      <w:r w:rsidRPr="00480120">
        <w:t>SASH Program, the Commission clarifies that the annual funding allocations established in the Program Handbook represent the Commission</w:t>
      </w:r>
      <w:r w:rsidR="00C54EC9">
        <w:noBreakHyphen/>
      </w:r>
      <w:r w:rsidRPr="00480120">
        <w:t>authorized annual transfers into each utility</w:t>
      </w:r>
      <w:r w:rsidR="00354D90">
        <w:t>’</w:t>
      </w:r>
      <w:r w:rsidRPr="00480120">
        <w:t>s DAC</w:t>
      </w:r>
      <w:r w:rsidR="00C54EC9">
        <w:noBreakHyphen/>
      </w:r>
      <w:r w:rsidRPr="00480120">
        <w:t xml:space="preserve">SASH </w:t>
      </w:r>
      <w:r w:rsidR="000F41FF">
        <w:t>b</w:t>
      </w:r>
      <w:r w:rsidRPr="00480120">
        <w:t xml:space="preserve">alancing </w:t>
      </w:r>
      <w:r w:rsidR="000F41FF">
        <w:t>a</w:t>
      </w:r>
      <w:r w:rsidRPr="00480120">
        <w:t xml:space="preserve">ccount unless otherwise expressly authorized by the Commission. Accordingly, beginning with transfers made following the effective date of this </w:t>
      </w:r>
      <w:r w:rsidR="000E46F2">
        <w:t>d</w:t>
      </w:r>
      <w:r w:rsidRPr="00480120">
        <w:t>ecision, SDG&amp;E shall limit annual transfers into its DAC</w:t>
      </w:r>
      <w:r w:rsidR="00C54EC9">
        <w:noBreakHyphen/>
      </w:r>
      <w:r w:rsidRPr="00480120">
        <w:t>SASH Balancing Account to its Commission</w:t>
      </w:r>
      <w:r w:rsidR="00C54EC9">
        <w:noBreakHyphen/>
      </w:r>
      <w:r w:rsidRPr="00480120">
        <w:t>authorized annual DAC</w:t>
      </w:r>
      <w:r w:rsidR="00C54EC9">
        <w:noBreakHyphen/>
      </w:r>
      <w:r w:rsidRPr="00480120">
        <w:t>SASH funding allocation. Any transfer above that Commission</w:t>
      </w:r>
      <w:r w:rsidR="00C54EC9">
        <w:noBreakHyphen/>
      </w:r>
      <w:r w:rsidRPr="00480120">
        <w:t>authorized allocation shall require further Commission authorization</w:t>
      </w:r>
    </w:p>
    <w:p w:rsidR="00AA3C7D" w:rsidP="00480120" w:rsidRDefault="00AA3C7D" w14:paraId="4DF564E6" w14:textId="5B5638D9">
      <w:pPr>
        <w:pStyle w:val="Standard"/>
      </w:pPr>
      <w:r>
        <w:t xml:space="preserve">SDG&amp;E is also authorized and directed to transfer $306,056 from its DAC-SASH Balancing Account to its GHG Revenue Balancing Account, representing </w:t>
      </w:r>
      <w:r>
        <w:lastRenderedPageBreak/>
        <w:t>$280,000 in DAC-SASH administrative funding previously transferred from the GHG</w:t>
      </w:r>
      <w:r w:rsidR="00635F23">
        <w:t xml:space="preserve"> </w:t>
      </w:r>
      <w:r>
        <w:t>R</w:t>
      </w:r>
      <w:r w:rsidR="00635F23">
        <w:t>evenue</w:t>
      </w:r>
      <w:r w:rsidR="008240BC">
        <w:t xml:space="preserve"> </w:t>
      </w:r>
      <w:r>
        <w:t>B</w:t>
      </w:r>
      <w:r w:rsidR="008240BC">
        <w:t xml:space="preserve">alancing </w:t>
      </w:r>
      <w:r>
        <w:t>A</w:t>
      </w:r>
      <w:r w:rsidR="008240BC">
        <w:t>ccount</w:t>
      </w:r>
      <w:r>
        <w:t xml:space="preserve"> to the DAC</w:t>
      </w:r>
      <w:r w:rsidR="008240BC">
        <w:t>-</w:t>
      </w:r>
      <w:r>
        <w:t>SASH</w:t>
      </w:r>
      <w:r w:rsidR="008240BC">
        <w:t xml:space="preserve"> </w:t>
      </w:r>
      <w:r>
        <w:t>B</w:t>
      </w:r>
      <w:r w:rsidR="008240BC">
        <w:t xml:space="preserve">alancing </w:t>
      </w:r>
      <w:r>
        <w:t>A</w:t>
      </w:r>
      <w:r w:rsidR="008240BC">
        <w:t>ccount</w:t>
      </w:r>
      <w:r>
        <w:t xml:space="preserve"> for program years 2023 through 202</w:t>
      </w:r>
      <w:r w:rsidR="00635F23">
        <w:t>6</w:t>
      </w:r>
      <w:r>
        <w:t xml:space="preserve"> in excess of its Commission-authorized annual DAC-SASH funding allocation, and $26,056 in accrued interest associated with those </w:t>
      </w:r>
      <w:r w:rsidRPr="00B62759">
        <w:t>funds through August 31, 2026.</w:t>
      </w:r>
    </w:p>
    <w:p w:rsidR="009476CA" w:rsidP="009476CA" w:rsidRDefault="009476CA" w14:paraId="0CE6B5E3" w14:textId="77777777">
      <w:pPr>
        <w:pStyle w:val="Heading1"/>
      </w:pPr>
      <w:bookmarkStart w:name="_Toc236292537" w:id="21"/>
      <w:bookmarkStart w:name="_Toc242090704" w:id="22"/>
      <w:r>
        <w:t>Reporting on External Funds</w:t>
      </w:r>
      <w:bookmarkEnd w:id="21"/>
      <w:bookmarkEnd w:id="22"/>
    </w:p>
    <w:p w:rsidR="009476CA" w:rsidP="009476CA" w:rsidRDefault="009476CA" w14:paraId="09DC8CF3" w14:textId="7C4F4B82">
      <w:pPr>
        <w:pStyle w:val="Standard"/>
      </w:pPr>
      <w:r>
        <w:t>GRID has stated that it consistently uses its full DAC</w:t>
      </w:r>
      <w:r w:rsidR="00C54EC9">
        <w:noBreakHyphen/>
      </w:r>
      <w:r>
        <w:t>SASH budget allocation for administrative costs in addition to the full amount of funds allocated for DAC</w:t>
      </w:r>
      <w:r w:rsidR="00C54EC9">
        <w:noBreakHyphen/>
      </w:r>
      <w:r>
        <w:t>SASH</w:t>
      </w:r>
      <w:r w:rsidR="00C54EC9">
        <w:noBreakHyphen/>
      </w:r>
      <w:r>
        <w:t>related ME&amp;O costs.</w:t>
      </w:r>
      <w:r>
        <w:rPr>
          <w:rStyle w:val="FootnoteReference"/>
        </w:rPr>
        <w:footnoteReference w:id="32"/>
      </w:r>
      <w:r>
        <w:t xml:space="preserve"> Additionally, GRID states that it uses external funding in its operational budget for additional program administrative costs not covered by the Commission</w:t>
      </w:r>
      <w:r w:rsidR="00C54EC9">
        <w:noBreakHyphen/>
      </w:r>
      <w:r>
        <w:t>authorized program budget</w:t>
      </w:r>
      <w:r w:rsidR="008333A8">
        <w:t>.</w:t>
      </w:r>
      <w:r>
        <w:t xml:space="preserve"> </w:t>
      </w:r>
      <w:r w:rsidR="008333A8">
        <w:t>However,</w:t>
      </w:r>
      <w:r>
        <w:t xml:space="preserve"> GRID has not reported to the Commission how much in external funds it has spent on the DAC</w:t>
      </w:r>
      <w:r w:rsidR="00C54EC9">
        <w:noBreakHyphen/>
      </w:r>
      <w:r>
        <w:t>SASH program.</w:t>
      </w:r>
      <w:r>
        <w:rPr>
          <w:rStyle w:val="FootnoteReference"/>
        </w:rPr>
        <w:footnoteReference w:id="33"/>
      </w:r>
    </w:p>
    <w:p w:rsidR="00024945" w:rsidP="009476CA" w:rsidRDefault="00DA612C" w14:paraId="0C9F320C" w14:textId="780BD0C2">
      <w:pPr>
        <w:pStyle w:val="Standard"/>
      </w:pPr>
      <w:r>
        <w:t>In Decision D.</w:t>
      </w:r>
      <w:r w:rsidRPr="007905BB">
        <w:t>18</w:t>
      </w:r>
      <w:r w:rsidR="00C54EC9">
        <w:noBreakHyphen/>
      </w:r>
      <w:r w:rsidRPr="007905BB">
        <w:t>06</w:t>
      </w:r>
      <w:r w:rsidR="00C54EC9">
        <w:noBreakHyphen/>
      </w:r>
      <w:r w:rsidRPr="007905BB">
        <w:t>027</w:t>
      </w:r>
      <w:r>
        <w:t xml:space="preserve"> </w:t>
      </w:r>
      <w:r w:rsidR="002E26D7">
        <w:t>Appendix </w:t>
      </w:r>
      <w:r>
        <w:t>A, the Commission</w:t>
      </w:r>
      <w:r w:rsidR="000C614E">
        <w:t>,</w:t>
      </w:r>
      <w:r w:rsidRPr="000C614E" w:rsidR="000C614E">
        <w:t xml:space="preserve"> </w:t>
      </w:r>
      <w:r w:rsidR="000C614E">
        <w:t>among other things,</w:t>
      </w:r>
      <w:r>
        <w:t xml:space="preserve"> provided </w:t>
      </w:r>
      <w:r w:rsidR="001C25FE">
        <w:t xml:space="preserve">direction </w:t>
      </w:r>
      <w:r>
        <w:t>on</w:t>
      </w:r>
      <w:r w:rsidR="001C25FE">
        <w:t xml:space="preserve"> the</w:t>
      </w:r>
      <w:r>
        <w:t xml:space="preserve"> DAC</w:t>
      </w:r>
      <w:r w:rsidR="00C54EC9">
        <w:noBreakHyphen/>
      </w:r>
      <w:r>
        <w:t xml:space="preserve">SASH </w:t>
      </w:r>
      <w:r w:rsidR="0095679A">
        <w:t>p</w:t>
      </w:r>
      <w:r>
        <w:t>rogram</w:t>
      </w:r>
      <w:r w:rsidR="008230EB">
        <w:t>’</w:t>
      </w:r>
      <w:r>
        <w:t xml:space="preserve">s </w:t>
      </w:r>
      <w:r w:rsidR="009D2445">
        <w:t>r</w:t>
      </w:r>
      <w:r w:rsidRPr="00A61A1F">
        <w:t>eporting</w:t>
      </w:r>
      <w:r>
        <w:t xml:space="preserve"> and </w:t>
      </w:r>
      <w:r w:rsidR="009D2445">
        <w:t>d</w:t>
      </w:r>
      <w:r w:rsidRPr="00A61A1F">
        <w:t xml:space="preserve">ata </w:t>
      </w:r>
      <w:r w:rsidR="009D2445">
        <w:t>c</w:t>
      </w:r>
      <w:r w:rsidRPr="00A61A1F">
        <w:t>ollection</w:t>
      </w:r>
      <w:r w:rsidR="009D2445">
        <w:t xml:space="preserve"> obligations. Specifically, </w:t>
      </w:r>
      <w:r w:rsidR="002E26D7">
        <w:t>Appendix </w:t>
      </w:r>
      <w:r w:rsidR="009D2445">
        <w:t>A outlined</w:t>
      </w:r>
      <w:r>
        <w:t xml:space="preserve"> </w:t>
      </w:r>
      <w:r w:rsidR="001C25FE">
        <w:t xml:space="preserve">metrics </w:t>
      </w:r>
      <w:r w:rsidR="009D2445">
        <w:t>for the DAC</w:t>
      </w:r>
      <w:r w:rsidR="00C54EC9">
        <w:noBreakHyphen/>
      </w:r>
      <w:r w:rsidR="009D2445">
        <w:t xml:space="preserve">SASH </w:t>
      </w:r>
      <w:r w:rsidR="000C614E">
        <w:t>PA</w:t>
      </w:r>
      <w:r w:rsidR="009D2445">
        <w:t xml:space="preserve"> to</w:t>
      </w:r>
      <w:r w:rsidR="001C25FE">
        <w:t xml:space="preserve"> repor</w:t>
      </w:r>
      <w:r w:rsidR="009D2445">
        <w:t>t on</w:t>
      </w:r>
      <w:r w:rsidR="000D3EA7">
        <w:t xml:space="preserve"> in the program</w:t>
      </w:r>
      <w:r w:rsidR="008230EB">
        <w:t>’</w:t>
      </w:r>
      <w:r w:rsidR="000D3EA7">
        <w:t xml:space="preserve">s </w:t>
      </w:r>
      <w:r w:rsidR="006D5C55">
        <w:t>S</w:t>
      </w:r>
      <w:r w:rsidRPr="000D3EA7" w:rsidR="000D3EA7">
        <w:t>emi</w:t>
      </w:r>
      <w:r w:rsidR="00C54EC9">
        <w:noBreakHyphen/>
      </w:r>
      <w:r w:rsidRPr="000D3EA7" w:rsidR="000D3EA7">
        <w:t xml:space="preserve">annual </w:t>
      </w:r>
      <w:r w:rsidR="006D5C55">
        <w:t>R</w:t>
      </w:r>
      <w:r w:rsidRPr="000D3EA7" w:rsidR="000D3EA7">
        <w:t>eports</w:t>
      </w:r>
      <w:r>
        <w:t>.</w:t>
      </w:r>
      <w:r w:rsidR="0017462C">
        <w:t xml:space="preserve"> Included in th</w:t>
      </w:r>
      <w:r w:rsidR="009D2445">
        <w:t>e</w:t>
      </w:r>
      <w:r w:rsidR="0017462C">
        <w:t>se reporting</w:t>
      </w:r>
      <w:r w:rsidR="00C57C94">
        <w:t xml:space="preserve"> requirements were</w:t>
      </w:r>
      <w:r w:rsidR="0017462C">
        <w:t xml:space="preserve"> metrics </w:t>
      </w:r>
      <w:r w:rsidR="00C57C94">
        <w:t>dee</w:t>
      </w:r>
      <w:r w:rsidR="009D2445">
        <w:t>m</w:t>
      </w:r>
      <w:r w:rsidR="00C57C94">
        <w:t xml:space="preserve">ed necessary to ensure accurate tracking </w:t>
      </w:r>
      <w:r w:rsidR="009D2445">
        <w:t xml:space="preserve">at the </w:t>
      </w:r>
      <w:r w:rsidR="00CA109F">
        <w:t>program level.</w:t>
      </w:r>
      <w:r>
        <w:t xml:space="preserve"> </w:t>
      </w:r>
      <w:r w:rsidR="000E5AFA">
        <w:t>We</w:t>
      </w:r>
      <w:r w:rsidR="00CA109F">
        <w:t xml:space="preserve"> determine </w:t>
      </w:r>
      <w:r w:rsidR="005F4393">
        <w:t xml:space="preserve">here </w:t>
      </w:r>
      <w:r w:rsidR="00CA109F">
        <w:t xml:space="preserve">that </w:t>
      </w:r>
      <w:r w:rsidR="00955E33">
        <w:t>GRID shall</w:t>
      </w:r>
      <w:r w:rsidR="00821DD9">
        <w:t xml:space="preserve"> better</w:t>
      </w:r>
      <w:r w:rsidR="009476CA">
        <w:t xml:space="preserve"> track the total costs of the DAC</w:t>
      </w:r>
      <w:r w:rsidR="00C54EC9">
        <w:noBreakHyphen/>
      </w:r>
      <w:r w:rsidR="009476CA">
        <w:t xml:space="preserve">SASH program </w:t>
      </w:r>
      <w:r w:rsidR="00955E33">
        <w:t xml:space="preserve">for the Commission </w:t>
      </w:r>
      <w:r w:rsidR="009476CA">
        <w:t>to gain a</w:t>
      </w:r>
      <w:r w:rsidR="00FC0619">
        <w:t xml:space="preserve"> </w:t>
      </w:r>
      <w:r w:rsidR="00955E33">
        <w:t>more holistic understanding</w:t>
      </w:r>
      <w:r w:rsidR="009476CA">
        <w:t xml:space="preserve"> of program operations and for comparison to similar programs.</w:t>
      </w:r>
    </w:p>
    <w:p w:rsidR="00024945" w:rsidP="009476CA" w:rsidRDefault="009476CA" w14:paraId="538CBB6D" w14:textId="70ED1AA2">
      <w:pPr>
        <w:pStyle w:val="Standard"/>
      </w:pPr>
      <w:r>
        <w:t xml:space="preserve">With that aim in mind, the </w:t>
      </w:r>
      <w:r w:rsidR="008230EB">
        <w:t>January </w:t>
      </w:r>
      <w:r>
        <w:t xml:space="preserve">26 Ruling asked whether </w:t>
      </w:r>
      <w:r w:rsidRPr="00A81436">
        <w:t xml:space="preserve">GRID </w:t>
      </w:r>
      <w:r>
        <w:t xml:space="preserve">should </w:t>
      </w:r>
      <w:r w:rsidRPr="00A81436">
        <w:t xml:space="preserve">be required to track and account for external funds used to support the </w:t>
      </w:r>
      <w:r w:rsidRPr="00A81436">
        <w:lastRenderedPageBreak/>
        <w:t>DAC</w:t>
      </w:r>
      <w:r w:rsidR="00C54EC9">
        <w:noBreakHyphen/>
      </w:r>
      <w:r w:rsidRPr="00A81436">
        <w:t>SASH program at the project level covering administration, installation, job training, and/or other costs going forward</w:t>
      </w:r>
      <w:r>
        <w:t>.</w:t>
      </w:r>
      <w:r>
        <w:rPr>
          <w:rStyle w:val="FootnoteReference"/>
        </w:rPr>
        <w:footnoteReference w:id="34"/>
      </w:r>
      <w:r w:rsidRPr="00A81436">
        <w:t xml:space="preserve"> </w:t>
      </w:r>
      <w:r>
        <w:t xml:space="preserve">The </w:t>
      </w:r>
      <w:r w:rsidR="008230EB">
        <w:t>January </w:t>
      </w:r>
      <w:r>
        <w:t>26 Ruling also asked whether those</w:t>
      </w:r>
      <w:r w:rsidRPr="00A81436">
        <w:t xml:space="preserve"> costs </w:t>
      </w:r>
      <w:r>
        <w:t xml:space="preserve">should </w:t>
      </w:r>
      <w:r w:rsidRPr="00A81436">
        <w:t>be publicly reported in the DAC</w:t>
      </w:r>
      <w:r w:rsidR="00C54EC9">
        <w:noBreakHyphen/>
      </w:r>
      <w:r w:rsidRPr="00A81436">
        <w:t xml:space="preserve">SASH </w:t>
      </w:r>
      <w:r w:rsidR="006D5C55">
        <w:t>S</w:t>
      </w:r>
      <w:r w:rsidRPr="00A81436">
        <w:t>emi</w:t>
      </w:r>
      <w:r w:rsidR="00C54EC9">
        <w:noBreakHyphen/>
      </w:r>
      <w:r>
        <w:t>a</w:t>
      </w:r>
      <w:r w:rsidRPr="00A81436">
        <w:t xml:space="preserve">nnual </w:t>
      </w:r>
      <w:r w:rsidR="006D5C55">
        <w:t>R</w:t>
      </w:r>
      <w:r w:rsidRPr="00A81436">
        <w:t>eports or through some other means</w:t>
      </w:r>
      <w:r>
        <w:t>.</w:t>
      </w:r>
      <w:r>
        <w:rPr>
          <w:rStyle w:val="FootnoteReference"/>
        </w:rPr>
        <w:footnoteReference w:id="35"/>
      </w:r>
    </w:p>
    <w:p w:rsidR="00024945" w:rsidP="009476CA" w:rsidRDefault="009476CA" w14:paraId="4CFAAEF9" w14:textId="40AF3070">
      <w:pPr>
        <w:pStyle w:val="Standard"/>
      </w:pPr>
      <w:r>
        <w:t>GRID opposes the Commission requiring it to track and account for external funds used to support the DAC</w:t>
      </w:r>
      <w:r w:rsidR="00C54EC9">
        <w:noBreakHyphen/>
      </w:r>
      <w:r>
        <w:t xml:space="preserve">SASH program at the project level, stating that </w:t>
      </w:r>
      <w:r w:rsidR="008230EB">
        <w:t>“</w:t>
      </w:r>
      <w:r>
        <w:t>the philanthropic funds we raise support GRID</w:t>
      </w:r>
      <w:r w:rsidR="008230EB">
        <w:t>’</w:t>
      </w:r>
      <w:r>
        <w:t>s operations in general, spanning many other programs across other states and even other countries, and are not requested or received specific to or exclusively for DAC</w:t>
      </w:r>
      <w:r w:rsidR="00C54EC9">
        <w:noBreakHyphen/>
      </w:r>
      <w:r>
        <w:t>SASH.</w:t>
      </w:r>
      <w:r w:rsidR="008230EB">
        <w:t>”</w:t>
      </w:r>
      <w:r>
        <w:rPr>
          <w:rStyle w:val="FootnoteReference"/>
        </w:rPr>
        <w:footnoteReference w:id="36"/>
      </w:r>
      <w:r>
        <w:t xml:space="preserve"> GRID also states that tracking and reporting on those outside funds and how they are allocated at the project level would be </w:t>
      </w:r>
      <w:r w:rsidR="008230EB">
        <w:t>“</w:t>
      </w:r>
      <w:r>
        <w:t>a complex and resource</w:t>
      </w:r>
      <w:r w:rsidR="00C54EC9">
        <w:noBreakHyphen/>
      </w:r>
      <w:r>
        <w:t>intensive task for GRID</w:t>
      </w:r>
      <w:r w:rsidR="008230EB">
        <w:t>”</w:t>
      </w:r>
      <w:r>
        <w:t xml:space="preserve"> and would represent an </w:t>
      </w:r>
      <w:r w:rsidR="008230EB">
        <w:t>“</w:t>
      </w:r>
      <w:r>
        <w:t>unfunded mandate on our Philanthropy team who are not billable staff, and would result in a further increase to our actual administrative costs that cannot be covered by the program</w:t>
      </w:r>
      <w:r w:rsidR="008230EB">
        <w:t>’</w:t>
      </w:r>
      <w:r>
        <w:t>s limited administrative budget, which we are already utilizing in its entirety.</w:t>
      </w:r>
      <w:r w:rsidR="008230EB">
        <w:t>”</w:t>
      </w:r>
      <w:r>
        <w:rPr>
          <w:rStyle w:val="FootnoteReference"/>
        </w:rPr>
        <w:footnoteReference w:id="37"/>
      </w:r>
      <w:r>
        <w:t xml:space="preserve"> Finally, GRID states that it already reports </w:t>
      </w:r>
      <w:r w:rsidR="00515F4F">
        <w:t>a</w:t>
      </w:r>
      <w:r>
        <w:t>n average total DAC</w:t>
      </w:r>
      <w:r w:rsidR="00C54EC9">
        <w:noBreakHyphen/>
      </w:r>
      <w:r>
        <w:t xml:space="preserve">SASH system cost per watt in the </w:t>
      </w:r>
      <w:r w:rsidR="006D5C55">
        <w:t>S</w:t>
      </w:r>
      <w:r>
        <w:t>emi</w:t>
      </w:r>
      <w:r w:rsidR="00C54EC9">
        <w:noBreakHyphen/>
      </w:r>
      <w:r>
        <w:t xml:space="preserve">annual </w:t>
      </w:r>
      <w:r w:rsidR="006D5C55">
        <w:t>R</w:t>
      </w:r>
      <w:r>
        <w:t xml:space="preserve">eports </w:t>
      </w:r>
      <w:r w:rsidR="007F2671">
        <w:t xml:space="preserve">to easily determine any </w:t>
      </w:r>
      <w:r>
        <w:t>gap funding that must be raised through other means.</w:t>
      </w:r>
      <w:r>
        <w:rPr>
          <w:rStyle w:val="FootnoteReference"/>
        </w:rPr>
        <w:footnoteReference w:id="38"/>
      </w:r>
    </w:p>
    <w:p w:rsidR="009476CA" w:rsidP="009476CA" w:rsidRDefault="00086432" w14:paraId="31328672" w14:textId="6621BDC2">
      <w:pPr>
        <w:pStyle w:val="Standard"/>
      </w:pPr>
      <w:r>
        <w:t>Cal Advoc</w:t>
      </w:r>
      <w:r w:rsidR="009476CA">
        <w:t>ates, SCE, SDG&amp;E, and PG&amp;E support the Commission ordering GRID to track external funds used to support the DAC</w:t>
      </w:r>
      <w:r w:rsidR="00C54EC9">
        <w:noBreakHyphen/>
      </w:r>
      <w:r w:rsidR="009476CA">
        <w:t xml:space="preserve">SASH program at the project level and requiring that external funding to be publicly reported in </w:t>
      </w:r>
      <w:r w:rsidR="009476CA">
        <w:lastRenderedPageBreak/>
        <w:t>the</w:t>
      </w:r>
      <w:r w:rsidR="00AF2CFA">
        <w:t xml:space="preserve"> </w:t>
      </w:r>
      <w:r w:rsidR="006D5C55">
        <w:t>S</w:t>
      </w:r>
      <w:r w:rsidR="009476CA">
        <w:t>emi</w:t>
      </w:r>
      <w:r w:rsidR="00C54EC9">
        <w:noBreakHyphen/>
      </w:r>
      <w:r w:rsidR="009476CA">
        <w:t xml:space="preserve">annual </w:t>
      </w:r>
      <w:r w:rsidR="006D5C55">
        <w:t>R</w:t>
      </w:r>
      <w:r w:rsidR="009476CA">
        <w:t>eports and three</w:t>
      </w:r>
      <w:r w:rsidR="00C54EC9">
        <w:noBreakHyphen/>
      </w:r>
      <w:r w:rsidR="009476CA">
        <w:t>year evaluation reports.</w:t>
      </w:r>
      <w:r w:rsidR="009476CA">
        <w:rPr>
          <w:rStyle w:val="FootnoteReference"/>
        </w:rPr>
        <w:footnoteReference w:id="39"/>
      </w:r>
      <w:r w:rsidR="009476CA">
        <w:t xml:space="preserve"> </w:t>
      </w:r>
      <w:r>
        <w:t>Cal Advoc</w:t>
      </w:r>
      <w:r w:rsidR="009476CA">
        <w:t xml:space="preserve">ates states: </w:t>
      </w:r>
      <w:r w:rsidR="008230EB">
        <w:t>“</w:t>
      </w:r>
      <w:r w:rsidR="009476CA">
        <w:t>Without quantifying the amount of necessary gap funding, the Commission cannot fully assess the effectiveness of the DAC</w:t>
      </w:r>
      <w:r w:rsidR="00C54EC9">
        <w:noBreakHyphen/>
      </w:r>
      <w:r w:rsidR="009476CA">
        <w:t>SASH program.</w:t>
      </w:r>
      <w:r w:rsidR="008230EB">
        <w:t>”</w:t>
      </w:r>
      <w:r w:rsidR="009476CA">
        <w:rPr>
          <w:rStyle w:val="FootnoteReference"/>
        </w:rPr>
        <w:footnoteReference w:id="40"/>
      </w:r>
    </w:p>
    <w:p w:rsidRPr="00AF7094" w:rsidR="004A70F0" w:rsidP="00C334FE" w:rsidRDefault="004A70F0" w14:paraId="5EECEAE8" w14:textId="2E803202">
      <w:pPr>
        <w:pStyle w:val="Standard"/>
      </w:pPr>
      <w:r>
        <w:t>The Commission finds that enhanced cost reporting will improve program oversight, increase transparency regarding the use of DAC</w:t>
      </w:r>
      <w:r w:rsidR="00C54EC9">
        <w:noBreakHyphen/>
      </w:r>
      <w:r>
        <w:t>SASH and external funding sources, and support future evaluations of the DAC</w:t>
      </w:r>
      <w:r w:rsidR="00C54EC9">
        <w:noBreakHyphen/>
      </w:r>
      <w:r>
        <w:t>SASH program.</w:t>
      </w:r>
      <w:r w:rsidR="00C334FE">
        <w:t xml:space="preserve"> As a point of context, GRID</w:t>
      </w:r>
      <w:r w:rsidR="00FC0619">
        <w:t>’</w:t>
      </w:r>
      <w:r w:rsidR="00C334FE">
        <w:t xml:space="preserve">s external funding </w:t>
      </w:r>
      <w:r w:rsidRPr="004F7756" w:rsidR="00C334FE">
        <w:t xml:space="preserve">was a </w:t>
      </w:r>
      <w:r w:rsidR="00C334FE">
        <w:t xml:space="preserve">factor </w:t>
      </w:r>
      <w:r w:rsidRPr="004F7756" w:rsidR="00C334FE">
        <w:t xml:space="preserve">in </w:t>
      </w:r>
      <w:r w:rsidR="00C334FE">
        <w:t xml:space="preserve">its selection </w:t>
      </w:r>
      <w:r w:rsidRPr="004F7756" w:rsidR="00C334FE">
        <w:t xml:space="preserve">as </w:t>
      </w:r>
      <w:r w:rsidR="00C334FE">
        <w:t>the DAC</w:t>
      </w:r>
      <w:r w:rsidR="00C54EC9">
        <w:noBreakHyphen/>
      </w:r>
      <w:r w:rsidR="00C334FE">
        <w:t xml:space="preserve">SASH </w:t>
      </w:r>
      <w:r w:rsidRPr="004F7756" w:rsidR="00C334FE">
        <w:t>PA.</w:t>
      </w:r>
      <w:r w:rsidR="00C334FE">
        <w:rPr>
          <w:rStyle w:val="FootnoteReference"/>
        </w:rPr>
        <w:footnoteReference w:id="41"/>
      </w:r>
    </w:p>
    <w:p w:rsidRPr="004F7756" w:rsidR="004F7756" w:rsidP="004F7756" w:rsidRDefault="009476CA" w14:paraId="09C294C8" w14:textId="54E887A0">
      <w:pPr>
        <w:pStyle w:val="Standard"/>
      </w:pPr>
      <w:r>
        <w:t xml:space="preserve">The Commission agrees with </w:t>
      </w:r>
      <w:r w:rsidR="00086432">
        <w:t>Cal Advoc</w:t>
      </w:r>
      <w:r>
        <w:t xml:space="preserve">ates, SCE, SDG&amp;E, and PG&amp;E that </w:t>
      </w:r>
      <w:r w:rsidRPr="1DCCBDC7">
        <w:t xml:space="preserve">GRID should be required to report on </w:t>
      </w:r>
      <w:r>
        <w:t xml:space="preserve">the total amount of </w:t>
      </w:r>
      <w:r w:rsidRPr="1DCCBDC7">
        <w:t>external funds used to support the DAC</w:t>
      </w:r>
      <w:r w:rsidR="00C54EC9">
        <w:noBreakHyphen/>
      </w:r>
      <w:r w:rsidRPr="1DCCBDC7">
        <w:t>SASH program at the project level</w:t>
      </w:r>
      <w:r w:rsidR="00C57072">
        <w:t>,</w:t>
      </w:r>
      <w:r w:rsidRPr="1DCCBDC7">
        <w:t xml:space="preserve"> covering administration, </w:t>
      </w:r>
      <w:r w:rsidRPr="00AF2CFA">
        <w:t>installation, job training, and/or other costs going forward. GRID should report on such costs in the DAC</w:t>
      </w:r>
      <w:r w:rsidR="00C54EC9">
        <w:noBreakHyphen/>
      </w:r>
      <w:r w:rsidRPr="00AF2CFA">
        <w:t xml:space="preserve">SASH </w:t>
      </w:r>
      <w:r w:rsidR="006D5C55">
        <w:t>S</w:t>
      </w:r>
      <w:r w:rsidRPr="00AF2CFA">
        <w:t>emi</w:t>
      </w:r>
      <w:r w:rsidR="00C54EC9">
        <w:noBreakHyphen/>
      </w:r>
      <w:r w:rsidRPr="00AF2CFA">
        <w:t xml:space="preserve">annual </w:t>
      </w:r>
      <w:r w:rsidR="006D5C55">
        <w:t>R</w:t>
      </w:r>
      <w:r w:rsidRPr="00AF2CFA">
        <w:t xml:space="preserve">eports using the data fields provided in </w:t>
      </w:r>
      <w:r w:rsidR="002E26D7">
        <w:t>Appendix </w:t>
      </w:r>
      <w:r w:rsidRPr="00AF2CFA">
        <w:t>A of this decision.</w:t>
      </w:r>
    </w:p>
    <w:p w:rsidR="00C57072" w:rsidP="009476CA" w:rsidRDefault="00CA109F" w14:paraId="09BCCA7E" w14:textId="2D7AFE51">
      <w:pPr>
        <w:pStyle w:val="Standard"/>
      </w:pPr>
      <w:r w:rsidRPr="00AF2CFA">
        <w:t>Th</w:t>
      </w:r>
      <w:r w:rsidRPr="00AF2CFA" w:rsidR="00B04322">
        <w:t>ese</w:t>
      </w:r>
      <w:r w:rsidR="00B04322">
        <w:t xml:space="preserve"> new fields shall accompany, </w:t>
      </w:r>
      <w:r w:rsidR="00C334FE">
        <w:t xml:space="preserve">and </w:t>
      </w:r>
      <w:r w:rsidR="00B04322">
        <w:t>not</w:t>
      </w:r>
      <w:r w:rsidR="00AF2CFA">
        <w:t xml:space="preserve"> </w:t>
      </w:r>
      <w:r w:rsidR="00FE7DB7">
        <w:t>replace</w:t>
      </w:r>
      <w:r w:rsidR="00B04322">
        <w:t>, the program reporting/data collection requirements established for the program in D.</w:t>
      </w:r>
      <w:r w:rsidRPr="007905BB" w:rsidR="00B04322">
        <w:t>18</w:t>
      </w:r>
      <w:r w:rsidR="00C54EC9">
        <w:noBreakHyphen/>
      </w:r>
      <w:r w:rsidRPr="007905BB" w:rsidR="00B04322">
        <w:t>06</w:t>
      </w:r>
      <w:r w:rsidR="00C54EC9">
        <w:noBreakHyphen/>
      </w:r>
      <w:r w:rsidRPr="007905BB" w:rsidR="00B04322">
        <w:t>027</w:t>
      </w:r>
      <w:r w:rsidR="00B04322">
        <w:t>.</w:t>
      </w:r>
    </w:p>
    <w:p w:rsidR="00024945" w:rsidP="00954166" w:rsidRDefault="004A70F0" w14:paraId="4490ECE0" w14:textId="0E2A5B44">
      <w:pPr>
        <w:pStyle w:val="OP"/>
        <w:numPr>
          <w:ilvl w:val="0"/>
          <w:numId w:val="0"/>
        </w:numPr>
        <w:ind w:firstLine="540"/>
      </w:pPr>
      <w:r>
        <w:t xml:space="preserve">This reporting framework is </w:t>
      </w:r>
      <w:r w:rsidR="005B66B3">
        <w:t xml:space="preserve">primarily </w:t>
      </w:r>
      <w:r>
        <w:t>informed by the recommendations contained in the 2022</w:t>
      </w:r>
      <w:r w:rsidR="00C54EC9">
        <w:noBreakHyphen/>
      </w:r>
      <w:r>
        <w:t>2024 DAC</w:t>
      </w:r>
      <w:r w:rsidR="00C54EC9">
        <w:noBreakHyphen/>
      </w:r>
      <w:r>
        <w:t xml:space="preserve">SASH Program Evaluation prepared by Verdant, which found that existing project cost data are not collected at a sufficiently detailed level to identify cost drivers or distinguish costs funded by </w:t>
      </w:r>
      <w:r>
        <w:lastRenderedPageBreak/>
        <w:t>DAC</w:t>
      </w:r>
      <w:r w:rsidR="00C54EC9">
        <w:noBreakHyphen/>
      </w:r>
      <w:r>
        <w:t>SASH incentives from those funded by external sources.</w:t>
      </w:r>
      <w:r w:rsidRPr="27D766F5">
        <w:rPr>
          <w:rStyle w:val="FootnoteReference"/>
        </w:rPr>
        <w:footnoteReference w:id="42"/>
      </w:r>
      <w:r>
        <w:t xml:space="preserve"> Verdant recommended standardized project</w:t>
      </w:r>
      <w:r w:rsidR="00C54EC9">
        <w:noBreakHyphen/>
      </w:r>
      <w:r>
        <w:t>level cost reporting to improve transparency and support future program evaluations. Accordingly, the Commission adopts Appendix</w:t>
      </w:r>
      <w:r w:rsidR="008B753E">
        <w:t> </w:t>
      </w:r>
      <w:r>
        <w:t>A as the standardized reporting framework for completed DAC</w:t>
      </w:r>
      <w:r w:rsidR="00C54EC9">
        <w:noBreakHyphen/>
      </w:r>
      <w:r>
        <w:t>SASH projects to be included as an Excel attachment to GRID</w:t>
      </w:r>
      <w:r w:rsidR="007107D2">
        <w:t>’</w:t>
      </w:r>
      <w:r>
        <w:t xml:space="preserve">s </w:t>
      </w:r>
      <w:r w:rsidR="00C334FE">
        <w:t>S</w:t>
      </w:r>
      <w:r>
        <w:t>emi</w:t>
      </w:r>
      <w:r w:rsidR="00C54EC9">
        <w:noBreakHyphen/>
      </w:r>
      <w:r>
        <w:t xml:space="preserve">annual </w:t>
      </w:r>
      <w:r w:rsidR="00C334FE">
        <w:t>R</w:t>
      </w:r>
      <w:r>
        <w:t>eports until program closure.</w:t>
      </w:r>
      <w:r w:rsidR="0EE7142E">
        <w:t xml:space="preserve"> </w:t>
      </w:r>
      <w:r w:rsidR="004872A9">
        <w:t>Appendix A</w:t>
      </w:r>
      <w:r w:rsidR="0EE7142E">
        <w:t xml:space="preserve"> is based on the</w:t>
      </w:r>
      <w:r w:rsidR="00962754">
        <w:t xml:space="preserve"> Verdant</w:t>
      </w:r>
      <w:r>
        <w:t xml:space="preserve"> DAC</w:t>
      </w:r>
      <w:r w:rsidR="00C54EC9">
        <w:noBreakHyphen/>
      </w:r>
      <w:r>
        <w:t>SASH 2022</w:t>
      </w:r>
      <w:r w:rsidR="00C54EC9">
        <w:noBreakHyphen/>
      </w:r>
      <w:r>
        <w:t>2024 Evaluation Report</w:t>
      </w:r>
      <w:r w:rsidR="007107D2">
        <w:t>’</w:t>
      </w:r>
      <w:r w:rsidR="37B8610E">
        <w:t>s recommended categories and fields.</w:t>
      </w:r>
      <w:r>
        <w:t xml:space="preserve"> GRID </w:t>
      </w:r>
      <w:r w:rsidR="00322E02">
        <w:t>should</w:t>
      </w:r>
      <w:r>
        <w:t xml:space="preserve"> allocate its costs in </w:t>
      </w:r>
      <w:r w:rsidR="00481483">
        <w:t>Appendix A</w:t>
      </w:r>
      <w:r>
        <w:t xml:space="preserve"> accordingly.</w:t>
      </w:r>
      <w:r w:rsidR="00AF257B">
        <w:t xml:space="preserve"> </w:t>
      </w:r>
      <w:r w:rsidR="005B2640">
        <w:t>GRID</w:t>
      </w:r>
      <w:r w:rsidR="00DD11D6">
        <w:t xml:space="preserve"> </w:t>
      </w:r>
      <w:r w:rsidR="00A73286">
        <w:t>s</w:t>
      </w:r>
      <w:r w:rsidR="00C334FE">
        <w:t>hould</w:t>
      </w:r>
      <w:r w:rsidR="00A73286">
        <w:t xml:space="preserve"> </w:t>
      </w:r>
      <w:r w:rsidR="00760AA3">
        <w:t>only report external funds</w:t>
      </w:r>
      <w:r w:rsidR="0092242C">
        <w:t xml:space="preserve"> </w:t>
      </w:r>
      <w:r w:rsidR="00921AF1">
        <w:t xml:space="preserve">that </w:t>
      </w:r>
      <w:r w:rsidR="002E75CD">
        <w:t xml:space="preserve">relate to </w:t>
      </w:r>
      <w:r w:rsidR="00921AF1">
        <w:t>the three cost categories</w:t>
      </w:r>
      <w:r w:rsidR="002E75CD">
        <w:t xml:space="preserve"> (</w:t>
      </w:r>
      <w:r w:rsidR="007107D2">
        <w:t>“</w:t>
      </w:r>
      <w:r w:rsidR="001E26A1">
        <w:t>Solar Equipment Costs</w:t>
      </w:r>
      <w:r w:rsidR="007107D2">
        <w:t>”</w:t>
      </w:r>
      <w:r w:rsidR="001E26A1">
        <w:t xml:space="preserve">, </w:t>
      </w:r>
      <w:r w:rsidR="007107D2">
        <w:t>“</w:t>
      </w:r>
      <w:r w:rsidR="001E26A1">
        <w:t>Labor Costs</w:t>
      </w:r>
      <w:r w:rsidR="007107D2">
        <w:t>”</w:t>
      </w:r>
      <w:r w:rsidR="001E26A1">
        <w:t xml:space="preserve">, and </w:t>
      </w:r>
      <w:r w:rsidR="007107D2">
        <w:t>“</w:t>
      </w:r>
      <w:r w:rsidR="001E26A1">
        <w:t>Solar Readiness Costs</w:t>
      </w:r>
      <w:r w:rsidR="007107D2">
        <w:t>”</w:t>
      </w:r>
      <w:r w:rsidR="001E26A1">
        <w:t>)</w:t>
      </w:r>
      <w:r w:rsidR="005621FB">
        <w:t xml:space="preserve">. For example, </w:t>
      </w:r>
      <w:r w:rsidR="002E0E70">
        <w:t xml:space="preserve">GRID should </w:t>
      </w:r>
      <w:r w:rsidR="00DD11D6">
        <w:t xml:space="preserve">not include </w:t>
      </w:r>
      <w:r w:rsidR="00AC3015">
        <w:t xml:space="preserve">labor </w:t>
      </w:r>
      <w:r w:rsidR="00DD11D6">
        <w:t>costs</w:t>
      </w:r>
      <w:r w:rsidR="002228B9">
        <w:t xml:space="preserve"> </w:t>
      </w:r>
      <w:r w:rsidR="1EE14836">
        <w:t xml:space="preserve">associated with its fundraising staff that are </w:t>
      </w:r>
      <w:r w:rsidR="15BEB372">
        <w:t>unrelated to the</w:t>
      </w:r>
      <w:r w:rsidR="71AA24A7">
        <w:t xml:space="preserve"> three aforementioned</w:t>
      </w:r>
      <w:r w:rsidR="15BEB372">
        <w:t xml:space="preserve"> </w:t>
      </w:r>
      <w:r w:rsidR="0017144D">
        <w:t>categories. Responding</w:t>
      </w:r>
      <w:r w:rsidR="009476CA">
        <w:t xml:space="preserve"> to GRID</w:t>
      </w:r>
      <w:r w:rsidR="008230EB">
        <w:t>’</w:t>
      </w:r>
      <w:r w:rsidR="009476CA">
        <w:t>s comments that tracking and reporting on outside funds would be a resource</w:t>
      </w:r>
      <w:r w:rsidR="00C54EC9">
        <w:noBreakHyphen/>
      </w:r>
      <w:r w:rsidR="009476CA">
        <w:t>intensive task, the Commission makes available $</w:t>
      </w:r>
      <w:r w:rsidR="00AF2CFA">
        <w:t>50</w:t>
      </w:r>
      <w:r w:rsidR="009476CA">
        <w:t>,000 drawn from accrued interest earned on the IOUs</w:t>
      </w:r>
      <w:r w:rsidR="008230EB">
        <w:t>’</w:t>
      </w:r>
      <w:r w:rsidR="009476CA">
        <w:t xml:space="preserve"> DAC</w:t>
      </w:r>
      <w:r w:rsidR="00C54EC9">
        <w:noBreakHyphen/>
      </w:r>
      <w:r w:rsidR="009476CA">
        <w:t>SASH balancing accounts</w:t>
      </w:r>
      <w:r w:rsidR="00F65B36">
        <w:t xml:space="preserve"> — </w:t>
      </w:r>
      <w:r w:rsidR="009476CA">
        <w:t>with each IOU contributing accrued interest based on their proportion of contributions to the overall DAC</w:t>
      </w:r>
      <w:r w:rsidR="00C54EC9">
        <w:noBreakHyphen/>
      </w:r>
      <w:r w:rsidR="009476CA">
        <w:t>SASH budget</w:t>
      </w:r>
      <w:r w:rsidR="00F65B36">
        <w:t xml:space="preserve"> — </w:t>
      </w:r>
      <w:r w:rsidR="009476CA">
        <w:t xml:space="preserve">to support GRID in </w:t>
      </w:r>
      <w:r w:rsidRPr="1DCCBDC7" w:rsidR="009476CA">
        <w:t xml:space="preserve">developing and administering a system to </w:t>
      </w:r>
      <w:r w:rsidR="009476CA">
        <w:t xml:space="preserve">track </w:t>
      </w:r>
      <w:r w:rsidR="62860A84">
        <w:t>and report on</w:t>
      </w:r>
      <w:r w:rsidR="009476CA">
        <w:t xml:space="preserve"> external spending on the DAC</w:t>
      </w:r>
      <w:r w:rsidR="00C54EC9">
        <w:noBreakHyphen/>
      </w:r>
      <w:r w:rsidR="009476CA">
        <w:t>SASH program</w:t>
      </w:r>
      <w:r w:rsidRPr="1DCCBDC7" w:rsidR="009476CA">
        <w:t>.</w:t>
      </w:r>
    </w:p>
    <w:p w:rsidR="0C378472" w:rsidP="006D5C55" w:rsidRDefault="3A3A2AC7" w14:paraId="554502E9" w14:textId="68BE5BFB">
      <w:pPr>
        <w:pStyle w:val="OP"/>
        <w:numPr>
          <w:ilvl w:val="0"/>
          <w:numId w:val="0"/>
        </w:numPr>
        <w:ind w:firstLine="540"/>
      </w:pPr>
      <w:r>
        <w:t>The Commission expects that the enhanced project</w:t>
      </w:r>
      <w:r w:rsidR="00C54EC9">
        <w:noBreakHyphen/>
      </w:r>
      <w:r>
        <w:t>level reporting capabilities funded by this decision will also support continued improvements to the DAC</w:t>
      </w:r>
      <w:r w:rsidR="00C54EC9">
        <w:noBreakHyphen/>
      </w:r>
      <w:r>
        <w:t>SASH Semi</w:t>
      </w:r>
      <w:r w:rsidR="00C54EC9">
        <w:noBreakHyphen/>
      </w:r>
      <w:r>
        <w:t>annual Reports. As additional project</w:t>
      </w:r>
      <w:r w:rsidR="00C54EC9">
        <w:noBreakHyphen/>
      </w:r>
      <w:r>
        <w:t>level data become available, the P</w:t>
      </w:r>
      <w:r w:rsidR="006D5C55">
        <w:t>A should</w:t>
      </w:r>
      <w:r>
        <w:t xml:space="preserve"> work collaboratively with </w:t>
      </w:r>
      <w:r w:rsidR="5D0A0CFF">
        <w:t>Commission</w:t>
      </w:r>
      <w:r>
        <w:t xml:space="preserve"> staff to update existing program</w:t>
      </w:r>
      <w:r w:rsidR="00C54EC9">
        <w:noBreakHyphen/>
      </w:r>
      <w:r>
        <w:t>level summary tables and incorporate additional summary reporting that improves program transparency, oversight, and evaluation.</w:t>
      </w:r>
    </w:p>
    <w:p w:rsidR="00AA3C7D" w:rsidP="00AA3C7D" w:rsidRDefault="00E7075C" w14:paraId="28603784" w14:textId="352F8CFF">
      <w:pPr>
        <w:pStyle w:val="CoL"/>
      </w:pPr>
      <w:r w:rsidRPr="0636AC8B">
        <w:rPr>
          <w:rFonts w:eastAsia="Cambria" w:cs="Cambria"/>
        </w:rPr>
        <w:lastRenderedPageBreak/>
        <w:t>W</w:t>
      </w:r>
      <w:r w:rsidRPr="755E6C24">
        <w:t xml:space="preserve">ithin </w:t>
      </w:r>
      <w:r w:rsidR="00473C2F">
        <w:t>90</w:t>
      </w:r>
      <w:r w:rsidRPr="755E6C24">
        <w:t xml:space="preserve"> days of </w:t>
      </w:r>
      <w:r>
        <w:t xml:space="preserve">the </w:t>
      </w:r>
      <w:r w:rsidRPr="755E6C24">
        <w:t>issuance of th</w:t>
      </w:r>
      <w:r>
        <w:t>is</w:t>
      </w:r>
      <w:r w:rsidRPr="755E6C24">
        <w:t xml:space="preserve"> </w:t>
      </w:r>
      <w:r>
        <w:t>d</w:t>
      </w:r>
      <w:r w:rsidRPr="755E6C24">
        <w:t>ecision</w:t>
      </w:r>
      <w:r>
        <w:t>, the PA must submit</w:t>
      </w:r>
      <w:r w:rsidRPr="755E6C24">
        <w:t xml:space="preserve"> a </w:t>
      </w:r>
      <w:r w:rsidR="001C3D54">
        <w:t>Tier </w:t>
      </w:r>
      <w:r w:rsidRPr="755E6C24">
        <w:t xml:space="preserve">2 advice letter </w:t>
      </w:r>
      <w:r w:rsidR="006212FB">
        <w:t xml:space="preserve">with a section that </w:t>
      </w:r>
      <w:r w:rsidRPr="755E6C24">
        <w:t>document</w:t>
      </w:r>
      <w:r w:rsidR="006212FB">
        <w:t>s</w:t>
      </w:r>
      <w:r w:rsidRPr="755E6C24">
        <w:t xml:space="preserve"> </w:t>
      </w:r>
      <w:r w:rsidR="008618D4">
        <w:t>a stand</w:t>
      </w:r>
      <w:r w:rsidR="00C54EC9">
        <w:noBreakHyphen/>
      </w:r>
      <w:r w:rsidR="008618D4">
        <w:t>alone,</w:t>
      </w:r>
      <w:r w:rsidR="009732AF">
        <w:t xml:space="preserve"> comprehensive</w:t>
      </w:r>
      <w:r w:rsidRPr="755E6C24">
        <w:t xml:space="preserve"> plan</w:t>
      </w:r>
      <w:r>
        <w:t xml:space="preserve"> for implementing </w:t>
      </w:r>
      <w:r w:rsidR="009720B9">
        <w:t xml:space="preserve">the </w:t>
      </w:r>
      <w:r w:rsidR="0094144C">
        <w:t xml:space="preserve">new financial tracking and </w:t>
      </w:r>
      <w:r>
        <w:t>reporting</w:t>
      </w:r>
      <w:r w:rsidR="36EC6B44">
        <w:t xml:space="preserve"> requirements</w:t>
      </w:r>
      <w:r w:rsidR="2462BD01">
        <w:t xml:space="preserve"> </w:t>
      </w:r>
      <w:r w:rsidR="3F677282">
        <w:t xml:space="preserve">captured in </w:t>
      </w:r>
      <w:r w:rsidR="002E26D7">
        <w:t>Appendix </w:t>
      </w:r>
      <w:r w:rsidR="3F677282">
        <w:t>A</w:t>
      </w:r>
      <w:r w:rsidR="008618D4">
        <w:t xml:space="preserve"> and outlined in this </w:t>
      </w:r>
      <w:r w:rsidR="006D5C55">
        <w:t>d</w:t>
      </w:r>
      <w:r w:rsidR="008618D4">
        <w:t>ecision</w:t>
      </w:r>
      <w:r w:rsidR="0094144C">
        <w:t xml:space="preserve">. </w:t>
      </w:r>
      <w:r w:rsidR="151AE906">
        <w:t>Prior to filing</w:t>
      </w:r>
      <w:r w:rsidR="46F05DFB">
        <w:t xml:space="preserve"> the advice letter</w:t>
      </w:r>
      <w:r w:rsidR="151AE906">
        <w:t>,</w:t>
      </w:r>
      <w:r w:rsidR="00CE1B97">
        <w:t xml:space="preserve"> the PA</w:t>
      </w:r>
      <w:r w:rsidR="00254E3D">
        <w:t xml:space="preserve"> </w:t>
      </w:r>
      <w:r w:rsidR="0094144C">
        <w:t>should</w:t>
      </w:r>
      <w:r w:rsidR="00CE1B97">
        <w:t xml:space="preserve"> consult with Commission staff and ensure the</w:t>
      </w:r>
      <w:r w:rsidR="0094144C">
        <w:t xml:space="preserve"> incl</w:t>
      </w:r>
      <w:r w:rsidR="00CE1B97">
        <w:t>usion of</w:t>
      </w:r>
      <w:r w:rsidR="0094144C">
        <w:t xml:space="preserve"> </w:t>
      </w:r>
      <w:r w:rsidRPr="755E6C24">
        <w:t>a budget and timeline</w:t>
      </w:r>
      <w:r w:rsidR="5B814525">
        <w:t xml:space="preserve"> that also includes</w:t>
      </w:r>
      <w:r w:rsidR="3B6EE681">
        <w:t xml:space="preserve"> detailed</w:t>
      </w:r>
      <w:r w:rsidR="5B814525">
        <w:t xml:space="preserve"> staff timekeeping</w:t>
      </w:r>
      <w:r w:rsidR="253C4BBA">
        <w:t xml:space="preserve"> and billing</w:t>
      </w:r>
      <w:r w:rsidR="00B94830">
        <w:t xml:space="preserve"> modifications.</w:t>
      </w:r>
      <w:r w:rsidR="008618D4">
        <w:t xml:space="preserve"> Wit</w:t>
      </w:r>
      <w:r w:rsidR="006D5C55">
        <w:t>hin the</w:t>
      </w:r>
      <w:r w:rsidR="008618D4">
        <w:t xml:space="preserve"> </w:t>
      </w:r>
      <w:r w:rsidR="001C3D54">
        <w:t>Tier </w:t>
      </w:r>
      <w:r w:rsidR="0637C25E">
        <w:t>2 advice letter</w:t>
      </w:r>
      <w:r w:rsidR="4AA38F4B">
        <w:t xml:space="preserve"> </w:t>
      </w:r>
      <w:r w:rsidR="00152C9D">
        <w:t>filing, the DAC</w:t>
      </w:r>
      <w:r w:rsidR="00C54EC9">
        <w:noBreakHyphen/>
      </w:r>
      <w:r w:rsidR="00152C9D">
        <w:t xml:space="preserve">SASH PA must also </w:t>
      </w:r>
      <w:r w:rsidR="4AA38F4B">
        <w:t>provid</w:t>
      </w:r>
      <w:r w:rsidR="00152C9D">
        <w:t>e</w:t>
      </w:r>
      <w:r w:rsidR="1E292830">
        <w:t xml:space="preserve"> </w:t>
      </w:r>
      <w:r w:rsidR="00152C9D">
        <w:t xml:space="preserve">an </w:t>
      </w:r>
      <w:r w:rsidR="1E292830">
        <w:t>update</w:t>
      </w:r>
      <w:r w:rsidR="00152C9D">
        <w:t>d</w:t>
      </w:r>
      <w:r w:rsidR="1E292830">
        <w:t xml:space="preserve"> DAC</w:t>
      </w:r>
      <w:r w:rsidR="00C54EC9">
        <w:noBreakHyphen/>
      </w:r>
      <w:r w:rsidR="1E292830">
        <w:t xml:space="preserve">SASH </w:t>
      </w:r>
      <w:r w:rsidR="350F883A">
        <w:t>P</w:t>
      </w:r>
      <w:r w:rsidR="003F3ADA">
        <w:t>IP</w:t>
      </w:r>
      <w:r w:rsidR="350F883A">
        <w:t xml:space="preserve"> that</w:t>
      </w:r>
      <w:r w:rsidR="4EC8F796">
        <w:t xml:space="preserve"> </w:t>
      </w:r>
      <w:r w:rsidR="00152C9D">
        <w:t xml:space="preserve">similarly </w:t>
      </w:r>
      <w:r w:rsidR="0EC37227">
        <w:t>capture</w:t>
      </w:r>
      <w:r w:rsidR="00152C9D">
        <w:t>s</w:t>
      </w:r>
      <w:r w:rsidR="0EC37227">
        <w:t xml:space="preserve"> </w:t>
      </w:r>
      <w:r w:rsidR="4EC8F796">
        <w:t>the new reporting</w:t>
      </w:r>
      <w:r w:rsidR="2277C436">
        <w:t xml:space="preserve"> and </w:t>
      </w:r>
      <w:r w:rsidR="1AAEFB6D">
        <w:t>data collection</w:t>
      </w:r>
      <w:r w:rsidR="4EC8F796">
        <w:t xml:space="preserve"> changes detailed in </w:t>
      </w:r>
      <w:r w:rsidR="002E26D7">
        <w:t>Appendix </w:t>
      </w:r>
      <w:r w:rsidR="5E852DE1">
        <w:t>A</w:t>
      </w:r>
      <w:r w:rsidR="00152C9D">
        <w:t xml:space="preserve"> and the other programmatic changes directed out of this </w:t>
      </w:r>
      <w:r w:rsidR="003F3ADA">
        <w:t>d</w:t>
      </w:r>
      <w:r w:rsidR="00152C9D">
        <w:t>ecision</w:t>
      </w:r>
      <w:r w:rsidR="7D62CDA9">
        <w:t>.</w:t>
      </w:r>
      <w:r w:rsidR="003466EE">
        <w:t xml:space="preserve"> </w:t>
      </w:r>
      <w:r w:rsidR="00AA3C7D">
        <w:t>The PA should then implement the tracking, accounting, and reporting of all external funds used to support DAC- SASH program activities at the project level within six months from this decision’s effective date. At the six</w:t>
      </w:r>
      <w:r w:rsidR="00AA3C7D">
        <w:noBreakHyphen/>
        <w:t>month point after the issuance of this decision, GRID should submit a Tier 2 advice letter detailing exactly how the funds allocated by this decision for this financial tracking were used in support of these directives.</w:t>
      </w:r>
    </w:p>
    <w:p w:rsidR="003466EE" w:rsidP="003466EE" w:rsidRDefault="003466EE" w14:paraId="4E56DB4C" w14:textId="0E3E7AA1">
      <w:pPr>
        <w:pStyle w:val="OP"/>
        <w:numPr>
          <w:ilvl w:val="0"/>
          <w:numId w:val="0"/>
        </w:numPr>
        <w:ind w:firstLine="540"/>
      </w:pPr>
      <w:r>
        <w:t>A</w:t>
      </w:r>
      <w:r w:rsidRPr="003466EE">
        <w:t xml:space="preserve">s the reporting requirements are implemented, additional or modified fields may be appropriate to ensure that Appendix A continues to capture relevant DAC-SASH project costs and funding information. Accordingly, </w:t>
      </w:r>
      <w:r>
        <w:t>the Commission</w:t>
      </w:r>
      <w:r w:rsidRPr="003466EE">
        <w:t xml:space="preserve"> authorize</w:t>
      </w:r>
      <w:r>
        <w:t>s</w:t>
      </w:r>
      <w:r w:rsidRPr="003466EE">
        <w:t xml:space="preserve"> Energy Division to modify, add, or remove reporting fields in Appendix A through a Letter from the Deputy Executive Director and/or their designee and noticed to the service list</w:t>
      </w:r>
      <w:r w:rsidR="00E122F0">
        <w:t xml:space="preserve"> of this proceeding</w:t>
      </w:r>
      <w:r w:rsidRPr="003466EE">
        <w:t>.</w:t>
      </w:r>
    </w:p>
    <w:p w:rsidR="00E6287E" w:rsidP="00E7075C" w:rsidRDefault="00586553" w14:paraId="69D325CB" w14:textId="5CAE702D">
      <w:pPr>
        <w:pStyle w:val="OP"/>
        <w:numPr>
          <w:ilvl w:val="0"/>
          <w:numId w:val="0"/>
        </w:numPr>
        <w:ind w:firstLine="540"/>
      </w:pPr>
      <w:r>
        <w:t>Upon approval of the PA</w:t>
      </w:r>
      <w:r w:rsidR="008230EB">
        <w:t>’</w:t>
      </w:r>
      <w:r>
        <w:t>s</w:t>
      </w:r>
      <w:r w:rsidR="00234A8C">
        <w:t xml:space="preserve"> </w:t>
      </w:r>
      <w:r w:rsidR="001C3D54">
        <w:t>Tier </w:t>
      </w:r>
      <w:r w:rsidRPr="755E6C24" w:rsidR="000063CC">
        <w:t xml:space="preserve">2 </w:t>
      </w:r>
      <w:r w:rsidR="000063CC">
        <w:t>a</w:t>
      </w:r>
      <w:r w:rsidR="00234A8C">
        <w:t xml:space="preserve">dvice </w:t>
      </w:r>
      <w:r w:rsidR="000063CC">
        <w:t>l</w:t>
      </w:r>
      <w:r w:rsidR="00234A8C">
        <w:t>etter</w:t>
      </w:r>
      <w:r>
        <w:t>,</w:t>
      </w:r>
      <w:r w:rsidR="00234A8C">
        <w:t xml:space="preserve"> </w:t>
      </w:r>
      <w:r w:rsidR="00E7075C">
        <w:t>SCE</w:t>
      </w:r>
      <w:r w:rsidR="00F65B36">
        <w:t xml:space="preserve"> — </w:t>
      </w:r>
      <w:r w:rsidR="00A52C25">
        <w:t>the DAC</w:t>
      </w:r>
      <w:r w:rsidR="00C54EC9">
        <w:noBreakHyphen/>
      </w:r>
      <w:r w:rsidR="00A52C25">
        <w:t>SASH administration contract holder</w:t>
      </w:r>
      <w:r w:rsidR="00F65B36">
        <w:t xml:space="preserve"> — </w:t>
      </w:r>
      <w:r w:rsidR="005539B3">
        <w:t xml:space="preserve">should </w:t>
      </w:r>
      <w:r>
        <w:t xml:space="preserve">facilitate </w:t>
      </w:r>
      <w:r w:rsidR="0092787F">
        <w:t>any change orders</w:t>
      </w:r>
      <w:r w:rsidR="00CA62AE">
        <w:t xml:space="preserve"> </w:t>
      </w:r>
      <w:r w:rsidR="0092787F">
        <w:t>or necessary</w:t>
      </w:r>
      <w:r>
        <w:t xml:space="preserve"> </w:t>
      </w:r>
      <w:r w:rsidR="003C7798">
        <w:t>DAC</w:t>
      </w:r>
      <w:r w:rsidR="00C54EC9">
        <w:noBreakHyphen/>
      </w:r>
      <w:r w:rsidR="003C7798">
        <w:t xml:space="preserve">SASH </w:t>
      </w:r>
      <w:r>
        <w:t>contract</w:t>
      </w:r>
      <w:r w:rsidR="00577192">
        <w:t xml:space="preserve"> amendments</w:t>
      </w:r>
      <w:r>
        <w:t xml:space="preserve"> or co</w:t>
      </w:r>
      <w:r w:rsidR="00C54EC9">
        <w:noBreakHyphen/>
      </w:r>
      <w:r>
        <w:t>funding agreement</w:t>
      </w:r>
      <w:r w:rsidR="00514801">
        <w:t xml:space="preserve"> </w:t>
      </w:r>
      <w:r w:rsidR="0092787F">
        <w:t xml:space="preserve">modifications </w:t>
      </w:r>
      <w:r w:rsidR="00577192">
        <w:t>to enable the addition of the</w:t>
      </w:r>
      <w:r w:rsidR="0092787F">
        <w:t>se</w:t>
      </w:r>
      <w:r w:rsidR="00113287">
        <w:t xml:space="preserve"> approved incremental funds</w:t>
      </w:r>
      <w:r w:rsidR="00AB567B">
        <w:t xml:space="preserve"> for </w:t>
      </w:r>
      <w:r w:rsidR="0092787F">
        <w:t xml:space="preserve">the </w:t>
      </w:r>
      <w:r w:rsidR="0092787F">
        <w:lastRenderedPageBreak/>
        <w:t>PA</w:t>
      </w:r>
      <w:r w:rsidR="008230EB">
        <w:t>’</w:t>
      </w:r>
      <w:r w:rsidR="0092787F">
        <w:t xml:space="preserve">s </w:t>
      </w:r>
      <w:r w:rsidR="00AB567B">
        <w:t xml:space="preserve">new </w:t>
      </w:r>
      <w:r w:rsidR="001C4B71">
        <w:t>reporting and cost tracking efforts</w:t>
      </w:r>
      <w:r w:rsidR="00113287">
        <w:t xml:space="preserve">. </w:t>
      </w:r>
      <w:r w:rsidR="001C4B71">
        <w:t xml:space="preserve">SCE must file a </w:t>
      </w:r>
      <w:r w:rsidR="001C3D54">
        <w:t>Tier </w:t>
      </w:r>
      <w:r w:rsidR="001C4B71">
        <w:t xml:space="preserve">1 advice letter within </w:t>
      </w:r>
      <w:r w:rsidR="005507F7">
        <w:t>45</w:t>
      </w:r>
      <w:r w:rsidR="001C4B71">
        <w:t xml:space="preserve"> days of the approval of the PA</w:t>
      </w:r>
      <w:r w:rsidR="008230EB">
        <w:t>’</w:t>
      </w:r>
      <w:r w:rsidR="001C4B71">
        <w:t xml:space="preserve">s </w:t>
      </w:r>
      <w:r w:rsidR="001C3D54">
        <w:t>Tier </w:t>
      </w:r>
      <w:r w:rsidRPr="755E6C24" w:rsidR="001C4B71">
        <w:t xml:space="preserve">2 </w:t>
      </w:r>
      <w:r w:rsidR="001C4B71">
        <w:t>advice letter to</w:t>
      </w:r>
      <w:r w:rsidR="001748F8">
        <w:t xml:space="preserve"> document </w:t>
      </w:r>
      <w:r w:rsidR="7BA31C6E">
        <w:t xml:space="preserve">the </w:t>
      </w:r>
      <w:r w:rsidR="001C4B71">
        <w:t xml:space="preserve">confirmation and </w:t>
      </w:r>
      <w:r w:rsidR="00285210">
        <w:t xml:space="preserve">completion of any </w:t>
      </w:r>
      <w:r w:rsidR="001C4B71">
        <w:t xml:space="preserve">necessary </w:t>
      </w:r>
      <w:r w:rsidR="00285210">
        <w:t>contractual or co</w:t>
      </w:r>
      <w:r w:rsidR="00C54EC9">
        <w:noBreakHyphen/>
      </w:r>
      <w:r w:rsidR="00285210">
        <w:t>funding modifications</w:t>
      </w:r>
      <w:r w:rsidR="00C97175">
        <w:t>.</w:t>
      </w:r>
      <w:r w:rsidR="00514801">
        <w:t xml:space="preserve"> SCE is only authorized to make contractual changes </w:t>
      </w:r>
      <w:r w:rsidR="00825286">
        <w:t>pursuant to the DAC</w:t>
      </w:r>
      <w:r w:rsidR="00C54EC9">
        <w:noBreakHyphen/>
      </w:r>
      <w:r w:rsidR="00825286">
        <w:t xml:space="preserve">SASH program implementation </w:t>
      </w:r>
      <w:r w:rsidR="000F09E0">
        <w:t>updates</w:t>
      </w:r>
      <w:r w:rsidR="00825286">
        <w:t xml:space="preserve"> directed in this </w:t>
      </w:r>
      <w:r w:rsidR="0065695F">
        <w:t>d</w:t>
      </w:r>
      <w:r w:rsidR="00825286">
        <w:t>ecision.</w:t>
      </w:r>
    </w:p>
    <w:p w:rsidR="00024945" w:rsidP="00E7075C" w:rsidRDefault="7446B0D7" w14:paraId="46E1DA44" w14:textId="327B9AFE">
      <w:pPr>
        <w:pStyle w:val="OP"/>
        <w:numPr>
          <w:ilvl w:val="0"/>
          <w:numId w:val="0"/>
        </w:numPr>
        <w:ind w:firstLine="540"/>
        <w:rPr>
          <w:rFonts w:eastAsia="Cambria" w:cs="Cambria"/>
        </w:rPr>
      </w:pPr>
      <w:r>
        <w:t>As a means to</w:t>
      </w:r>
      <w:r w:rsidR="00E6287E">
        <w:t xml:space="preserve"> document </w:t>
      </w:r>
      <w:r w:rsidR="005664D1">
        <w:t>the</w:t>
      </w:r>
      <w:r w:rsidR="00B82F74">
        <w:t xml:space="preserve"> tracking and metrics collection</w:t>
      </w:r>
      <w:r w:rsidR="00BF09A2">
        <w:t xml:space="preserve"> ordered herein</w:t>
      </w:r>
      <w:r w:rsidR="00B82F74">
        <w:t xml:space="preserve">, the PA </w:t>
      </w:r>
      <w:r w:rsidRPr="0636AC8B" w:rsidR="00E6287E">
        <w:rPr>
          <w:rFonts w:eastAsia="Cambria" w:cs="Cambria"/>
        </w:rPr>
        <w:t xml:space="preserve">shall </w:t>
      </w:r>
      <w:r w:rsidRPr="0636AC8B" w:rsidR="1B65CFFB">
        <w:rPr>
          <w:rFonts w:eastAsia="Cambria" w:cs="Cambria"/>
        </w:rPr>
        <w:t>include the aforementioned reporting modifications</w:t>
      </w:r>
      <w:r w:rsidRPr="0636AC8B" w:rsidR="00E6287E">
        <w:rPr>
          <w:rFonts w:eastAsia="Cambria" w:cs="Cambria"/>
        </w:rPr>
        <w:t xml:space="preserve"> in its Q</w:t>
      </w:r>
      <w:r w:rsidR="0042147D">
        <w:rPr>
          <w:rFonts w:eastAsia="Cambria" w:cs="Cambria"/>
        </w:rPr>
        <w:t>uarter</w:t>
      </w:r>
      <w:r w:rsidR="00812130">
        <w:t> </w:t>
      </w:r>
      <w:r w:rsidRPr="0636AC8B" w:rsidR="00A81928">
        <w:rPr>
          <w:rFonts w:eastAsia="Cambria" w:cs="Cambria"/>
        </w:rPr>
        <w:t>1</w:t>
      </w:r>
      <w:r w:rsidR="00C54EC9">
        <w:rPr>
          <w:rFonts w:eastAsia="Cambria" w:cs="Cambria"/>
        </w:rPr>
        <w:noBreakHyphen/>
      </w:r>
      <w:r w:rsidR="00304F21">
        <w:rPr>
          <w:rFonts w:eastAsia="Cambria" w:cs="Cambria"/>
        </w:rPr>
        <w:t>Q</w:t>
      </w:r>
      <w:r w:rsidR="0042147D">
        <w:rPr>
          <w:rFonts w:eastAsia="Cambria" w:cs="Cambria"/>
        </w:rPr>
        <w:t>uarter</w:t>
      </w:r>
      <w:r w:rsidR="00812130">
        <w:rPr>
          <w:rFonts w:eastAsia="Cambria" w:cs="Cambria"/>
        </w:rPr>
        <w:t> </w:t>
      </w:r>
      <w:r w:rsidR="00304F21">
        <w:rPr>
          <w:rFonts w:eastAsia="Cambria" w:cs="Cambria"/>
        </w:rPr>
        <w:t>2</w:t>
      </w:r>
      <w:r w:rsidRPr="0636AC8B" w:rsidR="00E6287E">
        <w:rPr>
          <w:rFonts w:eastAsia="Cambria" w:cs="Cambria"/>
        </w:rPr>
        <w:t xml:space="preserve"> 2027 Semi</w:t>
      </w:r>
      <w:r w:rsidR="00C54EC9">
        <w:rPr>
          <w:rFonts w:eastAsia="Cambria" w:cs="Cambria"/>
        </w:rPr>
        <w:noBreakHyphen/>
      </w:r>
      <w:r w:rsidRPr="0636AC8B" w:rsidR="00E6287E">
        <w:rPr>
          <w:rFonts w:eastAsia="Cambria" w:cs="Cambria"/>
        </w:rPr>
        <w:t>annual Report</w:t>
      </w:r>
      <w:r w:rsidRPr="0636AC8B" w:rsidR="00A81928">
        <w:rPr>
          <w:rFonts w:eastAsia="Cambria" w:cs="Cambria"/>
        </w:rPr>
        <w:t xml:space="preserve">, </w:t>
      </w:r>
      <w:r w:rsidRPr="0636AC8B" w:rsidR="005507F7">
        <w:rPr>
          <w:rFonts w:eastAsia="Cambria" w:cs="Cambria"/>
        </w:rPr>
        <w:t>which is</w:t>
      </w:r>
      <w:r w:rsidR="004D1FC9">
        <w:rPr>
          <w:rFonts w:eastAsia="Cambria" w:cs="Cambria"/>
        </w:rPr>
        <w:t xml:space="preserve"> expected to be</w:t>
      </w:r>
      <w:r w:rsidRPr="0636AC8B" w:rsidR="005507F7">
        <w:rPr>
          <w:rFonts w:eastAsia="Cambria" w:cs="Cambria"/>
        </w:rPr>
        <w:t xml:space="preserve"> s</w:t>
      </w:r>
      <w:r w:rsidRPr="0636AC8B" w:rsidR="5FD6E873">
        <w:rPr>
          <w:rFonts w:eastAsia="Cambria" w:cs="Cambria"/>
        </w:rPr>
        <w:t xml:space="preserve">ubmitted to Commission staff </w:t>
      </w:r>
      <w:r w:rsidRPr="6EA66D8D" w:rsidR="32A5AFFC">
        <w:rPr>
          <w:rFonts w:eastAsia="Cambria" w:cs="Cambria"/>
        </w:rPr>
        <w:t>within</w:t>
      </w:r>
      <w:r w:rsidRPr="0636AC8B" w:rsidR="005507F7">
        <w:rPr>
          <w:rFonts w:eastAsia="Cambria" w:cs="Cambria"/>
        </w:rPr>
        <w:t xml:space="preserve"> the </w:t>
      </w:r>
      <w:r w:rsidR="00CD18EB">
        <w:rPr>
          <w:rFonts w:eastAsia="Cambria" w:cs="Cambria"/>
        </w:rPr>
        <w:t xml:space="preserve">second </w:t>
      </w:r>
      <w:r w:rsidRPr="6EA66D8D" w:rsidR="005507F7">
        <w:rPr>
          <w:rFonts w:eastAsia="Cambria" w:cs="Cambria"/>
        </w:rPr>
        <w:t>quarter of the year</w:t>
      </w:r>
      <w:r w:rsidRPr="6EA66D8D" w:rsidR="00E6287E">
        <w:rPr>
          <w:rFonts w:eastAsia="Cambria" w:cs="Cambria"/>
        </w:rPr>
        <w:t>.</w:t>
      </w:r>
    </w:p>
    <w:p w:rsidR="00B65092" w:rsidP="0065695F" w:rsidRDefault="00B65092" w14:paraId="7A848911" w14:textId="06DC2771">
      <w:pPr>
        <w:pStyle w:val="Heading1"/>
      </w:pPr>
      <w:bookmarkStart w:name="_Toc236292538" w:id="23"/>
      <w:bookmarkStart w:name="_Toc242090705" w:id="24"/>
      <w:r>
        <w:t>Enrollment in Complementary Programs</w:t>
      </w:r>
      <w:bookmarkEnd w:id="23"/>
      <w:bookmarkEnd w:id="24"/>
    </w:p>
    <w:p w:rsidR="00024945" w:rsidP="00B65092" w:rsidRDefault="00B65092" w14:paraId="6756E848" w14:textId="033B59E8">
      <w:pPr>
        <w:pStyle w:val="Standard"/>
      </w:pPr>
      <w:r w:rsidRPr="00B65092">
        <w:t xml:space="preserve">The </w:t>
      </w:r>
      <w:r>
        <w:t>DAC</w:t>
      </w:r>
      <w:r w:rsidR="00C54EC9">
        <w:noBreakHyphen/>
      </w:r>
      <w:r>
        <w:t>SASH 2022</w:t>
      </w:r>
      <w:r w:rsidR="00C54EC9">
        <w:noBreakHyphen/>
      </w:r>
      <w:r>
        <w:t xml:space="preserve">2024 Evaluation Report </w:t>
      </w:r>
      <w:r w:rsidRPr="00B65092">
        <w:t>found low DAC</w:t>
      </w:r>
      <w:r w:rsidR="00C54EC9">
        <w:noBreakHyphen/>
      </w:r>
      <w:r w:rsidRPr="00B65092">
        <w:t>SASH participant enrollment in other</w:t>
      </w:r>
      <w:r w:rsidR="00005520">
        <w:t xml:space="preserve"> low</w:t>
      </w:r>
      <w:r w:rsidR="00C54EC9">
        <w:noBreakHyphen/>
      </w:r>
      <w:r w:rsidR="00005520">
        <w:t>income subsidy</w:t>
      </w:r>
      <w:r w:rsidRPr="00B65092">
        <w:t xml:space="preserve"> programs for which participants </w:t>
      </w:r>
      <w:r w:rsidR="008240BC">
        <w:t xml:space="preserve">may be </w:t>
      </w:r>
      <w:r w:rsidRPr="00B65092">
        <w:t xml:space="preserve"> eligible, including </w:t>
      </w:r>
      <w:r w:rsidR="00EC081E">
        <w:t>ESA</w:t>
      </w:r>
      <w:r w:rsidRPr="00B65092">
        <w:t xml:space="preserve">, </w:t>
      </w:r>
      <w:r w:rsidR="00ED1EC3">
        <w:t xml:space="preserve">FERA, </w:t>
      </w:r>
      <w:r w:rsidRPr="00B65092">
        <w:t xml:space="preserve">and </w:t>
      </w:r>
      <w:r w:rsidR="0081758A">
        <w:t xml:space="preserve">the </w:t>
      </w:r>
      <w:r w:rsidRPr="00B65092">
        <w:t xml:space="preserve">Medical Baseline </w:t>
      </w:r>
      <w:r w:rsidR="0081758A">
        <w:t>P</w:t>
      </w:r>
      <w:r w:rsidR="00AB36B0">
        <w:t>rogram</w:t>
      </w:r>
      <w:r w:rsidRPr="00B65092">
        <w:t>.</w:t>
      </w:r>
      <w:r>
        <w:rPr>
          <w:rStyle w:val="FootnoteReference"/>
        </w:rPr>
        <w:footnoteReference w:id="43"/>
      </w:r>
      <w:r w:rsidRPr="00B65092">
        <w:t xml:space="preserve"> </w:t>
      </w:r>
      <w:r>
        <w:t xml:space="preserve">The </w:t>
      </w:r>
      <w:r w:rsidR="008230EB">
        <w:t>January </w:t>
      </w:r>
      <w:r>
        <w:t>26 Ruling noted that finding and asked parties to suggest c</w:t>
      </w:r>
      <w:r w:rsidRPr="00B65092">
        <w:t xml:space="preserve">hanges or additional practices </w:t>
      </w:r>
      <w:r>
        <w:t>that</w:t>
      </w:r>
      <w:r w:rsidRPr="00B65092">
        <w:t xml:space="preserve"> the Commission </w:t>
      </w:r>
      <w:r>
        <w:t xml:space="preserve">should </w:t>
      </w:r>
      <w:r w:rsidRPr="00B65092">
        <w:t>consider to increase DAC</w:t>
      </w:r>
      <w:r w:rsidR="00C54EC9">
        <w:noBreakHyphen/>
      </w:r>
      <w:r w:rsidRPr="00B65092">
        <w:t xml:space="preserve">SASH </w:t>
      </w:r>
      <w:r w:rsidR="003F3ADA">
        <w:t>a</w:t>
      </w:r>
      <w:r w:rsidRPr="00B65092">
        <w:t>pplicant enrollment in these and/or other related programs</w:t>
      </w:r>
      <w:r w:rsidR="00692F8E">
        <w:t>.</w:t>
      </w:r>
      <w:r>
        <w:rPr>
          <w:rStyle w:val="FootnoteReference"/>
        </w:rPr>
        <w:footnoteReference w:id="44"/>
      </w:r>
    </w:p>
    <w:p w:rsidRPr="00B65092" w:rsidR="00B65092" w:rsidP="00B65092" w:rsidRDefault="00B65092" w14:paraId="021E18C9" w14:textId="35C4FB8B">
      <w:pPr>
        <w:pStyle w:val="Standard"/>
      </w:pPr>
      <w:r>
        <w:t>GRID states that the IOUs who are the</w:t>
      </w:r>
      <w:r w:rsidR="003F3ADA">
        <w:t xml:space="preserve"> PA</w:t>
      </w:r>
      <w:r>
        <w:t>s of comp</w:t>
      </w:r>
      <w:r w:rsidR="002941D1">
        <w:t>lementary program</w:t>
      </w:r>
      <w:r w:rsidR="00005520">
        <w:t>s</w:t>
      </w:r>
      <w:r w:rsidR="002941D1">
        <w:t xml:space="preserve"> should be responsible for </w:t>
      </w:r>
      <w:r w:rsidR="00EC5993">
        <w:t>tracking DAC</w:t>
      </w:r>
      <w:r w:rsidR="00C54EC9">
        <w:noBreakHyphen/>
      </w:r>
      <w:r w:rsidR="00EC5993">
        <w:t>SASH participants</w:t>
      </w:r>
      <w:r w:rsidR="008230EB">
        <w:t>’</w:t>
      </w:r>
      <w:r w:rsidR="00EC5993">
        <w:t xml:space="preserve"> participation in </w:t>
      </w:r>
      <w:r w:rsidR="00285E9D">
        <w:t>those</w:t>
      </w:r>
      <w:r w:rsidR="00EC5993">
        <w:t xml:space="preserve"> programs and </w:t>
      </w:r>
      <w:r w:rsidR="002941D1">
        <w:t>enrolling eligible</w:t>
      </w:r>
      <w:r w:rsidR="00005520">
        <w:t xml:space="preserve"> DAC</w:t>
      </w:r>
      <w:r w:rsidR="00C54EC9">
        <w:noBreakHyphen/>
      </w:r>
      <w:r w:rsidR="00005520">
        <w:t>SASH</w:t>
      </w:r>
      <w:r w:rsidR="002941D1">
        <w:t xml:space="preserve"> customers </w:t>
      </w:r>
      <w:r w:rsidR="00285E9D">
        <w:t>who are</w:t>
      </w:r>
      <w:r w:rsidR="00EA3D43">
        <w:t xml:space="preserve"> </w:t>
      </w:r>
      <w:r w:rsidR="00285E9D">
        <w:t>n</w:t>
      </w:r>
      <w:r w:rsidR="00EA3D43">
        <w:t>o</w:t>
      </w:r>
      <w:r w:rsidR="00285E9D">
        <w:t>t already enrolled in those</w:t>
      </w:r>
      <w:r w:rsidR="00005520">
        <w:t xml:space="preserve"> other programs</w:t>
      </w:r>
      <w:r w:rsidR="002941D1">
        <w:t>.</w:t>
      </w:r>
      <w:r w:rsidR="002941D1">
        <w:rPr>
          <w:rStyle w:val="FootnoteReference"/>
        </w:rPr>
        <w:footnoteReference w:id="45"/>
      </w:r>
      <w:r w:rsidR="0074701C">
        <w:t xml:space="preserve"> SCE opposes GRID</w:t>
      </w:r>
      <w:r w:rsidR="008230EB">
        <w:t>’</w:t>
      </w:r>
      <w:r w:rsidR="0074701C">
        <w:t xml:space="preserve">s recommendation that IOUs be </w:t>
      </w:r>
      <w:r w:rsidR="0033021B">
        <w:t>responsible</w:t>
      </w:r>
      <w:r w:rsidR="0074701C">
        <w:t xml:space="preserve"> for tracking DAC</w:t>
      </w:r>
      <w:r w:rsidR="00C54EC9">
        <w:noBreakHyphen/>
      </w:r>
      <w:r w:rsidR="0074701C">
        <w:t>SASH participants</w:t>
      </w:r>
      <w:r w:rsidR="008230EB">
        <w:t>’</w:t>
      </w:r>
      <w:r w:rsidR="0074701C">
        <w:t xml:space="preserve"> participation in complementary programs</w:t>
      </w:r>
      <w:r w:rsidR="00005520">
        <w:t>,</w:t>
      </w:r>
      <w:r w:rsidR="0074701C">
        <w:t xml:space="preserve"> stating that since the IOUs do not receive dedicated DAC</w:t>
      </w:r>
      <w:r w:rsidR="00C54EC9">
        <w:noBreakHyphen/>
      </w:r>
      <w:r w:rsidR="0074701C">
        <w:t>SASH administrative funding</w:t>
      </w:r>
      <w:r w:rsidR="00285E9D">
        <w:t>,</w:t>
      </w:r>
      <w:r w:rsidR="0074701C">
        <w:t xml:space="preserve"> </w:t>
      </w:r>
      <w:r w:rsidR="008230EB">
        <w:t>“</w:t>
      </w:r>
      <w:r w:rsidR="0074701C">
        <w:t xml:space="preserve">[a]ssigning these responsibilities to IOUs </w:t>
      </w:r>
      <w:r w:rsidR="0074701C">
        <w:lastRenderedPageBreak/>
        <w:t xml:space="preserve">under these circumstances would impose unfunded administrative burdens and create a misalignment between </w:t>
      </w:r>
      <w:r w:rsidR="0033021B">
        <w:t>responsibilities</w:t>
      </w:r>
      <w:r w:rsidR="0074701C">
        <w:t xml:space="preserve"> and available resources.</w:t>
      </w:r>
      <w:r w:rsidR="008230EB">
        <w:t>”</w:t>
      </w:r>
      <w:r w:rsidR="0074701C">
        <w:rPr>
          <w:rStyle w:val="FootnoteReference"/>
        </w:rPr>
        <w:footnoteReference w:id="46"/>
      </w:r>
      <w:r w:rsidR="0030040E">
        <w:t xml:space="preserve"> SDG&amp;E state</w:t>
      </w:r>
      <w:r w:rsidR="00005520">
        <w:t>s</w:t>
      </w:r>
      <w:r w:rsidR="0030040E">
        <w:t xml:space="preserve"> that GRID</w:t>
      </w:r>
      <w:r w:rsidR="008230EB">
        <w:t>’</w:t>
      </w:r>
      <w:r w:rsidR="0030040E">
        <w:t xml:space="preserve">s proposal for </w:t>
      </w:r>
      <w:r w:rsidR="00005520">
        <w:t xml:space="preserve">the </w:t>
      </w:r>
      <w:r w:rsidR="0030040E">
        <w:t xml:space="preserve">IOUs would be </w:t>
      </w:r>
      <w:r w:rsidR="008230EB">
        <w:t>“</w:t>
      </w:r>
      <w:r w:rsidR="0030040E">
        <w:t>additional, duplicative, administrative functions to be layered on already existing requirements.</w:t>
      </w:r>
      <w:r w:rsidR="008230EB">
        <w:t>”</w:t>
      </w:r>
      <w:r w:rsidR="0030040E">
        <w:rPr>
          <w:rStyle w:val="FootnoteReference"/>
        </w:rPr>
        <w:footnoteReference w:id="47"/>
      </w:r>
    </w:p>
    <w:p w:rsidR="00B65092" w:rsidP="00B65092" w:rsidRDefault="00B65092" w14:paraId="41712236" w14:textId="5E3E54EF">
      <w:pPr>
        <w:pStyle w:val="Standard"/>
        <w:rPr>
          <w:rFonts w:eastAsia="Cambria" w:cs="Cambria"/>
          <w:color w:val="000000" w:themeColor="text1"/>
        </w:rPr>
      </w:pPr>
      <w:r>
        <w:t>The Commission</w:t>
      </w:r>
      <w:r w:rsidR="0030040E">
        <w:t xml:space="preserve"> agrees that </w:t>
      </w:r>
      <w:r>
        <w:t>strengthen</w:t>
      </w:r>
      <w:r w:rsidR="00005520">
        <w:t>ed</w:t>
      </w:r>
      <w:r>
        <w:t xml:space="preserve"> coordination with complementary energy programs</w:t>
      </w:r>
      <w:r w:rsidR="00005520">
        <w:t xml:space="preserve"> would help DAC</w:t>
      </w:r>
      <w:r w:rsidR="00C54EC9">
        <w:noBreakHyphen/>
      </w:r>
      <w:r w:rsidR="00005520">
        <w:t>SASH participants receive the full range of support</w:t>
      </w:r>
      <w:r w:rsidR="00692F8E">
        <w:t xml:space="preserve"> </w:t>
      </w:r>
      <w:r w:rsidR="00DA0AD9">
        <w:t xml:space="preserve">for which </w:t>
      </w:r>
      <w:r w:rsidR="00692F8E">
        <w:t>they are eligible</w:t>
      </w:r>
      <w:r w:rsidR="0030040E">
        <w:t xml:space="preserve">. The Commission </w:t>
      </w:r>
      <w:r w:rsidR="00005520">
        <w:t xml:space="preserve">also </w:t>
      </w:r>
      <w:r w:rsidR="0030040E">
        <w:t>agrees with the IOUs that</w:t>
      </w:r>
      <w:r w:rsidR="00005520">
        <w:t xml:space="preserve"> given the PA</w:t>
      </w:r>
      <w:r w:rsidR="008230EB">
        <w:t>’</w:t>
      </w:r>
      <w:r w:rsidR="00005520">
        <w:t>s role in overseeing the DAC</w:t>
      </w:r>
      <w:r w:rsidR="00C54EC9">
        <w:noBreakHyphen/>
      </w:r>
      <w:r w:rsidR="00005520">
        <w:t>SASH program,</w:t>
      </w:r>
      <w:r w:rsidR="0030040E">
        <w:t xml:space="preserve"> </w:t>
      </w:r>
      <w:r w:rsidR="00692F8E">
        <w:t>the PA is best positioned</w:t>
      </w:r>
      <w:r w:rsidR="00005520">
        <w:t xml:space="preserve"> </w:t>
      </w:r>
      <w:r>
        <w:t xml:space="preserve">to track referrals </w:t>
      </w:r>
      <w:r w:rsidR="00AA3C7D">
        <w:t xml:space="preserve">and enrollment outcomes </w:t>
      </w:r>
      <w:r>
        <w:t>and to develop strategies to improve</w:t>
      </w:r>
      <w:r w:rsidR="00692F8E">
        <w:t xml:space="preserve"> the</w:t>
      </w:r>
      <w:r>
        <w:t xml:space="preserve"> participation </w:t>
      </w:r>
      <w:r w:rsidR="00692F8E">
        <w:t xml:space="preserve">of </w:t>
      </w:r>
      <w:r w:rsidR="16DBE2DE">
        <w:t xml:space="preserve">eligible </w:t>
      </w:r>
      <w:r w:rsidR="00692F8E">
        <w:t>DAC</w:t>
      </w:r>
      <w:r w:rsidR="00C54EC9">
        <w:noBreakHyphen/>
      </w:r>
      <w:r w:rsidR="00692F8E">
        <w:t xml:space="preserve">SASH recipients </w:t>
      </w:r>
      <w:r>
        <w:t>in related programs such as CARE, ESA,</w:t>
      </w:r>
      <w:r w:rsidR="00ED1EC3">
        <w:t xml:space="preserve"> FERA,</w:t>
      </w:r>
      <w:r>
        <w:t xml:space="preserve"> and Medical Baseline. </w:t>
      </w:r>
      <w:r w:rsidR="0030040E">
        <w:t xml:space="preserve">Accordingly, this decision adopts edits to </w:t>
      </w:r>
      <w:r w:rsidR="00DB4A7F">
        <w:t>Section </w:t>
      </w:r>
      <w:r w:rsidR="0030040E">
        <w:t>2.3 of the DAC</w:t>
      </w:r>
      <w:r w:rsidR="00C54EC9">
        <w:noBreakHyphen/>
      </w:r>
      <w:r w:rsidR="0030040E">
        <w:t xml:space="preserve">SASH </w:t>
      </w:r>
      <w:r w:rsidR="00635944">
        <w:t>Program H</w:t>
      </w:r>
      <w:r w:rsidR="0030040E">
        <w:t xml:space="preserve">andbook stating that </w:t>
      </w:r>
      <w:r w:rsidRPr="27D766F5" w:rsidR="00005520">
        <w:rPr>
          <w:rFonts w:eastAsia="Cambria" w:cs="Cambria"/>
          <w:color w:val="000000" w:themeColor="text1"/>
        </w:rPr>
        <w:t>t</w:t>
      </w:r>
      <w:r w:rsidRPr="27D766F5" w:rsidR="0030040E">
        <w:rPr>
          <w:rFonts w:eastAsia="Cambria" w:cs="Cambria"/>
          <w:color w:val="000000" w:themeColor="text1"/>
        </w:rPr>
        <w:t>he P</w:t>
      </w:r>
      <w:r w:rsidRPr="27D766F5" w:rsidR="00692F8E">
        <w:rPr>
          <w:rFonts w:eastAsia="Cambria" w:cs="Cambria"/>
          <w:color w:val="000000" w:themeColor="text1"/>
        </w:rPr>
        <w:t>A</w:t>
      </w:r>
      <w:r w:rsidRPr="27D766F5" w:rsidR="0030040E">
        <w:rPr>
          <w:rFonts w:eastAsia="Cambria" w:cs="Cambria"/>
          <w:color w:val="000000" w:themeColor="text1"/>
        </w:rPr>
        <w:t xml:space="preserve"> will </w:t>
      </w:r>
      <w:r w:rsidRPr="27D766F5" w:rsidR="003F3ADA">
        <w:rPr>
          <w:rFonts w:eastAsia="Cambria" w:cs="Cambria"/>
          <w:color w:val="000000" w:themeColor="text1"/>
        </w:rPr>
        <w:t>develop</w:t>
      </w:r>
      <w:r w:rsidRPr="27D766F5" w:rsidR="0030040E">
        <w:rPr>
          <w:rFonts w:eastAsia="Cambria" w:cs="Cambria"/>
          <w:color w:val="000000" w:themeColor="text1"/>
        </w:rPr>
        <w:t xml:space="preserve"> responsive strategies to improve enrollment</w:t>
      </w:r>
      <w:r w:rsidRPr="27D766F5" w:rsidR="5151748A">
        <w:rPr>
          <w:rFonts w:eastAsia="Cambria" w:cs="Cambria"/>
          <w:color w:val="000000" w:themeColor="text1"/>
        </w:rPr>
        <w:t>, as needed</w:t>
      </w:r>
      <w:r w:rsidRPr="27D766F5" w:rsidR="0030040E">
        <w:rPr>
          <w:rFonts w:eastAsia="Cambria" w:cs="Cambria"/>
          <w:color w:val="000000" w:themeColor="text1"/>
        </w:rPr>
        <w:t xml:space="preserve">. The </w:t>
      </w:r>
      <w:r w:rsidRPr="27D766F5" w:rsidR="00692F8E">
        <w:rPr>
          <w:rFonts w:eastAsia="Cambria" w:cs="Cambria"/>
          <w:color w:val="000000" w:themeColor="text1"/>
        </w:rPr>
        <w:t>PA is also directed to</w:t>
      </w:r>
      <w:r w:rsidRPr="27D766F5" w:rsidR="0030040E">
        <w:rPr>
          <w:rFonts w:eastAsia="Cambria" w:cs="Cambria"/>
          <w:color w:val="000000" w:themeColor="text1"/>
        </w:rPr>
        <w:t xml:space="preserve"> </w:t>
      </w:r>
      <w:r w:rsidRPr="27D766F5" w:rsidR="00BA2968">
        <w:rPr>
          <w:rFonts w:eastAsia="Cambria" w:cs="Cambria"/>
          <w:color w:val="000000" w:themeColor="text1"/>
        </w:rPr>
        <w:t xml:space="preserve">quantify </w:t>
      </w:r>
      <w:r w:rsidRPr="27D766F5" w:rsidR="0030040E">
        <w:rPr>
          <w:rFonts w:eastAsia="Cambria" w:cs="Cambria"/>
          <w:color w:val="000000" w:themeColor="text1"/>
        </w:rPr>
        <w:t>the number of DAC</w:t>
      </w:r>
      <w:r w:rsidR="00C54EC9">
        <w:noBreakHyphen/>
      </w:r>
      <w:r w:rsidRPr="27D766F5" w:rsidR="0030040E">
        <w:rPr>
          <w:rFonts w:eastAsia="Cambria" w:cs="Cambria"/>
          <w:color w:val="000000" w:themeColor="text1"/>
        </w:rPr>
        <w:t xml:space="preserve">SASH participants who have been referred to, and enrolled in, these </w:t>
      </w:r>
      <w:r w:rsidRPr="27D766F5" w:rsidR="00F76868">
        <w:rPr>
          <w:rFonts w:eastAsia="Cambria" w:cs="Cambria"/>
          <w:color w:val="000000" w:themeColor="text1"/>
        </w:rPr>
        <w:t xml:space="preserve">complementary </w:t>
      </w:r>
      <w:r w:rsidRPr="27D766F5" w:rsidR="0030040E">
        <w:rPr>
          <w:rFonts w:eastAsia="Cambria" w:cs="Cambria"/>
          <w:color w:val="000000" w:themeColor="text1"/>
        </w:rPr>
        <w:t>programs</w:t>
      </w:r>
      <w:r w:rsidRPr="27D766F5" w:rsidR="00BA2968">
        <w:rPr>
          <w:rFonts w:eastAsia="Cambria" w:cs="Cambria"/>
          <w:color w:val="000000" w:themeColor="text1"/>
        </w:rPr>
        <w:t xml:space="preserve"> in </w:t>
      </w:r>
      <w:r w:rsidRPr="27D766F5" w:rsidR="006509BF">
        <w:rPr>
          <w:rFonts w:eastAsia="Cambria" w:cs="Cambria"/>
          <w:color w:val="000000" w:themeColor="text1"/>
        </w:rPr>
        <w:t>all future</w:t>
      </w:r>
      <w:r w:rsidRPr="27D766F5" w:rsidR="00BA2968">
        <w:rPr>
          <w:rFonts w:eastAsia="Cambria" w:cs="Cambria"/>
          <w:color w:val="000000" w:themeColor="text1"/>
        </w:rPr>
        <w:t xml:space="preserve"> DAC</w:t>
      </w:r>
      <w:r w:rsidR="00C54EC9">
        <w:noBreakHyphen/>
      </w:r>
      <w:r w:rsidRPr="27D766F5" w:rsidR="00BA2968">
        <w:rPr>
          <w:rFonts w:eastAsia="Cambria" w:cs="Cambria"/>
          <w:color w:val="000000" w:themeColor="text1"/>
        </w:rPr>
        <w:t xml:space="preserve">SASH </w:t>
      </w:r>
      <w:r w:rsidRPr="27D766F5" w:rsidR="00BA2968">
        <w:rPr>
          <w:rFonts w:eastAsia="Cambria" w:cs="Cambria"/>
        </w:rPr>
        <w:t>Semi</w:t>
      </w:r>
      <w:r w:rsidR="00C54EC9">
        <w:noBreakHyphen/>
      </w:r>
      <w:r w:rsidRPr="27D766F5" w:rsidR="00BA2968">
        <w:rPr>
          <w:rFonts w:eastAsia="Cambria" w:cs="Cambria"/>
        </w:rPr>
        <w:t>annual Report</w:t>
      </w:r>
      <w:r w:rsidRPr="27D766F5" w:rsidR="00013D1F">
        <w:rPr>
          <w:rFonts w:eastAsia="Cambria" w:cs="Cambria"/>
        </w:rPr>
        <w:t>s</w:t>
      </w:r>
      <w:r w:rsidRPr="27D766F5" w:rsidR="0030040E">
        <w:rPr>
          <w:rFonts w:eastAsia="Cambria" w:cs="Cambria"/>
          <w:color w:val="000000" w:themeColor="text1"/>
        </w:rPr>
        <w:t>.</w:t>
      </w:r>
    </w:p>
    <w:p w:rsidR="00024945" w:rsidP="00B65092" w:rsidRDefault="00B2603D" w14:paraId="5B8D6FA4" w14:textId="5BDD7C4A">
      <w:pPr>
        <w:pStyle w:val="Standard"/>
        <w:rPr>
          <w:rFonts w:eastAsia="Cambria" w:cs="Cambria"/>
          <w:color w:val="000000" w:themeColor="text1"/>
          <w:szCs w:val="26"/>
        </w:rPr>
      </w:pPr>
      <w:r>
        <w:rPr>
          <w:rFonts w:eastAsia="Cambria" w:cs="Cambria"/>
          <w:color w:val="000000" w:themeColor="text1"/>
          <w:szCs w:val="26"/>
        </w:rPr>
        <w:t xml:space="preserve">The </w:t>
      </w:r>
      <w:r w:rsidR="008230EB">
        <w:rPr>
          <w:rFonts w:eastAsia="Cambria" w:cs="Cambria"/>
          <w:color w:val="000000" w:themeColor="text1"/>
          <w:szCs w:val="26"/>
        </w:rPr>
        <w:t>January </w:t>
      </w:r>
      <w:r>
        <w:rPr>
          <w:rFonts w:eastAsia="Cambria" w:cs="Cambria"/>
          <w:color w:val="000000" w:themeColor="text1"/>
          <w:szCs w:val="26"/>
        </w:rPr>
        <w:t>26 Ruling also asked whether the DAC</w:t>
      </w:r>
      <w:r w:rsidR="00C54EC9">
        <w:rPr>
          <w:rFonts w:eastAsia="Cambria" w:cs="Cambria"/>
          <w:color w:val="000000" w:themeColor="text1"/>
          <w:szCs w:val="26"/>
        </w:rPr>
        <w:noBreakHyphen/>
      </w:r>
      <w:r>
        <w:rPr>
          <w:rFonts w:eastAsia="Cambria" w:cs="Cambria"/>
          <w:color w:val="000000" w:themeColor="text1"/>
          <w:szCs w:val="26"/>
        </w:rPr>
        <w:t>SASH program should prohibit projects participating in multiple incentive programs from receiving total incentives that exceed the projects</w:t>
      </w:r>
      <w:r w:rsidR="008230EB">
        <w:rPr>
          <w:rFonts w:eastAsia="Cambria" w:cs="Cambria"/>
          <w:color w:val="000000" w:themeColor="text1"/>
          <w:szCs w:val="26"/>
        </w:rPr>
        <w:t>’</w:t>
      </w:r>
      <w:r>
        <w:rPr>
          <w:rFonts w:eastAsia="Cambria" w:cs="Cambria"/>
          <w:color w:val="000000" w:themeColor="text1"/>
          <w:szCs w:val="26"/>
        </w:rPr>
        <w:t xml:space="preserve"> costs.</w:t>
      </w:r>
      <w:r>
        <w:rPr>
          <w:rStyle w:val="FootnoteReference"/>
          <w:rFonts w:eastAsia="Cambria" w:cs="Cambria"/>
          <w:color w:val="000000" w:themeColor="text1"/>
          <w:szCs w:val="26"/>
        </w:rPr>
        <w:footnoteReference w:id="48"/>
      </w:r>
    </w:p>
    <w:p w:rsidR="00B2603D" w:rsidP="00B65092" w:rsidRDefault="00B2603D" w14:paraId="498EBFC6" w14:textId="325DCD52">
      <w:pPr>
        <w:pStyle w:val="Standard"/>
        <w:rPr>
          <w:rFonts w:eastAsia="Cambria" w:cs="Cambria"/>
          <w:color w:val="000000" w:themeColor="text1"/>
          <w:szCs w:val="26"/>
        </w:rPr>
      </w:pPr>
      <w:r>
        <w:rPr>
          <w:rFonts w:eastAsia="Cambria" w:cs="Cambria"/>
          <w:color w:val="000000" w:themeColor="text1"/>
          <w:szCs w:val="26"/>
        </w:rPr>
        <w:t>SEIA agree</w:t>
      </w:r>
      <w:r w:rsidR="002044F6">
        <w:rPr>
          <w:rFonts w:eastAsia="Cambria" w:cs="Cambria"/>
          <w:color w:val="000000" w:themeColor="text1"/>
          <w:szCs w:val="26"/>
        </w:rPr>
        <w:t>s</w:t>
      </w:r>
      <w:r>
        <w:rPr>
          <w:rFonts w:eastAsia="Cambria" w:cs="Cambria"/>
          <w:color w:val="000000" w:themeColor="text1"/>
          <w:szCs w:val="26"/>
        </w:rPr>
        <w:t xml:space="preserve"> that projects should not receive incentives in excess of their costs and suggest</w:t>
      </w:r>
      <w:r w:rsidR="00B651C2">
        <w:rPr>
          <w:rFonts w:eastAsia="Cambria" w:cs="Cambria"/>
          <w:color w:val="000000" w:themeColor="text1"/>
          <w:szCs w:val="26"/>
        </w:rPr>
        <w:t>s</w:t>
      </w:r>
      <w:r>
        <w:rPr>
          <w:rFonts w:eastAsia="Cambria" w:cs="Cambria"/>
          <w:color w:val="000000" w:themeColor="text1"/>
          <w:szCs w:val="26"/>
        </w:rPr>
        <w:t xml:space="preserve"> </w:t>
      </w:r>
      <w:r w:rsidR="00B651C2">
        <w:rPr>
          <w:rFonts w:eastAsia="Cambria" w:cs="Cambria"/>
          <w:color w:val="000000" w:themeColor="text1"/>
          <w:szCs w:val="26"/>
        </w:rPr>
        <w:t xml:space="preserve">changes to the </w:t>
      </w:r>
      <w:r>
        <w:rPr>
          <w:rFonts w:eastAsia="Cambria" w:cs="Cambria"/>
          <w:color w:val="000000" w:themeColor="text1"/>
          <w:szCs w:val="26"/>
        </w:rPr>
        <w:t>DAC</w:t>
      </w:r>
      <w:r w:rsidR="00C54EC9">
        <w:rPr>
          <w:rFonts w:eastAsia="Cambria" w:cs="Cambria"/>
          <w:color w:val="000000" w:themeColor="text1"/>
          <w:szCs w:val="26"/>
        </w:rPr>
        <w:noBreakHyphen/>
      </w:r>
      <w:r>
        <w:rPr>
          <w:rFonts w:eastAsia="Cambria" w:cs="Cambria"/>
          <w:color w:val="000000" w:themeColor="text1"/>
          <w:szCs w:val="26"/>
        </w:rPr>
        <w:t>SASH</w:t>
      </w:r>
      <w:r w:rsidR="00635944">
        <w:rPr>
          <w:rFonts w:eastAsia="Cambria" w:cs="Cambria"/>
          <w:color w:val="000000" w:themeColor="text1"/>
          <w:szCs w:val="26"/>
        </w:rPr>
        <w:t xml:space="preserve"> Program</w:t>
      </w:r>
      <w:r>
        <w:rPr>
          <w:rFonts w:eastAsia="Cambria" w:cs="Cambria"/>
          <w:color w:val="000000" w:themeColor="text1"/>
          <w:szCs w:val="26"/>
        </w:rPr>
        <w:t xml:space="preserve"> Handbook </w:t>
      </w:r>
      <w:r w:rsidR="00B651C2">
        <w:rPr>
          <w:rFonts w:eastAsia="Cambria" w:cs="Cambria"/>
          <w:color w:val="000000" w:themeColor="text1"/>
          <w:szCs w:val="26"/>
        </w:rPr>
        <w:t xml:space="preserve">that would </w:t>
      </w:r>
      <w:r>
        <w:rPr>
          <w:rFonts w:eastAsia="Cambria" w:cs="Cambria"/>
          <w:color w:val="000000" w:themeColor="text1"/>
          <w:szCs w:val="26"/>
        </w:rPr>
        <w:t>ensur</w:t>
      </w:r>
      <w:r w:rsidR="00B651C2">
        <w:rPr>
          <w:rFonts w:eastAsia="Cambria" w:cs="Cambria"/>
          <w:color w:val="000000" w:themeColor="text1"/>
          <w:szCs w:val="26"/>
        </w:rPr>
        <w:t>e</w:t>
      </w:r>
      <w:r>
        <w:rPr>
          <w:rFonts w:eastAsia="Cambria" w:cs="Cambria"/>
          <w:color w:val="000000" w:themeColor="text1"/>
          <w:szCs w:val="26"/>
        </w:rPr>
        <w:t xml:space="preserve"> total incentives received by a project from DAC</w:t>
      </w:r>
      <w:r w:rsidR="00C54EC9">
        <w:rPr>
          <w:rFonts w:eastAsia="Cambria" w:cs="Cambria"/>
          <w:color w:val="000000" w:themeColor="text1"/>
          <w:szCs w:val="26"/>
        </w:rPr>
        <w:noBreakHyphen/>
      </w:r>
      <w:r>
        <w:rPr>
          <w:rFonts w:eastAsia="Cambria" w:cs="Cambria"/>
          <w:color w:val="000000" w:themeColor="text1"/>
          <w:szCs w:val="26"/>
        </w:rPr>
        <w:t xml:space="preserve">SASH </w:t>
      </w:r>
      <w:r w:rsidR="00285E9D">
        <w:rPr>
          <w:rFonts w:eastAsia="Cambria" w:cs="Cambria"/>
          <w:color w:val="000000" w:themeColor="text1"/>
          <w:szCs w:val="26"/>
        </w:rPr>
        <w:t xml:space="preserve">and </w:t>
      </w:r>
      <w:r>
        <w:rPr>
          <w:rFonts w:eastAsia="Cambria" w:cs="Cambria"/>
          <w:color w:val="000000" w:themeColor="text1"/>
          <w:szCs w:val="26"/>
        </w:rPr>
        <w:t xml:space="preserve">other </w:t>
      </w:r>
      <w:r w:rsidR="00285E9D">
        <w:rPr>
          <w:rFonts w:eastAsia="Cambria" w:cs="Cambria"/>
          <w:color w:val="000000" w:themeColor="text1"/>
          <w:szCs w:val="26"/>
        </w:rPr>
        <w:lastRenderedPageBreak/>
        <w:t xml:space="preserve">incentive </w:t>
      </w:r>
      <w:r>
        <w:rPr>
          <w:rFonts w:eastAsia="Cambria" w:cs="Cambria"/>
          <w:color w:val="000000" w:themeColor="text1"/>
          <w:szCs w:val="26"/>
        </w:rPr>
        <w:t>programs do not exceed eligible project costs.</w:t>
      </w:r>
      <w:r>
        <w:rPr>
          <w:rStyle w:val="FootnoteReference"/>
          <w:rFonts w:eastAsia="Cambria" w:cs="Cambria"/>
          <w:color w:val="000000" w:themeColor="text1"/>
          <w:szCs w:val="26"/>
        </w:rPr>
        <w:footnoteReference w:id="49"/>
      </w:r>
      <w:r w:rsidR="008C2FE1">
        <w:rPr>
          <w:rFonts w:eastAsia="Cambria" w:cs="Cambria"/>
          <w:color w:val="000000" w:themeColor="text1"/>
          <w:szCs w:val="26"/>
        </w:rPr>
        <w:t xml:space="preserve"> PG&amp;E, SCE, SDG&amp;E, </w:t>
      </w:r>
      <w:r w:rsidR="001B77EA">
        <w:rPr>
          <w:rFonts w:eastAsia="Cambria" w:cs="Cambria"/>
          <w:color w:val="000000" w:themeColor="text1"/>
          <w:szCs w:val="26"/>
        </w:rPr>
        <w:t xml:space="preserve">and </w:t>
      </w:r>
      <w:r w:rsidR="00086432">
        <w:rPr>
          <w:rFonts w:eastAsia="Cambria" w:cs="Cambria"/>
          <w:color w:val="000000" w:themeColor="text1"/>
          <w:szCs w:val="26"/>
        </w:rPr>
        <w:t>Cal Advoc</w:t>
      </w:r>
      <w:r w:rsidR="008C2FE1">
        <w:rPr>
          <w:rFonts w:eastAsia="Cambria" w:cs="Cambria"/>
          <w:color w:val="000000" w:themeColor="text1"/>
          <w:szCs w:val="26"/>
        </w:rPr>
        <w:t xml:space="preserve">ates </w:t>
      </w:r>
      <w:r w:rsidR="001B77EA">
        <w:rPr>
          <w:rFonts w:eastAsia="Cambria" w:cs="Cambria"/>
          <w:color w:val="000000" w:themeColor="text1"/>
          <w:szCs w:val="26"/>
        </w:rPr>
        <w:t>also support</w:t>
      </w:r>
      <w:r w:rsidR="001B3544">
        <w:rPr>
          <w:rFonts w:eastAsia="Cambria" w:cs="Cambria"/>
          <w:color w:val="000000" w:themeColor="text1"/>
          <w:szCs w:val="26"/>
        </w:rPr>
        <w:t xml:space="preserve"> prohibiting DAC</w:t>
      </w:r>
      <w:r w:rsidR="00C54EC9">
        <w:rPr>
          <w:rFonts w:eastAsia="Cambria" w:cs="Cambria"/>
          <w:color w:val="000000" w:themeColor="text1"/>
          <w:szCs w:val="26"/>
        </w:rPr>
        <w:noBreakHyphen/>
      </w:r>
      <w:r w:rsidR="001B3544">
        <w:rPr>
          <w:rFonts w:eastAsia="Cambria" w:cs="Cambria"/>
          <w:color w:val="000000" w:themeColor="text1"/>
          <w:szCs w:val="26"/>
        </w:rPr>
        <w:t>SASH</w:t>
      </w:r>
      <w:r w:rsidR="00C54EC9">
        <w:rPr>
          <w:rFonts w:eastAsia="Cambria" w:cs="Cambria"/>
          <w:color w:val="000000" w:themeColor="text1"/>
          <w:szCs w:val="26"/>
        </w:rPr>
        <w:noBreakHyphen/>
      </w:r>
      <w:r w:rsidR="001B3544">
        <w:rPr>
          <w:rFonts w:eastAsia="Cambria" w:cs="Cambria"/>
          <w:color w:val="000000" w:themeColor="text1"/>
          <w:szCs w:val="26"/>
        </w:rPr>
        <w:t>funded projects from receiving total incentives in excess of eligible project costs</w:t>
      </w:r>
      <w:r w:rsidR="001B77EA">
        <w:rPr>
          <w:rFonts w:eastAsia="Cambria" w:cs="Cambria"/>
          <w:color w:val="000000" w:themeColor="text1"/>
          <w:szCs w:val="26"/>
        </w:rPr>
        <w:t>.</w:t>
      </w:r>
      <w:r w:rsidR="008C2FE1">
        <w:rPr>
          <w:rStyle w:val="FootnoteReference"/>
          <w:rFonts w:eastAsia="Cambria" w:cs="Cambria"/>
          <w:color w:val="000000" w:themeColor="text1"/>
          <w:szCs w:val="26"/>
        </w:rPr>
        <w:footnoteReference w:id="50"/>
      </w:r>
      <w:r w:rsidR="001B77EA">
        <w:rPr>
          <w:rFonts w:eastAsia="Cambria" w:cs="Cambria"/>
          <w:color w:val="000000" w:themeColor="text1"/>
          <w:szCs w:val="26"/>
        </w:rPr>
        <w:t xml:space="preserve"> GRID does not recommend adding more restrictions on incentive payments beyond those already included in the </w:t>
      </w:r>
      <w:r w:rsidR="00635944">
        <w:rPr>
          <w:rFonts w:eastAsia="Cambria" w:cs="Cambria"/>
          <w:color w:val="000000" w:themeColor="text1"/>
          <w:szCs w:val="26"/>
        </w:rPr>
        <w:t>P</w:t>
      </w:r>
      <w:r w:rsidR="001B77EA">
        <w:rPr>
          <w:rFonts w:eastAsia="Cambria" w:cs="Cambria"/>
          <w:color w:val="000000" w:themeColor="text1"/>
          <w:szCs w:val="26"/>
        </w:rPr>
        <w:t xml:space="preserve">rogram </w:t>
      </w:r>
      <w:r w:rsidR="00635944">
        <w:rPr>
          <w:rFonts w:eastAsia="Cambria" w:cs="Cambria"/>
          <w:color w:val="000000" w:themeColor="text1"/>
          <w:szCs w:val="26"/>
        </w:rPr>
        <w:t>H</w:t>
      </w:r>
      <w:r w:rsidR="001B77EA">
        <w:rPr>
          <w:rFonts w:eastAsia="Cambria" w:cs="Cambria"/>
          <w:color w:val="000000" w:themeColor="text1"/>
          <w:szCs w:val="26"/>
        </w:rPr>
        <w:t xml:space="preserve">andbook but </w:t>
      </w:r>
      <w:r w:rsidR="001B3544">
        <w:rPr>
          <w:rFonts w:eastAsia="Cambria" w:cs="Cambria"/>
          <w:color w:val="000000" w:themeColor="text1"/>
          <w:szCs w:val="26"/>
        </w:rPr>
        <w:t xml:space="preserve">alternatively </w:t>
      </w:r>
      <w:r w:rsidR="001B77EA">
        <w:rPr>
          <w:rFonts w:eastAsia="Cambria" w:cs="Cambria"/>
          <w:color w:val="000000" w:themeColor="text1"/>
          <w:szCs w:val="26"/>
        </w:rPr>
        <w:t xml:space="preserve">suggests </w:t>
      </w:r>
      <w:r w:rsidR="003F3ADA">
        <w:rPr>
          <w:rFonts w:eastAsia="Cambria" w:cs="Cambria"/>
          <w:color w:val="000000" w:themeColor="text1"/>
          <w:szCs w:val="26"/>
        </w:rPr>
        <w:t>h</w:t>
      </w:r>
      <w:r w:rsidR="001B77EA">
        <w:rPr>
          <w:rFonts w:eastAsia="Cambria" w:cs="Cambria"/>
          <w:color w:val="000000" w:themeColor="text1"/>
          <w:szCs w:val="26"/>
        </w:rPr>
        <w:t xml:space="preserve">andbook redlines </w:t>
      </w:r>
      <w:r w:rsidR="001B3544">
        <w:rPr>
          <w:rFonts w:eastAsia="Cambria" w:cs="Cambria"/>
          <w:color w:val="000000" w:themeColor="text1"/>
          <w:szCs w:val="26"/>
        </w:rPr>
        <w:t>prohibiting DAC</w:t>
      </w:r>
      <w:r w:rsidR="00C54EC9">
        <w:rPr>
          <w:rFonts w:eastAsia="Cambria" w:cs="Cambria"/>
          <w:color w:val="000000" w:themeColor="text1"/>
          <w:szCs w:val="26"/>
        </w:rPr>
        <w:noBreakHyphen/>
      </w:r>
      <w:r w:rsidR="001B3544">
        <w:rPr>
          <w:rFonts w:eastAsia="Cambria" w:cs="Cambria"/>
          <w:color w:val="000000" w:themeColor="text1"/>
          <w:szCs w:val="26"/>
        </w:rPr>
        <w:t>SASH</w:t>
      </w:r>
      <w:r w:rsidR="00C54EC9">
        <w:rPr>
          <w:rFonts w:eastAsia="Cambria" w:cs="Cambria"/>
          <w:color w:val="000000" w:themeColor="text1"/>
          <w:szCs w:val="26"/>
        </w:rPr>
        <w:noBreakHyphen/>
      </w:r>
      <w:r w:rsidR="001B3544">
        <w:rPr>
          <w:rFonts w:eastAsia="Cambria" w:cs="Cambria"/>
          <w:color w:val="000000" w:themeColor="text1"/>
          <w:szCs w:val="26"/>
        </w:rPr>
        <w:t xml:space="preserve">funded projects from receiving total incentives in excess of eligible project costs </w:t>
      </w:r>
      <w:r w:rsidR="001B77EA">
        <w:rPr>
          <w:rFonts w:eastAsia="Cambria" w:cs="Cambria"/>
          <w:color w:val="000000" w:themeColor="text1"/>
          <w:szCs w:val="26"/>
        </w:rPr>
        <w:t>if the Commission feels additional limitations are necessary.</w:t>
      </w:r>
      <w:r w:rsidR="001B77EA">
        <w:rPr>
          <w:rStyle w:val="FootnoteReference"/>
          <w:rFonts w:eastAsia="Cambria" w:cs="Cambria"/>
          <w:color w:val="000000" w:themeColor="text1"/>
          <w:szCs w:val="26"/>
        </w:rPr>
        <w:footnoteReference w:id="51"/>
      </w:r>
    </w:p>
    <w:p w:rsidRPr="00B65092" w:rsidR="002F7C24" w:rsidP="00B65092" w:rsidRDefault="00340E0D" w14:paraId="3852CCDB" w14:textId="16F4DA06">
      <w:pPr>
        <w:pStyle w:val="Standard"/>
      </w:pPr>
      <w:r w:rsidRPr="00340E0D">
        <w:t xml:space="preserve">The Commission agrees with SEIA, PG&amp;E, SCE, SDG&amp;E, and </w:t>
      </w:r>
      <w:r w:rsidR="00086432">
        <w:t>Cal Advoc</w:t>
      </w:r>
      <w:r w:rsidRPr="00340E0D">
        <w:t xml:space="preserve">ates that </w:t>
      </w:r>
      <w:r>
        <w:t>DAC</w:t>
      </w:r>
      <w:r w:rsidR="00C54EC9">
        <w:noBreakHyphen/>
      </w:r>
      <w:r>
        <w:t>SASH projects should not be allowed to receive incentive funding from DAC</w:t>
      </w:r>
      <w:r w:rsidR="00C54EC9">
        <w:noBreakHyphen/>
      </w:r>
      <w:r>
        <w:t xml:space="preserve">SASH and other programs beyond eligible project costs. </w:t>
      </w:r>
      <w:r w:rsidR="00285E9D">
        <w:t>Allowing DAC</w:t>
      </w:r>
      <w:r w:rsidR="00C54EC9">
        <w:noBreakHyphen/>
      </w:r>
      <w:r w:rsidR="00285E9D">
        <w:t>SASH projects to receive incentives in excess of project costs would over</w:t>
      </w:r>
      <w:r w:rsidR="00C54EC9">
        <w:noBreakHyphen/>
      </w:r>
      <w:r w:rsidR="00285E9D">
        <w:t xml:space="preserve">compensate projects with program funds. </w:t>
      </w:r>
      <w:r>
        <w:t>Accordingly, this decision includes revised Project Handbook language prohibiting DAC</w:t>
      </w:r>
      <w:r w:rsidR="00C54EC9">
        <w:noBreakHyphen/>
      </w:r>
      <w:r>
        <w:t>SASH projects from receiving total incentive funding from DAC</w:t>
      </w:r>
      <w:r w:rsidR="00C54EC9">
        <w:noBreakHyphen/>
      </w:r>
      <w:r>
        <w:t>SASH and other programs above project costs.</w:t>
      </w:r>
    </w:p>
    <w:p w:rsidRPr="0085395B" w:rsidR="0085395B" w:rsidP="0085395B" w:rsidRDefault="0085395B" w14:paraId="34BC7F39" w14:textId="4A2FBF20">
      <w:pPr>
        <w:pStyle w:val="Heading1"/>
        <w:rPr>
          <w:szCs w:val="22"/>
        </w:rPr>
      </w:pPr>
      <w:bookmarkStart w:name="_Toc236292539" w:id="25"/>
      <w:bookmarkStart w:name="_Toc242090706" w:id="26"/>
      <w:r>
        <w:t>Use of the Expected Performance</w:t>
      </w:r>
      <w:r w:rsidR="00726CA3">
        <w:br/>
      </w:r>
      <w:r>
        <w:t>Based Buydown</w:t>
      </w:r>
      <w:r w:rsidR="00B852AA">
        <w:t xml:space="preserve"> </w:t>
      </w:r>
      <w:r>
        <w:t>Calculator</w:t>
      </w:r>
      <w:bookmarkEnd w:id="25"/>
      <w:bookmarkEnd w:id="26"/>
    </w:p>
    <w:p w:rsidRPr="00952372" w:rsidR="00952372" w:rsidP="00952372" w:rsidRDefault="00952372" w14:paraId="40F5D883" w14:textId="02EB85B7">
      <w:pPr>
        <w:pStyle w:val="Standard"/>
      </w:pPr>
      <w:r w:rsidRPr="00952372">
        <w:t xml:space="preserve">The EPBB was created for the California Solar Initiative </w:t>
      </w:r>
      <w:r>
        <w:t xml:space="preserve">(CSI) </w:t>
      </w:r>
      <w:r w:rsidRPr="00952372">
        <w:t>to adjust the upfront </w:t>
      </w:r>
      <w:r w:rsidR="00F76868">
        <w:t>solar incentive</w:t>
      </w:r>
      <w:r w:rsidRPr="00952372">
        <w:t xml:space="preserve"> </w:t>
      </w:r>
      <w:r w:rsidR="00A92B00">
        <w:t xml:space="preserve">provided in the program </w:t>
      </w:r>
      <w:r w:rsidRPr="00952372">
        <w:t xml:space="preserve">based on estimated system </w:t>
      </w:r>
      <w:r w:rsidRPr="00952372">
        <w:lastRenderedPageBreak/>
        <w:t>performance and encourage optimal system design.</w:t>
      </w:r>
      <w:r>
        <w:rPr>
          <w:rStyle w:val="FootnoteReference"/>
        </w:rPr>
        <w:footnoteReference w:id="52"/>
      </w:r>
      <w:r w:rsidRPr="00952372">
        <w:t xml:space="preserve"> The two relevant equations </w:t>
      </w:r>
      <w:r w:rsidR="000320F2">
        <w:t xml:space="preserve">in the EPBB </w:t>
      </w:r>
      <w:r w:rsidRPr="00952372">
        <w:t>are:</w:t>
      </w:r>
    </w:p>
    <w:p w:rsidRPr="00952372" w:rsidR="00952372" w:rsidP="00952372" w:rsidRDefault="00952372" w14:paraId="6F071306" w14:textId="2206C62F">
      <w:pPr>
        <w:pStyle w:val="Standard"/>
      </w:pPr>
      <w:r w:rsidRPr="00952372">
        <w:rPr>
          <w:i/>
          <w:iCs/>
        </w:rPr>
        <w:t>Solar Incentive</w:t>
      </w:r>
      <w:r w:rsidR="00480780">
        <w:rPr>
          <w:i/>
          <w:iCs/>
        </w:rPr>
        <w:t xml:space="preserve"> = </w:t>
      </w:r>
      <w:r w:rsidRPr="00952372">
        <w:rPr>
          <w:i/>
          <w:iCs/>
        </w:rPr>
        <w:t>Incentive Rate</w:t>
      </w:r>
      <w:r w:rsidR="00480780">
        <w:rPr>
          <w:i/>
          <w:iCs/>
        </w:rPr>
        <w:t xml:space="preserve"> * </w:t>
      </w:r>
      <w:r w:rsidRPr="00952372">
        <w:rPr>
          <w:i/>
          <w:iCs/>
        </w:rPr>
        <w:t>System Rating</w:t>
      </w:r>
      <w:r w:rsidR="00480780">
        <w:rPr>
          <w:i/>
          <w:iCs/>
        </w:rPr>
        <w:t xml:space="preserve"> * </w:t>
      </w:r>
      <w:r w:rsidRPr="00952372">
        <w:rPr>
          <w:i/>
          <w:iCs/>
        </w:rPr>
        <w:t>Design Factor</w:t>
      </w:r>
    </w:p>
    <w:p w:rsidRPr="00952372" w:rsidR="00952372" w:rsidP="00952372" w:rsidRDefault="00952372" w14:paraId="7D71AFEF" w14:textId="2EE7B0A0">
      <w:pPr>
        <w:pStyle w:val="Standard"/>
        <w:ind w:left="720" w:firstLine="0"/>
      </w:pPr>
      <w:r w:rsidRPr="00952372">
        <w:rPr>
          <w:i/>
          <w:iCs/>
        </w:rPr>
        <w:t>Design Factor</w:t>
      </w:r>
      <w:r w:rsidR="00480780">
        <w:rPr>
          <w:i/>
          <w:iCs/>
        </w:rPr>
        <w:t xml:space="preserve"> = </w:t>
      </w:r>
      <w:r w:rsidRPr="00952372">
        <w:rPr>
          <w:i/>
          <w:iCs/>
        </w:rPr>
        <w:t>Design Correction</w:t>
      </w:r>
      <w:r w:rsidR="00480780">
        <w:rPr>
          <w:i/>
          <w:iCs/>
        </w:rPr>
        <w:t xml:space="preserve"> * </w:t>
      </w:r>
      <w:r w:rsidRPr="00952372">
        <w:rPr>
          <w:i/>
          <w:iCs/>
        </w:rPr>
        <w:t>Geographic Correction</w:t>
      </w:r>
      <w:r w:rsidR="00480780">
        <w:rPr>
          <w:i/>
          <w:iCs/>
        </w:rPr>
        <w:t xml:space="preserve"> * </w:t>
      </w:r>
      <w:r w:rsidRPr="00952372">
        <w:rPr>
          <w:i/>
          <w:iCs/>
        </w:rPr>
        <w:t>Install Correction</w:t>
      </w:r>
    </w:p>
    <w:p w:rsidRPr="00952372" w:rsidR="00952372" w:rsidP="00952372" w:rsidRDefault="00B47585" w14:paraId="5522F5F4" w14:textId="51517A67">
      <w:pPr>
        <w:pStyle w:val="Standard"/>
      </w:pPr>
      <w:r>
        <w:t>Resolution </w:t>
      </w:r>
      <w:r w:rsidR="00952372">
        <w:t>E</w:t>
      </w:r>
      <w:r w:rsidR="00C54EC9">
        <w:noBreakHyphen/>
      </w:r>
      <w:r w:rsidR="00952372">
        <w:t xml:space="preserve">5362 updated the EPBB to </w:t>
      </w:r>
      <w:r w:rsidRPr="00952372" w:rsidR="00952372">
        <w:t xml:space="preserve">include </w:t>
      </w:r>
      <w:r w:rsidR="00952372">
        <w:t>a</w:t>
      </w:r>
      <w:r w:rsidRPr="00952372" w:rsidR="00952372">
        <w:t xml:space="preserve"> Geographic Correction and </w:t>
      </w:r>
      <w:r w:rsidR="00952372">
        <w:t xml:space="preserve">to </w:t>
      </w:r>
      <w:r w:rsidRPr="00952372" w:rsidR="00952372">
        <w:t>direct a minimum Design Factor of 75</w:t>
      </w:r>
      <w:r w:rsidR="00F76868">
        <w:t>%</w:t>
      </w:r>
      <w:r w:rsidRPr="00952372" w:rsidR="00952372">
        <w:t>.</w:t>
      </w:r>
      <w:r w:rsidR="00952372">
        <w:rPr>
          <w:rStyle w:val="FootnoteReference"/>
        </w:rPr>
        <w:footnoteReference w:id="53"/>
      </w:r>
      <w:r w:rsidRPr="00952372" w:rsidR="00952372">
        <w:t xml:space="preserve"> </w:t>
      </w:r>
      <w:r>
        <w:t>Resolution </w:t>
      </w:r>
      <w:r w:rsidR="00952372">
        <w:t>E</w:t>
      </w:r>
      <w:r w:rsidR="00C54EC9">
        <w:noBreakHyphen/>
      </w:r>
      <w:r w:rsidR="00952372">
        <w:t>5362 also directed</w:t>
      </w:r>
      <w:r w:rsidRPr="00952372" w:rsidR="00952372">
        <w:t xml:space="preserve"> the </w:t>
      </w:r>
      <w:r w:rsidR="00734E50">
        <w:t>Self</w:t>
      </w:r>
      <w:r w:rsidR="00C54EC9">
        <w:noBreakHyphen/>
      </w:r>
      <w:r w:rsidR="00734E50">
        <w:t>Generation Incentive Program (</w:t>
      </w:r>
      <w:r w:rsidRPr="00952372" w:rsidR="00952372">
        <w:t>S</w:t>
      </w:r>
      <w:r w:rsidR="000320F2">
        <w:t>GIP</w:t>
      </w:r>
      <w:r w:rsidR="00734E50">
        <w:t>)</w:t>
      </w:r>
      <w:r w:rsidRPr="00952372" w:rsidR="00952372">
        <w:t xml:space="preserve"> PAs to work with their technical consultant to update the current version of the EPBB, which was first developed for </w:t>
      </w:r>
      <w:r w:rsidR="00503831">
        <w:t xml:space="preserve">the </w:t>
      </w:r>
      <w:r w:rsidRPr="00952372" w:rsidR="00952372">
        <w:t>CSI</w:t>
      </w:r>
      <w:r w:rsidR="000D70F7">
        <w:t xml:space="preserve"> </w:t>
      </w:r>
      <w:r w:rsidRPr="00952372" w:rsidR="00952372">
        <w:t xml:space="preserve">to utilize the latest version of </w:t>
      </w:r>
      <w:r w:rsidR="00952372">
        <w:t>the Nation</w:t>
      </w:r>
      <w:r w:rsidR="00EC081E">
        <w:t>al</w:t>
      </w:r>
      <w:r w:rsidR="00952372">
        <w:t xml:space="preserve"> Laboratory</w:t>
      </w:r>
      <w:r w:rsidR="00EC081E">
        <w:t xml:space="preserve"> of the Rockie</w:t>
      </w:r>
      <w:r w:rsidR="00952372">
        <w:t>s</w:t>
      </w:r>
      <w:r w:rsidR="008230EB">
        <w:t>’</w:t>
      </w:r>
      <w:r w:rsidRPr="00952372" w:rsidR="00952372">
        <w:t xml:space="preserve"> </w:t>
      </w:r>
      <w:r w:rsidR="008230EB">
        <w:t>“</w:t>
      </w:r>
      <w:r w:rsidRPr="00952372" w:rsidR="00952372">
        <w:t>PV Watts</w:t>
      </w:r>
      <w:r w:rsidR="008230EB">
        <w:t>”</w:t>
      </w:r>
      <w:r w:rsidR="00952372">
        <w:rPr>
          <w:rStyle w:val="FootnoteReference"/>
        </w:rPr>
        <w:footnoteReference w:id="54"/>
      </w:r>
      <w:r w:rsidRPr="00952372" w:rsidR="00952372">
        <w:t xml:space="preserve"> as inputs.</w:t>
      </w:r>
      <w:r w:rsidR="00952372">
        <w:rPr>
          <w:rStyle w:val="FootnoteReference"/>
        </w:rPr>
        <w:footnoteReference w:id="55"/>
      </w:r>
    </w:p>
    <w:p w:rsidR="00024945" w:rsidP="00952372" w:rsidRDefault="00952372" w14:paraId="25C864B0" w14:textId="614F047A">
      <w:pPr>
        <w:pStyle w:val="Standard"/>
      </w:pPr>
      <w:r>
        <w:t xml:space="preserve">The </w:t>
      </w:r>
      <w:r w:rsidR="008230EB">
        <w:t>January </w:t>
      </w:r>
      <w:r>
        <w:t>26 Ruling asked whether the DAC</w:t>
      </w:r>
      <w:r w:rsidR="00C54EC9">
        <w:noBreakHyphen/>
      </w:r>
      <w:r>
        <w:t xml:space="preserve">SASH program should continue to rely on the EPBB or </w:t>
      </w:r>
      <w:r w:rsidR="00A92B00">
        <w:t xml:space="preserve">use </w:t>
      </w:r>
      <w:r>
        <w:t>other available tools t</w:t>
      </w:r>
      <w:r w:rsidRPr="00952372">
        <w:t>o calculate system sizes for DAC</w:t>
      </w:r>
      <w:r w:rsidR="00C54EC9">
        <w:noBreakHyphen/>
      </w:r>
      <w:r w:rsidRPr="00952372">
        <w:t>SASH program incentives</w:t>
      </w:r>
      <w:r w:rsidR="00F76868">
        <w:t xml:space="preserve">. The </w:t>
      </w:r>
      <w:r w:rsidR="008230EB">
        <w:t>January </w:t>
      </w:r>
      <w:r w:rsidR="00F76868">
        <w:t>26 Ruling also asked</w:t>
      </w:r>
      <w:r>
        <w:t xml:space="preserve"> whether </w:t>
      </w:r>
      <w:r w:rsidRPr="00952372">
        <w:t xml:space="preserve">GRID </w:t>
      </w:r>
      <w:r>
        <w:t xml:space="preserve">should </w:t>
      </w:r>
      <w:r w:rsidRPr="00952372">
        <w:t xml:space="preserve">be authorized to propose the use of different tools that may be available now or in the future via a </w:t>
      </w:r>
      <w:r w:rsidR="001C3D54">
        <w:t>Tier </w:t>
      </w:r>
      <w:r w:rsidRPr="00952372">
        <w:t>2 advice letter</w:t>
      </w:r>
      <w:r>
        <w:t>.</w:t>
      </w:r>
    </w:p>
    <w:p w:rsidRPr="00952372" w:rsidR="00952372" w:rsidP="00952372" w:rsidRDefault="00BA4DBD" w14:paraId="342807DD" w14:textId="6E9DE60D">
      <w:pPr>
        <w:pStyle w:val="Standard"/>
      </w:pPr>
      <w:r>
        <w:t>GRID</w:t>
      </w:r>
      <w:r w:rsidR="0055154E">
        <w:t xml:space="preserve"> and</w:t>
      </w:r>
      <w:r w:rsidR="00E06193">
        <w:t xml:space="preserve"> SCE</w:t>
      </w:r>
      <w:r>
        <w:t xml:space="preserve"> support the DAC</w:t>
      </w:r>
      <w:r w:rsidR="00C54EC9">
        <w:noBreakHyphen/>
      </w:r>
      <w:r>
        <w:t xml:space="preserve">SASH program continuing to rely on the EPBB to calculate system sizes and allowing </w:t>
      </w:r>
      <w:r w:rsidR="00885F97">
        <w:t>the DAC</w:t>
      </w:r>
      <w:r w:rsidR="00C54EC9">
        <w:noBreakHyphen/>
      </w:r>
      <w:r w:rsidR="00885F97">
        <w:t xml:space="preserve">SASH PA </w:t>
      </w:r>
      <w:r>
        <w:t xml:space="preserve">to propose different </w:t>
      </w:r>
      <w:r w:rsidR="00FD1BD6">
        <w:t xml:space="preserve">potential </w:t>
      </w:r>
      <w:r>
        <w:t xml:space="preserve">tools through a </w:t>
      </w:r>
      <w:r w:rsidR="001C3D54">
        <w:t>Tier </w:t>
      </w:r>
      <w:r>
        <w:t>2 advice letter.</w:t>
      </w:r>
      <w:r>
        <w:rPr>
          <w:rStyle w:val="FootnoteReference"/>
        </w:rPr>
        <w:footnoteReference w:id="56"/>
      </w:r>
      <w:r w:rsidR="00E06193">
        <w:t xml:space="preserve"> SDG&amp;E </w:t>
      </w:r>
      <w:r w:rsidR="0055154E">
        <w:t xml:space="preserve">and PG&amp;E </w:t>
      </w:r>
      <w:r w:rsidR="0055154E">
        <w:lastRenderedPageBreak/>
        <w:t>refrain from co</w:t>
      </w:r>
      <w:r w:rsidR="00E06193">
        <w:t>mment</w:t>
      </w:r>
      <w:r w:rsidR="0055154E">
        <w:t>ing</w:t>
      </w:r>
      <w:r w:rsidR="00E06193">
        <w:t xml:space="preserve"> on</w:t>
      </w:r>
      <w:r w:rsidR="00A92B00">
        <w:t xml:space="preserve"> </w:t>
      </w:r>
      <w:r w:rsidR="00FD1BD6">
        <w:t xml:space="preserve">both </w:t>
      </w:r>
      <w:r w:rsidR="00A92B00">
        <w:t>t</w:t>
      </w:r>
      <w:r w:rsidR="0055154E">
        <w:t>he</w:t>
      </w:r>
      <w:r w:rsidR="00E06193">
        <w:t xml:space="preserve"> EPBB </w:t>
      </w:r>
      <w:r w:rsidR="00A92B00">
        <w:t>and</w:t>
      </w:r>
      <w:r w:rsidR="0055154E">
        <w:t xml:space="preserve"> </w:t>
      </w:r>
      <w:r w:rsidR="00FD1BD6">
        <w:t xml:space="preserve">a </w:t>
      </w:r>
      <w:r w:rsidR="001C3D54">
        <w:t>Tier </w:t>
      </w:r>
      <w:r w:rsidR="00FD1BD6">
        <w:t>2 advice letter process for</w:t>
      </w:r>
      <w:r w:rsidR="0055154E">
        <w:t xml:space="preserve"> </w:t>
      </w:r>
      <w:r w:rsidR="00885F97">
        <w:t>the DAC</w:t>
      </w:r>
      <w:r w:rsidR="00C54EC9">
        <w:noBreakHyphen/>
      </w:r>
      <w:r w:rsidR="00885F97">
        <w:t>SASH PA</w:t>
      </w:r>
      <w:r w:rsidR="0055154E">
        <w:t xml:space="preserve"> to propose different tools </w:t>
      </w:r>
      <w:r w:rsidR="00FD1BD6">
        <w:t>to estimate system sizes</w:t>
      </w:r>
      <w:r w:rsidR="00E06193">
        <w:t>.</w:t>
      </w:r>
      <w:r w:rsidR="00E06193">
        <w:rPr>
          <w:rStyle w:val="FootnoteReference"/>
        </w:rPr>
        <w:footnoteReference w:id="57"/>
      </w:r>
    </w:p>
    <w:p w:rsidR="00024945" w:rsidP="00EC081E" w:rsidRDefault="000D70F7" w14:paraId="021687F6" w14:textId="14809CCA">
      <w:pPr>
        <w:pStyle w:val="Standard"/>
      </w:pPr>
      <w:r>
        <w:t>The Commission agrees with GRID and SCE that the EPBB</w:t>
      </w:r>
      <w:r w:rsidR="00676A6B">
        <w:t>,</w:t>
      </w:r>
      <w:r>
        <w:t xml:space="preserve"> as updated by </w:t>
      </w:r>
      <w:r w:rsidR="00B47585">
        <w:t>Resolution </w:t>
      </w:r>
      <w:r>
        <w:t>E</w:t>
      </w:r>
      <w:r w:rsidR="00C54EC9">
        <w:noBreakHyphen/>
      </w:r>
      <w:r>
        <w:t>5362</w:t>
      </w:r>
      <w:r w:rsidR="00676A6B">
        <w:t>,</w:t>
      </w:r>
      <w:r>
        <w:t xml:space="preserve"> should remain the primary tool for calculating DAC</w:t>
      </w:r>
      <w:r w:rsidR="00C54EC9">
        <w:noBreakHyphen/>
      </w:r>
      <w:r>
        <w:t xml:space="preserve">SASH system sizes. The Commission also authorizes </w:t>
      </w:r>
      <w:r w:rsidR="00885F97">
        <w:t>the DAC</w:t>
      </w:r>
      <w:r w:rsidR="00C54EC9">
        <w:noBreakHyphen/>
      </w:r>
      <w:r w:rsidR="00885F97">
        <w:t>SASH PA</w:t>
      </w:r>
      <w:r>
        <w:t xml:space="preserve"> to propose different tools to calculate DAC</w:t>
      </w:r>
      <w:r w:rsidR="00C54EC9">
        <w:noBreakHyphen/>
      </w:r>
      <w:r>
        <w:t xml:space="preserve">SASH system sizes through a </w:t>
      </w:r>
      <w:r w:rsidR="001C3D54">
        <w:t>Tier </w:t>
      </w:r>
      <w:r>
        <w:t>2 advice letter</w:t>
      </w:r>
      <w:r w:rsidR="00004564">
        <w:t xml:space="preserve"> updating the Program Handbook as outlined in the process established in D.18</w:t>
      </w:r>
      <w:r w:rsidR="00C54EC9">
        <w:noBreakHyphen/>
      </w:r>
      <w:r w:rsidR="00004564">
        <w:t>06</w:t>
      </w:r>
      <w:r w:rsidR="00C54EC9">
        <w:noBreakHyphen/>
      </w:r>
      <w:r w:rsidR="00004564">
        <w:t>027</w:t>
      </w:r>
      <w:r>
        <w:t>.</w:t>
      </w:r>
      <w:r w:rsidR="00FC55ED">
        <w:t xml:space="preserve"> </w:t>
      </w:r>
      <w:r w:rsidR="00BE3CEF">
        <w:t xml:space="preserve">Upon approval of the </w:t>
      </w:r>
      <w:r w:rsidR="001C3D54">
        <w:t>Tier </w:t>
      </w:r>
      <w:r w:rsidR="00BE3CEF">
        <w:t xml:space="preserve">2 advice letter, </w:t>
      </w:r>
      <w:r w:rsidR="00004564">
        <w:t>new tools may be put into place.</w:t>
      </w:r>
    </w:p>
    <w:p w:rsidR="003900A5" w:rsidP="003900A5" w:rsidRDefault="00EC081E" w14:paraId="60FDE2C2" w14:textId="13CB8769">
      <w:pPr>
        <w:pStyle w:val="Heading1"/>
      </w:pPr>
      <w:bookmarkStart w:name="_Toc236292540" w:id="27"/>
      <w:bookmarkStart w:name="_Toc242090707" w:id="28"/>
      <w:r>
        <w:t xml:space="preserve">Job Training and </w:t>
      </w:r>
      <w:r w:rsidR="00AC001D">
        <w:t>Workforce Development</w:t>
      </w:r>
      <w:bookmarkEnd w:id="27"/>
      <w:bookmarkEnd w:id="28"/>
    </w:p>
    <w:p w:rsidR="00B0293A" w:rsidP="00B0293A" w:rsidRDefault="00B0293A" w14:paraId="22335F82" w14:textId="61DE2974">
      <w:pPr>
        <w:pStyle w:val="Standard"/>
      </w:pPr>
      <w:r>
        <w:t>D.18</w:t>
      </w:r>
      <w:r w:rsidR="00C54EC9">
        <w:noBreakHyphen/>
      </w:r>
      <w:r>
        <w:t>06</w:t>
      </w:r>
      <w:r w:rsidR="00C54EC9">
        <w:noBreakHyphen/>
      </w:r>
      <w:r>
        <w:t>027 required the DAC</w:t>
      </w:r>
      <w:r w:rsidR="00C54EC9">
        <w:noBreakHyphen/>
      </w:r>
      <w:r>
        <w:t xml:space="preserve">SASH program to incorporate job training programs for solar industry workers </w:t>
      </w:r>
      <w:r w:rsidR="00943012">
        <w:t xml:space="preserve">and </w:t>
      </w:r>
      <w:r w:rsidR="00DA42D6">
        <w:t>ensure</w:t>
      </w:r>
      <w:r w:rsidR="00943012">
        <w:t xml:space="preserve"> that </w:t>
      </w:r>
      <w:r>
        <w:t>each project installation</w:t>
      </w:r>
      <w:r w:rsidR="00943012">
        <w:t xml:space="preserve"> supported by the program </w:t>
      </w:r>
      <w:r>
        <w:t>hire at least one eligible job tra</w:t>
      </w:r>
      <w:r w:rsidR="00CA4E50">
        <w:t>i</w:t>
      </w:r>
      <w:r>
        <w:t>nee.</w:t>
      </w:r>
      <w:r>
        <w:rPr>
          <w:rStyle w:val="FootnoteReference"/>
        </w:rPr>
        <w:footnoteReference w:id="58"/>
      </w:r>
      <w:r w:rsidR="00CA4E50">
        <w:t xml:space="preserve"> </w:t>
      </w:r>
      <w:r w:rsidR="000E02FB">
        <w:t>In D.18</w:t>
      </w:r>
      <w:r w:rsidR="00C54EC9">
        <w:noBreakHyphen/>
      </w:r>
      <w:r w:rsidR="000E02FB">
        <w:t>06</w:t>
      </w:r>
      <w:r w:rsidR="00C54EC9">
        <w:noBreakHyphen/>
      </w:r>
      <w:r w:rsidR="000E02FB">
        <w:t>027, the Commission</w:t>
      </w:r>
      <w:r w:rsidR="00CA4E50">
        <w:t xml:space="preserve"> specified six relevant job tasks that would be served by the job training program: installing electrical components</w:t>
      </w:r>
      <w:r w:rsidR="00FD33F6">
        <w:t>;</w:t>
      </w:r>
      <w:r w:rsidR="00CA4E50">
        <w:t xml:space="preserve"> installing mechanical components</w:t>
      </w:r>
      <w:r w:rsidR="00FD33F6">
        <w:t>;</w:t>
      </w:r>
      <w:r w:rsidR="00CA4E50">
        <w:t xml:space="preserve"> completing system installations</w:t>
      </w:r>
      <w:r w:rsidR="00FD33F6">
        <w:t>;</w:t>
      </w:r>
      <w:r w:rsidR="00CA4E50">
        <w:t xml:space="preserve"> conducting maintenance and troubleshooting activities</w:t>
      </w:r>
      <w:r w:rsidR="00FD33F6">
        <w:t>;</w:t>
      </w:r>
      <w:r w:rsidR="00CA4E50">
        <w:t xml:space="preserve"> designing systems</w:t>
      </w:r>
      <w:r w:rsidR="00FD33F6">
        <w:t>;</w:t>
      </w:r>
      <w:r w:rsidR="00CA4E50">
        <w:t xml:space="preserve"> and project management.</w:t>
      </w:r>
      <w:r w:rsidR="00943012">
        <w:rPr>
          <w:rStyle w:val="FootnoteReference"/>
        </w:rPr>
        <w:footnoteReference w:id="59"/>
      </w:r>
      <w:r w:rsidR="00F144E3">
        <w:t xml:space="preserve"> Due to insufficient data </w:t>
      </w:r>
      <w:r w:rsidR="00CC0578">
        <w:t xml:space="preserve">collected </w:t>
      </w:r>
      <w:r w:rsidR="00F144E3">
        <w:t>by GRID, the DAC</w:t>
      </w:r>
      <w:r w:rsidR="00C54EC9">
        <w:noBreakHyphen/>
      </w:r>
      <w:r w:rsidR="00F144E3">
        <w:t>SASH 2022</w:t>
      </w:r>
      <w:r w:rsidR="00C54EC9">
        <w:noBreakHyphen/>
      </w:r>
      <w:r w:rsidR="00F144E3">
        <w:t>2024 Evaluation Report could not assess job trainees</w:t>
      </w:r>
      <w:r w:rsidR="008230EB">
        <w:t>’</w:t>
      </w:r>
      <w:r w:rsidR="00F144E3">
        <w:t xml:space="preserve"> experiences working on DAC</w:t>
      </w:r>
      <w:r w:rsidR="00C54EC9">
        <w:noBreakHyphen/>
      </w:r>
      <w:r w:rsidR="00F144E3">
        <w:t>SASH projects</w:t>
      </w:r>
      <w:r w:rsidR="00943012">
        <w:t>,</w:t>
      </w:r>
      <w:r w:rsidR="00F144E3">
        <w:t xml:space="preserve"> the skills or knowledge gained </w:t>
      </w:r>
      <w:r w:rsidR="00943012">
        <w:t>in the program, or</w:t>
      </w:r>
      <w:r w:rsidR="00F144E3">
        <w:t xml:space="preserve"> whether the training helped people secure longer</w:t>
      </w:r>
      <w:r w:rsidR="00C54EC9">
        <w:noBreakHyphen/>
      </w:r>
      <w:r w:rsidR="00F144E3">
        <w:t>term employment within a clean energy field.</w:t>
      </w:r>
      <w:r w:rsidR="00F144E3">
        <w:rPr>
          <w:rStyle w:val="FootnoteReference"/>
        </w:rPr>
        <w:footnoteReference w:id="60"/>
      </w:r>
    </w:p>
    <w:p w:rsidR="00CA4E50" w:rsidP="00B0293A" w:rsidRDefault="00C459BC" w14:paraId="3F5319C6" w14:textId="1DEEABF9">
      <w:pPr>
        <w:pStyle w:val="Standard"/>
      </w:pPr>
      <w:r>
        <w:lastRenderedPageBreak/>
        <w:t xml:space="preserve">The </w:t>
      </w:r>
      <w:r w:rsidR="008230EB">
        <w:t>January </w:t>
      </w:r>
      <w:r>
        <w:t>26 Ruling noted that the DAC</w:t>
      </w:r>
      <w:r w:rsidR="00C54EC9">
        <w:noBreakHyphen/>
      </w:r>
      <w:r>
        <w:t>SASH program</w:t>
      </w:r>
      <w:r w:rsidR="008230EB">
        <w:t>’</w:t>
      </w:r>
      <w:r>
        <w:t>s job training</w:t>
      </w:r>
      <w:r w:rsidR="00EC081E">
        <w:t xml:space="preserve"> and workforce development</w:t>
      </w:r>
      <w:r>
        <w:t xml:space="preserve"> requirements have remained largely unchanged from </w:t>
      </w:r>
      <w:r w:rsidR="00DA42D6">
        <w:t>similar requirements in th</w:t>
      </w:r>
      <w:r>
        <w:t xml:space="preserve">e predecessor </w:t>
      </w:r>
      <w:r w:rsidR="00BC36A7">
        <w:t>Singly</w:t>
      </w:r>
      <w:r w:rsidR="00C54EC9">
        <w:noBreakHyphen/>
      </w:r>
      <w:r w:rsidR="00BC36A7">
        <w:t xml:space="preserve">family Affordable Solar Homes </w:t>
      </w:r>
      <w:r w:rsidR="004E6485">
        <w:t>(</w:t>
      </w:r>
      <w:r>
        <w:t>SASH</w:t>
      </w:r>
      <w:r w:rsidR="004E6485">
        <w:t>)</w:t>
      </w:r>
      <w:r>
        <w:t xml:space="preserve"> program </w:t>
      </w:r>
      <w:r w:rsidR="00943012">
        <w:t xml:space="preserve">developed in </w:t>
      </w:r>
      <w:r>
        <w:t>2007.</w:t>
      </w:r>
      <w:r>
        <w:rPr>
          <w:rStyle w:val="FootnoteReference"/>
        </w:rPr>
        <w:footnoteReference w:id="61"/>
      </w:r>
      <w:r w:rsidR="00034B91">
        <w:t xml:space="preserve"> The </w:t>
      </w:r>
      <w:r w:rsidR="008230EB">
        <w:t>January </w:t>
      </w:r>
      <w:r w:rsidR="00034B91">
        <w:t>26 Ruling ask</w:t>
      </w:r>
      <w:r w:rsidR="00F144E3">
        <w:t>ed</w:t>
      </w:r>
      <w:r w:rsidR="00034B91">
        <w:t xml:space="preserve"> </w:t>
      </w:r>
      <w:r w:rsidR="0033021B">
        <w:t>whether</w:t>
      </w:r>
      <w:r w:rsidR="00EC081E">
        <w:t xml:space="preserve"> job training and</w:t>
      </w:r>
      <w:r w:rsidR="00034B91">
        <w:t xml:space="preserve"> workforce development are still needed </w:t>
      </w:r>
      <w:r w:rsidR="008230EB">
        <w:t>“</w:t>
      </w:r>
      <w:r w:rsidR="00034B91">
        <w:t>[g]iven that the solar market has matured and broadened into DACs and low</w:t>
      </w:r>
      <w:r w:rsidR="00C54EC9">
        <w:noBreakHyphen/>
      </w:r>
      <w:r w:rsidR="00034B91">
        <w:t>income communities.</w:t>
      </w:r>
      <w:r w:rsidR="008230EB">
        <w:t>”</w:t>
      </w:r>
      <w:r w:rsidR="00034B91">
        <w:rPr>
          <w:rStyle w:val="FootnoteReference"/>
        </w:rPr>
        <w:footnoteReference w:id="62"/>
      </w:r>
      <w:r w:rsidR="00034B91">
        <w:t xml:space="preserve"> Additionally, the </w:t>
      </w:r>
      <w:r w:rsidR="008230EB">
        <w:t>January </w:t>
      </w:r>
      <w:r w:rsidR="00034B91">
        <w:t>26 Ruling ask</w:t>
      </w:r>
      <w:r w:rsidR="00F144E3">
        <w:t>ed</w:t>
      </w:r>
      <w:r w:rsidR="00034B91">
        <w:t xml:space="preserve"> whether the job task analysis categories </w:t>
      </w:r>
      <w:r w:rsidR="0033021B">
        <w:t>listed</w:t>
      </w:r>
      <w:r w:rsidR="00034B91">
        <w:t xml:space="preserve"> from D.18</w:t>
      </w:r>
      <w:r w:rsidR="00C54EC9">
        <w:noBreakHyphen/>
      </w:r>
      <w:r w:rsidR="00034B91">
        <w:t>06</w:t>
      </w:r>
      <w:r w:rsidR="00C54EC9">
        <w:noBreakHyphen/>
      </w:r>
      <w:r w:rsidR="00034B91">
        <w:t xml:space="preserve">027 should still be considered a </w:t>
      </w:r>
      <w:r w:rsidR="008230EB">
        <w:t>“</w:t>
      </w:r>
      <w:r w:rsidR="00034B91">
        <w:t>high road</w:t>
      </w:r>
      <w:r w:rsidR="008230EB">
        <w:t>”</w:t>
      </w:r>
      <w:r w:rsidR="00034B91">
        <w:t xml:space="preserve"> career path pursuant to Unemployment Insurance Code </w:t>
      </w:r>
      <w:r w:rsidR="00210A78">
        <w:t>Section</w:t>
      </w:r>
      <w:r w:rsidR="002F23D7">
        <w:t> </w:t>
      </w:r>
      <w:r w:rsidR="00034B91">
        <w:t>14005(r) and (s).</w:t>
      </w:r>
    </w:p>
    <w:p w:rsidR="00553A02" w:rsidP="00B0293A" w:rsidRDefault="00034B91" w14:paraId="751BF418" w14:textId="4E4DB518">
      <w:pPr>
        <w:pStyle w:val="Standard"/>
      </w:pPr>
      <w:r>
        <w:t>GRID states that job training and workforce development are still needed as part of DAC</w:t>
      </w:r>
      <w:r w:rsidR="00C54EC9">
        <w:noBreakHyphen/>
      </w:r>
      <w:r>
        <w:t>SASH because DACs still suffer low employment rates and the DAC</w:t>
      </w:r>
      <w:r w:rsidR="00C54EC9">
        <w:noBreakHyphen/>
      </w:r>
      <w:r>
        <w:t>SASH training programs have increase</w:t>
      </w:r>
      <w:r w:rsidR="00147E76">
        <w:t>d</w:t>
      </w:r>
      <w:r>
        <w:t xml:space="preserve"> employment levels in those communities.</w:t>
      </w:r>
      <w:r>
        <w:rPr>
          <w:rStyle w:val="FootnoteReference"/>
        </w:rPr>
        <w:footnoteReference w:id="63"/>
      </w:r>
      <w:r>
        <w:t xml:space="preserve"> GRID also states</w:t>
      </w:r>
      <w:r w:rsidR="00943012">
        <w:t xml:space="preserve"> that</w:t>
      </w:r>
      <w:r>
        <w:t xml:space="preserve"> solar industry jobs should still be considered </w:t>
      </w:r>
      <w:r w:rsidR="008230EB">
        <w:t>“</w:t>
      </w:r>
      <w:r>
        <w:t>high road</w:t>
      </w:r>
      <w:r w:rsidR="008230EB">
        <w:t>”</w:t>
      </w:r>
      <w:r>
        <w:t xml:space="preserve"> positions </w:t>
      </w:r>
      <w:r w:rsidR="00147E76">
        <w:t>because</w:t>
      </w:r>
      <w:r>
        <w:t xml:space="preserve"> they help prepare people for high</w:t>
      </w:r>
      <w:r w:rsidR="003A1906">
        <w:t xml:space="preserve"> </w:t>
      </w:r>
      <w:r>
        <w:t>road careers in the construction and electrical trades.</w:t>
      </w:r>
      <w:r>
        <w:rPr>
          <w:rStyle w:val="FootnoteReference"/>
        </w:rPr>
        <w:footnoteReference w:id="64"/>
      </w:r>
      <w:r w:rsidR="00D21D61">
        <w:t xml:space="preserve"> </w:t>
      </w:r>
      <w:r w:rsidR="00147E76">
        <w:t xml:space="preserve">Finally, </w:t>
      </w:r>
      <w:r w:rsidR="004D7475">
        <w:t xml:space="preserve">GRID </w:t>
      </w:r>
      <w:r w:rsidR="00147E76">
        <w:t>write</w:t>
      </w:r>
      <w:r w:rsidR="004D7475">
        <w:t>s that it is committed to collaborating with employers and other industry stakeholders to find opportunities for improving solar industry job quality including by building out a mission</w:t>
      </w:r>
      <w:r w:rsidR="00C54EC9">
        <w:noBreakHyphen/>
      </w:r>
      <w:r w:rsidR="004D7475">
        <w:t>aligned contractor network.</w:t>
      </w:r>
      <w:r w:rsidR="004D7475">
        <w:rPr>
          <w:rStyle w:val="FootnoteReference"/>
        </w:rPr>
        <w:footnoteReference w:id="65"/>
      </w:r>
    </w:p>
    <w:p w:rsidR="00024945" w:rsidP="00C94D93" w:rsidRDefault="00553A02" w14:paraId="5698D741" w14:textId="43230CD9">
      <w:pPr>
        <w:pStyle w:val="Standard"/>
      </w:pPr>
      <w:r>
        <w:t xml:space="preserve">PG&amp;E states that </w:t>
      </w:r>
      <w:r w:rsidR="008230EB">
        <w:t>“</w:t>
      </w:r>
      <w:r>
        <w:t>[f]</w:t>
      </w:r>
      <w:r w:rsidRPr="00553A02">
        <w:t>unding allocated to workforce development and job training efforts from the DAC</w:t>
      </w:r>
      <w:r w:rsidR="00C54EC9">
        <w:noBreakHyphen/>
      </w:r>
      <w:r w:rsidRPr="00553A02">
        <w:t xml:space="preserve">SASH budget is funding that cannot be used to </w:t>
      </w:r>
      <w:r w:rsidRPr="00553A02">
        <w:lastRenderedPageBreak/>
        <w:t>provide solar to low</w:t>
      </w:r>
      <w:r w:rsidR="00C54EC9">
        <w:noBreakHyphen/>
      </w:r>
      <w:r w:rsidRPr="00553A02">
        <w:t>income residents.</w:t>
      </w:r>
      <w:r w:rsidR="008230EB">
        <w:t>”</w:t>
      </w:r>
      <w:r>
        <w:rPr>
          <w:rStyle w:val="FootnoteReference"/>
        </w:rPr>
        <w:footnoteReference w:id="66"/>
      </w:r>
      <w:r>
        <w:t xml:space="preserve"> PG&amp;E does not take a position on whether the job task categories listed in D.18</w:t>
      </w:r>
      <w:r w:rsidR="00C54EC9">
        <w:noBreakHyphen/>
      </w:r>
      <w:r>
        <w:t>06</w:t>
      </w:r>
      <w:r w:rsidR="00C54EC9">
        <w:noBreakHyphen/>
      </w:r>
      <w:r>
        <w:t xml:space="preserve">027 should be considered </w:t>
      </w:r>
      <w:r w:rsidR="008230EB">
        <w:t>“</w:t>
      </w:r>
      <w:r>
        <w:t>high road</w:t>
      </w:r>
      <w:r w:rsidR="008230EB">
        <w:t>”</w:t>
      </w:r>
      <w:r>
        <w:t xml:space="preserve"> jobs.</w:t>
      </w:r>
      <w:r>
        <w:rPr>
          <w:rStyle w:val="FootnoteReference"/>
        </w:rPr>
        <w:footnoteReference w:id="67"/>
      </w:r>
      <w:r w:rsidR="00B2603D">
        <w:t xml:space="preserve"> PG&amp;E</w:t>
      </w:r>
      <w:r w:rsidR="00147E76">
        <w:t xml:space="preserve"> and </w:t>
      </w:r>
      <w:r w:rsidR="002F7C24">
        <w:t>SDG&amp;E</w:t>
      </w:r>
      <w:r w:rsidR="00B2603D">
        <w:t xml:space="preserve"> support eliminating the requirement for GRID sub</w:t>
      </w:r>
      <w:r w:rsidR="00C54EC9">
        <w:noBreakHyphen/>
      </w:r>
      <w:r w:rsidR="00B2603D">
        <w:t>contractors to hire job trainees</w:t>
      </w:r>
      <w:r w:rsidR="00C94D93">
        <w:t xml:space="preserve">, with SDG&amp;E stating </w:t>
      </w:r>
      <w:r w:rsidR="008230EB">
        <w:t>“</w:t>
      </w:r>
      <w:r w:rsidR="00C94D93">
        <w:t>who GRID hires to perform installation work does not impact the DAC</w:t>
      </w:r>
      <w:r w:rsidR="00C54EC9">
        <w:noBreakHyphen/>
      </w:r>
      <w:r w:rsidR="00C94D93">
        <w:t>SASH program from an incentive</w:t>
      </w:r>
      <w:r w:rsidR="00C54EC9">
        <w:noBreakHyphen/>
      </w:r>
      <w:r w:rsidR="00C94D93">
        <w:t>processing standpoint</w:t>
      </w:r>
      <w:r w:rsidR="00B2603D">
        <w:t>.</w:t>
      </w:r>
      <w:r w:rsidR="008230EB">
        <w:t>”</w:t>
      </w:r>
      <w:r w:rsidR="00B2603D">
        <w:rPr>
          <w:rStyle w:val="FootnoteReference"/>
        </w:rPr>
        <w:footnoteReference w:id="68"/>
      </w:r>
    </w:p>
    <w:p w:rsidR="00082D22" w:rsidP="00B0293A" w:rsidRDefault="00082D22" w14:paraId="26E65BA2" w14:textId="4088EF12">
      <w:pPr>
        <w:pStyle w:val="Standard"/>
      </w:pPr>
      <w:r>
        <w:t>SCE</w:t>
      </w:r>
      <w:r w:rsidR="00553A02">
        <w:t xml:space="preserve"> and SDG&amp;E </w:t>
      </w:r>
      <w:r w:rsidR="00943012">
        <w:t>do not take a</w:t>
      </w:r>
      <w:r>
        <w:t xml:space="preserve"> position on the job training</w:t>
      </w:r>
      <w:r w:rsidR="002F7C24">
        <w:t>,</w:t>
      </w:r>
      <w:r>
        <w:t xml:space="preserve"> </w:t>
      </w:r>
      <w:r w:rsidR="008230EB">
        <w:t>“</w:t>
      </w:r>
      <w:r>
        <w:t>high road</w:t>
      </w:r>
      <w:r w:rsidR="008230EB">
        <w:t>”</w:t>
      </w:r>
      <w:r>
        <w:t xml:space="preserve"> careers</w:t>
      </w:r>
      <w:r w:rsidR="002F7C24">
        <w:t>, and sub</w:t>
      </w:r>
      <w:r w:rsidR="00C54EC9">
        <w:noBreakHyphen/>
      </w:r>
      <w:r w:rsidR="002F7C24">
        <w:t xml:space="preserve">contractor hiring </w:t>
      </w:r>
      <w:r w:rsidR="00943012">
        <w:t>questions posed in the Scoping Ruling and Memo</w:t>
      </w:r>
      <w:r>
        <w:t>.</w:t>
      </w:r>
      <w:r>
        <w:rPr>
          <w:rStyle w:val="FootnoteReference"/>
        </w:rPr>
        <w:footnoteReference w:id="69"/>
      </w:r>
    </w:p>
    <w:p w:rsidR="00024945" w:rsidP="00F73D43" w:rsidRDefault="00553A02" w14:paraId="0AAC9B7D" w14:textId="7682E08E">
      <w:pPr>
        <w:pStyle w:val="Standard"/>
      </w:pPr>
      <w:r>
        <w:t xml:space="preserve">The Commission agrees with PG&amp;E that </w:t>
      </w:r>
      <w:r w:rsidR="00EC081E">
        <w:t xml:space="preserve">maintaining </w:t>
      </w:r>
      <w:r>
        <w:t xml:space="preserve">funding allocated to </w:t>
      </w:r>
      <w:r w:rsidR="00EC081E">
        <w:t xml:space="preserve">job training and </w:t>
      </w:r>
      <w:r>
        <w:t>workforce development</w:t>
      </w:r>
      <w:r w:rsidR="00943012">
        <w:t xml:space="preserve"> le</w:t>
      </w:r>
      <w:r w:rsidR="00E74182">
        <w:t>aves less</w:t>
      </w:r>
      <w:r w:rsidR="005F0FAA">
        <w:t xml:space="preserve"> funds available to </w:t>
      </w:r>
      <w:r>
        <w:t xml:space="preserve">incentivize solar </w:t>
      </w:r>
      <w:r w:rsidR="00943012">
        <w:t xml:space="preserve">installations </w:t>
      </w:r>
      <w:r>
        <w:t>for low</w:t>
      </w:r>
      <w:r w:rsidR="00C54EC9">
        <w:noBreakHyphen/>
      </w:r>
      <w:r>
        <w:t xml:space="preserve">income residents. </w:t>
      </w:r>
      <w:r w:rsidR="00F73D43">
        <w:t xml:space="preserve">The solar industry has also evolved substantially since the job training requirements were implemented </w:t>
      </w:r>
      <w:r w:rsidR="00147E76">
        <w:t xml:space="preserve">as part of SASH </w:t>
      </w:r>
      <w:r w:rsidR="00F73D43">
        <w:t xml:space="preserve">in 2007, and it is unclear whether job training programs are actually helping people build </w:t>
      </w:r>
      <w:r w:rsidR="008230EB">
        <w:t>“</w:t>
      </w:r>
      <w:r w:rsidR="00F73D43">
        <w:t>high road</w:t>
      </w:r>
      <w:r w:rsidR="008230EB">
        <w:t>”</w:t>
      </w:r>
      <w:r w:rsidR="00F73D43">
        <w:t xml:space="preserve"> careers in the solar industry. Given the lack of useful data about such programs</w:t>
      </w:r>
      <w:r w:rsidR="00943012">
        <w:t xml:space="preserve"> so far</w:t>
      </w:r>
      <w:r w:rsidR="0034275A">
        <w:t xml:space="preserve"> into the DAC</w:t>
      </w:r>
      <w:r w:rsidR="00C54EC9">
        <w:noBreakHyphen/>
      </w:r>
      <w:r w:rsidR="0034275A">
        <w:t>SASH program</w:t>
      </w:r>
      <w:r w:rsidR="00934348">
        <w:t xml:space="preserve"> design</w:t>
      </w:r>
      <w:r w:rsidR="008230EB">
        <w:t>’</w:t>
      </w:r>
      <w:r w:rsidR="00934348">
        <w:t>s lifespan</w:t>
      </w:r>
      <w:r w:rsidR="00F73D43">
        <w:t xml:space="preserve">, the Commission </w:t>
      </w:r>
      <w:r w:rsidR="00943012">
        <w:t>finds</w:t>
      </w:r>
      <w:r w:rsidR="00F73D43">
        <w:t xml:space="preserve"> that removing the job training</w:t>
      </w:r>
      <w:r w:rsidR="00EC081E">
        <w:t xml:space="preserve"> and </w:t>
      </w:r>
      <w:r w:rsidR="00F73D43">
        <w:t>workforce development requirement from the DAC</w:t>
      </w:r>
      <w:r w:rsidR="00C54EC9">
        <w:noBreakHyphen/>
      </w:r>
      <w:r w:rsidR="00F73D43">
        <w:t xml:space="preserve">SASH </w:t>
      </w:r>
      <w:r w:rsidR="00635944">
        <w:t>Program H</w:t>
      </w:r>
      <w:r w:rsidR="00F73D43">
        <w:t>andbook will ensure that funding</w:t>
      </w:r>
      <w:r w:rsidR="00290D84">
        <w:t xml:space="preserve"> and administrative resources remain</w:t>
      </w:r>
      <w:r w:rsidR="00F73D43">
        <w:t xml:space="preserve"> available to complete </w:t>
      </w:r>
      <w:r w:rsidR="00943012">
        <w:t xml:space="preserve">solar installation </w:t>
      </w:r>
      <w:r w:rsidR="00F73D43">
        <w:t>projects</w:t>
      </w:r>
      <w:r w:rsidR="00943012">
        <w:t xml:space="preserve"> rather than support job training programs with unclear </w:t>
      </w:r>
      <w:r w:rsidR="00943012">
        <w:lastRenderedPageBreak/>
        <w:t>impacts</w:t>
      </w:r>
      <w:r w:rsidR="00F73D43">
        <w:t xml:space="preserve">. </w:t>
      </w:r>
      <w:r w:rsidR="002F7C24">
        <w:t xml:space="preserve">As a result, the Commission also supports eliminating the </w:t>
      </w:r>
      <w:r w:rsidR="00367281">
        <w:t>requirement</w:t>
      </w:r>
      <w:r w:rsidR="002F7C24">
        <w:t xml:space="preserve"> that DAC</w:t>
      </w:r>
      <w:r w:rsidR="00C54EC9">
        <w:noBreakHyphen/>
      </w:r>
      <w:r w:rsidR="002F7C24">
        <w:t>SASH sub</w:t>
      </w:r>
      <w:r w:rsidR="00C54EC9">
        <w:noBreakHyphen/>
      </w:r>
      <w:r w:rsidR="002F7C24">
        <w:t>contractors hire trainees from the program.</w:t>
      </w:r>
    </w:p>
    <w:p w:rsidR="00024945" w:rsidP="00F73D43" w:rsidRDefault="0033021B" w14:paraId="1532FB85" w14:textId="77AC5185">
      <w:pPr>
        <w:pStyle w:val="Standard"/>
      </w:pPr>
      <w:r>
        <w:t>Accordingly</w:t>
      </w:r>
      <w:r w:rsidR="00F73D43">
        <w:t>, this decision removes job training</w:t>
      </w:r>
      <w:r w:rsidR="00EC081E">
        <w:t xml:space="preserve"> and </w:t>
      </w:r>
      <w:r w:rsidR="00F73D43">
        <w:t>workforce development</w:t>
      </w:r>
      <w:r w:rsidR="002055CF">
        <w:t>,</w:t>
      </w:r>
      <w:r w:rsidR="002F7C24">
        <w:t xml:space="preserve"> as well as trainee hiring requirements for DAC</w:t>
      </w:r>
      <w:r w:rsidR="00C54EC9">
        <w:noBreakHyphen/>
      </w:r>
      <w:r w:rsidR="002F7C24">
        <w:t xml:space="preserve">SASH subcontractors </w:t>
      </w:r>
      <w:r w:rsidR="00F73D43">
        <w:t>completely from the DAC</w:t>
      </w:r>
      <w:r w:rsidR="00C54EC9">
        <w:noBreakHyphen/>
      </w:r>
      <w:r w:rsidR="00F73D43">
        <w:t xml:space="preserve">SASH </w:t>
      </w:r>
      <w:r w:rsidR="00635944">
        <w:t>Program H</w:t>
      </w:r>
      <w:r w:rsidR="00F73D43">
        <w:t>andbook.</w:t>
      </w:r>
    </w:p>
    <w:p w:rsidR="009476CA" w:rsidP="009476CA" w:rsidRDefault="009476CA" w14:paraId="3AF53A72" w14:textId="1AD5BFFD">
      <w:pPr>
        <w:pStyle w:val="Heading1"/>
        <w:tabs>
          <w:tab w:val="left" w:pos="3330"/>
        </w:tabs>
      </w:pPr>
      <w:bookmarkStart w:name="_Toc236292541" w:id="29"/>
      <w:bookmarkStart w:name="_Toc242090708" w:id="30"/>
      <w:r>
        <w:t>Battery Storage Incentives</w:t>
      </w:r>
      <w:bookmarkEnd w:id="29"/>
      <w:bookmarkEnd w:id="30"/>
    </w:p>
    <w:p w:rsidR="009476CA" w:rsidP="009476CA" w:rsidRDefault="009476CA" w14:paraId="6CCFFB68" w14:textId="4DB76698">
      <w:pPr>
        <w:pStyle w:val="Standard"/>
        <w:rPr>
          <w:rFonts w:eastAsia="Cambria" w:cs="Cambria"/>
          <w:szCs w:val="26"/>
        </w:rPr>
      </w:pPr>
      <w:r>
        <w:rPr>
          <w:rFonts w:eastAsia="Cambria" w:cs="Cambria"/>
          <w:szCs w:val="26"/>
        </w:rPr>
        <w:t>GRID submitted Advice Letter</w:t>
      </w:r>
      <w:r w:rsidR="00BB24A8">
        <w:rPr>
          <w:rFonts w:eastAsia="Cambria" w:cs="Cambria"/>
          <w:szCs w:val="26"/>
        </w:rPr>
        <w:t> </w:t>
      </w:r>
      <w:r>
        <w:rPr>
          <w:rFonts w:eastAsia="Cambria" w:cs="Cambria"/>
          <w:szCs w:val="26"/>
        </w:rPr>
        <w:t>20</w:t>
      </w:r>
      <w:r w:rsidR="00C54EC9">
        <w:rPr>
          <w:rFonts w:eastAsia="Cambria" w:cs="Cambria"/>
          <w:szCs w:val="26"/>
        </w:rPr>
        <w:noBreakHyphen/>
      </w:r>
      <w:r>
        <w:rPr>
          <w:rFonts w:eastAsia="Cambria" w:cs="Cambria"/>
          <w:szCs w:val="26"/>
        </w:rPr>
        <w:t xml:space="preserve">E on </w:t>
      </w:r>
      <w:r w:rsidR="008230EB">
        <w:rPr>
          <w:rFonts w:eastAsia="Cambria" w:cs="Cambria"/>
          <w:szCs w:val="26"/>
        </w:rPr>
        <w:t>September </w:t>
      </w:r>
      <w:r>
        <w:rPr>
          <w:rFonts w:eastAsia="Cambria" w:cs="Cambria"/>
          <w:szCs w:val="26"/>
        </w:rPr>
        <w:t>15, 2025 seeking to expand eligible equipment within the DAC</w:t>
      </w:r>
      <w:r w:rsidR="00C54EC9">
        <w:rPr>
          <w:rFonts w:eastAsia="Cambria" w:cs="Cambria"/>
          <w:szCs w:val="26"/>
        </w:rPr>
        <w:noBreakHyphen/>
      </w:r>
      <w:r>
        <w:rPr>
          <w:rFonts w:eastAsia="Cambria" w:cs="Cambria"/>
          <w:szCs w:val="26"/>
        </w:rPr>
        <w:t>SASH Program Handbook to include solar</w:t>
      </w:r>
      <w:r w:rsidR="00C54EC9">
        <w:rPr>
          <w:rFonts w:eastAsia="Cambria" w:cs="Cambria"/>
          <w:szCs w:val="26"/>
        </w:rPr>
        <w:noBreakHyphen/>
      </w:r>
      <w:r>
        <w:rPr>
          <w:rFonts w:eastAsia="Cambria" w:cs="Cambria"/>
          <w:szCs w:val="26"/>
        </w:rPr>
        <w:t>paired storage at a non</w:t>
      </w:r>
      <w:r w:rsidR="00C54EC9">
        <w:rPr>
          <w:rFonts w:eastAsia="Cambria" w:cs="Cambria"/>
          <w:szCs w:val="26"/>
        </w:rPr>
        <w:noBreakHyphen/>
      </w:r>
      <w:r>
        <w:rPr>
          <w:rFonts w:eastAsia="Cambria" w:cs="Cambria"/>
          <w:szCs w:val="26"/>
        </w:rPr>
        <w:t>declining incentive level of $1,000 per kilowatt</w:t>
      </w:r>
      <w:r w:rsidR="00C54EC9">
        <w:rPr>
          <w:rFonts w:eastAsia="Cambria" w:cs="Cambria"/>
          <w:szCs w:val="26"/>
        </w:rPr>
        <w:noBreakHyphen/>
      </w:r>
      <w:r>
        <w:rPr>
          <w:rFonts w:eastAsia="Cambria" w:cs="Cambria"/>
          <w:szCs w:val="26"/>
        </w:rPr>
        <w:t>hour.</w:t>
      </w:r>
      <w:r>
        <w:rPr>
          <w:rStyle w:val="FootnoteReference"/>
          <w:rFonts w:eastAsia="Cambria" w:cs="Cambria"/>
          <w:szCs w:val="26"/>
        </w:rPr>
        <w:footnoteReference w:id="70"/>
      </w:r>
      <w:r>
        <w:rPr>
          <w:rFonts w:eastAsia="Cambria" w:cs="Cambria"/>
          <w:szCs w:val="26"/>
        </w:rPr>
        <w:t xml:space="preserve"> GRID stated that pairing solar systems with battery storage significantly improves savings potential compared to a solar</w:t>
      </w:r>
      <w:r w:rsidR="00C54EC9">
        <w:rPr>
          <w:rFonts w:eastAsia="Cambria" w:cs="Cambria"/>
          <w:szCs w:val="26"/>
        </w:rPr>
        <w:noBreakHyphen/>
      </w:r>
      <w:r>
        <w:rPr>
          <w:rFonts w:eastAsia="Cambria" w:cs="Cambria"/>
          <w:szCs w:val="26"/>
        </w:rPr>
        <w:t>only approach.</w:t>
      </w:r>
      <w:r>
        <w:rPr>
          <w:rStyle w:val="FootnoteReference"/>
          <w:rFonts w:eastAsia="Cambria" w:cs="Cambria"/>
          <w:szCs w:val="26"/>
        </w:rPr>
        <w:footnoteReference w:id="71"/>
      </w:r>
      <w:r>
        <w:rPr>
          <w:rFonts w:eastAsia="Cambria" w:cs="Cambria"/>
          <w:szCs w:val="26"/>
        </w:rPr>
        <w:t xml:space="preserve"> The </w:t>
      </w:r>
      <w:r w:rsidR="008230EB">
        <w:rPr>
          <w:rFonts w:eastAsia="Cambria" w:cs="Cambria"/>
          <w:szCs w:val="26"/>
        </w:rPr>
        <w:t>January </w:t>
      </w:r>
      <w:r>
        <w:rPr>
          <w:rFonts w:eastAsia="Cambria" w:cs="Cambria"/>
          <w:szCs w:val="26"/>
        </w:rPr>
        <w:t>26 Ruling asked parties to comment on whether the DAC</w:t>
      </w:r>
      <w:r w:rsidR="00C54EC9">
        <w:rPr>
          <w:rFonts w:eastAsia="Cambria" w:cs="Cambria"/>
          <w:szCs w:val="26"/>
        </w:rPr>
        <w:noBreakHyphen/>
      </w:r>
      <w:r>
        <w:rPr>
          <w:rFonts w:eastAsia="Cambria" w:cs="Cambria"/>
          <w:szCs w:val="26"/>
        </w:rPr>
        <w:t xml:space="preserve">SASH program incentive level should be increased to incentivize batteries as proposed by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w:t>
      </w:r>
      <w:r>
        <w:rPr>
          <w:rStyle w:val="FootnoteReference"/>
          <w:rFonts w:eastAsia="Cambria" w:cs="Cambria"/>
          <w:szCs w:val="26"/>
        </w:rPr>
        <w:footnoteReference w:id="72"/>
      </w:r>
    </w:p>
    <w:p w:rsidR="009476CA" w:rsidP="009476CA" w:rsidRDefault="009476CA" w14:paraId="01ECB660" w14:textId="37510BE1">
      <w:pPr>
        <w:pStyle w:val="Standard"/>
        <w:rPr>
          <w:rFonts w:eastAsia="Cambria" w:cs="Cambria"/>
          <w:szCs w:val="26"/>
        </w:rPr>
      </w:pPr>
      <w:r>
        <w:rPr>
          <w:rFonts w:eastAsia="Cambria" w:cs="Cambria"/>
          <w:szCs w:val="26"/>
        </w:rPr>
        <w:t xml:space="preserve">GRID responded to the </w:t>
      </w:r>
      <w:r w:rsidR="008230EB">
        <w:rPr>
          <w:rFonts w:eastAsia="Cambria" w:cs="Cambria"/>
          <w:szCs w:val="26"/>
        </w:rPr>
        <w:t>January </w:t>
      </w:r>
      <w:r>
        <w:rPr>
          <w:rFonts w:eastAsia="Cambria" w:cs="Cambria"/>
          <w:szCs w:val="26"/>
        </w:rPr>
        <w:t xml:space="preserve">26 Ruling by stating that it has leveraged other funding sources such as SGIP incentives since filing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 to support solar</w:t>
      </w:r>
      <w:r w:rsidR="00C54EC9">
        <w:rPr>
          <w:rFonts w:eastAsia="Cambria" w:cs="Cambria"/>
          <w:szCs w:val="26"/>
        </w:rPr>
        <w:noBreakHyphen/>
      </w:r>
      <w:r>
        <w:rPr>
          <w:rFonts w:eastAsia="Cambria" w:cs="Cambria"/>
          <w:szCs w:val="26"/>
        </w:rPr>
        <w:t>and</w:t>
      </w:r>
      <w:r w:rsidR="00C54EC9">
        <w:rPr>
          <w:rFonts w:eastAsia="Cambria" w:cs="Cambria"/>
          <w:szCs w:val="26"/>
        </w:rPr>
        <w:noBreakHyphen/>
      </w:r>
      <w:r>
        <w:rPr>
          <w:rFonts w:eastAsia="Cambria" w:cs="Cambria"/>
          <w:szCs w:val="26"/>
        </w:rPr>
        <w:t>battery storage installations, but that the SGIP funding is no longer available.</w:t>
      </w:r>
      <w:r>
        <w:rPr>
          <w:rStyle w:val="FootnoteReference"/>
          <w:rFonts w:eastAsia="Cambria" w:cs="Cambria"/>
          <w:szCs w:val="26"/>
        </w:rPr>
        <w:footnoteReference w:id="73"/>
      </w:r>
      <w:r>
        <w:rPr>
          <w:rFonts w:eastAsia="Cambria" w:cs="Cambria"/>
          <w:szCs w:val="26"/>
        </w:rPr>
        <w:t xml:space="preserve"> GRID states in its response: </w:t>
      </w:r>
      <w:r w:rsidR="008230EB">
        <w:rPr>
          <w:rFonts w:eastAsia="Cambria" w:cs="Cambria"/>
          <w:szCs w:val="26"/>
        </w:rPr>
        <w:t>“</w:t>
      </w:r>
      <w:r w:rsidRPr="008108F6">
        <w:rPr>
          <w:rFonts w:eastAsia="Cambria" w:cs="Cambria"/>
          <w:szCs w:val="26"/>
        </w:rPr>
        <w:t>With this funding source no longer available for future DAC</w:t>
      </w:r>
      <w:r w:rsidR="00C54EC9">
        <w:rPr>
          <w:rFonts w:eastAsia="Cambria" w:cs="Cambria"/>
          <w:szCs w:val="26"/>
        </w:rPr>
        <w:noBreakHyphen/>
      </w:r>
      <w:r w:rsidRPr="008108F6">
        <w:rPr>
          <w:rFonts w:eastAsia="Cambria" w:cs="Cambria"/>
          <w:szCs w:val="26"/>
        </w:rPr>
        <w:t>SASH projects, it is now all the more important that the Commission approve a storage incentive within the DAC</w:t>
      </w:r>
      <w:r w:rsidR="00C54EC9">
        <w:rPr>
          <w:rFonts w:eastAsia="Cambria" w:cs="Cambria"/>
          <w:szCs w:val="26"/>
        </w:rPr>
        <w:noBreakHyphen/>
      </w:r>
      <w:r w:rsidRPr="008108F6">
        <w:rPr>
          <w:rFonts w:eastAsia="Cambria" w:cs="Cambria"/>
          <w:szCs w:val="26"/>
        </w:rPr>
        <w:t>SASH Program</w:t>
      </w:r>
      <w:r>
        <w:rPr>
          <w:rFonts w:eastAsia="Cambria" w:cs="Cambria"/>
          <w:szCs w:val="26"/>
        </w:rPr>
        <w:t>.</w:t>
      </w:r>
      <w:r w:rsidR="008230EB">
        <w:rPr>
          <w:rFonts w:eastAsia="Cambria" w:cs="Cambria"/>
          <w:szCs w:val="26"/>
        </w:rPr>
        <w:t>”</w:t>
      </w:r>
      <w:r>
        <w:rPr>
          <w:rStyle w:val="FootnoteReference"/>
          <w:rFonts w:eastAsia="Cambria" w:cs="Cambria"/>
          <w:szCs w:val="26"/>
        </w:rPr>
        <w:footnoteReference w:id="74"/>
      </w:r>
      <w:r>
        <w:rPr>
          <w:rFonts w:eastAsia="Cambria" w:cs="Cambria"/>
          <w:szCs w:val="26"/>
        </w:rPr>
        <w:t xml:space="preserve"> SDCP supports expanding DAC</w:t>
      </w:r>
      <w:r w:rsidR="00C54EC9">
        <w:rPr>
          <w:rFonts w:eastAsia="Cambria" w:cs="Cambria"/>
          <w:szCs w:val="26"/>
        </w:rPr>
        <w:noBreakHyphen/>
      </w:r>
      <w:r>
        <w:rPr>
          <w:rFonts w:eastAsia="Cambria" w:cs="Cambria"/>
          <w:szCs w:val="26"/>
        </w:rPr>
        <w:t>SASH to include battery storage</w:t>
      </w:r>
      <w:r w:rsidR="00290B25">
        <w:rPr>
          <w:rFonts w:eastAsia="Cambria" w:cs="Cambria"/>
          <w:szCs w:val="26"/>
        </w:rPr>
        <w:t>,</w:t>
      </w:r>
      <w:r>
        <w:rPr>
          <w:rFonts w:eastAsia="Cambria" w:cs="Cambria"/>
          <w:szCs w:val="26"/>
        </w:rPr>
        <w:t xml:space="preserve"> as </w:t>
      </w:r>
      <w:r>
        <w:rPr>
          <w:rFonts w:eastAsia="Cambria" w:cs="Cambria"/>
          <w:szCs w:val="26"/>
        </w:rPr>
        <w:lastRenderedPageBreak/>
        <w:t>well as allowing dual enrollment between DAC</w:t>
      </w:r>
      <w:r w:rsidR="00C54EC9">
        <w:rPr>
          <w:rFonts w:eastAsia="Cambria" w:cs="Cambria"/>
          <w:szCs w:val="26"/>
        </w:rPr>
        <w:noBreakHyphen/>
      </w:r>
      <w:r>
        <w:rPr>
          <w:rFonts w:eastAsia="Cambria" w:cs="Cambria"/>
          <w:szCs w:val="26"/>
        </w:rPr>
        <w:t>SASH and complementary incentive programs for batteries both paired and not paired with on</w:t>
      </w:r>
      <w:r w:rsidR="00C54EC9">
        <w:rPr>
          <w:rFonts w:eastAsia="Cambria" w:cs="Cambria"/>
          <w:szCs w:val="26"/>
        </w:rPr>
        <w:noBreakHyphen/>
      </w:r>
      <w:r>
        <w:rPr>
          <w:rFonts w:eastAsia="Cambria" w:cs="Cambria"/>
          <w:szCs w:val="26"/>
        </w:rPr>
        <w:t>site solar generation.</w:t>
      </w:r>
      <w:r>
        <w:rPr>
          <w:rStyle w:val="FootnoteReference"/>
          <w:rFonts w:eastAsia="Cambria" w:cs="Cambria"/>
          <w:szCs w:val="26"/>
        </w:rPr>
        <w:footnoteReference w:id="75"/>
      </w:r>
      <w:r>
        <w:rPr>
          <w:rFonts w:eastAsia="Cambria" w:cs="Cambria"/>
          <w:szCs w:val="26"/>
        </w:rPr>
        <w:t xml:space="preserve"> TEA states that including battery storage in DAC</w:t>
      </w:r>
      <w:r w:rsidR="00C54EC9">
        <w:rPr>
          <w:rFonts w:eastAsia="Cambria" w:cs="Cambria"/>
          <w:szCs w:val="26"/>
        </w:rPr>
        <w:noBreakHyphen/>
      </w:r>
      <w:r>
        <w:rPr>
          <w:rFonts w:eastAsia="Cambria" w:cs="Cambria"/>
          <w:szCs w:val="26"/>
        </w:rPr>
        <w:t xml:space="preserve">SASH can </w:t>
      </w:r>
      <w:r w:rsidR="008230EB">
        <w:rPr>
          <w:rFonts w:eastAsia="Cambria" w:cs="Cambria"/>
          <w:szCs w:val="26"/>
        </w:rPr>
        <w:t>“</w:t>
      </w:r>
      <w:r>
        <w:rPr>
          <w:rFonts w:eastAsia="Cambria" w:cs="Cambria"/>
          <w:szCs w:val="26"/>
        </w:rPr>
        <w:t>advance community resilience in Tribal communities, which are often located in outage</w:t>
      </w:r>
      <w:r w:rsidR="00C54EC9">
        <w:rPr>
          <w:rFonts w:eastAsia="Cambria" w:cs="Cambria"/>
          <w:szCs w:val="26"/>
        </w:rPr>
        <w:noBreakHyphen/>
      </w:r>
      <w:r>
        <w:rPr>
          <w:rFonts w:eastAsia="Cambria" w:cs="Cambria"/>
          <w:szCs w:val="26"/>
        </w:rPr>
        <w:t>prone or remote areas,</w:t>
      </w:r>
      <w:r w:rsidR="008230EB">
        <w:rPr>
          <w:rFonts w:eastAsia="Cambria" w:cs="Cambria"/>
          <w:szCs w:val="26"/>
        </w:rPr>
        <w:t>”</w:t>
      </w:r>
      <w:r>
        <w:rPr>
          <w:rFonts w:eastAsia="Cambria" w:cs="Cambria"/>
          <w:szCs w:val="26"/>
        </w:rPr>
        <w:t xml:space="preserve"> but warns that increased per</w:t>
      </w:r>
      <w:r w:rsidR="00C54EC9">
        <w:rPr>
          <w:rFonts w:eastAsia="Cambria" w:cs="Cambria"/>
          <w:szCs w:val="26"/>
        </w:rPr>
        <w:noBreakHyphen/>
      </w:r>
      <w:r>
        <w:rPr>
          <w:rFonts w:eastAsia="Cambria" w:cs="Cambria"/>
          <w:szCs w:val="26"/>
        </w:rPr>
        <w:t>project costs could crowd out customers in Californian Indian Country.</w:t>
      </w:r>
      <w:r>
        <w:rPr>
          <w:rStyle w:val="FootnoteReference"/>
          <w:rFonts w:eastAsia="Cambria" w:cs="Cambria"/>
          <w:szCs w:val="26"/>
        </w:rPr>
        <w:footnoteReference w:id="76"/>
      </w:r>
      <w:r w:rsidR="00A23CE1">
        <w:rPr>
          <w:rFonts w:eastAsia="Cambria" w:cs="Cambria"/>
          <w:szCs w:val="26"/>
        </w:rPr>
        <w:t xml:space="preserve"> CEJA and CBD also recommend DAC</w:t>
      </w:r>
      <w:r w:rsidR="00C54EC9">
        <w:rPr>
          <w:rFonts w:eastAsia="Cambria" w:cs="Cambria"/>
          <w:szCs w:val="26"/>
        </w:rPr>
        <w:noBreakHyphen/>
      </w:r>
      <w:r w:rsidR="00A23CE1">
        <w:rPr>
          <w:rFonts w:eastAsia="Cambria" w:cs="Cambria"/>
          <w:szCs w:val="26"/>
        </w:rPr>
        <w:t xml:space="preserve">SASH include incentives for pairing storage with solar, writing that </w:t>
      </w:r>
      <w:r w:rsidR="008230EB">
        <w:rPr>
          <w:rFonts w:eastAsia="Cambria" w:cs="Cambria"/>
          <w:szCs w:val="26"/>
        </w:rPr>
        <w:t>“</w:t>
      </w:r>
      <w:r w:rsidR="00A23CE1">
        <w:rPr>
          <w:rFonts w:eastAsia="Cambria" w:cs="Cambria"/>
          <w:szCs w:val="26"/>
        </w:rPr>
        <w:t>[</w:t>
      </w:r>
      <w:r w:rsidR="00210A78">
        <w:rPr>
          <w:rFonts w:eastAsia="Cambria" w:cs="Cambria"/>
          <w:szCs w:val="26"/>
        </w:rPr>
        <w:t>DACs]</w:t>
      </w:r>
      <w:r w:rsidR="00A23CE1">
        <w:rPr>
          <w:rFonts w:eastAsia="Cambria" w:cs="Cambria"/>
          <w:szCs w:val="26"/>
        </w:rPr>
        <w:t xml:space="preserve"> should be accorded at least the same opportunities for self</w:t>
      </w:r>
      <w:r w:rsidR="00C54EC9">
        <w:rPr>
          <w:rFonts w:eastAsia="Cambria" w:cs="Cambria"/>
          <w:szCs w:val="26"/>
        </w:rPr>
        <w:noBreakHyphen/>
      </w:r>
      <w:r w:rsidR="00A23CE1">
        <w:rPr>
          <w:rFonts w:eastAsia="Cambria" w:cs="Cambria"/>
          <w:szCs w:val="26"/>
        </w:rPr>
        <w:t>generation as non</w:t>
      </w:r>
      <w:r w:rsidR="00C54EC9">
        <w:rPr>
          <w:rFonts w:eastAsia="Cambria" w:cs="Cambria"/>
          <w:szCs w:val="26"/>
        </w:rPr>
        <w:noBreakHyphen/>
      </w:r>
      <w:r w:rsidR="00A23CE1">
        <w:rPr>
          <w:rFonts w:eastAsia="Cambria" w:cs="Cambria"/>
          <w:szCs w:val="26"/>
        </w:rPr>
        <w:t xml:space="preserve">DACs, as also required by Public </w:t>
      </w:r>
      <w:r w:rsidR="00CA01D0">
        <w:rPr>
          <w:rFonts w:eastAsia="Cambria" w:cs="Cambria"/>
          <w:szCs w:val="26"/>
        </w:rPr>
        <w:t>Utilities</w:t>
      </w:r>
      <w:r w:rsidR="00A23CE1">
        <w:rPr>
          <w:rFonts w:eastAsia="Cambria" w:cs="Cambria"/>
          <w:szCs w:val="26"/>
        </w:rPr>
        <w:t xml:space="preserve"> Code </w:t>
      </w:r>
      <w:r w:rsidR="002F23D7">
        <w:rPr>
          <w:rFonts w:eastAsia="Cambria" w:cs="Cambria"/>
          <w:szCs w:val="26"/>
        </w:rPr>
        <w:t>§ </w:t>
      </w:r>
      <w:r w:rsidR="00A23CE1">
        <w:rPr>
          <w:rFonts w:eastAsia="Cambria" w:cs="Cambria"/>
          <w:szCs w:val="26"/>
        </w:rPr>
        <w:t>2827.1.</w:t>
      </w:r>
      <w:r w:rsidR="008230EB">
        <w:rPr>
          <w:rFonts w:eastAsia="Cambria" w:cs="Cambria"/>
          <w:szCs w:val="26"/>
        </w:rPr>
        <w:t>”</w:t>
      </w:r>
      <w:r w:rsidR="00A23CE1">
        <w:rPr>
          <w:rStyle w:val="FootnoteReference"/>
          <w:rFonts w:eastAsia="Cambria" w:cs="Cambria"/>
          <w:szCs w:val="26"/>
        </w:rPr>
        <w:footnoteReference w:id="77"/>
      </w:r>
    </w:p>
    <w:p w:rsidR="009476CA" w:rsidP="009476CA" w:rsidRDefault="009476CA" w14:paraId="711D426F" w14:textId="4AF1D65D">
      <w:pPr>
        <w:pStyle w:val="Standard"/>
        <w:rPr>
          <w:rFonts w:eastAsia="Cambria" w:cs="Cambria"/>
          <w:szCs w:val="26"/>
        </w:rPr>
      </w:pPr>
      <w:r>
        <w:rPr>
          <w:rFonts w:eastAsia="Cambria" w:cs="Cambria"/>
          <w:szCs w:val="26"/>
        </w:rPr>
        <w:t xml:space="preserve">SDG&amp;E recommends the Commission decide on </w:t>
      </w:r>
      <w:r w:rsidR="00BB24A8">
        <w:rPr>
          <w:rFonts w:eastAsia="Cambria" w:cs="Cambria"/>
          <w:szCs w:val="26"/>
        </w:rPr>
        <w:t>Advice Letter </w:t>
      </w:r>
      <w:r>
        <w:rPr>
          <w:rFonts w:eastAsia="Cambria" w:cs="Cambria"/>
          <w:szCs w:val="26"/>
        </w:rPr>
        <w:t>20</w:t>
      </w:r>
      <w:r w:rsidR="00C54EC9">
        <w:rPr>
          <w:rFonts w:eastAsia="Cambria" w:cs="Cambria"/>
          <w:szCs w:val="26"/>
        </w:rPr>
        <w:noBreakHyphen/>
      </w:r>
      <w:r>
        <w:rPr>
          <w:rFonts w:eastAsia="Cambria" w:cs="Cambria"/>
          <w:szCs w:val="26"/>
        </w:rPr>
        <w:t>E rather than consider expanding DAC</w:t>
      </w:r>
      <w:r w:rsidR="00C54EC9">
        <w:rPr>
          <w:rFonts w:eastAsia="Cambria" w:cs="Cambria"/>
          <w:szCs w:val="26"/>
        </w:rPr>
        <w:noBreakHyphen/>
      </w:r>
      <w:r>
        <w:rPr>
          <w:rFonts w:eastAsia="Cambria" w:cs="Cambria"/>
          <w:szCs w:val="26"/>
        </w:rPr>
        <w:t>SASH to include battery storage outside of the advice letter review process.</w:t>
      </w:r>
      <w:r>
        <w:rPr>
          <w:rStyle w:val="FootnoteReference"/>
          <w:rFonts w:eastAsia="Cambria" w:cs="Cambria"/>
          <w:szCs w:val="26"/>
        </w:rPr>
        <w:footnoteReference w:id="78"/>
      </w:r>
      <w:r>
        <w:rPr>
          <w:rFonts w:eastAsia="Cambria" w:cs="Cambria"/>
          <w:szCs w:val="26"/>
        </w:rPr>
        <w:t xml:space="preserve"> PG&amp;E states that expanding DAC</w:t>
      </w:r>
      <w:r w:rsidR="00C54EC9">
        <w:rPr>
          <w:rFonts w:eastAsia="Cambria" w:cs="Cambria"/>
          <w:szCs w:val="26"/>
        </w:rPr>
        <w:noBreakHyphen/>
      </w:r>
      <w:r>
        <w:rPr>
          <w:rFonts w:eastAsia="Cambria" w:cs="Cambria"/>
          <w:szCs w:val="26"/>
        </w:rPr>
        <w:t>SASH to include battery storage will decrease the total population of customers served by the program and increase the overlap between DAC</w:t>
      </w:r>
      <w:r w:rsidR="00C54EC9">
        <w:rPr>
          <w:rFonts w:eastAsia="Cambria" w:cs="Cambria"/>
          <w:szCs w:val="26"/>
        </w:rPr>
        <w:noBreakHyphen/>
      </w:r>
      <w:r>
        <w:rPr>
          <w:rFonts w:eastAsia="Cambria" w:cs="Cambria"/>
          <w:szCs w:val="26"/>
        </w:rPr>
        <w:t>SASH and SGIP.</w:t>
      </w:r>
      <w:r>
        <w:rPr>
          <w:rStyle w:val="FootnoteReference"/>
          <w:rFonts w:eastAsia="Cambria" w:cs="Cambria"/>
          <w:szCs w:val="26"/>
        </w:rPr>
        <w:footnoteReference w:id="79"/>
      </w:r>
      <w:r>
        <w:rPr>
          <w:rFonts w:eastAsia="Cambria" w:cs="Cambria"/>
          <w:szCs w:val="26"/>
        </w:rPr>
        <w:t xml:space="preserve"> SCE takes no position on the issue.</w:t>
      </w:r>
      <w:r>
        <w:rPr>
          <w:rStyle w:val="FootnoteReference"/>
          <w:rFonts w:eastAsia="Cambria" w:cs="Cambria"/>
          <w:szCs w:val="26"/>
        </w:rPr>
        <w:footnoteReference w:id="80"/>
      </w:r>
    </w:p>
    <w:p w:rsidR="009476CA" w:rsidP="009476CA" w:rsidRDefault="009476CA" w14:paraId="10197048" w14:textId="1D727992">
      <w:pPr>
        <w:pStyle w:val="Standard"/>
      </w:pPr>
      <w:r>
        <w:rPr>
          <w:rFonts w:eastAsia="Cambria" w:cs="Cambria"/>
          <w:szCs w:val="26"/>
        </w:rPr>
        <w:t>The Commission agrees with PG&amp;E that expanding DAC</w:t>
      </w:r>
      <w:r w:rsidR="00C54EC9">
        <w:rPr>
          <w:rFonts w:eastAsia="Cambria" w:cs="Cambria"/>
          <w:szCs w:val="26"/>
        </w:rPr>
        <w:noBreakHyphen/>
      </w:r>
      <w:r>
        <w:rPr>
          <w:rFonts w:eastAsia="Cambria" w:cs="Cambria"/>
          <w:szCs w:val="26"/>
        </w:rPr>
        <w:t>SASH to include battery storage will decrease the total population of customers served by the program. Additionally, expanding DAC</w:t>
      </w:r>
      <w:r w:rsidR="00C54EC9">
        <w:rPr>
          <w:rFonts w:eastAsia="Cambria" w:cs="Cambria"/>
          <w:szCs w:val="26"/>
        </w:rPr>
        <w:noBreakHyphen/>
      </w:r>
      <w:r>
        <w:rPr>
          <w:rFonts w:eastAsia="Cambria" w:cs="Cambria"/>
          <w:szCs w:val="26"/>
        </w:rPr>
        <w:t>SASH a little more than three years before the program</w:t>
      </w:r>
      <w:r w:rsidR="008230EB">
        <w:rPr>
          <w:rFonts w:eastAsia="Cambria" w:cs="Cambria"/>
          <w:szCs w:val="26"/>
        </w:rPr>
        <w:t>’</w:t>
      </w:r>
      <w:r>
        <w:rPr>
          <w:rFonts w:eastAsia="Cambria" w:cs="Cambria"/>
          <w:szCs w:val="26"/>
        </w:rPr>
        <w:t xml:space="preserve">s sunset date would mean expending resources to develop </w:t>
      </w:r>
      <w:r>
        <w:rPr>
          <w:rFonts w:eastAsia="Cambria" w:cs="Cambria"/>
          <w:szCs w:val="26"/>
        </w:rPr>
        <w:lastRenderedPageBreak/>
        <w:t xml:space="preserve">marketing, guidelines, and implementation processes for battery storage with a limited amount of program life remaining. </w:t>
      </w:r>
      <w:r w:rsidRPr="0084755F">
        <w:t>Accordingly, the Commission finds that the primary objective of the DAC</w:t>
      </w:r>
      <w:r w:rsidR="00C54EC9">
        <w:noBreakHyphen/>
      </w:r>
      <w:r w:rsidRPr="0084755F">
        <w:t>SASH program is to expand access to distributed solar generation for low</w:t>
      </w:r>
      <w:r w:rsidR="00C54EC9">
        <w:noBreakHyphen/>
      </w:r>
      <w:r w:rsidRPr="0084755F">
        <w:t>income homeowners in disadvantaged communities</w:t>
      </w:r>
      <w:r>
        <w:t xml:space="preserve"> and not to incentivize battery storage</w:t>
      </w:r>
      <w:r w:rsidRPr="0084755F">
        <w:t>. Maintaining this focus supports predictable program delivery and ensures that available program resources are directed toward maximizing the number of households served. Expanding program incentives to include battery storage would introduce additional costs, administrative complexity, and competing resource demands that could reduce overall program participation and slow program deployment. This decision declines to expand DAC</w:t>
      </w:r>
      <w:r w:rsidR="00C54EC9">
        <w:noBreakHyphen/>
      </w:r>
      <w:r w:rsidRPr="0084755F">
        <w:t>SASH to include battery storage.</w:t>
      </w:r>
    </w:p>
    <w:p w:rsidR="00F037A4" w:rsidP="00F037A4" w:rsidRDefault="00F037A4" w14:paraId="130101D6" w14:textId="764BED0F">
      <w:pPr>
        <w:pStyle w:val="Heading1"/>
      </w:pPr>
      <w:bookmarkStart w:name="_Toc236292542" w:id="31"/>
      <w:bookmarkStart w:name="_Toc242090709" w:id="32"/>
      <w:r>
        <w:t>Energy Efficiency Education</w:t>
      </w:r>
      <w:bookmarkEnd w:id="31"/>
      <w:bookmarkEnd w:id="32"/>
    </w:p>
    <w:p w:rsidR="00635944" w:rsidP="00F037A4" w:rsidRDefault="0015721D" w14:paraId="67136E7B" w14:textId="01AD80D4">
      <w:pPr>
        <w:pStyle w:val="Standard"/>
      </w:pPr>
      <w:r>
        <w:t>The DAC</w:t>
      </w:r>
      <w:r w:rsidR="00C54EC9">
        <w:noBreakHyphen/>
      </w:r>
      <w:r>
        <w:t xml:space="preserve">SASH </w:t>
      </w:r>
      <w:r w:rsidR="00635944">
        <w:t>P</w:t>
      </w:r>
      <w:r>
        <w:t xml:space="preserve">rogram </w:t>
      </w:r>
      <w:r w:rsidR="00635944">
        <w:t>H</w:t>
      </w:r>
      <w:r>
        <w:t xml:space="preserve">andbook has </w:t>
      </w:r>
      <w:r w:rsidR="00147E76">
        <w:t>included requirements</w:t>
      </w:r>
      <w:r>
        <w:t xml:space="preserve"> that GRID provide energy efficiency training and education </w:t>
      </w:r>
      <w:r w:rsidR="00147E76">
        <w:t>to</w:t>
      </w:r>
      <w:r>
        <w:t xml:space="preserve"> all program applicants</w:t>
      </w:r>
      <w:r w:rsidR="000E5EAD">
        <w:t>,</w:t>
      </w:r>
      <w:r w:rsidR="00635944">
        <w:t xml:space="preserve"> a</w:t>
      </w:r>
      <w:r w:rsidR="00147E76">
        <w:t xml:space="preserve">s well as </w:t>
      </w:r>
      <w:r>
        <w:t xml:space="preserve">refer them to </w:t>
      </w:r>
      <w:r w:rsidR="00147E76">
        <w:t>e</w:t>
      </w:r>
      <w:r>
        <w:t>nergy efficiency services</w:t>
      </w:r>
      <w:r w:rsidR="00147E76">
        <w:t xml:space="preserve"> providers</w:t>
      </w:r>
      <w:r>
        <w:t>.</w:t>
      </w:r>
      <w:r>
        <w:rPr>
          <w:rStyle w:val="FootnoteReference"/>
        </w:rPr>
        <w:footnoteReference w:id="81"/>
      </w:r>
      <w:r>
        <w:t xml:space="preserve"> The </w:t>
      </w:r>
      <w:r w:rsidR="008230EB">
        <w:t>January </w:t>
      </w:r>
      <w:r>
        <w:t>26 Ruling asked parties to comment on whether that education training should be removed</w:t>
      </w:r>
      <w:r w:rsidR="00147E76">
        <w:t xml:space="preserve"> from the Program Handbook</w:t>
      </w:r>
      <w:r>
        <w:t>.</w:t>
      </w:r>
      <w:r>
        <w:rPr>
          <w:rStyle w:val="FootnoteReference"/>
        </w:rPr>
        <w:footnoteReference w:id="82"/>
      </w:r>
    </w:p>
    <w:p w:rsidR="00F037A4" w:rsidP="00F037A4" w:rsidRDefault="0015721D" w14:paraId="76F8C0E5" w14:textId="2B83E85B">
      <w:pPr>
        <w:pStyle w:val="Standard"/>
      </w:pPr>
      <w:r>
        <w:t>PG&amp;E, SDG&amp;E</w:t>
      </w:r>
      <w:r w:rsidR="000C17EB">
        <w:t>, and</w:t>
      </w:r>
      <w:r>
        <w:t xml:space="preserve"> </w:t>
      </w:r>
      <w:r w:rsidR="00086432">
        <w:t>Cal Advoc</w:t>
      </w:r>
      <w:r>
        <w:t>ates support the proposal</w:t>
      </w:r>
      <w:r w:rsidR="00635944">
        <w:t xml:space="preserve">, with </w:t>
      </w:r>
      <w:r w:rsidR="00086432">
        <w:t>Cal Advoc</w:t>
      </w:r>
      <w:r w:rsidR="00635944">
        <w:t xml:space="preserve">ates highlighting that the requirement for the PA to refer applicants to complementary programs such as ESA means applicants will already </w:t>
      </w:r>
      <w:r w:rsidR="00147E76">
        <w:t>receive ener</w:t>
      </w:r>
      <w:r w:rsidR="00635944">
        <w:t xml:space="preserve">gy efficiency </w:t>
      </w:r>
      <w:r w:rsidR="00147E76">
        <w:t>education.</w:t>
      </w:r>
      <w:r>
        <w:rPr>
          <w:rStyle w:val="FootnoteReference"/>
        </w:rPr>
        <w:footnoteReference w:id="83"/>
      </w:r>
      <w:r>
        <w:t xml:space="preserve"> SCE does not </w:t>
      </w:r>
      <w:r w:rsidR="00367281">
        <w:t xml:space="preserve">take </w:t>
      </w:r>
      <w:r>
        <w:t>a position on the proposal.</w:t>
      </w:r>
      <w:r>
        <w:rPr>
          <w:rStyle w:val="FootnoteReference"/>
        </w:rPr>
        <w:footnoteReference w:id="84"/>
      </w:r>
      <w:r w:rsidR="00147E76">
        <w:t xml:space="preserve"> </w:t>
      </w:r>
      <w:r w:rsidR="00147E76">
        <w:lastRenderedPageBreak/>
        <w:t>GRID does not comment on the proposed removal of energy efficiency education requirements</w:t>
      </w:r>
      <w:r w:rsidR="000C17EB">
        <w:t xml:space="preserve"> from the Program Handbook</w:t>
      </w:r>
      <w:r w:rsidR="00147E76">
        <w:t>.</w:t>
      </w:r>
    </w:p>
    <w:p w:rsidRPr="009476CA" w:rsidR="0085395B" w:rsidP="009476CA" w:rsidRDefault="00635944" w14:paraId="1F3024F5" w14:textId="7BBFB7BB">
      <w:pPr>
        <w:pStyle w:val="Standard"/>
      </w:pPr>
      <w:r>
        <w:t xml:space="preserve">The Commission agrees with PG&amp;E, SCE, and </w:t>
      </w:r>
      <w:r w:rsidR="00086432">
        <w:t>Cal Advoc</w:t>
      </w:r>
      <w:r>
        <w:t xml:space="preserve">ates that the energy efficiency education requirement is no longer needed, especially if program applicants will be directed to ESA. Accordingly, as noted in the suggested Program Handbook redlines, this decision removes the requirement that the PA offer energy efficiency education to all </w:t>
      </w:r>
      <w:r w:rsidR="001B2681">
        <w:t>DAC</w:t>
      </w:r>
      <w:r w:rsidR="00C54EC9">
        <w:noBreakHyphen/>
      </w:r>
      <w:r w:rsidR="001B2681">
        <w:t xml:space="preserve">SASH </w:t>
      </w:r>
      <w:r>
        <w:t>applicants.</w:t>
      </w:r>
    </w:p>
    <w:p w:rsidR="002C3B2F" w:rsidP="002C3B2F" w:rsidRDefault="002C3B2F" w14:paraId="1B628BB1" w14:textId="250F47BF">
      <w:pPr>
        <w:pStyle w:val="Heading1"/>
      </w:pPr>
      <w:bookmarkStart w:name="_Toc236292543" w:id="33"/>
      <w:bookmarkStart w:name="_Toc242090710" w:id="34"/>
      <w:r>
        <w:t>Meter Socket Adapters</w:t>
      </w:r>
      <w:bookmarkEnd w:id="33"/>
      <w:bookmarkEnd w:id="34"/>
    </w:p>
    <w:p w:rsidR="00A223D0" w:rsidP="00A223D0" w:rsidRDefault="0080231E" w14:paraId="60E6AD1D" w14:textId="4B4E3B2B">
      <w:pPr>
        <w:pStyle w:val="Standard"/>
      </w:pPr>
      <w:r w:rsidRPr="0080231E">
        <w:t xml:space="preserve">A meter socket adapter (MSA) is a connection device placed between </w:t>
      </w:r>
      <w:r>
        <w:t>a</w:t>
      </w:r>
      <w:r w:rsidRPr="0080231E">
        <w:t xml:space="preserve"> home</w:t>
      </w:r>
      <w:r w:rsidR="008230EB">
        <w:t>’</w:t>
      </w:r>
      <w:r w:rsidRPr="0080231E">
        <w:t>s electrical meter and the meter socket</w:t>
      </w:r>
      <w:r>
        <w:t xml:space="preserve"> that</w:t>
      </w:r>
      <w:r w:rsidRPr="0080231E">
        <w:t xml:space="preserve"> connect</w:t>
      </w:r>
      <w:r>
        <w:t>s</w:t>
      </w:r>
      <w:r w:rsidRPr="0080231E">
        <w:t xml:space="preserve"> solar panels, battery storage, or </w:t>
      </w:r>
      <w:r>
        <w:t xml:space="preserve">electric vehicle </w:t>
      </w:r>
      <w:r w:rsidRPr="0080231E">
        <w:t xml:space="preserve">chargers without expensive electrical panel upgrades. </w:t>
      </w:r>
      <w:r>
        <w:t xml:space="preserve">The </w:t>
      </w:r>
      <w:r w:rsidR="008230EB">
        <w:t>January </w:t>
      </w:r>
      <w:r>
        <w:t xml:space="preserve">26 Ruling asked whether </w:t>
      </w:r>
      <w:r w:rsidR="008D09E0">
        <w:t>MSAs should be included as eligible equipment in the DAC</w:t>
      </w:r>
      <w:r w:rsidR="00C54EC9">
        <w:noBreakHyphen/>
      </w:r>
      <w:r w:rsidR="008D09E0">
        <w:t>SASH program.</w:t>
      </w:r>
      <w:r w:rsidR="008D09E0">
        <w:rPr>
          <w:rStyle w:val="FootnoteReference"/>
        </w:rPr>
        <w:footnoteReference w:id="85"/>
      </w:r>
    </w:p>
    <w:p w:rsidRPr="00A223D0" w:rsidR="008D09E0" w:rsidP="00A223D0" w:rsidRDefault="00CB3DEF" w14:paraId="60DDD51D" w14:textId="1C3FEB1B">
      <w:pPr>
        <w:pStyle w:val="Standard"/>
      </w:pPr>
      <w:r>
        <w:t xml:space="preserve">GRID </w:t>
      </w:r>
      <w:r w:rsidR="00434513">
        <w:t xml:space="preserve">supports including MSAs as eligible equipment, stating that </w:t>
      </w:r>
      <w:r w:rsidR="00672292">
        <w:t>MSAs</w:t>
      </w:r>
      <w:r>
        <w:t xml:space="preserve"> can be a necessary component</w:t>
      </w:r>
      <w:r w:rsidR="00672292">
        <w:t xml:space="preserve"> in solar projects</w:t>
      </w:r>
      <w:r w:rsidR="00734E50">
        <w:t xml:space="preserve">, and SDG&amp;E supports including MSAs as eligible equipment </w:t>
      </w:r>
      <w:r w:rsidRPr="00734E50" w:rsidR="00734E50">
        <w:t>if a meter socket adapter is required or expedites safe installation and interconnection of a solar system to the utility grid</w:t>
      </w:r>
      <w:r>
        <w:t>.</w:t>
      </w:r>
      <w:r>
        <w:rPr>
          <w:rStyle w:val="FootnoteReference"/>
        </w:rPr>
        <w:footnoteReference w:id="86"/>
      </w:r>
      <w:r>
        <w:t xml:space="preserve"> PG&amp;E supports MSA inclusion as long as it is approved for interconnection by the IOU.</w:t>
      </w:r>
      <w:r>
        <w:rPr>
          <w:rStyle w:val="FootnoteReference"/>
        </w:rPr>
        <w:footnoteReference w:id="87"/>
      </w:r>
      <w:r w:rsidR="00734E50">
        <w:t xml:space="preserve"> SCE takes no stand on the issue.</w:t>
      </w:r>
      <w:r w:rsidR="00734E50">
        <w:rPr>
          <w:rStyle w:val="FootnoteReference"/>
        </w:rPr>
        <w:footnoteReference w:id="88"/>
      </w:r>
    </w:p>
    <w:p w:rsidR="00CB3DEF" w:rsidP="006E6574" w:rsidRDefault="00CB3DEF" w14:paraId="5C17DA65" w14:textId="2B5459B2">
      <w:pPr>
        <w:pStyle w:val="Standard"/>
      </w:pPr>
      <w:r>
        <w:t>The Commission agrees that including MSAs in the DAC</w:t>
      </w:r>
      <w:r w:rsidR="00C54EC9">
        <w:noBreakHyphen/>
      </w:r>
      <w:r>
        <w:t>SASH program can help reduce project costs</w:t>
      </w:r>
      <w:r w:rsidR="00672292">
        <w:t xml:space="preserve"> for potentially necessary equipment</w:t>
      </w:r>
      <w:r>
        <w:t xml:space="preserve">. This decision </w:t>
      </w:r>
      <w:r>
        <w:lastRenderedPageBreak/>
        <w:t xml:space="preserve">includes MSAs among </w:t>
      </w:r>
      <w:r w:rsidR="00994157">
        <w:t xml:space="preserve">equipment eligible for </w:t>
      </w:r>
      <w:r>
        <w:t>DAC</w:t>
      </w:r>
      <w:r w:rsidR="00C54EC9">
        <w:noBreakHyphen/>
      </w:r>
      <w:r>
        <w:t>SASH incentives</w:t>
      </w:r>
      <w:r w:rsidR="00245439">
        <w:t xml:space="preserve"> through edits to the Program Handbook</w:t>
      </w:r>
      <w:r>
        <w:t>.</w:t>
      </w:r>
    </w:p>
    <w:p w:rsidR="00603238" w:rsidP="00FA1B4F" w:rsidRDefault="00603238" w14:paraId="51D07711" w14:textId="77777777">
      <w:pPr>
        <w:pStyle w:val="Heading1"/>
      </w:pPr>
      <w:bookmarkStart w:name="_Toc236292544" w:id="35"/>
      <w:bookmarkStart w:name="_Toc242090711" w:id="36"/>
      <w:r>
        <w:t>Summary of Public Comment</w:t>
      </w:r>
      <w:bookmarkEnd w:id="35"/>
      <w:bookmarkEnd w:id="36"/>
    </w:p>
    <w:p w:rsidRPr="00AC001D" w:rsidR="00603238" w:rsidP="00284D8D" w:rsidRDefault="00603238" w14:paraId="27A238FF" w14:textId="0FF2C861">
      <w:pPr>
        <w:rPr>
          <w:rFonts w:ascii="Calibri" w:hAnsi="Calibri"/>
          <w:sz w:val="22"/>
        </w:rPr>
      </w:pPr>
      <w:r w:rsidRPr="00AC001D">
        <w:t>Rule</w:t>
      </w:r>
      <w:r w:rsidR="00472618">
        <w:t> </w:t>
      </w:r>
      <w:r w:rsidRPr="00AC001D">
        <w:t xml:space="preserve">1.18 </w:t>
      </w:r>
      <w:r w:rsidR="00472618">
        <w:t>of the Commission</w:t>
      </w:r>
      <w:r w:rsidR="008230EB">
        <w:t>’</w:t>
      </w:r>
      <w:r w:rsidR="00472618">
        <w:t xml:space="preserve">s Rules of Practice and Procedure (Rules) </w:t>
      </w:r>
      <w:r w:rsidRPr="00AC001D">
        <w:t xml:space="preserve">allows any member of the public to submit written comment in any Commission proceeding using the </w:t>
      </w:r>
      <w:r w:rsidR="008230EB">
        <w:t>“</w:t>
      </w:r>
      <w:r w:rsidRPr="00AC001D">
        <w:t>Public Comment</w:t>
      </w:r>
      <w:r w:rsidR="008230EB">
        <w:t>”</w:t>
      </w:r>
      <w:r w:rsidRPr="00AC001D">
        <w:t xml:space="preserve"> tab of the online Docket Card for that proceeding on the Commission</w:t>
      </w:r>
      <w:r w:rsidR="008230EB">
        <w:t>’</w:t>
      </w:r>
      <w:bookmarkStart w:name="_Toc8123721" w:id="37"/>
      <w:r w:rsidRPr="00AC001D">
        <w:t>s website.</w:t>
      </w:r>
      <w:r w:rsidR="00472618">
        <w:t xml:space="preserve"> </w:t>
      </w:r>
      <w:r w:rsidRPr="00AC001D" w:rsidR="007A3820">
        <w:t>Rule</w:t>
      </w:r>
      <w:r w:rsidR="00472618">
        <w:t> </w:t>
      </w:r>
      <w:r w:rsidRPr="00AC001D" w:rsidR="007A3820">
        <w:t xml:space="preserve">1.18(a) requires that all written public comment submitted prior to the submission of the proceeding are part of the administrative record of the proceeding. </w:t>
      </w:r>
      <w:r w:rsidRPr="00AC001D">
        <w:t>Rule</w:t>
      </w:r>
      <w:r w:rsidR="00472618">
        <w:t> </w:t>
      </w:r>
      <w:r w:rsidRPr="00AC001D">
        <w:t>1.18(b) requires that relevant written comment submitted in a proceeding be summarized in the final decision issued in that proceeding.</w:t>
      </w:r>
    </w:p>
    <w:p w:rsidRPr="00603238" w:rsidR="00603238" w:rsidP="00603238" w:rsidRDefault="00AC001D" w14:paraId="1571523A" w14:textId="05469875">
      <w:pPr>
        <w:pStyle w:val="Standard"/>
      </w:pPr>
      <w:r>
        <w:t>Three public comments received by the mail date of this decision supported maintaining DAC</w:t>
      </w:r>
      <w:r w:rsidR="00C54EC9">
        <w:noBreakHyphen/>
      </w:r>
      <w:r>
        <w:t xml:space="preserve">SASH funding through its </w:t>
      </w:r>
      <w:r w:rsidR="008230EB">
        <w:t>December </w:t>
      </w:r>
      <w:r>
        <w:t>31, 2030 sunset date</w:t>
      </w:r>
      <w:r w:rsidR="00603238">
        <w:t>.</w:t>
      </w:r>
    </w:p>
    <w:p w:rsidR="005939A5" w:rsidP="005939A5" w:rsidRDefault="005939A5" w14:paraId="7E5BA6BC" w14:textId="77777777">
      <w:pPr>
        <w:pStyle w:val="Heading1"/>
      </w:pPr>
      <w:bookmarkStart w:name="_Toc8123723" w:id="38"/>
      <w:bookmarkStart w:name="_Toc236292546" w:id="39"/>
      <w:bookmarkStart w:name="_Toc242090712" w:id="40"/>
      <w:bookmarkEnd w:id="37"/>
      <w:r>
        <w:t>Comments on Proposed Decision</w:t>
      </w:r>
      <w:bookmarkEnd w:id="38"/>
      <w:bookmarkEnd w:id="39"/>
      <w:bookmarkEnd w:id="40"/>
    </w:p>
    <w:p w:rsidR="005939A5" w:rsidP="00AC001D" w:rsidRDefault="005C58FA" w14:paraId="4D4BC740" w14:textId="59776BD3">
      <w:pPr>
        <w:pStyle w:val="Standard"/>
      </w:pPr>
      <w:r w:rsidRPr="00AC001D">
        <w:t xml:space="preserve">The proposed decision of ALJ </w:t>
      </w:r>
      <w:r w:rsidRPr="00AC001D" w:rsidR="00AC001D">
        <w:t xml:space="preserve">Jack Chang </w:t>
      </w:r>
      <w:r w:rsidRPr="00AC001D">
        <w:t>in this matter was mailed to the</w:t>
      </w:r>
      <w:r>
        <w:t xml:space="preserve"> parties in accordance with </w:t>
      </w:r>
      <w:r w:rsidR="00485DB0">
        <w:t>Pub. Util.</w:t>
      </w:r>
      <w:r w:rsidR="007C28A2">
        <w:t xml:space="preserve"> Code </w:t>
      </w:r>
      <w:r w:rsidR="008069CE">
        <w:t>Section</w:t>
      </w:r>
      <w:r w:rsidR="002F23D7">
        <w:t> </w:t>
      </w:r>
      <w:r>
        <w:t>311</w:t>
      </w:r>
      <w:r w:rsidR="00485DB0">
        <w:t xml:space="preserve"> </w:t>
      </w:r>
      <w:r>
        <w:t>and comments were allowed under Rule</w:t>
      </w:r>
      <w:r w:rsidR="00472618">
        <w:t> </w:t>
      </w:r>
      <w:r>
        <w:t>14.3.</w:t>
      </w:r>
      <w:r w:rsidR="00FB08B7">
        <w:t xml:space="preserve"> </w:t>
      </w:r>
      <w:r>
        <w:t xml:space="preserve">Comments were filed on </w:t>
      </w:r>
      <w:r w:rsidR="004A44A5">
        <w:t xml:space="preserve">September 24, 2026 by CBD and CEJA jointly, GRID,  SEIA, SDG&amp;E, and PG&amp;E </w:t>
      </w:r>
      <w:r>
        <w:t xml:space="preserve">, and reply comments were filed on </w:t>
      </w:r>
      <w:r w:rsidR="004A44A5">
        <w:t>September 29, 2026</w:t>
      </w:r>
      <w:r>
        <w:t xml:space="preserve"> by </w:t>
      </w:r>
      <w:r w:rsidR="004A44A5">
        <w:t>SDG&amp;E and SCE</w:t>
      </w:r>
      <w:r>
        <w:t>.</w:t>
      </w:r>
    </w:p>
    <w:p w:rsidR="00342465" w:rsidP="003466EE" w:rsidRDefault="00775A25" w14:paraId="54C4FCCD" w14:textId="664C41F4">
      <w:pPr>
        <w:pStyle w:val="Standard"/>
      </w:pPr>
      <w:r>
        <w:t>GRID state</w:t>
      </w:r>
      <w:r w:rsidR="00941CDA">
        <w:t>d</w:t>
      </w:r>
      <w:r>
        <w:t xml:space="preserve"> that the decision commits legal error by providing blanket authorization of the IOUs’ projected administrative and ME&amp;O expenses for the duration of the program without </w:t>
      </w:r>
      <w:r w:rsidR="009B34E6">
        <w:t xml:space="preserve">the </w:t>
      </w:r>
      <w:r>
        <w:t xml:space="preserve">Commission </w:t>
      </w:r>
      <w:r w:rsidR="009B34E6">
        <w:t xml:space="preserve">first </w:t>
      </w:r>
      <w:r>
        <w:t>assess</w:t>
      </w:r>
      <w:r w:rsidR="009B34E6">
        <w:t>ing</w:t>
      </w:r>
      <w:r>
        <w:t xml:space="preserve"> </w:t>
      </w:r>
      <w:r w:rsidR="00D67852">
        <w:t>whether</w:t>
      </w:r>
      <w:r>
        <w:t xml:space="preserve"> the </w:t>
      </w:r>
      <w:r>
        <w:lastRenderedPageBreak/>
        <w:t>expenditures are both necessary and reasonable.</w:t>
      </w:r>
      <w:r>
        <w:rPr>
          <w:rStyle w:val="FootnoteReference"/>
        </w:rPr>
        <w:footnoteReference w:id="89"/>
      </w:r>
      <w:r w:rsidR="009B34E6">
        <w:t xml:space="preserve"> </w:t>
      </w:r>
      <w:r w:rsidR="00342465">
        <w:t>The Commission agrees in part with GRID’s comment and has revised the decision accordingly.</w:t>
      </w:r>
    </w:p>
    <w:p w:rsidR="00342465" w:rsidP="003466EE" w:rsidRDefault="009B34E6" w14:paraId="7798A0FD" w14:textId="7A397F24">
      <w:pPr>
        <w:pStyle w:val="Standard"/>
      </w:pPr>
      <w:r>
        <w:t>GRID state</w:t>
      </w:r>
      <w:r w:rsidR="00941CDA">
        <w:t>d</w:t>
      </w:r>
      <w:r>
        <w:t xml:space="preserve"> that it needs 90 days to submit a Tier 2 advice letter ordered in the decision detailing an </w:t>
      </w:r>
      <w:r w:rsidR="001B0ABA">
        <w:t>implementation</w:t>
      </w:r>
      <w:r>
        <w:t xml:space="preserve"> plan for reporting on external funding used in the DAC-SASH program.</w:t>
      </w:r>
      <w:r>
        <w:rPr>
          <w:rStyle w:val="FootnoteReference"/>
        </w:rPr>
        <w:footnoteReference w:id="90"/>
      </w:r>
      <w:r>
        <w:t xml:space="preserve"> GRID </w:t>
      </w:r>
      <w:r w:rsidR="00D67852">
        <w:t>state</w:t>
      </w:r>
      <w:r w:rsidR="00941CDA">
        <w:t>d</w:t>
      </w:r>
      <w:r w:rsidR="00D67852">
        <w:t xml:space="preserve"> that the decision should be corrected to reflect that the DAC-SASH 2022-2024 Evaluation Report did not find low DAC-SASH participant enrollment in CARE and FERA.</w:t>
      </w:r>
      <w:r w:rsidR="00D67852">
        <w:rPr>
          <w:rStyle w:val="FootnoteReference"/>
        </w:rPr>
        <w:footnoteReference w:id="91"/>
      </w:r>
      <w:r w:rsidR="00D67852">
        <w:t xml:space="preserve"> </w:t>
      </w:r>
      <w:r w:rsidR="00342465">
        <w:t>The Commission agrees in part with GRID’s suggested edits and has revised the decision accordingly.</w:t>
      </w:r>
    </w:p>
    <w:p w:rsidR="00342465" w:rsidP="003466EE" w:rsidRDefault="00D67852" w14:paraId="38761CCC" w14:textId="55706D4B">
      <w:pPr>
        <w:pStyle w:val="Standard"/>
      </w:pPr>
      <w:r>
        <w:t>GRID state</w:t>
      </w:r>
      <w:r w:rsidR="00941CDA">
        <w:t>d</w:t>
      </w:r>
      <w:r>
        <w:t xml:space="preserve"> that it does not have access to records of DAC-SASH participant enrollment in complementary programs and that GRID has requested such data from the IOUs over the past two years “but we have not consistently received usable data in response to these repeated requests.”</w:t>
      </w:r>
      <w:r>
        <w:rPr>
          <w:rStyle w:val="FootnoteReference"/>
        </w:rPr>
        <w:footnoteReference w:id="92"/>
      </w:r>
      <w:r>
        <w:t xml:space="preserve"> </w:t>
      </w:r>
      <w:r w:rsidR="00342465">
        <w:t>The Commission notes that Ordering Paragraph 2 of D.20-12-003 ordered the IOUs to transmit ESA and CARE program low-income customer profile</w:t>
      </w:r>
      <w:r w:rsidR="008240BC">
        <w:t xml:space="preserve"> data</w:t>
      </w:r>
      <w:r w:rsidR="00342465">
        <w:t xml:space="preserve"> to the DAC-SASH PA.</w:t>
      </w:r>
    </w:p>
    <w:p w:rsidR="00342465" w:rsidP="003466EE" w:rsidRDefault="00D67852" w14:paraId="75EB8F40" w14:textId="463891AB">
      <w:pPr>
        <w:pStyle w:val="Standard"/>
      </w:pPr>
      <w:r>
        <w:t xml:space="preserve">GRID </w:t>
      </w:r>
      <w:r w:rsidR="00342465">
        <w:t xml:space="preserve">additionally </w:t>
      </w:r>
      <w:r>
        <w:t>state</w:t>
      </w:r>
      <w:r w:rsidR="00941CDA">
        <w:t>d</w:t>
      </w:r>
      <w:r>
        <w:t xml:space="preserve"> that the decision should be corrected to show that GRID did not agree in comments that the DAC-SASH program should prohibit projects from receiving total incentive funding in excess of program costs.</w:t>
      </w:r>
      <w:r>
        <w:rPr>
          <w:rStyle w:val="FootnoteReference"/>
        </w:rPr>
        <w:footnoteReference w:id="93"/>
      </w:r>
      <w:r>
        <w:t xml:space="preserve"> </w:t>
      </w:r>
      <w:r w:rsidR="00342465">
        <w:t>The Commission agrees with the suggestion and has revised the decision accordingly.</w:t>
      </w:r>
    </w:p>
    <w:p w:rsidR="003466EE" w:rsidP="003466EE" w:rsidRDefault="003523AA" w14:paraId="7F61EAEB" w14:textId="08A67BE4">
      <w:pPr>
        <w:pStyle w:val="Standard"/>
      </w:pPr>
      <w:r>
        <w:lastRenderedPageBreak/>
        <w:t>GRID oppose</w:t>
      </w:r>
      <w:r w:rsidR="00941CDA">
        <w:t>d</w:t>
      </w:r>
      <w:r>
        <w:t xml:space="preserve"> removing job training and workforce development requirements from the DAC-SASH Handbook.</w:t>
      </w:r>
      <w:r>
        <w:rPr>
          <w:rStyle w:val="FootnoteReference"/>
        </w:rPr>
        <w:footnoteReference w:id="94"/>
      </w:r>
      <w:r>
        <w:t xml:space="preserve"> GRID also oppose</w:t>
      </w:r>
      <w:r w:rsidR="00941CDA">
        <w:t>d</w:t>
      </w:r>
      <w:r>
        <w:t xml:space="preserve"> removing program goals from the DAC-SASH Handbook or else explaining why program goals should be removed.</w:t>
      </w:r>
      <w:r>
        <w:rPr>
          <w:rStyle w:val="FootnoteReference"/>
        </w:rPr>
        <w:footnoteReference w:id="95"/>
      </w:r>
      <w:r>
        <w:t xml:space="preserve"> </w:t>
      </w:r>
    </w:p>
    <w:p w:rsidRPr="003466EE" w:rsidR="003466EE" w:rsidP="00CA6800" w:rsidRDefault="003466EE" w14:paraId="510F4CAC" w14:textId="103F356C">
      <w:pPr>
        <w:pStyle w:val="Standard"/>
      </w:pPr>
      <w:r>
        <w:t xml:space="preserve">Finally, </w:t>
      </w:r>
      <w:r w:rsidRPr="003466EE">
        <w:t>GRID recommend</w:t>
      </w:r>
      <w:r>
        <w:t>ed</w:t>
      </w:r>
      <w:r w:rsidRPr="003466EE">
        <w:t xml:space="preserve"> modifying the project-cost reporting fields in Appendix A to include </w:t>
      </w:r>
      <w:r>
        <w:t>power purchase agreement (PPA)</w:t>
      </w:r>
      <w:r w:rsidRPr="003466EE">
        <w:t xml:space="preserve"> prepayment costs associated with projects developed under its Elective Pay Ownership model as an additional cost category.</w:t>
      </w:r>
      <w:r w:rsidR="00CA6800">
        <w:rPr>
          <w:rStyle w:val="FootnoteReference"/>
        </w:rPr>
        <w:footnoteReference w:id="96"/>
      </w:r>
      <w:r w:rsidRPr="003466EE">
        <w:t xml:space="preserve"> Appendix A establishes a standardized framework for collecting project-level cost and external-funding information, and the Commission finds it reasonable to implement that framework without further modification at this time</w:t>
      </w:r>
      <w:r w:rsidR="00CA6800">
        <w:t xml:space="preserve"> but revises the decision to </w:t>
      </w:r>
      <w:r w:rsidRPr="00CA6800" w:rsidR="00CA6800">
        <w:t>authorize Energy Division to modify, add, or remove reporting fields in Appendix A through a Letter from the Deputy Executive Director and/or their designee and noticed to the service list</w:t>
      </w:r>
      <w:r w:rsidRPr="003466EE">
        <w:t xml:space="preserve">. </w:t>
      </w:r>
    </w:p>
    <w:p w:rsidR="00C85B7F" w:rsidP="00AC001D" w:rsidRDefault="00034714" w14:paraId="4D8B7504" w14:textId="12B5BAD4">
      <w:pPr>
        <w:pStyle w:val="Standard"/>
      </w:pPr>
      <w:r>
        <w:t>PG&amp;E suggest</w:t>
      </w:r>
      <w:r w:rsidR="00941CDA">
        <w:t>ed</w:t>
      </w:r>
      <w:r>
        <w:t xml:space="preserve"> revisions to the decision clarifying that the DAC-SASH program budget is not allocated to GRID.</w:t>
      </w:r>
      <w:r>
        <w:rPr>
          <w:rStyle w:val="FootnoteReference"/>
        </w:rPr>
        <w:footnoteReference w:id="97"/>
      </w:r>
      <w:r w:rsidR="00342465">
        <w:t xml:space="preserve"> The Commission agrees with the suggested edits and has revised the decision accordingly.</w:t>
      </w:r>
    </w:p>
    <w:p w:rsidR="00342465" w:rsidP="00AC001D" w:rsidRDefault="003523AA" w14:paraId="4FD7C69E" w14:textId="775D1465">
      <w:pPr>
        <w:pStyle w:val="Standard"/>
      </w:pPr>
      <w:r>
        <w:t>CBD and CEJA stat</w:t>
      </w:r>
      <w:r w:rsidR="00342465">
        <w:t>e</w:t>
      </w:r>
      <w:r w:rsidR="00941CDA">
        <w:t>d</w:t>
      </w:r>
      <w:r>
        <w:t xml:space="preserve"> that the decision should be corrected to reflect that the DAC-SASH 2022-2024 Evaluation Report did not find low cross-enrollment of DAC-SASH participants in the CARE program.</w:t>
      </w:r>
      <w:r>
        <w:rPr>
          <w:rStyle w:val="FootnoteReference"/>
        </w:rPr>
        <w:footnoteReference w:id="98"/>
      </w:r>
      <w:r>
        <w:t xml:space="preserve"> </w:t>
      </w:r>
      <w:r w:rsidR="00342465">
        <w:t>The Commission agrees with the suggested edits and has revised the decision accordingly.</w:t>
      </w:r>
    </w:p>
    <w:p w:rsidR="003523AA" w:rsidP="00AC001D" w:rsidRDefault="003523AA" w14:paraId="761A4F4C" w14:textId="40B73778">
      <w:pPr>
        <w:pStyle w:val="Standard"/>
      </w:pPr>
      <w:r>
        <w:lastRenderedPageBreak/>
        <w:t>CBD and CEJA also state</w:t>
      </w:r>
      <w:r w:rsidR="00941CDA">
        <w:t>d</w:t>
      </w:r>
      <w:r>
        <w:t xml:space="preserve"> that the IOUs are in the best position to improve cross-enrollment of DAC-SASH participants in complementary programs.</w:t>
      </w:r>
      <w:r>
        <w:rPr>
          <w:rStyle w:val="FootnoteReference"/>
        </w:rPr>
        <w:footnoteReference w:id="99"/>
      </w:r>
      <w:r>
        <w:t xml:space="preserve"> CBD and CEJA oppose</w:t>
      </w:r>
      <w:r w:rsidR="00941CDA">
        <w:t>d</w:t>
      </w:r>
      <w:r>
        <w:t xml:space="preserve"> removing program goals and job training requirements from the DAC-SASH Handbook.</w:t>
      </w:r>
      <w:r>
        <w:rPr>
          <w:rStyle w:val="FootnoteReference"/>
        </w:rPr>
        <w:footnoteReference w:id="100"/>
      </w:r>
      <w:r>
        <w:t xml:space="preserve"> Finally, CBD and CEJA support</w:t>
      </w:r>
      <w:r w:rsidR="00941CDA">
        <w:t>ed</w:t>
      </w:r>
      <w:r>
        <w:t xml:space="preserve"> including energy storage system in the DAC-SASH program to support more equitable access to such systems.</w:t>
      </w:r>
      <w:r>
        <w:rPr>
          <w:rStyle w:val="FootnoteReference"/>
        </w:rPr>
        <w:footnoteReference w:id="101"/>
      </w:r>
    </w:p>
    <w:p w:rsidR="00941CDA" w:rsidP="00AC001D" w:rsidRDefault="00941CDA" w14:paraId="534CBB99" w14:textId="0AC4A0D9">
      <w:pPr>
        <w:pStyle w:val="Standard"/>
      </w:pPr>
      <w:r>
        <w:t>SCE opposed</w:t>
      </w:r>
      <w:r w:rsidR="003466EE">
        <w:t xml:space="preserve"> </w:t>
      </w:r>
      <w:r w:rsidR="00342465">
        <w:t xml:space="preserve">CEJA and CBD’s suggestion that </w:t>
      </w:r>
      <w:r w:rsidR="003466EE">
        <w:t>the IOUs be</w:t>
      </w:r>
      <w:r w:rsidR="00342465">
        <w:t xml:space="preserve"> </w:t>
      </w:r>
      <w:r w:rsidR="003466EE">
        <w:t>assigned primary responsibility for DAC-SASH cross-program enrollment</w:t>
      </w:r>
      <w:r w:rsidR="00342465">
        <w:t>,</w:t>
      </w:r>
      <w:r w:rsidR="003466EE">
        <w:t xml:space="preserve"> stating that the </w:t>
      </w:r>
      <w:r w:rsidR="008B52C8">
        <w:t>PA</w:t>
      </w:r>
      <w:r w:rsidR="003466EE">
        <w:t xml:space="preserve"> has the most direct customer relationship with the broadest awareness or participant needs.</w:t>
      </w:r>
      <w:r w:rsidR="003466EE">
        <w:rPr>
          <w:rStyle w:val="FootnoteReference"/>
        </w:rPr>
        <w:footnoteReference w:id="102"/>
      </w:r>
      <w:r w:rsidR="003466EE">
        <w:t xml:space="preserve"> </w:t>
      </w:r>
    </w:p>
    <w:p w:rsidR="00846DEC" w:rsidP="00AC001D" w:rsidRDefault="00941CDA" w14:paraId="17F01C1F" w14:textId="498E555C">
      <w:pPr>
        <w:pStyle w:val="Standard"/>
      </w:pPr>
      <w:r>
        <w:t>SEIA stated that the decision failed to evaluate whether the proposed changes to DAC-SASH eligibility requirements were enough to maximize program participation.</w:t>
      </w:r>
      <w:r>
        <w:rPr>
          <w:rStyle w:val="FootnoteReference"/>
        </w:rPr>
        <w:footnoteReference w:id="103"/>
      </w:r>
      <w:r>
        <w:t xml:space="preserve"> SEIA suggested additional eligibility expansions such as updated income and geographic eligibility requirements.</w:t>
      </w:r>
      <w:r>
        <w:rPr>
          <w:rStyle w:val="FootnoteReference"/>
        </w:rPr>
        <w:footnoteReference w:id="104"/>
      </w:r>
      <w:r>
        <w:t xml:space="preserve"> Finally, SEIA opposed the program handbook removing the requirement for a triennial DAC-SASH evaluation by an independent third-party program evaluator.</w:t>
      </w:r>
      <w:r>
        <w:rPr>
          <w:rStyle w:val="FootnoteReference"/>
        </w:rPr>
        <w:footnoteReference w:id="105"/>
      </w:r>
    </w:p>
    <w:p w:rsidR="001D2A7A" w:rsidP="00AC001D" w:rsidRDefault="001D2A7A" w14:paraId="1A77D10D" w14:textId="6C611B4D">
      <w:pPr>
        <w:pStyle w:val="Standard"/>
      </w:pPr>
      <w:r>
        <w:t>SDG&amp;E opposed SEIA’s proposed DAC-SASH eligibility expansions as out of scope of this proceeding.</w:t>
      </w:r>
      <w:r>
        <w:rPr>
          <w:rStyle w:val="FootnoteReference"/>
        </w:rPr>
        <w:footnoteReference w:id="106"/>
      </w:r>
    </w:p>
    <w:p w:rsidR="003466EE" w:rsidP="00AC001D" w:rsidRDefault="00E57BD9" w14:paraId="28985623" w14:textId="0B4FE962">
      <w:pPr>
        <w:pStyle w:val="Standard"/>
      </w:pPr>
      <w:r>
        <w:lastRenderedPageBreak/>
        <w:t>The Commission notes that the removal of the triennial DAC-SASH evaluation mention from the program handbook does not mean the triennial evaluation requirement has been eliminated from the program.</w:t>
      </w:r>
    </w:p>
    <w:p w:rsidR="00E57BD9" w:rsidP="00AC001D" w:rsidRDefault="00E57BD9" w14:paraId="2B640579" w14:textId="2D0C28B5">
      <w:pPr>
        <w:pStyle w:val="Standard"/>
      </w:pPr>
      <w:r>
        <w:t xml:space="preserve">SDG&amp;E </w:t>
      </w:r>
      <w:r w:rsidR="00582113">
        <w:t>requested</w:t>
      </w:r>
      <w:r>
        <w:t xml:space="preserve"> that the Commission clarify that SDG&amp;E may recover its Commission-authorized DAC-SASH administrative budgets for 2023 through 2025 from available accrued interest in its DAC-SASH </w:t>
      </w:r>
      <w:r w:rsidR="00582113">
        <w:t>B</w:t>
      </w:r>
      <w:r>
        <w:t xml:space="preserve">alancing </w:t>
      </w:r>
      <w:r w:rsidR="00582113">
        <w:t>A</w:t>
      </w:r>
      <w:r>
        <w:t xml:space="preserve">ccount </w:t>
      </w:r>
      <w:r w:rsidR="00B62759">
        <w:t>and that SDG&amp;E may transfer $306,056 from its DAC-SASH Balancing Account back to its GHG Revenue Balancing Account to return its 2023-2026 DAC-SASH funds exceeding authorized annual allocations.</w:t>
      </w:r>
      <w:r w:rsidR="00B62759">
        <w:rPr>
          <w:rStyle w:val="FootnoteReference"/>
        </w:rPr>
        <w:footnoteReference w:id="107"/>
      </w:r>
      <w:r w:rsidR="00582113">
        <w:t xml:space="preserve"> The Commission concurs with SDG&amp;E’s requested edits and has updated this decision accordingly.</w:t>
      </w:r>
    </w:p>
    <w:p w:rsidR="00775A25" w:rsidP="00775A25" w:rsidRDefault="00775A25" w14:paraId="07A4F8BF" w14:textId="76B58479">
      <w:pPr>
        <w:pStyle w:val="Standard"/>
      </w:pPr>
      <w:r w:rsidRPr="00587BEA">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5939A5" w:rsidRDefault="005939A5" w14:paraId="6F27CF31" w14:textId="77777777">
      <w:pPr>
        <w:pStyle w:val="Heading1"/>
      </w:pPr>
      <w:bookmarkStart w:name="_Toc8123724" w:id="41"/>
      <w:bookmarkStart w:name="_Toc236292547" w:id="42"/>
      <w:bookmarkStart w:name="_Toc242090713" w:id="43"/>
      <w:r>
        <w:t>Assignment of Proceeding</w:t>
      </w:r>
      <w:bookmarkEnd w:id="41"/>
      <w:bookmarkEnd w:id="42"/>
      <w:bookmarkEnd w:id="43"/>
    </w:p>
    <w:p w:rsidR="005939A5" w:rsidP="006E6574" w:rsidRDefault="00FE44E2" w14:paraId="65448F0C" w14:textId="7BCEBE9D">
      <w:pPr>
        <w:pStyle w:val="Standard"/>
      </w:pPr>
      <w:r>
        <w:t>Matthew Baker</w:t>
      </w:r>
      <w:r w:rsidR="005939A5">
        <w:t xml:space="preserve"> is the assigned Commissioner and </w:t>
      </w:r>
      <w:r>
        <w:t>Jack Chang</w:t>
      </w:r>
      <w:r w:rsidR="005939A5">
        <w:t xml:space="preserve"> is the assigned </w:t>
      </w:r>
      <w:r w:rsidR="009F6211">
        <w:t>ALJ</w:t>
      </w:r>
      <w:r w:rsidR="005939A5">
        <w:t xml:space="preserve"> in this proceeding.</w:t>
      </w:r>
    </w:p>
    <w:p w:rsidR="005939A5" w:rsidP="00066B83" w:rsidRDefault="005939A5" w14:paraId="1230B021" w14:textId="77777777">
      <w:pPr>
        <w:pStyle w:val="Dummy"/>
      </w:pPr>
      <w:bookmarkStart w:name="_Toc8123725" w:id="44"/>
      <w:bookmarkStart w:name="_Toc236292548" w:id="45"/>
      <w:bookmarkStart w:name="_Toc242090714" w:id="46"/>
      <w:r>
        <w:t>Findings of Fact</w:t>
      </w:r>
      <w:bookmarkEnd w:id="44"/>
      <w:bookmarkEnd w:id="45"/>
      <w:bookmarkEnd w:id="46"/>
    </w:p>
    <w:p w:rsidRPr="001E2A62" w:rsidR="00F62B7A" w:rsidP="001E2A62" w:rsidRDefault="00997526" w14:paraId="70E1A39F" w14:textId="16178175">
      <w:pPr>
        <w:pStyle w:val="FoF"/>
      </w:pPr>
      <w:r>
        <w:t>D.20</w:t>
      </w:r>
      <w:r w:rsidR="00C54EC9">
        <w:noBreakHyphen/>
      </w:r>
      <w:r>
        <w:t>12</w:t>
      </w:r>
      <w:r w:rsidR="00C54EC9">
        <w:noBreakHyphen/>
      </w:r>
      <w:r>
        <w:t xml:space="preserve">003 allows </w:t>
      </w:r>
      <w:r w:rsidR="00C06962">
        <w:t xml:space="preserve">IOUs to </w:t>
      </w:r>
      <w:r>
        <w:t>present their estimated</w:t>
      </w:r>
      <w:r w:rsidR="00C06962">
        <w:t xml:space="preserve"> </w:t>
      </w:r>
      <w:r>
        <w:t xml:space="preserve">annual </w:t>
      </w:r>
      <w:r w:rsidR="00C06962">
        <w:t>DAC</w:t>
      </w:r>
      <w:r w:rsidR="00C54EC9">
        <w:noBreakHyphen/>
      </w:r>
      <w:r w:rsidR="00C06962">
        <w:t xml:space="preserve">SASH administrative </w:t>
      </w:r>
      <w:r>
        <w:t>budget</w:t>
      </w:r>
      <w:r w:rsidR="00C06962">
        <w:t xml:space="preserve">s through a </w:t>
      </w:r>
      <w:r w:rsidR="001C3D54">
        <w:t>Tier </w:t>
      </w:r>
      <w:r w:rsidR="00C06962">
        <w:t>2 advice letter.</w:t>
      </w:r>
    </w:p>
    <w:p w:rsidR="00F62B7A" w:rsidP="001E2A62" w:rsidRDefault="00BE7233" w14:paraId="1B4F0F76" w14:textId="63A9ABA0">
      <w:pPr>
        <w:pStyle w:val="FoF"/>
      </w:pPr>
      <w:r>
        <w:t>The IOUs have enough accrued interest in their DAC</w:t>
      </w:r>
      <w:r w:rsidR="00C54EC9">
        <w:noBreakHyphen/>
      </w:r>
      <w:r>
        <w:t>SASH balancing accounts to pay for</w:t>
      </w:r>
      <w:r w:rsidR="004F5DCD">
        <w:t xml:space="preserve"> </w:t>
      </w:r>
      <w:r w:rsidR="00B62759">
        <w:t xml:space="preserve">incurred and </w:t>
      </w:r>
      <w:r w:rsidR="00997526">
        <w:t xml:space="preserve">future </w:t>
      </w:r>
      <w:r>
        <w:t xml:space="preserve">administrative </w:t>
      </w:r>
      <w:r w:rsidR="00997526">
        <w:t xml:space="preserve">and ME&amp;O </w:t>
      </w:r>
      <w:r>
        <w:t>costs through the program</w:t>
      </w:r>
      <w:r w:rsidR="008230EB">
        <w:t>’</w:t>
      </w:r>
      <w:r>
        <w:t xml:space="preserve">s </w:t>
      </w:r>
      <w:r w:rsidR="008230EB">
        <w:t>December </w:t>
      </w:r>
      <w:r>
        <w:t>31, 2030 sunset date.</w:t>
      </w:r>
    </w:p>
    <w:p w:rsidR="00820241" w:rsidP="001E2A62" w:rsidRDefault="00820241" w14:paraId="11A7FF5B" w14:textId="532DB977">
      <w:pPr>
        <w:pStyle w:val="FoF"/>
      </w:pPr>
      <w:r>
        <w:lastRenderedPageBreak/>
        <w:t>SDG&amp;E has made annual fund transfers i</w:t>
      </w:r>
      <w:r w:rsidRPr="00480120">
        <w:t>nto its DAC</w:t>
      </w:r>
      <w:r w:rsidR="00C54EC9">
        <w:noBreakHyphen/>
      </w:r>
      <w:r w:rsidRPr="00480120">
        <w:t xml:space="preserve">SASH Balancing Account </w:t>
      </w:r>
      <w:r>
        <w:t>in excess of</w:t>
      </w:r>
      <w:r w:rsidRPr="00480120">
        <w:t xml:space="preserve"> its Commission</w:t>
      </w:r>
      <w:r w:rsidR="00C54EC9">
        <w:noBreakHyphen/>
      </w:r>
      <w:r w:rsidRPr="00480120">
        <w:t>authorized annual DAC</w:t>
      </w:r>
      <w:r w:rsidR="00C54EC9">
        <w:noBreakHyphen/>
      </w:r>
      <w:r w:rsidRPr="00480120">
        <w:t>SASH funding allocation</w:t>
      </w:r>
      <w:r>
        <w:t>.</w:t>
      </w:r>
    </w:p>
    <w:p w:rsidR="009D7D20" w:rsidP="001E2A62" w:rsidRDefault="009D7D20" w14:paraId="489D8056" w14:textId="67FA8749">
      <w:pPr>
        <w:pStyle w:val="FoF"/>
      </w:pPr>
      <w:r>
        <w:t>The PA</w:t>
      </w:r>
      <w:r w:rsidR="00330A72">
        <w:t xml:space="preserve"> has </w:t>
      </w:r>
      <w:r w:rsidR="00041AFF">
        <w:t>consistently received and spent the entire 10% of annual DAC</w:t>
      </w:r>
      <w:r w:rsidR="00C54EC9">
        <w:noBreakHyphen/>
      </w:r>
      <w:r w:rsidR="00041AFF">
        <w:t>SASH funding allocated for administration in addition to the 4% of annual DAC</w:t>
      </w:r>
      <w:r w:rsidR="00C54EC9">
        <w:noBreakHyphen/>
      </w:r>
      <w:r w:rsidR="00041AFF">
        <w:t>SASH funding allocated for ME&amp;O.</w:t>
      </w:r>
    </w:p>
    <w:p w:rsidR="00BE7233" w:rsidP="001E2A62" w:rsidRDefault="00BE7233" w14:paraId="2FA512D3" w14:textId="51D70584">
      <w:pPr>
        <w:pStyle w:val="FoF"/>
      </w:pPr>
      <w:r>
        <w:t xml:space="preserve">Allowing the IOUs to fund </w:t>
      </w:r>
      <w:r w:rsidRPr="00756FAC">
        <w:t>their administrative and ME&amp;O costs from their DAC</w:t>
      </w:r>
      <w:r w:rsidR="00C54EC9">
        <w:noBreakHyphen/>
      </w:r>
      <w:r w:rsidRPr="00756FAC">
        <w:t>SASH balancing account</w:t>
      </w:r>
      <w:r w:rsidR="00997526">
        <w:t>s</w:t>
      </w:r>
      <w:r w:rsidR="008230EB">
        <w:t>’</w:t>
      </w:r>
      <w:r w:rsidRPr="00756FAC">
        <w:t xml:space="preserve"> accrued interest </w:t>
      </w:r>
      <w:r w:rsidR="00231E7F">
        <w:t xml:space="preserve">through 2030 </w:t>
      </w:r>
      <w:r w:rsidRPr="00756FAC">
        <w:t xml:space="preserve">would provide a consistent, reliable funding source for those </w:t>
      </w:r>
      <w:r w:rsidRPr="00756FAC" w:rsidR="00D843B2">
        <w:t xml:space="preserve">IOU </w:t>
      </w:r>
      <w:r w:rsidRPr="00756FAC">
        <w:t>administrative and ME&amp;O costs.</w:t>
      </w:r>
    </w:p>
    <w:p w:rsidR="009476CA" w:rsidP="009476CA" w:rsidRDefault="009476CA" w14:paraId="3A5883A0" w14:textId="023F55B3">
      <w:pPr>
        <w:pStyle w:val="FoF"/>
      </w:pPr>
      <w:r>
        <w:t>The PA uses outside funding for DAC</w:t>
      </w:r>
      <w:r w:rsidR="00C54EC9">
        <w:noBreakHyphen/>
      </w:r>
      <w:r>
        <w:t>SASH costs not covered by the program budget</w:t>
      </w:r>
      <w:r w:rsidR="00CB3A1F">
        <w:t xml:space="preserve"> but does not report to the Commission how much in external funds it has spent on the DAC</w:t>
      </w:r>
      <w:r w:rsidR="00C54EC9">
        <w:noBreakHyphen/>
      </w:r>
      <w:r w:rsidR="00CB3A1F">
        <w:t>SASH program</w:t>
      </w:r>
      <w:r>
        <w:t>.</w:t>
      </w:r>
    </w:p>
    <w:p w:rsidR="009476CA" w:rsidP="009476CA" w:rsidRDefault="009476CA" w14:paraId="70BE5D66" w14:textId="45A41F81">
      <w:pPr>
        <w:pStyle w:val="FoF"/>
      </w:pPr>
      <w:r>
        <w:t>The Commission needs to track the total costs of the DAC</w:t>
      </w:r>
      <w:r w:rsidR="00C54EC9">
        <w:noBreakHyphen/>
      </w:r>
      <w:r>
        <w:t>SASH program to gain an accurate view of program operations for future planning</w:t>
      </w:r>
      <w:r w:rsidR="00566220">
        <w:t xml:space="preserve"> and for comparison to similar programs</w:t>
      </w:r>
      <w:r>
        <w:t>.</w:t>
      </w:r>
    </w:p>
    <w:p w:rsidRPr="00756FAC" w:rsidR="009476CA" w:rsidP="009476CA" w:rsidRDefault="009476CA" w14:paraId="45D93F27" w14:textId="740777C8">
      <w:pPr>
        <w:pStyle w:val="FoF"/>
      </w:pPr>
      <w:r>
        <w:t>The PA has stated that tracking how much in outside funds it uses on its administration of the DAC</w:t>
      </w:r>
      <w:r w:rsidR="00C54EC9">
        <w:noBreakHyphen/>
      </w:r>
      <w:r>
        <w:t>SASH program would be a complex and resource</w:t>
      </w:r>
      <w:r w:rsidR="00C54EC9">
        <w:noBreakHyphen/>
      </w:r>
      <w:r>
        <w:t>intensive task.</w:t>
      </w:r>
    </w:p>
    <w:p w:rsidR="00BE7233" w:rsidP="001E2A62" w:rsidRDefault="00BE7233" w14:paraId="5C9772ED" w14:textId="551DC8CF">
      <w:pPr>
        <w:pStyle w:val="FoF"/>
      </w:pPr>
      <w:r w:rsidRPr="00756FAC">
        <w:t>The DAC</w:t>
      </w:r>
      <w:r w:rsidR="00C54EC9">
        <w:noBreakHyphen/>
      </w:r>
      <w:r w:rsidRPr="00756FAC">
        <w:t>SASH 2022</w:t>
      </w:r>
      <w:r w:rsidR="00C54EC9">
        <w:noBreakHyphen/>
      </w:r>
      <w:r w:rsidRPr="00756FAC">
        <w:t xml:space="preserve">2024 </w:t>
      </w:r>
      <w:r w:rsidRPr="00756FAC" w:rsidR="0033021B">
        <w:t>Evaluation</w:t>
      </w:r>
      <w:r>
        <w:t xml:space="preserve"> Report found low </w:t>
      </w:r>
      <w:r w:rsidRPr="00B65092">
        <w:t>DAC</w:t>
      </w:r>
      <w:r w:rsidR="00C54EC9">
        <w:noBreakHyphen/>
      </w:r>
      <w:r w:rsidRPr="00B65092">
        <w:t xml:space="preserve">SASH participant enrollment in other programs for which participants are eligible, including </w:t>
      </w:r>
      <w:r>
        <w:t>ESA</w:t>
      </w:r>
      <w:r w:rsidRPr="00B65092">
        <w:t>,</w:t>
      </w:r>
      <w:r w:rsidR="00ED1EC3">
        <w:t xml:space="preserve"> FERA,</w:t>
      </w:r>
      <w:r w:rsidRPr="00B65092">
        <w:t xml:space="preserve"> and the Medical Baseline </w:t>
      </w:r>
      <w:r w:rsidR="009E02E2">
        <w:t>Program</w:t>
      </w:r>
      <w:r>
        <w:t>.</w:t>
      </w:r>
    </w:p>
    <w:p w:rsidR="00C75403" w:rsidP="001E2A62" w:rsidRDefault="00C75403" w14:paraId="6C1BB9FB" w14:textId="63DC4E16">
      <w:pPr>
        <w:pStyle w:val="FoF"/>
      </w:pPr>
      <w:r>
        <w:t>Strengthened coordination with complementary energy programs would help DAC</w:t>
      </w:r>
      <w:r w:rsidR="00C54EC9">
        <w:noBreakHyphen/>
      </w:r>
      <w:r>
        <w:t>SASH participants receive the full range of support for which they are eligible.</w:t>
      </w:r>
    </w:p>
    <w:p w:rsidR="00BE7233" w:rsidP="001E2A62" w:rsidRDefault="00BE7233" w14:paraId="58F0D107" w14:textId="3FE61953">
      <w:pPr>
        <w:pStyle w:val="FoF"/>
      </w:pPr>
      <w:r>
        <w:lastRenderedPageBreak/>
        <w:t xml:space="preserve">The PA is best positioned to </w:t>
      </w:r>
      <w:r w:rsidR="00E72699">
        <w:t xml:space="preserve">track referrals and to develop strategies to improve </w:t>
      </w:r>
      <w:r>
        <w:t>cross</w:t>
      </w:r>
      <w:r w:rsidR="00C54EC9">
        <w:noBreakHyphen/>
      </w:r>
      <w:r>
        <w:t>program enrollment among DAC</w:t>
      </w:r>
      <w:r w:rsidR="00C54EC9">
        <w:noBreakHyphen/>
      </w:r>
      <w:r>
        <w:t xml:space="preserve">SASH and other </w:t>
      </w:r>
      <w:r w:rsidR="005A7A8E">
        <w:t xml:space="preserve">related </w:t>
      </w:r>
      <w:r>
        <w:t>programs</w:t>
      </w:r>
      <w:r w:rsidR="005A7A8E">
        <w:t>, such as CARE, ESA,</w:t>
      </w:r>
      <w:r w:rsidR="00ED1EC3">
        <w:t xml:space="preserve"> FERA,</w:t>
      </w:r>
      <w:r w:rsidR="005A7A8E">
        <w:t xml:space="preserve"> and Medical Baseline</w:t>
      </w:r>
      <w:r>
        <w:t>.</w:t>
      </w:r>
    </w:p>
    <w:p w:rsidR="00C94D93" w:rsidP="001E2A62" w:rsidRDefault="00C94D93" w14:paraId="5A44372F" w14:textId="288A362A">
      <w:pPr>
        <w:pStyle w:val="FoF"/>
      </w:pPr>
      <w:r>
        <w:t>Allowing DAC</w:t>
      </w:r>
      <w:r w:rsidR="00C54EC9">
        <w:noBreakHyphen/>
      </w:r>
      <w:r>
        <w:t>SASH projects to receive incentives from DAC</w:t>
      </w:r>
      <w:r w:rsidR="00C54EC9">
        <w:noBreakHyphen/>
      </w:r>
      <w:r>
        <w:t>SASH and other complementary incentive programs in excess of project costs risks over</w:t>
      </w:r>
      <w:r w:rsidR="00C54EC9">
        <w:noBreakHyphen/>
      </w:r>
      <w:r>
        <w:t>subsidizing projects.</w:t>
      </w:r>
    </w:p>
    <w:p w:rsidRPr="005423E1" w:rsidR="009476CA" w:rsidP="001E2A62" w:rsidRDefault="009476CA" w14:paraId="7289CB5C" w14:textId="71E68313">
      <w:pPr>
        <w:pStyle w:val="FoF"/>
      </w:pPr>
      <w:r w:rsidRPr="005423E1">
        <w:t>The updated EPBB remains a reliable way to estimate solar system capacity.</w:t>
      </w:r>
    </w:p>
    <w:p w:rsidR="00C94D93" w:rsidP="00C94D93" w:rsidRDefault="00BE7233" w14:paraId="46F30CCF" w14:textId="6CBDD79A">
      <w:pPr>
        <w:pStyle w:val="FoF"/>
      </w:pPr>
      <w:r>
        <w:t>DAC</w:t>
      </w:r>
      <w:r w:rsidR="00C54EC9">
        <w:noBreakHyphen/>
      </w:r>
      <w:r>
        <w:t>SASH</w:t>
      </w:r>
      <w:r w:rsidR="008230EB">
        <w:t>’</w:t>
      </w:r>
      <w:r>
        <w:t>s workforce developmen</w:t>
      </w:r>
      <w:r w:rsidR="00C94D93">
        <w:t>t and</w:t>
      </w:r>
      <w:r>
        <w:t xml:space="preserve"> job training requirements have remained largely uncha</w:t>
      </w:r>
      <w:r w:rsidR="00D843B2">
        <w:t>ng</w:t>
      </w:r>
      <w:r>
        <w:t xml:space="preserve">ed </w:t>
      </w:r>
      <w:r w:rsidR="00997526">
        <w:t>since they were included in</w:t>
      </w:r>
      <w:r>
        <w:t xml:space="preserve"> the predecessor SASH program</w:t>
      </w:r>
      <w:r w:rsidR="008230EB">
        <w:t>’</w:t>
      </w:r>
      <w:r>
        <w:t>s design from 20</w:t>
      </w:r>
      <w:r w:rsidR="00997526">
        <w:t>0</w:t>
      </w:r>
      <w:r>
        <w:t>7.</w:t>
      </w:r>
    </w:p>
    <w:p w:rsidR="00BE7233" w:rsidP="001E2A62" w:rsidRDefault="00BE7233" w14:paraId="6BC36248" w14:textId="4267A824">
      <w:pPr>
        <w:pStyle w:val="FoF"/>
      </w:pPr>
      <w:r>
        <w:t>The PA has not provided adequate data to track whether DAC</w:t>
      </w:r>
      <w:r w:rsidR="00C54EC9">
        <w:noBreakHyphen/>
      </w:r>
      <w:r>
        <w:t>SASH</w:t>
      </w:r>
      <w:r w:rsidR="008230EB">
        <w:t>’</w:t>
      </w:r>
      <w:r>
        <w:t xml:space="preserve">s workforce development and job training </w:t>
      </w:r>
      <w:r w:rsidR="0033021B">
        <w:t>requirements</w:t>
      </w:r>
      <w:r>
        <w:t xml:space="preserve"> have substantially benefited people in DACs.</w:t>
      </w:r>
    </w:p>
    <w:p w:rsidR="00407F2F" w:rsidP="001E2A62" w:rsidRDefault="00407F2F" w14:paraId="2AB6904A" w14:textId="272AA5A9">
      <w:pPr>
        <w:pStyle w:val="FoF"/>
      </w:pPr>
      <w:r>
        <w:t>Maintaining funding allocated to job training and wor</w:t>
      </w:r>
      <w:r w:rsidR="00E841BA">
        <w:t>kforce development leaves less funds available to incentivize solar installations for low</w:t>
      </w:r>
      <w:r w:rsidR="00C54EC9">
        <w:noBreakHyphen/>
      </w:r>
      <w:r w:rsidR="00E841BA">
        <w:t>income residents.</w:t>
      </w:r>
    </w:p>
    <w:p w:rsidR="00BE7233" w:rsidP="001E2A62" w:rsidRDefault="00BE7233" w14:paraId="5899909E" w14:textId="74E9CF46">
      <w:pPr>
        <w:pStyle w:val="FoF"/>
      </w:pPr>
      <w:r>
        <w:t>Expanding DAC</w:t>
      </w:r>
      <w:r w:rsidR="00C54EC9">
        <w:noBreakHyphen/>
      </w:r>
      <w:r>
        <w:t xml:space="preserve">SASH to incentivize battery storage would decrease the total population </w:t>
      </w:r>
      <w:r w:rsidR="0075121E">
        <w:t>of customers served by the program.</w:t>
      </w:r>
    </w:p>
    <w:p w:rsidR="0075121E" w:rsidP="001E2A62" w:rsidRDefault="0075121E" w14:paraId="6058D381" w14:textId="49AAA849">
      <w:pPr>
        <w:pStyle w:val="FoF"/>
      </w:pPr>
      <w:r>
        <w:t>Expanding DAC</w:t>
      </w:r>
      <w:r w:rsidR="00C54EC9">
        <w:noBreakHyphen/>
      </w:r>
      <w:r>
        <w:t>SASH to incentivize battery storage would introduce additional costs, administrative complexity</w:t>
      </w:r>
      <w:r w:rsidR="00DC11F5">
        <w:t>,</w:t>
      </w:r>
      <w:r>
        <w:t xml:space="preserve"> and competing resource demands to a program already scheduled to sunset in </w:t>
      </w:r>
      <w:r w:rsidR="00D843B2">
        <w:t>2030</w:t>
      </w:r>
      <w:r>
        <w:t>.</w:t>
      </w:r>
    </w:p>
    <w:p w:rsidR="00C94D93" w:rsidP="001E2A62" w:rsidRDefault="00C94D93" w14:paraId="7C3E3C3A" w14:textId="31AE2FC6">
      <w:pPr>
        <w:pStyle w:val="FoF"/>
      </w:pPr>
      <w:r>
        <w:t>Referring more DAC</w:t>
      </w:r>
      <w:r w:rsidR="00C54EC9">
        <w:noBreakHyphen/>
      </w:r>
      <w:r>
        <w:t>SASH applicants to ESA will expose them first</w:t>
      </w:r>
      <w:r w:rsidR="00C54EC9">
        <w:noBreakHyphen/>
      </w:r>
      <w:r>
        <w:t>hand to energy efficiency programs and lessen the need for energy efficiency education as part of DAC</w:t>
      </w:r>
      <w:r w:rsidR="00C54EC9">
        <w:noBreakHyphen/>
      </w:r>
      <w:r>
        <w:t>SASH.</w:t>
      </w:r>
    </w:p>
    <w:p w:rsidRPr="001E2A62" w:rsidR="008E6AE6" w:rsidP="0075121E" w:rsidRDefault="0075121E" w14:paraId="4310EFB8" w14:textId="5D6023A0">
      <w:pPr>
        <w:pStyle w:val="FoF"/>
      </w:pPr>
      <w:r>
        <w:lastRenderedPageBreak/>
        <w:t xml:space="preserve">Meter socket adapters </w:t>
      </w:r>
      <w:r w:rsidR="00107FF4">
        <w:t>can help reduce project costs for potentially necessary equipment</w:t>
      </w:r>
      <w:r>
        <w:t>.</w:t>
      </w:r>
    </w:p>
    <w:p w:rsidR="005939A5" w:rsidP="00066B83" w:rsidRDefault="005939A5" w14:paraId="7BC9351D" w14:textId="77777777">
      <w:pPr>
        <w:pStyle w:val="Dummy"/>
      </w:pPr>
      <w:bookmarkStart w:name="_Toc8123726" w:id="47"/>
      <w:bookmarkStart w:name="_Toc236292549" w:id="48"/>
      <w:bookmarkStart w:name="_Toc242090715" w:id="49"/>
      <w:r>
        <w:t>Conclusions of Law</w:t>
      </w:r>
      <w:bookmarkEnd w:id="47"/>
      <w:bookmarkEnd w:id="48"/>
      <w:bookmarkEnd w:id="49"/>
    </w:p>
    <w:p w:rsidRPr="009B183A" w:rsidR="00932865" w:rsidP="00B317A2" w:rsidRDefault="00DD2159" w14:paraId="7107A07A" w14:textId="279D0243">
      <w:pPr>
        <w:pStyle w:val="CoL"/>
        <w:numPr>
          <w:ilvl w:val="0"/>
          <w:numId w:val="118"/>
        </w:numPr>
      </w:pPr>
      <w:r>
        <w:t>The IOUs should be authorized</w:t>
      </w:r>
      <w:r w:rsidRPr="009E7A64">
        <w:rPr>
          <w:szCs w:val="26"/>
        </w:rPr>
        <w:t xml:space="preserve"> to</w:t>
      </w:r>
      <w:r w:rsidRPr="009E7A64">
        <w:rPr>
          <w:rFonts w:eastAsia="Cambria" w:cs="Cambria"/>
          <w:szCs w:val="26"/>
        </w:rPr>
        <w:t xml:space="preserve"> use available accrued interest funds in </w:t>
      </w:r>
      <w:r w:rsidR="00E326B7">
        <w:rPr>
          <w:rFonts w:eastAsia="Cambria" w:cs="Cambria"/>
          <w:szCs w:val="26"/>
        </w:rPr>
        <w:t>DAC</w:t>
      </w:r>
      <w:r w:rsidR="00C54EC9">
        <w:rPr>
          <w:rFonts w:eastAsia="Cambria" w:cs="Cambria"/>
          <w:szCs w:val="26"/>
        </w:rPr>
        <w:noBreakHyphen/>
      </w:r>
      <w:r w:rsidR="00E326B7">
        <w:rPr>
          <w:rFonts w:eastAsia="Cambria" w:cs="Cambria"/>
          <w:szCs w:val="26"/>
        </w:rPr>
        <w:t>SASH</w:t>
      </w:r>
      <w:r w:rsidRPr="00756FAC">
        <w:rPr>
          <w:rFonts w:eastAsia="Cambria" w:cs="Cambria"/>
          <w:szCs w:val="26"/>
        </w:rPr>
        <w:t xml:space="preserve"> program balancing accounts to support </w:t>
      </w:r>
      <w:r w:rsidR="000F143D">
        <w:rPr>
          <w:rFonts w:eastAsia="Cambria" w:cs="Cambria"/>
          <w:szCs w:val="26"/>
        </w:rPr>
        <w:t>their future</w:t>
      </w:r>
      <w:r w:rsidRPr="00756FAC" w:rsidR="00D843B2">
        <w:rPr>
          <w:rFonts w:eastAsia="Cambria" w:cs="Cambria"/>
          <w:szCs w:val="26"/>
        </w:rPr>
        <w:t xml:space="preserve"> ME&amp;O</w:t>
      </w:r>
      <w:r w:rsidRPr="00756FAC">
        <w:rPr>
          <w:rFonts w:eastAsia="Cambria" w:cs="Cambria"/>
          <w:szCs w:val="26"/>
        </w:rPr>
        <w:t xml:space="preserve"> and administrative </w:t>
      </w:r>
      <w:r w:rsidR="009031D1">
        <w:rPr>
          <w:rFonts w:eastAsia="Cambria" w:cs="Cambria"/>
          <w:szCs w:val="26"/>
        </w:rPr>
        <w:t xml:space="preserve">expenses </w:t>
      </w:r>
      <w:r w:rsidR="008240BC">
        <w:rPr>
          <w:rFonts w:eastAsia="Cambria" w:cs="Cambria"/>
          <w:szCs w:val="26"/>
        </w:rPr>
        <w:t xml:space="preserve">from 2026 </w:t>
      </w:r>
      <w:r w:rsidR="009031D1">
        <w:rPr>
          <w:rFonts w:eastAsia="Cambria" w:cs="Cambria"/>
          <w:szCs w:val="26"/>
        </w:rPr>
        <w:t>through 2030</w:t>
      </w:r>
      <w:r w:rsidRPr="00756FAC">
        <w:rPr>
          <w:rFonts w:eastAsia="Cambria" w:cs="Cambria"/>
          <w:szCs w:val="26"/>
        </w:rPr>
        <w:t>.</w:t>
      </w:r>
    </w:p>
    <w:p w:rsidRPr="000A3731" w:rsidR="008240BC" w:rsidP="00B317A2" w:rsidRDefault="008240BC" w14:paraId="0973D950" w14:textId="471EE272">
      <w:pPr>
        <w:pStyle w:val="CoL"/>
        <w:numPr>
          <w:ilvl w:val="0"/>
          <w:numId w:val="118"/>
        </w:numPr>
        <w:ind w:firstLine="547"/>
      </w:pPr>
      <w:r>
        <w:t>SDG&amp;E should be authorized</w:t>
      </w:r>
      <w:r w:rsidRPr="009E7A64">
        <w:rPr>
          <w:szCs w:val="26"/>
        </w:rPr>
        <w:t xml:space="preserve"> to</w:t>
      </w:r>
      <w:r w:rsidRPr="009E7A64">
        <w:rPr>
          <w:rFonts w:eastAsia="Cambria" w:cs="Cambria"/>
          <w:szCs w:val="26"/>
        </w:rPr>
        <w:t xml:space="preserve"> use available accrued interest funds in </w:t>
      </w:r>
      <w:r>
        <w:rPr>
          <w:rFonts w:eastAsia="Cambria" w:cs="Cambria"/>
          <w:szCs w:val="26"/>
        </w:rPr>
        <w:t>DAC</w:t>
      </w:r>
      <w:r>
        <w:rPr>
          <w:rFonts w:eastAsia="Cambria" w:cs="Cambria"/>
          <w:szCs w:val="26"/>
        </w:rPr>
        <w:noBreakHyphen/>
        <w:t>SASH</w:t>
      </w:r>
      <w:r w:rsidRPr="00756FAC">
        <w:rPr>
          <w:rFonts w:eastAsia="Cambria" w:cs="Cambria"/>
          <w:szCs w:val="26"/>
        </w:rPr>
        <w:t xml:space="preserve"> program balancing accounts to support </w:t>
      </w:r>
      <w:r>
        <w:rPr>
          <w:rFonts w:eastAsia="Cambria" w:cs="Cambria"/>
          <w:szCs w:val="26"/>
        </w:rPr>
        <w:t>its</w:t>
      </w:r>
      <w:r w:rsidRPr="00756FAC">
        <w:rPr>
          <w:rFonts w:eastAsia="Cambria" w:cs="Cambria"/>
          <w:szCs w:val="26"/>
        </w:rPr>
        <w:t xml:space="preserve"> </w:t>
      </w:r>
      <w:r w:rsidR="00635F23">
        <w:rPr>
          <w:rFonts w:eastAsia="Cambria" w:cs="Cambria"/>
          <w:szCs w:val="26"/>
        </w:rPr>
        <w:t xml:space="preserve">previously incurred </w:t>
      </w:r>
      <w:r w:rsidRPr="00756FAC">
        <w:rPr>
          <w:rFonts w:eastAsia="Cambria" w:cs="Cambria"/>
          <w:szCs w:val="26"/>
        </w:rPr>
        <w:t xml:space="preserve">ME&amp;O and administrative </w:t>
      </w:r>
      <w:r>
        <w:rPr>
          <w:rFonts w:eastAsia="Cambria" w:cs="Cambria"/>
          <w:szCs w:val="26"/>
        </w:rPr>
        <w:t>expenses f</w:t>
      </w:r>
      <w:r w:rsidR="00635F23">
        <w:rPr>
          <w:rFonts w:eastAsia="Cambria" w:cs="Cambria"/>
          <w:szCs w:val="26"/>
        </w:rPr>
        <w:t>or</w:t>
      </w:r>
      <w:r>
        <w:rPr>
          <w:rFonts w:eastAsia="Cambria" w:cs="Cambria"/>
          <w:szCs w:val="26"/>
        </w:rPr>
        <w:t xml:space="preserve"> 2023 to 202</w:t>
      </w:r>
      <w:r w:rsidR="00635F23">
        <w:rPr>
          <w:rFonts w:eastAsia="Cambria" w:cs="Cambria"/>
          <w:szCs w:val="26"/>
        </w:rPr>
        <w:t>6</w:t>
      </w:r>
      <w:r w:rsidRPr="00756FAC">
        <w:rPr>
          <w:rFonts w:eastAsia="Cambria" w:cs="Cambria"/>
          <w:szCs w:val="26"/>
        </w:rPr>
        <w:t>.</w:t>
      </w:r>
    </w:p>
    <w:p w:rsidR="005423E1" w:rsidP="00B317A2" w:rsidRDefault="005423E1" w14:paraId="211496FE" w14:textId="76E8CED0">
      <w:pPr>
        <w:pStyle w:val="CoL"/>
        <w:numPr>
          <w:ilvl w:val="0"/>
          <w:numId w:val="118"/>
        </w:numPr>
        <w:ind w:firstLine="547"/>
      </w:pPr>
      <w:r>
        <w:t>T</w:t>
      </w:r>
      <w:r w:rsidRPr="009E7A64">
        <w:t xml:space="preserve">he IOUs </w:t>
      </w:r>
      <w:r>
        <w:t>should</w:t>
      </w:r>
      <w:r w:rsidRPr="009E7A64">
        <w:t xml:space="preserve"> report the use of their respective accrued interest balances </w:t>
      </w:r>
      <w:r w:rsidR="00505CFC">
        <w:t xml:space="preserve">for administrative and ME&amp;O expenses </w:t>
      </w:r>
      <w:r w:rsidRPr="009E7A64">
        <w:t xml:space="preserve">in the </w:t>
      </w:r>
      <w:r w:rsidR="00CD2EFE">
        <w:t>p</w:t>
      </w:r>
      <w:r w:rsidRPr="009E7A64">
        <w:t xml:space="preserve">roposed </w:t>
      </w:r>
      <w:r w:rsidR="00CD2EFE">
        <w:t>a</w:t>
      </w:r>
      <w:r w:rsidRPr="009E7A64">
        <w:t xml:space="preserve">nnual </w:t>
      </w:r>
      <w:r w:rsidR="00CD2EFE">
        <w:t>b</w:t>
      </w:r>
      <w:r w:rsidRPr="009E7A64">
        <w:t xml:space="preserve">udget </w:t>
      </w:r>
      <w:r w:rsidR="00FC2DAD">
        <w:t>a</w:t>
      </w:r>
      <w:r w:rsidRPr="009E7A64">
        <w:t xml:space="preserve">dvice </w:t>
      </w:r>
      <w:r w:rsidR="00FC2DAD">
        <w:t>l</w:t>
      </w:r>
      <w:r w:rsidRPr="009E7A64">
        <w:t>etters directed out of D</w:t>
      </w:r>
      <w:r w:rsidR="005602AD">
        <w:t>.</w:t>
      </w:r>
      <w:r w:rsidRPr="009E7A64">
        <w:t>20</w:t>
      </w:r>
      <w:r w:rsidR="00C54EC9">
        <w:noBreakHyphen/>
      </w:r>
      <w:r w:rsidRPr="009E7A64">
        <w:t>12</w:t>
      </w:r>
      <w:r w:rsidR="00C54EC9">
        <w:noBreakHyphen/>
      </w:r>
      <w:r w:rsidRPr="009E7A64">
        <w:t xml:space="preserve">003 </w:t>
      </w:r>
      <w:r w:rsidR="005D0B95">
        <w:t>Ordering Paragraph 6</w:t>
      </w:r>
      <w:r w:rsidRPr="009E7A64">
        <w:t>.</w:t>
      </w:r>
      <w:r w:rsidR="00505CFC">
        <w:t xml:space="preserve"> The IOUs should be authorized to seek recovery for those approved administrative and ME&amp;O expenses </w:t>
      </w:r>
      <w:r w:rsidR="008977F6">
        <w:t xml:space="preserve">without a rate of return </w:t>
      </w:r>
      <w:r w:rsidR="00505CFC">
        <w:t>in their ERRA applications as directed out of D.20</w:t>
      </w:r>
      <w:r w:rsidR="00C54EC9">
        <w:noBreakHyphen/>
      </w:r>
      <w:r w:rsidR="00505CFC">
        <w:t>12</w:t>
      </w:r>
      <w:r w:rsidR="00C54EC9">
        <w:noBreakHyphen/>
      </w:r>
      <w:r w:rsidR="00505CFC">
        <w:t xml:space="preserve">003 </w:t>
      </w:r>
      <w:r w:rsidR="005D0B95">
        <w:t>Ordering Paragraph 7</w:t>
      </w:r>
      <w:r w:rsidR="00505CFC">
        <w:t>.</w:t>
      </w:r>
    </w:p>
    <w:p w:rsidR="00820241" w:rsidP="00B317A2" w:rsidRDefault="00820241" w14:paraId="015272D1" w14:textId="7C8821D0">
      <w:pPr>
        <w:pStyle w:val="CoL"/>
        <w:numPr>
          <w:ilvl w:val="0"/>
          <w:numId w:val="118"/>
        </w:numPr>
        <w:ind w:firstLine="547"/>
      </w:pPr>
      <w:r>
        <w:t xml:space="preserve">Annual transfers by </w:t>
      </w:r>
      <w:r w:rsidRPr="00480120">
        <w:t>SDG&amp;E into its DAC</w:t>
      </w:r>
      <w:r w:rsidR="00C54EC9">
        <w:noBreakHyphen/>
      </w:r>
      <w:r w:rsidRPr="00480120">
        <w:t xml:space="preserve">SASH Balancing Account </w:t>
      </w:r>
      <w:r>
        <w:t xml:space="preserve">should be limited </w:t>
      </w:r>
      <w:r w:rsidRPr="00480120">
        <w:t>to its Commission</w:t>
      </w:r>
      <w:r w:rsidR="00C54EC9">
        <w:noBreakHyphen/>
      </w:r>
      <w:r w:rsidRPr="00480120">
        <w:t>authorized annual DAC</w:t>
      </w:r>
      <w:r w:rsidR="00C54EC9">
        <w:noBreakHyphen/>
      </w:r>
      <w:r w:rsidRPr="00480120">
        <w:t>SASH funding allocation.</w:t>
      </w:r>
    </w:p>
    <w:p w:rsidRPr="009B183A" w:rsidR="00932865" w:rsidP="00B317A2" w:rsidRDefault="00DD2159" w14:paraId="4CA46DC4" w14:textId="132F3EEC">
      <w:pPr>
        <w:pStyle w:val="CoL"/>
        <w:numPr>
          <w:ilvl w:val="0"/>
          <w:numId w:val="118"/>
        </w:numPr>
        <w:ind w:firstLine="547"/>
      </w:pPr>
      <w:r w:rsidRPr="00756FAC">
        <w:rPr>
          <w:szCs w:val="26"/>
        </w:rPr>
        <w:t xml:space="preserve">The PA should </w:t>
      </w:r>
      <w:r w:rsidRPr="00756FAC">
        <w:rPr>
          <w:rFonts w:eastAsia="Cambria" w:cs="Cambria"/>
          <w:szCs w:val="26"/>
        </w:rPr>
        <w:t>track</w:t>
      </w:r>
      <w:r w:rsidRPr="009E7A64">
        <w:rPr>
          <w:rFonts w:eastAsia="Cambria" w:cs="Cambria"/>
          <w:szCs w:val="26"/>
        </w:rPr>
        <w:t xml:space="preserve">, account for, and report all external funds used to support </w:t>
      </w:r>
      <w:r>
        <w:rPr>
          <w:rFonts w:eastAsia="Cambria" w:cs="Cambria"/>
          <w:szCs w:val="26"/>
        </w:rPr>
        <w:t>DAC</w:t>
      </w:r>
      <w:r w:rsidR="00C54EC9">
        <w:rPr>
          <w:rFonts w:eastAsia="Cambria" w:cs="Cambria"/>
          <w:szCs w:val="26"/>
        </w:rPr>
        <w:noBreakHyphen/>
      </w:r>
      <w:r>
        <w:rPr>
          <w:rFonts w:eastAsia="Cambria" w:cs="Cambria"/>
          <w:szCs w:val="26"/>
        </w:rPr>
        <w:t xml:space="preserve">SASH </w:t>
      </w:r>
      <w:r w:rsidRPr="009E7A64">
        <w:rPr>
          <w:rFonts w:eastAsia="Cambria" w:cs="Cambria"/>
          <w:szCs w:val="26"/>
        </w:rPr>
        <w:t xml:space="preserve">program activities at the project level and to include these costs in its </w:t>
      </w:r>
      <w:r w:rsidR="00B72E11">
        <w:rPr>
          <w:rFonts w:eastAsia="Cambria" w:cs="Cambria"/>
          <w:szCs w:val="26"/>
        </w:rPr>
        <w:t>Quarter </w:t>
      </w:r>
      <w:r w:rsidR="00267042">
        <w:rPr>
          <w:rFonts w:eastAsia="Cambria" w:cs="Cambria"/>
          <w:szCs w:val="26"/>
        </w:rPr>
        <w:t>1</w:t>
      </w:r>
      <w:r w:rsidR="00C54EC9">
        <w:rPr>
          <w:rFonts w:eastAsia="Cambria" w:cs="Cambria"/>
          <w:szCs w:val="26"/>
        </w:rPr>
        <w:noBreakHyphen/>
      </w:r>
      <w:r w:rsidR="00A430DB">
        <w:rPr>
          <w:rFonts w:eastAsia="Cambria" w:cs="Cambria"/>
          <w:szCs w:val="26"/>
        </w:rPr>
        <w:t>Quarter </w:t>
      </w:r>
      <w:r w:rsidR="00EF7585">
        <w:rPr>
          <w:rFonts w:eastAsia="Cambria" w:cs="Cambria"/>
          <w:szCs w:val="26"/>
        </w:rPr>
        <w:t xml:space="preserve">2 2027 </w:t>
      </w:r>
      <w:r w:rsidRPr="009E7A64">
        <w:rPr>
          <w:rFonts w:eastAsia="Cambria" w:cs="Cambria"/>
          <w:szCs w:val="26"/>
        </w:rPr>
        <w:t>DAC</w:t>
      </w:r>
      <w:r w:rsidR="00C54EC9">
        <w:rPr>
          <w:rFonts w:eastAsia="Cambria" w:cs="Cambria"/>
          <w:szCs w:val="26"/>
        </w:rPr>
        <w:noBreakHyphen/>
      </w:r>
      <w:r w:rsidRPr="009E7A64">
        <w:rPr>
          <w:rFonts w:eastAsia="Cambria" w:cs="Cambria"/>
          <w:szCs w:val="26"/>
        </w:rPr>
        <w:t>SASH Semi</w:t>
      </w:r>
      <w:r w:rsidR="00C54EC9">
        <w:rPr>
          <w:rFonts w:eastAsia="Cambria" w:cs="Cambria"/>
          <w:szCs w:val="26"/>
        </w:rPr>
        <w:noBreakHyphen/>
      </w:r>
      <w:r w:rsidR="00D843B2">
        <w:rPr>
          <w:rFonts w:eastAsia="Cambria" w:cs="Cambria"/>
          <w:szCs w:val="26"/>
        </w:rPr>
        <w:t>a</w:t>
      </w:r>
      <w:r w:rsidRPr="009E7A64">
        <w:rPr>
          <w:rFonts w:eastAsia="Cambria" w:cs="Cambria"/>
          <w:szCs w:val="26"/>
        </w:rPr>
        <w:t>nnual Reports</w:t>
      </w:r>
      <w:r w:rsidR="00EF7585">
        <w:rPr>
          <w:rFonts w:eastAsia="Cambria" w:cs="Cambria"/>
          <w:szCs w:val="26"/>
        </w:rPr>
        <w:t xml:space="preserve"> using the data fields provided in </w:t>
      </w:r>
      <w:r w:rsidR="002E26D7">
        <w:rPr>
          <w:rFonts w:eastAsia="Cambria" w:cs="Cambria"/>
          <w:szCs w:val="26"/>
        </w:rPr>
        <w:t>Appendix </w:t>
      </w:r>
      <w:r w:rsidR="00EF7585">
        <w:rPr>
          <w:rFonts w:eastAsia="Cambria" w:cs="Cambria"/>
          <w:szCs w:val="26"/>
        </w:rPr>
        <w:t>A of this decision</w:t>
      </w:r>
      <w:r>
        <w:rPr>
          <w:rFonts w:eastAsia="Cambria" w:cs="Cambria"/>
          <w:szCs w:val="26"/>
        </w:rPr>
        <w:t>.</w:t>
      </w:r>
    </w:p>
    <w:p w:rsidRPr="009B183A" w:rsidR="005001AA" w:rsidP="00B317A2" w:rsidRDefault="005001AA" w14:paraId="74EC13A6" w14:textId="1E8E16C7">
      <w:pPr>
        <w:pStyle w:val="CoL"/>
        <w:numPr>
          <w:ilvl w:val="0"/>
          <w:numId w:val="118"/>
        </w:numPr>
        <w:ind w:firstLine="547"/>
        <w:rPr>
          <w:rFonts w:ascii="Aptos" w:hAnsi="Aptos"/>
        </w:rPr>
      </w:pPr>
      <w:r>
        <w:t>It is reasonable to authorize Energy Division to modify, add, or remove the project-cost and external-funding reporting fields in Appendix A through a Letter from the Deputy Executive Director and/or their designee. </w:t>
      </w:r>
    </w:p>
    <w:p w:rsidR="00DD2159" w:rsidP="00B317A2" w:rsidRDefault="00DD2159" w14:paraId="06627C04" w14:textId="0F359791">
      <w:pPr>
        <w:pStyle w:val="CoL"/>
        <w:numPr>
          <w:ilvl w:val="0"/>
          <w:numId w:val="118"/>
        </w:numPr>
        <w:ind w:firstLine="547"/>
      </w:pPr>
      <w:r>
        <w:t>The PA should be authorized</w:t>
      </w:r>
      <w:r w:rsidRPr="755E6C24">
        <w:t xml:space="preserve"> to use a one</w:t>
      </w:r>
      <w:r w:rsidR="00C54EC9">
        <w:noBreakHyphen/>
      </w:r>
      <w:r w:rsidRPr="755E6C24">
        <w:t>time allocation of $</w:t>
      </w:r>
      <w:r w:rsidR="00C06453">
        <w:t>5</w:t>
      </w:r>
      <w:r w:rsidRPr="755E6C24">
        <w:t>0</w:t>
      </w:r>
      <w:r>
        <w:t>,000</w:t>
      </w:r>
      <w:r w:rsidRPr="755E6C24">
        <w:t xml:space="preserve"> </w:t>
      </w:r>
      <w:r w:rsidR="00D843B2">
        <w:t>from</w:t>
      </w:r>
      <w:r w:rsidRPr="755E6C24">
        <w:t xml:space="preserve"> the remaining accrued interest </w:t>
      </w:r>
      <w:r>
        <w:t xml:space="preserve">in the </w:t>
      </w:r>
      <w:r>
        <w:rPr>
          <w:rFonts w:eastAsia="Cambria" w:cs="Cambria"/>
          <w:szCs w:val="26"/>
        </w:rPr>
        <w:t>IOUs</w:t>
      </w:r>
      <w:r w:rsidR="008230EB">
        <w:rPr>
          <w:rFonts w:eastAsia="Cambria" w:cs="Cambria"/>
          <w:szCs w:val="26"/>
        </w:rPr>
        <w:t>’</w:t>
      </w:r>
      <w:r>
        <w:rPr>
          <w:rFonts w:eastAsia="Cambria" w:cs="Cambria"/>
          <w:szCs w:val="26"/>
        </w:rPr>
        <w:t xml:space="preserve"> DAC</w:t>
      </w:r>
      <w:r w:rsidR="00C54EC9">
        <w:rPr>
          <w:rFonts w:eastAsia="Cambria" w:cs="Cambria"/>
          <w:szCs w:val="26"/>
        </w:rPr>
        <w:noBreakHyphen/>
      </w:r>
      <w:r>
        <w:rPr>
          <w:rFonts w:eastAsia="Cambria" w:cs="Cambria"/>
          <w:szCs w:val="26"/>
        </w:rPr>
        <w:t>SASH balancing accounts t</w:t>
      </w:r>
      <w:r w:rsidRPr="755E6C24">
        <w:t xml:space="preserve">o </w:t>
      </w:r>
      <w:r>
        <w:lastRenderedPageBreak/>
        <w:t>improve</w:t>
      </w:r>
      <w:r w:rsidRPr="755E6C24">
        <w:t xml:space="preserve"> </w:t>
      </w:r>
      <w:r>
        <w:t>the PA</w:t>
      </w:r>
      <w:r w:rsidR="008230EB">
        <w:t>’</w:t>
      </w:r>
      <w:r w:rsidRPr="755E6C24">
        <w:t xml:space="preserve">s </w:t>
      </w:r>
      <w:r>
        <w:t>a</w:t>
      </w:r>
      <w:r w:rsidRPr="755E6C24">
        <w:t>dministrative budget activities</w:t>
      </w:r>
      <w:r>
        <w:t xml:space="preserve"> and </w:t>
      </w:r>
      <w:r w:rsidRPr="755E6C24">
        <w:t xml:space="preserve">to cover any incremental changes to facilitate </w:t>
      </w:r>
      <w:r>
        <w:t>the PA</w:t>
      </w:r>
      <w:r w:rsidR="008230EB">
        <w:t>’</w:t>
      </w:r>
      <w:r w:rsidRPr="755E6C24">
        <w:t xml:space="preserve">s reporting on </w:t>
      </w:r>
      <w:r w:rsidR="00D826A6">
        <w:t>external</w:t>
      </w:r>
      <w:r w:rsidRPr="755E6C24" w:rsidR="00D826A6">
        <w:t xml:space="preserve"> </w:t>
      </w:r>
      <w:r w:rsidRPr="755E6C24">
        <w:t>funding and program participation outcomes</w:t>
      </w:r>
      <w:r>
        <w:t>.</w:t>
      </w:r>
    </w:p>
    <w:p w:rsidR="002A0826" w:rsidP="00B317A2" w:rsidRDefault="002A0826" w14:paraId="6B43E70E" w14:textId="27576096">
      <w:pPr>
        <w:pStyle w:val="CoL"/>
        <w:numPr>
          <w:ilvl w:val="0"/>
          <w:numId w:val="118"/>
        </w:numPr>
        <w:ind w:firstLine="547"/>
      </w:pPr>
      <w:r>
        <w:t xml:space="preserve">The PA should </w:t>
      </w:r>
      <w:r w:rsidR="00C408F7">
        <w:t>document the use of the one</w:t>
      </w:r>
      <w:r w:rsidR="00C54EC9">
        <w:noBreakHyphen/>
      </w:r>
      <w:r w:rsidR="00C408F7">
        <w:t>time allocation of $</w:t>
      </w:r>
      <w:r w:rsidR="00C06453">
        <w:t>5</w:t>
      </w:r>
      <w:r w:rsidR="00C408F7">
        <w:t>0,000</w:t>
      </w:r>
      <w:r w:rsidR="001F7C3F">
        <w:t xml:space="preserve"> authorized in this decision in its </w:t>
      </w:r>
      <w:r w:rsidR="00A430DB">
        <w:t>Quarter </w:t>
      </w:r>
      <w:r w:rsidR="001F7C3F">
        <w:t>1</w:t>
      </w:r>
      <w:r w:rsidR="00C54EC9">
        <w:noBreakHyphen/>
      </w:r>
      <w:r w:rsidR="00A430DB">
        <w:t>Quarter </w:t>
      </w:r>
      <w:r w:rsidR="001F7C3F">
        <w:t>2 2027 Semi</w:t>
      </w:r>
      <w:r w:rsidR="00C54EC9">
        <w:noBreakHyphen/>
      </w:r>
      <w:r w:rsidR="001F7C3F">
        <w:t>annual report.</w:t>
      </w:r>
    </w:p>
    <w:p w:rsidR="00024945" w:rsidP="00B317A2" w:rsidRDefault="001F7C3F" w14:paraId="5B250EB6" w14:textId="72ADA2FC">
      <w:pPr>
        <w:pStyle w:val="CoL"/>
        <w:numPr>
          <w:ilvl w:val="0"/>
          <w:numId w:val="118"/>
        </w:numPr>
        <w:ind w:firstLine="547"/>
      </w:pPr>
      <w:r>
        <w:t xml:space="preserve">The PA should submit a </w:t>
      </w:r>
      <w:r w:rsidR="001C3D54">
        <w:t>Tier </w:t>
      </w:r>
      <w:r>
        <w:t xml:space="preserve">2 advice letter documenting its </w:t>
      </w:r>
      <w:r w:rsidR="007C76FF">
        <w:t>plan for</w:t>
      </w:r>
      <w:r w:rsidR="00433DEE">
        <w:t xml:space="preserve"> the </w:t>
      </w:r>
      <w:r w:rsidR="007C76FF">
        <w:t>reporting on external funds used by the PA on DAC</w:t>
      </w:r>
      <w:r w:rsidR="00C54EC9">
        <w:noBreakHyphen/>
      </w:r>
      <w:r w:rsidR="007C76FF">
        <w:t xml:space="preserve">SASH </w:t>
      </w:r>
      <w:r>
        <w:t xml:space="preserve">with a budget and timeline </w:t>
      </w:r>
      <w:r w:rsidR="007C76FF">
        <w:t xml:space="preserve">to be filed </w:t>
      </w:r>
      <w:r>
        <w:t xml:space="preserve">within </w:t>
      </w:r>
      <w:r w:rsidR="00473C2F">
        <w:t>90</w:t>
      </w:r>
      <w:r w:rsidR="00777E49">
        <w:t xml:space="preserve"> </w:t>
      </w:r>
      <w:r>
        <w:t>days of the issuance of this decision.</w:t>
      </w:r>
      <w:r w:rsidR="00433DEE">
        <w:t xml:space="preserve"> This advice letter should also include a proposed updated </w:t>
      </w:r>
      <w:r w:rsidR="000303D0">
        <w:t>PIP</w:t>
      </w:r>
      <w:r w:rsidR="00433DEE">
        <w:t xml:space="preserve"> to comport with the direction provided in this </w:t>
      </w:r>
      <w:r w:rsidR="000303D0">
        <w:t>d</w:t>
      </w:r>
      <w:r w:rsidR="00433DEE">
        <w:t>ecision.</w:t>
      </w:r>
    </w:p>
    <w:p w:rsidR="009A70A9" w:rsidP="00B317A2" w:rsidRDefault="00B369EB" w14:paraId="09ACDF9D" w14:textId="72C0C58D">
      <w:pPr>
        <w:pStyle w:val="CoL"/>
        <w:numPr>
          <w:ilvl w:val="0"/>
          <w:numId w:val="118"/>
        </w:numPr>
        <w:ind w:firstLine="547"/>
      </w:pPr>
      <w:r>
        <w:t xml:space="preserve">The PA should implement the tracking, accounting, and reporting of all external funds used to support DAC SASH program activities </w:t>
      </w:r>
      <w:r w:rsidR="00235D2C">
        <w:t>at the project level within six months from this decision</w:t>
      </w:r>
      <w:r w:rsidR="008230EB">
        <w:t>’</w:t>
      </w:r>
      <w:r w:rsidR="00235D2C">
        <w:t xml:space="preserve">s effective date. </w:t>
      </w:r>
      <w:r w:rsidR="00FD4687">
        <w:t>At</w:t>
      </w:r>
      <w:r w:rsidR="00235D2C">
        <w:t xml:space="preserve"> the six</w:t>
      </w:r>
      <w:r w:rsidR="00C54EC9">
        <w:noBreakHyphen/>
      </w:r>
      <w:r w:rsidR="00235D2C">
        <w:t>month p</w:t>
      </w:r>
      <w:r w:rsidR="00FD4687">
        <w:t>oint after the issuance of this decision</w:t>
      </w:r>
      <w:r w:rsidR="00235D2C">
        <w:t xml:space="preserve">, GRID should submit a </w:t>
      </w:r>
      <w:r w:rsidR="001C3D54">
        <w:t>Tier </w:t>
      </w:r>
      <w:r w:rsidR="00235D2C">
        <w:t>2 advice letter detailing exactly how the funds allocated by this decision for this financial tracking were used in support of these directives.</w:t>
      </w:r>
    </w:p>
    <w:p w:rsidR="00396328" w:rsidP="00B317A2" w:rsidRDefault="00396328" w14:paraId="389A6B0D" w14:textId="54B27423">
      <w:pPr>
        <w:pStyle w:val="CoL"/>
        <w:numPr>
          <w:ilvl w:val="0"/>
          <w:numId w:val="118"/>
        </w:numPr>
        <w:ind w:firstLine="547"/>
      </w:pPr>
      <w:r>
        <w:t>The PA should be directed to track referral</w:t>
      </w:r>
      <w:r w:rsidR="00954166">
        <w:t xml:space="preserve"> </w:t>
      </w:r>
      <w:r>
        <w:t xml:space="preserve">and enrollment outcomes and develop strategies to improve participation in related </w:t>
      </w:r>
      <w:r w:rsidR="00D843B2">
        <w:t xml:space="preserve">subsidy </w:t>
      </w:r>
      <w:r>
        <w:t>programs such as CARE, ESA,</w:t>
      </w:r>
      <w:r w:rsidR="00ED1EC3">
        <w:t xml:space="preserve"> FERA,</w:t>
      </w:r>
      <w:r>
        <w:t xml:space="preserve"> and Medical Baseline. This information should be included in the DAC</w:t>
      </w:r>
      <w:r w:rsidR="00C54EC9">
        <w:noBreakHyphen/>
      </w:r>
      <w:r>
        <w:t>SASH Semi</w:t>
      </w:r>
      <w:r w:rsidR="00C54EC9">
        <w:noBreakHyphen/>
      </w:r>
      <w:r w:rsidR="00D843B2">
        <w:t>a</w:t>
      </w:r>
      <w:r>
        <w:t>nnual Progress Reports.</w:t>
      </w:r>
    </w:p>
    <w:p w:rsidR="00484581" w:rsidP="00B317A2" w:rsidRDefault="00DB4A7F" w14:paraId="50843350" w14:textId="6C6A80BB">
      <w:pPr>
        <w:pStyle w:val="CoL"/>
        <w:numPr>
          <w:ilvl w:val="0"/>
          <w:numId w:val="118"/>
        </w:numPr>
        <w:ind w:firstLine="547"/>
      </w:pPr>
      <w:r>
        <w:t>Section </w:t>
      </w:r>
      <w:r w:rsidR="00813CE2">
        <w:t>2.3 of the DAC</w:t>
      </w:r>
      <w:r w:rsidR="00C54EC9">
        <w:noBreakHyphen/>
      </w:r>
      <w:r w:rsidR="00813CE2">
        <w:t xml:space="preserve">SASH Program Handbook should be edited to state that the PA will </w:t>
      </w:r>
      <w:r>
        <w:t>regularly track efficiency of uptake in complementary programs, analyze the enrollment data, and create</w:t>
      </w:r>
      <w:r w:rsidR="00EC2D36">
        <w:t xml:space="preserve"> responsive strategies to improve enrollment.</w:t>
      </w:r>
    </w:p>
    <w:p w:rsidR="00874853" w:rsidP="00B317A2" w:rsidRDefault="00874853" w14:paraId="59C9440C" w14:textId="7CF137AC">
      <w:pPr>
        <w:pStyle w:val="CoL"/>
        <w:numPr>
          <w:ilvl w:val="0"/>
          <w:numId w:val="118"/>
        </w:numPr>
        <w:ind w:firstLine="547"/>
      </w:pPr>
      <w:r>
        <w:t xml:space="preserve">Ordering Paragraph 2 of D.20-12-003 orders the IOUs to transmit ESA and CARE program low-income customer profiles to the DAC-SASH </w:t>
      </w:r>
      <w:r w:rsidR="008B52C8">
        <w:t>PA</w:t>
      </w:r>
      <w:r>
        <w:t xml:space="preserve">. </w:t>
      </w:r>
    </w:p>
    <w:p w:rsidR="00C94D93" w:rsidP="00B317A2" w:rsidRDefault="00CD7780" w14:paraId="62EA21E6" w14:textId="1A3F9B5E">
      <w:pPr>
        <w:pStyle w:val="CoL"/>
        <w:numPr>
          <w:ilvl w:val="0"/>
          <w:numId w:val="118"/>
        </w:numPr>
        <w:ind w:firstLine="547"/>
      </w:pPr>
      <w:r>
        <w:lastRenderedPageBreak/>
        <w:t>The DAC</w:t>
      </w:r>
      <w:r w:rsidR="00C54EC9">
        <w:noBreakHyphen/>
      </w:r>
      <w:r>
        <w:t xml:space="preserve">SASH Program Handbook should be revised to prohibit </w:t>
      </w:r>
      <w:r w:rsidR="00C94D93">
        <w:t>DAC</w:t>
      </w:r>
      <w:r w:rsidR="00C54EC9">
        <w:noBreakHyphen/>
      </w:r>
      <w:r w:rsidR="00C94D93">
        <w:t xml:space="preserve">SASH projects </w:t>
      </w:r>
      <w:r>
        <w:t>from</w:t>
      </w:r>
      <w:r w:rsidR="00C94D93">
        <w:t xml:space="preserve"> receiv</w:t>
      </w:r>
      <w:r>
        <w:t>ing</w:t>
      </w:r>
      <w:r w:rsidR="00C94D93">
        <w:t xml:space="preserve"> total incentive support from DAC</w:t>
      </w:r>
      <w:r w:rsidR="00C54EC9">
        <w:noBreakHyphen/>
      </w:r>
      <w:r w:rsidR="00C94D93">
        <w:t>SASH and other complementary incentive programs in excess of total project costs.</w:t>
      </w:r>
    </w:p>
    <w:p w:rsidR="00DA413F" w:rsidP="00B317A2" w:rsidRDefault="00DA413F" w14:paraId="4CC62EBE" w14:textId="30961BFB">
      <w:pPr>
        <w:pStyle w:val="CoL"/>
        <w:numPr>
          <w:ilvl w:val="0"/>
          <w:numId w:val="118"/>
        </w:numPr>
        <w:ind w:firstLine="547"/>
      </w:pPr>
      <w:r>
        <w:t xml:space="preserve">The EPBB, as updated by </w:t>
      </w:r>
      <w:r w:rsidR="00B47585">
        <w:t>Resolution </w:t>
      </w:r>
      <w:r>
        <w:t>E</w:t>
      </w:r>
      <w:r w:rsidR="00C54EC9">
        <w:noBreakHyphen/>
      </w:r>
      <w:r>
        <w:t>5362, should remain the primary tool for calculating DAC</w:t>
      </w:r>
      <w:r w:rsidR="00C54EC9">
        <w:noBreakHyphen/>
      </w:r>
      <w:r>
        <w:t>SASH system sizes.</w:t>
      </w:r>
    </w:p>
    <w:p w:rsidR="00DA413F" w:rsidP="00B317A2" w:rsidRDefault="00DA413F" w14:paraId="2A2DB7E0" w14:textId="13F46717">
      <w:pPr>
        <w:pStyle w:val="CoL"/>
        <w:numPr>
          <w:ilvl w:val="0"/>
          <w:numId w:val="118"/>
        </w:numPr>
        <w:ind w:firstLine="547"/>
      </w:pPr>
      <w:r>
        <w:t>The PA should be authorized to propose different tools to calculate DAC</w:t>
      </w:r>
      <w:r w:rsidR="00C54EC9">
        <w:noBreakHyphen/>
      </w:r>
      <w:r>
        <w:t xml:space="preserve">SASH system sizes through a </w:t>
      </w:r>
      <w:r w:rsidR="001C3D54">
        <w:t>Tier </w:t>
      </w:r>
      <w:r>
        <w:t>2 advice letter.</w:t>
      </w:r>
    </w:p>
    <w:p w:rsidRPr="0075121E" w:rsidR="00396328" w:rsidP="00B317A2" w:rsidRDefault="00396328" w14:paraId="52EBD3A5" w14:textId="4CE4C59B">
      <w:pPr>
        <w:pStyle w:val="CoL"/>
        <w:numPr>
          <w:ilvl w:val="0"/>
          <w:numId w:val="118"/>
        </w:numPr>
        <w:ind w:firstLine="547"/>
        <w:rPr>
          <w:szCs w:val="26"/>
        </w:rPr>
      </w:pPr>
      <w:r>
        <w:t>J</w:t>
      </w:r>
      <w:r w:rsidRPr="1DCCBDC7">
        <w:t>ob training</w:t>
      </w:r>
      <w:r w:rsidR="00C94D93">
        <w:t>,</w:t>
      </w:r>
      <w:r w:rsidRPr="1DCCBDC7">
        <w:t xml:space="preserve"> workforce development</w:t>
      </w:r>
      <w:r w:rsidR="00C94D93">
        <w:t>, and trainee hiring requirements for PA subcontractors</w:t>
      </w:r>
      <w:r w:rsidRPr="1DCCBDC7">
        <w:t xml:space="preserve"> </w:t>
      </w:r>
      <w:r>
        <w:t xml:space="preserve">should be removed </w:t>
      </w:r>
      <w:r w:rsidRPr="1DCCBDC7">
        <w:t>from the</w:t>
      </w:r>
      <w:r>
        <w:t xml:space="preserve"> </w:t>
      </w:r>
      <w:r w:rsidRPr="00F41668">
        <w:t>D</w:t>
      </w:r>
      <w:r>
        <w:t>AC</w:t>
      </w:r>
      <w:r w:rsidR="00C54EC9">
        <w:noBreakHyphen/>
      </w:r>
      <w:r>
        <w:t>SASH</w:t>
      </w:r>
      <w:r w:rsidRPr="1DCCBDC7">
        <w:t xml:space="preserve"> Program Handbook</w:t>
      </w:r>
      <w:r>
        <w:t>.</w:t>
      </w:r>
    </w:p>
    <w:p w:rsidRPr="00C94D93" w:rsidR="00C94D93" w:rsidP="00B317A2" w:rsidRDefault="00C94D93" w14:paraId="45A1FE3C" w14:textId="1380059B">
      <w:pPr>
        <w:pStyle w:val="CoL"/>
        <w:numPr>
          <w:ilvl w:val="0"/>
          <w:numId w:val="118"/>
        </w:numPr>
        <w:ind w:firstLine="547"/>
        <w:rPr>
          <w:szCs w:val="26"/>
        </w:rPr>
      </w:pPr>
      <w:r>
        <w:rPr>
          <w:szCs w:val="26"/>
        </w:rPr>
        <w:t>Energy efficiency education requirements should be removed from the DAC</w:t>
      </w:r>
      <w:r w:rsidR="00C54EC9">
        <w:rPr>
          <w:szCs w:val="26"/>
        </w:rPr>
        <w:noBreakHyphen/>
      </w:r>
      <w:r>
        <w:rPr>
          <w:szCs w:val="26"/>
        </w:rPr>
        <w:t>SASH Program Handbook.</w:t>
      </w:r>
    </w:p>
    <w:p w:rsidRPr="000303D0" w:rsidR="00396328" w:rsidP="00B317A2" w:rsidRDefault="00217468" w14:paraId="3C233AB5" w14:textId="5E440C88">
      <w:pPr>
        <w:pStyle w:val="CoL"/>
        <w:numPr>
          <w:ilvl w:val="0"/>
          <w:numId w:val="118"/>
        </w:numPr>
        <w:ind w:firstLine="547"/>
        <w:rPr>
          <w:szCs w:val="26"/>
        </w:rPr>
      </w:pPr>
      <w:r>
        <w:t xml:space="preserve">Meter </w:t>
      </w:r>
      <w:r w:rsidR="00396328">
        <w:t>socket adapters should be included as eligible equipment in the DAC</w:t>
      </w:r>
      <w:r w:rsidR="00C54EC9">
        <w:noBreakHyphen/>
      </w:r>
      <w:r w:rsidR="00396328">
        <w:t>SASH program.</w:t>
      </w:r>
    </w:p>
    <w:p w:rsidRPr="001A1A92" w:rsidR="000303D0" w:rsidP="00B317A2" w:rsidRDefault="000303D0" w14:paraId="029D94AE" w14:textId="3EAC2454">
      <w:pPr>
        <w:pStyle w:val="CoL"/>
        <w:numPr>
          <w:ilvl w:val="0"/>
          <w:numId w:val="118"/>
        </w:numPr>
        <w:ind w:firstLine="547"/>
        <w:rPr>
          <w:szCs w:val="26"/>
        </w:rPr>
      </w:pPr>
      <w:r>
        <w:t>R.25</w:t>
      </w:r>
      <w:r w:rsidR="00C54EC9">
        <w:noBreakHyphen/>
      </w:r>
      <w:r>
        <w:t>01</w:t>
      </w:r>
      <w:r w:rsidR="00C54EC9">
        <w:noBreakHyphen/>
      </w:r>
      <w:r>
        <w:t>005 should remain open.</w:t>
      </w:r>
    </w:p>
    <w:p w:rsidRPr="00545329" w:rsidR="00BB0243" w:rsidP="00545329" w:rsidRDefault="005939A5" w14:paraId="2553604E" w14:textId="77777777">
      <w:pPr>
        <w:pStyle w:val="Mainex"/>
      </w:pPr>
      <w:bookmarkStart w:name="_Toc236292550" w:id="50"/>
      <w:bookmarkStart w:name="_Toc242090716" w:id="51"/>
      <w:r>
        <w:t>O</w:t>
      </w:r>
      <w:r w:rsidR="00722850">
        <w:t>RDER</w:t>
      </w:r>
      <w:bookmarkEnd w:id="50"/>
      <w:bookmarkEnd w:id="51"/>
    </w:p>
    <w:p w:rsidR="00BB0243" w:rsidP="002178DD" w:rsidRDefault="00BB0243" w14:paraId="0AA24E4E" w14:textId="77777777">
      <w:pPr>
        <w:pStyle w:val="Standard"/>
        <w:keepNext/>
      </w:pPr>
      <w:r w:rsidRPr="002178DD">
        <w:rPr>
          <w:b/>
          <w:bCs/>
        </w:rPr>
        <w:t>IT IS ORDERED</w:t>
      </w:r>
      <w:r>
        <w:t xml:space="preserve"> that:</w:t>
      </w:r>
    </w:p>
    <w:p w:rsidR="00820241" w:rsidP="00820241" w:rsidRDefault="193C7C75" w14:paraId="72B402C9" w14:textId="4A451D91">
      <w:pPr>
        <w:pStyle w:val="OP"/>
        <w:numPr>
          <w:ilvl w:val="0"/>
          <w:numId w:val="113"/>
        </w:numPr>
      </w:pPr>
      <w:r>
        <w:t xml:space="preserve">Pacific Gas and Electric Company, Southern California Edison Company, and </w:t>
      </w:r>
      <w:r w:rsidR="00820BD7">
        <w:t>San </w:t>
      </w:r>
      <w:r>
        <w:t>Diego Gas</w:t>
      </w:r>
      <w:r w:rsidR="00820BD7">
        <w:t xml:space="preserve"> &amp; </w:t>
      </w:r>
      <w:r>
        <w:t xml:space="preserve">Electric Company </w:t>
      </w:r>
      <w:r w:rsidR="495541D0">
        <w:t>(</w:t>
      </w:r>
      <w:r>
        <w:t>collectively</w:t>
      </w:r>
      <w:r w:rsidR="7CCD101A">
        <w:t>,</w:t>
      </w:r>
      <w:r>
        <w:t xml:space="preserve"> the </w:t>
      </w:r>
      <w:r w:rsidR="001D3874">
        <w:t>investor</w:t>
      </w:r>
      <w:r w:rsidR="00C54EC9">
        <w:noBreakHyphen/>
      </w:r>
      <w:r w:rsidR="001D3874">
        <w:t xml:space="preserve">owned utilities </w:t>
      </w:r>
      <w:r>
        <w:t>(IOUs)</w:t>
      </w:r>
      <w:r w:rsidR="495541D0">
        <w:t>)</w:t>
      </w:r>
      <w:r>
        <w:t xml:space="preserve"> are authorized to</w:t>
      </w:r>
      <w:r w:rsidRPr="002F6B25">
        <w:rPr>
          <w:rFonts w:eastAsia="Cambria" w:cs="Cambria"/>
        </w:rPr>
        <w:t xml:space="preserve"> use available accrued interest funds in </w:t>
      </w:r>
      <w:r w:rsidRPr="002F6B25" w:rsidR="04992879">
        <w:rPr>
          <w:rFonts w:eastAsia="Cambria" w:cs="Cambria"/>
        </w:rPr>
        <w:t xml:space="preserve">their </w:t>
      </w:r>
      <w:r w:rsidR="008C14C9">
        <w:rPr>
          <w:rFonts w:eastAsia="Cambria" w:cs="Cambria"/>
        </w:rPr>
        <w:t>Disadvantaged Communities — Single Family Solar Homes</w:t>
      </w:r>
      <w:r w:rsidRPr="002F6B25">
        <w:rPr>
          <w:rFonts w:eastAsia="Cambria" w:cs="Cambria"/>
        </w:rPr>
        <w:t xml:space="preserve"> </w:t>
      </w:r>
      <w:r w:rsidR="00505CFC">
        <w:rPr>
          <w:rFonts w:eastAsia="Cambria" w:cs="Cambria"/>
        </w:rPr>
        <w:t>(DAC</w:t>
      </w:r>
      <w:r w:rsidR="00C54EC9">
        <w:rPr>
          <w:rFonts w:eastAsia="Cambria" w:cs="Cambria"/>
        </w:rPr>
        <w:noBreakHyphen/>
      </w:r>
      <w:r w:rsidR="00505CFC">
        <w:rPr>
          <w:rFonts w:eastAsia="Cambria" w:cs="Cambria"/>
        </w:rPr>
        <w:t xml:space="preserve">SASH) </w:t>
      </w:r>
      <w:r w:rsidRPr="002F6B25">
        <w:rPr>
          <w:rFonts w:eastAsia="Cambria" w:cs="Cambria"/>
        </w:rPr>
        <w:t>program balancing accounts to support</w:t>
      </w:r>
      <w:r w:rsidR="00C3786D">
        <w:rPr>
          <w:rFonts w:eastAsia="Cambria" w:cs="Cambria"/>
        </w:rPr>
        <w:t xml:space="preserve"> </w:t>
      </w:r>
      <w:r w:rsidRPr="002F6B25" w:rsidR="3D27D04C">
        <w:rPr>
          <w:rFonts w:eastAsia="Cambria" w:cs="Cambria"/>
        </w:rPr>
        <w:t xml:space="preserve">IOU </w:t>
      </w:r>
      <w:r w:rsidRPr="002F6B25" w:rsidR="002F6B25">
        <w:rPr>
          <w:rFonts w:eastAsia="Cambria" w:cs="Cambria"/>
        </w:rPr>
        <w:t>Marketing, Education, and O</w:t>
      </w:r>
      <w:r w:rsidRPr="002F6B25">
        <w:rPr>
          <w:rFonts w:eastAsia="Cambria" w:cs="Cambria"/>
        </w:rPr>
        <w:t>utreach and administrative activities</w:t>
      </w:r>
      <w:r w:rsidRPr="002F6B25" w:rsidR="1CB6C150">
        <w:rPr>
          <w:rFonts w:eastAsia="Cambria" w:cs="Cambria"/>
        </w:rPr>
        <w:t xml:space="preserve"> </w:t>
      </w:r>
      <w:r w:rsidR="00C3786D">
        <w:rPr>
          <w:rFonts w:eastAsia="Cambria" w:cs="Cambria"/>
        </w:rPr>
        <w:t xml:space="preserve">from 2026 </w:t>
      </w:r>
      <w:r w:rsidRPr="002F6B25" w:rsidR="1CB6C150">
        <w:rPr>
          <w:rFonts w:eastAsia="Cambria" w:cs="Cambria"/>
        </w:rPr>
        <w:t>through 2030</w:t>
      </w:r>
      <w:r w:rsidRPr="002F6B25" w:rsidR="00C06453">
        <w:rPr>
          <w:rFonts w:eastAsia="Cambria" w:cs="Cambria"/>
        </w:rPr>
        <w:t xml:space="preserve">. </w:t>
      </w:r>
      <w:r w:rsidRPr="002F6B25">
        <w:rPr>
          <w:rFonts w:eastAsia="Cambria" w:cs="Cambria"/>
        </w:rPr>
        <w:t xml:space="preserve">The IOUs must report the use of their respective accrued interest balances in their existing </w:t>
      </w:r>
      <w:r w:rsidRPr="002F6B25" w:rsidR="002F6B25">
        <w:rPr>
          <w:rFonts w:eastAsia="Cambria" w:cs="Cambria"/>
        </w:rPr>
        <w:t>p</w:t>
      </w:r>
      <w:r w:rsidRPr="002F6B25">
        <w:rPr>
          <w:rFonts w:eastAsia="Cambria" w:cs="Cambria"/>
        </w:rPr>
        <w:t xml:space="preserve">roposed </w:t>
      </w:r>
      <w:r w:rsidRPr="002F6B25" w:rsidR="002F6B25">
        <w:rPr>
          <w:rFonts w:eastAsia="Cambria" w:cs="Cambria"/>
        </w:rPr>
        <w:t>a</w:t>
      </w:r>
      <w:r w:rsidRPr="002F6B25">
        <w:rPr>
          <w:rFonts w:eastAsia="Cambria" w:cs="Cambria"/>
        </w:rPr>
        <w:t xml:space="preserve">nnual </w:t>
      </w:r>
      <w:r w:rsidRPr="002F6B25" w:rsidR="002F6B25">
        <w:rPr>
          <w:rFonts w:eastAsia="Cambria" w:cs="Cambria"/>
        </w:rPr>
        <w:t>b</w:t>
      </w:r>
      <w:r w:rsidRPr="002F6B25">
        <w:rPr>
          <w:rFonts w:eastAsia="Cambria" w:cs="Cambria"/>
        </w:rPr>
        <w:t xml:space="preserve">udget </w:t>
      </w:r>
      <w:r w:rsidRPr="002F6B25" w:rsidR="002F6B25">
        <w:rPr>
          <w:rFonts w:eastAsia="Cambria" w:cs="Cambria"/>
        </w:rPr>
        <w:t>a</w:t>
      </w:r>
      <w:r w:rsidRPr="002F6B25">
        <w:rPr>
          <w:rFonts w:eastAsia="Cambria" w:cs="Cambria"/>
        </w:rPr>
        <w:t xml:space="preserve">dvice </w:t>
      </w:r>
      <w:r w:rsidRPr="002F6B25" w:rsidR="002F6B25">
        <w:rPr>
          <w:rFonts w:eastAsia="Cambria" w:cs="Cambria"/>
        </w:rPr>
        <w:t>le</w:t>
      </w:r>
      <w:r w:rsidRPr="002F6B25">
        <w:rPr>
          <w:rFonts w:eastAsia="Cambria" w:cs="Cambria"/>
        </w:rPr>
        <w:t>tters</w:t>
      </w:r>
      <w:r w:rsidRPr="002F6B25" w:rsidR="1CB6C150">
        <w:rPr>
          <w:rFonts w:eastAsia="Cambria" w:cs="Cambria"/>
        </w:rPr>
        <w:t>, as</w:t>
      </w:r>
      <w:r w:rsidRPr="002F6B25">
        <w:rPr>
          <w:rFonts w:eastAsia="Cambria" w:cs="Cambria"/>
        </w:rPr>
        <w:t xml:space="preserve"> directed </w:t>
      </w:r>
      <w:r w:rsidRPr="002F6B25" w:rsidR="04992879">
        <w:rPr>
          <w:rFonts w:eastAsia="Cambria" w:cs="Cambria"/>
        </w:rPr>
        <w:t>by</w:t>
      </w:r>
      <w:r w:rsidRPr="002F6B25">
        <w:rPr>
          <w:rFonts w:eastAsia="Cambria" w:cs="Cambria"/>
        </w:rPr>
        <w:t xml:space="preserve"> </w:t>
      </w:r>
      <w:r w:rsidR="00402046">
        <w:rPr>
          <w:rFonts w:eastAsia="Cambria" w:cs="Cambria"/>
        </w:rPr>
        <w:t>Decision</w:t>
      </w:r>
      <w:r w:rsidR="005364DB">
        <w:rPr>
          <w:rFonts w:eastAsia="Cambria" w:cs="Cambria"/>
        </w:rPr>
        <w:t xml:space="preserve"> </w:t>
      </w:r>
      <w:r w:rsidR="00505CFC">
        <w:rPr>
          <w:rFonts w:eastAsia="Cambria" w:cs="Cambria"/>
        </w:rPr>
        <w:t>(D.)</w:t>
      </w:r>
      <w:r w:rsidR="005364DB">
        <w:rPr>
          <w:rFonts w:eastAsia="Cambria" w:cs="Cambria"/>
        </w:rPr>
        <w:t> </w:t>
      </w:r>
      <w:r w:rsidR="00402046">
        <w:rPr>
          <w:rFonts w:eastAsia="Cambria" w:cs="Cambria"/>
        </w:rPr>
        <w:t>2</w:t>
      </w:r>
      <w:r w:rsidRPr="002F6B25">
        <w:rPr>
          <w:rFonts w:eastAsia="Cambria" w:cs="Cambria"/>
        </w:rPr>
        <w:t>0</w:t>
      </w:r>
      <w:r w:rsidR="00C54EC9">
        <w:rPr>
          <w:rFonts w:eastAsia="Cambria" w:cs="Cambria"/>
        </w:rPr>
        <w:noBreakHyphen/>
      </w:r>
      <w:r w:rsidRPr="002F6B25">
        <w:rPr>
          <w:rFonts w:eastAsia="Cambria" w:cs="Cambria"/>
        </w:rPr>
        <w:t>12</w:t>
      </w:r>
      <w:r w:rsidR="00C54EC9">
        <w:rPr>
          <w:rFonts w:eastAsia="Cambria" w:cs="Cambria"/>
        </w:rPr>
        <w:noBreakHyphen/>
      </w:r>
      <w:r w:rsidRPr="002F6B25">
        <w:rPr>
          <w:rFonts w:eastAsia="Cambria" w:cs="Cambria"/>
        </w:rPr>
        <w:t xml:space="preserve">003 </w:t>
      </w:r>
      <w:r w:rsidR="005D0B95">
        <w:rPr>
          <w:rFonts w:eastAsia="Cambria" w:cs="Cambria"/>
        </w:rPr>
        <w:t>Ordering Paragraph 6</w:t>
      </w:r>
      <w:r w:rsidR="16FD6E2C">
        <w:t>.</w:t>
      </w:r>
      <w:r w:rsidR="00505CFC">
        <w:t xml:space="preserve"> The IOU</w:t>
      </w:r>
      <w:r w:rsidR="000303D0">
        <w:t>s</w:t>
      </w:r>
      <w:r w:rsidR="00505CFC">
        <w:t xml:space="preserve"> are authorized to seek recovery of their approved DAC</w:t>
      </w:r>
      <w:r w:rsidR="00C54EC9">
        <w:noBreakHyphen/>
      </w:r>
      <w:r w:rsidR="00505CFC">
        <w:t xml:space="preserve">SASH administrative, marketing, education, and outreach </w:t>
      </w:r>
      <w:r w:rsidR="00505CFC">
        <w:lastRenderedPageBreak/>
        <w:t xml:space="preserve">expenses </w:t>
      </w:r>
      <w:r w:rsidR="008977F6">
        <w:t xml:space="preserve">without a rate of return </w:t>
      </w:r>
      <w:r w:rsidR="00505CFC">
        <w:t>through their annual Energy Resource Recovery Account applications, as directed by D.20</w:t>
      </w:r>
      <w:r w:rsidR="00C54EC9">
        <w:noBreakHyphen/>
      </w:r>
      <w:r w:rsidR="00505CFC">
        <w:t>12</w:t>
      </w:r>
      <w:r w:rsidR="00C54EC9">
        <w:noBreakHyphen/>
      </w:r>
      <w:r w:rsidR="00505CFC">
        <w:t xml:space="preserve">003 </w:t>
      </w:r>
      <w:r w:rsidR="005D0B95">
        <w:t>Ordering Paragraph 7</w:t>
      </w:r>
      <w:r w:rsidR="00505CFC">
        <w:t>.</w:t>
      </w:r>
    </w:p>
    <w:p w:rsidR="00B62759" w:rsidP="00B62759" w:rsidRDefault="00820241" w14:paraId="0ABEDD3B" w14:textId="77777777">
      <w:pPr>
        <w:pStyle w:val="OP"/>
        <w:numPr>
          <w:ilvl w:val="0"/>
          <w:numId w:val="113"/>
        </w:numPr>
      </w:pPr>
      <w:r w:rsidRPr="00480120">
        <w:t>S</w:t>
      </w:r>
      <w:r>
        <w:t>an</w:t>
      </w:r>
      <w:r w:rsidR="00D44FFF">
        <w:t> </w:t>
      </w:r>
      <w:r w:rsidRPr="00480120">
        <w:t>D</w:t>
      </w:r>
      <w:r>
        <w:t xml:space="preserve">iego </w:t>
      </w:r>
      <w:r w:rsidRPr="00480120">
        <w:t>G</w:t>
      </w:r>
      <w:r>
        <w:t>as</w:t>
      </w:r>
      <w:r w:rsidR="00D44FFF">
        <w:t> </w:t>
      </w:r>
      <w:r>
        <w:t xml:space="preserve">&amp; </w:t>
      </w:r>
      <w:r w:rsidRPr="00480120">
        <w:t>E</w:t>
      </w:r>
      <w:r>
        <w:t>lectric Company</w:t>
      </w:r>
      <w:r w:rsidRPr="00480120">
        <w:t xml:space="preserve"> </w:t>
      </w:r>
      <w:r>
        <w:t xml:space="preserve">shall not make annual fund transfers </w:t>
      </w:r>
      <w:r w:rsidRPr="00480120">
        <w:t xml:space="preserve">into its </w:t>
      </w:r>
      <w:r w:rsidR="008C14C9">
        <w:rPr>
          <w:rFonts w:eastAsia="Cambria" w:cs="Cambria"/>
        </w:rPr>
        <w:t>Disadvantaged Communities — Single Family Solar Homes</w:t>
      </w:r>
      <w:r w:rsidRPr="002F6B25" w:rsidR="000303D0">
        <w:rPr>
          <w:rFonts w:eastAsia="Cambria" w:cs="Cambria"/>
        </w:rPr>
        <w:t xml:space="preserve"> </w:t>
      </w:r>
      <w:r w:rsidR="000303D0">
        <w:rPr>
          <w:rFonts w:eastAsia="Cambria" w:cs="Cambria"/>
        </w:rPr>
        <w:t>(</w:t>
      </w:r>
      <w:r w:rsidRPr="00480120">
        <w:t>DAC</w:t>
      </w:r>
      <w:r w:rsidR="00C54EC9">
        <w:noBreakHyphen/>
      </w:r>
      <w:r w:rsidRPr="00480120">
        <w:t>SASH</w:t>
      </w:r>
      <w:r w:rsidR="000303D0">
        <w:t>)</w:t>
      </w:r>
      <w:r w:rsidRPr="00480120">
        <w:t xml:space="preserve"> Balancing Account </w:t>
      </w:r>
      <w:r>
        <w:t>in excess of</w:t>
      </w:r>
      <w:r w:rsidRPr="00480120">
        <w:t xml:space="preserve"> its Commission</w:t>
      </w:r>
      <w:r w:rsidR="00C54EC9">
        <w:noBreakHyphen/>
      </w:r>
      <w:r w:rsidRPr="00480120">
        <w:t>authorized annual DAC</w:t>
      </w:r>
      <w:r w:rsidR="00C54EC9">
        <w:noBreakHyphen/>
      </w:r>
      <w:r w:rsidRPr="00480120">
        <w:t>SASH funding allocation</w:t>
      </w:r>
      <w:r>
        <w:t>.</w:t>
      </w:r>
    </w:p>
    <w:p w:rsidR="008240BC" w:rsidP="008240BC" w:rsidRDefault="008240BC" w14:paraId="7EA043AB" w14:textId="51E73E79">
      <w:pPr>
        <w:pStyle w:val="OP"/>
        <w:numPr>
          <w:ilvl w:val="0"/>
          <w:numId w:val="113"/>
        </w:numPr>
      </w:pPr>
      <w:r>
        <w:t>San Diego Gas &amp; Electric Company is authorized</w:t>
      </w:r>
      <w:r w:rsidRPr="008240BC">
        <w:rPr>
          <w:szCs w:val="26"/>
        </w:rPr>
        <w:t xml:space="preserve"> to</w:t>
      </w:r>
      <w:r w:rsidRPr="008240BC">
        <w:rPr>
          <w:rFonts w:eastAsia="Cambria" w:cs="Cambria"/>
          <w:szCs w:val="26"/>
        </w:rPr>
        <w:t xml:space="preserve"> use available accrued interest funds in</w:t>
      </w:r>
      <w:r>
        <w:rPr>
          <w:rFonts w:eastAsia="Cambria" w:cs="Cambria"/>
          <w:szCs w:val="26"/>
        </w:rPr>
        <w:t xml:space="preserve"> its </w:t>
      </w:r>
      <w:r>
        <w:rPr>
          <w:rFonts w:eastAsia="Cambria" w:cs="Cambria"/>
        </w:rPr>
        <w:t>Disadvantaged Communities — Single Family Solar Homes</w:t>
      </w:r>
      <w:r w:rsidRPr="008240BC">
        <w:rPr>
          <w:rFonts w:eastAsia="Cambria" w:cs="Cambria"/>
          <w:szCs w:val="26"/>
        </w:rPr>
        <w:t xml:space="preserve">  program balancing account to support </w:t>
      </w:r>
      <w:r>
        <w:rPr>
          <w:rFonts w:eastAsia="Cambria" w:cs="Cambria"/>
          <w:szCs w:val="26"/>
        </w:rPr>
        <w:t>its</w:t>
      </w:r>
      <w:r w:rsidR="00635F23">
        <w:rPr>
          <w:rFonts w:eastAsia="Cambria" w:cs="Cambria"/>
          <w:szCs w:val="26"/>
        </w:rPr>
        <w:t xml:space="preserve"> previously incurred</w:t>
      </w:r>
      <w:r>
        <w:rPr>
          <w:rFonts w:eastAsia="Cambria" w:cs="Cambria"/>
          <w:szCs w:val="26"/>
        </w:rPr>
        <w:t xml:space="preserve"> Marketing, Education and Outreach a</w:t>
      </w:r>
      <w:r w:rsidRPr="008240BC">
        <w:rPr>
          <w:rFonts w:eastAsia="Cambria" w:cs="Cambria"/>
          <w:szCs w:val="26"/>
        </w:rPr>
        <w:t xml:space="preserve">nd administrative expenses incurred </w:t>
      </w:r>
      <w:r w:rsidR="00635F23">
        <w:rPr>
          <w:rFonts w:eastAsia="Cambria" w:cs="Cambria"/>
          <w:szCs w:val="26"/>
        </w:rPr>
        <w:t>for</w:t>
      </w:r>
      <w:r w:rsidRPr="008240BC">
        <w:rPr>
          <w:rFonts w:eastAsia="Cambria" w:cs="Cambria"/>
          <w:szCs w:val="26"/>
        </w:rPr>
        <w:t xml:space="preserve"> 2023 to 202</w:t>
      </w:r>
      <w:r w:rsidR="00635F23">
        <w:rPr>
          <w:rFonts w:eastAsia="Cambria" w:cs="Cambria"/>
          <w:szCs w:val="26"/>
        </w:rPr>
        <w:t>6</w:t>
      </w:r>
      <w:r w:rsidRPr="008240BC">
        <w:rPr>
          <w:rFonts w:eastAsia="Cambria" w:cs="Cambria"/>
          <w:szCs w:val="26"/>
        </w:rPr>
        <w:t>.</w:t>
      </w:r>
    </w:p>
    <w:p w:rsidR="00B62759" w:rsidP="009B183A" w:rsidRDefault="00B62759" w14:paraId="26DE6390" w14:textId="613542C8">
      <w:pPr>
        <w:pStyle w:val="OP"/>
        <w:numPr>
          <w:ilvl w:val="0"/>
          <w:numId w:val="113"/>
        </w:numPr>
      </w:pPr>
      <w:r>
        <w:t xml:space="preserve">San Diego Gas &amp; Electric Company is authorized and directed to transfer $306,056 from its Disadvantaged Communities - Single Family Solar Homes Balancing Account (DACSASHBA) to its Greenhouse Gas Revenue Balancing Account (GHGRBA), representing $280,000 in DAC-SASH administrative funding previously transferred from the GHGRBA to the DACSASHBA for program years 2023 through 2026 in excess of its Commission-authorized annual DAC-SASH funding allocation, and $26,056 in accrued interest associated with those </w:t>
      </w:r>
      <w:r w:rsidRPr="00B62759">
        <w:t>funds through August 31, 2026.</w:t>
      </w:r>
    </w:p>
    <w:p w:rsidRPr="009B183A" w:rsidR="00C06453" w:rsidP="00C06453" w:rsidRDefault="1FB0567E" w14:paraId="60C8DE90" w14:textId="3CAF6E31">
      <w:pPr>
        <w:pStyle w:val="OP"/>
      </w:pPr>
      <w:r>
        <w:t>The Program Administrator</w:t>
      </w:r>
      <w:r w:rsidR="193C7C75">
        <w:t xml:space="preserve"> is ordered to </w:t>
      </w:r>
      <w:r w:rsidRPr="31B52016" w:rsidR="193C7C75">
        <w:rPr>
          <w:rFonts w:eastAsia="Cambria" w:cs="Cambria"/>
        </w:rPr>
        <w:t xml:space="preserve">track, account for, and report all external funds used to support </w:t>
      </w:r>
      <w:r w:rsidR="008C14C9">
        <w:rPr>
          <w:rFonts w:eastAsia="Cambria" w:cs="Cambria"/>
        </w:rPr>
        <w:t>Disadvantaged Communities — Single Family Solar Homes</w:t>
      </w:r>
      <w:r w:rsidRPr="31B52016" w:rsidR="193C7C75">
        <w:rPr>
          <w:rFonts w:eastAsia="Cambria" w:cs="Cambria"/>
        </w:rPr>
        <w:t xml:space="preserve"> (DAC</w:t>
      </w:r>
      <w:r w:rsidR="00C54EC9">
        <w:rPr>
          <w:rFonts w:eastAsia="Cambria" w:cs="Cambria"/>
        </w:rPr>
        <w:noBreakHyphen/>
      </w:r>
      <w:r w:rsidRPr="31B52016" w:rsidR="193C7C75">
        <w:rPr>
          <w:rFonts w:eastAsia="Cambria" w:cs="Cambria"/>
        </w:rPr>
        <w:t xml:space="preserve">SASH) program activities at the project level </w:t>
      </w:r>
      <w:r w:rsidRPr="1DCCBDC7" w:rsidR="002F6B25">
        <w:t xml:space="preserve">covering administration, </w:t>
      </w:r>
      <w:r w:rsidRPr="00AF2CFA" w:rsidR="002F6B25">
        <w:t>installation, job training, and/or other costs going forward</w:t>
      </w:r>
      <w:r w:rsidR="002F6B25">
        <w:t xml:space="preserve"> </w:t>
      </w:r>
      <w:r w:rsidRPr="31B52016" w:rsidR="193C7C75">
        <w:rPr>
          <w:rFonts w:eastAsia="Cambria" w:cs="Cambria"/>
        </w:rPr>
        <w:t>and to include these costs in its DAC</w:t>
      </w:r>
      <w:r w:rsidR="00C54EC9">
        <w:rPr>
          <w:rFonts w:eastAsia="Cambria" w:cs="Cambria"/>
        </w:rPr>
        <w:noBreakHyphen/>
      </w:r>
      <w:r w:rsidRPr="31B52016" w:rsidR="193C7C75">
        <w:rPr>
          <w:rFonts w:eastAsia="Cambria" w:cs="Cambria"/>
        </w:rPr>
        <w:t>SASH Semi</w:t>
      </w:r>
      <w:r w:rsidR="00C54EC9">
        <w:rPr>
          <w:rFonts w:eastAsia="Cambria" w:cs="Cambria"/>
        </w:rPr>
        <w:noBreakHyphen/>
      </w:r>
      <w:r w:rsidRPr="31B52016" w:rsidR="04992879">
        <w:rPr>
          <w:rFonts w:eastAsia="Cambria" w:cs="Cambria"/>
        </w:rPr>
        <w:t>a</w:t>
      </w:r>
      <w:r w:rsidRPr="31B52016" w:rsidR="193C7C75">
        <w:rPr>
          <w:rFonts w:eastAsia="Cambria" w:cs="Cambria"/>
        </w:rPr>
        <w:t>nnual Reports</w:t>
      </w:r>
      <w:r w:rsidRPr="31B52016" w:rsidR="62EDA8A4">
        <w:rPr>
          <w:rFonts w:eastAsia="Cambria" w:cs="Cambria"/>
        </w:rPr>
        <w:t xml:space="preserve"> in accordance with the reporting fields listed in </w:t>
      </w:r>
      <w:r w:rsidR="002E26D7">
        <w:rPr>
          <w:rFonts w:eastAsia="Cambria" w:cs="Cambria"/>
        </w:rPr>
        <w:t>Appendix </w:t>
      </w:r>
      <w:r w:rsidRPr="31B52016" w:rsidR="62EDA8A4">
        <w:rPr>
          <w:rFonts w:eastAsia="Cambria" w:cs="Cambria"/>
        </w:rPr>
        <w:t>A of this decision</w:t>
      </w:r>
      <w:r w:rsidRPr="31B52016" w:rsidR="193C7C75">
        <w:rPr>
          <w:rFonts w:eastAsia="Cambria" w:cs="Cambria"/>
        </w:rPr>
        <w:t>.</w:t>
      </w:r>
    </w:p>
    <w:p w:rsidRPr="009B183A" w:rsidR="005001AA" w:rsidP="005001AA" w:rsidRDefault="005001AA" w14:paraId="639161D2" w14:textId="19C6B2F2">
      <w:pPr>
        <w:pStyle w:val="OP"/>
        <w:rPr>
          <w:rFonts w:ascii="Aptos" w:hAnsi="Aptos"/>
        </w:rPr>
      </w:pPr>
      <w:r>
        <w:lastRenderedPageBreak/>
        <w:t>Energy Division is authorized to modify, add, or remove the project-cost and external-funding reporting fields in Appendix A through a Letter from the Deputy Executive Director and/or their designee.</w:t>
      </w:r>
    </w:p>
    <w:p w:rsidR="00024945" w:rsidP="00C06453" w:rsidRDefault="1FB0567E" w14:paraId="4B28C589" w14:textId="16FAD5BE">
      <w:pPr>
        <w:pStyle w:val="OP"/>
      </w:pPr>
      <w:r>
        <w:t>The Program Administrator</w:t>
      </w:r>
      <w:r w:rsidR="3D27D04C">
        <w:t xml:space="preserve"> (PA)</w:t>
      </w:r>
      <w:r w:rsidR="193C7C75">
        <w:t xml:space="preserve"> is authorized to use a one</w:t>
      </w:r>
      <w:r w:rsidR="00C54EC9">
        <w:noBreakHyphen/>
      </w:r>
      <w:r w:rsidR="193C7C75">
        <w:t>time allocation of $</w:t>
      </w:r>
      <w:r w:rsidR="00C06453">
        <w:t>5</w:t>
      </w:r>
      <w:r w:rsidR="193C7C75">
        <w:t xml:space="preserve">0,000 of the remaining accrued interest in the </w:t>
      </w:r>
      <w:r w:rsidR="008C14C9">
        <w:rPr>
          <w:rFonts w:eastAsia="Cambria" w:cs="Cambria"/>
        </w:rPr>
        <w:t>Disadvantaged Communities — Single Family Solar Homes</w:t>
      </w:r>
      <w:r w:rsidRPr="00C06453" w:rsidR="193C7C75">
        <w:rPr>
          <w:rFonts w:eastAsia="Cambria" w:cs="Cambria"/>
        </w:rPr>
        <w:t xml:space="preserve"> (DAC</w:t>
      </w:r>
      <w:r w:rsidR="00C54EC9">
        <w:rPr>
          <w:rFonts w:eastAsia="Cambria" w:cs="Cambria"/>
        </w:rPr>
        <w:noBreakHyphen/>
      </w:r>
      <w:r w:rsidRPr="00C06453" w:rsidR="193C7C75">
        <w:rPr>
          <w:rFonts w:eastAsia="Cambria" w:cs="Cambria"/>
        </w:rPr>
        <w:t xml:space="preserve">SASH) balancing accounts held by </w:t>
      </w:r>
      <w:r w:rsidR="193C7C75">
        <w:t xml:space="preserve">Pacific Gas and Electric Company, Southern California Edison Company, and </w:t>
      </w:r>
      <w:r w:rsidR="00820BD7">
        <w:t>San </w:t>
      </w:r>
      <w:r w:rsidR="193C7C75">
        <w:t>Diego Gas</w:t>
      </w:r>
      <w:r w:rsidR="00820BD7">
        <w:t xml:space="preserve"> &amp; </w:t>
      </w:r>
      <w:r w:rsidR="193C7C75">
        <w:t>Electric Company</w:t>
      </w:r>
      <w:r w:rsidR="71B8C306">
        <w:t xml:space="preserve"> (collectively, the </w:t>
      </w:r>
      <w:r w:rsidR="001D3874">
        <w:t>investor</w:t>
      </w:r>
      <w:r w:rsidR="00C54EC9">
        <w:noBreakHyphen/>
      </w:r>
      <w:r w:rsidR="001D3874">
        <w:t xml:space="preserve">owned utilities </w:t>
      </w:r>
      <w:r w:rsidR="7CCD101A">
        <w:t>(IOUs))</w:t>
      </w:r>
      <w:r w:rsidR="193C7C75">
        <w:t xml:space="preserve"> to </w:t>
      </w:r>
      <w:r w:rsidR="3D27D04C">
        <w:t>improve</w:t>
      </w:r>
      <w:r w:rsidR="193C7C75">
        <w:t xml:space="preserve"> </w:t>
      </w:r>
      <w:r>
        <w:t xml:space="preserve">the </w:t>
      </w:r>
      <w:r w:rsidR="3D27D04C">
        <w:t>PA</w:t>
      </w:r>
      <w:r w:rsidR="008230EB">
        <w:t>’</w:t>
      </w:r>
      <w:r w:rsidR="3D27D04C">
        <w:t>s</w:t>
      </w:r>
      <w:r w:rsidR="193C7C75">
        <w:t xml:space="preserve"> </w:t>
      </w:r>
      <w:r>
        <w:t>a</w:t>
      </w:r>
      <w:r w:rsidR="193C7C75">
        <w:t>dministrative budget activities and to cover any incremental cha</w:t>
      </w:r>
      <w:r w:rsidR="04992879">
        <w:t>r</w:t>
      </w:r>
      <w:r w:rsidR="193C7C75">
        <w:t xml:space="preserve">ges </w:t>
      </w:r>
      <w:r w:rsidR="04992879">
        <w:t xml:space="preserve">needed </w:t>
      </w:r>
      <w:r w:rsidR="193C7C75">
        <w:t xml:space="preserve">to facilitate </w:t>
      </w:r>
      <w:r>
        <w:t xml:space="preserve">the </w:t>
      </w:r>
      <w:r w:rsidR="3D27D04C">
        <w:t>PA</w:t>
      </w:r>
      <w:r w:rsidR="008230EB">
        <w:t>’</w:t>
      </w:r>
      <w:r w:rsidR="3D27D04C">
        <w:t>s</w:t>
      </w:r>
      <w:r w:rsidR="193C7C75">
        <w:t xml:space="preserve"> reporting on </w:t>
      </w:r>
      <w:r w:rsidR="04992879">
        <w:t>external</w:t>
      </w:r>
      <w:r w:rsidR="193C7C75">
        <w:t xml:space="preserve"> funding and program participation outcomes. </w:t>
      </w:r>
      <w:r w:rsidR="140DDE33">
        <w:t>The IOUs shall provide their share of the $</w:t>
      </w:r>
      <w:r w:rsidR="002F6B25">
        <w:t>50</w:t>
      </w:r>
      <w:r w:rsidR="140DDE33">
        <w:t>,000 used to fund the PA</w:t>
      </w:r>
      <w:r w:rsidR="008230EB">
        <w:t>’</w:t>
      </w:r>
      <w:r w:rsidR="140DDE33">
        <w:t>s reporting of external DAC</w:t>
      </w:r>
      <w:r w:rsidR="00C54EC9">
        <w:noBreakHyphen/>
      </w:r>
      <w:r w:rsidR="140DDE33">
        <w:t>SASH funding based on their proportionate contribution to DAC</w:t>
      </w:r>
      <w:r w:rsidR="00C54EC9">
        <w:noBreakHyphen/>
      </w:r>
      <w:r w:rsidR="140DDE33">
        <w:t>SASH</w:t>
      </w:r>
      <w:r w:rsidR="008230EB">
        <w:t>’</w:t>
      </w:r>
      <w:r w:rsidR="140DDE33">
        <w:t>s annual budget.</w:t>
      </w:r>
    </w:p>
    <w:p w:rsidR="00024945" w:rsidRDefault="41419BBB" w14:paraId="0548B7E1" w14:textId="588C2934">
      <w:pPr>
        <w:pStyle w:val="OP"/>
      </w:pPr>
      <w:r>
        <w:t xml:space="preserve">Within </w:t>
      </w:r>
      <w:r w:rsidR="00473C2F">
        <w:t>90</w:t>
      </w:r>
      <w:r>
        <w:t xml:space="preserve"> days of the issuance of this decision, t</w:t>
      </w:r>
      <w:r w:rsidR="1FB0567E">
        <w:t xml:space="preserve">he </w:t>
      </w:r>
      <w:r>
        <w:t xml:space="preserve">Program Administrator (PA) </w:t>
      </w:r>
      <w:r w:rsidR="193C7C75">
        <w:t xml:space="preserve">is ordered to file a </w:t>
      </w:r>
      <w:r w:rsidR="001C3D54">
        <w:t>Tier </w:t>
      </w:r>
      <w:r w:rsidR="193C7C75">
        <w:t xml:space="preserve">2 advice letter documenting its plan </w:t>
      </w:r>
      <w:r w:rsidR="032F634B">
        <w:t xml:space="preserve">for reporting on external funds used by the PA for </w:t>
      </w:r>
      <w:r w:rsidR="2A12596A">
        <w:t xml:space="preserve">the </w:t>
      </w:r>
      <w:r w:rsidRPr="31B52016">
        <w:rPr>
          <w:rFonts w:eastAsia="Cambria" w:cs="Cambria"/>
        </w:rPr>
        <w:t>Disadvantaged Communities</w:t>
      </w:r>
      <w:r w:rsidR="00B72E11">
        <w:rPr>
          <w:rFonts w:eastAsia="Cambria" w:cs="Cambria"/>
        </w:rPr>
        <w:t xml:space="preserve"> — </w:t>
      </w:r>
      <w:r w:rsidRPr="31B52016">
        <w:rPr>
          <w:rFonts w:eastAsia="Cambria" w:cs="Cambria"/>
        </w:rPr>
        <w:t>Single</w:t>
      </w:r>
      <w:r w:rsidR="00C54EC9">
        <w:rPr>
          <w:rFonts w:eastAsia="Cambria" w:cs="Cambria"/>
        </w:rPr>
        <w:noBreakHyphen/>
      </w:r>
      <w:r w:rsidRPr="31B52016">
        <w:rPr>
          <w:rFonts w:eastAsia="Cambria" w:cs="Cambria"/>
        </w:rPr>
        <w:t xml:space="preserve">Family Solar Homes </w:t>
      </w:r>
      <w:r w:rsidRPr="31B52016" w:rsidR="2A12596A">
        <w:rPr>
          <w:rFonts w:eastAsia="Cambria" w:cs="Cambria"/>
        </w:rPr>
        <w:t xml:space="preserve">program </w:t>
      </w:r>
      <w:r w:rsidR="193C7C75">
        <w:t>with a budget and timeline</w:t>
      </w:r>
      <w:r w:rsidR="73FE5F2C">
        <w:t>.</w:t>
      </w:r>
    </w:p>
    <w:p w:rsidR="00024945" w:rsidRDefault="71D10B3C" w14:paraId="7C2A5D5B" w14:textId="0D618266">
      <w:pPr>
        <w:pStyle w:val="OP"/>
      </w:pPr>
      <w:r>
        <w:t xml:space="preserve">The </w:t>
      </w:r>
      <w:r w:rsidR="41419BBB">
        <w:t>Program Administrator</w:t>
      </w:r>
      <w:r>
        <w:t xml:space="preserve"> is ordered to document the actual usage and implementation of these additional funds in its </w:t>
      </w:r>
      <w:r w:rsidR="00A430DB">
        <w:t>Quarter </w:t>
      </w:r>
      <w:r>
        <w:t>1</w:t>
      </w:r>
      <w:r w:rsidR="00C54EC9">
        <w:noBreakHyphen/>
      </w:r>
      <w:r w:rsidR="00A430DB">
        <w:t>Quarter </w:t>
      </w:r>
      <w:r>
        <w:t>2 2027 Semi</w:t>
      </w:r>
      <w:r w:rsidR="00C54EC9">
        <w:noBreakHyphen/>
      </w:r>
      <w:r>
        <w:t>annual Progress Report.</w:t>
      </w:r>
    </w:p>
    <w:p w:rsidRPr="00663B70" w:rsidR="00663B70" w:rsidRDefault="6365333E" w14:paraId="376720CB" w14:textId="6005AB7B">
      <w:pPr>
        <w:pStyle w:val="OP"/>
      </w:pPr>
      <w:r>
        <w:t>Within 45 days of the approval of the Program Administrator</w:t>
      </w:r>
      <w:r w:rsidR="008230EB">
        <w:t>’</w:t>
      </w:r>
      <w:r>
        <w:t xml:space="preserve">s (PA) </w:t>
      </w:r>
      <w:r w:rsidR="001C3D54">
        <w:t>Tier </w:t>
      </w:r>
      <w:r>
        <w:t xml:space="preserve">2 </w:t>
      </w:r>
      <w:r w:rsidR="74066CF7">
        <w:t>a</w:t>
      </w:r>
      <w:r>
        <w:t xml:space="preserve">dvice </w:t>
      </w:r>
      <w:r w:rsidR="74066CF7">
        <w:t>l</w:t>
      </w:r>
      <w:r>
        <w:t xml:space="preserve">etter directed in </w:t>
      </w:r>
      <w:r w:rsidR="005D0B95">
        <w:t>Ordering Paragraph 1</w:t>
      </w:r>
      <w:r w:rsidR="00C06453">
        <w:t>3</w:t>
      </w:r>
      <w:r>
        <w:t xml:space="preserve">, Southern California Edison Company (SCE) shall file a </w:t>
      </w:r>
      <w:r w:rsidR="001C3D54">
        <w:t>Tier </w:t>
      </w:r>
      <w:r>
        <w:t>1 advice letter</w:t>
      </w:r>
      <w:r w:rsidR="00C06453">
        <w:t xml:space="preserve"> </w:t>
      </w:r>
      <w:r>
        <w:t>document</w:t>
      </w:r>
      <w:r w:rsidR="00C06453">
        <w:t>ing</w:t>
      </w:r>
      <w:r>
        <w:t xml:space="preserve"> confirmation and completion of any contractual or co</w:t>
      </w:r>
      <w:r w:rsidR="00C54EC9">
        <w:noBreakHyphen/>
      </w:r>
      <w:r>
        <w:t>funding modifications necessary to facilitate the inclusion of $</w:t>
      </w:r>
      <w:r w:rsidR="00C06453">
        <w:t>5</w:t>
      </w:r>
      <w:r>
        <w:t xml:space="preserve">0,000 of the remaining accrued interest in the </w:t>
      </w:r>
      <w:r w:rsidR="008C14C9">
        <w:rPr>
          <w:rFonts w:eastAsia="Cambria" w:cs="Cambria"/>
        </w:rPr>
        <w:t>Disadvantaged Communities — Single Family Solar Homes</w:t>
      </w:r>
      <w:r w:rsidRPr="31B52016">
        <w:rPr>
          <w:rFonts w:eastAsia="Cambria" w:cs="Cambria"/>
        </w:rPr>
        <w:t xml:space="preserve"> (DAC</w:t>
      </w:r>
      <w:r w:rsidR="00C54EC9">
        <w:rPr>
          <w:rFonts w:eastAsia="Cambria" w:cs="Cambria"/>
        </w:rPr>
        <w:noBreakHyphen/>
      </w:r>
      <w:r w:rsidRPr="31B52016">
        <w:rPr>
          <w:rFonts w:eastAsia="Cambria" w:cs="Cambria"/>
        </w:rPr>
        <w:t xml:space="preserve">SASH) balancing accounts </w:t>
      </w:r>
      <w:r w:rsidRPr="31B52016">
        <w:rPr>
          <w:rFonts w:eastAsia="Cambria" w:cs="Cambria"/>
        </w:rPr>
        <w:lastRenderedPageBreak/>
        <w:t xml:space="preserve">held by </w:t>
      </w:r>
      <w:r>
        <w:t xml:space="preserve">Pacific Gas and Electric Company, SCE, and </w:t>
      </w:r>
      <w:r w:rsidR="00820BD7">
        <w:t>San </w:t>
      </w:r>
      <w:r>
        <w:t>Diego Gas</w:t>
      </w:r>
      <w:r w:rsidR="00820BD7">
        <w:t xml:space="preserve"> &amp; </w:t>
      </w:r>
      <w:r>
        <w:t>Electric Company</w:t>
      </w:r>
      <w:r w:rsidR="7A8F0D39">
        <w:t xml:space="preserve"> </w:t>
      </w:r>
      <w:r>
        <w:t>to improve the PA</w:t>
      </w:r>
      <w:r w:rsidR="008230EB">
        <w:t>’</w:t>
      </w:r>
      <w:r>
        <w:t>s administrative budget activities and to cover any incremental charges needed to facilitate the PA</w:t>
      </w:r>
      <w:r w:rsidR="008230EB">
        <w:t>’</w:t>
      </w:r>
      <w:r>
        <w:t>s reporting on external funding and program participation outcomes.</w:t>
      </w:r>
      <w:r w:rsidR="4EA40C3F">
        <w:t xml:space="preserve"> </w:t>
      </w:r>
      <w:r>
        <w:t>SCE is only authorized to make contractual changes pursuant to the DAC</w:t>
      </w:r>
      <w:r w:rsidR="00C54EC9">
        <w:noBreakHyphen/>
      </w:r>
      <w:r>
        <w:t xml:space="preserve">SASH program implementation updates directed in this </w:t>
      </w:r>
      <w:r w:rsidR="00C06453">
        <w:t>d</w:t>
      </w:r>
      <w:r>
        <w:t>ecision.</w:t>
      </w:r>
    </w:p>
    <w:p w:rsidRPr="005E1CC0" w:rsidR="001A1A92" w:rsidP="00ED1EC3" w:rsidRDefault="2294DE7C" w14:paraId="5127BA2E" w14:textId="133A50DC">
      <w:pPr>
        <w:pStyle w:val="OP"/>
      </w:pPr>
      <w:r>
        <w:t>The Program Administrator</w:t>
      </w:r>
      <w:r w:rsidR="4883B8FC">
        <w:t xml:space="preserve"> </w:t>
      </w:r>
      <w:r>
        <w:t>is directed to track referrals and to develop strategies to improve participation in related programs such as California Alternative Rates for Energy, E</w:t>
      </w:r>
      <w:r w:rsidR="7D6F208B">
        <w:t xml:space="preserve">nergy </w:t>
      </w:r>
      <w:r>
        <w:t>S</w:t>
      </w:r>
      <w:r w:rsidR="7D6F208B">
        <w:t xml:space="preserve">avings </w:t>
      </w:r>
      <w:r>
        <w:t>A</w:t>
      </w:r>
      <w:r w:rsidR="7D6F208B">
        <w:t>ssistance</w:t>
      </w:r>
      <w:r>
        <w:t>,</w:t>
      </w:r>
      <w:r w:rsidR="00ED1EC3">
        <w:t xml:space="preserve"> Family Electric Rate Assistance,</w:t>
      </w:r>
      <w:r>
        <w:t xml:space="preserve"> and Medical Baseline. This information sh</w:t>
      </w:r>
      <w:r w:rsidR="04992879">
        <w:t>all</w:t>
      </w:r>
      <w:r>
        <w:t xml:space="preserve"> be included in the </w:t>
      </w:r>
      <w:r w:rsidR="008C14C9">
        <w:t>Disadvantaged Communities — Single Family Solar Homes</w:t>
      </w:r>
      <w:r>
        <w:t xml:space="preserve"> Semi</w:t>
      </w:r>
      <w:r w:rsidR="00C54EC9">
        <w:noBreakHyphen/>
      </w:r>
      <w:r w:rsidR="140DDE33">
        <w:t>a</w:t>
      </w:r>
      <w:r>
        <w:t>nnual Progress Reports.</w:t>
      </w:r>
    </w:p>
    <w:p w:rsidR="005E1CC0" w:rsidRDefault="008C14C9" w14:paraId="1D623D8A" w14:textId="67FEAE8B">
      <w:pPr>
        <w:pStyle w:val="OP"/>
      </w:pPr>
      <w:r>
        <w:t>Disadvantaged Communities — Single Family Solar Homes</w:t>
      </w:r>
      <w:r w:rsidR="4B3288A4">
        <w:t xml:space="preserve"> (DAC</w:t>
      </w:r>
      <w:r w:rsidR="00C54EC9">
        <w:noBreakHyphen/>
      </w:r>
      <w:r w:rsidR="4B3288A4">
        <w:t>SASH) projects are prohibited from receiving incentives from DAC</w:t>
      </w:r>
      <w:r w:rsidR="00C54EC9">
        <w:noBreakHyphen/>
      </w:r>
      <w:r w:rsidR="4B3288A4">
        <w:t>SASH and other complementary incentive programs in excess of project costs.</w:t>
      </w:r>
    </w:p>
    <w:p w:rsidR="00024945" w:rsidRDefault="002F6B25" w14:paraId="3B4631D4" w14:textId="3FC99B13">
      <w:pPr>
        <w:pStyle w:val="OP"/>
      </w:pPr>
      <w:r>
        <w:t xml:space="preserve">The </w:t>
      </w:r>
      <w:r w:rsidR="008C14C9">
        <w:t>Disadvantaged Communities — Single Family Solar Homes</w:t>
      </w:r>
      <w:r>
        <w:t xml:space="preserve"> (DAC</w:t>
      </w:r>
      <w:r w:rsidR="00C54EC9">
        <w:noBreakHyphen/>
      </w:r>
      <w:r>
        <w:t>SASH) Program Administrator is authorized to propose different tools to calculate DAC</w:t>
      </w:r>
      <w:r w:rsidR="00C54EC9">
        <w:noBreakHyphen/>
      </w:r>
      <w:r>
        <w:t xml:space="preserve">SASH system sizes through a </w:t>
      </w:r>
      <w:r w:rsidR="001C3D54">
        <w:t>Tier </w:t>
      </w:r>
      <w:r>
        <w:t>2 advice letter updating the Program Handbook as outlined in the process established in Decision</w:t>
      </w:r>
      <w:r w:rsidR="00CD29D1">
        <w:t> </w:t>
      </w:r>
      <w:r>
        <w:t>18</w:t>
      </w:r>
      <w:r w:rsidR="00C54EC9">
        <w:noBreakHyphen/>
      </w:r>
      <w:r>
        <w:t>06</w:t>
      </w:r>
      <w:r w:rsidR="00C54EC9">
        <w:noBreakHyphen/>
      </w:r>
      <w:r>
        <w:t>027.</w:t>
      </w:r>
    </w:p>
    <w:p w:rsidRPr="005E1CC0" w:rsidR="00F41668" w:rsidRDefault="7D6F208B" w14:paraId="14C74E38" w14:textId="2CB46D8F">
      <w:pPr>
        <w:pStyle w:val="OP"/>
      </w:pPr>
      <w:r>
        <w:t>Job training</w:t>
      </w:r>
      <w:r w:rsidR="4B3288A4">
        <w:t>,</w:t>
      </w:r>
      <w:r>
        <w:t xml:space="preserve"> workforce development</w:t>
      </w:r>
      <w:r w:rsidR="4B3288A4">
        <w:t xml:space="preserve">, and trainee hiring </w:t>
      </w:r>
      <w:r>
        <w:t xml:space="preserve">requirements shall be removed from the </w:t>
      </w:r>
      <w:r w:rsidR="008C14C9">
        <w:t>Disadvantaged Communities — Single Family Solar Homes</w:t>
      </w:r>
      <w:r>
        <w:t xml:space="preserve"> Program Handbook.</w:t>
      </w:r>
    </w:p>
    <w:p w:rsidRPr="005E1CC0" w:rsidR="005E1CC0" w:rsidRDefault="4B3288A4" w14:paraId="157EB851" w14:textId="2CA4EA11">
      <w:pPr>
        <w:pStyle w:val="OP"/>
      </w:pPr>
      <w:r>
        <w:t xml:space="preserve">Energy efficiency education requirements shall be removed from the </w:t>
      </w:r>
      <w:r w:rsidR="008C14C9">
        <w:t>Disadvantaged Communities — Single Family Solar Homes</w:t>
      </w:r>
      <w:r>
        <w:t xml:space="preserve"> Program Handbook.</w:t>
      </w:r>
    </w:p>
    <w:p w:rsidR="00C3623D" w:rsidRDefault="08CAE256" w14:paraId="65120189" w14:textId="1BC261BE">
      <w:pPr>
        <w:pStyle w:val="OP"/>
      </w:pPr>
      <w:r>
        <w:lastRenderedPageBreak/>
        <w:t xml:space="preserve">Meter </w:t>
      </w:r>
      <w:r w:rsidR="00C3623D">
        <w:t xml:space="preserve">socket adapters shall be included as eligible equipment in the </w:t>
      </w:r>
      <w:r w:rsidR="008C14C9">
        <w:t>Disadvantaged Communities — Single Family Solar Homes</w:t>
      </w:r>
      <w:r w:rsidR="00C3623D">
        <w:t xml:space="preserve"> program</w:t>
      </w:r>
      <w:r w:rsidR="032F634B">
        <w:t xml:space="preserve"> as added in the revised Program Handbook</w:t>
      </w:r>
      <w:r w:rsidR="00C3623D">
        <w:t>.</w:t>
      </w:r>
    </w:p>
    <w:p w:rsidR="108D3D26" w:rsidP="00C06453" w:rsidRDefault="108D3D26" w14:paraId="586E969B" w14:textId="470221C2">
      <w:pPr>
        <w:pStyle w:val="OP"/>
        <w:rPr>
          <w:rFonts w:eastAsia="Calibri"/>
        </w:rPr>
      </w:pPr>
      <w:r w:rsidRPr="31B52016">
        <w:rPr>
          <w:rFonts w:eastAsia="Calibri"/>
        </w:rPr>
        <w:t xml:space="preserve">In </w:t>
      </w:r>
      <w:r>
        <w:t xml:space="preserve">its </w:t>
      </w:r>
      <w:r w:rsidR="001C3D54">
        <w:t>Tier </w:t>
      </w:r>
      <w:r>
        <w:t xml:space="preserve">2 advice letter directed in </w:t>
      </w:r>
      <w:r w:rsidR="005D0B95">
        <w:t>Ordering Paragraph 1</w:t>
      </w:r>
      <w:r w:rsidR="00C06453">
        <w:t>3</w:t>
      </w:r>
      <w:r>
        <w:t>, the Program Administrator</w:t>
      </w:r>
      <w:r w:rsidRPr="31B52016">
        <w:rPr>
          <w:rFonts w:eastAsia="Calibri"/>
        </w:rPr>
        <w:t xml:space="preserve"> shall also include a proposed updated</w:t>
      </w:r>
      <w:r>
        <w:t xml:space="preserve"> </w:t>
      </w:r>
      <w:r w:rsidR="008C14C9">
        <w:t>Disadvantaged Communities — Single Family Solar Homes</w:t>
      </w:r>
      <w:r>
        <w:t xml:space="preserve"> (DAC</w:t>
      </w:r>
      <w:r w:rsidR="00C54EC9">
        <w:noBreakHyphen/>
      </w:r>
      <w:r>
        <w:t>SASH)</w:t>
      </w:r>
      <w:r w:rsidRPr="31B52016">
        <w:rPr>
          <w:rFonts w:eastAsia="Calibri"/>
        </w:rPr>
        <w:t xml:space="preserve"> Program Implementation Plan (PIP) that incorporates all programmatic, reporting, data collection, and Program Handbook revisions adopted in this </w:t>
      </w:r>
      <w:r w:rsidR="00C06453">
        <w:rPr>
          <w:rFonts w:eastAsia="Calibri"/>
        </w:rPr>
        <w:t>d</w:t>
      </w:r>
      <w:r w:rsidRPr="31B52016">
        <w:rPr>
          <w:rFonts w:eastAsia="Calibri"/>
        </w:rPr>
        <w:t xml:space="preserve">ecision. Upon approval of the </w:t>
      </w:r>
      <w:r w:rsidR="001C3D54">
        <w:rPr>
          <w:rFonts w:eastAsia="Calibri"/>
        </w:rPr>
        <w:t>Tier </w:t>
      </w:r>
      <w:r w:rsidRPr="31B52016">
        <w:rPr>
          <w:rFonts w:eastAsia="Calibri"/>
        </w:rPr>
        <w:t>2</w:t>
      </w:r>
      <w:r w:rsidR="00C06453">
        <w:rPr>
          <w:rFonts w:eastAsia="Calibri"/>
        </w:rPr>
        <w:t xml:space="preserve"> ad</w:t>
      </w:r>
      <w:r w:rsidRPr="31B52016">
        <w:rPr>
          <w:rFonts w:eastAsia="Calibri"/>
        </w:rPr>
        <w:t xml:space="preserve">vice </w:t>
      </w:r>
      <w:r w:rsidR="00C06453">
        <w:rPr>
          <w:rFonts w:eastAsia="Calibri"/>
        </w:rPr>
        <w:t>l</w:t>
      </w:r>
      <w:r w:rsidRPr="31B52016">
        <w:rPr>
          <w:rFonts w:eastAsia="Calibri"/>
        </w:rPr>
        <w:t>etter, the updated DAC</w:t>
      </w:r>
      <w:r w:rsidR="00C54EC9">
        <w:rPr>
          <w:rFonts w:eastAsia="Calibri"/>
        </w:rPr>
        <w:noBreakHyphen/>
      </w:r>
      <w:r w:rsidRPr="31B52016">
        <w:rPr>
          <w:rFonts w:eastAsia="Calibri"/>
        </w:rPr>
        <w:t>SASH PIP shall supersede the previously approved PIP.</w:t>
      </w:r>
    </w:p>
    <w:p w:rsidR="108D3D26" w:rsidP="31B52016" w:rsidRDefault="108D3D26" w14:paraId="243EE1DF" w14:textId="0B57A849">
      <w:pPr>
        <w:pStyle w:val="OP"/>
      </w:pPr>
      <w:r>
        <w:t xml:space="preserve">A revised </w:t>
      </w:r>
      <w:r w:rsidR="008C14C9">
        <w:t>Disadvantaged Communities — Single Family Solar Homes</w:t>
      </w:r>
      <w:r>
        <w:t xml:space="preserve"> Handbook (</w:t>
      </w:r>
      <w:r w:rsidR="005000B8">
        <w:t>Version </w:t>
      </w:r>
      <w:r>
        <w:t xml:space="preserve">7) is adopted and attached to this decision as </w:t>
      </w:r>
      <w:r w:rsidR="002E26D7">
        <w:t>Appendix </w:t>
      </w:r>
      <w:r w:rsidR="000303D0">
        <w:t>B</w:t>
      </w:r>
      <w:r>
        <w:t>.</w:t>
      </w:r>
    </w:p>
    <w:p w:rsidR="108D3D26" w:rsidP="006F7DCE" w:rsidRDefault="108D3D26" w14:paraId="0A55E8E3" w14:textId="39269D6B">
      <w:pPr>
        <w:pStyle w:val="OP"/>
        <w:keepNext/>
      </w:pPr>
      <w:r>
        <w:t>Rulemaking</w:t>
      </w:r>
      <w:r w:rsidR="00930B81">
        <w:t> </w:t>
      </w:r>
      <w:r>
        <w:t>25</w:t>
      </w:r>
      <w:r w:rsidR="00C54EC9">
        <w:noBreakHyphen/>
      </w:r>
      <w:r>
        <w:t>01</w:t>
      </w:r>
      <w:r w:rsidR="00C54EC9">
        <w:noBreakHyphen/>
      </w:r>
      <w:r>
        <w:t>005 remains open.</w:t>
      </w:r>
    </w:p>
    <w:p w:rsidR="008F0116" w:rsidP="006F7DCE" w:rsidRDefault="008F0116" w14:paraId="427EEB0D" w14:textId="77777777">
      <w:pPr>
        <w:pStyle w:val="Standard"/>
        <w:keepNext/>
      </w:pPr>
      <w:r>
        <w:t>This order is effective today.</w:t>
      </w:r>
    </w:p>
    <w:p w:rsidR="75668EFE" w:rsidP="006F7DCE" w:rsidRDefault="00CA0B3A" w14:paraId="0142AE9F" w14:textId="6E036CFA">
      <w:pPr>
        <w:pStyle w:val="Standard"/>
        <w:keepNext/>
      </w:pPr>
      <w:r>
        <w:t xml:space="preserve">Dated </w:t>
      </w:r>
      <w:r w:rsidR="00CA06EA">
        <w:t>__________</w:t>
      </w:r>
      <w:r w:rsidR="002C4824">
        <w:t>__________</w:t>
      </w:r>
      <w:r>
        <w:t xml:space="preserve">, at </w:t>
      </w:r>
      <w:r w:rsidR="005D53F4">
        <w:t>Sacramento</w:t>
      </w:r>
      <w:r>
        <w:t>, California</w:t>
      </w:r>
      <w:r w:rsidR="002C4824">
        <w:t>.</w:t>
      </w:r>
    </w:p>
    <w:p w:rsidR="002C4824" w:rsidP="006F7DCE" w:rsidRDefault="002C4824" w14:paraId="47B6B539" w14:textId="77777777">
      <w:pPr>
        <w:pStyle w:val="Standard"/>
        <w:keepNext/>
      </w:pPr>
    </w:p>
    <w:p w:rsidR="002C4824" w:rsidP="006F7DCE" w:rsidRDefault="002C4824" w14:paraId="0C870B6C" w14:textId="77777777">
      <w:pPr>
        <w:pStyle w:val="Standard"/>
        <w:keepNext/>
      </w:pPr>
    </w:p>
    <w:p w:rsidR="002C4824" w:rsidP="006F7DCE" w:rsidRDefault="002C4824" w14:paraId="7A1CCE86" w14:textId="77777777">
      <w:pPr>
        <w:pStyle w:val="Standard"/>
        <w:keepNext/>
      </w:pPr>
    </w:p>
    <w:p w:rsidR="003A7129" w:rsidP="006F7DCE" w:rsidRDefault="003A7129" w14:paraId="0D40101D" w14:textId="77777777">
      <w:pPr>
        <w:pStyle w:val="Standard"/>
        <w:keepNext/>
        <w:sectPr w:rsidR="003A7129" w:rsidSect="00BD035F">
          <w:footerReference w:type="default" r:id="rId16"/>
          <w:pgSz w:w="12240" w:h="15840"/>
          <w:pgMar w:top="1728" w:right="1440" w:bottom="1440" w:left="1440" w:header="720" w:footer="720" w:gutter="0"/>
          <w:pgNumType w:start="2"/>
          <w:cols w:space="720"/>
          <w:docGrid w:linePitch="360"/>
        </w:sectPr>
      </w:pPr>
    </w:p>
    <w:p w:rsidR="00933215" w:rsidP="00933215" w:rsidRDefault="00933215" w14:paraId="3C5ADC08" w14:textId="77777777">
      <w:pPr>
        <w:ind w:firstLine="0"/>
      </w:pPr>
    </w:p>
    <w:p w:rsidR="00933215" w:rsidP="00933215" w:rsidRDefault="00933215" w14:paraId="04B7E69E" w14:textId="77777777">
      <w:pPr>
        <w:ind w:firstLine="0"/>
      </w:pPr>
    </w:p>
    <w:p w:rsidR="00933215" w:rsidP="00933215" w:rsidRDefault="00933215" w14:paraId="1E16E85C" w14:textId="77777777">
      <w:pPr>
        <w:ind w:firstLine="0"/>
      </w:pPr>
    </w:p>
    <w:p w:rsidR="00933215" w:rsidP="00933215" w:rsidRDefault="00933215" w14:paraId="6FDCC44C" w14:textId="77777777">
      <w:pPr>
        <w:ind w:firstLine="0"/>
      </w:pPr>
    </w:p>
    <w:p w:rsidR="00933215" w:rsidP="00933215" w:rsidRDefault="00933215" w14:paraId="03637E44" w14:textId="77777777">
      <w:pPr>
        <w:ind w:firstLine="0"/>
      </w:pPr>
    </w:p>
    <w:p w:rsidR="00933215" w:rsidP="00933215" w:rsidRDefault="00933215" w14:paraId="1AEFA47D" w14:textId="77777777">
      <w:pPr>
        <w:ind w:firstLine="0"/>
      </w:pPr>
    </w:p>
    <w:p w:rsidR="00933215" w:rsidP="00933215" w:rsidRDefault="00933215" w14:paraId="76860235" w14:textId="77777777">
      <w:pPr>
        <w:ind w:firstLine="0"/>
      </w:pPr>
    </w:p>
    <w:p w:rsidR="00933215" w:rsidP="00933215" w:rsidRDefault="00933215" w14:paraId="0E0FB14E" w14:textId="77777777">
      <w:pPr>
        <w:ind w:firstLine="0"/>
        <w:jc w:val="center"/>
        <w:rPr>
          <w:b/>
          <w:bCs/>
          <w:sz w:val="50"/>
        </w:rPr>
      </w:pPr>
      <w:r>
        <w:rPr>
          <w:b/>
          <w:bCs/>
          <w:sz w:val="50"/>
        </w:rPr>
        <w:t>APPENDIX A</w:t>
      </w:r>
    </w:p>
    <w:p w:rsidR="003A7129" w:rsidP="006F7DCE" w:rsidRDefault="003A7129" w14:paraId="036A0865" w14:textId="77777777">
      <w:pPr>
        <w:pStyle w:val="Standard"/>
        <w:keepNext/>
      </w:pPr>
    </w:p>
    <w:p w:rsidR="003A7129" w:rsidP="006F7DCE" w:rsidRDefault="003A7129" w14:paraId="032924ED" w14:textId="77777777">
      <w:pPr>
        <w:pStyle w:val="Standard"/>
        <w:keepNext/>
        <w:sectPr w:rsidR="003A7129" w:rsidSect="00BD035F">
          <w:footerReference w:type="default" r:id="rId17"/>
          <w:pgSz w:w="12240" w:h="15840"/>
          <w:pgMar w:top="1728" w:right="1440" w:bottom="1440" w:left="1440" w:header="720" w:footer="720" w:gutter="0"/>
          <w:pgNumType w:start="2"/>
          <w:cols w:space="720"/>
          <w:docGrid w:linePitch="360"/>
        </w:sectPr>
      </w:pPr>
    </w:p>
    <w:p w:rsidR="00933215" w:rsidP="00933215" w:rsidRDefault="00933215" w14:paraId="5493244A" w14:textId="77777777">
      <w:pPr>
        <w:ind w:firstLine="0"/>
      </w:pPr>
    </w:p>
    <w:p w:rsidR="00933215" w:rsidP="00933215" w:rsidRDefault="00933215" w14:paraId="2BE4174E" w14:textId="77777777">
      <w:pPr>
        <w:ind w:firstLine="0"/>
      </w:pPr>
    </w:p>
    <w:p w:rsidR="00933215" w:rsidP="00933215" w:rsidRDefault="00933215" w14:paraId="685EDECE" w14:textId="77777777">
      <w:pPr>
        <w:ind w:firstLine="0"/>
      </w:pPr>
    </w:p>
    <w:p w:rsidR="00933215" w:rsidP="00933215" w:rsidRDefault="00933215" w14:paraId="1A966C04" w14:textId="77777777">
      <w:pPr>
        <w:ind w:firstLine="0"/>
      </w:pPr>
    </w:p>
    <w:p w:rsidR="00933215" w:rsidP="00933215" w:rsidRDefault="00933215" w14:paraId="17BA8D81" w14:textId="77777777">
      <w:pPr>
        <w:ind w:firstLine="0"/>
      </w:pPr>
    </w:p>
    <w:p w:rsidR="00933215" w:rsidP="00933215" w:rsidRDefault="00933215" w14:paraId="6AD33C3E" w14:textId="77777777">
      <w:pPr>
        <w:ind w:firstLine="0"/>
      </w:pPr>
    </w:p>
    <w:p w:rsidR="00933215" w:rsidP="00933215" w:rsidRDefault="00933215" w14:paraId="44BB0112" w14:textId="77777777">
      <w:pPr>
        <w:ind w:firstLine="0"/>
      </w:pPr>
    </w:p>
    <w:p w:rsidR="00933215" w:rsidP="00933215" w:rsidRDefault="00933215" w14:paraId="5524F4C4" w14:textId="77777777">
      <w:pPr>
        <w:ind w:firstLine="0"/>
        <w:jc w:val="center"/>
        <w:rPr>
          <w:b/>
          <w:bCs/>
          <w:sz w:val="50"/>
        </w:rPr>
      </w:pPr>
      <w:r>
        <w:rPr>
          <w:b/>
          <w:bCs/>
          <w:sz w:val="50"/>
        </w:rPr>
        <w:t>APPENDIX B</w:t>
      </w:r>
    </w:p>
    <w:p w:rsidR="003A7129" w:rsidP="006F7DCE" w:rsidRDefault="003A7129" w14:paraId="28877BAD" w14:textId="77777777">
      <w:pPr>
        <w:pStyle w:val="Standard"/>
        <w:keepNext/>
      </w:pPr>
    </w:p>
    <w:p w:rsidR="003A7129" w:rsidP="006F7DCE" w:rsidRDefault="003A7129" w14:paraId="28F86EB4" w14:textId="77777777">
      <w:pPr>
        <w:pStyle w:val="Standard"/>
        <w:keepNext/>
        <w:sectPr w:rsidR="003A7129" w:rsidSect="00BD035F">
          <w:footerReference w:type="default" r:id="rId18"/>
          <w:pgSz w:w="12240" w:h="15840"/>
          <w:pgMar w:top="1728" w:right="1440" w:bottom="1440" w:left="1440" w:header="720" w:footer="720" w:gutter="0"/>
          <w:pgNumType w:start="2"/>
          <w:cols w:space="720"/>
          <w:docGrid w:linePitch="360"/>
        </w:sectPr>
      </w:pPr>
    </w:p>
    <w:p w:rsidR="00933215" w:rsidP="00933215" w:rsidRDefault="00933215" w14:paraId="48D5EE99" w14:textId="77777777">
      <w:pPr>
        <w:ind w:firstLine="0"/>
      </w:pPr>
    </w:p>
    <w:p w:rsidR="00933215" w:rsidP="00933215" w:rsidRDefault="00933215" w14:paraId="522F4ECE" w14:textId="77777777">
      <w:pPr>
        <w:ind w:firstLine="0"/>
      </w:pPr>
    </w:p>
    <w:p w:rsidR="00933215" w:rsidP="00933215" w:rsidRDefault="00933215" w14:paraId="7BEF0BE6" w14:textId="77777777">
      <w:pPr>
        <w:ind w:firstLine="0"/>
      </w:pPr>
    </w:p>
    <w:p w:rsidR="00933215" w:rsidP="00933215" w:rsidRDefault="00933215" w14:paraId="1CA8794F" w14:textId="77777777">
      <w:pPr>
        <w:ind w:firstLine="0"/>
      </w:pPr>
    </w:p>
    <w:p w:rsidR="00933215" w:rsidP="00933215" w:rsidRDefault="00933215" w14:paraId="06427DD5" w14:textId="77777777">
      <w:pPr>
        <w:ind w:firstLine="0"/>
      </w:pPr>
    </w:p>
    <w:p w:rsidR="00933215" w:rsidP="00933215" w:rsidRDefault="00933215" w14:paraId="3FE1F559" w14:textId="77777777">
      <w:pPr>
        <w:ind w:firstLine="0"/>
      </w:pPr>
    </w:p>
    <w:p w:rsidR="00933215" w:rsidP="00933215" w:rsidRDefault="00933215" w14:paraId="5A8E2E2C" w14:textId="77777777">
      <w:pPr>
        <w:ind w:firstLine="0"/>
      </w:pPr>
    </w:p>
    <w:p w:rsidR="00933215" w:rsidP="00933215" w:rsidRDefault="00933215" w14:paraId="1B8E3BD5" w14:textId="77777777">
      <w:pPr>
        <w:ind w:firstLine="0"/>
        <w:jc w:val="center"/>
        <w:rPr>
          <w:b/>
          <w:bCs/>
          <w:sz w:val="50"/>
        </w:rPr>
      </w:pPr>
      <w:r>
        <w:rPr>
          <w:b/>
          <w:bCs/>
          <w:sz w:val="50"/>
        </w:rPr>
        <w:t>APPENDIX C</w:t>
      </w:r>
    </w:p>
    <w:p w:rsidR="00933215" w:rsidP="00933215" w:rsidRDefault="00933215" w14:paraId="3A9A18CB" w14:textId="77777777">
      <w:pPr>
        <w:ind w:firstLine="0"/>
        <w:jc w:val="center"/>
        <w:rPr>
          <w:b/>
          <w:bCs/>
          <w:sz w:val="50"/>
        </w:rPr>
      </w:pPr>
    </w:p>
    <w:sectPr w:rsidR="00933215" w:rsidSect="00BD035F">
      <w:footerReference w:type="default" r:id="rId19"/>
      <w:pgSz w:w="12240" w:h="15840"/>
      <w:pgMar w:top="1728" w:right="1440" w:bottom="1440" w:left="1440" w:header="720" w:footer="720" w:gutter="0"/>
      <w:pgNumType w:start="2"/>
      <w:cols w:space="720"/>
      <w:docGrid w:linePitch="360"/>
    </w:sectPr>
    <w:p>
      <w:r>
        <w:t xml:space="preserve"/>
      </w:r>
    </w:p>
    <w:p>
      <w:r>
        <w:t xml:space="preserve">Attachment 1: </w:t>
      </w:r>
    </w:p>
    <w:p>
      <w:hyperlink w:history="true" r:id="Re52e1337e5d14d64">
        <w:r w:rsidRPr="00CB1292">
          <w:rPr>
            <w:rStyle w:val="Hyperlink"/>
            <w:color w:val="2E74B5" w:themeColor="accent1" w:themeShade="BF"/>
            <w:u w:val="single"/>
          </w:rPr>
          <w:t>(Rev. 1) Attach 3 DAC-SASH Handbook (CLEAN).pdf</w:t>
        </w:r>
      </w:hyperlink>
    </w:p>
    <w:p>
      <w:r>
        <w:t xml:space="preserve"/>
      </w:r>
    </w:p>
    <w:p>
      <w:r>
        <w:t xml:space="preserve">Attachment 2: </w:t>
      </w:r>
    </w:p>
    <w:p>
      <w:hyperlink w:history="true" r:id="R9d8cbdf4296c4bd8">
        <w:r w:rsidRPr="00CB1292">
          <w:rPr>
            <w:rStyle w:val="Hyperlink"/>
            <w:color w:val="2E74B5" w:themeColor="accent1" w:themeShade="BF"/>
            <w:u w:val="single"/>
          </w:rPr>
          <w:t>(Rev. 1) Attach 3 DAC-SASH Handbook (REDLINE).pdf</w:t>
        </w:r>
      </w:hyperlink>
    </w:p>
    <w:p>
      <w:r>
        <w:t xml:space="preserve"/>
      </w:r>
    </w:p>
    <w:p>
      <w:r>
        <w:t xml:space="preserve">Attachment 3: </w:t>
      </w:r>
    </w:p>
    <w:p>
      <w:hyperlink w:history="true" r:id="Reeb9a51d220f482a">
        <w:r w:rsidRPr="00CB1292">
          <w:rPr>
            <w:rStyle w:val="Hyperlink"/>
            <w:color w:val="2E74B5" w:themeColor="accent1" w:themeShade="BF"/>
            <w:u w:val="single"/>
          </w:rPr>
          <w:t>REDLINE (Rev. 1) R.25-01-005 Modifying Single Family Solar Homes Program.pdf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CE121" w14:textId="77777777" w:rsidR="00125782" w:rsidRDefault="00125782" w:rsidP="0098138E">
      <w:pPr>
        <w:spacing w:line="240" w:lineRule="auto"/>
      </w:pPr>
      <w:r>
        <w:separator/>
      </w:r>
    </w:p>
  </w:endnote>
  <w:endnote w:type="continuationSeparator" w:id="0">
    <w:p w14:paraId="0A3923FE" w14:textId="77777777" w:rsidR="00125782" w:rsidRDefault="00125782"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ymbolMT">
    <w:altName w:val="Cambria"/>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7EBD" w14:textId="048328C0" w:rsidR="00F92385" w:rsidRDefault="00C54EC9" w:rsidP="002A6F46">
    <w:pPr>
      <w:spacing w:line="240" w:lineRule="auto"/>
      <w:ind w:firstLine="0"/>
      <w:jc w:val="center"/>
    </w:pPr>
    <w:r>
      <w:noBreakHyphen/>
    </w:r>
    <w:r w:rsidR="002A6F46">
      <w:t xml:space="preserve"> </w:t>
    </w:r>
    <w:sdt>
      <w:sdtPr>
        <w:id w:val="-1472208903"/>
        <w:docPartObj>
          <w:docPartGallery w:val="Page Numbers (Bottom of Page)"/>
          <w:docPartUnique/>
        </w:docPartObj>
      </w:sdtPr>
      <w:sdtEndPr>
        <w:rPr>
          <w:noProof/>
        </w:rPr>
      </w:sdtEndPr>
      <w:sdtContent>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r w:rsidR="002A6F46">
          <w:rPr>
            <w:noProof/>
          </w:rPr>
          <w:t xml:space="preserve"> </w:t>
        </w:r>
        <w:r>
          <w:rPr>
            <w:noProof/>
          </w:rPr>
          <w:noBreakHyphen/>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1DDE1" w14:textId="03F34C20" w:rsidR="00632207" w:rsidRDefault="00000000" w:rsidP="00AD1459">
    <w:pPr>
      <w:tabs>
        <w:tab w:val="center" w:pos="4680"/>
      </w:tabs>
      <w:spacing w:line="240" w:lineRule="auto"/>
      <w:ind w:firstLine="0"/>
      <w:rPr>
        <w:noProof/>
      </w:rPr>
    </w:pPr>
    <w:sdt>
      <w:sdtPr>
        <w:id w:val="-1352874971"/>
        <w:docPartObj>
          <w:docPartGallery w:val="Page Numbers (Bottom of Page)"/>
          <w:docPartUnique/>
        </w:docPartObj>
      </w:sdtPr>
      <w:sdtEndPr>
        <w:rPr>
          <w:noProof/>
        </w:rPr>
      </w:sdtEndPr>
      <w:sdtContent>
        <w:r w:rsidR="00B317A2" w:rsidRPr="009B183A">
          <w:rPr>
            <w:sz w:val="16"/>
            <w:szCs w:val="16"/>
          </w:rPr>
          <w:t>622748944</w:t>
        </w:r>
        <w:r w:rsidR="00632207">
          <w:rPr>
            <w:rFonts w:ascii="Arial" w:hAnsi="Arial" w:cs="Arial"/>
            <w:sz w:val="16"/>
            <w:szCs w:val="16"/>
          </w:rPr>
          <w:tab/>
        </w:r>
        <w:r w:rsidR="00C54EC9">
          <w:noBreakHyphen/>
        </w:r>
        <w:r w:rsidR="00EE4315">
          <w:t xml:space="preserve"> </w:t>
        </w:r>
        <w:r w:rsidR="00F92385">
          <w:fldChar w:fldCharType="begin"/>
        </w:r>
        <w:r w:rsidR="00F92385">
          <w:instrText xml:space="preserve"> PAGE   \* MERGEFORMAT </w:instrText>
        </w:r>
        <w:r w:rsidR="00F92385">
          <w:fldChar w:fldCharType="separate"/>
        </w:r>
        <w:r w:rsidR="00F92385">
          <w:rPr>
            <w:noProof/>
          </w:rPr>
          <w:t>2</w:t>
        </w:r>
        <w:r w:rsidR="00F92385">
          <w:rPr>
            <w:noProof/>
          </w:rPr>
          <w:fldChar w:fldCharType="end"/>
        </w:r>
      </w:sdtContent>
    </w:sdt>
    <w:r w:rsidR="00EE4315">
      <w:rPr>
        <w:noProof/>
      </w:rPr>
      <w:t xml:space="preserve"> </w:t>
    </w:r>
    <w:r w:rsidR="00C54EC9">
      <w:rPr>
        <w:noProof/>
      </w:rPr>
      <w:noBreak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5E7C" w14:textId="4B3B8804" w:rsidR="00E23CBB" w:rsidRDefault="00C54EC9" w:rsidP="00A7746B">
    <w:pPr>
      <w:spacing w:line="240" w:lineRule="auto"/>
      <w:ind w:firstLine="0"/>
      <w:jc w:val="center"/>
    </w:pPr>
    <w:r>
      <w:noBreakHyphen/>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Pr>
            <w:noProof/>
          </w:rPr>
          <w:noBreakHyphen/>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56DE6" w14:textId="5915EA64" w:rsidR="003A7129" w:rsidRDefault="003A7129" w:rsidP="00A7746B">
    <w:pPr>
      <w:spacing w:line="240" w:lineRule="auto"/>
      <w:ind w:firstLine="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1EC96" w14:textId="38CDF65D" w:rsidR="003A7129" w:rsidRDefault="003A7129" w:rsidP="00A7746B">
    <w:pPr>
      <w:spacing w:line="240" w:lineRule="auto"/>
      <w:ind w:firstLine="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92CD" w14:textId="5071272D" w:rsidR="003A7129" w:rsidRDefault="003A7129" w:rsidP="00A7746B">
    <w:pPr>
      <w:spacing w:line="240" w:lineRule="auto"/>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E3868" w14:textId="77777777" w:rsidR="00125782" w:rsidRDefault="00125782" w:rsidP="00DF58E7">
      <w:pPr>
        <w:spacing w:line="240" w:lineRule="auto"/>
        <w:ind w:firstLine="0"/>
      </w:pPr>
      <w:r>
        <w:separator/>
      </w:r>
    </w:p>
  </w:footnote>
  <w:footnote w:type="continuationSeparator" w:id="0">
    <w:p w14:paraId="5C6BC3E3" w14:textId="77777777" w:rsidR="00125782" w:rsidRDefault="00125782" w:rsidP="00DF58E7">
      <w:pPr>
        <w:spacing w:line="240" w:lineRule="auto"/>
        <w:ind w:firstLine="0"/>
      </w:pPr>
      <w:r>
        <w:continuationSeparator/>
      </w:r>
    </w:p>
  </w:footnote>
  <w:footnote w:type="continuationNotice" w:id="1">
    <w:p w14:paraId="0FEABD61" w14:textId="77777777" w:rsidR="00125782" w:rsidRPr="00DF58E7" w:rsidRDefault="00125782" w:rsidP="00DF58E7">
      <w:pPr>
        <w:spacing w:line="240" w:lineRule="auto"/>
        <w:ind w:firstLine="0"/>
        <w:jc w:val="right"/>
        <w:rPr>
          <w:i/>
          <w:sz w:val="22"/>
        </w:rPr>
      </w:pPr>
      <w:r w:rsidRPr="00DF58E7">
        <w:rPr>
          <w:i/>
          <w:sz w:val="22"/>
        </w:rPr>
        <w:t>Footnote continued on next page.</w:t>
      </w:r>
    </w:p>
  </w:footnote>
  <w:footnote w:id="2">
    <w:p w14:paraId="144CB0F6" w14:textId="12D71E01" w:rsidR="009A64DE" w:rsidRDefault="009A64DE">
      <w:pPr>
        <w:pStyle w:val="FootnoteText"/>
      </w:pPr>
      <w:r>
        <w:rPr>
          <w:rStyle w:val="FootnoteReference"/>
        </w:rPr>
        <w:footnoteRef/>
      </w:r>
      <w:r>
        <w:t xml:space="preserve"> </w:t>
      </w:r>
      <w:r w:rsidR="00485DB0">
        <w:t>Pub. Util.</w:t>
      </w:r>
      <w:r w:rsidRPr="009A64DE">
        <w:t xml:space="preserve"> Code </w:t>
      </w:r>
      <w:r w:rsidR="002F23D7">
        <w:t>§ </w:t>
      </w:r>
      <w:r w:rsidRPr="009A64DE">
        <w:t>2827.1(b)(1).</w:t>
      </w:r>
    </w:p>
  </w:footnote>
  <w:footnote w:id="3">
    <w:p w14:paraId="023A6F18" w14:textId="4976B04B" w:rsidR="009A64DE" w:rsidRDefault="009A64DE">
      <w:pPr>
        <w:pStyle w:val="FootnoteText"/>
      </w:pPr>
      <w:r>
        <w:rPr>
          <w:rStyle w:val="FootnoteReference"/>
        </w:rPr>
        <w:footnoteRef/>
      </w:r>
      <w:r>
        <w:t xml:space="preserve"> </w:t>
      </w:r>
      <w:r w:rsidRPr="009A64DE">
        <w:t>D.18</w:t>
      </w:r>
      <w:r w:rsidR="00C54EC9">
        <w:noBreakHyphen/>
      </w:r>
      <w:r w:rsidRPr="009A64DE">
        <w:t>06</w:t>
      </w:r>
      <w:r w:rsidR="00C54EC9">
        <w:noBreakHyphen/>
      </w:r>
      <w:r w:rsidRPr="009A64DE">
        <w:t>027</w:t>
      </w:r>
      <w:r w:rsidR="00306EBE">
        <w:t xml:space="preserve"> at </w:t>
      </w:r>
      <w:r w:rsidRPr="009A64DE">
        <w:t>31.</w:t>
      </w:r>
    </w:p>
  </w:footnote>
  <w:footnote w:id="4">
    <w:p w14:paraId="46AD5322" w14:textId="35D423B5" w:rsidR="009A64DE" w:rsidRDefault="009A64DE">
      <w:pPr>
        <w:pStyle w:val="FootnoteText"/>
      </w:pPr>
      <w:r>
        <w:rPr>
          <w:rStyle w:val="FootnoteReference"/>
        </w:rPr>
        <w:footnoteRef/>
      </w:r>
      <w:r>
        <w:t xml:space="preserve"> </w:t>
      </w:r>
      <w:r w:rsidR="0002587E" w:rsidRPr="0002587E">
        <w:rPr>
          <w:i/>
          <w:iCs/>
        </w:rPr>
        <w:t>Id.</w:t>
      </w:r>
      <w:r w:rsidR="00306EBE">
        <w:t xml:space="preserve"> at </w:t>
      </w:r>
      <w:r w:rsidRPr="009A64DE">
        <w:t xml:space="preserve">31 and Conclusion </w:t>
      </w:r>
      <w:r w:rsidR="00F43BC7">
        <w:t>of Law </w:t>
      </w:r>
      <w:r w:rsidRPr="009A64DE">
        <w:t>14.</w:t>
      </w:r>
    </w:p>
  </w:footnote>
  <w:footnote w:id="5">
    <w:p w14:paraId="1EEF1F02" w14:textId="4B2DCEBC" w:rsidR="005F00A9" w:rsidRDefault="005F00A9">
      <w:pPr>
        <w:pStyle w:val="FootnoteText"/>
      </w:pPr>
      <w:r>
        <w:rPr>
          <w:rStyle w:val="FootnoteReference"/>
        </w:rPr>
        <w:footnoteRef/>
      </w:r>
      <w:r>
        <w:t xml:space="preserve"> D.18</w:t>
      </w:r>
      <w:r w:rsidR="00C54EC9">
        <w:noBreakHyphen/>
      </w:r>
      <w:r>
        <w:t>06</w:t>
      </w:r>
      <w:r w:rsidR="00C54EC9">
        <w:noBreakHyphen/>
      </w:r>
      <w:r>
        <w:t xml:space="preserve">027 at </w:t>
      </w:r>
      <w:r w:rsidR="005D0B95">
        <w:t>Ordering Paragraph 8</w:t>
      </w:r>
      <w:r>
        <w:t>.</w:t>
      </w:r>
    </w:p>
  </w:footnote>
  <w:footnote w:id="6">
    <w:p w14:paraId="4281E1EF" w14:textId="4AAA6CE0"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53</w:t>
      </w:r>
      <w:r w:rsidR="00C54EC9">
        <w:noBreakHyphen/>
      </w:r>
      <w:r>
        <w:t>54.</w:t>
      </w:r>
    </w:p>
  </w:footnote>
  <w:footnote w:id="7">
    <w:p w14:paraId="0BC56472" w14:textId="08866DE2"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31 and 52, Evergreen Economics Process and Load Impact Evaluation of the Disadvantaged Communities</w:t>
      </w:r>
      <w:r w:rsidR="00C54EC9">
        <w:noBreakHyphen/>
      </w:r>
      <w:r>
        <w:t>Single</w:t>
      </w:r>
      <w:r w:rsidR="00C54EC9">
        <w:noBreakHyphen/>
      </w:r>
      <w:r>
        <w:t>Family Affordable Solar Housing Program at 1.</w:t>
      </w:r>
    </w:p>
  </w:footnote>
  <w:footnote w:id="8">
    <w:p w14:paraId="2EAB1BFE" w14:textId="0077D0B9" w:rsidR="00A336E0" w:rsidRDefault="00A336E0" w:rsidP="00A336E0">
      <w:pPr>
        <w:pStyle w:val="FootnoteText"/>
      </w:pPr>
      <w:r>
        <w:rPr>
          <w:rStyle w:val="FootnoteReference"/>
        </w:rPr>
        <w:footnoteRef/>
      </w:r>
      <w:r>
        <w:t xml:space="preserve"> Verdant DAC</w:t>
      </w:r>
      <w:r w:rsidR="00C54EC9">
        <w:noBreakHyphen/>
      </w:r>
      <w:r>
        <w:t>SASH 2022</w:t>
      </w:r>
      <w:r w:rsidR="00C54EC9">
        <w:noBreakHyphen/>
      </w:r>
      <w:r>
        <w:t>2024 Evaluation Report at 77 as entered in the record of R</w:t>
      </w:r>
      <w:r w:rsidR="00820180">
        <w:t>ulemaking (R</w:t>
      </w:r>
      <w:r>
        <w:t>.</w:t>
      </w:r>
      <w:r w:rsidR="00820180">
        <w:t>) </w:t>
      </w:r>
      <w:r>
        <w:t>21</w:t>
      </w:r>
      <w:r w:rsidR="00C54EC9">
        <w:noBreakHyphen/>
      </w:r>
      <w:r>
        <w:t>06</w:t>
      </w:r>
      <w:r w:rsidR="00C54EC9">
        <w:noBreakHyphen/>
      </w:r>
      <w:r>
        <w:t>017 by the June</w:t>
      </w:r>
      <w:r w:rsidR="00820180">
        <w:t> </w:t>
      </w:r>
      <w:r>
        <w:t>26, 2026 ALJ Ruling Providing Notice and Opportunity on Taking Official Notice.</w:t>
      </w:r>
    </w:p>
  </w:footnote>
  <w:footnote w:id="9">
    <w:p w14:paraId="7665A531" w14:textId="1E921C09" w:rsidR="00DE40F6" w:rsidRDefault="00DE40F6">
      <w:pPr>
        <w:pStyle w:val="FootnoteText"/>
      </w:pPr>
      <w:r>
        <w:rPr>
          <w:rStyle w:val="FootnoteReference"/>
        </w:rPr>
        <w:footnoteRef/>
      </w:r>
      <w:r>
        <w:t xml:space="preserve"> Verdant, DAC</w:t>
      </w:r>
      <w:r w:rsidR="00C54EC9">
        <w:noBreakHyphen/>
      </w:r>
      <w:r>
        <w:t>SASH 2022</w:t>
      </w:r>
      <w:r w:rsidR="00C54EC9">
        <w:noBreakHyphen/>
      </w:r>
      <w:r>
        <w:t>2024 Evaluation Report</w:t>
      </w:r>
      <w:r w:rsidR="00306EBE">
        <w:t xml:space="preserve"> at </w:t>
      </w:r>
      <w:r>
        <w:t>1.</w:t>
      </w:r>
    </w:p>
  </w:footnote>
  <w:footnote w:id="10">
    <w:p w14:paraId="536663A9" w14:textId="3F852672" w:rsidR="00DE40F6" w:rsidRDefault="00DE40F6">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 at A</w:t>
      </w:r>
      <w:r w:rsidR="00C54EC9">
        <w:noBreakHyphen/>
      </w:r>
      <w:r>
        <w:t>4.</w:t>
      </w:r>
    </w:p>
  </w:footnote>
  <w:footnote w:id="11">
    <w:p w14:paraId="7313F5ED" w14:textId="64DF5D04" w:rsidR="006E2EF9" w:rsidRDefault="006E2EF9">
      <w:pPr>
        <w:pStyle w:val="FootnoteText"/>
      </w:pPr>
      <w:r>
        <w:rPr>
          <w:rStyle w:val="FootnoteReference"/>
        </w:rPr>
        <w:footnoteRef/>
      </w:r>
      <w:r>
        <w:t xml:space="preserve"> CALSSA Opening Comments on </w:t>
      </w:r>
      <w:r w:rsidR="008230EB">
        <w:t>January </w:t>
      </w:r>
      <w:r>
        <w:t>26 Ruling</w:t>
      </w:r>
      <w:r w:rsidR="00306EBE">
        <w:t xml:space="preserve"> at </w:t>
      </w:r>
      <w:r>
        <w:t>1</w:t>
      </w:r>
      <w:r w:rsidR="00C54EC9">
        <w:noBreakHyphen/>
      </w:r>
      <w:r>
        <w:t xml:space="preserve">2, CEJA and CBD Reply Comments on </w:t>
      </w:r>
      <w:r w:rsidR="008230EB">
        <w:t>January </w:t>
      </w:r>
      <w:r>
        <w:t>26 Ruling</w:t>
      </w:r>
      <w:r w:rsidR="00306EBE">
        <w:t xml:space="preserve"> at </w:t>
      </w:r>
      <w:r>
        <w:t>2</w:t>
      </w:r>
      <w:r w:rsidR="00C54EC9">
        <w:noBreakHyphen/>
      </w:r>
      <w:r>
        <w:t xml:space="preserve">6, SEIA Opening Comments on </w:t>
      </w:r>
      <w:r w:rsidR="008230EB">
        <w:t>January </w:t>
      </w:r>
      <w:r>
        <w:t>26 Ruling</w:t>
      </w:r>
      <w:r w:rsidR="00306EBE">
        <w:t xml:space="preserve"> at </w:t>
      </w:r>
      <w:r>
        <w:t>2</w:t>
      </w:r>
      <w:r w:rsidR="00C54EC9">
        <w:noBreakHyphen/>
      </w:r>
      <w:r>
        <w:t xml:space="preserve">4, GRID Opening Comments on </w:t>
      </w:r>
      <w:r w:rsidR="008230EB">
        <w:t>January </w:t>
      </w:r>
      <w:r>
        <w:t>26 Ruling</w:t>
      </w:r>
      <w:r w:rsidR="00306EBE">
        <w:t xml:space="preserve"> at </w:t>
      </w:r>
      <w:r>
        <w:t>1</w:t>
      </w:r>
      <w:r w:rsidR="00C54EC9">
        <w:noBreakHyphen/>
      </w:r>
      <w:r>
        <w:t xml:space="preserve">5, Sunrun Reply Comments on </w:t>
      </w:r>
      <w:r w:rsidR="008230EB">
        <w:t>January </w:t>
      </w:r>
      <w:r>
        <w:t>26 Ruling</w:t>
      </w:r>
      <w:r w:rsidR="00306EBE">
        <w:t xml:space="preserve"> at </w:t>
      </w:r>
      <w:r>
        <w:t>2</w:t>
      </w:r>
      <w:r w:rsidR="00C54EC9">
        <w:noBreakHyphen/>
      </w:r>
      <w:r>
        <w:t xml:space="preserve">3, TEA Reply Comments on </w:t>
      </w:r>
      <w:r w:rsidR="008230EB">
        <w:t>January </w:t>
      </w:r>
      <w:r>
        <w:t>26 Ruling</w:t>
      </w:r>
      <w:r w:rsidR="00306EBE">
        <w:t xml:space="preserve"> at </w:t>
      </w:r>
      <w:r>
        <w:t>2</w:t>
      </w:r>
      <w:r w:rsidR="00C54EC9">
        <w:noBreakHyphen/>
      </w:r>
      <w:r>
        <w:t xml:space="preserve">3, </w:t>
      </w:r>
      <w:r w:rsidR="001C374A">
        <w:t xml:space="preserve">Vote Solar Reply Comments on </w:t>
      </w:r>
      <w:r w:rsidR="008230EB">
        <w:t>January </w:t>
      </w:r>
      <w:r w:rsidR="001C374A">
        <w:t>26 Ruling</w:t>
      </w:r>
      <w:r w:rsidR="00306EBE">
        <w:t xml:space="preserve"> at </w:t>
      </w:r>
      <w:r w:rsidR="001C374A">
        <w:t>1</w:t>
      </w:r>
      <w:r w:rsidR="00C54EC9">
        <w:noBreakHyphen/>
      </w:r>
      <w:r w:rsidR="001C374A">
        <w:t xml:space="preserve">2, SCE Reply Comments on </w:t>
      </w:r>
      <w:r w:rsidR="008230EB">
        <w:t>January </w:t>
      </w:r>
      <w:r w:rsidR="001C374A">
        <w:t>26 Ruling</w:t>
      </w:r>
      <w:r w:rsidR="00306EBE">
        <w:t xml:space="preserve"> at </w:t>
      </w:r>
      <w:r w:rsidR="001C374A">
        <w:t>2</w:t>
      </w:r>
      <w:r w:rsidR="00C54EC9">
        <w:noBreakHyphen/>
      </w:r>
      <w:r w:rsidR="001C374A">
        <w:t xml:space="preserve">3, Energy Coalition Reply Comments on </w:t>
      </w:r>
      <w:r w:rsidR="008230EB">
        <w:t>January </w:t>
      </w:r>
      <w:r w:rsidR="001C374A">
        <w:t>26 Ruling</w:t>
      </w:r>
      <w:r w:rsidR="00306EBE">
        <w:t xml:space="preserve"> at </w:t>
      </w:r>
      <w:r w:rsidR="001C374A">
        <w:t>1</w:t>
      </w:r>
      <w:r w:rsidR="00C54EC9">
        <w:noBreakHyphen/>
      </w:r>
      <w:r w:rsidR="001C374A">
        <w:t xml:space="preserve">2, CEJA and CBD Reply Comments on </w:t>
      </w:r>
      <w:r w:rsidR="008230EB">
        <w:t>January </w:t>
      </w:r>
      <w:r w:rsidR="001C374A">
        <w:t>26 Ruling</w:t>
      </w:r>
      <w:r w:rsidR="00306EBE">
        <w:t xml:space="preserve"> at </w:t>
      </w:r>
      <w:r w:rsidR="001C374A">
        <w:t>2</w:t>
      </w:r>
      <w:r w:rsidR="00C54EC9">
        <w:noBreakHyphen/>
      </w:r>
      <w:r w:rsidR="001C374A">
        <w:t xml:space="preserve">6, </w:t>
      </w:r>
      <w:r w:rsidR="00D76BA0">
        <w:t xml:space="preserve">GRID Reply Comments on </w:t>
      </w:r>
      <w:r w:rsidR="008230EB">
        <w:t>January </w:t>
      </w:r>
      <w:r w:rsidR="00D76BA0">
        <w:t>26 Ruling</w:t>
      </w:r>
      <w:r w:rsidR="00306EBE">
        <w:t xml:space="preserve"> at </w:t>
      </w:r>
      <w:r w:rsidR="00D76BA0">
        <w:t>1</w:t>
      </w:r>
      <w:r w:rsidR="00C54EC9">
        <w:noBreakHyphen/>
      </w:r>
      <w:r w:rsidR="00D76BA0">
        <w:t>3.</w:t>
      </w:r>
    </w:p>
  </w:footnote>
  <w:footnote w:id="12">
    <w:p w14:paraId="1980EC81" w14:textId="3923B662" w:rsidR="00B41B14" w:rsidRDefault="00B41B14">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w:t>
      </w:r>
      <w:r w:rsidR="00306EBE">
        <w:t xml:space="preserve"> at A</w:t>
      </w:r>
      <w:r w:rsidR="00C54EC9">
        <w:noBreakHyphen/>
      </w:r>
      <w:r>
        <w:t>5 to A</w:t>
      </w:r>
      <w:r w:rsidR="00C54EC9">
        <w:noBreakHyphen/>
      </w:r>
      <w:r>
        <w:t>6.</w:t>
      </w:r>
    </w:p>
  </w:footnote>
  <w:footnote w:id="13">
    <w:p w14:paraId="60833ABB" w14:textId="0FA8828B" w:rsidR="00B41B14" w:rsidRDefault="00B41B14">
      <w:pPr>
        <w:pStyle w:val="FootnoteText"/>
      </w:pPr>
      <w:r>
        <w:rPr>
          <w:rStyle w:val="FootnoteReference"/>
        </w:rPr>
        <w:footnoteRef/>
      </w:r>
      <w:r>
        <w:t xml:space="preserve"> </w:t>
      </w:r>
      <w:r w:rsidR="0002587E" w:rsidRPr="0002587E">
        <w:rPr>
          <w:i/>
          <w:iCs/>
        </w:rPr>
        <w:t>Id.</w:t>
      </w:r>
      <w:r w:rsidR="00306EBE">
        <w:t xml:space="preserve"> at A</w:t>
      </w:r>
      <w:r w:rsidR="00C54EC9">
        <w:noBreakHyphen/>
      </w:r>
      <w:r>
        <w:t>6.</w:t>
      </w:r>
    </w:p>
  </w:footnote>
  <w:footnote w:id="14">
    <w:p w14:paraId="6A108EF9" w14:textId="06EDE439" w:rsidR="00FA5B1D" w:rsidRDefault="00FA5B1D">
      <w:pPr>
        <w:pStyle w:val="FootnoteText"/>
      </w:pPr>
      <w:r>
        <w:rPr>
          <w:rStyle w:val="FootnoteReference"/>
        </w:rPr>
        <w:footnoteRef/>
      </w:r>
      <w:r>
        <w:t xml:space="preserve"> GRID Opening Comments to </w:t>
      </w:r>
      <w:r w:rsidR="008230EB">
        <w:t>January </w:t>
      </w:r>
      <w:r>
        <w:t>26 Ruling</w:t>
      </w:r>
      <w:r w:rsidR="00306EBE">
        <w:t xml:space="preserve"> at </w:t>
      </w:r>
      <w:r>
        <w:t>6</w:t>
      </w:r>
      <w:r w:rsidR="009977E4">
        <w:t>.</w:t>
      </w:r>
    </w:p>
  </w:footnote>
  <w:footnote w:id="15">
    <w:p w14:paraId="78EBD7DF" w14:textId="055082FB" w:rsidR="009977E4" w:rsidRDefault="009977E4">
      <w:pPr>
        <w:pStyle w:val="FootnoteText"/>
      </w:pPr>
      <w:r>
        <w:rPr>
          <w:rStyle w:val="FootnoteReference"/>
        </w:rPr>
        <w:footnoteRef/>
      </w:r>
      <w:r>
        <w:t xml:space="preserve"> </w:t>
      </w:r>
      <w:r w:rsidR="00736D0F">
        <w:t>Verdant</w:t>
      </w:r>
      <w:r>
        <w:t xml:space="preserve"> DAC</w:t>
      </w:r>
      <w:r w:rsidR="00C54EC9">
        <w:noBreakHyphen/>
      </w:r>
      <w:r>
        <w:t>SASH 2022</w:t>
      </w:r>
      <w:r w:rsidR="00C54EC9">
        <w:noBreakHyphen/>
      </w:r>
      <w:r>
        <w:t xml:space="preserve">2024 Evaluation Report </w:t>
      </w:r>
      <w:r w:rsidR="00306EBE">
        <w:t>at f</w:t>
      </w:r>
      <w:r>
        <w:t>ootnote</w:t>
      </w:r>
      <w:r w:rsidR="00306EBE">
        <w:t> </w:t>
      </w:r>
      <w:r>
        <w:t>41.</w:t>
      </w:r>
    </w:p>
  </w:footnote>
  <w:footnote w:id="16">
    <w:p w14:paraId="40044355" w14:textId="77777777" w:rsidR="00206048" w:rsidRDefault="00206048" w:rsidP="00206048">
      <w:pPr>
        <w:pStyle w:val="FootnoteText"/>
      </w:pPr>
      <w:r>
        <w:rPr>
          <w:rStyle w:val="FootnoteReference"/>
        </w:rPr>
        <w:footnoteRef/>
      </w:r>
      <w:r>
        <w:t xml:space="preserve"> PG&amp;E Opening Comments on January 26 Ruling at 3.</w:t>
      </w:r>
    </w:p>
  </w:footnote>
  <w:footnote w:id="17">
    <w:p w14:paraId="7D712364" w14:textId="27053BD6" w:rsidR="00206048" w:rsidRPr="000E46F2" w:rsidRDefault="00206048">
      <w:pPr>
        <w:pStyle w:val="FootnoteText"/>
      </w:pPr>
      <w:r>
        <w:rPr>
          <w:rStyle w:val="FootnoteReference"/>
        </w:rPr>
        <w:footnoteRef/>
      </w:r>
      <w:r w:rsidRPr="000E46F2">
        <w:t xml:space="preserve"> </w:t>
      </w:r>
      <w:r w:rsidR="000E46F2" w:rsidRPr="000E46F2">
        <w:t xml:space="preserve">PG&amp;E </w:t>
      </w:r>
      <w:r w:rsidR="00F43BC7">
        <w:t>Advice Letter (</w:t>
      </w:r>
      <w:r w:rsidR="000E46F2" w:rsidRPr="000E46F2">
        <w:t>AL</w:t>
      </w:r>
      <w:r w:rsidR="00F43BC7">
        <w:t>) </w:t>
      </w:r>
      <w:r w:rsidR="000E46F2" w:rsidRPr="000E46F2">
        <w:t>6044</w:t>
      </w:r>
      <w:r w:rsidR="00C54EC9">
        <w:noBreakHyphen/>
      </w:r>
      <w:r w:rsidR="000E46F2" w:rsidRPr="000E46F2">
        <w:t xml:space="preserve">E, </w:t>
      </w:r>
      <w:r w:rsidR="00F43BC7">
        <w:t>AL </w:t>
      </w:r>
      <w:r w:rsidR="000E46F2" w:rsidRPr="000E46F2">
        <w:t>6491</w:t>
      </w:r>
      <w:r w:rsidR="00C54EC9">
        <w:noBreakHyphen/>
      </w:r>
      <w:r w:rsidR="000E46F2" w:rsidRPr="000E46F2">
        <w:t xml:space="preserve">E, </w:t>
      </w:r>
      <w:r w:rsidR="00F43BC7">
        <w:t>AL </w:t>
      </w:r>
      <w:r w:rsidR="000E46F2" w:rsidRPr="000E46F2">
        <w:t>6853</w:t>
      </w:r>
      <w:r w:rsidR="00C54EC9">
        <w:noBreakHyphen/>
      </w:r>
      <w:r w:rsidR="000E46F2" w:rsidRPr="000E46F2">
        <w:t xml:space="preserve">E, </w:t>
      </w:r>
      <w:r w:rsidR="00F43BC7">
        <w:t>AL </w:t>
      </w:r>
      <w:r w:rsidR="000E46F2" w:rsidRPr="000E46F2">
        <w:t>7164</w:t>
      </w:r>
      <w:r w:rsidR="00C54EC9">
        <w:noBreakHyphen/>
      </w:r>
      <w:r w:rsidR="000E46F2" w:rsidRPr="000E46F2">
        <w:t xml:space="preserve">E, </w:t>
      </w:r>
      <w:r w:rsidR="00F43BC7">
        <w:t>AL </w:t>
      </w:r>
      <w:r w:rsidR="000E46F2" w:rsidRPr="000E46F2">
        <w:t>7502</w:t>
      </w:r>
      <w:r w:rsidR="00C54EC9">
        <w:noBreakHyphen/>
      </w:r>
      <w:r w:rsidR="000E46F2" w:rsidRPr="000E46F2">
        <w:t xml:space="preserve">E, </w:t>
      </w:r>
      <w:r w:rsidR="000E46F2">
        <w:t xml:space="preserve">and </w:t>
      </w:r>
      <w:r w:rsidR="00F43BC7">
        <w:t>AL </w:t>
      </w:r>
      <w:r w:rsidR="000E46F2" w:rsidRPr="000E46F2">
        <w:t>7828</w:t>
      </w:r>
      <w:r w:rsidR="00C54EC9">
        <w:noBreakHyphen/>
      </w:r>
      <w:r w:rsidR="000E46F2" w:rsidRPr="000E46F2">
        <w:t>E</w:t>
      </w:r>
      <w:r w:rsidR="000E46F2">
        <w:t>;</w:t>
      </w:r>
      <w:r w:rsidR="000E46F2" w:rsidRPr="000E46F2">
        <w:t xml:space="preserve"> PG&amp;E 2023 ERRA Compliance Prepared Testimony, </w:t>
      </w:r>
      <w:r w:rsidR="00F43BC7">
        <w:t>Chapter </w:t>
      </w:r>
      <w:r w:rsidR="000E46F2" w:rsidRPr="000E46F2">
        <w:t>15, DACSASHBA,</w:t>
      </w:r>
      <w:r w:rsidR="003F74E9">
        <w:t xml:space="preserve"> at </w:t>
      </w:r>
      <w:r w:rsidR="000E46F2" w:rsidRPr="000E46F2">
        <w:t>15</w:t>
      </w:r>
      <w:r w:rsidR="00C54EC9">
        <w:noBreakHyphen/>
      </w:r>
      <w:r w:rsidR="000E46F2" w:rsidRPr="000E46F2">
        <w:t>2 to 15</w:t>
      </w:r>
      <w:r w:rsidR="00C54EC9">
        <w:noBreakHyphen/>
      </w:r>
      <w:r w:rsidR="000E46F2" w:rsidRPr="000E46F2">
        <w:t xml:space="preserve">3; </w:t>
      </w:r>
      <w:r w:rsidR="000E46F2">
        <w:t>D.25</w:t>
      </w:r>
      <w:r w:rsidR="00C54EC9">
        <w:noBreakHyphen/>
      </w:r>
      <w:r w:rsidR="000E46F2">
        <w:t>06</w:t>
      </w:r>
      <w:r w:rsidR="00C54EC9">
        <w:noBreakHyphen/>
      </w:r>
      <w:r w:rsidR="000E46F2">
        <w:t xml:space="preserve">007 </w:t>
      </w:r>
      <w:r w:rsidR="000E46F2" w:rsidRPr="000E46F2">
        <w:t>Conclusion of Law</w:t>
      </w:r>
      <w:r w:rsidR="00F43BC7">
        <w:t> </w:t>
      </w:r>
      <w:r w:rsidR="000E46F2" w:rsidRPr="000E46F2">
        <w:t xml:space="preserve">14 and </w:t>
      </w:r>
      <w:r w:rsidR="005D0B95">
        <w:t>Ordering Paragraph 4</w:t>
      </w:r>
      <w:r w:rsidR="00A450B1" w:rsidRPr="000E46F2">
        <w:t>.</w:t>
      </w:r>
    </w:p>
  </w:footnote>
  <w:footnote w:id="18">
    <w:p w14:paraId="10F8AE84" w14:textId="44676C23" w:rsidR="007A54E4" w:rsidRDefault="007A54E4">
      <w:pPr>
        <w:pStyle w:val="FootnoteText"/>
      </w:pPr>
      <w:r>
        <w:rPr>
          <w:rStyle w:val="FootnoteReference"/>
        </w:rPr>
        <w:footnoteRef/>
      </w:r>
      <w:r>
        <w:t xml:space="preserve"> PG&amp;E Opening Comments on </w:t>
      </w:r>
      <w:r w:rsidR="008230EB">
        <w:t>January </w:t>
      </w:r>
      <w:r>
        <w:t>26 Ruling</w:t>
      </w:r>
      <w:r w:rsidR="00306EBE">
        <w:t xml:space="preserve"> at </w:t>
      </w:r>
      <w:r>
        <w:t>3.</w:t>
      </w:r>
    </w:p>
  </w:footnote>
  <w:footnote w:id="19">
    <w:p w14:paraId="4BD3ADC7" w14:textId="4CD1E5A3" w:rsidR="00206048" w:rsidRDefault="00206048" w:rsidP="00206048">
      <w:pPr>
        <w:pStyle w:val="FootnoteText"/>
      </w:pPr>
      <w:r>
        <w:rPr>
          <w:rStyle w:val="FootnoteReference"/>
        </w:rPr>
        <w:footnoteRef/>
      </w:r>
      <w:r>
        <w:t xml:space="preserve"> SCE Opening Comments on January 26 Ruling at 2</w:t>
      </w:r>
      <w:r w:rsidR="00C54EC9">
        <w:noBreakHyphen/>
      </w:r>
      <w:r>
        <w:t>3, SCE Reply Comments on January 26 Ruling at 3.</w:t>
      </w:r>
    </w:p>
  </w:footnote>
  <w:footnote w:id="20">
    <w:p w14:paraId="0DB93DE9" w14:textId="57D6DE82" w:rsidR="006C5220" w:rsidRPr="000E46F2" w:rsidRDefault="006C5220">
      <w:pPr>
        <w:pStyle w:val="FootnoteText"/>
        <w:rPr>
          <w:lang w:val="es-MX"/>
        </w:rPr>
      </w:pPr>
      <w:r>
        <w:rPr>
          <w:rStyle w:val="FootnoteReference"/>
        </w:rPr>
        <w:footnoteRef/>
      </w:r>
      <w:r w:rsidRPr="000E46F2">
        <w:t xml:space="preserve"> </w:t>
      </w:r>
      <w:r w:rsidR="00D7707F">
        <w:t>Ex. </w:t>
      </w:r>
      <w:r w:rsidR="000E46F2" w:rsidRPr="000E46F2">
        <w:t>SCE</w:t>
      </w:r>
      <w:r w:rsidR="00C54EC9">
        <w:noBreakHyphen/>
      </w:r>
      <w:r w:rsidR="000E46F2" w:rsidRPr="000E46F2">
        <w:t>02, Testimony of S</w:t>
      </w:r>
      <w:r w:rsidR="000E46F2">
        <w:t>CE</w:t>
      </w:r>
      <w:r w:rsidR="000E46F2" w:rsidRPr="000E46F2">
        <w:t xml:space="preserve"> in Support of its ERRA Review of Operations, 2021, </w:t>
      </w:r>
      <w:r w:rsidR="00A50F34">
        <w:t>Chapter </w:t>
      </w:r>
      <w:r w:rsidR="000E46F2" w:rsidRPr="000E46F2">
        <w:t xml:space="preserve">IV, </w:t>
      </w:r>
      <w:r w:rsidR="00D30E2F">
        <w:t>§ </w:t>
      </w:r>
      <w:r w:rsidR="000E46F2" w:rsidRPr="000E46F2">
        <w:t>12, DACSASHBA</w:t>
      </w:r>
      <w:r w:rsidR="003F74E9">
        <w:t xml:space="preserve"> at </w:t>
      </w:r>
      <w:r w:rsidR="000E46F2" w:rsidRPr="000E46F2">
        <w:t>117</w:t>
      </w:r>
      <w:r w:rsidR="00C54EC9">
        <w:noBreakHyphen/>
      </w:r>
      <w:r w:rsidR="000E46F2" w:rsidRPr="000E46F2">
        <w:t xml:space="preserve">121; </w:t>
      </w:r>
      <w:r w:rsidR="00A50F34">
        <w:t>Ex. </w:t>
      </w:r>
      <w:r w:rsidR="000E46F2" w:rsidRPr="000E46F2">
        <w:t>SCE</w:t>
      </w:r>
      <w:r w:rsidR="00C54EC9">
        <w:noBreakHyphen/>
      </w:r>
      <w:r w:rsidR="000E46F2" w:rsidRPr="000E46F2">
        <w:t xml:space="preserve">02, Testimony of </w:t>
      </w:r>
      <w:r w:rsidR="000E46F2">
        <w:t xml:space="preserve">SCE </w:t>
      </w:r>
      <w:r w:rsidR="000E46F2" w:rsidRPr="000E46F2">
        <w:t xml:space="preserve">in Support of its </w:t>
      </w:r>
      <w:r w:rsidR="000E46F2">
        <w:t>ER</w:t>
      </w:r>
      <w:r w:rsidR="000E46F2" w:rsidRPr="000E46F2">
        <w:t xml:space="preserve">RA Review of Operations, 2022, </w:t>
      </w:r>
      <w:r w:rsidR="00A50F34">
        <w:t>Chapter </w:t>
      </w:r>
      <w:r w:rsidR="000E46F2" w:rsidRPr="000E46F2">
        <w:t xml:space="preserve">IV, </w:t>
      </w:r>
      <w:r w:rsidR="00D30E2F">
        <w:t>§ </w:t>
      </w:r>
      <w:r w:rsidR="000E46F2" w:rsidRPr="000E46F2">
        <w:t>12, DACSASHBA</w:t>
      </w:r>
      <w:r w:rsidR="003F74E9">
        <w:t xml:space="preserve"> at </w:t>
      </w:r>
      <w:r w:rsidR="000E46F2" w:rsidRPr="000E46F2">
        <w:t>123</w:t>
      </w:r>
      <w:r w:rsidR="00C54EC9">
        <w:noBreakHyphen/>
      </w:r>
      <w:r w:rsidR="000E46F2" w:rsidRPr="000E46F2">
        <w:t>127</w:t>
      </w:r>
      <w:r w:rsidR="000E46F2">
        <w:t xml:space="preserve">; </w:t>
      </w:r>
      <w:r w:rsidR="000E46F2" w:rsidRPr="000E46F2">
        <w:t xml:space="preserve">SCE 2023 ERRA Compliance Application, </w:t>
      </w:r>
      <w:r w:rsidR="00D7707F">
        <w:t>Ex. </w:t>
      </w:r>
      <w:r w:rsidR="000E46F2" w:rsidRPr="000E46F2">
        <w:t>SCE</w:t>
      </w:r>
      <w:r w:rsidR="00C54EC9">
        <w:noBreakHyphen/>
      </w:r>
      <w:r w:rsidR="000E46F2" w:rsidRPr="000E46F2">
        <w:t xml:space="preserve">02, </w:t>
      </w:r>
      <w:r w:rsidR="00F43BC7">
        <w:t>Chapter </w:t>
      </w:r>
      <w:r w:rsidR="000E46F2" w:rsidRPr="000E46F2">
        <w:t xml:space="preserve">IV, DACSASHBA; SCE 2024 ERRA Compliance Application, </w:t>
      </w:r>
      <w:r w:rsidR="00D7707F">
        <w:t>Ex. </w:t>
      </w:r>
      <w:r w:rsidR="000E46F2" w:rsidRPr="000E46F2">
        <w:t>SCE</w:t>
      </w:r>
      <w:r w:rsidR="00C54EC9">
        <w:noBreakHyphen/>
      </w:r>
      <w:r w:rsidR="000E46F2" w:rsidRPr="000E46F2">
        <w:t xml:space="preserve">02, </w:t>
      </w:r>
      <w:r w:rsidR="00F43BC7">
        <w:t>Chapter </w:t>
      </w:r>
      <w:r w:rsidR="000E46F2" w:rsidRPr="000E46F2">
        <w:t xml:space="preserve">IV, DACSASHBA. </w:t>
      </w:r>
      <w:r w:rsidR="000E46F2" w:rsidRPr="00A50F34">
        <w:rPr>
          <w:i/>
          <w:iCs/>
          <w:lang w:val="es-MX"/>
        </w:rPr>
        <w:t>See also</w:t>
      </w:r>
      <w:r w:rsidR="000E46F2" w:rsidRPr="000E46F2">
        <w:rPr>
          <w:lang w:val="es-MX"/>
        </w:rPr>
        <w:t xml:space="preserve"> SCE </w:t>
      </w:r>
      <w:r w:rsidR="00F43BC7">
        <w:rPr>
          <w:lang w:val="es-MX"/>
        </w:rPr>
        <w:t>AL </w:t>
      </w:r>
      <w:r w:rsidR="000E46F2" w:rsidRPr="000E46F2">
        <w:rPr>
          <w:lang w:val="es-MX"/>
        </w:rPr>
        <w:t>4731</w:t>
      </w:r>
      <w:r w:rsidR="00C54EC9">
        <w:rPr>
          <w:lang w:val="es-MX"/>
        </w:rPr>
        <w:noBreakHyphen/>
      </w:r>
      <w:r w:rsidR="000E46F2" w:rsidRPr="000E46F2">
        <w:rPr>
          <w:lang w:val="es-MX"/>
        </w:rPr>
        <w:t xml:space="preserve">E, </w:t>
      </w:r>
      <w:r w:rsidR="00F43BC7">
        <w:rPr>
          <w:lang w:val="es-MX"/>
        </w:rPr>
        <w:t>AL </w:t>
      </w:r>
      <w:r w:rsidR="000E46F2" w:rsidRPr="000E46F2">
        <w:rPr>
          <w:lang w:val="es-MX"/>
        </w:rPr>
        <w:t>4965</w:t>
      </w:r>
      <w:r w:rsidR="00C54EC9">
        <w:rPr>
          <w:lang w:val="es-MX"/>
        </w:rPr>
        <w:noBreakHyphen/>
      </w:r>
      <w:r w:rsidR="000E46F2" w:rsidRPr="000E46F2">
        <w:rPr>
          <w:lang w:val="es-MX"/>
        </w:rPr>
        <w:t xml:space="preserve">E, </w:t>
      </w:r>
      <w:r w:rsidR="00F43BC7">
        <w:rPr>
          <w:lang w:val="es-MX"/>
        </w:rPr>
        <w:t>AL </w:t>
      </w:r>
      <w:r w:rsidR="000E46F2" w:rsidRPr="000E46F2">
        <w:rPr>
          <w:lang w:val="es-MX"/>
        </w:rPr>
        <w:t>5220</w:t>
      </w:r>
      <w:r w:rsidR="00C54EC9">
        <w:rPr>
          <w:lang w:val="es-MX"/>
        </w:rPr>
        <w:noBreakHyphen/>
      </w:r>
      <w:r w:rsidR="000E46F2" w:rsidRPr="000E46F2">
        <w:rPr>
          <w:lang w:val="es-MX"/>
        </w:rPr>
        <w:t xml:space="preserve">E, and </w:t>
      </w:r>
      <w:r w:rsidR="00F43BC7">
        <w:rPr>
          <w:lang w:val="es-MX"/>
        </w:rPr>
        <w:t>AL </w:t>
      </w:r>
      <w:r w:rsidR="000E46F2" w:rsidRPr="000E46F2">
        <w:rPr>
          <w:lang w:val="es-MX"/>
        </w:rPr>
        <w:t>5473</w:t>
      </w:r>
      <w:r w:rsidR="00C54EC9">
        <w:rPr>
          <w:lang w:val="es-MX"/>
        </w:rPr>
        <w:noBreakHyphen/>
      </w:r>
      <w:r w:rsidR="000E46F2" w:rsidRPr="000E46F2">
        <w:rPr>
          <w:lang w:val="es-MX"/>
        </w:rPr>
        <w:t>E</w:t>
      </w:r>
      <w:r w:rsidR="000E46F2">
        <w:rPr>
          <w:lang w:val="es-MX"/>
        </w:rPr>
        <w:t>.</w:t>
      </w:r>
    </w:p>
  </w:footnote>
  <w:footnote w:id="21">
    <w:p w14:paraId="60F908A7" w14:textId="77777777" w:rsidR="006C5220" w:rsidRDefault="006C5220" w:rsidP="006C5220">
      <w:pPr>
        <w:pStyle w:val="FootnoteText"/>
      </w:pPr>
      <w:r>
        <w:rPr>
          <w:rStyle w:val="FootnoteReference"/>
        </w:rPr>
        <w:footnoteRef/>
      </w:r>
      <w:r>
        <w:t xml:space="preserve"> SDG&amp;E Opening Comments on January 26 Ruling at 3.</w:t>
      </w:r>
    </w:p>
  </w:footnote>
  <w:footnote w:id="22">
    <w:p w14:paraId="530D7B60" w14:textId="5C0ACD45" w:rsidR="006C5220" w:rsidRPr="00954166" w:rsidRDefault="006C5220">
      <w:pPr>
        <w:pStyle w:val="FootnoteText"/>
      </w:pPr>
      <w:r>
        <w:rPr>
          <w:rStyle w:val="FootnoteReference"/>
        </w:rPr>
        <w:footnoteRef/>
      </w:r>
      <w:r w:rsidRPr="00954166">
        <w:t xml:space="preserve"> </w:t>
      </w:r>
      <w:r w:rsidRPr="0017144D">
        <w:t>SDG&amp;E AL </w:t>
      </w:r>
      <w:r w:rsidR="00A450B1" w:rsidRPr="0017144D">
        <w:t>3947</w:t>
      </w:r>
      <w:r w:rsidR="00C54EC9">
        <w:noBreakHyphen/>
      </w:r>
      <w:r w:rsidRPr="0017144D">
        <w:t>E, AL 3856</w:t>
      </w:r>
      <w:r w:rsidR="00C54EC9">
        <w:noBreakHyphen/>
      </w:r>
      <w:r w:rsidRPr="0017144D">
        <w:t>E, AL 4160</w:t>
      </w:r>
      <w:r w:rsidR="00C54EC9">
        <w:noBreakHyphen/>
      </w:r>
      <w:r w:rsidRPr="0017144D">
        <w:t>E, AL 4381</w:t>
      </w:r>
      <w:r w:rsidR="00C54EC9">
        <w:noBreakHyphen/>
      </w:r>
      <w:r w:rsidRPr="0017144D">
        <w:t>E, AL 4603</w:t>
      </w:r>
      <w:r w:rsidR="00C54EC9">
        <w:noBreakHyphen/>
      </w:r>
      <w:r w:rsidRPr="0017144D">
        <w:t>E</w:t>
      </w:r>
      <w:r w:rsidR="00954166" w:rsidRPr="0017144D">
        <w:t>, 2021</w:t>
      </w:r>
      <w:r w:rsidR="00C54EC9">
        <w:noBreakHyphen/>
      </w:r>
      <w:r w:rsidR="00954166" w:rsidRPr="0017144D">
        <w:t>2025 ERRA DAC</w:t>
      </w:r>
      <w:r w:rsidR="00C54EC9">
        <w:noBreakHyphen/>
      </w:r>
      <w:r w:rsidR="00954166" w:rsidRPr="0017144D">
        <w:t>SASH Balancing Ac</w:t>
      </w:r>
      <w:r w:rsidR="00954166">
        <w:t>c</w:t>
      </w:r>
      <w:r w:rsidR="00954166" w:rsidRPr="0017144D">
        <w:t xml:space="preserve">ount schedules (including 2022 </w:t>
      </w:r>
      <w:r w:rsidR="00675D00">
        <w:t>Attachment </w:t>
      </w:r>
      <w:r w:rsidR="00954166" w:rsidRPr="0017144D">
        <w:t xml:space="preserve">N and 2023 </w:t>
      </w:r>
      <w:r w:rsidR="00675D00">
        <w:t>Attachment </w:t>
      </w:r>
      <w:r w:rsidR="00954166">
        <w:t>O)</w:t>
      </w:r>
      <w:r w:rsidRPr="0017144D">
        <w:t>.</w:t>
      </w:r>
    </w:p>
  </w:footnote>
  <w:footnote w:id="23">
    <w:p w14:paraId="2FC47757" w14:textId="1FFC4A79" w:rsidR="009977E4" w:rsidRDefault="009977E4">
      <w:pPr>
        <w:pStyle w:val="FootnoteText"/>
      </w:pPr>
      <w:r>
        <w:rPr>
          <w:rStyle w:val="FootnoteReference"/>
        </w:rPr>
        <w:footnoteRef/>
      </w:r>
      <w:r>
        <w:t xml:space="preserve"> SDG&amp;E Opening Comments on </w:t>
      </w:r>
      <w:r w:rsidR="008230EB">
        <w:t>January </w:t>
      </w:r>
      <w:r>
        <w:t>26 Ruling</w:t>
      </w:r>
      <w:r w:rsidR="00306EBE">
        <w:t xml:space="preserve"> at </w:t>
      </w:r>
      <w:r>
        <w:t>3.</w:t>
      </w:r>
    </w:p>
  </w:footnote>
  <w:footnote w:id="24">
    <w:p w14:paraId="105D3C42" w14:textId="622DD60A" w:rsidR="00FB30C2" w:rsidRDefault="00FB30C2">
      <w:pPr>
        <w:pStyle w:val="FootnoteText"/>
      </w:pPr>
      <w:r>
        <w:rPr>
          <w:rStyle w:val="FootnoteReference"/>
        </w:rPr>
        <w:footnoteRef/>
      </w:r>
      <w:r>
        <w:t xml:space="preserve"> PG&amp;E Opening Comments on </w:t>
      </w:r>
      <w:r w:rsidR="008230EB">
        <w:t>January </w:t>
      </w:r>
      <w:r>
        <w:t>26 Ruling</w:t>
      </w:r>
      <w:r w:rsidR="00306EBE">
        <w:t xml:space="preserve"> at </w:t>
      </w:r>
      <w:r w:rsidR="00FF3D0D">
        <w:t>2</w:t>
      </w:r>
      <w:r>
        <w:t xml:space="preserve">, SCE Opening Comments on </w:t>
      </w:r>
      <w:r w:rsidR="008230EB">
        <w:t>January </w:t>
      </w:r>
      <w:r>
        <w:t>26 Ruling</w:t>
      </w:r>
      <w:r w:rsidR="00306EBE">
        <w:t xml:space="preserve"> at </w:t>
      </w:r>
      <w:r>
        <w:t>2,</w:t>
      </w:r>
      <w:r w:rsidRPr="00FB30C2">
        <w:t xml:space="preserve"> </w:t>
      </w:r>
      <w:r>
        <w:t xml:space="preserve">SDG&amp;E Opening Comments on </w:t>
      </w:r>
      <w:r w:rsidR="008230EB">
        <w:t>January </w:t>
      </w:r>
      <w:r>
        <w:t>26 Ruling</w:t>
      </w:r>
      <w:r w:rsidR="00306EBE">
        <w:t xml:space="preserve"> at </w:t>
      </w:r>
      <w:r>
        <w:t>3.</w:t>
      </w:r>
    </w:p>
  </w:footnote>
  <w:footnote w:id="25">
    <w:p w14:paraId="667666D4" w14:textId="16D780B4" w:rsidR="00FB30C2" w:rsidRDefault="00FB30C2" w:rsidP="00FB30C2">
      <w:pPr>
        <w:pStyle w:val="FootnoteText"/>
      </w:pPr>
      <w:r>
        <w:rPr>
          <w:rStyle w:val="FootnoteReference"/>
        </w:rPr>
        <w:footnoteRef/>
      </w:r>
      <w:r>
        <w:t xml:space="preserve"> PG&amp;E Opening Comments on </w:t>
      </w:r>
      <w:r w:rsidR="008230EB">
        <w:t>January </w:t>
      </w:r>
      <w:r>
        <w:t>26 Ruling</w:t>
      </w:r>
      <w:r w:rsidR="00306EBE">
        <w:t xml:space="preserve"> at </w:t>
      </w:r>
      <w:r>
        <w:t xml:space="preserve">3, SCE Opening Comments on </w:t>
      </w:r>
      <w:r w:rsidR="008230EB">
        <w:t>January </w:t>
      </w:r>
      <w:r>
        <w:t>26 Ruling</w:t>
      </w:r>
      <w:r w:rsidR="00306EBE">
        <w:t xml:space="preserve"> at </w:t>
      </w:r>
      <w:r>
        <w:t>1</w:t>
      </w:r>
      <w:r w:rsidR="00C54EC9">
        <w:noBreakHyphen/>
      </w:r>
      <w:r>
        <w:t xml:space="preserve">2, SDG&amp;E Opening Comments on </w:t>
      </w:r>
      <w:r w:rsidR="008230EB">
        <w:t>January </w:t>
      </w:r>
      <w:r>
        <w:t>26 Ruling</w:t>
      </w:r>
      <w:r w:rsidR="00306EBE">
        <w:t xml:space="preserve"> at </w:t>
      </w:r>
      <w:r>
        <w:t>2.</w:t>
      </w:r>
    </w:p>
  </w:footnote>
  <w:footnote w:id="26">
    <w:p w14:paraId="4C262259" w14:textId="697F972E" w:rsidR="003338B8" w:rsidRPr="00B72185" w:rsidRDefault="003338B8">
      <w:pPr>
        <w:pStyle w:val="FootnoteText"/>
      </w:pPr>
      <w:r>
        <w:rPr>
          <w:rStyle w:val="FootnoteReference"/>
        </w:rPr>
        <w:footnoteRef/>
      </w:r>
      <w:r w:rsidRPr="00B72185">
        <w:t xml:space="preserve"> </w:t>
      </w:r>
      <w:r w:rsidR="00B72185">
        <w:t>P</w:t>
      </w:r>
      <w:r w:rsidR="00B72185" w:rsidRPr="00B72185">
        <w:t>G&amp;E Opening Comments on January</w:t>
      </w:r>
      <w:r w:rsidR="00C9647F">
        <w:t> </w:t>
      </w:r>
      <w:r w:rsidR="00B72185" w:rsidRPr="00B72185">
        <w:t>26 Ruling at</w:t>
      </w:r>
      <w:r w:rsidR="00C9647F">
        <w:t> </w:t>
      </w:r>
      <w:r w:rsidR="00B72185" w:rsidRPr="00B72185">
        <w:t>3; SCE Opening Comments on January</w:t>
      </w:r>
      <w:r w:rsidR="00C9647F">
        <w:t> </w:t>
      </w:r>
      <w:r w:rsidR="00B72185" w:rsidRPr="00B72185">
        <w:t>26 Ruling at</w:t>
      </w:r>
      <w:r w:rsidR="00C9647F">
        <w:t> </w:t>
      </w:r>
      <w:r w:rsidR="00B72185" w:rsidRPr="00B72185">
        <w:t>1</w:t>
      </w:r>
      <w:r w:rsidR="00C54EC9">
        <w:noBreakHyphen/>
      </w:r>
      <w:r w:rsidR="00B72185" w:rsidRPr="00B72185">
        <w:t>2; SDG&amp;E Opening Comments on January</w:t>
      </w:r>
      <w:r w:rsidR="00C868A3">
        <w:t> </w:t>
      </w:r>
      <w:r w:rsidR="00B72185" w:rsidRPr="00B72185">
        <w:t>26 Ruling at</w:t>
      </w:r>
      <w:r w:rsidR="00C868A3">
        <w:t> </w:t>
      </w:r>
      <w:r w:rsidR="00B72185" w:rsidRPr="00B72185">
        <w:t xml:space="preserve">2; </w:t>
      </w:r>
      <w:r w:rsidR="00B72185" w:rsidRPr="00C9647F">
        <w:rPr>
          <w:i/>
          <w:iCs/>
        </w:rPr>
        <w:t>see also</w:t>
      </w:r>
      <w:r w:rsidR="00B72185" w:rsidRPr="00B72185">
        <w:t xml:space="preserve"> PG&amp;E AL</w:t>
      </w:r>
      <w:r w:rsidR="00C9647F" w:rsidRPr="004A44A5">
        <w:t> </w:t>
      </w:r>
      <w:r w:rsidR="00B72185" w:rsidRPr="00B72185">
        <w:t>6044</w:t>
      </w:r>
      <w:r w:rsidR="00C54EC9" w:rsidRPr="004A44A5">
        <w:noBreakHyphen/>
      </w:r>
      <w:r w:rsidR="00B72185" w:rsidRPr="00B72185">
        <w:t xml:space="preserve">E, </w:t>
      </w:r>
      <w:r w:rsidR="00C868A3">
        <w:t>AL </w:t>
      </w:r>
      <w:r w:rsidR="00B72185" w:rsidRPr="00B72185">
        <w:t>6491</w:t>
      </w:r>
      <w:r w:rsidR="00C54EC9" w:rsidRPr="004A44A5">
        <w:noBreakHyphen/>
      </w:r>
      <w:r w:rsidR="00B72185" w:rsidRPr="00B72185">
        <w:t xml:space="preserve">E, </w:t>
      </w:r>
      <w:r w:rsidR="00C868A3">
        <w:t>AL </w:t>
      </w:r>
      <w:r w:rsidR="00B72185" w:rsidRPr="00B72185">
        <w:t>6853</w:t>
      </w:r>
      <w:r w:rsidR="00C54EC9" w:rsidRPr="004A44A5">
        <w:noBreakHyphen/>
      </w:r>
      <w:r w:rsidR="00B72185" w:rsidRPr="00B72185">
        <w:t xml:space="preserve">E, </w:t>
      </w:r>
      <w:r w:rsidR="00C868A3">
        <w:t>AL </w:t>
      </w:r>
      <w:r w:rsidR="00B72185" w:rsidRPr="00B72185">
        <w:t>7164</w:t>
      </w:r>
      <w:r w:rsidR="00C54EC9" w:rsidRPr="004A44A5">
        <w:noBreakHyphen/>
      </w:r>
      <w:r w:rsidR="00B72185" w:rsidRPr="00B72185">
        <w:t xml:space="preserve">E, </w:t>
      </w:r>
      <w:r w:rsidR="00C868A3">
        <w:t>AL </w:t>
      </w:r>
      <w:r w:rsidR="00B72185" w:rsidRPr="00B72185">
        <w:t>7502</w:t>
      </w:r>
      <w:r w:rsidR="00C54EC9" w:rsidRPr="004A44A5">
        <w:noBreakHyphen/>
      </w:r>
      <w:r w:rsidR="00B72185" w:rsidRPr="00B72185">
        <w:t xml:space="preserve">E, and </w:t>
      </w:r>
      <w:r w:rsidR="00C868A3">
        <w:t>AL </w:t>
      </w:r>
      <w:r w:rsidR="00B72185" w:rsidRPr="00B72185">
        <w:t>7828</w:t>
      </w:r>
      <w:r w:rsidR="00C54EC9" w:rsidRPr="004A44A5">
        <w:noBreakHyphen/>
      </w:r>
      <w:r w:rsidR="00B72185" w:rsidRPr="00B72185">
        <w:t xml:space="preserve">E; SCE </w:t>
      </w:r>
      <w:r w:rsidR="00C868A3">
        <w:t>AL </w:t>
      </w:r>
      <w:r w:rsidR="00B72185" w:rsidRPr="00B72185">
        <w:t>4731</w:t>
      </w:r>
      <w:r w:rsidR="00C54EC9" w:rsidRPr="004A44A5">
        <w:noBreakHyphen/>
      </w:r>
      <w:r w:rsidR="00B72185" w:rsidRPr="00B72185">
        <w:t xml:space="preserve">E, </w:t>
      </w:r>
      <w:r w:rsidR="00C868A3">
        <w:t>AL </w:t>
      </w:r>
      <w:r w:rsidR="00B72185" w:rsidRPr="00B72185">
        <w:t>4965</w:t>
      </w:r>
      <w:r w:rsidR="00C54EC9" w:rsidRPr="004A44A5">
        <w:noBreakHyphen/>
      </w:r>
      <w:r w:rsidR="00B72185" w:rsidRPr="00B72185">
        <w:t xml:space="preserve">E, </w:t>
      </w:r>
      <w:r w:rsidR="00C868A3">
        <w:t>AL </w:t>
      </w:r>
      <w:r w:rsidR="00B72185" w:rsidRPr="00B72185">
        <w:t>5220</w:t>
      </w:r>
      <w:r w:rsidR="00C54EC9" w:rsidRPr="004A44A5">
        <w:noBreakHyphen/>
      </w:r>
      <w:r w:rsidR="00B72185" w:rsidRPr="00B72185">
        <w:t xml:space="preserve">E, and </w:t>
      </w:r>
      <w:r w:rsidR="00C868A3">
        <w:t>AL </w:t>
      </w:r>
      <w:r w:rsidR="00B72185" w:rsidRPr="00B72185">
        <w:t>5473</w:t>
      </w:r>
      <w:r w:rsidR="00C54EC9" w:rsidRPr="004A44A5">
        <w:noBreakHyphen/>
      </w:r>
      <w:r w:rsidR="00B72185" w:rsidRPr="00B72185">
        <w:t xml:space="preserve">E; SDG&amp;E </w:t>
      </w:r>
      <w:r w:rsidR="00C868A3">
        <w:t>AL </w:t>
      </w:r>
      <w:r w:rsidR="00B72185" w:rsidRPr="00B72185">
        <w:t>3681</w:t>
      </w:r>
      <w:r w:rsidR="00C54EC9" w:rsidRPr="004A44A5">
        <w:noBreakHyphen/>
      </w:r>
      <w:r w:rsidR="00B72185" w:rsidRPr="00B72185">
        <w:t xml:space="preserve">E, </w:t>
      </w:r>
      <w:r w:rsidR="00C868A3">
        <w:t>AL </w:t>
      </w:r>
      <w:r w:rsidR="00B72185" w:rsidRPr="00B72185">
        <w:t>3856</w:t>
      </w:r>
      <w:r w:rsidR="00C54EC9" w:rsidRPr="004A44A5">
        <w:noBreakHyphen/>
      </w:r>
      <w:r w:rsidR="00B72185" w:rsidRPr="00B72185">
        <w:t xml:space="preserve">E, </w:t>
      </w:r>
      <w:r w:rsidR="00C868A3">
        <w:t>AL </w:t>
      </w:r>
      <w:r w:rsidR="00B72185" w:rsidRPr="00B72185">
        <w:t>3947</w:t>
      </w:r>
      <w:r w:rsidR="00C54EC9">
        <w:noBreakHyphen/>
      </w:r>
      <w:r w:rsidR="00B72185" w:rsidRPr="00B72185">
        <w:t xml:space="preserve">E, </w:t>
      </w:r>
      <w:r w:rsidR="00C868A3">
        <w:t>AL </w:t>
      </w:r>
      <w:r w:rsidR="00B72185" w:rsidRPr="00B72185">
        <w:t>4160</w:t>
      </w:r>
      <w:r w:rsidR="00C54EC9">
        <w:noBreakHyphen/>
      </w:r>
      <w:r w:rsidR="00B72185" w:rsidRPr="00B72185">
        <w:t xml:space="preserve">E, </w:t>
      </w:r>
      <w:r w:rsidR="00C868A3">
        <w:t>AL </w:t>
      </w:r>
      <w:r w:rsidR="00B72185" w:rsidRPr="00B72185">
        <w:t>4381</w:t>
      </w:r>
      <w:r w:rsidR="00C54EC9" w:rsidRPr="004A44A5">
        <w:noBreakHyphen/>
      </w:r>
      <w:r w:rsidR="00B72185" w:rsidRPr="00B72185">
        <w:t xml:space="preserve">E, and </w:t>
      </w:r>
      <w:r w:rsidR="00C868A3">
        <w:t>AL </w:t>
      </w:r>
      <w:r w:rsidR="00B72185" w:rsidRPr="00B72185">
        <w:t>4603</w:t>
      </w:r>
      <w:r w:rsidR="00C54EC9" w:rsidRPr="004A44A5">
        <w:noBreakHyphen/>
      </w:r>
      <w:r w:rsidR="00B72185" w:rsidRPr="00B72185">
        <w:t>E</w:t>
      </w:r>
      <w:r w:rsidRPr="00B72185">
        <w:t>.</w:t>
      </w:r>
    </w:p>
  </w:footnote>
  <w:footnote w:id="27">
    <w:p w14:paraId="317B4DDE" w14:textId="012D34E6" w:rsidR="000045EC" w:rsidRDefault="000045EC" w:rsidP="000045EC">
      <w:pPr>
        <w:pStyle w:val="FootnoteText"/>
      </w:pPr>
      <w:r>
        <w:rPr>
          <w:rStyle w:val="FootnoteReference"/>
        </w:rPr>
        <w:footnoteRef/>
      </w:r>
      <w:r>
        <w:t xml:space="preserve"> PG&amp;E Opening </w:t>
      </w:r>
      <w:r w:rsidR="0033021B">
        <w:t>Comments on</w:t>
      </w:r>
      <w:r>
        <w:t xml:space="preserve"> </w:t>
      </w:r>
      <w:r w:rsidR="008230EB">
        <w:t>January </w:t>
      </w:r>
      <w:r>
        <w:t>26 Ruling</w:t>
      </w:r>
      <w:r w:rsidR="00306EBE">
        <w:t xml:space="preserve"> at </w:t>
      </w:r>
      <w:r>
        <w:t>2</w:t>
      </w:r>
      <w:r w:rsidR="00C54EC9">
        <w:noBreakHyphen/>
      </w:r>
      <w:r>
        <w:t xml:space="preserve">3, SCE Opening Comments on </w:t>
      </w:r>
      <w:r w:rsidR="008230EB">
        <w:t>January </w:t>
      </w:r>
      <w:r>
        <w:t>26 Ruling</w:t>
      </w:r>
      <w:r w:rsidR="00306EBE">
        <w:t xml:space="preserve"> at </w:t>
      </w:r>
      <w:r>
        <w:t>2</w:t>
      </w:r>
      <w:r w:rsidR="00C54EC9">
        <w:noBreakHyphen/>
      </w:r>
      <w:r>
        <w:t xml:space="preserve">3, SDG&amp;E Opening Comments on </w:t>
      </w:r>
      <w:r w:rsidR="008230EB">
        <w:t>January </w:t>
      </w:r>
      <w:r>
        <w:t>26 Ruling</w:t>
      </w:r>
      <w:r w:rsidR="00306EBE">
        <w:t xml:space="preserve"> at </w:t>
      </w:r>
      <w:r>
        <w:t xml:space="preserve">3, GRID </w:t>
      </w:r>
      <w:r w:rsidR="00A766CB">
        <w:t>Reply</w:t>
      </w:r>
      <w:r>
        <w:t xml:space="preserve"> Comments on </w:t>
      </w:r>
      <w:r w:rsidR="008230EB">
        <w:t>January </w:t>
      </w:r>
      <w:r>
        <w:t>26 Ruling</w:t>
      </w:r>
      <w:r w:rsidR="00306EBE">
        <w:t xml:space="preserve"> at </w:t>
      </w:r>
      <w:r w:rsidR="00A766CB">
        <w:t>3</w:t>
      </w:r>
      <w:r w:rsidR="00C54EC9">
        <w:noBreakHyphen/>
      </w:r>
      <w:r w:rsidR="00A766CB">
        <w:t>4</w:t>
      </w:r>
      <w:r>
        <w:t>.</w:t>
      </w:r>
    </w:p>
  </w:footnote>
  <w:footnote w:id="28">
    <w:p w14:paraId="043A3C7E" w14:textId="389D8333" w:rsidR="007A54E4" w:rsidRDefault="007A54E4">
      <w:pPr>
        <w:pStyle w:val="FootnoteText"/>
      </w:pPr>
      <w:r>
        <w:rPr>
          <w:rStyle w:val="FootnoteReference"/>
        </w:rPr>
        <w:footnoteRef/>
      </w:r>
      <w:r>
        <w:t xml:space="preserve"> SDG&amp;E </w:t>
      </w:r>
      <w:r w:rsidR="00A766CB">
        <w:t>Reply</w:t>
      </w:r>
      <w:r>
        <w:t xml:space="preserve"> Comments on </w:t>
      </w:r>
      <w:r w:rsidR="008230EB">
        <w:t>January </w:t>
      </w:r>
      <w:r>
        <w:t>26 Ruling</w:t>
      </w:r>
      <w:r w:rsidR="00306EBE">
        <w:t xml:space="preserve"> at </w:t>
      </w:r>
      <w:r>
        <w:t>3</w:t>
      </w:r>
      <w:r w:rsidR="00306EBE">
        <w:t xml:space="preserve">, </w:t>
      </w:r>
      <w:r>
        <w:t xml:space="preserve">GRID Opening Comments on </w:t>
      </w:r>
      <w:r w:rsidR="008230EB">
        <w:t>January </w:t>
      </w:r>
      <w:r>
        <w:t>26 Ruling</w:t>
      </w:r>
      <w:r w:rsidR="00306EBE">
        <w:t xml:space="preserve"> at </w:t>
      </w:r>
      <w:r>
        <w:t>6.</w:t>
      </w:r>
    </w:p>
  </w:footnote>
  <w:footnote w:id="29">
    <w:p w14:paraId="22FA47A9" w14:textId="75AF33CF" w:rsidR="008B11B3" w:rsidRDefault="008B11B3">
      <w:pPr>
        <w:pStyle w:val="FootnoteText"/>
      </w:pPr>
      <w:r>
        <w:rPr>
          <w:rStyle w:val="FootnoteReference"/>
        </w:rPr>
        <w:footnoteRef/>
      </w:r>
      <w:r>
        <w:t xml:space="preserve"> SCE Opening Comments on </w:t>
      </w:r>
      <w:r w:rsidR="008230EB">
        <w:t>January </w:t>
      </w:r>
      <w:r>
        <w:t>26 Ruling</w:t>
      </w:r>
      <w:r w:rsidR="00306EBE">
        <w:t xml:space="preserve"> at </w:t>
      </w:r>
      <w:r>
        <w:t>3.</w:t>
      </w:r>
    </w:p>
  </w:footnote>
  <w:footnote w:id="30">
    <w:p w14:paraId="61DB5DE6" w14:textId="0D9E0D2D" w:rsidR="005159F9" w:rsidRDefault="005159F9">
      <w:pPr>
        <w:pStyle w:val="FootnoteText"/>
      </w:pPr>
      <w:r>
        <w:rPr>
          <w:rStyle w:val="FootnoteReference"/>
        </w:rPr>
        <w:footnoteRef/>
      </w:r>
      <w:r>
        <w:t xml:space="preserve"> The ERRA compliance filings were ordered by</w:t>
      </w:r>
      <w:r w:rsidRPr="005159F9">
        <w:t xml:space="preserve"> D.02</w:t>
      </w:r>
      <w:r w:rsidR="00C54EC9">
        <w:noBreakHyphen/>
      </w:r>
      <w:r w:rsidRPr="005159F9">
        <w:t>10</w:t>
      </w:r>
      <w:r w:rsidR="00C54EC9">
        <w:noBreakHyphen/>
      </w:r>
      <w:r w:rsidRPr="005159F9">
        <w:t>062, as modified and clarified by D.02</w:t>
      </w:r>
      <w:r w:rsidR="00C54EC9">
        <w:noBreakHyphen/>
      </w:r>
      <w:r w:rsidRPr="005159F9">
        <w:t>12</w:t>
      </w:r>
      <w:r w:rsidR="00C54EC9">
        <w:noBreakHyphen/>
      </w:r>
      <w:r w:rsidRPr="005159F9">
        <w:t>074</w:t>
      </w:r>
      <w:r>
        <w:t>.</w:t>
      </w:r>
    </w:p>
  </w:footnote>
  <w:footnote w:id="31">
    <w:p w14:paraId="10F4B1A6" w14:textId="10C9E02F" w:rsidR="000E46F2" w:rsidRDefault="000E46F2" w:rsidP="000E46F2">
      <w:pPr>
        <w:pStyle w:val="FootnoteText"/>
      </w:pPr>
      <w:r>
        <w:rPr>
          <w:rStyle w:val="FootnoteReference"/>
        </w:rPr>
        <w:footnoteRef/>
      </w:r>
      <w:r>
        <w:t xml:space="preserve"> </w:t>
      </w:r>
      <w:r w:rsidR="00943021">
        <w:t>S</w:t>
      </w:r>
      <w:r w:rsidRPr="000E46F2">
        <w:t xml:space="preserve">DG&amp;E 2021 ERRA Compliance Prepared Direct Testimony of Amy Karazuba, </w:t>
      </w:r>
      <w:r w:rsidR="00800FAA">
        <w:t>Attachment </w:t>
      </w:r>
      <w:r w:rsidRPr="000E46F2">
        <w:t>N, DAC</w:t>
      </w:r>
      <w:r w:rsidR="00C54EC9">
        <w:noBreakHyphen/>
      </w:r>
      <w:r w:rsidRPr="000E46F2">
        <w:t xml:space="preserve">SASHBA Summary 2021; SDG&amp;E 2022 ERRA Compliance Prepared Direct Testimony, </w:t>
      </w:r>
      <w:r w:rsidR="00800FAA">
        <w:t>Attachment </w:t>
      </w:r>
      <w:r w:rsidRPr="000E46F2">
        <w:t>N, DAC</w:t>
      </w:r>
      <w:r w:rsidR="00C54EC9">
        <w:noBreakHyphen/>
      </w:r>
      <w:r w:rsidRPr="000E46F2">
        <w:t xml:space="preserve">SASHBA Summary 2022; SDG&amp;E 2023 ERRA Compliance Prepared Direct Testimony of Brenda Hua, </w:t>
      </w:r>
      <w:r w:rsidR="00800FAA">
        <w:t>Attachment </w:t>
      </w:r>
      <w:r w:rsidRPr="000E46F2">
        <w:t>O, DAC</w:t>
      </w:r>
      <w:r w:rsidR="00C54EC9">
        <w:noBreakHyphen/>
      </w:r>
      <w:r w:rsidRPr="000E46F2">
        <w:t xml:space="preserve">SASHBA Summary 2023; SDG&amp;E 2024 ERRA Compliance Prepared Direct Testimony of Brenda Hua, </w:t>
      </w:r>
      <w:r w:rsidR="0049643F">
        <w:t>Ex. </w:t>
      </w:r>
      <w:r w:rsidRPr="000E46F2">
        <w:t>SDGE</w:t>
      </w:r>
      <w:r w:rsidR="00C54EC9">
        <w:noBreakHyphen/>
      </w:r>
      <w:r w:rsidRPr="000E46F2">
        <w:t xml:space="preserve">2, </w:t>
      </w:r>
      <w:r w:rsidR="00800FAA">
        <w:t>Attachment </w:t>
      </w:r>
      <w:r w:rsidRPr="000E46F2">
        <w:t>N, DAC</w:t>
      </w:r>
      <w:r w:rsidR="00C54EC9">
        <w:noBreakHyphen/>
      </w:r>
      <w:r w:rsidRPr="000E46F2">
        <w:t>SASHBA Summary 2024</w:t>
      </w:r>
      <w:r>
        <w:t>.</w:t>
      </w:r>
    </w:p>
  </w:footnote>
  <w:footnote w:id="32">
    <w:p w14:paraId="4EBEB023" w14:textId="4FBD7533"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6.</w:t>
      </w:r>
    </w:p>
  </w:footnote>
  <w:footnote w:id="33">
    <w:p w14:paraId="0478111A" w14:textId="22AA5343" w:rsidR="009476CA" w:rsidRDefault="009476CA" w:rsidP="009476CA">
      <w:pPr>
        <w:pStyle w:val="FootnoteText"/>
      </w:pPr>
      <w:r>
        <w:rPr>
          <w:rStyle w:val="FootnoteReference"/>
        </w:rPr>
        <w:footnoteRef/>
      </w:r>
      <w:r>
        <w:t xml:space="preserve"> </w:t>
      </w:r>
      <w:r w:rsidR="0002587E" w:rsidRPr="0002587E">
        <w:rPr>
          <w:i/>
          <w:iCs/>
        </w:rPr>
        <w:t>Ibid.</w:t>
      </w:r>
    </w:p>
  </w:footnote>
  <w:footnote w:id="34">
    <w:p w14:paraId="0D34B285" w14:textId="44E38DFB"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4.</w:t>
      </w:r>
    </w:p>
  </w:footnote>
  <w:footnote w:id="35">
    <w:p w14:paraId="39B141E7" w14:textId="37734C9B" w:rsidR="009476CA" w:rsidRDefault="009476CA" w:rsidP="009476CA">
      <w:pPr>
        <w:pStyle w:val="FootnoteText"/>
      </w:pPr>
      <w:r>
        <w:rPr>
          <w:rStyle w:val="FootnoteReference"/>
        </w:rPr>
        <w:footnoteRef/>
      </w:r>
      <w:r>
        <w:t xml:space="preserve"> </w:t>
      </w:r>
      <w:r w:rsidR="0002587E" w:rsidRPr="0002587E">
        <w:rPr>
          <w:i/>
          <w:iCs/>
        </w:rPr>
        <w:t>Ibid.</w:t>
      </w:r>
    </w:p>
  </w:footnote>
  <w:footnote w:id="36">
    <w:p w14:paraId="603A0D7D" w14:textId="430085A7"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7.</w:t>
      </w:r>
    </w:p>
  </w:footnote>
  <w:footnote w:id="37">
    <w:p w14:paraId="2E2454B2" w14:textId="2DF97CCA" w:rsidR="009476CA" w:rsidRDefault="009476CA" w:rsidP="009476CA">
      <w:pPr>
        <w:pStyle w:val="FootnoteText"/>
      </w:pPr>
      <w:r>
        <w:rPr>
          <w:rStyle w:val="FootnoteReference"/>
        </w:rPr>
        <w:footnoteRef/>
      </w:r>
      <w:r>
        <w:t xml:space="preserve"> </w:t>
      </w:r>
      <w:r w:rsidR="0002587E" w:rsidRPr="0002587E">
        <w:rPr>
          <w:i/>
          <w:iCs/>
        </w:rPr>
        <w:t>Ibid.</w:t>
      </w:r>
    </w:p>
  </w:footnote>
  <w:footnote w:id="38">
    <w:p w14:paraId="42D1F3CD" w14:textId="50AAAF2A" w:rsidR="009476CA" w:rsidRDefault="009476CA" w:rsidP="009476CA">
      <w:pPr>
        <w:pStyle w:val="FootnoteText"/>
      </w:pPr>
      <w:r>
        <w:rPr>
          <w:rStyle w:val="FootnoteReference"/>
        </w:rPr>
        <w:footnoteRef/>
      </w:r>
      <w:r>
        <w:t xml:space="preserve"> GRID Reply Comments on </w:t>
      </w:r>
      <w:r w:rsidR="008230EB">
        <w:t>January </w:t>
      </w:r>
      <w:r>
        <w:t>26 Ruling</w:t>
      </w:r>
      <w:r w:rsidR="00306EBE">
        <w:t xml:space="preserve"> at </w:t>
      </w:r>
      <w:r>
        <w:t>8.</w:t>
      </w:r>
    </w:p>
  </w:footnote>
  <w:footnote w:id="39">
    <w:p w14:paraId="0B82CFB9" w14:textId="147D88F0" w:rsidR="009476CA" w:rsidRDefault="009476CA" w:rsidP="009476CA">
      <w:pPr>
        <w:pStyle w:val="FootnoteText"/>
      </w:pPr>
      <w:r>
        <w:rPr>
          <w:rStyle w:val="FootnoteReference"/>
        </w:rPr>
        <w:footnoteRef/>
      </w:r>
      <w:r>
        <w:t xml:space="preserve"> </w:t>
      </w:r>
      <w:r w:rsidR="00086432">
        <w:t>Cal Advoc</w:t>
      </w:r>
      <w:r>
        <w:t xml:space="preserve">ates Opening Comments on </w:t>
      </w:r>
      <w:r w:rsidR="008230EB">
        <w:t>January </w:t>
      </w:r>
      <w:r>
        <w:t>26 Ruling</w:t>
      </w:r>
      <w:r w:rsidR="00306EBE">
        <w:t xml:space="preserve"> at </w:t>
      </w:r>
      <w:r>
        <w:t xml:space="preserve">2, SCE Opening Comments on </w:t>
      </w:r>
      <w:r w:rsidR="008230EB">
        <w:t>January </w:t>
      </w:r>
      <w:r>
        <w:t>26 Ruling</w:t>
      </w:r>
      <w:r w:rsidR="00306EBE">
        <w:t xml:space="preserve"> at </w:t>
      </w:r>
      <w:r>
        <w:t xml:space="preserve">3, </w:t>
      </w:r>
      <w:r w:rsidR="00C334FE">
        <w:t xml:space="preserve">SDG&amp;E Opening Comments on </w:t>
      </w:r>
      <w:r w:rsidR="00831E51">
        <w:t>January 26</w:t>
      </w:r>
      <w:r w:rsidR="00C334FE">
        <w:t xml:space="preserve"> Ruling</w:t>
      </w:r>
      <w:r w:rsidR="00831E51">
        <w:t xml:space="preserve"> at </w:t>
      </w:r>
      <w:r w:rsidR="00C334FE">
        <w:t xml:space="preserve">4, </w:t>
      </w:r>
      <w:r>
        <w:t xml:space="preserve">PG&amp;E Opening Comments on </w:t>
      </w:r>
      <w:r w:rsidR="008230EB">
        <w:t>January </w:t>
      </w:r>
      <w:r>
        <w:t>26 Ruling</w:t>
      </w:r>
      <w:r w:rsidR="00306EBE">
        <w:t xml:space="preserve"> at </w:t>
      </w:r>
      <w:r>
        <w:t>3.</w:t>
      </w:r>
    </w:p>
  </w:footnote>
  <w:footnote w:id="40">
    <w:p w14:paraId="3467B44A" w14:textId="694BB6B4" w:rsidR="009476CA" w:rsidRDefault="009476CA" w:rsidP="009476CA">
      <w:pPr>
        <w:pStyle w:val="FootnoteText"/>
      </w:pPr>
      <w:r>
        <w:rPr>
          <w:rStyle w:val="FootnoteReference"/>
        </w:rPr>
        <w:footnoteRef/>
      </w:r>
      <w:r>
        <w:t xml:space="preserve"> </w:t>
      </w:r>
      <w:r w:rsidR="00086432">
        <w:t>Cal Advoc</w:t>
      </w:r>
      <w:r>
        <w:t xml:space="preserve">ates Opening Comments on </w:t>
      </w:r>
      <w:r w:rsidR="008230EB">
        <w:t>January </w:t>
      </w:r>
      <w:r>
        <w:t>26 Ruling</w:t>
      </w:r>
      <w:r w:rsidR="00306EBE">
        <w:t xml:space="preserve"> at </w:t>
      </w:r>
      <w:r>
        <w:t>3.</w:t>
      </w:r>
    </w:p>
  </w:footnote>
  <w:footnote w:id="41">
    <w:p w14:paraId="7793B724" w14:textId="562F2C1D" w:rsidR="00C334FE" w:rsidRDefault="00C334FE" w:rsidP="00C334FE">
      <w:pPr>
        <w:pStyle w:val="FootnoteText"/>
      </w:pPr>
      <w:r>
        <w:rPr>
          <w:rStyle w:val="FootnoteReference"/>
        </w:rPr>
        <w:footnoteRef/>
      </w:r>
      <w:r>
        <w:t xml:space="preserve"> </w:t>
      </w:r>
      <w:r w:rsidRPr="004F7756">
        <w:t>D.18</w:t>
      </w:r>
      <w:r w:rsidR="00C54EC9">
        <w:noBreakHyphen/>
      </w:r>
      <w:r w:rsidRPr="004F7756">
        <w:t>06</w:t>
      </w:r>
      <w:r w:rsidR="00C54EC9">
        <w:noBreakHyphen/>
      </w:r>
      <w:r w:rsidRPr="004F7756">
        <w:t>0</w:t>
      </w:r>
      <w:r>
        <w:t>2</w:t>
      </w:r>
      <w:r w:rsidRPr="004F7756">
        <w:t xml:space="preserve">7 </w:t>
      </w:r>
      <w:r>
        <w:t xml:space="preserve">at </w:t>
      </w:r>
      <w:r w:rsidRPr="004F7756">
        <w:t>Appendix</w:t>
      </w:r>
      <w:r w:rsidR="006024B9">
        <w:t> </w:t>
      </w:r>
      <w:r w:rsidRPr="004F7756">
        <w:t>A</w:t>
      </w:r>
      <w:r>
        <w:t>.</w:t>
      </w:r>
    </w:p>
  </w:footnote>
  <w:footnote w:id="42">
    <w:p w14:paraId="45C39C07" w14:textId="2B15CB33" w:rsidR="004A70F0" w:rsidRDefault="004A70F0" w:rsidP="004A70F0">
      <w:pPr>
        <w:pStyle w:val="FootnoteText"/>
      </w:pPr>
      <w:r>
        <w:rPr>
          <w:rStyle w:val="FootnoteReference"/>
        </w:rPr>
        <w:footnoteRef/>
      </w:r>
      <w:r>
        <w:t xml:space="preserve"> Verdant DAC</w:t>
      </w:r>
      <w:r w:rsidR="00C54EC9">
        <w:noBreakHyphen/>
      </w:r>
      <w:r>
        <w:t>SASH 2022</w:t>
      </w:r>
      <w:r w:rsidR="00C54EC9">
        <w:noBreakHyphen/>
      </w:r>
      <w:r>
        <w:t>2024 Evaluation Report at</w:t>
      </w:r>
      <w:r w:rsidR="006024B9">
        <w:t> </w:t>
      </w:r>
      <w:r>
        <w:t>103.</w:t>
      </w:r>
    </w:p>
  </w:footnote>
  <w:footnote w:id="43">
    <w:p w14:paraId="76240AB2" w14:textId="5984B014" w:rsidR="00B65092" w:rsidRDefault="00B65092">
      <w:pPr>
        <w:pStyle w:val="FootnoteText"/>
      </w:pPr>
      <w:r>
        <w:rPr>
          <w:rStyle w:val="FootnoteReference"/>
        </w:rPr>
        <w:footnoteRef/>
      </w:r>
      <w:r>
        <w:t xml:space="preserve"> Verdant DAC</w:t>
      </w:r>
      <w:r w:rsidR="00C54EC9">
        <w:noBreakHyphen/>
      </w:r>
      <w:r>
        <w:t>SASH 2022</w:t>
      </w:r>
      <w:r w:rsidR="00C54EC9">
        <w:noBreakHyphen/>
      </w:r>
      <w:r>
        <w:t>2024 Evaluation Report</w:t>
      </w:r>
      <w:r w:rsidR="00306EBE">
        <w:t xml:space="preserve"> at </w:t>
      </w:r>
      <w:r>
        <w:t>76</w:t>
      </w:r>
      <w:r w:rsidR="00C54EC9">
        <w:noBreakHyphen/>
      </w:r>
      <w:r>
        <w:t>78.</w:t>
      </w:r>
    </w:p>
  </w:footnote>
  <w:footnote w:id="44">
    <w:p w14:paraId="04937C39" w14:textId="725027C7" w:rsidR="00B65092" w:rsidRDefault="00B65092">
      <w:pPr>
        <w:pStyle w:val="FootnoteText"/>
      </w:pPr>
      <w:r>
        <w:rPr>
          <w:rStyle w:val="FootnoteReference"/>
        </w:rPr>
        <w:footnoteRef/>
      </w:r>
      <w:r>
        <w:t xml:space="preserve"> </w:t>
      </w:r>
      <w:r w:rsidR="008230EB">
        <w:t>January </w:t>
      </w:r>
      <w:r>
        <w:t>26 Ruling</w:t>
      </w:r>
      <w:r w:rsidR="00306EBE">
        <w:t xml:space="preserve"> at </w:t>
      </w:r>
      <w:r>
        <w:t>5.</w:t>
      </w:r>
    </w:p>
  </w:footnote>
  <w:footnote w:id="45">
    <w:p w14:paraId="6A68768C" w14:textId="5C4BBE45" w:rsidR="002941D1" w:rsidRDefault="002941D1">
      <w:pPr>
        <w:pStyle w:val="FootnoteText"/>
      </w:pPr>
      <w:r>
        <w:rPr>
          <w:rStyle w:val="FootnoteReference"/>
        </w:rPr>
        <w:footnoteRef/>
      </w:r>
      <w:r>
        <w:t xml:space="preserve"> GRID Opening Comments on </w:t>
      </w:r>
      <w:r w:rsidR="008230EB">
        <w:t>January </w:t>
      </w:r>
      <w:r w:rsidR="00FC5E6D">
        <w:t>26</w:t>
      </w:r>
      <w:r>
        <w:t xml:space="preserve"> Ruling</w:t>
      </w:r>
      <w:r w:rsidR="00306EBE">
        <w:t xml:space="preserve"> at </w:t>
      </w:r>
      <w:r>
        <w:t>8</w:t>
      </w:r>
      <w:r w:rsidR="00C54EC9">
        <w:noBreakHyphen/>
      </w:r>
      <w:r w:rsidR="0074701C">
        <w:t>9</w:t>
      </w:r>
      <w:r>
        <w:t>.</w:t>
      </w:r>
    </w:p>
  </w:footnote>
  <w:footnote w:id="46">
    <w:p w14:paraId="5257E385" w14:textId="3A845592" w:rsidR="0074701C" w:rsidRDefault="0074701C">
      <w:pPr>
        <w:pStyle w:val="FootnoteText"/>
      </w:pPr>
      <w:r>
        <w:rPr>
          <w:rStyle w:val="FootnoteReference"/>
        </w:rPr>
        <w:footnoteRef/>
      </w:r>
      <w:r>
        <w:t xml:space="preserve"> SCE Reply Comments on </w:t>
      </w:r>
      <w:r w:rsidR="008230EB">
        <w:t>January </w:t>
      </w:r>
      <w:r>
        <w:t>26 Ruling</w:t>
      </w:r>
      <w:r w:rsidR="00306EBE">
        <w:t xml:space="preserve"> at </w:t>
      </w:r>
      <w:r>
        <w:t>3.</w:t>
      </w:r>
    </w:p>
  </w:footnote>
  <w:footnote w:id="47">
    <w:p w14:paraId="78257F7D" w14:textId="07F5F9E8" w:rsidR="0030040E" w:rsidRDefault="0030040E">
      <w:pPr>
        <w:pStyle w:val="FootnoteText"/>
      </w:pPr>
      <w:r>
        <w:rPr>
          <w:rStyle w:val="FootnoteReference"/>
        </w:rPr>
        <w:footnoteRef/>
      </w:r>
      <w:r>
        <w:t xml:space="preserve"> SDG&amp;E Reply Comments on </w:t>
      </w:r>
      <w:r w:rsidR="008230EB">
        <w:t>January </w:t>
      </w:r>
      <w:r>
        <w:t>26 Ruling</w:t>
      </w:r>
      <w:r w:rsidR="00306EBE">
        <w:t xml:space="preserve"> at </w:t>
      </w:r>
      <w:r>
        <w:t>7</w:t>
      </w:r>
      <w:r w:rsidR="00C54EC9">
        <w:noBreakHyphen/>
      </w:r>
      <w:r>
        <w:t>8.</w:t>
      </w:r>
    </w:p>
  </w:footnote>
  <w:footnote w:id="48">
    <w:p w14:paraId="2C7307EC" w14:textId="22F4D436" w:rsidR="00B2603D" w:rsidRDefault="00B2603D">
      <w:pPr>
        <w:pStyle w:val="FootnoteText"/>
      </w:pPr>
      <w:r>
        <w:rPr>
          <w:rStyle w:val="FootnoteReference"/>
        </w:rPr>
        <w:footnoteRef/>
      </w:r>
      <w:r>
        <w:t xml:space="preserve"> </w:t>
      </w:r>
      <w:r w:rsidR="008230EB">
        <w:t>January </w:t>
      </w:r>
      <w:r>
        <w:t>26 Ruling</w:t>
      </w:r>
      <w:r w:rsidR="00306EBE">
        <w:t xml:space="preserve"> at </w:t>
      </w:r>
      <w:r>
        <w:t>7.</w:t>
      </w:r>
    </w:p>
  </w:footnote>
  <w:footnote w:id="49">
    <w:p w14:paraId="69B89656" w14:textId="26A024CE" w:rsidR="00B2603D" w:rsidRDefault="00B2603D">
      <w:pPr>
        <w:pStyle w:val="FootnoteText"/>
      </w:pPr>
      <w:r>
        <w:rPr>
          <w:rStyle w:val="FootnoteReference"/>
        </w:rPr>
        <w:footnoteRef/>
      </w:r>
      <w:r>
        <w:t xml:space="preserve"> SEIA Opening Comments on </w:t>
      </w:r>
      <w:r w:rsidR="008230EB">
        <w:t>January </w:t>
      </w:r>
      <w:r>
        <w:t>26 Ruling</w:t>
      </w:r>
      <w:r w:rsidR="00306EBE">
        <w:t xml:space="preserve"> at </w:t>
      </w:r>
      <w:r>
        <w:t>11</w:t>
      </w:r>
      <w:r w:rsidR="00C54EC9">
        <w:noBreakHyphen/>
      </w:r>
      <w:r>
        <w:t>12.</w:t>
      </w:r>
    </w:p>
  </w:footnote>
  <w:footnote w:id="50">
    <w:p w14:paraId="391E575C" w14:textId="60D43B17" w:rsidR="008C2FE1" w:rsidRPr="008C2FE1" w:rsidRDefault="008C2FE1">
      <w:pPr>
        <w:pStyle w:val="FootnoteText"/>
      </w:pPr>
      <w:r>
        <w:rPr>
          <w:rStyle w:val="FootnoteReference"/>
        </w:rPr>
        <w:footnoteRef/>
      </w:r>
      <w:r w:rsidRPr="008C2FE1">
        <w:t xml:space="preserve"> PG&amp;E Opening Comments o</w:t>
      </w:r>
      <w:r>
        <w:t xml:space="preserve">n </w:t>
      </w:r>
      <w:r w:rsidR="008230EB">
        <w:t>January </w:t>
      </w:r>
      <w:r>
        <w:t>26 Ruling</w:t>
      </w:r>
      <w:r w:rsidR="00306EBE">
        <w:t xml:space="preserve"> at </w:t>
      </w:r>
      <w:r>
        <w:t xml:space="preserve">8, SCE Opening Comments on </w:t>
      </w:r>
      <w:r w:rsidR="008230EB">
        <w:t>January </w:t>
      </w:r>
      <w:r>
        <w:t>26 Ruling</w:t>
      </w:r>
      <w:r w:rsidR="00306EBE">
        <w:t xml:space="preserve"> at </w:t>
      </w:r>
      <w:r>
        <w:t xml:space="preserve">8, SDG&amp;E Opening Comments on </w:t>
      </w:r>
      <w:r w:rsidR="008230EB">
        <w:t>January </w:t>
      </w:r>
      <w:r>
        <w:t>26 Ruling</w:t>
      </w:r>
      <w:r w:rsidR="00306EBE">
        <w:t xml:space="preserve"> at </w:t>
      </w:r>
      <w:r>
        <w:t>13,</w:t>
      </w:r>
      <w:r w:rsidR="00A30C6E">
        <w:t xml:space="preserve"> </w:t>
      </w:r>
      <w:r w:rsidR="00086432">
        <w:t>Cal Advoc</w:t>
      </w:r>
      <w:r>
        <w:t xml:space="preserve">ates Opening Comments on </w:t>
      </w:r>
      <w:r w:rsidR="008230EB">
        <w:t>January </w:t>
      </w:r>
      <w:r>
        <w:t>26 Ruling</w:t>
      </w:r>
      <w:r w:rsidR="00306EBE">
        <w:t xml:space="preserve"> at </w:t>
      </w:r>
      <w:r>
        <w:t>5</w:t>
      </w:r>
      <w:r w:rsidR="00C54EC9">
        <w:noBreakHyphen/>
      </w:r>
      <w:r>
        <w:t>6</w:t>
      </w:r>
      <w:r w:rsidR="00683FCE">
        <w:t>.</w:t>
      </w:r>
    </w:p>
  </w:footnote>
  <w:footnote w:id="51">
    <w:p w14:paraId="2DCE09A6" w14:textId="1A813069" w:rsidR="001B77EA" w:rsidRDefault="001B77EA">
      <w:pPr>
        <w:pStyle w:val="FootnoteText"/>
      </w:pPr>
      <w:r>
        <w:rPr>
          <w:rStyle w:val="FootnoteReference"/>
        </w:rPr>
        <w:footnoteRef/>
      </w:r>
      <w:r>
        <w:t xml:space="preserve"> GRID Opening Comments on </w:t>
      </w:r>
      <w:r w:rsidR="008230EB">
        <w:t>January </w:t>
      </w:r>
      <w:r>
        <w:t>26 Ruling</w:t>
      </w:r>
      <w:r w:rsidR="00306EBE">
        <w:t xml:space="preserve"> at </w:t>
      </w:r>
      <w:r>
        <w:t>18</w:t>
      </w:r>
      <w:r w:rsidR="00C54EC9">
        <w:noBreakHyphen/>
      </w:r>
      <w:r>
        <w:t>19.</w:t>
      </w:r>
    </w:p>
  </w:footnote>
  <w:footnote w:id="52">
    <w:p w14:paraId="5582B8CB" w14:textId="2F416C5F" w:rsidR="00952372" w:rsidRPr="008C2FE1" w:rsidRDefault="00952372">
      <w:pPr>
        <w:pStyle w:val="FootnoteText"/>
      </w:pPr>
      <w:r>
        <w:rPr>
          <w:rStyle w:val="FootnoteReference"/>
        </w:rPr>
        <w:footnoteRef/>
      </w:r>
      <w:r w:rsidRPr="008C2FE1">
        <w:t xml:space="preserve"> </w:t>
      </w:r>
      <w:r w:rsidR="00B47585">
        <w:t>Resolution </w:t>
      </w:r>
      <w:r w:rsidRPr="008C2FE1">
        <w:t>E</w:t>
      </w:r>
      <w:r w:rsidR="00C54EC9">
        <w:noBreakHyphen/>
      </w:r>
      <w:r w:rsidRPr="008C2FE1">
        <w:t>5362</w:t>
      </w:r>
      <w:r w:rsidR="00306EBE">
        <w:t xml:space="preserve"> at </w:t>
      </w:r>
      <w:r w:rsidRPr="008C2FE1">
        <w:t>9.</w:t>
      </w:r>
    </w:p>
  </w:footnote>
  <w:footnote w:id="53">
    <w:p w14:paraId="647AA11B" w14:textId="349CD6EF" w:rsidR="00952372" w:rsidRDefault="00952372">
      <w:pPr>
        <w:pStyle w:val="FootnoteText"/>
      </w:pPr>
      <w:r>
        <w:rPr>
          <w:rStyle w:val="FootnoteReference"/>
        </w:rPr>
        <w:footnoteRef/>
      </w:r>
      <w:r>
        <w:t xml:space="preserve"> </w:t>
      </w:r>
      <w:r w:rsidR="0002587E" w:rsidRPr="0002587E">
        <w:rPr>
          <w:i/>
          <w:iCs/>
        </w:rPr>
        <w:t>Id.</w:t>
      </w:r>
      <w:r w:rsidR="00306EBE">
        <w:t xml:space="preserve"> at </w:t>
      </w:r>
      <w:r>
        <w:t>12.</w:t>
      </w:r>
    </w:p>
  </w:footnote>
  <w:footnote w:id="54">
    <w:p w14:paraId="0F83BAFB" w14:textId="5C4AED27" w:rsidR="00952372" w:rsidRPr="005464CF" w:rsidRDefault="00952372">
      <w:pPr>
        <w:pStyle w:val="FootnoteText"/>
      </w:pPr>
      <w:r>
        <w:rPr>
          <w:rStyle w:val="FootnoteReference"/>
        </w:rPr>
        <w:footnoteRef/>
      </w:r>
      <w:r w:rsidRPr="005464CF">
        <w:t xml:space="preserve"> PVWatts Calculator</w:t>
      </w:r>
      <w:r w:rsidR="00A12C26" w:rsidRPr="005464CF">
        <w:t xml:space="preserve"> (</w:t>
      </w:r>
      <w:hyperlink r:id="rId1" w:history="1">
        <w:r w:rsidR="00A44C9E" w:rsidRPr="005464CF">
          <w:rPr>
            <w:rStyle w:val="Hyperlink"/>
          </w:rPr>
          <w:t>https://pvwatts.nlr.gov/</w:t>
        </w:r>
      </w:hyperlink>
      <w:r w:rsidR="00A12C26" w:rsidRPr="005464CF">
        <w:t>).</w:t>
      </w:r>
    </w:p>
  </w:footnote>
  <w:footnote w:id="55">
    <w:p w14:paraId="6DF3244C" w14:textId="7274CDB4" w:rsidR="00952372" w:rsidRDefault="00952372">
      <w:pPr>
        <w:pStyle w:val="FootnoteText"/>
      </w:pPr>
      <w:r>
        <w:rPr>
          <w:rStyle w:val="FootnoteReference"/>
        </w:rPr>
        <w:footnoteRef/>
      </w:r>
      <w:r>
        <w:t xml:space="preserve"> </w:t>
      </w:r>
      <w:r w:rsidR="00B47585">
        <w:t>Resolution </w:t>
      </w:r>
      <w:r>
        <w:t>E</w:t>
      </w:r>
      <w:r w:rsidR="00C54EC9">
        <w:noBreakHyphen/>
      </w:r>
      <w:r>
        <w:t>5362</w:t>
      </w:r>
      <w:r w:rsidR="00306EBE">
        <w:t xml:space="preserve"> at </w:t>
      </w:r>
      <w:r>
        <w:t>12.</w:t>
      </w:r>
    </w:p>
  </w:footnote>
  <w:footnote w:id="56">
    <w:p w14:paraId="0336C445" w14:textId="2E8EA218" w:rsidR="00BA4DBD" w:rsidRDefault="00BA4DBD">
      <w:pPr>
        <w:pStyle w:val="FootnoteText"/>
      </w:pPr>
      <w:r>
        <w:rPr>
          <w:rStyle w:val="FootnoteReference"/>
        </w:rPr>
        <w:footnoteRef/>
      </w:r>
      <w:r>
        <w:t xml:space="preserve"> GRID Opening Comments on </w:t>
      </w:r>
      <w:r w:rsidR="008230EB">
        <w:t>January </w:t>
      </w:r>
      <w:r>
        <w:t>26 Ruling</w:t>
      </w:r>
      <w:r w:rsidR="00306EBE">
        <w:t xml:space="preserve"> at </w:t>
      </w:r>
      <w:r>
        <w:t>10</w:t>
      </w:r>
      <w:r w:rsidR="00FE0EC8">
        <w:t xml:space="preserve">, </w:t>
      </w:r>
      <w:r w:rsidR="00E06193">
        <w:t xml:space="preserve">SCE Opening Comments on </w:t>
      </w:r>
      <w:r w:rsidR="008230EB">
        <w:t>January </w:t>
      </w:r>
      <w:r w:rsidR="00E06193">
        <w:t>26 Ruling</w:t>
      </w:r>
      <w:r w:rsidR="00306EBE">
        <w:t xml:space="preserve"> at </w:t>
      </w:r>
      <w:r w:rsidR="00E06193">
        <w:t>5.</w:t>
      </w:r>
    </w:p>
  </w:footnote>
  <w:footnote w:id="57">
    <w:p w14:paraId="1651B05F" w14:textId="4F46B8CA" w:rsidR="00E06193" w:rsidRDefault="00E06193">
      <w:pPr>
        <w:pStyle w:val="FootnoteText"/>
      </w:pPr>
      <w:r>
        <w:rPr>
          <w:rStyle w:val="FootnoteReference"/>
        </w:rPr>
        <w:footnoteRef/>
      </w:r>
      <w:r>
        <w:t xml:space="preserve"> SDG&amp;E Opening Comments on </w:t>
      </w:r>
      <w:r w:rsidR="008230EB">
        <w:t>January </w:t>
      </w:r>
      <w:r>
        <w:t>26 Ruling</w:t>
      </w:r>
      <w:r w:rsidR="00306EBE">
        <w:t xml:space="preserve"> at </w:t>
      </w:r>
      <w:r>
        <w:t>7</w:t>
      </w:r>
      <w:r w:rsidR="00FE0EC8">
        <w:t xml:space="preserve">, </w:t>
      </w:r>
      <w:r w:rsidR="0055154E">
        <w:t xml:space="preserve">PG&amp;E Opening Comments on </w:t>
      </w:r>
      <w:r w:rsidR="008230EB">
        <w:t>January </w:t>
      </w:r>
      <w:r w:rsidR="0055154E">
        <w:t>26 Ruling</w:t>
      </w:r>
      <w:r w:rsidR="00306EBE">
        <w:t xml:space="preserve"> at </w:t>
      </w:r>
      <w:r w:rsidR="0055154E">
        <w:t>5</w:t>
      </w:r>
      <w:r>
        <w:t>.</w:t>
      </w:r>
    </w:p>
  </w:footnote>
  <w:footnote w:id="58">
    <w:p w14:paraId="2037A3CE" w14:textId="6B433A9F" w:rsidR="00B0293A" w:rsidRDefault="00B0293A">
      <w:pPr>
        <w:pStyle w:val="FootnoteText"/>
      </w:pPr>
      <w:r>
        <w:rPr>
          <w:rStyle w:val="FootnoteReference"/>
        </w:rPr>
        <w:footnoteRef/>
      </w:r>
      <w:r>
        <w:t xml:space="preserve"> D.18</w:t>
      </w:r>
      <w:r w:rsidR="00C54EC9">
        <w:noBreakHyphen/>
      </w:r>
      <w:r>
        <w:t>06</w:t>
      </w:r>
      <w:r w:rsidR="00C54EC9">
        <w:noBreakHyphen/>
      </w:r>
      <w:r>
        <w:t>027</w:t>
      </w:r>
      <w:r w:rsidR="00306EBE">
        <w:t>,</w:t>
      </w:r>
      <w:r>
        <w:t xml:space="preserve"> </w:t>
      </w:r>
      <w:r w:rsidR="002E26D7">
        <w:t>Appendix </w:t>
      </w:r>
      <w:r>
        <w:t>A</w:t>
      </w:r>
      <w:r w:rsidR="00306EBE">
        <w:t xml:space="preserve"> at </w:t>
      </w:r>
      <w:r>
        <w:t>A</w:t>
      </w:r>
      <w:r w:rsidR="00C54EC9">
        <w:noBreakHyphen/>
      </w:r>
      <w:r>
        <w:t>9.</w:t>
      </w:r>
    </w:p>
  </w:footnote>
  <w:footnote w:id="59">
    <w:p w14:paraId="66FE9C93" w14:textId="0B20AD47" w:rsidR="00943012" w:rsidRDefault="00943012">
      <w:pPr>
        <w:pStyle w:val="FootnoteText"/>
      </w:pPr>
      <w:r>
        <w:rPr>
          <w:rStyle w:val="FootnoteReference"/>
        </w:rPr>
        <w:footnoteRef/>
      </w:r>
      <w:r>
        <w:t xml:space="preserve"> </w:t>
      </w:r>
      <w:r w:rsidR="0002587E" w:rsidRPr="0002587E">
        <w:rPr>
          <w:i/>
          <w:iCs/>
        </w:rPr>
        <w:t>Id.</w:t>
      </w:r>
      <w:r w:rsidR="00306EBE">
        <w:t xml:space="preserve"> at A</w:t>
      </w:r>
      <w:r w:rsidR="00C54EC9">
        <w:noBreakHyphen/>
      </w:r>
      <w:r>
        <w:t>10.</w:t>
      </w:r>
    </w:p>
  </w:footnote>
  <w:footnote w:id="60">
    <w:p w14:paraId="6020B66E" w14:textId="5C18AF18" w:rsidR="00F144E3" w:rsidRDefault="00F144E3">
      <w:pPr>
        <w:pStyle w:val="FootnoteText"/>
      </w:pPr>
      <w:r>
        <w:rPr>
          <w:rStyle w:val="FootnoteReference"/>
        </w:rPr>
        <w:footnoteRef/>
      </w:r>
      <w:r>
        <w:t xml:space="preserve"> </w:t>
      </w:r>
      <w:r w:rsidR="00943012">
        <w:t xml:space="preserve">Verdant </w:t>
      </w:r>
      <w:r>
        <w:t>DAC</w:t>
      </w:r>
      <w:r w:rsidR="00C54EC9">
        <w:noBreakHyphen/>
      </w:r>
      <w:r>
        <w:t>SASH 2022</w:t>
      </w:r>
      <w:r w:rsidR="00C54EC9">
        <w:noBreakHyphen/>
      </w:r>
      <w:r>
        <w:t xml:space="preserve">2024 </w:t>
      </w:r>
      <w:r w:rsidR="0033021B">
        <w:t>Evaluation</w:t>
      </w:r>
      <w:r>
        <w:t xml:space="preserve"> Report</w:t>
      </w:r>
      <w:r w:rsidR="00306EBE">
        <w:t xml:space="preserve"> at </w:t>
      </w:r>
      <w:r>
        <w:t>12</w:t>
      </w:r>
      <w:r w:rsidR="00C54EC9">
        <w:noBreakHyphen/>
      </w:r>
      <w:r>
        <w:t>13.</w:t>
      </w:r>
    </w:p>
  </w:footnote>
  <w:footnote w:id="61">
    <w:p w14:paraId="773CA305" w14:textId="2BFD2FDA" w:rsidR="00C459BC" w:rsidRDefault="00C459BC">
      <w:pPr>
        <w:pStyle w:val="FootnoteText"/>
      </w:pPr>
      <w:r>
        <w:rPr>
          <w:rStyle w:val="FootnoteReference"/>
        </w:rPr>
        <w:footnoteRef/>
      </w:r>
      <w:r>
        <w:t xml:space="preserve"> </w:t>
      </w:r>
      <w:r w:rsidR="008230EB">
        <w:t>January </w:t>
      </w:r>
      <w:r>
        <w:t>26 Ruling</w:t>
      </w:r>
      <w:r w:rsidR="00306EBE">
        <w:t xml:space="preserve"> at </w:t>
      </w:r>
      <w:r>
        <w:t>5.</w:t>
      </w:r>
    </w:p>
  </w:footnote>
  <w:footnote w:id="62">
    <w:p w14:paraId="18AD7E5F" w14:textId="2C2FCDBF" w:rsidR="00034B91" w:rsidRDefault="00034B91">
      <w:pPr>
        <w:pStyle w:val="FootnoteText"/>
      </w:pPr>
      <w:r>
        <w:rPr>
          <w:rStyle w:val="FootnoteReference"/>
        </w:rPr>
        <w:footnoteRef/>
      </w:r>
      <w:r>
        <w:t xml:space="preserve"> </w:t>
      </w:r>
      <w:r w:rsidR="0002587E" w:rsidRPr="0002587E">
        <w:rPr>
          <w:i/>
          <w:iCs/>
        </w:rPr>
        <w:t>Ibid.</w:t>
      </w:r>
    </w:p>
  </w:footnote>
  <w:footnote w:id="63">
    <w:p w14:paraId="1A1590C3" w14:textId="7AA1D05C" w:rsidR="00034B91" w:rsidRDefault="00034B91">
      <w:pPr>
        <w:pStyle w:val="FootnoteText"/>
      </w:pPr>
      <w:r>
        <w:rPr>
          <w:rStyle w:val="FootnoteReference"/>
        </w:rPr>
        <w:footnoteRef/>
      </w:r>
      <w:r>
        <w:t xml:space="preserve"> GRID Opening Comments on </w:t>
      </w:r>
      <w:r w:rsidR="008230EB">
        <w:t>January </w:t>
      </w:r>
      <w:r>
        <w:t>26 Ruling</w:t>
      </w:r>
      <w:r w:rsidR="00306EBE">
        <w:t xml:space="preserve"> at </w:t>
      </w:r>
      <w:r>
        <w:t>10</w:t>
      </w:r>
      <w:r w:rsidR="00C54EC9">
        <w:noBreakHyphen/>
      </w:r>
      <w:r>
        <w:t>11.</w:t>
      </w:r>
    </w:p>
  </w:footnote>
  <w:footnote w:id="64">
    <w:p w14:paraId="230EC85B" w14:textId="5C04AFDF" w:rsidR="00034B91" w:rsidRDefault="00034B91">
      <w:pPr>
        <w:pStyle w:val="FootnoteText"/>
      </w:pPr>
      <w:r>
        <w:rPr>
          <w:rStyle w:val="FootnoteReference"/>
        </w:rPr>
        <w:footnoteRef/>
      </w:r>
      <w:r>
        <w:t xml:space="preserve"> </w:t>
      </w:r>
      <w:r w:rsidR="0002587E" w:rsidRPr="0002587E">
        <w:rPr>
          <w:i/>
          <w:iCs/>
        </w:rPr>
        <w:t>Id.</w:t>
      </w:r>
      <w:r w:rsidR="00306EBE">
        <w:t xml:space="preserve"> at </w:t>
      </w:r>
      <w:r>
        <w:t>11</w:t>
      </w:r>
      <w:r w:rsidR="00C54EC9">
        <w:noBreakHyphen/>
      </w:r>
      <w:r>
        <w:t>12.</w:t>
      </w:r>
    </w:p>
  </w:footnote>
  <w:footnote w:id="65">
    <w:p w14:paraId="4EA06696" w14:textId="214326DA" w:rsidR="004D7475" w:rsidRDefault="004D7475">
      <w:pPr>
        <w:pStyle w:val="FootnoteText"/>
      </w:pPr>
      <w:r>
        <w:rPr>
          <w:rStyle w:val="FootnoteReference"/>
        </w:rPr>
        <w:footnoteRef/>
      </w:r>
      <w:r>
        <w:t xml:space="preserve"> </w:t>
      </w:r>
      <w:r w:rsidR="0002587E" w:rsidRPr="0002587E">
        <w:rPr>
          <w:i/>
          <w:iCs/>
        </w:rPr>
        <w:t>Id.</w:t>
      </w:r>
      <w:r w:rsidR="00306EBE">
        <w:t xml:space="preserve"> at </w:t>
      </w:r>
      <w:r>
        <w:t>12.</w:t>
      </w:r>
    </w:p>
  </w:footnote>
  <w:footnote w:id="66">
    <w:p w14:paraId="6436C19D" w14:textId="41990872" w:rsidR="00553A02" w:rsidRDefault="00553A02">
      <w:pPr>
        <w:pStyle w:val="FootnoteText"/>
      </w:pPr>
      <w:r>
        <w:rPr>
          <w:rStyle w:val="FootnoteReference"/>
        </w:rPr>
        <w:footnoteRef/>
      </w:r>
      <w:r>
        <w:t xml:space="preserve"> PG&amp;E Opening Comments on </w:t>
      </w:r>
      <w:r w:rsidR="008230EB">
        <w:t>January </w:t>
      </w:r>
      <w:r>
        <w:t>26 Ruling</w:t>
      </w:r>
      <w:r w:rsidR="00306EBE">
        <w:t xml:space="preserve"> at </w:t>
      </w:r>
      <w:r>
        <w:t>5.</w:t>
      </w:r>
    </w:p>
  </w:footnote>
  <w:footnote w:id="67">
    <w:p w14:paraId="2C3FF6AD" w14:textId="0BA21EED" w:rsidR="00553A02" w:rsidRDefault="00553A02">
      <w:pPr>
        <w:pStyle w:val="FootnoteText"/>
      </w:pPr>
      <w:r>
        <w:rPr>
          <w:rStyle w:val="FootnoteReference"/>
        </w:rPr>
        <w:footnoteRef/>
      </w:r>
      <w:r>
        <w:t xml:space="preserve"> </w:t>
      </w:r>
      <w:r w:rsidR="0002587E" w:rsidRPr="0002587E">
        <w:rPr>
          <w:i/>
          <w:iCs/>
        </w:rPr>
        <w:t>Ibid.</w:t>
      </w:r>
    </w:p>
  </w:footnote>
  <w:footnote w:id="68">
    <w:p w14:paraId="7F82D02E" w14:textId="22950E19" w:rsidR="00B2603D" w:rsidRDefault="00B2603D">
      <w:pPr>
        <w:pStyle w:val="FootnoteText"/>
      </w:pPr>
      <w:r>
        <w:rPr>
          <w:rStyle w:val="FootnoteReference"/>
        </w:rPr>
        <w:footnoteRef/>
      </w:r>
      <w:r>
        <w:t xml:space="preserve"> </w:t>
      </w:r>
      <w:r w:rsidR="002F7C24">
        <w:t xml:space="preserve">PG&amp;E Opening Comments on </w:t>
      </w:r>
      <w:r w:rsidR="008230EB">
        <w:t>January </w:t>
      </w:r>
      <w:r w:rsidR="002F7C24">
        <w:t>26 Ruling</w:t>
      </w:r>
      <w:r w:rsidR="00306EBE">
        <w:t xml:space="preserve"> at </w:t>
      </w:r>
      <w:r>
        <w:t>8</w:t>
      </w:r>
      <w:r w:rsidR="002F7C24">
        <w:t xml:space="preserve">, SDG&amp;E Opening Comments on </w:t>
      </w:r>
      <w:r w:rsidR="008230EB">
        <w:t>January </w:t>
      </w:r>
      <w:r w:rsidR="002F7C24">
        <w:t>26 Ruling</w:t>
      </w:r>
      <w:r w:rsidR="00306EBE">
        <w:t xml:space="preserve"> at </w:t>
      </w:r>
      <w:r w:rsidR="002F7C24">
        <w:t>12</w:t>
      </w:r>
      <w:r w:rsidR="00C54EC9">
        <w:noBreakHyphen/>
      </w:r>
      <w:r w:rsidR="002F7C24">
        <w:t>13</w:t>
      </w:r>
      <w:r w:rsidR="00C94D93">
        <w:t>.</w:t>
      </w:r>
    </w:p>
  </w:footnote>
  <w:footnote w:id="69">
    <w:p w14:paraId="407AF134" w14:textId="0711F45B" w:rsidR="00082D22" w:rsidRDefault="00082D22">
      <w:pPr>
        <w:pStyle w:val="FootnoteText"/>
      </w:pPr>
      <w:r>
        <w:rPr>
          <w:rStyle w:val="FootnoteReference"/>
        </w:rPr>
        <w:footnoteRef/>
      </w:r>
      <w:r>
        <w:t xml:space="preserve"> SCE Opening Comments on </w:t>
      </w:r>
      <w:r w:rsidR="008230EB">
        <w:t>January </w:t>
      </w:r>
      <w:r>
        <w:t>26 Ruling</w:t>
      </w:r>
      <w:r w:rsidR="00306EBE">
        <w:t xml:space="preserve"> at </w:t>
      </w:r>
      <w:r>
        <w:t>5</w:t>
      </w:r>
      <w:r w:rsidR="00C54EC9">
        <w:noBreakHyphen/>
      </w:r>
      <w:r>
        <w:t>6</w:t>
      </w:r>
      <w:r w:rsidR="00553A02">
        <w:t xml:space="preserve">, SDG&amp;E Opening Comments on </w:t>
      </w:r>
      <w:r w:rsidR="008230EB">
        <w:t>January </w:t>
      </w:r>
      <w:r w:rsidR="00553A02">
        <w:t>26 Ruling</w:t>
      </w:r>
      <w:r w:rsidR="00306EBE">
        <w:t xml:space="preserve"> at </w:t>
      </w:r>
      <w:r w:rsidR="00553A02">
        <w:t>7</w:t>
      </w:r>
      <w:r>
        <w:t>.</w:t>
      </w:r>
    </w:p>
  </w:footnote>
  <w:footnote w:id="70">
    <w:p w14:paraId="0244F411" w14:textId="2DA06D0E"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6.</w:t>
      </w:r>
    </w:p>
  </w:footnote>
  <w:footnote w:id="71">
    <w:p w14:paraId="2A53CFA6" w14:textId="36994C9B" w:rsidR="009476CA" w:rsidRDefault="009476CA" w:rsidP="009476CA">
      <w:pPr>
        <w:pStyle w:val="FootnoteText"/>
      </w:pPr>
      <w:r>
        <w:rPr>
          <w:rStyle w:val="FootnoteReference"/>
        </w:rPr>
        <w:footnoteRef/>
      </w:r>
      <w:r>
        <w:t xml:space="preserve"> </w:t>
      </w:r>
      <w:r w:rsidR="00BB24A8">
        <w:t>A</w:t>
      </w:r>
      <w:r w:rsidR="00343319">
        <w:t>L</w:t>
      </w:r>
      <w:r w:rsidR="00BB24A8">
        <w:t> </w:t>
      </w:r>
      <w:r>
        <w:t>20</w:t>
      </w:r>
      <w:r w:rsidR="00C54EC9">
        <w:noBreakHyphen/>
      </w:r>
      <w:r>
        <w:t>E</w:t>
      </w:r>
      <w:r w:rsidR="00306EBE">
        <w:t xml:space="preserve"> at </w:t>
      </w:r>
      <w:r>
        <w:t>6.</w:t>
      </w:r>
    </w:p>
  </w:footnote>
  <w:footnote w:id="72">
    <w:p w14:paraId="6C51D1DF" w14:textId="1254AB24" w:rsidR="009476CA" w:rsidRDefault="009476CA" w:rsidP="009476CA">
      <w:pPr>
        <w:pStyle w:val="FootnoteText"/>
      </w:pPr>
      <w:r>
        <w:rPr>
          <w:rStyle w:val="FootnoteReference"/>
        </w:rPr>
        <w:footnoteRef/>
      </w:r>
      <w:r>
        <w:t xml:space="preserve"> </w:t>
      </w:r>
      <w:r w:rsidR="008230EB">
        <w:t>January </w:t>
      </w:r>
      <w:r>
        <w:t>26 Ruling</w:t>
      </w:r>
      <w:r w:rsidR="00306EBE">
        <w:t xml:space="preserve"> at </w:t>
      </w:r>
      <w:r>
        <w:t>6.</w:t>
      </w:r>
    </w:p>
  </w:footnote>
  <w:footnote w:id="73">
    <w:p w14:paraId="19ED3C32" w14:textId="1B79DA36" w:rsidR="009476CA" w:rsidRDefault="009476CA" w:rsidP="009476CA">
      <w:pPr>
        <w:pStyle w:val="FootnoteText"/>
      </w:pPr>
      <w:r>
        <w:rPr>
          <w:rStyle w:val="FootnoteReference"/>
        </w:rPr>
        <w:footnoteRef/>
      </w:r>
      <w:r>
        <w:t xml:space="preserve"> GRID Opening Comments on </w:t>
      </w:r>
      <w:r w:rsidR="008230EB">
        <w:t>January </w:t>
      </w:r>
      <w:r>
        <w:t>26 Ruling</w:t>
      </w:r>
      <w:r w:rsidR="00306EBE">
        <w:t xml:space="preserve"> at </w:t>
      </w:r>
      <w:r>
        <w:t>14.</w:t>
      </w:r>
    </w:p>
  </w:footnote>
  <w:footnote w:id="74">
    <w:p w14:paraId="3D2AF818" w14:textId="5657B80F" w:rsidR="009476CA" w:rsidRDefault="009476CA" w:rsidP="009476CA">
      <w:pPr>
        <w:pStyle w:val="FootnoteText"/>
      </w:pPr>
      <w:r>
        <w:rPr>
          <w:rStyle w:val="FootnoteReference"/>
        </w:rPr>
        <w:footnoteRef/>
      </w:r>
      <w:r>
        <w:t xml:space="preserve"> </w:t>
      </w:r>
      <w:r w:rsidR="0002587E" w:rsidRPr="0002587E">
        <w:rPr>
          <w:i/>
          <w:iCs/>
        </w:rPr>
        <w:t>Ibid.</w:t>
      </w:r>
    </w:p>
  </w:footnote>
  <w:footnote w:id="75">
    <w:p w14:paraId="347C97D2" w14:textId="115C5674" w:rsidR="009476CA" w:rsidRDefault="009476CA" w:rsidP="009476CA">
      <w:pPr>
        <w:pStyle w:val="FootnoteText"/>
      </w:pPr>
      <w:r>
        <w:rPr>
          <w:rStyle w:val="FootnoteReference"/>
        </w:rPr>
        <w:footnoteRef/>
      </w:r>
      <w:r>
        <w:t xml:space="preserve"> SDCP Opening Comments on </w:t>
      </w:r>
      <w:r w:rsidR="008230EB">
        <w:t>January </w:t>
      </w:r>
      <w:r>
        <w:t>26 Ruling</w:t>
      </w:r>
      <w:r w:rsidR="00306EBE">
        <w:t xml:space="preserve"> at </w:t>
      </w:r>
      <w:r>
        <w:t>3</w:t>
      </w:r>
      <w:r w:rsidR="00C54EC9">
        <w:noBreakHyphen/>
      </w:r>
      <w:r>
        <w:t>4.</w:t>
      </w:r>
    </w:p>
  </w:footnote>
  <w:footnote w:id="76">
    <w:p w14:paraId="2AD92ABB" w14:textId="5F7DA5C5" w:rsidR="009476CA" w:rsidRDefault="009476CA" w:rsidP="009476CA">
      <w:pPr>
        <w:pStyle w:val="FootnoteText"/>
      </w:pPr>
      <w:r>
        <w:rPr>
          <w:rStyle w:val="FootnoteReference"/>
        </w:rPr>
        <w:footnoteRef/>
      </w:r>
      <w:r>
        <w:t xml:space="preserve"> TEA Opening Comments on </w:t>
      </w:r>
      <w:r w:rsidR="008230EB">
        <w:t>January </w:t>
      </w:r>
      <w:r>
        <w:t>26 Ruling</w:t>
      </w:r>
      <w:r w:rsidR="00306EBE">
        <w:t xml:space="preserve"> at </w:t>
      </w:r>
      <w:r>
        <w:t>6.</w:t>
      </w:r>
    </w:p>
  </w:footnote>
  <w:footnote w:id="77">
    <w:p w14:paraId="0C8DC5BC" w14:textId="1AB67B98" w:rsidR="00A23CE1" w:rsidRDefault="00A23CE1">
      <w:pPr>
        <w:pStyle w:val="FootnoteText"/>
      </w:pPr>
      <w:r>
        <w:rPr>
          <w:rStyle w:val="FootnoteReference"/>
        </w:rPr>
        <w:footnoteRef/>
      </w:r>
      <w:r>
        <w:t xml:space="preserve"> CEJA and CBD Reply Comments on </w:t>
      </w:r>
      <w:r w:rsidR="008230EB">
        <w:t>January </w:t>
      </w:r>
      <w:r>
        <w:t>26 Ruling</w:t>
      </w:r>
      <w:r w:rsidR="00306EBE">
        <w:t xml:space="preserve"> at </w:t>
      </w:r>
      <w:r>
        <w:t>6.</w:t>
      </w:r>
    </w:p>
  </w:footnote>
  <w:footnote w:id="78">
    <w:p w14:paraId="684920CC" w14:textId="34B4C6E3" w:rsidR="009476CA" w:rsidRDefault="009476CA" w:rsidP="009476CA">
      <w:pPr>
        <w:pStyle w:val="FootnoteText"/>
      </w:pPr>
      <w:r>
        <w:rPr>
          <w:rStyle w:val="FootnoteReference"/>
        </w:rPr>
        <w:footnoteRef/>
      </w:r>
      <w:r>
        <w:t xml:space="preserve"> SDG&amp;E Opening Comments on </w:t>
      </w:r>
      <w:r w:rsidR="008230EB">
        <w:t>January </w:t>
      </w:r>
      <w:r>
        <w:t>26 Ruling</w:t>
      </w:r>
      <w:r w:rsidR="00306EBE">
        <w:t xml:space="preserve"> at </w:t>
      </w:r>
      <w:r>
        <w:t>11.</w:t>
      </w:r>
    </w:p>
  </w:footnote>
  <w:footnote w:id="79">
    <w:p w14:paraId="587C1C48" w14:textId="7E7C08AF" w:rsidR="009476CA" w:rsidRDefault="009476CA" w:rsidP="009476CA">
      <w:pPr>
        <w:pStyle w:val="FootnoteText"/>
      </w:pPr>
      <w:r>
        <w:rPr>
          <w:rStyle w:val="FootnoteReference"/>
        </w:rPr>
        <w:footnoteRef/>
      </w:r>
      <w:r>
        <w:t xml:space="preserve"> PG&amp;E Opening Comments on </w:t>
      </w:r>
      <w:r w:rsidR="008230EB">
        <w:t>January </w:t>
      </w:r>
      <w:r>
        <w:t>26 Ruling</w:t>
      </w:r>
      <w:r w:rsidR="00306EBE">
        <w:t xml:space="preserve"> at </w:t>
      </w:r>
      <w:r>
        <w:t>6.</w:t>
      </w:r>
    </w:p>
  </w:footnote>
  <w:footnote w:id="80">
    <w:p w14:paraId="2C55DEC2" w14:textId="20EEC64A" w:rsidR="009476CA" w:rsidRDefault="009476CA" w:rsidP="009476CA">
      <w:pPr>
        <w:pStyle w:val="FootnoteText"/>
      </w:pPr>
      <w:r>
        <w:rPr>
          <w:rStyle w:val="FootnoteReference"/>
        </w:rPr>
        <w:footnoteRef/>
      </w:r>
      <w:r>
        <w:t xml:space="preserve"> SCE Opening Comments on </w:t>
      </w:r>
      <w:r w:rsidR="008230EB">
        <w:t>January </w:t>
      </w:r>
      <w:r>
        <w:t>26 Ruling</w:t>
      </w:r>
      <w:r w:rsidR="00306EBE">
        <w:t xml:space="preserve"> at </w:t>
      </w:r>
      <w:r>
        <w:t>7.</w:t>
      </w:r>
    </w:p>
  </w:footnote>
  <w:footnote w:id="81">
    <w:p w14:paraId="61E84EFE" w14:textId="65D127AD" w:rsidR="0015721D" w:rsidRDefault="0015721D">
      <w:pPr>
        <w:pStyle w:val="FootnoteText"/>
      </w:pPr>
      <w:r>
        <w:rPr>
          <w:rStyle w:val="FootnoteReference"/>
        </w:rPr>
        <w:footnoteRef/>
      </w:r>
      <w:r>
        <w:t xml:space="preserve"> DAC</w:t>
      </w:r>
      <w:r w:rsidR="00C54EC9">
        <w:noBreakHyphen/>
      </w:r>
      <w:r>
        <w:t>SASH Program Handbook</w:t>
      </w:r>
      <w:r w:rsidR="00306EBE">
        <w:t xml:space="preserve"> at </w:t>
      </w:r>
      <w:r>
        <w:t>5.</w:t>
      </w:r>
    </w:p>
  </w:footnote>
  <w:footnote w:id="82">
    <w:p w14:paraId="3DE9213F" w14:textId="7ADB57C0" w:rsidR="0015721D" w:rsidRDefault="0015721D">
      <w:pPr>
        <w:pStyle w:val="FootnoteText"/>
      </w:pPr>
      <w:r>
        <w:rPr>
          <w:rStyle w:val="FootnoteReference"/>
        </w:rPr>
        <w:footnoteRef/>
      </w:r>
      <w:r>
        <w:t xml:space="preserve"> </w:t>
      </w:r>
      <w:r w:rsidR="008230EB">
        <w:t>January </w:t>
      </w:r>
      <w:r>
        <w:t>26 Ruling</w:t>
      </w:r>
      <w:r w:rsidR="00306EBE">
        <w:t xml:space="preserve"> at </w:t>
      </w:r>
      <w:r>
        <w:t>7.</w:t>
      </w:r>
    </w:p>
  </w:footnote>
  <w:footnote w:id="83">
    <w:p w14:paraId="1BCB552F" w14:textId="514311B2" w:rsidR="0015721D" w:rsidRDefault="0015721D">
      <w:pPr>
        <w:pStyle w:val="FootnoteText"/>
      </w:pPr>
      <w:r>
        <w:rPr>
          <w:rStyle w:val="FootnoteReference"/>
        </w:rPr>
        <w:footnoteRef/>
      </w:r>
      <w:r>
        <w:t xml:space="preserve"> PG&amp;E Opening Comments on </w:t>
      </w:r>
      <w:r w:rsidR="008230EB">
        <w:t>January </w:t>
      </w:r>
      <w:r>
        <w:t>26 Ruling</w:t>
      </w:r>
      <w:r w:rsidR="00306EBE">
        <w:t xml:space="preserve"> at </w:t>
      </w:r>
      <w:r>
        <w:t xml:space="preserve">7, SDG&amp;E Opening Comments on </w:t>
      </w:r>
      <w:r w:rsidR="008230EB">
        <w:t>January </w:t>
      </w:r>
      <w:r>
        <w:t>26 Ruling</w:t>
      </w:r>
      <w:r w:rsidR="00306EBE">
        <w:t xml:space="preserve"> at </w:t>
      </w:r>
      <w:r>
        <w:t xml:space="preserve">12, </w:t>
      </w:r>
      <w:r w:rsidR="00086432">
        <w:t>Cal Advoc</w:t>
      </w:r>
      <w:r>
        <w:t>ates Opening Comments</w:t>
      </w:r>
      <w:r w:rsidR="00306EBE">
        <w:t xml:space="preserve"> at </w:t>
      </w:r>
      <w:r>
        <w:t>5.</w:t>
      </w:r>
    </w:p>
  </w:footnote>
  <w:footnote w:id="84">
    <w:p w14:paraId="21FFF308" w14:textId="5739062A" w:rsidR="0015721D" w:rsidRDefault="0015721D">
      <w:pPr>
        <w:pStyle w:val="FootnoteText"/>
      </w:pPr>
      <w:r>
        <w:rPr>
          <w:rStyle w:val="FootnoteReference"/>
        </w:rPr>
        <w:footnoteRef/>
      </w:r>
      <w:r>
        <w:t xml:space="preserve"> SCE Opening Comments on </w:t>
      </w:r>
      <w:r w:rsidR="008230EB">
        <w:t>January </w:t>
      </w:r>
      <w:r>
        <w:t>26 Ruling</w:t>
      </w:r>
      <w:r w:rsidR="00306EBE">
        <w:t xml:space="preserve"> at </w:t>
      </w:r>
      <w:r>
        <w:t>7.</w:t>
      </w:r>
    </w:p>
  </w:footnote>
  <w:footnote w:id="85">
    <w:p w14:paraId="2E22AE9A" w14:textId="56F060AD" w:rsidR="008D09E0" w:rsidRDefault="008D09E0">
      <w:pPr>
        <w:pStyle w:val="FootnoteText"/>
      </w:pPr>
      <w:r>
        <w:rPr>
          <w:rStyle w:val="FootnoteReference"/>
        </w:rPr>
        <w:footnoteRef/>
      </w:r>
      <w:r>
        <w:t xml:space="preserve"> </w:t>
      </w:r>
      <w:r w:rsidR="008230EB">
        <w:t>January </w:t>
      </w:r>
      <w:r>
        <w:t>26 Ruling</w:t>
      </w:r>
      <w:r w:rsidR="00306EBE">
        <w:t xml:space="preserve"> at </w:t>
      </w:r>
      <w:r>
        <w:t>7.</w:t>
      </w:r>
    </w:p>
  </w:footnote>
  <w:footnote w:id="86">
    <w:p w14:paraId="2EC68B77" w14:textId="22388C19" w:rsidR="00CB3DEF" w:rsidRDefault="00CB3DEF">
      <w:pPr>
        <w:pStyle w:val="FootnoteText"/>
      </w:pPr>
      <w:r>
        <w:rPr>
          <w:rStyle w:val="FootnoteReference"/>
        </w:rPr>
        <w:footnoteRef/>
      </w:r>
      <w:r>
        <w:t xml:space="preserve"> GRID Opening Comments on </w:t>
      </w:r>
      <w:r w:rsidR="008230EB">
        <w:t>January </w:t>
      </w:r>
      <w:r>
        <w:t>26 Ruling</w:t>
      </w:r>
      <w:r w:rsidR="00306EBE">
        <w:t xml:space="preserve"> at </w:t>
      </w:r>
      <w:r>
        <w:t>16, S</w:t>
      </w:r>
      <w:r w:rsidR="00734E50">
        <w:t>DG&amp;</w:t>
      </w:r>
      <w:r>
        <w:t xml:space="preserve">E Opening Comments on </w:t>
      </w:r>
      <w:r w:rsidR="008230EB">
        <w:t>January </w:t>
      </w:r>
      <w:r>
        <w:t>26 Ruling</w:t>
      </w:r>
      <w:r w:rsidR="00306EBE">
        <w:t xml:space="preserve"> at </w:t>
      </w:r>
      <w:r>
        <w:t>13.</w:t>
      </w:r>
    </w:p>
  </w:footnote>
  <w:footnote w:id="87">
    <w:p w14:paraId="0474FCF0" w14:textId="5B2819C3" w:rsidR="00CB3DEF" w:rsidRDefault="00CB3DEF">
      <w:pPr>
        <w:pStyle w:val="FootnoteText"/>
      </w:pPr>
      <w:r>
        <w:rPr>
          <w:rStyle w:val="FootnoteReference"/>
        </w:rPr>
        <w:footnoteRef/>
      </w:r>
      <w:r>
        <w:t xml:space="preserve"> PG&amp;E Opening Comments on </w:t>
      </w:r>
      <w:r w:rsidR="008230EB">
        <w:t>January </w:t>
      </w:r>
      <w:r>
        <w:t>26 Ruling</w:t>
      </w:r>
      <w:r w:rsidR="00306EBE">
        <w:t xml:space="preserve"> at </w:t>
      </w:r>
      <w:r>
        <w:t>8.</w:t>
      </w:r>
    </w:p>
  </w:footnote>
  <w:footnote w:id="88">
    <w:p w14:paraId="48D48825" w14:textId="6E12F1BD" w:rsidR="00734E50" w:rsidRDefault="00734E50">
      <w:pPr>
        <w:pStyle w:val="FootnoteText"/>
      </w:pPr>
      <w:r>
        <w:rPr>
          <w:rStyle w:val="FootnoteReference"/>
        </w:rPr>
        <w:footnoteRef/>
      </w:r>
      <w:r>
        <w:t xml:space="preserve"> SCE Opening Comments on January</w:t>
      </w:r>
      <w:r w:rsidR="004A7BF5">
        <w:t> </w:t>
      </w:r>
      <w:r>
        <w:t>26 Ruling at</w:t>
      </w:r>
      <w:r w:rsidR="004A7BF5">
        <w:t> </w:t>
      </w:r>
      <w:r>
        <w:t>8.</w:t>
      </w:r>
    </w:p>
  </w:footnote>
  <w:footnote w:id="89">
    <w:p w14:paraId="2E3684D8" w14:textId="074A42CA" w:rsidR="00775A25" w:rsidRDefault="00775A25">
      <w:pPr>
        <w:pStyle w:val="FootnoteText"/>
      </w:pPr>
      <w:r>
        <w:rPr>
          <w:rStyle w:val="FootnoteReference"/>
        </w:rPr>
        <w:footnoteRef/>
      </w:r>
      <w:r>
        <w:t xml:space="preserve"> GRID Opening Comments on Proposed Decision at 2.</w:t>
      </w:r>
    </w:p>
  </w:footnote>
  <w:footnote w:id="90">
    <w:p w14:paraId="5AA5E594" w14:textId="04977C32" w:rsidR="009B34E6" w:rsidRPr="009B34E6" w:rsidRDefault="009B34E6">
      <w:pPr>
        <w:pStyle w:val="FootnoteText"/>
      </w:pPr>
      <w:r>
        <w:rPr>
          <w:rStyle w:val="FootnoteReference"/>
        </w:rPr>
        <w:footnoteRef/>
      </w:r>
      <w:r>
        <w:t xml:space="preserve"> </w:t>
      </w:r>
      <w:r>
        <w:rPr>
          <w:i/>
          <w:iCs/>
        </w:rPr>
        <w:t>Id.</w:t>
      </w:r>
      <w:r>
        <w:t xml:space="preserve"> at 4.</w:t>
      </w:r>
    </w:p>
  </w:footnote>
  <w:footnote w:id="91">
    <w:p w14:paraId="3CEC46F9" w14:textId="2B596B10" w:rsidR="00D67852" w:rsidRPr="00D67852" w:rsidRDefault="00D67852">
      <w:pPr>
        <w:pStyle w:val="FootnoteText"/>
      </w:pPr>
      <w:r>
        <w:rPr>
          <w:rStyle w:val="FootnoteReference"/>
        </w:rPr>
        <w:footnoteRef/>
      </w:r>
      <w:r>
        <w:t xml:space="preserve"> </w:t>
      </w:r>
      <w:r>
        <w:rPr>
          <w:i/>
          <w:iCs/>
        </w:rPr>
        <w:t>Id.</w:t>
      </w:r>
      <w:r>
        <w:t xml:space="preserve"> at 4-5.</w:t>
      </w:r>
    </w:p>
  </w:footnote>
  <w:footnote w:id="92">
    <w:p w14:paraId="0DF6C1EF" w14:textId="5AD22B70" w:rsidR="00D67852" w:rsidRPr="00D67852" w:rsidRDefault="00D67852">
      <w:pPr>
        <w:pStyle w:val="FootnoteText"/>
      </w:pPr>
      <w:r>
        <w:rPr>
          <w:rStyle w:val="FootnoteReference"/>
        </w:rPr>
        <w:footnoteRef/>
      </w:r>
      <w:r>
        <w:t xml:space="preserve"> </w:t>
      </w:r>
      <w:r>
        <w:rPr>
          <w:i/>
          <w:iCs/>
        </w:rPr>
        <w:t>Id.</w:t>
      </w:r>
      <w:r>
        <w:t xml:space="preserve"> at 5.</w:t>
      </w:r>
    </w:p>
  </w:footnote>
  <w:footnote w:id="93">
    <w:p w14:paraId="1743570E" w14:textId="530F3228" w:rsidR="00D67852" w:rsidRPr="00D67852" w:rsidRDefault="00D67852">
      <w:pPr>
        <w:pStyle w:val="FootnoteText"/>
      </w:pPr>
      <w:r>
        <w:rPr>
          <w:rStyle w:val="FootnoteReference"/>
        </w:rPr>
        <w:footnoteRef/>
      </w:r>
      <w:r>
        <w:t xml:space="preserve"> </w:t>
      </w:r>
      <w:r>
        <w:rPr>
          <w:i/>
          <w:iCs/>
        </w:rPr>
        <w:t>Id.</w:t>
      </w:r>
      <w:r>
        <w:t xml:space="preserve"> at 6.</w:t>
      </w:r>
    </w:p>
  </w:footnote>
  <w:footnote w:id="94">
    <w:p w14:paraId="2D5208A4" w14:textId="5E036545" w:rsidR="003523AA" w:rsidRDefault="003523AA">
      <w:pPr>
        <w:pStyle w:val="FootnoteText"/>
      </w:pPr>
      <w:r>
        <w:rPr>
          <w:rStyle w:val="FootnoteReference"/>
        </w:rPr>
        <w:footnoteRef/>
      </w:r>
      <w:r>
        <w:t xml:space="preserve"> GRID Opening Comments on Proposed Decision at 6-7.</w:t>
      </w:r>
    </w:p>
  </w:footnote>
  <w:footnote w:id="95">
    <w:p w14:paraId="59AF0E46" w14:textId="7F96A27F" w:rsidR="003523AA" w:rsidRDefault="003523AA">
      <w:pPr>
        <w:pStyle w:val="FootnoteText"/>
      </w:pPr>
      <w:r>
        <w:rPr>
          <w:rStyle w:val="FootnoteReference"/>
        </w:rPr>
        <w:footnoteRef/>
      </w:r>
      <w:r>
        <w:t xml:space="preserve"> GRID Opening Comments on Proposed Decision a 7. </w:t>
      </w:r>
    </w:p>
  </w:footnote>
  <w:footnote w:id="96">
    <w:p w14:paraId="1E608F5D" w14:textId="62EE9EC5" w:rsidR="00CA6800" w:rsidRDefault="00CA6800" w:rsidP="00CA6800">
      <w:pPr>
        <w:pStyle w:val="FootnoteText"/>
      </w:pPr>
      <w:r>
        <w:rPr>
          <w:rStyle w:val="FootnoteReference"/>
        </w:rPr>
        <w:footnoteRef/>
      </w:r>
      <w:r>
        <w:t xml:space="preserve"> GRID Opening Comments on Proposed Decision at 3-4.</w:t>
      </w:r>
    </w:p>
  </w:footnote>
  <w:footnote w:id="97">
    <w:p w14:paraId="0FD9FC15" w14:textId="287ABE76" w:rsidR="00034714" w:rsidRDefault="00034714">
      <w:pPr>
        <w:pStyle w:val="FootnoteText"/>
      </w:pPr>
      <w:r>
        <w:rPr>
          <w:rStyle w:val="FootnoteReference"/>
        </w:rPr>
        <w:footnoteRef/>
      </w:r>
      <w:r>
        <w:t xml:space="preserve"> PG&amp;E Opening Comments on Proposed Decision at 1-2.</w:t>
      </w:r>
    </w:p>
  </w:footnote>
  <w:footnote w:id="98">
    <w:p w14:paraId="7780F6BA" w14:textId="3A7D9D43" w:rsidR="003523AA" w:rsidRDefault="003523AA">
      <w:pPr>
        <w:pStyle w:val="FootnoteText"/>
      </w:pPr>
      <w:r>
        <w:rPr>
          <w:rStyle w:val="FootnoteReference"/>
        </w:rPr>
        <w:footnoteRef/>
      </w:r>
      <w:r>
        <w:t xml:space="preserve"> CBD and CEJA Opening Comments on Proposed Decision at 1-2.</w:t>
      </w:r>
    </w:p>
  </w:footnote>
  <w:footnote w:id="99">
    <w:p w14:paraId="35392E46" w14:textId="1012202C" w:rsidR="003523AA" w:rsidRDefault="003523AA">
      <w:pPr>
        <w:pStyle w:val="FootnoteText"/>
      </w:pPr>
      <w:r>
        <w:rPr>
          <w:rStyle w:val="FootnoteReference"/>
        </w:rPr>
        <w:footnoteRef/>
      </w:r>
      <w:r>
        <w:t xml:space="preserve"> CBD and CEJA Opening Comments on Proposed Decision at 3-4.</w:t>
      </w:r>
    </w:p>
  </w:footnote>
  <w:footnote w:id="100">
    <w:p w14:paraId="595294DD" w14:textId="1C9EDC23" w:rsidR="003523AA" w:rsidRDefault="003523AA">
      <w:pPr>
        <w:pStyle w:val="FootnoteText"/>
      </w:pPr>
      <w:r>
        <w:rPr>
          <w:rStyle w:val="FootnoteReference"/>
        </w:rPr>
        <w:footnoteRef/>
      </w:r>
      <w:r>
        <w:t xml:space="preserve"> CBD and CEJA Opening Comments on Proposed Decision at 4-5.</w:t>
      </w:r>
    </w:p>
  </w:footnote>
  <w:footnote w:id="101">
    <w:p w14:paraId="4E57D213" w14:textId="2CE40BA2" w:rsidR="003523AA" w:rsidRDefault="003523AA">
      <w:pPr>
        <w:pStyle w:val="FootnoteText"/>
      </w:pPr>
      <w:r>
        <w:rPr>
          <w:rStyle w:val="FootnoteReference"/>
        </w:rPr>
        <w:footnoteRef/>
      </w:r>
      <w:r>
        <w:t xml:space="preserve"> CBD and CEJA Opening Comments on Proposed Decision at 5-6.</w:t>
      </w:r>
    </w:p>
  </w:footnote>
  <w:footnote w:id="102">
    <w:p w14:paraId="09DFB787" w14:textId="1B4EE1D3" w:rsidR="003466EE" w:rsidRDefault="003466EE">
      <w:pPr>
        <w:pStyle w:val="FootnoteText"/>
      </w:pPr>
      <w:r>
        <w:rPr>
          <w:rStyle w:val="FootnoteReference"/>
        </w:rPr>
        <w:footnoteRef/>
      </w:r>
      <w:r>
        <w:t xml:space="preserve"> SCE Reply Comments on Proposed Decision at 1-2.</w:t>
      </w:r>
    </w:p>
  </w:footnote>
  <w:footnote w:id="103">
    <w:p w14:paraId="66335F6B" w14:textId="1AB70291" w:rsidR="00941CDA" w:rsidRDefault="00941CDA">
      <w:pPr>
        <w:pStyle w:val="FootnoteText"/>
      </w:pPr>
      <w:r>
        <w:rPr>
          <w:rStyle w:val="FootnoteReference"/>
        </w:rPr>
        <w:footnoteRef/>
      </w:r>
      <w:r>
        <w:t xml:space="preserve"> SEIA Opening Comments on Proposed Decision at 2-3.</w:t>
      </w:r>
    </w:p>
  </w:footnote>
  <w:footnote w:id="104">
    <w:p w14:paraId="4457A452" w14:textId="43D1F3FF" w:rsidR="00941CDA" w:rsidRDefault="00941CDA">
      <w:pPr>
        <w:pStyle w:val="FootnoteText"/>
      </w:pPr>
      <w:r>
        <w:rPr>
          <w:rStyle w:val="FootnoteReference"/>
        </w:rPr>
        <w:footnoteRef/>
      </w:r>
      <w:r>
        <w:t xml:space="preserve"> SEIA Opening Comments on Proposed Decision at 3-4.</w:t>
      </w:r>
    </w:p>
  </w:footnote>
  <w:footnote w:id="105">
    <w:p w14:paraId="746D8276" w14:textId="210B6FDF" w:rsidR="00941CDA" w:rsidRDefault="00941CDA">
      <w:pPr>
        <w:pStyle w:val="FootnoteText"/>
      </w:pPr>
      <w:r>
        <w:rPr>
          <w:rStyle w:val="FootnoteReference"/>
        </w:rPr>
        <w:footnoteRef/>
      </w:r>
      <w:r>
        <w:t xml:space="preserve"> SEIA Opening Comments on Proposed Decision at 3-4.</w:t>
      </w:r>
    </w:p>
  </w:footnote>
  <w:footnote w:id="106">
    <w:p w14:paraId="6461543A" w14:textId="6637A10A" w:rsidR="001D2A7A" w:rsidRDefault="001D2A7A">
      <w:pPr>
        <w:pStyle w:val="FootnoteText"/>
      </w:pPr>
      <w:r>
        <w:rPr>
          <w:rStyle w:val="FootnoteReference"/>
        </w:rPr>
        <w:footnoteRef/>
      </w:r>
      <w:r>
        <w:t xml:space="preserve"> SCE Reply Comments on Proposed Decision at 2.</w:t>
      </w:r>
    </w:p>
  </w:footnote>
  <w:footnote w:id="107">
    <w:p w14:paraId="31615FF4" w14:textId="3FBB1B15" w:rsidR="00B62759" w:rsidRDefault="00B62759">
      <w:pPr>
        <w:pStyle w:val="FootnoteText"/>
      </w:pPr>
      <w:r>
        <w:rPr>
          <w:rStyle w:val="FootnoteReference"/>
        </w:rPr>
        <w:footnoteRef/>
      </w:r>
      <w:r>
        <w:t xml:space="preserve"> SDG&amp;E Opening Comments on Proposed Decision at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1800" w14:textId="3D54EFC4" w:rsidR="00F92385" w:rsidRPr="00A97542" w:rsidRDefault="00CA235E" w:rsidP="00A97542">
    <w:pPr>
      <w:pStyle w:val="Header"/>
      <w:tabs>
        <w:tab w:val="clear" w:pos="4680"/>
      </w:tabs>
      <w:ind w:firstLine="0"/>
      <w:rPr>
        <w:b/>
      </w:rPr>
    </w:pPr>
    <w:r w:rsidRPr="00CA235E">
      <w:t>R</w:t>
    </w:r>
    <w:r>
      <w:t>.</w:t>
    </w:r>
    <w:r w:rsidRPr="00CA235E">
      <w:t>25</w:t>
    </w:r>
    <w:r w:rsidR="00C54EC9">
      <w:noBreakHyphen/>
    </w:r>
    <w:r w:rsidRPr="00CA235E">
      <w:t>01</w:t>
    </w:r>
    <w:r w:rsidR="00C54EC9">
      <w:noBreakHyphen/>
    </w:r>
    <w:r w:rsidRPr="00CA235E">
      <w:t xml:space="preserve">005 </w:t>
    </w:r>
    <w:r>
      <w:t xml:space="preserve"> ALJ/CJA</w:t>
    </w:r>
    <w:r w:rsidRPr="00CA235E">
      <w:t>/</w:t>
    </w:r>
    <w:r>
      <w:t>nd3</w:t>
    </w:r>
    <w:r w:rsidR="00B317A2">
      <w:t>/sgu</w:t>
    </w:r>
    <w:r>
      <w:tab/>
    </w:r>
    <w:r w:rsidRPr="00B317A2">
      <w:rPr>
        <w:b/>
      </w:rPr>
      <w:t>PROPOSED DECISION</w:t>
    </w:r>
    <w:r w:rsidR="004A44A5" w:rsidRPr="00B317A2">
      <w:rPr>
        <w:b/>
      </w:rPr>
      <w:t xml:space="preserve"> (REV. 1</w:t>
    </w:r>
    <w:r w:rsidR="004A44A5">
      <w:rPr>
        <w:bC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A48A" w14:textId="77777777" w:rsidR="00204F31" w:rsidRPr="00A97542" w:rsidRDefault="00204F31" w:rsidP="00A9754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8139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4913BE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5351DE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6B5B49E"/>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72951FA"/>
    <w:multiLevelType w:val="multilevel"/>
    <w:tmpl w:val="18F4A5AC"/>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6" w15:restartNumberingAfterBreak="0">
    <w:nsid w:val="07404DD0"/>
    <w:multiLevelType w:val="hybridMultilevel"/>
    <w:tmpl w:val="D9AC3E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BC5CFB"/>
    <w:multiLevelType w:val="hybridMultilevel"/>
    <w:tmpl w:val="FFFFFFFF"/>
    <w:lvl w:ilvl="0" w:tplc="1952DA0C">
      <w:start w:val="1"/>
      <w:numFmt w:val="decimal"/>
      <w:lvlText w:val="%1."/>
      <w:lvlJc w:val="left"/>
      <w:pPr>
        <w:ind w:left="720" w:hanging="360"/>
      </w:pPr>
      <w:rPr>
        <w:rFonts w:ascii="Arial" w:hAnsi="Arial" w:hint="default"/>
      </w:rPr>
    </w:lvl>
    <w:lvl w:ilvl="1" w:tplc="823A928C">
      <w:start w:val="1"/>
      <w:numFmt w:val="lowerLetter"/>
      <w:lvlText w:val="%2."/>
      <w:lvlJc w:val="left"/>
      <w:pPr>
        <w:ind w:left="1800" w:hanging="360"/>
      </w:pPr>
    </w:lvl>
    <w:lvl w:ilvl="2" w:tplc="74E63E3E">
      <w:start w:val="1"/>
      <w:numFmt w:val="lowerRoman"/>
      <w:lvlText w:val="%3."/>
      <w:lvlJc w:val="right"/>
      <w:pPr>
        <w:ind w:left="2520" w:hanging="180"/>
      </w:pPr>
    </w:lvl>
    <w:lvl w:ilvl="3" w:tplc="31E209EC">
      <w:start w:val="1"/>
      <w:numFmt w:val="decimal"/>
      <w:lvlText w:val="%4."/>
      <w:lvlJc w:val="left"/>
      <w:pPr>
        <w:ind w:left="3240" w:hanging="360"/>
      </w:pPr>
    </w:lvl>
    <w:lvl w:ilvl="4" w:tplc="24760DFE">
      <w:start w:val="1"/>
      <w:numFmt w:val="lowerLetter"/>
      <w:lvlText w:val="%5."/>
      <w:lvlJc w:val="left"/>
      <w:pPr>
        <w:ind w:left="3960" w:hanging="360"/>
      </w:pPr>
    </w:lvl>
    <w:lvl w:ilvl="5" w:tplc="1C8C7438">
      <w:start w:val="1"/>
      <w:numFmt w:val="lowerRoman"/>
      <w:lvlText w:val="%6."/>
      <w:lvlJc w:val="right"/>
      <w:pPr>
        <w:ind w:left="4680" w:hanging="180"/>
      </w:pPr>
    </w:lvl>
    <w:lvl w:ilvl="6" w:tplc="FF808336">
      <w:start w:val="1"/>
      <w:numFmt w:val="decimal"/>
      <w:lvlText w:val="%7."/>
      <w:lvlJc w:val="left"/>
      <w:pPr>
        <w:ind w:left="5400" w:hanging="360"/>
      </w:pPr>
    </w:lvl>
    <w:lvl w:ilvl="7" w:tplc="257A38F2">
      <w:start w:val="1"/>
      <w:numFmt w:val="lowerLetter"/>
      <w:lvlText w:val="%8."/>
      <w:lvlJc w:val="left"/>
      <w:pPr>
        <w:ind w:left="6120" w:hanging="360"/>
      </w:pPr>
    </w:lvl>
    <w:lvl w:ilvl="8" w:tplc="2CD2EBD6">
      <w:start w:val="1"/>
      <w:numFmt w:val="lowerRoman"/>
      <w:lvlText w:val="%9."/>
      <w:lvlJc w:val="right"/>
      <w:pPr>
        <w:ind w:left="6840" w:hanging="180"/>
      </w:pPr>
    </w:lvl>
  </w:abstractNum>
  <w:abstractNum w:abstractNumId="8" w15:restartNumberingAfterBreak="0">
    <w:nsid w:val="07D0EA5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8BFF91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0979A7A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1" w15:restartNumberingAfterBreak="0">
    <w:nsid w:val="0C5E27D9"/>
    <w:multiLevelType w:val="hybridMultilevel"/>
    <w:tmpl w:val="E3863E54"/>
    <w:lvl w:ilvl="0" w:tplc="0409000F">
      <w:start w:val="1"/>
      <w:numFmt w:val="decimal"/>
      <w:lvlText w:val="%1."/>
      <w:lvlJc w:val="left"/>
      <w:pPr>
        <w:ind w:left="1329" w:hanging="360"/>
      </w:pPr>
    </w:lvl>
    <w:lvl w:ilvl="1" w:tplc="04090019" w:tentative="1">
      <w:start w:val="1"/>
      <w:numFmt w:val="lowerLetter"/>
      <w:lvlText w:val="%2."/>
      <w:lvlJc w:val="left"/>
      <w:pPr>
        <w:ind w:left="2049" w:hanging="360"/>
      </w:pPr>
    </w:lvl>
    <w:lvl w:ilvl="2" w:tplc="0409001B" w:tentative="1">
      <w:start w:val="1"/>
      <w:numFmt w:val="lowerRoman"/>
      <w:lvlText w:val="%3."/>
      <w:lvlJc w:val="right"/>
      <w:pPr>
        <w:ind w:left="2769" w:hanging="180"/>
      </w:pPr>
    </w:lvl>
    <w:lvl w:ilvl="3" w:tplc="0409000F" w:tentative="1">
      <w:start w:val="1"/>
      <w:numFmt w:val="decimal"/>
      <w:lvlText w:val="%4."/>
      <w:lvlJc w:val="left"/>
      <w:pPr>
        <w:ind w:left="3489" w:hanging="360"/>
      </w:pPr>
    </w:lvl>
    <w:lvl w:ilvl="4" w:tplc="04090019" w:tentative="1">
      <w:start w:val="1"/>
      <w:numFmt w:val="lowerLetter"/>
      <w:lvlText w:val="%5."/>
      <w:lvlJc w:val="left"/>
      <w:pPr>
        <w:ind w:left="4209" w:hanging="360"/>
      </w:pPr>
    </w:lvl>
    <w:lvl w:ilvl="5" w:tplc="0409001B" w:tentative="1">
      <w:start w:val="1"/>
      <w:numFmt w:val="lowerRoman"/>
      <w:lvlText w:val="%6."/>
      <w:lvlJc w:val="right"/>
      <w:pPr>
        <w:ind w:left="4929" w:hanging="180"/>
      </w:pPr>
    </w:lvl>
    <w:lvl w:ilvl="6" w:tplc="0409000F" w:tentative="1">
      <w:start w:val="1"/>
      <w:numFmt w:val="decimal"/>
      <w:lvlText w:val="%7."/>
      <w:lvlJc w:val="left"/>
      <w:pPr>
        <w:ind w:left="5649" w:hanging="360"/>
      </w:pPr>
    </w:lvl>
    <w:lvl w:ilvl="7" w:tplc="04090019" w:tentative="1">
      <w:start w:val="1"/>
      <w:numFmt w:val="lowerLetter"/>
      <w:lvlText w:val="%8."/>
      <w:lvlJc w:val="left"/>
      <w:pPr>
        <w:ind w:left="6369" w:hanging="360"/>
      </w:pPr>
    </w:lvl>
    <w:lvl w:ilvl="8" w:tplc="0409001B" w:tentative="1">
      <w:start w:val="1"/>
      <w:numFmt w:val="lowerRoman"/>
      <w:lvlText w:val="%9."/>
      <w:lvlJc w:val="right"/>
      <w:pPr>
        <w:ind w:left="7089" w:hanging="180"/>
      </w:pPr>
    </w:lvl>
  </w:abstractNum>
  <w:abstractNum w:abstractNumId="12"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3" w15:restartNumberingAfterBreak="0">
    <w:nsid w:val="147C90CD"/>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4" w15:restartNumberingAfterBreak="0">
    <w:nsid w:val="15F056CB"/>
    <w:multiLevelType w:val="multilevel"/>
    <w:tmpl w:val="18F4A5AC"/>
    <w:numStyleLink w:val="FoFCoLOP"/>
  </w:abstractNum>
  <w:abstractNum w:abstractNumId="15" w15:restartNumberingAfterBreak="0">
    <w:nsid w:val="16243BF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716B26E"/>
    <w:multiLevelType w:val="hybridMultilevel"/>
    <w:tmpl w:val="FFFFFFFF"/>
    <w:lvl w:ilvl="0" w:tplc="082E4218">
      <w:start w:val="1"/>
      <w:numFmt w:val="decimal"/>
      <w:lvlText w:val="%1."/>
      <w:lvlJc w:val="left"/>
      <w:pPr>
        <w:ind w:left="1080" w:hanging="360"/>
      </w:pPr>
    </w:lvl>
    <w:lvl w:ilvl="1" w:tplc="1CBCB7AC">
      <w:start w:val="1"/>
      <w:numFmt w:val="decimal"/>
      <w:lvlText w:val="%2)"/>
      <w:lvlJc w:val="left"/>
      <w:pPr>
        <w:ind w:left="1080" w:hanging="360"/>
      </w:pPr>
      <w:rPr>
        <w:rFonts w:ascii="Arial" w:hAnsi="Arial" w:hint="default"/>
      </w:rPr>
    </w:lvl>
    <w:lvl w:ilvl="2" w:tplc="D8E8C7F0">
      <w:start w:val="1"/>
      <w:numFmt w:val="lowerRoman"/>
      <w:lvlText w:val="%3."/>
      <w:lvlJc w:val="right"/>
      <w:pPr>
        <w:ind w:left="2520" w:hanging="180"/>
      </w:pPr>
    </w:lvl>
    <w:lvl w:ilvl="3" w:tplc="D5769400">
      <w:start w:val="1"/>
      <w:numFmt w:val="decimal"/>
      <w:lvlText w:val="%4."/>
      <w:lvlJc w:val="left"/>
      <w:pPr>
        <w:ind w:left="3240" w:hanging="360"/>
      </w:pPr>
    </w:lvl>
    <w:lvl w:ilvl="4" w:tplc="2AFECD2A">
      <w:start w:val="1"/>
      <w:numFmt w:val="lowerLetter"/>
      <w:lvlText w:val="%5."/>
      <w:lvlJc w:val="left"/>
      <w:pPr>
        <w:ind w:left="3960" w:hanging="360"/>
      </w:pPr>
    </w:lvl>
    <w:lvl w:ilvl="5" w:tplc="703E794A">
      <w:start w:val="1"/>
      <w:numFmt w:val="lowerRoman"/>
      <w:lvlText w:val="%6."/>
      <w:lvlJc w:val="right"/>
      <w:pPr>
        <w:ind w:left="4680" w:hanging="180"/>
      </w:pPr>
    </w:lvl>
    <w:lvl w:ilvl="6" w:tplc="89B425BE">
      <w:start w:val="1"/>
      <w:numFmt w:val="decimal"/>
      <w:lvlText w:val="%7."/>
      <w:lvlJc w:val="left"/>
      <w:pPr>
        <w:ind w:left="5400" w:hanging="360"/>
      </w:pPr>
    </w:lvl>
    <w:lvl w:ilvl="7" w:tplc="75E2D906">
      <w:start w:val="1"/>
      <w:numFmt w:val="lowerLetter"/>
      <w:lvlText w:val="%8."/>
      <w:lvlJc w:val="left"/>
      <w:pPr>
        <w:ind w:left="6120" w:hanging="360"/>
      </w:pPr>
    </w:lvl>
    <w:lvl w:ilvl="8" w:tplc="7E2CCA04">
      <w:start w:val="1"/>
      <w:numFmt w:val="lowerRoman"/>
      <w:lvlText w:val="%9."/>
      <w:lvlJc w:val="right"/>
      <w:pPr>
        <w:ind w:left="6840" w:hanging="180"/>
      </w:pPr>
    </w:lvl>
  </w:abstractNum>
  <w:abstractNum w:abstractNumId="17" w15:restartNumberingAfterBreak="0">
    <w:nsid w:val="18BE1EC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1950C1F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1AA9D921"/>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1C343B52"/>
    <w:multiLevelType w:val="hybridMultilevel"/>
    <w:tmpl w:val="DADA85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D2FE5F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1D70038F"/>
    <w:multiLevelType w:val="multilevel"/>
    <w:tmpl w:val="3C526EDE"/>
    <w:numStyleLink w:val="Headings"/>
  </w:abstractNum>
  <w:abstractNum w:abstractNumId="24" w15:restartNumberingAfterBreak="0">
    <w:nsid w:val="1E2242C9"/>
    <w:multiLevelType w:val="multilevel"/>
    <w:tmpl w:val="3C526EDE"/>
    <w:numStyleLink w:val="Headings"/>
  </w:abstractNum>
  <w:abstractNum w:abstractNumId="25" w15:restartNumberingAfterBreak="0">
    <w:nsid w:val="1E6A4E6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1EB82FAC"/>
    <w:multiLevelType w:val="hybridMultilevel"/>
    <w:tmpl w:val="0D2A86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1F1D423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200CBA9F"/>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2070421D"/>
    <w:multiLevelType w:val="hybridMultilevel"/>
    <w:tmpl w:val="FFFFFFFF"/>
    <w:lvl w:ilvl="0" w:tplc="22FEC294">
      <w:start w:val="1"/>
      <w:numFmt w:val="decimal"/>
      <w:lvlText w:val="%1."/>
      <w:lvlJc w:val="left"/>
      <w:pPr>
        <w:ind w:left="720" w:hanging="360"/>
      </w:pPr>
    </w:lvl>
    <w:lvl w:ilvl="1" w:tplc="529A407E">
      <w:start w:val="1"/>
      <w:numFmt w:val="lowerLetter"/>
      <w:lvlText w:val="%2."/>
      <w:lvlJc w:val="left"/>
      <w:pPr>
        <w:ind w:left="1440" w:hanging="360"/>
      </w:pPr>
    </w:lvl>
    <w:lvl w:ilvl="2" w:tplc="77C8D994">
      <w:start w:val="1"/>
      <w:numFmt w:val="lowerRoman"/>
      <w:lvlText w:val="%3."/>
      <w:lvlJc w:val="right"/>
      <w:pPr>
        <w:ind w:left="2520" w:hanging="180"/>
      </w:pPr>
    </w:lvl>
    <w:lvl w:ilvl="3" w:tplc="AC829428">
      <w:start w:val="1"/>
      <w:numFmt w:val="decimal"/>
      <w:lvlText w:val="%4."/>
      <w:lvlJc w:val="left"/>
      <w:pPr>
        <w:ind w:left="3240" w:hanging="360"/>
      </w:pPr>
    </w:lvl>
    <w:lvl w:ilvl="4" w:tplc="57F4A82E">
      <w:start w:val="1"/>
      <w:numFmt w:val="lowerLetter"/>
      <w:lvlText w:val="%5."/>
      <w:lvlJc w:val="left"/>
      <w:pPr>
        <w:ind w:left="3960" w:hanging="360"/>
      </w:pPr>
    </w:lvl>
    <w:lvl w:ilvl="5" w:tplc="5EFE8DC4">
      <w:start w:val="1"/>
      <w:numFmt w:val="lowerRoman"/>
      <w:lvlText w:val="%6."/>
      <w:lvlJc w:val="right"/>
      <w:pPr>
        <w:ind w:left="4680" w:hanging="180"/>
      </w:pPr>
    </w:lvl>
    <w:lvl w:ilvl="6" w:tplc="12F23702">
      <w:start w:val="1"/>
      <w:numFmt w:val="decimal"/>
      <w:lvlText w:val="%7."/>
      <w:lvlJc w:val="left"/>
      <w:pPr>
        <w:ind w:left="5400" w:hanging="360"/>
      </w:pPr>
    </w:lvl>
    <w:lvl w:ilvl="7" w:tplc="CA38751C">
      <w:start w:val="1"/>
      <w:numFmt w:val="lowerLetter"/>
      <w:lvlText w:val="%8."/>
      <w:lvlJc w:val="left"/>
      <w:pPr>
        <w:ind w:left="6120" w:hanging="360"/>
      </w:pPr>
    </w:lvl>
    <w:lvl w:ilvl="8" w:tplc="3550B98E">
      <w:start w:val="1"/>
      <w:numFmt w:val="lowerRoman"/>
      <w:lvlText w:val="%9."/>
      <w:lvlJc w:val="right"/>
      <w:pPr>
        <w:ind w:left="6840" w:hanging="180"/>
      </w:pPr>
    </w:lvl>
  </w:abstractNum>
  <w:abstractNum w:abstractNumId="30" w15:restartNumberingAfterBreak="0">
    <w:nsid w:val="20DCE05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21454F56"/>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2170FA02"/>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1FB58FE"/>
    <w:multiLevelType w:val="multilevel"/>
    <w:tmpl w:val="3C526EDE"/>
    <w:numStyleLink w:val="Headings"/>
  </w:abstractNum>
  <w:abstractNum w:abstractNumId="34" w15:restartNumberingAfterBreak="0">
    <w:nsid w:val="243663A0"/>
    <w:multiLevelType w:val="multilevel"/>
    <w:tmpl w:val="3C526EDE"/>
    <w:numStyleLink w:val="Headings"/>
  </w:abstractNum>
  <w:abstractNum w:abstractNumId="35" w15:restartNumberingAfterBreak="0">
    <w:nsid w:val="2455B16E"/>
    <w:multiLevelType w:val="hybridMultilevel"/>
    <w:tmpl w:val="FFFFFFFF"/>
    <w:lvl w:ilvl="0" w:tplc="C7929EBA">
      <w:start w:val="1"/>
      <w:numFmt w:val="decimal"/>
      <w:lvlText w:val="%1."/>
      <w:lvlJc w:val="left"/>
      <w:pPr>
        <w:ind w:left="900" w:hanging="360"/>
      </w:pPr>
    </w:lvl>
    <w:lvl w:ilvl="1" w:tplc="D6EEDF18">
      <w:start w:val="1"/>
      <w:numFmt w:val="lowerLetter"/>
      <w:lvlText w:val="%2."/>
      <w:lvlJc w:val="left"/>
      <w:pPr>
        <w:ind w:left="1620" w:hanging="360"/>
      </w:pPr>
    </w:lvl>
    <w:lvl w:ilvl="2" w:tplc="364EBE7A">
      <w:start w:val="1"/>
      <w:numFmt w:val="lowerRoman"/>
      <w:lvlText w:val="%3."/>
      <w:lvlJc w:val="right"/>
      <w:pPr>
        <w:ind w:left="2340" w:hanging="180"/>
      </w:pPr>
    </w:lvl>
    <w:lvl w:ilvl="3" w:tplc="FBC411B4">
      <w:start w:val="1"/>
      <w:numFmt w:val="decimal"/>
      <w:lvlText w:val="%4."/>
      <w:lvlJc w:val="left"/>
      <w:pPr>
        <w:ind w:left="3060" w:hanging="360"/>
      </w:pPr>
    </w:lvl>
    <w:lvl w:ilvl="4" w:tplc="919808E8">
      <w:start w:val="1"/>
      <w:numFmt w:val="lowerLetter"/>
      <w:lvlText w:val="%5."/>
      <w:lvlJc w:val="left"/>
      <w:pPr>
        <w:ind w:left="3780" w:hanging="360"/>
      </w:pPr>
    </w:lvl>
    <w:lvl w:ilvl="5" w:tplc="13DC282A">
      <w:start w:val="1"/>
      <w:numFmt w:val="lowerRoman"/>
      <w:lvlText w:val="%6."/>
      <w:lvlJc w:val="right"/>
      <w:pPr>
        <w:ind w:left="4500" w:hanging="180"/>
      </w:pPr>
    </w:lvl>
    <w:lvl w:ilvl="6" w:tplc="528ACD26">
      <w:start w:val="1"/>
      <w:numFmt w:val="decimal"/>
      <w:lvlText w:val="%7."/>
      <w:lvlJc w:val="left"/>
      <w:pPr>
        <w:ind w:left="5220" w:hanging="360"/>
      </w:pPr>
    </w:lvl>
    <w:lvl w:ilvl="7" w:tplc="E8A0F86E">
      <w:start w:val="1"/>
      <w:numFmt w:val="lowerLetter"/>
      <w:lvlText w:val="%8."/>
      <w:lvlJc w:val="left"/>
      <w:pPr>
        <w:ind w:left="5940" w:hanging="360"/>
      </w:pPr>
    </w:lvl>
    <w:lvl w:ilvl="8" w:tplc="4F68B12E">
      <w:start w:val="1"/>
      <w:numFmt w:val="lowerRoman"/>
      <w:lvlText w:val="%9."/>
      <w:lvlJc w:val="right"/>
      <w:pPr>
        <w:ind w:left="6660" w:hanging="180"/>
      </w:pPr>
    </w:lvl>
  </w:abstractNum>
  <w:abstractNum w:abstractNumId="36" w15:restartNumberingAfterBreak="0">
    <w:nsid w:val="2496A31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6F1644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8" w15:restartNumberingAfterBreak="0">
    <w:nsid w:val="27F766C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2A19C28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0" w15:restartNumberingAfterBreak="0">
    <w:nsid w:val="2B8124D7"/>
    <w:multiLevelType w:val="multilevel"/>
    <w:tmpl w:val="3C526EDE"/>
    <w:numStyleLink w:val="Headings"/>
  </w:abstractNum>
  <w:abstractNum w:abstractNumId="41" w15:restartNumberingAfterBreak="0">
    <w:nsid w:val="2C2241E7"/>
    <w:multiLevelType w:val="hybridMultilevel"/>
    <w:tmpl w:val="ED2C6068"/>
    <w:lvl w:ilvl="0" w:tplc="373E9588">
      <w:start w:val="1"/>
      <w:numFmt w:val="decimal"/>
      <w:lvlText w:val="%1."/>
      <w:lvlJc w:val="left"/>
      <w:pPr>
        <w:ind w:left="13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E22013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3" w15:restartNumberingAfterBreak="0">
    <w:nsid w:val="2EA25689"/>
    <w:multiLevelType w:val="hybridMultilevel"/>
    <w:tmpl w:val="FFFFFFFF"/>
    <w:lvl w:ilvl="0" w:tplc="4864A0F4">
      <w:start w:val="1"/>
      <w:numFmt w:val="decimal"/>
      <w:lvlText w:val="%1."/>
      <w:lvlJc w:val="left"/>
      <w:pPr>
        <w:ind w:left="720" w:hanging="360"/>
      </w:pPr>
      <w:rPr>
        <w:rFonts w:ascii="Arial" w:hAnsi="Arial" w:hint="default"/>
      </w:rPr>
    </w:lvl>
    <w:lvl w:ilvl="1" w:tplc="4F8C3FAC">
      <w:start w:val="1"/>
      <w:numFmt w:val="lowerLetter"/>
      <w:lvlText w:val="%2."/>
      <w:lvlJc w:val="left"/>
      <w:pPr>
        <w:ind w:left="1800" w:hanging="360"/>
      </w:pPr>
    </w:lvl>
    <w:lvl w:ilvl="2" w:tplc="01EC2146">
      <w:start w:val="1"/>
      <w:numFmt w:val="lowerRoman"/>
      <w:lvlText w:val="%3."/>
      <w:lvlJc w:val="right"/>
      <w:pPr>
        <w:ind w:left="2520" w:hanging="180"/>
      </w:pPr>
    </w:lvl>
    <w:lvl w:ilvl="3" w:tplc="E24C1928">
      <w:start w:val="1"/>
      <w:numFmt w:val="decimal"/>
      <w:lvlText w:val="%4."/>
      <w:lvlJc w:val="left"/>
      <w:pPr>
        <w:ind w:left="3240" w:hanging="360"/>
      </w:pPr>
    </w:lvl>
    <w:lvl w:ilvl="4" w:tplc="69206D28">
      <w:start w:val="1"/>
      <w:numFmt w:val="lowerLetter"/>
      <w:lvlText w:val="%5."/>
      <w:lvlJc w:val="left"/>
      <w:pPr>
        <w:ind w:left="3960" w:hanging="360"/>
      </w:pPr>
    </w:lvl>
    <w:lvl w:ilvl="5" w:tplc="30B298B2">
      <w:start w:val="1"/>
      <w:numFmt w:val="lowerRoman"/>
      <w:lvlText w:val="%6."/>
      <w:lvlJc w:val="right"/>
      <w:pPr>
        <w:ind w:left="4680" w:hanging="180"/>
      </w:pPr>
    </w:lvl>
    <w:lvl w:ilvl="6" w:tplc="61462B6C">
      <w:start w:val="1"/>
      <w:numFmt w:val="decimal"/>
      <w:lvlText w:val="%7."/>
      <w:lvlJc w:val="left"/>
      <w:pPr>
        <w:ind w:left="5400" w:hanging="360"/>
      </w:pPr>
    </w:lvl>
    <w:lvl w:ilvl="7" w:tplc="255A3290">
      <w:start w:val="1"/>
      <w:numFmt w:val="lowerLetter"/>
      <w:lvlText w:val="%8."/>
      <w:lvlJc w:val="left"/>
      <w:pPr>
        <w:ind w:left="6120" w:hanging="360"/>
      </w:pPr>
    </w:lvl>
    <w:lvl w:ilvl="8" w:tplc="05A28522">
      <w:start w:val="1"/>
      <w:numFmt w:val="lowerRoman"/>
      <w:lvlText w:val="%9."/>
      <w:lvlJc w:val="right"/>
      <w:pPr>
        <w:ind w:left="6840" w:hanging="180"/>
      </w:pPr>
    </w:lvl>
  </w:abstractNum>
  <w:abstractNum w:abstractNumId="44" w15:restartNumberingAfterBreak="0">
    <w:nsid w:val="2F4521E4"/>
    <w:multiLevelType w:val="hybridMultilevel"/>
    <w:tmpl w:val="FFFFFFFF"/>
    <w:lvl w:ilvl="0" w:tplc="9E8CFA28">
      <w:start w:val="1"/>
      <w:numFmt w:val="bullet"/>
      <w:lvlText w:val=""/>
      <w:lvlJc w:val="left"/>
      <w:pPr>
        <w:ind w:left="720" w:hanging="360"/>
      </w:pPr>
      <w:rPr>
        <w:rFonts w:ascii="Symbol" w:hAnsi="Symbol" w:hint="default"/>
      </w:rPr>
    </w:lvl>
    <w:lvl w:ilvl="1" w:tplc="69541C34">
      <w:start w:val="1"/>
      <w:numFmt w:val="bullet"/>
      <w:lvlText w:val="o"/>
      <w:lvlJc w:val="left"/>
      <w:pPr>
        <w:ind w:left="1800" w:hanging="360"/>
      </w:pPr>
      <w:rPr>
        <w:rFonts w:ascii="Courier New" w:hAnsi="Courier New" w:hint="default"/>
      </w:rPr>
    </w:lvl>
    <w:lvl w:ilvl="2" w:tplc="4C283164">
      <w:start w:val="1"/>
      <w:numFmt w:val="bullet"/>
      <w:lvlText w:val=""/>
      <w:lvlJc w:val="left"/>
      <w:pPr>
        <w:ind w:left="2520" w:hanging="360"/>
      </w:pPr>
      <w:rPr>
        <w:rFonts w:ascii="Wingdings" w:hAnsi="Wingdings" w:hint="default"/>
      </w:rPr>
    </w:lvl>
    <w:lvl w:ilvl="3" w:tplc="3E06B5AA">
      <w:start w:val="1"/>
      <w:numFmt w:val="bullet"/>
      <w:lvlText w:val=""/>
      <w:lvlJc w:val="left"/>
      <w:pPr>
        <w:ind w:left="3240" w:hanging="360"/>
      </w:pPr>
      <w:rPr>
        <w:rFonts w:ascii="Symbol" w:hAnsi="Symbol" w:hint="default"/>
      </w:rPr>
    </w:lvl>
    <w:lvl w:ilvl="4" w:tplc="EDB03DC2">
      <w:start w:val="1"/>
      <w:numFmt w:val="bullet"/>
      <w:lvlText w:val="o"/>
      <w:lvlJc w:val="left"/>
      <w:pPr>
        <w:ind w:left="3960" w:hanging="360"/>
      </w:pPr>
      <w:rPr>
        <w:rFonts w:ascii="Courier New" w:hAnsi="Courier New" w:hint="default"/>
      </w:rPr>
    </w:lvl>
    <w:lvl w:ilvl="5" w:tplc="8A729956">
      <w:start w:val="1"/>
      <w:numFmt w:val="bullet"/>
      <w:lvlText w:val=""/>
      <w:lvlJc w:val="left"/>
      <w:pPr>
        <w:ind w:left="4680" w:hanging="360"/>
      </w:pPr>
      <w:rPr>
        <w:rFonts w:ascii="Wingdings" w:hAnsi="Wingdings" w:hint="default"/>
      </w:rPr>
    </w:lvl>
    <w:lvl w:ilvl="6" w:tplc="10D8845A">
      <w:start w:val="1"/>
      <w:numFmt w:val="bullet"/>
      <w:lvlText w:val=""/>
      <w:lvlJc w:val="left"/>
      <w:pPr>
        <w:ind w:left="5400" w:hanging="360"/>
      </w:pPr>
      <w:rPr>
        <w:rFonts w:ascii="Symbol" w:hAnsi="Symbol" w:hint="default"/>
      </w:rPr>
    </w:lvl>
    <w:lvl w:ilvl="7" w:tplc="E4149068">
      <w:start w:val="1"/>
      <w:numFmt w:val="bullet"/>
      <w:lvlText w:val="o"/>
      <w:lvlJc w:val="left"/>
      <w:pPr>
        <w:ind w:left="6120" w:hanging="360"/>
      </w:pPr>
      <w:rPr>
        <w:rFonts w:ascii="Courier New" w:hAnsi="Courier New" w:hint="default"/>
      </w:rPr>
    </w:lvl>
    <w:lvl w:ilvl="8" w:tplc="5E740432">
      <w:start w:val="1"/>
      <w:numFmt w:val="bullet"/>
      <w:lvlText w:val=""/>
      <w:lvlJc w:val="left"/>
      <w:pPr>
        <w:ind w:left="6840" w:hanging="360"/>
      </w:pPr>
      <w:rPr>
        <w:rFonts w:ascii="Wingdings" w:hAnsi="Wingdings" w:hint="default"/>
      </w:rPr>
    </w:lvl>
  </w:abstractNum>
  <w:abstractNum w:abstractNumId="45"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46" w15:restartNumberingAfterBreak="0">
    <w:nsid w:val="33CA0C9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343335CE"/>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34D502CC"/>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35A32DB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 w15:restartNumberingAfterBreak="0">
    <w:nsid w:val="3792605F"/>
    <w:multiLevelType w:val="hybridMultilevel"/>
    <w:tmpl w:val="FFFFFFFF"/>
    <w:lvl w:ilvl="0" w:tplc="65E45FF8">
      <w:start w:val="1"/>
      <w:numFmt w:val="bullet"/>
      <w:lvlText w:val=""/>
      <w:lvlJc w:val="left"/>
      <w:pPr>
        <w:ind w:left="720" w:hanging="360"/>
      </w:pPr>
      <w:rPr>
        <w:rFonts w:ascii="Symbol" w:hAnsi="Symbol" w:hint="default"/>
      </w:rPr>
    </w:lvl>
    <w:lvl w:ilvl="1" w:tplc="4028B256">
      <w:start w:val="1"/>
      <w:numFmt w:val="bullet"/>
      <w:lvlText w:val="o"/>
      <w:lvlJc w:val="left"/>
      <w:pPr>
        <w:ind w:left="1440" w:hanging="360"/>
      </w:pPr>
      <w:rPr>
        <w:rFonts w:ascii="Symbol" w:hAnsi="Symbol" w:hint="default"/>
      </w:rPr>
    </w:lvl>
    <w:lvl w:ilvl="2" w:tplc="34FE823A">
      <w:start w:val="1"/>
      <w:numFmt w:val="bullet"/>
      <w:lvlText w:val=""/>
      <w:lvlJc w:val="left"/>
      <w:pPr>
        <w:ind w:left="2520" w:hanging="360"/>
      </w:pPr>
      <w:rPr>
        <w:rFonts w:ascii="Wingdings" w:hAnsi="Wingdings" w:hint="default"/>
      </w:rPr>
    </w:lvl>
    <w:lvl w:ilvl="3" w:tplc="7DD03AC8">
      <w:start w:val="1"/>
      <w:numFmt w:val="bullet"/>
      <w:lvlText w:val=""/>
      <w:lvlJc w:val="left"/>
      <w:pPr>
        <w:ind w:left="3240" w:hanging="360"/>
      </w:pPr>
      <w:rPr>
        <w:rFonts w:ascii="Symbol" w:hAnsi="Symbol" w:hint="default"/>
      </w:rPr>
    </w:lvl>
    <w:lvl w:ilvl="4" w:tplc="6FCC7E9E">
      <w:start w:val="1"/>
      <w:numFmt w:val="bullet"/>
      <w:lvlText w:val="o"/>
      <w:lvlJc w:val="left"/>
      <w:pPr>
        <w:ind w:left="3960" w:hanging="360"/>
      </w:pPr>
      <w:rPr>
        <w:rFonts w:ascii="Courier New" w:hAnsi="Courier New" w:hint="default"/>
      </w:rPr>
    </w:lvl>
    <w:lvl w:ilvl="5" w:tplc="0BFE4BBA">
      <w:start w:val="1"/>
      <w:numFmt w:val="bullet"/>
      <w:lvlText w:val=""/>
      <w:lvlJc w:val="left"/>
      <w:pPr>
        <w:ind w:left="4680" w:hanging="360"/>
      </w:pPr>
      <w:rPr>
        <w:rFonts w:ascii="Wingdings" w:hAnsi="Wingdings" w:hint="default"/>
      </w:rPr>
    </w:lvl>
    <w:lvl w:ilvl="6" w:tplc="8C0E8216">
      <w:start w:val="1"/>
      <w:numFmt w:val="bullet"/>
      <w:lvlText w:val=""/>
      <w:lvlJc w:val="left"/>
      <w:pPr>
        <w:ind w:left="5400" w:hanging="360"/>
      </w:pPr>
      <w:rPr>
        <w:rFonts w:ascii="Symbol" w:hAnsi="Symbol" w:hint="default"/>
      </w:rPr>
    </w:lvl>
    <w:lvl w:ilvl="7" w:tplc="F1F4E5E6">
      <w:start w:val="1"/>
      <w:numFmt w:val="bullet"/>
      <w:lvlText w:val="o"/>
      <w:lvlJc w:val="left"/>
      <w:pPr>
        <w:ind w:left="6120" w:hanging="360"/>
      </w:pPr>
      <w:rPr>
        <w:rFonts w:ascii="Courier New" w:hAnsi="Courier New" w:hint="default"/>
      </w:rPr>
    </w:lvl>
    <w:lvl w:ilvl="8" w:tplc="602AC380">
      <w:start w:val="1"/>
      <w:numFmt w:val="bullet"/>
      <w:lvlText w:val=""/>
      <w:lvlJc w:val="left"/>
      <w:pPr>
        <w:ind w:left="6840" w:hanging="360"/>
      </w:pPr>
      <w:rPr>
        <w:rFonts w:ascii="Wingdings" w:hAnsi="Wingdings" w:hint="default"/>
      </w:rPr>
    </w:lvl>
  </w:abstractNum>
  <w:abstractNum w:abstractNumId="51" w15:restartNumberingAfterBreak="0">
    <w:nsid w:val="37A456A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2" w15:restartNumberingAfterBreak="0">
    <w:nsid w:val="38AC4ED0"/>
    <w:multiLevelType w:val="multilevel"/>
    <w:tmpl w:val="9754DFFC"/>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3" w15:restartNumberingAfterBreak="0">
    <w:nsid w:val="38E305B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4" w15:restartNumberingAfterBreak="0">
    <w:nsid w:val="3990D5CD"/>
    <w:multiLevelType w:val="hybridMultilevel"/>
    <w:tmpl w:val="FFFFFFFF"/>
    <w:lvl w:ilvl="0" w:tplc="7304F3A4">
      <w:start w:val="1"/>
      <w:numFmt w:val="upperLetter"/>
      <w:lvlText w:val="%1."/>
      <w:lvlJc w:val="left"/>
      <w:pPr>
        <w:ind w:left="720" w:hanging="360"/>
      </w:pPr>
      <w:rPr>
        <w:rFonts w:ascii="Arial" w:hAnsi="Arial" w:hint="default"/>
      </w:rPr>
    </w:lvl>
    <w:lvl w:ilvl="1" w:tplc="9A02C48E">
      <w:start w:val="1"/>
      <w:numFmt w:val="lowerLetter"/>
      <w:lvlText w:val="%2."/>
      <w:lvlJc w:val="left"/>
      <w:pPr>
        <w:ind w:left="2520" w:hanging="360"/>
      </w:pPr>
    </w:lvl>
    <w:lvl w:ilvl="2" w:tplc="302A169A">
      <w:start w:val="1"/>
      <w:numFmt w:val="lowerRoman"/>
      <w:lvlText w:val="%3."/>
      <w:lvlJc w:val="right"/>
      <w:pPr>
        <w:ind w:left="3240" w:hanging="180"/>
      </w:pPr>
    </w:lvl>
    <w:lvl w:ilvl="3" w:tplc="827E89C0">
      <w:start w:val="1"/>
      <w:numFmt w:val="decimal"/>
      <w:lvlText w:val="%4."/>
      <w:lvlJc w:val="left"/>
      <w:pPr>
        <w:ind w:left="3960" w:hanging="360"/>
      </w:pPr>
    </w:lvl>
    <w:lvl w:ilvl="4" w:tplc="122A2F0C">
      <w:start w:val="1"/>
      <w:numFmt w:val="lowerLetter"/>
      <w:lvlText w:val="%5."/>
      <w:lvlJc w:val="left"/>
      <w:pPr>
        <w:ind w:left="4680" w:hanging="360"/>
      </w:pPr>
    </w:lvl>
    <w:lvl w:ilvl="5" w:tplc="2A9E4EF2">
      <w:start w:val="1"/>
      <w:numFmt w:val="lowerRoman"/>
      <w:lvlText w:val="%6."/>
      <w:lvlJc w:val="right"/>
      <w:pPr>
        <w:ind w:left="5400" w:hanging="180"/>
      </w:pPr>
    </w:lvl>
    <w:lvl w:ilvl="6" w:tplc="2158A66E">
      <w:start w:val="1"/>
      <w:numFmt w:val="decimal"/>
      <w:lvlText w:val="%7."/>
      <w:lvlJc w:val="left"/>
      <w:pPr>
        <w:ind w:left="6120" w:hanging="360"/>
      </w:pPr>
    </w:lvl>
    <w:lvl w:ilvl="7" w:tplc="7BACD5D2">
      <w:start w:val="1"/>
      <w:numFmt w:val="lowerLetter"/>
      <w:lvlText w:val="%8."/>
      <w:lvlJc w:val="left"/>
      <w:pPr>
        <w:ind w:left="6840" w:hanging="360"/>
      </w:pPr>
    </w:lvl>
    <w:lvl w:ilvl="8" w:tplc="4FD28296">
      <w:start w:val="1"/>
      <w:numFmt w:val="lowerRoman"/>
      <w:lvlText w:val="%9."/>
      <w:lvlJc w:val="right"/>
      <w:pPr>
        <w:ind w:left="7560" w:hanging="180"/>
      </w:pPr>
    </w:lvl>
  </w:abstractNum>
  <w:abstractNum w:abstractNumId="55" w15:restartNumberingAfterBreak="0">
    <w:nsid w:val="39FF953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6" w15:restartNumberingAfterBreak="0">
    <w:nsid w:val="3B0030E2"/>
    <w:multiLevelType w:val="hybridMultilevel"/>
    <w:tmpl w:val="DADA85D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3B2F2AED"/>
    <w:multiLevelType w:val="hybridMultilevel"/>
    <w:tmpl w:val="FFFFFFFF"/>
    <w:lvl w:ilvl="0" w:tplc="85C8B9C8">
      <w:start w:val="1"/>
      <w:numFmt w:val="bullet"/>
      <w:lvlText w:val=""/>
      <w:lvlJc w:val="left"/>
      <w:pPr>
        <w:ind w:left="720" w:hanging="360"/>
      </w:pPr>
      <w:rPr>
        <w:rFonts w:ascii="Symbol" w:hAnsi="Symbol" w:hint="default"/>
      </w:rPr>
    </w:lvl>
    <w:lvl w:ilvl="1" w:tplc="E512A874">
      <w:start w:val="1"/>
      <w:numFmt w:val="bullet"/>
      <w:lvlText w:val="o"/>
      <w:lvlJc w:val="left"/>
      <w:pPr>
        <w:ind w:left="1440" w:hanging="360"/>
      </w:pPr>
      <w:rPr>
        <w:rFonts w:ascii="Courier New" w:hAnsi="Courier New" w:hint="default"/>
      </w:rPr>
    </w:lvl>
    <w:lvl w:ilvl="2" w:tplc="EB165C96">
      <w:start w:val="1"/>
      <w:numFmt w:val="bullet"/>
      <w:lvlText w:val=""/>
      <w:lvlJc w:val="left"/>
      <w:pPr>
        <w:ind w:left="2160" w:hanging="360"/>
      </w:pPr>
      <w:rPr>
        <w:rFonts w:ascii="Wingdings" w:hAnsi="Wingdings" w:hint="default"/>
      </w:rPr>
    </w:lvl>
    <w:lvl w:ilvl="3" w:tplc="59F0D2DE">
      <w:start w:val="1"/>
      <w:numFmt w:val="bullet"/>
      <w:lvlText w:val=""/>
      <w:lvlJc w:val="left"/>
      <w:pPr>
        <w:ind w:left="2880" w:hanging="360"/>
      </w:pPr>
      <w:rPr>
        <w:rFonts w:ascii="Symbol" w:hAnsi="Symbol" w:hint="default"/>
      </w:rPr>
    </w:lvl>
    <w:lvl w:ilvl="4" w:tplc="4DAE7B38">
      <w:start w:val="1"/>
      <w:numFmt w:val="bullet"/>
      <w:lvlText w:val="o"/>
      <w:lvlJc w:val="left"/>
      <w:pPr>
        <w:ind w:left="3600" w:hanging="360"/>
      </w:pPr>
      <w:rPr>
        <w:rFonts w:ascii="Courier New" w:hAnsi="Courier New" w:hint="default"/>
      </w:rPr>
    </w:lvl>
    <w:lvl w:ilvl="5" w:tplc="9AF8C592">
      <w:start w:val="1"/>
      <w:numFmt w:val="bullet"/>
      <w:lvlText w:val=""/>
      <w:lvlJc w:val="left"/>
      <w:pPr>
        <w:ind w:left="4320" w:hanging="360"/>
      </w:pPr>
      <w:rPr>
        <w:rFonts w:ascii="Wingdings" w:hAnsi="Wingdings" w:hint="default"/>
      </w:rPr>
    </w:lvl>
    <w:lvl w:ilvl="6" w:tplc="088411DC">
      <w:start w:val="1"/>
      <w:numFmt w:val="bullet"/>
      <w:lvlText w:val=""/>
      <w:lvlJc w:val="left"/>
      <w:pPr>
        <w:ind w:left="5040" w:hanging="360"/>
      </w:pPr>
      <w:rPr>
        <w:rFonts w:ascii="Symbol" w:hAnsi="Symbol" w:hint="default"/>
      </w:rPr>
    </w:lvl>
    <w:lvl w:ilvl="7" w:tplc="815080FC">
      <w:start w:val="1"/>
      <w:numFmt w:val="bullet"/>
      <w:lvlText w:val="o"/>
      <w:lvlJc w:val="left"/>
      <w:pPr>
        <w:ind w:left="5760" w:hanging="360"/>
      </w:pPr>
      <w:rPr>
        <w:rFonts w:ascii="Courier New" w:hAnsi="Courier New" w:hint="default"/>
      </w:rPr>
    </w:lvl>
    <w:lvl w:ilvl="8" w:tplc="EA8ED40A">
      <w:start w:val="1"/>
      <w:numFmt w:val="bullet"/>
      <w:lvlText w:val=""/>
      <w:lvlJc w:val="left"/>
      <w:pPr>
        <w:ind w:left="6480" w:hanging="360"/>
      </w:pPr>
      <w:rPr>
        <w:rFonts w:ascii="Wingdings" w:hAnsi="Wingdings" w:hint="default"/>
      </w:rPr>
    </w:lvl>
  </w:abstractNum>
  <w:abstractNum w:abstractNumId="58" w15:restartNumberingAfterBreak="0">
    <w:nsid w:val="401A0DF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9" w15:restartNumberingAfterBreak="0">
    <w:nsid w:val="402B3A6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0" w15:restartNumberingAfterBreak="0">
    <w:nsid w:val="40B77138"/>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419DBF5C"/>
    <w:multiLevelType w:val="hybridMultilevel"/>
    <w:tmpl w:val="FFFFFFFF"/>
    <w:lvl w:ilvl="0" w:tplc="A9468608">
      <w:start w:val="1"/>
      <w:numFmt w:val="decimal"/>
      <w:lvlText w:val="%1."/>
      <w:lvlJc w:val="left"/>
      <w:pPr>
        <w:ind w:left="720" w:hanging="360"/>
      </w:pPr>
      <w:rPr>
        <w:rFonts w:ascii="Arial" w:hAnsi="Arial" w:hint="default"/>
      </w:rPr>
    </w:lvl>
    <w:lvl w:ilvl="1" w:tplc="808855EE">
      <w:start w:val="1"/>
      <w:numFmt w:val="lowerLetter"/>
      <w:lvlText w:val="%2."/>
      <w:lvlJc w:val="left"/>
      <w:pPr>
        <w:ind w:left="1800" w:hanging="360"/>
      </w:pPr>
    </w:lvl>
    <w:lvl w:ilvl="2" w:tplc="E34EAC28">
      <w:start w:val="1"/>
      <w:numFmt w:val="lowerRoman"/>
      <w:lvlText w:val="%3."/>
      <w:lvlJc w:val="right"/>
      <w:pPr>
        <w:ind w:left="2520" w:hanging="180"/>
      </w:pPr>
    </w:lvl>
    <w:lvl w:ilvl="3" w:tplc="11EC077E">
      <w:start w:val="1"/>
      <w:numFmt w:val="decimal"/>
      <w:lvlText w:val="%4."/>
      <w:lvlJc w:val="left"/>
      <w:pPr>
        <w:ind w:left="3240" w:hanging="360"/>
      </w:pPr>
    </w:lvl>
    <w:lvl w:ilvl="4" w:tplc="D8DAD5B8">
      <w:start w:val="1"/>
      <w:numFmt w:val="lowerLetter"/>
      <w:lvlText w:val="%5."/>
      <w:lvlJc w:val="left"/>
      <w:pPr>
        <w:ind w:left="3960" w:hanging="360"/>
      </w:pPr>
    </w:lvl>
    <w:lvl w:ilvl="5" w:tplc="831A14CE">
      <w:start w:val="1"/>
      <w:numFmt w:val="lowerRoman"/>
      <w:lvlText w:val="%6."/>
      <w:lvlJc w:val="right"/>
      <w:pPr>
        <w:ind w:left="4680" w:hanging="180"/>
      </w:pPr>
    </w:lvl>
    <w:lvl w:ilvl="6" w:tplc="735860E8">
      <w:start w:val="1"/>
      <w:numFmt w:val="decimal"/>
      <w:lvlText w:val="%7."/>
      <w:lvlJc w:val="left"/>
      <w:pPr>
        <w:ind w:left="5400" w:hanging="360"/>
      </w:pPr>
    </w:lvl>
    <w:lvl w:ilvl="7" w:tplc="10AAB2B4">
      <w:start w:val="1"/>
      <w:numFmt w:val="lowerLetter"/>
      <w:lvlText w:val="%8."/>
      <w:lvlJc w:val="left"/>
      <w:pPr>
        <w:ind w:left="6120" w:hanging="360"/>
      </w:pPr>
    </w:lvl>
    <w:lvl w:ilvl="8" w:tplc="30129CBC">
      <w:start w:val="1"/>
      <w:numFmt w:val="lowerRoman"/>
      <w:lvlText w:val="%9."/>
      <w:lvlJc w:val="right"/>
      <w:pPr>
        <w:ind w:left="6840" w:hanging="180"/>
      </w:pPr>
    </w:lvl>
  </w:abstractNum>
  <w:abstractNum w:abstractNumId="62" w15:restartNumberingAfterBreak="0">
    <w:nsid w:val="41B78060"/>
    <w:multiLevelType w:val="hybridMultilevel"/>
    <w:tmpl w:val="FFFFFFFF"/>
    <w:lvl w:ilvl="0" w:tplc="E4D2E7E0">
      <w:start w:val="1"/>
      <w:numFmt w:val="decimal"/>
      <w:lvlText w:val="%1."/>
      <w:lvlJc w:val="left"/>
      <w:pPr>
        <w:ind w:left="1440" w:hanging="360"/>
      </w:pPr>
    </w:lvl>
    <w:lvl w:ilvl="1" w:tplc="23B4175A">
      <w:start w:val="1"/>
      <w:numFmt w:val="lowerLetter"/>
      <w:lvlText w:val="%2."/>
      <w:lvlJc w:val="left"/>
      <w:pPr>
        <w:ind w:left="2160" w:hanging="360"/>
      </w:pPr>
    </w:lvl>
    <w:lvl w:ilvl="2" w:tplc="2D8CC552">
      <w:start w:val="1"/>
      <w:numFmt w:val="lowerRoman"/>
      <w:lvlText w:val="%3."/>
      <w:lvlJc w:val="right"/>
      <w:pPr>
        <w:ind w:left="2880" w:hanging="180"/>
      </w:pPr>
    </w:lvl>
    <w:lvl w:ilvl="3" w:tplc="93E0A5AC">
      <w:start w:val="1"/>
      <w:numFmt w:val="decimal"/>
      <w:lvlText w:val="%4."/>
      <w:lvlJc w:val="left"/>
      <w:pPr>
        <w:ind w:left="3600" w:hanging="360"/>
      </w:pPr>
    </w:lvl>
    <w:lvl w:ilvl="4" w:tplc="621C60B6">
      <w:start w:val="1"/>
      <w:numFmt w:val="lowerLetter"/>
      <w:lvlText w:val="%5."/>
      <w:lvlJc w:val="left"/>
      <w:pPr>
        <w:ind w:left="4320" w:hanging="360"/>
      </w:pPr>
    </w:lvl>
    <w:lvl w:ilvl="5" w:tplc="8D905D46">
      <w:start w:val="1"/>
      <w:numFmt w:val="lowerRoman"/>
      <w:lvlText w:val="%6."/>
      <w:lvlJc w:val="right"/>
      <w:pPr>
        <w:ind w:left="5040" w:hanging="180"/>
      </w:pPr>
    </w:lvl>
    <w:lvl w:ilvl="6" w:tplc="E28EF168">
      <w:start w:val="1"/>
      <w:numFmt w:val="decimal"/>
      <w:lvlText w:val="%7."/>
      <w:lvlJc w:val="left"/>
      <w:pPr>
        <w:ind w:left="5760" w:hanging="360"/>
      </w:pPr>
    </w:lvl>
    <w:lvl w:ilvl="7" w:tplc="DB0AACAE">
      <w:start w:val="1"/>
      <w:numFmt w:val="lowerLetter"/>
      <w:lvlText w:val="%8."/>
      <w:lvlJc w:val="left"/>
      <w:pPr>
        <w:ind w:left="6480" w:hanging="360"/>
      </w:pPr>
    </w:lvl>
    <w:lvl w:ilvl="8" w:tplc="FA760782">
      <w:start w:val="1"/>
      <w:numFmt w:val="lowerRoman"/>
      <w:lvlText w:val="%9."/>
      <w:lvlJc w:val="right"/>
      <w:pPr>
        <w:ind w:left="7200" w:hanging="180"/>
      </w:pPr>
    </w:lvl>
  </w:abstractNum>
  <w:abstractNum w:abstractNumId="63" w15:restartNumberingAfterBreak="0">
    <w:nsid w:val="422958B4"/>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4475ACD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5" w15:restartNumberingAfterBreak="0">
    <w:nsid w:val="458B50B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6" w15:restartNumberingAfterBreak="0">
    <w:nsid w:val="45BE6854"/>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7" w15:restartNumberingAfterBreak="0">
    <w:nsid w:val="4665350D"/>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15:restartNumberingAfterBreak="0">
    <w:nsid w:val="4700A1AC"/>
    <w:multiLevelType w:val="hybridMultilevel"/>
    <w:tmpl w:val="F4B678E6"/>
    <w:lvl w:ilvl="0" w:tplc="7CCE754C">
      <w:start w:val="1"/>
      <w:numFmt w:val="bullet"/>
      <w:lvlText w:val="-"/>
      <w:lvlJc w:val="left"/>
      <w:pPr>
        <w:ind w:left="1440" w:hanging="360"/>
      </w:pPr>
      <w:rPr>
        <w:rFonts w:ascii="Aptos" w:hAnsi="Aptos" w:hint="default"/>
      </w:rPr>
    </w:lvl>
    <w:lvl w:ilvl="1" w:tplc="60D69064">
      <w:start w:val="1"/>
      <w:numFmt w:val="bullet"/>
      <w:lvlText w:val="o"/>
      <w:lvlJc w:val="left"/>
      <w:pPr>
        <w:ind w:left="2160" w:hanging="360"/>
      </w:pPr>
      <w:rPr>
        <w:rFonts w:ascii="Courier New" w:hAnsi="Courier New" w:hint="default"/>
      </w:rPr>
    </w:lvl>
    <w:lvl w:ilvl="2" w:tplc="F3BC0320">
      <w:start w:val="1"/>
      <w:numFmt w:val="bullet"/>
      <w:lvlText w:val=""/>
      <w:lvlJc w:val="left"/>
      <w:pPr>
        <w:ind w:left="2880" w:hanging="360"/>
      </w:pPr>
      <w:rPr>
        <w:rFonts w:ascii="Wingdings" w:hAnsi="Wingdings" w:hint="default"/>
      </w:rPr>
    </w:lvl>
    <w:lvl w:ilvl="3" w:tplc="643CD35A">
      <w:start w:val="1"/>
      <w:numFmt w:val="bullet"/>
      <w:lvlText w:val=""/>
      <w:lvlJc w:val="left"/>
      <w:pPr>
        <w:ind w:left="3600" w:hanging="360"/>
      </w:pPr>
      <w:rPr>
        <w:rFonts w:ascii="Symbol" w:hAnsi="Symbol" w:hint="default"/>
      </w:rPr>
    </w:lvl>
    <w:lvl w:ilvl="4" w:tplc="B39ACBC4">
      <w:start w:val="1"/>
      <w:numFmt w:val="bullet"/>
      <w:lvlText w:val="o"/>
      <w:lvlJc w:val="left"/>
      <w:pPr>
        <w:ind w:left="4320" w:hanging="360"/>
      </w:pPr>
      <w:rPr>
        <w:rFonts w:ascii="Courier New" w:hAnsi="Courier New" w:hint="default"/>
      </w:rPr>
    </w:lvl>
    <w:lvl w:ilvl="5" w:tplc="CEF08CF8">
      <w:start w:val="1"/>
      <w:numFmt w:val="bullet"/>
      <w:lvlText w:val=""/>
      <w:lvlJc w:val="left"/>
      <w:pPr>
        <w:ind w:left="5040" w:hanging="360"/>
      </w:pPr>
      <w:rPr>
        <w:rFonts w:ascii="Wingdings" w:hAnsi="Wingdings" w:hint="default"/>
      </w:rPr>
    </w:lvl>
    <w:lvl w:ilvl="6" w:tplc="67B4EA8C">
      <w:start w:val="1"/>
      <w:numFmt w:val="bullet"/>
      <w:lvlText w:val=""/>
      <w:lvlJc w:val="left"/>
      <w:pPr>
        <w:ind w:left="5760" w:hanging="360"/>
      </w:pPr>
      <w:rPr>
        <w:rFonts w:ascii="Symbol" w:hAnsi="Symbol" w:hint="default"/>
      </w:rPr>
    </w:lvl>
    <w:lvl w:ilvl="7" w:tplc="A5925F42">
      <w:start w:val="1"/>
      <w:numFmt w:val="bullet"/>
      <w:lvlText w:val="o"/>
      <w:lvlJc w:val="left"/>
      <w:pPr>
        <w:ind w:left="6480" w:hanging="360"/>
      </w:pPr>
      <w:rPr>
        <w:rFonts w:ascii="Courier New" w:hAnsi="Courier New" w:hint="default"/>
      </w:rPr>
    </w:lvl>
    <w:lvl w:ilvl="8" w:tplc="DA9AFB02">
      <w:start w:val="1"/>
      <w:numFmt w:val="bullet"/>
      <w:lvlText w:val=""/>
      <w:lvlJc w:val="left"/>
      <w:pPr>
        <w:ind w:left="7200" w:hanging="360"/>
      </w:pPr>
      <w:rPr>
        <w:rFonts w:ascii="Wingdings" w:hAnsi="Wingdings" w:hint="default"/>
      </w:rPr>
    </w:lvl>
  </w:abstractNum>
  <w:abstractNum w:abstractNumId="69" w15:restartNumberingAfterBreak="0">
    <w:nsid w:val="48B066AD"/>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0" w15:restartNumberingAfterBreak="0">
    <w:nsid w:val="499570F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1" w15:restartNumberingAfterBreak="0">
    <w:nsid w:val="4B7C2D9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 w15:restartNumberingAfterBreak="0">
    <w:nsid w:val="4BBD47A2"/>
    <w:multiLevelType w:val="hybridMultilevel"/>
    <w:tmpl w:val="DADA85D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4DC1013B"/>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4" w15:restartNumberingAfterBreak="0">
    <w:nsid w:val="4DCC95A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5" w15:restartNumberingAfterBreak="0">
    <w:nsid w:val="4EB765E1"/>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4FA069AE"/>
    <w:multiLevelType w:val="hybridMultilevel"/>
    <w:tmpl w:val="FFFFFFFF"/>
    <w:lvl w:ilvl="0" w:tplc="F056C726">
      <w:start w:val="1"/>
      <w:numFmt w:val="decimal"/>
      <w:lvlText w:val="%1."/>
      <w:lvlJc w:val="left"/>
      <w:pPr>
        <w:ind w:left="720" w:hanging="360"/>
      </w:pPr>
      <w:rPr>
        <w:rFonts w:ascii="Arial" w:hAnsi="Arial" w:hint="default"/>
      </w:rPr>
    </w:lvl>
    <w:lvl w:ilvl="1" w:tplc="79541DC2">
      <w:start w:val="1"/>
      <w:numFmt w:val="lowerLetter"/>
      <w:lvlText w:val="%2."/>
      <w:lvlJc w:val="left"/>
      <w:pPr>
        <w:ind w:left="1800" w:hanging="360"/>
      </w:pPr>
    </w:lvl>
    <w:lvl w:ilvl="2" w:tplc="F1AA9356">
      <w:start w:val="1"/>
      <w:numFmt w:val="lowerRoman"/>
      <w:lvlText w:val="%3."/>
      <w:lvlJc w:val="right"/>
      <w:pPr>
        <w:ind w:left="2520" w:hanging="180"/>
      </w:pPr>
    </w:lvl>
    <w:lvl w:ilvl="3" w:tplc="BA3C43F8">
      <w:start w:val="1"/>
      <w:numFmt w:val="decimal"/>
      <w:lvlText w:val="%4."/>
      <w:lvlJc w:val="left"/>
      <w:pPr>
        <w:ind w:left="3240" w:hanging="360"/>
      </w:pPr>
    </w:lvl>
    <w:lvl w:ilvl="4" w:tplc="E92CD138">
      <w:start w:val="1"/>
      <w:numFmt w:val="lowerLetter"/>
      <w:lvlText w:val="%5."/>
      <w:lvlJc w:val="left"/>
      <w:pPr>
        <w:ind w:left="3960" w:hanging="360"/>
      </w:pPr>
    </w:lvl>
    <w:lvl w:ilvl="5" w:tplc="FE98A646">
      <w:start w:val="1"/>
      <w:numFmt w:val="lowerRoman"/>
      <w:lvlText w:val="%6."/>
      <w:lvlJc w:val="right"/>
      <w:pPr>
        <w:ind w:left="4680" w:hanging="180"/>
      </w:pPr>
    </w:lvl>
    <w:lvl w:ilvl="6" w:tplc="6010AE2C">
      <w:start w:val="1"/>
      <w:numFmt w:val="decimal"/>
      <w:lvlText w:val="%7."/>
      <w:lvlJc w:val="left"/>
      <w:pPr>
        <w:ind w:left="5400" w:hanging="360"/>
      </w:pPr>
    </w:lvl>
    <w:lvl w:ilvl="7" w:tplc="7278E2CA">
      <w:start w:val="1"/>
      <w:numFmt w:val="lowerLetter"/>
      <w:lvlText w:val="%8."/>
      <w:lvlJc w:val="left"/>
      <w:pPr>
        <w:ind w:left="6120" w:hanging="360"/>
      </w:pPr>
    </w:lvl>
    <w:lvl w:ilvl="8" w:tplc="1608B6B0">
      <w:start w:val="1"/>
      <w:numFmt w:val="lowerRoman"/>
      <w:lvlText w:val="%9."/>
      <w:lvlJc w:val="right"/>
      <w:pPr>
        <w:ind w:left="6840" w:hanging="180"/>
      </w:pPr>
    </w:lvl>
  </w:abstractNum>
  <w:abstractNum w:abstractNumId="77" w15:restartNumberingAfterBreak="0">
    <w:nsid w:val="528FFD5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8" w15:restartNumberingAfterBreak="0">
    <w:nsid w:val="52B62E1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593183F5"/>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0" w15:restartNumberingAfterBreak="0">
    <w:nsid w:val="59D042D7"/>
    <w:multiLevelType w:val="multilevel"/>
    <w:tmpl w:val="18F4A5AC"/>
    <w:numStyleLink w:val="FoFCoLOP"/>
  </w:abstractNum>
  <w:abstractNum w:abstractNumId="81" w15:restartNumberingAfterBreak="0">
    <w:nsid w:val="5A692CF2"/>
    <w:multiLevelType w:val="hybridMultilevel"/>
    <w:tmpl w:val="FFFFFFFF"/>
    <w:lvl w:ilvl="0" w:tplc="2A78C5F4">
      <w:start w:val="1"/>
      <w:numFmt w:val="bullet"/>
      <w:lvlText w:val=""/>
      <w:lvlJc w:val="left"/>
      <w:pPr>
        <w:ind w:left="720" w:hanging="360"/>
      </w:pPr>
      <w:rPr>
        <w:rFonts w:ascii="Symbol" w:hAnsi="Symbol" w:hint="default"/>
      </w:rPr>
    </w:lvl>
    <w:lvl w:ilvl="1" w:tplc="D91E0C3E">
      <w:start w:val="1"/>
      <w:numFmt w:val="bullet"/>
      <w:lvlText w:val="o"/>
      <w:lvlJc w:val="left"/>
      <w:pPr>
        <w:ind w:left="1800" w:hanging="360"/>
      </w:pPr>
      <w:rPr>
        <w:rFonts w:ascii="Courier New" w:hAnsi="Courier New" w:hint="default"/>
      </w:rPr>
    </w:lvl>
    <w:lvl w:ilvl="2" w:tplc="1BF4D886">
      <w:start w:val="1"/>
      <w:numFmt w:val="bullet"/>
      <w:lvlText w:val=""/>
      <w:lvlJc w:val="left"/>
      <w:pPr>
        <w:ind w:left="2520" w:hanging="360"/>
      </w:pPr>
      <w:rPr>
        <w:rFonts w:ascii="Wingdings" w:hAnsi="Wingdings" w:hint="default"/>
      </w:rPr>
    </w:lvl>
    <w:lvl w:ilvl="3" w:tplc="31702720">
      <w:start w:val="1"/>
      <w:numFmt w:val="bullet"/>
      <w:lvlText w:val=""/>
      <w:lvlJc w:val="left"/>
      <w:pPr>
        <w:ind w:left="3240" w:hanging="360"/>
      </w:pPr>
      <w:rPr>
        <w:rFonts w:ascii="Symbol" w:hAnsi="Symbol" w:hint="default"/>
      </w:rPr>
    </w:lvl>
    <w:lvl w:ilvl="4" w:tplc="57C0BFCC">
      <w:start w:val="1"/>
      <w:numFmt w:val="bullet"/>
      <w:lvlText w:val="o"/>
      <w:lvlJc w:val="left"/>
      <w:pPr>
        <w:ind w:left="3960" w:hanging="360"/>
      </w:pPr>
      <w:rPr>
        <w:rFonts w:ascii="Courier New" w:hAnsi="Courier New" w:hint="default"/>
      </w:rPr>
    </w:lvl>
    <w:lvl w:ilvl="5" w:tplc="658E5D66">
      <w:start w:val="1"/>
      <w:numFmt w:val="bullet"/>
      <w:lvlText w:val=""/>
      <w:lvlJc w:val="left"/>
      <w:pPr>
        <w:ind w:left="4680" w:hanging="360"/>
      </w:pPr>
      <w:rPr>
        <w:rFonts w:ascii="Wingdings" w:hAnsi="Wingdings" w:hint="default"/>
      </w:rPr>
    </w:lvl>
    <w:lvl w:ilvl="6" w:tplc="7E2A7AE6">
      <w:start w:val="1"/>
      <w:numFmt w:val="bullet"/>
      <w:lvlText w:val=""/>
      <w:lvlJc w:val="left"/>
      <w:pPr>
        <w:ind w:left="5400" w:hanging="360"/>
      </w:pPr>
      <w:rPr>
        <w:rFonts w:ascii="Symbol" w:hAnsi="Symbol" w:hint="default"/>
      </w:rPr>
    </w:lvl>
    <w:lvl w:ilvl="7" w:tplc="614C1230">
      <w:start w:val="1"/>
      <w:numFmt w:val="bullet"/>
      <w:lvlText w:val="o"/>
      <w:lvlJc w:val="left"/>
      <w:pPr>
        <w:ind w:left="6120" w:hanging="360"/>
      </w:pPr>
      <w:rPr>
        <w:rFonts w:ascii="Courier New" w:hAnsi="Courier New" w:hint="default"/>
      </w:rPr>
    </w:lvl>
    <w:lvl w:ilvl="8" w:tplc="FDD6BD86">
      <w:start w:val="1"/>
      <w:numFmt w:val="bullet"/>
      <w:lvlText w:val=""/>
      <w:lvlJc w:val="left"/>
      <w:pPr>
        <w:ind w:left="6840" w:hanging="360"/>
      </w:pPr>
      <w:rPr>
        <w:rFonts w:ascii="Wingdings" w:hAnsi="Wingdings" w:hint="default"/>
      </w:rPr>
    </w:lvl>
  </w:abstractNum>
  <w:abstractNum w:abstractNumId="82" w15:restartNumberingAfterBreak="0">
    <w:nsid w:val="5A9E2171"/>
    <w:multiLevelType w:val="multilevel"/>
    <w:tmpl w:val="3C526EDE"/>
    <w:numStyleLink w:val="Headings"/>
  </w:abstractNum>
  <w:abstractNum w:abstractNumId="83" w15:restartNumberingAfterBreak="0">
    <w:nsid w:val="5B07BA26"/>
    <w:multiLevelType w:val="multilevel"/>
    <w:tmpl w:val="FFFFFFFF"/>
    <w:lvl w:ilvl="0">
      <w:start w:val="1"/>
      <w:numFmt w:val="decimal"/>
      <w:lvlText w:val="%1)"/>
      <w:lvlJc w:val="left"/>
      <w:pPr>
        <w:ind w:left="1440" w:hanging="36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4" w15:restartNumberingAfterBreak="0">
    <w:nsid w:val="5D6EF2E8"/>
    <w:multiLevelType w:val="multilevel"/>
    <w:tmpl w:val="FFFFFFFF"/>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5" w15:restartNumberingAfterBreak="0">
    <w:nsid w:val="5F173B2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86" w15:restartNumberingAfterBreak="0">
    <w:nsid w:val="5F5B31EB"/>
    <w:multiLevelType w:val="hybridMultilevel"/>
    <w:tmpl w:val="FFFFFFFF"/>
    <w:lvl w:ilvl="0" w:tplc="F9C0EF9E">
      <w:start w:val="1"/>
      <w:numFmt w:val="upperLetter"/>
      <w:lvlText w:val="%1."/>
      <w:lvlJc w:val="left"/>
      <w:pPr>
        <w:ind w:left="720" w:hanging="360"/>
      </w:pPr>
      <w:rPr>
        <w:rFonts w:ascii="Arial" w:hAnsi="Arial" w:hint="default"/>
      </w:rPr>
    </w:lvl>
    <w:lvl w:ilvl="1" w:tplc="353A75D4">
      <w:start w:val="1"/>
      <w:numFmt w:val="lowerLetter"/>
      <w:lvlText w:val="%2."/>
      <w:lvlJc w:val="left"/>
      <w:pPr>
        <w:ind w:left="1800" w:hanging="360"/>
      </w:pPr>
    </w:lvl>
    <w:lvl w:ilvl="2" w:tplc="DBB67066">
      <w:start w:val="1"/>
      <w:numFmt w:val="lowerRoman"/>
      <w:lvlText w:val="%3."/>
      <w:lvlJc w:val="right"/>
      <w:pPr>
        <w:ind w:left="2520" w:hanging="180"/>
      </w:pPr>
    </w:lvl>
    <w:lvl w:ilvl="3" w:tplc="76BC7150">
      <w:start w:val="1"/>
      <w:numFmt w:val="decimal"/>
      <w:lvlText w:val="%4."/>
      <w:lvlJc w:val="left"/>
      <w:pPr>
        <w:ind w:left="3240" w:hanging="360"/>
      </w:pPr>
    </w:lvl>
    <w:lvl w:ilvl="4" w:tplc="622EDC64">
      <w:start w:val="1"/>
      <w:numFmt w:val="lowerLetter"/>
      <w:lvlText w:val="%5."/>
      <w:lvlJc w:val="left"/>
      <w:pPr>
        <w:ind w:left="3960" w:hanging="360"/>
      </w:pPr>
    </w:lvl>
    <w:lvl w:ilvl="5" w:tplc="6A4A1330">
      <w:start w:val="1"/>
      <w:numFmt w:val="lowerRoman"/>
      <w:lvlText w:val="%6."/>
      <w:lvlJc w:val="right"/>
      <w:pPr>
        <w:ind w:left="4680" w:hanging="180"/>
      </w:pPr>
    </w:lvl>
    <w:lvl w:ilvl="6" w:tplc="81809068">
      <w:start w:val="1"/>
      <w:numFmt w:val="decimal"/>
      <w:lvlText w:val="%7."/>
      <w:lvlJc w:val="left"/>
      <w:pPr>
        <w:ind w:left="5400" w:hanging="360"/>
      </w:pPr>
    </w:lvl>
    <w:lvl w:ilvl="7" w:tplc="7F6EFC14">
      <w:start w:val="1"/>
      <w:numFmt w:val="lowerLetter"/>
      <w:lvlText w:val="%8."/>
      <w:lvlJc w:val="left"/>
      <w:pPr>
        <w:ind w:left="6120" w:hanging="360"/>
      </w:pPr>
    </w:lvl>
    <w:lvl w:ilvl="8" w:tplc="5918503E">
      <w:start w:val="1"/>
      <w:numFmt w:val="lowerRoman"/>
      <w:lvlText w:val="%9."/>
      <w:lvlJc w:val="right"/>
      <w:pPr>
        <w:ind w:left="6840" w:hanging="180"/>
      </w:pPr>
    </w:lvl>
  </w:abstractNum>
  <w:abstractNum w:abstractNumId="87" w15:restartNumberingAfterBreak="0">
    <w:nsid w:val="5F73122C"/>
    <w:multiLevelType w:val="hybridMultilevel"/>
    <w:tmpl w:val="2BDAC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021EB4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9" w15:restartNumberingAfterBreak="0">
    <w:nsid w:val="60BD5E96"/>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0" w15:restartNumberingAfterBreak="0">
    <w:nsid w:val="61A25780"/>
    <w:multiLevelType w:val="multilevel"/>
    <w:tmpl w:val="53544646"/>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ind w:left="1584" w:hanging="864"/>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91" w15:restartNumberingAfterBreak="0">
    <w:nsid w:val="629630F2"/>
    <w:multiLevelType w:val="hybridMultilevel"/>
    <w:tmpl w:val="FFFFFFFF"/>
    <w:lvl w:ilvl="0" w:tplc="B5D8A8FA">
      <w:start w:val="1"/>
      <w:numFmt w:val="decimal"/>
      <w:lvlText w:val="%1."/>
      <w:lvlJc w:val="left"/>
      <w:pPr>
        <w:ind w:left="720" w:hanging="360"/>
      </w:pPr>
      <w:rPr>
        <w:rFonts w:ascii="Arial" w:hAnsi="Arial" w:hint="default"/>
      </w:rPr>
    </w:lvl>
    <w:lvl w:ilvl="1" w:tplc="1350418E">
      <w:start w:val="1"/>
      <w:numFmt w:val="lowerLetter"/>
      <w:lvlText w:val="%2."/>
      <w:lvlJc w:val="left"/>
      <w:pPr>
        <w:ind w:left="1800" w:hanging="360"/>
      </w:pPr>
    </w:lvl>
    <w:lvl w:ilvl="2" w:tplc="4ABC6FA2">
      <w:start w:val="1"/>
      <w:numFmt w:val="lowerRoman"/>
      <w:lvlText w:val="%3."/>
      <w:lvlJc w:val="right"/>
      <w:pPr>
        <w:ind w:left="2520" w:hanging="180"/>
      </w:pPr>
    </w:lvl>
    <w:lvl w:ilvl="3" w:tplc="148A5B02">
      <w:start w:val="1"/>
      <w:numFmt w:val="decimal"/>
      <w:lvlText w:val="%4."/>
      <w:lvlJc w:val="left"/>
      <w:pPr>
        <w:ind w:left="3240" w:hanging="360"/>
      </w:pPr>
    </w:lvl>
    <w:lvl w:ilvl="4" w:tplc="D1B6B0BA">
      <w:start w:val="1"/>
      <w:numFmt w:val="lowerLetter"/>
      <w:lvlText w:val="%5."/>
      <w:lvlJc w:val="left"/>
      <w:pPr>
        <w:ind w:left="3960" w:hanging="360"/>
      </w:pPr>
    </w:lvl>
    <w:lvl w:ilvl="5" w:tplc="5F141D5C">
      <w:start w:val="1"/>
      <w:numFmt w:val="lowerRoman"/>
      <w:lvlText w:val="%6."/>
      <w:lvlJc w:val="right"/>
      <w:pPr>
        <w:ind w:left="4680" w:hanging="180"/>
      </w:pPr>
    </w:lvl>
    <w:lvl w:ilvl="6" w:tplc="A92A549A">
      <w:start w:val="1"/>
      <w:numFmt w:val="decimal"/>
      <w:lvlText w:val="%7."/>
      <w:lvlJc w:val="left"/>
      <w:pPr>
        <w:ind w:left="5400" w:hanging="360"/>
      </w:pPr>
    </w:lvl>
    <w:lvl w:ilvl="7" w:tplc="1E8E8C7C">
      <w:start w:val="1"/>
      <w:numFmt w:val="lowerLetter"/>
      <w:lvlText w:val="%8."/>
      <w:lvlJc w:val="left"/>
      <w:pPr>
        <w:ind w:left="6120" w:hanging="360"/>
      </w:pPr>
    </w:lvl>
    <w:lvl w:ilvl="8" w:tplc="02500CF6">
      <w:start w:val="1"/>
      <w:numFmt w:val="lowerRoman"/>
      <w:lvlText w:val="%9."/>
      <w:lvlJc w:val="right"/>
      <w:pPr>
        <w:ind w:left="6840" w:hanging="180"/>
      </w:pPr>
    </w:lvl>
  </w:abstractNum>
  <w:abstractNum w:abstractNumId="92" w15:restartNumberingAfterBreak="0">
    <w:nsid w:val="62CF5598"/>
    <w:multiLevelType w:val="hybridMultilevel"/>
    <w:tmpl w:val="FFFFFFFF"/>
    <w:lvl w:ilvl="0" w:tplc="759C7906">
      <w:start w:val="1"/>
      <w:numFmt w:val="upperLetter"/>
      <w:lvlText w:val="%1."/>
      <w:lvlJc w:val="left"/>
      <w:pPr>
        <w:ind w:left="720" w:hanging="360"/>
      </w:pPr>
      <w:rPr>
        <w:rFonts w:ascii="Arial" w:hAnsi="Arial" w:hint="default"/>
      </w:rPr>
    </w:lvl>
    <w:lvl w:ilvl="1" w:tplc="422E2D9A">
      <w:start w:val="1"/>
      <w:numFmt w:val="lowerLetter"/>
      <w:lvlText w:val="%2."/>
      <w:lvlJc w:val="left"/>
      <w:pPr>
        <w:ind w:left="3240" w:hanging="360"/>
      </w:pPr>
    </w:lvl>
    <w:lvl w:ilvl="2" w:tplc="D6DC67D8">
      <w:start w:val="1"/>
      <w:numFmt w:val="lowerRoman"/>
      <w:lvlText w:val="%3."/>
      <w:lvlJc w:val="right"/>
      <w:pPr>
        <w:ind w:left="3960" w:hanging="180"/>
      </w:pPr>
    </w:lvl>
    <w:lvl w:ilvl="3" w:tplc="6B147F60">
      <w:start w:val="1"/>
      <w:numFmt w:val="decimal"/>
      <w:lvlText w:val="%4."/>
      <w:lvlJc w:val="left"/>
      <w:pPr>
        <w:ind w:left="4680" w:hanging="360"/>
      </w:pPr>
    </w:lvl>
    <w:lvl w:ilvl="4" w:tplc="F81E60D4">
      <w:start w:val="1"/>
      <w:numFmt w:val="lowerLetter"/>
      <w:lvlText w:val="%5."/>
      <w:lvlJc w:val="left"/>
      <w:pPr>
        <w:ind w:left="5400" w:hanging="360"/>
      </w:pPr>
    </w:lvl>
    <w:lvl w:ilvl="5" w:tplc="40CC2836">
      <w:start w:val="1"/>
      <w:numFmt w:val="lowerRoman"/>
      <w:lvlText w:val="%6."/>
      <w:lvlJc w:val="right"/>
      <w:pPr>
        <w:ind w:left="6120" w:hanging="180"/>
      </w:pPr>
    </w:lvl>
    <w:lvl w:ilvl="6" w:tplc="00FC0062">
      <w:start w:val="1"/>
      <w:numFmt w:val="decimal"/>
      <w:lvlText w:val="%7."/>
      <w:lvlJc w:val="left"/>
      <w:pPr>
        <w:ind w:left="6840" w:hanging="360"/>
      </w:pPr>
    </w:lvl>
    <w:lvl w:ilvl="7" w:tplc="F126E204">
      <w:start w:val="1"/>
      <w:numFmt w:val="lowerLetter"/>
      <w:lvlText w:val="%8."/>
      <w:lvlJc w:val="left"/>
      <w:pPr>
        <w:ind w:left="7560" w:hanging="360"/>
      </w:pPr>
    </w:lvl>
    <w:lvl w:ilvl="8" w:tplc="65D86636">
      <w:start w:val="1"/>
      <w:numFmt w:val="lowerRoman"/>
      <w:lvlText w:val="%9."/>
      <w:lvlJc w:val="right"/>
      <w:pPr>
        <w:ind w:left="8280" w:hanging="180"/>
      </w:pPr>
    </w:lvl>
  </w:abstractNum>
  <w:abstractNum w:abstractNumId="93" w15:restartNumberingAfterBreak="0">
    <w:nsid w:val="634FAB8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4" w15:restartNumberingAfterBreak="0">
    <w:nsid w:val="6581B10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5" w15:restartNumberingAfterBreak="0">
    <w:nsid w:val="66C941E5"/>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6" w15:restartNumberingAfterBreak="0">
    <w:nsid w:val="67A05322"/>
    <w:multiLevelType w:val="hybridMultilevel"/>
    <w:tmpl w:val="FFFFFFFF"/>
    <w:lvl w:ilvl="0" w:tplc="57220974">
      <w:numFmt w:val="bullet"/>
      <w:lvlText w:val="•"/>
      <w:lvlJc w:val="left"/>
      <w:pPr>
        <w:ind w:left="720" w:hanging="360"/>
      </w:pPr>
      <w:rPr>
        <w:rFonts w:ascii="SymbolMT" w:hAnsi="SymbolMT" w:hint="default"/>
      </w:rPr>
    </w:lvl>
    <w:lvl w:ilvl="1" w:tplc="065EC7CC">
      <w:start w:val="1"/>
      <w:numFmt w:val="bullet"/>
      <w:lvlText w:val="o"/>
      <w:lvlJc w:val="left"/>
      <w:pPr>
        <w:ind w:left="1800" w:hanging="360"/>
      </w:pPr>
      <w:rPr>
        <w:rFonts w:ascii="Courier New" w:hAnsi="Courier New" w:hint="default"/>
      </w:rPr>
    </w:lvl>
    <w:lvl w:ilvl="2" w:tplc="54BACC42">
      <w:start w:val="1"/>
      <w:numFmt w:val="bullet"/>
      <w:lvlText w:val=""/>
      <w:lvlJc w:val="left"/>
      <w:pPr>
        <w:ind w:left="2520" w:hanging="360"/>
      </w:pPr>
      <w:rPr>
        <w:rFonts w:ascii="Wingdings" w:hAnsi="Wingdings" w:hint="default"/>
      </w:rPr>
    </w:lvl>
    <w:lvl w:ilvl="3" w:tplc="BBCAB050">
      <w:start w:val="1"/>
      <w:numFmt w:val="bullet"/>
      <w:lvlText w:val=""/>
      <w:lvlJc w:val="left"/>
      <w:pPr>
        <w:ind w:left="3240" w:hanging="360"/>
      </w:pPr>
      <w:rPr>
        <w:rFonts w:ascii="Symbol" w:hAnsi="Symbol" w:hint="default"/>
      </w:rPr>
    </w:lvl>
    <w:lvl w:ilvl="4" w:tplc="66D6A40A">
      <w:start w:val="1"/>
      <w:numFmt w:val="bullet"/>
      <w:lvlText w:val="o"/>
      <w:lvlJc w:val="left"/>
      <w:pPr>
        <w:ind w:left="3960" w:hanging="360"/>
      </w:pPr>
      <w:rPr>
        <w:rFonts w:ascii="Courier New" w:hAnsi="Courier New" w:hint="default"/>
      </w:rPr>
    </w:lvl>
    <w:lvl w:ilvl="5" w:tplc="AC1A0D86">
      <w:start w:val="1"/>
      <w:numFmt w:val="bullet"/>
      <w:lvlText w:val=""/>
      <w:lvlJc w:val="left"/>
      <w:pPr>
        <w:ind w:left="4680" w:hanging="360"/>
      </w:pPr>
      <w:rPr>
        <w:rFonts w:ascii="Wingdings" w:hAnsi="Wingdings" w:hint="default"/>
      </w:rPr>
    </w:lvl>
    <w:lvl w:ilvl="6" w:tplc="39A00D38">
      <w:start w:val="1"/>
      <w:numFmt w:val="bullet"/>
      <w:lvlText w:val=""/>
      <w:lvlJc w:val="left"/>
      <w:pPr>
        <w:ind w:left="5400" w:hanging="360"/>
      </w:pPr>
      <w:rPr>
        <w:rFonts w:ascii="Symbol" w:hAnsi="Symbol" w:hint="default"/>
      </w:rPr>
    </w:lvl>
    <w:lvl w:ilvl="7" w:tplc="8592C746">
      <w:start w:val="1"/>
      <w:numFmt w:val="bullet"/>
      <w:lvlText w:val="o"/>
      <w:lvlJc w:val="left"/>
      <w:pPr>
        <w:ind w:left="6120" w:hanging="360"/>
      </w:pPr>
      <w:rPr>
        <w:rFonts w:ascii="Courier New" w:hAnsi="Courier New" w:hint="default"/>
      </w:rPr>
    </w:lvl>
    <w:lvl w:ilvl="8" w:tplc="83C47C86">
      <w:start w:val="1"/>
      <w:numFmt w:val="bullet"/>
      <w:lvlText w:val=""/>
      <w:lvlJc w:val="left"/>
      <w:pPr>
        <w:ind w:left="6840" w:hanging="360"/>
      </w:pPr>
      <w:rPr>
        <w:rFonts w:ascii="Wingdings" w:hAnsi="Wingdings" w:hint="default"/>
      </w:rPr>
    </w:lvl>
  </w:abstractNum>
  <w:abstractNum w:abstractNumId="97" w15:restartNumberingAfterBreak="0">
    <w:nsid w:val="67B11EDA"/>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8" w15:restartNumberingAfterBreak="0">
    <w:nsid w:val="68210635"/>
    <w:multiLevelType w:val="hybridMultilevel"/>
    <w:tmpl w:val="A098885C"/>
    <w:lvl w:ilvl="0" w:tplc="A8D448B0">
      <w:start w:val="1"/>
      <w:numFmt w:val="decimal"/>
      <w:lvlText w:val="%1."/>
      <w:lvlJc w:val="left"/>
      <w:pPr>
        <w:ind w:left="1020" w:hanging="360"/>
      </w:pPr>
    </w:lvl>
    <w:lvl w:ilvl="1" w:tplc="1A5238BE">
      <w:start w:val="1"/>
      <w:numFmt w:val="decimal"/>
      <w:lvlText w:val="%2."/>
      <w:lvlJc w:val="left"/>
      <w:pPr>
        <w:ind w:left="1020" w:hanging="360"/>
      </w:pPr>
    </w:lvl>
    <w:lvl w:ilvl="2" w:tplc="589E1CF2">
      <w:start w:val="1"/>
      <w:numFmt w:val="decimal"/>
      <w:lvlText w:val="%3."/>
      <w:lvlJc w:val="left"/>
      <w:pPr>
        <w:ind w:left="1020" w:hanging="360"/>
      </w:pPr>
    </w:lvl>
    <w:lvl w:ilvl="3" w:tplc="CEF048AE">
      <w:start w:val="1"/>
      <w:numFmt w:val="decimal"/>
      <w:lvlText w:val="%4."/>
      <w:lvlJc w:val="left"/>
      <w:pPr>
        <w:ind w:left="1020" w:hanging="360"/>
      </w:pPr>
    </w:lvl>
    <w:lvl w:ilvl="4" w:tplc="876E2C4A">
      <w:start w:val="1"/>
      <w:numFmt w:val="decimal"/>
      <w:lvlText w:val="%5."/>
      <w:lvlJc w:val="left"/>
      <w:pPr>
        <w:ind w:left="1020" w:hanging="360"/>
      </w:pPr>
    </w:lvl>
    <w:lvl w:ilvl="5" w:tplc="748EEF58">
      <w:start w:val="1"/>
      <w:numFmt w:val="decimal"/>
      <w:lvlText w:val="%6."/>
      <w:lvlJc w:val="left"/>
      <w:pPr>
        <w:ind w:left="1020" w:hanging="360"/>
      </w:pPr>
    </w:lvl>
    <w:lvl w:ilvl="6" w:tplc="AB60F346">
      <w:start w:val="1"/>
      <w:numFmt w:val="decimal"/>
      <w:lvlText w:val="%7."/>
      <w:lvlJc w:val="left"/>
      <w:pPr>
        <w:ind w:left="1020" w:hanging="360"/>
      </w:pPr>
    </w:lvl>
    <w:lvl w:ilvl="7" w:tplc="6CF8C154">
      <w:start w:val="1"/>
      <w:numFmt w:val="decimal"/>
      <w:lvlText w:val="%8."/>
      <w:lvlJc w:val="left"/>
      <w:pPr>
        <w:ind w:left="1020" w:hanging="360"/>
      </w:pPr>
    </w:lvl>
    <w:lvl w:ilvl="8" w:tplc="24ECFDFA">
      <w:start w:val="1"/>
      <w:numFmt w:val="decimal"/>
      <w:lvlText w:val="%9."/>
      <w:lvlJc w:val="left"/>
      <w:pPr>
        <w:ind w:left="1020" w:hanging="360"/>
      </w:pPr>
    </w:lvl>
  </w:abstractNum>
  <w:abstractNum w:abstractNumId="99"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7155AA19"/>
    <w:multiLevelType w:val="hybridMultilevel"/>
    <w:tmpl w:val="F12CC15E"/>
    <w:lvl w:ilvl="0" w:tplc="B3344D82">
      <w:start w:val="1"/>
      <w:numFmt w:val="bullet"/>
      <w:lvlText w:val=""/>
      <w:lvlJc w:val="left"/>
      <w:pPr>
        <w:ind w:left="720" w:hanging="360"/>
      </w:pPr>
      <w:rPr>
        <w:rFonts w:ascii="Symbol" w:hAnsi="Symbol" w:hint="default"/>
      </w:rPr>
    </w:lvl>
    <w:lvl w:ilvl="1" w:tplc="E5F6906A">
      <w:start w:val="1"/>
      <w:numFmt w:val="bullet"/>
      <w:lvlText w:val="o"/>
      <w:lvlJc w:val="left"/>
      <w:pPr>
        <w:ind w:left="1440" w:hanging="360"/>
      </w:pPr>
      <w:rPr>
        <w:rFonts w:ascii="Courier New" w:hAnsi="Courier New" w:hint="default"/>
      </w:rPr>
    </w:lvl>
    <w:lvl w:ilvl="2" w:tplc="BF747892">
      <w:start w:val="1"/>
      <w:numFmt w:val="bullet"/>
      <w:lvlText w:val=""/>
      <w:lvlJc w:val="left"/>
      <w:pPr>
        <w:ind w:left="2160" w:hanging="360"/>
      </w:pPr>
      <w:rPr>
        <w:rFonts w:ascii="Wingdings" w:hAnsi="Wingdings" w:hint="default"/>
      </w:rPr>
    </w:lvl>
    <w:lvl w:ilvl="3" w:tplc="05CCB5B6">
      <w:start w:val="1"/>
      <w:numFmt w:val="bullet"/>
      <w:lvlText w:val=""/>
      <w:lvlJc w:val="left"/>
      <w:pPr>
        <w:ind w:left="2880" w:hanging="360"/>
      </w:pPr>
      <w:rPr>
        <w:rFonts w:ascii="Symbol" w:hAnsi="Symbol" w:hint="default"/>
      </w:rPr>
    </w:lvl>
    <w:lvl w:ilvl="4" w:tplc="AEE0708E">
      <w:start w:val="1"/>
      <w:numFmt w:val="bullet"/>
      <w:lvlText w:val="o"/>
      <w:lvlJc w:val="left"/>
      <w:pPr>
        <w:ind w:left="3600" w:hanging="360"/>
      </w:pPr>
      <w:rPr>
        <w:rFonts w:ascii="Courier New" w:hAnsi="Courier New" w:hint="default"/>
      </w:rPr>
    </w:lvl>
    <w:lvl w:ilvl="5" w:tplc="94085ED6">
      <w:start w:val="1"/>
      <w:numFmt w:val="bullet"/>
      <w:lvlText w:val=""/>
      <w:lvlJc w:val="left"/>
      <w:pPr>
        <w:ind w:left="4320" w:hanging="360"/>
      </w:pPr>
      <w:rPr>
        <w:rFonts w:ascii="Wingdings" w:hAnsi="Wingdings" w:hint="default"/>
      </w:rPr>
    </w:lvl>
    <w:lvl w:ilvl="6" w:tplc="AD62FAF2">
      <w:start w:val="1"/>
      <w:numFmt w:val="bullet"/>
      <w:lvlText w:val=""/>
      <w:lvlJc w:val="left"/>
      <w:pPr>
        <w:ind w:left="5040" w:hanging="360"/>
      </w:pPr>
      <w:rPr>
        <w:rFonts w:ascii="Symbol" w:hAnsi="Symbol" w:hint="default"/>
      </w:rPr>
    </w:lvl>
    <w:lvl w:ilvl="7" w:tplc="B48E23C2">
      <w:start w:val="1"/>
      <w:numFmt w:val="bullet"/>
      <w:lvlText w:val="o"/>
      <w:lvlJc w:val="left"/>
      <w:pPr>
        <w:ind w:left="5760" w:hanging="360"/>
      </w:pPr>
      <w:rPr>
        <w:rFonts w:ascii="Courier New" w:hAnsi="Courier New" w:hint="default"/>
      </w:rPr>
    </w:lvl>
    <w:lvl w:ilvl="8" w:tplc="49163E16">
      <w:start w:val="1"/>
      <w:numFmt w:val="bullet"/>
      <w:lvlText w:val=""/>
      <w:lvlJc w:val="left"/>
      <w:pPr>
        <w:ind w:left="6480" w:hanging="360"/>
      </w:pPr>
      <w:rPr>
        <w:rFonts w:ascii="Wingdings" w:hAnsi="Wingdings" w:hint="default"/>
      </w:rPr>
    </w:lvl>
  </w:abstractNum>
  <w:abstractNum w:abstractNumId="101" w15:restartNumberingAfterBreak="0">
    <w:nsid w:val="745AEAA3"/>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2" w15:restartNumberingAfterBreak="0">
    <w:nsid w:val="749B5908"/>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3" w15:restartNumberingAfterBreak="0">
    <w:nsid w:val="749ED0CE"/>
    <w:multiLevelType w:val="hybridMultilevel"/>
    <w:tmpl w:val="FFFFFFFF"/>
    <w:lvl w:ilvl="0" w:tplc="AFFE1122">
      <w:start w:val="1"/>
      <w:numFmt w:val="decimal"/>
      <w:lvlText w:val="%1."/>
      <w:lvlJc w:val="left"/>
      <w:pPr>
        <w:ind w:left="1080" w:hanging="360"/>
      </w:pPr>
    </w:lvl>
    <w:lvl w:ilvl="1" w:tplc="A3266EC8">
      <w:start w:val="1"/>
      <w:numFmt w:val="decimal"/>
      <w:lvlText w:val="%2)"/>
      <w:lvlJc w:val="left"/>
      <w:pPr>
        <w:ind w:left="1080" w:hanging="360"/>
      </w:pPr>
      <w:rPr>
        <w:rFonts w:ascii="Arial" w:hAnsi="Arial" w:hint="default"/>
      </w:rPr>
    </w:lvl>
    <w:lvl w:ilvl="2" w:tplc="90D49FEE">
      <w:start w:val="1"/>
      <w:numFmt w:val="lowerRoman"/>
      <w:lvlText w:val="%3."/>
      <w:lvlJc w:val="right"/>
      <w:pPr>
        <w:ind w:left="2520" w:hanging="180"/>
      </w:pPr>
    </w:lvl>
    <w:lvl w:ilvl="3" w:tplc="FAC28D5A">
      <w:start w:val="1"/>
      <w:numFmt w:val="decimal"/>
      <w:lvlText w:val="%4."/>
      <w:lvlJc w:val="left"/>
      <w:pPr>
        <w:ind w:left="3240" w:hanging="360"/>
      </w:pPr>
    </w:lvl>
    <w:lvl w:ilvl="4" w:tplc="3E0CE1E0">
      <w:start w:val="1"/>
      <w:numFmt w:val="lowerLetter"/>
      <w:lvlText w:val="%5."/>
      <w:lvlJc w:val="left"/>
      <w:pPr>
        <w:ind w:left="3960" w:hanging="360"/>
      </w:pPr>
    </w:lvl>
    <w:lvl w:ilvl="5" w:tplc="104EE29E">
      <w:start w:val="1"/>
      <w:numFmt w:val="lowerRoman"/>
      <w:lvlText w:val="%6."/>
      <w:lvlJc w:val="right"/>
      <w:pPr>
        <w:ind w:left="4680" w:hanging="180"/>
      </w:pPr>
    </w:lvl>
    <w:lvl w:ilvl="6" w:tplc="4A9A8256">
      <w:start w:val="1"/>
      <w:numFmt w:val="decimal"/>
      <w:lvlText w:val="%7."/>
      <w:lvlJc w:val="left"/>
      <w:pPr>
        <w:ind w:left="5400" w:hanging="360"/>
      </w:pPr>
    </w:lvl>
    <w:lvl w:ilvl="7" w:tplc="AF503388">
      <w:start w:val="1"/>
      <w:numFmt w:val="lowerLetter"/>
      <w:lvlText w:val="%8."/>
      <w:lvlJc w:val="left"/>
      <w:pPr>
        <w:ind w:left="6120" w:hanging="360"/>
      </w:pPr>
    </w:lvl>
    <w:lvl w:ilvl="8" w:tplc="6088D132">
      <w:start w:val="1"/>
      <w:numFmt w:val="lowerRoman"/>
      <w:lvlText w:val="%9."/>
      <w:lvlJc w:val="right"/>
      <w:pPr>
        <w:ind w:left="6840" w:hanging="180"/>
      </w:pPr>
    </w:lvl>
  </w:abstractNum>
  <w:abstractNum w:abstractNumId="104" w15:restartNumberingAfterBreak="0">
    <w:nsid w:val="74A23CD7"/>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5" w15:restartNumberingAfterBreak="0">
    <w:nsid w:val="758BCAD8"/>
    <w:multiLevelType w:val="hybridMultilevel"/>
    <w:tmpl w:val="FFFFFFFF"/>
    <w:lvl w:ilvl="0" w:tplc="BCBE709A">
      <w:start w:val="1"/>
      <w:numFmt w:val="decimal"/>
      <w:lvlText w:val="%1."/>
      <w:lvlJc w:val="left"/>
      <w:pPr>
        <w:ind w:left="720" w:hanging="360"/>
      </w:pPr>
      <w:rPr>
        <w:rFonts w:ascii="Arial" w:hAnsi="Arial" w:hint="default"/>
      </w:rPr>
    </w:lvl>
    <w:lvl w:ilvl="1" w:tplc="4CAA95B6">
      <w:start w:val="1"/>
      <w:numFmt w:val="lowerLetter"/>
      <w:lvlText w:val="%2."/>
      <w:lvlJc w:val="left"/>
      <w:pPr>
        <w:ind w:left="1800" w:hanging="360"/>
      </w:pPr>
    </w:lvl>
    <w:lvl w:ilvl="2" w:tplc="F76EE01C">
      <w:start w:val="1"/>
      <w:numFmt w:val="lowerRoman"/>
      <w:lvlText w:val="%3."/>
      <w:lvlJc w:val="right"/>
      <w:pPr>
        <w:ind w:left="2520" w:hanging="180"/>
      </w:pPr>
    </w:lvl>
    <w:lvl w:ilvl="3" w:tplc="2E723F7A">
      <w:start w:val="1"/>
      <w:numFmt w:val="decimal"/>
      <w:lvlText w:val="%4."/>
      <w:lvlJc w:val="left"/>
      <w:pPr>
        <w:ind w:left="3240" w:hanging="360"/>
      </w:pPr>
    </w:lvl>
    <w:lvl w:ilvl="4" w:tplc="937A3B30">
      <w:start w:val="1"/>
      <w:numFmt w:val="lowerLetter"/>
      <w:lvlText w:val="%5."/>
      <w:lvlJc w:val="left"/>
      <w:pPr>
        <w:ind w:left="3960" w:hanging="360"/>
      </w:pPr>
    </w:lvl>
    <w:lvl w:ilvl="5" w:tplc="F1E202B8">
      <w:start w:val="1"/>
      <w:numFmt w:val="lowerRoman"/>
      <w:lvlText w:val="%6."/>
      <w:lvlJc w:val="right"/>
      <w:pPr>
        <w:ind w:left="4680" w:hanging="180"/>
      </w:pPr>
    </w:lvl>
    <w:lvl w:ilvl="6" w:tplc="9AC4E3A4">
      <w:start w:val="1"/>
      <w:numFmt w:val="decimal"/>
      <w:lvlText w:val="%7."/>
      <w:lvlJc w:val="left"/>
      <w:pPr>
        <w:ind w:left="5400" w:hanging="360"/>
      </w:pPr>
    </w:lvl>
    <w:lvl w:ilvl="7" w:tplc="B1E87CD8">
      <w:start w:val="1"/>
      <w:numFmt w:val="lowerLetter"/>
      <w:lvlText w:val="%8."/>
      <w:lvlJc w:val="left"/>
      <w:pPr>
        <w:ind w:left="6120" w:hanging="360"/>
      </w:pPr>
    </w:lvl>
    <w:lvl w:ilvl="8" w:tplc="D52A511E">
      <w:start w:val="1"/>
      <w:numFmt w:val="lowerRoman"/>
      <w:lvlText w:val="%9."/>
      <w:lvlJc w:val="right"/>
      <w:pPr>
        <w:ind w:left="6840" w:hanging="180"/>
      </w:pPr>
    </w:lvl>
  </w:abstractNum>
  <w:abstractNum w:abstractNumId="106" w15:restartNumberingAfterBreak="0">
    <w:nsid w:val="76932412"/>
    <w:multiLevelType w:val="hybridMultilevel"/>
    <w:tmpl w:val="3F146248"/>
    <w:lvl w:ilvl="0" w:tplc="2D42CD3E">
      <w:start w:val="1"/>
      <w:numFmt w:val="bullet"/>
      <w:lvlText w:val="-"/>
      <w:lvlJc w:val="left"/>
      <w:pPr>
        <w:ind w:left="720" w:hanging="360"/>
      </w:pPr>
      <w:rPr>
        <w:rFonts w:ascii="Palatino Linotype" w:eastAsia="Palatino Linotype" w:hAnsi="Palatino Linotype"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76F03D50"/>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8" w15:restartNumberingAfterBreak="0">
    <w:nsid w:val="770F7779"/>
    <w:multiLevelType w:val="multilevel"/>
    <w:tmpl w:val="FFFFFFFF"/>
    <w:lvl w:ilvl="0">
      <w:start w:val="1"/>
      <w:numFmt w:val="decimal"/>
      <w:lvlText w:val="%1."/>
      <w:lvlJc w:val="left"/>
      <w:pPr>
        <w:ind w:left="720" w:hanging="720"/>
      </w:pPr>
      <w:rPr>
        <w:rFonts w:ascii="Arial" w:hAnsi="Aria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9" w15:restartNumberingAfterBreak="0">
    <w:nsid w:val="789A0AFE"/>
    <w:multiLevelType w:val="multilevel"/>
    <w:tmpl w:val="F0A824E2"/>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10" w15:restartNumberingAfterBreak="0">
    <w:nsid w:val="7D45E605"/>
    <w:multiLevelType w:val="multilevel"/>
    <w:tmpl w:val="FFFFFFFF"/>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1" w15:restartNumberingAfterBreak="0">
    <w:nsid w:val="7E739EE4"/>
    <w:multiLevelType w:val="hybridMultilevel"/>
    <w:tmpl w:val="EB468D48"/>
    <w:lvl w:ilvl="0" w:tplc="7F988A2C">
      <w:start w:val="1"/>
      <w:numFmt w:val="bullet"/>
      <w:lvlText w:val=""/>
      <w:lvlJc w:val="left"/>
      <w:pPr>
        <w:ind w:left="1440" w:hanging="360"/>
      </w:pPr>
      <w:rPr>
        <w:rFonts w:ascii="Symbol" w:hAnsi="Symbol" w:hint="default"/>
      </w:rPr>
    </w:lvl>
    <w:lvl w:ilvl="1" w:tplc="1DCC607A">
      <w:start w:val="1"/>
      <w:numFmt w:val="bullet"/>
      <w:lvlText w:val="o"/>
      <w:lvlJc w:val="left"/>
      <w:pPr>
        <w:ind w:left="2160" w:hanging="360"/>
      </w:pPr>
      <w:rPr>
        <w:rFonts w:ascii="Courier New" w:hAnsi="Courier New" w:hint="default"/>
      </w:rPr>
    </w:lvl>
    <w:lvl w:ilvl="2" w:tplc="95B81BBC">
      <w:start w:val="1"/>
      <w:numFmt w:val="bullet"/>
      <w:lvlText w:val=""/>
      <w:lvlJc w:val="left"/>
      <w:pPr>
        <w:ind w:left="2880" w:hanging="360"/>
      </w:pPr>
      <w:rPr>
        <w:rFonts w:ascii="Wingdings" w:hAnsi="Wingdings" w:hint="default"/>
      </w:rPr>
    </w:lvl>
    <w:lvl w:ilvl="3" w:tplc="764824D8">
      <w:start w:val="1"/>
      <w:numFmt w:val="bullet"/>
      <w:lvlText w:val=""/>
      <w:lvlJc w:val="left"/>
      <w:pPr>
        <w:ind w:left="3600" w:hanging="360"/>
      </w:pPr>
      <w:rPr>
        <w:rFonts w:ascii="Symbol" w:hAnsi="Symbol" w:hint="default"/>
      </w:rPr>
    </w:lvl>
    <w:lvl w:ilvl="4" w:tplc="DC4AA8BA">
      <w:start w:val="1"/>
      <w:numFmt w:val="bullet"/>
      <w:lvlText w:val="o"/>
      <w:lvlJc w:val="left"/>
      <w:pPr>
        <w:ind w:left="4320" w:hanging="360"/>
      </w:pPr>
      <w:rPr>
        <w:rFonts w:ascii="Courier New" w:hAnsi="Courier New" w:hint="default"/>
      </w:rPr>
    </w:lvl>
    <w:lvl w:ilvl="5" w:tplc="918408C2">
      <w:start w:val="1"/>
      <w:numFmt w:val="bullet"/>
      <w:lvlText w:val=""/>
      <w:lvlJc w:val="left"/>
      <w:pPr>
        <w:ind w:left="5040" w:hanging="360"/>
      </w:pPr>
      <w:rPr>
        <w:rFonts w:ascii="Wingdings" w:hAnsi="Wingdings" w:hint="default"/>
      </w:rPr>
    </w:lvl>
    <w:lvl w:ilvl="6" w:tplc="52D2BBE0">
      <w:start w:val="1"/>
      <w:numFmt w:val="bullet"/>
      <w:lvlText w:val=""/>
      <w:lvlJc w:val="left"/>
      <w:pPr>
        <w:ind w:left="5760" w:hanging="360"/>
      </w:pPr>
      <w:rPr>
        <w:rFonts w:ascii="Symbol" w:hAnsi="Symbol" w:hint="default"/>
      </w:rPr>
    </w:lvl>
    <w:lvl w:ilvl="7" w:tplc="F466922E">
      <w:start w:val="1"/>
      <w:numFmt w:val="bullet"/>
      <w:lvlText w:val="o"/>
      <w:lvlJc w:val="left"/>
      <w:pPr>
        <w:ind w:left="6480" w:hanging="360"/>
      </w:pPr>
      <w:rPr>
        <w:rFonts w:ascii="Courier New" w:hAnsi="Courier New" w:hint="default"/>
      </w:rPr>
    </w:lvl>
    <w:lvl w:ilvl="8" w:tplc="8E667492">
      <w:start w:val="1"/>
      <w:numFmt w:val="bullet"/>
      <w:lvlText w:val=""/>
      <w:lvlJc w:val="left"/>
      <w:pPr>
        <w:ind w:left="7200" w:hanging="360"/>
      </w:pPr>
      <w:rPr>
        <w:rFonts w:ascii="Wingdings" w:hAnsi="Wingdings" w:hint="default"/>
      </w:rPr>
    </w:lvl>
  </w:abstractNum>
  <w:abstractNum w:abstractNumId="112" w15:restartNumberingAfterBreak="0">
    <w:nsid w:val="7EA138E4"/>
    <w:multiLevelType w:val="hybridMultilevel"/>
    <w:tmpl w:val="83F82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7FF41028"/>
    <w:multiLevelType w:val="multilevel"/>
    <w:tmpl w:val="FFFFFFFF"/>
    <w:lvl w:ilvl="0">
      <w:start w:val="1"/>
      <w:numFmt w:val="bullet"/>
      <w:lvlText w:val="●"/>
      <w:lvlJc w:val="left"/>
      <w:pPr>
        <w:ind w:left="720"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16cid:durableId="1135372924">
    <w:abstractNumId w:val="57"/>
  </w:num>
  <w:num w:numId="2" w16cid:durableId="1549336880">
    <w:abstractNumId w:val="66"/>
  </w:num>
  <w:num w:numId="3" w16cid:durableId="1097408084">
    <w:abstractNumId w:val="79"/>
  </w:num>
  <w:num w:numId="4" w16cid:durableId="718868417">
    <w:abstractNumId w:val="35"/>
  </w:num>
  <w:num w:numId="5" w16cid:durableId="1354526949">
    <w:abstractNumId w:val="82"/>
  </w:num>
  <w:num w:numId="6" w16cid:durableId="140774137">
    <w:abstractNumId w:val="12"/>
  </w:num>
  <w:num w:numId="7" w16cid:durableId="1898543446">
    <w:abstractNumId w:val="80"/>
  </w:num>
  <w:num w:numId="8" w16cid:durableId="701521005">
    <w:abstractNumId w:val="14"/>
  </w:num>
  <w:num w:numId="9" w16cid:durableId="2017029027">
    <w:abstractNumId w:val="109"/>
  </w:num>
  <w:num w:numId="10" w16cid:durableId="973756952">
    <w:abstractNumId w:val="45"/>
  </w:num>
  <w:num w:numId="11" w16cid:durableId="827667741">
    <w:abstractNumId w:val="24"/>
  </w:num>
  <w:num w:numId="12" w16cid:durableId="1760327020">
    <w:abstractNumId w:val="99"/>
  </w:num>
  <w:num w:numId="13" w16cid:durableId="816924040">
    <w:abstractNumId w:val="0"/>
  </w:num>
  <w:num w:numId="14" w16cid:durableId="1817916489">
    <w:abstractNumId w:val="23"/>
  </w:num>
  <w:num w:numId="15" w16cid:durableId="291985460">
    <w:abstractNumId w:val="33"/>
  </w:num>
  <w:num w:numId="16" w16cid:durableId="467941983">
    <w:abstractNumId w:val="21"/>
  </w:num>
  <w:num w:numId="17" w16cid:durableId="712996464">
    <w:abstractNumId w:val="34"/>
  </w:num>
  <w:num w:numId="18" w16cid:durableId="1303778653">
    <w:abstractNumId w:val="40"/>
  </w:num>
  <w:num w:numId="19" w16cid:durableId="1714382259">
    <w:abstractNumId w:val="90"/>
  </w:num>
  <w:num w:numId="20" w16cid:durableId="54810768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4637577">
    <w:abstractNumId w:val="90"/>
  </w:num>
  <w:num w:numId="22" w16cid:durableId="2041083841">
    <w:abstractNumId w:val="112"/>
  </w:num>
  <w:num w:numId="23" w16cid:durableId="1839887194">
    <w:abstractNumId w:val="20"/>
  </w:num>
  <w:num w:numId="24" w16cid:durableId="1537507032">
    <w:abstractNumId w:val="72"/>
  </w:num>
  <w:num w:numId="25" w16cid:durableId="2013797769">
    <w:abstractNumId w:val="56"/>
  </w:num>
  <w:num w:numId="26" w16cid:durableId="712926011">
    <w:abstractNumId w:val="111"/>
  </w:num>
  <w:num w:numId="27" w16cid:durableId="1921714279">
    <w:abstractNumId w:val="62"/>
  </w:num>
  <w:num w:numId="28" w16cid:durableId="623463526">
    <w:abstractNumId w:val="106"/>
  </w:num>
  <w:num w:numId="29" w16cid:durableId="2068605431">
    <w:abstractNumId w:val="68"/>
  </w:num>
  <w:num w:numId="30" w16cid:durableId="1838643278">
    <w:abstractNumId w:val="26"/>
  </w:num>
  <w:num w:numId="31" w16cid:durableId="1363822439">
    <w:abstractNumId w:val="100"/>
  </w:num>
  <w:num w:numId="32" w16cid:durableId="2140028067">
    <w:abstractNumId w:val="6"/>
  </w:num>
  <w:num w:numId="33" w16cid:durableId="2130472003">
    <w:abstractNumId w:val="11"/>
  </w:num>
  <w:num w:numId="34" w16cid:durableId="1698659578">
    <w:abstractNumId w:val="103"/>
  </w:num>
  <w:num w:numId="35" w16cid:durableId="1432243297">
    <w:abstractNumId w:val="31"/>
  </w:num>
  <w:num w:numId="36" w16cid:durableId="259334084">
    <w:abstractNumId w:val="69"/>
  </w:num>
  <w:num w:numId="37" w16cid:durableId="1368483743">
    <w:abstractNumId w:val="9"/>
  </w:num>
  <w:num w:numId="38" w16cid:durableId="192379057">
    <w:abstractNumId w:val="29"/>
  </w:num>
  <w:num w:numId="39" w16cid:durableId="1048720752">
    <w:abstractNumId w:val="86"/>
  </w:num>
  <w:num w:numId="40" w16cid:durableId="812789914">
    <w:abstractNumId w:val="81"/>
  </w:num>
  <w:num w:numId="41" w16cid:durableId="1498499478">
    <w:abstractNumId w:val="61"/>
  </w:num>
  <w:num w:numId="42" w16cid:durableId="1147287132">
    <w:abstractNumId w:val="50"/>
  </w:num>
  <w:num w:numId="43" w16cid:durableId="737703796">
    <w:abstractNumId w:val="96"/>
  </w:num>
  <w:num w:numId="44" w16cid:durableId="129592487">
    <w:abstractNumId w:val="44"/>
  </w:num>
  <w:num w:numId="45" w16cid:durableId="332537502">
    <w:abstractNumId w:val="17"/>
  </w:num>
  <w:num w:numId="46" w16cid:durableId="413671465">
    <w:abstractNumId w:val="47"/>
  </w:num>
  <w:num w:numId="47" w16cid:durableId="99297102">
    <w:abstractNumId w:val="27"/>
  </w:num>
  <w:num w:numId="48" w16cid:durableId="1528179080">
    <w:abstractNumId w:val="49"/>
  </w:num>
  <w:num w:numId="49" w16cid:durableId="243610040">
    <w:abstractNumId w:val="108"/>
  </w:num>
  <w:num w:numId="50" w16cid:durableId="2068382573">
    <w:abstractNumId w:val="67"/>
  </w:num>
  <w:num w:numId="51" w16cid:durableId="985890095">
    <w:abstractNumId w:val="110"/>
  </w:num>
  <w:num w:numId="52" w16cid:durableId="1499808928">
    <w:abstractNumId w:val="97"/>
  </w:num>
  <w:num w:numId="53" w16cid:durableId="467167542">
    <w:abstractNumId w:val="93"/>
  </w:num>
  <w:num w:numId="54" w16cid:durableId="1472209042">
    <w:abstractNumId w:val="28"/>
  </w:num>
  <w:num w:numId="55" w16cid:durableId="682709779">
    <w:abstractNumId w:val="53"/>
  </w:num>
  <w:num w:numId="56" w16cid:durableId="687025266">
    <w:abstractNumId w:val="59"/>
  </w:num>
  <w:num w:numId="57" w16cid:durableId="1829252540">
    <w:abstractNumId w:val="88"/>
  </w:num>
  <w:num w:numId="58" w16cid:durableId="998312119">
    <w:abstractNumId w:val="71"/>
  </w:num>
  <w:num w:numId="59" w16cid:durableId="1110467825">
    <w:abstractNumId w:val="101"/>
  </w:num>
  <w:num w:numId="60" w16cid:durableId="297958058">
    <w:abstractNumId w:val="8"/>
  </w:num>
  <w:num w:numId="61" w16cid:durableId="520970191">
    <w:abstractNumId w:val="42"/>
  </w:num>
  <w:num w:numId="62" w16cid:durableId="1366905873">
    <w:abstractNumId w:val="38"/>
  </w:num>
  <w:num w:numId="63" w16cid:durableId="538786842">
    <w:abstractNumId w:val="22"/>
  </w:num>
  <w:num w:numId="64" w16cid:durableId="2132504609">
    <w:abstractNumId w:val="102"/>
  </w:num>
  <w:num w:numId="65" w16cid:durableId="1103257966">
    <w:abstractNumId w:val="4"/>
  </w:num>
  <w:num w:numId="66" w16cid:durableId="1725134171">
    <w:abstractNumId w:val="30"/>
  </w:num>
  <w:num w:numId="67" w16cid:durableId="599414847">
    <w:abstractNumId w:val="36"/>
  </w:num>
  <w:num w:numId="68" w16cid:durableId="1911426007">
    <w:abstractNumId w:val="32"/>
  </w:num>
  <w:num w:numId="69" w16cid:durableId="1087995107">
    <w:abstractNumId w:val="63"/>
  </w:num>
  <w:num w:numId="70" w16cid:durableId="1821732249">
    <w:abstractNumId w:val="18"/>
  </w:num>
  <w:num w:numId="71" w16cid:durableId="2052143813">
    <w:abstractNumId w:val="65"/>
  </w:num>
  <w:num w:numId="72" w16cid:durableId="1478911012">
    <w:abstractNumId w:val="95"/>
  </w:num>
  <w:num w:numId="73" w16cid:durableId="766385085">
    <w:abstractNumId w:val="60"/>
  </w:num>
  <w:num w:numId="74" w16cid:durableId="880751705">
    <w:abstractNumId w:val="74"/>
  </w:num>
  <w:num w:numId="75" w16cid:durableId="783155839">
    <w:abstractNumId w:val="2"/>
  </w:num>
  <w:num w:numId="76" w16cid:durableId="1700548733">
    <w:abstractNumId w:val="25"/>
  </w:num>
  <w:num w:numId="77" w16cid:durableId="660424925">
    <w:abstractNumId w:val="75"/>
  </w:num>
  <w:num w:numId="78" w16cid:durableId="1178350600">
    <w:abstractNumId w:val="7"/>
  </w:num>
  <w:num w:numId="79" w16cid:durableId="1034960802">
    <w:abstractNumId w:val="91"/>
  </w:num>
  <w:num w:numId="80" w16cid:durableId="203256157">
    <w:abstractNumId w:val="43"/>
  </w:num>
  <w:num w:numId="81" w16cid:durableId="872813682">
    <w:abstractNumId w:val="76"/>
  </w:num>
  <w:num w:numId="82" w16cid:durableId="988442279">
    <w:abstractNumId w:val="105"/>
  </w:num>
  <w:num w:numId="83" w16cid:durableId="1831211604">
    <w:abstractNumId w:val="73"/>
  </w:num>
  <w:num w:numId="84" w16cid:durableId="21327721">
    <w:abstractNumId w:val="48"/>
  </w:num>
  <w:num w:numId="85" w16cid:durableId="837890414">
    <w:abstractNumId w:val="78"/>
  </w:num>
  <w:num w:numId="86" w16cid:durableId="996418809">
    <w:abstractNumId w:val="58"/>
  </w:num>
  <w:num w:numId="87" w16cid:durableId="1463498948">
    <w:abstractNumId w:val="107"/>
  </w:num>
  <w:num w:numId="88" w16cid:durableId="2113236271">
    <w:abstractNumId w:val="54"/>
  </w:num>
  <w:num w:numId="89" w16cid:durableId="2054764340">
    <w:abstractNumId w:val="92"/>
  </w:num>
  <w:num w:numId="90" w16cid:durableId="2039046136">
    <w:abstractNumId w:val="51"/>
  </w:num>
  <w:num w:numId="91" w16cid:durableId="1400397480">
    <w:abstractNumId w:val="10"/>
  </w:num>
  <w:num w:numId="92" w16cid:durableId="599533404">
    <w:abstractNumId w:val="70"/>
  </w:num>
  <w:num w:numId="93" w16cid:durableId="1704819588">
    <w:abstractNumId w:val="89"/>
  </w:num>
  <w:num w:numId="94" w16cid:durableId="871192714">
    <w:abstractNumId w:val="1"/>
  </w:num>
  <w:num w:numId="95" w16cid:durableId="2114546100">
    <w:abstractNumId w:val="94"/>
  </w:num>
  <w:num w:numId="96" w16cid:durableId="708531730">
    <w:abstractNumId w:val="37"/>
  </w:num>
  <w:num w:numId="97" w16cid:durableId="926695292">
    <w:abstractNumId w:val="3"/>
  </w:num>
  <w:num w:numId="98" w16cid:durableId="1143474236">
    <w:abstractNumId w:val="39"/>
  </w:num>
  <w:num w:numId="99" w16cid:durableId="1221751876">
    <w:abstractNumId w:val="77"/>
  </w:num>
  <w:num w:numId="100" w16cid:durableId="755245531">
    <w:abstractNumId w:val="85"/>
  </w:num>
  <w:num w:numId="101" w16cid:durableId="1574319443">
    <w:abstractNumId w:val="55"/>
  </w:num>
  <w:num w:numId="102" w16cid:durableId="745421019">
    <w:abstractNumId w:val="15"/>
  </w:num>
  <w:num w:numId="103" w16cid:durableId="1651907721">
    <w:abstractNumId w:val="46"/>
  </w:num>
  <w:num w:numId="104" w16cid:durableId="121505928">
    <w:abstractNumId w:val="13"/>
  </w:num>
  <w:num w:numId="105" w16cid:durableId="1619484344">
    <w:abstractNumId w:val="113"/>
  </w:num>
  <w:num w:numId="106" w16cid:durableId="1255362830">
    <w:abstractNumId w:val="104"/>
  </w:num>
  <w:num w:numId="107" w16cid:durableId="1348363614">
    <w:abstractNumId w:val="64"/>
  </w:num>
  <w:num w:numId="108" w16cid:durableId="1142456018">
    <w:abstractNumId w:val="19"/>
  </w:num>
  <w:num w:numId="109" w16cid:durableId="2038046581">
    <w:abstractNumId w:val="83"/>
  </w:num>
  <w:num w:numId="110" w16cid:durableId="1741096451">
    <w:abstractNumId w:val="84"/>
  </w:num>
  <w:num w:numId="111" w16cid:durableId="316767241">
    <w:abstractNumId w:val="16"/>
  </w:num>
  <w:num w:numId="112" w16cid:durableId="2038197726">
    <w:abstractNumId w:val="41"/>
  </w:num>
  <w:num w:numId="113" w16cid:durableId="161540876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87783577">
    <w:abstractNumId w:val="52"/>
  </w:num>
  <w:num w:numId="115" w16cid:durableId="295188486">
    <w:abstractNumId w:val="87"/>
  </w:num>
  <w:num w:numId="116" w16cid:durableId="248932496">
    <w:abstractNumId w:val="98"/>
  </w:num>
  <w:num w:numId="117" w16cid:durableId="27436586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60260229">
    <w:abstractNumId w:val="5"/>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B6"/>
    <w:rsid w:val="00000F6A"/>
    <w:rsid w:val="000022F1"/>
    <w:rsid w:val="00004564"/>
    <w:rsid w:val="000045EC"/>
    <w:rsid w:val="00005520"/>
    <w:rsid w:val="00005C87"/>
    <w:rsid w:val="000061D1"/>
    <w:rsid w:val="000063CC"/>
    <w:rsid w:val="00007B03"/>
    <w:rsid w:val="0001183B"/>
    <w:rsid w:val="00013349"/>
    <w:rsid w:val="00013D1F"/>
    <w:rsid w:val="00013DCC"/>
    <w:rsid w:val="000152C0"/>
    <w:rsid w:val="0002195D"/>
    <w:rsid w:val="00023E88"/>
    <w:rsid w:val="00024234"/>
    <w:rsid w:val="00024945"/>
    <w:rsid w:val="0002570D"/>
    <w:rsid w:val="0002587E"/>
    <w:rsid w:val="000259F6"/>
    <w:rsid w:val="000303D0"/>
    <w:rsid w:val="00030544"/>
    <w:rsid w:val="00031AC0"/>
    <w:rsid w:val="000320F2"/>
    <w:rsid w:val="0003410C"/>
    <w:rsid w:val="00034714"/>
    <w:rsid w:val="00034B91"/>
    <w:rsid w:val="000377FF"/>
    <w:rsid w:val="000401C0"/>
    <w:rsid w:val="00041AFF"/>
    <w:rsid w:val="000429F0"/>
    <w:rsid w:val="0004519D"/>
    <w:rsid w:val="00051F05"/>
    <w:rsid w:val="00053455"/>
    <w:rsid w:val="0005357D"/>
    <w:rsid w:val="00056B26"/>
    <w:rsid w:val="00056F66"/>
    <w:rsid w:val="00061E52"/>
    <w:rsid w:val="0006231C"/>
    <w:rsid w:val="0006590D"/>
    <w:rsid w:val="00066418"/>
    <w:rsid w:val="00066B83"/>
    <w:rsid w:val="00070671"/>
    <w:rsid w:val="00070AB9"/>
    <w:rsid w:val="0007115A"/>
    <w:rsid w:val="00071673"/>
    <w:rsid w:val="00072263"/>
    <w:rsid w:val="00072736"/>
    <w:rsid w:val="00077B04"/>
    <w:rsid w:val="00080B0B"/>
    <w:rsid w:val="00081E69"/>
    <w:rsid w:val="00082D22"/>
    <w:rsid w:val="00085E3C"/>
    <w:rsid w:val="00086432"/>
    <w:rsid w:val="00090C52"/>
    <w:rsid w:val="00092B30"/>
    <w:rsid w:val="00096812"/>
    <w:rsid w:val="000973C8"/>
    <w:rsid w:val="000A16B4"/>
    <w:rsid w:val="000A25F0"/>
    <w:rsid w:val="000A2A76"/>
    <w:rsid w:val="000A2AA9"/>
    <w:rsid w:val="000A2D33"/>
    <w:rsid w:val="000A3731"/>
    <w:rsid w:val="000A56F2"/>
    <w:rsid w:val="000A61A3"/>
    <w:rsid w:val="000A6E05"/>
    <w:rsid w:val="000A789F"/>
    <w:rsid w:val="000B12FA"/>
    <w:rsid w:val="000B3CB0"/>
    <w:rsid w:val="000B41D4"/>
    <w:rsid w:val="000C08BF"/>
    <w:rsid w:val="000C17EB"/>
    <w:rsid w:val="000C3B9A"/>
    <w:rsid w:val="000C614E"/>
    <w:rsid w:val="000D25A8"/>
    <w:rsid w:val="000D3EA7"/>
    <w:rsid w:val="000D5C8B"/>
    <w:rsid w:val="000D70F7"/>
    <w:rsid w:val="000E02FB"/>
    <w:rsid w:val="000E0893"/>
    <w:rsid w:val="000E10E0"/>
    <w:rsid w:val="000E270A"/>
    <w:rsid w:val="000E43EC"/>
    <w:rsid w:val="000E46F2"/>
    <w:rsid w:val="000E4C53"/>
    <w:rsid w:val="000E53C2"/>
    <w:rsid w:val="000E5AFA"/>
    <w:rsid w:val="000E5EAD"/>
    <w:rsid w:val="000E6917"/>
    <w:rsid w:val="000E797C"/>
    <w:rsid w:val="000E7B8B"/>
    <w:rsid w:val="000F09E0"/>
    <w:rsid w:val="000F143D"/>
    <w:rsid w:val="000F166C"/>
    <w:rsid w:val="000F41FF"/>
    <w:rsid w:val="000F48C6"/>
    <w:rsid w:val="000F4961"/>
    <w:rsid w:val="000F4EFC"/>
    <w:rsid w:val="000F5B72"/>
    <w:rsid w:val="000F6540"/>
    <w:rsid w:val="000F6CE6"/>
    <w:rsid w:val="00100E79"/>
    <w:rsid w:val="001014A0"/>
    <w:rsid w:val="00101F71"/>
    <w:rsid w:val="00103793"/>
    <w:rsid w:val="00105E89"/>
    <w:rsid w:val="001072BD"/>
    <w:rsid w:val="00107FF4"/>
    <w:rsid w:val="00113287"/>
    <w:rsid w:val="00121089"/>
    <w:rsid w:val="0012260B"/>
    <w:rsid w:val="00125782"/>
    <w:rsid w:val="001261AD"/>
    <w:rsid w:val="0012651D"/>
    <w:rsid w:val="0013264A"/>
    <w:rsid w:val="001341B9"/>
    <w:rsid w:val="00135796"/>
    <w:rsid w:val="00142904"/>
    <w:rsid w:val="001447D6"/>
    <w:rsid w:val="00147E4B"/>
    <w:rsid w:val="00147E76"/>
    <w:rsid w:val="0015023D"/>
    <w:rsid w:val="0015071A"/>
    <w:rsid w:val="00151035"/>
    <w:rsid w:val="00152BD3"/>
    <w:rsid w:val="00152C9D"/>
    <w:rsid w:val="0015634C"/>
    <w:rsid w:val="0015721D"/>
    <w:rsid w:val="0016059D"/>
    <w:rsid w:val="00167EEA"/>
    <w:rsid w:val="00170B3A"/>
    <w:rsid w:val="0017144D"/>
    <w:rsid w:val="00171624"/>
    <w:rsid w:val="0017462C"/>
    <w:rsid w:val="001748F8"/>
    <w:rsid w:val="0017494B"/>
    <w:rsid w:val="001846CE"/>
    <w:rsid w:val="00184A8F"/>
    <w:rsid w:val="00191B2D"/>
    <w:rsid w:val="00193126"/>
    <w:rsid w:val="00196E98"/>
    <w:rsid w:val="001A1A92"/>
    <w:rsid w:val="001A35BD"/>
    <w:rsid w:val="001A3FDC"/>
    <w:rsid w:val="001A7739"/>
    <w:rsid w:val="001B0194"/>
    <w:rsid w:val="001B0ABA"/>
    <w:rsid w:val="001B0B24"/>
    <w:rsid w:val="001B2681"/>
    <w:rsid w:val="001B3544"/>
    <w:rsid w:val="001B371D"/>
    <w:rsid w:val="001B4EA6"/>
    <w:rsid w:val="001B6CA1"/>
    <w:rsid w:val="001B77EA"/>
    <w:rsid w:val="001C25FE"/>
    <w:rsid w:val="001C363F"/>
    <w:rsid w:val="001C374A"/>
    <w:rsid w:val="001C3B29"/>
    <w:rsid w:val="001C3D54"/>
    <w:rsid w:val="001C4B71"/>
    <w:rsid w:val="001C7626"/>
    <w:rsid w:val="001D0F1A"/>
    <w:rsid w:val="001D2A7A"/>
    <w:rsid w:val="001D3874"/>
    <w:rsid w:val="001D3A89"/>
    <w:rsid w:val="001D3BC9"/>
    <w:rsid w:val="001D4957"/>
    <w:rsid w:val="001E23F8"/>
    <w:rsid w:val="001E26A1"/>
    <w:rsid w:val="001E2A62"/>
    <w:rsid w:val="001E41A3"/>
    <w:rsid w:val="001E5D39"/>
    <w:rsid w:val="001F0EA7"/>
    <w:rsid w:val="001F2819"/>
    <w:rsid w:val="001F2C30"/>
    <w:rsid w:val="001F587E"/>
    <w:rsid w:val="001F7C3F"/>
    <w:rsid w:val="00201367"/>
    <w:rsid w:val="00202B11"/>
    <w:rsid w:val="00202CD7"/>
    <w:rsid w:val="002043EC"/>
    <w:rsid w:val="002044F6"/>
    <w:rsid w:val="00204F31"/>
    <w:rsid w:val="002055CF"/>
    <w:rsid w:val="00206048"/>
    <w:rsid w:val="00210A78"/>
    <w:rsid w:val="00215AC8"/>
    <w:rsid w:val="00216F05"/>
    <w:rsid w:val="00217468"/>
    <w:rsid w:val="002178DD"/>
    <w:rsid w:val="00217A08"/>
    <w:rsid w:val="00217B07"/>
    <w:rsid w:val="00217B3B"/>
    <w:rsid w:val="002228B9"/>
    <w:rsid w:val="00222D05"/>
    <w:rsid w:val="00223E3B"/>
    <w:rsid w:val="0022608B"/>
    <w:rsid w:val="00226533"/>
    <w:rsid w:val="002268A8"/>
    <w:rsid w:val="002305B4"/>
    <w:rsid w:val="00231E7F"/>
    <w:rsid w:val="0023263C"/>
    <w:rsid w:val="00233252"/>
    <w:rsid w:val="00233436"/>
    <w:rsid w:val="00233462"/>
    <w:rsid w:val="00233BCE"/>
    <w:rsid w:val="00234A8C"/>
    <w:rsid w:val="00234E81"/>
    <w:rsid w:val="00235D2C"/>
    <w:rsid w:val="00236371"/>
    <w:rsid w:val="00236B85"/>
    <w:rsid w:val="00243DC0"/>
    <w:rsid w:val="00245439"/>
    <w:rsid w:val="0024743C"/>
    <w:rsid w:val="00247477"/>
    <w:rsid w:val="0024792F"/>
    <w:rsid w:val="00247DAE"/>
    <w:rsid w:val="00251A67"/>
    <w:rsid w:val="00251DBA"/>
    <w:rsid w:val="00252AE7"/>
    <w:rsid w:val="0025477F"/>
    <w:rsid w:val="00254E3D"/>
    <w:rsid w:val="00254FCA"/>
    <w:rsid w:val="00260A7D"/>
    <w:rsid w:val="00263A7B"/>
    <w:rsid w:val="00264F78"/>
    <w:rsid w:val="00267042"/>
    <w:rsid w:val="002671BF"/>
    <w:rsid w:val="00270440"/>
    <w:rsid w:val="00271857"/>
    <w:rsid w:val="00271A48"/>
    <w:rsid w:val="00274D84"/>
    <w:rsid w:val="002825CB"/>
    <w:rsid w:val="0028446D"/>
    <w:rsid w:val="00284D8D"/>
    <w:rsid w:val="00285210"/>
    <w:rsid w:val="002852D2"/>
    <w:rsid w:val="00285A1D"/>
    <w:rsid w:val="00285B58"/>
    <w:rsid w:val="00285E9D"/>
    <w:rsid w:val="0028695C"/>
    <w:rsid w:val="00287AC7"/>
    <w:rsid w:val="00287BC5"/>
    <w:rsid w:val="00290B25"/>
    <w:rsid w:val="00290D84"/>
    <w:rsid w:val="00293AFA"/>
    <w:rsid w:val="00293DEE"/>
    <w:rsid w:val="002941D1"/>
    <w:rsid w:val="00297D85"/>
    <w:rsid w:val="002A0469"/>
    <w:rsid w:val="002A0826"/>
    <w:rsid w:val="002A0B5D"/>
    <w:rsid w:val="002A4919"/>
    <w:rsid w:val="002A5B74"/>
    <w:rsid w:val="002A62FA"/>
    <w:rsid w:val="002A6F46"/>
    <w:rsid w:val="002A7ACD"/>
    <w:rsid w:val="002A7B74"/>
    <w:rsid w:val="002A7EF3"/>
    <w:rsid w:val="002B1BC9"/>
    <w:rsid w:val="002B4A00"/>
    <w:rsid w:val="002B5343"/>
    <w:rsid w:val="002B6E9C"/>
    <w:rsid w:val="002B7080"/>
    <w:rsid w:val="002C3B2F"/>
    <w:rsid w:val="002C4824"/>
    <w:rsid w:val="002C599B"/>
    <w:rsid w:val="002C61EA"/>
    <w:rsid w:val="002C7A57"/>
    <w:rsid w:val="002C7FE9"/>
    <w:rsid w:val="002D0DC5"/>
    <w:rsid w:val="002D4EFD"/>
    <w:rsid w:val="002D6216"/>
    <w:rsid w:val="002E0B63"/>
    <w:rsid w:val="002E0E70"/>
    <w:rsid w:val="002E18BF"/>
    <w:rsid w:val="002E26D7"/>
    <w:rsid w:val="002E75CD"/>
    <w:rsid w:val="002F0616"/>
    <w:rsid w:val="002F0B3C"/>
    <w:rsid w:val="002F0CEE"/>
    <w:rsid w:val="002F23D7"/>
    <w:rsid w:val="002F27F3"/>
    <w:rsid w:val="002F32F8"/>
    <w:rsid w:val="002F5765"/>
    <w:rsid w:val="002F6B25"/>
    <w:rsid w:val="002F7C24"/>
    <w:rsid w:val="002F7C96"/>
    <w:rsid w:val="0030040E"/>
    <w:rsid w:val="00302236"/>
    <w:rsid w:val="003035E2"/>
    <w:rsid w:val="00304AE5"/>
    <w:rsid w:val="00304F21"/>
    <w:rsid w:val="00306EBE"/>
    <w:rsid w:val="00312110"/>
    <w:rsid w:val="0031452B"/>
    <w:rsid w:val="003152FA"/>
    <w:rsid w:val="00315A97"/>
    <w:rsid w:val="00316071"/>
    <w:rsid w:val="00320B6F"/>
    <w:rsid w:val="00320D32"/>
    <w:rsid w:val="003211B0"/>
    <w:rsid w:val="0032200D"/>
    <w:rsid w:val="00322E02"/>
    <w:rsid w:val="0032474F"/>
    <w:rsid w:val="00324BD4"/>
    <w:rsid w:val="003251BF"/>
    <w:rsid w:val="0032697E"/>
    <w:rsid w:val="003278E2"/>
    <w:rsid w:val="003301F9"/>
    <w:rsid w:val="0033021B"/>
    <w:rsid w:val="00330A72"/>
    <w:rsid w:val="003338B8"/>
    <w:rsid w:val="00333A23"/>
    <w:rsid w:val="0033402B"/>
    <w:rsid w:val="00335788"/>
    <w:rsid w:val="0033787B"/>
    <w:rsid w:val="00340B5C"/>
    <w:rsid w:val="00340E0D"/>
    <w:rsid w:val="00341C50"/>
    <w:rsid w:val="00342465"/>
    <w:rsid w:val="0034275A"/>
    <w:rsid w:val="003432B9"/>
    <w:rsid w:val="00343319"/>
    <w:rsid w:val="0034345B"/>
    <w:rsid w:val="00343E5C"/>
    <w:rsid w:val="00344FB8"/>
    <w:rsid w:val="00345B5F"/>
    <w:rsid w:val="003466EE"/>
    <w:rsid w:val="003505B2"/>
    <w:rsid w:val="003523AA"/>
    <w:rsid w:val="00353671"/>
    <w:rsid w:val="00354B58"/>
    <w:rsid w:val="00354D90"/>
    <w:rsid w:val="00356209"/>
    <w:rsid w:val="00356758"/>
    <w:rsid w:val="003600A5"/>
    <w:rsid w:val="0036017B"/>
    <w:rsid w:val="00360F00"/>
    <w:rsid w:val="00361BF0"/>
    <w:rsid w:val="00362755"/>
    <w:rsid w:val="00367281"/>
    <w:rsid w:val="003672FC"/>
    <w:rsid w:val="003704A6"/>
    <w:rsid w:val="00373B93"/>
    <w:rsid w:val="003742A0"/>
    <w:rsid w:val="00380657"/>
    <w:rsid w:val="00380928"/>
    <w:rsid w:val="00380A2A"/>
    <w:rsid w:val="00380A73"/>
    <w:rsid w:val="00380CD1"/>
    <w:rsid w:val="00382C37"/>
    <w:rsid w:val="00384C58"/>
    <w:rsid w:val="00385B67"/>
    <w:rsid w:val="003868E2"/>
    <w:rsid w:val="003900A5"/>
    <w:rsid w:val="00392488"/>
    <w:rsid w:val="00393BDC"/>
    <w:rsid w:val="00394D9B"/>
    <w:rsid w:val="0039513E"/>
    <w:rsid w:val="00395365"/>
    <w:rsid w:val="003959F9"/>
    <w:rsid w:val="00396328"/>
    <w:rsid w:val="003978AD"/>
    <w:rsid w:val="003A02CA"/>
    <w:rsid w:val="003A05B1"/>
    <w:rsid w:val="003A1906"/>
    <w:rsid w:val="003A38F0"/>
    <w:rsid w:val="003A3BC9"/>
    <w:rsid w:val="003A7129"/>
    <w:rsid w:val="003A740D"/>
    <w:rsid w:val="003B26E4"/>
    <w:rsid w:val="003C1207"/>
    <w:rsid w:val="003C23B7"/>
    <w:rsid w:val="003C23CD"/>
    <w:rsid w:val="003C68DD"/>
    <w:rsid w:val="003C7798"/>
    <w:rsid w:val="003C79ED"/>
    <w:rsid w:val="003D08FE"/>
    <w:rsid w:val="003D19C4"/>
    <w:rsid w:val="003D2C69"/>
    <w:rsid w:val="003D68BA"/>
    <w:rsid w:val="003E0764"/>
    <w:rsid w:val="003E2681"/>
    <w:rsid w:val="003E3351"/>
    <w:rsid w:val="003E7BD2"/>
    <w:rsid w:val="003F069A"/>
    <w:rsid w:val="003F0D3D"/>
    <w:rsid w:val="003F10FA"/>
    <w:rsid w:val="003F258E"/>
    <w:rsid w:val="003F27D5"/>
    <w:rsid w:val="003F3ADA"/>
    <w:rsid w:val="003F4329"/>
    <w:rsid w:val="003F4B19"/>
    <w:rsid w:val="003F4FDD"/>
    <w:rsid w:val="003F5266"/>
    <w:rsid w:val="003F5819"/>
    <w:rsid w:val="003F6B67"/>
    <w:rsid w:val="003F74E9"/>
    <w:rsid w:val="00402046"/>
    <w:rsid w:val="00402337"/>
    <w:rsid w:val="00402D95"/>
    <w:rsid w:val="00402E39"/>
    <w:rsid w:val="00403856"/>
    <w:rsid w:val="00404EAC"/>
    <w:rsid w:val="004057D2"/>
    <w:rsid w:val="00405C42"/>
    <w:rsid w:val="004068DD"/>
    <w:rsid w:val="00406931"/>
    <w:rsid w:val="00407EA6"/>
    <w:rsid w:val="00407F2F"/>
    <w:rsid w:val="00412534"/>
    <w:rsid w:val="00412C83"/>
    <w:rsid w:val="0041587E"/>
    <w:rsid w:val="0042147D"/>
    <w:rsid w:val="0042290B"/>
    <w:rsid w:val="00426014"/>
    <w:rsid w:val="004263AA"/>
    <w:rsid w:val="00426DCF"/>
    <w:rsid w:val="00427717"/>
    <w:rsid w:val="00431240"/>
    <w:rsid w:val="00433DEE"/>
    <w:rsid w:val="00434513"/>
    <w:rsid w:val="00436086"/>
    <w:rsid w:val="004411DF"/>
    <w:rsid w:val="00443B63"/>
    <w:rsid w:val="004448DC"/>
    <w:rsid w:val="004457CD"/>
    <w:rsid w:val="00445BB4"/>
    <w:rsid w:val="0044617E"/>
    <w:rsid w:val="0045205D"/>
    <w:rsid w:val="00454E1C"/>
    <w:rsid w:val="00457AD8"/>
    <w:rsid w:val="0046078B"/>
    <w:rsid w:val="00460944"/>
    <w:rsid w:val="00460B7D"/>
    <w:rsid w:val="00461624"/>
    <w:rsid w:val="00463658"/>
    <w:rsid w:val="0046478F"/>
    <w:rsid w:val="00464DEC"/>
    <w:rsid w:val="00470269"/>
    <w:rsid w:val="00472618"/>
    <w:rsid w:val="004733B9"/>
    <w:rsid w:val="00473C2F"/>
    <w:rsid w:val="004778B0"/>
    <w:rsid w:val="00480120"/>
    <w:rsid w:val="00480780"/>
    <w:rsid w:val="00480CB0"/>
    <w:rsid w:val="00481483"/>
    <w:rsid w:val="00481A62"/>
    <w:rsid w:val="00482954"/>
    <w:rsid w:val="00483603"/>
    <w:rsid w:val="00484581"/>
    <w:rsid w:val="00485DB0"/>
    <w:rsid w:val="004872A9"/>
    <w:rsid w:val="00487372"/>
    <w:rsid w:val="00487AD7"/>
    <w:rsid w:val="00487B4B"/>
    <w:rsid w:val="004909A7"/>
    <w:rsid w:val="004933C7"/>
    <w:rsid w:val="00494239"/>
    <w:rsid w:val="00495CD9"/>
    <w:rsid w:val="0049643F"/>
    <w:rsid w:val="00496649"/>
    <w:rsid w:val="004A1EAD"/>
    <w:rsid w:val="004A2A7F"/>
    <w:rsid w:val="004A44A5"/>
    <w:rsid w:val="004A47BE"/>
    <w:rsid w:val="004A6061"/>
    <w:rsid w:val="004A70F0"/>
    <w:rsid w:val="004A7BF5"/>
    <w:rsid w:val="004B019F"/>
    <w:rsid w:val="004B1CA5"/>
    <w:rsid w:val="004B31D2"/>
    <w:rsid w:val="004B34EA"/>
    <w:rsid w:val="004B5494"/>
    <w:rsid w:val="004B587A"/>
    <w:rsid w:val="004C0D3E"/>
    <w:rsid w:val="004C1DDB"/>
    <w:rsid w:val="004C2A70"/>
    <w:rsid w:val="004C39C2"/>
    <w:rsid w:val="004C558B"/>
    <w:rsid w:val="004C7A2B"/>
    <w:rsid w:val="004C7D3A"/>
    <w:rsid w:val="004D001A"/>
    <w:rsid w:val="004D02E8"/>
    <w:rsid w:val="004D1FC9"/>
    <w:rsid w:val="004D5FCE"/>
    <w:rsid w:val="004D7475"/>
    <w:rsid w:val="004D7C59"/>
    <w:rsid w:val="004E1925"/>
    <w:rsid w:val="004E59C5"/>
    <w:rsid w:val="004E6485"/>
    <w:rsid w:val="004E6EB8"/>
    <w:rsid w:val="004E7903"/>
    <w:rsid w:val="004F0276"/>
    <w:rsid w:val="004F1366"/>
    <w:rsid w:val="004F303E"/>
    <w:rsid w:val="004F43BD"/>
    <w:rsid w:val="004F4B1D"/>
    <w:rsid w:val="004F4D0F"/>
    <w:rsid w:val="004F5DCD"/>
    <w:rsid w:val="004F7756"/>
    <w:rsid w:val="005000B8"/>
    <w:rsid w:val="005001AA"/>
    <w:rsid w:val="005018A8"/>
    <w:rsid w:val="005021CF"/>
    <w:rsid w:val="005023ED"/>
    <w:rsid w:val="00502937"/>
    <w:rsid w:val="00503378"/>
    <w:rsid w:val="00503831"/>
    <w:rsid w:val="00503D26"/>
    <w:rsid w:val="005057F1"/>
    <w:rsid w:val="00505A39"/>
    <w:rsid w:val="00505CFC"/>
    <w:rsid w:val="00505DE2"/>
    <w:rsid w:val="005073C2"/>
    <w:rsid w:val="00513D2F"/>
    <w:rsid w:val="00514801"/>
    <w:rsid w:val="005159F9"/>
    <w:rsid w:val="00515F4F"/>
    <w:rsid w:val="00522D5B"/>
    <w:rsid w:val="005240BF"/>
    <w:rsid w:val="00526BF7"/>
    <w:rsid w:val="00530464"/>
    <w:rsid w:val="00530773"/>
    <w:rsid w:val="005326D5"/>
    <w:rsid w:val="00534106"/>
    <w:rsid w:val="00535E65"/>
    <w:rsid w:val="005364DB"/>
    <w:rsid w:val="00537138"/>
    <w:rsid w:val="00540E79"/>
    <w:rsid w:val="005423E1"/>
    <w:rsid w:val="00542935"/>
    <w:rsid w:val="00545329"/>
    <w:rsid w:val="005464CF"/>
    <w:rsid w:val="005507F7"/>
    <w:rsid w:val="0055154E"/>
    <w:rsid w:val="00551C7F"/>
    <w:rsid w:val="005526C2"/>
    <w:rsid w:val="00552B99"/>
    <w:rsid w:val="005539B3"/>
    <w:rsid w:val="00553A02"/>
    <w:rsid w:val="00553F68"/>
    <w:rsid w:val="00554AA2"/>
    <w:rsid w:val="005602AD"/>
    <w:rsid w:val="005604B3"/>
    <w:rsid w:val="005621FB"/>
    <w:rsid w:val="0056320D"/>
    <w:rsid w:val="00566220"/>
    <w:rsid w:val="005664D1"/>
    <w:rsid w:val="00572255"/>
    <w:rsid w:val="00573A69"/>
    <w:rsid w:val="00575015"/>
    <w:rsid w:val="00575E0B"/>
    <w:rsid w:val="005764CE"/>
    <w:rsid w:val="0057709B"/>
    <w:rsid w:val="00577192"/>
    <w:rsid w:val="00577349"/>
    <w:rsid w:val="00582113"/>
    <w:rsid w:val="00582E71"/>
    <w:rsid w:val="00583AF6"/>
    <w:rsid w:val="005844B8"/>
    <w:rsid w:val="00585390"/>
    <w:rsid w:val="00585A64"/>
    <w:rsid w:val="00585B22"/>
    <w:rsid w:val="00585BB4"/>
    <w:rsid w:val="00586553"/>
    <w:rsid w:val="00586706"/>
    <w:rsid w:val="005870D1"/>
    <w:rsid w:val="00590A88"/>
    <w:rsid w:val="00591EA6"/>
    <w:rsid w:val="00592674"/>
    <w:rsid w:val="005939A5"/>
    <w:rsid w:val="00594848"/>
    <w:rsid w:val="005963A3"/>
    <w:rsid w:val="005971B3"/>
    <w:rsid w:val="005A148C"/>
    <w:rsid w:val="005A285E"/>
    <w:rsid w:val="005A3C4B"/>
    <w:rsid w:val="005A71FD"/>
    <w:rsid w:val="005A7A8E"/>
    <w:rsid w:val="005B2640"/>
    <w:rsid w:val="005B4F20"/>
    <w:rsid w:val="005B572A"/>
    <w:rsid w:val="005B66B3"/>
    <w:rsid w:val="005B6988"/>
    <w:rsid w:val="005B7329"/>
    <w:rsid w:val="005C0060"/>
    <w:rsid w:val="005C2C32"/>
    <w:rsid w:val="005C33B8"/>
    <w:rsid w:val="005C496B"/>
    <w:rsid w:val="005C58FA"/>
    <w:rsid w:val="005C59F1"/>
    <w:rsid w:val="005C5FEF"/>
    <w:rsid w:val="005C6E18"/>
    <w:rsid w:val="005C76C1"/>
    <w:rsid w:val="005C7AE1"/>
    <w:rsid w:val="005D0B95"/>
    <w:rsid w:val="005D10BF"/>
    <w:rsid w:val="005D11E9"/>
    <w:rsid w:val="005D44EA"/>
    <w:rsid w:val="005D53F4"/>
    <w:rsid w:val="005D6193"/>
    <w:rsid w:val="005D7C40"/>
    <w:rsid w:val="005E1CC0"/>
    <w:rsid w:val="005E422A"/>
    <w:rsid w:val="005E5176"/>
    <w:rsid w:val="005E588C"/>
    <w:rsid w:val="005F00A9"/>
    <w:rsid w:val="005F0FAA"/>
    <w:rsid w:val="005F244D"/>
    <w:rsid w:val="005F2733"/>
    <w:rsid w:val="005F2DCE"/>
    <w:rsid w:val="005F3ABB"/>
    <w:rsid w:val="005F3C3D"/>
    <w:rsid w:val="005F4393"/>
    <w:rsid w:val="005F5066"/>
    <w:rsid w:val="005F73F3"/>
    <w:rsid w:val="005F77A1"/>
    <w:rsid w:val="0060125E"/>
    <w:rsid w:val="006014E0"/>
    <w:rsid w:val="006024B9"/>
    <w:rsid w:val="00602637"/>
    <w:rsid w:val="00602795"/>
    <w:rsid w:val="00603238"/>
    <w:rsid w:val="00614B2F"/>
    <w:rsid w:val="006212FB"/>
    <w:rsid w:val="00621FFC"/>
    <w:rsid w:val="0062243B"/>
    <w:rsid w:val="006233FB"/>
    <w:rsid w:val="0062465E"/>
    <w:rsid w:val="00624922"/>
    <w:rsid w:val="00632207"/>
    <w:rsid w:val="00633E3C"/>
    <w:rsid w:val="0063491C"/>
    <w:rsid w:val="006358D6"/>
    <w:rsid w:val="00635944"/>
    <w:rsid w:val="00635F23"/>
    <w:rsid w:val="00641A5C"/>
    <w:rsid w:val="006441AE"/>
    <w:rsid w:val="00645747"/>
    <w:rsid w:val="00646E37"/>
    <w:rsid w:val="00647EE3"/>
    <w:rsid w:val="006509BF"/>
    <w:rsid w:val="00650A71"/>
    <w:rsid w:val="0065220F"/>
    <w:rsid w:val="00652617"/>
    <w:rsid w:val="00653A4A"/>
    <w:rsid w:val="00654E3A"/>
    <w:rsid w:val="0065601B"/>
    <w:rsid w:val="0065695F"/>
    <w:rsid w:val="00657A98"/>
    <w:rsid w:val="00657CD2"/>
    <w:rsid w:val="00661AFE"/>
    <w:rsid w:val="006627FA"/>
    <w:rsid w:val="00662B54"/>
    <w:rsid w:val="00663B70"/>
    <w:rsid w:val="006664A9"/>
    <w:rsid w:val="00667948"/>
    <w:rsid w:val="00670D54"/>
    <w:rsid w:val="00672292"/>
    <w:rsid w:val="006755F6"/>
    <w:rsid w:val="00675D00"/>
    <w:rsid w:val="00676A6B"/>
    <w:rsid w:val="00680F19"/>
    <w:rsid w:val="0068160D"/>
    <w:rsid w:val="006828E7"/>
    <w:rsid w:val="00683B2C"/>
    <w:rsid w:val="00683FCE"/>
    <w:rsid w:val="00692F8E"/>
    <w:rsid w:val="00693F8E"/>
    <w:rsid w:val="006A0988"/>
    <w:rsid w:val="006A15C8"/>
    <w:rsid w:val="006A1DB7"/>
    <w:rsid w:val="006A2DCA"/>
    <w:rsid w:val="006A67E9"/>
    <w:rsid w:val="006A76EA"/>
    <w:rsid w:val="006B149D"/>
    <w:rsid w:val="006B3E77"/>
    <w:rsid w:val="006B40FF"/>
    <w:rsid w:val="006C0076"/>
    <w:rsid w:val="006C01D8"/>
    <w:rsid w:val="006C0831"/>
    <w:rsid w:val="006C1F10"/>
    <w:rsid w:val="006C26BD"/>
    <w:rsid w:val="006C5220"/>
    <w:rsid w:val="006C576A"/>
    <w:rsid w:val="006D1AC2"/>
    <w:rsid w:val="006D1EC7"/>
    <w:rsid w:val="006D2B5F"/>
    <w:rsid w:val="006D38CC"/>
    <w:rsid w:val="006D4E5A"/>
    <w:rsid w:val="006D57B4"/>
    <w:rsid w:val="006D5C55"/>
    <w:rsid w:val="006D78EC"/>
    <w:rsid w:val="006D7931"/>
    <w:rsid w:val="006E2EF9"/>
    <w:rsid w:val="006E3521"/>
    <w:rsid w:val="006E3668"/>
    <w:rsid w:val="006E47BC"/>
    <w:rsid w:val="006E59AB"/>
    <w:rsid w:val="006E5E28"/>
    <w:rsid w:val="006E633C"/>
    <w:rsid w:val="006E6574"/>
    <w:rsid w:val="006E70AB"/>
    <w:rsid w:val="006E7464"/>
    <w:rsid w:val="006F25C7"/>
    <w:rsid w:val="006F7DCE"/>
    <w:rsid w:val="0070176B"/>
    <w:rsid w:val="00702947"/>
    <w:rsid w:val="00702B1B"/>
    <w:rsid w:val="007031A1"/>
    <w:rsid w:val="00705B58"/>
    <w:rsid w:val="00706047"/>
    <w:rsid w:val="007069B1"/>
    <w:rsid w:val="00707504"/>
    <w:rsid w:val="007107D2"/>
    <w:rsid w:val="00713C08"/>
    <w:rsid w:val="00714CF2"/>
    <w:rsid w:val="007156B9"/>
    <w:rsid w:val="0071666A"/>
    <w:rsid w:val="00716AA7"/>
    <w:rsid w:val="00720817"/>
    <w:rsid w:val="0072203A"/>
    <w:rsid w:val="00722850"/>
    <w:rsid w:val="00726CA3"/>
    <w:rsid w:val="00726D5B"/>
    <w:rsid w:val="0072717E"/>
    <w:rsid w:val="00727349"/>
    <w:rsid w:val="007311C2"/>
    <w:rsid w:val="00732D35"/>
    <w:rsid w:val="00733162"/>
    <w:rsid w:val="0073353F"/>
    <w:rsid w:val="00734A55"/>
    <w:rsid w:val="00734ACF"/>
    <w:rsid w:val="00734E50"/>
    <w:rsid w:val="00735A91"/>
    <w:rsid w:val="00735D1B"/>
    <w:rsid w:val="00736318"/>
    <w:rsid w:val="00736D0F"/>
    <w:rsid w:val="007370A0"/>
    <w:rsid w:val="00740212"/>
    <w:rsid w:val="0074122F"/>
    <w:rsid w:val="00741BC9"/>
    <w:rsid w:val="00741C76"/>
    <w:rsid w:val="00742E45"/>
    <w:rsid w:val="007447AF"/>
    <w:rsid w:val="007461E0"/>
    <w:rsid w:val="0074701C"/>
    <w:rsid w:val="00750816"/>
    <w:rsid w:val="00750B86"/>
    <w:rsid w:val="00751056"/>
    <w:rsid w:val="0075121E"/>
    <w:rsid w:val="0075262C"/>
    <w:rsid w:val="00756FAC"/>
    <w:rsid w:val="00760200"/>
    <w:rsid w:val="00760AA3"/>
    <w:rsid w:val="007640C7"/>
    <w:rsid w:val="007652E5"/>
    <w:rsid w:val="007657C1"/>
    <w:rsid w:val="00765A7D"/>
    <w:rsid w:val="00766435"/>
    <w:rsid w:val="00767705"/>
    <w:rsid w:val="00770AAD"/>
    <w:rsid w:val="00770C94"/>
    <w:rsid w:val="00771E51"/>
    <w:rsid w:val="00772DAF"/>
    <w:rsid w:val="00773C91"/>
    <w:rsid w:val="00775A25"/>
    <w:rsid w:val="00775A2C"/>
    <w:rsid w:val="0077755F"/>
    <w:rsid w:val="00777781"/>
    <w:rsid w:val="00777A7E"/>
    <w:rsid w:val="00777E49"/>
    <w:rsid w:val="007816A2"/>
    <w:rsid w:val="0078200B"/>
    <w:rsid w:val="007829F8"/>
    <w:rsid w:val="0078428F"/>
    <w:rsid w:val="00784C0C"/>
    <w:rsid w:val="0078579B"/>
    <w:rsid w:val="00786886"/>
    <w:rsid w:val="007905BB"/>
    <w:rsid w:val="00793DE6"/>
    <w:rsid w:val="00796658"/>
    <w:rsid w:val="007A21D2"/>
    <w:rsid w:val="007A3730"/>
    <w:rsid w:val="007A3820"/>
    <w:rsid w:val="007A406D"/>
    <w:rsid w:val="007A465C"/>
    <w:rsid w:val="007A4D89"/>
    <w:rsid w:val="007A54E4"/>
    <w:rsid w:val="007A5EC7"/>
    <w:rsid w:val="007A61E2"/>
    <w:rsid w:val="007A62B0"/>
    <w:rsid w:val="007A6F27"/>
    <w:rsid w:val="007B0F08"/>
    <w:rsid w:val="007B185E"/>
    <w:rsid w:val="007B23A9"/>
    <w:rsid w:val="007B2F29"/>
    <w:rsid w:val="007B32A6"/>
    <w:rsid w:val="007B36E6"/>
    <w:rsid w:val="007B4214"/>
    <w:rsid w:val="007B4690"/>
    <w:rsid w:val="007B7E35"/>
    <w:rsid w:val="007B7F63"/>
    <w:rsid w:val="007C0494"/>
    <w:rsid w:val="007C1B95"/>
    <w:rsid w:val="007C2258"/>
    <w:rsid w:val="007C238B"/>
    <w:rsid w:val="007C28A2"/>
    <w:rsid w:val="007C2D46"/>
    <w:rsid w:val="007C47EC"/>
    <w:rsid w:val="007C5A0C"/>
    <w:rsid w:val="007C5D45"/>
    <w:rsid w:val="007C76FF"/>
    <w:rsid w:val="007D24C8"/>
    <w:rsid w:val="007D3A25"/>
    <w:rsid w:val="007D4CEB"/>
    <w:rsid w:val="007D536F"/>
    <w:rsid w:val="007E026D"/>
    <w:rsid w:val="007E0DE6"/>
    <w:rsid w:val="007E0E18"/>
    <w:rsid w:val="007E0FEE"/>
    <w:rsid w:val="007E1009"/>
    <w:rsid w:val="007E1559"/>
    <w:rsid w:val="007E1E06"/>
    <w:rsid w:val="007E367D"/>
    <w:rsid w:val="007E3C95"/>
    <w:rsid w:val="007E3F84"/>
    <w:rsid w:val="007E5899"/>
    <w:rsid w:val="007F1B04"/>
    <w:rsid w:val="007F2017"/>
    <w:rsid w:val="007F24FC"/>
    <w:rsid w:val="007F2671"/>
    <w:rsid w:val="007F6A46"/>
    <w:rsid w:val="007F7C8D"/>
    <w:rsid w:val="00800FAA"/>
    <w:rsid w:val="0080231E"/>
    <w:rsid w:val="00803596"/>
    <w:rsid w:val="0080390E"/>
    <w:rsid w:val="008053E7"/>
    <w:rsid w:val="00805408"/>
    <w:rsid w:val="00805751"/>
    <w:rsid w:val="00806875"/>
    <w:rsid w:val="008069CE"/>
    <w:rsid w:val="00806C10"/>
    <w:rsid w:val="008108F6"/>
    <w:rsid w:val="00810D4A"/>
    <w:rsid w:val="00811448"/>
    <w:rsid w:val="00811E12"/>
    <w:rsid w:val="00812130"/>
    <w:rsid w:val="00813882"/>
    <w:rsid w:val="00813CE2"/>
    <w:rsid w:val="008151AE"/>
    <w:rsid w:val="008159CF"/>
    <w:rsid w:val="008159E5"/>
    <w:rsid w:val="0081608E"/>
    <w:rsid w:val="00816396"/>
    <w:rsid w:val="008167F1"/>
    <w:rsid w:val="00816E05"/>
    <w:rsid w:val="0081758A"/>
    <w:rsid w:val="00820180"/>
    <w:rsid w:val="00820241"/>
    <w:rsid w:val="00820BD7"/>
    <w:rsid w:val="00821081"/>
    <w:rsid w:val="00821DD9"/>
    <w:rsid w:val="008230EB"/>
    <w:rsid w:val="008240BC"/>
    <w:rsid w:val="00825286"/>
    <w:rsid w:val="00826701"/>
    <w:rsid w:val="00830720"/>
    <w:rsid w:val="00831E51"/>
    <w:rsid w:val="008322A2"/>
    <w:rsid w:val="008333A8"/>
    <w:rsid w:val="008339BB"/>
    <w:rsid w:val="008420C8"/>
    <w:rsid w:val="0084286A"/>
    <w:rsid w:val="00843649"/>
    <w:rsid w:val="00844560"/>
    <w:rsid w:val="00846DEC"/>
    <w:rsid w:val="0084755F"/>
    <w:rsid w:val="008475B2"/>
    <w:rsid w:val="00851E2B"/>
    <w:rsid w:val="00852FF0"/>
    <w:rsid w:val="0085395B"/>
    <w:rsid w:val="00854394"/>
    <w:rsid w:val="00856DF2"/>
    <w:rsid w:val="00860AE4"/>
    <w:rsid w:val="008618D4"/>
    <w:rsid w:val="00863251"/>
    <w:rsid w:val="0086419A"/>
    <w:rsid w:val="00864EE8"/>
    <w:rsid w:val="00865888"/>
    <w:rsid w:val="0087023B"/>
    <w:rsid w:val="00873B0B"/>
    <w:rsid w:val="00874853"/>
    <w:rsid w:val="00874960"/>
    <w:rsid w:val="00874A9F"/>
    <w:rsid w:val="00874D3F"/>
    <w:rsid w:val="0087620C"/>
    <w:rsid w:val="00877F1F"/>
    <w:rsid w:val="0088412E"/>
    <w:rsid w:val="00884EE6"/>
    <w:rsid w:val="00885F97"/>
    <w:rsid w:val="008902EB"/>
    <w:rsid w:val="00890517"/>
    <w:rsid w:val="00892767"/>
    <w:rsid w:val="00893578"/>
    <w:rsid w:val="00893605"/>
    <w:rsid w:val="00893C06"/>
    <w:rsid w:val="00894730"/>
    <w:rsid w:val="00895898"/>
    <w:rsid w:val="008977F6"/>
    <w:rsid w:val="008A015E"/>
    <w:rsid w:val="008A01B7"/>
    <w:rsid w:val="008A08BF"/>
    <w:rsid w:val="008A0A03"/>
    <w:rsid w:val="008A15AA"/>
    <w:rsid w:val="008A179F"/>
    <w:rsid w:val="008A3562"/>
    <w:rsid w:val="008A7B40"/>
    <w:rsid w:val="008B0864"/>
    <w:rsid w:val="008B11B3"/>
    <w:rsid w:val="008B175A"/>
    <w:rsid w:val="008B3789"/>
    <w:rsid w:val="008B3FB5"/>
    <w:rsid w:val="008B5289"/>
    <w:rsid w:val="008B52C8"/>
    <w:rsid w:val="008B753E"/>
    <w:rsid w:val="008C14C9"/>
    <w:rsid w:val="008C2FE1"/>
    <w:rsid w:val="008C3CB7"/>
    <w:rsid w:val="008C7413"/>
    <w:rsid w:val="008D09E0"/>
    <w:rsid w:val="008D16B7"/>
    <w:rsid w:val="008D38E0"/>
    <w:rsid w:val="008D662F"/>
    <w:rsid w:val="008D6A1B"/>
    <w:rsid w:val="008E12D8"/>
    <w:rsid w:val="008E3F57"/>
    <w:rsid w:val="008E6AE6"/>
    <w:rsid w:val="008E6E71"/>
    <w:rsid w:val="008E6E79"/>
    <w:rsid w:val="008E75AE"/>
    <w:rsid w:val="008F0116"/>
    <w:rsid w:val="008F0576"/>
    <w:rsid w:val="008F136F"/>
    <w:rsid w:val="008F143D"/>
    <w:rsid w:val="008F2313"/>
    <w:rsid w:val="008F48C3"/>
    <w:rsid w:val="008F5DD8"/>
    <w:rsid w:val="008F6C4C"/>
    <w:rsid w:val="008F6D7A"/>
    <w:rsid w:val="009031D1"/>
    <w:rsid w:val="00903FA0"/>
    <w:rsid w:val="00905CC0"/>
    <w:rsid w:val="00910514"/>
    <w:rsid w:val="00915DB1"/>
    <w:rsid w:val="00921824"/>
    <w:rsid w:val="00921AF1"/>
    <w:rsid w:val="00922256"/>
    <w:rsid w:val="0092242C"/>
    <w:rsid w:val="00926323"/>
    <w:rsid w:val="0092787F"/>
    <w:rsid w:val="00930B81"/>
    <w:rsid w:val="00932865"/>
    <w:rsid w:val="00933215"/>
    <w:rsid w:val="00934348"/>
    <w:rsid w:val="00934DAD"/>
    <w:rsid w:val="0094005A"/>
    <w:rsid w:val="00940821"/>
    <w:rsid w:val="0094144C"/>
    <w:rsid w:val="00941CDA"/>
    <w:rsid w:val="00943012"/>
    <w:rsid w:val="00943021"/>
    <w:rsid w:val="00943547"/>
    <w:rsid w:val="00946D84"/>
    <w:rsid w:val="00947084"/>
    <w:rsid w:val="0094716A"/>
    <w:rsid w:val="009476CA"/>
    <w:rsid w:val="00947D60"/>
    <w:rsid w:val="00952372"/>
    <w:rsid w:val="00954166"/>
    <w:rsid w:val="00954273"/>
    <w:rsid w:val="00955E33"/>
    <w:rsid w:val="0095679A"/>
    <w:rsid w:val="00957D83"/>
    <w:rsid w:val="00957FCB"/>
    <w:rsid w:val="00960F67"/>
    <w:rsid w:val="0096207E"/>
    <w:rsid w:val="00962754"/>
    <w:rsid w:val="00963293"/>
    <w:rsid w:val="00964A61"/>
    <w:rsid w:val="0096593B"/>
    <w:rsid w:val="009720B9"/>
    <w:rsid w:val="009732AF"/>
    <w:rsid w:val="00980537"/>
    <w:rsid w:val="009806BB"/>
    <w:rsid w:val="00980EF6"/>
    <w:rsid w:val="0098138E"/>
    <w:rsid w:val="009819F4"/>
    <w:rsid w:val="00983B41"/>
    <w:rsid w:val="0098655A"/>
    <w:rsid w:val="0099222F"/>
    <w:rsid w:val="00994157"/>
    <w:rsid w:val="00997526"/>
    <w:rsid w:val="009977E4"/>
    <w:rsid w:val="009A0B04"/>
    <w:rsid w:val="009A1150"/>
    <w:rsid w:val="009A4F79"/>
    <w:rsid w:val="009A5163"/>
    <w:rsid w:val="009A64DE"/>
    <w:rsid w:val="009A6A10"/>
    <w:rsid w:val="009A6E36"/>
    <w:rsid w:val="009A70A9"/>
    <w:rsid w:val="009A7DE0"/>
    <w:rsid w:val="009B183A"/>
    <w:rsid w:val="009B1EE9"/>
    <w:rsid w:val="009B2CBB"/>
    <w:rsid w:val="009B34E6"/>
    <w:rsid w:val="009B38F8"/>
    <w:rsid w:val="009B6895"/>
    <w:rsid w:val="009B7D62"/>
    <w:rsid w:val="009B7EF5"/>
    <w:rsid w:val="009C08F5"/>
    <w:rsid w:val="009C385C"/>
    <w:rsid w:val="009C50FA"/>
    <w:rsid w:val="009D13EF"/>
    <w:rsid w:val="009D2445"/>
    <w:rsid w:val="009D29DE"/>
    <w:rsid w:val="009D484D"/>
    <w:rsid w:val="009D5A16"/>
    <w:rsid w:val="009D7011"/>
    <w:rsid w:val="009D7D20"/>
    <w:rsid w:val="009E00DB"/>
    <w:rsid w:val="009E02E2"/>
    <w:rsid w:val="009E11BF"/>
    <w:rsid w:val="009E1583"/>
    <w:rsid w:val="009E6052"/>
    <w:rsid w:val="009E7A38"/>
    <w:rsid w:val="009E7A64"/>
    <w:rsid w:val="009E7C7F"/>
    <w:rsid w:val="009F1013"/>
    <w:rsid w:val="009F1E4D"/>
    <w:rsid w:val="009F38BA"/>
    <w:rsid w:val="009F6211"/>
    <w:rsid w:val="00A078C1"/>
    <w:rsid w:val="00A10129"/>
    <w:rsid w:val="00A11C09"/>
    <w:rsid w:val="00A11E0B"/>
    <w:rsid w:val="00A12C26"/>
    <w:rsid w:val="00A136F7"/>
    <w:rsid w:val="00A13F7B"/>
    <w:rsid w:val="00A17BDE"/>
    <w:rsid w:val="00A17CE0"/>
    <w:rsid w:val="00A17DBE"/>
    <w:rsid w:val="00A223D0"/>
    <w:rsid w:val="00A2240F"/>
    <w:rsid w:val="00A23CE1"/>
    <w:rsid w:val="00A23D48"/>
    <w:rsid w:val="00A23EBF"/>
    <w:rsid w:val="00A24ADB"/>
    <w:rsid w:val="00A2716D"/>
    <w:rsid w:val="00A30C6E"/>
    <w:rsid w:val="00A3132B"/>
    <w:rsid w:val="00A316B6"/>
    <w:rsid w:val="00A33007"/>
    <w:rsid w:val="00A336E0"/>
    <w:rsid w:val="00A35128"/>
    <w:rsid w:val="00A35C75"/>
    <w:rsid w:val="00A379E5"/>
    <w:rsid w:val="00A41041"/>
    <w:rsid w:val="00A42306"/>
    <w:rsid w:val="00A42DB0"/>
    <w:rsid w:val="00A430DB"/>
    <w:rsid w:val="00A44C9E"/>
    <w:rsid w:val="00A44E8D"/>
    <w:rsid w:val="00A450B1"/>
    <w:rsid w:val="00A46EA8"/>
    <w:rsid w:val="00A50F34"/>
    <w:rsid w:val="00A517EE"/>
    <w:rsid w:val="00A52C25"/>
    <w:rsid w:val="00A556AF"/>
    <w:rsid w:val="00A55ACD"/>
    <w:rsid w:val="00A6189A"/>
    <w:rsid w:val="00A61A1F"/>
    <w:rsid w:val="00A6273E"/>
    <w:rsid w:val="00A665C1"/>
    <w:rsid w:val="00A6688A"/>
    <w:rsid w:val="00A6731A"/>
    <w:rsid w:val="00A6770B"/>
    <w:rsid w:val="00A71666"/>
    <w:rsid w:val="00A71929"/>
    <w:rsid w:val="00A73286"/>
    <w:rsid w:val="00A74E98"/>
    <w:rsid w:val="00A766CB"/>
    <w:rsid w:val="00A76F60"/>
    <w:rsid w:val="00A7746B"/>
    <w:rsid w:val="00A77FDE"/>
    <w:rsid w:val="00A81436"/>
    <w:rsid w:val="00A81928"/>
    <w:rsid w:val="00A81EED"/>
    <w:rsid w:val="00A82E10"/>
    <w:rsid w:val="00A85D27"/>
    <w:rsid w:val="00A92B00"/>
    <w:rsid w:val="00A94009"/>
    <w:rsid w:val="00A95425"/>
    <w:rsid w:val="00A958AA"/>
    <w:rsid w:val="00A95C8B"/>
    <w:rsid w:val="00A964EE"/>
    <w:rsid w:val="00A97542"/>
    <w:rsid w:val="00A9770B"/>
    <w:rsid w:val="00AA0B8B"/>
    <w:rsid w:val="00AA23C7"/>
    <w:rsid w:val="00AA3C7D"/>
    <w:rsid w:val="00AA49A1"/>
    <w:rsid w:val="00AA55F5"/>
    <w:rsid w:val="00AA65F3"/>
    <w:rsid w:val="00AB06F9"/>
    <w:rsid w:val="00AB2737"/>
    <w:rsid w:val="00AB36B0"/>
    <w:rsid w:val="00AB5319"/>
    <w:rsid w:val="00AB567B"/>
    <w:rsid w:val="00AB7875"/>
    <w:rsid w:val="00AC001D"/>
    <w:rsid w:val="00AC0E64"/>
    <w:rsid w:val="00AC0F12"/>
    <w:rsid w:val="00AC10B2"/>
    <w:rsid w:val="00AC3015"/>
    <w:rsid w:val="00AC3DCF"/>
    <w:rsid w:val="00AC5F7E"/>
    <w:rsid w:val="00AC68EE"/>
    <w:rsid w:val="00AC7359"/>
    <w:rsid w:val="00AD1459"/>
    <w:rsid w:val="00AD407A"/>
    <w:rsid w:val="00AD64A6"/>
    <w:rsid w:val="00AE1048"/>
    <w:rsid w:val="00AE63C2"/>
    <w:rsid w:val="00AF1102"/>
    <w:rsid w:val="00AF257B"/>
    <w:rsid w:val="00AF2CFA"/>
    <w:rsid w:val="00AF3456"/>
    <w:rsid w:val="00AF34BC"/>
    <w:rsid w:val="00AF3898"/>
    <w:rsid w:val="00AF4830"/>
    <w:rsid w:val="00AF51E1"/>
    <w:rsid w:val="00AF5380"/>
    <w:rsid w:val="00AF793F"/>
    <w:rsid w:val="00B001B9"/>
    <w:rsid w:val="00B01F7E"/>
    <w:rsid w:val="00B0293A"/>
    <w:rsid w:val="00B029CD"/>
    <w:rsid w:val="00B02B1E"/>
    <w:rsid w:val="00B03E72"/>
    <w:rsid w:val="00B04322"/>
    <w:rsid w:val="00B050E7"/>
    <w:rsid w:val="00B0627A"/>
    <w:rsid w:val="00B07487"/>
    <w:rsid w:val="00B14614"/>
    <w:rsid w:val="00B15715"/>
    <w:rsid w:val="00B16C2A"/>
    <w:rsid w:val="00B177B1"/>
    <w:rsid w:val="00B201DA"/>
    <w:rsid w:val="00B21F26"/>
    <w:rsid w:val="00B23972"/>
    <w:rsid w:val="00B239C8"/>
    <w:rsid w:val="00B24A91"/>
    <w:rsid w:val="00B24C9A"/>
    <w:rsid w:val="00B2603D"/>
    <w:rsid w:val="00B27A83"/>
    <w:rsid w:val="00B3087D"/>
    <w:rsid w:val="00B317A2"/>
    <w:rsid w:val="00B337DF"/>
    <w:rsid w:val="00B3419C"/>
    <w:rsid w:val="00B34794"/>
    <w:rsid w:val="00B34D55"/>
    <w:rsid w:val="00B35B9F"/>
    <w:rsid w:val="00B369EB"/>
    <w:rsid w:val="00B3713D"/>
    <w:rsid w:val="00B37C5F"/>
    <w:rsid w:val="00B41B14"/>
    <w:rsid w:val="00B43AF3"/>
    <w:rsid w:val="00B44520"/>
    <w:rsid w:val="00B453BA"/>
    <w:rsid w:val="00B46C71"/>
    <w:rsid w:val="00B47585"/>
    <w:rsid w:val="00B47B56"/>
    <w:rsid w:val="00B53A9D"/>
    <w:rsid w:val="00B55BF4"/>
    <w:rsid w:val="00B60421"/>
    <w:rsid w:val="00B6142F"/>
    <w:rsid w:val="00B62759"/>
    <w:rsid w:val="00B65092"/>
    <w:rsid w:val="00B651C2"/>
    <w:rsid w:val="00B6547F"/>
    <w:rsid w:val="00B66088"/>
    <w:rsid w:val="00B66689"/>
    <w:rsid w:val="00B66B76"/>
    <w:rsid w:val="00B710D1"/>
    <w:rsid w:val="00B72185"/>
    <w:rsid w:val="00B729B2"/>
    <w:rsid w:val="00B72E11"/>
    <w:rsid w:val="00B72FF3"/>
    <w:rsid w:val="00B742EC"/>
    <w:rsid w:val="00B80990"/>
    <w:rsid w:val="00B81E17"/>
    <w:rsid w:val="00B81EB6"/>
    <w:rsid w:val="00B82F74"/>
    <w:rsid w:val="00B831C0"/>
    <w:rsid w:val="00B83213"/>
    <w:rsid w:val="00B852AA"/>
    <w:rsid w:val="00B86664"/>
    <w:rsid w:val="00B870B2"/>
    <w:rsid w:val="00B87739"/>
    <w:rsid w:val="00B91546"/>
    <w:rsid w:val="00B91835"/>
    <w:rsid w:val="00B91D01"/>
    <w:rsid w:val="00B923D0"/>
    <w:rsid w:val="00B92F10"/>
    <w:rsid w:val="00B9481F"/>
    <w:rsid w:val="00B94830"/>
    <w:rsid w:val="00B97F20"/>
    <w:rsid w:val="00BA1D79"/>
    <w:rsid w:val="00BA211F"/>
    <w:rsid w:val="00BA2968"/>
    <w:rsid w:val="00BA2972"/>
    <w:rsid w:val="00BA317B"/>
    <w:rsid w:val="00BA39A2"/>
    <w:rsid w:val="00BA4DBD"/>
    <w:rsid w:val="00BA4EF3"/>
    <w:rsid w:val="00BA579F"/>
    <w:rsid w:val="00BB0243"/>
    <w:rsid w:val="00BB14E1"/>
    <w:rsid w:val="00BB16DF"/>
    <w:rsid w:val="00BB24A8"/>
    <w:rsid w:val="00BB2A6B"/>
    <w:rsid w:val="00BC0AB6"/>
    <w:rsid w:val="00BC1E05"/>
    <w:rsid w:val="00BC36A7"/>
    <w:rsid w:val="00BC400A"/>
    <w:rsid w:val="00BC57B0"/>
    <w:rsid w:val="00BC5DE5"/>
    <w:rsid w:val="00BC7CC1"/>
    <w:rsid w:val="00BD035F"/>
    <w:rsid w:val="00BD7469"/>
    <w:rsid w:val="00BE091C"/>
    <w:rsid w:val="00BE0B6F"/>
    <w:rsid w:val="00BE3CEF"/>
    <w:rsid w:val="00BE4636"/>
    <w:rsid w:val="00BE4BC3"/>
    <w:rsid w:val="00BE64D6"/>
    <w:rsid w:val="00BE701B"/>
    <w:rsid w:val="00BE7233"/>
    <w:rsid w:val="00BF09A2"/>
    <w:rsid w:val="00BF1572"/>
    <w:rsid w:val="00BF4660"/>
    <w:rsid w:val="00BF6588"/>
    <w:rsid w:val="00C018B5"/>
    <w:rsid w:val="00C055AC"/>
    <w:rsid w:val="00C06453"/>
    <w:rsid w:val="00C06962"/>
    <w:rsid w:val="00C073B5"/>
    <w:rsid w:val="00C07B91"/>
    <w:rsid w:val="00C10B5F"/>
    <w:rsid w:val="00C111DF"/>
    <w:rsid w:val="00C1227E"/>
    <w:rsid w:val="00C15914"/>
    <w:rsid w:val="00C17300"/>
    <w:rsid w:val="00C17C25"/>
    <w:rsid w:val="00C24099"/>
    <w:rsid w:val="00C24D9B"/>
    <w:rsid w:val="00C30154"/>
    <w:rsid w:val="00C30BC0"/>
    <w:rsid w:val="00C31DA0"/>
    <w:rsid w:val="00C32AE9"/>
    <w:rsid w:val="00C334FE"/>
    <w:rsid w:val="00C34E79"/>
    <w:rsid w:val="00C35F3E"/>
    <w:rsid w:val="00C3623D"/>
    <w:rsid w:val="00C3786D"/>
    <w:rsid w:val="00C408F7"/>
    <w:rsid w:val="00C44292"/>
    <w:rsid w:val="00C459BC"/>
    <w:rsid w:val="00C479EE"/>
    <w:rsid w:val="00C508D2"/>
    <w:rsid w:val="00C51B2F"/>
    <w:rsid w:val="00C53E2E"/>
    <w:rsid w:val="00C54590"/>
    <w:rsid w:val="00C54EC9"/>
    <w:rsid w:val="00C57072"/>
    <w:rsid w:val="00C57AC8"/>
    <w:rsid w:val="00C57C94"/>
    <w:rsid w:val="00C57F5B"/>
    <w:rsid w:val="00C6052F"/>
    <w:rsid w:val="00C62745"/>
    <w:rsid w:val="00C6370B"/>
    <w:rsid w:val="00C63E6B"/>
    <w:rsid w:val="00C66F7A"/>
    <w:rsid w:val="00C70B61"/>
    <w:rsid w:val="00C727CE"/>
    <w:rsid w:val="00C75403"/>
    <w:rsid w:val="00C77BAF"/>
    <w:rsid w:val="00C80735"/>
    <w:rsid w:val="00C85B7F"/>
    <w:rsid w:val="00C868A3"/>
    <w:rsid w:val="00C878D5"/>
    <w:rsid w:val="00C9033B"/>
    <w:rsid w:val="00C910D9"/>
    <w:rsid w:val="00C913A1"/>
    <w:rsid w:val="00C92BCB"/>
    <w:rsid w:val="00C94208"/>
    <w:rsid w:val="00C94D93"/>
    <w:rsid w:val="00C95FF8"/>
    <w:rsid w:val="00C9647F"/>
    <w:rsid w:val="00C97175"/>
    <w:rsid w:val="00CA01D0"/>
    <w:rsid w:val="00CA06EA"/>
    <w:rsid w:val="00CA082A"/>
    <w:rsid w:val="00CA0B3A"/>
    <w:rsid w:val="00CA0C9E"/>
    <w:rsid w:val="00CA109F"/>
    <w:rsid w:val="00CA235E"/>
    <w:rsid w:val="00CA4E50"/>
    <w:rsid w:val="00CA62AE"/>
    <w:rsid w:val="00CA6800"/>
    <w:rsid w:val="00CA6B2C"/>
    <w:rsid w:val="00CA6E32"/>
    <w:rsid w:val="00CB0758"/>
    <w:rsid w:val="00CB1AF1"/>
    <w:rsid w:val="00CB3A1F"/>
    <w:rsid w:val="00CB3B3B"/>
    <w:rsid w:val="00CB3DEF"/>
    <w:rsid w:val="00CB43F8"/>
    <w:rsid w:val="00CB444C"/>
    <w:rsid w:val="00CB7ABB"/>
    <w:rsid w:val="00CC0578"/>
    <w:rsid w:val="00CC10D6"/>
    <w:rsid w:val="00CC3869"/>
    <w:rsid w:val="00CC6A99"/>
    <w:rsid w:val="00CD18EB"/>
    <w:rsid w:val="00CD21E4"/>
    <w:rsid w:val="00CD2286"/>
    <w:rsid w:val="00CD29D1"/>
    <w:rsid w:val="00CD2EFE"/>
    <w:rsid w:val="00CD3F7F"/>
    <w:rsid w:val="00CD7780"/>
    <w:rsid w:val="00CD7BCD"/>
    <w:rsid w:val="00CE0679"/>
    <w:rsid w:val="00CE1B97"/>
    <w:rsid w:val="00CE1F83"/>
    <w:rsid w:val="00CF0B41"/>
    <w:rsid w:val="00CF35A3"/>
    <w:rsid w:val="00CF394B"/>
    <w:rsid w:val="00CF605A"/>
    <w:rsid w:val="00D00AA3"/>
    <w:rsid w:val="00D02F3F"/>
    <w:rsid w:val="00D037ED"/>
    <w:rsid w:val="00D03F1E"/>
    <w:rsid w:val="00D0504E"/>
    <w:rsid w:val="00D05A3C"/>
    <w:rsid w:val="00D05C5D"/>
    <w:rsid w:val="00D066AA"/>
    <w:rsid w:val="00D07F73"/>
    <w:rsid w:val="00D108F7"/>
    <w:rsid w:val="00D12907"/>
    <w:rsid w:val="00D14844"/>
    <w:rsid w:val="00D163A8"/>
    <w:rsid w:val="00D2041C"/>
    <w:rsid w:val="00D2073E"/>
    <w:rsid w:val="00D21307"/>
    <w:rsid w:val="00D21D61"/>
    <w:rsid w:val="00D22BF0"/>
    <w:rsid w:val="00D25ADE"/>
    <w:rsid w:val="00D30E2F"/>
    <w:rsid w:val="00D36851"/>
    <w:rsid w:val="00D36965"/>
    <w:rsid w:val="00D41427"/>
    <w:rsid w:val="00D43297"/>
    <w:rsid w:val="00D44DB6"/>
    <w:rsid w:val="00D44FFF"/>
    <w:rsid w:val="00D45631"/>
    <w:rsid w:val="00D50119"/>
    <w:rsid w:val="00D507A6"/>
    <w:rsid w:val="00D50858"/>
    <w:rsid w:val="00D52931"/>
    <w:rsid w:val="00D552BC"/>
    <w:rsid w:val="00D60DC5"/>
    <w:rsid w:val="00D60DF9"/>
    <w:rsid w:val="00D62EF8"/>
    <w:rsid w:val="00D63588"/>
    <w:rsid w:val="00D661AF"/>
    <w:rsid w:val="00D67852"/>
    <w:rsid w:val="00D72B47"/>
    <w:rsid w:val="00D76BA0"/>
    <w:rsid w:val="00D7707F"/>
    <w:rsid w:val="00D81C23"/>
    <w:rsid w:val="00D826A6"/>
    <w:rsid w:val="00D82A43"/>
    <w:rsid w:val="00D843B2"/>
    <w:rsid w:val="00D843CB"/>
    <w:rsid w:val="00D87FEE"/>
    <w:rsid w:val="00D942D9"/>
    <w:rsid w:val="00DA0AD9"/>
    <w:rsid w:val="00DA303D"/>
    <w:rsid w:val="00DA3D7A"/>
    <w:rsid w:val="00DA413F"/>
    <w:rsid w:val="00DA42D6"/>
    <w:rsid w:val="00DA612C"/>
    <w:rsid w:val="00DA74B7"/>
    <w:rsid w:val="00DA7B2F"/>
    <w:rsid w:val="00DA7B5D"/>
    <w:rsid w:val="00DB448F"/>
    <w:rsid w:val="00DB4A7F"/>
    <w:rsid w:val="00DB6872"/>
    <w:rsid w:val="00DC11F5"/>
    <w:rsid w:val="00DC2F2A"/>
    <w:rsid w:val="00DC462C"/>
    <w:rsid w:val="00DC7B32"/>
    <w:rsid w:val="00DD11D6"/>
    <w:rsid w:val="00DD2159"/>
    <w:rsid w:val="00DD2255"/>
    <w:rsid w:val="00DD29C5"/>
    <w:rsid w:val="00DD2DEE"/>
    <w:rsid w:val="00DD7B20"/>
    <w:rsid w:val="00DE14C5"/>
    <w:rsid w:val="00DE1F5E"/>
    <w:rsid w:val="00DE2BD7"/>
    <w:rsid w:val="00DE36FD"/>
    <w:rsid w:val="00DE3A8D"/>
    <w:rsid w:val="00DE40F6"/>
    <w:rsid w:val="00DE4737"/>
    <w:rsid w:val="00DE5C74"/>
    <w:rsid w:val="00DE6452"/>
    <w:rsid w:val="00DF08D2"/>
    <w:rsid w:val="00DF3EA5"/>
    <w:rsid w:val="00DF3F0A"/>
    <w:rsid w:val="00DF4EE5"/>
    <w:rsid w:val="00DF58E7"/>
    <w:rsid w:val="00DF67DB"/>
    <w:rsid w:val="00E00B9B"/>
    <w:rsid w:val="00E02C1F"/>
    <w:rsid w:val="00E03849"/>
    <w:rsid w:val="00E06193"/>
    <w:rsid w:val="00E07409"/>
    <w:rsid w:val="00E109C9"/>
    <w:rsid w:val="00E114BA"/>
    <w:rsid w:val="00E11876"/>
    <w:rsid w:val="00E122F0"/>
    <w:rsid w:val="00E16349"/>
    <w:rsid w:val="00E23CBB"/>
    <w:rsid w:val="00E30890"/>
    <w:rsid w:val="00E326B7"/>
    <w:rsid w:val="00E37B59"/>
    <w:rsid w:val="00E42C2F"/>
    <w:rsid w:val="00E439B8"/>
    <w:rsid w:val="00E448CE"/>
    <w:rsid w:val="00E452A7"/>
    <w:rsid w:val="00E469F4"/>
    <w:rsid w:val="00E4743D"/>
    <w:rsid w:val="00E47FF5"/>
    <w:rsid w:val="00E5084C"/>
    <w:rsid w:val="00E53438"/>
    <w:rsid w:val="00E5405C"/>
    <w:rsid w:val="00E5567F"/>
    <w:rsid w:val="00E57BD9"/>
    <w:rsid w:val="00E57FF6"/>
    <w:rsid w:val="00E61400"/>
    <w:rsid w:val="00E62181"/>
    <w:rsid w:val="00E6287E"/>
    <w:rsid w:val="00E6549F"/>
    <w:rsid w:val="00E66B76"/>
    <w:rsid w:val="00E7075C"/>
    <w:rsid w:val="00E71E5C"/>
    <w:rsid w:val="00E725FC"/>
    <w:rsid w:val="00E72699"/>
    <w:rsid w:val="00E72DB3"/>
    <w:rsid w:val="00E7317F"/>
    <w:rsid w:val="00E74182"/>
    <w:rsid w:val="00E80CEC"/>
    <w:rsid w:val="00E81912"/>
    <w:rsid w:val="00E82221"/>
    <w:rsid w:val="00E841BA"/>
    <w:rsid w:val="00E8426F"/>
    <w:rsid w:val="00E84F27"/>
    <w:rsid w:val="00E852EA"/>
    <w:rsid w:val="00E856E1"/>
    <w:rsid w:val="00E87E3C"/>
    <w:rsid w:val="00E87EBC"/>
    <w:rsid w:val="00E905A1"/>
    <w:rsid w:val="00E921BE"/>
    <w:rsid w:val="00E95128"/>
    <w:rsid w:val="00E96DEA"/>
    <w:rsid w:val="00E9788A"/>
    <w:rsid w:val="00EA13D5"/>
    <w:rsid w:val="00EA36C6"/>
    <w:rsid w:val="00EA3D43"/>
    <w:rsid w:val="00EA5BB6"/>
    <w:rsid w:val="00EB34B3"/>
    <w:rsid w:val="00EB5E23"/>
    <w:rsid w:val="00EC081E"/>
    <w:rsid w:val="00EC2D36"/>
    <w:rsid w:val="00EC30F9"/>
    <w:rsid w:val="00EC33DC"/>
    <w:rsid w:val="00EC422D"/>
    <w:rsid w:val="00EC4539"/>
    <w:rsid w:val="00EC4EC6"/>
    <w:rsid w:val="00EC5132"/>
    <w:rsid w:val="00EC5993"/>
    <w:rsid w:val="00EC63FF"/>
    <w:rsid w:val="00EC7B67"/>
    <w:rsid w:val="00ED037A"/>
    <w:rsid w:val="00ED04DE"/>
    <w:rsid w:val="00ED1885"/>
    <w:rsid w:val="00ED1E00"/>
    <w:rsid w:val="00ED1E38"/>
    <w:rsid w:val="00ED1EC3"/>
    <w:rsid w:val="00ED5725"/>
    <w:rsid w:val="00ED671C"/>
    <w:rsid w:val="00ED7031"/>
    <w:rsid w:val="00ED7F56"/>
    <w:rsid w:val="00EE2942"/>
    <w:rsid w:val="00EE2E5E"/>
    <w:rsid w:val="00EE3060"/>
    <w:rsid w:val="00EE420C"/>
    <w:rsid w:val="00EE4315"/>
    <w:rsid w:val="00EE454B"/>
    <w:rsid w:val="00EE464E"/>
    <w:rsid w:val="00EF0920"/>
    <w:rsid w:val="00EF0DE0"/>
    <w:rsid w:val="00EF6925"/>
    <w:rsid w:val="00EF7585"/>
    <w:rsid w:val="00F037A4"/>
    <w:rsid w:val="00F068B9"/>
    <w:rsid w:val="00F106BB"/>
    <w:rsid w:val="00F11CD9"/>
    <w:rsid w:val="00F120F9"/>
    <w:rsid w:val="00F12118"/>
    <w:rsid w:val="00F12D65"/>
    <w:rsid w:val="00F144E3"/>
    <w:rsid w:val="00F15576"/>
    <w:rsid w:val="00F156AF"/>
    <w:rsid w:val="00F1681F"/>
    <w:rsid w:val="00F23745"/>
    <w:rsid w:val="00F26ED3"/>
    <w:rsid w:val="00F32B5F"/>
    <w:rsid w:val="00F415DE"/>
    <w:rsid w:val="00F41668"/>
    <w:rsid w:val="00F43BC7"/>
    <w:rsid w:val="00F45D08"/>
    <w:rsid w:val="00F51536"/>
    <w:rsid w:val="00F51565"/>
    <w:rsid w:val="00F51ADE"/>
    <w:rsid w:val="00F51DBA"/>
    <w:rsid w:val="00F51F65"/>
    <w:rsid w:val="00F5247E"/>
    <w:rsid w:val="00F60A96"/>
    <w:rsid w:val="00F62B7A"/>
    <w:rsid w:val="00F6397D"/>
    <w:rsid w:val="00F64D88"/>
    <w:rsid w:val="00F65B36"/>
    <w:rsid w:val="00F70BF8"/>
    <w:rsid w:val="00F7293E"/>
    <w:rsid w:val="00F73D43"/>
    <w:rsid w:val="00F76650"/>
    <w:rsid w:val="00F76868"/>
    <w:rsid w:val="00F76960"/>
    <w:rsid w:val="00F77321"/>
    <w:rsid w:val="00F80674"/>
    <w:rsid w:val="00F825CB"/>
    <w:rsid w:val="00F8480D"/>
    <w:rsid w:val="00F857D6"/>
    <w:rsid w:val="00F86054"/>
    <w:rsid w:val="00F8645D"/>
    <w:rsid w:val="00F9080A"/>
    <w:rsid w:val="00F9187B"/>
    <w:rsid w:val="00F92385"/>
    <w:rsid w:val="00F9359B"/>
    <w:rsid w:val="00F944BA"/>
    <w:rsid w:val="00F947E4"/>
    <w:rsid w:val="00F97D4A"/>
    <w:rsid w:val="00FA1B4F"/>
    <w:rsid w:val="00FA1E34"/>
    <w:rsid w:val="00FA5B1D"/>
    <w:rsid w:val="00FA735E"/>
    <w:rsid w:val="00FB02BB"/>
    <w:rsid w:val="00FB072B"/>
    <w:rsid w:val="00FB08A3"/>
    <w:rsid w:val="00FB08B7"/>
    <w:rsid w:val="00FB13F0"/>
    <w:rsid w:val="00FB1FCE"/>
    <w:rsid w:val="00FB30C2"/>
    <w:rsid w:val="00FB33AC"/>
    <w:rsid w:val="00FB5522"/>
    <w:rsid w:val="00FC0619"/>
    <w:rsid w:val="00FC1A9D"/>
    <w:rsid w:val="00FC1C3D"/>
    <w:rsid w:val="00FC2DAD"/>
    <w:rsid w:val="00FC372F"/>
    <w:rsid w:val="00FC47F9"/>
    <w:rsid w:val="00FC55ED"/>
    <w:rsid w:val="00FC5A2C"/>
    <w:rsid w:val="00FC5E6D"/>
    <w:rsid w:val="00FD1BD6"/>
    <w:rsid w:val="00FD2FD5"/>
    <w:rsid w:val="00FD33F6"/>
    <w:rsid w:val="00FD4687"/>
    <w:rsid w:val="00FD76B6"/>
    <w:rsid w:val="00FD7798"/>
    <w:rsid w:val="00FD7BDA"/>
    <w:rsid w:val="00FE0EC8"/>
    <w:rsid w:val="00FE2351"/>
    <w:rsid w:val="00FE337D"/>
    <w:rsid w:val="00FE39AA"/>
    <w:rsid w:val="00FE44E2"/>
    <w:rsid w:val="00FE5580"/>
    <w:rsid w:val="00FE58D8"/>
    <w:rsid w:val="00FE7DB7"/>
    <w:rsid w:val="00FF110C"/>
    <w:rsid w:val="00FF132C"/>
    <w:rsid w:val="00FF3AFB"/>
    <w:rsid w:val="00FF3D0D"/>
    <w:rsid w:val="00FF72C4"/>
    <w:rsid w:val="00FF79A7"/>
    <w:rsid w:val="0146FF56"/>
    <w:rsid w:val="01963489"/>
    <w:rsid w:val="01AA9513"/>
    <w:rsid w:val="01AB38DF"/>
    <w:rsid w:val="01CD0A61"/>
    <w:rsid w:val="01D3E1E3"/>
    <w:rsid w:val="01D833D6"/>
    <w:rsid w:val="027F90B7"/>
    <w:rsid w:val="028A2135"/>
    <w:rsid w:val="031D2459"/>
    <w:rsid w:val="032F634B"/>
    <w:rsid w:val="0344B35B"/>
    <w:rsid w:val="03AAB359"/>
    <w:rsid w:val="03DA1F9B"/>
    <w:rsid w:val="03EE2E41"/>
    <w:rsid w:val="03F99B6E"/>
    <w:rsid w:val="0416EADA"/>
    <w:rsid w:val="041FE114"/>
    <w:rsid w:val="04739520"/>
    <w:rsid w:val="04992879"/>
    <w:rsid w:val="04E6580E"/>
    <w:rsid w:val="05360E44"/>
    <w:rsid w:val="054E2E98"/>
    <w:rsid w:val="0592179D"/>
    <w:rsid w:val="05A72CF0"/>
    <w:rsid w:val="05B12200"/>
    <w:rsid w:val="05BAB2AB"/>
    <w:rsid w:val="0624072D"/>
    <w:rsid w:val="0636AC8B"/>
    <w:rsid w:val="0637C25E"/>
    <w:rsid w:val="0690C497"/>
    <w:rsid w:val="069A08F0"/>
    <w:rsid w:val="06B4A8E0"/>
    <w:rsid w:val="06D7DDB8"/>
    <w:rsid w:val="070E2419"/>
    <w:rsid w:val="07157E0A"/>
    <w:rsid w:val="07853FA7"/>
    <w:rsid w:val="07C71DAD"/>
    <w:rsid w:val="0848C0DC"/>
    <w:rsid w:val="08BBC8D5"/>
    <w:rsid w:val="08CAE256"/>
    <w:rsid w:val="08CAF59E"/>
    <w:rsid w:val="08D8F27F"/>
    <w:rsid w:val="0A80DE43"/>
    <w:rsid w:val="0B1A3312"/>
    <w:rsid w:val="0B78D78C"/>
    <w:rsid w:val="0B8B482F"/>
    <w:rsid w:val="0C13FC8F"/>
    <w:rsid w:val="0C378472"/>
    <w:rsid w:val="0D7AD515"/>
    <w:rsid w:val="0E48A9A9"/>
    <w:rsid w:val="0E91634E"/>
    <w:rsid w:val="0E9B062D"/>
    <w:rsid w:val="0E9C6DF7"/>
    <w:rsid w:val="0EAD3416"/>
    <w:rsid w:val="0EC37227"/>
    <w:rsid w:val="0EE7142E"/>
    <w:rsid w:val="0F3F579D"/>
    <w:rsid w:val="0F96CF0A"/>
    <w:rsid w:val="0FE5A9CE"/>
    <w:rsid w:val="1004987B"/>
    <w:rsid w:val="10140071"/>
    <w:rsid w:val="10781DC6"/>
    <w:rsid w:val="1086F18B"/>
    <w:rsid w:val="108D3D26"/>
    <w:rsid w:val="10CDDA6C"/>
    <w:rsid w:val="10DC3D24"/>
    <w:rsid w:val="11143304"/>
    <w:rsid w:val="11F7630A"/>
    <w:rsid w:val="123B6962"/>
    <w:rsid w:val="1241FEFE"/>
    <w:rsid w:val="127A143E"/>
    <w:rsid w:val="12E2CB02"/>
    <w:rsid w:val="1331E718"/>
    <w:rsid w:val="136D0C0F"/>
    <w:rsid w:val="13DF7305"/>
    <w:rsid w:val="13E6C599"/>
    <w:rsid w:val="13F72D85"/>
    <w:rsid w:val="140DDE33"/>
    <w:rsid w:val="1496FC9F"/>
    <w:rsid w:val="151AE906"/>
    <w:rsid w:val="15287031"/>
    <w:rsid w:val="15B07EA3"/>
    <w:rsid w:val="15BEB372"/>
    <w:rsid w:val="15FAA2FB"/>
    <w:rsid w:val="16C62326"/>
    <w:rsid w:val="16DBE2DE"/>
    <w:rsid w:val="16FD6E2C"/>
    <w:rsid w:val="178C0233"/>
    <w:rsid w:val="17980674"/>
    <w:rsid w:val="17E3C7DC"/>
    <w:rsid w:val="17E86196"/>
    <w:rsid w:val="17F00B50"/>
    <w:rsid w:val="180A1424"/>
    <w:rsid w:val="18181C00"/>
    <w:rsid w:val="18287661"/>
    <w:rsid w:val="18573364"/>
    <w:rsid w:val="186127FA"/>
    <w:rsid w:val="188A544D"/>
    <w:rsid w:val="18E16E6A"/>
    <w:rsid w:val="193934A0"/>
    <w:rsid w:val="193C7C75"/>
    <w:rsid w:val="1A212C88"/>
    <w:rsid w:val="1A7CC61E"/>
    <w:rsid w:val="1AAEFB6D"/>
    <w:rsid w:val="1AF61B55"/>
    <w:rsid w:val="1AF84532"/>
    <w:rsid w:val="1B29F371"/>
    <w:rsid w:val="1B5E63F2"/>
    <w:rsid w:val="1B65CFFB"/>
    <w:rsid w:val="1BF01AA8"/>
    <w:rsid w:val="1C049FBE"/>
    <w:rsid w:val="1CA2DB7C"/>
    <w:rsid w:val="1CB6C150"/>
    <w:rsid w:val="1D45B19C"/>
    <w:rsid w:val="1D6424BC"/>
    <w:rsid w:val="1DF8A25D"/>
    <w:rsid w:val="1E292830"/>
    <w:rsid w:val="1E2AD31E"/>
    <w:rsid w:val="1E35EE1D"/>
    <w:rsid w:val="1E59A772"/>
    <w:rsid w:val="1E7EA8B1"/>
    <w:rsid w:val="1EC38C9D"/>
    <w:rsid w:val="1EE14836"/>
    <w:rsid w:val="1FB0567E"/>
    <w:rsid w:val="2039EF81"/>
    <w:rsid w:val="20602864"/>
    <w:rsid w:val="20689ED4"/>
    <w:rsid w:val="20A39121"/>
    <w:rsid w:val="20B39E05"/>
    <w:rsid w:val="21E8BEF5"/>
    <w:rsid w:val="21F02DE1"/>
    <w:rsid w:val="224C4C77"/>
    <w:rsid w:val="2277C436"/>
    <w:rsid w:val="2294DE7C"/>
    <w:rsid w:val="22B36615"/>
    <w:rsid w:val="22E2D4E3"/>
    <w:rsid w:val="23044EB9"/>
    <w:rsid w:val="2328903A"/>
    <w:rsid w:val="2329ACC3"/>
    <w:rsid w:val="24157BCE"/>
    <w:rsid w:val="2428D8D4"/>
    <w:rsid w:val="2462BD01"/>
    <w:rsid w:val="2493E3EA"/>
    <w:rsid w:val="24D244C3"/>
    <w:rsid w:val="24DF4557"/>
    <w:rsid w:val="250A2F8F"/>
    <w:rsid w:val="253C4BBA"/>
    <w:rsid w:val="254DEBDC"/>
    <w:rsid w:val="256CF34F"/>
    <w:rsid w:val="25E907FA"/>
    <w:rsid w:val="270E882B"/>
    <w:rsid w:val="270F639D"/>
    <w:rsid w:val="2719D576"/>
    <w:rsid w:val="27664E11"/>
    <w:rsid w:val="27702F49"/>
    <w:rsid w:val="277D416F"/>
    <w:rsid w:val="27A3F4AB"/>
    <w:rsid w:val="27D766F5"/>
    <w:rsid w:val="27DC93CA"/>
    <w:rsid w:val="27F17596"/>
    <w:rsid w:val="2854F074"/>
    <w:rsid w:val="287F293D"/>
    <w:rsid w:val="28CCB28A"/>
    <w:rsid w:val="28E48BF6"/>
    <w:rsid w:val="29C8FE81"/>
    <w:rsid w:val="29D1DF3E"/>
    <w:rsid w:val="2A12596A"/>
    <w:rsid w:val="2A1A69AA"/>
    <w:rsid w:val="2A699685"/>
    <w:rsid w:val="2AFBC692"/>
    <w:rsid w:val="2B812FA8"/>
    <w:rsid w:val="2BA4A851"/>
    <w:rsid w:val="2BC44298"/>
    <w:rsid w:val="2BE6846B"/>
    <w:rsid w:val="2C121768"/>
    <w:rsid w:val="2C4E7AF5"/>
    <w:rsid w:val="2C82FDAD"/>
    <w:rsid w:val="2CC3F68D"/>
    <w:rsid w:val="2CD0D682"/>
    <w:rsid w:val="2D839720"/>
    <w:rsid w:val="2DCACF9F"/>
    <w:rsid w:val="2E003542"/>
    <w:rsid w:val="2E2E0877"/>
    <w:rsid w:val="2E660A99"/>
    <w:rsid w:val="2EB394DA"/>
    <w:rsid w:val="2EEC21C3"/>
    <w:rsid w:val="300FD2FB"/>
    <w:rsid w:val="30A89B90"/>
    <w:rsid w:val="30D73DA1"/>
    <w:rsid w:val="30E86CA6"/>
    <w:rsid w:val="31161907"/>
    <w:rsid w:val="3121EF14"/>
    <w:rsid w:val="313208E6"/>
    <w:rsid w:val="3163E3A1"/>
    <w:rsid w:val="3184B74E"/>
    <w:rsid w:val="31A25644"/>
    <w:rsid w:val="31B52016"/>
    <w:rsid w:val="31C93600"/>
    <w:rsid w:val="321911D8"/>
    <w:rsid w:val="3278D947"/>
    <w:rsid w:val="32A5AFFC"/>
    <w:rsid w:val="32A8120F"/>
    <w:rsid w:val="33124F90"/>
    <w:rsid w:val="3315D8CC"/>
    <w:rsid w:val="338EA64A"/>
    <w:rsid w:val="33B103A8"/>
    <w:rsid w:val="341D659D"/>
    <w:rsid w:val="350DFE6C"/>
    <w:rsid w:val="350F883A"/>
    <w:rsid w:val="351A99C3"/>
    <w:rsid w:val="351AA0D3"/>
    <w:rsid w:val="35352158"/>
    <w:rsid w:val="35589B6B"/>
    <w:rsid w:val="3594CAD9"/>
    <w:rsid w:val="35D6147D"/>
    <w:rsid w:val="3602CC3B"/>
    <w:rsid w:val="369C4381"/>
    <w:rsid w:val="36E880B9"/>
    <w:rsid w:val="36EC6B44"/>
    <w:rsid w:val="36FB488A"/>
    <w:rsid w:val="373CA934"/>
    <w:rsid w:val="375CE4D3"/>
    <w:rsid w:val="37B8610E"/>
    <w:rsid w:val="37E5BF1F"/>
    <w:rsid w:val="38145BA4"/>
    <w:rsid w:val="38199300"/>
    <w:rsid w:val="3833EA0A"/>
    <w:rsid w:val="3864234D"/>
    <w:rsid w:val="3892226C"/>
    <w:rsid w:val="38AF68CD"/>
    <w:rsid w:val="3977F152"/>
    <w:rsid w:val="39B0F39C"/>
    <w:rsid w:val="39FE2E6C"/>
    <w:rsid w:val="3A24F3BD"/>
    <w:rsid w:val="3A3A2AC7"/>
    <w:rsid w:val="3A495573"/>
    <w:rsid w:val="3A7F4BEE"/>
    <w:rsid w:val="3A87C6CD"/>
    <w:rsid w:val="3A951A01"/>
    <w:rsid w:val="3AA39190"/>
    <w:rsid w:val="3B07280B"/>
    <w:rsid w:val="3B37E2EB"/>
    <w:rsid w:val="3B3D5E53"/>
    <w:rsid w:val="3B4E5182"/>
    <w:rsid w:val="3B658DDF"/>
    <w:rsid w:val="3B6EE681"/>
    <w:rsid w:val="3B9218DD"/>
    <w:rsid w:val="3BB474DD"/>
    <w:rsid w:val="3C536F2D"/>
    <w:rsid w:val="3C7352E1"/>
    <w:rsid w:val="3C7384F0"/>
    <w:rsid w:val="3C75840E"/>
    <w:rsid w:val="3CE8B5D6"/>
    <w:rsid w:val="3D27D04C"/>
    <w:rsid w:val="3DAD6589"/>
    <w:rsid w:val="3DF26513"/>
    <w:rsid w:val="3E287170"/>
    <w:rsid w:val="3E88884C"/>
    <w:rsid w:val="3EF143E4"/>
    <w:rsid w:val="3EF9210B"/>
    <w:rsid w:val="3EF96D10"/>
    <w:rsid w:val="3F1F9029"/>
    <w:rsid w:val="3F2C2555"/>
    <w:rsid w:val="3F4932FC"/>
    <w:rsid w:val="3F677282"/>
    <w:rsid w:val="3FA8ED26"/>
    <w:rsid w:val="3FC3C91D"/>
    <w:rsid w:val="3FD49AC4"/>
    <w:rsid w:val="401290AC"/>
    <w:rsid w:val="4044D1E8"/>
    <w:rsid w:val="405108E4"/>
    <w:rsid w:val="40A69D11"/>
    <w:rsid w:val="40B4B05C"/>
    <w:rsid w:val="40C26DCB"/>
    <w:rsid w:val="41419BBB"/>
    <w:rsid w:val="41A2778E"/>
    <w:rsid w:val="41DD8E90"/>
    <w:rsid w:val="41F06959"/>
    <w:rsid w:val="4246C4D2"/>
    <w:rsid w:val="42BBEC73"/>
    <w:rsid w:val="42BE6011"/>
    <w:rsid w:val="43B440CE"/>
    <w:rsid w:val="4416E75E"/>
    <w:rsid w:val="441B229E"/>
    <w:rsid w:val="446D2030"/>
    <w:rsid w:val="44E3D7F2"/>
    <w:rsid w:val="44FB6ACB"/>
    <w:rsid w:val="453DDB45"/>
    <w:rsid w:val="45800809"/>
    <w:rsid w:val="459B15AE"/>
    <w:rsid w:val="46002006"/>
    <w:rsid w:val="462A204C"/>
    <w:rsid w:val="46423E60"/>
    <w:rsid w:val="46F05DFB"/>
    <w:rsid w:val="4883B8FC"/>
    <w:rsid w:val="4906CFDF"/>
    <w:rsid w:val="4929D11F"/>
    <w:rsid w:val="495541D0"/>
    <w:rsid w:val="49E31D3B"/>
    <w:rsid w:val="4A73CA39"/>
    <w:rsid w:val="4A9D6518"/>
    <w:rsid w:val="4AA38F4B"/>
    <w:rsid w:val="4ABB1E2C"/>
    <w:rsid w:val="4B2D0CA5"/>
    <w:rsid w:val="4B3288A4"/>
    <w:rsid w:val="4BA048DD"/>
    <w:rsid w:val="4C60403E"/>
    <w:rsid w:val="4C780846"/>
    <w:rsid w:val="4CF0FD75"/>
    <w:rsid w:val="4CF39CC8"/>
    <w:rsid w:val="4D0B88BB"/>
    <w:rsid w:val="4DAE5B2F"/>
    <w:rsid w:val="4DAFB3E5"/>
    <w:rsid w:val="4E17F97A"/>
    <w:rsid w:val="4EA40C3F"/>
    <w:rsid w:val="4EC8F796"/>
    <w:rsid w:val="4F0785CC"/>
    <w:rsid w:val="4F1D8A5E"/>
    <w:rsid w:val="4F27B911"/>
    <w:rsid w:val="4F47C8A9"/>
    <w:rsid w:val="4F490EC9"/>
    <w:rsid w:val="4F5A4F57"/>
    <w:rsid w:val="4F81E7A1"/>
    <w:rsid w:val="4F9AC388"/>
    <w:rsid w:val="4FF030B6"/>
    <w:rsid w:val="4FF3D19A"/>
    <w:rsid w:val="4FFC61FB"/>
    <w:rsid w:val="50AB92BF"/>
    <w:rsid w:val="50CE346C"/>
    <w:rsid w:val="5151748A"/>
    <w:rsid w:val="51AAC131"/>
    <w:rsid w:val="51B85174"/>
    <w:rsid w:val="51E83659"/>
    <w:rsid w:val="5220AAC3"/>
    <w:rsid w:val="5221F616"/>
    <w:rsid w:val="522A57CC"/>
    <w:rsid w:val="523D1B53"/>
    <w:rsid w:val="5263CF7F"/>
    <w:rsid w:val="529276F8"/>
    <w:rsid w:val="530E1509"/>
    <w:rsid w:val="53635621"/>
    <w:rsid w:val="538EF321"/>
    <w:rsid w:val="539C5FF3"/>
    <w:rsid w:val="54994880"/>
    <w:rsid w:val="55222A76"/>
    <w:rsid w:val="554BEFD6"/>
    <w:rsid w:val="55D38873"/>
    <w:rsid w:val="55D78835"/>
    <w:rsid w:val="55F7DC5E"/>
    <w:rsid w:val="5678709D"/>
    <w:rsid w:val="56B5C57C"/>
    <w:rsid w:val="57C59556"/>
    <w:rsid w:val="5830C2EC"/>
    <w:rsid w:val="5899015D"/>
    <w:rsid w:val="58A4ACE2"/>
    <w:rsid w:val="58B57004"/>
    <w:rsid w:val="59536986"/>
    <w:rsid w:val="59739531"/>
    <w:rsid w:val="598BEA23"/>
    <w:rsid w:val="599F31E0"/>
    <w:rsid w:val="59B7C14C"/>
    <w:rsid w:val="59D09D9A"/>
    <w:rsid w:val="5A2411EE"/>
    <w:rsid w:val="5A5F52B6"/>
    <w:rsid w:val="5A6BADA3"/>
    <w:rsid w:val="5AEFA159"/>
    <w:rsid w:val="5AF2A907"/>
    <w:rsid w:val="5B09D042"/>
    <w:rsid w:val="5B37BB94"/>
    <w:rsid w:val="5B5570AE"/>
    <w:rsid w:val="5B770169"/>
    <w:rsid w:val="5B814525"/>
    <w:rsid w:val="5C146D84"/>
    <w:rsid w:val="5C198A52"/>
    <w:rsid w:val="5C252E95"/>
    <w:rsid w:val="5C4C0364"/>
    <w:rsid w:val="5C945F13"/>
    <w:rsid w:val="5CD97D26"/>
    <w:rsid w:val="5D0A0CFF"/>
    <w:rsid w:val="5D720838"/>
    <w:rsid w:val="5D81C150"/>
    <w:rsid w:val="5D860228"/>
    <w:rsid w:val="5DF04FAD"/>
    <w:rsid w:val="5E4E63FE"/>
    <w:rsid w:val="5E8034E6"/>
    <w:rsid w:val="5E852DE1"/>
    <w:rsid w:val="5EB235A4"/>
    <w:rsid w:val="5F12BB96"/>
    <w:rsid w:val="5F4F2D0C"/>
    <w:rsid w:val="5F508D6F"/>
    <w:rsid w:val="5FB5B5A3"/>
    <w:rsid w:val="5FC43F1F"/>
    <w:rsid w:val="5FD6E873"/>
    <w:rsid w:val="6042FF71"/>
    <w:rsid w:val="605C7FD3"/>
    <w:rsid w:val="6066F3AA"/>
    <w:rsid w:val="60C502F7"/>
    <w:rsid w:val="611CE7CA"/>
    <w:rsid w:val="612C3872"/>
    <w:rsid w:val="614080A2"/>
    <w:rsid w:val="61624AED"/>
    <w:rsid w:val="61684F25"/>
    <w:rsid w:val="61BA2EFC"/>
    <w:rsid w:val="620B96DC"/>
    <w:rsid w:val="622B32A0"/>
    <w:rsid w:val="6231707E"/>
    <w:rsid w:val="625BC4D5"/>
    <w:rsid w:val="62860A84"/>
    <w:rsid w:val="62EDA8A4"/>
    <w:rsid w:val="62F3E454"/>
    <w:rsid w:val="631474B9"/>
    <w:rsid w:val="6365333E"/>
    <w:rsid w:val="63A1B041"/>
    <w:rsid w:val="64424EB2"/>
    <w:rsid w:val="64486455"/>
    <w:rsid w:val="6453D6DC"/>
    <w:rsid w:val="649CF718"/>
    <w:rsid w:val="64D54B2E"/>
    <w:rsid w:val="64E058EA"/>
    <w:rsid w:val="650A67FE"/>
    <w:rsid w:val="651AF240"/>
    <w:rsid w:val="651FE1A3"/>
    <w:rsid w:val="65DA06F0"/>
    <w:rsid w:val="65EC3E5D"/>
    <w:rsid w:val="65F88744"/>
    <w:rsid w:val="660E43A5"/>
    <w:rsid w:val="6647206D"/>
    <w:rsid w:val="66734CA1"/>
    <w:rsid w:val="66868443"/>
    <w:rsid w:val="67476069"/>
    <w:rsid w:val="6769070B"/>
    <w:rsid w:val="67A4576A"/>
    <w:rsid w:val="67BC6E20"/>
    <w:rsid w:val="67C978F1"/>
    <w:rsid w:val="67E633BE"/>
    <w:rsid w:val="67FCED49"/>
    <w:rsid w:val="68239294"/>
    <w:rsid w:val="684F0B7A"/>
    <w:rsid w:val="685A10C1"/>
    <w:rsid w:val="68EBC8C3"/>
    <w:rsid w:val="6905A4EA"/>
    <w:rsid w:val="6942B254"/>
    <w:rsid w:val="6A30F1F9"/>
    <w:rsid w:val="6A4254E7"/>
    <w:rsid w:val="6A7FA2FA"/>
    <w:rsid w:val="6A830F89"/>
    <w:rsid w:val="6B1A3123"/>
    <w:rsid w:val="6B5FD387"/>
    <w:rsid w:val="6B756FE8"/>
    <w:rsid w:val="6B846441"/>
    <w:rsid w:val="6C10DF5E"/>
    <w:rsid w:val="6C5FDF07"/>
    <w:rsid w:val="6CD1E8D7"/>
    <w:rsid w:val="6CE33BBC"/>
    <w:rsid w:val="6D0E9CE6"/>
    <w:rsid w:val="6DE97F58"/>
    <w:rsid w:val="6EA66D8D"/>
    <w:rsid w:val="6F0BA806"/>
    <w:rsid w:val="6F13D5A3"/>
    <w:rsid w:val="6F71C4E5"/>
    <w:rsid w:val="6FAA375C"/>
    <w:rsid w:val="7057BD95"/>
    <w:rsid w:val="706C7E1A"/>
    <w:rsid w:val="708FBA00"/>
    <w:rsid w:val="70A37F3D"/>
    <w:rsid w:val="70FAFC8E"/>
    <w:rsid w:val="71167EE8"/>
    <w:rsid w:val="7149CF29"/>
    <w:rsid w:val="7169B561"/>
    <w:rsid w:val="7171B590"/>
    <w:rsid w:val="719C4017"/>
    <w:rsid w:val="71AA24A7"/>
    <w:rsid w:val="71B8C306"/>
    <w:rsid w:val="71D10B3C"/>
    <w:rsid w:val="727AA923"/>
    <w:rsid w:val="72CBA4C9"/>
    <w:rsid w:val="72ECAC3B"/>
    <w:rsid w:val="730E09DE"/>
    <w:rsid w:val="731581EA"/>
    <w:rsid w:val="732C85E1"/>
    <w:rsid w:val="734607BC"/>
    <w:rsid w:val="7358569C"/>
    <w:rsid w:val="73980E90"/>
    <w:rsid w:val="73A3AE6A"/>
    <w:rsid w:val="73FE5F2C"/>
    <w:rsid w:val="74066CF7"/>
    <w:rsid w:val="7446B0D7"/>
    <w:rsid w:val="7483B6E1"/>
    <w:rsid w:val="750F7971"/>
    <w:rsid w:val="752FED74"/>
    <w:rsid w:val="7559CC6E"/>
    <w:rsid w:val="75668EFE"/>
    <w:rsid w:val="75A66BA0"/>
    <w:rsid w:val="75C539AA"/>
    <w:rsid w:val="765D14E4"/>
    <w:rsid w:val="76CC195D"/>
    <w:rsid w:val="773D8A0A"/>
    <w:rsid w:val="775C0C27"/>
    <w:rsid w:val="77AE79A8"/>
    <w:rsid w:val="77C7C8E0"/>
    <w:rsid w:val="7830EB66"/>
    <w:rsid w:val="7896D57E"/>
    <w:rsid w:val="78EF2C06"/>
    <w:rsid w:val="791C13D6"/>
    <w:rsid w:val="79554FA6"/>
    <w:rsid w:val="799FF595"/>
    <w:rsid w:val="79B9AC08"/>
    <w:rsid w:val="79BE4BEA"/>
    <w:rsid w:val="79C994E5"/>
    <w:rsid w:val="79E85CDC"/>
    <w:rsid w:val="79EE80C3"/>
    <w:rsid w:val="7A78FF41"/>
    <w:rsid w:val="7A85089B"/>
    <w:rsid w:val="7A8F0D39"/>
    <w:rsid w:val="7AA3F0A7"/>
    <w:rsid w:val="7AB247F0"/>
    <w:rsid w:val="7AD2AD44"/>
    <w:rsid w:val="7B047CAA"/>
    <w:rsid w:val="7BA31C6E"/>
    <w:rsid w:val="7BA57F31"/>
    <w:rsid w:val="7BB741F1"/>
    <w:rsid w:val="7BE8DA5C"/>
    <w:rsid w:val="7BF63976"/>
    <w:rsid w:val="7C07CC66"/>
    <w:rsid w:val="7C265765"/>
    <w:rsid w:val="7C2EF815"/>
    <w:rsid w:val="7CCD101A"/>
    <w:rsid w:val="7D06EFA5"/>
    <w:rsid w:val="7D44B9C2"/>
    <w:rsid w:val="7D62CDA9"/>
    <w:rsid w:val="7D6F208B"/>
    <w:rsid w:val="7D739C27"/>
    <w:rsid w:val="7D849FEF"/>
    <w:rsid w:val="7D8E3960"/>
    <w:rsid w:val="7DAD6FB2"/>
    <w:rsid w:val="7DDDF14D"/>
    <w:rsid w:val="7E08787E"/>
    <w:rsid w:val="7E6A6721"/>
    <w:rsid w:val="7E7798C7"/>
    <w:rsid w:val="7EA83F91"/>
    <w:rsid w:val="7EC77416"/>
    <w:rsid w:val="7EE7FD27"/>
    <w:rsid w:val="7F38CE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D6F54"/>
  <w15:chartTrackingRefBased/>
  <w15:docId w15:val="{7B48EB1E-2E0C-4F4C-AE27-95AE84C1469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9"/>
      </w:numPr>
      <w:ind w:right="2160"/>
    </w:pPr>
    <w:rPr>
      <w:rFonts w:eastAsiaTheme="majorEastAsia" w:cstheme="majorBidi"/>
      <w:szCs w:val="32"/>
    </w:rPr>
  </w:style>
  <w:style w:type="paragraph" w:styleId="Heading2">
    <w:name w:val="heading 2"/>
    <w:basedOn w:val="Dummy"/>
    <w:next w:val="Standard"/>
    <w:link w:val="Heading2Char"/>
    <w:qFormat/>
    <w:rsid w:val="000E270A"/>
    <w:pPr>
      <w:numPr>
        <w:ilvl w:val="1"/>
        <w:numId w:val="19"/>
      </w:numPr>
      <w:ind w:right="2160"/>
      <w:outlineLvl w:val="1"/>
    </w:pPr>
  </w:style>
  <w:style w:type="paragraph" w:styleId="Heading3">
    <w:name w:val="heading 3"/>
    <w:basedOn w:val="Dummy"/>
    <w:next w:val="Standard"/>
    <w:link w:val="Heading3Char"/>
    <w:uiPriority w:val="4"/>
    <w:qFormat/>
    <w:rsid w:val="000E270A"/>
    <w:pPr>
      <w:numPr>
        <w:ilvl w:val="2"/>
        <w:numId w:val="19"/>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9"/>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9"/>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9"/>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A316B6"/>
    <w:pPr>
      <w:spacing w:line="240" w:lineRule="auto"/>
      <w:jc w:val="center"/>
    </w:pPr>
    <w:rPr>
      <w:rFonts w:ascii="Book Antiqua" w:eastAsiaTheme="majorEastAsia" w:hAnsi="Book Antiqua"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066B83"/>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545329"/>
    <w:pPr>
      <w:spacing w:before="180" w:line="360" w:lineRule="auto"/>
    </w:pPr>
    <w:rPr>
      <w:spacing w:val="120"/>
    </w:rPr>
  </w:style>
  <w:style w:type="paragraph" w:styleId="TOC2">
    <w:name w:val="toc 2"/>
    <w:basedOn w:val="Normal"/>
    <w:next w:val="Normal"/>
    <w:uiPriority w:val="39"/>
    <w:unhideWhenUsed/>
    <w:rsid w:val="00304AE5"/>
    <w:pPr>
      <w:spacing w:line="240" w:lineRule="auto"/>
      <w:ind w:left="1123" w:right="720" w:hanging="648"/>
    </w:pPr>
    <w:rPr>
      <w:rFonts w:eastAsiaTheme="minorEastAsia" w:cs="Times New Roman"/>
    </w:rPr>
  </w:style>
  <w:style w:type="paragraph" w:styleId="TOC1">
    <w:name w:val="toc 1"/>
    <w:basedOn w:val="Normal"/>
    <w:next w:val="Normal"/>
    <w:uiPriority w:val="39"/>
    <w:unhideWhenUsed/>
    <w:rsid w:val="00304AE5"/>
    <w:pPr>
      <w:spacing w:line="240" w:lineRule="auto"/>
      <w:ind w:left="475" w:right="720" w:hanging="475"/>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6"/>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rsid w:val="00B01F7E"/>
    <w:pPr>
      <w:spacing w:after="120" w:line="240" w:lineRule="auto"/>
      <w:ind w:firstLine="0"/>
    </w:pPr>
    <w:rPr>
      <w:sz w:val="22"/>
      <w:szCs w:val="20"/>
    </w:rPr>
  </w:style>
  <w:style w:type="character" w:customStyle="1" w:styleId="FootnoteTextChar">
    <w:name w:val="Footnote Text Char"/>
    <w:basedOn w:val="DefaultParagraphFont"/>
    <w:link w:val="FootnoteText"/>
    <w:rsid w:val="007657C1"/>
    <w:rPr>
      <w:rFonts w:ascii="Book Antiqua" w:hAnsi="Book Antiqua"/>
      <w:szCs w:val="20"/>
    </w:rPr>
  </w:style>
  <w:style w:type="character" w:styleId="FootnoteReference">
    <w:name w:val="footnote reference"/>
    <w:basedOn w:val="DefaultParagraphFont"/>
    <w:semiHidden/>
    <w:unhideWhenUsed/>
    <w:rsid w:val="00DF58E7"/>
    <w:rPr>
      <w:vertAlign w:val="superscript"/>
    </w:rPr>
  </w:style>
  <w:style w:type="paragraph" w:customStyle="1" w:styleId="FoF">
    <w:name w:val="FoF"/>
    <w:basedOn w:val="Standard"/>
    <w:uiPriority w:val="6"/>
    <w:qFormat/>
    <w:rsid w:val="001E2A62"/>
    <w:pPr>
      <w:numPr>
        <w:numId w:val="7"/>
      </w:numPr>
      <w:ind w:firstLine="547"/>
    </w:pPr>
  </w:style>
  <w:style w:type="paragraph" w:customStyle="1" w:styleId="CoL">
    <w:name w:val="CoL"/>
    <w:basedOn w:val="Standard"/>
    <w:uiPriority w:val="7"/>
    <w:qFormat/>
    <w:rsid w:val="001E2A62"/>
    <w:pPr>
      <w:numPr>
        <w:numId w:val="8"/>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9"/>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10"/>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9"/>
      </w:numPr>
      <w:spacing w:after="120" w:line="240" w:lineRule="auto"/>
    </w:pPr>
  </w:style>
  <w:style w:type="paragraph" w:styleId="ListBullet">
    <w:name w:val="List Bullet"/>
    <w:basedOn w:val="Standard"/>
    <w:uiPriority w:val="4"/>
    <w:qFormat/>
    <w:rsid w:val="001F2819"/>
    <w:pPr>
      <w:numPr>
        <w:numId w:val="13"/>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9"/>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customStyle="1" w:styleId="Default">
    <w:name w:val="Default"/>
    <w:rsid w:val="00B001B9"/>
    <w:pPr>
      <w:autoSpaceDE w:val="0"/>
      <w:autoSpaceDN w:val="0"/>
      <w:adjustRightInd w:val="0"/>
      <w:spacing w:after="0" w:line="240" w:lineRule="auto"/>
    </w:pPr>
    <w:rPr>
      <w:rFonts w:ascii="Book Antiqua" w:hAnsi="Book Antiqua" w:cs="Book Antiqua"/>
      <w:color w:val="000000"/>
      <w:sz w:val="24"/>
      <w:szCs w:val="24"/>
    </w:rPr>
  </w:style>
  <w:style w:type="paragraph" w:styleId="ListParagraph">
    <w:name w:val="List Paragraph"/>
    <w:basedOn w:val="Normal"/>
    <w:uiPriority w:val="34"/>
    <w:qFormat/>
    <w:rsid w:val="0085395B"/>
    <w:pPr>
      <w:spacing w:after="160" w:line="279" w:lineRule="auto"/>
      <w:ind w:left="720" w:firstLine="0"/>
      <w:contextualSpacing/>
    </w:pPr>
    <w:rPr>
      <w:rFonts w:asciiTheme="minorHAnsi" w:eastAsiaTheme="minorEastAsia" w:hAnsiTheme="minorHAnsi"/>
      <w:sz w:val="24"/>
      <w:szCs w:val="24"/>
      <w:lang w:eastAsia="ja-JP"/>
    </w:rPr>
  </w:style>
  <w:style w:type="character" w:styleId="CommentReference">
    <w:name w:val="annotation reference"/>
    <w:basedOn w:val="DefaultParagraphFont"/>
    <w:uiPriority w:val="99"/>
    <w:semiHidden/>
    <w:unhideWhenUsed/>
    <w:rsid w:val="003900A5"/>
    <w:rPr>
      <w:sz w:val="16"/>
      <w:szCs w:val="16"/>
    </w:rPr>
  </w:style>
  <w:style w:type="paragraph" w:styleId="CommentText">
    <w:name w:val="annotation text"/>
    <w:basedOn w:val="Normal"/>
    <w:link w:val="CommentTextChar"/>
    <w:uiPriority w:val="99"/>
    <w:unhideWhenUsed/>
    <w:rsid w:val="003900A5"/>
    <w:pPr>
      <w:spacing w:after="160" w:line="240" w:lineRule="auto"/>
      <w:ind w:firstLine="0"/>
    </w:pPr>
    <w:rPr>
      <w:rFonts w:asciiTheme="minorHAnsi" w:eastAsiaTheme="minorEastAsia" w:hAnsiTheme="minorHAnsi"/>
      <w:sz w:val="20"/>
      <w:szCs w:val="20"/>
      <w:lang w:eastAsia="ja-JP"/>
    </w:rPr>
  </w:style>
  <w:style w:type="character" w:customStyle="1" w:styleId="CommentTextChar">
    <w:name w:val="Comment Text Char"/>
    <w:basedOn w:val="DefaultParagraphFont"/>
    <w:link w:val="CommentText"/>
    <w:uiPriority w:val="99"/>
    <w:rsid w:val="003900A5"/>
    <w:rPr>
      <w:rFonts w:eastAsiaTheme="minorEastAsia"/>
      <w:sz w:val="20"/>
      <w:szCs w:val="20"/>
      <w:lang w:eastAsia="ja-JP"/>
    </w:rPr>
  </w:style>
  <w:style w:type="character" w:styleId="Mention">
    <w:name w:val="Mention"/>
    <w:basedOn w:val="DefaultParagraphFont"/>
    <w:uiPriority w:val="99"/>
    <w:unhideWhenUsed/>
    <w:rsid w:val="00B65092"/>
    <w:rPr>
      <w:color w:val="2B579A"/>
      <w:shd w:val="clear" w:color="auto" w:fill="E1DFDD"/>
    </w:rPr>
  </w:style>
  <w:style w:type="paragraph" w:styleId="CommentSubject">
    <w:name w:val="annotation subject"/>
    <w:basedOn w:val="CommentText"/>
    <w:next w:val="CommentText"/>
    <w:link w:val="CommentSubjectChar"/>
    <w:uiPriority w:val="99"/>
    <w:semiHidden/>
    <w:unhideWhenUsed/>
    <w:rsid w:val="004A2A7F"/>
    <w:pPr>
      <w:spacing w:after="0"/>
      <w:ind w:firstLine="720"/>
    </w:pPr>
    <w:rPr>
      <w:rFonts w:ascii="Book Antiqua" w:eastAsiaTheme="minorHAnsi" w:hAnsi="Book Antiqua"/>
      <w:b/>
      <w:bCs/>
      <w:lang w:eastAsia="en-US"/>
    </w:rPr>
  </w:style>
  <w:style w:type="character" w:customStyle="1" w:styleId="CommentSubjectChar">
    <w:name w:val="Comment Subject Char"/>
    <w:basedOn w:val="CommentTextChar"/>
    <w:link w:val="CommentSubject"/>
    <w:uiPriority w:val="99"/>
    <w:semiHidden/>
    <w:rsid w:val="004A2A7F"/>
    <w:rPr>
      <w:rFonts w:ascii="Book Antiqua" w:eastAsiaTheme="minorEastAsia" w:hAnsi="Book Antiqua"/>
      <w:b/>
      <w:bCs/>
      <w:sz w:val="20"/>
      <w:szCs w:val="20"/>
      <w:lang w:eastAsia="ja-JP"/>
    </w:rPr>
  </w:style>
  <w:style w:type="character" w:styleId="UnresolvedMention">
    <w:name w:val="Unresolved Mention"/>
    <w:basedOn w:val="DefaultParagraphFont"/>
    <w:uiPriority w:val="99"/>
    <w:semiHidden/>
    <w:unhideWhenUsed/>
    <w:rsid w:val="00CB3B3B"/>
    <w:rPr>
      <w:color w:val="605E5C"/>
      <w:shd w:val="clear" w:color="auto" w:fill="E1DFDD"/>
    </w:rPr>
  </w:style>
  <w:style w:type="paragraph" w:styleId="NormalWeb">
    <w:name w:val="Normal (Web)"/>
    <w:basedOn w:val="Normal"/>
    <w:uiPriority w:val="99"/>
    <w:unhideWhenUsed/>
    <w:rsid w:val="005E5176"/>
    <w:rPr>
      <w:rFonts w:ascii="Times New Roman" w:hAnsi="Times New Roman" w:cs="Times New Roman"/>
    </w:rPr>
  </w:style>
  <w:style w:type="paragraph" w:customStyle="1" w:styleId="ParaText">
    <w:name w:val="ParaText"/>
    <w:basedOn w:val="Normal"/>
    <w:uiPriority w:val="1"/>
    <w:rsid w:val="005E5176"/>
    <w:pPr>
      <w:spacing w:after="240" w:line="260" w:lineRule="atLeast"/>
    </w:pPr>
    <w:rPr>
      <w:rFonts w:asciiTheme="minorHAnsi" w:eastAsiaTheme="minorEastAsia" w:hAnsiTheme="minorHAnsi"/>
      <w:sz w:val="22"/>
    </w:rPr>
  </w:style>
  <w:style w:type="paragraph" w:customStyle="1" w:styleId="CM31">
    <w:name w:val="CM31"/>
    <w:basedOn w:val="Normal"/>
    <w:next w:val="Default"/>
    <w:uiPriority w:val="1"/>
    <w:rsid w:val="005E5176"/>
    <w:pPr>
      <w:widowControl w:val="0"/>
    </w:pPr>
    <w:rPr>
      <w:rFonts w:asciiTheme="minorHAnsi" w:eastAsiaTheme="minorEastAsia" w:hAnsiTheme="minorHAnsi"/>
      <w:sz w:val="24"/>
      <w:szCs w:val="24"/>
    </w:rPr>
  </w:style>
  <w:style w:type="character" w:styleId="FollowedHyperlink">
    <w:name w:val="FollowedHyperlink"/>
    <w:basedOn w:val="DefaultParagraphFont"/>
    <w:uiPriority w:val="99"/>
    <w:semiHidden/>
    <w:unhideWhenUsed/>
    <w:rsid w:val="00080B0B"/>
    <w:rPr>
      <w:color w:val="954F72" w:themeColor="followedHyperlink"/>
      <w:u w:val="single"/>
    </w:rPr>
  </w:style>
  <w:style w:type="paragraph" w:customStyle="1" w:styleId="BlockQuoteH025">
    <w:name w:val="BlockQuoteH025"/>
    <w:basedOn w:val="Normal"/>
    <w:qFormat/>
    <w:rsid w:val="006B149D"/>
    <w:pPr>
      <w:spacing w:after="120" w:line="240" w:lineRule="auto"/>
      <w:ind w:left="1080" w:right="1440" w:hanging="360"/>
    </w:pPr>
  </w:style>
  <w:style w:type="paragraph" w:customStyle="1" w:styleId="BlockQuoteH025subH033">
    <w:name w:val="BlockQuoteH025subH033"/>
    <w:basedOn w:val="Normal"/>
    <w:qFormat/>
    <w:rsid w:val="00B239C8"/>
    <w:pPr>
      <w:spacing w:after="120" w:line="240" w:lineRule="auto"/>
      <w:ind w:left="1555" w:right="1440" w:hanging="475"/>
    </w:pPr>
  </w:style>
  <w:style w:type="paragraph" w:customStyle="1" w:styleId="BlockQuoteH033">
    <w:name w:val="BlockQuoteH033"/>
    <w:basedOn w:val="Normal"/>
    <w:qFormat/>
    <w:rsid w:val="00B239C8"/>
    <w:pPr>
      <w:spacing w:after="120" w:line="240" w:lineRule="auto"/>
      <w:ind w:left="1195" w:right="1440" w:hanging="475"/>
    </w:pPr>
  </w:style>
  <w:style w:type="paragraph" w:customStyle="1" w:styleId="StandardTableSub">
    <w:name w:val="StandardTableSub"/>
    <w:basedOn w:val="Standard"/>
    <w:rsid w:val="00D72B47"/>
    <w:pPr>
      <w:spacing w:before="180"/>
    </w:pPr>
  </w:style>
  <w:style w:type="paragraph" w:customStyle="1" w:styleId="TableTitleBody">
    <w:name w:val="TableTitleBody"/>
    <w:basedOn w:val="Normal"/>
    <w:qFormat/>
    <w:rsid w:val="00217B3B"/>
    <w:pPr>
      <w:keepNext/>
      <w:spacing w:after="120" w:line="240" w:lineRule="auto"/>
      <w:ind w:firstLine="0"/>
      <w:jc w:val="center"/>
    </w:pPr>
    <w:rPr>
      <w:b/>
      <w:bCs/>
    </w:rPr>
  </w:style>
  <w:style w:type="paragraph" w:customStyle="1" w:styleId="BlockQuoteH033subH033">
    <w:name w:val="BlockQuoteH033subH033"/>
    <w:basedOn w:val="Normal"/>
    <w:qFormat/>
    <w:rsid w:val="003301F9"/>
    <w:pPr>
      <w:spacing w:after="120" w:line="240" w:lineRule="auto"/>
      <w:ind w:left="1670" w:right="1440" w:hanging="4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footer" Target="footer6.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https://docs.cpuc.ca.gov/PublishedDocs/Published/G000/M622/K747/622747768.pdf" TargetMode="External" Id="Re52e1337e5d14d64" /><Relationship Type="http://schemas.openxmlformats.org/officeDocument/2006/relationships/hyperlink" Target="https://docs.cpuc.ca.gov/PublishedDocs/Published/G000/M622/K747/622747769.pdf" TargetMode="External" Id="R9d8cbdf4296c4bd8" /><Relationship Type="http://schemas.openxmlformats.org/officeDocument/2006/relationships/hyperlink" Target="https://docs.cpuc.ca.gov/PublishedDocs/Published/G000/M622/K777/622777533.pdf" TargetMode="External" Id="Reeb9a51d220f482a" /></Relationships>
</file>

<file path=word/_rels/footnotes.xml.rels><?xml version="1.0" encoding="UTF-8" standalone="yes"?>
<Relationships xmlns="http://schemas.openxmlformats.org/package/2006/relationships"><Relationship Id="rId1" Type="http://schemas.openxmlformats.org/officeDocument/2006/relationships/hyperlink" Target="https://pvwatts.nl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27E426964C0C4887957A593CD4B232" ma:contentTypeVersion="12" ma:contentTypeDescription="Create a new document." ma:contentTypeScope="" ma:versionID="14527e933270804ef9acc2ddc527b214">
  <xsd:schema xmlns:xsd="http://www.w3.org/2001/XMLSchema" xmlns:xs="http://www.w3.org/2001/XMLSchema" xmlns:p="http://schemas.microsoft.com/office/2006/metadata/properties" xmlns:ns3="e01008f1-f8be-48a0-8f4b-5d43f532b9a9" xmlns:ns4="519c17d0-e4de-4e3b-bcb3-b10294c20ea4" targetNamespace="http://schemas.microsoft.com/office/2006/metadata/properties" ma:root="true" ma:fieldsID="046fc1ade8753a55658815d9b4142416" ns3:_="" ns4:_="">
    <xsd:import namespace="e01008f1-f8be-48a0-8f4b-5d43f532b9a9"/>
    <xsd:import namespace="519c17d0-e4de-4e3b-bcb3-b10294c20ea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1008f1-f8be-48a0-8f4b-5d43f532b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9c17d0-e4de-4e3b-bcb3-b10294c20e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2.xml><?xml version="1.0" encoding="utf-8"?>
<ds:datastoreItem xmlns:ds="http://schemas.openxmlformats.org/officeDocument/2006/customXml" ds:itemID="{14CF8D9B-E036-4C26-80BB-316869368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1008f1-f8be-48a0-8f4b-5d43f532b9a9"/>
    <ds:schemaRef ds:uri="519c17d0-e4de-4e3b-bcb3-b10294c20e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5.xml><?xml version="1.0" encoding="utf-8"?>
<ds:datastoreItem xmlns:ds="http://schemas.openxmlformats.org/officeDocument/2006/customXml" ds:itemID="{8B10E1D6-4064-4AC5-8883-6D7E4B7FA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50</ap:Pages>
  <ap:Words>10467</ap:Words>
  <ap:Characters>59663</ap:Characters>
  <ap:Application>Microsoft Office Word</ap:Application>
  <ap:DocSecurity>0</ap:DocSecurity>
  <ap:Lines>497</ap:Lines>
  <ap:Paragraphs>139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69991</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2026-10-05T14:34:36Z</dcterms:created>
  <dcterms:modified xsi:type="dcterms:W3CDTF">2026-10-05T14:34:36Z</dcterms:modified>
</cp:coreProperties>
</file>